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4.xml" ContentType="application/vnd.openxmlformats-officedocument.themeOverride+xml"/>
  <Override PartName="/word/drawings/drawing5.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5.xml" ContentType="application/vnd.openxmlformats-officedocument.themeOverride+xml"/>
  <Override PartName="/word/drawings/drawing6.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6.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7.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8.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9.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0.xml" ContentType="application/vnd.openxmlformats-officedocument.themeOverride+xml"/>
  <Override PartName="/word/drawings/drawing7.xml" ContentType="application/vnd.openxmlformats-officedocument.drawingml.chartshapes+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drawings/drawing8.xml" ContentType="application/vnd.openxmlformats-officedocument.drawingml.chartshapes+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drawings/drawing9.xml" ContentType="application/vnd.openxmlformats-officedocument.drawingml.chartshapes+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drawings/drawing10.xml" ContentType="application/vnd.openxmlformats-officedocument.drawingml.chartshapes+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1.xml" ContentType="application/vnd.openxmlformats-officedocument.themeOverride+xml"/>
  <Override PartName="/word/drawings/drawing11.xml" ContentType="application/vnd.openxmlformats-officedocument.drawingml.chartshapes+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12.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13.xml" ContentType="application/vnd.openxmlformats-officedocument.themeOverride+xml"/>
  <Override PartName="/word/drawings/drawing12.xml" ContentType="application/vnd.openxmlformats-officedocument.drawingml.chartshapes+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Ex1.xml" ContentType="application/vnd.ms-office.chartex+xml"/>
  <Override PartName="/word/charts/style38.xml" ContentType="application/vnd.ms-office.chartstyle+xml"/>
  <Override PartName="/word/charts/colors38.xml" ContentType="application/vnd.ms-office.chartcolorstyle+xml"/>
  <Override PartName="/word/charts/chartEx2.xml" ContentType="application/vnd.ms-office.chartex+xml"/>
  <Override PartName="/word/charts/style39.xml" ContentType="application/vnd.ms-office.chartstyle+xml"/>
  <Override PartName="/word/charts/colors39.xml" ContentType="application/vnd.ms-office.chartcolorstyle+xml"/>
  <Override PartName="/word/charts/chartEx3.xml" ContentType="application/vnd.ms-office.chartex+xml"/>
  <Override PartName="/word/charts/style40.xml" ContentType="application/vnd.ms-office.chartstyle+xml"/>
  <Override PartName="/word/charts/colors40.xml" ContentType="application/vnd.ms-office.chartcolorstyle+xml"/>
  <Override PartName="/word/charts/chartEx4.xml" ContentType="application/vnd.ms-office.chartex+xml"/>
  <Override PartName="/word/charts/style41.xml" ContentType="application/vnd.ms-office.chartstyle+xml"/>
  <Override PartName="/word/charts/colors41.xml" ContentType="application/vnd.ms-office.chartcolorstyle+xml"/>
  <Override PartName="/word/charts/chartEx5.xml" ContentType="application/vnd.ms-office.chartex+xml"/>
  <Override PartName="/word/charts/style42.xml" ContentType="application/vnd.ms-office.chartstyle+xml"/>
  <Override PartName="/word/charts/colors42.xml" ContentType="application/vnd.ms-office.chartcolorstyle+xml"/>
  <Override PartName="/word/charts/chart38.xml" ContentType="application/vnd.openxmlformats-officedocument.drawingml.chart+xml"/>
  <Override PartName="/word/charts/style43.xml" ContentType="application/vnd.ms-office.chartstyle+xml"/>
  <Override PartName="/word/charts/colors43.xml" ContentType="application/vnd.ms-office.chartcolorstyle+xml"/>
  <Override PartName="/word/drawings/drawing13.xml" ContentType="application/vnd.openxmlformats-officedocument.drawingml.chartshapes+xml"/>
  <Override PartName="/word/charts/chart39.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0.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1.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2.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14.xml" ContentType="application/vnd.openxmlformats-officedocument.themeOverride+xml"/>
  <Override PartName="/word/drawings/drawing14.xml" ContentType="application/vnd.openxmlformats-officedocument.drawingml.chartshapes+xml"/>
  <Override PartName="/word/charts/chart43.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15.xml" ContentType="application/vnd.openxmlformats-officedocument.themeOverride+xml"/>
  <Override PartName="/word/drawings/drawing15.xml" ContentType="application/vnd.openxmlformats-officedocument.drawingml.chartshapes+xml"/>
  <Override PartName="/word/charts/chart44.xml" ContentType="application/vnd.openxmlformats-officedocument.drawingml.chart+xml"/>
  <Override PartName="/word/charts/style49.xml" ContentType="application/vnd.ms-office.chartstyle+xml"/>
  <Override PartName="/word/charts/colors4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1985"/>
        <w:gridCol w:w="4394"/>
        <w:gridCol w:w="1985"/>
        <w:gridCol w:w="1524"/>
      </w:tblGrid>
      <w:tr w:rsidR="002728FA" w:rsidRPr="0076358A" w14:paraId="3F0E9EC4" w14:textId="77777777" w:rsidTr="00117481">
        <w:trPr>
          <w:cantSplit/>
          <w:trHeight w:val="1134"/>
        </w:trPr>
        <w:tc>
          <w:tcPr>
            <w:tcW w:w="1985" w:type="dxa"/>
          </w:tcPr>
          <w:p w14:paraId="0200509E" w14:textId="24401AA0" w:rsidR="002728FA" w:rsidRPr="0076358A" w:rsidRDefault="00137AC9" w:rsidP="00117481">
            <w:pPr>
              <w:tabs>
                <w:tab w:val="clear" w:pos="1191"/>
                <w:tab w:val="clear" w:pos="1588"/>
                <w:tab w:val="clear" w:pos="1985"/>
              </w:tabs>
              <w:spacing w:before="60" w:after="40"/>
              <w:ind w:left="34"/>
              <w:rPr>
                <w:b/>
                <w:bCs/>
                <w:sz w:val="32"/>
                <w:szCs w:val="32"/>
                <w:lang w:val="es-ES"/>
              </w:rPr>
            </w:pPr>
            <w:r w:rsidRPr="0076358A">
              <w:rPr>
                <w:b/>
                <w:bCs/>
                <w:noProof/>
                <w:sz w:val="32"/>
                <w:szCs w:val="32"/>
                <w:lang w:val="es-ES"/>
              </w:rPr>
              <w:drawing>
                <wp:inline distT="0" distB="0" distL="0" distR="0" wp14:anchorId="4A4A39FA" wp14:editId="6F4EC86B">
                  <wp:extent cx="1080000" cy="972000"/>
                  <wp:effectExtent l="0" t="0" r="0" b="0"/>
                  <wp:docPr id="1395416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605" t="7850" r="24716" b="19549"/>
                          <a:stretch/>
                        </pic:blipFill>
                        <pic:spPr bwMode="auto">
                          <a:xfrm>
                            <a:off x="0" y="0"/>
                            <a:ext cx="1080000" cy="97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79" w:type="dxa"/>
            <w:gridSpan w:val="2"/>
          </w:tcPr>
          <w:p w14:paraId="088A3440" w14:textId="6362F4C3" w:rsidR="002728FA" w:rsidRPr="0076358A" w:rsidRDefault="002728FA" w:rsidP="009D30B8">
            <w:pPr>
              <w:tabs>
                <w:tab w:val="clear" w:pos="1191"/>
                <w:tab w:val="clear" w:pos="1588"/>
                <w:tab w:val="clear" w:pos="1985"/>
              </w:tabs>
              <w:spacing w:before="240" w:after="120"/>
              <w:ind w:left="34"/>
              <w:rPr>
                <w:b/>
                <w:bCs/>
                <w:sz w:val="32"/>
                <w:szCs w:val="32"/>
                <w:lang w:val="es-ES"/>
              </w:rPr>
            </w:pPr>
            <w:r w:rsidRPr="0076358A">
              <w:rPr>
                <w:b/>
                <w:bCs/>
                <w:sz w:val="32"/>
                <w:szCs w:val="32"/>
                <w:lang w:val="es-ES"/>
              </w:rPr>
              <w:t>Reunión Preparatoria Regional</w:t>
            </w:r>
            <w:r w:rsidRPr="0076358A">
              <w:rPr>
                <w:b/>
                <w:bCs/>
                <w:sz w:val="32"/>
                <w:szCs w:val="32"/>
                <w:lang w:val="es-ES"/>
              </w:rPr>
              <w:br/>
              <w:t>de las Américas para la CMDT-25 (RPR-AMS)</w:t>
            </w:r>
          </w:p>
          <w:p w14:paraId="5F5F590A" w14:textId="69C4C747" w:rsidR="002728FA" w:rsidRPr="0076358A" w:rsidRDefault="002728FA" w:rsidP="00723ECE">
            <w:pPr>
              <w:tabs>
                <w:tab w:val="clear" w:pos="1191"/>
                <w:tab w:val="clear" w:pos="1588"/>
                <w:tab w:val="clear" w:pos="1985"/>
              </w:tabs>
              <w:spacing w:before="240" w:after="120"/>
              <w:ind w:left="34"/>
              <w:rPr>
                <w:rFonts w:ascii="Verdana" w:hAnsi="Verdana"/>
                <w:sz w:val="28"/>
                <w:szCs w:val="28"/>
                <w:lang w:val="es-ES"/>
              </w:rPr>
            </w:pPr>
            <w:r w:rsidRPr="0076358A">
              <w:rPr>
                <w:b/>
                <w:bCs/>
                <w:sz w:val="26"/>
                <w:szCs w:val="26"/>
                <w:lang w:val="es-ES"/>
              </w:rPr>
              <w:t>Asunción, Paraguay, 1-2 de abril de 2025</w:t>
            </w:r>
          </w:p>
        </w:tc>
        <w:tc>
          <w:tcPr>
            <w:tcW w:w="1524" w:type="dxa"/>
          </w:tcPr>
          <w:p w14:paraId="67E7B4C4" w14:textId="0F52E4CC" w:rsidR="002728FA" w:rsidRPr="0076358A" w:rsidRDefault="002728FA" w:rsidP="00952667">
            <w:pPr>
              <w:spacing w:after="120"/>
              <w:ind w:right="142"/>
              <w:jc w:val="right"/>
              <w:rPr>
                <w:lang w:val="es-ES"/>
              </w:rPr>
            </w:pPr>
            <w:r w:rsidRPr="0076358A">
              <w:rPr>
                <w:noProof/>
                <w:lang w:val="es-ES" w:eastAsia="fr-FR"/>
              </w:rPr>
              <w:drawing>
                <wp:inline distT="0" distB="0" distL="0" distR="0" wp14:anchorId="7A20172F" wp14:editId="3C26654E">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683C32" w:rsidRPr="0076358A" w14:paraId="3C13197B" w14:textId="77777777" w:rsidTr="00D07E2B">
        <w:trPr>
          <w:cantSplit/>
        </w:trPr>
        <w:tc>
          <w:tcPr>
            <w:tcW w:w="6379" w:type="dxa"/>
            <w:gridSpan w:val="2"/>
            <w:tcBorders>
              <w:top w:val="single" w:sz="12" w:space="0" w:color="auto"/>
            </w:tcBorders>
          </w:tcPr>
          <w:p w14:paraId="2EED9DB2" w14:textId="77777777" w:rsidR="00683C32" w:rsidRPr="0076358A" w:rsidRDefault="00683C32" w:rsidP="00107E85">
            <w:pPr>
              <w:spacing w:before="0"/>
              <w:rPr>
                <w:rFonts w:cs="Arial"/>
                <w:b/>
                <w:bCs/>
                <w:sz w:val="20"/>
                <w:lang w:val="es-ES"/>
              </w:rPr>
            </w:pPr>
          </w:p>
        </w:tc>
        <w:tc>
          <w:tcPr>
            <w:tcW w:w="3509" w:type="dxa"/>
            <w:gridSpan w:val="2"/>
            <w:tcBorders>
              <w:top w:val="single" w:sz="12" w:space="0" w:color="auto"/>
            </w:tcBorders>
          </w:tcPr>
          <w:p w14:paraId="6CC77CFE" w14:textId="77777777" w:rsidR="00683C32" w:rsidRPr="0076358A" w:rsidRDefault="00683C32" w:rsidP="00107E85">
            <w:pPr>
              <w:spacing w:before="0"/>
              <w:rPr>
                <w:b/>
                <w:bCs/>
                <w:sz w:val="20"/>
                <w:lang w:val="es-ES"/>
              </w:rPr>
            </w:pPr>
          </w:p>
        </w:tc>
      </w:tr>
      <w:tr w:rsidR="00706440" w:rsidRPr="0076358A" w14:paraId="0BB3FBC4" w14:textId="77777777" w:rsidTr="00D07E2B">
        <w:trPr>
          <w:cantSplit/>
        </w:trPr>
        <w:tc>
          <w:tcPr>
            <w:tcW w:w="6379" w:type="dxa"/>
            <w:gridSpan w:val="2"/>
          </w:tcPr>
          <w:p w14:paraId="43C54B3D" w14:textId="77777777" w:rsidR="00706440" w:rsidRPr="0076358A" w:rsidRDefault="00706440" w:rsidP="00706440">
            <w:pPr>
              <w:pStyle w:val="Committee"/>
              <w:spacing w:before="0"/>
              <w:rPr>
                <w:b w:val="0"/>
                <w:szCs w:val="24"/>
                <w:lang w:val="es-ES"/>
              </w:rPr>
            </w:pPr>
          </w:p>
        </w:tc>
        <w:tc>
          <w:tcPr>
            <w:tcW w:w="3509" w:type="dxa"/>
            <w:gridSpan w:val="2"/>
          </w:tcPr>
          <w:p w14:paraId="02E44EE9" w14:textId="61197A10" w:rsidR="00706440" w:rsidRPr="0076358A" w:rsidRDefault="00706440" w:rsidP="00706440">
            <w:pPr>
              <w:spacing w:before="0"/>
              <w:jc w:val="both"/>
              <w:rPr>
                <w:bCs/>
                <w:szCs w:val="24"/>
                <w:lang w:val="es-ES"/>
              </w:rPr>
            </w:pPr>
            <w:r w:rsidRPr="0076358A">
              <w:rPr>
                <w:b/>
                <w:bCs/>
                <w:lang w:val="es-ES"/>
              </w:rPr>
              <w:t>Document</w:t>
            </w:r>
            <w:r w:rsidR="0017269C" w:rsidRPr="0076358A">
              <w:rPr>
                <w:b/>
                <w:bCs/>
                <w:lang w:val="es-ES"/>
              </w:rPr>
              <w:t>o</w:t>
            </w:r>
            <w:r w:rsidRPr="0076358A">
              <w:rPr>
                <w:b/>
                <w:bCs/>
                <w:lang w:val="es-ES"/>
              </w:rPr>
              <w:t xml:space="preserve"> </w:t>
            </w:r>
            <w:bookmarkStart w:id="0" w:name="DocRef1"/>
            <w:bookmarkEnd w:id="0"/>
            <w:r w:rsidR="00121846" w:rsidRPr="0076358A">
              <w:rPr>
                <w:b/>
                <w:bCs/>
                <w:lang w:val="es-ES"/>
              </w:rPr>
              <w:t>RPM-</w:t>
            </w:r>
            <w:r w:rsidR="000E2CE3" w:rsidRPr="0076358A">
              <w:rPr>
                <w:b/>
                <w:bCs/>
                <w:lang w:val="es-ES"/>
              </w:rPr>
              <w:t>AMS</w:t>
            </w:r>
            <w:r w:rsidR="00121846" w:rsidRPr="0076358A">
              <w:rPr>
                <w:b/>
                <w:bCs/>
                <w:lang w:val="es-ES"/>
              </w:rPr>
              <w:t>25</w:t>
            </w:r>
            <w:r w:rsidRPr="0076358A">
              <w:rPr>
                <w:b/>
                <w:bCs/>
                <w:lang w:val="es-ES"/>
              </w:rPr>
              <w:t>/</w:t>
            </w:r>
            <w:r w:rsidR="005E6DE9" w:rsidRPr="0076358A">
              <w:rPr>
                <w:b/>
                <w:bCs/>
                <w:lang w:val="es-ES"/>
              </w:rPr>
              <w:t>3</w:t>
            </w:r>
            <w:r w:rsidRPr="0076358A">
              <w:rPr>
                <w:b/>
                <w:bCs/>
                <w:lang w:val="es-ES"/>
              </w:rPr>
              <w:t>-</w:t>
            </w:r>
            <w:r w:rsidR="0017269C" w:rsidRPr="0076358A">
              <w:rPr>
                <w:b/>
                <w:bCs/>
                <w:lang w:val="es-ES"/>
              </w:rPr>
              <w:t>S</w:t>
            </w:r>
          </w:p>
        </w:tc>
      </w:tr>
      <w:tr w:rsidR="00706440" w:rsidRPr="0076358A" w14:paraId="24D04936" w14:textId="77777777" w:rsidTr="00D07E2B">
        <w:trPr>
          <w:cantSplit/>
        </w:trPr>
        <w:tc>
          <w:tcPr>
            <w:tcW w:w="6379" w:type="dxa"/>
            <w:gridSpan w:val="2"/>
          </w:tcPr>
          <w:p w14:paraId="12CE4DBF" w14:textId="77777777" w:rsidR="00706440" w:rsidRPr="0076358A" w:rsidRDefault="00706440" w:rsidP="00706440">
            <w:pPr>
              <w:spacing w:before="0"/>
              <w:rPr>
                <w:b/>
                <w:bCs/>
                <w:smallCaps/>
                <w:szCs w:val="24"/>
                <w:lang w:val="es-ES"/>
              </w:rPr>
            </w:pPr>
          </w:p>
        </w:tc>
        <w:tc>
          <w:tcPr>
            <w:tcW w:w="3509" w:type="dxa"/>
            <w:gridSpan w:val="2"/>
          </w:tcPr>
          <w:p w14:paraId="0F89640F" w14:textId="1C3770A4" w:rsidR="00706440" w:rsidRPr="0076358A" w:rsidRDefault="00FD0A34" w:rsidP="00706440">
            <w:pPr>
              <w:spacing w:before="0"/>
              <w:rPr>
                <w:b/>
                <w:szCs w:val="24"/>
                <w:lang w:val="es-ES"/>
              </w:rPr>
            </w:pPr>
            <w:bookmarkStart w:id="1" w:name="CreationDate"/>
            <w:bookmarkEnd w:id="1"/>
            <w:r w:rsidRPr="0076358A">
              <w:rPr>
                <w:b/>
                <w:bCs/>
                <w:szCs w:val="28"/>
                <w:lang w:val="es-ES"/>
              </w:rPr>
              <w:t>24</w:t>
            </w:r>
            <w:r w:rsidR="0017269C" w:rsidRPr="0076358A">
              <w:rPr>
                <w:b/>
                <w:bCs/>
                <w:szCs w:val="28"/>
                <w:lang w:val="es-ES"/>
              </w:rPr>
              <w:t xml:space="preserve"> de</w:t>
            </w:r>
            <w:r w:rsidR="00706440" w:rsidRPr="0076358A">
              <w:rPr>
                <w:b/>
                <w:bCs/>
                <w:szCs w:val="28"/>
                <w:lang w:val="es-ES"/>
              </w:rPr>
              <w:t xml:space="preserve"> </w:t>
            </w:r>
            <w:r w:rsidRPr="0076358A">
              <w:rPr>
                <w:b/>
                <w:bCs/>
                <w:szCs w:val="28"/>
                <w:lang w:val="es-ES"/>
              </w:rPr>
              <w:t>febrero</w:t>
            </w:r>
            <w:r w:rsidR="0017269C" w:rsidRPr="0076358A">
              <w:rPr>
                <w:b/>
                <w:bCs/>
                <w:szCs w:val="28"/>
                <w:lang w:val="es-ES"/>
              </w:rPr>
              <w:t xml:space="preserve"> de</w:t>
            </w:r>
            <w:r w:rsidR="00706440" w:rsidRPr="0076358A">
              <w:rPr>
                <w:b/>
                <w:bCs/>
                <w:szCs w:val="28"/>
                <w:lang w:val="es-ES"/>
              </w:rPr>
              <w:t xml:space="preserve"> 202</w:t>
            </w:r>
            <w:r w:rsidR="00487D77" w:rsidRPr="0076358A">
              <w:rPr>
                <w:b/>
                <w:bCs/>
                <w:szCs w:val="28"/>
                <w:lang w:val="es-ES"/>
              </w:rPr>
              <w:t>5</w:t>
            </w:r>
          </w:p>
        </w:tc>
      </w:tr>
      <w:tr w:rsidR="00706440" w:rsidRPr="0076358A" w14:paraId="7B96545F" w14:textId="77777777" w:rsidTr="00D07E2B">
        <w:trPr>
          <w:cantSplit/>
        </w:trPr>
        <w:tc>
          <w:tcPr>
            <w:tcW w:w="6379" w:type="dxa"/>
            <w:gridSpan w:val="2"/>
          </w:tcPr>
          <w:p w14:paraId="65956FD3" w14:textId="77777777" w:rsidR="00706440" w:rsidRPr="0076358A" w:rsidRDefault="00706440" w:rsidP="00706440">
            <w:pPr>
              <w:spacing w:before="0"/>
              <w:rPr>
                <w:b/>
                <w:bCs/>
                <w:smallCaps/>
                <w:szCs w:val="24"/>
                <w:lang w:val="es-ES"/>
              </w:rPr>
            </w:pPr>
          </w:p>
        </w:tc>
        <w:tc>
          <w:tcPr>
            <w:tcW w:w="3509" w:type="dxa"/>
            <w:gridSpan w:val="2"/>
          </w:tcPr>
          <w:p w14:paraId="30EFD39F" w14:textId="5EC816A7" w:rsidR="00706440" w:rsidRPr="0076358A" w:rsidRDefault="00211AA5" w:rsidP="00706440">
            <w:pPr>
              <w:spacing w:before="0"/>
              <w:rPr>
                <w:szCs w:val="24"/>
                <w:lang w:val="es-ES"/>
              </w:rPr>
            </w:pPr>
            <w:bookmarkStart w:id="2" w:name="Original"/>
            <w:bookmarkEnd w:id="2"/>
            <w:r w:rsidRPr="0076358A">
              <w:rPr>
                <w:b/>
                <w:lang w:val="es-ES"/>
              </w:rPr>
              <w:t xml:space="preserve">Original: </w:t>
            </w:r>
            <w:r w:rsidR="0017269C" w:rsidRPr="0076358A">
              <w:rPr>
                <w:b/>
                <w:lang w:val="es-ES"/>
              </w:rPr>
              <w:t>ingl</w:t>
            </w:r>
            <w:r w:rsidR="00126B03" w:rsidRPr="0076358A">
              <w:rPr>
                <w:b/>
                <w:lang w:val="es-ES"/>
              </w:rPr>
              <w:t>é</w:t>
            </w:r>
            <w:r w:rsidR="0017269C" w:rsidRPr="0076358A">
              <w:rPr>
                <w:b/>
                <w:lang w:val="es-ES"/>
              </w:rPr>
              <w:t>s</w:t>
            </w:r>
          </w:p>
        </w:tc>
      </w:tr>
      <w:tr w:rsidR="00A13162" w:rsidRPr="00AA1640" w14:paraId="31656E31" w14:textId="77777777" w:rsidTr="00107E85">
        <w:trPr>
          <w:cantSplit/>
          <w:trHeight w:val="852"/>
        </w:trPr>
        <w:tc>
          <w:tcPr>
            <w:tcW w:w="9888" w:type="dxa"/>
            <w:gridSpan w:val="4"/>
          </w:tcPr>
          <w:p w14:paraId="512FCA01" w14:textId="57A6D644" w:rsidR="00A13162" w:rsidRPr="0076358A" w:rsidRDefault="005E6DE9" w:rsidP="0030353C">
            <w:pPr>
              <w:pStyle w:val="Source"/>
              <w:rPr>
                <w:lang w:val="es-ES"/>
              </w:rPr>
            </w:pPr>
            <w:bookmarkStart w:id="3" w:name="Source"/>
            <w:bookmarkEnd w:id="3"/>
            <w:r w:rsidRPr="0076358A">
              <w:rPr>
                <w:lang w:val="es-ES"/>
              </w:rPr>
              <w:t>Director de la Oficina de Desarrollo de las Telecomunicaciones</w:t>
            </w:r>
          </w:p>
        </w:tc>
      </w:tr>
      <w:tr w:rsidR="00AC6F14" w:rsidRPr="00AA1640" w14:paraId="2CBD3A36" w14:textId="77777777" w:rsidTr="00107E85">
        <w:trPr>
          <w:cantSplit/>
        </w:trPr>
        <w:tc>
          <w:tcPr>
            <w:tcW w:w="9888" w:type="dxa"/>
            <w:gridSpan w:val="4"/>
          </w:tcPr>
          <w:p w14:paraId="1B4121DF" w14:textId="71F4467D" w:rsidR="00AC6F14" w:rsidRPr="0076358A" w:rsidRDefault="00DE452D" w:rsidP="0030353C">
            <w:pPr>
              <w:pStyle w:val="Title1"/>
              <w:rPr>
                <w:rFonts w:cs="Times New Roman"/>
                <w:bCs/>
                <w:lang w:val="es-ES"/>
              </w:rPr>
            </w:pPr>
            <w:bookmarkStart w:id="4" w:name="Title"/>
            <w:bookmarkEnd w:id="4"/>
            <w:r w:rsidRPr="0076358A">
              <w:rPr>
                <w:rFonts w:cs="Times New Roman"/>
                <w:bCs/>
                <w:lang w:val="es-ES"/>
              </w:rPr>
              <w:t xml:space="preserve">Situación del desarrollo digital y tendencias en la región de las Américas: </w:t>
            </w:r>
            <w:r w:rsidRPr="0076358A">
              <w:rPr>
                <w:rFonts w:cs="Times New Roman"/>
                <w:bCs/>
                <w:lang w:val="es-ES"/>
              </w:rPr>
              <w:br/>
              <w:t>Retos y oportunidades</w:t>
            </w:r>
          </w:p>
        </w:tc>
      </w:tr>
      <w:tr w:rsidR="00A721F4" w:rsidRPr="00AA1640" w14:paraId="23A30231" w14:textId="77777777" w:rsidTr="00A721F4">
        <w:trPr>
          <w:cantSplit/>
        </w:trPr>
        <w:tc>
          <w:tcPr>
            <w:tcW w:w="9888" w:type="dxa"/>
            <w:gridSpan w:val="4"/>
            <w:tcBorders>
              <w:bottom w:val="single" w:sz="4" w:space="0" w:color="auto"/>
            </w:tcBorders>
          </w:tcPr>
          <w:p w14:paraId="726EE70E" w14:textId="77777777" w:rsidR="00A721F4" w:rsidRPr="0076358A" w:rsidRDefault="00A721F4" w:rsidP="0030353C">
            <w:pPr>
              <w:rPr>
                <w:lang w:val="es-ES"/>
              </w:rPr>
            </w:pPr>
          </w:p>
        </w:tc>
      </w:tr>
      <w:tr w:rsidR="00A721F4" w:rsidRPr="0076358A" w14:paraId="590033C8" w14:textId="77777777" w:rsidTr="00A721F4">
        <w:trPr>
          <w:cantSplit/>
        </w:trPr>
        <w:tc>
          <w:tcPr>
            <w:tcW w:w="9888" w:type="dxa"/>
            <w:gridSpan w:val="4"/>
            <w:tcBorders>
              <w:top w:val="single" w:sz="4" w:space="0" w:color="auto"/>
              <w:left w:val="single" w:sz="4" w:space="0" w:color="auto"/>
              <w:bottom w:val="single" w:sz="4" w:space="0" w:color="auto"/>
              <w:right w:val="single" w:sz="4" w:space="0" w:color="auto"/>
            </w:tcBorders>
          </w:tcPr>
          <w:p w14:paraId="2E9C8590" w14:textId="77156BF3" w:rsidR="008D1CCB" w:rsidRPr="0076358A" w:rsidRDefault="0017269C" w:rsidP="008D1CCB">
            <w:pPr>
              <w:pStyle w:val="Title1"/>
              <w:jc w:val="left"/>
              <w:rPr>
                <w:rFonts w:cstheme="minorHAnsi"/>
                <w:b/>
                <w:bCs/>
                <w:caps/>
                <w:sz w:val="24"/>
                <w:szCs w:val="24"/>
                <w:lang w:val="es-ES"/>
              </w:rPr>
            </w:pPr>
            <w:r w:rsidRPr="0076358A">
              <w:rPr>
                <w:rFonts w:cstheme="minorHAnsi"/>
                <w:b/>
                <w:bCs/>
                <w:sz w:val="24"/>
                <w:szCs w:val="24"/>
                <w:lang w:val="es-ES"/>
              </w:rPr>
              <w:t>Punto del orden del día:</w:t>
            </w:r>
          </w:p>
          <w:p w14:paraId="45BC9F9B" w14:textId="662D6766" w:rsidR="008D1CCB" w:rsidRPr="0076358A" w:rsidRDefault="008B2B9B" w:rsidP="008D1CCB">
            <w:pPr>
              <w:pStyle w:val="Title1"/>
              <w:jc w:val="left"/>
              <w:rPr>
                <w:rFonts w:cstheme="minorHAnsi"/>
                <w:caps/>
                <w:sz w:val="24"/>
                <w:szCs w:val="24"/>
                <w:lang w:val="es-ES"/>
              </w:rPr>
            </w:pPr>
            <w:r w:rsidRPr="0076358A">
              <w:rPr>
                <w:rFonts w:cstheme="minorHAnsi"/>
                <w:sz w:val="24"/>
                <w:szCs w:val="24"/>
                <w:lang w:val="es-ES"/>
              </w:rPr>
              <w:t>5</w:t>
            </w:r>
          </w:p>
          <w:p w14:paraId="7043E349" w14:textId="3D19E819" w:rsidR="008D1CCB" w:rsidRPr="0076358A" w:rsidRDefault="0017269C" w:rsidP="008D1CCB">
            <w:pPr>
              <w:pStyle w:val="Title1"/>
              <w:jc w:val="left"/>
              <w:rPr>
                <w:rFonts w:cstheme="minorHAnsi"/>
                <w:b/>
                <w:bCs/>
                <w:caps/>
                <w:sz w:val="24"/>
                <w:szCs w:val="24"/>
                <w:lang w:val="es-ES"/>
              </w:rPr>
            </w:pPr>
            <w:r w:rsidRPr="0076358A">
              <w:rPr>
                <w:rFonts w:cstheme="minorHAnsi"/>
                <w:b/>
                <w:bCs/>
                <w:sz w:val="24"/>
                <w:szCs w:val="24"/>
                <w:lang w:val="es-ES"/>
              </w:rPr>
              <w:t>Resumen</w:t>
            </w:r>
            <w:r w:rsidR="008D1CCB" w:rsidRPr="0076358A">
              <w:rPr>
                <w:rFonts w:cstheme="minorHAnsi"/>
                <w:b/>
                <w:bCs/>
                <w:sz w:val="24"/>
                <w:szCs w:val="24"/>
                <w:lang w:val="es-ES"/>
              </w:rPr>
              <w:t>:</w:t>
            </w:r>
          </w:p>
          <w:p w14:paraId="354415B4" w14:textId="05DFFA8F" w:rsidR="006D19C9" w:rsidRPr="0076358A" w:rsidRDefault="006D19C9" w:rsidP="008D1CCB">
            <w:pPr>
              <w:pStyle w:val="Title1"/>
              <w:jc w:val="left"/>
              <w:rPr>
                <w:rFonts w:cstheme="minorHAnsi"/>
                <w:sz w:val="24"/>
                <w:szCs w:val="24"/>
                <w:lang w:val="es-ES"/>
              </w:rPr>
            </w:pPr>
            <w:r w:rsidRPr="0076358A">
              <w:rPr>
                <w:rFonts w:cstheme="minorHAnsi"/>
                <w:sz w:val="24"/>
                <w:szCs w:val="24"/>
                <w:lang w:val="es-ES"/>
              </w:rPr>
              <w:t xml:space="preserve">El presente documento, preparado para la RPM para las Américas, tiene por objeto informar a los participantes y </w:t>
            </w:r>
            <w:r w:rsidR="00E732F4" w:rsidRPr="0076358A">
              <w:rPr>
                <w:rFonts w:cstheme="minorHAnsi"/>
                <w:sz w:val="24"/>
                <w:szCs w:val="24"/>
                <w:lang w:val="es-ES"/>
              </w:rPr>
              <w:t xml:space="preserve">las </w:t>
            </w:r>
            <w:r w:rsidRPr="0076358A">
              <w:rPr>
                <w:rFonts w:cstheme="minorHAnsi"/>
                <w:sz w:val="24"/>
                <w:szCs w:val="24"/>
                <w:lang w:val="es-ES"/>
              </w:rPr>
              <w:t>partes interesadas en el establecimiento de la agenda digital de la región.</w:t>
            </w:r>
            <w:r w:rsidR="00DF1C96" w:rsidRPr="0076358A">
              <w:rPr>
                <w:rFonts w:cstheme="minorHAnsi"/>
                <w:sz w:val="24"/>
                <w:szCs w:val="24"/>
                <w:lang w:val="es-ES"/>
              </w:rPr>
              <w:t xml:space="preserve"> </w:t>
            </w:r>
            <w:r w:rsidR="00593C04" w:rsidRPr="0076358A">
              <w:rPr>
                <w:color w:val="333333"/>
                <w:sz w:val="26"/>
                <w:szCs w:val="26"/>
                <w:shd w:val="clear" w:color="auto" w:fill="FFFFFF"/>
                <w:lang w:val="es-ES"/>
              </w:rPr>
              <w:t>Consta de dos partes: en la primera, se describe la situación de la conectividad digital en las Américas partiendo de una serie de indicadores fundamentales y, en la segunda, se destacan estudios de casos regionales de gran calado</w:t>
            </w:r>
            <w:r w:rsidRPr="0076358A">
              <w:rPr>
                <w:rFonts w:cstheme="minorHAnsi"/>
                <w:sz w:val="24"/>
                <w:szCs w:val="24"/>
                <w:lang w:val="es-ES"/>
              </w:rPr>
              <w:t>.</w:t>
            </w:r>
          </w:p>
          <w:p w14:paraId="1CD88A00" w14:textId="7B959A0E" w:rsidR="008D1CCB" w:rsidRPr="0076358A" w:rsidRDefault="0017269C" w:rsidP="008D1CCB">
            <w:pPr>
              <w:pStyle w:val="Title1"/>
              <w:jc w:val="left"/>
              <w:rPr>
                <w:rFonts w:cstheme="minorHAnsi"/>
                <w:b/>
                <w:bCs/>
                <w:caps/>
                <w:sz w:val="24"/>
                <w:szCs w:val="24"/>
                <w:lang w:val="es-ES"/>
              </w:rPr>
            </w:pPr>
            <w:r w:rsidRPr="0076358A">
              <w:rPr>
                <w:rFonts w:cstheme="minorHAnsi"/>
                <w:b/>
                <w:bCs/>
                <w:sz w:val="24"/>
                <w:szCs w:val="24"/>
                <w:lang w:val="es-ES"/>
              </w:rPr>
              <w:t>Resultados previstos</w:t>
            </w:r>
            <w:r w:rsidR="008D1CCB" w:rsidRPr="0076358A">
              <w:rPr>
                <w:rFonts w:cstheme="minorHAnsi"/>
                <w:b/>
                <w:bCs/>
                <w:sz w:val="24"/>
                <w:szCs w:val="24"/>
                <w:lang w:val="es-ES"/>
              </w:rPr>
              <w:t>:</w:t>
            </w:r>
          </w:p>
          <w:p w14:paraId="3A32E044" w14:textId="44357AD0" w:rsidR="008D1CCB" w:rsidRPr="0076358A" w:rsidRDefault="00EF1151" w:rsidP="008D1CCB">
            <w:pPr>
              <w:pStyle w:val="Title1"/>
              <w:jc w:val="left"/>
              <w:rPr>
                <w:rFonts w:cstheme="minorHAnsi"/>
                <w:caps/>
                <w:sz w:val="24"/>
                <w:szCs w:val="24"/>
                <w:lang w:val="es-ES"/>
              </w:rPr>
            </w:pPr>
            <w:r w:rsidRPr="0076358A">
              <w:rPr>
                <w:rFonts w:cstheme="minorHAnsi"/>
                <w:sz w:val="24"/>
                <w:szCs w:val="24"/>
                <w:lang w:val="es-ES"/>
              </w:rPr>
              <w:t>Se invita a la RPR-AMS a tomar nota de este documento</w:t>
            </w:r>
            <w:r w:rsidR="00887F7D" w:rsidRPr="0076358A">
              <w:rPr>
                <w:rFonts w:cstheme="minorHAnsi"/>
                <w:sz w:val="24"/>
                <w:szCs w:val="24"/>
                <w:lang w:val="es-ES"/>
              </w:rPr>
              <w:t>.</w:t>
            </w:r>
          </w:p>
          <w:p w14:paraId="4CD2685E" w14:textId="21918A7F" w:rsidR="008D1CCB" w:rsidRPr="0076358A" w:rsidRDefault="008D1CCB" w:rsidP="008D1CCB">
            <w:pPr>
              <w:pStyle w:val="Title1"/>
              <w:jc w:val="left"/>
              <w:rPr>
                <w:rFonts w:cstheme="minorHAnsi"/>
                <w:b/>
                <w:bCs/>
                <w:caps/>
                <w:sz w:val="24"/>
                <w:szCs w:val="24"/>
                <w:lang w:val="es-ES"/>
              </w:rPr>
            </w:pPr>
            <w:r w:rsidRPr="0076358A">
              <w:rPr>
                <w:rFonts w:cstheme="minorHAnsi"/>
                <w:b/>
                <w:bCs/>
                <w:sz w:val="24"/>
                <w:szCs w:val="24"/>
                <w:lang w:val="es-ES"/>
              </w:rPr>
              <w:t>Referenc</w:t>
            </w:r>
            <w:r w:rsidR="0017269C" w:rsidRPr="0076358A">
              <w:rPr>
                <w:rFonts w:cstheme="minorHAnsi"/>
                <w:b/>
                <w:bCs/>
                <w:sz w:val="24"/>
                <w:szCs w:val="24"/>
                <w:lang w:val="es-ES"/>
              </w:rPr>
              <w:t>ia</w:t>
            </w:r>
            <w:r w:rsidRPr="0076358A">
              <w:rPr>
                <w:rFonts w:cstheme="minorHAnsi"/>
                <w:b/>
                <w:bCs/>
                <w:sz w:val="24"/>
                <w:szCs w:val="24"/>
                <w:lang w:val="es-ES"/>
              </w:rPr>
              <w:t>s:</w:t>
            </w:r>
          </w:p>
          <w:p w14:paraId="1ECDD20E" w14:textId="05BFE6DD" w:rsidR="00A721F4" w:rsidRPr="0076358A" w:rsidRDefault="00EF1151" w:rsidP="008D1CCB">
            <w:pPr>
              <w:spacing w:after="120"/>
              <w:rPr>
                <w:lang w:val="es-ES"/>
              </w:rPr>
            </w:pPr>
            <w:r w:rsidRPr="0076358A">
              <w:rPr>
                <w:lang w:val="es-ES"/>
              </w:rPr>
              <w:t>Ninguna</w:t>
            </w:r>
          </w:p>
        </w:tc>
      </w:tr>
    </w:tbl>
    <w:p w14:paraId="72F5CF96" w14:textId="77777777" w:rsidR="00923CF1" w:rsidRPr="0076358A" w:rsidRDefault="00923CF1" w:rsidP="00935FF0">
      <w:pPr>
        <w:rPr>
          <w:lang w:val="es-ES"/>
        </w:rPr>
      </w:pPr>
    </w:p>
    <w:p w14:paraId="5B29B2A3" w14:textId="77777777" w:rsidR="00923CF1" w:rsidRPr="0076358A" w:rsidRDefault="00923CF1">
      <w:pPr>
        <w:tabs>
          <w:tab w:val="clear" w:pos="794"/>
          <w:tab w:val="clear" w:pos="1191"/>
          <w:tab w:val="clear" w:pos="1588"/>
          <w:tab w:val="clear" w:pos="1985"/>
        </w:tabs>
        <w:overflowPunct/>
        <w:autoSpaceDE/>
        <w:autoSpaceDN/>
        <w:adjustRightInd/>
        <w:spacing w:before="0"/>
        <w:textAlignment w:val="auto"/>
        <w:rPr>
          <w:lang w:val="es-ES"/>
        </w:rPr>
      </w:pPr>
      <w:r w:rsidRPr="0076358A">
        <w:rPr>
          <w:lang w:val="es-ES"/>
        </w:rPr>
        <w:br w:type="page"/>
      </w:r>
    </w:p>
    <w:p w14:paraId="7A2ED88F" w14:textId="77777777" w:rsidR="009C03ED" w:rsidRPr="00AD06FF" w:rsidRDefault="009C03ED" w:rsidP="009C03ED">
      <w:pPr>
        <w:pStyle w:val="Title"/>
        <w:rPr>
          <w:rFonts w:asciiTheme="minorHAnsi" w:eastAsia="Yu Gothic Light" w:hAnsiTheme="minorHAnsi" w:cstheme="minorHAnsi"/>
          <w:sz w:val="48"/>
          <w:lang w:val="es-ES"/>
          <w14:ligatures w14:val="standardContextual"/>
        </w:rPr>
      </w:pPr>
      <w:r w:rsidRPr="00AD06FF">
        <w:rPr>
          <w:rFonts w:asciiTheme="minorHAnsi" w:eastAsia="Yu Gothic Light" w:hAnsiTheme="minorHAnsi" w:cstheme="minorHAnsi"/>
          <w:sz w:val="48"/>
          <w:lang w:val="es-ES"/>
          <w14:ligatures w14:val="standardContextual"/>
        </w:rPr>
        <w:lastRenderedPageBreak/>
        <w:t xml:space="preserve">Situación del desarrollo digital y tendencias </w:t>
      </w:r>
    </w:p>
    <w:p w14:paraId="5A42D51C" w14:textId="4AAD8DA0" w:rsidR="006B3273" w:rsidRPr="00AD06FF" w:rsidRDefault="009C03ED" w:rsidP="009C03ED">
      <w:pPr>
        <w:pStyle w:val="Title"/>
        <w:rPr>
          <w:rFonts w:asciiTheme="minorHAnsi" w:eastAsia="Yu Gothic Light" w:hAnsiTheme="minorHAnsi" w:cstheme="minorHAnsi"/>
          <w:sz w:val="48"/>
          <w:lang w:val="es-ES"/>
          <w14:ligatures w14:val="standardContextual"/>
        </w:rPr>
      </w:pPr>
      <w:r w:rsidRPr="00AD06FF">
        <w:rPr>
          <w:rFonts w:asciiTheme="minorHAnsi" w:eastAsia="Yu Gothic Light" w:hAnsiTheme="minorHAnsi" w:cstheme="minorHAnsi"/>
          <w:sz w:val="48"/>
          <w:lang w:val="es-ES"/>
          <w14:ligatures w14:val="standardContextual"/>
        </w:rPr>
        <w:t>en la región de las Américas: Retos y oportunidades</w:t>
      </w:r>
      <w:r w:rsidR="006B3273" w:rsidRPr="00AD06FF">
        <w:rPr>
          <w:rFonts w:asciiTheme="minorHAnsi" w:eastAsia="Yu Gothic Light" w:hAnsiTheme="minorHAnsi" w:cstheme="minorHAnsi"/>
          <w:sz w:val="48"/>
          <w:lang w:val="es-ES"/>
          <w14:ligatures w14:val="standardContextual"/>
        </w:rPr>
        <w:t xml:space="preserve"> </w:t>
      </w:r>
    </w:p>
    <w:p w14:paraId="50F66E36" w14:textId="2E4C14A6" w:rsidR="006B3273" w:rsidRPr="00AD06FF" w:rsidRDefault="001752B7" w:rsidP="00AD06FF">
      <w:pPr>
        <w:tabs>
          <w:tab w:val="clear" w:pos="794"/>
          <w:tab w:val="clear" w:pos="1191"/>
          <w:tab w:val="clear" w:pos="1588"/>
          <w:tab w:val="clear" w:pos="1985"/>
        </w:tabs>
        <w:overflowPunct/>
        <w:autoSpaceDE/>
        <w:autoSpaceDN/>
        <w:adjustRightInd/>
        <w:spacing w:before="0" w:after="360" w:line="259" w:lineRule="auto"/>
        <w:textAlignment w:val="auto"/>
        <w:rPr>
          <w:rFonts w:eastAsia="Aptos" w:cstheme="minorHAnsi"/>
          <w:kern w:val="2"/>
          <w:sz w:val="32"/>
          <w:szCs w:val="32"/>
          <w:lang w:val="es-ES"/>
          <w14:ligatures w14:val="standardContextual"/>
        </w:rPr>
      </w:pPr>
      <w:r w:rsidRPr="00AD06FF">
        <w:rPr>
          <w:rFonts w:cstheme="minorHAnsi"/>
          <w:sz w:val="28"/>
          <w:szCs w:val="21"/>
          <w:lang w:val="es-ES"/>
        </w:rPr>
        <w:t>F</w:t>
      </w:r>
      <w:r w:rsidR="006B3273" w:rsidRPr="00AD06FF">
        <w:rPr>
          <w:rFonts w:cstheme="minorHAnsi"/>
          <w:sz w:val="28"/>
          <w:szCs w:val="21"/>
          <w:lang w:val="es-ES"/>
        </w:rPr>
        <w:t>ebrero de 2025</w:t>
      </w:r>
    </w:p>
    <w:p w14:paraId="18EEDBB2" w14:textId="54D4B2F4" w:rsidR="006B3273" w:rsidRPr="00AD06FF" w:rsidRDefault="001752B7" w:rsidP="00AD06FF">
      <w:pPr>
        <w:jc w:val="center"/>
        <w:rPr>
          <w:rFonts w:eastAsia="Yu Gothic Light"/>
          <w:b/>
          <w:bCs/>
          <w:sz w:val="32"/>
          <w:szCs w:val="32"/>
          <w:lang w:val="es-ES"/>
        </w:rPr>
      </w:pPr>
      <w:r w:rsidRPr="00AD06FF">
        <w:rPr>
          <w:rFonts w:eastAsia="Yu Gothic Light"/>
          <w:b/>
          <w:bCs/>
          <w:sz w:val="32"/>
          <w:szCs w:val="32"/>
          <w:lang w:val="es-ES"/>
        </w:rPr>
        <w:t>Índice</w:t>
      </w:r>
    </w:p>
    <w:p w14:paraId="69957BEC" w14:textId="5AF61199" w:rsidR="00AD06FF" w:rsidRPr="00AD06FF" w:rsidRDefault="00AD06FF" w:rsidP="00AD06FF">
      <w:pPr>
        <w:jc w:val="right"/>
        <w:rPr>
          <w:rFonts w:eastAsia="Yu Gothic Light"/>
          <w:b/>
          <w:bCs/>
          <w:sz w:val="28"/>
          <w:szCs w:val="28"/>
          <w:lang w:val="es-ES"/>
        </w:rPr>
      </w:pPr>
      <w:r w:rsidRPr="00AD06FF">
        <w:rPr>
          <w:rFonts w:eastAsia="Yu Gothic Light"/>
          <w:b/>
          <w:bCs/>
          <w:sz w:val="28"/>
          <w:szCs w:val="28"/>
          <w:lang w:val="es-ES"/>
        </w:rPr>
        <w:t>Página</w:t>
      </w:r>
    </w:p>
    <w:p w14:paraId="355E426C" w14:textId="78889CC8" w:rsidR="009E4D82" w:rsidRPr="00AD06FF" w:rsidRDefault="006B3273" w:rsidP="00AD06FF">
      <w:pPr>
        <w:pStyle w:val="TOC1"/>
        <w:spacing w:before="60" w:after="60"/>
        <w:rPr>
          <w:rFonts w:eastAsiaTheme="minorEastAsia" w:cstheme="minorBidi"/>
          <w:b/>
          <w:bCs/>
          <w:noProof/>
          <w:kern w:val="2"/>
          <w:szCs w:val="24"/>
          <w:lang w:val="es-ES" w:eastAsia="zh-CN"/>
          <w14:ligatures w14:val="standardContextual"/>
        </w:rPr>
      </w:pPr>
      <w:r w:rsidRPr="00AD06FF">
        <w:rPr>
          <w:rFonts w:ascii="Aptos" w:eastAsia="Aptos" w:hAnsi="Aptos" w:cs="Arial"/>
          <w:b/>
          <w:bCs/>
          <w:kern w:val="2"/>
          <w:sz w:val="22"/>
          <w:szCs w:val="22"/>
          <w:lang w:val="es-ES"/>
          <w14:ligatures w14:val="standardContextual"/>
        </w:rPr>
        <w:fldChar w:fldCharType="begin"/>
      </w:r>
      <w:r w:rsidRPr="00AD06FF">
        <w:rPr>
          <w:rFonts w:ascii="Aptos" w:eastAsia="Aptos" w:hAnsi="Aptos" w:cs="Arial"/>
          <w:b/>
          <w:bCs/>
          <w:kern w:val="2"/>
          <w:sz w:val="22"/>
          <w:szCs w:val="22"/>
          <w:lang w:val="es-ES"/>
          <w14:ligatures w14:val="standardContextual"/>
        </w:rPr>
        <w:instrText xml:space="preserve"> TOC \t "Part title,1,Section,2" </w:instrText>
      </w:r>
      <w:r w:rsidRPr="00AD06FF">
        <w:rPr>
          <w:rFonts w:ascii="Aptos" w:eastAsia="Aptos" w:hAnsi="Aptos" w:cs="Arial"/>
          <w:b/>
          <w:bCs/>
          <w:kern w:val="2"/>
          <w:sz w:val="22"/>
          <w:szCs w:val="22"/>
          <w:lang w:val="es-ES"/>
          <w14:ligatures w14:val="standardContextual"/>
        </w:rPr>
        <w:fldChar w:fldCharType="separate"/>
      </w:r>
      <w:r w:rsidR="009E4D82" w:rsidRPr="00AD06FF">
        <w:rPr>
          <w:b/>
          <w:bCs/>
          <w:noProof/>
          <w:lang w:val="es-ES"/>
        </w:rPr>
        <w:t>Introducción</w:t>
      </w:r>
      <w:r w:rsidR="009E4D82" w:rsidRPr="00AD06FF">
        <w:rPr>
          <w:b/>
          <w:bCs/>
          <w:noProof/>
          <w:lang w:val="es-ES"/>
        </w:rPr>
        <w:tab/>
      </w:r>
      <w:r w:rsidR="00AD06FF" w:rsidRPr="00AD06FF">
        <w:rPr>
          <w:b/>
          <w:bCs/>
          <w:noProof/>
          <w:lang w:val="es-ES"/>
        </w:rPr>
        <w:tab/>
      </w:r>
      <w:r w:rsidR="009E4D82" w:rsidRPr="00AD06FF">
        <w:rPr>
          <w:b/>
          <w:bCs/>
          <w:noProof/>
        </w:rPr>
        <w:fldChar w:fldCharType="begin"/>
      </w:r>
      <w:r w:rsidR="009E4D82" w:rsidRPr="00AD06FF">
        <w:rPr>
          <w:b/>
          <w:bCs/>
          <w:noProof/>
          <w:lang w:val="es-ES"/>
        </w:rPr>
        <w:instrText xml:space="preserve"> PAGEREF _Toc193034311 \h </w:instrText>
      </w:r>
      <w:r w:rsidR="009E4D82" w:rsidRPr="00AD06FF">
        <w:rPr>
          <w:b/>
          <w:bCs/>
          <w:noProof/>
        </w:rPr>
      </w:r>
      <w:r w:rsidR="009E4D82" w:rsidRPr="00AD06FF">
        <w:rPr>
          <w:b/>
          <w:bCs/>
          <w:noProof/>
        </w:rPr>
        <w:fldChar w:fldCharType="separate"/>
      </w:r>
      <w:r w:rsidR="009E4D82" w:rsidRPr="00AD06FF">
        <w:rPr>
          <w:b/>
          <w:bCs/>
          <w:noProof/>
          <w:lang w:val="es-ES"/>
        </w:rPr>
        <w:t>4</w:t>
      </w:r>
      <w:r w:rsidR="009E4D82" w:rsidRPr="00AD06FF">
        <w:rPr>
          <w:b/>
          <w:bCs/>
          <w:noProof/>
        </w:rPr>
        <w:fldChar w:fldCharType="end"/>
      </w:r>
    </w:p>
    <w:p w14:paraId="7C26F821" w14:textId="4457D6E5" w:rsidR="009E4D82" w:rsidRPr="00AD06FF" w:rsidRDefault="009E4D82" w:rsidP="00AD06FF">
      <w:pPr>
        <w:pStyle w:val="TOC1"/>
        <w:spacing w:before="60" w:after="60"/>
        <w:rPr>
          <w:rFonts w:eastAsiaTheme="minorEastAsia" w:cstheme="minorBidi"/>
          <w:b/>
          <w:bCs/>
          <w:noProof/>
          <w:kern w:val="2"/>
          <w:szCs w:val="24"/>
          <w:lang w:val="es-ES" w:eastAsia="zh-CN"/>
          <w14:ligatures w14:val="standardContextual"/>
        </w:rPr>
      </w:pPr>
      <w:r w:rsidRPr="00AD06FF">
        <w:rPr>
          <w:b/>
          <w:bCs/>
          <w:noProof/>
          <w:lang w:val="es-ES"/>
        </w:rPr>
        <w:t>Parte 1</w:t>
      </w:r>
      <w:r w:rsidR="00AD06FF" w:rsidRPr="00AD06FF">
        <w:rPr>
          <w:b/>
          <w:bCs/>
          <w:noProof/>
          <w:lang w:val="es-ES"/>
        </w:rPr>
        <w:t xml:space="preserve"> – </w:t>
      </w:r>
      <w:r w:rsidRPr="00AD06FF">
        <w:rPr>
          <w:b/>
          <w:bCs/>
          <w:noProof/>
          <w:lang w:val="es-ES"/>
        </w:rPr>
        <w:t>Situación de la conectividad digital en la región de las Américas y tendencias recientes</w:t>
      </w:r>
      <w:r w:rsidRPr="00AD06FF">
        <w:rPr>
          <w:b/>
          <w:bCs/>
          <w:noProof/>
          <w:lang w:val="es-ES"/>
        </w:rPr>
        <w:tab/>
      </w:r>
      <w:r w:rsidRPr="00AD06FF">
        <w:rPr>
          <w:b/>
          <w:bCs/>
          <w:noProof/>
        </w:rPr>
        <w:fldChar w:fldCharType="begin"/>
      </w:r>
      <w:r w:rsidRPr="00AD06FF">
        <w:rPr>
          <w:b/>
          <w:bCs/>
          <w:noProof/>
          <w:lang w:val="es-ES"/>
        </w:rPr>
        <w:instrText xml:space="preserve"> PAGEREF _Toc193034312 \h </w:instrText>
      </w:r>
      <w:r w:rsidRPr="00AD06FF">
        <w:rPr>
          <w:b/>
          <w:bCs/>
          <w:noProof/>
        </w:rPr>
      </w:r>
      <w:r w:rsidRPr="00AD06FF">
        <w:rPr>
          <w:b/>
          <w:bCs/>
          <w:noProof/>
        </w:rPr>
        <w:fldChar w:fldCharType="separate"/>
      </w:r>
      <w:r w:rsidRPr="00AD06FF">
        <w:rPr>
          <w:b/>
          <w:bCs/>
          <w:noProof/>
          <w:lang w:val="es-ES"/>
        </w:rPr>
        <w:t>7</w:t>
      </w:r>
      <w:r w:rsidRPr="00AD06FF">
        <w:rPr>
          <w:b/>
          <w:bCs/>
          <w:noProof/>
        </w:rPr>
        <w:fldChar w:fldCharType="end"/>
      </w:r>
    </w:p>
    <w:p w14:paraId="7E0A1474" w14:textId="2BF3A84F" w:rsidR="009E4D82" w:rsidRPr="00AD06FF" w:rsidRDefault="009E4D82" w:rsidP="001B6798">
      <w:pPr>
        <w:pStyle w:val="TOC2"/>
        <w:spacing w:before="60" w:after="60"/>
        <w:ind w:left="1684" w:hanging="1258"/>
        <w:rPr>
          <w:rFonts w:eastAsiaTheme="minorEastAsia" w:cstheme="minorBidi"/>
          <w:noProof/>
          <w:kern w:val="2"/>
          <w:szCs w:val="24"/>
          <w:lang w:val="es-ES" w:eastAsia="zh-CN"/>
          <w14:ligatures w14:val="standardContextual"/>
        </w:rPr>
      </w:pPr>
      <w:r w:rsidRPr="00AD06FF">
        <w:rPr>
          <w:noProof/>
          <w:lang w:val="es-ES"/>
        </w:rPr>
        <w:t>Reglamentación de las TIC y marcos de política digital</w:t>
      </w:r>
      <w:r w:rsidRPr="00AD06FF">
        <w:rPr>
          <w:noProof/>
          <w:lang w:val="es-ES"/>
        </w:rPr>
        <w:tab/>
      </w:r>
      <w:r w:rsidR="00AD06FF" w:rsidRPr="00AD06FF">
        <w:rPr>
          <w:noProof/>
          <w:lang w:val="es-ES"/>
        </w:rPr>
        <w:tab/>
      </w:r>
      <w:r w:rsidRPr="00AD06FF">
        <w:rPr>
          <w:noProof/>
        </w:rPr>
        <w:fldChar w:fldCharType="begin"/>
      </w:r>
      <w:r w:rsidRPr="00AD06FF">
        <w:rPr>
          <w:noProof/>
          <w:lang w:val="es-ES"/>
        </w:rPr>
        <w:instrText xml:space="preserve"> PAGEREF _Toc193034313 \h </w:instrText>
      </w:r>
      <w:r w:rsidRPr="00AD06FF">
        <w:rPr>
          <w:noProof/>
        </w:rPr>
      </w:r>
      <w:r w:rsidRPr="00AD06FF">
        <w:rPr>
          <w:noProof/>
        </w:rPr>
        <w:fldChar w:fldCharType="separate"/>
      </w:r>
      <w:r w:rsidRPr="00AD06FF">
        <w:rPr>
          <w:noProof/>
          <w:lang w:val="es-ES"/>
        </w:rPr>
        <w:t>7</w:t>
      </w:r>
      <w:r w:rsidRPr="00AD06FF">
        <w:rPr>
          <w:noProof/>
        </w:rPr>
        <w:fldChar w:fldCharType="end"/>
      </w:r>
    </w:p>
    <w:p w14:paraId="63BF99C1" w14:textId="3D8C97B8" w:rsidR="009E4D82" w:rsidRPr="00AD06FF" w:rsidRDefault="009E4D82" w:rsidP="001B6798">
      <w:pPr>
        <w:pStyle w:val="TOC2"/>
        <w:spacing w:before="60" w:after="60"/>
        <w:ind w:left="1684" w:hanging="1258"/>
        <w:rPr>
          <w:rFonts w:eastAsiaTheme="minorEastAsia" w:cstheme="minorBidi"/>
          <w:noProof/>
          <w:kern w:val="2"/>
          <w:szCs w:val="24"/>
          <w:lang w:val="es-ES" w:eastAsia="zh-CN"/>
          <w14:ligatures w14:val="standardContextual"/>
        </w:rPr>
      </w:pPr>
      <w:r w:rsidRPr="00AD06FF">
        <w:rPr>
          <w:noProof/>
          <w:lang w:val="es-ES"/>
        </w:rPr>
        <w:t>Utilización de Internet</w:t>
      </w:r>
      <w:r w:rsidRPr="00AD06FF">
        <w:rPr>
          <w:noProof/>
          <w:lang w:val="es-ES"/>
        </w:rPr>
        <w:tab/>
      </w:r>
      <w:r w:rsidR="00AD06FF" w:rsidRPr="00AD06FF">
        <w:rPr>
          <w:noProof/>
          <w:lang w:val="es-ES"/>
        </w:rPr>
        <w:tab/>
      </w:r>
      <w:r w:rsidRPr="00AD06FF">
        <w:rPr>
          <w:noProof/>
        </w:rPr>
        <w:fldChar w:fldCharType="begin"/>
      </w:r>
      <w:r w:rsidRPr="00AD06FF">
        <w:rPr>
          <w:noProof/>
          <w:lang w:val="es-ES"/>
        </w:rPr>
        <w:instrText xml:space="preserve"> PAGEREF _Toc193034314 \h </w:instrText>
      </w:r>
      <w:r w:rsidRPr="00AD06FF">
        <w:rPr>
          <w:noProof/>
        </w:rPr>
      </w:r>
      <w:r w:rsidRPr="00AD06FF">
        <w:rPr>
          <w:noProof/>
        </w:rPr>
        <w:fldChar w:fldCharType="separate"/>
      </w:r>
      <w:r w:rsidRPr="00AD06FF">
        <w:rPr>
          <w:noProof/>
          <w:lang w:val="es-ES"/>
        </w:rPr>
        <w:t>13</w:t>
      </w:r>
      <w:r w:rsidRPr="00AD06FF">
        <w:rPr>
          <w:noProof/>
        </w:rPr>
        <w:fldChar w:fldCharType="end"/>
      </w:r>
    </w:p>
    <w:p w14:paraId="487A6571" w14:textId="459C0A68" w:rsidR="009E4D82" w:rsidRPr="00AD06FF" w:rsidRDefault="009E4D82" w:rsidP="001B6798">
      <w:pPr>
        <w:pStyle w:val="TOC2"/>
        <w:spacing w:before="60" w:after="60"/>
        <w:ind w:left="1684" w:hanging="1258"/>
        <w:rPr>
          <w:rFonts w:eastAsiaTheme="minorEastAsia" w:cstheme="minorBidi"/>
          <w:noProof/>
          <w:kern w:val="2"/>
          <w:szCs w:val="24"/>
          <w:lang w:val="es-ES" w:eastAsia="zh-CN"/>
          <w14:ligatures w14:val="standardContextual"/>
        </w:rPr>
      </w:pPr>
      <w:r w:rsidRPr="00AD06FF">
        <w:rPr>
          <w:noProof/>
          <w:lang w:val="es-ES"/>
        </w:rPr>
        <w:t>Abonos a la banda ancha</w:t>
      </w:r>
      <w:r w:rsidRPr="00AD06FF">
        <w:rPr>
          <w:noProof/>
          <w:lang w:val="es-ES"/>
        </w:rPr>
        <w:tab/>
      </w:r>
      <w:r w:rsidR="00AD06FF" w:rsidRPr="00AD06FF">
        <w:rPr>
          <w:noProof/>
          <w:lang w:val="es-ES"/>
        </w:rPr>
        <w:tab/>
      </w:r>
      <w:r w:rsidRPr="00AD06FF">
        <w:rPr>
          <w:noProof/>
        </w:rPr>
        <w:fldChar w:fldCharType="begin"/>
      </w:r>
      <w:r w:rsidRPr="00AD06FF">
        <w:rPr>
          <w:noProof/>
          <w:lang w:val="es-ES"/>
        </w:rPr>
        <w:instrText xml:space="preserve"> PAGEREF _Toc193034315 \h </w:instrText>
      </w:r>
      <w:r w:rsidRPr="00AD06FF">
        <w:rPr>
          <w:noProof/>
        </w:rPr>
      </w:r>
      <w:r w:rsidRPr="00AD06FF">
        <w:rPr>
          <w:noProof/>
        </w:rPr>
        <w:fldChar w:fldCharType="separate"/>
      </w:r>
      <w:r w:rsidRPr="00AD06FF">
        <w:rPr>
          <w:noProof/>
          <w:lang w:val="es-ES"/>
        </w:rPr>
        <w:t>16</w:t>
      </w:r>
      <w:r w:rsidRPr="00AD06FF">
        <w:rPr>
          <w:noProof/>
        </w:rPr>
        <w:fldChar w:fldCharType="end"/>
      </w:r>
    </w:p>
    <w:p w14:paraId="1A928236" w14:textId="0E4817C5" w:rsidR="009E4D82" w:rsidRPr="00AD06FF" w:rsidRDefault="009E4D82" w:rsidP="001B6798">
      <w:pPr>
        <w:pStyle w:val="TOC2"/>
        <w:spacing w:before="60" w:after="60"/>
        <w:ind w:left="1684" w:hanging="1258"/>
        <w:rPr>
          <w:rFonts w:eastAsiaTheme="minorEastAsia" w:cstheme="minorBidi"/>
          <w:noProof/>
          <w:kern w:val="2"/>
          <w:szCs w:val="24"/>
          <w:lang w:val="es-ES" w:eastAsia="zh-CN"/>
          <w14:ligatures w14:val="standardContextual"/>
        </w:rPr>
      </w:pPr>
      <w:r w:rsidRPr="00AD06FF">
        <w:rPr>
          <w:noProof/>
          <w:lang w:val="es-ES"/>
        </w:rPr>
        <w:t>Cobertura de red móvil</w:t>
      </w:r>
      <w:r w:rsidRPr="00AD06FF">
        <w:rPr>
          <w:noProof/>
          <w:lang w:val="es-ES"/>
        </w:rPr>
        <w:tab/>
      </w:r>
      <w:r w:rsidR="00AD06FF" w:rsidRPr="00AD06FF">
        <w:rPr>
          <w:noProof/>
          <w:lang w:val="es-ES"/>
        </w:rPr>
        <w:tab/>
      </w:r>
      <w:r w:rsidRPr="00AD06FF">
        <w:rPr>
          <w:noProof/>
        </w:rPr>
        <w:fldChar w:fldCharType="begin"/>
      </w:r>
      <w:r w:rsidRPr="00AD06FF">
        <w:rPr>
          <w:noProof/>
          <w:lang w:val="es-ES"/>
        </w:rPr>
        <w:instrText xml:space="preserve"> PAGEREF _Toc193034316 \h </w:instrText>
      </w:r>
      <w:r w:rsidRPr="00AD06FF">
        <w:rPr>
          <w:noProof/>
        </w:rPr>
      </w:r>
      <w:r w:rsidRPr="00AD06FF">
        <w:rPr>
          <w:noProof/>
        </w:rPr>
        <w:fldChar w:fldCharType="separate"/>
      </w:r>
      <w:r w:rsidRPr="00AD06FF">
        <w:rPr>
          <w:noProof/>
          <w:lang w:val="es-ES"/>
        </w:rPr>
        <w:t>17</w:t>
      </w:r>
      <w:r w:rsidRPr="00AD06FF">
        <w:rPr>
          <w:noProof/>
        </w:rPr>
        <w:fldChar w:fldCharType="end"/>
      </w:r>
    </w:p>
    <w:p w14:paraId="019A0326" w14:textId="7EC487D3" w:rsidR="009E4D82" w:rsidRPr="00AD06FF" w:rsidRDefault="009E4D82" w:rsidP="001B6798">
      <w:pPr>
        <w:pStyle w:val="TOC2"/>
        <w:spacing w:before="60" w:after="60"/>
        <w:ind w:left="1684" w:hanging="1258"/>
        <w:rPr>
          <w:rFonts w:eastAsiaTheme="minorEastAsia" w:cstheme="minorBidi"/>
          <w:noProof/>
          <w:kern w:val="2"/>
          <w:szCs w:val="24"/>
          <w:lang w:val="es-ES" w:eastAsia="zh-CN"/>
          <w14:ligatures w14:val="standardContextual"/>
        </w:rPr>
      </w:pPr>
      <w:r w:rsidRPr="00AD06FF">
        <w:rPr>
          <w:noProof/>
          <w:lang w:val="es-ES"/>
        </w:rPr>
        <w:t>Disponibilidad de infraestructura de banda ancha fija</w:t>
      </w:r>
      <w:r w:rsidRPr="00AD06FF">
        <w:rPr>
          <w:noProof/>
          <w:lang w:val="es-ES"/>
        </w:rPr>
        <w:tab/>
      </w:r>
      <w:r w:rsidR="00AD06FF" w:rsidRPr="00AD06FF">
        <w:rPr>
          <w:noProof/>
          <w:lang w:val="es-ES"/>
        </w:rPr>
        <w:tab/>
      </w:r>
      <w:r w:rsidRPr="00AD06FF">
        <w:rPr>
          <w:noProof/>
        </w:rPr>
        <w:fldChar w:fldCharType="begin"/>
      </w:r>
      <w:r w:rsidRPr="00AD06FF">
        <w:rPr>
          <w:noProof/>
          <w:lang w:val="es-ES"/>
        </w:rPr>
        <w:instrText xml:space="preserve"> PAGEREF _Toc193034317 \h </w:instrText>
      </w:r>
      <w:r w:rsidRPr="00AD06FF">
        <w:rPr>
          <w:noProof/>
        </w:rPr>
      </w:r>
      <w:r w:rsidRPr="00AD06FF">
        <w:rPr>
          <w:noProof/>
        </w:rPr>
        <w:fldChar w:fldCharType="separate"/>
      </w:r>
      <w:r w:rsidRPr="00AD06FF">
        <w:rPr>
          <w:noProof/>
          <w:lang w:val="es-ES"/>
        </w:rPr>
        <w:t>19</w:t>
      </w:r>
      <w:r w:rsidRPr="00AD06FF">
        <w:rPr>
          <w:noProof/>
        </w:rPr>
        <w:fldChar w:fldCharType="end"/>
      </w:r>
    </w:p>
    <w:p w14:paraId="0C777EC2" w14:textId="36493FE6" w:rsidR="009E4D82" w:rsidRPr="00AD06FF" w:rsidRDefault="009E4D82" w:rsidP="001B6798">
      <w:pPr>
        <w:pStyle w:val="TOC2"/>
        <w:spacing w:before="60" w:after="60"/>
        <w:ind w:left="1684" w:hanging="1258"/>
        <w:rPr>
          <w:rFonts w:eastAsiaTheme="minorEastAsia" w:cstheme="minorBidi"/>
          <w:noProof/>
          <w:kern w:val="2"/>
          <w:szCs w:val="24"/>
          <w:lang w:val="es-ES" w:eastAsia="zh-CN"/>
          <w14:ligatures w14:val="standardContextual"/>
        </w:rPr>
      </w:pPr>
      <w:r w:rsidRPr="00AD06FF">
        <w:rPr>
          <w:noProof/>
          <w:lang w:val="es-ES"/>
        </w:rPr>
        <w:t>Tráfico de Internet y ancho de banda internacional</w:t>
      </w:r>
      <w:r w:rsidRPr="00AD06FF">
        <w:rPr>
          <w:noProof/>
          <w:lang w:val="es-ES"/>
        </w:rPr>
        <w:tab/>
      </w:r>
      <w:r w:rsidR="00AD06FF" w:rsidRPr="00AD06FF">
        <w:rPr>
          <w:noProof/>
          <w:lang w:val="es-ES"/>
        </w:rPr>
        <w:tab/>
      </w:r>
      <w:r w:rsidRPr="00AD06FF">
        <w:rPr>
          <w:noProof/>
        </w:rPr>
        <w:fldChar w:fldCharType="begin"/>
      </w:r>
      <w:r w:rsidRPr="00AD06FF">
        <w:rPr>
          <w:noProof/>
          <w:lang w:val="es-ES"/>
        </w:rPr>
        <w:instrText xml:space="preserve"> PAGEREF _Toc193034318 \h </w:instrText>
      </w:r>
      <w:r w:rsidRPr="00AD06FF">
        <w:rPr>
          <w:noProof/>
        </w:rPr>
      </w:r>
      <w:r w:rsidRPr="00AD06FF">
        <w:rPr>
          <w:noProof/>
        </w:rPr>
        <w:fldChar w:fldCharType="separate"/>
      </w:r>
      <w:r w:rsidRPr="00AD06FF">
        <w:rPr>
          <w:noProof/>
          <w:lang w:val="es-ES"/>
        </w:rPr>
        <w:t>20</w:t>
      </w:r>
      <w:r w:rsidRPr="00AD06FF">
        <w:rPr>
          <w:noProof/>
        </w:rPr>
        <w:fldChar w:fldCharType="end"/>
      </w:r>
    </w:p>
    <w:p w14:paraId="5F46838F" w14:textId="3325191F" w:rsidR="009E4D82" w:rsidRPr="00AD06FF" w:rsidRDefault="009E4D82" w:rsidP="001B6798">
      <w:pPr>
        <w:pStyle w:val="TOC2"/>
        <w:spacing w:before="60" w:after="60"/>
        <w:ind w:left="1684" w:hanging="1258"/>
        <w:rPr>
          <w:rFonts w:eastAsiaTheme="minorEastAsia" w:cstheme="minorBidi"/>
          <w:noProof/>
          <w:kern w:val="2"/>
          <w:szCs w:val="24"/>
          <w:lang w:val="es-ES" w:eastAsia="zh-CN"/>
          <w14:ligatures w14:val="standardContextual"/>
        </w:rPr>
      </w:pPr>
      <w:r w:rsidRPr="00AD06FF">
        <w:rPr>
          <w:noProof/>
          <w:lang w:val="es-ES"/>
        </w:rPr>
        <w:t>Asequibilidad de los servicios de TIC</w:t>
      </w:r>
      <w:r w:rsidRPr="00AD06FF">
        <w:rPr>
          <w:noProof/>
          <w:lang w:val="es-ES"/>
        </w:rPr>
        <w:tab/>
      </w:r>
      <w:r w:rsidR="00AD06FF" w:rsidRPr="00AD06FF">
        <w:rPr>
          <w:noProof/>
          <w:lang w:val="es-ES"/>
        </w:rPr>
        <w:tab/>
      </w:r>
      <w:r w:rsidRPr="00AD06FF">
        <w:rPr>
          <w:noProof/>
        </w:rPr>
        <w:fldChar w:fldCharType="begin"/>
      </w:r>
      <w:r w:rsidRPr="00AD06FF">
        <w:rPr>
          <w:noProof/>
          <w:lang w:val="es-ES"/>
        </w:rPr>
        <w:instrText xml:space="preserve"> PAGEREF _Toc193034319 \h </w:instrText>
      </w:r>
      <w:r w:rsidRPr="00AD06FF">
        <w:rPr>
          <w:noProof/>
        </w:rPr>
      </w:r>
      <w:r w:rsidRPr="00AD06FF">
        <w:rPr>
          <w:noProof/>
        </w:rPr>
        <w:fldChar w:fldCharType="separate"/>
      </w:r>
      <w:r w:rsidRPr="00AD06FF">
        <w:rPr>
          <w:noProof/>
          <w:lang w:val="es-ES"/>
        </w:rPr>
        <w:t>23</w:t>
      </w:r>
      <w:r w:rsidRPr="00AD06FF">
        <w:rPr>
          <w:noProof/>
        </w:rPr>
        <w:fldChar w:fldCharType="end"/>
      </w:r>
    </w:p>
    <w:p w14:paraId="2F31FB4D" w14:textId="31418770" w:rsidR="009E4D82" w:rsidRPr="00AD06FF" w:rsidRDefault="009E4D82" w:rsidP="001B6798">
      <w:pPr>
        <w:pStyle w:val="TOC2"/>
        <w:spacing w:before="60" w:after="60"/>
        <w:ind w:left="1684" w:hanging="1258"/>
        <w:rPr>
          <w:rFonts w:eastAsiaTheme="minorEastAsia" w:cstheme="minorBidi"/>
          <w:noProof/>
          <w:kern w:val="2"/>
          <w:szCs w:val="24"/>
          <w:lang w:val="es-ES" w:eastAsia="zh-CN"/>
          <w14:ligatures w14:val="standardContextual"/>
        </w:rPr>
      </w:pPr>
      <w:r w:rsidRPr="00AD06FF">
        <w:rPr>
          <w:noProof/>
          <w:lang w:val="es-ES"/>
        </w:rPr>
        <w:t>Abonos y posesión de teléfonos móviles</w:t>
      </w:r>
      <w:r w:rsidRPr="00AD06FF">
        <w:rPr>
          <w:noProof/>
          <w:lang w:val="es-ES"/>
        </w:rPr>
        <w:tab/>
      </w:r>
      <w:r w:rsidR="00AD06FF" w:rsidRPr="00AD06FF">
        <w:rPr>
          <w:noProof/>
          <w:lang w:val="es-ES"/>
        </w:rPr>
        <w:tab/>
      </w:r>
      <w:r w:rsidRPr="00AD06FF">
        <w:rPr>
          <w:noProof/>
        </w:rPr>
        <w:fldChar w:fldCharType="begin"/>
      </w:r>
      <w:r w:rsidRPr="00AD06FF">
        <w:rPr>
          <w:noProof/>
          <w:lang w:val="es-ES"/>
        </w:rPr>
        <w:instrText xml:space="preserve"> PAGEREF _Toc193034320 \h </w:instrText>
      </w:r>
      <w:r w:rsidRPr="00AD06FF">
        <w:rPr>
          <w:noProof/>
        </w:rPr>
      </w:r>
      <w:r w:rsidRPr="00AD06FF">
        <w:rPr>
          <w:noProof/>
        </w:rPr>
        <w:fldChar w:fldCharType="separate"/>
      </w:r>
      <w:r w:rsidRPr="00AD06FF">
        <w:rPr>
          <w:noProof/>
          <w:lang w:val="es-ES"/>
        </w:rPr>
        <w:t>24</w:t>
      </w:r>
      <w:r w:rsidRPr="00AD06FF">
        <w:rPr>
          <w:noProof/>
        </w:rPr>
        <w:fldChar w:fldCharType="end"/>
      </w:r>
    </w:p>
    <w:p w14:paraId="2B827BCF" w14:textId="39F5B0F9" w:rsidR="009E4D82" w:rsidRPr="00AD06FF" w:rsidRDefault="009E4D82" w:rsidP="001B6798">
      <w:pPr>
        <w:pStyle w:val="TOC2"/>
        <w:spacing w:before="60" w:after="60"/>
        <w:ind w:left="1684" w:hanging="1258"/>
        <w:rPr>
          <w:rFonts w:eastAsiaTheme="minorEastAsia" w:cstheme="minorBidi"/>
          <w:noProof/>
          <w:kern w:val="2"/>
          <w:szCs w:val="24"/>
          <w:lang w:val="es-ES" w:eastAsia="zh-CN"/>
          <w14:ligatures w14:val="standardContextual"/>
        </w:rPr>
      </w:pPr>
      <w:r w:rsidRPr="00AD06FF">
        <w:rPr>
          <w:noProof/>
          <w:lang w:val="es-ES"/>
        </w:rPr>
        <w:t>Competencias en TIC</w:t>
      </w:r>
      <w:r w:rsidRPr="00AD06FF">
        <w:rPr>
          <w:noProof/>
          <w:lang w:val="es-ES"/>
        </w:rPr>
        <w:tab/>
      </w:r>
      <w:r w:rsidR="00AD06FF" w:rsidRPr="00AD06FF">
        <w:rPr>
          <w:noProof/>
          <w:lang w:val="es-ES"/>
        </w:rPr>
        <w:tab/>
      </w:r>
      <w:r w:rsidRPr="00AD06FF">
        <w:rPr>
          <w:noProof/>
        </w:rPr>
        <w:fldChar w:fldCharType="begin"/>
      </w:r>
      <w:r w:rsidRPr="00AD06FF">
        <w:rPr>
          <w:noProof/>
          <w:lang w:val="es-ES"/>
        </w:rPr>
        <w:instrText xml:space="preserve"> PAGEREF _Toc193034321 \h </w:instrText>
      </w:r>
      <w:r w:rsidRPr="00AD06FF">
        <w:rPr>
          <w:noProof/>
        </w:rPr>
      </w:r>
      <w:r w:rsidRPr="00AD06FF">
        <w:rPr>
          <w:noProof/>
        </w:rPr>
        <w:fldChar w:fldCharType="separate"/>
      </w:r>
      <w:r w:rsidRPr="00AD06FF">
        <w:rPr>
          <w:noProof/>
          <w:lang w:val="es-ES"/>
        </w:rPr>
        <w:t>26</w:t>
      </w:r>
      <w:r w:rsidRPr="00AD06FF">
        <w:rPr>
          <w:noProof/>
        </w:rPr>
        <w:fldChar w:fldCharType="end"/>
      </w:r>
    </w:p>
    <w:p w14:paraId="47D48EF0" w14:textId="21931FC5" w:rsidR="009E4D82" w:rsidRPr="00AD06FF" w:rsidRDefault="009E4D82" w:rsidP="001B6798">
      <w:pPr>
        <w:pStyle w:val="TOC2"/>
        <w:spacing w:before="60" w:after="60"/>
        <w:ind w:left="1684" w:hanging="1258"/>
        <w:rPr>
          <w:rFonts w:eastAsiaTheme="minorEastAsia" w:cstheme="minorBidi"/>
          <w:noProof/>
          <w:kern w:val="2"/>
          <w:szCs w:val="24"/>
          <w:lang w:val="es-ES" w:eastAsia="zh-CN"/>
          <w14:ligatures w14:val="standardContextual"/>
        </w:rPr>
      </w:pPr>
      <w:r w:rsidRPr="00AD06FF">
        <w:rPr>
          <w:noProof/>
          <w:lang w:val="es-ES"/>
        </w:rPr>
        <w:t>Ingresos e inversiones</w:t>
      </w:r>
      <w:r w:rsidRPr="00AD06FF">
        <w:rPr>
          <w:noProof/>
          <w:lang w:val="es-ES"/>
        </w:rPr>
        <w:tab/>
      </w:r>
      <w:r w:rsidR="00AD06FF" w:rsidRPr="00AD06FF">
        <w:rPr>
          <w:noProof/>
          <w:lang w:val="es-ES"/>
        </w:rPr>
        <w:tab/>
      </w:r>
      <w:r w:rsidRPr="00AD06FF">
        <w:rPr>
          <w:noProof/>
        </w:rPr>
        <w:fldChar w:fldCharType="begin"/>
      </w:r>
      <w:r w:rsidRPr="00AD06FF">
        <w:rPr>
          <w:noProof/>
          <w:lang w:val="es-ES"/>
        </w:rPr>
        <w:instrText xml:space="preserve"> PAGEREF _Toc193034322 \h </w:instrText>
      </w:r>
      <w:r w:rsidRPr="00AD06FF">
        <w:rPr>
          <w:noProof/>
        </w:rPr>
      </w:r>
      <w:r w:rsidRPr="00AD06FF">
        <w:rPr>
          <w:noProof/>
        </w:rPr>
        <w:fldChar w:fldCharType="separate"/>
      </w:r>
      <w:r w:rsidRPr="00AD06FF">
        <w:rPr>
          <w:noProof/>
          <w:lang w:val="es-ES"/>
        </w:rPr>
        <w:t>30</w:t>
      </w:r>
      <w:r w:rsidRPr="00AD06FF">
        <w:rPr>
          <w:noProof/>
        </w:rPr>
        <w:fldChar w:fldCharType="end"/>
      </w:r>
    </w:p>
    <w:p w14:paraId="407C65C1" w14:textId="24367DD8" w:rsidR="009E4D82" w:rsidRPr="00AD06FF" w:rsidRDefault="009E4D82" w:rsidP="001B6798">
      <w:pPr>
        <w:pStyle w:val="TOC2"/>
        <w:spacing w:before="60" w:after="60"/>
        <w:ind w:left="1684" w:hanging="1258"/>
        <w:rPr>
          <w:rFonts w:eastAsiaTheme="minorEastAsia" w:cstheme="minorBidi"/>
          <w:noProof/>
          <w:kern w:val="2"/>
          <w:szCs w:val="24"/>
          <w:lang w:val="es-ES" w:eastAsia="zh-CN"/>
          <w14:ligatures w14:val="standardContextual"/>
        </w:rPr>
      </w:pPr>
      <w:r w:rsidRPr="00AD06FF">
        <w:rPr>
          <w:noProof/>
          <w:lang w:val="es-ES"/>
        </w:rPr>
        <w:t>Ciberseguridad</w:t>
      </w:r>
      <w:r w:rsidRPr="00AD06FF">
        <w:rPr>
          <w:noProof/>
          <w:lang w:val="es-ES"/>
        </w:rPr>
        <w:tab/>
      </w:r>
      <w:r w:rsidR="00AD06FF" w:rsidRPr="00AD06FF">
        <w:rPr>
          <w:noProof/>
          <w:lang w:val="es-ES"/>
        </w:rPr>
        <w:tab/>
      </w:r>
      <w:r w:rsidRPr="00AD06FF">
        <w:rPr>
          <w:noProof/>
        </w:rPr>
        <w:fldChar w:fldCharType="begin"/>
      </w:r>
      <w:r w:rsidRPr="00AD06FF">
        <w:rPr>
          <w:noProof/>
          <w:lang w:val="es-ES"/>
        </w:rPr>
        <w:instrText xml:space="preserve"> PAGEREF _Toc193034323 \h </w:instrText>
      </w:r>
      <w:r w:rsidRPr="00AD06FF">
        <w:rPr>
          <w:noProof/>
        </w:rPr>
      </w:r>
      <w:r w:rsidRPr="00AD06FF">
        <w:rPr>
          <w:noProof/>
        </w:rPr>
        <w:fldChar w:fldCharType="separate"/>
      </w:r>
      <w:r w:rsidRPr="00AD06FF">
        <w:rPr>
          <w:noProof/>
          <w:lang w:val="es-ES"/>
        </w:rPr>
        <w:t>32</w:t>
      </w:r>
      <w:r w:rsidRPr="00AD06FF">
        <w:rPr>
          <w:noProof/>
        </w:rPr>
        <w:fldChar w:fldCharType="end"/>
      </w:r>
    </w:p>
    <w:p w14:paraId="7F586B69" w14:textId="59868090" w:rsidR="009E4D82" w:rsidRPr="00AD06FF" w:rsidRDefault="009E4D82" w:rsidP="001B6798">
      <w:pPr>
        <w:pStyle w:val="TOC2"/>
        <w:spacing w:before="60" w:after="60"/>
        <w:ind w:left="1684" w:hanging="1258"/>
        <w:rPr>
          <w:rFonts w:eastAsiaTheme="minorEastAsia" w:cstheme="minorBidi"/>
          <w:noProof/>
          <w:kern w:val="2"/>
          <w:szCs w:val="24"/>
          <w:lang w:val="es-ES" w:eastAsia="zh-CN"/>
          <w14:ligatures w14:val="standardContextual"/>
        </w:rPr>
      </w:pPr>
      <w:r w:rsidRPr="00AD06FF">
        <w:rPr>
          <w:noProof/>
          <w:lang w:val="es-ES"/>
        </w:rPr>
        <w:t>Gestión de los residuos electrónicos</w:t>
      </w:r>
      <w:r w:rsidRPr="00AD06FF">
        <w:rPr>
          <w:noProof/>
          <w:lang w:val="es-ES"/>
        </w:rPr>
        <w:tab/>
      </w:r>
      <w:r w:rsidR="00AD06FF" w:rsidRPr="00AD06FF">
        <w:rPr>
          <w:noProof/>
          <w:lang w:val="es-ES"/>
        </w:rPr>
        <w:tab/>
      </w:r>
      <w:r w:rsidRPr="00AD06FF">
        <w:rPr>
          <w:noProof/>
        </w:rPr>
        <w:fldChar w:fldCharType="begin"/>
      </w:r>
      <w:r w:rsidRPr="00AD06FF">
        <w:rPr>
          <w:noProof/>
          <w:lang w:val="es-ES"/>
        </w:rPr>
        <w:instrText xml:space="preserve"> PAGEREF _Toc193034324 \h </w:instrText>
      </w:r>
      <w:r w:rsidRPr="00AD06FF">
        <w:rPr>
          <w:noProof/>
        </w:rPr>
      </w:r>
      <w:r w:rsidRPr="00AD06FF">
        <w:rPr>
          <w:noProof/>
        </w:rPr>
        <w:fldChar w:fldCharType="separate"/>
      </w:r>
      <w:r w:rsidRPr="00AD06FF">
        <w:rPr>
          <w:noProof/>
          <w:lang w:val="es-ES"/>
        </w:rPr>
        <w:t>34</w:t>
      </w:r>
      <w:r w:rsidRPr="00AD06FF">
        <w:rPr>
          <w:noProof/>
        </w:rPr>
        <w:fldChar w:fldCharType="end"/>
      </w:r>
    </w:p>
    <w:p w14:paraId="7E1D943A" w14:textId="17FEFDE4" w:rsidR="009E4D82" w:rsidRPr="00AD06FF" w:rsidRDefault="009E4D82" w:rsidP="001B6798">
      <w:pPr>
        <w:pStyle w:val="TOC2"/>
        <w:spacing w:before="60" w:after="60"/>
        <w:ind w:left="1684" w:hanging="1258"/>
        <w:rPr>
          <w:rFonts w:eastAsiaTheme="minorEastAsia" w:cstheme="minorBidi"/>
          <w:noProof/>
          <w:kern w:val="2"/>
          <w:szCs w:val="24"/>
          <w:lang w:val="es-ES" w:eastAsia="zh-CN"/>
          <w14:ligatures w14:val="standardContextual"/>
        </w:rPr>
      </w:pPr>
      <w:r w:rsidRPr="00AD06FF">
        <w:rPr>
          <w:noProof/>
          <w:lang w:val="es-ES"/>
        </w:rPr>
        <w:t>Disparidades en el plano regional</w:t>
      </w:r>
      <w:r w:rsidRPr="00AD06FF">
        <w:rPr>
          <w:noProof/>
          <w:lang w:val="es-ES"/>
        </w:rPr>
        <w:tab/>
      </w:r>
      <w:r w:rsidR="00AD06FF" w:rsidRPr="00AD06FF">
        <w:rPr>
          <w:noProof/>
          <w:lang w:val="es-ES"/>
        </w:rPr>
        <w:tab/>
      </w:r>
      <w:r w:rsidRPr="00AD06FF">
        <w:rPr>
          <w:noProof/>
        </w:rPr>
        <w:fldChar w:fldCharType="begin"/>
      </w:r>
      <w:r w:rsidRPr="00AD06FF">
        <w:rPr>
          <w:noProof/>
          <w:lang w:val="es-ES"/>
        </w:rPr>
        <w:instrText xml:space="preserve"> PAGEREF _Toc193034325 \h </w:instrText>
      </w:r>
      <w:r w:rsidRPr="00AD06FF">
        <w:rPr>
          <w:noProof/>
        </w:rPr>
      </w:r>
      <w:r w:rsidRPr="00AD06FF">
        <w:rPr>
          <w:noProof/>
        </w:rPr>
        <w:fldChar w:fldCharType="separate"/>
      </w:r>
      <w:r w:rsidRPr="00AD06FF">
        <w:rPr>
          <w:noProof/>
          <w:lang w:val="es-ES"/>
        </w:rPr>
        <w:t>38</w:t>
      </w:r>
      <w:r w:rsidRPr="00AD06FF">
        <w:rPr>
          <w:noProof/>
        </w:rPr>
        <w:fldChar w:fldCharType="end"/>
      </w:r>
    </w:p>
    <w:p w14:paraId="4FCC634A" w14:textId="2C5EC4AF" w:rsidR="009E4D82" w:rsidRPr="00AD06FF" w:rsidRDefault="009E4D82" w:rsidP="001B6798">
      <w:pPr>
        <w:pStyle w:val="TOC2"/>
        <w:spacing w:before="60" w:after="60"/>
        <w:ind w:left="1684" w:hanging="1258"/>
        <w:rPr>
          <w:rFonts w:eastAsiaTheme="minorEastAsia" w:cstheme="minorBidi"/>
          <w:noProof/>
          <w:kern w:val="2"/>
          <w:szCs w:val="24"/>
          <w:lang w:val="es-ES" w:eastAsia="zh-CN"/>
          <w14:ligatures w14:val="standardContextual"/>
        </w:rPr>
      </w:pPr>
      <w:r w:rsidRPr="00AD06FF">
        <w:rPr>
          <w:noProof/>
          <w:lang w:val="es-ES"/>
        </w:rPr>
        <w:t>Visión general de la disponibilidad de datos en la región de las Américas</w:t>
      </w:r>
      <w:r w:rsidRPr="00AD06FF">
        <w:rPr>
          <w:noProof/>
          <w:lang w:val="es-ES"/>
        </w:rPr>
        <w:tab/>
      </w:r>
      <w:r w:rsidR="00AD06FF" w:rsidRPr="00AD06FF">
        <w:rPr>
          <w:noProof/>
          <w:lang w:val="es-ES"/>
        </w:rPr>
        <w:tab/>
      </w:r>
      <w:r w:rsidRPr="00AD06FF">
        <w:rPr>
          <w:noProof/>
        </w:rPr>
        <w:fldChar w:fldCharType="begin"/>
      </w:r>
      <w:r w:rsidRPr="00AD06FF">
        <w:rPr>
          <w:noProof/>
          <w:lang w:val="es-ES"/>
        </w:rPr>
        <w:instrText xml:space="preserve"> PAGEREF _Toc193034326 \h </w:instrText>
      </w:r>
      <w:r w:rsidRPr="00AD06FF">
        <w:rPr>
          <w:noProof/>
        </w:rPr>
      </w:r>
      <w:r w:rsidRPr="00AD06FF">
        <w:rPr>
          <w:noProof/>
        </w:rPr>
        <w:fldChar w:fldCharType="separate"/>
      </w:r>
      <w:r w:rsidRPr="00AD06FF">
        <w:rPr>
          <w:noProof/>
          <w:lang w:val="es-ES"/>
        </w:rPr>
        <w:t>40</w:t>
      </w:r>
      <w:r w:rsidRPr="00AD06FF">
        <w:rPr>
          <w:noProof/>
        </w:rPr>
        <w:fldChar w:fldCharType="end"/>
      </w:r>
    </w:p>
    <w:p w14:paraId="6F09EF36" w14:textId="7507B5AF" w:rsidR="009E4D82" w:rsidRPr="00AD06FF" w:rsidRDefault="009E4D82" w:rsidP="00AD06FF">
      <w:pPr>
        <w:pStyle w:val="TOC1"/>
        <w:spacing w:before="60" w:after="60"/>
        <w:rPr>
          <w:rFonts w:eastAsiaTheme="minorEastAsia" w:cstheme="minorBidi"/>
          <w:b/>
          <w:bCs/>
          <w:noProof/>
          <w:kern w:val="2"/>
          <w:szCs w:val="24"/>
          <w:lang w:val="es-ES" w:eastAsia="zh-CN"/>
          <w14:ligatures w14:val="standardContextual"/>
        </w:rPr>
      </w:pPr>
      <w:r w:rsidRPr="00AD06FF">
        <w:rPr>
          <w:b/>
          <w:bCs/>
          <w:noProof/>
          <w:lang w:val="es-ES"/>
        </w:rPr>
        <w:t>Parte 2</w:t>
      </w:r>
      <w:r w:rsidR="00AD06FF" w:rsidRPr="00AD06FF">
        <w:rPr>
          <w:b/>
          <w:bCs/>
          <w:noProof/>
          <w:lang w:val="es-ES"/>
        </w:rPr>
        <w:t xml:space="preserve"> – </w:t>
      </w:r>
      <w:r w:rsidRPr="00AD06FF">
        <w:rPr>
          <w:b/>
          <w:bCs/>
          <w:noProof/>
          <w:lang w:val="es-ES"/>
        </w:rPr>
        <w:t>BDT4Impact: Casos prácticos seleccionados de la región de las Américas</w:t>
      </w:r>
      <w:r w:rsidRPr="00AD06FF">
        <w:rPr>
          <w:b/>
          <w:bCs/>
          <w:noProof/>
          <w:lang w:val="es-ES"/>
        </w:rPr>
        <w:tab/>
      </w:r>
      <w:r w:rsidR="00AD06FF" w:rsidRPr="00AD06FF">
        <w:rPr>
          <w:b/>
          <w:bCs/>
          <w:noProof/>
          <w:lang w:val="es-ES"/>
        </w:rPr>
        <w:tab/>
      </w:r>
      <w:r w:rsidRPr="00AD06FF">
        <w:rPr>
          <w:b/>
          <w:bCs/>
          <w:noProof/>
        </w:rPr>
        <w:fldChar w:fldCharType="begin"/>
      </w:r>
      <w:r w:rsidRPr="00AD06FF">
        <w:rPr>
          <w:b/>
          <w:bCs/>
          <w:noProof/>
          <w:lang w:val="es-ES"/>
        </w:rPr>
        <w:instrText xml:space="preserve"> PAGEREF _Toc193034327 \h </w:instrText>
      </w:r>
      <w:r w:rsidRPr="00AD06FF">
        <w:rPr>
          <w:b/>
          <w:bCs/>
          <w:noProof/>
        </w:rPr>
      </w:r>
      <w:r w:rsidRPr="00AD06FF">
        <w:rPr>
          <w:b/>
          <w:bCs/>
          <w:noProof/>
        </w:rPr>
        <w:fldChar w:fldCharType="separate"/>
      </w:r>
      <w:r w:rsidRPr="00AD06FF">
        <w:rPr>
          <w:b/>
          <w:bCs/>
          <w:noProof/>
          <w:lang w:val="es-ES"/>
        </w:rPr>
        <w:t>42</w:t>
      </w:r>
      <w:r w:rsidRPr="00AD06FF">
        <w:rPr>
          <w:b/>
          <w:bCs/>
          <w:noProof/>
        </w:rPr>
        <w:fldChar w:fldCharType="end"/>
      </w:r>
    </w:p>
    <w:p w14:paraId="6B2AE8F2" w14:textId="7BBF0960" w:rsidR="009E4D82" w:rsidRPr="00AD06FF" w:rsidRDefault="009E4D82" w:rsidP="001B6798">
      <w:pPr>
        <w:pStyle w:val="TOC2"/>
        <w:spacing w:before="60" w:after="60"/>
        <w:ind w:left="1684" w:hanging="1258"/>
        <w:rPr>
          <w:rFonts w:eastAsiaTheme="minorEastAsia" w:cstheme="minorBidi"/>
          <w:noProof/>
          <w:kern w:val="2"/>
          <w:szCs w:val="24"/>
          <w:lang w:val="es-ES" w:eastAsia="zh-CN"/>
          <w14:ligatures w14:val="standardContextual"/>
        </w:rPr>
      </w:pPr>
      <w:r w:rsidRPr="00AD06FF">
        <w:rPr>
          <w:noProof/>
          <w:lang w:val="es-ES"/>
        </w:rPr>
        <w:t>Reducción de la brecha digital en las comunidades indígenas y rurales de las Américas</w:t>
      </w:r>
      <w:r w:rsidR="00AD06FF" w:rsidRPr="00AD06FF">
        <w:rPr>
          <w:noProof/>
          <w:lang w:val="es-ES"/>
        </w:rPr>
        <w:tab/>
      </w:r>
      <w:r w:rsidRPr="00AD06FF">
        <w:rPr>
          <w:noProof/>
        </w:rPr>
        <w:fldChar w:fldCharType="begin"/>
      </w:r>
      <w:r w:rsidRPr="00AD06FF">
        <w:rPr>
          <w:noProof/>
          <w:lang w:val="es-ES"/>
        </w:rPr>
        <w:instrText xml:space="preserve"> PAGEREF _Toc193034328 \h </w:instrText>
      </w:r>
      <w:r w:rsidRPr="00AD06FF">
        <w:rPr>
          <w:noProof/>
        </w:rPr>
      </w:r>
      <w:r w:rsidRPr="00AD06FF">
        <w:rPr>
          <w:noProof/>
        </w:rPr>
        <w:fldChar w:fldCharType="separate"/>
      </w:r>
      <w:r w:rsidRPr="00AD06FF">
        <w:rPr>
          <w:noProof/>
          <w:lang w:val="es-ES"/>
        </w:rPr>
        <w:t>42</w:t>
      </w:r>
      <w:r w:rsidRPr="00AD06FF">
        <w:rPr>
          <w:noProof/>
        </w:rPr>
        <w:fldChar w:fldCharType="end"/>
      </w:r>
    </w:p>
    <w:p w14:paraId="68376F57" w14:textId="39971907" w:rsidR="009E4D82" w:rsidRPr="00AD06FF" w:rsidRDefault="009E4D82" w:rsidP="001B6798">
      <w:pPr>
        <w:pStyle w:val="TOC2"/>
        <w:tabs>
          <w:tab w:val="clear" w:pos="964"/>
          <w:tab w:val="left" w:pos="567"/>
        </w:tabs>
        <w:spacing w:before="60" w:after="60"/>
        <w:ind w:left="426" w:firstLine="0"/>
        <w:rPr>
          <w:rFonts w:eastAsiaTheme="minorEastAsia" w:cstheme="minorBidi"/>
          <w:noProof/>
          <w:kern w:val="2"/>
          <w:szCs w:val="24"/>
          <w:lang w:val="es-ES" w:eastAsia="zh-CN"/>
          <w14:ligatures w14:val="standardContextual"/>
        </w:rPr>
      </w:pPr>
      <w:r w:rsidRPr="00AD06FF">
        <w:rPr>
          <w:noProof/>
          <w:lang w:val="es-ES"/>
        </w:rPr>
        <w:t>Los países se esfuerzan por regular los residuos electrónicos para proteger la salud, el medio ambiente y los recursos</w:t>
      </w:r>
      <w:r w:rsidRPr="00AD06FF">
        <w:rPr>
          <w:noProof/>
          <w:lang w:val="es-ES"/>
        </w:rPr>
        <w:tab/>
      </w:r>
      <w:r w:rsidR="00AD06FF" w:rsidRPr="00AD06FF">
        <w:rPr>
          <w:noProof/>
          <w:lang w:val="es-ES"/>
        </w:rPr>
        <w:tab/>
      </w:r>
      <w:r w:rsidRPr="00AD06FF">
        <w:rPr>
          <w:noProof/>
        </w:rPr>
        <w:fldChar w:fldCharType="begin"/>
      </w:r>
      <w:r w:rsidRPr="00AD06FF">
        <w:rPr>
          <w:noProof/>
          <w:lang w:val="es-ES"/>
        </w:rPr>
        <w:instrText xml:space="preserve"> PAGEREF _Toc193034329 \h </w:instrText>
      </w:r>
      <w:r w:rsidRPr="00AD06FF">
        <w:rPr>
          <w:noProof/>
        </w:rPr>
      </w:r>
      <w:r w:rsidRPr="00AD06FF">
        <w:rPr>
          <w:noProof/>
        </w:rPr>
        <w:fldChar w:fldCharType="separate"/>
      </w:r>
      <w:r w:rsidRPr="00AD06FF">
        <w:rPr>
          <w:noProof/>
          <w:lang w:val="es-ES"/>
        </w:rPr>
        <w:t>42</w:t>
      </w:r>
      <w:r w:rsidRPr="00AD06FF">
        <w:rPr>
          <w:noProof/>
        </w:rPr>
        <w:fldChar w:fldCharType="end"/>
      </w:r>
    </w:p>
    <w:p w14:paraId="31B75E4F" w14:textId="74A7F576" w:rsidR="009E4D82" w:rsidRPr="00AD06FF" w:rsidRDefault="009E4D82" w:rsidP="001B6798">
      <w:pPr>
        <w:pStyle w:val="TOC2"/>
        <w:tabs>
          <w:tab w:val="clear" w:pos="964"/>
          <w:tab w:val="left" w:pos="567"/>
        </w:tabs>
        <w:spacing w:before="60" w:after="60"/>
        <w:ind w:left="426" w:firstLine="0"/>
        <w:rPr>
          <w:rFonts w:eastAsiaTheme="minorEastAsia" w:cstheme="minorBidi"/>
          <w:noProof/>
          <w:kern w:val="2"/>
          <w:szCs w:val="24"/>
          <w:lang w:val="es-ES" w:eastAsia="zh-CN"/>
          <w14:ligatures w14:val="standardContextual"/>
        </w:rPr>
      </w:pPr>
      <w:r w:rsidRPr="00AD06FF">
        <w:rPr>
          <w:noProof/>
          <w:lang w:val="es-ES"/>
        </w:rPr>
        <w:t>El Proyecto Mares Inteligentes aumenta la resiliencia en caso de catástrofe de los pescadores minoristas del Caribe.</w:t>
      </w:r>
      <w:r w:rsidRPr="00AD06FF">
        <w:rPr>
          <w:noProof/>
          <w:lang w:val="es-ES"/>
        </w:rPr>
        <w:tab/>
      </w:r>
      <w:r w:rsidR="00AD06FF" w:rsidRPr="00AD06FF">
        <w:rPr>
          <w:noProof/>
          <w:lang w:val="es-ES"/>
        </w:rPr>
        <w:tab/>
      </w:r>
      <w:r w:rsidRPr="00AD06FF">
        <w:rPr>
          <w:noProof/>
        </w:rPr>
        <w:fldChar w:fldCharType="begin"/>
      </w:r>
      <w:r w:rsidRPr="00AD06FF">
        <w:rPr>
          <w:noProof/>
          <w:lang w:val="es-ES"/>
        </w:rPr>
        <w:instrText xml:space="preserve"> PAGEREF _Toc193034330 \h </w:instrText>
      </w:r>
      <w:r w:rsidRPr="00AD06FF">
        <w:rPr>
          <w:noProof/>
        </w:rPr>
      </w:r>
      <w:r w:rsidRPr="00AD06FF">
        <w:rPr>
          <w:noProof/>
        </w:rPr>
        <w:fldChar w:fldCharType="separate"/>
      </w:r>
      <w:r w:rsidRPr="00AD06FF">
        <w:rPr>
          <w:noProof/>
          <w:lang w:val="es-ES"/>
        </w:rPr>
        <w:t>43</w:t>
      </w:r>
      <w:r w:rsidRPr="00AD06FF">
        <w:rPr>
          <w:noProof/>
        </w:rPr>
        <w:fldChar w:fldCharType="end"/>
      </w:r>
    </w:p>
    <w:p w14:paraId="62A9C048" w14:textId="6A809A7D" w:rsidR="009E4D82" w:rsidRPr="00AD06FF" w:rsidRDefault="009E4D82" w:rsidP="001B6798">
      <w:pPr>
        <w:pStyle w:val="TOC2"/>
        <w:spacing w:before="60" w:after="60"/>
        <w:ind w:left="1684" w:hanging="1258"/>
        <w:rPr>
          <w:rFonts w:eastAsiaTheme="minorEastAsia" w:cstheme="minorBidi"/>
          <w:noProof/>
          <w:kern w:val="2"/>
          <w:szCs w:val="24"/>
          <w:lang w:val="es-ES" w:eastAsia="zh-CN"/>
          <w14:ligatures w14:val="standardContextual"/>
        </w:rPr>
      </w:pPr>
      <w:r w:rsidRPr="00AD06FF">
        <w:rPr>
          <w:noProof/>
          <w:lang w:val="es-ES"/>
        </w:rPr>
        <w:t>Respuesta a la crisis: Huracán Beryl</w:t>
      </w:r>
      <w:r w:rsidRPr="00AD06FF">
        <w:rPr>
          <w:noProof/>
          <w:lang w:val="es-ES"/>
        </w:rPr>
        <w:tab/>
      </w:r>
      <w:r w:rsidR="00AD06FF" w:rsidRPr="00AD06FF">
        <w:rPr>
          <w:noProof/>
          <w:lang w:val="es-ES"/>
        </w:rPr>
        <w:tab/>
      </w:r>
      <w:r w:rsidRPr="00AD06FF">
        <w:rPr>
          <w:noProof/>
        </w:rPr>
        <w:fldChar w:fldCharType="begin"/>
      </w:r>
      <w:r w:rsidRPr="00AD06FF">
        <w:rPr>
          <w:noProof/>
          <w:lang w:val="es-ES"/>
        </w:rPr>
        <w:instrText xml:space="preserve"> PAGEREF _Toc193034331 \h </w:instrText>
      </w:r>
      <w:r w:rsidRPr="00AD06FF">
        <w:rPr>
          <w:noProof/>
        </w:rPr>
      </w:r>
      <w:r w:rsidRPr="00AD06FF">
        <w:rPr>
          <w:noProof/>
        </w:rPr>
        <w:fldChar w:fldCharType="separate"/>
      </w:r>
      <w:r w:rsidRPr="00AD06FF">
        <w:rPr>
          <w:noProof/>
          <w:lang w:val="es-ES"/>
        </w:rPr>
        <w:t>43</w:t>
      </w:r>
      <w:r w:rsidRPr="00AD06FF">
        <w:rPr>
          <w:noProof/>
        </w:rPr>
        <w:fldChar w:fldCharType="end"/>
      </w:r>
    </w:p>
    <w:p w14:paraId="25428437" w14:textId="62B39988" w:rsidR="009E4D82" w:rsidRPr="00AD06FF" w:rsidRDefault="009E4D82" w:rsidP="001B6798">
      <w:pPr>
        <w:pStyle w:val="TOC2"/>
        <w:tabs>
          <w:tab w:val="clear" w:pos="964"/>
          <w:tab w:val="left" w:pos="567"/>
        </w:tabs>
        <w:spacing w:before="60" w:after="60"/>
        <w:ind w:left="426" w:firstLine="0"/>
        <w:rPr>
          <w:rFonts w:eastAsiaTheme="minorEastAsia" w:cstheme="minorBidi"/>
          <w:noProof/>
          <w:kern w:val="2"/>
          <w:szCs w:val="24"/>
          <w:lang w:val="es-ES" w:eastAsia="zh-CN"/>
          <w14:ligatures w14:val="standardContextual"/>
        </w:rPr>
      </w:pPr>
      <w:r w:rsidRPr="00AD06FF">
        <w:rPr>
          <w:noProof/>
          <w:lang w:val="es-ES"/>
        </w:rPr>
        <w:t>Un evento especial en Argentina fomenta las competencias tecnológicas de las niñas y su conocimiento de las profesiones</w:t>
      </w:r>
      <w:r w:rsidRPr="00AD06FF">
        <w:rPr>
          <w:noProof/>
          <w:lang w:val="es-ES"/>
        </w:rPr>
        <w:tab/>
      </w:r>
      <w:r w:rsidR="00AD06FF" w:rsidRPr="00AD06FF">
        <w:rPr>
          <w:noProof/>
          <w:lang w:val="es-ES"/>
        </w:rPr>
        <w:tab/>
      </w:r>
      <w:r w:rsidRPr="00AD06FF">
        <w:rPr>
          <w:noProof/>
        </w:rPr>
        <w:fldChar w:fldCharType="begin"/>
      </w:r>
      <w:r w:rsidRPr="00AD06FF">
        <w:rPr>
          <w:noProof/>
          <w:lang w:val="es-ES"/>
        </w:rPr>
        <w:instrText xml:space="preserve"> PAGEREF _Toc193034332 \h </w:instrText>
      </w:r>
      <w:r w:rsidRPr="00AD06FF">
        <w:rPr>
          <w:noProof/>
        </w:rPr>
      </w:r>
      <w:r w:rsidRPr="00AD06FF">
        <w:rPr>
          <w:noProof/>
        </w:rPr>
        <w:fldChar w:fldCharType="separate"/>
      </w:r>
      <w:r w:rsidRPr="00AD06FF">
        <w:rPr>
          <w:noProof/>
          <w:lang w:val="es-ES"/>
        </w:rPr>
        <w:t>44</w:t>
      </w:r>
      <w:r w:rsidRPr="00AD06FF">
        <w:rPr>
          <w:noProof/>
        </w:rPr>
        <w:fldChar w:fldCharType="end"/>
      </w:r>
    </w:p>
    <w:p w14:paraId="03D707B4" w14:textId="1F15D45E" w:rsidR="009E4D82" w:rsidRPr="00AD06FF" w:rsidRDefault="009E4D82" w:rsidP="001B6798">
      <w:pPr>
        <w:pStyle w:val="TOC2"/>
        <w:spacing w:before="60" w:after="60"/>
        <w:ind w:left="1684" w:hanging="1258"/>
        <w:rPr>
          <w:rFonts w:eastAsiaTheme="minorEastAsia" w:cstheme="minorBidi"/>
          <w:b/>
          <w:bCs/>
          <w:noProof/>
          <w:kern w:val="2"/>
          <w:szCs w:val="24"/>
          <w:lang w:val="es-ES" w:eastAsia="zh-CN"/>
          <w14:ligatures w14:val="standardContextual"/>
        </w:rPr>
      </w:pPr>
      <w:r w:rsidRPr="00AD06FF">
        <w:rPr>
          <w:noProof/>
          <w:lang w:val="es-ES"/>
        </w:rPr>
        <w:t>Desarrollo de un sistema de mapa nacional de telecomunicaciones en Uruguay</w:t>
      </w:r>
      <w:r w:rsidRPr="00AD06FF">
        <w:rPr>
          <w:noProof/>
          <w:lang w:val="es-ES"/>
        </w:rPr>
        <w:tab/>
      </w:r>
      <w:r w:rsidR="00AD06FF" w:rsidRPr="00AD06FF">
        <w:rPr>
          <w:noProof/>
          <w:lang w:val="es-ES"/>
        </w:rPr>
        <w:tab/>
      </w:r>
      <w:r w:rsidRPr="00AD06FF">
        <w:rPr>
          <w:noProof/>
        </w:rPr>
        <w:fldChar w:fldCharType="begin"/>
      </w:r>
      <w:r w:rsidRPr="00AD06FF">
        <w:rPr>
          <w:noProof/>
          <w:lang w:val="es-ES"/>
        </w:rPr>
        <w:instrText xml:space="preserve"> PAGEREF _Toc193034333 \h </w:instrText>
      </w:r>
      <w:r w:rsidRPr="00AD06FF">
        <w:rPr>
          <w:noProof/>
        </w:rPr>
      </w:r>
      <w:r w:rsidRPr="00AD06FF">
        <w:rPr>
          <w:noProof/>
        </w:rPr>
        <w:fldChar w:fldCharType="separate"/>
      </w:r>
      <w:r w:rsidRPr="00AD06FF">
        <w:rPr>
          <w:noProof/>
          <w:lang w:val="es-ES"/>
        </w:rPr>
        <w:t>44</w:t>
      </w:r>
      <w:r w:rsidRPr="00AD06FF">
        <w:rPr>
          <w:noProof/>
        </w:rPr>
        <w:fldChar w:fldCharType="end"/>
      </w:r>
    </w:p>
    <w:p w14:paraId="6B4F3012" w14:textId="2380EB73" w:rsidR="009E4D82" w:rsidRPr="00AD06FF" w:rsidRDefault="009E4D82" w:rsidP="00AD06FF">
      <w:pPr>
        <w:pStyle w:val="TOC1"/>
        <w:spacing w:before="60" w:after="60"/>
        <w:rPr>
          <w:rFonts w:eastAsiaTheme="minorEastAsia" w:cstheme="minorBidi"/>
          <w:b/>
          <w:bCs/>
          <w:noProof/>
          <w:kern w:val="2"/>
          <w:szCs w:val="24"/>
          <w:lang w:val="es-ES" w:eastAsia="zh-CN"/>
          <w14:ligatures w14:val="standardContextual"/>
        </w:rPr>
      </w:pPr>
      <w:r w:rsidRPr="00AD06FF">
        <w:rPr>
          <w:b/>
          <w:bCs/>
          <w:noProof/>
          <w:lang w:val="es-ES"/>
        </w:rPr>
        <w:t>Anexo: Recursos de datos</w:t>
      </w:r>
      <w:r w:rsidRPr="00AD06FF">
        <w:rPr>
          <w:b/>
          <w:bCs/>
          <w:noProof/>
          <w:lang w:val="es-ES"/>
        </w:rPr>
        <w:tab/>
      </w:r>
      <w:r w:rsidR="00AD06FF" w:rsidRPr="00AD06FF">
        <w:rPr>
          <w:b/>
          <w:bCs/>
          <w:noProof/>
          <w:lang w:val="es-ES"/>
        </w:rPr>
        <w:tab/>
      </w:r>
      <w:r w:rsidRPr="00AD06FF">
        <w:rPr>
          <w:b/>
          <w:bCs/>
          <w:noProof/>
        </w:rPr>
        <w:fldChar w:fldCharType="begin"/>
      </w:r>
      <w:r w:rsidRPr="00AD06FF">
        <w:rPr>
          <w:b/>
          <w:bCs/>
          <w:noProof/>
          <w:lang w:val="es-ES"/>
        </w:rPr>
        <w:instrText xml:space="preserve"> PAGEREF _Toc193034334 \h </w:instrText>
      </w:r>
      <w:r w:rsidRPr="00AD06FF">
        <w:rPr>
          <w:b/>
          <w:bCs/>
          <w:noProof/>
        </w:rPr>
      </w:r>
      <w:r w:rsidRPr="00AD06FF">
        <w:rPr>
          <w:b/>
          <w:bCs/>
          <w:noProof/>
        </w:rPr>
        <w:fldChar w:fldCharType="separate"/>
      </w:r>
      <w:r w:rsidRPr="00AD06FF">
        <w:rPr>
          <w:b/>
          <w:bCs/>
          <w:noProof/>
          <w:lang w:val="es-ES"/>
        </w:rPr>
        <w:t>46</w:t>
      </w:r>
      <w:r w:rsidRPr="00AD06FF">
        <w:rPr>
          <w:b/>
          <w:bCs/>
          <w:noProof/>
        </w:rPr>
        <w:fldChar w:fldCharType="end"/>
      </w:r>
    </w:p>
    <w:p w14:paraId="655157F5" w14:textId="57F41EC5" w:rsidR="006B3273" w:rsidRPr="00AD06FF" w:rsidRDefault="006B3273" w:rsidP="00AD06FF">
      <w:pPr>
        <w:spacing w:before="60" w:after="60"/>
        <w:rPr>
          <w:rFonts w:eastAsia="Yu Gothic Light"/>
          <w:b/>
          <w:bCs/>
          <w:lang w:val="es-ES"/>
        </w:rPr>
      </w:pPr>
      <w:r w:rsidRPr="00AD06FF">
        <w:rPr>
          <w:rFonts w:ascii="Aptos" w:eastAsia="Aptos" w:hAnsi="Aptos" w:cs="Arial"/>
          <w:b/>
          <w:bCs/>
          <w:kern w:val="2"/>
          <w:sz w:val="22"/>
          <w:szCs w:val="22"/>
          <w:lang w:val="es-ES"/>
          <w14:ligatures w14:val="standardContextual"/>
        </w:rPr>
        <w:fldChar w:fldCharType="end"/>
      </w:r>
    </w:p>
    <w:p w14:paraId="7CA841F2" w14:textId="77777777" w:rsidR="006B3273" w:rsidRPr="0076358A" w:rsidRDefault="006B3273" w:rsidP="006B3273">
      <w:pPr>
        <w:tabs>
          <w:tab w:val="clear" w:pos="794"/>
          <w:tab w:val="clear" w:pos="1191"/>
          <w:tab w:val="clear" w:pos="1588"/>
          <w:tab w:val="clear" w:pos="1985"/>
        </w:tabs>
        <w:overflowPunct/>
        <w:autoSpaceDE/>
        <w:autoSpaceDN/>
        <w:adjustRightInd/>
        <w:spacing w:before="0"/>
        <w:textAlignment w:val="auto"/>
        <w:rPr>
          <w:rFonts w:eastAsia="Yu Gothic Light"/>
          <w:lang w:val="es-ES"/>
        </w:rPr>
      </w:pPr>
      <w:r w:rsidRPr="0076358A">
        <w:rPr>
          <w:rFonts w:eastAsia="Yu Gothic Light"/>
          <w:lang w:val="es-ES"/>
        </w:rPr>
        <w:br w:type="page"/>
      </w:r>
    </w:p>
    <w:p w14:paraId="5DF6C8FD" w14:textId="77777777" w:rsidR="006B3273" w:rsidRPr="00605E17" w:rsidRDefault="006B3273" w:rsidP="006B3273">
      <w:pPr>
        <w:pStyle w:val="Parttitle0"/>
        <w:rPr>
          <w:rFonts w:asciiTheme="minorHAnsi" w:hAnsiTheme="minorHAnsi" w:cstheme="minorHAnsi"/>
          <w:color w:val="auto"/>
          <w:sz w:val="32"/>
          <w:szCs w:val="32"/>
          <w:lang w:val="es-ES"/>
        </w:rPr>
      </w:pPr>
      <w:bookmarkStart w:id="5" w:name="_Toc193034311"/>
      <w:r w:rsidRPr="00605E17">
        <w:rPr>
          <w:rFonts w:asciiTheme="minorHAnsi" w:hAnsiTheme="minorHAnsi" w:cstheme="minorHAnsi"/>
          <w:color w:val="auto"/>
          <w:sz w:val="32"/>
          <w:szCs w:val="32"/>
          <w:lang w:val="es-ES"/>
        </w:rPr>
        <w:lastRenderedPageBreak/>
        <w:t>Introducción</w:t>
      </w:r>
      <w:bookmarkEnd w:id="5"/>
    </w:p>
    <w:p w14:paraId="5F897749" w14:textId="0F5BF0F2" w:rsidR="006B3273" w:rsidRPr="0076358A" w:rsidRDefault="006B3273" w:rsidP="006B3273">
      <w:pPr>
        <w:rPr>
          <w:rFonts w:ascii="Aptos" w:eastAsia="Aptos" w:hAnsi="Aptos" w:cs="Arial"/>
          <w:kern w:val="2"/>
          <w:sz w:val="22"/>
          <w:szCs w:val="22"/>
          <w:lang w:val="es-ES"/>
          <w14:ligatures w14:val="standardContextual"/>
        </w:rPr>
      </w:pPr>
      <w:r w:rsidRPr="0076358A">
        <w:rPr>
          <w:lang w:val="es-ES"/>
        </w:rPr>
        <w:t>Las Reuniones Preparatorias Regionales (RPR) permiten a los Estados Miembros preparar la Conferencia Mundial de Desarrollo de las Telecomunicaciones de 2025. El presente documento, preparado para la RPR Américas del 1 al 2 de abril de 2025, contiene información importante para ayudar a los participantes y partes interesadas a deliberar sobre la agenda digital de la región. Consta de dos partes: en la primera, se describe la situación de la conectividad digital en las Américas partiendo de una serie de indicadores fundamentales y, en la segunda, se destacan estudios de casos regionales de gran calado.</w:t>
      </w:r>
    </w:p>
    <w:p w14:paraId="37B22282" w14:textId="77777777" w:rsidR="006B3273" w:rsidRPr="0076358A" w:rsidRDefault="006B3273" w:rsidP="006B3273">
      <w:pPr>
        <w:rPr>
          <w:rFonts w:ascii="Aptos" w:hAnsi="Aptos"/>
          <w:sz w:val="22"/>
          <w:szCs w:val="22"/>
          <w:lang w:val="es-ES"/>
        </w:rPr>
      </w:pPr>
      <w:r w:rsidRPr="0076358A">
        <w:rPr>
          <w:b/>
          <w:bCs/>
          <w:lang w:val="es-ES"/>
        </w:rPr>
        <w:t>La conectividad universal y efectiva es un imperativo político.</w:t>
      </w:r>
      <w:r w:rsidRPr="0076358A">
        <w:rPr>
          <w:lang w:val="es-ES"/>
        </w:rPr>
        <w:t xml:space="preserve"> El concepto de conectividad universal y efectiva (CUE) se considera hoy en día un objetivo político esencial. Este concepto se traduce en que todo el mundo pueda disfrutar de una experiencia en línea segura, enriquecedora y productiva a un coste asequible. Ello no significa que todo el mundo deba estar conectado todo el tiempo, sino que todos puedan acceder a Internet en condiciones óptimas y asequibles, cuando y donde sea necesario.</w:t>
      </w:r>
    </w:p>
    <w:p w14:paraId="47E299C9" w14:textId="1B013ACC" w:rsidR="006B3273" w:rsidRPr="0076358A" w:rsidRDefault="006B3273" w:rsidP="006B3273">
      <w:pPr>
        <w:rPr>
          <w:rFonts w:ascii="Aptos" w:eastAsia="Aptos" w:hAnsi="Aptos" w:cs="Arial"/>
          <w:kern w:val="2"/>
          <w:sz w:val="22"/>
          <w:szCs w:val="22"/>
          <w:lang w:val="es-ES"/>
          <w14:ligatures w14:val="standardContextual"/>
        </w:rPr>
      </w:pPr>
      <w:r w:rsidRPr="0076358A">
        <w:rPr>
          <w:b/>
          <w:bCs/>
          <w:lang w:val="es-ES"/>
        </w:rPr>
        <w:t xml:space="preserve">La región de las Américas ha registrado considerables progresos hacia la </w:t>
      </w:r>
      <w:r w:rsidR="00452607">
        <w:rPr>
          <w:b/>
          <w:bCs/>
          <w:lang w:val="es-ES"/>
        </w:rPr>
        <w:t>conectividad universal y efectiva</w:t>
      </w:r>
      <w:r w:rsidRPr="0076358A">
        <w:rPr>
          <w:b/>
          <w:bCs/>
          <w:lang w:val="es-ES"/>
        </w:rPr>
        <w:t>.</w:t>
      </w:r>
      <w:r w:rsidRPr="0076358A">
        <w:rPr>
          <w:lang w:val="es-ES"/>
        </w:rPr>
        <w:t xml:space="preserve"> En 2024, el 96</w:t>
      </w:r>
      <w:r w:rsidR="00AC027A">
        <w:rPr>
          <w:lang w:val="es-ES"/>
        </w:rPr>
        <w:t> %</w:t>
      </w:r>
      <w:r w:rsidRPr="0076358A">
        <w:rPr>
          <w:lang w:val="es-ES"/>
        </w:rPr>
        <w:t xml:space="preserve"> de la población de la región tenía acceso a una red de banda ancha móvil (3G o superior) y el 63</w:t>
      </w:r>
      <w:r w:rsidR="00AC027A">
        <w:rPr>
          <w:lang w:val="es-ES"/>
        </w:rPr>
        <w:t> %</w:t>
      </w:r>
      <w:r w:rsidRPr="0076358A">
        <w:rPr>
          <w:lang w:val="es-ES"/>
        </w:rPr>
        <w:t xml:space="preserve"> tenía acceso a una red 5G. El acceso universal está al alcance de la mano: prácticamente todo el que quiera conectarse puede hacerlo. La adopción de Internet también es elevada, ya que casi nueve de cada diez personas (87</w:t>
      </w:r>
      <w:r w:rsidR="00AC027A">
        <w:rPr>
          <w:lang w:val="es-ES"/>
        </w:rPr>
        <w:t> %</w:t>
      </w:r>
      <w:r w:rsidRPr="0076358A">
        <w:rPr>
          <w:lang w:val="es-ES"/>
        </w:rPr>
        <w:t>) utilizan Internet, muy por encima de la media mundial del 68</w:t>
      </w:r>
      <w:r w:rsidR="00AC027A">
        <w:rPr>
          <w:lang w:val="es-ES"/>
        </w:rPr>
        <w:t> %</w:t>
      </w:r>
      <w:r w:rsidRPr="0076358A">
        <w:rPr>
          <w:lang w:val="es-ES"/>
        </w:rPr>
        <w:t>. Cabe señalar que las Américas es la única región que experimenta una "brecha de género inversa", es decir, las mujeres utilizan Internet más que los hombres.</w:t>
      </w:r>
    </w:p>
    <w:p w14:paraId="5B329593" w14:textId="03A5E77E" w:rsidR="006B3273" w:rsidRPr="0076358A" w:rsidRDefault="006B3273" w:rsidP="006B3273">
      <w:pPr>
        <w:rPr>
          <w:rFonts w:ascii="Aptos" w:eastAsia="Aptos" w:hAnsi="Aptos" w:cs="Arial"/>
          <w:kern w:val="2"/>
          <w:sz w:val="22"/>
          <w:szCs w:val="22"/>
          <w:lang w:val="es-ES"/>
          <w14:ligatures w14:val="standardContextual"/>
        </w:rPr>
      </w:pPr>
      <w:r w:rsidRPr="0076358A">
        <w:rPr>
          <w:b/>
          <w:bCs/>
          <w:lang w:val="es-ES"/>
        </w:rPr>
        <w:t>Las Américas es una región de contrastes digitales.</w:t>
      </w:r>
      <w:r w:rsidRPr="0076358A">
        <w:rPr>
          <w:lang w:val="es-ES"/>
        </w:rPr>
        <w:t xml:space="preserve"> A pesar de los logros, la región presenta grandes diferencias en cuanto a reglamentación, asequibilidad de Internet, calidad de servicio y grado de preparación en materia de ciberseguridad. En general, América del Norte se sitúa a la cabeza, mientras que América Latina y el Caribe presentan un panorama mixto. Los pequeños Estados insulares en desarrollo (PEID) y los países en desarrollo sin litoral (PDSL) de la región están rezagados en la mayoría de las dimensiones de conectividad, ya que se enfrentan a obstáculos adicionales, como los elevados costos de infraestructura y las características geográficos.</w:t>
      </w:r>
      <w:r w:rsidR="00DF1C96" w:rsidRPr="0076358A">
        <w:rPr>
          <w:lang w:val="es-ES"/>
        </w:rPr>
        <w:t xml:space="preserve"> </w:t>
      </w:r>
    </w:p>
    <w:p w14:paraId="3EA11546" w14:textId="31D9B907" w:rsidR="006B3273" w:rsidRPr="0076358A" w:rsidRDefault="006B3273" w:rsidP="006B3273">
      <w:pPr>
        <w:rPr>
          <w:rFonts w:ascii="Aptos" w:eastAsia="Aptos" w:hAnsi="Aptos" w:cs="Arial"/>
          <w:kern w:val="2"/>
          <w:sz w:val="22"/>
          <w:szCs w:val="22"/>
          <w:lang w:val="es-ES"/>
          <w14:ligatures w14:val="standardContextual"/>
        </w:rPr>
      </w:pPr>
      <w:r w:rsidRPr="0076358A">
        <w:rPr>
          <w:b/>
          <w:bCs/>
          <w:lang w:val="es-ES"/>
        </w:rPr>
        <w:t>Persiste la brecha entre las zonas urbanas y rurales.</w:t>
      </w:r>
      <w:r w:rsidRPr="0076358A">
        <w:rPr>
          <w:lang w:val="es-ES"/>
        </w:rPr>
        <w:t xml:space="preserve"> Aunque menos pronunciada que en la mayoría de las regiones, la brecha digital entre el campo y la ciudad sigue siendo considerable en las Américas. Así, en 2024 el 90</w:t>
      </w:r>
      <w:r w:rsidR="00AC027A">
        <w:rPr>
          <w:lang w:val="es-ES"/>
        </w:rPr>
        <w:t> %</w:t>
      </w:r>
      <w:r w:rsidRPr="0076358A">
        <w:rPr>
          <w:lang w:val="es-ES"/>
        </w:rPr>
        <w:t xml:space="preserve"> de los residentes en centros urbanos disponían de conexión, mientras que en zonas rurales el porcentaje era del 74</w:t>
      </w:r>
      <w:r w:rsidR="00AC027A">
        <w:rPr>
          <w:lang w:val="es-ES"/>
        </w:rPr>
        <w:t> %</w:t>
      </w:r>
      <w:r w:rsidRPr="0076358A">
        <w:rPr>
          <w:lang w:val="es-ES"/>
        </w:rPr>
        <w:t>. Por otra parte, la cobertura 5G era del 70</w:t>
      </w:r>
      <w:r w:rsidR="00AC027A">
        <w:rPr>
          <w:lang w:val="es-ES"/>
        </w:rPr>
        <w:t> %</w:t>
      </w:r>
      <w:r w:rsidRPr="0076358A">
        <w:rPr>
          <w:lang w:val="es-ES"/>
        </w:rPr>
        <w:t xml:space="preserve"> de la población en zonas urbanas y de sólo el 31</w:t>
      </w:r>
      <w:r w:rsidR="00AC027A">
        <w:rPr>
          <w:lang w:val="es-ES"/>
        </w:rPr>
        <w:t> %</w:t>
      </w:r>
      <w:r w:rsidRPr="0076358A">
        <w:rPr>
          <w:lang w:val="es-ES"/>
        </w:rPr>
        <w:t xml:space="preserve"> en zonas rurales. La tecnología brilla totalmente por su ausencia en 26 de los 35 países.</w:t>
      </w:r>
    </w:p>
    <w:p w14:paraId="44B9F559" w14:textId="721C1BAA" w:rsidR="006B3273" w:rsidRPr="0076358A" w:rsidRDefault="006B3273" w:rsidP="006B3273">
      <w:pPr>
        <w:rPr>
          <w:rFonts w:ascii="Aptos" w:eastAsia="Aptos" w:hAnsi="Aptos" w:cs="Arial"/>
          <w:kern w:val="2"/>
          <w:sz w:val="22"/>
          <w:szCs w:val="22"/>
          <w:lang w:val="es-ES"/>
          <w14:ligatures w14:val="standardContextual"/>
        </w:rPr>
      </w:pPr>
      <w:r w:rsidRPr="0076358A">
        <w:rPr>
          <w:b/>
          <w:bCs/>
          <w:lang w:val="es-ES"/>
        </w:rPr>
        <w:t>La asequibilidad sigue siendo uno de los principales obstáculos para la conectividad universal.</w:t>
      </w:r>
      <w:r w:rsidRPr="0076358A">
        <w:rPr>
          <w:lang w:val="es-ES"/>
        </w:rPr>
        <w:t xml:space="preserve"> En 2024, el precio medio de un plan básico de banda ancha móvil en las Américas era del 1,8</w:t>
      </w:r>
      <w:r w:rsidR="00AC027A">
        <w:rPr>
          <w:lang w:val="es-ES"/>
        </w:rPr>
        <w:t> %</w:t>
      </w:r>
      <w:r w:rsidRPr="0076358A">
        <w:rPr>
          <w:lang w:val="es-ES"/>
        </w:rPr>
        <w:t xml:space="preserve"> de la renta nacional bruta (RNB) per cápita, justo por debajo del umbral de asequibilidad del 2</w:t>
      </w:r>
      <w:r w:rsidR="00AC027A">
        <w:rPr>
          <w:lang w:val="es-ES"/>
        </w:rPr>
        <w:t> %</w:t>
      </w:r>
      <w:r w:rsidRPr="0076358A">
        <w:rPr>
          <w:lang w:val="es-ES"/>
        </w:rPr>
        <w:t xml:space="preserve"> fijado por la Comisión de la Banda Ancha de las Naciones Unidas, pero muy por encima de la media mundial (1,1</w:t>
      </w:r>
      <w:r w:rsidR="00AC027A">
        <w:rPr>
          <w:lang w:val="es-ES"/>
        </w:rPr>
        <w:t> %</w:t>
      </w:r>
      <w:r w:rsidRPr="0076358A">
        <w:rPr>
          <w:lang w:val="es-ES"/>
        </w:rPr>
        <w:t>). En 16 de los 35 países, el precio se mantiene por encima del umbral. La banda ancha fija resulta siquiera menos asequible, con un precio medio asciende al 3,2</w:t>
      </w:r>
      <w:r w:rsidR="00AC027A">
        <w:rPr>
          <w:lang w:val="es-ES"/>
        </w:rPr>
        <w:t> %</w:t>
      </w:r>
      <w:r w:rsidRPr="0076358A">
        <w:rPr>
          <w:lang w:val="es-ES"/>
        </w:rPr>
        <w:t xml:space="preserve"> de la RNB per cápita, y sólo cinco países están por debajo del umbral de la Comisión de la Banda Ancha.</w:t>
      </w:r>
    </w:p>
    <w:p w14:paraId="2D0625C9" w14:textId="77777777" w:rsidR="006B3273" w:rsidRPr="0076358A" w:rsidRDefault="006B3273" w:rsidP="006B3273">
      <w:pPr>
        <w:rPr>
          <w:rFonts w:ascii="Aptos" w:eastAsia="Aptos" w:hAnsi="Aptos" w:cs="Arial"/>
          <w:kern w:val="2"/>
          <w:sz w:val="22"/>
          <w:szCs w:val="22"/>
          <w:lang w:val="es-ES"/>
          <w14:ligatures w14:val="standardContextual"/>
        </w:rPr>
      </w:pPr>
      <w:r w:rsidRPr="0076358A">
        <w:rPr>
          <w:b/>
          <w:bCs/>
          <w:lang w:val="es-ES"/>
        </w:rPr>
        <w:t>Las competencias digitales son esenciales para garantizar que la conectividad se traduzca en oportunidades.</w:t>
      </w:r>
      <w:r w:rsidRPr="0076358A">
        <w:rPr>
          <w:lang w:val="es-ES"/>
        </w:rPr>
        <w:t xml:space="preserve"> Si bien la adopción de Internet en las Américas es alta, existen grandes diferencias en cuanto a la alfabetización digital y los conocimientos de TIC, según los datos obtenidos de los seis </w:t>
      </w:r>
      <w:r w:rsidRPr="0076358A">
        <w:rPr>
          <w:lang w:val="es-ES"/>
        </w:rPr>
        <w:lastRenderedPageBreak/>
        <w:t xml:space="preserve">países sobre los que se dispone de información a este respecto. La capacidad de muchas personas para participar plenamente en la transformación digital de la región se ve mermada por este hecho. Los niveles de competencias en materia de comunicación y colaboración son muy elevados entre los usuarios de Internet, y los niveles de conocimientos digitales y de datos también tienden a ser elevados. Sin embargo, muchos usuarios carecen de las competencias necesarias para participar en línea de forma segura y productiva, con notables lagunas en la resolución de problemas y la creación de contenido. </w:t>
      </w:r>
    </w:p>
    <w:p w14:paraId="5FE44A50" w14:textId="29A4DE33" w:rsidR="006B3273" w:rsidRPr="0076358A" w:rsidRDefault="006B3273" w:rsidP="006B3273">
      <w:pPr>
        <w:rPr>
          <w:rFonts w:ascii="Aptos" w:eastAsia="Aptos" w:hAnsi="Aptos" w:cs="Arial"/>
          <w:kern w:val="2"/>
          <w:sz w:val="22"/>
          <w:szCs w:val="22"/>
          <w:lang w:val="es-ES"/>
          <w14:ligatures w14:val="standardContextual"/>
        </w:rPr>
      </w:pPr>
      <w:r w:rsidRPr="0076358A">
        <w:rPr>
          <w:b/>
          <w:bCs/>
          <w:lang w:val="es-ES"/>
        </w:rPr>
        <w:t>Para reducir estas brechas se precisa de marcos políticos y reglamentarios sólidos.</w:t>
      </w:r>
      <w:r w:rsidRPr="0076358A">
        <w:rPr>
          <w:lang w:val="es-ES"/>
        </w:rPr>
        <w:t xml:space="preserve"> Disponer de una regulación eficaz es un catalizador fundamental de la conectividad, ya que propicia la competencia, la inversión y la innovación. Aunque dos tercios de los países de la región han alcanzado el nivel G3 según el baremo de madurez reglamentaria de la UIT, "Generaciones de reglamentación de las TIC", o incluso el G4 -que es el nivel más alto- el progreso se ha ralentizado. América del Norte cuenta con marcos de política digital consolidados, mientras que América Latina y el Caribe presentan diferencias notables. Mientras que algunos países </w:t>
      </w:r>
      <w:r w:rsidR="00A945AF">
        <w:rPr>
          <w:lang w:val="es-ES"/>
        </w:rPr>
        <w:t>disponen de</w:t>
      </w:r>
      <w:r w:rsidRPr="0076358A">
        <w:rPr>
          <w:lang w:val="es-ES"/>
        </w:rPr>
        <w:t xml:space="preserve"> entornos reglamentarios avanzados que fomentan la inversión y la competencia, otros siguen funcionando en marcos menos desarrollados, lo que menoscaba el crecimiento digital. Los PEID y los PDSL suelen tener una capacidad reglamentaria limitada, lo que dificulta aún más su transformación digital.</w:t>
      </w:r>
    </w:p>
    <w:p w14:paraId="5403C50A" w14:textId="004153BB" w:rsidR="006B3273" w:rsidRPr="0076358A" w:rsidRDefault="006B3273" w:rsidP="006B3273">
      <w:pPr>
        <w:rPr>
          <w:rFonts w:ascii="Aptos" w:eastAsia="Aptos" w:hAnsi="Aptos" w:cs="Arial"/>
          <w:kern w:val="2"/>
          <w:sz w:val="22"/>
          <w:szCs w:val="22"/>
          <w:lang w:val="es-ES"/>
          <w14:ligatures w14:val="standardContextual"/>
        </w:rPr>
      </w:pPr>
      <w:r w:rsidRPr="0076358A">
        <w:rPr>
          <w:b/>
          <w:bCs/>
          <w:lang w:val="es-ES"/>
        </w:rPr>
        <w:t>La ciberseguridad es muy dispar en la región.</w:t>
      </w:r>
      <w:r w:rsidRPr="0076358A">
        <w:rPr>
          <w:lang w:val="es-ES"/>
        </w:rPr>
        <w:t xml:space="preserve"> El grado de preparación en materia de ciberseguridad difiere considerablemente de un país a otro. El Índice de Ciberseguridad Global (ICG) 2024 revela una brecha de 82 puntos entre el país mejor preparado (99,9 sobre 100) y el peor clasificado (18,2), con un promedio regional de 53, muy por debajo del promedio mundial de</w:t>
      </w:r>
      <w:r w:rsidR="002A1033">
        <w:rPr>
          <w:lang w:val="es-ES"/>
        </w:rPr>
        <w:t> </w:t>
      </w:r>
      <w:r w:rsidRPr="0076358A">
        <w:rPr>
          <w:lang w:val="es-ES"/>
        </w:rPr>
        <w:t>66. Si bien 21 países de las Américas han establecido equipos nacionales de respuesta a incidentes informáticos, sigue siendo necesario adoptar medidas de ciberseguridad más estrictas y coordinar esfuerzos en el plano regional.</w:t>
      </w:r>
    </w:p>
    <w:p w14:paraId="2FAAF2A4" w14:textId="1AE52858" w:rsidR="006B3273" w:rsidRPr="0076358A" w:rsidRDefault="006B3273" w:rsidP="006B3273">
      <w:pPr>
        <w:rPr>
          <w:rFonts w:ascii="Aptos" w:eastAsia="Aptos" w:hAnsi="Aptos" w:cs="Arial"/>
          <w:kern w:val="2"/>
          <w:sz w:val="22"/>
          <w:szCs w:val="22"/>
          <w:lang w:val="es-ES"/>
          <w14:ligatures w14:val="standardContextual"/>
        </w:rPr>
      </w:pPr>
      <w:r w:rsidRPr="0076358A">
        <w:rPr>
          <w:b/>
          <w:bCs/>
          <w:lang w:val="es-ES"/>
        </w:rPr>
        <w:t>La sostenibilidad medioambiental es un problema cada vez más acuciante.</w:t>
      </w:r>
      <w:r w:rsidRPr="0076358A">
        <w:rPr>
          <w:lang w:val="es-ES"/>
        </w:rPr>
        <w:t xml:space="preserve"> Las Américas generaron aproximadamente 14 300 millones de kilogramos de residuos electrónicos en 2022, lo que representa el 23</w:t>
      </w:r>
      <w:r w:rsidR="00AC027A">
        <w:rPr>
          <w:lang w:val="es-ES"/>
        </w:rPr>
        <w:t> %</w:t>
      </w:r>
      <w:r w:rsidRPr="0076358A">
        <w:rPr>
          <w:lang w:val="es-ES"/>
        </w:rPr>
        <w:t xml:space="preserve"> de los residuos electrónicos generados en todo el mundo. Las tasas de reciclaje siguen siendo bajas: el 30</w:t>
      </w:r>
      <w:r w:rsidR="00AC027A">
        <w:rPr>
          <w:lang w:val="es-ES"/>
        </w:rPr>
        <w:t> %</w:t>
      </w:r>
      <w:r w:rsidRPr="0076358A">
        <w:rPr>
          <w:lang w:val="es-ES"/>
        </w:rPr>
        <w:t xml:space="preserve"> de los residuos electrónicos de la región se recogieron y reciclaron adecuadamente, y sólo 20 países informaron de sistemas formales de recogida y reciclaje. Los importantes retos ambientales y económicos que ello plantea hacen que resulte imprescindible mejorar los mecanismos de reciclaje y responsabilidad ampliada del productor.</w:t>
      </w:r>
    </w:p>
    <w:p w14:paraId="4C2B4788" w14:textId="77777777" w:rsidR="006B3273" w:rsidRPr="0076358A" w:rsidRDefault="006B3273" w:rsidP="006B3273">
      <w:pPr>
        <w:rPr>
          <w:rFonts w:ascii="Aptos" w:eastAsia="Aptos" w:hAnsi="Aptos" w:cs="Arial"/>
          <w:kern w:val="2"/>
          <w:sz w:val="22"/>
          <w:szCs w:val="22"/>
          <w:lang w:val="es-ES"/>
          <w14:ligatures w14:val="standardContextual"/>
        </w:rPr>
      </w:pPr>
      <w:r w:rsidRPr="0076358A">
        <w:rPr>
          <w:b/>
          <w:bCs/>
          <w:lang w:val="es-ES"/>
        </w:rPr>
        <w:t>Algunos testimonios de la región demuestran el poder transformador de la conectividad digital.</w:t>
      </w:r>
      <w:r w:rsidRPr="0076358A">
        <w:rPr>
          <w:lang w:val="es-ES"/>
        </w:rPr>
        <w:t xml:space="preserve"> En la segunda parte de este documento se presenta una serie de iniciativas respaldadas por la UIT que ponen de relieve la incidencia de la inclusión digital en toda la región. En el Campamento sobre Redes TIC en Guatemala se impartió formación a líderes indígenas y rurales en la creación y gestión de redes comunitarias. La República Dominicana y Paraguay registraron progresos en la reglamentación de los residuos electrónicos para promover el desarrollo digital sostenible. En el Caribe, en el marco del proyecto Mares Inteligentes dota a los pescadores artesanales de herramientas digitales para la seguridad marítima. En Argentina, la iniciativa </w:t>
      </w:r>
      <w:r w:rsidRPr="0076358A">
        <w:rPr>
          <w:i/>
          <w:iCs/>
          <w:lang w:val="es-ES"/>
        </w:rPr>
        <w:t>Americas Girls Can Code</w:t>
      </w:r>
      <w:r w:rsidRPr="0076358A">
        <w:rPr>
          <w:lang w:val="es-ES"/>
        </w:rPr>
        <w:t xml:space="preserve"> promueve la programación y los conocimientos STEM entre las mujeres jóvenes. El proyecto de mapa de la banda ancha de Uruguay permite mejorar la planificación de la infraestructura digital y las acciones de respuesta de la UIT ante catástrofes, como los desplegados tras el huracán Beryl, ponen de relieve el papel que desempeñan las telecomunicaciones resilientes en las crisis.</w:t>
      </w:r>
    </w:p>
    <w:p w14:paraId="336410F6" w14:textId="571EED0F" w:rsidR="006B3273" w:rsidRPr="0076358A" w:rsidRDefault="006B3273" w:rsidP="006B3273">
      <w:pPr>
        <w:rPr>
          <w:rFonts w:ascii="Aptos" w:eastAsia="Aptos" w:hAnsi="Aptos" w:cs="Arial"/>
          <w:kern w:val="2"/>
          <w:sz w:val="22"/>
          <w:szCs w:val="22"/>
          <w:lang w:val="es-ES"/>
          <w14:ligatures w14:val="standardContextual"/>
        </w:rPr>
      </w:pPr>
      <w:r w:rsidRPr="0076358A">
        <w:rPr>
          <w:b/>
          <w:bCs/>
          <w:lang w:val="es-ES"/>
        </w:rPr>
        <w:t>Lograr una conectividad universal y efectiva exigirá un esfuerzo colectivo.</w:t>
      </w:r>
      <w:r w:rsidRPr="0076358A">
        <w:rPr>
          <w:lang w:val="es-ES"/>
        </w:rPr>
        <w:t xml:space="preserve"> Para ampliar la infraestructura, mejorar la asequibilidad y mejorar las competencias digitales será necesaria la </w:t>
      </w:r>
      <w:r w:rsidRPr="0076358A">
        <w:rPr>
          <w:lang w:val="es-ES"/>
        </w:rPr>
        <w:lastRenderedPageBreak/>
        <w:t>cooperación entre los gobiernos, el sector privado y las organizaciones internacionales. A tal efecto, resultará esencial mejorar la cooperación en materia de reglamentación, abordar los riesgos de ciberseguridad y aplicar políticas sostenibles en materia de residuos electrónicos. Las estrategias deben adaptarse para que reconozcan las enormes disparidades geográficas, demográficas y socioeconómicas de la región, así como los diferentes niveles de desarrollo digital y capacidades nacionales.</w:t>
      </w:r>
      <w:r w:rsidR="00DF1C96" w:rsidRPr="0076358A">
        <w:rPr>
          <w:lang w:val="es-ES"/>
        </w:rPr>
        <w:t xml:space="preserve"> </w:t>
      </w:r>
    </w:p>
    <w:p w14:paraId="20EB7E11" w14:textId="77777777" w:rsidR="006B3273" w:rsidRPr="00183E0A" w:rsidRDefault="006B3273" w:rsidP="006B3273">
      <w:pPr>
        <w:tabs>
          <w:tab w:val="clear" w:pos="794"/>
          <w:tab w:val="clear" w:pos="1191"/>
          <w:tab w:val="clear" w:pos="1588"/>
          <w:tab w:val="clear" w:pos="1985"/>
        </w:tabs>
        <w:overflowPunct/>
        <w:autoSpaceDE/>
        <w:autoSpaceDN/>
        <w:adjustRightInd/>
        <w:spacing w:before="0"/>
        <w:textAlignment w:val="auto"/>
        <w:rPr>
          <w:rFonts w:eastAsia="Yu Gothic Light" w:cstheme="minorHAnsi"/>
          <w:kern w:val="2"/>
          <w:szCs w:val="24"/>
          <w:lang w:val="es-ES"/>
          <w14:ligatures w14:val="standardContextual"/>
        </w:rPr>
      </w:pPr>
      <w:r w:rsidRPr="0076358A">
        <w:rPr>
          <w:lang w:val="es-ES"/>
        </w:rPr>
        <w:br w:type="page"/>
      </w:r>
    </w:p>
    <w:p w14:paraId="05501DB5" w14:textId="77777777" w:rsidR="006B3273" w:rsidRPr="00605E17" w:rsidRDefault="006B3273" w:rsidP="006B3273">
      <w:pPr>
        <w:pStyle w:val="Parttitle0"/>
        <w:rPr>
          <w:rFonts w:asciiTheme="minorHAnsi" w:hAnsiTheme="minorHAnsi" w:cstheme="minorHAnsi"/>
          <w:color w:val="auto"/>
          <w:lang w:val="es-ES"/>
        </w:rPr>
      </w:pPr>
      <w:bookmarkStart w:id="6" w:name="_Toc193034312"/>
      <w:r w:rsidRPr="00605E17">
        <w:rPr>
          <w:rFonts w:asciiTheme="minorHAnsi" w:hAnsiTheme="minorHAnsi" w:cstheme="minorHAnsi"/>
          <w:color w:val="auto"/>
          <w:lang w:val="es-ES"/>
        </w:rPr>
        <w:lastRenderedPageBreak/>
        <w:t>Parte 1. Situación de la conectividad digital en la región de las Américas y tendencias recientes</w:t>
      </w:r>
      <w:bookmarkEnd w:id="6"/>
    </w:p>
    <w:p w14:paraId="6D905FD3" w14:textId="77777777" w:rsidR="006B3273" w:rsidRPr="00605E17" w:rsidRDefault="006B3273" w:rsidP="006B3273">
      <w:pPr>
        <w:pStyle w:val="Section"/>
        <w:rPr>
          <w:rFonts w:asciiTheme="minorHAnsi" w:hAnsiTheme="minorHAnsi" w:cstheme="minorHAnsi"/>
          <w:color w:val="auto"/>
          <w:lang w:val="es-ES"/>
        </w:rPr>
      </w:pPr>
      <w:bookmarkStart w:id="7" w:name="_Toc193034313"/>
      <w:r w:rsidRPr="00605E17">
        <w:rPr>
          <w:rFonts w:asciiTheme="minorHAnsi" w:hAnsiTheme="minorHAnsi" w:cstheme="minorHAnsi"/>
          <w:color w:val="auto"/>
          <w:lang w:val="es-ES"/>
        </w:rPr>
        <w:t>Reglamentación de las TIC y marcos de política digital</w:t>
      </w:r>
      <w:bookmarkEnd w:id="7"/>
    </w:p>
    <w:p w14:paraId="56B90EE6" w14:textId="50E66B96"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Los marcos de reglamentación de las TIC y de política digital</w:t>
      </w:r>
      <w:r w:rsidR="00FA3A2D">
        <w:rPr>
          <w:lang w:val="es-ES"/>
        </w:rPr>
        <w:t xml:space="preserve"> evolucionan</w:t>
      </w:r>
      <w:r w:rsidRPr="0076358A">
        <w:rPr>
          <w:lang w:val="es-ES"/>
        </w:rPr>
        <w:t xml:space="preserve"> constantemente</w:t>
      </w:r>
      <w:r w:rsidR="00FA3A2D">
        <w:rPr>
          <w:lang w:val="es-ES"/>
        </w:rPr>
        <w:t xml:space="preserve"> y </w:t>
      </w:r>
      <w:r w:rsidRPr="0076358A">
        <w:rPr>
          <w:lang w:val="es-ES"/>
        </w:rPr>
        <w:t xml:space="preserve">desempeñan un papel fundamental para impulsar una transformación digital inclusiva y sostenible y fomentar economías digitales prósperas. </w:t>
      </w:r>
      <w:r w:rsidR="00E74E57">
        <w:rPr>
          <w:lang w:val="es-ES"/>
        </w:rPr>
        <w:t>A fin de</w:t>
      </w:r>
      <w:r w:rsidRPr="0076358A">
        <w:rPr>
          <w:lang w:val="es-ES"/>
        </w:rPr>
        <w:t xml:space="preserve"> garantizar que los marcos nacionales sigan siendo eficaces y adaptativos, es fundamental evaluar los progresos, identificar las prácticas idóneas y colmar las lagunas existentes.</w:t>
      </w:r>
    </w:p>
    <w:p w14:paraId="147D611A"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lang w:val="es-ES"/>
          <w14:ligatures w14:val="standardContextual"/>
        </w:rPr>
      </w:pPr>
      <w:r w:rsidRPr="0076358A">
        <w:rPr>
          <w:b/>
          <w:bCs/>
          <w:i/>
          <w:iCs/>
          <w:lang w:val="es-ES"/>
        </w:rPr>
        <w:t>Reglamentación de las TIC en las Américas: progreso constante, pero a un ritmo decreciente</w:t>
      </w:r>
      <w:r w:rsidRPr="0076358A">
        <w:rPr>
          <w:lang w:val="es-ES"/>
        </w:rPr>
        <w:t xml:space="preserve"> </w:t>
      </w:r>
    </w:p>
    <w:p w14:paraId="2902EA3A" w14:textId="0FA3DE48"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 xml:space="preserve">En los últimos 15 años, la reglamentación de las TIC ha reconfigurado los mercados de las Américas. Hoy en día, dos tercios de los países de la región han adoptado marcos reglamentarios avanzados, clasificados de tercera generación (G3) o de cuarta generación (G4) </w:t>
      </w:r>
      <w:r w:rsidR="007F28CD">
        <w:rPr>
          <w:lang w:val="es-ES"/>
        </w:rPr>
        <w:t>según</w:t>
      </w:r>
      <w:r w:rsidRPr="0076358A">
        <w:rPr>
          <w:lang w:val="es-ES"/>
        </w:rPr>
        <w:t xml:space="preserve"> el Rastreador de Reglamentación de las TIC de la UIT. Brasil y Estados Unidos fueron los primeros de la región en unirse al grupo de países </w:t>
      </w:r>
      <w:r w:rsidR="00394B13">
        <w:rPr>
          <w:lang w:val="es-ES"/>
        </w:rPr>
        <w:t xml:space="preserve">de la </w:t>
      </w:r>
      <w:r w:rsidRPr="0076358A">
        <w:rPr>
          <w:lang w:val="es-ES"/>
        </w:rPr>
        <w:t xml:space="preserve">G4 en 2010. En aquel momento sólo había 24 países en la categoría G4 en todo el mundo, mientras que ahora hay 74. </w:t>
      </w:r>
    </w:p>
    <w:p w14:paraId="6FE08D5B" w14:textId="77777777" w:rsidR="006B3273" w:rsidRPr="0076358A" w:rsidRDefault="006B3273" w:rsidP="00496948">
      <w:pPr>
        <w:tabs>
          <w:tab w:val="clear" w:pos="794"/>
          <w:tab w:val="clear" w:pos="1191"/>
          <w:tab w:val="clear" w:pos="1588"/>
          <w:tab w:val="clear" w:pos="1985"/>
        </w:tabs>
        <w:overflowPunct/>
        <w:autoSpaceDE/>
        <w:autoSpaceDN/>
        <w:adjustRightInd/>
        <w:spacing w:before="0" w:after="240" w:line="259" w:lineRule="auto"/>
        <w:textAlignment w:val="auto"/>
        <w:rPr>
          <w:rFonts w:ascii="Aptos" w:eastAsia="Aptos" w:hAnsi="Aptos" w:cs="Arial"/>
          <w:kern w:val="2"/>
          <w:sz w:val="22"/>
          <w:szCs w:val="22"/>
          <w:lang w:val="es-ES"/>
          <w14:ligatures w14:val="standardContextual"/>
        </w:rPr>
      </w:pPr>
      <w:r w:rsidRPr="0076358A">
        <w:rPr>
          <w:lang w:val="es-ES"/>
        </w:rPr>
        <w:t>Sin embargo, desde 2015 la evolución de la reglamentación en la región se ha ralentizado y son pocos los países han pasado a una generación superior. Dos países permanecen hoy en la primera generación, a más de 60 puntos porcentuales de los líderes regionales.</w:t>
      </w:r>
    </w:p>
    <w:p w14:paraId="582C4D8B" w14:textId="77777777" w:rsidR="00C71873" w:rsidRPr="00605E17" w:rsidRDefault="00C71873" w:rsidP="00496948">
      <w:pPr>
        <w:pStyle w:val="Figuretitle"/>
        <w:spacing w:after="240"/>
        <w:rPr>
          <w:lang w:val="es-ES"/>
        </w:rPr>
      </w:pPr>
      <w:r w:rsidRPr="00605E17">
        <w:rPr>
          <w:lang w:val="es-ES"/>
        </w:rPr>
        <w:t>Evolución de las generaciones de reglamentación de las TIC en la región de las Américas</w:t>
      </w:r>
    </w:p>
    <w:p w14:paraId="36A7A636" w14:textId="77777777" w:rsidR="00C71873" w:rsidRDefault="00C71873" w:rsidP="00C71873">
      <w:pPr>
        <w:pStyle w:val="Figurelegend"/>
        <w:rPr>
          <w:lang w:val="es-ES"/>
        </w:rPr>
      </w:pPr>
      <w:r>
        <w:rPr>
          <w:noProof/>
        </w:rPr>
        <w:drawing>
          <wp:inline distT="0" distB="0" distL="0" distR="0" wp14:anchorId="5A668495" wp14:editId="0F142AA3">
            <wp:extent cx="6132830" cy="2671638"/>
            <wp:effectExtent l="0" t="0" r="1270" b="0"/>
            <wp:docPr id="7190711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5865"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6188071" cy="2695703"/>
                    </a:xfrm>
                    <a:prstGeom prst="rect">
                      <a:avLst/>
                    </a:prstGeom>
                  </pic:spPr>
                </pic:pic>
              </a:graphicData>
            </a:graphic>
          </wp:inline>
        </w:drawing>
      </w:r>
    </w:p>
    <w:p w14:paraId="58A041DA" w14:textId="77777777" w:rsidR="00C71873" w:rsidRPr="0019710F" w:rsidRDefault="00C71873" w:rsidP="00C71873">
      <w:pPr>
        <w:pStyle w:val="Figurelegend"/>
        <w:spacing w:before="0" w:after="60"/>
        <w:rPr>
          <w:szCs w:val="18"/>
          <w:lang w:val="es-ES"/>
        </w:rPr>
      </w:pPr>
      <w:r w:rsidRPr="0019710F">
        <w:rPr>
          <w:szCs w:val="18"/>
          <w:lang w:val="es-ES"/>
        </w:rPr>
        <w:t>Nota: Las distintas "generaciones de reglamentación de las TIC" constituyen un marco conceptual que permite evaluar el desarrollo general de los instrumentos jurídicos, las políticas y la gobernanza a escala nacional en los sectores digital y de las TIC. Las generaciones 1 a 4 se basan en las puntuaciones del Rastreador de Reglamentación de las TIC:</w:t>
      </w:r>
    </w:p>
    <w:p w14:paraId="170B390A" w14:textId="77777777" w:rsidR="00C71873" w:rsidRPr="0019710F" w:rsidRDefault="00C71873" w:rsidP="00496948">
      <w:pPr>
        <w:pStyle w:val="Figurelegend"/>
        <w:keepNext w:val="0"/>
        <w:keepLines w:val="0"/>
        <w:widowControl w:val="0"/>
        <w:spacing w:before="0" w:after="0"/>
        <w:rPr>
          <w:szCs w:val="18"/>
          <w:lang w:val="es-ES"/>
        </w:rPr>
      </w:pPr>
      <w:r w:rsidRPr="0019710F">
        <w:rPr>
          <w:szCs w:val="18"/>
          <w:lang w:val="es-ES"/>
        </w:rPr>
        <w:t>G1 – Estrategia de mando y control: puntuación entre 0 y 40</w:t>
      </w:r>
    </w:p>
    <w:p w14:paraId="2497FD3E" w14:textId="77777777" w:rsidR="00C71873" w:rsidRPr="0019710F" w:rsidRDefault="00C71873" w:rsidP="00496948">
      <w:pPr>
        <w:pStyle w:val="Figurelegend"/>
        <w:keepNext w:val="0"/>
        <w:keepLines w:val="0"/>
        <w:widowControl w:val="0"/>
        <w:spacing w:before="0" w:after="0"/>
        <w:rPr>
          <w:szCs w:val="18"/>
          <w:lang w:val="es-ES"/>
        </w:rPr>
      </w:pPr>
      <w:r w:rsidRPr="0019710F">
        <w:rPr>
          <w:szCs w:val="18"/>
          <w:lang w:val="es-ES"/>
        </w:rPr>
        <w:t xml:space="preserve">G2 – Apertura temprana de los mercados: puntuación entre 40 y 70 </w:t>
      </w:r>
    </w:p>
    <w:p w14:paraId="75DAE75F" w14:textId="77777777" w:rsidR="00C71873" w:rsidRPr="0019710F" w:rsidRDefault="00C71873" w:rsidP="00496948">
      <w:pPr>
        <w:pStyle w:val="Figurelegend"/>
        <w:keepNext w:val="0"/>
        <w:keepLines w:val="0"/>
        <w:widowControl w:val="0"/>
        <w:spacing w:before="0" w:after="0"/>
        <w:rPr>
          <w:szCs w:val="18"/>
          <w:lang w:val="es-ES"/>
        </w:rPr>
      </w:pPr>
      <w:r w:rsidRPr="0019710F">
        <w:rPr>
          <w:szCs w:val="18"/>
          <w:lang w:val="es-ES"/>
        </w:rPr>
        <w:t xml:space="preserve">G3 – Facilitación de la inversión y el acceso: puntuación entre 70 y 85 </w:t>
      </w:r>
    </w:p>
    <w:p w14:paraId="69EB1C06" w14:textId="77777777" w:rsidR="00C71873" w:rsidRPr="0019710F" w:rsidRDefault="00C71873" w:rsidP="00496948">
      <w:pPr>
        <w:pStyle w:val="Figurelegend"/>
        <w:keepNext w:val="0"/>
        <w:keepLines w:val="0"/>
        <w:widowControl w:val="0"/>
        <w:spacing w:before="0" w:after="0"/>
        <w:rPr>
          <w:szCs w:val="18"/>
          <w:lang w:val="es-ES"/>
        </w:rPr>
      </w:pPr>
      <w:r w:rsidRPr="0019710F">
        <w:rPr>
          <w:szCs w:val="18"/>
          <w:lang w:val="es-ES"/>
        </w:rPr>
        <w:t>G4 – Reglamentación integrada de las telecomunicaciones: puntuación entre 85 y 100</w:t>
      </w:r>
    </w:p>
    <w:p w14:paraId="7B9EFD66" w14:textId="77777777" w:rsidR="00C71873" w:rsidRPr="0019710F" w:rsidRDefault="00C71873" w:rsidP="00496948">
      <w:pPr>
        <w:pStyle w:val="Figurelegend"/>
        <w:keepNext w:val="0"/>
        <w:keepLines w:val="0"/>
        <w:widowControl w:val="0"/>
        <w:spacing w:before="0" w:after="0"/>
        <w:rPr>
          <w:szCs w:val="18"/>
          <w:lang w:val="es-ES"/>
        </w:rPr>
      </w:pPr>
      <w:r w:rsidRPr="0019710F">
        <w:rPr>
          <w:szCs w:val="18"/>
          <w:lang w:val="es-ES"/>
        </w:rPr>
        <w:t>No se dispone de datos para 2021; los datos de 2020 se utilizan como referencia para 2021.</w:t>
      </w:r>
    </w:p>
    <w:p w14:paraId="1D6C2F7D" w14:textId="77777777" w:rsidR="00C71873" w:rsidRPr="0019710F" w:rsidRDefault="00C71873" w:rsidP="00490BBD">
      <w:pPr>
        <w:pStyle w:val="Sourcetext"/>
      </w:pPr>
      <w:r w:rsidRPr="0019710F">
        <w:lastRenderedPageBreak/>
        <w:t>Fuente: UIT</w:t>
      </w:r>
    </w:p>
    <w:p w14:paraId="5AB5B122" w14:textId="0704A263"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 xml:space="preserve">Los países con perfiles geográficos diferentes han evolucionado a distinto ritmo. Si bien una leve mayoría de pequeños Estados insulares en desarrollo (PEID) permanece en </w:t>
      </w:r>
      <w:r w:rsidR="00F75755">
        <w:rPr>
          <w:lang w:val="es-ES"/>
        </w:rPr>
        <w:t xml:space="preserve">la categoría </w:t>
      </w:r>
      <w:r w:rsidRPr="0076358A">
        <w:rPr>
          <w:lang w:val="es-ES"/>
        </w:rPr>
        <w:t xml:space="preserve">G1 y G2, otros han adoptado marcos reglamentarios más avanzados. Tres PEID –Bahamas, República Dominicana y Trinidad y Tabago– alcanzaron </w:t>
      </w:r>
      <w:r w:rsidR="00991AA4">
        <w:rPr>
          <w:lang w:val="es-ES"/>
        </w:rPr>
        <w:t>la</w:t>
      </w:r>
      <w:r w:rsidRPr="0076358A">
        <w:rPr>
          <w:lang w:val="es-ES"/>
        </w:rPr>
        <w:t xml:space="preserve"> G4 en 2022. Asimismo, dos países en desarrollo sin litoral (PDSL) de la región, a saber, Bolivia y Paraguay, han alcanzado </w:t>
      </w:r>
      <w:r w:rsidR="00F75755">
        <w:rPr>
          <w:lang w:val="es-ES"/>
        </w:rPr>
        <w:t>la</w:t>
      </w:r>
      <w:r w:rsidRPr="0076358A">
        <w:rPr>
          <w:lang w:val="es-ES"/>
        </w:rPr>
        <w:t xml:space="preserve"> G2. </w:t>
      </w:r>
    </w:p>
    <w:p w14:paraId="07593D9F" w14:textId="3EFDB65D"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A pesar de estos avances, los marcos reglamentarios de la mayoría de los países de la región</w:t>
      </w:r>
      <w:r w:rsidR="00DF1C96" w:rsidRPr="0076358A">
        <w:rPr>
          <w:lang w:val="es-ES"/>
        </w:rPr>
        <w:t xml:space="preserve"> </w:t>
      </w:r>
      <w:r w:rsidRPr="0076358A">
        <w:rPr>
          <w:lang w:val="es-ES"/>
        </w:rPr>
        <w:t xml:space="preserve">necesitan seguir evolucionando para estar en consonancia con las tendencias mundiales y sentar unas bases sólidas para la transformación digital. </w:t>
      </w:r>
    </w:p>
    <w:p w14:paraId="059DAF31"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lang w:val="es-ES"/>
          <w14:ligatures w14:val="standardContextual"/>
        </w:rPr>
      </w:pPr>
      <w:r w:rsidRPr="0076358A">
        <w:rPr>
          <w:b/>
          <w:bCs/>
          <w:i/>
          <w:iCs/>
          <w:lang w:val="es-ES"/>
        </w:rPr>
        <w:t>Desarrollo fragmentado de la gobernanza digital</w:t>
      </w:r>
    </w:p>
    <w:p w14:paraId="0D56A7A5" w14:textId="25EBBA68"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En lo que respecta a la gobernanza digital, tanto América Latina como América del Norte cuentan con países en la categoría G5, el referente en materia de reglamentación digital colaborativa. En</w:t>
      </w:r>
      <w:r w:rsidR="00991AA4">
        <w:rPr>
          <w:lang w:val="es-ES"/>
        </w:rPr>
        <w:t> </w:t>
      </w:r>
      <w:r w:rsidRPr="0076358A">
        <w:rPr>
          <w:lang w:val="es-ES"/>
        </w:rPr>
        <w:t>2023</w:t>
      </w:r>
      <w:r w:rsidR="006B7CEF">
        <w:rPr>
          <w:lang w:val="es-ES"/>
        </w:rPr>
        <w:t>,</w:t>
      </w:r>
      <w:r w:rsidRPr="0076358A">
        <w:rPr>
          <w:lang w:val="es-ES"/>
        </w:rPr>
        <w:t xml:space="preserve"> Canadá y Colombia se enc</w:t>
      </w:r>
      <w:r w:rsidR="00015FF1">
        <w:rPr>
          <w:lang w:val="es-ES"/>
        </w:rPr>
        <w:t>o</w:t>
      </w:r>
      <w:r w:rsidRPr="0076358A">
        <w:rPr>
          <w:lang w:val="es-ES"/>
        </w:rPr>
        <w:t>ntra</w:t>
      </w:r>
      <w:r w:rsidR="006B7CEF">
        <w:rPr>
          <w:lang w:val="es-ES"/>
        </w:rPr>
        <w:t>ba</w:t>
      </w:r>
      <w:r w:rsidRPr="0076358A">
        <w:rPr>
          <w:lang w:val="es-ES"/>
        </w:rPr>
        <w:t>n entre los 10 primeros países del mundo y pertenecen al selecto grupo de 19 países en la categoría G5.</w:t>
      </w:r>
      <w:r w:rsidRPr="0076358A">
        <w:rPr>
          <w:rStyle w:val="FootnoteReference"/>
          <w:rFonts w:eastAsia="Aptos" w:cs="Arial"/>
          <w:kern w:val="2"/>
          <w:szCs w:val="22"/>
          <w:lang w:val="es-ES"/>
          <w14:ligatures w14:val="standardContextual"/>
        </w:rPr>
        <w:footnoteReference w:id="2"/>
      </w:r>
      <w:r w:rsidRPr="0076358A">
        <w:rPr>
          <w:lang w:val="es-ES"/>
        </w:rPr>
        <w:t xml:space="preserve"> América del Norte, junto con Europa, siguen siendo las únicas regiones con un índice de referencia G5 medio en el umbral avanzado o superior, caracterizado por la prevalencia de mecanismos e instituciones nacionales de colaboración oficial, la aplicación de principios de diseño de políticas muy elaborados, la aplicación de marcos propicios para la economía digital y una sólida agenda digital nacional.</w:t>
      </w:r>
    </w:p>
    <w:p w14:paraId="506A2B4C" w14:textId="3030EFA5"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 xml:space="preserve">En cambio, dos tercios de los países de la región aún permanecen en el nivel de gobernanza limitada o transitoria de la G5, lo que indica una considerable fragmentación entre los más avanzados y los menos avanzados. </w:t>
      </w:r>
      <w:r w:rsidR="006B3632">
        <w:rPr>
          <w:lang w:val="es-ES"/>
        </w:rPr>
        <w:t xml:space="preserve">Salvo </w:t>
      </w:r>
      <w:r w:rsidRPr="0076358A">
        <w:rPr>
          <w:lang w:val="es-ES"/>
        </w:rPr>
        <w:t xml:space="preserve">República Dominicana, todos los PEID y los dos PDSL de la región entran en esta categoría, lo que pone de manifiesto los problemas sistémicos y obstáculos persistentes al progreso de la gobernanza digital. </w:t>
      </w:r>
    </w:p>
    <w:p w14:paraId="140BF1F5"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lang w:val="es-ES"/>
          <w14:ligatures w14:val="standardContextual"/>
        </w:rPr>
      </w:pPr>
      <w:r w:rsidRPr="0076358A">
        <w:rPr>
          <w:b/>
          <w:bCs/>
          <w:i/>
          <w:iCs/>
          <w:lang w:val="es-ES"/>
        </w:rPr>
        <w:t>El grado de preparación de los marcos nacionales en las Américas se ajusta a las tendencias mundiales, pero los PEID están a la zaga</w:t>
      </w:r>
    </w:p>
    <w:p w14:paraId="294DF456" w14:textId="410ED805"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 xml:space="preserve">Para lograr una conectividad universal y efectiva y economías digitales inclusivas se requiere que los marcos políticos, jurídicos y de gobernanza nacionales tengan un avanzado grado de preparación digital, junto con una reglamentación sólida de las TIC y una gobernanza digital adaptable. Para facilitar la transformación digital en todos los sectores, los países deben elaborar marcos nacionales equilibrados y coherentes y aplicarlos satisfactoriamente. Por </w:t>
      </w:r>
      <w:r w:rsidR="003C1A09">
        <w:rPr>
          <w:lang w:val="es-ES"/>
        </w:rPr>
        <w:t>añadidura</w:t>
      </w:r>
      <w:r w:rsidRPr="0076358A">
        <w:rPr>
          <w:lang w:val="es-ES"/>
        </w:rPr>
        <w:t>, para lograr la armonización regional y la integración económica resulta también esencial disponer de marcos nacionales modernos que estén en consonancia con las prácticas idóneas en materia de reglamentación, de modo que las TIC y las políticas digitales se cuenten entre las principales prioridades de las agendas de desarrollo nacionales y regionales.</w:t>
      </w:r>
    </w:p>
    <w:p w14:paraId="2EA340CA" w14:textId="77777777" w:rsidR="006B3273" w:rsidRPr="005142E6" w:rsidRDefault="006B3273" w:rsidP="005142E6">
      <w:pPr>
        <w:pStyle w:val="Figuretitle"/>
        <w:keepNext/>
        <w:rPr>
          <w:lang w:val="es-ES"/>
        </w:rPr>
      </w:pPr>
      <w:r w:rsidRPr="003448C4">
        <w:rPr>
          <w:lang w:val="es-ES"/>
        </w:rPr>
        <w:lastRenderedPageBreak/>
        <w:t>Marcos jurídicos, políticos y de gobernanza para la transformación digital, 2023</w:t>
      </w:r>
    </w:p>
    <w:p w14:paraId="47F94C0A" w14:textId="69CD66EC" w:rsidR="006B3273" w:rsidRPr="0076358A" w:rsidRDefault="0019710F" w:rsidP="006B327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lang w:val="es-ES"/>
          <w14:ligatures w14:val="standardContextual"/>
        </w:rPr>
      </w:pPr>
      <w:r w:rsidRPr="0019710F">
        <w:rPr>
          <w:rFonts w:ascii="Aptos" w:eastAsia="Aptos" w:hAnsi="Aptos" w:cs="Arial"/>
          <w:noProof/>
          <w:kern w:val="2"/>
          <w:sz w:val="16"/>
          <w:szCs w:val="28"/>
          <w14:ligatures w14:val="standardContextual"/>
        </w:rPr>
        <w:drawing>
          <wp:inline distT="0" distB="0" distL="0" distR="0" wp14:anchorId="07F26340" wp14:editId="0BF71E2F">
            <wp:extent cx="6170212" cy="3816626"/>
            <wp:effectExtent l="0" t="0" r="2540" b="0"/>
            <wp:docPr id="322837580" name="Chart 1">
              <a:extLst xmlns:a="http://schemas.openxmlformats.org/drawingml/2006/main">
                <a:ext uri="{FF2B5EF4-FFF2-40B4-BE49-F238E27FC236}">
                  <a16:creationId xmlns:a16="http://schemas.microsoft.com/office/drawing/2014/main" id="{39404C67-22A7-41A9-AB74-25D2B0D1F4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1E7007D" w14:textId="5902934B" w:rsidR="006B3273" w:rsidRPr="0076358A" w:rsidRDefault="006B3273" w:rsidP="00AA1640">
      <w:pPr>
        <w:pStyle w:val="Figurelegend"/>
        <w:rPr>
          <w:lang w:val="es-ES"/>
        </w:rPr>
      </w:pPr>
      <w:r w:rsidRPr="0076358A">
        <w:rPr>
          <w:lang w:val="es-ES"/>
        </w:rPr>
        <w:t xml:space="preserve">Nota: Los nueve parámetros temáticos de referencia antes mostrados comprenden cada uno un subconjunto de indicadores, conforme a lo previsto en el </w:t>
      </w:r>
      <w:hyperlink r:id="rId16" w:history="1">
        <w:r w:rsidRPr="003448C4">
          <w:rPr>
            <w:rStyle w:val="Hyperlink"/>
            <w:rFonts w:eastAsia="Aptos" w:cstheme="minorHAnsi"/>
            <w:kern w:val="2"/>
            <w:szCs w:val="18"/>
            <w:lang w:val="es-ES"/>
            <w14:ligatures w14:val="standardContextual"/>
          </w:rPr>
          <w:t>Marco Unificado de la UIT para la preparación de los marcos políticos, jurídicos y de gobernanza nacionales para la transformación digital.</w:t>
        </w:r>
      </w:hyperlink>
      <w:r w:rsidRPr="0076358A">
        <w:rPr>
          <w:lang w:val="es-ES"/>
        </w:rPr>
        <w:t xml:space="preserve"> </w:t>
      </w:r>
    </w:p>
    <w:p w14:paraId="560A819E" w14:textId="77777777" w:rsidR="006B3273" w:rsidRPr="0076358A" w:rsidRDefault="006B3273" w:rsidP="00C52EA1">
      <w:pPr>
        <w:pStyle w:val="Figurelegend"/>
        <w:rPr>
          <w:lang w:val="es-ES"/>
        </w:rPr>
      </w:pPr>
      <w:r w:rsidRPr="0076358A">
        <w:rPr>
          <w:lang w:val="es-ES"/>
        </w:rPr>
        <w:t>El gráfico muestra los progresos realizados en los nueve parámetros de referencia de la región de las Américas (media del grupo) en comparación con la media mundial y la media de los PEID (16 países, incluido 1 PMA) y los PDSL (2 países) de la región. Cada porcentaje indica la proporción de objetivos alcanzados frente a los no alcanzados en el marco de los indicadores relativos a los distintos parámetros de referencia.</w:t>
      </w:r>
    </w:p>
    <w:p w14:paraId="6C1B6BCE" w14:textId="77777777" w:rsidR="006B3273" w:rsidRPr="0076358A" w:rsidRDefault="006B3273" w:rsidP="00C52EA1">
      <w:pPr>
        <w:pStyle w:val="Figurelegend"/>
        <w:rPr>
          <w:lang w:val="es-ES"/>
        </w:rPr>
      </w:pPr>
      <w:r w:rsidRPr="0076358A">
        <w:rPr>
          <w:lang w:val="es-ES"/>
        </w:rPr>
        <w:t xml:space="preserve">Nota: Cada uno de los nueve parámetros de referencia temáticos (como en el gráfico anterior) comprende un subconjunto de indicadores, que forman parte del mismo. </w:t>
      </w:r>
    </w:p>
    <w:p w14:paraId="73039CC4" w14:textId="77777777" w:rsidR="006B3273" w:rsidRPr="003448C4" w:rsidRDefault="006B3273" w:rsidP="00490BBD">
      <w:pPr>
        <w:pStyle w:val="Sourcetext"/>
      </w:pPr>
      <w:r w:rsidRPr="003448C4">
        <w:t>Fuente: UIT</w:t>
      </w:r>
    </w:p>
    <w:p w14:paraId="6CA210CC" w14:textId="29E27EF5" w:rsidR="006B3273" w:rsidRPr="0076358A" w:rsidRDefault="006B3273" w:rsidP="00490BBD">
      <w:pPr>
        <w:tabs>
          <w:tab w:val="clear" w:pos="794"/>
          <w:tab w:val="clear" w:pos="1191"/>
          <w:tab w:val="clear" w:pos="1588"/>
          <w:tab w:val="clear" w:pos="1985"/>
        </w:tabs>
        <w:overflowPunct/>
        <w:autoSpaceDE/>
        <w:autoSpaceDN/>
        <w:adjustRightInd/>
        <w:spacing w:before="240" w:after="160" w:line="259" w:lineRule="auto"/>
        <w:textAlignment w:val="auto"/>
        <w:rPr>
          <w:rFonts w:ascii="Aptos" w:eastAsia="Aptos" w:hAnsi="Aptos" w:cs="Arial"/>
          <w:kern w:val="2"/>
          <w:sz w:val="22"/>
          <w:szCs w:val="22"/>
          <w:lang w:val="es-ES"/>
          <w14:ligatures w14:val="standardContextual"/>
        </w:rPr>
      </w:pPr>
      <w:r w:rsidRPr="0076358A">
        <w:rPr>
          <w:lang w:val="es-ES"/>
        </w:rPr>
        <w:t>El grado general de preparación de los marcos nacionales para la transformación digital en las Américas se sitúa en el 50</w:t>
      </w:r>
      <w:r w:rsidR="00AC027A">
        <w:rPr>
          <w:lang w:val="es-ES"/>
        </w:rPr>
        <w:t> %</w:t>
      </w:r>
      <w:r w:rsidRPr="0076358A">
        <w:rPr>
          <w:lang w:val="es-ES"/>
        </w:rPr>
        <w:t xml:space="preserve">, </w:t>
      </w:r>
      <w:r w:rsidR="00230C5E">
        <w:rPr>
          <w:lang w:val="es-ES"/>
        </w:rPr>
        <w:t xml:space="preserve">valor </w:t>
      </w:r>
      <w:r w:rsidRPr="0076358A">
        <w:rPr>
          <w:lang w:val="es-ES"/>
        </w:rPr>
        <w:t xml:space="preserve">muy </w:t>
      </w:r>
      <w:r w:rsidR="009F5F7F">
        <w:rPr>
          <w:lang w:val="es-ES"/>
        </w:rPr>
        <w:t>cercano</w:t>
      </w:r>
      <w:r w:rsidRPr="0076358A">
        <w:rPr>
          <w:lang w:val="es-ES"/>
        </w:rPr>
        <w:t xml:space="preserve"> al de la media mundial, que en 2023 era del 51</w:t>
      </w:r>
      <w:r w:rsidR="00AC027A">
        <w:rPr>
          <w:lang w:val="es-ES"/>
        </w:rPr>
        <w:t> %</w:t>
      </w:r>
      <w:r w:rsidRPr="0076358A">
        <w:rPr>
          <w:lang w:val="es-ES"/>
        </w:rPr>
        <w:t xml:space="preserve">. De los nueve parámetros de referencia temáticos, cinco se sitúan a un nivel similar al de las tendencias mundiales. Cabe destacar que la región también se encuentra por encima de la media mundial en </w:t>
      </w:r>
      <w:r w:rsidR="00E66B89">
        <w:rPr>
          <w:lang w:val="es-ES"/>
        </w:rPr>
        <w:t xml:space="preserve">los parámetros </w:t>
      </w:r>
      <w:r w:rsidRPr="0076358A">
        <w:rPr>
          <w:lang w:val="es-ES"/>
        </w:rPr>
        <w:t>buena gobernanza (63</w:t>
      </w:r>
      <w:r w:rsidR="00AC027A">
        <w:rPr>
          <w:lang w:val="es-ES"/>
        </w:rPr>
        <w:t> %</w:t>
      </w:r>
      <w:r w:rsidRPr="0076358A">
        <w:rPr>
          <w:lang w:val="es-ES"/>
        </w:rPr>
        <w:t>) y reglas de mercado (64</w:t>
      </w:r>
      <w:r w:rsidR="00AC027A">
        <w:rPr>
          <w:lang w:val="es-ES"/>
        </w:rPr>
        <w:t> %</w:t>
      </w:r>
      <w:r w:rsidRPr="0076358A">
        <w:rPr>
          <w:lang w:val="es-ES"/>
        </w:rPr>
        <w:t>), superando los niveles mundiales en cinco puntos porcentuales. Sin embargo, en lo que respecta a la cooperación regional e internacional está menos avanzada, ya que sólo registra un 29</w:t>
      </w:r>
      <w:r w:rsidR="00AC027A">
        <w:rPr>
          <w:lang w:val="es-ES"/>
        </w:rPr>
        <w:t> %</w:t>
      </w:r>
      <w:r w:rsidRPr="0076358A">
        <w:rPr>
          <w:lang w:val="es-ES"/>
        </w:rPr>
        <w:t>, en comparación con la media mundial del 36</w:t>
      </w:r>
      <w:r w:rsidR="00AC027A">
        <w:rPr>
          <w:lang w:val="es-ES"/>
        </w:rPr>
        <w:t> %</w:t>
      </w:r>
      <w:r w:rsidRPr="0076358A">
        <w:rPr>
          <w:lang w:val="es-ES"/>
        </w:rPr>
        <w:t xml:space="preserve">. </w:t>
      </w:r>
    </w:p>
    <w:p w14:paraId="206B5D38" w14:textId="6B14D29D"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El grado de preparación general en los PEID es del 46</w:t>
      </w:r>
      <w:r w:rsidR="00AC027A">
        <w:rPr>
          <w:lang w:val="es-ES"/>
        </w:rPr>
        <w:t> %</w:t>
      </w:r>
      <w:r w:rsidR="00DF1C96" w:rsidRPr="0076358A">
        <w:rPr>
          <w:lang w:val="es-ES"/>
        </w:rPr>
        <w:t>, por</w:t>
      </w:r>
      <w:r w:rsidRPr="0076358A">
        <w:rPr>
          <w:lang w:val="es-ES"/>
        </w:rPr>
        <w:t xml:space="preserve"> debajo de la media regional y de América del Norte y América Latina por separado, que se sitúan en el 77</w:t>
      </w:r>
      <w:r w:rsidR="00AC027A">
        <w:rPr>
          <w:lang w:val="es-ES"/>
        </w:rPr>
        <w:t> %</w:t>
      </w:r>
      <w:r w:rsidRPr="0076358A">
        <w:rPr>
          <w:lang w:val="es-ES"/>
        </w:rPr>
        <w:t xml:space="preserve"> y el 49</w:t>
      </w:r>
      <w:r w:rsidR="00AC027A">
        <w:rPr>
          <w:lang w:val="es-ES"/>
        </w:rPr>
        <w:t> %</w:t>
      </w:r>
      <w:r w:rsidRPr="0076358A">
        <w:rPr>
          <w:lang w:val="es-ES"/>
        </w:rPr>
        <w:t xml:space="preserve">, respectivamente. Aunque los resultados están en consonancia con la media regional, los PDSL muestran mejores resultados en materia de buena gobernanza y gobernanza colaborativa, pero considerablemente inferiores en cuanto a instrumentos para los mercados de las TIC. Tanto los PEID </w:t>
      </w:r>
      <w:r w:rsidRPr="0076358A">
        <w:rPr>
          <w:lang w:val="es-ES"/>
        </w:rPr>
        <w:lastRenderedPageBreak/>
        <w:t>como los PDSL obtienen mejores resultados que la media regional en lo que respecta a la capacidad reglamentaria, gracias probablemente a la capacitación y a la ayuda internacional al desarrollo a largo plazo. Esta ventaja relativa podría aprovecharse para acelerar la reforma de la reglamentación de las TIC y la gobernanza digital en estos países, ya que a tal efecto es imprescindible disponer de</w:t>
      </w:r>
      <w:r w:rsidR="00DF1C96" w:rsidRPr="0076358A">
        <w:rPr>
          <w:lang w:val="es-ES"/>
        </w:rPr>
        <w:t xml:space="preserve"> </w:t>
      </w:r>
      <w:r w:rsidRPr="0076358A">
        <w:rPr>
          <w:lang w:val="es-ES"/>
        </w:rPr>
        <w:t>acuerdos institucionales sólidos.</w:t>
      </w:r>
      <w:r w:rsidR="00DF1C96" w:rsidRPr="0076358A">
        <w:rPr>
          <w:lang w:val="es-ES"/>
        </w:rPr>
        <w:t xml:space="preserve"> </w:t>
      </w:r>
    </w:p>
    <w:p w14:paraId="51E3F19A" w14:textId="6214FE92"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En cuanto a la gobernanza colaborativa, la región de las Américas obtiene unos resultados relativamente altos, lo que indica el desarrollo de una cultura gubernamental integral en toda la región</w:t>
      </w:r>
      <w:r w:rsidR="008A7665">
        <w:rPr>
          <w:lang w:val="es-ES"/>
        </w:rPr>
        <w:t>;</w:t>
      </w:r>
      <w:r w:rsidRPr="0076358A">
        <w:rPr>
          <w:lang w:val="es-ES"/>
        </w:rPr>
        <w:t xml:space="preserve"> </w:t>
      </w:r>
      <w:r w:rsidR="008A7665">
        <w:rPr>
          <w:lang w:val="es-ES"/>
        </w:rPr>
        <w:t>e</w:t>
      </w:r>
      <w:r w:rsidRPr="0076358A">
        <w:rPr>
          <w:lang w:val="es-ES"/>
        </w:rPr>
        <w:t xml:space="preserve">n cambio, la </w:t>
      </w:r>
      <w:r w:rsidR="004D344A">
        <w:rPr>
          <w:lang w:val="es-ES"/>
        </w:rPr>
        <w:t>implicación</w:t>
      </w:r>
      <w:r w:rsidRPr="0076358A">
        <w:rPr>
          <w:lang w:val="es-ES"/>
        </w:rPr>
        <w:t xml:space="preserve"> de </w:t>
      </w:r>
      <w:r w:rsidR="008A7665">
        <w:rPr>
          <w:lang w:val="es-ES"/>
        </w:rPr>
        <w:t xml:space="preserve">los </w:t>
      </w:r>
      <w:r w:rsidRPr="0076358A">
        <w:rPr>
          <w:lang w:val="es-ES"/>
        </w:rPr>
        <w:t>interesad</w:t>
      </w:r>
      <w:r w:rsidR="008A7665">
        <w:rPr>
          <w:lang w:val="es-ES"/>
        </w:rPr>
        <w:t>o</w:t>
      </w:r>
      <w:r w:rsidRPr="0076358A">
        <w:rPr>
          <w:lang w:val="es-ES"/>
        </w:rPr>
        <w:t>s se estima en solo el 30</w:t>
      </w:r>
      <w:r w:rsidR="00AC027A">
        <w:rPr>
          <w:lang w:val="es-ES"/>
        </w:rPr>
        <w:t> %</w:t>
      </w:r>
      <w:r w:rsidRPr="0076358A">
        <w:rPr>
          <w:lang w:val="es-ES"/>
        </w:rPr>
        <w:t>. Aunque está en consonancia con la media mundial del 34</w:t>
      </w:r>
      <w:r w:rsidR="00AC027A">
        <w:rPr>
          <w:lang w:val="es-ES"/>
        </w:rPr>
        <w:t> %</w:t>
      </w:r>
      <w:r w:rsidRPr="0076358A">
        <w:rPr>
          <w:lang w:val="es-ES"/>
        </w:rPr>
        <w:t>, este valor indica que existe un amplio margen de mejora, sobre todo teniendo en cuenta su gran importancia para que prosperen las iniciativas de transformación digital. Curiosamente, los PEID y los PDSL superan la media de América Latina del 26</w:t>
      </w:r>
      <w:r w:rsidR="00AC027A">
        <w:rPr>
          <w:lang w:val="es-ES"/>
        </w:rPr>
        <w:t> %</w:t>
      </w:r>
      <w:r w:rsidRPr="0076358A">
        <w:rPr>
          <w:lang w:val="es-ES"/>
        </w:rPr>
        <w:t xml:space="preserve"> en este ámbito, la más baja de la región. </w:t>
      </w:r>
    </w:p>
    <w:p w14:paraId="30B88CFE" w14:textId="4B559FCE"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Las agendas digitales nacionales, incluidas las políticas y estrategias de acceso universal para conectar de manera efectiva a grupos concretos como las mujeres, los jóvenes y las personas con discapacidad, están relativamente bien desarrolladas en las Américas, con un valor de referencia regional del 42</w:t>
      </w:r>
      <w:r w:rsidR="00AC027A">
        <w:rPr>
          <w:lang w:val="es-ES"/>
        </w:rPr>
        <w:t> %</w:t>
      </w:r>
      <w:r w:rsidRPr="0076358A">
        <w:rPr>
          <w:lang w:val="es-ES"/>
        </w:rPr>
        <w:t>. En los PEID y los PDSL estas cifras se sitúan en el 29</w:t>
      </w:r>
      <w:r w:rsidR="00944F7E">
        <w:rPr>
          <w:lang w:val="es-ES"/>
        </w:rPr>
        <w:t> %</w:t>
      </w:r>
      <w:r w:rsidRPr="0076358A">
        <w:rPr>
          <w:lang w:val="es-ES"/>
        </w:rPr>
        <w:t xml:space="preserve"> y el 31</w:t>
      </w:r>
      <w:r w:rsidR="00AC027A">
        <w:rPr>
          <w:lang w:val="es-ES"/>
        </w:rPr>
        <w:t> %</w:t>
      </w:r>
      <w:r w:rsidRPr="0076358A">
        <w:rPr>
          <w:lang w:val="es-ES"/>
        </w:rPr>
        <w:t>, respectivamente, en marcado contraste con América del Norte, que alcanzó el 77</w:t>
      </w:r>
      <w:r w:rsidR="00AC027A">
        <w:rPr>
          <w:lang w:val="es-ES"/>
        </w:rPr>
        <w:t> %</w:t>
      </w:r>
      <w:r w:rsidRPr="0076358A">
        <w:rPr>
          <w:lang w:val="es-ES"/>
        </w:rPr>
        <w:t xml:space="preserve">. Es necesario redoblar esfuerzos para garantizar un entorno político adecuado </w:t>
      </w:r>
      <w:r w:rsidR="007C7E65">
        <w:rPr>
          <w:lang w:val="es-ES"/>
        </w:rPr>
        <w:t>que favorezca</w:t>
      </w:r>
      <w:r w:rsidRPr="0076358A">
        <w:rPr>
          <w:lang w:val="es-ES"/>
        </w:rPr>
        <w:t xml:space="preserve"> </w:t>
      </w:r>
      <w:r w:rsidR="007C7E65">
        <w:rPr>
          <w:lang w:val="es-ES"/>
        </w:rPr>
        <w:t>el</w:t>
      </w:r>
      <w:r w:rsidRPr="0076358A">
        <w:rPr>
          <w:lang w:val="es-ES"/>
        </w:rPr>
        <w:t xml:space="preserve"> desarrollo digital inclusivo en esos países.</w:t>
      </w:r>
    </w:p>
    <w:p w14:paraId="3305C344" w14:textId="22D29C03"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Todos los parámetros de referencia podrían mejorarse considerablemente mediante una mayor cooperación regional e internacional. La escasa integración económica regional y la falta de armonización de los marcos del mercado de las TIC limitan las oportunidades de innovación regional, el desarrollo de ecosistemas digitales y las economías de escala. Los PEID y América Latina se ven especialmente afectados, ya que sólo el 24</w:t>
      </w:r>
      <w:r w:rsidR="00AC027A">
        <w:rPr>
          <w:lang w:val="es-ES"/>
        </w:rPr>
        <w:t> %</w:t>
      </w:r>
      <w:r w:rsidRPr="0076358A">
        <w:rPr>
          <w:lang w:val="es-ES"/>
        </w:rPr>
        <w:t xml:space="preserve"> y el 28</w:t>
      </w:r>
      <w:r w:rsidR="00AC027A">
        <w:rPr>
          <w:lang w:val="es-ES"/>
        </w:rPr>
        <w:t> %</w:t>
      </w:r>
      <w:r w:rsidRPr="0076358A">
        <w:rPr>
          <w:lang w:val="es-ES"/>
        </w:rPr>
        <w:t xml:space="preserve"> de los países, respectivamente, participan en iniciativas regionales de integración de las TIC. Para superar las brechas actuales y garantizar un progreso inclusivo en la transformación digital será indispensable mayor colaboración y armonización de las políticas. </w:t>
      </w:r>
    </w:p>
    <w:p w14:paraId="7F20DD1E"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lang w:val="es-ES"/>
          <w14:ligatures w14:val="standardContextual"/>
        </w:rPr>
      </w:pPr>
      <w:r w:rsidRPr="0076358A">
        <w:rPr>
          <w:b/>
          <w:bCs/>
          <w:i/>
          <w:iCs/>
          <w:lang w:val="es-ES"/>
        </w:rPr>
        <w:t>Persisten disparidades entre la reglamentación de las TIC y la gobernanza digital</w:t>
      </w:r>
    </w:p>
    <w:p w14:paraId="2ACFCACD" w14:textId="701E9413"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 xml:space="preserve">El grado de madurez de la reglamentación de las TIC está más avanzado que el de la gobernanza digital en todas las regiones. Mientras que la reglamentación de las TIC ha evolucionado a través de sucesivas oleadas de reformas desde el decenio de 1990, las políticas digitales no han surgido hasta hace poco y siguen estando más fragmentadas. En muchos ámbitos, todavía se está definiendo el modelo de buenas prácticas. Los responsables políticos y reguladores deben seguir el </w:t>
      </w:r>
      <w:r w:rsidR="00215A7B">
        <w:rPr>
          <w:lang w:val="es-ES"/>
        </w:rPr>
        <w:t xml:space="preserve">veloz </w:t>
      </w:r>
      <w:r w:rsidRPr="0076358A">
        <w:rPr>
          <w:lang w:val="es-ES"/>
        </w:rPr>
        <w:t>ritmo de</w:t>
      </w:r>
      <w:r w:rsidR="00215A7B">
        <w:rPr>
          <w:lang w:val="es-ES"/>
        </w:rPr>
        <w:t xml:space="preserve"> </w:t>
      </w:r>
      <w:r w:rsidRPr="0076358A">
        <w:rPr>
          <w:lang w:val="es-ES"/>
        </w:rPr>
        <w:t>desarrollo de las nuevas tecnologías y servicios digitales, evaluar su efecto sobre los consumidores, los gobiernos y la economía, y desarrollar marcos políticos y reglamentarios adaptativos y prospectivos que permitan multiplicar los beneficios de los nuevos servicios digitales y, a su vez, mitigar los riesgos.</w:t>
      </w:r>
      <w:r w:rsidR="00DF1C96" w:rsidRPr="0076358A">
        <w:rPr>
          <w:lang w:val="es-ES"/>
        </w:rPr>
        <w:t xml:space="preserve"> </w:t>
      </w:r>
    </w:p>
    <w:p w14:paraId="00A3DA8A" w14:textId="4B05AEBA"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 xml:space="preserve">Según los parámetros de referencia de la UIT, el nivel de desarrollo de la reglamentación de las TIC </w:t>
      </w:r>
      <w:r w:rsidR="00787755">
        <w:rPr>
          <w:lang w:val="es-ES"/>
        </w:rPr>
        <w:t xml:space="preserve">en el mundo </w:t>
      </w:r>
      <w:r w:rsidRPr="0076358A">
        <w:rPr>
          <w:lang w:val="es-ES"/>
        </w:rPr>
        <w:t>es del 59</w:t>
      </w:r>
      <w:r w:rsidR="00AC027A">
        <w:rPr>
          <w:lang w:val="es-ES"/>
        </w:rPr>
        <w:t> %</w:t>
      </w:r>
      <w:r w:rsidRPr="0076358A">
        <w:rPr>
          <w:lang w:val="es-ES"/>
        </w:rPr>
        <w:t>, mientras que la gobernanza digital se sitúa en el 39</w:t>
      </w:r>
      <w:r w:rsidR="00AC027A">
        <w:rPr>
          <w:lang w:val="es-ES"/>
        </w:rPr>
        <w:t> %</w:t>
      </w:r>
      <w:r w:rsidRPr="0076358A">
        <w:rPr>
          <w:lang w:val="es-ES"/>
        </w:rPr>
        <w:t xml:space="preserve">, dejando una brecha constante de 20 puntos porcentuales. La disparidad es aún mayor en la región de las Américas, donde la diferencia alcanza los 25 puntos porcentuales, a pesar de que los parámetros de referencia </w:t>
      </w:r>
      <w:r w:rsidRPr="0076358A">
        <w:rPr>
          <w:lang w:val="es-ES"/>
        </w:rPr>
        <w:lastRenderedPageBreak/>
        <w:t>generales están en consonancia con las tendencias mundiales. Los resultados de los PEID y PDSL son considerablemente inferiores para estos dos parámetros, situándose la brecha de los PEID en 28 puntos porcentuales. Es fundamental reducir estas brechas para acelerar el acceso, la adopción y la creación de valor mediante las tecnologías digitales en estos países.</w:t>
      </w:r>
    </w:p>
    <w:p w14:paraId="29039F39" w14:textId="77777777" w:rsidR="006B3273" w:rsidRPr="005142E6" w:rsidRDefault="006B3273" w:rsidP="005142E6">
      <w:pPr>
        <w:pStyle w:val="Figuretitle"/>
        <w:rPr>
          <w:lang w:val="es-ES"/>
        </w:rPr>
      </w:pPr>
      <w:r w:rsidRPr="005142E6">
        <w:rPr>
          <w:lang w:val="es-ES"/>
        </w:rPr>
        <w:t xml:space="preserve">Instrumentos de TIC y de política digital en las Américas, 2023 </w:t>
      </w:r>
    </w:p>
    <w:p w14:paraId="26CEB556" w14:textId="542DEEDA" w:rsidR="003448C4" w:rsidRPr="0076358A" w:rsidRDefault="003448C4" w:rsidP="00DF0DBE">
      <w:pPr>
        <w:pStyle w:val="Figuretitle0"/>
        <w:rPr>
          <w:rFonts w:eastAsia="Yu Gothic Light"/>
          <w:color w:val="0070C0"/>
          <w:lang w:val="es-ES"/>
        </w:rPr>
      </w:pPr>
      <w:r w:rsidRPr="003448C4">
        <w:rPr>
          <w:rFonts w:eastAsia="Yu Gothic Light"/>
          <w:noProof/>
          <w:color w:val="0070C0"/>
          <w:lang w:val="en-GB"/>
        </w:rPr>
        <w:drawing>
          <wp:inline distT="0" distB="0" distL="0" distR="0" wp14:anchorId="01310FCB" wp14:editId="224D9D82">
            <wp:extent cx="6120765" cy="4783455"/>
            <wp:effectExtent l="0" t="0" r="0" b="17145"/>
            <wp:docPr id="577388956" name="Chart 1">
              <a:extLst xmlns:a="http://schemas.openxmlformats.org/drawingml/2006/main">
                <a:ext uri="{FF2B5EF4-FFF2-40B4-BE49-F238E27FC236}">
                  <a16:creationId xmlns:a16="http://schemas.microsoft.com/office/drawing/2014/main" id="{46A471F5-9BCD-45E4-85C9-3AFD3CEA45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B00254E" w14:textId="5B05CE9A" w:rsidR="006B3273" w:rsidRPr="0076358A" w:rsidRDefault="006B3273" w:rsidP="00DF0DBE">
      <w:pPr>
        <w:pStyle w:val="Figurelegend"/>
        <w:rPr>
          <w:rStyle w:val="eop"/>
          <w:rFonts w:ascii="Aptos" w:eastAsiaTheme="majorEastAsia" w:hAnsi="Aptos" w:cs="Segoe UI"/>
          <w:sz w:val="16"/>
          <w:szCs w:val="16"/>
          <w:lang w:val="es-ES"/>
        </w:rPr>
      </w:pPr>
      <w:r w:rsidRPr="0076358A">
        <w:rPr>
          <w:lang w:val="es-ES"/>
        </w:rPr>
        <w:t>Nota: Los valores medios de la región para los indicadores fundamentales en los parámetros de referencia Instrumentos jurídicos para los mercados de telecomunicaciones/TIC, Instrumentos jurídicos para los mercados digitales y Reglas del mercado con arreglo al marco unificado de la UIT se comparan con el valor medio para los PEID y los PDSL de la región, y con la media mundial.</w:t>
      </w:r>
      <w:r w:rsidR="00DF1C96" w:rsidRPr="0076358A">
        <w:rPr>
          <w:lang w:val="es-ES"/>
        </w:rPr>
        <w:t xml:space="preserve"> </w:t>
      </w:r>
    </w:p>
    <w:p w14:paraId="1FA3C6EA" w14:textId="77777777" w:rsidR="006B3273" w:rsidRPr="00314D96" w:rsidRDefault="006B3273" w:rsidP="00490BBD">
      <w:pPr>
        <w:pStyle w:val="Sourcetext"/>
      </w:pPr>
      <w:r w:rsidRPr="0076358A">
        <w:t>Fuente: UIT</w:t>
      </w:r>
    </w:p>
    <w:p w14:paraId="6912C939" w14:textId="30A3F19F" w:rsidR="006B3273" w:rsidRPr="0076358A" w:rsidRDefault="006B3273" w:rsidP="005142E6">
      <w:pPr>
        <w:tabs>
          <w:tab w:val="clear" w:pos="794"/>
          <w:tab w:val="clear" w:pos="1191"/>
          <w:tab w:val="clear" w:pos="1588"/>
          <w:tab w:val="clear" w:pos="1985"/>
        </w:tabs>
        <w:overflowPunct/>
        <w:autoSpaceDE/>
        <w:autoSpaceDN/>
        <w:adjustRightInd/>
        <w:spacing w:after="160" w:line="259" w:lineRule="auto"/>
        <w:textAlignment w:val="auto"/>
        <w:rPr>
          <w:rFonts w:ascii="Aptos" w:eastAsia="Aptos" w:hAnsi="Aptos" w:cs="Arial"/>
          <w:kern w:val="2"/>
          <w:sz w:val="22"/>
          <w:szCs w:val="22"/>
          <w:lang w:val="es-ES"/>
          <w14:ligatures w14:val="standardContextual"/>
        </w:rPr>
      </w:pPr>
      <w:r w:rsidRPr="0076358A">
        <w:rPr>
          <w:lang w:val="es-ES"/>
        </w:rPr>
        <w:t>La región de las Américas aplica disposiciones reglamentarias estrictas en aspectos fundamentales del mercado de las TIC, de modo que el 83</w:t>
      </w:r>
      <w:r w:rsidR="00AC027A">
        <w:rPr>
          <w:lang w:val="es-ES"/>
        </w:rPr>
        <w:t> %</w:t>
      </w:r>
      <w:r w:rsidRPr="0076358A">
        <w:rPr>
          <w:lang w:val="es-ES"/>
        </w:rPr>
        <w:t xml:space="preserve"> de los países aplica reglamentación en materia de posición dominante en el mercado y el 77</w:t>
      </w:r>
      <w:r w:rsidR="00AC027A">
        <w:rPr>
          <w:lang w:val="es-ES"/>
        </w:rPr>
        <w:t> %</w:t>
      </w:r>
      <w:r w:rsidRPr="0076358A">
        <w:rPr>
          <w:lang w:val="es-ES"/>
        </w:rPr>
        <w:t xml:space="preserve"> obliga a compartir infraestructura de instalaciones esenciales, rebasando ambas </w:t>
      </w:r>
      <w:r w:rsidR="00011ADB">
        <w:rPr>
          <w:lang w:val="es-ES"/>
        </w:rPr>
        <w:t xml:space="preserve">cifras </w:t>
      </w:r>
      <w:r w:rsidRPr="0076358A">
        <w:rPr>
          <w:lang w:val="es-ES"/>
        </w:rPr>
        <w:t>las medias mundiales de 71</w:t>
      </w:r>
      <w:r w:rsidR="00AC027A">
        <w:rPr>
          <w:lang w:val="es-ES"/>
        </w:rPr>
        <w:t> %</w:t>
      </w:r>
      <w:r w:rsidRPr="0076358A">
        <w:rPr>
          <w:lang w:val="es-ES"/>
        </w:rPr>
        <w:t xml:space="preserve"> y 68</w:t>
      </w:r>
      <w:r w:rsidR="00AC027A">
        <w:rPr>
          <w:lang w:val="es-ES"/>
        </w:rPr>
        <w:t> %</w:t>
      </w:r>
      <w:r w:rsidRPr="0076358A">
        <w:rPr>
          <w:lang w:val="es-ES"/>
        </w:rPr>
        <w:t>, respectivamente. En lo que respecta a los marcos unificados de</w:t>
      </w:r>
      <w:r w:rsidR="00DF1C96" w:rsidRPr="0076358A">
        <w:rPr>
          <w:lang w:val="es-ES"/>
        </w:rPr>
        <w:t xml:space="preserve"> </w:t>
      </w:r>
      <w:r w:rsidRPr="0076358A">
        <w:rPr>
          <w:lang w:val="es-ES"/>
        </w:rPr>
        <w:t>concesión de licencias, otro aspecto reglamentario transversal, la media regional se sitúa en un 46</w:t>
      </w:r>
      <w:r w:rsidR="00AC027A">
        <w:rPr>
          <w:lang w:val="es-ES"/>
        </w:rPr>
        <w:t> %</w:t>
      </w:r>
      <w:r w:rsidRPr="0076358A">
        <w:rPr>
          <w:lang w:val="es-ES"/>
        </w:rPr>
        <w:t xml:space="preserve">, es decir, 10 puntos porcentuales por debajo de la media mundial. También persiste disparidad en materia de reglamentación entre los distintos grupos de países. Si bien la mitad aproximadamente de los PEID cuentan con disposiciones relativas a posición dominante en el mercado y licencias unificadas, sólo una cuarta parte ha instaurado la </w:t>
      </w:r>
      <w:r w:rsidRPr="0076358A">
        <w:rPr>
          <w:lang w:val="es-ES"/>
        </w:rPr>
        <w:lastRenderedPageBreak/>
        <w:t>portabilidad de</w:t>
      </w:r>
      <w:r w:rsidR="0060133F">
        <w:rPr>
          <w:lang w:val="es-ES"/>
        </w:rPr>
        <w:t xml:space="preserve">l </w:t>
      </w:r>
      <w:r w:rsidRPr="0076358A">
        <w:rPr>
          <w:lang w:val="es-ES"/>
        </w:rPr>
        <w:t>número móvil. Ningún PDSL de la región ha adoptado marcos unificados de concesión de licencias.</w:t>
      </w:r>
    </w:p>
    <w:p w14:paraId="10BE7979" w14:textId="75D4CEB1"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 xml:space="preserve">La compartición de infraestructuras es otro aspecto esencial que muestra esa misma tendencia. Las prácticas comerciales </w:t>
      </w:r>
      <w:r w:rsidR="008D772E">
        <w:rPr>
          <w:lang w:val="es-ES"/>
        </w:rPr>
        <w:t>s</w:t>
      </w:r>
      <w:r w:rsidRPr="0076358A">
        <w:rPr>
          <w:lang w:val="es-ES"/>
        </w:rPr>
        <w:t>on cruciales para la expansión de la conectividad digital, especialmente en las zonas desatendidas. Tres cuartas partes de los PEID tienen la obligación reglamentaria de compartir instalaciones de red. Sin embargo,</w:t>
      </w:r>
      <w:r w:rsidR="00DF1C96" w:rsidRPr="0076358A">
        <w:rPr>
          <w:lang w:val="es-ES"/>
        </w:rPr>
        <w:t xml:space="preserve"> </w:t>
      </w:r>
      <w:r w:rsidRPr="0076358A">
        <w:rPr>
          <w:lang w:val="es-ES"/>
        </w:rPr>
        <w:t>los PEID y PDSL de la región no cuentan con marcos para la compartición de infraestructuras intersectoriales que aprovechen los activos de los distintos sectores, como la energía, el transporte y las telecomunicaciones.</w:t>
      </w:r>
    </w:p>
    <w:p w14:paraId="7646C602" w14:textId="515A5C36"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En general, la política digital y los instrumentos reglamentarios siguen siendo limitados en las Américas. Solo el 10</w:t>
      </w:r>
      <w:r w:rsidR="00AC027A">
        <w:rPr>
          <w:lang w:val="es-ES"/>
        </w:rPr>
        <w:t> %</w:t>
      </w:r>
      <w:r w:rsidRPr="0076358A">
        <w:rPr>
          <w:lang w:val="es-ES"/>
        </w:rPr>
        <w:t xml:space="preserve"> de los países de la región cuentan con políticas en materia de competencia adaptadas a los mercados digitales, que garanticen la igualdad de condiciones para los actores </w:t>
      </w:r>
      <w:r w:rsidR="00730A78">
        <w:rPr>
          <w:lang w:val="es-ES"/>
        </w:rPr>
        <w:t>d</w:t>
      </w:r>
      <w:r w:rsidR="00730A78" w:rsidRPr="0076358A">
        <w:rPr>
          <w:lang w:val="es-ES"/>
        </w:rPr>
        <w:t xml:space="preserve">el mercado </w:t>
      </w:r>
      <w:r w:rsidRPr="0076358A">
        <w:rPr>
          <w:lang w:val="es-ES"/>
        </w:rPr>
        <w:t xml:space="preserve">tradicionales y </w:t>
      </w:r>
      <w:r w:rsidR="00730A78">
        <w:rPr>
          <w:lang w:val="es-ES"/>
        </w:rPr>
        <w:t>para los de</w:t>
      </w:r>
      <w:r w:rsidRPr="0076358A">
        <w:rPr>
          <w:lang w:val="es-ES"/>
        </w:rPr>
        <w:t xml:space="preserve"> servicios superpuestos. </w:t>
      </w:r>
    </w:p>
    <w:p w14:paraId="14273DA1" w14:textId="29F9C565" w:rsidR="006B3273" w:rsidRPr="0076358A" w:rsidRDefault="00AF2AEE"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Pr>
          <w:lang w:val="es-ES"/>
        </w:rPr>
        <w:t>A fin de</w:t>
      </w:r>
      <w:r w:rsidR="006B3273" w:rsidRPr="0076358A">
        <w:rPr>
          <w:lang w:val="es-ES"/>
        </w:rPr>
        <w:t xml:space="preserve"> lograr una conectividad universal y efectiva en toda la región resulta esencial contar con una reglamentación digital más sólida y un desarrollo continuo de los marcos reglamentarios de las TIC. De esta manera los PEID y PDSL podrán desarrollar sus mercados digitales nacionales e integrarlos en ecosistemas digitales regionales más amplios.</w:t>
      </w:r>
    </w:p>
    <w:p w14:paraId="4074098D"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lang w:val="es-ES"/>
          <w14:ligatures w14:val="standardContextual"/>
        </w:rPr>
      </w:pPr>
      <w:r w:rsidRPr="0076358A">
        <w:rPr>
          <w:b/>
          <w:bCs/>
          <w:i/>
          <w:iCs/>
          <w:lang w:val="es-ES"/>
        </w:rPr>
        <w:t>Los PEID y los PDSL deben crear un entorno político propicio para las tecnologías incipientes</w:t>
      </w:r>
    </w:p>
    <w:p w14:paraId="3E9F4BAD"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Los PEID y los PDSL de todas las regiones tienen que hacer frente a importantes retos y vulnerabilidades multidimensionales en su desarrollo general y en la transformación digital.</w:t>
      </w:r>
    </w:p>
    <w:p w14:paraId="00270371" w14:textId="01C959F9"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 xml:space="preserve">En la Cuarta Conferencia Internacional sobre los </w:t>
      </w:r>
      <w:r w:rsidR="00B5363A">
        <w:rPr>
          <w:lang w:val="es-ES"/>
        </w:rPr>
        <w:t>p</w:t>
      </w:r>
      <w:r w:rsidRPr="0076358A">
        <w:rPr>
          <w:lang w:val="es-ES"/>
        </w:rPr>
        <w:t xml:space="preserve">equeños Estados </w:t>
      </w:r>
      <w:r w:rsidR="00B5363A">
        <w:rPr>
          <w:lang w:val="es-ES"/>
        </w:rPr>
        <w:t>i</w:t>
      </w:r>
      <w:r w:rsidRPr="0076358A">
        <w:rPr>
          <w:lang w:val="es-ES"/>
        </w:rPr>
        <w:t xml:space="preserve">nsulares en </w:t>
      </w:r>
      <w:r w:rsidR="00B5363A">
        <w:rPr>
          <w:lang w:val="es-ES"/>
        </w:rPr>
        <w:t>d</w:t>
      </w:r>
      <w:r w:rsidRPr="0076358A">
        <w:rPr>
          <w:lang w:val="es-ES"/>
        </w:rPr>
        <w:t>esarrollo (PEID4), celebrada en Antigua y Barbuda en mayo de 2024, los Estados Miembros de las Naciones Unidas adoptaron la Agenda de Antigua y Barbuda para los Pequeños Estados Insulares en Desarrollo: Declaración renovada para una prosperidad resiliente con el fin de movilizar medidas catalizadoras internacionales y financiación para apoyar a los PEID en zonas esenciales de desarrollo.</w:t>
      </w:r>
      <w:r w:rsidRPr="0076358A">
        <w:rPr>
          <w:rStyle w:val="FootnoteReference"/>
          <w:rFonts w:eastAsia="Aptos" w:cs="Arial"/>
          <w:kern w:val="2"/>
          <w:szCs w:val="22"/>
          <w:lang w:val="es-ES"/>
          <w14:ligatures w14:val="standardContextual"/>
        </w:rPr>
        <w:footnoteReference w:id="3"/>
      </w:r>
      <w:r w:rsidRPr="0076358A">
        <w:rPr>
          <w:lang w:val="es-ES"/>
        </w:rPr>
        <w:t xml:space="preserve"> Uno de los ámbitos de acción prioritarios identificado es el de la ciencia, la tecnología, la innovación (CTI) y la digitalización, que requieren la creación de los ecosistemas, las instituciones y la capacidad necesarios para promover y aprovechar la CTI y las tecnologías digitales con el fin de propiciar el crecimiento económico y el desarrollo sostenible.</w:t>
      </w:r>
    </w:p>
    <w:p w14:paraId="73BBC67C" w14:textId="024E1A4F"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El Caribe es una de las tres principales regiones donde se encuentran los PEID. El panorama institucional y político en estos países en materia de tecnologías digitales e incipientes sigue siendo desigual y, en general, poco desarrollado, lo que limita las oportunidades de diversificación económica y desarrollo de nuevos mercados. En 2023, el porcentaje de países del Caribe que habían adoptado estrategias digitales nacionales, que son fundamentales para acelerar la transformación digital, era inferior al 20</w:t>
      </w:r>
      <w:r w:rsidR="00AC027A">
        <w:rPr>
          <w:lang w:val="es-ES"/>
        </w:rPr>
        <w:t> %</w:t>
      </w:r>
      <w:r w:rsidRPr="0076358A">
        <w:rPr>
          <w:lang w:val="es-ES"/>
        </w:rPr>
        <w:t>. Sólo</w:t>
      </w:r>
      <w:r w:rsidR="00DF1C96" w:rsidRPr="0076358A">
        <w:rPr>
          <w:lang w:val="es-ES"/>
        </w:rPr>
        <w:t xml:space="preserve"> </w:t>
      </w:r>
      <w:r w:rsidRPr="0076358A">
        <w:rPr>
          <w:lang w:val="es-ES"/>
        </w:rPr>
        <w:t>el 13</w:t>
      </w:r>
      <w:r w:rsidR="00AC027A">
        <w:rPr>
          <w:lang w:val="es-ES"/>
        </w:rPr>
        <w:t> %</w:t>
      </w:r>
      <w:r w:rsidRPr="0076358A">
        <w:rPr>
          <w:lang w:val="es-ES"/>
        </w:rPr>
        <w:t xml:space="preserve"> de estos países han adoptado políticas de innovación que son indispensables para la expansión de la CTI. Un aspecto positivo es que casi todos los PEID del Caribe han comenzado a aplicar estrategias de comercio electrónico que pueden favorecer su desarrollo y fomentar el emprendimiento digital.</w:t>
      </w:r>
    </w:p>
    <w:p w14:paraId="05BA8B59" w14:textId="77777777" w:rsidR="006B3273" w:rsidRDefault="006B3273" w:rsidP="00AF0AB6">
      <w:pPr>
        <w:pStyle w:val="Figuretitle"/>
        <w:rPr>
          <w:lang w:val="es-ES"/>
        </w:rPr>
      </w:pPr>
      <w:r w:rsidRPr="0076358A">
        <w:rPr>
          <w:lang w:val="es-ES"/>
        </w:rPr>
        <w:lastRenderedPageBreak/>
        <w:t>Algunos instrumentos de política económica digital en las Américas, 2023</w:t>
      </w:r>
    </w:p>
    <w:p w14:paraId="7D316B90" w14:textId="37772239" w:rsidR="00AF0AB6" w:rsidRPr="00AF0AB6" w:rsidRDefault="00AF0AB6" w:rsidP="00AF0AB6">
      <w:pPr>
        <w:rPr>
          <w:rFonts w:eastAsia="Yu Gothic Light"/>
          <w:lang w:val="es-ES"/>
        </w:rPr>
      </w:pPr>
      <w:r w:rsidRPr="00AF0AB6">
        <w:rPr>
          <w:rFonts w:eastAsia="Yu Gothic Light"/>
          <w:noProof/>
        </w:rPr>
        <w:drawing>
          <wp:inline distT="0" distB="0" distL="0" distR="0" wp14:anchorId="7068BAA6" wp14:editId="7EF4AF54">
            <wp:extent cx="6120765" cy="3752215"/>
            <wp:effectExtent l="0" t="0" r="0" b="635"/>
            <wp:docPr id="257965525" name="Chart 1">
              <a:extLst xmlns:a="http://schemas.openxmlformats.org/drawingml/2006/main">
                <a:ext uri="{FF2B5EF4-FFF2-40B4-BE49-F238E27FC236}">
                  <a16:creationId xmlns:a16="http://schemas.microsoft.com/office/drawing/2014/main" id="{4DD7CC06-6DF8-4131-974E-4B97D7BF00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080806A" w14:textId="5C39327C" w:rsidR="006B3273" w:rsidRPr="0076358A" w:rsidRDefault="006B3273" w:rsidP="00EC5E77">
      <w:pPr>
        <w:pStyle w:val="Figurelegend"/>
        <w:rPr>
          <w:rFonts w:ascii="Segoe UI" w:hAnsi="Segoe UI" w:cs="Segoe UI"/>
          <w:szCs w:val="18"/>
          <w:lang w:val="es-ES"/>
        </w:rPr>
      </w:pPr>
      <w:r w:rsidRPr="0076358A">
        <w:rPr>
          <w:lang w:val="es-ES"/>
        </w:rPr>
        <w:t>Nota: Los valores medios de la región para los indicadores fundamentales en los parámetros de referencia Agenda digital nacional, Instrumentos jurídicos para los mercados digitales, Participación de las partes interesadas y Reglas del mercado con arreglo al marco unificado de la UIT se comparan con el valor medio para los PEID y los PDSL de la región, y con la media mundial.</w:t>
      </w:r>
      <w:r w:rsidR="00DF1C96" w:rsidRPr="0076358A">
        <w:rPr>
          <w:lang w:val="es-ES"/>
        </w:rPr>
        <w:t xml:space="preserve"> </w:t>
      </w:r>
    </w:p>
    <w:p w14:paraId="3CCB4D5B" w14:textId="77777777" w:rsidR="006B3273" w:rsidRPr="0076358A" w:rsidRDefault="006B3273" w:rsidP="00490BBD">
      <w:pPr>
        <w:pStyle w:val="Sourcetext"/>
      </w:pPr>
      <w:r w:rsidRPr="0076358A">
        <w:t>Fuente: UIT</w:t>
      </w:r>
    </w:p>
    <w:p w14:paraId="5E6376A5" w14:textId="2715879B" w:rsidR="006B3273" w:rsidRPr="0076358A" w:rsidRDefault="006B3273" w:rsidP="00BA2C6D">
      <w:pPr>
        <w:tabs>
          <w:tab w:val="clear" w:pos="794"/>
          <w:tab w:val="clear" w:pos="1191"/>
          <w:tab w:val="clear" w:pos="1588"/>
          <w:tab w:val="clear" w:pos="1985"/>
        </w:tabs>
        <w:overflowPunct/>
        <w:autoSpaceDE/>
        <w:autoSpaceDN/>
        <w:adjustRightInd/>
        <w:spacing w:after="160" w:line="259" w:lineRule="auto"/>
        <w:textAlignment w:val="auto"/>
        <w:rPr>
          <w:rFonts w:ascii="Aptos" w:eastAsia="Aptos" w:hAnsi="Aptos" w:cs="Arial"/>
          <w:kern w:val="2"/>
          <w:sz w:val="22"/>
          <w:szCs w:val="22"/>
          <w:lang w:val="es-ES"/>
          <w14:ligatures w14:val="standardContextual"/>
        </w:rPr>
      </w:pPr>
      <w:r w:rsidRPr="0076358A">
        <w:rPr>
          <w:lang w:val="es-ES"/>
        </w:rPr>
        <w:t>Un aspecto prioritario que requiere atención urgente es la adopción de políticas en materia de tecnologías incipientes. En 2023, ningún PEID del Caribe había introducido aún una política sobre inteligencia artificial o la nube, un reglamento sobre Internet de las cosas o una estrategia prospectiva en materia de espectro. La ausencia de tales marcos crea importantes obstáculos a la innovación digital y al emprendimiento, lo que a su vez puede menoscabar otros objetivos económicos y de desarrollo más amplios. Por otra parte, los mecanismos de experimentación reglamentaria y los incentivos específicos para los actores del mercado digital y de las TIC –que actualmente sólo están presentes en el 13</w:t>
      </w:r>
      <w:r w:rsidR="00AC027A">
        <w:rPr>
          <w:lang w:val="es-ES"/>
        </w:rPr>
        <w:t> %</w:t>
      </w:r>
      <w:r w:rsidRPr="0076358A">
        <w:rPr>
          <w:lang w:val="es-ES"/>
        </w:rPr>
        <w:t xml:space="preserve"> y el 6</w:t>
      </w:r>
      <w:r w:rsidR="00AC027A">
        <w:rPr>
          <w:lang w:val="es-ES"/>
        </w:rPr>
        <w:t> %</w:t>
      </w:r>
      <w:r w:rsidRPr="0076358A">
        <w:rPr>
          <w:lang w:val="es-ES"/>
        </w:rPr>
        <w:t xml:space="preserve"> de los PEID de la región, respectivamente– pueden ser fundamentales para estimular los mercados digitales nacionales y del Caribe, aprovechar la CTI y avanzar en la transformación digital.</w:t>
      </w:r>
    </w:p>
    <w:p w14:paraId="28CB88EF" w14:textId="6D2C0272"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 xml:space="preserve">Con el fin de ayudar a los PEID en este proceso, la UIT ha elaborado el </w:t>
      </w:r>
      <w:r w:rsidR="00BA2C6D">
        <w:rPr>
          <w:lang w:val="es-ES"/>
        </w:rPr>
        <w:t>"</w:t>
      </w:r>
      <w:r w:rsidRPr="0076358A">
        <w:rPr>
          <w:lang w:val="es-ES"/>
        </w:rPr>
        <w:t>Plan de 10 etapas para los PEID: Acelerar la transformación digital sostenible e inclusiva en los PEID</w:t>
      </w:r>
      <w:r w:rsidR="00BA2C6D">
        <w:rPr>
          <w:lang w:val="es-ES"/>
        </w:rPr>
        <w:t>"</w:t>
      </w:r>
      <w:r w:rsidRPr="0076358A">
        <w:rPr>
          <w:lang w:val="es-ES"/>
        </w:rPr>
        <w:t>, en el que se esbozan los principales ámbitos de actuación en los que el Sector de Desarrollo de las Telecomunicaciones puede ayudar a los PEID, en particular a reforzar la reglamentación de las TIC y la gobernanza digital en la región.</w:t>
      </w:r>
      <w:r w:rsidRPr="0076358A">
        <w:rPr>
          <w:rFonts w:ascii="Aptos" w:eastAsia="Aptos" w:hAnsi="Aptos" w:cs="Arial"/>
          <w:kern w:val="2"/>
          <w:sz w:val="22"/>
          <w:szCs w:val="22"/>
          <w:vertAlign w:val="superscript"/>
          <w:lang w:val="es-ES"/>
          <w14:ligatures w14:val="standardContextual"/>
        </w:rPr>
        <w:footnoteReference w:id="4"/>
      </w:r>
    </w:p>
    <w:p w14:paraId="23510F5E"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lastRenderedPageBreak/>
        <w:t>La Asamblea General de las Naciones Unidas adoptó en diciembre de 2024 el Programa de Acción de los PDSL para el Decenio 2024-2034.</w:t>
      </w:r>
      <w:r w:rsidRPr="0076358A">
        <w:rPr>
          <w:rFonts w:ascii="Aptos" w:eastAsia="Aptos" w:hAnsi="Aptos" w:cs="Arial"/>
          <w:kern w:val="2"/>
          <w:sz w:val="22"/>
          <w:szCs w:val="22"/>
          <w:vertAlign w:val="superscript"/>
          <w:lang w:val="es-ES"/>
          <w14:ligatures w14:val="standardContextual"/>
        </w:rPr>
        <w:footnoteReference w:id="5"/>
      </w:r>
      <w:r w:rsidRPr="0076358A">
        <w:rPr>
          <w:lang w:val="es-ES"/>
        </w:rPr>
        <w:t xml:space="preserve"> En el programa se insta a fortalecer las medidas políticas en los PDSL para reforzar infraestructura digital sostenible, mejorar la inclusión financiera, fomentar la innovación digital y permitir que el sector privado aproveche plenamente las oportunidades creadas por el comercio electrónico y la economía digital.</w:t>
      </w:r>
    </w:p>
    <w:p w14:paraId="77C75B1E"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 xml:space="preserve">Al igual que los PEID, los dos PDSL de la región deben intensificar sus esfuerzos para establecer marcos políticos, jurídicos y de gobernanza propicios para la transformación digital. Solo uno de los países cuenta con una estrategia digital nacional y ninguno de ellos ha adoptado una política de innovación o un marco para las tecnologías emergentes. Si bien las estrategias de comercio electrónico de los países pueden facilitar el desarrollo comercial y empresarial dentro de la región, los instrumentos de política específicos para las tecnologías incipientes pueden fomentar un ecosistema digital virtual más dinámico en los PDSL. </w:t>
      </w:r>
    </w:p>
    <w:p w14:paraId="35FF832A"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Dotar a los PEID y PDSL de los instrumentos políticos adecuados es una de las principales prioridades para promover la conectividad universal y efectiva en las Américas y fomentar el desarrollo de ecosistemas digitales robustos nacionales y regionales.</w:t>
      </w:r>
    </w:p>
    <w:p w14:paraId="2657A013"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rFonts w:ascii="Aptos" w:eastAsia="Aptos" w:hAnsi="Aptos" w:cs="Arial"/>
          <w:kern w:val="2"/>
          <w:sz w:val="22"/>
          <w:szCs w:val="22"/>
          <w:lang w:val="es-ES"/>
          <w14:ligatures w14:val="standardContextual"/>
        </w:rPr>
        <w:br w:type="page"/>
      </w:r>
    </w:p>
    <w:p w14:paraId="0AA4CD20" w14:textId="77777777" w:rsidR="006B3273" w:rsidRPr="00314D96" w:rsidRDefault="006B3273" w:rsidP="006B3273">
      <w:pPr>
        <w:pStyle w:val="Section"/>
        <w:rPr>
          <w:rFonts w:asciiTheme="minorHAnsi" w:hAnsiTheme="minorHAnsi" w:cstheme="minorHAnsi"/>
          <w:color w:val="auto"/>
          <w:lang w:val="es-ES"/>
        </w:rPr>
      </w:pPr>
      <w:bookmarkStart w:id="8" w:name="_Toc193034314"/>
      <w:r w:rsidRPr="00314D96">
        <w:rPr>
          <w:rFonts w:asciiTheme="minorHAnsi" w:hAnsiTheme="minorHAnsi" w:cstheme="minorHAnsi"/>
          <w:color w:val="auto"/>
          <w:lang w:val="es-ES"/>
        </w:rPr>
        <w:lastRenderedPageBreak/>
        <w:t>Utilización de Internet</w:t>
      </w:r>
      <w:bookmarkEnd w:id="8"/>
    </w:p>
    <w:p w14:paraId="6F5DFE64"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lang w:val="es-ES"/>
          <w14:ligatures w14:val="standardContextual"/>
        </w:rPr>
      </w:pPr>
      <w:r w:rsidRPr="0076358A">
        <w:rPr>
          <w:b/>
          <w:bCs/>
          <w:i/>
          <w:iCs/>
          <w:lang w:val="es-ES"/>
        </w:rPr>
        <w:t>La utilización de Internet en las Américas es casi universal, pero sigue habiendo disparidad</w:t>
      </w:r>
      <w:r w:rsidRPr="0076358A">
        <w:rPr>
          <w:lang w:val="es-ES"/>
        </w:rPr>
        <w:t xml:space="preserve"> </w:t>
      </w:r>
    </w:p>
    <w:p w14:paraId="03F54442" w14:textId="77777777" w:rsidR="006B3273" w:rsidRDefault="006B3273" w:rsidP="00BA2C6D">
      <w:pPr>
        <w:pStyle w:val="Figuretitle"/>
        <w:rPr>
          <w:lang w:val="es-ES"/>
        </w:rPr>
      </w:pPr>
      <w:r w:rsidRPr="0076358A">
        <w:rPr>
          <w:lang w:val="es-ES"/>
        </w:rPr>
        <w:t>Porcentaje de la población que utiliza Internet</w:t>
      </w:r>
    </w:p>
    <w:p w14:paraId="6762ED69" w14:textId="2E49B01A" w:rsidR="00BA2C6D" w:rsidRPr="00BA2C6D" w:rsidRDefault="00BA2C6D" w:rsidP="00BA2C6D">
      <w:pPr>
        <w:rPr>
          <w:rFonts w:eastAsia="Yu Gothic Light"/>
          <w:lang w:val="es-ES"/>
        </w:rPr>
      </w:pPr>
      <w:r w:rsidRPr="00BA2C6D">
        <w:rPr>
          <w:rFonts w:eastAsia="Yu Gothic Light"/>
          <w:noProof/>
        </w:rPr>
        <w:drawing>
          <wp:inline distT="0" distB="0" distL="0" distR="0" wp14:anchorId="5BF599A1" wp14:editId="78139A90">
            <wp:extent cx="5964642" cy="2520000"/>
            <wp:effectExtent l="0" t="0" r="0" b="0"/>
            <wp:docPr id="406705020" name="Chart 1">
              <a:extLst xmlns:a="http://schemas.openxmlformats.org/drawingml/2006/main">
                <a:ext uri="{FF2B5EF4-FFF2-40B4-BE49-F238E27FC236}">
                  <a16:creationId xmlns:a16="http://schemas.microsoft.com/office/drawing/2014/main" id="{5AF1338E-B57C-44E6-8A26-9E2A3C43CD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484A40" w14:textId="77777777" w:rsidR="006B3273" w:rsidRPr="00314D96" w:rsidRDefault="006B3273" w:rsidP="00490BBD">
      <w:pPr>
        <w:pStyle w:val="Sourcetext"/>
      </w:pPr>
      <w:r w:rsidRPr="00314D96">
        <w:t>Fuente: UIT</w:t>
      </w:r>
    </w:p>
    <w:p w14:paraId="375574E2" w14:textId="056181E9"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La proporción de personas en línea en las Américas era del 87</w:t>
      </w:r>
      <w:r w:rsidR="00AC027A">
        <w:rPr>
          <w:lang w:val="es-ES"/>
        </w:rPr>
        <w:t> %</w:t>
      </w:r>
      <w:r w:rsidRPr="0076358A">
        <w:rPr>
          <w:lang w:val="es-ES"/>
        </w:rPr>
        <w:t xml:space="preserve"> en 2024, muy por encima de la media mundial del 68</w:t>
      </w:r>
      <w:r w:rsidR="00AC027A">
        <w:rPr>
          <w:lang w:val="es-ES"/>
        </w:rPr>
        <w:t> %</w:t>
      </w:r>
      <w:r w:rsidRPr="0076358A">
        <w:rPr>
          <w:lang w:val="es-ES"/>
        </w:rPr>
        <w:t>, y va en camino de convertirse en universal.</w:t>
      </w:r>
      <w:r w:rsidRPr="0076358A">
        <w:rPr>
          <w:rStyle w:val="FootnoteReference"/>
          <w:rFonts w:eastAsia="Aptos" w:cs="Arial"/>
          <w:kern w:val="2"/>
          <w:lang w:val="es-ES"/>
          <w14:ligatures w14:val="standardContextual"/>
        </w:rPr>
        <w:footnoteReference w:id="6"/>
      </w:r>
      <w:r w:rsidRPr="0076358A">
        <w:rPr>
          <w:lang w:val="es-ES"/>
        </w:rPr>
        <w:t xml:space="preserve"> Desde 2005, la tasa media anual de crecimiento de la penetración de Internet ha sido del 4,7</w:t>
      </w:r>
      <w:r w:rsidR="00AC027A">
        <w:rPr>
          <w:lang w:val="es-ES"/>
        </w:rPr>
        <w:t> %</w:t>
      </w:r>
      <w:r w:rsidRPr="0076358A">
        <w:rPr>
          <w:lang w:val="es-ES"/>
        </w:rPr>
        <w:t xml:space="preserve"> en la región, comparada con el 8</w:t>
      </w:r>
      <w:r w:rsidR="00AC027A">
        <w:rPr>
          <w:lang w:val="es-ES"/>
        </w:rPr>
        <w:t> %</w:t>
      </w:r>
      <w:r w:rsidRPr="0076358A">
        <w:rPr>
          <w:lang w:val="es-ES"/>
        </w:rPr>
        <w:t xml:space="preserve"> a nivel mundial. En los últimos diez años, estos porcentajes han sido más modestos, del 4</w:t>
      </w:r>
      <w:r w:rsidR="00AC027A">
        <w:rPr>
          <w:lang w:val="es-ES"/>
        </w:rPr>
        <w:t> %</w:t>
      </w:r>
      <w:r w:rsidRPr="0076358A">
        <w:rPr>
          <w:lang w:val="es-ES"/>
        </w:rPr>
        <w:t xml:space="preserve"> y el 6,1</w:t>
      </w:r>
      <w:r w:rsidR="00AC027A">
        <w:rPr>
          <w:lang w:val="es-ES"/>
        </w:rPr>
        <w:t> %</w:t>
      </w:r>
      <w:r w:rsidRPr="0076358A">
        <w:rPr>
          <w:lang w:val="es-ES"/>
        </w:rPr>
        <w:t>, respectivamente.</w:t>
      </w:r>
    </w:p>
    <w:p w14:paraId="6471D0D9" w14:textId="0A47BA36" w:rsidR="006B3273" w:rsidRPr="00506678" w:rsidRDefault="006B3273" w:rsidP="00506678">
      <w:pPr>
        <w:tabs>
          <w:tab w:val="clear" w:pos="794"/>
          <w:tab w:val="clear" w:pos="1191"/>
          <w:tab w:val="clear" w:pos="1588"/>
          <w:tab w:val="clear" w:pos="1985"/>
        </w:tabs>
        <w:overflowPunct/>
        <w:autoSpaceDE/>
        <w:autoSpaceDN/>
        <w:adjustRightInd/>
        <w:spacing w:before="0" w:after="160" w:line="259" w:lineRule="auto"/>
        <w:textAlignment w:val="auto"/>
        <w:rPr>
          <w:lang w:val="es-ES"/>
        </w:rPr>
      </w:pPr>
      <w:r w:rsidRPr="00506678">
        <w:rPr>
          <w:lang w:val="es-ES"/>
        </w:rPr>
        <w:t>La</w:t>
      </w:r>
      <w:r w:rsidR="009A31EE" w:rsidRPr="00506678">
        <w:rPr>
          <w:lang w:val="es-ES"/>
        </w:rPr>
        <w:t xml:space="preserve"> región de la</w:t>
      </w:r>
      <w:r w:rsidRPr="00506678">
        <w:rPr>
          <w:lang w:val="es-ES"/>
        </w:rPr>
        <w:t xml:space="preserve">s Américas </w:t>
      </w:r>
      <w:r w:rsidR="009A31EE" w:rsidRPr="00506678">
        <w:rPr>
          <w:lang w:val="es-ES"/>
        </w:rPr>
        <w:t>es</w:t>
      </w:r>
      <w:r w:rsidRPr="00506678">
        <w:rPr>
          <w:lang w:val="es-ES"/>
        </w:rPr>
        <w:t xml:space="preserve"> heterogénea, </w:t>
      </w:r>
      <w:r w:rsidR="005903ED" w:rsidRPr="00506678">
        <w:rPr>
          <w:lang w:val="es-ES"/>
        </w:rPr>
        <w:t xml:space="preserve">ya que </w:t>
      </w:r>
      <w:r w:rsidR="00E32EA0" w:rsidRPr="00506678">
        <w:rPr>
          <w:lang w:val="es-ES"/>
        </w:rPr>
        <w:t xml:space="preserve">engloba </w:t>
      </w:r>
      <w:r w:rsidRPr="00506678">
        <w:rPr>
          <w:lang w:val="es-ES"/>
        </w:rPr>
        <w:t xml:space="preserve">desde los países relativamente pobres de América Central hasta los países muy desarrollados de América del Norte, pero también las pequeñas islas del Caribe y los grandes países de América del Sur. Esta heterogeneidad </w:t>
      </w:r>
      <w:r w:rsidR="00C94969" w:rsidRPr="00506678">
        <w:rPr>
          <w:lang w:val="es-ES"/>
        </w:rPr>
        <w:t>queda plasmada</w:t>
      </w:r>
      <w:r w:rsidRPr="00506678">
        <w:rPr>
          <w:lang w:val="es-ES"/>
        </w:rPr>
        <w:t xml:space="preserve"> en los datos de utilización de Internet a nivel de país, cuyos índices</w:t>
      </w:r>
      <w:r w:rsidR="00DF1C96" w:rsidRPr="00506678">
        <w:rPr>
          <w:lang w:val="es-ES"/>
        </w:rPr>
        <w:t xml:space="preserve"> </w:t>
      </w:r>
      <w:r w:rsidRPr="00506678">
        <w:rPr>
          <w:lang w:val="es-ES"/>
        </w:rPr>
        <w:t>de penetración oscilan entre 56</w:t>
      </w:r>
      <w:r w:rsidR="00AC027A" w:rsidRPr="00506678">
        <w:rPr>
          <w:lang w:val="es-ES"/>
        </w:rPr>
        <w:t> %</w:t>
      </w:r>
      <w:r w:rsidRPr="00506678">
        <w:rPr>
          <w:lang w:val="es-ES"/>
        </w:rPr>
        <w:t xml:space="preserve"> y el 95</w:t>
      </w:r>
      <w:r w:rsidR="00AC027A" w:rsidRPr="00506678">
        <w:rPr>
          <w:lang w:val="es-ES"/>
        </w:rPr>
        <w:t> %</w:t>
      </w:r>
      <w:r w:rsidRPr="00506678">
        <w:rPr>
          <w:lang w:val="es-ES"/>
        </w:rPr>
        <w:t xml:space="preserve">. </w:t>
      </w:r>
    </w:p>
    <w:p w14:paraId="7D66115C" w14:textId="77777777" w:rsidR="006B3273" w:rsidRDefault="006B3273" w:rsidP="00BA1CD5">
      <w:pPr>
        <w:pStyle w:val="Figuretitle"/>
        <w:rPr>
          <w:lang w:val="es-ES"/>
        </w:rPr>
      </w:pPr>
      <w:r w:rsidRPr="0076358A">
        <w:rPr>
          <w:lang w:val="es-ES"/>
        </w:rPr>
        <w:t>Porcentaje de usuarios de Internet en la región de las Américas, 2023 o último año disponible</w:t>
      </w:r>
      <w:r w:rsidRPr="00BA1CD5">
        <w:rPr>
          <w:vertAlign w:val="superscript"/>
          <w:lang w:val="es-ES"/>
        </w:rPr>
        <w:footnoteReference w:id="7"/>
      </w:r>
    </w:p>
    <w:p w14:paraId="169196EB" w14:textId="2EEA45AC" w:rsidR="00BA1CD5" w:rsidRPr="00BA1CD5" w:rsidRDefault="00BA1CD5" w:rsidP="00BA1CD5">
      <w:pPr>
        <w:rPr>
          <w:rFonts w:eastAsia="Yu Gothic Light"/>
          <w:lang w:val="es-ES"/>
        </w:rPr>
      </w:pPr>
      <w:r w:rsidRPr="00BA1CD5">
        <w:rPr>
          <w:rFonts w:eastAsia="Yu Gothic Light"/>
          <w:noProof/>
        </w:rPr>
        <w:lastRenderedPageBreak/>
        <w:drawing>
          <wp:inline distT="0" distB="0" distL="0" distR="0" wp14:anchorId="6C7FB0A6" wp14:editId="2BB56B62">
            <wp:extent cx="6120765" cy="4314825"/>
            <wp:effectExtent l="0" t="0" r="0" b="0"/>
            <wp:docPr id="1353007210" name="Chart 1">
              <a:extLst xmlns:a="http://schemas.openxmlformats.org/drawingml/2006/main">
                <a:ext uri="{FF2B5EF4-FFF2-40B4-BE49-F238E27FC236}">
                  <a16:creationId xmlns:a16="http://schemas.microsoft.com/office/drawing/2014/main" id="{96DB8026-AB23-4DCA-8FF0-9C04729F6A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BBF715F" w14:textId="77777777" w:rsidR="006B3273" w:rsidRPr="00314D96" w:rsidRDefault="006B3273" w:rsidP="00314D96">
      <w:pPr>
        <w:pStyle w:val="Figurelegend"/>
        <w:rPr>
          <w:lang w:val="es-ES"/>
        </w:rPr>
      </w:pPr>
      <w:r w:rsidRPr="0076358A">
        <w:rPr>
          <w:lang w:val="es-ES"/>
        </w:rPr>
        <w:t>Nota: Los datos presentados por los países se muestran en un tono más oscuro y los datos no oficiales en un tono más claro.</w:t>
      </w:r>
    </w:p>
    <w:p w14:paraId="2A6D32B6" w14:textId="77777777" w:rsidR="006B3273" w:rsidRPr="00506678" w:rsidRDefault="006B3273" w:rsidP="00506678">
      <w:pPr>
        <w:pStyle w:val="Sourcetext"/>
      </w:pPr>
      <w:r w:rsidRPr="0076358A">
        <w:t>Fuente: UIT</w:t>
      </w:r>
    </w:p>
    <w:p w14:paraId="3A3F4ADB" w14:textId="77777777" w:rsidR="006B3273" w:rsidRPr="0076358A" w:rsidRDefault="006B3273" w:rsidP="006B3273">
      <w:pPr>
        <w:tabs>
          <w:tab w:val="clear" w:pos="794"/>
          <w:tab w:val="clear" w:pos="1191"/>
          <w:tab w:val="clear" w:pos="1588"/>
          <w:tab w:val="clear" w:pos="1985"/>
        </w:tabs>
        <w:overflowPunct/>
        <w:autoSpaceDE/>
        <w:autoSpaceDN/>
        <w:adjustRightInd/>
        <w:spacing w:before="0"/>
        <w:textAlignment w:val="auto"/>
        <w:rPr>
          <w:rFonts w:ascii="Aptos" w:eastAsia="Aptos" w:hAnsi="Aptos" w:cs="Arial"/>
          <w:b/>
          <w:i/>
          <w:kern w:val="2"/>
          <w:sz w:val="22"/>
          <w:szCs w:val="22"/>
          <w:lang w:val="es-ES"/>
          <w14:ligatures w14:val="standardContextual"/>
        </w:rPr>
      </w:pPr>
      <w:r w:rsidRPr="0076358A">
        <w:rPr>
          <w:rFonts w:ascii="Aptos" w:eastAsia="Aptos" w:hAnsi="Aptos" w:cs="Arial"/>
          <w:b/>
          <w:i/>
          <w:kern w:val="2"/>
          <w:sz w:val="22"/>
          <w:szCs w:val="22"/>
          <w:lang w:val="es-ES"/>
          <w14:ligatures w14:val="standardContextual"/>
        </w:rPr>
        <w:br w:type="page"/>
      </w:r>
    </w:p>
    <w:p w14:paraId="29278C20"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lang w:val="es-ES"/>
          <w14:ligatures w14:val="standardContextual"/>
        </w:rPr>
      </w:pPr>
      <w:r w:rsidRPr="0076358A">
        <w:rPr>
          <w:b/>
          <w:bCs/>
          <w:i/>
          <w:iCs/>
          <w:lang w:val="es-ES"/>
        </w:rPr>
        <w:lastRenderedPageBreak/>
        <w:t>Se ha alcanzado la paridad de género en la utilización de Internet, con una mayor tasa de adopción entre las mujeres</w:t>
      </w:r>
    </w:p>
    <w:p w14:paraId="6D3775EC" w14:textId="3145C8A1" w:rsidR="006B3273" w:rsidRPr="000D797B" w:rsidRDefault="006B3273" w:rsidP="000D797B">
      <w:pPr>
        <w:pStyle w:val="Figuretitle"/>
        <w:rPr>
          <w:lang w:val="es-ES"/>
        </w:rPr>
      </w:pPr>
      <w:r w:rsidRPr="0076358A">
        <w:rPr>
          <w:lang w:val="es-ES"/>
        </w:rPr>
        <w:t xml:space="preserve">Porcentaje de </w:t>
      </w:r>
      <w:r w:rsidR="006A7A98">
        <w:rPr>
          <w:lang w:val="es-ES"/>
        </w:rPr>
        <w:t>usuarios de</w:t>
      </w:r>
      <w:r w:rsidRPr="0076358A">
        <w:rPr>
          <w:lang w:val="es-ES"/>
        </w:rPr>
        <w:t xml:space="preserve"> Internet, desglosados por sexo, 2024</w:t>
      </w:r>
    </w:p>
    <w:p w14:paraId="03B3D7D3" w14:textId="442492C9" w:rsidR="006B3273" w:rsidRPr="0076358A" w:rsidRDefault="000D797B"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0D797B">
        <w:rPr>
          <w:rFonts w:ascii="Aptos" w:eastAsia="Aptos" w:hAnsi="Aptos" w:cs="Arial"/>
          <w:noProof/>
          <w:kern w:val="2"/>
          <w:sz w:val="22"/>
          <w:szCs w:val="22"/>
          <w14:ligatures w14:val="standardContextual"/>
        </w:rPr>
        <w:drawing>
          <wp:inline distT="0" distB="0" distL="0" distR="0" wp14:anchorId="4A200C99" wp14:editId="4A9032C8">
            <wp:extent cx="6074037" cy="2425411"/>
            <wp:effectExtent l="0" t="0" r="3175" b="0"/>
            <wp:docPr id="820990452" name="Chart 1">
              <a:extLst xmlns:a="http://schemas.openxmlformats.org/drawingml/2006/main">
                <a:ext uri="{FF2B5EF4-FFF2-40B4-BE49-F238E27FC236}">
                  <a16:creationId xmlns:a16="http://schemas.microsoft.com/office/drawing/2014/main" id="{619E27AB-D9B4-AFA3-E9CF-8C2294647A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56B5B26" w14:textId="77777777" w:rsidR="006B3273" w:rsidRPr="0076358A" w:rsidRDefault="006B3273" w:rsidP="00490BBD">
      <w:pPr>
        <w:pStyle w:val="Sourcetext"/>
      </w:pPr>
      <w:r w:rsidRPr="0076358A">
        <w:t>Fuente: UIT</w:t>
      </w:r>
    </w:p>
    <w:p w14:paraId="22947BB3" w14:textId="49225803"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En 2024, el 87</w:t>
      </w:r>
      <w:r w:rsidR="00AC027A">
        <w:rPr>
          <w:lang w:val="es-ES"/>
        </w:rPr>
        <w:t> %</w:t>
      </w:r>
      <w:r w:rsidRPr="0076358A">
        <w:rPr>
          <w:lang w:val="es-ES"/>
        </w:rPr>
        <w:t xml:space="preserve"> de las mujeres de la región de las Américas utilizaba Internet, frente al 92</w:t>
      </w:r>
      <w:r w:rsidR="00AC027A">
        <w:rPr>
          <w:lang w:val="es-ES"/>
        </w:rPr>
        <w:t> %</w:t>
      </w:r>
      <w:r w:rsidRPr="0076358A">
        <w:rPr>
          <w:lang w:val="es-ES"/>
        </w:rPr>
        <w:t xml:space="preserve"> de los hombres. Esto se traduce en un índice de paridad de género (IPG) de 1,02, en comparación con el 0,99 registrado en 2019, lo que indica que se ha alcanzado la paridad</w:t>
      </w:r>
      <w:r w:rsidRPr="0076358A">
        <w:rPr>
          <w:rFonts w:ascii="Aptos" w:eastAsia="Aptos" w:hAnsi="Aptos" w:cs="Arial"/>
          <w:kern w:val="2"/>
          <w:sz w:val="22"/>
          <w:szCs w:val="22"/>
          <w:vertAlign w:val="superscript"/>
          <w:lang w:val="es-ES"/>
          <w14:ligatures w14:val="standardContextual"/>
        </w:rPr>
        <w:footnoteReference w:id="8"/>
      </w:r>
      <w:r w:rsidRPr="0076358A">
        <w:rPr>
          <w:lang w:val="es-ES"/>
        </w:rPr>
        <w:t>. La región de las Américas es la única</w:t>
      </w:r>
      <w:r w:rsidR="00DF1C96" w:rsidRPr="0076358A">
        <w:rPr>
          <w:lang w:val="es-ES"/>
        </w:rPr>
        <w:t xml:space="preserve"> </w:t>
      </w:r>
      <w:r w:rsidRPr="0076358A">
        <w:rPr>
          <w:lang w:val="es-ES"/>
        </w:rPr>
        <w:t>donde las mujeres utilizan Internet más que hombres.</w:t>
      </w:r>
    </w:p>
    <w:p w14:paraId="355A5307"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 xml:space="preserve">En siete de los países de la región para los que se dispone de datos se ha alcanzado la paridad de género, con un IPG entre 0,98 y 1,02. En cuatro países, los hombres siguen siendo los que más utilizan Internet, mientras que en seis países son las mujeres. </w:t>
      </w:r>
    </w:p>
    <w:p w14:paraId="652FF494" w14:textId="7AD2FEE5" w:rsidR="006B3273" w:rsidRPr="000B4387" w:rsidRDefault="006B3273" w:rsidP="000B4387">
      <w:pPr>
        <w:pStyle w:val="Figuretitle"/>
        <w:keepNext/>
        <w:rPr>
          <w:lang w:val="es-ES"/>
        </w:rPr>
      </w:pPr>
      <w:r w:rsidRPr="0076358A">
        <w:rPr>
          <w:lang w:val="es-ES"/>
        </w:rPr>
        <w:lastRenderedPageBreak/>
        <w:t xml:space="preserve">Porcentaje de </w:t>
      </w:r>
      <w:r w:rsidR="006A7A98">
        <w:rPr>
          <w:lang w:val="es-ES"/>
        </w:rPr>
        <w:t>usuarios de</w:t>
      </w:r>
      <w:r w:rsidRPr="0076358A">
        <w:rPr>
          <w:lang w:val="es-ES"/>
        </w:rPr>
        <w:t xml:space="preserve"> Internet, desglosad</w:t>
      </w:r>
      <w:r w:rsidR="006A7A98">
        <w:rPr>
          <w:lang w:val="es-ES"/>
        </w:rPr>
        <w:t>o</w:t>
      </w:r>
      <w:r w:rsidRPr="0076358A">
        <w:rPr>
          <w:lang w:val="es-ES"/>
        </w:rPr>
        <w:t>s por sexo, en 2023 o el último año disponible</w:t>
      </w:r>
    </w:p>
    <w:p w14:paraId="7BC6C514" w14:textId="36213CBE" w:rsidR="006B3273" w:rsidRPr="0076358A" w:rsidRDefault="000B4387" w:rsidP="006B327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lang w:val="es-ES"/>
          <w14:ligatures w14:val="standardContextual"/>
        </w:rPr>
      </w:pPr>
      <w:r w:rsidRPr="000B4387">
        <w:rPr>
          <w:rFonts w:ascii="Aptos" w:eastAsia="Aptos" w:hAnsi="Aptos" w:cs="Arial"/>
          <w:noProof/>
          <w:kern w:val="2"/>
          <w:sz w:val="16"/>
          <w:szCs w:val="28"/>
          <w:lang w:val="es-ES"/>
          <w14:ligatures w14:val="standardContextual"/>
        </w:rPr>
        <w:drawing>
          <wp:inline distT="0" distB="0" distL="0" distR="0" wp14:anchorId="34241366" wp14:editId="7B8ED6EA">
            <wp:extent cx="6120765" cy="2855595"/>
            <wp:effectExtent l="0" t="0" r="0" b="1905"/>
            <wp:docPr id="656974161"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974161" name="Picture 1" descr="A graph of a number of people&#10;&#10;AI-generated content may be incorrect."/>
                    <pic:cNvPicPr/>
                  </pic:nvPicPr>
                  <pic:blipFill>
                    <a:blip r:embed="rId22"/>
                    <a:stretch>
                      <a:fillRect/>
                    </a:stretch>
                  </pic:blipFill>
                  <pic:spPr>
                    <a:xfrm>
                      <a:off x="0" y="0"/>
                      <a:ext cx="6120765" cy="2855595"/>
                    </a:xfrm>
                    <a:prstGeom prst="rect">
                      <a:avLst/>
                    </a:prstGeom>
                  </pic:spPr>
                </pic:pic>
              </a:graphicData>
            </a:graphic>
          </wp:inline>
        </w:drawing>
      </w:r>
    </w:p>
    <w:p w14:paraId="13837F03" w14:textId="4C7386E2" w:rsidR="006B3273" w:rsidRPr="0076358A" w:rsidRDefault="006B3273" w:rsidP="00490BBD">
      <w:pPr>
        <w:pStyle w:val="Sourcetext"/>
      </w:pPr>
      <w:r w:rsidRPr="0076358A">
        <w:t>Fuente: UIT</w:t>
      </w:r>
    </w:p>
    <w:p w14:paraId="36AC5B8D" w14:textId="4AD597F3"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lang w:val="es-ES"/>
          <w14:ligatures w14:val="standardContextual"/>
        </w:rPr>
      </w:pPr>
      <w:r w:rsidRPr="0076358A">
        <w:rPr>
          <w:b/>
          <w:bCs/>
          <w:i/>
          <w:iCs/>
          <w:lang w:val="es-ES"/>
        </w:rPr>
        <w:t>Se ha alcanzado la utilización universal entre los jóvenes</w:t>
      </w:r>
    </w:p>
    <w:p w14:paraId="0D40F250" w14:textId="4102E821" w:rsidR="006B3273" w:rsidRPr="000B4387" w:rsidRDefault="006B3273" w:rsidP="000B4387">
      <w:pPr>
        <w:pStyle w:val="Figuretitle"/>
        <w:keepNext/>
        <w:rPr>
          <w:lang w:val="es-ES"/>
        </w:rPr>
      </w:pPr>
      <w:r w:rsidRPr="0076358A">
        <w:rPr>
          <w:lang w:val="es-ES"/>
        </w:rPr>
        <w:t>Porcentaje de usuarios de Internet de entre 15 y 24 años, 2024</w:t>
      </w:r>
    </w:p>
    <w:p w14:paraId="0F9CA27C" w14:textId="72FBF49F" w:rsidR="006B3273" w:rsidRPr="0076358A" w:rsidRDefault="000B4387" w:rsidP="006B327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lang w:val="es-ES"/>
          <w14:ligatures w14:val="standardContextual"/>
        </w:rPr>
      </w:pPr>
      <w:r w:rsidRPr="000B4387">
        <w:rPr>
          <w:rFonts w:ascii="Aptos" w:eastAsia="Aptos" w:hAnsi="Aptos" w:cs="Arial"/>
          <w:noProof/>
          <w:kern w:val="2"/>
          <w:sz w:val="16"/>
          <w:szCs w:val="28"/>
          <w14:ligatures w14:val="standardContextual"/>
        </w:rPr>
        <w:drawing>
          <wp:inline distT="0" distB="0" distL="0" distR="0" wp14:anchorId="46E476C4" wp14:editId="45AD128C">
            <wp:extent cx="5979499" cy="2970993"/>
            <wp:effectExtent l="0" t="0" r="2540" b="1270"/>
            <wp:docPr id="1617563454" name="Chart 1">
              <a:extLst xmlns:a="http://schemas.openxmlformats.org/drawingml/2006/main">
                <a:ext uri="{FF2B5EF4-FFF2-40B4-BE49-F238E27FC236}">
                  <a16:creationId xmlns:a16="http://schemas.microsoft.com/office/drawing/2014/main" id="{76E4C167-CDD4-4782-9E73-E6E3B659AE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712241A" w14:textId="77777777" w:rsidR="006B3273" w:rsidRPr="0076358A" w:rsidRDefault="006B3273" w:rsidP="00490BBD">
      <w:pPr>
        <w:pStyle w:val="Sourcetext"/>
        <w:rPr>
          <w:rFonts w:eastAsia="Aptos" w:cs="Arial"/>
        </w:rPr>
      </w:pPr>
      <w:r w:rsidRPr="0076358A">
        <w:t>Fuente: UIT</w:t>
      </w:r>
    </w:p>
    <w:p w14:paraId="5DFF9DA2" w14:textId="7C982F24"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En las Américas, el 95</w:t>
      </w:r>
      <w:r w:rsidR="00AC027A">
        <w:rPr>
          <w:lang w:val="es-ES"/>
        </w:rPr>
        <w:t> %</w:t>
      </w:r>
      <w:r w:rsidRPr="0076358A">
        <w:rPr>
          <w:lang w:val="es-ES"/>
        </w:rPr>
        <w:t xml:space="preserve"> de los jóvenes de entre 15 y 24 años utilizaron Internet en 2024, frente al 85</w:t>
      </w:r>
      <w:r w:rsidR="00AC027A">
        <w:rPr>
          <w:lang w:val="es-ES"/>
        </w:rPr>
        <w:t> %</w:t>
      </w:r>
      <w:r w:rsidRPr="0076358A">
        <w:rPr>
          <w:lang w:val="es-ES"/>
        </w:rPr>
        <w:t xml:space="preserve"> del resto de la población. La brecha generacional en esta región, medida como la proporción de usuarios de Internet entre estos dos grupos, es inferior a la media mundial. Esta proporción se ha ido reduciendo en los últimos cuatro años, tanto en esta región como a escala mundial. Esto </w:t>
      </w:r>
      <w:r w:rsidRPr="0076358A">
        <w:rPr>
          <w:lang w:val="es-ES"/>
        </w:rPr>
        <w:lastRenderedPageBreak/>
        <w:t>significa que la utilización por otros grupos de edad está aumentando, lo que en el caso de</w:t>
      </w:r>
      <w:r w:rsidR="00DF1C96" w:rsidRPr="0076358A">
        <w:rPr>
          <w:lang w:val="es-ES"/>
        </w:rPr>
        <w:t xml:space="preserve"> </w:t>
      </w:r>
      <w:r w:rsidRPr="0076358A">
        <w:rPr>
          <w:lang w:val="es-ES"/>
        </w:rPr>
        <w:t>las Américas significa que se está alcanzando la utilización universal entre toda la población.</w:t>
      </w:r>
    </w:p>
    <w:p w14:paraId="324F45CA" w14:textId="6EE1AC5F"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 xml:space="preserve">En la mayoría de los países para los que se dispone de datos, el porcentaje de jóvenes en línea es muy elevado. Esta cifra contrasta notablemente con la proporción de personas de edad avanzada (de 75 años o más) que utilizan Internet, que es baja o muy baja en todos los países menos </w:t>
      </w:r>
      <w:r w:rsidR="000A19DA">
        <w:rPr>
          <w:lang w:val="es-ES"/>
        </w:rPr>
        <w:t xml:space="preserve">en </w:t>
      </w:r>
      <w:r w:rsidRPr="0076358A">
        <w:rPr>
          <w:lang w:val="es-ES"/>
        </w:rPr>
        <w:t>uno.</w:t>
      </w:r>
    </w:p>
    <w:p w14:paraId="26352C7A" w14:textId="77777777" w:rsidR="006B3273" w:rsidRPr="00D94F0A" w:rsidRDefault="006B3273" w:rsidP="00D94F0A">
      <w:pPr>
        <w:pStyle w:val="Figuretitle"/>
        <w:keepNext/>
        <w:rPr>
          <w:lang w:val="es-ES"/>
        </w:rPr>
      </w:pPr>
      <w:r w:rsidRPr="0076358A">
        <w:rPr>
          <w:lang w:val="es-ES"/>
        </w:rPr>
        <w:t>Porcentaje de usuarios de Internet, desglosados por grupo de edad, en 2023 o el último año disponible</w:t>
      </w:r>
    </w:p>
    <w:p w14:paraId="60F812D8" w14:textId="21E6CBAE" w:rsidR="006B3273" w:rsidRPr="0076358A" w:rsidRDefault="00D94F0A" w:rsidP="006B327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lang w:val="es-ES"/>
          <w14:ligatures w14:val="standardContextual"/>
        </w:rPr>
      </w:pPr>
      <w:r w:rsidRPr="00D94F0A">
        <w:rPr>
          <w:rFonts w:ascii="Aptos" w:eastAsia="Aptos" w:hAnsi="Aptos" w:cs="Arial"/>
          <w:noProof/>
          <w:kern w:val="2"/>
          <w:sz w:val="16"/>
          <w:szCs w:val="28"/>
          <w14:ligatures w14:val="standardContextual"/>
        </w:rPr>
        <w:drawing>
          <wp:inline distT="0" distB="0" distL="0" distR="0" wp14:anchorId="2E20987F" wp14:editId="33870226">
            <wp:extent cx="6046833" cy="2763834"/>
            <wp:effectExtent l="0" t="0" r="0" b="0"/>
            <wp:docPr id="78432162" name="Chart 1">
              <a:extLst xmlns:a="http://schemas.openxmlformats.org/drawingml/2006/main">
                <a:ext uri="{FF2B5EF4-FFF2-40B4-BE49-F238E27FC236}">
                  <a16:creationId xmlns:a16="http://schemas.microsoft.com/office/drawing/2014/main" id="{334E53BB-44B0-4A5E-B666-53268ADF1E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7F7D019" w14:textId="77777777" w:rsidR="006B3273" w:rsidRPr="0076358A" w:rsidRDefault="006B3273" w:rsidP="00490BBD">
      <w:pPr>
        <w:pStyle w:val="Sourcetext"/>
        <w:rPr>
          <w:rFonts w:eastAsia="Aptos" w:cs="Arial"/>
        </w:rPr>
      </w:pPr>
      <w:r w:rsidRPr="0076358A">
        <w:t>Fuente: UIT</w:t>
      </w:r>
    </w:p>
    <w:p w14:paraId="685D8BC8" w14:textId="77777777" w:rsidR="006B3273" w:rsidRPr="0076358A" w:rsidRDefault="006B3273" w:rsidP="00EE44D6">
      <w:pPr>
        <w:tabs>
          <w:tab w:val="clear" w:pos="794"/>
          <w:tab w:val="clear" w:pos="1191"/>
          <w:tab w:val="clear" w:pos="1588"/>
          <w:tab w:val="clear" w:pos="1985"/>
        </w:tabs>
        <w:overflowPunct/>
        <w:autoSpaceDE/>
        <w:autoSpaceDN/>
        <w:adjustRightInd/>
        <w:spacing w:before="240" w:after="160" w:line="259" w:lineRule="auto"/>
        <w:textAlignment w:val="auto"/>
        <w:rPr>
          <w:rFonts w:ascii="Aptos" w:eastAsia="Aptos" w:hAnsi="Aptos" w:cs="Arial"/>
          <w:b/>
          <w:bCs/>
          <w:i/>
          <w:iCs/>
          <w:kern w:val="2"/>
          <w:sz w:val="22"/>
          <w:szCs w:val="22"/>
          <w:lang w:val="es-ES"/>
          <w14:ligatures w14:val="standardContextual"/>
        </w:rPr>
      </w:pPr>
      <w:r w:rsidRPr="0076358A">
        <w:rPr>
          <w:b/>
          <w:bCs/>
          <w:i/>
          <w:iCs/>
          <w:lang w:val="es-ES"/>
        </w:rPr>
        <w:t>La utilización de Internet en zonas rurales es inferior a la de zonas urbanas, pero menos que a nivel mundial</w:t>
      </w:r>
    </w:p>
    <w:p w14:paraId="67C86473" w14:textId="77777777" w:rsidR="006B3273" w:rsidRPr="00D94F0A" w:rsidRDefault="006B3273" w:rsidP="00D94F0A">
      <w:pPr>
        <w:pStyle w:val="Figuretitle"/>
        <w:keepNext/>
        <w:rPr>
          <w:lang w:val="es-ES"/>
        </w:rPr>
      </w:pPr>
      <w:r w:rsidRPr="0076358A">
        <w:rPr>
          <w:lang w:val="es-ES"/>
        </w:rPr>
        <w:t>Porcentaje de usuarios de Internet, desglosados por ubicación, 2024</w:t>
      </w:r>
    </w:p>
    <w:p w14:paraId="0DC28618" w14:textId="14D3859D" w:rsidR="006B3273" w:rsidRPr="0076358A" w:rsidRDefault="00EE44D6" w:rsidP="006B327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lang w:val="es-ES"/>
          <w14:ligatures w14:val="standardContextual"/>
        </w:rPr>
      </w:pPr>
      <w:r w:rsidRPr="00EE44D6">
        <w:rPr>
          <w:rFonts w:ascii="Aptos" w:eastAsia="Aptos" w:hAnsi="Aptos" w:cs="Arial"/>
          <w:noProof/>
          <w:kern w:val="2"/>
          <w:sz w:val="16"/>
          <w:szCs w:val="28"/>
          <w14:ligatures w14:val="standardContextual"/>
        </w:rPr>
        <w:drawing>
          <wp:inline distT="0" distB="0" distL="0" distR="0" wp14:anchorId="11B999FA" wp14:editId="1BCB9160">
            <wp:extent cx="5812403" cy="2464905"/>
            <wp:effectExtent l="0" t="0" r="0" b="0"/>
            <wp:docPr id="1869297041" name="Chart 1">
              <a:extLst xmlns:a="http://schemas.openxmlformats.org/drawingml/2006/main">
                <a:ext uri="{FF2B5EF4-FFF2-40B4-BE49-F238E27FC236}">
                  <a16:creationId xmlns:a16="http://schemas.microsoft.com/office/drawing/2014/main" id="{355E7D65-9A6A-4D30-82B8-8B8D076FCE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A9EF2EC" w14:textId="77777777" w:rsidR="006B3273" w:rsidRPr="0076358A" w:rsidRDefault="006B3273" w:rsidP="00490BBD">
      <w:pPr>
        <w:pStyle w:val="Sourcetext"/>
        <w:rPr>
          <w:rFonts w:eastAsia="Aptos" w:cs="Arial"/>
        </w:rPr>
      </w:pPr>
      <w:r w:rsidRPr="0076358A">
        <w:t>Fuente: UIT</w:t>
      </w:r>
    </w:p>
    <w:p w14:paraId="3EDA4E62" w14:textId="7BA5F598"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lastRenderedPageBreak/>
        <w:t>En las zonas urbanas de la región de las Américas, el 90</w:t>
      </w:r>
      <w:r w:rsidR="00AC027A">
        <w:rPr>
          <w:lang w:val="es-ES"/>
        </w:rPr>
        <w:t> %</w:t>
      </w:r>
      <w:r w:rsidRPr="0076358A">
        <w:rPr>
          <w:lang w:val="es-ES"/>
        </w:rPr>
        <w:t xml:space="preserve"> de la población dispone de conexión, frente al 74</w:t>
      </w:r>
      <w:r w:rsidR="00AC027A">
        <w:rPr>
          <w:lang w:val="es-ES"/>
        </w:rPr>
        <w:t> %</w:t>
      </w:r>
      <w:r w:rsidRPr="0076358A">
        <w:rPr>
          <w:lang w:val="es-ES"/>
        </w:rPr>
        <w:t xml:space="preserve"> en las zonas rurales. Esta diferencia es mucho menor que el valor agregado mundial correspondiente: el 83</w:t>
      </w:r>
      <w:r w:rsidR="00AC027A">
        <w:rPr>
          <w:lang w:val="es-ES"/>
        </w:rPr>
        <w:t> %</w:t>
      </w:r>
      <w:r w:rsidRPr="0076358A">
        <w:rPr>
          <w:lang w:val="es-ES"/>
        </w:rPr>
        <w:t xml:space="preserve"> en</w:t>
      </w:r>
      <w:r w:rsidR="00DF1C96" w:rsidRPr="0076358A">
        <w:rPr>
          <w:lang w:val="es-ES"/>
        </w:rPr>
        <w:t xml:space="preserve"> </w:t>
      </w:r>
      <w:r w:rsidRPr="0076358A">
        <w:rPr>
          <w:lang w:val="es-ES"/>
        </w:rPr>
        <w:t>zonas urbanas, frente a sólo el 48</w:t>
      </w:r>
      <w:r w:rsidR="00AC027A">
        <w:rPr>
          <w:lang w:val="es-ES"/>
        </w:rPr>
        <w:t> %</w:t>
      </w:r>
      <w:r w:rsidRPr="0076358A">
        <w:rPr>
          <w:lang w:val="es-ES"/>
        </w:rPr>
        <w:t xml:space="preserve"> en las zonas rurales. </w:t>
      </w:r>
    </w:p>
    <w:p w14:paraId="57FDC8D0"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Por regla general, en los países con una elevada tasa de penetración general de Internet, la brecha entre las zonas urbanas y las rurales es mucho menor que en los países con un porcentaje de utilización de Internet más pequeño.</w:t>
      </w:r>
    </w:p>
    <w:p w14:paraId="3E0DAAC8" w14:textId="77777777" w:rsidR="006B3273" w:rsidRPr="00EE44D6" w:rsidRDefault="006B3273" w:rsidP="00EE44D6">
      <w:pPr>
        <w:pStyle w:val="Figuretitle"/>
        <w:keepNext/>
        <w:rPr>
          <w:lang w:val="es-ES"/>
        </w:rPr>
      </w:pPr>
      <w:r w:rsidRPr="0076358A">
        <w:rPr>
          <w:lang w:val="es-ES"/>
        </w:rPr>
        <w:t>Porcentaje de usuarios de Internet, desglosados por ubicación, en 2023 o el último año disponible</w:t>
      </w:r>
    </w:p>
    <w:p w14:paraId="2D5D7E9E" w14:textId="16B37E05" w:rsidR="006B3273" w:rsidRPr="0076358A" w:rsidRDefault="00EE44D6" w:rsidP="00490BBD">
      <w:pPr>
        <w:pStyle w:val="Sourcetext"/>
      </w:pPr>
      <w:r w:rsidRPr="00EE44D6">
        <w:rPr>
          <w:noProof/>
        </w:rPr>
        <w:drawing>
          <wp:inline distT="0" distB="0" distL="0" distR="0" wp14:anchorId="7EF649EC" wp14:editId="58FFE5E7">
            <wp:extent cx="6046323" cy="2891117"/>
            <wp:effectExtent l="0" t="0" r="0" b="5080"/>
            <wp:docPr id="1164790169" name="Chart 1">
              <a:extLst xmlns:a="http://schemas.openxmlformats.org/drawingml/2006/main">
                <a:ext uri="{FF2B5EF4-FFF2-40B4-BE49-F238E27FC236}">
                  <a16:creationId xmlns:a16="http://schemas.microsoft.com/office/drawing/2014/main" id="{DC68C72E-044C-49BF-B29B-38AD3C9733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6CF4392" w14:textId="77777777" w:rsidR="006B3273" w:rsidRPr="0076358A" w:rsidRDefault="006B3273" w:rsidP="00490BBD">
      <w:pPr>
        <w:pStyle w:val="Sourcetext"/>
      </w:pPr>
      <w:r w:rsidRPr="0076358A">
        <w:t>Fuente: UIT</w:t>
      </w:r>
    </w:p>
    <w:p w14:paraId="08601F85" w14:textId="77777777" w:rsidR="006B3273" w:rsidRPr="0076358A" w:rsidRDefault="006B3273" w:rsidP="006B3273">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lang w:val="es-ES"/>
          <w14:ligatures w14:val="standardContextual"/>
        </w:rPr>
      </w:pPr>
      <w:r w:rsidRPr="0076358A">
        <w:rPr>
          <w:rFonts w:ascii="Aptos Display" w:eastAsia="Yu Gothic Light" w:hAnsi="Aptos Display"/>
          <w:color w:val="0F4761"/>
          <w:kern w:val="2"/>
          <w:sz w:val="32"/>
          <w:szCs w:val="32"/>
          <w:lang w:val="es-ES"/>
          <w14:ligatures w14:val="standardContextual"/>
        </w:rPr>
        <w:br w:type="page"/>
      </w:r>
    </w:p>
    <w:p w14:paraId="6AA5DEF2" w14:textId="77777777" w:rsidR="006B3273" w:rsidRPr="00490BBD" w:rsidRDefault="006B3273" w:rsidP="006B3273">
      <w:pPr>
        <w:pStyle w:val="Section"/>
        <w:rPr>
          <w:rFonts w:asciiTheme="minorHAnsi" w:hAnsiTheme="minorHAnsi" w:cstheme="minorHAnsi"/>
          <w:color w:val="auto"/>
          <w:lang w:val="es-ES"/>
        </w:rPr>
      </w:pPr>
      <w:bookmarkStart w:id="9" w:name="_Toc193034315"/>
      <w:r w:rsidRPr="00490BBD">
        <w:rPr>
          <w:rFonts w:asciiTheme="minorHAnsi" w:hAnsiTheme="minorHAnsi" w:cstheme="minorHAnsi"/>
          <w:color w:val="auto"/>
          <w:lang w:val="es-ES"/>
        </w:rPr>
        <w:lastRenderedPageBreak/>
        <w:t>Abonos a la banda ancha</w:t>
      </w:r>
      <w:bookmarkEnd w:id="9"/>
    </w:p>
    <w:p w14:paraId="7866DB81" w14:textId="065E055D"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lang w:val="es-ES"/>
          <w14:ligatures w14:val="standardContextual"/>
        </w:rPr>
      </w:pPr>
      <w:r w:rsidRPr="0076358A">
        <w:rPr>
          <w:b/>
          <w:bCs/>
          <w:i/>
          <w:iCs/>
          <w:lang w:val="es-ES"/>
        </w:rPr>
        <w:t>Las Américas es líder mundial en la adopción de la banda ancha móvil, mientras que la penetración de la banda ancha fija presenta amplias variaciones</w:t>
      </w:r>
    </w:p>
    <w:p w14:paraId="1CFFCBCB" w14:textId="77777777" w:rsidR="006B3273" w:rsidRPr="00A872E8" w:rsidRDefault="006B3273" w:rsidP="00A872E8">
      <w:pPr>
        <w:pStyle w:val="Figuretitle"/>
        <w:keepNext/>
        <w:rPr>
          <w:lang w:val="es-ES"/>
        </w:rPr>
      </w:pPr>
      <w:r w:rsidRPr="0076358A">
        <w:rPr>
          <w:lang w:val="es-ES"/>
        </w:rPr>
        <w:t>Abonos a servicios de banda ancha por cada 100 habitantes</w:t>
      </w:r>
    </w:p>
    <w:tbl>
      <w:tblPr>
        <w:tblStyle w:val="TableGrid1"/>
        <w:tblW w:w="0" w:type="auto"/>
        <w:tblInd w:w="5" w:type="dxa"/>
        <w:tblLayout w:type="fixed"/>
        <w:tblLook w:val="04A0" w:firstRow="1" w:lastRow="0" w:firstColumn="1" w:lastColumn="0" w:noHBand="0" w:noVBand="1"/>
      </w:tblPr>
      <w:tblGrid>
        <w:gridCol w:w="4440"/>
        <w:gridCol w:w="4576"/>
      </w:tblGrid>
      <w:tr w:rsidR="006B3273" w:rsidRPr="0076358A" w14:paraId="5B839E4B" w14:textId="77777777" w:rsidTr="00A872E8">
        <w:tc>
          <w:tcPr>
            <w:tcW w:w="4440" w:type="dxa"/>
            <w:tcBorders>
              <w:top w:val="nil"/>
              <w:left w:val="nil"/>
              <w:bottom w:val="nil"/>
              <w:right w:val="nil"/>
            </w:tcBorders>
          </w:tcPr>
          <w:p w14:paraId="1C39DBD4" w14:textId="3C8B9F7C"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b/>
                <w:sz w:val="22"/>
                <w:lang w:val="es-ES"/>
              </w:rPr>
            </w:pPr>
            <w:r w:rsidRPr="0076358A">
              <w:rPr>
                <w:b/>
                <w:bCs/>
                <w:color w:val="000000"/>
                <w:lang w:val="es-ES"/>
              </w:rPr>
              <w:t>Móvil</w:t>
            </w:r>
            <w:r w:rsidRPr="0076358A">
              <w:rPr>
                <w:color w:val="000000"/>
                <w:lang w:val="es-ES"/>
              </w:rPr>
              <w:t xml:space="preserve"> </w:t>
            </w:r>
            <w:r w:rsidR="00A872E8" w:rsidRPr="00A872E8">
              <w:rPr>
                <w:noProof/>
                <w:color w:val="000000"/>
              </w:rPr>
              <w:drawing>
                <wp:inline distT="0" distB="0" distL="0" distR="0" wp14:anchorId="53722A3E" wp14:editId="5DCB7054">
                  <wp:extent cx="2587800" cy="2664000"/>
                  <wp:effectExtent l="0" t="0" r="3175" b="3175"/>
                  <wp:docPr id="181985228" name="Chart 1">
                    <a:extLst xmlns:a="http://schemas.openxmlformats.org/drawingml/2006/main">
                      <a:ext uri="{FF2B5EF4-FFF2-40B4-BE49-F238E27FC236}">
                        <a16:creationId xmlns:a16="http://schemas.microsoft.com/office/drawing/2014/main" id="{DD525216-11CE-407C-96D4-1942027D53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2B30684"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sz w:val="22"/>
                <w:lang w:val="es-ES"/>
              </w:rPr>
            </w:pPr>
          </w:p>
        </w:tc>
        <w:tc>
          <w:tcPr>
            <w:tcW w:w="4576" w:type="dxa"/>
            <w:tcBorders>
              <w:top w:val="nil"/>
              <w:left w:val="nil"/>
              <w:bottom w:val="nil"/>
              <w:right w:val="nil"/>
            </w:tcBorders>
          </w:tcPr>
          <w:p w14:paraId="590DE020" w14:textId="34F21769"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b/>
                <w:sz w:val="22"/>
                <w:lang w:val="es-ES"/>
              </w:rPr>
            </w:pPr>
            <w:r w:rsidRPr="0076358A">
              <w:rPr>
                <w:b/>
                <w:bCs/>
                <w:color w:val="000000"/>
                <w:lang w:val="es-ES"/>
              </w:rPr>
              <w:t>Fija</w:t>
            </w:r>
            <w:r w:rsidRPr="0076358A">
              <w:rPr>
                <w:color w:val="000000"/>
                <w:lang w:val="es-ES"/>
              </w:rPr>
              <w:t xml:space="preserve"> </w:t>
            </w:r>
            <w:r w:rsidR="00A872E8" w:rsidRPr="00A872E8">
              <w:rPr>
                <w:noProof/>
                <w:color w:val="000000"/>
              </w:rPr>
              <w:drawing>
                <wp:inline distT="0" distB="0" distL="0" distR="0" wp14:anchorId="4678D5EF" wp14:editId="24B413E8">
                  <wp:extent cx="2594844" cy="2684811"/>
                  <wp:effectExtent l="0" t="0" r="0" b="1270"/>
                  <wp:docPr id="1151601029" name="Chart 1">
                    <a:extLst xmlns:a="http://schemas.openxmlformats.org/drawingml/2006/main">
                      <a:ext uri="{FF2B5EF4-FFF2-40B4-BE49-F238E27FC236}">
                        <a16:creationId xmlns:a16="http://schemas.microsoft.com/office/drawing/2014/main" id="{BB8E63AD-6382-4450-AE33-E83375A8A0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45C144E"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textAlignment w:val="center"/>
              <w:rPr>
                <w:rFonts w:ascii="Aptos" w:hAnsi="Aptos"/>
                <w:sz w:val="16"/>
                <w:szCs w:val="28"/>
                <w:lang w:val="es-ES"/>
              </w:rPr>
            </w:pPr>
          </w:p>
        </w:tc>
      </w:tr>
    </w:tbl>
    <w:p w14:paraId="635C98A8" w14:textId="77777777" w:rsidR="006B3273" w:rsidRPr="0076358A" w:rsidRDefault="006B3273" w:rsidP="00490BBD">
      <w:pPr>
        <w:pStyle w:val="Sourcetext"/>
      </w:pPr>
      <w:r w:rsidRPr="0076358A">
        <w:t>Fuente: UIT</w:t>
      </w:r>
    </w:p>
    <w:p w14:paraId="72595712" w14:textId="7788507A"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 xml:space="preserve">En 2024, el número de </w:t>
      </w:r>
      <w:r w:rsidR="00780867" w:rsidRPr="0076358A">
        <w:rPr>
          <w:lang w:val="es-ES"/>
        </w:rPr>
        <w:t>abonos</w:t>
      </w:r>
      <w:r w:rsidRPr="0076358A">
        <w:rPr>
          <w:lang w:val="es-ES"/>
        </w:rPr>
        <w:t xml:space="preserve"> a la banda ancha móvil por cada 100 habitantes en las Américas se elevaba a 125, la cifra más alta de todas las regiones. En cuanto a los abonos a la banda ancha fija, aunque la cifra es elevada en la región –27 por cada 100 habitantes–, sigue ocupando el segundo lugar, muy por detrás de la región de Europa.</w:t>
      </w:r>
    </w:p>
    <w:p w14:paraId="686E38E9" w14:textId="443438BC" w:rsidR="006B3273" w:rsidRPr="00A872E8" w:rsidRDefault="006B3273" w:rsidP="00A872E8">
      <w:pPr>
        <w:pStyle w:val="Figuretitle"/>
        <w:keepNext/>
        <w:rPr>
          <w:lang w:val="es-ES"/>
        </w:rPr>
      </w:pPr>
      <w:r w:rsidRPr="0076358A">
        <w:rPr>
          <w:lang w:val="es-ES"/>
        </w:rPr>
        <w:lastRenderedPageBreak/>
        <w:t>Abonos activos a servicios de banda ancha móvil por cada 100 habitantes, 2023 o último año disponible</w:t>
      </w:r>
    </w:p>
    <w:p w14:paraId="678A27B9" w14:textId="2C2F9619" w:rsidR="006B3273" w:rsidRPr="0076358A" w:rsidRDefault="00A872E8" w:rsidP="006B327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lang w:val="es-ES"/>
          <w14:ligatures w14:val="standardContextual"/>
        </w:rPr>
      </w:pPr>
      <w:r w:rsidRPr="00A872E8">
        <w:rPr>
          <w:noProof/>
        </w:rPr>
        <w:drawing>
          <wp:inline distT="0" distB="0" distL="0" distR="0" wp14:anchorId="389E04DD" wp14:editId="212D6C93">
            <wp:extent cx="6036000" cy="3240000"/>
            <wp:effectExtent l="0" t="0" r="3175" b="0"/>
            <wp:docPr id="862961894" name="Chart 1">
              <a:extLst xmlns:a="http://schemas.openxmlformats.org/drawingml/2006/main">
                <a:ext uri="{FF2B5EF4-FFF2-40B4-BE49-F238E27FC236}">
                  <a16:creationId xmlns:a16="http://schemas.microsoft.com/office/drawing/2014/main" id="{8FA81EE2-AEF2-4DF9-A898-B9AB81E1E3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A22BF52" w14:textId="77777777" w:rsidR="006B3273" w:rsidRPr="0076358A" w:rsidRDefault="006B3273" w:rsidP="00506678">
      <w:pPr>
        <w:pStyle w:val="Figurelegend"/>
      </w:pPr>
      <w:r w:rsidRPr="0076358A">
        <w:t>Nota: Los datos presentados por los países se muestran en un tono más oscuro y no oficiales en un tono más claro.</w:t>
      </w:r>
    </w:p>
    <w:p w14:paraId="621281D5" w14:textId="77777777" w:rsidR="006B3273" w:rsidRPr="0076358A" w:rsidRDefault="006B3273" w:rsidP="00490BBD">
      <w:pPr>
        <w:pStyle w:val="Sourcetext"/>
      </w:pPr>
      <w:r w:rsidRPr="0076358A">
        <w:t>Fuente: UIT</w:t>
      </w:r>
    </w:p>
    <w:p w14:paraId="7B0BA86F" w14:textId="68DCE77C"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En la mayoría de los países de la región, la penetración de abonos a la banda ancha móvil es elevada y sigue creciendo. Sin embargo, existe una enorme disparidad entre la más baja (17</w:t>
      </w:r>
      <w:r w:rsidR="00490BBD">
        <w:rPr>
          <w:lang w:val="es-ES"/>
        </w:rPr>
        <w:t> </w:t>
      </w:r>
      <w:r w:rsidRPr="0076358A">
        <w:rPr>
          <w:lang w:val="es-ES"/>
        </w:rPr>
        <w:t>abon</w:t>
      </w:r>
      <w:r w:rsidR="0019533A">
        <w:rPr>
          <w:lang w:val="es-ES"/>
        </w:rPr>
        <w:t>o</w:t>
      </w:r>
      <w:r w:rsidRPr="0076358A">
        <w:rPr>
          <w:lang w:val="es-ES"/>
        </w:rPr>
        <w:t>s por cada 100 habitantes) y la más alta (185 abonos por cada 100 habitantes).</w:t>
      </w:r>
    </w:p>
    <w:p w14:paraId="0949A549" w14:textId="69709704"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La heterogeneidad de la región se plasma en las cifras de abon</w:t>
      </w:r>
      <w:r w:rsidR="00780867" w:rsidRPr="0076358A">
        <w:rPr>
          <w:lang w:val="es-ES"/>
        </w:rPr>
        <w:t>o</w:t>
      </w:r>
      <w:r w:rsidRPr="0076358A">
        <w:rPr>
          <w:lang w:val="es-ES"/>
        </w:rPr>
        <w:t>s a la banda ancha fija a nivel nacional, que oscilan entre 0,3 y 47 abonos por cada 100 habitantes. En 16 de los 28 países que disponen de datos, el 90</w:t>
      </w:r>
      <w:r w:rsidR="00AC027A">
        <w:rPr>
          <w:lang w:val="es-ES"/>
        </w:rPr>
        <w:t> %</w:t>
      </w:r>
      <w:r w:rsidRPr="0076358A">
        <w:rPr>
          <w:lang w:val="es-ES"/>
        </w:rPr>
        <w:t xml:space="preserve"> o más de los abonos contaban con velocidades superiores a 10</w:t>
      </w:r>
      <w:r w:rsidR="00490BBD">
        <w:rPr>
          <w:lang w:val="es-ES"/>
        </w:rPr>
        <w:t> </w:t>
      </w:r>
      <w:r w:rsidRPr="0076358A">
        <w:rPr>
          <w:lang w:val="es-ES"/>
        </w:rPr>
        <w:t>Mbit/s.</w:t>
      </w:r>
    </w:p>
    <w:p w14:paraId="695697D7" w14:textId="79CDF6D7" w:rsidR="006B3273" w:rsidRPr="000535D8" w:rsidRDefault="006B3273" w:rsidP="00A872E8">
      <w:pPr>
        <w:pStyle w:val="Figuretitle"/>
        <w:keepNext/>
        <w:rPr>
          <w:lang w:val="es-ES"/>
        </w:rPr>
      </w:pPr>
      <w:r w:rsidRPr="0076358A">
        <w:rPr>
          <w:lang w:val="es-ES"/>
        </w:rPr>
        <w:lastRenderedPageBreak/>
        <w:t>Abonos a servicios de banda ancha fija por cada 100 habitantes, 2023 o último año disponible</w:t>
      </w:r>
      <w:r w:rsidR="008D7C80" w:rsidRPr="008D7C80">
        <w:rPr>
          <w:noProof/>
        </w:rPr>
        <w:drawing>
          <wp:inline distT="0" distB="0" distL="0" distR="0" wp14:anchorId="6D839FF9" wp14:editId="6D9CF5B0">
            <wp:extent cx="6035999" cy="3243176"/>
            <wp:effectExtent l="0" t="0" r="3175" b="0"/>
            <wp:docPr id="2009484298" name="Chart 1">
              <a:extLst xmlns:a="http://schemas.openxmlformats.org/drawingml/2006/main">
                <a:ext uri="{FF2B5EF4-FFF2-40B4-BE49-F238E27FC236}">
                  <a16:creationId xmlns:a16="http://schemas.microsoft.com/office/drawing/2014/main" id="{7993B6C7-8F55-4966-BC81-0B7B179531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A0C0765" w14:textId="2764B573" w:rsidR="006B3273" w:rsidRPr="00A872E8" w:rsidRDefault="006B3273" w:rsidP="00506678">
      <w:pPr>
        <w:pStyle w:val="Figurelegend"/>
        <w:tabs>
          <w:tab w:val="left" w:pos="284"/>
        </w:tabs>
      </w:pPr>
      <w:r w:rsidRPr="0076358A">
        <w:t>*</w:t>
      </w:r>
      <w:r w:rsidR="008D7C80">
        <w:tab/>
      </w:r>
      <w:r w:rsidRPr="0076358A">
        <w:t>Los datos son estimaciones de la UIT</w:t>
      </w:r>
    </w:p>
    <w:p w14:paraId="7A8483EE" w14:textId="77777777" w:rsidR="006B3273" w:rsidRPr="0076358A" w:rsidRDefault="006B3273" w:rsidP="00490BBD">
      <w:pPr>
        <w:pStyle w:val="Sourcetext"/>
      </w:pPr>
      <w:r w:rsidRPr="0076358A">
        <w:t>Fuente: UIT</w:t>
      </w:r>
    </w:p>
    <w:p w14:paraId="48C64449"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rFonts w:ascii="Aptos" w:eastAsia="Aptos" w:hAnsi="Aptos" w:cs="Arial"/>
          <w:kern w:val="2"/>
          <w:sz w:val="22"/>
          <w:szCs w:val="22"/>
          <w:lang w:val="es-ES"/>
          <w14:ligatures w14:val="standardContextual"/>
        </w:rPr>
        <w:br w:type="page"/>
      </w:r>
    </w:p>
    <w:p w14:paraId="7936840D" w14:textId="77777777" w:rsidR="006B3273" w:rsidRPr="00490BBD" w:rsidRDefault="006B3273" w:rsidP="006B3273">
      <w:pPr>
        <w:pStyle w:val="Section"/>
        <w:rPr>
          <w:rFonts w:asciiTheme="minorHAnsi" w:hAnsiTheme="minorHAnsi" w:cstheme="minorHAnsi"/>
          <w:color w:val="auto"/>
          <w:lang w:val="es-ES"/>
        </w:rPr>
      </w:pPr>
      <w:bookmarkStart w:id="10" w:name="_Toc193034316"/>
      <w:r w:rsidRPr="00490BBD">
        <w:rPr>
          <w:rFonts w:asciiTheme="minorHAnsi" w:hAnsiTheme="minorHAnsi" w:cstheme="minorHAnsi"/>
          <w:color w:val="auto"/>
          <w:lang w:val="es-ES"/>
        </w:rPr>
        <w:lastRenderedPageBreak/>
        <w:t>Cobertura de red móvil</w:t>
      </w:r>
      <w:bookmarkEnd w:id="10"/>
    </w:p>
    <w:p w14:paraId="3B74D744"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lang w:val="es-ES"/>
          <w14:ligatures w14:val="standardContextual"/>
        </w:rPr>
      </w:pPr>
      <w:r w:rsidRPr="0076358A">
        <w:rPr>
          <w:b/>
          <w:bCs/>
          <w:i/>
          <w:iCs/>
          <w:lang w:val="es-ES"/>
        </w:rPr>
        <w:t>Dos tercios de la población tienen acceso a 5G, pero las zonas rurales y algunos países van a la zaga</w:t>
      </w:r>
      <w:r w:rsidRPr="0076358A">
        <w:rPr>
          <w:lang w:val="es-ES"/>
        </w:rPr>
        <w:t xml:space="preserve"> </w:t>
      </w:r>
    </w:p>
    <w:p w14:paraId="0C731EF4" w14:textId="77777777" w:rsidR="006B3273" w:rsidRPr="008D7C80" w:rsidRDefault="006B3273" w:rsidP="008D7C80">
      <w:pPr>
        <w:pStyle w:val="Figuretitle"/>
        <w:keepNext/>
        <w:rPr>
          <w:lang w:val="es-ES"/>
        </w:rPr>
      </w:pPr>
      <w:r w:rsidRPr="0076358A">
        <w:rPr>
          <w:lang w:val="es-ES"/>
        </w:rPr>
        <w:t>Porcentaje de población con cobertura por una red móvil</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6"/>
        <w:gridCol w:w="4566"/>
      </w:tblGrid>
      <w:tr w:rsidR="006B3273" w:rsidRPr="0076358A" w14:paraId="5D16FD78" w14:textId="77777777" w:rsidTr="004A7CF6">
        <w:tc>
          <w:tcPr>
            <w:tcW w:w="4566" w:type="dxa"/>
          </w:tcPr>
          <w:p w14:paraId="3777228D" w14:textId="255DC34B" w:rsidR="006B3273" w:rsidRPr="0076358A" w:rsidRDefault="006B3273" w:rsidP="004A7CF6">
            <w:pPr>
              <w:jc w:val="center"/>
              <w:rPr>
                <w:rFonts w:ascii="Aptos" w:hAnsi="Aptos"/>
                <w:sz w:val="22"/>
                <w:lang w:val="es-ES"/>
              </w:rPr>
            </w:pPr>
            <w:r w:rsidRPr="0076358A">
              <w:rPr>
                <w:b/>
                <w:bCs/>
                <w:color w:val="000000"/>
                <w:lang w:val="es-ES"/>
              </w:rPr>
              <w:t>Las Américas</w:t>
            </w:r>
            <w:r w:rsidRPr="0076358A">
              <w:rPr>
                <w:color w:val="000000"/>
                <w:lang w:val="es-ES"/>
              </w:rPr>
              <w:t xml:space="preserve"> </w:t>
            </w:r>
            <w:r w:rsidR="008D7C80">
              <w:rPr>
                <w:noProof/>
              </w:rPr>
              <w:drawing>
                <wp:inline distT="0" distB="0" distL="0" distR="0" wp14:anchorId="1919E34C" wp14:editId="1131A64A">
                  <wp:extent cx="2752725" cy="2876550"/>
                  <wp:effectExtent l="0" t="0" r="9525" b="0"/>
                  <wp:docPr id="2000839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83985"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2752725" cy="2876550"/>
                          </a:xfrm>
                          <a:prstGeom prst="rect">
                            <a:avLst/>
                          </a:prstGeom>
                        </pic:spPr>
                      </pic:pic>
                    </a:graphicData>
                  </a:graphic>
                </wp:inline>
              </w:drawing>
            </w:r>
          </w:p>
        </w:tc>
        <w:tc>
          <w:tcPr>
            <w:tcW w:w="4566" w:type="dxa"/>
          </w:tcPr>
          <w:p w14:paraId="70753FA1" w14:textId="07C68009" w:rsidR="006B3273" w:rsidRPr="0076358A" w:rsidRDefault="006B3273" w:rsidP="004A7CF6">
            <w:pPr>
              <w:jc w:val="center"/>
              <w:rPr>
                <w:rFonts w:ascii="Aptos" w:hAnsi="Aptos"/>
                <w:sz w:val="22"/>
                <w:lang w:val="es-ES"/>
              </w:rPr>
            </w:pPr>
            <w:r w:rsidRPr="0076358A">
              <w:rPr>
                <w:b/>
                <w:bCs/>
                <w:color w:val="000000"/>
                <w:lang w:val="es-ES"/>
              </w:rPr>
              <w:t>Mundo</w:t>
            </w:r>
            <w:r w:rsidRPr="0076358A">
              <w:rPr>
                <w:color w:val="000000"/>
                <w:lang w:val="es-ES"/>
              </w:rPr>
              <w:t xml:space="preserve"> </w:t>
            </w:r>
            <w:r w:rsidR="008D7C80">
              <w:rPr>
                <w:noProof/>
              </w:rPr>
              <w:drawing>
                <wp:inline distT="0" distB="0" distL="0" distR="0" wp14:anchorId="652A9955" wp14:editId="2E493755">
                  <wp:extent cx="2752725" cy="2876550"/>
                  <wp:effectExtent l="0" t="0" r="9525" b="0"/>
                  <wp:docPr id="15655998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9982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2752725" cy="2876550"/>
                          </a:xfrm>
                          <a:prstGeom prst="rect">
                            <a:avLst/>
                          </a:prstGeom>
                        </pic:spPr>
                      </pic:pic>
                    </a:graphicData>
                  </a:graphic>
                </wp:inline>
              </w:drawing>
            </w:r>
          </w:p>
        </w:tc>
      </w:tr>
    </w:tbl>
    <w:p w14:paraId="5606D9B5" w14:textId="73DBE57D" w:rsidR="006B3273" w:rsidRPr="0076358A" w:rsidRDefault="006B3273" w:rsidP="00FC2DDD">
      <w:pPr>
        <w:pStyle w:val="Figurelegend"/>
        <w:spacing w:before="240" w:after="120"/>
      </w:pPr>
      <w:r w:rsidRPr="0076358A">
        <w:t>Nota: Los valores relativos a las redes 2G, 3G y 4G muestran el porcentaje incremental de población sin cobertura por una red de tecnología más avanzada (por ejemplo, en 2024, el 96</w:t>
      </w:r>
      <w:r w:rsidR="00AC027A">
        <w:t> %</w:t>
      </w:r>
      <w:r w:rsidRPr="0076358A">
        <w:t xml:space="preserve"> de la población mundial disponía de cobertura por una red 3G o superior, en concreto, 4</w:t>
      </w:r>
      <w:r w:rsidR="00AC027A">
        <w:t> %</w:t>
      </w:r>
      <w:r w:rsidRPr="0076358A">
        <w:t xml:space="preserve"> + 41</w:t>
      </w:r>
      <w:r w:rsidR="00AC027A">
        <w:t> %</w:t>
      </w:r>
      <w:r w:rsidRPr="0076358A">
        <w:t xml:space="preserve"> + 51</w:t>
      </w:r>
      <w:r w:rsidR="00AC027A">
        <w:t> %</w:t>
      </w:r>
      <w:r w:rsidRPr="0076358A">
        <w:t>). No se dispone de datos suficientes para elaborar estimaciones sobre la cobertura 5G antes de 2020.</w:t>
      </w:r>
    </w:p>
    <w:p w14:paraId="5FDACAEB" w14:textId="77777777" w:rsidR="006B3273" w:rsidRPr="0076358A" w:rsidRDefault="006B3273" w:rsidP="00490BBD">
      <w:pPr>
        <w:pStyle w:val="Sourcetext"/>
      </w:pPr>
      <w:r w:rsidRPr="0076358A">
        <w:t>Fuente: UIT</w:t>
      </w:r>
    </w:p>
    <w:p w14:paraId="67A7953A" w14:textId="7BE99381"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Entre 2020 y 2024, el porcentaje de población con cobertura por una red móvil 5G en</w:t>
      </w:r>
      <w:r w:rsidR="00DF1C96" w:rsidRPr="0076358A">
        <w:rPr>
          <w:lang w:val="es-ES"/>
        </w:rPr>
        <w:t xml:space="preserve"> </w:t>
      </w:r>
      <w:r w:rsidRPr="0076358A">
        <w:rPr>
          <w:lang w:val="es-ES"/>
        </w:rPr>
        <w:t>las Américas pasó del 35</w:t>
      </w:r>
      <w:r w:rsidR="00AC027A">
        <w:rPr>
          <w:lang w:val="es-ES"/>
        </w:rPr>
        <w:t> %</w:t>
      </w:r>
      <w:r w:rsidRPr="0076358A">
        <w:rPr>
          <w:lang w:val="es-ES"/>
        </w:rPr>
        <w:t xml:space="preserve"> al 63</w:t>
      </w:r>
      <w:r w:rsidR="00AC027A">
        <w:rPr>
          <w:lang w:val="es-ES"/>
        </w:rPr>
        <w:t> %</w:t>
      </w:r>
      <w:r w:rsidRPr="0076358A">
        <w:rPr>
          <w:lang w:val="es-ES"/>
        </w:rPr>
        <w:t>. Durante ese mismo periodo, la cobertura en el mundo aumentó del 9</w:t>
      </w:r>
      <w:r w:rsidR="00AC027A">
        <w:rPr>
          <w:lang w:val="es-ES"/>
        </w:rPr>
        <w:t> %</w:t>
      </w:r>
      <w:r w:rsidRPr="0076358A">
        <w:rPr>
          <w:lang w:val="es-ES"/>
        </w:rPr>
        <w:t xml:space="preserve"> al 51</w:t>
      </w:r>
      <w:r w:rsidR="00AC027A">
        <w:rPr>
          <w:lang w:val="es-ES"/>
        </w:rPr>
        <w:t> %</w:t>
      </w:r>
      <w:r w:rsidRPr="0076358A">
        <w:rPr>
          <w:lang w:val="es-ES"/>
        </w:rPr>
        <w:t>. En la región, las redes móviles 4G ofrecían cobertura al 94</w:t>
      </w:r>
      <w:r w:rsidR="00AC027A">
        <w:rPr>
          <w:lang w:val="es-ES"/>
        </w:rPr>
        <w:t> %</w:t>
      </w:r>
      <w:r w:rsidRPr="0076358A">
        <w:rPr>
          <w:lang w:val="es-ES"/>
        </w:rPr>
        <w:t xml:space="preserve"> de la población en 2024, ligeramente por encima de la media mundial que se situaba en el 92</w:t>
      </w:r>
      <w:r w:rsidR="00AC027A">
        <w:rPr>
          <w:lang w:val="es-ES"/>
        </w:rPr>
        <w:t> %</w:t>
      </w:r>
      <w:r w:rsidRPr="0076358A">
        <w:rPr>
          <w:lang w:val="es-ES"/>
        </w:rPr>
        <w:t>. Por otra parte, el 96</w:t>
      </w:r>
      <w:r w:rsidR="00AC027A">
        <w:rPr>
          <w:lang w:val="es-ES"/>
        </w:rPr>
        <w:t> %</w:t>
      </w:r>
      <w:r w:rsidRPr="0076358A">
        <w:rPr>
          <w:lang w:val="es-ES"/>
        </w:rPr>
        <w:t xml:space="preserve"> de la población de las Américas tiene acceso, como mínimo, a una red de banda ancha móvil 3G, lo que deja al 4</w:t>
      </w:r>
      <w:r w:rsidR="00AC027A">
        <w:rPr>
          <w:lang w:val="es-ES"/>
        </w:rPr>
        <w:t> %</w:t>
      </w:r>
      <w:r w:rsidRPr="0076358A">
        <w:rPr>
          <w:lang w:val="es-ES"/>
        </w:rPr>
        <w:t xml:space="preserve"> sin acceso a una red de banda ancha móvil y, por lo tanto, sin posibilidad alguna de acceder a Internet. Esta brecha de cobertura es igual a la media mundial.</w:t>
      </w:r>
    </w:p>
    <w:p w14:paraId="2314B594" w14:textId="77777777" w:rsidR="006B3273" w:rsidRDefault="006B3273" w:rsidP="008D7C80">
      <w:pPr>
        <w:pStyle w:val="Figuretitle"/>
        <w:keepNext/>
        <w:rPr>
          <w:lang w:val="es-ES"/>
        </w:rPr>
      </w:pPr>
      <w:r w:rsidRPr="0076358A">
        <w:rPr>
          <w:lang w:val="es-ES"/>
        </w:rPr>
        <w:lastRenderedPageBreak/>
        <w:t>Porcentaje de población con cobertura por una red móvil, 2023</w:t>
      </w:r>
    </w:p>
    <w:p w14:paraId="6B59F5B0" w14:textId="0789D432" w:rsidR="008D7C80" w:rsidRPr="008D7C80" w:rsidRDefault="003A035D" w:rsidP="008D7C80">
      <w:pPr>
        <w:rPr>
          <w:rFonts w:eastAsia="Yu Gothic Light"/>
          <w:lang w:val="es-ES"/>
        </w:rPr>
      </w:pPr>
      <w:r w:rsidRPr="003A035D">
        <w:rPr>
          <w:rFonts w:eastAsia="Yu Gothic Light"/>
          <w:noProof/>
        </w:rPr>
        <w:drawing>
          <wp:inline distT="0" distB="0" distL="0" distR="0" wp14:anchorId="4D9E49B8" wp14:editId="4C7F0397">
            <wp:extent cx="5985801" cy="3485649"/>
            <wp:effectExtent l="0" t="0" r="0" b="635"/>
            <wp:docPr id="361262238" name="Chart 1">
              <a:extLst xmlns:a="http://schemas.openxmlformats.org/drawingml/2006/main">
                <a:ext uri="{FF2B5EF4-FFF2-40B4-BE49-F238E27FC236}">
                  <a16:creationId xmlns:a16="http://schemas.microsoft.com/office/drawing/2014/main" id="{F37E3A00-DA63-405E-2F4F-3A9D1290C2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C86AAA2" w14:textId="3BFF9645" w:rsidR="006B3273" w:rsidRPr="0076358A" w:rsidRDefault="006B3273" w:rsidP="00506678">
      <w:pPr>
        <w:pStyle w:val="Figurelegend"/>
        <w:tabs>
          <w:tab w:val="left" w:pos="284"/>
        </w:tabs>
      </w:pPr>
      <w:r w:rsidRPr="0076358A">
        <w:t>*</w:t>
      </w:r>
      <w:r w:rsidR="003A035D">
        <w:tab/>
      </w:r>
      <w:r w:rsidRPr="0076358A">
        <w:t>Los datos son estimaciones de la UIT</w:t>
      </w:r>
    </w:p>
    <w:p w14:paraId="054CE7B7" w14:textId="7F580AB5" w:rsidR="006B3273" w:rsidRPr="0076358A" w:rsidRDefault="006B3273" w:rsidP="00B23D0A">
      <w:pPr>
        <w:pStyle w:val="Figurelegend"/>
      </w:pPr>
      <w:r w:rsidRPr="0076358A">
        <w:t>Nota: Los valores relativos a las redes 2G, 3G y 4G muestran el porcentaje incremental de población sin cobertura por una red de tecnología más avanzada (por ejemplo, en 2023, el 93</w:t>
      </w:r>
      <w:r w:rsidR="00AC027A">
        <w:t> %</w:t>
      </w:r>
      <w:r w:rsidRPr="0076358A">
        <w:t xml:space="preserve"> de la población de Brasil disponía de cobertura por una red 4G o superior, en concreto, 63</w:t>
      </w:r>
      <w:r w:rsidR="00AC027A">
        <w:t> %</w:t>
      </w:r>
      <w:r w:rsidRPr="0076358A">
        <w:t xml:space="preserve"> + 30</w:t>
      </w:r>
      <w:r w:rsidR="00AC027A">
        <w:t> %</w:t>
      </w:r>
      <w:r w:rsidRPr="0076358A">
        <w:t xml:space="preserve">). </w:t>
      </w:r>
    </w:p>
    <w:p w14:paraId="72620974" w14:textId="77777777" w:rsidR="006B3273" w:rsidRPr="0076358A" w:rsidRDefault="006B3273" w:rsidP="00490BBD">
      <w:pPr>
        <w:pStyle w:val="Sourcetext"/>
      </w:pPr>
      <w:r w:rsidRPr="0076358A">
        <w:t>Fuente: UIT</w:t>
      </w:r>
    </w:p>
    <w:p w14:paraId="3611AD43" w14:textId="5F00446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Sin embargo, cuando se observan los datos a nivel de país, se obtiene una perspectiva diferente. En 26 de los 35 países de la región, la 5G no estaba disponible en absoluto. Sólo cinco países tenían más del 50</w:t>
      </w:r>
      <w:r w:rsidR="00AC027A">
        <w:rPr>
          <w:lang w:val="es-ES"/>
        </w:rPr>
        <w:t> %</w:t>
      </w:r>
      <w:r w:rsidRPr="0076358A">
        <w:rPr>
          <w:lang w:val="es-ES"/>
        </w:rPr>
        <w:t xml:space="preserve"> de la población con cobertura 5G.</w:t>
      </w:r>
    </w:p>
    <w:p w14:paraId="5F30C292" w14:textId="77777777" w:rsidR="006B3273" w:rsidRPr="0073214B" w:rsidRDefault="006B3273" w:rsidP="006B3273">
      <w:pPr>
        <w:tabs>
          <w:tab w:val="clear" w:pos="794"/>
          <w:tab w:val="clear" w:pos="1191"/>
          <w:tab w:val="clear" w:pos="1588"/>
          <w:tab w:val="clear" w:pos="1985"/>
        </w:tabs>
        <w:overflowPunct/>
        <w:autoSpaceDE/>
        <w:autoSpaceDN/>
        <w:adjustRightInd/>
        <w:spacing w:before="0"/>
        <w:textAlignment w:val="auto"/>
        <w:rPr>
          <w:rFonts w:eastAsia="Yu Gothic Light" w:cstheme="minorHAnsi"/>
          <w:spacing w:val="-10"/>
          <w:kern w:val="28"/>
          <w:szCs w:val="24"/>
          <w:lang w:val="es-ES"/>
        </w:rPr>
      </w:pPr>
      <w:r w:rsidRPr="0076358A">
        <w:rPr>
          <w:rFonts w:ascii="AvenirNext LT Pro Light" w:eastAsia="Yu Gothic Light" w:hAnsi="AvenirNext LT Pro Light" w:cs="Calibri"/>
          <w:color w:val="0070C0"/>
          <w:spacing w:val="-10"/>
          <w:kern w:val="28"/>
          <w:szCs w:val="24"/>
          <w:lang w:val="es-ES"/>
        </w:rPr>
        <w:br w:type="page"/>
      </w:r>
    </w:p>
    <w:p w14:paraId="6CA55612" w14:textId="77777777" w:rsidR="006B3273" w:rsidRDefault="006B3273" w:rsidP="003A035D">
      <w:pPr>
        <w:pStyle w:val="Figuretitle"/>
        <w:keepNext/>
        <w:rPr>
          <w:lang w:val="es-ES"/>
        </w:rPr>
      </w:pPr>
      <w:r w:rsidRPr="0076358A">
        <w:rPr>
          <w:lang w:val="es-ES"/>
        </w:rPr>
        <w:lastRenderedPageBreak/>
        <w:t>Población con cobertura por una red móvil y ubicación de la misma, 2024</w:t>
      </w:r>
    </w:p>
    <w:p w14:paraId="0C10068F" w14:textId="5E571B7B" w:rsidR="003A035D" w:rsidRPr="003A035D" w:rsidRDefault="003A035D" w:rsidP="003A035D">
      <w:pPr>
        <w:jc w:val="center"/>
        <w:rPr>
          <w:rFonts w:eastAsia="Yu Gothic Light"/>
          <w:lang w:val="es-ES"/>
        </w:rPr>
      </w:pPr>
      <w:r w:rsidRPr="003A035D">
        <w:rPr>
          <w:rFonts w:eastAsia="Yu Gothic Light"/>
          <w:noProof/>
        </w:rPr>
        <w:drawing>
          <wp:inline distT="0" distB="0" distL="0" distR="0" wp14:anchorId="4EC62156" wp14:editId="21F9D069">
            <wp:extent cx="5588550" cy="2880000"/>
            <wp:effectExtent l="0" t="0" r="0" b="0"/>
            <wp:docPr id="1586319481" name="Chart 1">
              <a:extLst xmlns:a="http://schemas.openxmlformats.org/drawingml/2006/main">
                <a:ext uri="{FF2B5EF4-FFF2-40B4-BE49-F238E27FC236}">
                  <a16:creationId xmlns:a16="http://schemas.microsoft.com/office/drawing/2014/main" id="{7ECDFF89-CFCA-4081-A3EA-9D3C067D21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84D6C2C" w14:textId="6ACBC320" w:rsidR="006B3273" w:rsidRPr="0076358A" w:rsidRDefault="006B3273" w:rsidP="00B23D0A">
      <w:pPr>
        <w:pStyle w:val="Figurelegend"/>
      </w:pPr>
      <w:r w:rsidRPr="0076358A">
        <w:t>Nota: Los valores relativos a las redes 2G, 3G y 4G muestran el porcentaje incremental de población sin cobertura por una red de tecnología más avanzada (por ejemplo, el 90</w:t>
      </w:r>
      <w:r w:rsidR="00AC027A">
        <w:t> %</w:t>
      </w:r>
      <w:r w:rsidRPr="0076358A">
        <w:t xml:space="preserve"> de la población rural mundial disponía al menos de cobertura por una red 3G o superior, en concreto, 29</w:t>
      </w:r>
      <w:r w:rsidR="00AC027A">
        <w:t> %</w:t>
      </w:r>
      <w:r w:rsidRPr="0076358A">
        <w:t xml:space="preserve"> +53</w:t>
      </w:r>
      <w:r w:rsidR="00AC027A">
        <w:t> %</w:t>
      </w:r>
      <w:r w:rsidRPr="0076358A">
        <w:t xml:space="preserve"> + 8</w:t>
      </w:r>
      <w:r w:rsidR="00AC027A">
        <w:t> %</w:t>
      </w:r>
      <w:r w:rsidRPr="0076358A">
        <w:t>).</w:t>
      </w:r>
    </w:p>
    <w:p w14:paraId="5D3BB5B0" w14:textId="77777777" w:rsidR="006B3273" w:rsidRPr="0076358A" w:rsidRDefault="006B3273" w:rsidP="00490BBD">
      <w:pPr>
        <w:pStyle w:val="Sourcetext"/>
      </w:pPr>
      <w:r w:rsidRPr="0076358A">
        <w:t>Fuente: UIT</w:t>
      </w:r>
    </w:p>
    <w:p w14:paraId="56B61BBE" w14:textId="2637FA18"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En lo que respecta al uso de Internet, existen disparidades significativas entre las zonas rurales y urbanas en cuando</w:t>
      </w:r>
      <w:r w:rsidR="00DF1C96" w:rsidRPr="0076358A">
        <w:rPr>
          <w:lang w:val="es-ES"/>
        </w:rPr>
        <w:t xml:space="preserve"> </w:t>
      </w:r>
      <w:r w:rsidRPr="0076358A">
        <w:rPr>
          <w:lang w:val="es-ES"/>
        </w:rPr>
        <w:t>a su disponibilidad. En 2024, el 70</w:t>
      </w:r>
      <w:r w:rsidR="00AC027A">
        <w:rPr>
          <w:lang w:val="es-ES"/>
        </w:rPr>
        <w:t> %</w:t>
      </w:r>
      <w:r w:rsidRPr="0076358A">
        <w:rPr>
          <w:lang w:val="es-ES"/>
        </w:rPr>
        <w:t xml:space="preserve"> de la población urbana de las Américas disponía de cobertura 5G, frente a tan sólo el 31</w:t>
      </w:r>
      <w:r w:rsidR="00AC027A">
        <w:rPr>
          <w:lang w:val="es-ES"/>
        </w:rPr>
        <w:t> %</w:t>
      </w:r>
      <w:r w:rsidRPr="0076358A">
        <w:rPr>
          <w:lang w:val="es-ES"/>
        </w:rPr>
        <w:t xml:space="preserve"> en las zonas rurales. También existe disparidad en las redes 4G, con una cobertura del 98</w:t>
      </w:r>
      <w:r w:rsidR="00AC027A">
        <w:rPr>
          <w:lang w:val="es-ES"/>
        </w:rPr>
        <w:t> %</w:t>
      </w:r>
      <w:r w:rsidRPr="0076358A">
        <w:rPr>
          <w:lang w:val="es-ES"/>
        </w:rPr>
        <w:t xml:space="preserve"> de la población en las zonas urbanas frente al 72</w:t>
      </w:r>
      <w:r w:rsidR="00AC027A">
        <w:rPr>
          <w:lang w:val="es-ES"/>
        </w:rPr>
        <w:t> %</w:t>
      </w:r>
      <w:r w:rsidRPr="0076358A">
        <w:rPr>
          <w:lang w:val="es-ES"/>
        </w:rPr>
        <w:t xml:space="preserve"> en las zonas rurales. Si se incluyen las redes 3G, la cobertura alcanza el 100</w:t>
      </w:r>
      <w:r w:rsidR="00AC027A">
        <w:rPr>
          <w:lang w:val="es-ES"/>
        </w:rPr>
        <w:t> %</w:t>
      </w:r>
      <w:r w:rsidRPr="0076358A">
        <w:rPr>
          <w:lang w:val="es-ES"/>
        </w:rPr>
        <w:t xml:space="preserve"> en las zonas urbanas, pero sólo el 76</w:t>
      </w:r>
      <w:r w:rsidR="00AC027A">
        <w:rPr>
          <w:lang w:val="es-ES"/>
        </w:rPr>
        <w:t> %</w:t>
      </w:r>
      <w:r w:rsidRPr="0076358A">
        <w:rPr>
          <w:lang w:val="es-ES"/>
        </w:rPr>
        <w:t xml:space="preserve"> en las rurales. Esto significa que, si bien todos los residentes en zonas urbanas tienen acceso a una red de banda ancha móvil, el 24</w:t>
      </w:r>
      <w:r w:rsidR="00AC027A">
        <w:rPr>
          <w:lang w:val="es-ES"/>
        </w:rPr>
        <w:t> %</w:t>
      </w:r>
      <w:r w:rsidRPr="0076358A">
        <w:rPr>
          <w:lang w:val="es-ES"/>
        </w:rPr>
        <w:t xml:space="preserve"> de la población rural de las Américas permanece desconectada de la red, mucho más que la media mundial (10</w:t>
      </w:r>
      <w:r w:rsidR="00AC027A">
        <w:rPr>
          <w:lang w:val="es-ES"/>
        </w:rPr>
        <w:t> %</w:t>
      </w:r>
      <w:r w:rsidRPr="0076358A">
        <w:rPr>
          <w:lang w:val="es-ES"/>
        </w:rPr>
        <w:t>).</w:t>
      </w:r>
    </w:p>
    <w:p w14:paraId="23533D10" w14:textId="77777777" w:rsidR="006B3273" w:rsidRPr="0076358A" w:rsidRDefault="006B3273" w:rsidP="00490BBD">
      <w:pPr>
        <w:pStyle w:val="Sourcetext"/>
      </w:pPr>
      <w:r w:rsidRPr="0076358A">
        <w:br w:type="page"/>
      </w:r>
    </w:p>
    <w:p w14:paraId="4B5A5E03" w14:textId="77777777" w:rsidR="006B3273" w:rsidRPr="00B23D0A" w:rsidRDefault="006B3273" w:rsidP="006B3273">
      <w:pPr>
        <w:pStyle w:val="Section"/>
        <w:rPr>
          <w:rFonts w:asciiTheme="minorHAnsi" w:hAnsiTheme="minorHAnsi" w:cstheme="minorHAnsi"/>
          <w:color w:val="auto"/>
          <w:lang w:val="es-ES"/>
        </w:rPr>
      </w:pPr>
      <w:bookmarkStart w:id="11" w:name="_Toc193034317"/>
      <w:r w:rsidRPr="00B23D0A">
        <w:rPr>
          <w:rFonts w:asciiTheme="minorHAnsi" w:hAnsiTheme="minorHAnsi" w:cstheme="minorHAnsi"/>
          <w:color w:val="auto"/>
          <w:lang w:val="es-ES"/>
        </w:rPr>
        <w:lastRenderedPageBreak/>
        <w:t>Disponibilidad de infraestructura de banda ancha fija</w:t>
      </w:r>
      <w:bookmarkEnd w:id="11"/>
    </w:p>
    <w:p w14:paraId="64D572B4" w14:textId="3E1DFD8E"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lang w:val="es-ES"/>
          <w14:ligatures w14:val="standardContextual"/>
        </w:rPr>
      </w:pPr>
      <w:r w:rsidRPr="0076358A">
        <w:rPr>
          <w:b/>
          <w:bCs/>
          <w:i/>
          <w:iCs/>
          <w:lang w:val="es-ES"/>
        </w:rPr>
        <w:t>Menos de la mitad de la población vive en un radio de 10 km respecto de un nodo de fibra óptica, por lo que</w:t>
      </w:r>
      <w:r w:rsidR="00DF1C96" w:rsidRPr="0076358A">
        <w:rPr>
          <w:b/>
          <w:bCs/>
          <w:i/>
          <w:iCs/>
          <w:lang w:val="es-ES"/>
        </w:rPr>
        <w:t xml:space="preserve"> </w:t>
      </w:r>
      <w:r w:rsidRPr="0076358A">
        <w:rPr>
          <w:b/>
          <w:bCs/>
          <w:i/>
          <w:iCs/>
          <w:lang w:val="es-ES"/>
        </w:rPr>
        <w:t>el acceso a alta velocidad es limitado</w:t>
      </w:r>
    </w:p>
    <w:p w14:paraId="6B9E4685" w14:textId="79C3323F"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 xml:space="preserve">La infraestructura de banda ancha fija </w:t>
      </w:r>
      <w:r w:rsidR="00182D07">
        <w:rPr>
          <w:lang w:val="es-ES"/>
        </w:rPr>
        <w:t>constituye</w:t>
      </w:r>
      <w:r w:rsidRPr="0076358A">
        <w:rPr>
          <w:lang w:val="es-ES"/>
        </w:rPr>
        <w:t xml:space="preserve"> la columna vertebral de Internet y es la piedra angular de los proyectos de transformación digital. En el marco de las investigaciones en curso en la UIT, la iniciativa Mapa de la banda ancha ofrece una descripción visual del emplazamiento de las infraestructuras de banda ancha fija. Superponiendo estos datos con los datos demográficos se puede deducir la disponibilidad y proximidad de la banda ancha fija para la población. Esta información resulta fundamental a la hora de planificar los costosos proyectos de infraestructura y ayuda a dimensionar las redes para que tengan la capacidad y el alcance necesarios. </w:t>
      </w:r>
    </w:p>
    <w:p w14:paraId="32044212" w14:textId="77777777" w:rsidR="006B3273" w:rsidRPr="009B64CC" w:rsidRDefault="006B3273" w:rsidP="009B64CC">
      <w:pPr>
        <w:pStyle w:val="Figuretitle"/>
        <w:keepNext/>
        <w:rPr>
          <w:lang w:val="es-ES"/>
        </w:rPr>
      </w:pPr>
      <w:r w:rsidRPr="0076358A">
        <w:rPr>
          <w:lang w:val="es-ES"/>
        </w:rPr>
        <w:lastRenderedPageBreak/>
        <w:t>Mapa de redes de transmisión y cables submarinos en la región de las Américas</w:t>
      </w:r>
    </w:p>
    <w:p w14:paraId="686779CA" w14:textId="701B6C84" w:rsidR="006B3273" w:rsidRPr="0076358A" w:rsidRDefault="009B64CC" w:rsidP="009B64CC">
      <w:pPr>
        <w:tabs>
          <w:tab w:val="clear" w:pos="794"/>
          <w:tab w:val="clear" w:pos="1191"/>
          <w:tab w:val="clear" w:pos="1588"/>
          <w:tab w:val="clear" w:pos="1985"/>
        </w:tabs>
        <w:overflowPunct/>
        <w:autoSpaceDE/>
        <w:autoSpaceDN/>
        <w:adjustRightInd/>
        <w:spacing w:before="0" w:after="160" w:line="259" w:lineRule="auto"/>
        <w:jc w:val="center"/>
        <w:textAlignment w:val="auto"/>
        <w:rPr>
          <w:rFonts w:ascii="Aptos" w:eastAsia="Aptos" w:hAnsi="Aptos" w:cs="Arial"/>
          <w:kern w:val="2"/>
          <w:sz w:val="22"/>
          <w:szCs w:val="22"/>
          <w:lang w:val="es-ES"/>
          <w14:ligatures w14:val="standardContextual"/>
        </w:rPr>
      </w:pPr>
      <w:r>
        <w:rPr>
          <w:rFonts w:ascii="Aptos" w:eastAsia="Aptos" w:hAnsi="Aptos" w:cs="Arial"/>
          <w:noProof/>
          <w:kern w:val="2"/>
          <w:sz w:val="22"/>
          <w:szCs w:val="22"/>
          <w14:ligatures w14:val="standardContextual"/>
        </w:rPr>
        <w:drawing>
          <wp:inline distT="0" distB="0" distL="0" distR="0" wp14:anchorId="671EF731" wp14:editId="37087EA4">
            <wp:extent cx="5429250" cy="6549740"/>
            <wp:effectExtent l="0" t="0" r="0" b="3810"/>
            <wp:docPr id="2081893379"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893379" name="Picture 1" descr="A map of the worl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30846" cy="6551665"/>
                    </a:xfrm>
                    <a:prstGeom prst="rect">
                      <a:avLst/>
                    </a:prstGeom>
                    <a:noFill/>
                  </pic:spPr>
                </pic:pic>
              </a:graphicData>
            </a:graphic>
          </wp:inline>
        </w:drawing>
      </w:r>
    </w:p>
    <w:p w14:paraId="64B81EA3" w14:textId="77777777" w:rsidR="006B3273" w:rsidRPr="0076358A" w:rsidRDefault="006B3273" w:rsidP="00B23D0A">
      <w:pPr>
        <w:pStyle w:val="Figurelegend"/>
      </w:pPr>
      <w:r w:rsidRPr="0076358A">
        <w:t xml:space="preserve">Nota: En el mapa se muestran los cables submarinos activos y planificados, así como las redes de transmisión operativas, previstas y en construcción (fibra óptica, cable y microondas). </w:t>
      </w:r>
    </w:p>
    <w:p w14:paraId="067C2E68" w14:textId="77777777" w:rsidR="006B3273" w:rsidRPr="0076358A" w:rsidRDefault="006B3273" w:rsidP="00B23D0A">
      <w:pPr>
        <w:pStyle w:val="Figurelegend"/>
      </w:pPr>
      <w:r w:rsidRPr="0076358A">
        <w:t>Las denominaciones empleadas en el mapa y la forma en que aparecen presentados los datos no implican, por parte de la UIT o de su Secretaría, juicio alguno sobre la condición jurídica de los países, territorios, ciudades o zonas, o de sus autoridades, ni respecto del trazado de sus fronteras o límites.</w:t>
      </w:r>
    </w:p>
    <w:p w14:paraId="650D016E" w14:textId="76F1CCFC" w:rsidR="006B3273" w:rsidRPr="0076358A" w:rsidRDefault="006B3273" w:rsidP="00490BBD">
      <w:pPr>
        <w:pStyle w:val="Sourcetext"/>
      </w:pPr>
      <w:r w:rsidRPr="0076358A">
        <w:t xml:space="preserve">Fuente: UIT, </w:t>
      </w:r>
      <w:hyperlink r:id="rId38" w:history="1">
        <w:r w:rsidR="009B64CC" w:rsidRPr="00B23D0A">
          <w:rPr>
            <w:rStyle w:val="Hyperlink"/>
          </w:rPr>
          <w:t>https://bbmaps.itu.int/app</w:t>
        </w:r>
      </w:hyperlink>
    </w:p>
    <w:p w14:paraId="3EFCB4E6" w14:textId="2D0552BC" w:rsidR="006B3273" w:rsidRPr="0076358A" w:rsidRDefault="006B3273" w:rsidP="009B64CC">
      <w:pPr>
        <w:keepNext/>
        <w:keepLines/>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lastRenderedPageBreak/>
        <w:t xml:space="preserve">La proximidad a un nodo de fibra óptica es un parámetro crucial para una conectividad transformadora, pues repercute de forma directa en la calidad de funcionamiento, la fiabilidad y la adaptabilidad de la red. Ello permite reducir la latencia, mejorar la estabilidad de la conexión y limitar los costes de despliegue, mejorando así la asequibilidad y la eficiencia del acceso a la banda ancha. </w:t>
      </w:r>
      <w:r w:rsidR="00A82860">
        <w:rPr>
          <w:lang w:val="es-ES"/>
        </w:rPr>
        <w:t>Asimismo</w:t>
      </w:r>
      <w:r w:rsidRPr="0076358A">
        <w:rPr>
          <w:lang w:val="es-ES"/>
        </w:rPr>
        <w:t>, facilita las actualizaciones necesarias para satisfacer la demanda</w:t>
      </w:r>
      <w:r w:rsidR="00726990">
        <w:rPr>
          <w:lang w:val="es-ES"/>
        </w:rPr>
        <w:t xml:space="preserve"> de </w:t>
      </w:r>
      <w:r w:rsidR="00832D43">
        <w:rPr>
          <w:lang w:val="es-ES"/>
        </w:rPr>
        <w:t xml:space="preserve">mayor </w:t>
      </w:r>
      <w:r w:rsidRPr="0076358A">
        <w:rPr>
          <w:lang w:val="es-ES"/>
        </w:rPr>
        <w:t xml:space="preserve">ancho de banda, lo que garantiza que las redes resistan el paso del tiempo. </w:t>
      </w:r>
    </w:p>
    <w:p w14:paraId="7FB4B085" w14:textId="61233099"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En 2023, el 45</w:t>
      </w:r>
      <w:r w:rsidR="00AC027A">
        <w:rPr>
          <w:lang w:val="es-ES"/>
        </w:rPr>
        <w:t> %</w:t>
      </w:r>
      <w:r w:rsidRPr="0076358A">
        <w:rPr>
          <w:lang w:val="es-ES"/>
        </w:rPr>
        <w:t xml:space="preserve"> de la población de la región de las Américas vivía a menos de 10 km de un nodo de fibra óptica. El 81</w:t>
      </w:r>
      <w:r w:rsidR="00AC027A">
        <w:rPr>
          <w:lang w:val="es-ES"/>
        </w:rPr>
        <w:t> %</w:t>
      </w:r>
      <w:r w:rsidRPr="0076358A">
        <w:rPr>
          <w:lang w:val="es-ES"/>
        </w:rPr>
        <w:t xml:space="preserve"> (alrededor de 4 de cada cinco personas) vivía a menos de 25 km, el 94</w:t>
      </w:r>
      <w:r w:rsidR="00AC027A">
        <w:rPr>
          <w:lang w:val="es-ES"/>
        </w:rPr>
        <w:t> %</w:t>
      </w:r>
      <w:r w:rsidRPr="0076358A">
        <w:rPr>
          <w:lang w:val="es-ES"/>
        </w:rPr>
        <w:t xml:space="preserve"> a menos de 50 km y casi todos (el 98</w:t>
      </w:r>
      <w:r w:rsidR="00AC027A">
        <w:rPr>
          <w:lang w:val="es-ES"/>
        </w:rPr>
        <w:t> %</w:t>
      </w:r>
      <w:r w:rsidRPr="0076358A">
        <w:rPr>
          <w:lang w:val="es-ES"/>
        </w:rPr>
        <w:t>) a menos de 100 km de un nodo.</w:t>
      </w:r>
    </w:p>
    <w:p w14:paraId="51E4DDC5" w14:textId="77777777" w:rsidR="006B3273" w:rsidRDefault="006B3273" w:rsidP="00B23D0A">
      <w:pPr>
        <w:pStyle w:val="Figuretitle"/>
        <w:keepNext/>
        <w:spacing w:after="240"/>
        <w:rPr>
          <w:lang w:val="es-ES"/>
        </w:rPr>
      </w:pPr>
      <w:r w:rsidRPr="0076358A">
        <w:rPr>
          <w:lang w:val="es-ES"/>
        </w:rPr>
        <w:t>Porcentaje de población situada cerca de un nodo de fibra óptica, 2023</w:t>
      </w:r>
    </w:p>
    <w:p w14:paraId="21049F94" w14:textId="03C81B95" w:rsidR="009B64CC" w:rsidRPr="009B64CC" w:rsidRDefault="009B64CC" w:rsidP="009B64CC">
      <w:pPr>
        <w:rPr>
          <w:rFonts w:eastAsia="Aptos"/>
          <w:lang w:val="es-ES"/>
        </w:rPr>
      </w:pPr>
      <w:r w:rsidRPr="009B64CC">
        <w:rPr>
          <w:rFonts w:eastAsia="Aptos"/>
          <w:noProof/>
        </w:rPr>
        <w:drawing>
          <wp:inline distT="0" distB="0" distL="0" distR="0" wp14:anchorId="2ED6E584" wp14:editId="052FD040">
            <wp:extent cx="6087237" cy="3556062"/>
            <wp:effectExtent l="0" t="0" r="8890" b="6350"/>
            <wp:docPr id="1090782688" name="Chart 1">
              <a:extLst xmlns:a="http://schemas.openxmlformats.org/drawingml/2006/main">
                <a:ext uri="{FF2B5EF4-FFF2-40B4-BE49-F238E27FC236}">
                  <a16:creationId xmlns:a16="http://schemas.microsoft.com/office/drawing/2014/main" id="{EBFB2377-AE59-4267-96FE-ABE77BA347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41CA75B" w14:textId="77777777" w:rsidR="006B3273" w:rsidRPr="0076358A" w:rsidRDefault="006B3273" w:rsidP="00506678">
      <w:pPr>
        <w:pStyle w:val="Figurelegend"/>
      </w:pPr>
      <w:r w:rsidRPr="0076358A">
        <w:t xml:space="preserve">Nota: Por porcentaje de población situada al alcance de una red de transmisión se entiende el porcentaje de personas que se encuentran físicamente al alcance de nodos de redes centrales de transmisión terrenal en una distancia determinada (véase </w:t>
      </w:r>
      <w:r w:rsidRPr="00B23D0A">
        <w:rPr>
          <w:rStyle w:val="Hyperlink"/>
        </w:rPr>
        <w:t>https://bbmaps.itu.int/indicators-bbmaps</w:t>
      </w:r>
      <w:r w:rsidRPr="0076358A">
        <w:t>).</w:t>
      </w:r>
    </w:p>
    <w:p w14:paraId="6A4D3143" w14:textId="77777777" w:rsidR="006B3273" w:rsidRPr="0076358A" w:rsidRDefault="006B3273" w:rsidP="00490BBD">
      <w:pPr>
        <w:pStyle w:val="Sourcetext"/>
      </w:pPr>
      <w:r w:rsidRPr="0076358A">
        <w:t>Fuente: UIT</w:t>
      </w:r>
    </w:p>
    <w:p w14:paraId="2E67C410"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rFonts w:ascii="Aptos" w:eastAsia="Aptos" w:hAnsi="Aptos" w:cs="Arial"/>
          <w:kern w:val="2"/>
          <w:sz w:val="22"/>
          <w:szCs w:val="22"/>
          <w:lang w:val="es-ES"/>
          <w14:ligatures w14:val="standardContextual"/>
        </w:rPr>
        <w:br w:type="page"/>
      </w:r>
    </w:p>
    <w:p w14:paraId="5DD962CB" w14:textId="77777777" w:rsidR="006B3273" w:rsidRPr="00B23D0A" w:rsidRDefault="006B3273" w:rsidP="006B3273">
      <w:pPr>
        <w:pStyle w:val="Section"/>
        <w:rPr>
          <w:rFonts w:asciiTheme="minorHAnsi" w:hAnsiTheme="minorHAnsi" w:cstheme="minorHAnsi"/>
          <w:color w:val="auto"/>
          <w:lang w:val="es-ES"/>
        </w:rPr>
      </w:pPr>
      <w:bookmarkStart w:id="12" w:name="_Toc193034318"/>
      <w:r w:rsidRPr="00B23D0A">
        <w:rPr>
          <w:rFonts w:asciiTheme="minorHAnsi" w:hAnsiTheme="minorHAnsi" w:cstheme="minorHAnsi"/>
          <w:color w:val="auto"/>
          <w:lang w:val="es-ES"/>
        </w:rPr>
        <w:lastRenderedPageBreak/>
        <w:t>Tráfico de Internet y ancho de banda internacional</w:t>
      </w:r>
      <w:bookmarkEnd w:id="12"/>
    </w:p>
    <w:p w14:paraId="77AFDC6F"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lang w:val="es-ES"/>
          <w14:ligatures w14:val="standardContextual"/>
        </w:rPr>
      </w:pPr>
      <w:r w:rsidRPr="0076358A">
        <w:rPr>
          <w:b/>
          <w:bCs/>
          <w:i/>
          <w:iCs/>
          <w:lang w:val="es-ES"/>
        </w:rPr>
        <w:t>La utilización de datos móviles es inferior a la media mundial, mientras que el tráfico de banda ancha fija es superior</w:t>
      </w:r>
    </w:p>
    <w:p w14:paraId="30A89499" w14:textId="77777777" w:rsidR="006B3273" w:rsidRPr="004D2BE6" w:rsidRDefault="006B3273" w:rsidP="004D2BE6">
      <w:pPr>
        <w:pStyle w:val="Figuretitle"/>
        <w:keepNext/>
        <w:rPr>
          <w:lang w:val="es-ES"/>
        </w:rPr>
      </w:pPr>
      <w:r w:rsidRPr="0076358A">
        <w:rPr>
          <w:lang w:val="es-ES"/>
        </w:rPr>
        <w:t>Tráfico de Internet de banda ancha por abono y mes, en gigabytes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66"/>
        <w:gridCol w:w="4450"/>
      </w:tblGrid>
      <w:tr w:rsidR="006B3273" w:rsidRPr="0076358A" w14:paraId="513BDCA9" w14:textId="77777777" w:rsidTr="004D2BE6">
        <w:trPr>
          <w:trHeight w:val="4739"/>
        </w:trPr>
        <w:tc>
          <w:tcPr>
            <w:tcW w:w="4566" w:type="dxa"/>
          </w:tcPr>
          <w:p w14:paraId="4E59783D" w14:textId="71AD50EC" w:rsidR="006B3273" w:rsidRPr="0076358A" w:rsidRDefault="006B3273" w:rsidP="004A7CF6">
            <w:pPr>
              <w:jc w:val="center"/>
              <w:rPr>
                <w:rFonts w:ascii="Aptos" w:hAnsi="Aptos"/>
                <w:sz w:val="22"/>
                <w:lang w:val="es-ES"/>
              </w:rPr>
            </w:pPr>
            <w:r w:rsidRPr="0076358A">
              <w:rPr>
                <w:b/>
                <w:bCs/>
                <w:color w:val="000000"/>
                <w:lang w:val="es-ES"/>
              </w:rPr>
              <w:t>Móvil</w:t>
            </w:r>
            <w:r w:rsidRPr="0076358A">
              <w:rPr>
                <w:color w:val="000000"/>
                <w:lang w:val="es-ES"/>
              </w:rPr>
              <w:t xml:space="preserve"> </w:t>
            </w:r>
            <w:r w:rsidR="004D2BE6" w:rsidRPr="004D2BE6">
              <w:rPr>
                <w:noProof/>
                <w:color w:val="000000"/>
              </w:rPr>
              <w:drawing>
                <wp:inline distT="0" distB="0" distL="0" distR="0" wp14:anchorId="2106720F" wp14:editId="0F527AE6">
                  <wp:extent cx="2594639" cy="2646904"/>
                  <wp:effectExtent l="0" t="0" r="0" b="1270"/>
                  <wp:docPr id="1472743293" name="Chart 1">
                    <a:extLst xmlns:a="http://schemas.openxmlformats.org/drawingml/2006/main">
                      <a:ext uri="{FF2B5EF4-FFF2-40B4-BE49-F238E27FC236}">
                        <a16:creationId xmlns:a16="http://schemas.microsoft.com/office/drawing/2014/main" id="{9CB07491-9F37-49D9-8559-DEEC53B5BE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4450" w:type="dxa"/>
          </w:tcPr>
          <w:p w14:paraId="5966A103" w14:textId="198192E3" w:rsidR="006B3273" w:rsidRPr="0076358A" w:rsidRDefault="006B3273" w:rsidP="004A7CF6">
            <w:pPr>
              <w:jc w:val="center"/>
              <w:rPr>
                <w:rFonts w:ascii="Aptos" w:hAnsi="Aptos"/>
                <w:sz w:val="22"/>
                <w:lang w:val="es-ES"/>
              </w:rPr>
            </w:pPr>
            <w:r w:rsidRPr="0076358A">
              <w:rPr>
                <w:b/>
                <w:bCs/>
                <w:color w:val="000000"/>
                <w:lang w:val="es-ES"/>
              </w:rPr>
              <w:t>Fija</w:t>
            </w:r>
            <w:r w:rsidRPr="0076358A">
              <w:rPr>
                <w:color w:val="000000"/>
                <w:lang w:val="es-ES"/>
              </w:rPr>
              <w:t xml:space="preserve"> </w:t>
            </w:r>
            <w:r w:rsidR="004D2BE6" w:rsidRPr="004D2BE6">
              <w:rPr>
                <w:noProof/>
                <w:color w:val="000000"/>
              </w:rPr>
              <w:drawing>
                <wp:inline distT="0" distB="0" distL="0" distR="0" wp14:anchorId="1AECCA2F" wp14:editId="09153E00">
                  <wp:extent cx="2594638" cy="2646904"/>
                  <wp:effectExtent l="0" t="0" r="0" b="1270"/>
                  <wp:docPr id="292494887" name="Chart 1">
                    <a:extLst xmlns:a="http://schemas.openxmlformats.org/drawingml/2006/main">
                      <a:ext uri="{FF2B5EF4-FFF2-40B4-BE49-F238E27FC236}">
                        <a16:creationId xmlns:a16="http://schemas.microsoft.com/office/drawing/2014/main" id="{9EEA0C04-C8DF-4843-9E7B-E5C02F6F0B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14:paraId="008D20CE" w14:textId="77777777" w:rsidR="006B3273" w:rsidRPr="0076358A" w:rsidRDefault="006B3273" w:rsidP="00490BBD">
      <w:pPr>
        <w:pStyle w:val="Sourcetext"/>
      </w:pPr>
      <w:r w:rsidRPr="0076358A">
        <w:t>Fuente: UIT</w:t>
      </w:r>
    </w:p>
    <w:p w14:paraId="41303768"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El tráfico de Internet mide el volumen total de datos descargados y cargados por los usuarios finales de un país durante un periodo de tiempo determinado. Con miras a facilitar su interpretación, las cifras presentadas se refieren al tráfico mensual medio por abono a servicios de banda ancha fija y móvil. Los niveles de tráfico suelen ser más elevados en el caso de la banda ancha fija que en el de la banda ancha móvil, no sólo porque los abonos son compartidos por múltiples usuarios (por ejemplo, en los hogares), sino también porque incluyen tráfico móvil encaminado a través de wifi, en su caso.</w:t>
      </w:r>
    </w:p>
    <w:p w14:paraId="71CA6FF0" w14:textId="1C9580D3"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Entre 2019 y 2024, el tráfico mensual de banda ancha móvil en la región de las Américas aumentó de 5 a 11</w:t>
      </w:r>
      <w:r w:rsidR="004D2BE6">
        <w:rPr>
          <w:lang w:val="es-ES"/>
        </w:rPr>
        <w:t> </w:t>
      </w:r>
      <w:r w:rsidRPr="0076358A">
        <w:rPr>
          <w:lang w:val="es-ES"/>
        </w:rPr>
        <w:t xml:space="preserve">GB por abono a servicios de banda ancha móvil, un ritmo inferior </w:t>
      </w:r>
      <w:r w:rsidR="00D66575">
        <w:rPr>
          <w:lang w:val="es-ES"/>
        </w:rPr>
        <w:t>al registrado en</w:t>
      </w:r>
      <w:r w:rsidRPr="0076358A">
        <w:rPr>
          <w:lang w:val="es-ES"/>
        </w:rPr>
        <w:t xml:space="preserve"> la media mundial</w:t>
      </w:r>
      <w:r w:rsidR="00A51D89">
        <w:rPr>
          <w:lang w:val="es-ES"/>
        </w:rPr>
        <w:t>,</w:t>
      </w:r>
      <w:r w:rsidRPr="0076358A">
        <w:rPr>
          <w:lang w:val="es-ES"/>
        </w:rPr>
        <w:t xml:space="preserve"> que aumentó de 6 a 14</w:t>
      </w:r>
      <w:r w:rsidR="004D2BE6">
        <w:rPr>
          <w:lang w:val="es-ES"/>
        </w:rPr>
        <w:t> </w:t>
      </w:r>
      <w:r w:rsidRPr="0076358A">
        <w:rPr>
          <w:lang w:val="es-ES"/>
        </w:rPr>
        <w:t xml:space="preserve">GB al mes durante el mismo periodo. La situación </w:t>
      </w:r>
      <w:r w:rsidR="00A51D89">
        <w:rPr>
          <w:lang w:val="es-ES"/>
        </w:rPr>
        <w:t xml:space="preserve">es inversa </w:t>
      </w:r>
      <w:r w:rsidRPr="0076358A">
        <w:rPr>
          <w:lang w:val="es-ES"/>
        </w:rPr>
        <w:t>para el tráfico de banda ancha fija, que en las Américas aumentó de 188</w:t>
      </w:r>
      <w:r w:rsidR="004D2BE6">
        <w:rPr>
          <w:lang w:val="es-ES"/>
        </w:rPr>
        <w:t> </w:t>
      </w:r>
      <w:r w:rsidRPr="0076358A">
        <w:rPr>
          <w:lang w:val="es-ES"/>
        </w:rPr>
        <w:t>GB mensuales a 402</w:t>
      </w:r>
      <w:r w:rsidR="004D2BE6">
        <w:rPr>
          <w:lang w:val="es-ES"/>
        </w:rPr>
        <w:t> </w:t>
      </w:r>
      <w:r w:rsidRPr="0076358A">
        <w:rPr>
          <w:lang w:val="es-ES"/>
        </w:rPr>
        <w:t>GB por abono, por encima de la media mundial, que aumentó de 141 a 311</w:t>
      </w:r>
      <w:r w:rsidR="004D2BE6">
        <w:rPr>
          <w:lang w:val="es-ES"/>
        </w:rPr>
        <w:t> </w:t>
      </w:r>
      <w:r w:rsidRPr="0076358A">
        <w:rPr>
          <w:lang w:val="es-ES"/>
        </w:rPr>
        <w:t>GB.</w:t>
      </w:r>
    </w:p>
    <w:p w14:paraId="7E3549B6" w14:textId="77777777" w:rsidR="006B3273" w:rsidRDefault="006B3273" w:rsidP="004D2BE6">
      <w:pPr>
        <w:pStyle w:val="Figuretitle"/>
        <w:keepNext/>
        <w:rPr>
          <w:lang w:val="es-ES"/>
        </w:rPr>
      </w:pPr>
      <w:r w:rsidRPr="0076358A">
        <w:rPr>
          <w:lang w:val="es-ES"/>
        </w:rPr>
        <w:lastRenderedPageBreak/>
        <w:t xml:space="preserve">Tráfico de Internet de banda ancha móvil </w:t>
      </w:r>
      <w:r w:rsidRPr="00A13C98">
        <w:rPr>
          <w:lang w:val="es-ES"/>
        </w:rPr>
        <w:t>(GB)</w:t>
      </w:r>
      <w:r w:rsidRPr="0076358A">
        <w:rPr>
          <w:lang w:val="es-ES"/>
        </w:rPr>
        <w:t xml:space="preserve"> por abono y mes, 2023 o último año disponible</w:t>
      </w:r>
    </w:p>
    <w:p w14:paraId="2F8BDF4C" w14:textId="1B86BB54" w:rsidR="0005206D" w:rsidRPr="0005206D" w:rsidRDefault="00A13C98" w:rsidP="0005206D">
      <w:pPr>
        <w:rPr>
          <w:rFonts w:eastAsia="Yu Gothic Light"/>
          <w:lang w:val="es-ES"/>
        </w:rPr>
      </w:pPr>
      <w:r w:rsidRPr="00A13C98">
        <w:rPr>
          <w:rFonts w:eastAsia="Yu Gothic Light"/>
        </w:rPr>
        <w:drawing>
          <wp:inline distT="0" distB="0" distL="0" distR="0" wp14:anchorId="1ACD40A3" wp14:editId="0081E1E1">
            <wp:extent cx="6210935" cy="2733040"/>
            <wp:effectExtent l="0" t="0" r="0" b="0"/>
            <wp:docPr id="924467340" name="Chart 1">
              <a:extLst xmlns:a="http://schemas.openxmlformats.org/drawingml/2006/main">
                <a:ext uri="{FF2B5EF4-FFF2-40B4-BE49-F238E27FC236}">
                  <a16:creationId xmlns:a16="http://schemas.microsoft.com/office/drawing/2014/main" id="{5E8B6F37-F044-4807-9869-05054F75A4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D59D150" w14:textId="156DC4CF" w:rsidR="006B3273" w:rsidRPr="00A13C98" w:rsidRDefault="006B3273" w:rsidP="00B23D0A">
      <w:pPr>
        <w:pStyle w:val="Figurelegend"/>
        <w:rPr>
          <w:lang w:val="es-ES"/>
        </w:rPr>
      </w:pPr>
      <w:r w:rsidRPr="00A13C98">
        <w:rPr>
          <w:lang w:val="es-ES"/>
        </w:rPr>
        <w:t xml:space="preserve">Nota: Tráfico de Internet originado a nivel nacional. </w:t>
      </w:r>
    </w:p>
    <w:p w14:paraId="59BFD030" w14:textId="77777777" w:rsidR="006B3273" w:rsidRPr="0076358A" w:rsidRDefault="006B3273" w:rsidP="00490BBD">
      <w:pPr>
        <w:pStyle w:val="Sourcetext"/>
      </w:pPr>
      <w:r w:rsidRPr="0076358A">
        <w:t>Fuente: UIT</w:t>
      </w:r>
    </w:p>
    <w:p w14:paraId="2EA2B162" w14:textId="5A8ABF7D"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La región también presenta grandes variaciones en lo que respecta a los indicadores de tráfico. El tráfico de banda ancha móvil osciló entre menos de 1</w:t>
      </w:r>
      <w:r w:rsidR="0005206D">
        <w:rPr>
          <w:lang w:val="es-ES"/>
        </w:rPr>
        <w:t> </w:t>
      </w:r>
      <w:r w:rsidRPr="0076358A">
        <w:rPr>
          <w:lang w:val="es-ES"/>
        </w:rPr>
        <w:t xml:space="preserve">GB y </w:t>
      </w:r>
      <w:r w:rsidRPr="0005206D">
        <w:rPr>
          <w:lang w:val="es-ES"/>
        </w:rPr>
        <w:t>23</w:t>
      </w:r>
      <w:r w:rsidR="0005206D" w:rsidRPr="0005206D">
        <w:rPr>
          <w:lang w:val="es-ES"/>
        </w:rPr>
        <w:t> </w:t>
      </w:r>
      <w:r w:rsidRPr="0005206D">
        <w:rPr>
          <w:lang w:val="es-ES"/>
        </w:rPr>
        <w:t>GB</w:t>
      </w:r>
      <w:r w:rsidR="009B1DD4" w:rsidRPr="009B1DD4">
        <w:rPr>
          <w:lang w:val="es-ES"/>
        </w:rPr>
        <w:t xml:space="preserve"> </w:t>
      </w:r>
      <w:r w:rsidR="009B1DD4" w:rsidRPr="0076358A">
        <w:rPr>
          <w:lang w:val="es-ES"/>
        </w:rPr>
        <w:t>por abono al mes</w:t>
      </w:r>
      <w:r w:rsidRPr="0076358A">
        <w:rPr>
          <w:lang w:val="es-ES"/>
        </w:rPr>
        <w:t>. Para el tráfico de banda ancha fija, la diferencia fue de prácticamente cero en Suriname a 553</w:t>
      </w:r>
      <w:r w:rsidR="0005206D">
        <w:rPr>
          <w:lang w:val="es-ES"/>
        </w:rPr>
        <w:t> </w:t>
      </w:r>
      <w:r w:rsidRPr="0076358A">
        <w:rPr>
          <w:lang w:val="es-ES"/>
        </w:rPr>
        <w:t xml:space="preserve">GB en Chile. Cabe destacar que algunos países con un elevado tráfico de banda ancha móvil sólo tienen un tráfico medio de banda ancha fija y viceversa. </w:t>
      </w:r>
    </w:p>
    <w:p w14:paraId="327BBE51" w14:textId="77777777" w:rsidR="006B3273" w:rsidRDefault="006B3273" w:rsidP="00ED1C04">
      <w:pPr>
        <w:pStyle w:val="Figuretitle"/>
        <w:keepNext/>
        <w:rPr>
          <w:lang w:val="es-ES"/>
        </w:rPr>
      </w:pPr>
      <w:r w:rsidRPr="0076358A">
        <w:rPr>
          <w:lang w:val="es-ES"/>
        </w:rPr>
        <w:t>Tráfico de Internet de banda ancha fija (en GB) por abono y mes, 2023 o último año disponible</w:t>
      </w:r>
    </w:p>
    <w:p w14:paraId="0DD2D47E" w14:textId="24B37BA5" w:rsidR="00BC6925" w:rsidRPr="00BC6925" w:rsidRDefault="00BC6925" w:rsidP="00BC6925">
      <w:pPr>
        <w:rPr>
          <w:rFonts w:eastAsia="Yu Gothic Light"/>
          <w:lang w:val="es-ES"/>
        </w:rPr>
      </w:pPr>
      <w:r w:rsidRPr="00BC6925">
        <w:rPr>
          <w:rFonts w:eastAsia="Yu Gothic Light"/>
          <w:noProof/>
        </w:rPr>
        <w:drawing>
          <wp:inline distT="0" distB="0" distL="0" distR="0" wp14:anchorId="149B3C57" wp14:editId="22668F74">
            <wp:extent cx="5971897" cy="2852453"/>
            <wp:effectExtent l="0" t="0" r="0" b="5080"/>
            <wp:docPr id="807277670" name="Chart 1">
              <a:extLst xmlns:a="http://schemas.openxmlformats.org/drawingml/2006/main">
                <a:ext uri="{FF2B5EF4-FFF2-40B4-BE49-F238E27FC236}">
                  <a16:creationId xmlns:a16="http://schemas.microsoft.com/office/drawing/2014/main" id="{BE6BB391-A322-4B61-B1C7-3F78D2F560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040E85D" w14:textId="73092DB1" w:rsidR="006B3273" w:rsidRPr="0076358A" w:rsidRDefault="006B3273" w:rsidP="00490BBD">
      <w:pPr>
        <w:pStyle w:val="Sourcetext"/>
      </w:pPr>
      <w:r w:rsidRPr="0076358A">
        <w:t>Fuente: UIT</w:t>
      </w:r>
    </w:p>
    <w:p w14:paraId="651F27CD" w14:textId="77777777" w:rsidR="006B3273" w:rsidRPr="0076358A" w:rsidRDefault="006B3273" w:rsidP="006B3273">
      <w:pPr>
        <w:tabs>
          <w:tab w:val="clear" w:pos="794"/>
          <w:tab w:val="clear" w:pos="1191"/>
          <w:tab w:val="clear" w:pos="1588"/>
          <w:tab w:val="clear" w:pos="1985"/>
        </w:tabs>
        <w:overflowPunct/>
        <w:autoSpaceDE/>
        <w:autoSpaceDN/>
        <w:adjustRightInd/>
        <w:spacing w:before="0"/>
        <w:textAlignment w:val="auto"/>
        <w:rPr>
          <w:rFonts w:ascii="Aptos" w:eastAsia="Aptos" w:hAnsi="Aptos" w:cs="Arial"/>
          <w:kern w:val="2"/>
          <w:sz w:val="22"/>
          <w:szCs w:val="22"/>
          <w:lang w:val="es-ES"/>
          <w14:ligatures w14:val="standardContextual"/>
        </w:rPr>
      </w:pPr>
      <w:r w:rsidRPr="0076358A">
        <w:rPr>
          <w:rFonts w:ascii="Aptos" w:eastAsia="Aptos" w:hAnsi="Aptos" w:cs="Arial"/>
          <w:kern w:val="2"/>
          <w:sz w:val="22"/>
          <w:szCs w:val="22"/>
          <w:lang w:val="es-ES"/>
          <w14:ligatures w14:val="standardContextual"/>
        </w:rPr>
        <w:br w:type="page"/>
      </w:r>
    </w:p>
    <w:p w14:paraId="7746D283" w14:textId="77777777" w:rsidR="006B3273" w:rsidRDefault="006B3273" w:rsidP="00BC6925">
      <w:pPr>
        <w:pStyle w:val="Figuretitle"/>
        <w:keepNext/>
        <w:rPr>
          <w:lang w:val="es-ES"/>
        </w:rPr>
      </w:pPr>
      <w:r w:rsidRPr="0076358A">
        <w:rPr>
          <w:lang w:val="es-ES"/>
        </w:rPr>
        <w:lastRenderedPageBreak/>
        <w:t>Ancho de banda internacional por usuario de Internet (kbit/s)</w:t>
      </w:r>
    </w:p>
    <w:p w14:paraId="7306F322" w14:textId="15F7AECE" w:rsidR="006B3273" w:rsidRPr="0076358A" w:rsidRDefault="003E3240" w:rsidP="006B327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lang w:val="es-ES"/>
          <w14:ligatures w14:val="standardContextual"/>
        </w:rPr>
      </w:pPr>
      <w:r w:rsidRPr="003E3240">
        <w:rPr>
          <w:rFonts w:eastAsia="Yu Gothic Light"/>
          <w:noProof/>
        </w:rPr>
        <w:drawing>
          <wp:inline distT="0" distB="0" distL="0" distR="0" wp14:anchorId="59F9BF52" wp14:editId="5D2D8641">
            <wp:extent cx="6001500" cy="2520000"/>
            <wp:effectExtent l="0" t="0" r="0" b="0"/>
            <wp:docPr id="10030491" name="Chart 1">
              <a:extLst xmlns:a="http://schemas.openxmlformats.org/drawingml/2006/main">
                <a:ext uri="{FF2B5EF4-FFF2-40B4-BE49-F238E27FC236}">
                  <a16:creationId xmlns:a16="http://schemas.microsoft.com/office/drawing/2014/main" id="{6FB2D19B-9D73-4967-BC98-C155CCFC5A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CAA4FD1" w14:textId="77777777" w:rsidR="006B3273" w:rsidRPr="0076358A" w:rsidRDefault="006B3273" w:rsidP="00B23D0A">
      <w:pPr>
        <w:pStyle w:val="Sourcetext"/>
        <w:rPr>
          <w:rFonts w:ascii="Aptos" w:eastAsia="Aptos" w:hAnsi="Aptos" w:cs="Arial"/>
          <w:sz w:val="16"/>
          <w:szCs w:val="28"/>
        </w:rPr>
      </w:pPr>
      <w:r w:rsidRPr="0076358A">
        <w:t>Fuente: UIT</w:t>
      </w:r>
    </w:p>
    <w:p w14:paraId="5CC4F77D" w14:textId="510540A9"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A diferencia del tráfico de Internet de los usuarios finales medido anteriormente, la utilización del ancho de banda internacional es una medida del caudal, es decir, de la capacidad media anual utilizada de las conexiones internacionales, que normalmente se cursa por cables de fibra óptica submarinos o terrestres o enlaces de microondas. No recoge todo el tráfico, entrante y saliente, sino el mayor de los dos. Para facilitar la comparación, la cifra de ancho de banda se divide por el número de usuarios de Internet del país. La utilización del ancho de banda internacional en las Américas se situó en 357</w:t>
      </w:r>
      <w:r w:rsidR="003E3240">
        <w:rPr>
          <w:lang w:val="es-ES"/>
        </w:rPr>
        <w:t> </w:t>
      </w:r>
      <w:r w:rsidRPr="0076358A">
        <w:rPr>
          <w:lang w:val="es-ES"/>
        </w:rPr>
        <w:t>kbit/s en 2024, justo por encima de la media mundial de 323</w:t>
      </w:r>
      <w:r w:rsidR="003E3240">
        <w:rPr>
          <w:lang w:val="es-ES"/>
        </w:rPr>
        <w:t> </w:t>
      </w:r>
      <w:r w:rsidRPr="0076358A">
        <w:rPr>
          <w:lang w:val="es-ES"/>
        </w:rPr>
        <w:t xml:space="preserve">kbit/s. </w:t>
      </w:r>
    </w:p>
    <w:p w14:paraId="0B576C47" w14:textId="77777777" w:rsidR="006B3273" w:rsidRPr="0076358A" w:rsidRDefault="006B3273" w:rsidP="006B3273">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lang w:val="es-ES"/>
        </w:rPr>
      </w:pPr>
      <w:r w:rsidRPr="0076358A">
        <w:rPr>
          <w:rFonts w:ascii="AvenirNext LT Pro Light" w:eastAsia="Yu Gothic Light" w:hAnsi="AvenirNext LT Pro Light" w:cs="Calibri"/>
          <w:color w:val="0070C0"/>
          <w:spacing w:val="-10"/>
          <w:kern w:val="28"/>
          <w:szCs w:val="24"/>
          <w:lang w:val="es-ES"/>
        </w:rPr>
        <w:br w:type="page"/>
      </w:r>
    </w:p>
    <w:p w14:paraId="33E1888E" w14:textId="77777777" w:rsidR="006B3273" w:rsidRDefault="006B3273" w:rsidP="003E3240">
      <w:pPr>
        <w:pStyle w:val="Figuretitle"/>
        <w:keepNext/>
        <w:rPr>
          <w:lang w:val="es-ES"/>
        </w:rPr>
      </w:pPr>
      <w:r w:rsidRPr="00FC2DDD">
        <w:rPr>
          <w:lang w:val="es-ES"/>
        </w:rPr>
        <w:lastRenderedPageBreak/>
        <w:t>A</w:t>
      </w:r>
      <w:r w:rsidRPr="0076358A">
        <w:rPr>
          <w:lang w:val="es-ES"/>
        </w:rPr>
        <w:t>ncho de banda internacional por usuario de Internet (kbit/s), datos del último año disponible</w:t>
      </w:r>
    </w:p>
    <w:p w14:paraId="63381683" w14:textId="23671C08" w:rsidR="003E3240" w:rsidRPr="003E3240" w:rsidRDefault="00FC2DDD" w:rsidP="003E3240">
      <w:pPr>
        <w:rPr>
          <w:rFonts w:eastAsia="Yu Gothic Light"/>
          <w:lang w:val="es-ES"/>
        </w:rPr>
      </w:pPr>
      <w:r w:rsidRPr="00FC2DDD">
        <w:rPr>
          <w:rFonts w:eastAsia="Yu Gothic Light"/>
        </w:rPr>
        <w:drawing>
          <wp:inline distT="0" distB="0" distL="0" distR="0" wp14:anchorId="45AB29E9" wp14:editId="28B5169C">
            <wp:extent cx="6210935" cy="3007995"/>
            <wp:effectExtent l="0" t="0" r="0" b="1905"/>
            <wp:docPr id="2076657983" name="Chart 1">
              <a:extLst xmlns:a="http://schemas.openxmlformats.org/drawingml/2006/main">
                <a:ext uri="{FF2B5EF4-FFF2-40B4-BE49-F238E27FC236}">
                  <a16:creationId xmlns:a16="http://schemas.microsoft.com/office/drawing/2014/main" id="{D49D48C2-0FC4-42D4-9E80-23C7405764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E40823B" w14:textId="77777777" w:rsidR="006B3273" w:rsidRPr="00B23D0A" w:rsidRDefault="006B3273" w:rsidP="00B23D0A">
      <w:pPr>
        <w:pStyle w:val="Sourcetext"/>
      </w:pPr>
      <w:r w:rsidRPr="0076358A">
        <w:t>Fuente: UIT</w:t>
      </w:r>
    </w:p>
    <w:p w14:paraId="3BD0F8AF" w14:textId="4E2467F2"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La utilización del ancho de banda internacional es un indicador del estado de la infraestructura de conectividad internacional (presencia de cables submarinos y terrestres, incluidas las redundancias) y del grado de conexión de un país a los flujos internacionales de datos. La demanda de ancho de banda internacional depende de diversos factores específicos de cada país, como su ubicación geográfica o el tamaño y desarrollo de la infraestructura de conectividad nacional del último kilómetro (por ejemplo, las islas pequeñas dependen de los enlaces internacionales, mientras que los países más grandes, con mayor densidad de centros de datos y centrales Internet, la demanda de intercambio internacional de datos puede ser algo inferior). Se observan variaciones entre los países de la región, aunque sólo se dispone de datos para menos de la mitad de ellos. En Bahamas, el ancho de banda utilizado superó 1</w:t>
      </w:r>
      <w:r w:rsidR="00E97465">
        <w:rPr>
          <w:lang w:val="es-ES"/>
        </w:rPr>
        <w:t> </w:t>
      </w:r>
      <w:r w:rsidRPr="0076358A">
        <w:rPr>
          <w:lang w:val="es-ES"/>
        </w:rPr>
        <w:t>Mbit/s, muy por encima de la media mundial, mientras que en siete países el ancho de banda utilizado fue inferior a 100</w:t>
      </w:r>
      <w:r w:rsidR="00E97465">
        <w:rPr>
          <w:lang w:val="es-ES"/>
        </w:rPr>
        <w:t> </w:t>
      </w:r>
      <w:r w:rsidRPr="0076358A">
        <w:rPr>
          <w:lang w:val="es-ES"/>
        </w:rPr>
        <w:t>kbit/s, desprendiéndose de este hecho que las conexiones internacionales pueden menoscabar la conectividad universal y efectiva.</w:t>
      </w:r>
    </w:p>
    <w:p w14:paraId="5AE1371A"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rFonts w:ascii="Aptos" w:eastAsia="Aptos" w:hAnsi="Aptos" w:cs="Arial"/>
          <w:kern w:val="2"/>
          <w:sz w:val="22"/>
          <w:szCs w:val="22"/>
          <w:lang w:val="es-ES"/>
          <w14:ligatures w14:val="standardContextual"/>
        </w:rPr>
        <w:br w:type="page"/>
      </w:r>
    </w:p>
    <w:p w14:paraId="0D0BBF02" w14:textId="1BA1039C" w:rsidR="006B3273" w:rsidRPr="00B23D0A" w:rsidRDefault="006B3273" w:rsidP="006B3273">
      <w:pPr>
        <w:pStyle w:val="Section"/>
        <w:rPr>
          <w:rFonts w:asciiTheme="minorHAnsi" w:hAnsiTheme="minorHAnsi" w:cstheme="minorHAnsi"/>
          <w:color w:val="auto"/>
          <w:lang w:val="es-ES"/>
        </w:rPr>
      </w:pPr>
      <w:bookmarkStart w:id="13" w:name="_Toc193034319"/>
      <w:r w:rsidRPr="00B23D0A">
        <w:rPr>
          <w:rFonts w:asciiTheme="minorHAnsi" w:hAnsiTheme="minorHAnsi" w:cstheme="minorHAnsi"/>
          <w:color w:val="auto"/>
          <w:lang w:val="es-ES"/>
        </w:rPr>
        <w:lastRenderedPageBreak/>
        <w:t>Asequibilidad de los servicios de TIC</w:t>
      </w:r>
      <w:bookmarkEnd w:id="13"/>
    </w:p>
    <w:p w14:paraId="16AB6C0C"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lang w:val="es-ES"/>
          <w14:ligatures w14:val="standardContextual"/>
        </w:rPr>
      </w:pPr>
      <w:r w:rsidRPr="0076358A">
        <w:rPr>
          <w:b/>
          <w:bCs/>
          <w:i/>
          <w:iCs/>
          <w:lang w:val="es-ES"/>
        </w:rPr>
        <w:t>La banda ancha móvil es cada vez más asequible, pero la banda ancha fija sigue siendo costosa</w:t>
      </w:r>
    </w:p>
    <w:p w14:paraId="495CC44D" w14:textId="20D1432C" w:rsidR="006B3273" w:rsidRPr="00E97465" w:rsidRDefault="006B3273" w:rsidP="00B23D0A">
      <w:pPr>
        <w:pStyle w:val="Figuretitle"/>
        <w:keepNext/>
        <w:spacing w:after="360"/>
        <w:rPr>
          <w:lang w:val="es-ES"/>
        </w:rPr>
      </w:pPr>
      <w:r w:rsidRPr="0076358A">
        <w:rPr>
          <w:lang w:val="es-ES"/>
        </w:rPr>
        <w:t>Precios de la cesta de la banda ancha en porcentaje de la renta nacional bruta per cápita,</w:t>
      </w:r>
      <w:r w:rsidR="00B23D0A">
        <w:rPr>
          <w:lang w:val="es-ES"/>
        </w:rPr>
        <w:br/>
      </w:r>
      <w:r w:rsidRPr="0076358A">
        <w:rPr>
          <w:lang w:val="es-ES"/>
        </w:rPr>
        <w:t>2018-2024</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6B3273" w:rsidRPr="0076358A" w14:paraId="05CD7DB2" w14:textId="77777777" w:rsidTr="00E97465">
        <w:tc>
          <w:tcPr>
            <w:tcW w:w="4508" w:type="dxa"/>
          </w:tcPr>
          <w:p w14:paraId="06E3A3CE" w14:textId="4DEBB9CE"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sz w:val="22"/>
                <w:lang w:val="es-ES"/>
              </w:rPr>
            </w:pPr>
            <w:r w:rsidRPr="0076358A">
              <w:rPr>
                <w:b/>
                <w:bCs/>
                <w:color w:val="000000"/>
                <w:lang w:val="es-ES"/>
              </w:rPr>
              <w:t>Móvil (2 GB)</w:t>
            </w:r>
            <w:r w:rsidR="00E97465">
              <w:rPr>
                <w:noProof/>
              </w:rPr>
              <w:t xml:space="preserve"> </w:t>
            </w:r>
            <w:r w:rsidR="00E97465" w:rsidRPr="00E97465">
              <w:rPr>
                <w:b/>
                <w:bCs/>
                <w:noProof/>
                <w:color w:val="000000"/>
              </w:rPr>
              <w:drawing>
                <wp:inline distT="0" distB="0" distL="0" distR="0" wp14:anchorId="2E520D7E" wp14:editId="1CDC63C2">
                  <wp:extent cx="2512171" cy="2533103"/>
                  <wp:effectExtent l="0" t="0" r="2540" b="635"/>
                  <wp:docPr id="483005190" name="Chart 1">
                    <a:extLst xmlns:a="http://schemas.openxmlformats.org/drawingml/2006/main">
                      <a:ext uri="{FF2B5EF4-FFF2-40B4-BE49-F238E27FC236}">
                        <a16:creationId xmlns:a16="http://schemas.microsoft.com/office/drawing/2014/main" id="{E768AA4B-5F7F-4957-9E67-EB04DE5B9B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76358A">
              <w:rPr>
                <w:color w:val="000000"/>
                <w:lang w:val="es-ES"/>
              </w:rPr>
              <w:t xml:space="preserve"> </w:t>
            </w:r>
          </w:p>
        </w:tc>
        <w:tc>
          <w:tcPr>
            <w:tcW w:w="4508" w:type="dxa"/>
          </w:tcPr>
          <w:p w14:paraId="660FC38A" w14:textId="2445585C"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sz w:val="22"/>
                <w:lang w:val="es-ES"/>
              </w:rPr>
            </w:pPr>
            <w:r w:rsidRPr="0076358A">
              <w:rPr>
                <w:b/>
                <w:bCs/>
                <w:color w:val="000000"/>
                <w:lang w:val="es-ES"/>
              </w:rPr>
              <w:t>Fijo (5 GB)</w:t>
            </w:r>
            <w:r w:rsidR="00E97465">
              <w:rPr>
                <w:noProof/>
              </w:rPr>
              <w:t xml:space="preserve"> </w:t>
            </w:r>
            <w:r w:rsidR="00E97465" w:rsidRPr="00E97465">
              <w:rPr>
                <w:b/>
                <w:bCs/>
                <w:noProof/>
                <w:color w:val="000000"/>
              </w:rPr>
              <w:drawing>
                <wp:inline distT="0" distB="0" distL="0" distR="0" wp14:anchorId="5862D186" wp14:editId="620CE8A1">
                  <wp:extent cx="2512172" cy="2533103"/>
                  <wp:effectExtent l="0" t="0" r="2540" b="635"/>
                  <wp:docPr id="158463339" name="Chart 1">
                    <a:extLst xmlns:a="http://schemas.openxmlformats.org/drawingml/2006/main">
                      <a:ext uri="{FF2B5EF4-FFF2-40B4-BE49-F238E27FC236}">
                        <a16:creationId xmlns:a16="http://schemas.microsoft.com/office/drawing/2014/main" id="{88AA8F38-0A97-4A33-B38D-88D62CCE7E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76358A">
              <w:rPr>
                <w:color w:val="000000"/>
                <w:lang w:val="es-ES"/>
              </w:rPr>
              <w:t xml:space="preserve"> </w:t>
            </w:r>
          </w:p>
        </w:tc>
      </w:tr>
      <w:tr w:rsidR="006B3273" w:rsidRPr="0076358A" w14:paraId="20D6119A" w14:textId="77777777" w:rsidTr="004A7CF6">
        <w:tc>
          <w:tcPr>
            <w:tcW w:w="4508" w:type="dxa"/>
          </w:tcPr>
          <w:p w14:paraId="375BD31B"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b/>
                <w:bCs/>
                <w:sz w:val="22"/>
                <w:lang w:val="es-ES"/>
              </w:rPr>
            </w:pPr>
          </w:p>
        </w:tc>
        <w:tc>
          <w:tcPr>
            <w:tcW w:w="4508" w:type="dxa"/>
          </w:tcPr>
          <w:p w14:paraId="58BE8A8C"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b/>
                <w:bCs/>
                <w:sz w:val="22"/>
                <w:lang w:val="es-ES"/>
              </w:rPr>
            </w:pPr>
          </w:p>
        </w:tc>
      </w:tr>
    </w:tbl>
    <w:p w14:paraId="4F6DF445" w14:textId="77777777" w:rsidR="006B3273" w:rsidRPr="0076358A" w:rsidRDefault="006B3273" w:rsidP="00580074">
      <w:pPr>
        <w:pStyle w:val="Figurelegend"/>
        <w:spacing w:before="120" w:after="120"/>
      </w:pPr>
      <w:r w:rsidRPr="0076358A">
        <w:t>Nota: Los valores medios mostrados en el gráfico se calcularon como porcentaje de la RNB per cápita para el conjunto de países sobre los que se disponía de datos para todo el periodo comprendido entre 2018 y 2024, para una cesta determinada, a fin de corregir el efecto de la variación en la disponibilidad de datos.</w:t>
      </w:r>
    </w:p>
    <w:p w14:paraId="4840E52A" w14:textId="77777777" w:rsidR="006B3273" w:rsidRPr="0076358A" w:rsidRDefault="006B3273" w:rsidP="00490BBD">
      <w:pPr>
        <w:pStyle w:val="Sourcetext"/>
      </w:pPr>
      <w:r w:rsidRPr="0076358A">
        <w:t>Fuente: UIT</w:t>
      </w:r>
    </w:p>
    <w:p w14:paraId="7CA45DE3" w14:textId="59B64F68"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 xml:space="preserve">El coste de Internet supone un obstáculo tanto para su utilización como para alcanzar una conectividad efectiva. Uno de los objetivos fijados por la Comisión de las Naciones Unidas de la </w:t>
      </w:r>
      <w:hyperlink r:id="rId48" w:history="1">
        <w:r w:rsidRPr="00580074">
          <w:rPr>
            <w:rStyle w:val="Hyperlink"/>
            <w:lang w:val="es-ES"/>
          </w:rPr>
          <w:t>Banda Ancha para el Desarrollo Sostenible</w:t>
        </w:r>
      </w:hyperlink>
      <w:r w:rsidRPr="0076358A">
        <w:rPr>
          <w:lang w:val="es-ES"/>
        </w:rPr>
        <w:t xml:space="preserve"> consiste en garantizar la asequibilidad de la banda ancha en los países en desarrollo para 2025, entendiendo por asequibilidad la disponibilidad de </w:t>
      </w:r>
      <w:r w:rsidR="00312343">
        <w:rPr>
          <w:lang w:val="es-ES"/>
        </w:rPr>
        <w:t xml:space="preserve">acceso </w:t>
      </w:r>
      <w:r w:rsidRPr="0076358A">
        <w:rPr>
          <w:lang w:val="es-ES"/>
        </w:rPr>
        <w:t>a un precio inferior al 2</w:t>
      </w:r>
      <w:r w:rsidR="00AC027A">
        <w:rPr>
          <w:lang w:val="es-ES"/>
        </w:rPr>
        <w:t> %</w:t>
      </w:r>
      <w:r w:rsidRPr="0076358A">
        <w:rPr>
          <w:lang w:val="es-ES"/>
        </w:rPr>
        <w:t xml:space="preserve"> de la RNB mensual per cápita.</w:t>
      </w:r>
    </w:p>
    <w:p w14:paraId="48B2C14E" w14:textId="2C19959A" w:rsidR="006B3273" w:rsidRPr="0076358A" w:rsidRDefault="006E7D25"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Pr>
          <w:lang w:val="es-ES"/>
        </w:rPr>
        <w:t>El</w:t>
      </w:r>
      <w:r w:rsidR="006B3273" w:rsidRPr="0076358A">
        <w:rPr>
          <w:lang w:val="es-ES"/>
        </w:rPr>
        <w:t xml:space="preserve"> precio de</w:t>
      </w:r>
      <w:r w:rsidR="004E3AE2">
        <w:rPr>
          <w:lang w:val="es-ES"/>
        </w:rPr>
        <w:t>l servicio básico de</w:t>
      </w:r>
      <w:r w:rsidR="006B3273" w:rsidRPr="0076358A">
        <w:rPr>
          <w:lang w:val="es-ES"/>
        </w:rPr>
        <w:t xml:space="preserve"> </w:t>
      </w:r>
      <w:r w:rsidR="006054A9">
        <w:rPr>
          <w:lang w:val="es-ES"/>
        </w:rPr>
        <w:t xml:space="preserve">la </w:t>
      </w:r>
      <w:r w:rsidR="006B3273" w:rsidRPr="0076358A">
        <w:rPr>
          <w:lang w:val="es-ES"/>
        </w:rPr>
        <w:t xml:space="preserve">banda ancha móvil </w:t>
      </w:r>
      <w:r w:rsidR="006054A9">
        <w:rPr>
          <w:lang w:val="es-ES"/>
        </w:rPr>
        <w:t xml:space="preserve">de sólo datos </w:t>
      </w:r>
      <w:r w:rsidR="006B3273" w:rsidRPr="0076358A">
        <w:rPr>
          <w:lang w:val="es-ES"/>
        </w:rPr>
        <w:t>ha disminuido considerablemente en la región, pasando del 2,6</w:t>
      </w:r>
      <w:r w:rsidR="00AC027A">
        <w:rPr>
          <w:lang w:val="es-ES"/>
        </w:rPr>
        <w:t> %</w:t>
      </w:r>
      <w:r w:rsidR="006B3273" w:rsidRPr="0076358A">
        <w:rPr>
          <w:lang w:val="es-ES"/>
        </w:rPr>
        <w:t xml:space="preserve"> de la RNB per cápita en 2018 al 1,8</w:t>
      </w:r>
      <w:r w:rsidR="00AC027A">
        <w:rPr>
          <w:lang w:val="es-ES"/>
        </w:rPr>
        <w:t> %</w:t>
      </w:r>
      <w:r w:rsidR="006B3273" w:rsidRPr="0076358A">
        <w:rPr>
          <w:lang w:val="es-ES"/>
        </w:rPr>
        <w:t xml:space="preserve"> en 2024, situándose por primera vez por debajo del umbral del 2</w:t>
      </w:r>
      <w:r w:rsidR="00AC027A">
        <w:rPr>
          <w:lang w:val="es-ES"/>
        </w:rPr>
        <w:t> %</w:t>
      </w:r>
      <w:r w:rsidR="006B3273" w:rsidRPr="0076358A">
        <w:rPr>
          <w:lang w:val="es-ES"/>
        </w:rPr>
        <w:t xml:space="preserve"> fijado por la Comisión de la Banda Ancha.</w:t>
      </w:r>
      <w:r w:rsidR="006B3273" w:rsidRPr="0076358A">
        <w:rPr>
          <w:rStyle w:val="FootnoteReference"/>
          <w:rFonts w:eastAsia="Aptos" w:cs="Arial"/>
          <w:kern w:val="2"/>
          <w:szCs w:val="22"/>
          <w:lang w:val="es-ES"/>
          <w14:ligatures w14:val="standardContextual"/>
        </w:rPr>
        <w:footnoteReference w:id="9"/>
      </w:r>
      <w:r w:rsidR="006B3273" w:rsidRPr="0076358A">
        <w:rPr>
          <w:lang w:val="es-ES"/>
        </w:rPr>
        <w:t xml:space="preserve"> Sin embargo, el coste sigue siendo superior a la media mundial. </w:t>
      </w:r>
    </w:p>
    <w:p w14:paraId="0CAEA049" w14:textId="32BE3D56"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En el caso del servicio básico de banda ancha fija, el precio medio en 2024 fue del 3,2</w:t>
      </w:r>
      <w:r w:rsidR="00AC027A">
        <w:rPr>
          <w:lang w:val="es-ES"/>
        </w:rPr>
        <w:t> %</w:t>
      </w:r>
      <w:r w:rsidRPr="0076358A">
        <w:rPr>
          <w:lang w:val="es-ES"/>
        </w:rPr>
        <w:t xml:space="preserve"> de la RNB per cápita, frente al 4,2</w:t>
      </w:r>
      <w:r w:rsidR="00AC027A">
        <w:rPr>
          <w:lang w:val="es-ES"/>
        </w:rPr>
        <w:t> %</w:t>
      </w:r>
      <w:r w:rsidRPr="0076358A">
        <w:rPr>
          <w:lang w:val="es-ES"/>
        </w:rPr>
        <w:t xml:space="preserve"> de 2018. Esta cifra sigue estando muy por encima de la media mundial y del umbral establecido por la Comisión de la Banda Ancha.</w:t>
      </w:r>
    </w:p>
    <w:p w14:paraId="23BEF0F8" w14:textId="77777777" w:rsidR="00580074" w:rsidRDefault="006B3273" w:rsidP="00580074">
      <w:pPr>
        <w:pStyle w:val="Figuretitle"/>
        <w:keepNext/>
        <w:spacing w:before="240"/>
        <w:rPr>
          <w:lang w:val="es-ES"/>
        </w:rPr>
      </w:pPr>
      <w:r w:rsidRPr="0076358A">
        <w:rPr>
          <w:lang w:val="es-ES"/>
        </w:rPr>
        <w:lastRenderedPageBreak/>
        <w:t>Precios de la cesta de la banda ancha en porcentaje de la renta nacional bruta per cápita, 2024</w:t>
      </w:r>
    </w:p>
    <w:p w14:paraId="36A6FA44" w14:textId="4E476372" w:rsidR="006B3273" w:rsidRPr="000535D8" w:rsidRDefault="00E97465" w:rsidP="00580074">
      <w:pPr>
        <w:pStyle w:val="Figuretitle"/>
        <w:keepNext/>
        <w:spacing w:before="240"/>
        <w:rPr>
          <w:lang w:val="es-ES"/>
        </w:rPr>
      </w:pPr>
      <w:r w:rsidRPr="00E97465">
        <w:rPr>
          <w:noProof/>
        </w:rPr>
        <w:drawing>
          <wp:inline distT="0" distB="0" distL="0" distR="0" wp14:anchorId="736D506D" wp14:editId="0ACF03AC">
            <wp:extent cx="6120765" cy="3219450"/>
            <wp:effectExtent l="0" t="0" r="0" b="0"/>
            <wp:docPr id="1573878009" name="Chart 1">
              <a:extLst xmlns:a="http://schemas.openxmlformats.org/drawingml/2006/main">
                <a:ext uri="{FF2B5EF4-FFF2-40B4-BE49-F238E27FC236}">
                  <a16:creationId xmlns:a16="http://schemas.microsoft.com/office/drawing/2014/main" id="{FFACAD34-DD46-4B7C-9D7F-D294C3D6A7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EDBD4D3" w14:textId="77777777" w:rsidR="006B3273" w:rsidRPr="0076358A" w:rsidRDefault="006B3273" w:rsidP="00490BBD">
      <w:pPr>
        <w:pStyle w:val="Sourcetext"/>
      </w:pPr>
      <w:r w:rsidRPr="0076358A">
        <w:t>Fuente: UIT</w:t>
      </w:r>
    </w:p>
    <w:p w14:paraId="12807F7E" w14:textId="0F4F4E4D"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En 16 de los 35 países, el precio de la banda ancha móvil superaba el umbral del 2</w:t>
      </w:r>
      <w:r w:rsidR="00AC027A">
        <w:rPr>
          <w:lang w:val="es-ES"/>
        </w:rPr>
        <w:t> %</w:t>
      </w:r>
      <w:r w:rsidRPr="0076358A">
        <w:rPr>
          <w:lang w:val="es-ES"/>
        </w:rPr>
        <w:t xml:space="preserve"> fijado por la Comisión de la Banda Ancha. Diez de estos países son pequeñas islas del Pacífico. En el caso de la banda ancha fija, sólo en 5 de los 35 países los precios se situaron por debajo de este umbral. </w:t>
      </w:r>
    </w:p>
    <w:p w14:paraId="66A7BA45"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rFonts w:ascii="Aptos" w:eastAsia="Aptos" w:hAnsi="Aptos" w:cs="Arial"/>
          <w:kern w:val="2"/>
          <w:sz w:val="22"/>
          <w:szCs w:val="22"/>
          <w:lang w:val="es-ES"/>
          <w14:ligatures w14:val="standardContextual"/>
        </w:rPr>
        <w:br w:type="page"/>
      </w:r>
    </w:p>
    <w:p w14:paraId="4BA1DD6E" w14:textId="77777777" w:rsidR="006B3273" w:rsidRPr="00580074" w:rsidRDefault="006B3273" w:rsidP="006B3273">
      <w:pPr>
        <w:pStyle w:val="Section"/>
        <w:rPr>
          <w:rFonts w:asciiTheme="minorHAnsi" w:hAnsiTheme="minorHAnsi" w:cstheme="minorHAnsi"/>
          <w:color w:val="auto"/>
          <w:lang w:val="es-ES"/>
        </w:rPr>
      </w:pPr>
      <w:bookmarkStart w:id="14" w:name="_Toc193034320"/>
      <w:r w:rsidRPr="00580074">
        <w:rPr>
          <w:rFonts w:asciiTheme="minorHAnsi" w:hAnsiTheme="minorHAnsi" w:cstheme="minorHAnsi"/>
          <w:color w:val="auto"/>
          <w:lang w:val="es-ES"/>
        </w:rPr>
        <w:lastRenderedPageBreak/>
        <w:t>Abonos y posesión de teléfonos móviles</w:t>
      </w:r>
      <w:bookmarkEnd w:id="14"/>
    </w:p>
    <w:p w14:paraId="1BB8A22D"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lang w:val="es-ES"/>
          <w14:ligatures w14:val="standardContextual"/>
        </w:rPr>
      </w:pPr>
      <w:r w:rsidRPr="0076358A">
        <w:rPr>
          <w:b/>
          <w:bCs/>
          <w:i/>
          <w:iCs/>
          <w:lang w:val="es-ES"/>
        </w:rPr>
        <w:t>La posesión de teléfonos móviles está cera de alcanzar la universalidad</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90"/>
        <w:gridCol w:w="4566"/>
      </w:tblGrid>
      <w:tr w:rsidR="006B3273" w:rsidRPr="00C71873" w14:paraId="303996BB" w14:textId="77777777" w:rsidTr="00B154F2">
        <w:tc>
          <w:tcPr>
            <w:tcW w:w="4490" w:type="dxa"/>
          </w:tcPr>
          <w:p w14:paraId="2935E4D9" w14:textId="64BC0206" w:rsidR="00B154F2" w:rsidRPr="00580074" w:rsidRDefault="006B3273" w:rsidP="00580074">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b/>
                <w:bCs/>
                <w:color w:val="000000"/>
                <w:lang w:val="es-ES"/>
              </w:rPr>
            </w:pPr>
            <w:r w:rsidRPr="00580074">
              <w:rPr>
                <w:b/>
                <w:bCs/>
                <w:color w:val="000000"/>
                <w:lang w:val="es-ES"/>
              </w:rPr>
              <w:t>Porcentaje de habitantes que poseen un teléfono móvil</w:t>
            </w:r>
          </w:p>
          <w:p w14:paraId="15324A54" w14:textId="202AE8E9" w:rsidR="006B3273" w:rsidRPr="00B154F2" w:rsidRDefault="00B154F2" w:rsidP="004A7CF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hAnsi="Aptos"/>
                <w:sz w:val="22"/>
              </w:rPr>
            </w:pPr>
            <w:r w:rsidRPr="00B154F2">
              <w:rPr>
                <w:noProof/>
                <w:color w:val="000000"/>
              </w:rPr>
              <w:drawing>
                <wp:inline distT="0" distB="0" distL="0" distR="0" wp14:anchorId="04FC4F31" wp14:editId="6E8CFD89">
                  <wp:extent cx="2595880" cy="3077099"/>
                  <wp:effectExtent l="0" t="0" r="0" b="0"/>
                  <wp:docPr id="22953807" name="Chart 1">
                    <a:extLst xmlns:a="http://schemas.openxmlformats.org/drawingml/2006/main">
                      <a:ext uri="{FF2B5EF4-FFF2-40B4-BE49-F238E27FC236}">
                        <a16:creationId xmlns:a16="http://schemas.microsoft.com/office/drawing/2014/main" id="{A09153A1-A5FF-4995-BE2E-4BDAAF1C9E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4566" w:type="dxa"/>
          </w:tcPr>
          <w:p w14:paraId="28D7CB9C" w14:textId="5D0EC8A1" w:rsidR="006B3273" w:rsidRPr="00580074" w:rsidRDefault="006B3273" w:rsidP="00580074">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b/>
                <w:bCs/>
                <w:color w:val="000000"/>
                <w:lang w:val="es-ES"/>
              </w:rPr>
            </w:pPr>
            <w:r w:rsidRPr="00580074">
              <w:rPr>
                <w:b/>
                <w:bCs/>
                <w:color w:val="000000"/>
                <w:lang w:val="es-ES"/>
              </w:rPr>
              <w:t>Porcentaje de habitantes que poseen un teléfono móvil, desglosado por sexo,</w:t>
            </w:r>
            <w:r w:rsidR="00580074">
              <w:rPr>
                <w:b/>
                <w:bCs/>
                <w:color w:val="000000"/>
                <w:lang w:val="es-ES"/>
              </w:rPr>
              <w:br/>
            </w:r>
            <w:r w:rsidRPr="00580074">
              <w:rPr>
                <w:b/>
                <w:bCs/>
                <w:color w:val="000000"/>
                <w:lang w:val="es-ES"/>
              </w:rPr>
              <w:t>2024</w:t>
            </w:r>
          </w:p>
          <w:p w14:paraId="455A31E9" w14:textId="4B1D2DAE" w:rsidR="00B154F2" w:rsidRPr="0076358A" w:rsidRDefault="00B154F2" w:rsidP="004A7CF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hAnsi="Aptos"/>
                <w:sz w:val="22"/>
                <w:lang w:val="es-ES"/>
              </w:rPr>
            </w:pPr>
            <w:r w:rsidRPr="001D22A0">
              <w:rPr>
                <w:noProof/>
                <w:color w:val="000000"/>
              </w:rPr>
              <w:drawing>
                <wp:inline distT="0" distB="0" distL="0" distR="0" wp14:anchorId="396E424E" wp14:editId="55F278DC">
                  <wp:extent cx="2713990" cy="3176905"/>
                  <wp:effectExtent l="0" t="0" r="0" b="4445"/>
                  <wp:docPr id="1675107516" name="Chart 1">
                    <a:extLst xmlns:a="http://schemas.openxmlformats.org/drawingml/2006/main">
                      <a:ext uri="{FF2B5EF4-FFF2-40B4-BE49-F238E27FC236}">
                        <a16:creationId xmlns:a16="http://schemas.microsoft.com/office/drawing/2014/main" id="{0CC3208B-10F5-44EE-988A-6232454F57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bl>
    <w:p w14:paraId="2C584AAB" w14:textId="77777777" w:rsidR="006B3273" w:rsidRPr="0076358A" w:rsidRDefault="006B3273" w:rsidP="00580074">
      <w:pPr>
        <w:pStyle w:val="Figurelegend"/>
      </w:pPr>
      <w:r w:rsidRPr="0076358A">
        <w:t>Nota: Personas de diez años en adelante.</w:t>
      </w:r>
    </w:p>
    <w:p w14:paraId="52354794" w14:textId="77777777" w:rsidR="006B3273" w:rsidRPr="0076358A" w:rsidRDefault="006B3273" w:rsidP="00490BBD">
      <w:pPr>
        <w:pStyle w:val="Sourcetext"/>
      </w:pPr>
      <w:r w:rsidRPr="0076358A">
        <w:t>Fuente: UIT</w:t>
      </w:r>
    </w:p>
    <w:p w14:paraId="6107E137" w14:textId="5010D1BC"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En 2024, el 89</w:t>
      </w:r>
      <w:r w:rsidR="00AC027A">
        <w:rPr>
          <w:lang w:val="es-ES"/>
        </w:rPr>
        <w:t> %</w:t>
      </w:r>
      <w:r w:rsidRPr="0076358A">
        <w:rPr>
          <w:lang w:val="es-ES"/>
        </w:rPr>
        <w:t xml:space="preserve"> de las personas de 10 o más años de las Américas poseían un teléfono móvil, es decir, 9 puntos porcentuales por encima de la media mundial. El crecimiento en los últimos cinco años ha sido modesto, lo que no es sorprendente teniendo en cuenta que el nivel ya es elevado. </w:t>
      </w:r>
    </w:p>
    <w:p w14:paraId="0657DCC4" w14:textId="545E333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 xml:space="preserve">En cuanto a la utilización de Internet en la región, el número de mujeres que poseen un teléfono es mayor que el de hombres, por lo que el índice de paridad de género se sitúa en 1,01, frente a 0,99 en 2021. Durante ese mismo periodo, este </w:t>
      </w:r>
      <w:r w:rsidR="00404759" w:rsidRPr="0076358A">
        <w:rPr>
          <w:lang w:val="es-ES"/>
        </w:rPr>
        <w:t>índice</w:t>
      </w:r>
      <w:r w:rsidRPr="0076358A">
        <w:rPr>
          <w:lang w:val="es-ES"/>
        </w:rPr>
        <w:t xml:space="preserve"> también aumento ligeramente a escala mundial, pasando de 0,91 a 0,93.</w:t>
      </w:r>
    </w:p>
    <w:p w14:paraId="73BD0040" w14:textId="77777777" w:rsidR="006B3273" w:rsidRDefault="006B3273" w:rsidP="009C128B">
      <w:pPr>
        <w:pStyle w:val="Figuretitle"/>
        <w:keepNext/>
        <w:rPr>
          <w:lang w:val="es-ES"/>
        </w:rPr>
      </w:pPr>
      <w:r w:rsidRPr="0076358A">
        <w:rPr>
          <w:lang w:val="es-ES"/>
        </w:rPr>
        <w:lastRenderedPageBreak/>
        <w:t>Porcentaje de habitantes que poseen un teléfono móvil, desglosadas por sexo, en 2023 o el último año disponible</w:t>
      </w:r>
    </w:p>
    <w:p w14:paraId="77373C3F" w14:textId="090765D4" w:rsidR="009C128B" w:rsidRPr="009C128B" w:rsidRDefault="009C128B" w:rsidP="009C128B">
      <w:pPr>
        <w:rPr>
          <w:rFonts w:eastAsia="Yu Gothic Light"/>
          <w:lang w:val="es-ES"/>
        </w:rPr>
      </w:pPr>
      <w:r w:rsidRPr="009C128B">
        <w:rPr>
          <w:rFonts w:eastAsia="Yu Gothic Light"/>
          <w:noProof/>
        </w:rPr>
        <w:drawing>
          <wp:inline distT="0" distB="0" distL="0" distR="0" wp14:anchorId="7BDA35ED" wp14:editId="7D53C2F9">
            <wp:extent cx="5969528" cy="3217032"/>
            <wp:effectExtent l="0" t="0" r="0" b="2540"/>
            <wp:docPr id="1301004916" name="Chart 1">
              <a:extLst xmlns:a="http://schemas.openxmlformats.org/drawingml/2006/main">
                <a:ext uri="{FF2B5EF4-FFF2-40B4-BE49-F238E27FC236}">
                  <a16:creationId xmlns:a16="http://schemas.microsoft.com/office/drawing/2014/main" id="{12F3CD4C-F24E-46D7-B95A-4376E029DC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4BF882B" w14:textId="7F7A6715" w:rsidR="006B3273" w:rsidRPr="0076358A" w:rsidRDefault="006B3273" w:rsidP="00580074">
      <w:pPr>
        <w:pStyle w:val="Figurelegend"/>
      </w:pPr>
      <w:r w:rsidRPr="0076358A">
        <w:t>Nota: Personas de diez años en adelante. Los datos presentados por los países se muestran en un tono más oscuro y los datos no oficiales en un tono más claro.</w:t>
      </w:r>
    </w:p>
    <w:p w14:paraId="32D7A945" w14:textId="77777777" w:rsidR="006B3273" w:rsidRPr="0076358A" w:rsidRDefault="006B3273" w:rsidP="00490BBD">
      <w:pPr>
        <w:pStyle w:val="Sourcetext"/>
      </w:pPr>
      <w:r w:rsidRPr="0076358A">
        <w:t>Fuente: UIT</w:t>
      </w:r>
    </w:p>
    <w:p w14:paraId="16859921" w14:textId="44D768FA"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En 25 de los 33 países, el porcentaje de habitantes que poseen un teléfono móvil superaba el 80</w:t>
      </w:r>
      <w:r w:rsidR="00AC027A">
        <w:rPr>
          <w:lang w:val="es-ES"/>
        </w:rPr>
        <w:t> %</w:t>
      </w:r>
      <w:r w:rsidRPr="0076358A">
        <w:rPr>
          <w:lang w:val="es-ES"/>
        </w:rPr>
        <w:t xml:space="preserve"> de la población.</w:t>
      </w:r>
    </w:p>
    <w:p w14:paraId="1E505165" w14:textId="77777777" w:rsidR="006B3273" w:rsidRPr="009C128B" w:rsidRDefault="006B3273" w:rsidP="009C128B">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lang w:val="es-ES"/>
        </w:rPr>
      </w:pPr>
      <w:r w:rsidRPr="0076358A">
        <w:rPr>
          <w:rFonts w:ascii="AvenirNext LT Pro Light" w:eastAsia="Yu Gothic Light" w:hAnsi="AvenirNext LT Pro Light" w:cs="Calibri"/>
          <w:color w:val="0070C0"/>
          <w:spacing w:val="-10"/>
          <w:kern w:val="28"/>
          <w:szCs w:val="24"/>
          <w:lang w:val="es-ES"/>
        </w:rPr>
        <w:br w:type="page"/>
      </w:r>
    </w:p>
    <w:p w14:paraId="0A4F5155" w14:textId="77777777" w:rsidR="006B3273" w:rsidRPr="009C128B" w:rsidRDefault="006B3273" w:rsidP="009C128B">
      <w:pPr>
        <w:pStyle w:val="Figuretitle"/>
        <w:keepNext/>
        <w:rPr>
          <w:lang w:val="es-ES"/>
        </w:rPr>
      </w:pPr>
      <w:r w:rsidRPr="0076358A">
        <w:rPr>
          <w:lang w:val="es-ES"/>
        </w:rPr>
        <w:lastRenderedPageBreak/>
        <w:t>Abonos a servicios de telefonía móvil por cada 100 habitantes</w:t>
      </w:r>
    </w:p>
    <w:p w14:paraId="1FEFE1DA" w14:textId="02A2D9AA" w:rsidR="006B3273" w:rsidRPr="009C128B" w:rsidRDefault="00433AFC" w:rsidP="009C128B">
      <w:pPr>
        <w:pStyle w:val="Figuretitle"/>
        <w:keepNext/>
        <w:jc w:val="left"/>
        <w:rPr>
          <w:lang w:val="es-ES"/>
        </w:rPr>
      </w:pPr>
      <w:r w:rsidRPr="00433AFC">
        <w:rPr>
          <w:noProof/>
        </w:rPr>
        <w:drawing>
          <wp:inline distT="0" distB="0" distL="0" distR="0" wp14:anchorId="3C84F99E" wp14:editId="5468F858">
            <wp:extent cx="6006091" cy="2718786"/>
            <wp:effectExtent l="0" t="0" r="0" b="5715"/>
            <wp:docPr id="562100537" name="Chart 1">
              <a:extLst xmlns:a="http://schemas.openxmlformats.org/drawingml/2006/main">
                <a:ext uri="{FF2B5EF4-FFF2-40B4-BE49-F238E27FC236}">
                  <a16:creationId xmlns:a16="http://schemas.microsoft.com/office/drawing/2014/main" id="{74AEA7C3-B350-4729-A47A-C0B2D09907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0B835F8" w14:textId="77777777" w:rsidR="006B3273" w:rsidRPr="0076358A" w:rsidRDefault="006B3273" w:rsidP="00490BBD">
      <w:pPr>
        <w:pStyle w:val="Sourcetext"/>
      </w:pPr>
      <w:r w:rsidRPr="0076358A">
        <w:t>Fuente: UIT</w:t>
      </w:r>
    </w:p>
    <w:p w14:paraId="45FB59C3"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Para utilizar un teléfono móvil se necesita un abono móvil celular o de banda ancha. En 2024, la región de las Américas el número de abonos por cada 100 habitantes era de 114, dos abonos más que la media mundial. Este indicador está empezando a estancarse, ya que apenas ha variado en los últimos diez años.</w:t>
      </w:r>
    </w:p>
    <w:p w14:paraId="56AF728B"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 xml:space="preserve">Sin embargo, a nivel de país sigue habiendo una brecha considerable entre los de menor y mayor número de abonos por cada 100 habitantes, a saber, 65 y 201, respectivamente. </w:t>
      </w:r>
    </w:p>
    <w:p w14:paraId="23CA1D22" w14:textId="4480083E" w:rsidR="006B3273" w:rsidRDefault="006B3273" w:rsidP="00655652">
      <w:pPr>
        <w:pStyle w:val="Figuretitle"/>
        <w:keepNext/>
        <w:rPr>
          <w:lang w:val="es-ES"/>
        </w:rPr>
      </w:pPr>
      <w:r w:rsidRPr="0076358A">
        <w:rPr>
          <w:lang w:val="es-ES"/>
        </w:rPr>
        <w:t>Abonos a servicios de telefonía móvil por cada 100 habitantes, 2023 o último año disponible</w:t>
      </w:r>
    </w:p>
    <w:p w14:paraId="5C45FD0C" w14:textId="5FDE036E" w:rsidR="00655652" w:rsidRPr="00655652" w:rsidRDefault="00655652" w:rsidP="00655652">
      <w:pPr>
        <w:rPr>
          <w:rFonts w:eastAsia="Yu Gothic Light"/>
          <w:lang w:val="es-ES"/>
        </w:rPr>
      </w:pPr>
      <w:r w:rsidRPr="00655652">
        <w:rPr>
          <w:rFonts w:eastAsia="Yu Gothic Light"/>
          <w:noProof/>
        </w:rPr>
        <w:drawing>
          <wp:inline distT="0" distB="0" distL="0" distR="0" wp14:anchorId="63368E24" wp14:editId="33E2D371">
            <wp:extent cx="5852160" cy="2838616"/>
            <wp:effectExtent l="0" t="0" r="0" b="0"/>
            <wp:docPr id="1747248927" name="Chart 1">
              <a:extLst xmlns:a="http://schemas.openxmlformats.org/drawingml/2006/main">
                <a:ext uri="{FF2B5EF4-FFF2-40B4-BE49-F238E27FC236}">
                  <a16:creationId xmlns:a16="http://schemas.microsoft.com/office/drawing/2014/main" id="{AC0808F6-AF26-42BB-99AC-E3E790223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BCC64A4" w14:textId="1628093D" w:rsidR="006B3273" w:rsidRPr="0076358A" w:rsidRDefault="006B3273" w:rsidP="00F30C50">
      <w:pPr>
        <w:pStyle w:val="Figurelegend"/>
      </w:pPr>
      <w:r w:rsidRPr="0076358A">
        <w:t>Nota: Los datos presentados por los países se muestran en un tono más oscuro y los datos no oficiales en un tono más claro.</w:t>
      </w:r>
    </w:p>
    <w:p w14:paraId="5618F241" w14:textId="037359FE" w:rsidR="006B3273" w:rsidRPr="00655652" w:rsidRDefault="006B3273" w:rsidP="00490BBD">
      <w:pPr>
        <w:pStyle w:val="Sourcetext"/>
      </w:pPr>
      <w:r w:rsidRPr="0076358A">
        <w:t>Fuente: UIT</w:t>
      </w:r>
    </w:p>
    <w:p w14:paraId="16129E87" w14:textId="4FE4D9D9" w:rsidR="006B3273" w:rsidRPr="00F30C50" w:rsidRDefault="006B3273" w:rsidP="006B3273">
      <w:pPr>
        <w:pStyle w:val="Section"/>
        <w:rPr>
          <w:rFonts w:asciiTheme="minorHAnsi" w:hAnsiTheme="minorHAnsi" w:cstheme="minorHAnsi"/>
          <w:color w:val="auto"/>
          <w:lang w:val="es-ES"/>
        </w:rPr>
      </w:pPr>
      <w:bookmarkStart w:id="15" w:name="_Toc193034321"/>
      <w:r w:rsidRPr="00F30C50">
        <w:rPr>
          <w:rFonts w:asciiTheme="minorHAnsi" w:hAnsiTheme="minorHAnsi" w:cstheme="minorHAnsi"/>
          <w:color w:val="auto"/>
          <w:lang w:val="es-ES"/>
        </w:rPr>
        <w:lastRenderedPageBreak/>
        <w:t>Competencias en TIC</w:t>
      </w:r>
      <w:bookmarkEnd w:id="15"/>
    </w:p>
    <w:p w14:paraId="63585EA2" w14:textId="35E8904F"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lang w:val="es-ES"/>
          <w14:ligatures w14:val="standardContextual"/>
        </w:rPr>
      </w:pPr>
      <w:r w:rsidRPr="0076358A">
        <w:rPr>
          <w:b/>
          <w:bCs/>
          <w:i/>
          <w:iCs/>
          <w:lang w:val="es-ES"/>
        </w:rPr>
        <w:t>La gran brecha en materia de competencias en</w:t>
      </w:r>
      <w:r w:rsidR="00DF1C96" w:rsidRPr="0076358A">
        <w:rPr>
          <w:b/>
          <w:bCs/>
          <w:i/>
          <w:iCs/>
          <w:lang w:val="es-ES"/>
        </w:rPr>
        <w:t xml:space="preserve"> </w:t>
      </w:r>
      <w:r w:rsidRPr="0076358A">
        <w:rPr>
          <w:b/>
          <w:bCs/>
          <w:i/>
          <w:iCs/>
          <w:lang w:val="es-ES"/>
        </w:rPr>
        <w:t>TIC impide que muchos usuarios se beneficien plenamente de las oportunidades digitales</w:t>
      </w:r>
    </w:p>
    <w:p w14:paraId="50335287" w14:textId="3F5D5B8B"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 xml:space="preserve">Dado que la autoevaluación de las competencias en TIC es subjetiva, las competencias en TIC se miden a partir de encuestas a hogares en las que se pregunta a </w:t>
      </w:r>
      <w:r w:rsidR="003D50AD">
        <w:rPr>
          <w:lang w:val="es-ES"/>
        </w:rPr>
        <w:t>las personas</w:t>
      </w:r>
      <w:r w:rsidRPr="0076358A">
        <w:rPr>
          <w:lang w:val="es-ES"/>
        </w:rPr>
        <w:t xml:space="preserve"> si han realizado recientemente determinadas tareas. La realización de dichas tareas requiere un cierto dominio de las competencias digitales pertinentes. Las tareas en cuestión se clasifican en cinco ámbitos: alfabetización en datos e información; comunicación y colaboración; creación de contenido digital; seguridad; y resolución de problemas.</w:t>
      </w:r>
    </w:p>
    <w:p w14:paraId="5BF1F18A"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Aunque el importante papel que desempeñan las competencias digitales para poner las TIC al servicio de la prosperidad económica y el bienestar social está bien documentado, los datos siguen siendo muy escasos, y sólo 13 países de las Américas llevan presentando datos desde 2020. Dicho esto, son menos –sólo 6 países– los que han facilitado algunos datos comparables sobre los niveles de competencias en TIC (véase el recuadro para obtener más información sobre la metodología de cálculo de los niveles de competencias en TIC).</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ayout w:type="fixed"/>
        <w:tblLook w:val="04A0" w:firstRow="1" w:lastRow="0" w:firstColumn="1" w:lastColumn="0" w:noHBand="0" w:noVBand="1"/>
      </w:tblPr>
      <w:tblGrid>
        <w:gridCol w:w="9016"/>
      </w:tblGrid>
      <w:tr w:rsidR="006B3273" w:rsidRPr="00AA1640" w14:paraId="70470CAC" w14:textId="77777777" w:rsidTr="004A7CF6">
        <w:tc>
          <w:tcPr>
            <w:tcW w:w="9016" w:type="dxa"/>
            <w:shd w:val="clear" w:color="auto" w:fill="F2F2F2"/>
          </w:tcPr>
          <w:p w14:paraId="6BCC1592" w14:textId="77777777" w:rsidR="006B3273" w:rsidRPr="0076358A" w:rsidRDefault="006B3273" w:rsidP="0085370A">
            <w:pPr>
              <w:tabs>
                <w:tab w:val="clear" w:pos="794"/>
                <w:tab w:val="clear" w:pos="1191"/>
                <w:tab w:val="clear" w:pos="1588"/>
                <w:tab w:val="clear" w:pos="1985"/>
              </w:tabs>
              <w:overflowPunct/>
              <w:autoSpaceDE/>
              <w:autoSpaceDN/>
              <w:adjustRightInd/>
              <w:spacing w:before="0" w:after="120"/>
              <w:textAlignment w:val="auto"/>
              <w:rPr>
                <w:rFonts w:ascii="Aptos" w:hAnsi="Aptos"/>
                <w:b/>
                <w:sz w:val="22"/>
                <w:lang w:val="es-ES"/>
              </w:rPr>
            </w:pPr>
            <w:r w:rsidRPr="0076358A">
              <w:rPr>
                <w:b/>
                <w:bCs/>
                <w:color w:val="000000"/>
                <w:lang w:val="es-ES"/>
              </w:rPr>
              <w:t>Metodología de cálculo de los niveles de competencias en TIC</w:t>
            </w:r>
          </w:p>
          <w:p w14:paraId="0F646519" w14:textId="1E5687CC"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sz w:val="22"/>
                <w:lang w:val="es-ES"/>
              </w:rPr>
            </w:pPr>
            <w:r w:rsidRPr="0076358A">
              <w:rPr>
                <w:color w:val="000000"/>
                <w:lang w:val="es-ES"/>
              </w:rPr>
              <w:t xml:space="preserve">En su 11ª reunión, celebrada en septiembre de 2023, el Grupo de Expertos de la UIT en Indicadores de TIC en los Hogares (GEH) </w:t>
            </w:r>
            <w:hyperlink r:id="rId55" w:history="1">
              <w:r w:rsidRPr="00655652">
                <w:rPr>
                  <w:rStyle w:val="Hyperlink"/>
                  <w:lang w:val="es-ES"/>
                </w:rPr>
                <w:t>recomendó cambios</w:t>
              </w:r>
            </w:hyperlink>
            <w:r w:rsidRPr="0076358A">
              <w:rPr>
                <w:color w:val="000000"/>
                <w:lang w:val="es-ES"/>
              </w:rPr>
              <w:t xml:space="preserve"> en la forma de comunicar los datos sobre los niveles de competencias en TIC, </w:t>
            </w:r>
            <w:r w:rsidR="00B41718">
              <w:rPr>
                <w:color w:val="000000"/>
                <w:lang w:val="es-ES"/>
              </w:rPr>
              <w:t xml:space="preserve">e insistió </w:t>
            </w:r>
            <w:r w:rsidRPr="0076358A">
              <w:rPr>
                <w:color w:val="000000"/>
                <w:lang w:val="es-ES"/>
              </w:rPr>
              <w:t xml:space="preserve">sobre todo en la necesidad de evaluar los niveles de competencias personales en diferentes ámbitos. </w:t>
            </w:r>
          </w:p>
          <w:p w14:paraId="43952BB7" w14:textId="3A3524D3" w:rsidR="006B3273" w:rsidRPr="00015A9F" w:rsidRDefault="006B3273" w:rsidP="00015A9F">
            <w:pPr>
              <w:pStyle w:val="enumlev1"/>
              <w:spacing w:after="120"/>
              <w:ind w:hanging="57"/>
              <w:rPr>
                <w:rFonts w:ascii="Aptos" w:hAnsi="Aptos"/>
                <w:i/>
                <w:iCs/>
                <w:sz w:val="22"/>
                <w:lang w:val="es-ES"/>
              </w:rPr>
            </w:pPr>
            <w:r w:rsidRPr="00015A9F">
              <w:rPr>
                <w:i/>
                <w:iCs/>
                <w:lang w:val="es-ES"/>
              </w:rPr>
              <w:t>Los individuos deben ser evaluados en base al número de actividades pertenecientes a un cierto ámbito de competencia que declaren haber realizado en los últimos tres meses, aplicando la siguiente progresión:</w:t>
            </w:r>
          </w:p>
          <w:tbl>
            <w:tblPr>
              <w:tblStyle w:val="GridTable2-Accent11"/>
              <w:tblW w:w="0" w:type="auto"/>
              <w:tblInd w:w="755" w:type="dxa"/>
              <w:tblLayout w:type="fixed"/>
              <w:tblLook w:val="04A0" w:firstRow="1" w:lastRow="0" w:firstColumn="1" w:lastColumn="0" w:noHBand="0" w:noVBand="1"/>
            </w:tblPr>
            <w:tblGrid>
              <w:gridCol w:w="1587"/>
              <w:gridCol w:w="1531"/>
              <w:gridCol w:w="2268"/>
            </w:tblGrid>
            <w:tr w:rsidR="006B3273" w:rsidRPr="00015A9F" w14:paraId="19040BEB" w14:textId="77777777" w:rsidTr="00015A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4CBAF341" w14:textId="77777777" w:rsidR="006B3273" w:rsidRPr="0076358A" w:rsidRDefault="006B3273" w:rsidP="00015A9F">
                  <w:pPr>
                    <w:tabs>
                      <w:tab w:val="clear" w:pos="794"/>
                      <w:tab w:val="clear" w:pos="1191"/>
                      <w:tab w:val="clear" w:pos="1588"/>
                      <w:tab w:val="clear" w:pos="1985"/>
                    </w:tabs>
                    <w:overflowPunct/>
                    <w:autoSpaceDE/>
                    <w:autoSpaceDN/>
                    <w:adjustRightInd/>
                    <w:spacing w:before="0"/>
                    <w:contextualSpacing/>
                    <w:jc w:val="center"/>
                    <w:textAlignment w:val="auto"/>
                    <w:rPr>
                      <w:rFonts w:ascii="Aptos" w:hAnsi="Aptos"/>
                      <w:sz w:val="22"/>
                      <w:szCs w:val="21"/>
                      <w:lang w:val="es-ES"/>
                    </w:rPr>
                  </w:pPr>
                  <w:r w:rsidRPr="0076358A">
                    <w:rPr>
                      <w:color w:val="000000"/>
                      <w:sz w:val="22"/>
                      <w:szCs w:val="21"/>
                      <w:lang w:val="es-ES"/>
                    </w:rPr>
                    <w:t>Nulo</w:t>
                  </w:r>
                </w:p>
              </w:tc>
              <w:tc>
                <w:tcPr>
                  <w:tcW w:w="1531" w:type="dxa"/>
                </w:tcPr>
                <w:p w14:paraId="3B12F468" w14:textId="77777777" w:rsidR="006B3273" w:rsidRPr="0076358A" w:rsidRDefault="006B3273" w:rsidP="00015A9F">
                  <w:pPr>
                    <w:tabs>
                      <w:tab w:val="clear" w:pos="794"/>
                      <w:tab w:val="clear" w:pos="1191"/>
                      <w:tab w:val="clear" w:pos="1588"/>
                      <w:tab w:val="clear" w:pos="1985"/>
                    </w:tabs>
                    <w:overflowPunct/>
                    <w:autoSpaceDE/>
                    <w:autoSpaceDN/>
                    <w:adjustRightInd/>
                    <w:spacing w:before="0"/>
                    <w:contextualSpacing/>
                    <w:jc w:val="center"/>
                    <w:textAlignment w:val="auto"/>
                    <w:cnfStyle w:val="100000000000" w:firstRow="1" w:lastRow="0" w:firstColumn="0" w:lastColumn="0" w:oddVBand="0" w:evenVBand="0" w:oddHBand="0" w:evenHBand="0" w:firstRowFirstColumn="0" w:firstRowLastColumn="0" w:lastRowFirstColumn="0" w:lastRowLastColumn="0"/>
                    <w:rPr>
                      <w:rFonts w:ascii="Aptos" w:hAnsi="Aptos"/>
                      <w:sz w:val="22"/>
                      <w:szCs w:val="21"/>
                      <w:lang w:val="es-ES"/>
                    </w:rPr>
                  </w:pPr>
                  <w:r w:rsidRPr="0076358A">
                    <w:rPr>
                      <w:color w:val="000000"/>
                      <w:sz w:val="22"/>
                      <w:szCs w:val="21"/>
                      <w:lang w:val="es-ES"/>
                    </w:rPr>
                    <w:t>Básico</w:t>
                  </w:r>
                </w:p>
              </w:tc>
              <w:tc>
                <w:tcPr>
                  <w:tcW w:w="2268" w:type="dxa"/>
                </w:tcPr>
                <w:p w14:paraId="613713EB" w14:textId="77777777" w:rsidR="006B3273" w:rsidRPr="0076358A" w:rsidRDefault="006B3273" w:rsidP="00015A9F">
                  <w:pPr>
                    <w:tabs>
                      <w:tab w:val="clear" w:pos="794"/>
                      <w:tab w:val="clear" w:pos="1191"/>
                      <w:tab w:val="clear" w:pos="1588"/>
                      <w:tab w:val="clear" w:pos="1985"/>
                    </w:tabs>
                    <w:overflowPunct/>
                    <w:autoSpaceDE/>
                    <w:autoSpaceDN/>
                    <w:adjustRightInd/>
                    <w:spacing w:before="0"/>
                    <w:contextualSpacing/>
                    <w:jc w:val="center"/>
                    <w:textAlignment w:val="auto"/>
                    <w:cnfStyle w:val="100000000000" w:firstRow="1" w:lastRow="0" w:firstColumn="0" w:lastColumn="0" w:oddVBand="0" w:evenVBand="0" w:oddHBand="0" w:evenHBand="0" w:firstRowFirstColumn="0" w:firstRowLastColumn="0" w:lastRowFirstColumn="0" w:lastRowLastColumn="0"/>
                    <w:rPr>
                      <w:rFonts w:ascii="Aptos" w:hAnsi="Aptos"/>
                      <w:sz w:val="22"/>
                      <w:szCs w:val="21"/>
                      <w:lang w:val="es-ES"/>
                    </w:rPr>
                  </w:pPr>
                  <w:r w:rsidRPr="0076358A">
                    <w:rPr>
                      <w:color w:val="000000"/>
                      <w:sz w:val="22"/>
                      <w:szCs w:val="21"/>
                      <w:lang w:val="es-ES"/>
                    </w:rPr>
                    <w:t>Superior al básico</w:t>
                  </w:r>
                </w:p>
              </w:tc>
            </w:tr>
            <w:tr w:rsidR="006B3273" w:rsidRPr="00015A9F" w14:paraId="266CEEE8" w14:textId="77777777" w:rsidTr="00015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4B49FF47" w14:textId="77777777" w:rsidR="006B3273" w:rsidRPr="0076358A" w:rsidRDefault="006B3273" w:rsidP="00015A9F">
                  <w:pPr>
                    <w:tabs>
                      <w:tab w:val="clear" w:pos="794"/>
                      <w:tab w:val="clear" w:pos="1191"/>
                      <w:tab w:val="clear" w:pos="1588"/>
                      <w:tab w:val="clear" w:pos="1985"/>
                    </w:tabs>
                    <w:overflowPunct/>
                    <w:autoSpaceDE/>
                    <w:autoSpaceDN/>
                    <w:adjustRightInd/>
                    <w:spacing w:before="0"/>
                    <w:contextualSpacing/>
                    <w:jc w:val="center"/>
                    <w:textAlignment w:val="auto"/>
                    <w:rPr>
                      <w:rFonts w:ascii="Aptos" w:hAnsi="Aptos"/>
                      <w:b w:val="0"/>
                      <w:bCs w:val="0"/>
                      <w:sz w:val="22"/>
                      <w:szCs w:val="21"/>
                      <w:lang w:val="es-ES"/>
                    </w:rPr>
                  </w:pPr>
                  <w:r w:rsidRPr="0076358A">
                    <w:rPr>
                      <w:b w:val="0"/>
                      <w:bCs w:val="0"/>
                      <w:color w:val="000000"/>
                      <w:sz w:val="22"/>
                      <w:szCs w:val="21"/>
                      <w:lang w:val="es-ES"/>
                    </w:rPr>
                    <w:t>0 actividades</w:t>
                  </w:r>
                </w:p>
              </w:tc>
              <w:tc>
                <w:tcPr>
                  <w:tcW w:w="1531" w:type="dxa"/>
                </w:tcPr>
                <w:p w14:paraId="70D31684" w14:textId="77777777" w:rsidR="006B3273" w:rsidRPr="0076358A" w:rsidRDefault="006B3273" w:rsidP="00015A9F">
                  <w:pPr>
                    <w:tabs>
                      <w:tab w:val="clear" w:pos="794"/>
                      <w:tab w:val="clear" w:pos="1191"/>
                      <w:tab w:val="clear" w:pos="1588"/>
                      <w:tab w:val="clear" w:pos="1985"/>
                    </w:tabs>
                    <w:overflowPunct/>
                    <w:autoSpaceDE/>
                    <w:autoSpaceDN/>
                    <w:adjustRightInd/>
                    <w:spacing w:before="0"/>
                    <w:contextualSpacing/>
                    <w:jc w:val="center"/>
                    <w:textAlignment w:val="auto"/>
                    <w:cnfStyle w:val="000000100000" w:firstRow="0" w:lastRow="0" w:firstColumn="0" w:lastColumn="0" w:oddVBand="0" w:evenVBand="0" w:oddHBand="1" w:evenHBand="0" w:firstRowFirstColumn="0" w:firstRowLastColumn="0" w:lastRowFirstColumn="0" w:lastRowLastColumn="0"/>
                    <w:rPr>
                      <w:rFonts w:ascii="Aptos" w:hAnsi="Aptos"/>
                      <w:sz w:val="22"/>
                      <w:szCs w:val="21"/>
                      <w:lang w:val="es-ES"/>
                    </w:rPr>
                  </w:pPr>
                  <w:r w:rsidRPr="0076358A">
                    <w:rPr>
                      <w:color w:val="000000"/>
                      <w:sz w:val="22"/>
                      <w:szCs w:val="21"/>
                      <w:lang w:val="es-ES"/>
                    </w:rPr>
                    <w:t>1 actividad</w:t>
                  </w:r>
                </w:p>
              </w:tc>
              <w:tc>
                <w:tcPr>
                  <w:tcW w:w="2268" w:type="dxa"/>
                </w:tcPr>
                <w:p w14:paraId="6D13A9FB" w14:textId="77777777" w:rsidR="006B3273" w:rsidRPr="0076358A" w:rsidRDefault="006B3273" w:rsidP="00015A9F">
                  <w:pPr>
                    <w:tabs>
                      <w:tab w:val="clear" w:pos="794"/>
                      <w:tab w:val="clear" w:pos="1191"/>
                      <w:tab w:val="clear" w:pos="1588"/>
                      <w:tab w:val="clear" w:pos="1985"/>
                    </w:tabs>
                    <w:overflowPunct/>
                    <w:autoSpaceDE/>
                    <w:autoSpaceDN/>
                    <w:adjustRightInd/>
                    <w:spacing w:before="0"/>
                    <w:contextualSpacing/>
                    <w:jc w:val="center"/>
                    <w:textAlignment w:val="auto"/>
                    <w:cnfStyle w:val="000000100000" w:firstRow="0" w:lastRow="0" w:firstColumn="0" w:lastColumn="0" w:oddVBand="0" w:evenVBand="0" w:oddHBand="1" w:evenHBand="0" w:firstRowFirstColumn="0" w:firstRowLastColumn="0" w:lastRowFirstColumn="0" w:lastRowLastColumn="0"/>
                    <w:rPr>
                      <w:rFonts w:ascii="Aptos" w:hAnsi="Aptos"/>
                      <w:sz w:val="22"/>
                      <w:szCs w:val="21"/>
                      <w:lang w:val="es-ES"/>
                    </w:rPr>
                  </w:pPr>
                  <w:r w:rsidRPr="0076358A">
                    <w:rPr>
                      <w:color w:val="000000"/>
                      <w:sz w:val="22"/>
                      <w:szCs w:val="21"/>
                      <w:lang w:val="es-ES"/>
                    </w:rPr>
                    <w:t>Más de 1 actividad</w:t>
                  </w:r>
                </w:p>
              </w:tc>
            </w:tr>
          </w:tbl>
          <w:p w14:paraId="3C160356" w14:textId="77777777" w:rsidR="006B3273" w:rsidRPr="0076358A" w:rsidRDefault="006B3273" w:rsidP="004A7CF6">
            <w:pPr>
              <w:tabs>
                <w:tab w:val="clear" w:pos="794"/>
                <w:tab w:val="clear" w:pos="1191"/>
                <w:tab w:val="clear" w:pos="1588"/>
                <w:tab w:val="clear" w:pos="1985"/>
              </w:tabs>
              <w:overflowPunct/>
              <w:autoSpaceDE/>
              <w:autoSpaceDN/>
              <w:adjustRightInd/>
              <w:spacing w:before="0"/>
              <w:ind w:left="1440"/>
              <w:contextualSpacing/>
              <w:textAlignment w:val="auto"/>
              <w:rPr>
                <w:rFonts w:ascii="Aptos" w:hAnsi="Aptos"/>
                <w:i/>
                <w:sz w:val="22"/>
                <w:lang w:val="es-ES"/>
              </w:rPr>
            </w:pPr>
          </w:p>
          <w:p w14:paraId="338AD7E7" w14:textId="18B84C85" w:rsidR="006B3273" w:rsidRPr="00015A9F" w:rsidRDefault="00015A9F" w:rsidP="00015A9F">
            <w:pPr>
              <w:pStyle w:val="enumlev1"/>
              <w:rPr>
                <w:rFonts w:ascii="Aptos" w:hAnsi="Aptos"/>
                <w:i/>
                <w:iCs/>
                <w:sz w:val="22"/>
                <w:lang w:val="es-ES"/>
              </w:rPr>
            </w:pPr>
            <w:r w:rsidRPr="00015A9F">
              <w:rPr>
                <w:lang w:val="es-ES"/>
              </w:rPr>
              <w:t>•</w:t>
            </w:r>
            <w:r>
              <w:rPr>
                <w:lang w:val="es-ES"/>
              </w:rPr>
              <w:tab/>
            </w:r>
            <w:r w:rsidR="006B3273" w:rsidRPr="00015A9F">
              <w:rPr>
                <w:i/>
                <w:iCs/>
                <w:lang w:val="es-ES"/>
              </w:rPr>
              <w:t>No deben evaluarse los niveles de competencias en ámbitos que prevean menos de dos indicadores.</w:t>
            </w:r>
          </w:p>
          <w:p w14:paraId="708994B4" w14:textId="5F6D6C1E" w:rsidR="006B3273" w:rsidRPr="0076358A" w:rsidRDefault="00015A9F" w:rsidP="00015A9F">
            <w:pPr>
              <w:pStyle w:val="enumlev1"/>
              <w:rPr>
                <w:rFonts w:ascii="Aptos" w:hAnsi="Aptos"/>
                <w:i/>
                <w:sz w:val="22"/>
                <w:lang w:val="es-ES"/>
              </w:rPr>
            </w:pPr>
            <w:r w:rsidRPr="00015A9F">
              <w:rPr>
                <w:lang w:val="es-ES"/>
              </w:rPr>
              <w:t>•</w:t>
            </w:r>
            <w:r>
              <w:rPr>
                <w:lang w:val="es-ES"/>
              </w:rPr>
              <w:tab/>
            </w:r>
            <w:r w:rsidR="006B3273" w:rsidRPr="0076358A">
              <w:rPr>
                <w:i/>
                <w:iCs/>
                <w:color w:val="000000"/>
                <w:lang w:val="es-ES"/>
              </w:rPr>
              <w:t>Los indicadores deben ponderarse por igual dentro de cada ámbito de competencia.</w:t>
            </w:r>
          </w:p>
          <w:p w14:paraId="691AAAC9" w14:textId="03D99857" w:rsidR="006B3273" w:rsidRPr="0076358A" w:rsidRDefault="00015A9F" w:rsidP="00015A9F">
            <w:pPr>
              <w:pStyle w:val="enumlev1"/>
              <w:rPr>
                <w:rFonts w:ascii="Aptos" w:hAnsi="Aptos"/>
                <w:i/>
                <w:sz w:val="22"/>
                <w:lang w:val="es-ES"/>
              </w:rPr>
            </w:pPr>
            <w:r w:rsidRPr="00015A9F">
              <w:rPr>
                <w:lang w:val="es-ES"/>
              </w:rPr>
              <w:t>•</w:t>
            </w:r>
            <w:r>
              <w:rPr>
                <w:lang w:val="es-ES"/>
              </w:rPr>
              <w:tab/>
            </w:r>
            <w:r w:rsidR="006B3273" w:rsidRPr="0076358A">
              <w:rPr>
                <w:i/>
                <w:iCs/>
                <w:color w:val="000000"/>
                <w:lang w:val="es-ES"/>
              </w:rPr>
              <w:t>Los ámbitos de competencia con diferente número de componentes deben recibir el mismo trato.</w:t>
            </w:r>
          </w:p>
          <w:p w14:paraId="672ACEA9" w14:textId="26C24E2F" w:rsidR="006B3273" w:rsidRPr="0076358A" w:rsidRDefault="006B3273" w:rsidP="0085370A">
            <w:pPr>
              <w:tabs>
                <w:tab w:val="clear" w:pos="794"/>
                <w:tab w:val="clear" w:pos="1191"/>
                <w:tab w:val="clear" w:pos="1588"/>
                <w:tab w:val="clear" w:pos="1985"/>
              </w:tabs>
              <w:overflowPunct/>
              <w:autoSpaceDE/>
              <w:autoSpaceDN/>
              <w:adjustRightInd/>
              <w:spacing w:after="120"/>
              <w:textAlignment w:val="auto"/>
              <w:rPr>
                <w:rFonts w:ascii="Aptos" w:hAnsi="Aptos"/>
                <w:sz w:val="22"/>
                <w:lang w:val="es-ES"/>
              </w:rPr>
            </w:pPr>
            <w:r w:rsidRPr="0076358A">
              <w:rPr>
                <w:color w:val="000000"/>
                <w:lang w:val="es-ES"/>
              </w:rPr>
              <w:t xml:space="preserve">Aunque para aplicar esta recomendación no es preciso recopilar más datos, sí es necesario que los países realicen análisis adicionales de los microdatos derivados de las encuestas realizadas. La UIT solicitó datos sobre competencias en TIC por primera vez en su campaña de recopilación de datos de abril de 2024 y recibió información de 40 países, </w:t>
            </w:r>
            <w:r w:rsidR="00A63F19">
              <w:rPr>
                <w:color w:val="000000"/>
                <w:lang w:val="es-ES"/>
              </w:rPr>
              <w:t>de los cuales </w:t>
            </w:r>
            <w:r w:rsidRPr="0076358A">
              <w:rPr>
                <w:color w:val="000000"/>
                <w:lang w:val="es-ES"/>
              </w:rPr>
              <w:t xml:space="preserve">6 </w:t>
            </w:r>
            <w:r w:rsidR="00A63F19">
              <w:rPr>
                <w:color w:val="000000"/>
                <w:lang w:val="es-ES"/>
              </w:rPr>
              <w:t xml:space="preserve">pertenecen a la región </w:t>
            </w:r>
            <w:r w:rsidRPr="0076358A">
              <w:rPr>
                <w:color w:val="000000"/>
                <w:lang w:val="es-ES"/>
              </w:rPr>
              <w:t>de las Américas. Sin embargo, otros países no pudieron proporcionar datos, aunque en muchos casos había</w:t>
            </w:r>
            <w:r w:rsidR="00A63F19">
              <w:rPr>
                <w:color w:val="000000"/>
                <w:lang w:val="es-ES"/>
              </w:rPr>
              <w:t>n</w:t>
            </w:r>
            <w:r w:rsidRPr="0076358A">
              <w:rPr>
                <w:color w:val="000000"/>
                <w:lang w:val="es-ES"/>
              </w:rPr>
              <w:t xml:space="preserve"> recopilado información sobre las actividades subyacentes. Cabe prever que el volumen de datos disponibles aumente a medida que los países se familiaricen con estas nuevas recomendaciones.</w:t>
            </w:r>
          </w:p>
        </w:tc>
      </w:tr>
    </w:tbl>
    <w:p w14:paraId="70BE162C"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p>
    <w:p w14:paraId="47658135" w14:textId="0B570F4F"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lastRenderedPageBreak/>
        <w:t xml:space="preserve">Los datos sobre competencias en TIC </w:t>
      </w:r>
      <w:r w:rsidR="0009145E">
        <w:rPr>
          <w:lang w:val="es-ES"/>
        </w:rPr>
        <w:t>trascienden el mero</w:t>
      </w:r>
      <w:r w:rsidRPr="0076358A">
        <w:rPr>
          <w:lang w:val="es-ES"/>
        </w:rPr>
        <w:t xml:space="preserve"> acceso y uso de las TIC </w:t>
      </w:r>
      <w:r w:rsidR="00C376A9">
        <w:rPr>
          <w:lang w:val="es-ES"/>
        </w:rPr>
        <w:t xml:space="preserve">ya que la idea es </w:t>
      </w:r>
      <w:r w:rsidRPr="0076358A">
        <w:rPr>
          <w:lang w:val="es-ES"/>
        </w:rPr>
        <w:t xml:space="preserve">ofrecer una visión general de las capacidades de sus usuarios. A </w:t>
      </w:r>
      <w:r w:rsidR="0085370A" w:rsidRPr="0076358A">
        <w:rPr>
          <w:lang w:val="es-ES"/>
        </w:rPr>
        <w:t>continuación,</w:t>
      </w:r>
      <w:r w:rsidRPr="0076358A">
        <w:rPr>
          <w:lang w:val="es-ES"/>
        </w:rPr>
        <w:t xml:space="preserve"> se muestran datos de las Américas sobre los diferentes niveles de competencias en TIC como porcentaje de usuarios de Internet. Estos datos demuestran que existe una considerable variación entre los países. También muestran los ámbitos en los que es necesario concentrarse para aumentar las competencias en materia de TIC.</w:t>
      </w:r>
    </w:p>
    <w:p w14:paraId="4547F70C" w14:textId="77777777" w:rsidR="006B3273" w:rsidRPr="0085370A" w:rsidRDefault="006B3273" w:rsidP="0085370A">
      <w:pPr>
        <w:pStyle w:val="Figuretitle"/>
        <w:keepNext/>
        <w:rPr>
          <w:lang w:val="es-ES"/>
        </w:rPr>
      </w:pPr>
      <w:r w:rsidRPr="0076358A">
        <w:rPr>
          <w:lang w:val="es-ES"/>
        </w:rPr>
        <w:t>Porcentaje de usuarios de Internet con competencias en TIC, desglosados por nivel de competencias, 2023 o último año disponible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08"/>
      </w:tblGrid>
      <w:tr w:rsidR="006B3273" w:rsidRPr="0076358A" w14:paraId="1F69CAAB" w14:textId="77777777" w:rsidTr="0085370A">
        <w:tc>
          <w:tcPr>
            <w:tcW w:w="4508" w:type="dxa"/>
          </w:tcPr>
          <w:p w14:paraId="74DD5BA7" w14:textId="48E671C1"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sz w:val="22"/>
                <w:lang w:val="es-ES"/>
              </w:rPr>
            </w:pPr>
            <w:r w:rsidRPr="0076358A">
              <w:rPr>
                <w:b/>
                <w:bCs/>
                <w:color w:val="000000"/>
                <w:lang w:val="es-ES"/>
              </w:rPr>
              <w:t>Brasil</w:t>
            </w:r>
            <w:r w:rsidRPr="0076358A">
              <w:rPr>
                <w:color w:val="000000"/>
                <w:lang w:val="es-ES"/>
              </w:rPr>
              <w:t xml:space="preserve"> </w:t>
            </w:r>
            <w:r w:rsidR="0085370A" w:rsidRPr="0085370A">
              <w:rPr>
                <w:noProof/>
                <w:color w:val="000000"/>
              </w:rPr>
              <w:drawing>
                <wp:inline distT="0" distB="0" distL="0" distR="0" wp14:anchorId="4BA6DEF1" wp14:editId="5BC3979E">
                  <wp:extent cx="2700000" cy="2788917"/>
                  <wp:effectExtent l="0" t="0" r="5715" b="0"/>
                  <wp:docPr id="124587592" name="Chart 1">
                    <a:extLst xmlns:a="http://schemas.openxmlformats.org/drawingml/2006/main">
                      <a:ext uri="{FF2B5EF4-FFF2-40B4-BE49-F238E27FC236}">
                        <a16:creationId xmlns:a16="http://schemas.microsoft.com/office/drawing/2014/main" id="{DB21D1C1-622D-4BD3-95BD-C9F7C42309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4508" w:type="dxa"/>
          </w:tcPr>
          <w:p w14:paraId="2C1AE902" w14:textId="7F821E4D" w:rsidR="006B3273" w:rsidRPr="0099732E" w:rsidRDefault="006B3273" w:rsidP="0099732E">
            <w:pPr>
              <w:tabs>
                <w:tab w:val="clear" w:pos="794"/>
                <w:tab w:val="clear" w:pos="1191"/>
                <w:tab w:val="clear" w:pos="1588"/>
                <w:tab w:val="clear" w:pos="1985"/>
              </w:tabs>
              <w:overflowPunct/>
              <w:autoSpaceDE/>
              <w:autoSpaceDN/>
              <w:adjustRightInd/>
              <w:spacing w:before="0"/>
              <w:jc w:val="center"/>
              <w:textAlignment w:val="auto"/>
              <w:rPr>
                <w:rFonts w:ascii="Aptos" w:hAnsi="Aptos"/>
                <w:b/>
                <w:sz w:val="22"/>
                <w:lang w:val="es-ES"/>
              </w:rPr>
            </w:pPr>
            <w:r w:rsidRPr="0076358A">
              <w:rPr>
                <w:b/>
                <w:bCs/>
                <w:color w:val="000000"/>
                <w:lang w:val="es-ES"/>
              </w:rPr>
              <w:t>Canadá (2022)</w:t>
            </w:r>
            <w:r w:rsidRPr="0076358A">
              <w:rPr>
                <w:color w:val="000000"/>
                <w:lang w:val="es-ES"/>
              </w:rPr>
              <w:t xml:space="preserve"> </w:t>
            </w:r>
            <w:r w:rsidR="0085370A" w:rsidRPr="0085370A">
              <w:rPr>
                <w:noProof/>
                <w:color w:val="000000"/>
              </w:rPr>
              <w:drawing>
                <wp:inline distT="0" distB="0" distL="0" distR="0" wp14:anchorId="3DD17199" wp14:editId="26FFDDB7">
                  <wp:extent cx="2700000" cy="2785389"/>
                  <wp:effectExtent l="0" t="0" r="5715" b="0"/>
                  <wp:docPr id="1107286571" name="Chart 1">
                    <a:extLst xmlns:a="http://schemas.openxmlformats.org/drawingml/2006/main">
                      <a:ext uri="{FF2B5EF4-FFF2-40B4-BE49-F238E27FC236}">
                        <a16:creationId xmlns:a16="http://schemas.microsoft.com/office/drawing/2014/main" id="{ABAA5B87-C4AC-4546-BAA1-2BBCAD4A7C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6B3273" w:rsidRPr="0076358A" w14:paraId="0736BB01" w14:textId="77777777" w:rsidTr="0085370A">
        <w:tc>
          <w:tcPr>
            <w:tcW w:w="4508" w:type="dxa"/>
          </w:tcPr>
          <w:p w14:paraId="3890CCE6" w14:textId="2A3CE4FD"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b/>
                <w:sz w:val="22"/>
                <w:lang w:val="es-ES"/>
              </w:rPr>
            </w:pPr>
            <w:r w:rsidRPr="0076358A">
              <w:rPr>
                <w:b/>
                <w:bCs/>
                <w:color w:val="000000"/>
                <w:lang w:val="es-ES"/>
              </w:rPr>
              <w:t>Chile</w:t>
            </w:r>
            <w:r w:rsidRPr="0076358A">
              <w:rPr>
                <w:color w:val="000000"/>
                <w:lang w:val="es-ES"/>
              </w:rPr>
              <w:t xml:space="preserve"> </w:t>
            </w:r>
            <w:r w:rsidR="0085370A" w:rsidRPr="0085370A">
              <w:rPr>
                <w:noProof/>
                <w:color w:val="000000"/>
              </w:rPr>
              <w:drawing>
                <wp:inline distT="0" distB="0" distL="0" distR="0" wp14:anchorId="7D299559" wp14:editId="15DE6468">
                  <wp:extent cx="2699385" cy="2822713"/>
                  <wp:effectExtent l="0" t="0" r="5715" b="0"/>
                  <wp:docPr id="812141541" name="Chart 1">
                    <a:extLst xmlns:a="http://schemas.openxmlformats.org/drawingml/2006/main">
                      <a:ext uri="{FF2B5EF4-FFF2-40B4-BE49-F238E27FC236}">
                        <a16:creationId xmlns:a16="http://schemas.microsoft.com/office/drawing/2014/main" id="{72112425-268A-4D32-8440-BC48B7CAED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4508" w:type="dxa"/>
          </w:tcPr>
          <w:p w14:paraId="26117809" w14:textId="39505ECC"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b/>
                <w:sz w:val="22"/>
                <w:lang w:val="es-ES"/>
              </w:rPr>
            </w:pPr>
            <w:r w:rsidRPr="0076358A">
              <w:rPr>
                <w:b/>
                <w:bCs/>
                <w:color w:val="000000"/>
                <w:lang w:val="es-ES"/>
              </w:rPr>
              <w:t>República Dominicana (2022)</w:t>
            </w:r>
            <w:r w:rsidRPr="0076358A">
              <w:rPr>
                <w:color w:val="000000"/>
                <w:lang w:val="es-ES"/>
              </w:rPr>
              <w:t xml:space="preserve"> </w:t>
            </w:r>
            <w:r w:rsidR="0085370A" w:rsidRPr="0085370A">
              <w:rPr>
                <w:noProof/>
                <w:color w:val="000000"/>
              </w:rPr>
              <w:drawing>
                <wp:inline distT="0" distB="0" distL="0" distR="0" wp14:anchorId="5B51916C" wp14:editId="2D6B793B">
                  <wp:extent cx="2699385" cy="2806811"/>
                  <wp:effectExtent l="0" t="0" r="5715" b="0"/>
                  <wp:docPr id="1055189915" name="Chart 1">
                    <a:extLst xmlns:a="http://schemas.openxmlformats.org/drawingml/2006/main">
                      <a:ext uri="{FF2B5EF4-FFF2-40B4-BE49-F238E27FC236}">
                        <a16:creationId xmlns:a16="http://schemas.microsoft.com/office/drawing/2014/main" id="{E30A614B-E4AE-4F5E-981A-F5819F377E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6B3273" w:rsidRPr="0076358A" w14:paraId="3BE9B78E" w14:textId="77777777" w:rsidTr="0085370A">
        <w:tc>
          <w:tcPr>
            <w:tcW w:w="4508" w:type="dxa"/>
          </w:tcPr>
          <w:p w14:paraId="59B0BEA6" w14:textId="4C2C16E1"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b/>
                <w:sz w:val="22"/>
                <w:lang w:val="es-ES"/>
              </w:rPr>
            </w:pPr>
            <w:r w:rsidRPr="0076358A">
              <w:rPr>
                <w:b/>
                <w:bCs/>
                <w:color w:val="000000"/>
                <w:lang w:val="es-ES"/>
              </w:rPr>
              <w:lastRenderedPageBreak/>
              <w:t>México</w:t>
            </w:r>
            <w:r w:rsidR="00DF1C96" w:rsidRPr="0076358A">
              <w:rPr>
                <w:color w:val="000000"/>
                <w:lang w:val="es-ES"/>
              </w:rPr>
              <w:t xml:space="preserve"> </w:t>
            </w:r>
            <w:r w:rsidR="0085370A" w:rsidRPr="0085370A">
              <w:rPr>
                <w:noProof/>
                <w:color w:val="000000"/>
              </w:rPr>
              <w:drawing>
                <wp:inline distT="0" distB="0" distL="0" distR="0" wp14:anchorId="52769FD6" wp14:editId="2BDEB660">
                  <wp:extent cx="2700000" cy="2785388"/>
                  <wp:effectExtent l="0" t="0" r="5715" b="0"/>
                  <wp:docPr id="114943892" name="Chart 1">
                    <a:extLst xmlns:a="http://schemas.openxmlformats.org/drawingml/2006/main">
                      <a:ext uri="{FF2B5EF4-FFF2-40B4-BE49-F238E27FC236}">
                        <a16:creationId xmlns:a16="http://schemas.microsoft.com/office/drawing/2014/main" id="{0A770A30-1016-430B-813D-3C22F76115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4508" w:type="dxa"/>
          </w:tcPr>
          <w:p w14:paraId="6C8EC35D" w14:textId="61508CE5"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b/>
                <w:sz w:val="22"/>
                <w:lang w:val="es-ES"/>
              </w:rPr>
            </w:pPr>
            <w:r w:rsidRPr="0076358A">
              <w:rPr>
                <w:b/>
                <w:bCs/>
                <w:color w:val="000000"/>
                <w:lang w:val="es-ES"/>
              </w:rPr>
              <w:t>Uruguay (2022)</w:t>
            </w:r>
            <w:r w:rsidRPr="0076358A">
              <w:rPr>
                <w:color w:val="000000"/>
                <w:lang w:val="es-ES"/>
              </w:rPr>
              <w:t xml:space="preserve"> </w:t>
            </w:r>
            <w:r w:rsidR="0085370A" w:rsidRPr="0085370A">
              <w:rPr>
                <w:noProof/>
                <w:color w:val="000000"/>
              </w:rPr>
              <w:drawing>
                <wp:inline distT="0" distB="0" distL="0" distR="0" wp14:anchorId="6A3A0B39" wp14:editId="4FCD8856">
                  <wp:extent cx="2700000" cy="2785388"/>
                  <wp:effectExtent l="0" t="0" r="5715" b="0"/>
                  <wp:docPr id="2112208689" name="Chart 1">
                    <a:extLst xmlns:a="http://schemas.openxmlformats.org/drawingml/2006/main">
                      <a:ext uri="{FF2B5EF4-FFF2-40B4-BE49-F238E27FC236}">
                        <a16:creationId xmlns:a16="http://schemas.microsoft.com/office/drawing/2014/main" id="{2C360C4D-7BF5-48D4-B4E9-CE91093875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14:paraId="3242409B" w14:textId="77777777" w:rsidR="00DC42B1" w:rsidRDefault="00DC42B1" w:rsidP="006B327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sz w:val="21"/>
          <w:szCs w:val="16"/>
          <w:lang w:val="es-ES"/>
        </w:rPr>
      </w:pPr>
    </w:p>
    <w:p w14:paraId="1033844D" w14:textId="7FB73391" w:rsidR="006B3273" w:rsidRPr="0085370A" w:rsidRDefault="006B3273" w:rsidP="00015A9F">
      <w:pPr>
        <w:pStyle w:val="Figurelegend"/>
      </w:pPr>
      <w:r w:rsidRPr="0085370A">
        <w:t>Nota: Los datos para México se refieren a personas de 6 o más años. Los datos de Brasil y República Dominicana se refieren a personas de 10 o más años. Los datos para Uruguay se refieren a personas de 14 o más años. Los datos para Canadá y Chile se refieren a personas de 15 o más años.</w:t>
      </w:r>
    </w:p>
    <w:p w14:paraId="23673CEA" w14:textId="77777777" w:rsidR="006B3273" w:rsidRPr="0085370A" w:rsidRDefault="006B3273" w:rsidP="00015A9F">
      <w:pPr>
        <w:pStyle w:val="Sourcetext"/>
      </w:pPr>
      <w:r w:rsidRPr="0085370A">
        <w:t>Fuente: UIT</w:t>
      </w:r>
    </w:p>
    <w:p w14:paraId="4A98A6A9" w14:textId="08083290"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 xml:space="preserve">En general, los niveles de competencia </w:t>
      </w:r>
      <w:r w:rsidR="00870748">
        <w:rPr>
          <w:lang w:val="es-ES"/>
        </w:rPr>
        <w:t xml:space="preserve">de los usuarios de Internet </w:t>
      </w:r>
      <w:r w:rsidRPr="0076358A">
        <w:rPr>
          <w:lang w:val="es-ES"/>
        </w:rPr>
        <w:t xml:space="preserve">en materia de comunicación y colaboración son muy altos </w:t>
      </w:r>
      <w:r w:rsidR="00870748">
        <w:rPr>
          <w:lang w:val="es-ES"/>
        </w:rPr>
        <w:t>en</w:t>
      </w:r>
      <w:r w:rsidRPr="0076358A">
        <w:rPr>
          <w:lang w:val="es-ES"/>
        </w:rPr>
        <w:t xml:space="preserve"> los seis países </w:t>
      </w:r>
      <w:r w:rsidR="00870748">
        <w:rPr>
          <w:lang w:val="es-ES"/>
        </w:rPr>
        <w:t>para</w:t>
      </w:r>
      <w:r w:rsidRPr="0076358A">
        <w:rPr>
          <w:lang w:val="es-ES"/>
        </w:rPr>
        <w:t xml:space="preserve"> los que se dispone de datos, y </w:t>
      </w:r>
      <w:r w:rsidR="003A19D0">
        <w:rPr>
          <w:lang w:val="es-ES"/>
        </w:rPr>
        <w:t xml:space="preserve">en </w:t>
      </w:r>
      <w:r w:rsidRPr="0076358A">
        <w:rPr>
          <w:lang w:val="es-ES"/>
        </w:rPr>
        <w:t xml:space="preserve">todos </w:t>
      </w:r>
      <w:r w:rsidR="003A19D0">
        <w:rPr>
          <w:lang w:val="es-ES"/>
        </w:rPr>
        <w:t xml:space="preserve">ellos </w:t>
      </w:r>
      <w:r w:rsidRPr="0076358A">
        <w:rPr>
          <w:lang w:val="es-ES"/>
        </w:rPr>
        <w:t>alrededor del 90</w:t>
      </w:r>
      <w:r w:rsidR="00AC027A">
        <w:rPr>
          <w:lang w:val="es-ES"/>
        </w:rPr>
        <w:t> %</w:t>
      </w:r>
      <w:r w:rsidRPr="0076358A">
        <w:rPr>
          <w:lang w:val="es-ES"/>
        </w:rPr>
        <w:t xml:space="preserve"> o más de los usuarios de Internet poseen al menos competencias básicas en este campo. </w:t>
      </w:r>
    </w:p>
    <w:p w14:paraId="5D3E9070" w14:textId="5776467A"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 xml:space="preserve">En cinco de los seis países, los niveles de alfabetización </w:t>
      </w:r>
      <w:r w:rsidR="00A43960">
        <w:rPr>
          <w:lang w:val="es-ES"/>
        </w:rPr>
        <w:t>de</w:t>
      </w:r>
      <w:r w:rsidR="00A43960" w:rsidRPr="0076358A">
        <w:rPr>
          <w:lang w:val="es-ES"/>
        </w:rPr>
        <w:t xml:space="preserve"> los usuarios de Internet </w:t>
      </w:r>
      <w:r w:rsidRPr="0076358A">
        <w:rPr>
          <w:lang w:val="es-ES"/>
        </w:rPr>
        <w:t>en materia de información y datos también son elevados (más del 70</w:t>
      </w:r>
      <w:r w:rsidR="00AC027A">
        <w:rPr>
          <w:lang w:val="es-ES"/>
        </w:rPr>
        <w:t> %</w:t>
      </w:r>
      <w:r w:rsidRPr="0076358A">
        <w:rPr>
          <w:lang w:val="es-ES"/>
        </w:rPr>
        <w:t xml:space="preserve"> tiene al menos conocimientos básicos), aunque no tan altos como los niveles de conocimientos </w:t>
      </w:r>
      <w:r w:rsidR="0024463A">
        <w:rPr>
          <w:lang w:val="es-ES"/>
        </w:rPr>
        <w:t>de</w:t>
      </w:r>
      <w:r w:rsidRPr="0076358A">
        <w:rPr>
          <w:lang w:val="es-ES"/>
        </w:rPr>
        <w:t xml:space="preserve"> comunicación y colaboración. En la República Dominicana, los niveles de alfabetización en materia de información y datos son considerablemente inferiores, ya que menos del 50</w:t>
      </w:r>
      <w:r w:rsidR="00AC027A">
        <w:rPr>
          <w:lang w:val="es-ES"/>
        </w:rPr>
        <w:t> %</w:t>
      </w:r>
      <w:r w:rsidRPr="0076358A">
        <w:rPr>
          <w:lang w:val="es-ES"/>
        </w:rPr>
        <w:t xml:space="preserve"> de los usuarios de Internet poseen al menos las competencias básicas. </w:t>
      </w:r>
    </w:p>
    <w:p w14:paraId="4437F9DF" w14:textId="54A8D484"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Sólo en dos países, a saber, la República Dominicana y México, el número de usuarios de Internet con al menos conocimientos básicos de creación de contenidos digitales es inferior al 50</w:t>
      </w:r>
      <w:r w:rsidR="00AC027A">
        <w:rPr>
          <w:lang w:val="es-ES"/>
        </w:rPr>
        <w:t> %</w:t>
      </w:r>
      <w:r w:rsidRPr="0076358A">
        <w:rPr>
          <w:lang w:val="es-ES"/>
        </w:rPr>
        <w:t>.</w:t>
      </w:r>
    </w:p>
    <w:p w14:paraId="3279AA0B" w14:textId="4EF38902"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Los niveles de competencias en materia de seguridad son muy bajos en la República Dominicana: menos del 20</w:t>
      </w:r>
      <w:r w:rsidR="00AC027A">
        <w:rPr>
          <w:lang w:val="es-ES"/>
        </w:rPr>
        <w:t> %</w:t>
      </w:r>
      <w:r w:rsidRPr="0076358A">
        <w:rPr>
          <w:lang w:val="es-ES"/>
        </w:rPr>
        <w:t xml:space="preserve"> de los usuarios de Internet poseen al menos competencias básicas en este ámbito. En Brasil, más del 50</w:t>
      </w:r>
      <w:r w:rsidR="00AC027A">
        <w:rPr>
          <w:lang w:val="es-ES"/>
        </w:rPr>
        <w:t> %</w:t>
      </w:r>
      <w:r w:rsidRPr="0076358A">
        <w:rPr>
          <w:lang w:val="es-ES"/>
        </w:rPr>
        <w:t xml:space="preserve"> de los usuarios de Internet poseen al menos conocimientos básicos en materia de seguridad, mientras que los usuarios de Internet en Canadá y Uruguay tienes niveles más altos de conocimientos en este campo. </w:t>
      </w:r>
    </w:p>
    <w:p w14:paraId="007D2D29"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Por último, en todos los países, excepto en la República Dominicana, más de la mitad de los usuarios de Internet tienen al menos conocimientos básicos para resolver problemas. En general, los países informaron de niveles similares para la resolución de problemas y la creación de contenidos digitales.</w:t>
      </w:r>
    </w:p>
    <w:p w14:paraId="5D3A241B" w14:textId="5F1C2F40"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lastRenderedPageBreak/>
        <w:t>Una forma diferente de analizar estos datos consiste en comparar la distribución de los valores de los países para las actividades que comprenden cada un</w:t>
      </w:r>
      <w:r w:rsidR="00853D33" w:rsidRPr="0076358A">
        <w:rPr>
          <w:lang w:val="es-ES"/>
        </w:rPr>
        <w:t>o</w:t>
      </w:r>
      <w:r w:rsidRPr="0076358A">
        <w:rPr>
          <w:lang w:val="es-ES"/>
        </w:rPr>
        <w:t xml:space="preserve"> de los cinco ámbitos de competencias. De esta manera se observa la prevalencia de cada actividad entre los usuarios de Internet en relación con otras en la misma zona. También muestra la amplia variación en materia de conocimientos de TIC entre los países de la región, incluso cuando se refiere únicamente a los usuarios de Internet.</w:t>
      </w:r>
    </w:p>
    <w:p w14:paraId="1A881214" w14:textId="77777777" w:rsidR="006B3273" w:rsidRDefault="006B3273" w:rsidP="0085370A">
      <w:pPr>
        <w:pStyle w:val="Figuretitle"/>
        <w:keepNext/>
        <w:rPr>
          <w:lang w:val="es-ES"/>
        </w:rPr>
      </w:pPr>
      <w:r w:rsidRPr="0076358A">
        <w:rPr>
          <w:lang w:val="es-ES"/>
        </w:rPr>
        <w:t>Porcentaje de usuarios de Internet con competencias en alfabetización en materia de información y datos, 2023 o último año disponible</w:t>
      </w:r>
    </w:p>
    <w:p w14:paraId="028C809A" w14:textId="3E452DCA" w:rsidR="00A66BBF" w:rsidRPr="00A66BBF" w:rsidRDefault="00A66BBF" w:rsidP="00A66BBF">
      <w:pPr>
        <w:rPr>
          <w:rFonts w:eastAsia="Yu Gothic Light"/>
          <w:lang w:val="es-ES"/>
        </w:rPr>
      </w:pPr>
      <w:r w:rsidRPr="00A66BBF">
        <w:rPr>
          <w:rFonts w:eastAsia="Yu Gothic Light"/>
          <w:noProof/>
        </w:rPr>
        <mc:AlternateContent>
          <mc:Choice Requires="cx1">
            <w:drawing>
              <wp:inline distT="0" distB="0" distL="0" distR="0" wp14:anchorId="7EFA7B5E" wp14:editId="0F863265">
                <wp:extent cx="5964761" cy="4033500"/>
                <wp:effectExtent l="0" t="0" r="17145" b="5715"/>
                <wp:docPr id="1166435516" name="Chart 1">
                  <a:extLst xmlns:a="http://schemas.openxmlformats.org/drawingml/2006/main">
                    <a:ext uri="{FF2B5EF4-FFF2-40B4-BE49-F238E27FC236}">
                      <a16:creationId xmlns:a16="http://schemas.microsoft.com/office/drawing/2014/main" id="{B57934F5-772D-448F-B3EB-EA9B1A99CAF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2"/>
                  </a:graphicData>
                </a:graphic>
              </wp:inline>
            </w:drawing>
          </mc:Choice>
          <mc:Fallback>
            <w:drawing>
              <wp:inline distT="0" distB="0" distL="0" distR="0" wp14:anchorId="7EFA7B5E" wp14:editId="0F863265">
                <wp:extent cx="5964761" cy="4033500"/>
                <wp:effectExtent l="0" t="0" r="17145" b="5715"/>
                <wp:docPr id="1166435516" name="Chart 1">
                  <a:extLst xmlns:a="http://schemas.openxmlformats.org/drawingml/2006/main">
                    <a:ext uri="{FF2B5EF4-FFF2-40B4-BE49-F238E27FC236}">
                      <a16:creationId xmlns:a16="http://schemas.microsoft.com/office/drawing/2014/main" id="{B57934F5-772D-448F-B3EB-EA9B1A99CAF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66435516" name="Chart 1">
                          <a:extLst>
                            <a:ext uri="{FF2B5EF4-FFF2-40B4-BE49-F238E27FC236}">
                              <a16:creationId xmlns:a16="http://schemas.microsoft.com/office/drawing/2014/main" id="{B57934F5-772D-448F-B3EB-EA9B1A99CAF6}"/>
                            </a:ext>
                          </a:extLst>
                        </pic:cNvPr>
                        <pic:cNvPicPr>
                          <a:picLocks noGrp="1" noRot="1" noChangeAspect="1" noMove="1" noResize="1" noEditPoints="1" noAdjustHandles="1" noChangeArrowheads="1" noChangeShapeType="1"/>
                        </pic:cNvPicPr>
                      </pic:nvPicPr>
                      <pic:blipFill>
                        <a:blip r:embed="rId63"/>
                        <a:stretch>
                          <a:fillRect/>
                        </a:stretch>
                      </pic:blipFill>
                      <pic:spPr>
                        <a:xfrm>
                          <a:off x="0" y="0"/>
                          <a:ext cx="5964555" cy="4032885"/>
                        </a:xfrm>
                        <a:prstGeom prst="rect">
                          <a:avLst/>
                        </a:prstGeom>
                      </pic:spPr>
                    </pic:pic>
                  </a:graphicData>
                </a:graphic>
              </wp:inline>
            </w:drawing>
          </mc:Fallback>
        </mc:AlternateContent>
      </w:r>
    </w:p>
    <w:p w14:paraId="712A4847" w14:textId="77777777" w:rsidR="006B3273" w:rsidRPr="0085370A" w:rsidRDefault="006B3273" w:rsidP="00015A9F">
      <w:pPr>
        <w:pStyle w:val="Figurelegend"/>
      </w:pPr>
      <w:r w:rsidRPr="0076358A">
        <w:t xml:space="preserve">Nota: Las barras indican el percentil 25, la mediana y el </w:t>
      </w:r>
      <w:r w:rsidRPr="00015A9F">
        <w:t>percentil 75</w:t>
      </w:r>
      <w:r w:rsidRPr="0076358A">
        <w:t xml:space="preserve"> de todos los países. Los bigotes (líneas inferior y superior) indican los valores mínimos y máximos individuales. La edad en el estudio varía de un país a otro. Los datos por país corresponden a 2023, de estar disponibles, pero no antes de 2020. La disponibilidad de datos varía según los indicadores, desde 6 países para </w:t>
      </w:r>
      <w:r w:rsidRPr="0085370A">
        <w:t xml:space="preserve">verificar la fiabilidad de la información encontrada en línea </w:t>
      </w:r>
      <w:r w:rsidRPr="0076358A">
        <w:t xml:space="preserve">hasta once países para </w:t>
      </w:r>
      <w:r w:rsidRPr="0085370A">
        <w:t>obtener información sobre bienes o servicios.</w:t>
      </w:r>
      <w:r w:rsidRPr="0076358A">
        <w:t xml:space="preserve"> La información detallada, incluidos los nombres completos de los indicadores, está disponible en este enlace.</w:t>
      </w:r>
    </w:p>
    <w:p w14:paraId="7E23C2C7" w14:textId="77777777" w:rsidR="006B3273" w:rsidRPr="0085370A" w:rsidRDefault="006B3273" w:rsidP="00015A9F">
      <w:pPr>
        <w:pStyle w:val="Sourcetext"/>
      </w:pPr>
      <w:r w:rsidRPr="0076358A">
        <w:t>Fuente: UIT</w:t>
      </w:r>
    </w:p>
    <w:p w14:paraId="3CF43737" w14:textId="38595E84"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En cuanto a la categoría de competencias en materia de información y datos, de las cuatro actividades que componen esta categoría, la actividad con la mediana más alta (52</w:t>
      </w:r>
      <w:r w:rsidR="00AC027A">
        <w:rPr>
          <w:lang w:val="es-ES"/>
        </w:rPr>
        <w:t> %</w:t>
      </w:r>
      <w:r w:rsidRPr="0076358A">
        <w:rPr>
          <w:lang w:val="es-ES"/>
        </w:rPr>
        <w:t>) fue la obtención de información sobre bienes o servicios. La búsqueda de información sanitaria (mediana del 45</w:t>
      </w:r>
      <w:r w:rsidR="00AC027A">
        <w:rPr>
          <w:lang w:val="es-ES"/>
        </w:rPr>
        <w:t> %</w:t>
      </w:r>
      <w:r w:rsidRPr="0076358A">
        <w:rPr>
          <w:lang w:val="es-ES"/>
        </w:rPr>
        <w:t>) y la verificación de la fiabilidad de la información encontrada en línea (mediana del 41</w:t>
      </w:r>
      <w:r w:rsidR="00AC027A">
        <w:rPr>
          <w:lang w:val="es-ES"/>
        </w:rPr>
        <w:t> %</w:t>
      </w:r>
      <w:r w:rsidRPr="0076358A">
        <w:rPr>
          <w:lang w:val="es-ES"/>
        </w:rPr>
        <w:t>) tuvieron distribuciones similares de la proporción de países. Por el contrario, los datos relativos a la utilización de Internet para leer o descargar periódicos, revistas o libros se comunicaron con menor frecuencia (media del 30</w:t>
      </w:r>
      <w:r w:rsidR="00AC027A">
        <w:rPr>
          <w:lang w:val="es-ES"/>
        </w:rPr>
        <w:t> %</w:t>
      </w:r>
      <w:r w:rsidRPr="0076358A">
        <w:rPr>
          <w:lang w:val="es-ES"/>
        </w:rPr>
        <w:t>) por los habitantes de toda la región.</w:t>
      </w:r>
    </w:p>
    <w:p w14:paraId="7FF71A9C" w14:textId="77777777" w:rsidR="006B3273" w:rsidRDefault="006B3273" w:rsidP="00A66BBF">
      <w:pPr>
        <w:pStyle w:val="Figuretitle"/>
        <w:keepNext/>
        <w:rPr>
          <w:lang w:val="es-ES"/>
        </w:rPr>
      </w:pPr>
      <w:r w:rsidRPr="00A66BBF">
        <w:rPr>
          <w:lang w:val="es-ES"/>
        </w:rPr>
        <w:lastRenderedPageBreak/>
        <w:t>Porcentaje de usuarios de Internet con competencias en comunicación y colaboración, último año</w:t>
      </w:r>
      <w:r w:rsidRPr="0076358A">
        <w:rPr>
          <w:lang w:val="es-ES"/>
        </w:rPr>
        <w:t xml:space="preserve"> </w:t>
      </w:r>
      <w:r w:rsidRPr="00A66BBF">
        <w:rPr>
          <w:lang w:val="es-ES"/>
        </w:rPr>
        <w:t>disponible</w:t>
      </w:r>
    </w:p>
    <w:p w14:paraId="749B751A" w14:textId="7B9CD163" w:rsidR="00A66BBF" w:rsidRPr="00A66BBF" w:rsidRDefault="00A66BBF" w:rsidP="00A66BBF">
      <w:pPr>
        <w:rPr>
          <w:rFonts w:eastAsia="Yu Gothic Light"/>
          <w:lang w:val="es-ES"/>
        </w:rPr>
      </w:pPr>
      <w:r w:rsidRPr="00A66BBF">
        <w:rPr>
          <w:rFonts w:eastAsia="Yu Gothic Light"/>
          <w:noProof/>
        </w:rPr>
        <mc:AlternateContent>
          <mc:Choice Requires="cx1">
            <w:drawing>
              <wp:inline distT="0" distB="0" distL="0" distR="0" wp14:anchorId="4A19CC02" wp14:editId="2A4806EA">
                <wp:extent cx="6045732" cy="2700000"/>
                <wp:effectExtent l="0" t="0" r="12700" b="5715"/>
                <wp:docPr id="1025227413" name="Chart 1">
                  <a:extLst xmlns:a="http://schemas.openxmlformats.org/drawingml/2006/main">
                    <a:ext uri="{FF2B5EF4-FFF2-40B4-BE49-F238E27FC236}">
                      <a16:creationId xmlns:a16="http://schemas.microsoft.com/office/drawing/2014/main" id="{B1448EEF-7303-45A5-8884-8C240CED450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4"/>
                  </a:graphicData>
                </a:graphic>
              </wp:inline>
            </w:drawing>
          </mc:Choice>
          <mc:Fallback>
            <w:drawing>
              <wp:inline distT="0" distB="0" distL="0" distR="0" wp14:anchorId="4A19CC02" wp14:editId="2A4806EA">
                <wp:extent cx="6045732" cy="2700000"/>
                <wp:effectExtent l="0" t="0" r="12700" b="5715"/>
                <wp:docPr id="1025227413" name="Chart 1">
                  <a:extLst xmlns:a="http://schemas.openxmlformats.org/drawingml/2006/main">
                    <a:ext uri="{FF2B5EF4-FFF2-40B4-BE49-F238E27FC236}">
                      <a16:creationId xmlns:a16="http://schemas.microsoft.com/office/drawing/2014/main" id="{B1448EEF-7303-45A5-8884-8C240CED450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25227413" name="Chart 1">
                          <a:extLst>
                            <a:ext uri="{FF2B5EF4-FFF2-40B4-BE49-F238E27FC236}">
                              <a16:creationId xmlns:a16="http://schemas.microsoft.com/office/drawing/2014/main" id="{B1448EEF-7303-45A5-8884-8C240CED4508}"/>
                            </a:ext>
                          </a:extLst>
                        </pic:cNvPr>
                        <pic:cNvPicPr>
                          <a:picLocks noGrp="1" noRot="1" noChangeAspect="1" noMove="1" noResize="1" noEditPoints="1" noAdjustHandles="1" noChangeArrowheads="1" noChangeShapeType="1"/>
                        </pic:cNvPicPr>
                      </pic:nvPicPr>
                      <pic:blipFill>
                        <a:blip r:embed="rId65"/>
                        <a:stretch>
                          <a:fillRect/>
                        </a:stretch>
                      </pic:blipFill>
                      <pic:spPr>
                        <a:xfrm>
                          <a:off x="0" y="0"/>
                          <a:ext cx="6045200" cy="2699385"/>
                        </a:xfrm>
                        <a:prstGeom prst="rect">
                          <a:avLst/>
                        </a:prstGeom>
                      </pic:spPr>
                    </pic:pic>
                  </a:graphicData>
                </a:graphic>
              </wp:inline>
            </w:drawing>
          </mc:Fallback>
        </mc:AlternateContent>
      </w:r>
    </w:p>
    <w:p w14:paraId="45C4C683" w14:textId="1552A01E" w:rsidR="006B3273" w:rsidRPr="0073214B" w:rsidRDefault="006B3273" w:rsidP="00015A9F">
      <w:pPr>
        <w:pStyle w:val="Figurelegend"/>
        <w:rPr>
          <w:lang w:val="es-ES"/>
        </w:rPr>
      </w:pPr>
      <w:r w:rsidRPr="00A66BBF">
        <w:t xml:space="preserve">Nota: Las barras indican el percentil 25, la mediana y el percentil 75 de todos los países. Los bigotes (líneas inferior y superior) indican los valores mínimos y máximos individuales. La edad en el estudio varía de un país a otro. Los datos por país corresponden a 2023, de estar disponibles, pero no antes de 2020. La disponibilidad de datos varía según los indicadores, desde tres países para participar en consultas o votaciones en línea </w:t>
      </w:r>
      <w:r w:rsidR="00411C47" w:rsidRPr="00A66BBF">
        <w:t>sobre</w:t>
      </w:r>
      <w:r w:rsidRPr="00A66BBF">
        <w:t xml:space="preserve"> cuestiones cívicas o políticas hasta once países para realizar llamadas utilizando </w:t>
      </w:r>
      <w:r w:rsidR="00EB251A" w:rsidRPr="00A66BBF">
        <w:t xml:space="preserve">aplicaciones </w:t>
      </w:r>
      <w:r w:rsidRPr="00A66BBF">
        <w:t xml:space="preserve">VoIP o de mensajería. </w:t>
      </w:r>
      <w:r w:rsidRPr="0073214B">
        <w:rPr>
          <w:lang w:val="es-ES"/>
        </w:rPr>
        <w:t xml:space="preserve">La información detallada, incluidos los nombres completos de los indicadores, está disponible en este </w:t>
      </w:r>
      <w:hyperlink r:id="rId66" w:history="1">
        <w:r w:rsidRPr="0073214B">
          <w:rPr>
            <w:rStyle w:val="Hyperlink"/>
            <w:lang w:val="es-ES"/>
          </w:rPr>
          <w:t>enlace</w:t>
        </w:r>
      </w:hyperlink>
      <w:r w:rsidRPr="0073214B">
        <w:rPr>
          <w:lang w:val="es-ES"/>
        </w:rPr>
        <w:t>.</w:t>
      </w:r>
    </w:p>
    <w:p w14:paraId="2900628A" w14:textId="77777777" w:rsidR="006B3273" w:rsidRPr="00A66BBF" w:rsidRDefault="006B3273" w:rsidP="00015A9F">
      <w:pPr>
        <w:pStyle w:val="Sourcetext"/>
      </w:pPr>
      <w:r w:rsidRPr="00A66BBF">
        <w:t>Fuente: UIT</w:t>
      </w:r>
    </w:p>
    <w:p w14:paraId="0ED0FE89" w14:textId="6B6BC78C"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La mediana en la categoría de competencias de comunicación y colaboración fue mucho más elevada que la de alfabetización en materia de información y datos, especialmente para realizar llamadas utilizando VoIP o aplicaciones de mensajería (mediana del 84</w:t>
      </w:r>
      <w:r w:rsidR="00AC027A">
        <w:rPr>
          <w:lang w:val="es-ES"/>
        </w:rPr>
        <w:t> %</w:t>
      </w:r>
      <w:r w:rsidRPr="0076358A">
        <w:rPr>
          <w:lang w:val="es-ES"/>
        </w:rPr>
        <w:t>) y participar en las redes sociales (mediana del 80</w:t>
      </w:r>
      <w:r w:rsidR="00AC027A">
        <w:rPr>
          <w:lang w:val="es-ES"/>
        </w:rPr>
        <w:t> %</w:t>
      </w:r>
      <w:r w:rsidRPr="0076358A">
        <w:rPr>
          <w:lang w:val="es-ES"/>
        </w:rPr>
        <w:t xml:space="preserve">). La única excepción fue la participación en consultas o votaciones en línea </w:t>
      </w:r>
      <w:r w:rsidR="002841D6">
        <w:rPr>
          <w:lang w:val="es-ES"/>
        </w:rPr>
        <w:t>sobre</w:t>
      </w:r>
      <w:r w:rsidRPr="0076358A">
        <w:rPr>
          <w:lang w:val="es-ES"/>
        </w:rPr>
        <w:t xml:space="preserve"> cuestiones cívicas o políticas, que tuvieron una mediana de solo el 9</w:t>
      </w:r>
      <w:r w:rsidR="00AC027A">
        <w:rPr>
          <w:lang w:val="es-ES"/>
        </w:rPr>
        <w:t> %</w:t>
      </w:r>
      <w:r w:rsidRPr="0076358A">
        <w:rPr>
          <w:lang w:val="es-ES"/>
        </w:rPr>
        <w:t>; sin embargo, sólo se dispone de esos datos para tres países.</w:t>
      </w:r>
    </w:p>
    <w:p w14:paraId="02C17C4E" w14:textId="77777777" w:rsidR="006B3273" w:rsidRDefault="006B3273" w:rsidP="00A66BBF">
      <w:pPr>
        <w:pStyle w:val="Figuretitle"/>
        <w:keepNext/>
        <w:rPr>
          <w:lang w:val="es-ES"/>
        </w:rPr>
      </w:pPr>
      <w:r w:rsidRPr="0076358A">
        <w:rPr>
          <w:lang w:val="es-ES"/>
        </w:rPr>
        <w:lastRenderedPageBreak/>
        <w:t>Porcentaje de usuarios de Internet con competencias en creación de contenido digital, último año disponible</w:t>
      </w:r>
    </w:p>
    <w:p w14:paraId="1C907D9D" w14:textId="05BF4782" w:rsidR="00A66BBF" w:rsidRPr="00A66BBF" w:rsidRDefault="00A66BBF" w:rsidP="00A66BBF">
      <w:pPr>
        <w:rPr>
          <w:rFonts w:eastAsia="Yu Gothic Light"/>
          <w:lang w:val="es-ES"/>
        </w:rPr>
      </w:pPr>
      <w:r w:rsidRPr="00A66BBF">
        <w:rPr>
          <w:rFonts w:eastAsia="Yu Gothic Light"/>
          <w:noProof/>
        </w:rPr>
        <mc:AlternateContent>
          <mc:Choice Requires="cx1">
            <w:drawing>
              <wp:inline distT="0" distB="0" distL="0" distR="0" wp14:anchorId="16270924" wp14:editId="7296656B">
                <wp:extent cx="5952515" cy="3231930"/>
                <wp:effectExtent l="0" t="0" r="10160" b="6985"/>
                <wp:docPr id="261941491" name="Chart 1">
                  <a:extLst xmlns:a="http://schemas.openxmlformats.org/drawingml/2006/main">
                    <a:ext uri="{FF2B5EF4-FFF2-40B4-BE49-F238E27FC236}">
                      <a16:creationId xmlns:a16="http://schemas.microsoft.com/office/drawing/2014/main" id="{1F23A7BF-4479-4DFB-A572-57337DAF7FB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7"/>
                  </a:graphicData>
                </a:graphic>
              </wp:inline>
            </w:drawing>
          </mc:Choice>
          <mc:Fallback>
            <w:drawing>
              <wp:inline distT="0" distB="0" distL="0" distR="0" wp14:anchorId="16270924" wp14:editId="7296656B">
                <wp:extent cx="5952515" cy="3231930"/>
                <wp:effectExtent l="0" t="0" r="10160" b="6985"/>
                <wp:docPr id="261941491" name="Chart 1">
                  <a:extLst xmlns:a="http://schemas.openxmlformats.org/drawingml/2006/main">
                    <a:ext uri="{FF2B5EF4-FFF2-40B4-BE49-F238E27FC236}">
                      <a16:creationId xmlns:a16="http://schemas.microsoft.com/office/drawing/2014/main" id="{1F23A7BF-4479-4DFB-A572-57337DAF7FB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61941491" name="Chart 1">
                          <a:extLst>
                            <a:ext uri="{FF2B5EF4-FFF2-40B4-BE49-F238E27FC236}">
                              <a16:creationId xmlns:a16="http://schemas.microsoft.com/office/drawing/2014/main" id="{1F23A7BF-4479-4DFB-A572-57337DAF7FB8}"/>
                            </a:ext>
                          </a:extLst>
                        </pic:cNvPr>
                        <pic:cNvPicPr>
                          <a:picLocks noGrp="1" noRot="1" noChangeAspect="1" noMove="1" noResize="1" noEditPoints="1" noAdjustHandles="1" noChangeArrowheads="1" noChangeShapeType="1"/>
                        </pic:cNvPicPr>
                      </pic:nvPicPr>
                      <pic:blipFill>
                        <a:blip r:embed="rId68"/>
                        <a:stretch>
                          <a:fillRect/>
                        </a:stretch>
                      </pic:blipFill>
                      <pic:spPr>
                        <a:xfrm>
                          <a:off x="0" y="0"/>
                          <a:ext cx="5952490" cy="3231515"/>
                        </a:xfrm>
                        <a:prstGeom prst="rect">
                          <a:avLst/>
                        </a:prstGeom>
                      </pic:spPr>
                    </pic:pic>
                  </a:graphicData>
                </a:graphic>
              </wp:inline>
            </w:drawing>
          </mc:Fallback>
        </mc:AlternateContent>
      </w:r>
    </w:p>
    <w:p w14:paraId="53CA6818" w14:textId="1A974A07" w:rsidR="006B3273" w:rsidRPr="00A66BBF" w:rsidRDefault="006B3273" w:rsidP="007F571B">
      <w:pPr>
        <w:pStyle w:val="Figurelegend"/>
        <w:spacing w:before="120"/>
      </w:pPr>
      <w:r w:rsidRPr="007F571B">
        <w:rPr>
          <w:lang w:val="es-ES"/>
        </w:rPr>
        <w:t xml:space="preserve">Nota: Las barras indican el percentil 25, la mediana y el percentil 75 de todos los países. </w:t>
      </w:r>
      <w:r w:rsidRPr="00A66BBF">
        <w:t xml:space="preserve">Los bigotes (líneas inferior y superior) indican los valores mínimos y máximos individuales. La edad en el estudio varía de un país a otro. Los datos por país corresponden a 2023, de estar disponibles, pero no antes de 2020. La disponibilidad de datos varía según los indicadores, y oscila entre seis países para la utilización de programas informáticos en Internet para la edición de documentos de texto, hojas de cálculo o presentaciones y diez países para la escritura de un programa informático utilizando un lenguaje de programación y la utilización de una fórmula aritmética básica en una hoja de cálculo. La información detallada, incluidos los nombres completos de los indicadores, está disponible en este </w:t>
      </w:r>
      <w:hyperlink r:id="rId69" w:history="1">
        <w:r w:rsidRPr="00717C21">
          <w:rPr>
            <w:rStyle w:val="Hyperlink"/>
          </w:rPr>
          <w:t>enlace</w:t>
        </w:r>
      </w:hyperlink>
      <w:r w:rsidRPr="00A66BBF">
        <w:t>.</w:t>
      </w:r>
    </w:p>
    <w:p w14:paraId="17083D8F" w14:textId="77777777" w:rsidR="006B3273" w:rsidRPr="00A66BBF" w:rsidRDefault="006B3273" w:rsidP="00015A9F">
      <w:pPr>
        <w:pStyle w:val="Sourcetext"/>
      </w:pPr>
      <w:r w:rsidRPr="00A66BBF">
        <w:t>Fuente: UIT</w:t>
      </w:r>
    </w:p>
    <w:p w14:paraId="322E6374" w14:textId="40948085"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El ámbito de competencias en creación de contenido digital suele tener una mediana relativamente baja para las seis actividades, oscilando entre el 9 y el 37</w:t>
      </w:r>
      <w:r w:rsidR="00AC027A">
        <w:rPr>
          <w:lang w:val="es-ES"/>
        </w:rPr>
        <w:t> %</w:t>
      </w:r>
      <w:r w:rsidRPr="0076358A">
        <w:rPr>
          <w:lang w:val="es-ES"/>
        </w:rPr>
        <w:t>.</w:t>
      </w:r>
    </w:p>
    <w:p w14:paraId="38AA1E13" w14:textId="77777777" w:rsidR="006B3273" w:rsidRDefault="006B3273" w:rsidP="00717C21">
      <w:pPr>
        <w:pStyle w:val="Figuretitle"/>
        <w:keepNext/>
        <w:rPr>
          <w:lang w:val="es-ES"/>
        </w:rPr>
      </w:pPr>
      <w:r w:rsidRPr="0076358A">
        <w:rPr>
          <w:lang w:val="es-ES"/>
        </w:rPr>
        <w:lastRenderedPageBreak/>
        <w:t>Porcentaje de usuarios de Internet con competencias en materia de seguridad, último año disponible</w:t>
      </w:r>
    </w:p>
    <w:p w14:paraId="76F0D0C6" w14:textId="2754A003" w:rsidR="00717C21" w:rsidRPr="00717C21" w:rsidRDefault="00717C21" w:rsidP="00717C21">
      <w:pPr>
        <w:rPr>
          <w:rFonts w:eastAsia="Yu Gothic Light"/>
          <w:lang w:val="es-ES"/>
        </w:rPr>
      </w:pPr>
      <w:r w:rsidRPr="00717C21">
        <w:rPr>
          <w:rFonts w:eastAsia="Yu Gothic Light"/>
          <w:noProof/>
        </w:rPr>
        <mc:AlternateContent>
          <mc:Choice Requires="cx1">
            <w:drawing>
              <wp:inline distT="0" distB="0" distL="0" distR="0" wp14:anchorId="748B5A58" wp14:editId="2115D835">
                <wp:extent cx="6039121" cy="2586958"/>
                <wp:effectExtent l="0" t="0" r="0" b="4445"/>
                <wp:docPr id="355080057" name="Chart 1">
                  <a:extLst xmlns:a="http://schemas.openxmlformats.org/drawingml/2006/main">
                    <a:ext uri="{FF2B5EF4-FFF2-40B4-BE49-F238E27FC236}">
                      <a16:creationId xmlns:a16="http://schemas.microsoft.com/office/drawing/2014/main" id="{263D0989-8085-4AE3-A4EB-B4BAFA82B36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70"/>
                  </a:graphicData>
                </a:graphic>
              </wp:inline>
            </w:drawing>
          </mc:Choice>
          <mc:Fallback>
            <w:drawing>
              <wp:inline distT="0" distB="0" distL="0" distR="0" wp14:anchorId="748B5A58" wp14:editId="2115D835">
                <wp:extent cx="6039121" cy="2586958"/>
                <wp:effectExtent l="0" t="0" r="0" b="4445"/>
                <wp:docPr id="355080057" name="Chart 1">
                  <a:extLst xmlns:a="http://schemas.openxmlformats.org/drawingml/2006/main">
                    <a:ext uri="{FF2B5EF4-FFF2-40B4-BE49-F238E27FC236}">
                      <a16:creationId xmlns:a16="http://schemas.microsoft.com/office/drawing/2014/main" id="{263D0989-8085-4AE3-A4EB-B4BAFA82B36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355080057" name="Chart 1">
                          <a:extLst>
                            <a:ext uri="{FF2B5EF4-FFF2-40B4-BE49-F238E27FC236}">
                              <a16:creationId xmlns:a16="http://schemas.microsoft.com/office/drawing/2014/main" id="{263D0989-8085-4AE3-A4EB-B4BAFA82B360}"/>
                            </a:ext>
                          </a:extLst>
                        </pic:cNvPr>
                        <pic:cNvPicPr>
                          <a:picLocks noGrp="1" noRot="1" noChangeAspect="1" noMove="1" noResize="1" noEditPoints="1" noAdjustHandles="1" noChangeArrowheads="1" noChangeShapeType="1"/>
                        </pic:cNvPicPr>
                      </pic:nvPicPr>
                      <pic:blipFill>
                        <a:blip r:embed="rId71"/>
                        <a:stretch>
                          <a:fillRect/>
                        </a:stretch>
                      </pic:blipFill>
                      <pic:spPr>
                        <a:xfrm>
                          <a:off x="0" y="0"/>
                          <a:ext cx="6038850" cy="2586355"/>
                        </a:xfrm>
                        <a:prstGeom prst="rect">
                          <a:avLst/>
                        </a:prstGeom>
                      </pic:spPr>
                    </pic:pic>
                  </a:graphicData>
                </a:graphic>
              </wp:inline>
            </w:drawing>
          </mc:Fallback>
        </mc:AlternateContent>
      </w:r>
    </w:p>
    <w:p w14:paraId="71509CEF" w14:textId="18862A0B" w:rsidR="006B3273" w:rsidRPr="00717C21" w:rsidRDefault="006B3273" w:rsidP="007F571B">
      <w:pPr>
        <w:pStyle w:val="Figurelegend"/>
        <w:spacing w:before="120"/>
      </w:pPr>
      <w:r w:rsidRPr="00717C21">
        <w:t xml:space="preserve">Nota: Las barras indican el percentil 25, la mediana y el percentil 75 de todos los países. Los bigotes (líneas inferior y superior) indican los valores mínimos y máximos individuales. La edad en el estudio varía de un país a otro. Los datos por país corresponden a 2023, de estar disponibles, pero no antes de 2020. Cinco países proporcionaron datos para cada indicador. La información detallada, incluidos los nombres completos de los indicadores, está disponible en este </w:t>
      </w:r>
      <w:hyperlink r:id="rId72" w:history="1">
        <w:r w:rsidRPr="00717C21">
          <w:rPr>
            <w:rStyle w:val="Hyperlink"/>
          </w:rPr>
          <w:t>enlace</w:t>
        </w:r>
      </w:hyperlink>
      <w:r w:rsidRPr="00717C21">
        <w:t>.</w:t>
      </w:r>
    </w:p>
    <w:p w14:paraId="3CA17B74" w14:textId="77777777" w:rsidR="006B3273" w:rsidRPr="00717C21" w:rsidRDefault="006B3273" w:rsidP="007F571B">
      <w:pPr>
        <w:pStyle w:val="Sourcetext"/>
      </w:pPr>
      <w:r w:rsidRPr="00717C21">
        <w:t>Fuente: UIT</w:t>
      </w:r>
    </w:p>
    <w:p w14:paraId="1A09EA15" w14:textId="2C4DC67D"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Las dos actividades en la categoría de seguridad muestran prevalencias algo diferentes para los países de la región. La mediana de los porcentajes fue del 39 y el 50</w:t>
      </w:r>
      <w:r w:rsidR="00AC027A">
        <w:rPr>
          <w:lang w:val="es-ES"/>
        </w:rPr>
        <w:t> %</w:t>
      </w:r>
      <w:r w:rsidRPr="0076358A">
        <w:rPr>
          <w:lang w:val="es-ES"/>
        </w:rPr>
        <w:t>, respectivamente, para cambiar la configuración de privacidad en el dispositivo, la cuenta o la aplicación y establecer medidas de seguridad efectivas para proteger los dispositivos y las cuentas. Sin embargo, la proporción de personas que realizan estas actividades varía ampliamente entre los países de la región.</w:t>
      </w:r>
    </w:p>
    <w:p w14:paraId="0965F269" w14:textId="77777777" w:rsidR="006B3273" w:rsidRDefault="006B3273" w:rsidP="00717C21">
      <w:pPr>
        <w:pStyle w:val="Figuretitle"/>
        <w:keepNext/>
        <w:rPr>
          <w:lang w:val="es-ES"/>
        </w:rPr>
      </w:pPr>
      <w:r w:rsidRPr="0076358A">
        <w:rPr>
          <w:lang w:val="es-ES"/>
        </w:rPr>
        <w:t>Porcentaje de usuarios de Internet con competencias en resolución de problemas, último año disponible</w:t>
      </w:r>
    </w:p>
    <w:p w14:paraId="35D5B7C4" w14:textId="6E9CF26D" w:rsidR="00717C21" w:rsidRPr="00717C21" w:rsidRDefault="00717C21" w:rsidP="00717C21">
      <w:pPr>
        <w:rPr>
          <w:rFonts w:eastAsia="Yu Gothic Light"/>
          <w:lang w:val="es-ES"/>
        </w:rPr>
      </w:pPr>
      <w:r w:rsidRPr="00717C21">
        <w:rPr>
          <w:rFonts w:eastAsia="Yu Gothic Light"/>
          <w:noProof/>
        </w:rPr>
        <mc:AlternateContent>
          <mc:Choice Requires="cx1">
            <w:drawing>
              <wp:inline distT="0" distB="0" distL="0" distR="0" wp14:anchorId="160D3AC8" wp14:editId="1494D5D0">
                <wp:extent cx="5974286" cy="2700000"/>
                <wp:effectExtent l="0" t="0" r="7620" b="5715"/>
                <wp:docPr id="1110661792" name="Chart 1">
                  <a:extLst xmlns:a="http://schemas.openxmlformats.org/drawingml/2006/main">
                    <a:ext uri="{FF2B5EF4-FFF2-40B4-BE49-F238E27FC236}">
                      <a16:creationId xmlns:a16="http://schemas.microsoft.com/office/drawing/2014/main" id="{D9A2F9F8-77C8-4C66-951A-DD6BA304FF0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73"/>
                  </a:graphicData>
                </a:graphic>
              </wp:inline>
            </w:drawing>
          </mc:Choice>
          <mc:Fallback>
            <w:drawing>
              <wp:inline distT="0" distB="0" distL="0" distR="0" wp14:anchorId="160D3AC8" wp14:editId="1494D5D0">
                <wp:extent cx="5974286" cy="2700000"/>
                <wp:effectExtent l="0" t="0" r="7620" b="5715"/>
                <wp:docPr id="1110661792" name="Chart 1">
                  <a:extLst xmlns:a="http://schemas.openxmlformats.org/drawingml/2006/main">
                    <a:ext uri="{FF2B5EF4-FFF2-40B4-BE49-F238E27FC236}">
                      <a16:creationId xmlns:a16="http://schemas.microsoft.com/office/drawing/2014/main" id="{D9A2F9F8-77C8-4C66-951A-DD6BA304FF0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10661792" name="Chart 1">
                          <a:extLst>
                            <a:ext uri="{FF2B5EF4-FFF2-40B4-BE49-F238E27FC236}">
                              <a16:creationId xmlns:a16="http://schemas.microsoft.com/office/drawing/2014/main" id="{D9A2F9F8-77C8-4C66-951A-DD6BA304FF06}"/>
                            </a:ext>
                          </a:extLst>
                        </pic:cNvPr>
                        <pic:cNvPicPr>
                          <a:picLocks noGrp="1" noRot="1" noChangeAspect="1" noMove="1" noResize="1" noEditPoints="1" noAdjustHandles="1" noChangeArrowheads="1" noChangeShapeType="1"/>
                        </pic:cNvPicPr>
                      </pic:nvPicPr>
                      <pic:blipFill>
                        <a:blip r:embed="rId74"/>
                        <a:stretch>
                          <a:fillRect/>
                        </a:stretch>
                      </pic:blipFill>
                      <pic:spPr>
                        <a:xfrm>
                          <a:off x="0" y="0"/>
                          <a:ext cx="5974080" cy="2699385"/>
                        </a:xfrm>
                        <a:prstGeom prst="rect">
                          <a:avLst/>
                        </a:prstGeom>
                      </pic:spPr>
                    </pic:pic>
                  </a:graphicData>
                </a:graphic>
              </wp:inline>
            </w:drawing>
          </mc:Fallback>
        </mc:AlternateContent>
      </w:r>
    </w:p>
    <w:p w14:paraId="27116443" w14:textId="77777777" w:rsidR="006B3273" w:rsidRPr="00717C21" w:rsidRDefault="006B3273" w:rsidP="007F571B">
      <w:pPr>
        <w:pStyle w:val="Figurelegend"/>
      </w:pPr>
      <w:r w:rsidRPr="00717C21">
        <w:lastRenderedPageBreak/>
        <w:t>Nota: Las barras indican el percentil 25, la mediana y el percentil 75 de todos los países. Los bigotes (líneas inferior y superior) indican los valores mínimos y máximos individuales. La edad en el estudio varía de un país a otro. Los datos por país corresponden a 2023, de estar disponibles, pero no antes de 2020. La disponibilidad de datos varía entre 9 y 13 países para cada indicador. La información detallada, incluidos los nombres completos de los indicadores, está disponible en este enlace.</w:t>
      </w:r>
    </w:p>
    <w:p w14:paraId="61402811" w14:textId="77777777" w:rsidR="006B3273" w:rsidRPr="00717C21" w:rsidRDefault="006B3273" w:rsidP="007F571B">
      <w:pPr>
        <w:pStyle w:val="Sourcetext"/>
      </w:pPr>
      <w:r w:rsidRPr="00717C21">
        <w:t>Fuente: UIT</w:t>
      </w:r>
    </w:p>
    <w:p w14:paraId="4DE9B07F" w14:textId="12C55972" w:rsidR="006B3273"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lang w:val="es-ES"/>
        </w:rPr>
      </w:pPr>
      <w:r w:rsidRPr="0076358A">
        <w:rPr>
          <w:lang w:val="es-ES"/>
        </w:rPr>
        <w:t>Por último, las medianas de las diversas actividades que componen el ámbito de competencias en resolución de problemas son del mismo orden, y van desde el 19</w:t>
      </w:r>
      <w:r w:rsidR="00AC027A">
        <w:rPr>
          <w:lang w:val="es-ES"/>
        </w:rPr>
        <w:t> %</w:t>
      </w:r>
      <w:r w:rsidRPr="0076358A">
        <w:rPr>
          <w:lang w:val="es-ES"/>
        </w:rPr>
        <w:t xml:space="preserve"> para conectar e instalar nuevos dispositivos hasta el 26</w:t>
      </w:r>
      <w:r w:rsidR="00AC027A">
        <w:rPr>
          <w:lang w:val="es-ES"/>
        </w:rPr>
        <w:t> %</w:t>
      </w:r>
      <w:r w:rsidRPr="0076358A">
        <w:rPr>
          <w:lang w:val="es-ES"/>
        </w:rPr>
        <w:t xml:space="preserve"> para transferir archivos entre una computadora y otros dispositivos. De nuevo, la proporción de personas que realizan estas actividades varía ampliamente entre los países de la región.</w:t>
      </w:r>
    </w:p>
    <w:p w14:paraId="32BCEEEF" w14:textId="152724A3" w:rsidR="00717C21" w:rsidRDefault="00717C21">
      <w:pPr>
        <w:tabs>
          <w:tab w:val="clear" w:pos="794"/>
          <w:tab w:val="clear" w:pos="1191"/>
          <w:tab w:val="clear" w:pos="1588"/>
          <w:tab w:val="clear" w:pos="1985"/>
        </w:tabs>
        <w:overflowPunct/>
        <w:autoSpaceDE/>
        <w:autoSpaceDN/>
        <w:adjustRightInd/>
        <w:spacing w:before="0"/>
        <w:textAlignment w:val="auto"/>
        <w:rPr>
          <w:rFonts w:ascii="Aptos" w:eastAsia="Aptos" w:hAnsi="Aptos" w:cs="Arial"/>
          <w:kern w:val="2"/>
          <w:sz w:val="22"/>
          <w:szCs w:val="22"/>
          <w:lang w:val="es-ES"/>
          <w14:ligatures w14:val="standardContextual"/>
        </w:rPr>
      </w:pPr>
      <w:r>
        <w:rPr>
          <w:rFonts w:ascii="Aptos" w:eastAsia="Aptos" w:hAnsi="Aptos" w:cs="Arial"/>
          <w:kern w:val="2"/>
          <w:sz w:val="22"/>
          <w:szCs w:val="22"/>
          <w:lang w:val="es-ES"/>
          <w14:ligatures w14:val="standardContextual"/>
        </w:rPr>
        <w:br w:type="page"/>
      </w:r>
    </w:p>
    <w:p w14:paraId="1924E90E" w14:textId="77777777" w:rsidR="006B3273" w:rsidRPr="007F571B" w:rsidRDefault="006B3273" w:rsidP="006B3273">
      <w:pPr>
        <w:pStyle w:val="Section"/>
        <w:rPr>
          <w:rFonts w:asciiTheme="minorHAnsi" w:hAnsiTheme="minorHAnsi" w:cstheme="minorHAnsi"/>
          <w:color w:val="auto"/>
          <w:lang w:val="es-ES"/>
        </w:rPr>
      </w:pPr>
      <w:bookmarkStart w:id="16" w:name="_Toc193034322"/>
      <w:r w:rsidRPr="007F571B">
        <w:rPr>
          <w:rFonts w:asciiTheme="minorHAnsi" w:hAnsiTheme="minorHAnsi" w:cstheme="minorHAnsi"/>
          <w:color w:val="auto"/>
          <w:lang w:val="es-ES"/>
        </w:rPr>
        <w:lastRenderedPageBreak/>
        <w:t>Ingresos e inversiones</w:t>
      </w:r>
      <w:bookmarkEnd w:id="16"/>
      <w:r w:rsidRPr="007F571B">
        <w:rPr>
          <w:rFonts w:asciiTheme="minorHAnsi" w:hAnsiTheme="minorHAnsi" w:cstheme="minorHAnsi"/>
          <w:color w:val="auto"/>
          <w:lang w:val="es-ES"/>
        </w:rPr>
        <w:t xml:space="preserve"> </w:t>
      </w:r>
    </w:p>
    <w:p w14:paraId="380D8DA9" w14:textId="552F6864"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lang w:val="es-ES"/>
          <w14:ligatures w14:val="standardContextual"/>
        </w:rPr>
      </w:pPr>
      <w:r w:rsidRPr="0076358A">
        <w:rPr>
          <w:b/>
          <w:bCs/>
          <w:i/>
          <w:iCs/>
          <w:lang w:val="es-ES"/>
        </w:rPr>
        <w:t>Las telecomunicaciones siguen siendo un motor económico fundamental, pero los niveles de inversión varían ampliamente</w:t>
      </w:r>
    </w:p>
    <w:p w14:paraId="7B00627C" w14:textId="536C35E5"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 xml:space="preserve">El sector de las telecomunicaciones es un importante catalizador del desarrollo económico, con repercusiones tanto directas como indirectas. Si bien las repercusiones indirectas del sector son difíciles de estimar, su efecto directo en el desarrollo es sin duda notable, como lo demuestran los datos recientes; </w:t>
      </w:r>
      <w:r w:rsidR="00523994">
        <w:rPr>
          <w:lang w:val="es-ES"/>
        </w:rPr>
        <w:t>no obstante,</w:t>
      </w:r>
      <w:r w:rsidRPr="0076358A">
        <w:rPr>
          <w:lang w:val="es-ES"/>
        </w:rPr>
        <w:t xml:space="preserve"> las diferencias entre los países también son considerables.</w:t>
      </w:r>
    </w:p>
    <w:p w14:paraId="58CF23EF" w14:textId="3FA503F0" w:rsidR="006B3273" w:rsidRDefault="006B3273" w:rsidP="00717C21">
      <w:pPr>
        <w:pStyle w:val="Figuretitle"/>
        <w:keepNext/>
        <w:rPr>
          <w:lang w:val="es-ES"/>
        </w:rPr>
      </w:pPr>
      <w:r w:rsidRPr="0076358A">
        <w:rPr>
          <w:lang w:val="es-ES"/>
        </w:rPr>
        <w:t>Ingresos procedentes de todos los servicios de telecomunicaciones, en miles de millones</w:t>
      </w:r>
      <w:r w:rsidR="007F571B">
        <w:rPr>
          <w:lang w:val="es-ES"/>
        </w:rPr>
        <w:t> </w:t>
      </w:r>
      <w:r w:rsidRPr="0076358A">
        <w:rPr>
          <w:lang w:val="es-ES"/>
        </w:rPr>
        <w:t>USD</w:t>
      </w:r>
      <w:r w:rsidR="00DF1C96" w:rsidRPr="0076358A">
        <w:rPr>
          <w:lang w:val="es-ES"/>
        </w:rPr>
        <w:t xml:space="preserve"> </w:t>
      </w:r>
      <w:r w:rsidRPr="0076358A">
        <w:rPr>
          <w:lang w:val="es-ES"/>
        </w:rPr>
        <w:t>y como porcentaje del PIB, 2023 o último año disponible</w:t>
      </w:r>
    </w:p>
    <w:p w14:paraId="03242054" w14:textId="509C82BD" w:rsidR="00717C21" w:rsidRPr="00717C21" w:rsidRDefault="00717C21" w:rsidP="00717C21">
      <w:pPr>
        <w:rPr>
          <w:rFonts w:eastAsia="Yu Gothic Light"/>
          <w:lang w:val="es-ES"/>
        </w:rPr>
      </w:pPr>
      <w:r w:rsidRPr="00717C21">
        <w:rPr>
          <w:rFonts w:eastAsia="Yu Gothic Light"/>
          <w:noProof/>
        </w:rPr>
        <w:drawing>
          <wp:inline distT="0" distB="0" distL="0" distR="0" wp14:anchorId="1F507D94" wp14:editId="52A14729">
            <wp:extent cx="6120765" cy="3923665"/>
            <wp:effectExtent l="0" t="0" r="0" b="635"/>
            <wp:docPr id="605961209" name="Chart 1">
              <a:extLst xmlns:a="http://schemas.openxmlformats.org/drawingml/2006/main">
                <a:ext uri="{FF2B5EF4-FFF2-40B4-BE49-F238E27FC236}">
                  <a16:creationId xmlns:a16="http://schemas.microsoft.com/office/drawing/2014/main" id="{9AA8D182-428A-4B25-9189-30544B2FEE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DA26F74" w14:textId="77777777" w:rsidR="006B3273" w:rsidRPr="0076358A" w:rsidRDefault="006B3273" w:rsidP="007F571B">
      <w:pPr>
        <w:pStyle w:val="Figurelegend"/>
      </w:pPr>
      <w:r w:rsidRPr="0076358A">
        <w:t>Nota: Tipo de cambio anual promedio aplicado, valores disponibles del último año a precios reales de 2023.</w:t>
      </w:r>
    </w:p>
    <w:p w14:paraId="7B9A70A1" w14:textId="77777777" w:rsidR="006B3273" w:rsidRPr="0076358A" w:rsidRDefault="006B3273" w:rsidP="00490BBD">
      <w:pPr>
        <w:pStyle w:val="Sourcetext"/>
      </w:pPr>
      <w:r w:rsidRPr="0076358A">
        <w:t>Fuente: UIT, Indicadores de Desarrollo Mundial del Banco Mundial</w:t>
      </w:r>
    </w:p>
    <w:p w14:paraId="6EDFD93B" w14:textId="01105AAA" w:rsidR="006B3273" w:rsidRPr="0076358A" w:rsidRDefault="006B3273" w:rsidP="006B3273">
      <w:pPr>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El sector de servicios TIC comprende las actividades de telecomunicaciones y servicios conexos, es decir, la transmisión de voz, datos, texto, sonido y vídeo por redes alámbricas, inalámbricas, por satélite u otras redes.</w:t>
      </w:r>
      <w:r w:rsidRPr="0076358A">
        <w:rPr>
          <w:rFonts w:ascii="Aptos" w:eastAsia="Aptos" w:hAnsi="Aptos" w:cs="Arial"/>
          <w:kern w:val="2"/>
          <w:sz w:val="22"/>
          <w:szCs w:val="22"/>
          <w:vertAlign w:val="superscript"/>
          <w:lang w:val="es-ES"/>
          <w14:ligatures w14:val="standardContextual"/>
        </w:rPr>
        <w:footnoteReference w:id="10"/>
      </w:r>
      <w:r w:rsidRPr="0076358A">
        <w:rPr>
          <w:lang w:val="es-ES"/>
        </w:rPr>
        <w:t xml:space="preserve"> Los ingresos minoristas anuales totales del sector en la región de las Américas, para los 20 países que proporcionaron datos en el último año disponible desde 2021, se estiman en alrededor de 834 000</w:t>
      </w:r>
      <w:r w:rsidR="00733BB1">
        <w:rPr>
          <w:lang w:val="es-ES"/>
        </w:rPr>
        <w:t> </w:t>
      </w:r>
      <w:r w:rsidRPr="0076358A">
        <w:rPr>
          <w:lang w:val="es-ES"/>
        </w:rPr>
        <w:t>millones</w:t>
      </w:r>
      <w:r w:rsidR="00733BB1">
        <w:rPr>
          <w:lang w:val="es-ES"/>
        </w:rPr>
        <w:t> </w:t>
      </w:r>
      <w:r w:rsidRPr="0076358A">
        <w:rPr>
          <w:lang w:val="es-ES"/>
        </w:rPr>
        <w:t>USD. La magnitud del mercado de las telecomunicaciones varía considerablemente entre los países, con 6 países que declararon ingresos de hasta 1 000</w:t>
      </w:r>
      <w:r w:rsidR="00733BB1">
        <w:rPr>
          <w:lang w:val="es-ES"/>
        </w:rPr>
        <w:t> </w:t>
      </w:r>
      <w:r w:rsidRPr="0076358A">
        <w:rPr>
          <w:lang w:val="es-ES"/>
        </w:rPr>
        <w:t>millones</w:t>
      </w:r>
      <w:r w:rsidR="00733BB1">
        <w:rPr>
          <w:lang w:val="es-ES"/>
        </w:rPr>
        <w:t> </w:t>
      </w:r>
      <w:r w:rsidRPr="0076358A">
        <w:rPr>
          <w:lang w:val="es-ES"/>
        </w:rPr>
        <w:t xml:space="preserve">USD, mientras que Estados Unidos, que posee el mayor mercado, alcanzo ingresos </w:t>
      </w:r>
      <w:r w:rsidRPr="0076358A">
        <w:rPr>
          <w:lang w:val="es-ES"/>
        </w:rPr>
        <w:lastRenderedPageBreak/>
        <w:t>totales por un valor de 693 000</w:t>
      </w:r>
      <w:r w:rsidR="00733BB1">
        <w:rPr>
          <w:lang w:val="es-ES"/>
        </w:rPr>
        <w:t> </w:t>
      </w:r>
      <w:r w:rsidRPr="0076358A">
        <w:rPr>
          <w:lang w:val="es-ES"/>
        </w:rPr>
        <w:t>millones</w:t>
      </w:r>
      <w:r w:rsidR="00733BB1">
        <w:rPr>
          <w:lang w:val="es-ES"/>
        </w:rPr>
        <w:t> </w:t>
      </w:r>
      <w:r w:rsidRPr="0076358A">
        <w:rPr>
          <w:lang w:val="es-ES"/>
        </w:rPr>
        <w:t>USD. Canadá ocupó un distante segundo lugar con 44 000</w:t>
      </w:r>
      <w:r w:rsidR="00733BB1">
        <w:rPr>
          <w:lang w:val="es-ES"/>
        </w:rPr>
        <w:t> </w:t>
      </w:r>
      <w:r w:rsidRPr="0076358A">
        <w:rPr>
          <w:lang w:val="es-ES"/>
        </w:rPr>
        <w:t>millones</w:t>
      </w:r>
      <w:r w:rsidR="00733BB1">
        <w:rPr>
          <w:lang w:val="es-ES"/>
        </w:rPr>
        <w:t> </w:t>
      </w:r>
      <w:r w:rsidRPr="0076358A">
        <w:rPr>
          <w:lang w:val="es-ES"/>
        </w:rPr>
        <w:t xml:space="preserve">USD. </w:t>
      </w:r>
    </w:p>
    <w:p w14:paraId="1C9D994F" w14:textId="23C12C57" w:rsidR="006B3273" w:rsidRPr="0076358A" w:rsidRDefault="006B3273" w:rsidP="006B3273">
      <w:pPr>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Este sector contribuyó en promedio con el 2,2</w:t>
      </w:r>
      <w:r w:rsidR="00AC027A">
        <w:rPr>
          <w:lang w:val="es-ES"/>
        </w:rPr>
        <w:t> %</w:t>
      </w:r>
      <w:r w:rsidRPr="0076358A">
        <w:rPr>
          <w:lang w:val="es-ES"/>
        </w:rPr>
        <w:t xml:space="preserve"> al PIB de la región. Esta cifra fluctúa y oscila entre el 1</w:t>
      </w:r>
      <w:r w:rsidR="00AC027A">
        <w:rPr>
          <w:lang w:val="es-ES"/>
        </w:rPr>
        <w:t> %</w:t>
      </w:r>
      <w:r w:rsidRPr="0076358A">
        <w:rPr>
          <w:lang w:val="es-ES"/>
        </w:rPr>
        <w:t xml:space="preserve"> y más del 4</w:t>
      </w:r>
      <w:r w:rsidR="00AC027A">
        <w:rPr>
          <w:lang w:val="es-ES"/>
        </w:rPr>
        <w:t> %</w:t>
      </w:r>
      <w:r w:rsidRPr="0076358A">
        <w:rPr>
          <w:lang w:val="es-ES"/>
        </w:rPr>
        <w:t xml:space="preserve"> en dos países. </w:t>
      </w:r>
    </w:p>
    <w:p w14:paraId="650F1C53" w14:textId="3D831297" w:rsidR="006B3273" w:rsidRDefault="006B3273" w:rsidP="00733BB1">
      <w:pPr>
        <w:pStyle w:val="Figuretitle"/>
        <w:keepNext/>
        <w:rPr>
          <w:lang w:val="es-ES"/>
        </w:rPr>
      </w:pPr>
      <w:r w:rsidRPr="0076358A">
        <w:rPr>
          <w:lang w:val="es-ES"/>
        </w:rPr>
        <w:t>Inversión anual en servicios de telecomunicaciones, en miles de millones</w:t>
      </w:r>
      <w:r w:rsidR="007F571B">
        <w:rPr>
          <w:lang w:val="es-ES"/>
        </w:rPr>
        <w:t> </w:t>
      </w:r>
      <w:r w:rsidRPr="0076358A">
        <w:rPr>
          <w:lang w:val="es-ES"/>
        </w:rPr>
        <w:t>USD y en</w:t>
      </w:r>
      <w:r w:rsidR="00AC027A">
        <w:rPr>
          <w:lang w:val="es-ES"/>
        </w:rPr>
        <w:t> %</w:t>
      </w:r>
      <w:r w:rsidRPr="0076358A">
        <w:rPr>
          <w:lang w:val="es-ES"/>
        </w:rPr>
        <w:t xml:space="preserve"> del PIB</w:t>
      </w:r>
    </w:p>
    <w:p w14:paraId="07B8CCF6" w14:textId="68157B41" w:rsidR="00733BB1" w:rsidRPr="00733BB1" w:rsidRDefault="00733BB1" w:rsidP="00733BB1">
      <w:pPr>
        <w:rPr>
          <w:rFonts w:eastAsia="Yu Gothic Light"/>
          <w:lang w:val="es-ES"/>
        </w:rPr>
      </w:pPr>
      <w:r w:rsidRPr="00733BB1">
        <w:rPr>
          <w:rFonts w:eastAsia="Yu Gothic Light"/>
          <w:noProof/>
        </w:rPr>
        <w:drawing>
          <wp:inline distT="0" distB="0" distL="0" distR="0" wp14:anchorId="1B265E48" wp14:editId="29FBB8B0">
            <wp:extent cx="6117293" cy="3679553"/>
            <wp:effectExtent l="0" t="0" r="0" b="0"/>
            <wp:docPr id="240047867" name="Chart 1">
              <a:extLst xmlns:a="http://schemas.openxmlformats.org/drawingml/2006/main">
                <a:ext uri="{FF2B5EF4-FFF2-40B4-BE49-F238E27FC236}">
                  <a16:creationId xmlns:a16="http://schemas.microsoft.com/office/drawing/2014/main" id="{C6794259-2AE9-4DFA-9CD2-EF8D8F74EB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0FBE97F0" w14:textId="77777777" w:rsidR="006B3273" w:rsidRPr="0076358A" w:rsidRDefault="006B3273" w:rsidP="007F571B">
      <w:pPr>
        <w:pStyle w:val="Figurelegend"/>
      </w:pPr>
      <w:r w:rsidRPr="0076358A">
        <w:t>Nota: Los datos representan una media trienal (2021-2023) de los datos disponibles para compensar las diversas fluctuaciones y lagunas anuales. Las cifras de inversión se expresan en el valor real de USD de 2023.</w:t>
      </w:r>
    </w:p>
    <w:p w14:paraId="1DD7885D" w14:textId="77777777" w:rsidR="006B3273" w:rsidRPr="0076358A" w:rsidRDefault="006B3273" w:rsidP="00490BBD">
      <w:pPr>
        <w:pStyle w:val="Sourcetext"/>
      </w:pPr>
      <w:r w:rsidRPr="0076358A">
        <w:t>Fuente: UIT, Indicadores de Desarrollo Mundial del Banco Mundial</w:t>
      </w:r>
    </w:p>
    <w:p w14:paraId="709717C5" w14:textId="74BA7903"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El despliegue de nuevas tecnologías de red y la modernización de las existentes son actividades que requieren grandes inversiones de capital. Los proyectos de inversión suelen prolongarse varios años y el gasto fluctúa, por lo que las estadísticas se expresan con el promedio para el período 2021-2023. La inversión anual realizada por los países de la región de las Américas para los que se dispone de datos osciló entre menos de 1 000</w:t>
      </w:r>
      <w:r w:rsidR="00733BB1">
        <w:rPr>
          <w:lang w:val="es-ES"/>
        </w:rPr>
        <w:t> </w:t>
      </w:r>
      <w:r w:rsidRPr="0076358A">
        <w:rPr>
          <w:lang w:val="es-ES"/>
        </w:rPr>
        <w:t>millones</w:t>
      </w:r>
      <w:r w:rsidR="00733BB1">
        <w:rPr>
          <w:lang w:val="es-ES"/>
        </w:rPr>
        <w:t> </w:t>
      </w:r>
      <w:r w:rsidRPr="0076358A">
        <w:rPr>
          <w:lang w:val="es-ES"/>
        </w:rPr>
        <w:t>USD en 11 países y 11 000</w:t>
      </w:r>
      <w:r w:rsidR="00733BB1">
        <w:rPr>
          <w:lang w:val="es-ES"/>
        </w:rPr>
        <w:t> </w:t>
      </w:r>
      <w:r w:rsidRPr="0076358A">
        <w:rPr>
          <w:lang w:val="es-ES"/>
        </w:rPr>
        <w:t>millones USD en Canadá y 104 000</w:t>
      </w:r>
      <w:r w:rsidR="00733BB1">
        <w:rPr>
          <w:lang w:val="es-ES"/>
        </w:rPr>
        <w:t xml:space="preserve"> </w:t>
      </w:r>
      <w:r w:rsidRPr="0076358A">
        <w:rPr>
          <w:lang w:val="es-ES"/>
        </w:rPr>
        <w:t>millones</w:t>
      </w:r>
      <w:r w:rsidR="00733BB1">
        <w:rPr>
          <w:lang w:val="es-ES"/>
        </w:rPr>
        <w:t> </w:t>
      </w:r>
      <w:r w:rsidRPr="0076358A">
        <w:rPr>
          <w:lang w:val="es-ES"/>
        </w:rPr>
        <w:t>USD en Estados Unidos. Este valor corresponde al valor medio del 0,4</w:t>
      </w:r>
      <w:r w:rsidR="00AC027A">
        <w:rPr>
          <w:lang w:val="es-ES"/>
        </w:rPr>
        <w:t> %</w:t>
      </w:r>
      <w:r w:rsidRPr="0076358A">
        <w:rPr>
          <w:lang w:val="es-ES"/>
        </w:rPr>
        <w:t xml:space="preserve"> del PIB durante el periodo 2021-2023.</w:t>
      </w:r>
      <w:r w:rsidRPr="0076358A">
        <w:rPr>
          <w:rFonts w:ascii="Aptos" w:eastAsia="Aptos" w:hAnsi="Aptos" w:cs="Arial"/>
          <w:kern w:val="2"/>
          <w:sz w:val="22"/>
          <w:szCs w:val="22"/>
          <w:vertAlign w:val="superscript"/>
          <w:lang w:val="es-ES"/>
          <w14:ligatures w14:val="standardContextual"/>
        </w:rPr>
        <w:footnoteReference w:id="11"/>
      </w:r>
      <w:r w:rsidRPr="0076358A">
        <w:rPr>
          <w:lang w:val="es-ES"/>
        </w:rPr>
        <w:t xml:space="preserve"> </w:t>
      </w:r>
    </w:p>
    <w:p w14:paraId="6F77E569" w14:textId="54341BC8"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Disponer de infraestructura con la que se pueda proporcionar conectividad universal y efectiva exige realizar constantemente inversiones sustanciales. En promedio, la región invierte en el sector de las TIC alrededor del 18</w:t>
      </w:r>
      <w:r w:rsidR="00AC027A">
        <w:rPr>
          <w:lang w:val="es-ES"/>
        </w:rPr>
        <w:t> %</w:t>
      </w:r>
      <w:r w:rsidRPr="0076358A">
        <w:rPr>
          <w:lang w:val="es-ES"/>
        </w:rPr>
        <w:t xml:space="preserve"> de los ingresos, aunque esta proporción también varía </w:t>
      </w:r>
      <w:r w:rsidRPr="0076358A">
        <w:rPr>
          <w:lang w:val="es-ES"/>
        </w:rPr>
        <w:lastRenderedPageBreak/>
        <w:t xml:space="preserve">considerablemente, siendo alrededor de una cuarta parte en tres países de la </w:t>
      </w:r>
      <w:r w:rsidR="00CF3AAC" w:rsidRPr="0076358A">
        <w:rPr>
          <w:lang w:val="es-ES"/>
        </w:rPr>
        <w:t>región,</w:t>
      </w:r>
      <w:r w:rsidRPr="0076358A">
        <w:rPr>
          <w:lang w:val="es-ES"/>
        </w:rPr>
        <w:t xml:space="preserve"> pero menos del 10</w:t>
      </w:r>
      <w:r w:rsidR="00AC027A">
        <w:rPr>
          <w:lang w:val="es-ES"/>
        </w:rPr>
        <w:t> %</w:t>
      </w:r>
      <w:r w:rsidRPr="0076358A">
        <w:rPr>
          <w:lang w:val="es-ES"/>
        </w:rPr>
        <w:t xml:space="preserve"> en dos de ellos.</w:t>
      </w:r>
    </w:p>
    <w:p w14:paraId="65A8EF4B"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rFonts w:ascii="Aptos" w:eastAsia="Aptos" w:hAnsi="Aptos" w:cs="Arial"/>
          <w:kern w:val="2"/>
          <w:sz w:val="22"/>
          <w:szCs w:val="22"/>
          <w:lang w:val="es-ES"/>
          <w14:ligatures w14:val="standardContextual"/>
        </w:rPr>
        <w:br w:type="page"/>
      </w:r>
    </w:p>
    <w:p w14:paraId="1CF0FDB8" w14:textId="77777777" w:rsidR="006B3273" w:rsidRPr="007F571B" w:rsidRDefault="006B3273" w:rsidP="006B3273">
      <w:pPr>
        <w:pStyle w:val="Section"/>
        <w:rPr>
          <w:rFonts w:asciiTheme="minorHAnsi" w:hAnsiTheme="minorHAnsi" w:cstheme="minorHAnsi"/>
          <w:color w:val="auto"/>
          <w:lang w:val="es-ES"/>
        </w:rPr>
      </w:pPr>
      <w:bookmarkStart w:id="17" w:name="_Toc193034323"/>
      <w:r w:rsidRPr="007F571B">
        <w:rPr>
          <w:rFonts w:asciiTheme="minorHAnsi" w:hAnsiTheme="minorHAnsi" w:cstheme="minorHAnsi"/>
          <w:color w:val="auto"/>
          <w:lang w:val="es-ES"/>
        </w:rPr>
        <w:lastRenderedPageBreak/>
        <w:t>Ciberseguridad</w:t>
      </w:r>
      <w:bookmarkEnd w:id="17"/>
    </w:p>
    <w:p w14:paraId="64423DC7"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lang w:val="es-ES"/>
          <w14:ligatures w14:val="standardContextual"/>
        </w:rPr>
      </w:pPr>
      <w:r w:rsidRPr="0076358A">
        <w:rPr>
          <w:b/>
          <w:bCs/>
          <w:i/>
          <w:iCs/>
          <w:lang w:val="es-ES"/>
        </w:rPr>
        <w:t>Las Américas muestran marcados contrastes en cuanto a preparación y resiliencia en materia de ciberseguridad</w:t>
      </w:r>
      <w:r w:rsidRPr="0076358A">
        <w:rPr>
          <w:lang w:val="es-ES"/>
        </w:rPr>
        <w:t xml:space="preserve"> </w:t>
      </w:r>
    </w:p>
    <w:p w14:paraId="5C48F580"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 xml:space="preserve">Para que la conectividad sea efectiva es indispensable disponer de comunicaciones fiables y seguras. Ahora que 9 de cada 10 personas utilizan Internet, la ciberseguridad no puede quedar relegada a un segundo plano. La ciberseguridad requiere un enfoque integral que abarque cuestiones jurídicas, técnicas, institucionales, de capacitación y de cooperación. </w:t>
      </w:r>
    </w:p>
    <w:p w14:paraId="75FF1327" w14:textId="77777777" w:rsidR="006B3273" w:rsidRPr="00733BB1" w:rsidRDefault="006B3273" w:rsidP="00733BB1">
      <w:pPr>
        <w:pStyle w:val="Figuretitle"/>
        <w:keepNext/>
        <w:rPr>
          <w:lang w:val="es-ES"/>
        </w:rPr>
      </w:pPr>
      <w:r w:rsidRPr="0076358A">
        <w:rPr>
          <w:lang w:val="es-ES"/>
        </w:rPr>
        <w:t>Valores del Índice de Ciberseguridad Global, 2017-2024</w:t>
      </w:r>
    </w:p>
    <w:p w14:paraId="558EAF56" w14:textId="48ABF3B3" w:rsidR="006B3273" w:rsidRPr="0076358A" w:rsidRDefault="00733BB1" w:rsidP="006B3273">
      <w:pPr>
        <w:rPr>
          <w:rFonts w:ascii="Aptos" w:eastAsia="Aptos" w:hAnsi="Aptos" w:cs="Arial"/>
          <w:kern w:val="2"/>
          <w:sz w:val="22"/>
          <w:szCs w:val="22"/>
          <w:lang w:val="es-ES"/>
          <w14:ligatures w14:val="standardContextual"/>
        </w:rPr>
      </w:pPr>
      <w:r w:rsidRPr="00733BB1">
        <w:rPr>
          <w:rFonts w:ascii="Aptos" w:eastAsia="Aptos" w:hAnsi="Aptos" w:cs="Arial"/>
          <w:noProof/>
          <w:kern w:val="2"/>
          <w:sz w:val="22"/>
          <w:szCs w:val="22"/>
          <w14:ligatures w14:val="standardContextual"/>
        </w:rPr>
        <w:drawing>
          <wp:inline distT="0" distB="0" distL="0" distR="0" wp14:anchorId="07B0E8AB" wp14:editId="28DAAC28">
            <wp:extent cx="6093871" cy="2194890"/>
            <wp:effectExtent l="0" t="0" r="2540" b="0"/>
            <wp:docPr id="509562679" name="Chart 1">
              <a:extLst xmlns:a="http://schemas.openxmlformats.org/drawingml/2006/main">
                <a:ext uri="{FF2B5EF4-FFF2-40B4-BE49-F238E27FC236}">
                  <a16:creationId xmlns:a16="http://schemas.microsoft.com/office/drawing/2014/main" id="{45E507F1-C0BF-081C-495E-F3863A234B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DE94CEF" w14:textId="77777777" w:rsidR="006B3273" w:rsidRPr="0076358A" w:rsidRDefault="006B3273" w:rsidP="007F571B">
      <w:pPr>
        <w:pStyle w:val="Figurelegend"/>
      </w:pPr>
      <w:r w:rsidRPr="0076358A">
        <w:t xml:space="preserve">Nota: Las preguntas y ponderaciones se actualizan de una edición a otra, en colaboración con el Grupo de Expertos del ICG, a fin de medir con mayor precisión el nivel de compromiso de los países para con la ciberseguridad. </w:t>
      </w:r>
    </w:p>
    <w:p w14:paraId="5A394CBB" w14:textId="77777777" w:rsidR="006B3273" w:rsidRPr="0076358A" w:rsidRDefault="006B3273" w:rsidP="00490BBD">
      <w:pPr>
        <w:pStyle w:val="Sourcetext"/>
      </w:pPr>
      <w:r w:rsidRPr="0076358A">
        <w:t>Fuente: UIT</w:t>
      </w:r>
    </w:p>
    <w:p w14:paraId="63418EF4" w14:textId="36BD2758"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 xml:space="preserve">Desde 2015, el </w:t>
      </w:r>
      <w:r w:rsidR="00E03630">
        <w:rPr>
          <w:lang w:val="es-ES"/>
        </w:rPr>
        <w:t>í</w:t>
      </w:r>
      <w:r w:rsidRPr="0076358A">
        <w:rPr>
          <w:lang w:val="es-ES"/>
        </w:rPr>
        <w:t xml:space="preserve">ndice de </w:t>
      </w:r>
      <w:r w:rsidR="00E03630">
        <w:rPr>
          <w:lang w:val="es-ES"/>
        </w:rPr>
        <w:t>c</w:t>
      </w:r>
      <w:r w:rsidRPr="0076358A">
        <w:rPr>
          <w:lang w:val="es-ES"/>
        </w:rPr>
        <w:t xml:space="preserve">iberseguridad </w:t>
      </w:r>
      <w:r w:rsidR="00E03630">
        <w:rPr>
          <w:lang w:val="es-ES"/>
        </w:rPr>
        <w:t>g</w:t>
      </w:r>
      <w:r w:rsidRPr="0076358A">
        <w:rPr>
          <w:lang w:val="es-ES"/>
        </w:rPr>
        <w:t xml:space="preserve">lobal (ICG) permite seguir la evolución en estos parámetros en los distintos países, cada uno representado por un pilar, con valores del ICG combinados en una escala de 0 a 100. En la edición de 2024 se observa una notable mejora en cuanto al compromiso de los países con la ciberseguridad: el valor medio del ICG ascendió a 66 a escala mundial, 14 puntos más que en la edición de 2021. Los países de la región de </w:t>
      </w:r>
      <w:r w:rsidR="004904ED" w:rsidRPr="0076358A">
        <w:rPr>
          <w:lang w:val="es-ES"/>
        </w:rPr>
        <w:t>las Américas</w:t>
      </w:r>
      <w:r w:rsidRPr="0076358A">
        <w:rPr>
          <w:lang w:val="es-ES"/>
        </w:rPr>
        <w:t xml:space="preserve"> han seguido ampliando sus compromisos con un valor medio de </w:t>
      </w:r>
      <w:r w:rsidR="00CC57BB">
        <w:rPr>
          <w:lang w:val="es-ES"/>
        </w:rPr>
        <w:t>54</w:t>
      </w:r>
      <w:r w:rsidRPr="0076358A">
        <w:rPr>
          <w:lang w:val="es-ES"/>
        </w:rPr>
        <w:t xml:space="preserve">, lo que supone un aumento de </w:t>
      </w:r>
      <w:r w:rsidR="00CC57BB">
        <w:rPr>
          <w:lang w:val="es-ES"/>
        </w:rPr>
        <w:t>16</w:t>
      </w:r>
      <w:r w:rsidRPr="0076358A">
        <w:rPr>
          <w:lang w:val="es-ES"/>
        </w:rPr>
        <w:t xml:space="preserve"> puntos respecto a la edición anterior. </w:t>
      </w:r>
    </w:p>
    <w:p w14:paraId="65160B7E" w14:textId="53C3DCFA" w:rsidR="006B3273" w:rsidRDefault="006B3273" w:rsidP="00733BB1">
      <w:pPr>
        <w:pStyle w:val="Figuretitle"/>
        <w:keepNext/>
        <w:rPr>
          <w:lang w:val="es-ES"/>
        </w:rPr>
      </w:pPr>
      <w:r w:rsidRPr="0076358A">
        <w:rPr>
          <w:lang w:val="es-ES"/>
        </w:rPr>
        <w:lastRenderedPageBreak/>
        <w:t xml:space="preserve">Valores del </w:t>
      </w:r>
      <w:r w:rsidR="00E03630">
        <w:rPr>
          <w:lang w:val="es-ES"/>
        </w:rPr>
        <w:t>í</w:t>
      </w:r>
      <w:r w:rsidRPr="0076358A">
        <w:rPr>
          <w:lang w:val="es-ES"/>
        </w:rPr>
        <w:t xml:space="preserve">ndice de </w:t>
      </w:r>
      <w:r w:rsidR="00E03630">
        <w:rPr>
          <w:lang w:val="es-ES"/>
        </w:rPr>
        <w:t>c</w:t>
      </w:r>
      <w:r w:rsidRPr="0076358A">
        <w:rPr>
          <w:lang w:val="es-ES"/>
        </w:rPr>
        <w:t xml:space="preserve">iberseguridad </w:t>
      </w:r>
      <w:r w:rsidR="00E03630">
        <w:rPr>
          <w:lang w:val="es-ES"/>
        </w:rPr>
        <w:t>g</w:t>
      </w:r>
      <w:r w:rsidRPr="0076358A">
        <w:rPr>
          <w:lang w:val="es-ES"/>
        </w:rPr>
        <w:t>lobal, por pilar y general, 2024</w:t>
      </w:r>
    </w:p>
    <w:p w14:paraId="081DD3B5" w14:textId="1C80496D" w:rsidR="00CC57BB" w:rsidRPr="00CC57BB" w:rsidRDefault="00CC57BB" w:rsidP="00CC57BB">
      <w:pPr>
        <w:rPr>
          <w:rFonts w:eastAsia="Yu Gothic Light"/>
          <w:lang w:val="es-ES"/>
        </w:rPr>
      </w:pPr>
      <w:r w:rsidRPr="00CC57BB">
        <w:rPr>
          <w:rFonts w:eastAsia="Yu Gothic Light"/>
          <w:noProof/>
        </w:rPr>
        <w:drawing>
          <wp:inline distT="0" distB="0" distL="0" distR="0" wp14:anchorId="008DAA8D" wp14:editId="4EB2BD83">
            <wp:extent cx="6120765" cy="2877185"/>
            <wp:effectExtent l="0" t="0" r="0" b="0"/>
            <wp:docPr id="1209191009" name="Chart 1">
              <a:extLst xmlns:a="http://schemas.openxmlformats.org/drawingml/2006/main">
                <a:ext uri="{FF2B5EF4-FFF2-40B4-BE49-F238E27FC236}">
                  <a16:creationId xmlns:a16="http://schemas.microsoft.com/office/drawing/2014/main" id="{3B442125-328A-1A52-2717-BFB3C746FA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9C3CD59" w14:textId="77777777" w:rsidR="006B3273" w:rsidRPr="0076358A" w:rsidRDefault="006B3273" w:rsidP="007F571B">
      <w:pPr>
        <w:pStyle w:val="Figurelegend"/>
      </w:pPr>
      <w:r w:rsidRPr="0076358A">
        <w:t>Nota: El valor general del ICG es el resultado de sumar los valores de los cinco pilares.</w:t>
      </w:r>
    </w:p>
    <w:p w14:paraId="07A98A61" w14:textId="77777777" w:rsidR="006B3273" w:rsidRPr="0076358A" w:rsidRDefault="006B3273" w:rsidP="00490BBD">
      <w:pPr>
        <w:pStyle w:val="Sourcetext"/>
      </w:pPr>
      <w:r w:rsidRPr="0076358A">
        <w:t>Fuente: UIT</w:t>
      </w:r>
    </w:p>
    <w:p w14:paraId="0E2E63D0" w14:textId="6EDFC41B"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 xml:space="preserve">Los resultados del ICG para los países de la región de las Américas varían mucho, con una diferencia de 82 puntos entre el </w:t>
      </w:r>
      <w:r w:rsidR="00680555">
        <w:rPr>
          <w:lang w:val="es-ES"/>
        </w:rPr>
        <w:t xml:space="preserve">país con </w:t>
      </w:r>
      <w:r w:rsidRPr="0076358A">
        <w:rPr>
          <w:lang w:val="es-ES"/>
        </w:rPr>
        <w:t>mejor</w:t>
      </w:r>
      <w:r w:rsidR="00680555">
        <w:rPr>
          <w:lang w:val="es-ES"/>
        </w:rPr>
        <w:t>es resultados</w:t>
      </w:r>
      <w:r w:rsidRPr="0076358A">
        <w:rPr>
          <w:lang w:val="es-ES"/>
        </w:rPr>
        <w:t xml:space="preserve"> de la región, </w:t>
      </w:r>
      <w:r w:rsidR="00741ECC">
        <w:rPr>
          <w:lang w:val="es-ES"/>
        </w:rPr>
        <w:t xml:space="preserve">a saber, </w:t>
      </w:r>
      <w:r w:rsidRPr="0076358A">
        <w:rPr>
          <w:lang w:val="es-ES"/>
        </w:rPr>
        <w:t>Estados Unidos de América</w:t>
      </w:r>
      <w:r w:rsidR="00741ECC">
        <w:rPr>
          <w:lang w:val="es-ES"/>
        </w:rPr>
        <w:t xml:space="preserve"> </w:t>
      </w:r>
      <w:r w:rsidRPr="0076358A">
        <w:rPr>
          <w:lang w:val="es-ES"/>
        </w:rPr>
        <w:t xml:space="preserve">con un </w:t>
      </w:r>
      <w:r w:rsidR="00741ECC">
        <w:rPr>
          <w:lang w:val="es-ES"/>
        </w:rPr>
        <w:t xml:space="preserve">índice </w:t>
      </w:r>
      <w:r w:rsidRPr="0076358A">
        <w:rPr>
          <w:lang w:val="es-ES"/>
        </w:rPr>
        <w:t xml:space="preserve">de 99,9, y el </w:t>
      </w:r>
      <w:r w:rsidR="00741ECC">
        <w:rPr>
          <w:lang w:val="es-ES"/>
        </w:rPr>
        <w:t xml:space="preserve">país que registra </w:t>
      </w:r>
      <w:r w:rsidR="00C5618D">
        <w:rPr>
          <w:lang w:val="es-ES"/>
        </w:rPr>
        <w:t xml:space="preserve">los </w:t>
      </w:r>
      <w:r w:rsidR="00741ECC">
        <w:rPr>
          <w:lang w:val="es-ES"/>
        </w:rPr>
        <w:t>peores resultados</w:t>
      </w:r>
      <w:r w:rsidRPr="0076358A">
        <w:rPr>
          <w:lang w:val="es-ES"/>
        </w:rPr>
        <w:t xml:space="preserve">, Antigua y Barbuda, con un valor de 18,2. </w:t>
      </w:r>
      <w:r w:rsidR="00C5618D" w:rsidRPr="0076358A">
        <w:rPr>
          <w:lang w:val="es-ES"/>
        </w:rPr>
        <w:t xml:space="preserve">Nicaragua </w:t>
      </w:r>
      <w:r w:rsidR="00C5618D">
        <w:rPr>
          <w:lang w:val="es-ES"/>
        </w:rPr>
        <w:t>es el</w:t>
      </w:r>
      <w:r w:rsidRPr="0076358A">
        <w:rPr>
          <w:lang w:val="es-ES"/>
        </w:rPr>
        <w:t xml:space="preserve"> </w:t>
      </w:r>
      <w:r w:rsidR="00C5618D">
        <w:rPr>
          <w:lang w:val="es-ES"/>
        </w:rPr>
        <w:t xml:space="preserve">segundo </w:t>
      </w:r>
      <w:r w:rsidRPr="0076358A">
        <w:rPr>
          <w:lang w:val="es-ES"/>
        </w:rPr>
        <w:t>país con peor</w:t>
      </w:r>
      <w:r w:rsidR="00B83424">
        <w:rPr>
          <w:lang w:val="es-ES"/>
        </w:rPr>
        <w:t>es</w:t>
      </w:r>
      <w:r w:rsidRPr="0076358A">
        <w:rPr>
          <w:lang w:val="es-ES"/>
        </w:rPr>
        <w:t xml:space="preserve"> resultado</w:t>
      </w:r>
      <w:r w:rsidR="00B83424">
        <w:rPr>
          <w:lang w:val="es-ES"/>
        </w:rPr>
        <w:t>s</w:t>
      </w:r>
      <w:r w:rsidRPr="0076358A">
        <w:rPr>
          <w:lang w:val="es-ES"/>
        </w:rPr>
        <w:t>, con un valor de 20,6, seguido de otros pequeños Estados insulares en desarrollo.</w:t>
      </w:r>
    </w:p>
    <w:p w14:paraId="24B7DB5C" w14:textId="32761C7A"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Si bien los pequeños Estados insulares en desarrollo se encuentran entre los que obtienen peores resultados en las Américas, muchos PEID han mejorado considerablemente en los últimos años. En otras partes de las Américas, por ejemplo</w:t>
      </w:r>
      <w:r w:rsidR="000C0C01">
        <w:rPr>
          <w:lang w:val="es-ES"/>
        </w:rPr>
        <w:t>,</w:t>
      </w:r>
      <w:r w:rsidRPr="0076358A">
        <w:rPr>
          <w:lang w:val="es-ES"/>
        </w:rPr>
        <w:t xml:space="preserve"> en Ecuador, Panamá y Trinidad y Tobago también se han registrado importantes mejoras. </w:t>
      </w:r>
    </w:p>
    <w:p w14:paraId="3C672620" w14:textId="4CF6EB14"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 xml:space="preserve">El pilar técnico del ICG evalúa la eficacia de los mecanismos nacionales y las estructuras institucionales a la hora de detectar, prevenir y mitigar las ciberamenazas y los incidentes, así como de adoptar medidas al respecto. Los equipos de intervención en caso de incidente informático (EIII) son responsables de la protección contra incidentes de ciberseguridad, </w:t>
      </w:r>
      <w:r w:rsidR="000C0C01">
        <w:rPr>
          <w:lang w:val="es-ES"/>
        </w:rPr>
        <w:t>de su</w:t>
      </w:r>
      <w:r w:rsidRPr="0076358A">
        <w:rPr>
          <w:lang w:val="es-ES"/>
        </w:rPr>
        <w:t xml:space="preserve"> detección y </w:t>
      </w:r>
      <w:r w:rsidR="000C0C01">
        <w:rPr>
          <w:lang w:val="es-ES"/>
        </w:rPr>
        <w:t xml:space="preserve">de </w:t>
      </w:r>
      <w:r w:rsidRPr="0076358A">
        <w:rPr>
          <w:lang w:val="es-ES"/>
        </w:rPr>
        <w:t>la adopción de medidas al respecto, y pueden mejorar la capacidad de un país para gestionar dichos incidentes. El 60</w:t>
      </w:r>
      <w:r w:rsidR="00AC027A">
        <w:rPr>
          <w:lang w:val="es-ES"/>
        </w:rPr>
        <w:t> %</w:t>
      </w:r>
      <w:r w:rsidRPr="0076358A">
        <w:rPr>
          <w:lang w:val="es-ES"/>
        </w:rPr>
        <w:t xml:space="preserve"> de los países (21) de la región de las Américas han creado EIII nacionales y muchos de ellos participan en ejercicios cibernéticos regionales. Aun así, es necesario seguir perfeccionando dichos equipos, especialmente en los PEID, y ampliar las iniciativas encaminadas a la protección de las infraestructuras de información esenciales.</w:t>
      </w:r>
    </w:p>
    <w:p w14:paraId="5C2E5AF6" w14:textId="5330A7A5"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 xml:space="preserve">La protección de la infancia en línea (PIeL) engloba estrategias e iniciativas destinadas a proteger a los niños de daños o abusos en línea. Esto incluye velar por que los niños utilicen herramientas de </w:t>
      </w:r>
      <w:r w:rsidRPr="00CC57BB">
        <w:rPr>
          <w:i/>
          <w:iCs/>
          <w:lang w:val="es-ES"/>
        </w:rPr>
        <w:t>software</w:t>
      </w:r>
      <w:r w:rsidRPr="0076358A">
        <w:rPr>
          <w:lang w:val="es-ES"/>
        </w:rPr>
        <w:t xml:space="preserve"> y filtrado adecuadas para su edad y enseñar a padres e hijos cómo mantenerse seguros en línea. La PIeL se supervisa a través de una serie de preguntas relativas a los ámbitos jurídico, organizativo y de desarrollo de capacidades. Un total de 164 países declararon haber adoptado </w:t>
      </w:r>
      <w:r w:rsidRPr="0076358A">
        <w:rPr>
          <w:lang w:val="es-ES"/>
        </w:rPr>
        <w:lastRenderedPageBreak/>
        <w:t xml:space="preserve">medidas jurídicas a efectos de la PIeL en el ICG de 2024, en comparación con 130 países la edición anterior. En ocasiones, estas medidas formaban parte de otras normas, reglamentaciones o </w:t>
      </w:r>
      <w:r w:rsidR="003F2357">
        <w:rPr>
          <w:lang w:val="es-ES"/>
        </w:rPr>
        <w:t>legislaciones</w:t>
      </w:r>
      <w:r w:rsidRPr="0076358A">
        <w:rPr>
          <w:lang w:val="es-ES"/>
        </w:rPr>
        <w:t xml:space="preserve"> sustantivas, como las relativas a la delincuencia en línea o la explotación sexual. El</w:t>
      </w:r>
      <w:r w:rsidR="003F2357">
        <w:rPr>
          <w:lang w:val="es-ES"/>
        </w:rPr>
        <w:t> </w:t>
      </w:r>
      <w:r w:rsidRPr="0076358A">
        <w:rPr>
          <w:lang w:val="es-ES"/>
        </w:rPr>
        <w:t>34</w:t>
      </w:r>
      <w:r w:rsidR="00AC027A">
        <w:rPr>
          <w:lang w:val="es-ES"/>
        </w:rPr>
        <w:t> %</w:t>
      </w:r>
      <w:r w:rsidRPr="0076358A">
        <w:rPr>
          <w:lang w:val="es-ES"/>
        </w:rPr>
        <w:t xml:space="preserve"> (12) de los países de las Américas cuentan con algún tipo de estrategia de protección de la infancia en línea con las correspondientes medidas. Ahora bien, a largo plazo es fundamental vincular esta estrategia con proyectos didácticos para educadores, padres y responsables políticos. </w:t>
      </w:r>
    </w:p>
    <w:p w14:paraId="79647830" w14:textId="4686E54E"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Por último, para satisfacer la demanda de profesionales de la ciberseguridad, los países están apostando cada vez más por el desarrollo de competencias en ciberseguridad entre su población. Si bien el 60</w:t>
      </w:r>
      <w:r w:rsidR="00AC027A">
        <w:rPr>
          <w:lang w:val="es-ES"/>
        </w:rPr>
        <w:t> %</w:t>
      </w:r>
      <w:r w:rsidRPr="0076358A">
        <w:rPr>
          <w:lang w:val="es-ES"/>
        </w:rPr>
        <w:t xml:space="preserve"> (21) de los países europeos cuentan con titulaciones universitarias centradas en la ciberseguridad, es necesario que los países sigan velando por que existan múltiples pasarelas hacia el desarrollo de competencias en ciberseguridad para satisfacer las necesidades actuales en este campo. </w:t>
      </w:r>
    </w:p>
    <w:p w14:paraId="1E63CE10" w14:textId="77777777" w:rsidR="006B3273" w:rsidRPr="0076358A" w:rsidRDefault="006B3273" w:rsidP="006B3273">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lang w:val="es-ES"/>
          <w14:ligatures w14:val="standardContextual"/>
        </w:rPr>
      </w:pPr>
      <w:r w:rsidRPr="0076358A">
        <w:rPr>
          <w:rFonts w:ascii="Aptos Display" w:eastAsia="Yu Gothic Light" w:hAnsi="Aptos Display"/>
          <w:color w:val="0F4761"/>
          <w:kern w:val="2"/>
          <w:sz w:val="32"/>
          <w:szCs w:val="32"/>
          <w:lang w:val="es-ES"/>
          <w14:ligatures w14:val="standardContextual"/>
        </w:rPr>
        <w:br w:type="page"/>
      </w:r>
    </w:p>
    <w:p w14:paraId="75E502C4" w14:textId="77777777" w:rsidR="006B3273" w:rsidRPr="007F571B" w:rsidRDefault="006B3273" w:rsidP="006B3273">
      <w:pPr>
        <w:pStyle w:val="Section"/>
        <w:rPr>
          <w:rFonts w:asciiTheme="minorHAnsi" w:hAnsiTheme="minorHAnsi" w:cstheme="minorHAnsi"/>
          <w:color w:val="auto"/>
          <w:lang w:val="es-ES"/>
        </w:rPr>
      </w:pPr>
      <w:bookmarkStart w:id="18" w:name="_Toc193034324"/>
      <w:r w:rsidRPr="007F571B">
        <w:rPr>
          <w:rFonts w:asciiTheme="minorHAnsi" w:hAnsiTheme="minorHAnsi" w:cstheme="minorHAnsi"/>
          <w:color w:val="auto"/>
          <w:lang w:val="es-ES"/>
        </w:rPr>
        <w:lastRenderedPageBreak/>
        <w:t>Gestión de los residuos electrónicos</w:t>
      </w:r>
      <w:bookmarkEnd w:id="18"/>
    </w:p>
    <w:p w14:paraId="6DA819ED" w14:textId="67D3B1C5"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i/>
          <w:kern w:val="2"/>
          <w:sz w:val="22"/>
          <w:szCs w:val="22"/>
          <w:lang w:val="es-ES"/>
          <w14:ligatures w14:val="standardContextual"/>
        </w:rPr>
      </w:pPr>
      <w:r w:rsidRPr="0076358A">
        <w:rPr>
          <w:b/>
          <w:bCs/>
          <w:i/>
          <w:iCs/>
          <w:lang w:val="es-ES"/>
        </w:rPr>
        <w:t>Las Américas generan casi una cuarta parte de los residuos electrónicos mundiales, pero sólo el 30</w:t>
      </w:r>
      <w:r w:rsidR="00AC027A">
        <w:rPr>
          <w:b/>
          <w:bCs/>
          <w:i/>
          <w:iCs/>
          <w:lang w:val="es-ES"/>
        </w:rPr>
        <w:t> %</w:t>
      </w:r>
      <w:r w:rsidRPr="0076358A">
        <w:rPr>
          <w:b/>
          <w:bCs/>
          <w:i/>
          <w:iCs/>
          <w:lang w:val="es-ES"/>
        </w:rPr>
        <w:t xml:space="preserve"> se recicla</w:t>
      </w:r>
    </w:p>
    <w:p w14:paraId="64F79BB2" w14:textId="14A101F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lang w:val="es-ES"/>
          <w14:ligatures w14:val="standardContextual"/>
        </w:rPr>
      </w:pPr>
      <w:r w:rsidRPr="0076358A">
        <w:rPr>
          <w:lang w:val="es-ES"/>
        </w:rPr>
        <w:t xml:space="preserve">Mientras los países hacen lo posible por aprovechar los beneficios de la tecnología para impulsar el crecimiento económico y alcanzar sus prioridades de desarrollo nacionales, la gestión de los residuos electrónicos </w:t>
      </w:r>
      <w:r w:rsidR="00150401">
        <w:rPr>
          <w:lang w:val="es-ES"/>
        </w:rPr>
        <w:t>sobreviene un reto</w:t>
      </w:r>
      <w:r w:rsidRPr="0076358A">
        <w:rPr>
          <w:lang w:val="es-ES"/>
        </w:rPr>
        <w:t xml:space="preserve"> </w:t>
      </w:r>
      <w:r w:rsidR="00150401">
        <w:rPr>
          <w:lang w:val="es-ES"/>
        </w:rPr>
        <w:t xml:space="preserve">cuya solución es </w:t>
      </w:r>
      <w:r w:rsidRPr="0076358A">
        <w:rPr>
          <w:lang w:val="es-ES"/>
        </w:rPr>
        <w:t xml:space="preserve">cada vez más apremiante. El refuerzo de las políticas y los reglamentos en materia de gestión de los residuos electrónicos es crucial para garantizar la sostenibilidad medioambiental, </w:t>
      </w:r>
      <w:r w:rsidR="00952AA3">
        <w:rPr>
          <w:lang w:val="es-ES"/>
        </w:rPr>
        <w:t>fomentar</w:t>
      </w:r>
      <w:r w:rsidRPr="0076358A">
        <w:rPr>
          <w:lang w:val="es-ES"/>
        </w:rPr>
        <w:t xml:space="preserve"> las prácticas de economía circular y avanzar en aras de la consecución de los objetivos de desarrollo sostenible (ODS).</w:t>
      </w:r>
    </w:p>
    <w:p w14:paraId="0A1CEC96" w14:textId="32725E82" w:rsidR="006B3273" w:rsidRDefault="006B3273" w:rsidP="00BC1D2E">
      <w:pPr>
        <w:pStyle w:val="Figuretitle"/>
        <w:keepNext/>
        <w:rPr>
          <w:lang w:val="es-ES"/>
        </w:rPr>
      </w:pPr>
      <w:r w:rsidRPr="0076358A">
        <w:rPr>
          <w:lang w:val="es-ES"/>
        </w:rPr>
        <w:t xml:space="preserve">Residuos electrónicos generados, en millones </w:t>
      </w:r>
      <w:r w:rsidR="00355796">
        <w:rPr>
          <w:lang w:val="es-ES"/>
        </w:rPr>
        <w:t>de</w:t>
      </w:r>
      <w:r w:rsidR="007F571B">
        <w:rPr>
          <w:lang w:val="es-ES"/>
        </w:rPr>
        <w:t> </w:t>
      </w:r>
      <w:r w:rsidRPr="0076358A">
        <w:rPr>
          <w:lang w:val="es-ES"/>
        </w:rPr>
        <w:t xml:space="preserve">kg, 2022 </w:t>
      </w:r>
    </w:p>
    <w:p w14:paraId="06DC1C35" w14:textId="531A87B2" w:rsidR="00BC1D2E" w:rsidRPr="00BC1D2E" w:rsidRDefault="00BC1D2E" w:rsidP="00BC1D2E">
      <w:pPr>
        <w:rPr>
          <w:rFonts w:eastAsia="Yu Gothic Light"/>
          <w:lang w:val="es-ES"/>
        </w:rPr>
      </w:pPr>
      <w:r w:rsidRPr="00BC1D2E">
        <w:rPr>
          <w:rFonts w:eastAsia="Yu Gothic Light"/>
          <w:noProof/>
        </w:rPr>
        <w:drawing>
          <wp:inline distT="0" distB="0" distL="0" distR="0" wp14:anchorId="3BD490FB" wp14:editId="64CAB470">
            <wp:extent cx="6061400" cy="3107478"/>
            <wp:effectExtent l="0" t="0" r="0" b="0"/>
            <wp:docPr id="1645934665" name="Chart 1">
              <a:extLst xmlns:a="http://schemas.openxmlformats.org/drawingml/2006/main">
                <a:ext uri="{FF2B5EF4-FFF2-40B4-BE49-F238E27FC236}">
                  <a16:creationId xmlns:a16="http://schemas.microsoft.com/office/drawing/2014/main" id="{2810FD3C-056C-4D3C-8FFF-BC94EED6B7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2ACDFB5" w14:textId="1F9AC45E" w:rsidR="006B3273" w:rsidRPr="0076358A" w:rsidRDefault="006B3273" w:rsidP="00490BBD">
      <w:pPr>
        <w:pStyle w:val="Sourcetext"/>
        <w:rPr>
          <w:rFonts w:eastAsia="Aptos" w:cs="Arial"/>
        </w:rPr>
      </w:pPr>
      <w:r w:rsidRPr="0076358A">
        <w:t xml:space="preserve">Fuente: UIT y UNITAR, </w:t>
      </w:r>
      <w:hyperlink r:id="rId80" w:history="1">
        <w:r w:rsidR="00BC1D2E" w:rsidRPr="00BC1D2E">
          <w:rPr>
            <w:rStyle w:val="Hyperlink"/>
            <w:rFonts w:cs="Times New Roman"/>
            <w:kern w:val="0"/>
            <w14:ligatures w14:val="none"/>
          </w:rPr>
          <w:t>Global E-waste Monitor, 2024</w:t>
        </w:r>
      </w:hyperlink>
    </w:p>
    <w:p w14:paraId="0D0ED27D" w14:textId="502C2FD1" w:rsidR="006B3273" w:rsidRPr="0076358A" w:rsidRDefault="006B3273" w:rsidP="006B3273">
      <w:pPr>
        <w:spacing w:after="120" w:line="259" w:lineRule="auto"/>
        <w:rPr>
          <w:rFonts w:ascii="Aptos" w:eastAsia="Aptos" w:hAnsi="Aptos"/>
          <w:sz w:val="22"/>
          <w:szCs w:val="22"/>
          <w:lang w:val="es-ES"/>
        </w:rPr>
      </w:pPr>
      <w:r w:rsidRPr="0076358A">
        <w:rPr>
          <w:lang w:val="es-ES"/>
        </w:rPr>
        <w:t xml:space="preserve">Según el informe </w:t>
      </w:r>
      <w:hyperlink r:id="rId81">
        <w:r w:rsidR="00BC1D2E" w:rsidRPr="00BC1D2E">
          <w:rPr>
            <w:rStyle w:val="Hyperlink"/>
            <w:rFonts w:eastAsia="Aptos"/>
            <w:i/>
            <w:iCs/>
            <w:lang w:val="es-ES"/>
          </w:rPr>
          <w:t>Global E-waste Monitor (2024</w:t>
        </w:r>
      </w:hyperlink>
      <w:r w:rsidR="00BC1D2E" w:rsidRPr="00BC1D2E">
        <w:rPr>
          <w:rStyle w:val="Hyperlink"/>
          <w:i/>
          <w:iCs/>
          <w:lang w:val="es-ES"/>
        </w:rPr>
        <w:t>)</w:t>
      </w:r>
      <w:r w:rsidRPr="00BC1D2E">
        <w:rPr>
          <w:i/>
          <w:iCs/>
          <w:lang w:val="es-ES"/>
        </w:rPr>
        <w:t>,</w:t>
      </w:r>
      <w:r w:rsidRPr="0076358A">
        <w:rPr>
          <w:lang w:val="es-ES"/>
        </w:rPr>
        <w:t xml:space="preserve"> en 2022 la región de </w:t>
      </w:r>
      <w:r w:rsidR="00531467" w:rsidRPr="0076358A">
        <w:rPr>
          <w:lang w:val="es-ES"/>
        </w:rPr>
        <w:t>las Américas</w:t>
      </w:r>
      <w:r w:rsidRPr="0076358A">
        <w:rPr>
          <w:lang w:val="es-ES"/>
        </w:rPr>
        <w:t xml:space="preserve"> generó aproximadamente 14 300</w:t>
      </w:r>
      <w:r w:rsidR="00BC1D2E">
        <w:rPr>
          <w:lang w:val="es-ES"/>
        </w:rPr>
        <w:t> </w:t>
      </w:r>
      <w:r w:rsidRPr="0076358A">
        <w:rPr>
          <w:lang w:val="es-ES"/>
        </w:rPr>
        <w:t>millones de kg de residuos electrónicos, lo que representa casi el 23</w:t>
      </w:r>
      <w:r w:rsidR="00AC027A">
        <w:rPr>
          <w:lang w:val="es-ES"/>
        </w:rPr>
        <w:t> %</w:t>
      </w:r>
      <w:r w:rsidRPr="0076358A">
        <w:rPr>
          <w:lang w:val="es-ES"/>
        </w:rPr>
        <w:t xml:space="preserve"> del total de residuos electrónicos generados a escala mundial (62 000 millones de</w:t>
      </w:r>
      <w:r w:rsidR="007F571B">
        <w:rPr>
          <w:lang w:val="es-ES"/>
        </w:rPr>
        <w:t> </w:t>
      </w:r>
      <w:r w:rsidRPr="0076358A">
        <w:rPr>
          <w:lang w:val="es-ES"/>
        </w:rPr>
        <w:t>kg). No obstante, existen grandes disparidades en la región. Estados Unidos es el mayor contribuyente, ya que genera 7 200 millones de</w:t>
      </w:r>
      <w:r w:rsidR="007F571B">
        <w:rPr>
          <w:lang w:val="es-ES"/>
        </w:rPr>
        <w:t> </w:t>
      </w:r>
      <w:r w:rsidRPr="0076358A">
        <w:rPr>
          <w:lang w:val="es-ES"/>
        </w:rPr>
        <w:t>kg, lo que representa más del 50</w:t>
      </w:r>
      <w:r w:rsidR="00AC027A">
        <w:rPr>
          <w:lang w:val="es-ES"/>
        </w:rPr>
        <w:t> %</w:t>
      </w:r>
      <w:r w:rsidRPr="0076358A">
        <w:rPr>
          <w:lang w:val="es-ES"/>
        </w:rPr>
        <w:t xml:space="preserve"> del total de residuos electrónicos de la región. Brasil y México son los siguientes en cuanto a volumen generado, con 2</w:t>
      </w:r>
      <w:r w:rsidR="00355796">
        <w:rPr>
          <w:lang w:val="es-ES"/>
        </w:rPr>
        <w:t> </w:t>
      </w:r>
      <w:r w:rsidRPr="0076358A">
        <w:rPr>
          <w:lang w:val="es-ES"/>
        </w:rPr>
        <w:t>400</w:t>
      </w:r>
      <w:r w:rsidR="00BC1D2E">
        <w:rPr>
          <w:lang w:val="es-ES"/>
        </w:rPr>
        <w:t> </w:t>
      </w:r>
      <w:r w:rsidRPr="0076358A">
        <w:rPr>
          <w:lang w:val="es-ES"/>
        </w:rPr>
        <w:t>millones de kg y 1</w:t>
      </w:r>
      <w:r w:rsidR="00BC1D2E">
        <w:rPr>
          <w:lang w:val="es-ES"/>
        </w:rPr>
        <w:t> </w:t>
      </w:r>
      <w:r w:rsidRPr="0076358A">
        <w:rPr>
          <w:lang w:val="es-ES"/>
        </w:rPr>
        <w:t>400</w:t>
      </w:r>
      <w:r w:rsidR="00BC1D2E">
        <w:rPr>
          <w:lang w:val="es-ES"/>
        </w:rPr>
        <w:t> </w:t>
      </w:r>
      <w:r w:rsidRPr="0076358A">
        <w:rPr>
          <w:lang w:val="es-ES"/>
        </w:rPr>
        <w:t>millones de kg, respectivamente. Por el contrario, países más pequeños como Dominica, Granada y Saint Kitts y Nevis generaron 3</w:t>
      </w:r>
      <w:r w:rsidR="00BC1D2E">
        <w:rPr>
          <w:lang w:val="es-ES"/>
        </w:rPr>
        <w:t> </w:t>
      </w:r>
      <w:r w:rsidRPr="0076358A">
        <w:rPr>
          <w:lang w:val="es-ES"/>
        </w:rPr>
        <w:t>millones de kg de residuos electrónicos en conjunto, lo que representa menos del 0,1</w:t>
      </w:r>
      <w:r w:rsidR="00AC027A">
        <w:rPr>
          <w:lang w:val="es-ES"/>
        </w:rPr>
        <w:t> %</w:t>
      </w:r>
      <w:r w:rsidRPr="0076358A">
        <w:rPr>
          <w:lang w:val="es-ES"/>
        </w:rPr>
        <w:t xml:space="preserve"> del total. Esta significativa variación es fruto de las disparidades en términos de población, desarrollo económico y adopción tecnológica que presenta la región.</w:t>
      </w:r>
    </w:p>
    <w:p w14:paraId="7DE8A1A9" w14:textId="77777777" w:rsidR="006B3273" w:rsidRDefault="006B3273" w:rsidP="00BC1D2E">
      <w:pPr>
        <w:pStyle w:val="Figuretitle"/>
        <w:keepNext/>
        <w:rPr>
          <w:lang w:val="es-ES"/>
        </w:rPr>
      </w:pPr>
      <w:r w:rsidRPr="0076358A">
        <w:rPr>
          <w:lang w:val="es-ES"/>
        </w:rPr>
        <w:lastRenderedPageBreak/>
        <w:t>Residuos electrónicos generados per cápita, en kg, 2022</w:t>
      </w:r>
    </w:p>
    <w:p w14:paraId="2D58E1EA" w14:textId="36BF520D" w:rsidR="00BC1D2E" w:rsidRPr="00BC1D2E" w:rsidRDefault="00BC1D2E" w:rsidP="00BC1D2E">
      <w:pPr>
        <w:rPr>
          <w:rFonts w:eastAsia="Yu Gothic Light"/>
          <w:lang w:val="es-ES"/>
        </w:rPr>
      </w:pPr>
      <w:r w:rsidRPr="00BC1D2E">
        <w:rPr>
          <w:rFonts w:eastAsia="Yu Gothic Light"/>
          <w:noProof/>
        </w:rPr>
        <w:drawing>
          <wp:inline distT="0" distB="0" distL="0" distR="0" wp14:anchorId="64BB8806" wp14:editId="095E3D14">
            <wp:extent cx="6067095" cy="3060000"/>
            <wp:effectExtent l="0" t="0" r="0" b="7620"/>
            <wp:docPr id="2049508141" name="Chart 1">
              <a:extLst xmlns:a="http://schemas.openxmlformats.org/drawingml/2006/main">
                <a:ext uri="{FF2B5EF4-FFF2-40B4-BE49-F238E27FC236}">
                  <a16:creationId xmlns:a16="http://schemas.microsoft.com/office/drawing/2014/main" id="{F5DB489B-8F39-4324-8370-F55D59BDC7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08ED89D" w14:textId="0D42AA15" w:rsidR="006B3273" w:rsidRPr="0076358A" w:rsidRDefault="006B3273" w:rsidP="00490BBD">
      <w:pPr>
        <w:pStyle w:val="Sourcetext"/>
        <w:rPr>
          <w:rFonts w:eastAsia="Aptos" w:cs="Arial"/>
        </w:rPr>
      </w:pPr>
      <w:r w:rsidRPr="0076358A">
        <w:t xml:space="preserve">Fuente: UIT y UNITAR, </w:t>
      </w:r>
      <w:hyperlink r:id="rId83" w:history="1">
        <w:r w:rsidR="00BC1D2E" w:rsidRPr="00BC1D2E">
          <w:rPr>
            <w:rStyle w:val="Hyperlink"/>
            <w:rFonts w:cs="Times New Roman"/>
            <w:kern w:val="0"/>
            <w14:ligatures w14:val="none"/>
          </w:rPr>
          <w:t>Global E-waste Monitor, 2024</w:t>
        </w:r>
      </w:hyperlink>
    </w:p>
    <w:p w14:paraId="6318E190" w14:textId="1C6ADA7A"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Cabe la posibilidad de ahondar en el análisis de las tendencias relativas a los residuos electrónicos en las Américas examinando la generación de residuos electrónicos per cápita. Si bien el promedio regional de 14,1</w:t>
      </w:r>
      <w:r w:rsidR="009B72B4">
        <w:rPr>
          <w:lang w:val="es-ES"/>
        </w:rPr>
        <w:t> </w:t>
      </w:r>
      <w:r w:rsidRPr="0076358A">
        <w:rPr>
          <w:lang w:val="es-ES"/>
        </w:rPr>
        <w:t>kg per cápita es superior al promedio mundial de 7,8</w:t>
      </w:r>
      <w:r w:rsidR="009B72B4">
        <w:rPr>
          <w:lang w:val="es-ES"/>
        </w:rPr>
        <w:t> </w:t>
      </w:r>
      <w:r w:rsidRPr="0076358A">
        <w:rPr>
          <w:lang w:val="es-ES"/>
        </w:rPr>
        <w:t>kg, existe gran disparidad. Los países de renta alta, como Canadá y los Estados Unidos de América, ocupan los primeros puestos con 20,2</w:t>
      </w:r>
      <w:r w:rsidR="009B72B4">
        <w:rPr>
          <w:lang w:val="es-ES"/>
        </w:rPr>
        <w:t> </w:t>
      </w:r>
      <w:r w:rsidRPr="0076358A">
        <w:rPr>
          <w:lang w:val="es-ES"/>
        </w:rPr>
        <w:t>kg y 21,3</w:t>
      </w:r>
      <w:r w:rsidR="009B72B4">
        <w:rPr>
          <w:lang w:val="es-ES"/>
        </w:rPr>
        <w:t> </w:t>
      </w:r>
      <w:r w:rsidRPr="0076358A">
        <w:rPr>
          <w:lang w:val="es-ES"/>
        </w:rPr>
        <w:t>kg per cápita, respectivamente, más de 2,5 veces la media mundial. Países como Brasil y México generan 11,4</w:t>
      </w:r>
      <w:r w:rsidR="009B72B4">
        <w:rPr>
          <w:lang w:val="es-ES"/>
        </w:rPr>
        <w:t> </w:t>
      </w:r>
      <w:r w:rsidRPr="0076358A">
        <w:rPr>
          <w:lang w:val="es-ES"/>
        </w:rPr>
        <w:t>kg y</w:t>
      </w:r>
      <w:r w:rsidR="009B72B4">
        <w:rPr>
          <w:lang w:val="es-ES"/>
        </w:rPr>
        <w:t xml:space="preserve"> </w:t>
      </w:r>
      <w:r w:rsidRPr="0076358A">
        <w:rPr>
          <w:lang w:val="es-ES"/>
        </w:rPr>
        <w:t>11,8</w:t>
      </w:r>
      <w:r w:rsidR="009B72B4">
        <w:rPr>
          <w:lang w:val="es-ES"/>
        </w:rPr>
        <w:t> </w:t>
      </w:r>
      <w:r w:rsidRPr="0076358A">
        <w:rPr>
          <w:lang w:val="es-ES"/>
        </w:rPr>
        <w:t>kg per cápita, superando también la media mundial. Por el contrario, los países de renta más baja, como Haití y Nicaragua, con cifras de apenas 1,1</w:t>
      </w:r>
      <w:r w:rsidR="009B72B4">
        <w:rPr>
          <w:lang w:val="es-ES"/>
        </w:rPr>
        <w:t> </w:t>
      </w:r>
      <w:r w:rsidRPr="009B72B4">
        <w:rPr>
          <w:lang w:val="es-ES"/>
        </w:rPr>
        <w:t>kg</w:t>
      </w:r>
      <w:r w:rsidR="009B72B4" w:rsidRPr="009B72B4">
        <w:rPr>
          <w:lang w:val="es-ES"/>
        </w:rPr>
        <w:t xml:space="preserve"> </w:t>
      </w:r>
      <w:r w:rsidRPr="009B72B4">
        <w:rPr>
          <w:lang w:val="es-ES"/>
        </w:rPr>
        <w:t>y</w:t>
      </w:r>
      <w:r w:rsidRPr="0076358A">
        <w:rPr>
          <w:lang w:val="es-ES"/>
        </w:rPr>
        <w:t xml:space="preserve"> 3</w:t>
      </w:r>
      <w:r w:rsidR="009B72B4">
        <w:rPr>
          <w:lang w:val="es-ES"/>
        </w:rPr>
        <w:t> </w:t>
      </w:r>
      <w:r w:rsidRPr="0076358A">
        <w:rPr>
          <w:lang w:val="es-ES"/>
        </w:rPr>
        <w:t>kg, respectivamente, generan mucho menos residuos.</w:t>
      </w:r>
    </w:p>
    <w:p w14:paraId="4C924C0B" w14:textId="4205FA06"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A pesar de la importante generación de residuos electrónicos de la región, según los datos solo se recogió y recicló correctamente el 30</w:t>
      </w:r>
      <w:r w:rsidR="00AC027A">
        <w:rPr>
          <w:lang w:val="es-ES"/>
        </w:rPr>
        <w:t> %</w:t>
      </w:r>
      <w:r w:rsidRPr="0076358A">
        <w:rPr>
          <w:lang w:val="es-ES"/>
        </w:rPr>
        <w:t xml:space="preserve"> (4 300</w:t>
      </w:r>
      <w:r w:rsidR="009B72B4">
        <w:rPr>
          <w:lang w:val="es-ES"/>
        </w:rPr>
        <w:t> </w:t>
      </w:r>
      <w:r w:rsidRPr="0076358A">
        <w:rPr>
          <w:lang w:val="es-ES"/>
        </w:rPr>
        <w:t>millones de</w:t>
      </w:r>
      <w:r w:rsidR="009B72B4">
        <w:rPr>
          <w:lang w:val="es-ES"/>
        </w:rPr>
        <w:t> </w:t>
      </w:r>
      <w:r w:rsidRPr="0076358A">
        <w:rPr>
          <w:lang w:val="es-ES"/>
        </w:rPr>
        <w:t>kg) de los residuos electrónicos. Solo 20</w:t>
      </w:r>
      <w:r w:rsidR="009B72B4">
        <w:rPr>
          <w:lang w:val="es-ES"/>
        </w:rPr>
        <w:t> </w:t>
      </w:r>
      <w:r w:rsidRPr="0076358A">
        <w:rPr>
          <w:lang w:val="es-ES"/>
        </w:rPr>
        <w:t>países de las Américas informan sobre iniciativas formales de recolección y reciclaje, mientras que 15 países carecen de actividad de reciclaje oficial.</w:t>
      </w:r>
      <w:r w:rsidR="00DF1C96" w:rsidRPr="0076358A">
        <w:rPr>
          <w:lang w:val="es-ES"/>
        </w:rPr>
        <w:t xml:space="preserve"> </w:t>
      </w:r>
      <w:r w:rsidRPr="0076358A">
        <w:rPr>
          <w:lang w:val="es-ES"/>
        </w:rPr>
        <w:t>Estados Unidos de América lidera la región con 4</w:t>
      </w:r>
      <w:r w:rsidR="009B72B4">
        <w:rPr>
          <w:lang w:val="es-ES"/>
        </w:rPr>
        <w:t> </w:t>
      </w:r>
      <w:r w:rsidRPr="0076358A">
        <w:rPr>
          <w:lang w:val="es-ES"/>
        </w:rPr>
        <w:t>000</w:t>
      </w:r>
      <w:r w:rsidR="009B72B4">
        <w:rPr>
          <w:lang w:val="es-ES"/>
        </w:rPr>
        <w:t> </w:t>
      </w:r>
      <w:r w:rsidRPr="0076358A">
        <w:rPr>
          <w:lang w:val="es-ES"/>
        </w:rPr>
        <w:t>millones de</w:t>
      </w:r>
      <w:r w:rsidR="009B72B4">
        <w:rPr>
          <w:lang w:val="es-ES"/>
        </w:rPr>
        <w:t> </w:t>
      </w:r>
      <w:r w:rsidRPr="0076358A">
        <w:rPr>
          <w:lang w:val="es-ES"/>
        </w:rPr>
        <w:t>kg, que representan la mayor parte de los residuos electrónicos reciclados, seguido de Canadá con 98</w:t>
      </w:r>
      <w:r w:rsidR="009B72B4">
        <w:rPr>
          <w:lang w:val="es-ES"/>
        </w:rPr>
        <w:t> </w:t>
      </w:r>
      <w:r w:rsidRPr="0076358A">
        <w:rPr>
          <w:lang w:val="es-ES"/>
        </w:rPr>
        <w:t>millones de</w:t>
      </w:r>
      <w:r w:rsidR="009B72B4">
        <w:rPr>
          <w:lang w:val="es-ES"/>
        </w:rPr>
        <w:t> </w:t>
      </w:r>
      <w:r w:rsidRPr="0076358A">
        <w:rPr>
          <w:lang w:val="es-ES"/>
        </w:rPr>
        <w:t>kg y Brasil con 79</w:t>
      </w:r>
      <w:r w:rsidR="009B72B4">
        <w:rPr>
          <w:lang w:val="es-ES"/>
        </w:rPr>
        <w:t> </w:t>
      </w:r>
      <w:r w:rsidRPr="0076358A">
        <w:rPr>
          <w:lang w:val="es-ES"/>
        </w:rPr>
        <w:t>millones de</w:t>
      </w:r>
      <w:r w:rsidR="009B72B4">
        <w:rPr>
          <w:lang w:val="es-ES"/>
        </w:rPr>
        <w:t> </w:t>
      </w:r>
      <w:r w:rsidRPr="0076358A">
        <w:rPr>
          <w:lang w:val="es-ES"/>
        </w:rPr>
        <w:t>kg.</w:t>
      </w:r>
    </w:p>
    <w:p w14:paraId="237C3011" w14:textId="17055EF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Uno de los mayores retos de las Américas es la ausencia de políticas sólidas en materia de gestión de residuos electrónicos, ya que el número de países que ha promulgado marcos integrales es muy pequeño. Mientras que el 42</w:t>
      </w:r>
      <w:r w:rsidR="00AC027A">
        <w:rPr>
          <w:lang w:val="es-ES"/>
        </w:rPr>
        <w:t> %</w:t>
      </w:r>
      <w:r w:rsidRPr="0076358A">
        <w:rPr>
          <w:lang w:val="es-ES"/>
        </w:rPr>
        <w:t xml:space="preserve"> de los países del mundo (81 de 193) disponen de políticas, </w:t>
      </w:r>
      <w:r w:rsidR="00355796">
        <w:rPr>
          <w:lang w:val="es-ES"/>
        </w:rPr>
        <w:t>leyes</w:t>
      </w:r>
      <w:r w:rsidRPr="0076358A">
        <w:rPr>
          <w:lang w:val="es-ES"/>
        </w:rPr>
        <w:t xml:space="preserve"> o reglamentos nacionales en materia de residuos electrónicos, sólo 12 países de las Américas cuentan con medidas de este tipo, lo que representa el 35</w:t>
      </w:r>
      <w:r w:rsidR="00AC027A">
        <w:rPr>
          <w:lang w:val="es-ES"/>
        </w:rPr>
        <w:t> %</w:t>
      </w:r>
      <w:r w:rsidRPr="0076358A">
        <w:rPr>
          <w:lang w:val="es-ES"/>
        </w:rPr>
        <w:t xml:space="preserve"> de la región. </w:t>
      </w:r>
    </w:p>
    <w:p w14:paraId="6E4CCF7E" w14:textId="77777777" w:rsidR="006B3273" w:rsidRPr="00BC1D2E" w:rsidRDefault="006B3273" w:rsidP="00BC1D2E">
      <w:pPr>
        <w:tabs>
          <w:tab w:val="clear" w:pos="794"/>
          <w:tab w:val="clear" w:pos="1191"/>
          <w:tab w:val="clear" w:pos="1588"/>
          <w:tab w:val="clear" w:pos="1985"/>
        </w:tabs>
        <w:overflowPunct/>
        <w:autoSpaceDE/>
        <w:autoSpaceDN/>
        <w:adjustRightInd/>
        <w:spacing w:before="0" w:after="160" w:line="259" w:lineRule="auto"/>
        <w:textAlignment w:val="auto"/>
        <w:rPr>
          <w:lang w:val="es-ES"/>
        </w:rPr>
      </w:pPr>
      <w:r w:rsidRPr="0076358A">
        <w:rPr>
          <w:rFonts w:ascii="AvenirNext LT Pro Light" w:eastAsia="Yu Gothic Light" w:hAnsi="AvenirNext LT Pro Light" w:cs="Calibri"/>
          <w:color w:val="0070C0"/>
          <w:spacing w:val="-10"/>
          <w:kern w:val="28"/>
          <w:szCs w:val="24"/>
          <w:lang w:val="es-ES"/>
        </w:rPr>
        <w:br w:type="page"/>
      </w:r>
    </w:p>
    <w:p w14:paraId="13C11461" w14:textId="77777777" w:rsidR="006B3273" w:rsidRPr="009B72B4" w:rsidRDefault="006B3273" w:rsidP="009B72B4">
      <w:pPr>
        <w:pStyle w:val="Figuretitle"/>
        <w:keepNext/>
        <w:rPr>
          <w:lang w:val="es-ES"/>
        </w:rPr>
      </w:pPr>
      <w:r w:rsidRPr="0076358A">
        <w:rPr>
          <w:lang w:val="es-ES"/>
        </w:rPr>
        <w:lastRenderedPageBreak/>
        <w:t>Políticas y reglamentos en materia de residuos electrónicos, 2022</w:t>
      </w:r>
    </w:p>
    <w:tbl>
      <w:tblPr>
        <w:tblW w:w="5000" w:type="pct"/>
        <w:tblLayout w:type="fixed"/>
        <w:tblLook w:val="04A0" w:firstRow="1" w:lastRow="0" w:firstColumn="1" w:lastColumn="0" w:noHBand="0" w:noVBand="1"/>
      </w:tblPr>
      <w:tblGrid>
        <w:gridCol w:w="2296"/>
        <w:gridCol w:w="2050"/>
        <w:gridCol w:w="2173"/>
        <w:gridCol w:w="1663"/>
        <w:gridCol w:w="1589"/>
      </w:tblGrid>
      <w:tr w:rsidR="006B3273" w:rsidRPr="0076358A" w14:paraId="7D3A80A0" w14:textId="77777777" w:rsidTr="004A7CF6">
        <w:trPr>
          <w:trHeight w:val="20"/>
        </w:trPr>
        <w:tc>
          <w:tcPr>
            <w:tcW w:w="1175" w:type="pct"/>
            <w:tcBorders>
              <w:top w:val="single" w:sz="4" w:space="0" w:color="auto"/>
              <w:left w:val="single" w:sz="4" w:space="0" w:color="auto"/>
              <w:bottom w:val="single" w:sz="4" w:space="0" w:color="auto"/>
              <w:right w:val="single" w:sz="4" w:space="0" w:color="auto"/>
            </w:tcBorders>
            <w:shd w:val="clear" w:color="000000" w:fill="CAEDFB"/>
            <w:vAlign w:val="center"/>
          </w:tcPr>
          <w:p w14:paraId="71378D99"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b/>
                <w:color w:val="404040"/>
                <w:sz w:val="20"/>
                <w:lang w:val="es-ES" w:eastAsia="en-GB"/>
              </w:rPr>
            </w:pPr>
          </w:p>
        </w:tc>
        <w:tc>
          <w:tcPr>
            <w:tcW w:w="1049" w:type="pct"/>
            <w:tcBorders>
              <w:top w:val="single" w:sz="4" w:space="0" w:color="auto"/>
              <w:left w:val="nil"/>
              <w:bottom w:val="single" w:sz="4" w:space="0" w:color="auto"/>
              <w:right w:val="single" w:sz="4" w:space="0" w:color="auto"/>
            </w:tcBorders>
            <w:shd w:val="clear" w:color="000000" w:fill="CAEDFB"/>
            <w:vAlign w:val="center"/>
            <w:hideMark/>
          </w:tcPr>
          <w:p w14:paraId="7B4027E8"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20"/>
                <w:lang w:val="es-ES"/>
              </w:rPr>
            </w:pPr>
            <w:r w:rsidRPr="0076358A">
              <w:rPr>
                <w:b/>
                <w:bCs/>
                <w:color w:val="000000"/>
                <w:sz w:val="20"/>
                <w:lang w:val="es-ES"/>
              </w:rPr>
              <w:t>Legislación/política o reglamentación nacional en materia de residuos electrónicos</w:t>
            </w:r>
            <w:r w:rsidRPr="0076358A">
              <w:rPr>
                <w:color w:val="000000"/>
                <w:sz w:val="20"/>
                <w:lang w:val="es-ES"/>
              </w:rPr>
              <w:t xml:space="preserve"> </w:t>
            </w:r>
          </w:p>
        </w:tc>
        <w:tc>
          <w:tcPr>
            <w:tcW w:w="1112" w:type="pct"/>
            <w:tcBorders>
              <w:top w:val="single" w:sz="4" w:space="0" w:color="auto"/>
              <w:left w:val="nil"/>
              <w:bottom w:val="single" w:sz="4" w:space="0" w:color="auto"/>
              <w:right w:val="single" w:sz="4" w:space="0" w:color="auto"/>
            </w:tcBorders>
            <w:shd w:val="clear" w:color="000000" w:fill="CAEDFB"/>
            <w:vAlign w:val="center"/>
            <w:hideMark/>
          </w:tcPr>
          <w:p w14:paraId="6747DCE6"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20"/>
                <w:lang w:val="es-ES"/>
              </w:rPr>
            </w:pPr>
            <w:r w:rsidRPr="0076358A">
              <w:rPr>
                <w:b/>
                <w:bCs/>
                <w:color w:val="000000"/>
                <w:sz w:val="20"/>
                <w:lang w:val="es-ES"/>
              </w:rPr>
              <w:t>Marco de responsabilidad ampliada del productor (RAP) para los residuos electrónicos</w:t>
            </w:r>
          </w:p>
        </w:tc>
        <w:tc>
          <w:tcPr>
            <w:tcW w:w="851" w:type="pct"/>
            <w:tcBorders>
              <w:top w:val="single" w:sz="4" w:space="0" w:color="auto"/>
              <w:left w:val="nil"/>
              <w:bottom w:val="single" w:sz="4" w:space="0" w:color="auto"/>
              <w:right w:val="single" w:sz="4" w:space="0" w:color="auto"/>
            </w:tcBorders>
            <w:shd w:val="clear" w:color="000000" w:fill="CAEDFB"/>
            <w:vAlign w:val="center"/>
            <w:hideMark/>
          </w:tcPr>
          <w:p w14:paraId="4AF259DE"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20"/>
                <w:lang w:val="es-ES"/>
              </w:rPr>
            </w:pPr>
            <w:r w:rsidRPr="0076358A">
              <w:rPr>
                <w:b/>
                <w:bCs/>
                <w:color w:val="000000"/>
                <w:sz w:val="20"/>
                <w:lang w:val="es-ES"/>
              </w:rPr>
              <w:t>Objetivos de recogida</w:t>
            </w:r>
          </w:p>
        </w:tc>
        <w:tc>
          <w:tcPr>
            <w:tcW w:w="813" w:type="pct"/>
            <w:tcBorders>
              <w:top w:val="single" w:sz="4" w:space="0" w:color="auto"/>
              <w:left w:val="nil"/>
              <w:bottom w:val="single" w:sz="4" w:space="0" w:color="auto"/>
              <w:right w:val="single" w:sz="4" w:space="0" w:color="auto"/>
            </w:tcBorders>
            <w:shd w:val="clear" w:color="000000" w:fill="CAEDFB"/>
            <w:vAlign w:val="center"/>
            <w:hideMark/>
          </w:tcPr>
          <w:p w14:paraId="4E6E6C38"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20"/>
                <w:lang w:val="es-ES"/>
              </w:rPr>
            </w:pPr>
            <w:r w:rsidRPr="0076358A">
              <w:rPr>
                <w:b/>
                <w:bCs/>
                <w:color w:val="000000"/>
                <w:sz w:val="20"/>
                <w:lang w:val="es-ES"/>
              </w:rPr>
              <w:t>Objetivos de reciclado</w:t>
            </w:r>
          </w:p>
        </w:tc>
      </w:tr>
      <w:tr w:rsidR="006B3273" w:rsidRPr="0076358A" w14:paraId="0DC267C6"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486563A0"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rPr>
            </w:pPr>
            <w:r w:rsidRPr="0076358A">
              <w:rPr>
                <w:color w:val="000000"/>
                <w:sz w:val="20"/>
                <w:lang w:val="es-ES"/>
              </w:rPr>
              <w:t>Antigua y Barbuda</w:t>
            </w:r>
          </w:p>
        </w:tc>
        <w:tc>
          <w:tcPr>
            <w:tcW w:w="10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ABC15F"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No</w:t>
            </w:r>
          </w:p>
        </w:tc>
        <w:tc>
          <w:tcPr>
            <w:tcW w:w="1112" w:type="pct"/>
            <w:tcBorders>
              <w:top w:val="single" w:sz="4" w:space="0" w:color="auto"/>
              <w:left w:val="nil"/>
              <w:bottom w:val="single" w:sz="4" w:space="0" w:color="auto"/>
              <w:right w:val="single" w:sz="4" w:space="0" w:color="auto"/>
            </w:tcBorders>
            <w:shd w:val="clear" w:color="auto" w:fill="auto"/>
            <w:noWrap/>
            <w:vAlign w:val="bottom"/>
          </w:tcPr>
          <w:p w14:paraId="7C2647F4"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No</w:t>
            </w:r>
          </w:p>
        </w:tc>
        <w:tc>
          <w:tcPr>
            <w:tcW w:w="851" w:type="pct"/>
            <w:tcBorders>
              <w:top w:val="single" w:sz="4" w:space="0" w:color="auto"/>
              <w:left w:val="nil"/>
              <w:bottom w:val="single" w:sz="4" w:space="0" w:color="auto"/>
              <w:right w:val="single" w:sz="4" w:space="0" w:color="auto"/>
            </w:tcBorders>
            <w:shd w:val="clear" w:color="auto" w:fill="auto"/>
            <w:noWrap/>
            <w:vAlign w:val="bottom"/>
          </w:tcPr>
          <w:p w14:paraId="63A351F3"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No</w:t>
            </w:r>
          </w:p>
        </w:tc>
        <w:tc>
          <w:tcPr>
            <w:tcW w:w="813" w:type="pct"/>
            <w:tcBorders>
              <w:top w:val="single" w:sz="4" w:space="0" w:color="auto"/>
              <w:left w:val="nil"/>
              <w:bottom w:val="single" w:sz="4" w:space="0" w:color="auto"/>
              <w:right w:val="single" w:sz="4" w:space="0" w:color="auto"/>
            </w:tcBorders>
            <w:shd w:val="clear" w:color="auto" w:fill="auto"/>
            <w:noWrap/>
            <w:vAlign w:val="bottom"/>
          </w:tcPr>
          <w:p w14:paraId="0B8BD04A"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No</w:t>
            </w:r>
          </w:p>
        </w:tc>
      </w:tr>
      <w:tr w:rsidR="006B3273" w:rsidRPr="0076358A" w14:paraId="2CCD60C5"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7613D5F1"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rPr>
            </w:pPr>
            <w:r w:rsidRPr="0076358A">
              <w:rPr>
                <w:color w:val="000000"/>
                <w:sz w:val="20"/>
                <w:lang w:val="es-ES"/>
              </w:rPr>
              <w:t>Argentina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72037589"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Sí</w:t>
            </w:r>
          </w:p>
        </w:tc>
        <w:tc>
          <w:tcPr>
            <w:tcW w:w="1112" w:type="pct"/>
            <w:tcBorders>
              <w:top w:val="nil"/>
              <w:left w:val="nil"/>
              <w:bottom w:val="single" w:sz="4" w:space="0" w:color="auto"/>
              <w:right w:val="single" w:sz="4" w:space="0" w:color="auto"/>
            </w:tcBorders>
            <w:shd w:val="clear" w:color="auto" w:fill="auto"/>
            <w:noWrap/>
            <w:vAlign w:val="bottom"/>
          </w:tcPr>
          <w:p w14:paraId="09C0F3B2"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Sí</w:t>
            </w:r>
          </w:p>
        </w:tc>
        <w:tc>
          <w:tcPr>
            <w:tcW w:w="851" w:type="pct"/>
            <w:tcBorders>
              <w:top w:val="nil"/>
              <w:left w:val="nil"/>
              <w:bottom w:val="single" w:sz="4" w:space="0" w:color="auto"/>
              <w:right w:val="single" w:sz="4" w:space="0" w:color="auto"/>
            </w:tcBorders>
            <w:shd w:val="clear" w:color="auto" w:fill="auto"/>
            <w:noWrap/>
            <w:vAlign w:val="bottom"/>
          </w:tcPr>
          <w:p w14:paraId="4A51AEEF"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No</w:t>
            </w:r>
          </w:p>
        </w:tc>
        <w:tc>
          <w:tcPr>
            <w:tcW w:w="813" w:type="pct"/>
            <w:tcBorders>
              <w:top w:val="nil"/>
              <w:left w:val="nil"/>
              <w:bottom w:val="single" w:sz="4" w:space="0" w:color="auto"/>
              <w:right w:val="single" w:sz="4" w:space="0" w:color="auto"/>
            </w:tcBorders>
            <w:shd w:val="clear" w:color="auto" w:fill="auto"/>
            <w:noWrap/>
            <w:vAlign w:val="bottom"/>
          </w:tcPr>
          <w:p w14:paraId="3AB0D44D"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No</w:t>
            </w:r>
          </w:p>
        </w:tc>
      </w:tr>
      <w:tr w:rsidR="006B3273" w:rsidRPr="0076358A" w14:paraId="6DAC9D09"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5E063464"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rPr>
            </w:pPr>
            <w:r w:rsidRPr="0076358A">
              <w:rPr>
                <w:color w:val="000000"/>
                <w:sz w:val="20"/>
                <w:lang w:val="es-ES"/>
              </w:rPr>
              <w:t>Bahamas</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2F14BD77"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No</w:t>
            </w:r>
          </w:p>
        </w:tc>
        <w:tc>
          <w:tcPr>
            <w:tcW w:w="1112" w:type="pct"/>
            <w:tcBorders>
              <w:top w:val="nil"/>
              <w:left w:val="nil"/>
              <w:bottom w:val="single" w:sz="4" w:space="0" w:color="auto"/>
              <w:right w:val="single" w:sz="4" w:space="0" w:color="auto"/>
            </w:tcBorders>
            <w:shd w:val="clear" w:color="auto" w:fill="auto"/>
            <w:noWrap/>
            <w:vAlign w:val="bottom"/>
          </w:tcPr>
          <w:p w14:paraId="49B54F9A"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No</w:t>
            </w:r>
          </w:p>
        </w:tc>
        <w:tc>
          <w:tcPr>
            <w:tcW w:w="851" w:type="pct"/>
            <w:tcBorders>
              <w:top w:val="nil"/>
              <w:left w:val="nil"/>
              <w:bottom w:val="single" w:sz="4" w:space="0" w:color="auto"/>
              <w:right w:val="single" w:sz="4" w:space="0" w:color="auto"/>
            </w:tcBorders>
            <w:shd w:val="clear" w:color="auto" w:fill="auto"/>
            <w:noWrap/>
            <w:vAlign w:val="bottom"/>
          </w:tcPr>
          <w:p w14:paraId="4BBBAAD3"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No</w:t>
            </w:r>
          </w:p>
        </w:tc>
        <w:tc>
          <w:tcPr>
            <w:tcW w:w="813" w:type="pct"/>
            <w:tcBorders>
              <w:top w:val="nil"/>
              <w:left w:val="nil"/>
              <w:bottom w:val="single" w:sz="4" w:space="0" w:color="auto"/>
              <w:right w:val="single" w:sz="4" w:space="0" w:color="auto"/>
            </w:tcBorders>
            <w:shd w:val="clear" w:color="auto" w:fill="auto"/>
            <w:noWrap/>
            <w:vAlign w:val="bottom"/>
          </w:tcPr>
          <w:p w14:paraId="79953F5C"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No</w:t>
            </w:r>
          </w:p>
        </w:tc>
      </w:tr>
      <w:tr w:rsidR="006B3273" w:rsidRPr="0076358A" w14:paraId="2B3CDE05"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121162C6"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rPr>
            </w:pPr>
            <w:r w:rsidRPr="0076358A">
              <w:rPr>
                <w:color w:val="000000"/>
                <w:sz w:val="20"/>
                <w:lang w:val="es-ES"/>
              </w:rPr>
              <w:t>Barbados</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40070D30"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No</w:t>
            </w:r>
          </w:p>
        </w:tc>
        <w:tc>
          <w:tcPr>
            <w:tcW w:w="1112" w:type="pct"/>
            <w:tcBorders>
              <w:top w:val="nil"/>
              <w:left w:val="nil"/>
              <w:bottom w:val="single" w:sz="4" w:space="0" w:color="auto"/>
              <w:right w:val="single" w:sz="4" w:space="0" w:color="auto"/>
            </w:tcBorders>
            <w:shd w:val="clear" w:color="auto" w:fill="auto"/>
            <w:noWrap/>
            <w:vAlign w:val="bottom"/>
          </w:tcPr>
          <w:p w14:paraId="6991BA4F"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No</w:t>
            </w:r>
          </w:p>
        </w:tc>
        <w:tc>
          <w:tcPr>
            <w:tcW w:w="851" w:type="pct"/>
            <w:tcBorders>
              <w:top w:val="nil"/>
              <w:left w:val="nil"/>
              <w:bottom w:val="single" w:sz="4" w:space="0" w:color="auto"/>
              <w:right w:val="single" w:sz="4" w:space="0" w:color="auto"/>
            </w:tcBorders>
            <w:shd w:val="clear" w:color="auto" w:fill="auto"/>
            <w:noWrap/>
            <w:vAlign w:val="bottom"/>
          </w:tcPr>
          <w:p w14:paraId="16A55AAB"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No</w:t>
            </w:r>
          </w:p>
        </w:tc>
        <w:tc>
          <w:tcPr>
            <w:tcW w:w="813" w:type="pct"/>
            <w:tcBorders>
              <w:top w:val="nil"/>
              <w:left w:val="nil"/>
              <w:bottom w:val="single" w:sz="4" w:space="0" w:color="auto"/>
              <w:right w:val="single" w:sz="4" w:space="0" w:color="auto"/>
            </w:tcBorders>
            <w:shd w:val="clear" w:color="auto" w:fill="auto"/>
            <w:noWrap/>
            <w:vAlign w:val="bottom"/>
          </w:tcPr>
          <w:p w14:paraId="60941029"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No</w:t>
            </w:r>
          </w:p>
        </w:tc>
      </w:tr>
      <w:tr w:rsidR="006B3273" w:rsidRPr="0076358A" w14:paraId="18F1181F"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591E3996"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rPr>
            </w:pPr>
            <w:r w:rsidRPr="0076358A">
              <w:rPr>
                <w:color w:val="000000"/>
                <w:sz w:val="20"/>
                <w:lang w:val="es-ES"/>
              </w:rPr>
              <w:t>Belice</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77940C2D"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No</w:t>
            </w:r>
          </w:p>
        </w:tc>
        <w:tc>
          <w:tcPr>
            <w:tcW w:w="1112" w:type="pct"/>
            <w:tcBorders>
              <w:top w:val="nil"/>
              <w:left w:val="nil"/>
              <w:bottom w:val="single" w:sz="4" w:space="0" w:color="auto"/>
              <w:right w:val="single" w:sz="4" w:space="0" w:color="auto"/>
            </w:tcBorders>
            <w:shd w:val="clear" w:color="auto" w:fill="auto"/>
            <w:noWrap/>
            <w:vAlign w:val="bottom"/>
          </w:tcPr>
          <w:p w14:paraId="05A40EA4"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No</w:t>
            </w:r>
          </w:p>
        </w:tc>
        <w:tc>
          <w:tcPr>
            <w:tcW w:w="851" w:type="pct"/>
            <w:tcBorders>
              <w:top w:val="nil"/>
              <w:left w:val="nil"/>
              <w:bottom w:val="single" w:sz="4" w:space="0" w:color="auto"/>
              <w:right w:val="single" w:sz="4" w:space="0" w:color="auto"/>
            </w:tcBorders>
            <w:shd w:val="clear" w:color="auto" w:fill="auto"/>
            <w:noWrap/>
            <w:vAlign w:val="bottom"/>
          </w:tcPr>
          <w:p w14:paraId="01D25976"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No</w:t>
            </w:r>
          </w:p>
        </w:tc>
        <w:tc>
          <w:tcPr>
            <w:tcW w:w="813" w:type="pct"/>
            <w:tcBorders>
              <w:top w:val="nil"/>
              <w:left w:val="nil"/>
              <w:bottom w:val="single" w:sz="4" w:space="0" w:color="auto"/>
              <w:right w:val="single" w:sz="4" w:space="0" w:color="auto"/>
            </w:tcBorders>
            <w:shd w:val="clear" w:color="auto" w:fill="auto"/>
            <w:noWrap/>
            <w:vAlign w:val="bottom"/>
          </w:tcPr>
          <w:p w14:paraId="7DBEB9F6"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No</w:t>
            </w:r>
          </w:p>
        </w:tc>
      </w:tr>
      <w:tr w:rsidR="006B3273" w:rsidRPr="0076358A" w14:paraId="53CF6182"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74370A24"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rPr>
            </w:pPr>
            <w:r w:rsidRPr="0076358A">
              <w:rPr>
                <w:color w:val="000000"/>
                <w:sz w:val="20"/>
                <w:lang w:val="es-ES"/>
              </w:rPr>
              <w:t>Bolivia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7E8CFFB6"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Sí</w:t>
            </w:r>
          </w:p>
        </w:tc>
        <w:tc>
          <w:tcPr>
            <w:tcW w:w="1112" w:type="pct"/>
            <w:tcBorders>
              <w:top w:val="nil"/>
              <w:left w:val="nil"/>
              <w:bottom w:val="single" w:sz="4" w:space="0" w:color="auto"/>
              <w:right w:val="single" w:sz="4" w:space="0" w:color="auto"/>
            </w:tcBorders>
            <w:shd w:val="clear" w:color="auto" w:fill="auto"/>
            <w:noWrap/>
            <w:vAlign w:val="bottom"/>
          </w:tcPr>
          <w:p w14:paraId="023AD40B"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Sí</w:t>
            </w:r>
          </w:p>
        </w:tc>
        <w:tc>
          <w:tcPr>
            <w:tcW w:w="851" w:type="pct"/>
            <w:tcBorders>
              <w:top w:val="nil"/>
              <w:left w:val="nil"/>
              <w:bottom w:val="single" w:sz="4" w:space="0" w:color="auto"/>
              <w:right w:val="single" w:sz="4" w:space="0" w:color="auto"/>
            </w:tcBorders>
            <w:shd w:val="clear" w:color="auto" w:fill="auto"/>
            <w:noWrap/>
            <w:vAlign w:val="bottom"/>
          </w:tcPr>
          <w:p w14:paraId="25E56544"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No</w:t>
            </w:r>
          </w:p>
        </w:tc>
        <w:tc>
          <w:tcPr>
            <w:tcW w:w="813" w:type="pct"/>
            <w:tcBorders>
              <w:top w:val="nil"/>
              <w:left w:val="nil"/>
              <w:bottom w:val="single" w:sz="4" w:space="0" w:color="auto"/>
              <w:right w:val="single" w:sz="4" w:space="0" w:color="auto"/>
            </w:tcBorders>
            <w:shd w:val="clear" w:color="auto" w:fill="auto"/>
            <w:noWrap/>
            <w:vAlign w:val="bottom"/>
          </w:tcPr>
          <w:p w14:paraId="6C6AAF2E"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No</w:t>
            </w:r>
          </w:p>
        </w:tc>
      </w:tr>
      <w:tr w:rsidR="006B3273" w:rsidRPr="0076358A" w14:paraId="6FD986EA"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55DCA459"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rPr>
            </w:pPr>
            <w:r w:rsidRPr="0076358A">
              <w:rPr>
                <w:color w:val="000000"/>
                <w:sz w:val="20"/>
                <w:lang w:val="es-ES"/>
              </w:rPr>
              <w:t>Brasil</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0C99C84C"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Sí</w:t>
            </w:r>
          </w:p>
        </w:tc>
        <w:tc>
          <w:tcPr>
            <w:tcW w:w="1112" w:type="pct"/>
            <w:tcBorders>
              <w:top w:val="nil"/>
              <w:left w:val="nil"/>
              <w:bottom w:val="single" w:sz="4" w:space="0" w:color="auto"/>
              <w:right w:val="single" w:sz="4" w:space="0" w:color="auto"/>
            </w:tcBorders>
            <w:shd w:val="clear" w:color="auto" w:fill="auto"/>
            <w:noWrap/>
            <w:vAlign w:val="bottom"/>
          </w:tcPr>
          <w:p w14:paraId="02A5B68C"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Sí</w:t>
            </w:r>
          </w:p>
        </w:tc>
        <w:tc>
          <w:tcPr>
            <w:tcW w:w="851" w:type="pct"/>
            <w:tcBorders>
              <w:top w:val="nil"/>
              <w:left w:val="nil"/>
              <w:bottom w:val="single" w:sz="4" w:space="0" w:color="auto"/>
              <w:right w:val="single" w:sz="4" w:space="0" w:color="auto"/>
            </w:tcBorders>
            <w:shd w:val="clear" w:color="auto" w:fill="auto"/>
            <w:noWrap/>
            <w:vAlign w:val="bottom"/>
          </w:tcPr>
          <w:p w14:paraId="2A58CF69"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Sí</w:t>
            </w:r>
          </w:p>
        </w:tc>
        <w:tc>
          <w:tcPr>
            <w:tcW w:w="813" w:type="pct"/>
            <w:tcBorders>
              <w:top w:val="nil"/>
              <w:left w:val="nil"/>
              <w:bottom w:val="single" w:sz="4" w:space="0" w:color="auto"/>
              <w:right w:val="single" w:sz="4" w:space="0" w:color="auto"/>
            </w:tcBorders>
            <w:shd w:val="clear" w:color="auto" w:fill="auto"/>
            <w:noWrap/>
            <w:vAlign w:val="bottom"/>
          </w:tcPr>
          <w:p w14:paraId="2C19AB9E"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No</w:t>
            </w:r>
          </w:p>
        </w:tc>
      </w:tr>
      <w:tr w:rsidR="006B3273" w:rsidRPr="0076358A" w14:paraId="72AE4FBF"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0719B9E5"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rPr>
            </w:pPr>
            <w:r w:rsidRPr="0076358A">
              <w:rPr>
                <w:color w:val="000000"/>
                <w:sz w:val="20"/>
                <w:lang w:val="es-ES"/>
              </w:rPr>
              <w:t>Canadá</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00FD357A"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Sí</w:t>
            </w:r>
          </w:p>
        </w:tc>
        <w:tc>
          <w:tcPr>
            <w:tcW w:w="1112" w:type="pct"/>
            <w:tcBorders>
              <w:top w:val="nil"/>
              <w:left w:val="nil"/>
              <w:bottom w:val="single" w:sz="4" w:space="0" w:color="auto"/>
              <w:right w:val="single" w:sz="4" w:space="0" w:color="auto"/>
            </w:tcBorders>
            <w:shd w:val="clear" w:color="auto" w:fill="auto"/>
            <w:noWrap/>
            <w:vAlign w:val="bottom"/>
          </w:tcPr>
          <w:p w14:paraId="0CF92E0A"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No</w:t>
            </w:r>
          </w:p>
        </w:tc>
        <w:tc>
          <w:tcPr>
            <w:tcW w:w="851" w:type="pct"/>
            <w:tcBorders>
              <w:top w:val="nil"/>
              <w:left w:val="nil"/>
              <w:bottom w:val="single" w:sz="4" w:space="0" w:color="auto"/>
              <w:right w:val="single" w:sz="4" w:space="0" w:color="auto"/>
            </w:tcBorders>
            <w:shd w:val="clear" w:color="auto" w:fill="auto"/>
            <w:noWrap/>
            <w:vAlign w:val="bottom"/>
          </w:tcPr>
          <w:p w14:paraId="4E67E942"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No</w:t>
            </w:r>
          </w:p>
        </w:tc>
        <w:tc>
          <w:tcPr>
            <w:tcW w:w="813" w:type="pct"/>
            <w:tcBorders>
              <w:top w:val="nil"/>
              <w:left w:val="nil"/>
              <w:bottom w:val="single" w:sz="4" w:space="0" w:color="auto"/>
              <w:right w:val="single" w:sz="4" w:space="0" w:color="auto"/>
            </w:tcBorders>
            <w:shd w:val="clear" w:color="auto" w:fill="auto"/>
            <w:noWrap/>
            <w:vAlign w:val="bottom"/>
          </w:tcPr>
          <w:p w14:paraId="036C7417"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No</w:t>
            </w:r>
          </w:p>
        </w:tc>
      </w:tr>
      <w:tr w:rsidR="006B3273" w:rsidRPr="0076358A" w14:paraId="148671C5"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243657D6"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rPr>
            </w:pPr>
            <w:r w:rsidRPr="0076358A">
              <w:rPr>
                <w:color w:val="000000"/>
                <w:sz w:val="20"/>
                <w:lang w:val="es-ES"/>
              </w:rPr>
              <w:t>Chile</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53D4738C"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Sí</w:t>
            </w:r>
          </w:p>
        </w:tc>
        <w:tc>
          <w:tcPr>
            <w:tcW w:w="1112" w:type="pct"/>
            <w:tcBorders>
              <w:top w:val="nil"/>
              <w:left w:val="nil"/>
              <w:bottom w:val="single" w:sz="4" w:space="0" w:color="auto"/>
              <w:right w:val="single" w:sz="4" w:space="0" w:color="auto"/>
            </w:tcBorders>
            <w:shd w:val="clear" w:color="auto" w:fill="auto"/>
            <w:noWrap/>
            <w:vAlign w:val="bottom"/>
          </w:tcPr>
          <w:p w14:paraId="1861B4A7"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Sí</w:t>
            </w:r>
          </w:p>
        </w:tc>
        <w:tc>
          <w:tcPr>
            <w:tcW w:w="851" w:type="pct"/>
            <w:tcBorders>
              <w:top w:val="nil"/>
              <w:left w:val="nil"/>
              <w:bottom w:val="single" w:sz="4" w:space="0" w:color="auto"/>
              <w:right w:val="single" w:sz="4" w:space="0" w:color="auto"/>
            </w:tcBorders>
            <w:shd w:val="clear" w:color="auto" w:fill="auto"/>
            <w:noWrap/>
            <w:vAlign w:val="bottom"/>
          </w:tcPr>
          <w:p w14:paraId="775C28A1"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No</w:t>
            </w:r>
          </w:p>
        </w:tc>
        <w:tc>
          <w:tcPr>
            <w:tcW w:w="813" w:type="pct"/>
            <w:tcBorders>
              <w:top w:val="nil"/>
              <w:left w:val="nil"/>
              <w:bottom w:val="single" w:sz="4" w:space="0" w:color="auto"/>
              <w:right w:val="single" w:sz="4" w:space="0" w:color="auto"/>
            </w:tcBorders>
            <w:shd w:val="clear" w:color="auto" w:fill="auto"/>
            <w:noWrap/>
            <w:vAlign w:val="bottom"/>
          </w:tcPr>
          <w:p w14:paraId="258FB102"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No</w:t>
            </w:r>
          </w:p>
        </w:tc>
      </w:tr>
      <w:tr w:rsidR="006B3273" w:rsidRPr="0076358A" w14:paraId="773D1DB2"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04C75675"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rPr>
            </w:pPr>
            <w:r w:rsidRPr="0076358A">
              <w:rPr>
                <w:color w:val="000000"/>
                <w:sz w:val="20"/>
                <w:lang w:val="es-ES"/>
              </w:rPr>
              <w:t>Colombia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6E4C6958"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Sí</w:t>
            </w:r>
          </w:p>
        </w:tc>
        <w:tc>
          <w:tcPr>
            <w:tcW w:w="1112" w:type="pct"/>
            <w:tcBorders>
              <w:top w:val="nil"/>
              <w:left w:val="nil"/>
              <w:bottom w:val="single" w:sz="4" w:space="0" w:color="auto"/>
              <w:right w:val="single" w:sz="4" w:space="0" w:color="auto"/>
            </w:tcBorders>
            <w:shd w:val="clear" w:color="auto" w:fill="auto"/>
            <w:noWrap/>
            <w:vAlign w:val="bottom"/>
          </w:tcPr>
          <w:p w14:paraId="04724092"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Sí</w:t>
            </w:r>
          </w:p>
        </w:tc>
        <w:tc>
          <w:tcPr>
            <w:tcW w:w="851" w:type="pct"/>
            <w:tcBorders>
              <w:top w:val="nil"/>
              <w:left w:val="nil"/>
              <w:bottom w:val="single" w:sz="4" w:space="0" w:color="auto"/>
              <w:right w:val="single" w:sz="4" w:space="0" w:color="auto"/>
            </w:tcBorders>
            <w:shd w:val="clear" w:color="auto" w:fill="auto"/>
            <w:noWrap/>
            <w:vAlign w:val="bottom"/>
          </w:tcPr>
          <w:p w14:paraId="2E23CE39"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Sí</w:t>
            </w:r>
          </w:p>
        </w:tc>
        <w:tc>
          <w:tcPr>
            <w:tcW w:w="813" w:type="pct"/>
            <w:tcBorders>
              <w:top w:val="nil"/>
              <w:left w:val="nil"/>
              <w:bottom w:val="single" w:sz="4" w:space="0" w:color="auto"/>
              <w:right w:val="single" w:sz="4" w:space="0" w:color="auto"/>
            </w:tcBorders>
            <w:shd w:val="clear" w:color="auto" w:fill="auto"/>
            <w:noWrap/>
            <w:vAlign w:val="bottom"/>
          </w:tcPr>
          <w:p w14:paraId="2EAB287D"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No</w:t>
            </w:r>
          </w:p>
        </w:tc>
      </w:tr>
      <w:tr w:rsidR="006B3273" w:rsidRPr="0076358A" w14:paraId="1097B4B4"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7EA93124"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rPr>
            </w:pPr>
            <w:r w:rsidRPr="0076358A">
              <w:rPr>
                <w:color w:val="000000"/>
                <w:sz w:val="20"/>
                <w:lang w:val="es-ES"/>
              </w:rPr>
              <w:t>Costa Rica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3BCF3F78"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Sí</w:t>
            </w:r>
          </w:p>
        </w:tc>
        <w:tc>
          <w:tcPr>
            <w:tcW w:w="1112" w:type="pct"/>
            <w:tcBorders>
              <w:top w:val="nil"/>
              <w:left w:val="nil"/>
              <w:bottom w:val="single" w:sz="4" w:space="0" w:color="auto"/>
              <w:right w:val="single" w:sz="4" w:space="0" w:color="auto"/>
            </w:tcBorders>
            <w:shd w:val="clear" w:color="auto" w:fill="auto"/>
            <w:noWrap/>
            <w:vAlign w:val="bottom"/>
          </w:tcPr>
          <w:p w14:paraId="18C2AF25"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Sí</w:t>
            </w:r>
          </w:p>
        </w:tc>
        <w:tc>
          <w:tcPr>
            <w:tcW w:w="851" w:type="pct"/>
            <w:tcBorders>
              <w:top w:val="nil"/>
              <w:left w:val="nil"/>
              <w:bottom w:val="single" w:sz="4" w:space="0" w:color="auto"/>
              <w:right w:val="single" w:sz="4" w:space="0" w:color="auto"/>
            </w:tcBorders>
            <w:shd w:val="clear" w:color="auto" w:fill="auto"/>
            <w:noWrap/>
            <w:vAlign w:val="bottom"/>
          </w:tcPr>
          <w:p w14:paraId="7FC5DC07"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13" w:type="pct"/>
            <w:tcBorders>
              <w:top w:val="nil"/>
              <w:left w:val="nil"/>
              <w:bottom w:val="single" w:sz="4" w:space="0" w:color="auto"/>
              <w:right w:val="single" w:sz="4" w:space="0" w:color="auto"/>
            </w:tcBorders>
            <w:shd w:val="clear" w:color="auto" w:fill="auto"/>
            <w:noWrap/>
            <w:vAlign w:val="bottom"/>
          </w:tcPr>
          <w:p w14:paraId="64970495"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r>
      <w:tr w:rsidR="006B3273" w:rsidRPr="0076358A" w14:paraId="7659DFF2"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26FC1870"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rPr>
            </w:pPr>
            <w:r w:rsidRPr="0076358A">
              <w:rPr>
                <w:color w:val="000000"/>
                <w:sz w:val="20"/>
                <w:lang w:val="es-ES"/>
              </w:rPr>
              <w:t>Cuba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30423942" w14:textId="5739E3B1"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000000"/>
                <w:sz w:val="20"/>
                <w:lang w:val="es-ES"/>
              </w:rPr>
            </w:pPr>
            <w:r w:rsidRPr="0076358A">
              <w:rPr>
                <w:color w:val="000000"/>
                <w:sz w:val="20"/>
                <w:lang w:val="es-ES"/>
              </w:rPr>
              <w:t>N/D</w:t>
            </w:r>
          </w:p>
        </w:tc>
        <w:tc>
          <w:tcPr>
            <w:tcW w:w="1112" w:type="pct"/>
            <w:tcBorders>
              <w:top w:val="nil"/>
              <w:left w:val="nil"/>
              <w:bottom w:val="single" w:sz="4" w:space="0" w:color="auto"/>
              <w:right w:val="single" w:sz="4" w:space="0" w:color="auto"/>
            </w:tcBorders>
            <w:shd w:val="clear" w:color="auto" w:fill="auto"/>
            <w:noWrap/>
          </w:tcPr>
          <w:p w14:paraId="779B7822"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N/D</w:t>
            </w:r>
          </w:p>
        </w:tc>
        <w:tc>
          <w:tcPr>
            <w:tcW w:w="851" w:type="pct"/>
            <w:tcBorders>
              <w:top w:val="nil"/>
              <w:left w:val="nil"/>
              <w:bottom w:val="single" w:sz="4" w:space="0" w:color="auto"/>
              <w:right w:val="single" w:sz="4" w:space="0" w:color="auto"/>
            </w:tcBorders>
            <w:shd w:val="clear" w:color="auto" w:fill="auto"/>
            <w:noWrap/>
          </w:tcPr>
          <w:p w14:paraId="225CA46B"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N/D</w:t>
            </w:r>
          </w:p>
        </w:tc>
        <w:tc>
          <w:tcPr>
            <w:tcW w:w="813" w:type="pct"/>
            <w:tcBorders>
              <w:top w:val="nil"/>
              <w:left w:val="nil"/>
              <w:bottom w:val="single" w:sz="4" w:space="0" w:color="auto"/>
              <w:right w:val="single" w:sz="4" w:space="0" w:color="auto"/>
            </w:tcBorders>
            <w:shd w:val="clear" w:color="auto" w:fill="auto"/>
            <w:noWrap/>
          </w:tcPr>
          <w:p w14:paraId="571C5E48"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N/D</w:t>
            </w:r>
          </w:p>
        </w:tc>
      </w:tr>
      <w:tr w:rsidR="006B3273" w:rsidRPr="0076358A" w14:paraId="2B2587DD"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70F1476A"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rPr>
            </w:pPr>
            <w:r w:rsidRPr="0076358A">
              <w:rPr>
                <w:color w:val="000000"/>
                <w:sz w:val="20"/>
                <w:lang w:val="es-ES"/>
              </w:rPr>
              <w:t>Dominica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734D9B20"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1112" w:type="pct"/>
            <w:tcBorders>
              <w:top w:val="nil"/>
              <w:left w:val="nil"/>
              <w:bottom w:val="single" w:sz="4" w:space="0" w:color="auto"/>
              <w:right w:val="single" w:sz="4" w:space="0" w:color="auto"/>
            </w:tcBorders>
            <w:shd w:val="clear" w:color="auto" w:fill="auto"/>
            <w:noWrap/>
            <w:vAlign w:val="bottom"/>
          </w:tcPr>
          <w:p w14:paraId="034510F1"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51" w:type="pct"/>
            <w:tcBorders>
              <w:top w:val="nil"/>
              <w:left w:val="nil"/>
              <w:bottom w:val="single" w:sz="4" w:space="0" w:color="auto"/>
              <w:right w:val="single" w:sz="4" w:space="0" w:color="auto"/>
            </w:tcBorders>
            <w:shd w:val="clear" w:color="auto" w:fill="auto"/>
            <w:noWrap/>
            <w:vAlign w:val="bottom"/>
          </w:tcPr>
          <w:p w14:paraId="0BA799D6"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13" w:type="pct"/>
            <w:tcBorders>
              <w:top w:val="nil"/>
              <w:left w:val="nil"/>
              <w:bottom w:val="single" w:sz="4" w:space="0" w:color="auto"/>
              <w:right w:val="single" w:sz="4" w:space="0" w:color="auto"/>
            </w:tcBorders>
            <w:shd w:val="clear" w:color="auto" w:fill="auto"/>
            <w:noWrap/>
            <w:vAlign w:val="bottom"/>
          </w:tcPr>
          <w:p w14:paraId="37C567A2"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r>
      <w:tr w:rsidR="006B3273" w:rsidRPr="0076358A" w14:paraId="3347438C"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59D9E18E" w14:textId="0A1D599A" w:rsidR="006B3273" w:rsidRPr="0076358A" w:rsidRDefault="007E7F1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eastAsia="en-GB"/>
              </w:rPr>
            </w:pPr>
            <w:r w:rsidRPr="0076358A">
              <w:rPr>
                <w:rFonts w:ascii="Aptos" w:hAnsi="Aptos"/>
                <w:color w:val="000000"/>
                <w:sz w:val="20"/>
                <w:lang w:val="es-ES"/>
              </w:rPr>
              <w:t xml:space="preserve">Rep. </w:t>
            </w:r>
            <w:r w:rsidR="006B3273" w:rsidRPr="0076358A">
              <w:rPr>
                <w:rFonts w:ascii="Aptos" w:hAnsi="Aptos"/>
                <w:color w:val="000000"/>
                <w:sz w:val="20"/>
                <w:lang w:val="es-ES"/>
              </w:rPr>
              <w:t>Dominican</w:t>
            </w:r>
            <w:r w:rsidRPr="0076358A">
              <w:rPr>
                <w:rFonts w:ascii="Aptos" w:hAnsi="Aptos"/>
                <w:color w:val="000000"/>
                <w:sz w:val="20"/>
                <w:lang w:val="es-ES"/>
              </w:rPr>
              <w:t>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16AEEE3D" w14:textId="7C75179D" w:rsidR="006B3273" w:rsidRPr="0076358A" w:rsidRDefault="00A3042A"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Sí</w:t>
            </w:r>
          </w:p>
        </w:tc>
        <w:tc>
          <w:tcPr>
            <w:tcW w:w="1112" w:type="pct"/>
            <w:tcBorders>
              <w:top w:val="nil"/>
              <w:left w:val="nil"/>
              <w:bottom w:val="single" w:sz="4" w:space="0" w:color="auto"/>
              <w:right w:val="single" w:sz="4" w:space="0" w:color="auto"/>
            </w:tcBorders>
            <w:shd w:val="clear" w:color="auto" w:fill="auto"/>
            <w:noWrap/>
            <w:vAlign w:val="bottom"/>
          </w:tcPr>
          <w:p w14:paraId="4FF651FB" w14:textId="3404AA4A" w:rsidR="006B3273" w:rsidRPr="0076358A" w:rsidRDefault="00A3042A"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Sí</w:t>
            </w:r>
          </w:p>
        </w:tc>
        <w:tc>
          <w:tcPr>
            <w:tcW w:w="851" w:type="pct"/>
            <w:tcBorders>
              <w:top w:val="nil"/>
              <w:left w:val="nil"/>
              <w:bottom w:val="single" w:sz="4" w:space="0" w:color="auto"/>
              <w:right w:val="single" w:sz="4" w:space="0" w:color="auto"/>
            </w:tcBorders>
            <w:shd w:val="clear" w:color="auto" w:fill="auto"/>
            <w:noWrap/>
            <w:vAlign w:val="bottom"/>
          </w:tcPr>
          <w:p w14:paraId="37B3F063"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13" w:type="pct"/>
            <w:tcBorders>
              <w:top w:val="nil"/>
              <w:left w:val="nil"/>
              <w:bottom w:val="single" w:sz="4" w:space="0" w:color="auto"/>
              <w:right w:val="single" w:sz="4" w:space="0" w:color="auto"/>
            </w:tcBorders>
            <w:shd w:val="clear" w:color="auto" w:fill="auto"/>
            <w:noWrap/>
            <w:vAlign w:val="bottom"/>
          </w:tcPr>
          <w:p w14:paraId="0D19D684"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r>
      <w:tr w:rsidR="006B3273" w:rsidRPr="0076358A" w14:paraId="728858D6"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4FF7112C"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rPr>
            </w:pPr>
            <w:r w:rsidRPr="0076358A">
              <w:rPr>
                <w:color w:val="000000"/>
                <w:sz w:val="20"/>
                <w:lang w:val="es-ES"/>
              </w:rPr>
              <w:t>Ecuador</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545AB17B" w14:textId="2021CF52" w:rsidR="006B3273" w:rsidRPr="0076358A" w:rsidRDefault="00A3042A"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Sí</w:t>
            </w:r>
          </w:p>
        </w:tc>
        <w:tc>
          <w:tcPr>
            <w:tcW w:w="1112" w:type="pct"/>
            <w:tcBorders>
              <w:top w:val="nil"/>
              <w:left w:val="nil"/>
              <w:bottom w:val="single" w:sz="4" w:space="0" w:color="auto"/>
              <w:right w:val="single" w:sz="4" w:space="0" w:color="auto"/>
            </w:tcBorders>
            <w:shd w:val="clear" w:color="auto" w:fill="auto"/>
            <w:noWrap/>
            <w:vAlign w:val="bottom"/>
          </w:tcPr>
          <w:p w14:paraId="3657961F" w14:textId="4C36B9EF" w:rsidR="006B3273" w:rsidRPr="0076358A" w:rsidRDefault="00A3042A"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Sí</w:t>
            </w:r>
          </w:p>
        </w:tc>
        <w:tc>
          <w:tcPr>
            <w:tcW w:w="851" w:type="pct"/>
            <w:tcBorders>
              <w:top w:val="nil"/>
              <w:left w:val="nil"/>
              <w:bottom w:val="single" w:sz="4" w:space="0" w:color="auto"/>
              <w:right w:val="single" w:sz="4" w:space="0" w:color="auto"/>
            </w:tcBorders>
            <w:shd w:val="clear" w:color="auto" w:fill="auto"/>
            <w:noWrap/>
            <w:vAlign w:val="bottom"/>
          </w:tcPr>
          <w:p w14:paraId="59270651" w14:textId="77CD833F" w:rsidR="006B3273" w:rsidRPr="0076358A" w:rsidRDefault="00A3042A"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Sí</w:t>
            </w:r>
          </w:p>
        </w:tc>
        <w:tc>
          <w:tcPr>
            <w:tcW w:w="813" w:type="pct"/>
            <w:tcBorders>
              <w:top w:val="nil"/>
              <w:left w:val="nil"/>
              <w:bottom w:val="single" w:sz="4" w:space="0" w:color="auto"/>
              <w:right w:val="single" w:sz="4" w:space="0" w:color="auto"/>
            </w:tcBorders>
            <w:shd w:val="clear" w:color="auto" w:fill="auto"/>
            <w:noWrap/>
            <w:vAlign w:val="bottom"/>
          </w:tcPr>
          <w:p w14:paraId="492A3036"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r>
      <w:tr w:rsidR="006B3273" w:rsidRPr="0076358A" w14:paraId="47BD3239"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73C5060C"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rPr>
            </w:pPr>
            <w:r w:rsidRPr="0076358A">
              <w:rPr>
                <w:color w:val="000000"/>
                <w:sz w:val="20"/>
                <w:lang w:val="es-ES"/>
              </w:rPr>
              <w:t>El Salvador</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6885E162"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1112" w:type="pct"/>
            <w:tcBorders>
              <w:top w:val="nil"/>
              <w:left w:val="nil"/>
              <w:bottom w:val="single" w:sz="4" w:space="0" w:color="auto"/>
              <w:right w:val="single" w:sz="4" w:space="0" w:color="auto"/>
            </w:tcBorders>
            <w:shd w:val="clear" w:color="auto" w:fill="auto"/>
            <w:noWrap/>
            <w:vAlign w:val="bottom"/>
          </w:tcPr>
          <w:p w14:paraId="73246383"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51" w:type="pct"/>
            <w:tcBorders>
              <w:top w:val="nil"/>
              <w:left w:val="nil"/>
              <w:bottom w:val="single" w:sz="4" w:space="0" w:color="auto"/>
              <w:right w:val="single" w:sz="4" w:space="0" w:color="auto"/>
            </w:tcBorders>
            <w:shd w:val="clear" w:color="auto" w:fill="auto"/>
            <w:noWrap/>
            <w:vAlign w:val="bottom"/>
          </w:tcPr>
          <w:p w14:paraId="560A7C8B"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13" w:type="pct"/>
            <w:tcBorders>
              <w:top w:val="nil"/>
              <w:left w:val="nil"/>
              <w:bottom w:val="single" w:sz="4" w:space="0" w:color="auto"/>
              <w:right w:val="single" w:sz="4" w:space="0" w:color="auto"/>
            </w:tcBorders>
            <w:shd w:val="clear" w:color="auto" w:fill="auto"/>
            <w:noWrap/>
            <w:vAlign w:val="bottom"/>
          </w:tcPr>
          <w:p w14:paraId="6B58C652"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r>
      <w:tr w:rsidR="006B3273" w:rsidRPr="0076358A" w14:paraId="6399E3BB"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403C870E"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rPr>
            </w:pPr>
            <w:r w:rsidRPr="0076358A">
              <w:rPr>
                <w:color w:val="000000"/>
                <w:sz w:val="20"/>
                <w:lang w:val="es-ES"/>
              </w:rPr>
              <w:t>Granada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6D15EF76"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1112" w:type="pct"/>
            <w:tcBorders>
              <w:top w:val="nil"/>
              <w:left w:val="nil"/>
              <w:bottom w:val="single" w:sz="4" w:space="0" w:color="auto"/>
              <w:right w:val="single" w:sz="4" w:space="0" w:color="auto"/>
            </w:tcBorders>
            <w:shd w:val="clear" w:color="auto" w:fill="auto"/>
            <w:noWrap/>
            <w:vAlign w:val="bottom"/>
          </w:tcPr>
          <w:p w14:paraId="7D9077BA"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51" w:type="pct"/>
            <w:tcBorders>
              <w:top w:val="nil"/>
              <w:left w:val="nil"/>
              <w:bottom w:val="single" w:sz="4" w:space="0" w:color="auto"/>
              <w:right w:val="single" w:sz="4" w:space="0" w:color="auto"/>
            </w:tcBorders>
            <w:shd w:val="clear" w:color="auto" w:fill="auto"/>
            <w:noWrap/>
            <w:vAlign w:val="bottom"/>
          </w:tcPr>
          <w:p w14:paraId="2A4E1022"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13" w:type="pct"/>
            <w:tcBorders>
              <w:top w:val="nil"/>
              <w:left w:val="nil"/>
              <w:bottom w:val="single" w:sz="4" w:space="0" w:color="auto"/>
              <w:right w:val="single" w:sz="4" w:space="0" w:color="auto"/>
            </w:tcBorders>
            <w:shd w:val="clear" w:color="auto" w:fill="auto"/>
            <w:noWrap/>
            <w:vAlign w:val="bottom"/>
          </w:tcPr>
          <w:p w14:paraId="0FCDC20B"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r>
      <w:tr w:rsidR="006B3273" w:rsidRPr="0076358A" w14:paraId="001EE0A9"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21C25E91"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rPr>
            </w:pPr>
            <w:r w:rsidRPr="0076358A">
              <w:rPr>
                <w:color w:val="000000"/>
                <w:sz w:val="20"/>
                <w:lang w:val="es-ES"/>
              </w:rPr>
              <w:t>Guatemala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38B2AE27"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1112" w:type="pct"/>
            <w:tcBorders>
              <w:top w:val="nil"/>
              <w:left w:val="nil"/>
              <w:bottom w:val="single" w:sz="4" w:space="0" w:color="auto"/>
              <w:right w:val="single" w:sz="4" w:space="0" w:color="auto"/>
            </w:tcBorders>
            <w:shd w:val="clear" w:color="auto" w:fill="auto"/>
            <w:noWrap/>
            <w:vAlign w:val="bottom"/>
          </w:tcPr>
          <w:p w14:paraId="39CFE0F7"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51" w:type="pct"/>
            <w:tcBorders>
              <w:top w:val="nil"/>
              <w:left w:val="nil"/>
              <w:bottom w:val="single" w:sz="4" w:space="0" w:color="auto"/>
              <w:right w:val="single" w:sz="4" w:space="0" w:color="auto"/>
            </w:tcBorders>
            <w:shd w:val="clear" w:color="auto" w:fill="auto"/>
            <w:noWrap/>
            <w:vAlign w:val="bottom"/>
          </w:tcPr>
          <w:p w14:paraId="76F6328D"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13" w:type="pct"/>
            <w:tcBorders>
              <w:top w:val="nil"/>
              <w:left w:val="nil"/>
              <w:bottom w:val="single" w:sz="4" w:space="0" w:color="auto"/>
              <w:right w:val="single" w:sz="4" w:space="0" w:color="auto"/>
            </w:tcBorders>
            <w:shd w:val="clear" w:color="auto" w:fill="auto"/>
            <w:noWrap/>
            <w:vAlign w:val="bottom"/>
          </w:tcPr>
          <w:p w14:paraId="5DFE4EB8"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r>
      <w:tr w:rsidR="006B3273" w:rsidRPr="0076358A" w14:paraId="0F95A00D"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3B9D5184"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rPr>
            </w:pPr>
            <w:r w:rsidRPr="0076358A">
              <w:rPr>
                <w:color w:val="000000"/>
                <w:sz w:val="20"/>
                <w:lang w:val="es-ES"/>
              </w:rPr>
              <w:t>Guyana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1D4D0F8C"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1112" w:type="pct"/>
            <w:tcBorders>
              <w:top w:val="nil"/>
              <w:left w:val="nil"/>
              <w:bottom w:val="single" w:sz="4" w:space="0" w:color="auto"/>
              <w:right w:val="single" w:sz="4" w:space="0" w:color="auto"/>
            </w:tcBorders>
            <w:shd w:val="clear" w:color="auto" w:fill="auto"/>
            <w:noWrap/>
            <w:vAlign w:val="bottom"/>
          </w:tcPr>
          <w:p w14:paraId="305A2083"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51" w:type="pct"/>
            <w:tcBorders>
              <w:top w:val="nil"/>
              <w:left w:val="nil"/>
              <w:bottom w:val="single" w:sz="4" w:space="0" w:color="auto"/>
              <w:right w:val="single" w:sz="4" w:space="0" w:color="auto"/>
            </w:tcBorders>
            <w:shd w:val="clear" w:color="auto" w:fill="auto"/>
            <w:noWrap/>
            <w:vAlign w:val="bottom"/>
          </w:tcPr>
          <w:p w14:paraId="0C9E1357"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13" w:type="pct"/>
            <w:tcBorders>
              <w:top w:val="nil"/>
              <w:left w:val="nil"/>
              <w:bottom w:val="single" w:sz="4" w:space="0" w:color="auto"/>
              <w:right w:val="single" w:sz="4" w:space="0" w:color="auto"/>
            </w:tcBorders>
            <w:shd w:val="clear" w:color="auto" w:fill="auto"/>
            <w:noWrap/>
            <w:vAlign w:val="bottom"/>
          </w:tcPr>
          <w:p w14:paraId="2758AA9A"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r>
      <w:tr w:rsidR="006B3273" w:rsidRPr="0076358A" w14:paraId="5BF832A4"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7A29DED9"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rPr>
            </w:pPr>
            <w:r w:rsidRPr="0076358A">
              <w:rPr>
                <w:color w:val="000000"/>
                <w:sz w:val="20"/>
                <w:lang w:val="es-ES"/>
              </w:rPr>
              <w:t>Haití</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335719A7"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1112" w:type="pct"/>
            <w:tcBorders>
              <w:top w:val="nil"/>
              <w:left w:val="nil"/>
              <w:bottom w:val="single" w:sz="4" w:space="0" w:color="auto"/>
              <w:right w:val="single" w:sz="4" w:space="0" w:color="auto"/>
            </w:tcBorders>
            <w:shd w:val="clear" w:color="auto" w:fill="auto"/>
            <w:noWrap/>
            <w:vAlign w:val="bottom"/>
          </w:tcPr>
          <w:p w14:paraId="2F7FE805"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51" w:type="pct"/>
            <w:tcBorders>
              <w:top w:val="nil"/>
              <w:left w:val="nil"/>
              <w:bottom w:val="single" w:sz="4" w:space="0" w:color="auto"/>
              <w:right w:val="single" w:sz="4" w:space="0" w:color="auto"/>
            </w:tcBorders>
            <w:shd w:val="clear" w:color="auto" w:fill="auto"/>
            <w:noWrap/>
            <w:vAlign w:val="bottom"/>
          </w:tcPr>
          <w:p w14:paraId="58F4E52D"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13" w:type="pct"/>
            <w:tcBorders>
              <w:top w:val="nil"/>
              <w:left w:val="nil"/>
              <w:bottom w:val="single" w:sz="4" w:space="0" w:color="auto"/>
              <w:right w:val="single" w:sz="4" w:space="0" w:color="auto"/>
            </w:tcBorders>
            <w:shd w:val="clear" w:color="auto" w:fill="auto"/>
            <w:noWrap/>
            <w:vAlign w:val="bottom"/>
          </w:tcPr>
          <w:p w14:paraId="4608D5A0"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r>
      <w:tr w:rsidR="006B3273" w:rsidRPr="0076358A" w14:paraId="42E89F94"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5BBB9D69"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rPr>
            </w:pPr>
            <w:r w:rsidRPr="0076358A">
              <w:rPr>
                <w:color w:val="000000"/>
                <w:sz w:val="20"/>
                <w:lang w:val="es-ES"/>
              </w:rPr>
              <w:t>Honduras</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4792AB32"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1112" w:type="pct"/>
            <w:tcBorders>
              <w:top w:val="nil"/>
              <w:left w:val="nil"/>
              <w:bottom w:val="single" w:sz="4" w:space="0" w:color="auto"/>
              <w:right w:val="single" w:sz="4" w:space="0" w:color="auto"/>
            </w:tcBorders>
            <w:shd w:val="clear" w:color="auto" w:fill="auto"/>
            <w:noWrap/>
            <w:vAlign w:val="bottom"/>
          </w:tcPr>
          <w:p w14:paraId="60BE8623"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51" w:type="pct"/>
            <w:tcBorders>
              <w:top w:val="nil"/>
              <w:left w:val="nil"/>
              <w:bottom w:val="single" w:sz="4" w:space="0" w:color="auto"/>
              <w:right w:val="single" w:sz="4" w:space="0" w:color="auto"/>
            </w:tcBorders>
            <w:shd w:val="clear" w:color="auto" w:fill="auto"/>
            <w:noWrap/>
            <w:vAlign w:val="bottom"/>
          </w:tcPr>
          <w:p w14:paraId="082CD8EA"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13" w:type="pct"/>
            <w:tcBorders>
              <w:top w:val="nil"/>
              <w:left w:val="nil"/>
              <w:bottom w:val="single" w:sz="4" w:space="0" w:color="auto"/>
              <w:right w:val="single" w:sz="4" w:space="0" w:color="auto"/>
            </w:tcBorders>
            <w:shd w:val="clear" w:color="auto" w:fill="auto"/>
            <w:noWrap/>
            <w:vAlign w:val="bottom"/>
          </w:tcPr>
          <w:p w14:paraId="3B8A4793"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r>
      <w:tr w:rsidR="006B3273" w:rsidRPr="0076358A" w14:paraId="64016045"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713ECE0C"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rPr>
            </w:pPr>
            <w:r w:rsidRPr="0076358A">
              <w:rPr>
                <w:color w:val="000000"/>
                <w:sz w:val="20"/>
                <w:lang w:val="es-ES"/>
              </w:rPr>
              <w:t>Jamaica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1173A809"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1112" w:type="pct"/>
            <w:tcBorders>
              <w:top w:val="nil"/>
              <w:left w:val="nil"/>
              <w:bottom w:val="single" w:sz="4" w:space="0" w:color="auto"/>
              <w:right w:val="single" w:sz="4" w:space="0" w:color="auto"/>
            </w:tcBorders>
            <w:shd w:val="clear" w:color="auto" w:fill="auto"/>
            <w:noWrap/>
            <w:vAlign w:val="bottom"/>
          </w:tcPr>
          <w:p w14:paraId="1D02168C"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51" w:type="pct"/>
            <w:tcBorders>
              <w:top w:val="nil"/>
              <w:left w:val="nil"/>
              <w:bottom w:val="single" w:sz="4" w:space="0" w:color="auto"/>
              <w:right w:val="single" w:sz="4" w:space="0" w:color="auto"/>
            </w:tcBorders>
            <w:shd w:val="clear" w:color="auto" w:fill="auto"/>
            <w:noWrap/>
            <w:vAlign w:val="bottom"/>
          </w:tcPr>
          <w:p w14:paraId="7427B1F4"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13" w:type="pct"/>
            <w:tcBorders>
              <w:top w:val="nil"/>
              <w:left w:val="nil"/>
              <w:bottom w:val="single" w:sz="4" w:space="0" w:color="auto"/>
              <w:right w:val="single" w:sz="4" w:space="0" w:color="auto"/>
            </w:tcBorders>
            <w:shd w:val="clear" w:color="auto" w:fill="auto"/>
            <w:noWrap/>
            <w:vAlign w:val="bottom"/>
          </w:tcPr>
          <w:p w14:paraId="31E2C737"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r>
      <w:tr w:rsidR="006B3273" w:rsidRPr="0076358A" w14:paraId="6698C980"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23D7285C"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rPr>
            </w:pPr>
            <w:r w:rsidRPr="0076358A">
              <w:rPr>
                <w:color w:val="000000"/>
                <w:sz w:val="20"/>
                <w:lang w:val="es-ES"/>
              </w:rPr>
              <w:t>México</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10341D7A" w14:textId="4FB0F946" w:rsidR="006B3273" w:rsidRPr="0076358A" w:rsidRDefault="00A3042A"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Sí</w:t>
            </w:r>
          </w:p>
        </w:tc>
        <w:tc>
          <w:tcPr>
            <w:tcW w:w="1112" w:type="pct"/>
            <w:tcBorders>
              <w:top w:val="nil"/>
              <w:left w:val="nil"/>
              <w:bottom w:val="single" w:sz="4" w:space="0" w:color="auto"/>
              <w:right w:val="single" w:sz="4" w:space="0" w:color="auto"/>
            </w:tcBorders>
            <w:shd w:val="clear" w:color="auto" w:fill="auto"/>
            <w:noWrap/>
            <w:vAlign w:val="bottom"/>
          </w:tcPr>
          <w:p w14:paraId="3A5B92CF"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51" w:type="pct"/>
            <w:tcBorders>
              <w:top w:val="nil"/>
              <w:left w:val="nil"/>
              <w:bottom w:val="single" w:sz="4" w:space="0" w:color="auto"/>
              <w:right w:val="single" w:sz="4" w:space="0" w:color="auto"/>
            </w:tcBorders>
            <w:shd w:val="clear" w:color="auto" w:fill="auto"/>
            <w:noWrap/>
            <w:vAlign w:val="bottom"/>
          </w:tcPr>
          <w:p w14:paraId="661BDF98"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13" w:type="pct"/>
            <w:tcBorders>
              <w:top w:val="nil"/>
              <w:left w:val="nil"/>
              <w:bottom w:val="single" w:sz="4" w:space="0" w:color="auto"/>
              <w:right w:val="single" w:sz="4" w:space="0" w:color="auto"/>
            </w:tcBorders>
            <w:shd w:val="clear" w:color="auto" w:fill="auto"/>
            <w:noWrap/>
            <w:vAlign w:val="bottom"/>
          </w:tcPr>
          <w:p w14:paraId="565DC699"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r>
      <w:tr w:rsidR="006B3273" w:rsidRPr="0076358A" w14:paraId="6EF9A92F"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0E771F40"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rPr>
            </w:pPr>
            <w:r w:rsidRPr="0076358A">
              <w:rPr>
                <w:color w:val="000000"/>
                <w:sz w:val="20"/>
                <w:lang w:val="es-ES"/>
              </w:rPr>
              <w:t>Nicaragua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0AF6955F"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1112" w:type="pct"/>
            <w:tcBorders>
              <w:top w:val="nil"/>
              <w:left w:val="nil"/>
              <w:bottom w:val="single" w:sz="4" w:space="0" w:color="auto"/>
              <w:right w:val="single" w:sz="4" w:space="0" w:color="auto"/>
            </w:tcBorders>
            <w:shd w:val="clear" w:color="auto" w:fill="auto"/>
            <w:noWrap/>
            <w:vAlign w:val="bottom"/>
          </w:tcPr>
          <w:p w14:paraId="30CD1D0D"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51" w:type="pct"/>
            <w:tcBorders>
              <w:top w:val="nil"/>
              <w:left w:val="nil"/>
              <w:bottom w:val="single" w:sz="4" w:space="0" w:color="auto"/>
              <w:right w:val="single" w:sz="4" w:space="0" w:color="auto"/>
            </w:tcBorders>
            <w:shd w:val="clear" w:color="auto" w:fill="auto"/>
            <w:noWrap/>
            <w:vAlign w:val="bottom"/>
          </w:tcPr>
          <w:p w14:paraId="47E056C3"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13" w:type="pct"/>
            <w:tcBorders>
              <w:top w:val="nil"/>
              <w:left w:val="nil"/>
              <w:bottom w:val="single" w:sz="4" w:space="0" w:color="auto"/>
              <w:right w:val="single" w:sz="4" w:space="0" w:color="auto"/>
            </w:tcBorders>
            <w:shd w:val="clear" w:color="auto" w:fill="auto"/>
            <w:noWrap/>
            <w:vAlign w:val="bottom"/>
          </w:tcPr>
          <w:p w14:paraId="046D44EB"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r>
      <w:tr w:rsidR="006B3273" w:rsidRPr="0076358A" w14:paraId="10C32AD9"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7ADC6AA7"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rPr>
            </w:pPr>
            <w:r w:rsidRPr="0076358A">
              <w:rPr>
                <w:color w:val="000000"/>
                <w:sz w:val="20"/>
                <w:lang w:val="es-ES"/>
              </w:rPr>
              <w:t>Panamá</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74F48F29"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1112" w:type="pct"/>
            <w:tcBorders>
              <w:top w:val="nil"/>
              <w:left w:val="nil"/>
              <w:bottom w:val="single" w:sz="4" w:space="0" w:color="auto"/>
              <w:right w:val="single" w:sz="4" w:space="0" w:color="auto"/>
            </w:tcBorders>
            <w:shd w:val="clear" w:color="auto" w:fill="auto"/>
            <w:noWrap/>
            <w:vAlign w:val="bottom"/>
          </w:tcPr>
          <w:p w14:paraId="652519E5"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51" w:type="pct"/>
            <w:tcBorders>
              <w:top w:val="nil"/>
              <w:left w:val="nil"/>
              <w:bottom w:val="single" w:sz="4" w:space="0" w:color="auto"/>
              <w:right w:val="single" w:sz="4" w:space="0" w:color="auto"/>
            </w:tcBorders>
            <w:shd w:val="clear" w:color="auto" w:fill="auto"/>
            <w:noWrap/>
            <w:vAlign w:val="bottom"/>
          </w:tcPr>
          <w:p w14:paraId="5B5F45B9"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13" w:type="pct"/>
            <w:tcBorders>
              <w:top w:val="nil"/>
              <w:left w:val="nil"/>
              <w:bottom w:val="single" w:sz="4" w:space="0" w:color="auto"/>
              <w:right w:val="single" w:sz="4" w:space="0" w:color="auto"/>
            </w:tcBorders>
            <w:shd w:val="clear" w:color="auto" w:fill="auto"/>
            <w:noWrap/>
            <w:vAlign w:val="bottom"/>
          </w:tcPr>
          <w:p w14:paraId="7102BABF"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r>
      <w:tr w:rsidR="006B3273" w:rsidRPr="0076358A" w14:paraId="01BB4500"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2A4F8B3E"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rPr>
            </w:pPr>
            <w:r w:rsidRPr="0076358A">
              <w:rPr>
                <w:color w:val="000000"/>
                <w:sz w:val="20"/>
                <w:lang w:val="es-ES"/>
              </w:rPr>
              <w:t>Paraguay</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489D9D25"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1112" w:type="pct"/>
            <w:tcBorders>
              <w:top w:val="nil"/>
              <w:left w:val="nil"/>
              <w:bottom w:val="single" w:sz="4" w:space="0" w:color="auto"/>
              <w:right w:val="single" w:sz="4" w:space="0" w:color="auto"/>
            </w:tcBorders>
            <w:shd w:val="clear" w:color="auto" w:fill="auto"/>
            <w:noWrap/>
            <w:vAlign w:val="bottom"/>
          </w:tcPr>
          <w:p w14:paraId="61A26330"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51" w:type="pct"/>
            <w:tcBorders>
              <w:top w:val="nil"/>
              <w:left w:val="nil"/>
              <w:bottom w:val="single" w:sz="4" w:space="0" w:color="auto"/>
              <w:right w:val="single" w:sz="4" w:space="0" w:color="auto"/>
            </w:tcBorders>
            <w:shd w:val="clear" w:color="auto" w:fill="auto"/>
            <w:noWrap/>
            <w:vAlign w:val="bottom"/>
          </w:tcPr>
          <w:p w14:paraId="2DC424F8"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13" w:type="pct"/>
            <w:tcBorders>
              <w:top w:val="nil"/>
              <w:left w:val="nil"/>
              <w:bottom w:val="single" w:sz="4" w:space="0" w:color="auto"/>
              <w:right w:val="single" w:sz="4" w:space="0" w:color="auto"/>
            </w:tcBorders>
            <w:shd w:val="clear" w:color="auto" w:fill="auto"/>
            <w:noWrap/>
            <w:vAlign w:val="bottom"/>
          </w:tcPr>
          <w:p w14:paraId="58CB1396"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r>
      <w:tr w:rsidR="006B3273" w:rsidRPr="0076358A" w14:paraId="633BC7C4"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0852CCDF"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rPr>
            </w:pPr>
            <w:r w:rsidRPr="0076358A">
              <w:rPr>
                <w:color w:val="000000"/>
                <w:sz w:val="20"/>
                <w:lang w:val="es-ES"/>
              </w:rPr>
              <w:t>Perú</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6B8A3F82" w14:textId="6CA2C973" w:rsidR="006B3273" w:rsidRPr="0076358A" w:rsidRDefault="00A3042A"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Sí</w:t>
            </w:r>
          </w:p>
        </w:tc>
        <w:tc>
          <w:tcPr>
            <w:tcW w:w="1112" w:type="pct"/>
            <w:tcBorders>
              <w:top w:val="nil"/>
              <w:left w:val="nil"/>
              <w:bottom w:val="single" w:sz="4" w:space="0" w:color="auto"/>
              <w:right w:val="single" w:sz="4" w:space="0" w:color="auto"/>
            </w:tcBorders>
            <w:shd w:val="clear" w:color="auto" w:fill="auto"/>
            <w:noWrap/>
            <w:vAlign w:val="bottom"/>
          </w:tcPr>
          <w:p w14:paraId="31B34D69" w14:textId="5F3F3BBB" w:rsidR="006B3273" w:rsidRPr="0076358A" w:rsidRDefault="00A3042A"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Sí</w:t>
            </w:r>
          </w:p>
        </w:tc>
        <w:tc>
          <w:tcPr>
            <w:tcW w:w="851" w:type="pct"/>
            <w:tcBorders>
              <w:top w:val="nil"/>
              <w:left w:val="nil"/>
              <w:bottom w:val="single" w:sz="4" w:space="0" w:color="auto"/>
              <w:right w:val="single" w:sz="4" w:space="0" w:color="auto"/>
            </w:tcBorders>
            <w:shd w:val="clear" w:color="auto" w:fill="auto"/>
            <w:noWrap/>
            <w:vAlign w:val="bottom"/>
          </w:tcPr>
          <w:p w14:paraId="46AD9521" w14:textId="07D5E225" w:rsidR="006B3273" w:rsidRPr="0076358A" w:rsidRDefault="00A3042A"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Sí</w:t>
            </w:r>
          </w:p>
        </w:tc>
        <w:tc>
          <w:tcPr>
            <w:tcW w:w="813" w:type="pct"/>
            <w:tcBorders>
              <w:top w:val="nil"/>
              <w:left w:val="nil"/>
              <w:bottom w:val="single" w:sz="4" w:space="0" w:color="auto"/>
              <w:right w:val="single" w:sz="4" w:space="0" w:color="auto"/>
            </w:tcBorders>
            <w:shd w:val="clear" w:color="auto" w:fill="auto"/>
            <w:noWrap/>
            <w:vAlign w:val="bottom"/>
          </w:tcPr>
          <w:p w14:paraId="0C3EE09E"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r>
      <w:tr w:rsidR="006B3273" w:rsidRPr="0076358A" w14:paraId="5933EC54"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076B9727"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rPr>
            </w:pPr>
            <w:r w:rsidRPr="0076358A">
              <w:rPr>
                <w:color w:val="000000"/>
                <w:sz w:val="20"/>
                <w:lang w:val="es-ES"/>
              </w:rPr>
              <w:t>Saint Kitts y Nevis</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45926AB1"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1112" w:type="pct"/>
            <w:tcBorders>
              <w:top w:val="nil"/>
              <w:left w:val="nil"/>
              <w:bottom w:val="single" w:sz="4" w:space="0" w:color="auto"/>
              <w:right w:val="single" w:sz="4" w:space="0" w:color="auto"/>
            </w:tcBorders>
            <w:shd w:val="clear" w:color="auto" w:fill="auto"/>
            <w:noWrap/>
            <w:vAlign w:val="bottom"/>
          </w:tcPr>
          <w:p w14:paraId="1D13D2A2"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51" w:type="pct"/>
            <w:tcBorders>
              <w:top w:val="nil"/>
              <w:left w:val="nil"/>
              <w:bottom w:val="single" w:sz="4" w:space="0" w:color="auto"/>
              <w:right w:val="single" w:sz="4" w:space="0" w:color="auto"/>
            </w:tcBorders>
            <w:shd w:val="clear" w:color="auto" w:fill="auto"/>
            <w:noWrap/>
            <w:vAlign w:val="bottom"/>
          </w:tcPr>
          <w:p w14:paraId="1C844B86"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13" w:type="pct"/>
            <w:tcBorders>
              <w:top w:val="nil"/>
              <w:left w:val="nil"/>
              <w:bottom w:val="single" w:sz="4" w:space="0" w:color="auto"/>
              <w:right w:val="single" w:sz="4" w:space="0" w:color="auto"/>
            </w:tcBorders>
            <w:shd w:val="clear" w:color="auto" w:fill="auto"/>
            <w:noWrap/>
            <w:vAlign w:val="bottom"/>
          </w:tcPr>
          <w:p w14:paraId="1A520FC6"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r>
      <w:tr w:rsidR="006B3273" w:rsidRPr="0076358A" w14:paraId="06EAC9D9"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37FE44B5"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rPr>
            </w:pPr>
            <w:r w:rsidRPr="0076358A">
              <w:rPr>
                <w:color w:val="000000"/>
                <w:sz w:val="20"/>
                <w:lang w:val="es-ES"/>
              </w:rPr>
              <w:t>Santa Lucía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309EA6B3"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1112" w:type="pct"/>
            <w:tcBorders>
              <w:top w:val="nil"/>
              <w:left w:val="nil"/>
              <w:bottom w:val="single" w:sz="4" w:space="0" w:color="auto"/>
              <w:right w:val="single" w:sz="4" w:space="0" w:color="auto"/>
            </w:tcBorders>
            <w:shd w:val="clear" w:color="auto" w:fill="auto"/>
            <w:noWrap/>
            <w:vAlign w:val="bottom"/>
          </w:tcPr>
          <w:p w14:paraId="516DFDCA"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51" w:type="pct"/>
            <w:tcBorders>
              <w:top w:val="nil"/>
              <w:left w:val="nil"/>
              <w:bottom w:val="single" w:sz="4" w:space="0" w:color="auto"/>
              <w:right w:val="single" w:sz="4" w:space="0" w:color="auto"/>
            </w:tcBorders>
            <w:shd w:val="clear" w:color="auto" w:fill="auto"/>
            <w:noWrap/>
            <w:vAlign w:val="bottom"/>
          </w:tcPr>
          <w:p w14:paraId="03AE0348"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13" w:type="pct"/>
            <w:tcBorders>
              <w:top w:val="nil"/>
              <w:left w:val="nil"/>
              <w:bottom w:val="single" w:sz="4" w:space="0" w:color="auto"/>
              <w:right w:val="single" w:sz="4" w:space="0" w:color="auto"/>
            </w:tcBorders>
            <w:shd w:val="clear" w:color="auto" w:fill="auto"/>
            <w:noWrap/>
            <w:vAlign w:val="bottom"/>
          </w:tcPr>
          <w:p w14:paraId="45C08CEA"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r>
      <w:tr w:rsidR="006B3273" w:rsidRPr="0076358A" w14:paraId="01E16395"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784E3F54"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rPr>
            </w:pPr>
            <w:r w:rsidRPr="0076358A">
              <w:rPr>
                <w:color w:val="000000"/>
                <w:sz w:val="20"/>
                <w:lang w:val="es-ES"/>
              </w:rPr>
              <w:t>San Vicente y Gran.</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6CE06DE0"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1112" w:type="pct"/>
            <w:tcBorders>
              <w:top w:val="nil"/>
              <w:left w:val="nil"/>
              <w:bottom w:val="single" w:sz="4" w:space="0" w:color="auto"/>
              <w:right w:val="single" w:sz="4" w:space="0" w:color="auto"/>
            </w:tcBorders>
            <w:shd w:val="clear" w:color="auto" w:fill="auto"/>
            <w:noWrap/>
            <w:vAlign w:val="bottom"/>
          </w:tcPr>
          <w:p w14:paraId="78E42E05"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51" w:type="pct"/>
            <w:tcBorders>
              <w:top w:val="nil"/>
              <w:left w:val="nil"/>
              <w:bottom w:val="single" w:sz="4" w:space="0" w:color="auto"/>
              <w:right w:val="single" w:sz="4" w:space="0" w:color="auto"/>
            </w:tcBorders>
            <w:shd w:val="clear" w:color="auto" w:fill="auto"/>
            <w:noWrap/>
            <w:vAlign w:val="bottom"/>
          </w:tcPr>
          <w:p w14:paraId="64C67B90"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13" w:type="pct"/>
            <w:tcBorders>
              <w:top w:val="nil"/>
              <w:left w:val="nil"/>
              <w:bottom w:val="single" w:sz="4" w:space="0" w:color="auto"/>
              <w:right w:val="single" w:sz="4" w:space="0" w:color="auto"/>
            </w:tcBorders>
            <w:shd w:val="clear" w:color="auto" w:fill="auto"/>
            <w:noWrap/>
            <w:vAlign w:val="bottom"/>
          </w:tcPr>
          <w:p w14:paraId="2D7F25FF"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r>
      <w:tr w:rsidR="006B3273" w:rsidRPr="0076358A" w14:paraId="2F9A7DEF"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3EB60A98"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rPr>
            </w:pPr>
            <w:r w:rsidRPr="0076358A">
              <w:rPr>
                <w:color w:val="000000"/>
                <w:sz w:val="20"/>
                <w:lang w:val="es-ES"/>
              </w:rPr>
              <w:t>Suriname</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68C13D4A"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1112" w:type="pct"/>
            <w:tcBorders>
              <w:top w:val="nil"/>
              <w:left w:val="nil"/>
              <w:bottom w:val="single" w:sz="4" w:space="0" w:color="auto"/>
              <w:right w:val="single" w:sz="4" w:space="0" w:color="auto"/>
            </w:tcBorders>
            <w:shd w:val="clear" w:color="auto" w:fill="auto"/>
            <w:noWrap/>
            <w:vAlign w:val="bottom"/>
          </w:tcPr>
          <w:p w14:paraId="58592915"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51" w:type="pct"/>
            <w:tcBorders>
              <w:top w:val="nil"/>
              <w:left w:val="nil"/>
              <w:bottom w:val="single" w:sz="4" w:space="0" w:color="auto"/>
              <w:right w:val="single" w:sz="4" w:space="0" w:color="auto"/>
            </w:tcBorders>
            <w:shd w:val="clear" w:color="auto" w:fill="auto"/>
            <w:noWrap/>
            <w:vAlign w:val="bottom"/>
          </w:tcPr>
          <w:p w14:paraId="6F89E55D"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13" w:type="pct"/>
            <w:tcBorders>
              <w:top w:val="nil"/>
              <w:left w:val="nil"/>
              <w:bottom w:val="single" w:sz="4" w:space="0" w:color="auto"/>
              <w:right w:val="single" w:sz="4" w:space="0" w:color="auto"/>
            </w:tcBorders>
            <w:shd w:val="clear" w:color="auto" w:fill="auto"/>
            <w:noWrap/>
            <w:vAlign w:val="bottom"/>
          </w:tcPr>
          <w:p w14:paraId="18311FB7"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r>
      <w:tr w:rsidR="006B3273" w:rsidRPr="0076358A" w14:paraId="7CC4F9C6"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54DDF41E"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rPr>
            </w:pPr>
            <w:r w:rsidRPr="0076358A">
              <w:rPr>
                <w:color w:val="000000"/>
                <w:sz w:val="20"/>
                <w:lang w:val="es-ES"/>
              </w:rPr>
              <w:t>Trinidad y Tabago</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61EB08E0"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1112" w:type="pct"/>
            <w:tcBorders>
              <w:top w:val="nil"/>
              <w:left w:val="nil"/>
              <w:bottom w:val="single" w:sz="4" w:space="0" w:color="auto"/>
              <w:right w:val="single" w:sz="4" w:space="0" w:color="auto"/>
            </w:tcBorders>
            <w:shd w:val="clear" w:color="auto" w:fill="auto"/>
            <w:noWrap/>
            <w:vAlign w:val="bottom"/>
          </w:tcPr>
          <w:p w14:paraId="10C05B62"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51" w:type="pct"/>
            <w:tcBorders>
              <w:top w:val="nil"/>
              <w:left w:val="nil"/>
              <w:bottom w:val="single" w:sz="4" w:space="0" w:color="auto"/>
              <w:right w:val="single" w:sz="4" w:space="0" w:color="auto"/>
            </w:tcBorders>
            <w:shd w:val="clear" w:color="auto" w:fill="auto"/>
            <w:noWrap/>
            <w:vAlign w:val="bottom"/>
          </w:tcPr>
          <w:p w14:paraId="3E7E888E"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13" w:type="pct"/>
            <w:tcBorders>
              <w:top w:val="nil"/>
              <w:left w:val="nil"/>
              <w:bottom w:val="single" w:sz="4" w:space="0" w:color="auto"/>
              <w:right w:val="single" w:sz="4" w:space="0" w:color="auto"/>
            </w:tcBorders>
            <w:shd w:val="clear" w:color="auto" w:fill="auto"/>
            <w:noWrap/>
            <w:vAlign w:val="bottom"/>
          </w:tcPr>
          <w:p w14:paraId="17499424"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r>
      <w:tr w:rsidR="006B3273" w:rsidRPr="0076358A" w14:paraId="6A2F8248"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2BAF12D2"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rPr>
            </w:pPr>
            <w:r w:rsidRPr="0076358A">
              <w:rPr>
                <w:color w:val="000000"/>
                <w:sz w:val="20"/>
                <w:lang w:val="es-ES"/>
              </w:rPr>
              <w:t>Estados Unidos</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7671DFB9"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rPr>
            </w:pPr>
            <w:r w:rsidRPr="0076358A">
              <w:rPr>
                <w:color w:val="000000"/>
                <w:sz w:val="20"/>
                <w:lang w:val="es-ES"/>
              </w:rPr>
              <w:t>Sí</w:t>
            </w:r>
          </w:p>
        </w:tc>
        <w:tc>
          <w:tcPr>
            <w:tcW w:w="1112" w:type="pct"/>
            <w:tcBorders>
              <w:top w:val="nil"/>
              <w:left w:val="nil"/>
              <w:bottom w:val="single" w:sz="4" w:space="0" w:color="auto"/>
              <w:right w:val="single" w:sz="4" w:space="0" w:color="auto"/>
            </w:tcBorders>
            <w:shd w:val="clear" w:color="auto" w:fill="auto"/>
            <w:noWrap/>
            <w:vAlign w:val="bottom"/>
          </w:tcPr>
          <w:p w14:paraId="09A0A975"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51" w:type="pct"/>
            <w:tcBorders>
              <w:top w:val="nil"/>
              <w:left w:val="nil"/>
              <w:bottom w:val="single" w:sz="4" w:space="0" w:color="auto"/>
              <w:right w:val="single" w:sz="4" w:space="0" w:color="auto"/>
            </w:tcBorders>
            <w:shd w:val="clear" w:color="auto" w:fill="auto"/>
            <w:noWrap/>
            <w:vAlign w:val="bottom"/>
          </w:tcPr>
          <w:p w14:paraId="73919AAF"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13" w:type="pct"/>
            <w:tcBorders>
              <w:top w:val="nil"/>
              <w:left w:val="nil"/>
              <w:bottom w:val="single" w:sz="4" w:space="0" w:color="auto"/>
              <w:right w:val="single" w:sz="4" w:space="0" w:color="auto"/>
            </w:tcBorders>
            <w:shd w:val="clear" w:color="auto" w:fill="auto"/>
            <w:noWrap/>
            <w:vAlign w:val="bottom"/>
          </w:tcPr>
          <w:p w14:paraId="33E819B8"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r>
      <w:tr w:rsidR="006B3273" w:rsidRPr="0076358A" w14:paraId="5065E392"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3BA5E736"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rPr>
            </w:pPr>
            <w:r w:rsidRPr="0076358A">
              <w:rPr>
                <w:color w:val="000000"/>
                <w:sz w:val="20"/>
                <w:lang w:val="es-ES"/>
              </w:rPr>
              <w:t>Uruguay</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66A3E166"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1112" w:type="pct"/>
            <w:tcBorders>
              <w:top w:val="nil"/>
              <w:left w:val="nil"/>
              <w:bottom w:val="single" w:sz="4" w:space="0" w:color="auto"/>
              <w:right w:val="single" w:sz="4" w:space="0" w:color="auto"/>
            </w:tcBorders>
            <w:shd w:val="clear" w:color="auto" w:fill="auto"/>
            <w:noWrap/>
            <w:vAlign w:val="bottom"/>
          </w:tcPr>
          <w:p w14:paraId="380AFDA4"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51" w:type="pct"/>
            <w:tcBorders>
              <w:top w:val="nil"/>
              <w:left w:val="nil"/>
              <w:bottom w:val="single" w:sz="4" w:space="0" w:color="auto"/>
              <w:right w:val="single" w:sz="4" w:space="0" w:color="auto"/>
            </w:tcBorders>
            <w:shd w:val="clear" w:color="auto" w:fill="auto"/>
            <w:noWrap/>
            <w:vAlign w:val="bottom"/>
          </w:tcPr>
          <w:p w14:paraId="18B15286"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13" w:type="pct"/>
            <w:tcBorders>
              <w:top w:val="nil"/>
              <w:left w:val="nil"/>
              <w:bottom w:val="single" w:sz="4" w:space="0" w:color="auto"/>
              <w:right w:val="single" w:sz="4" w:space="0" w:color="auto"/>
            </w:tcBorders>
            <w:shd w:val="clear" w:color="auto" w:fill="auto"/>
            <w:noWrap/>
            <w:vAlign w:val="bottom"/>
          </w:tcPr>
          <w:p w14:paraId="65B79F44"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r>
      <w:tr w:rsidR="006B3273" w:rsidRPr="0076358A" w14:paraId="271D086F" w14:textId="77777777" w:rsidTr="004A7CF6">
        <w:trPr>
          <w:trHeight w:val="20"/>
        </w:trPr>
        <w:tc>
          <w:tcPr>
            <w:tcW w:w="1175" w:type="pct"/>
            <w:tcBorders>
              <w:top w:val="nil"/>
              <w:left w:val="single" w:sz="4" w:space="0" w:color="auto"/>
              <w:bottom w:val="single" w:sz="4" w:space="0" w:color="auto"/>
              <w:right w:val="single" w:sz="4" w:space="0" w:color="auto"/>
            </w:tcBorders>
            <w:shd w:val="clear" w:color="auto" w:fill="auto"/>
          </w:tcPr>
          <w:p w14:paraId="6FD83925" w14:textId="77777777" w:rsidR="006B3273" w:rsidRPr="0076358A" w:rsidRDefault="006B3273" w:rsidP="004A7CF6">
            <w:pPr>
              <w:tabs>
                <w:tab w:val="clear" w:pos="794"/>
                <w:tab w:val="clear" w:pos="1191"/>
                <w:tab w:val="clear" w:pos="1588"/>
                <w:tab w:val="clear" w:pos="1985"/>
              </w:tabs>
              <w:overflowPunct/>
              <w:autoSpaceDE/>
              <w:autoSpaceDN/>
              <w:adjustRightInd/>
              <w:spacing w:before="0"/>
              <w:textAlignment w:val="auto"/>
              <w:rPr>
                <w:rFonts w:ascii="Aptos" w:hAnsi="Aptos"/>
                <w:color w:val="404040"/>
                <w:sz w:val="20"/>
                <w:lang w:val="es-ES" w:eastAsia="en-GB"/>
              </w:rPr>
            </w:pPr>
            <w:r w:rsidRPr="0076358A">
              <w:rPr>
                <w:rFonts w:ascii="Aptos" w:hAnsi="Aptos"/>
                <w:color w:val="000000"/>
                <w:sz w:val="20"/>
                <w:lang w:val="es-ES"/>
              </w:rPr>
              <w:t>Venezuela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551529DD"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1112" w:type="pct"/>
            <w:tcBorders>
              <w:top w:val="nil"/>
              <w:left w:val="nil"/>
              <w:bottom w:val="single" w:sz="4" w:space="0" w:color="auto"/>
              <w:right w:val="single" w:sz="4" w:space="0" w:color="auto"/>
            </w:tcBorders>
            <w:shd w:val="clear" w:color="auto" w:fill="auto"/>
            <w:noWrap/>
            <w:vAlign w:val="bottom"/>
          </w:tcPr>
          <w:p w14:paraId="27F3F301"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51" w:type="pct"/>
            <w:tcBorders>
              <w:top w:val="nil"/>
              <w:left w:val="nil"/>
              <w:bottom w:val="single" w:sz="4" w:space="0" w:color="auto"/>
              <w:right w:val="single" w:sz="4" w:space="0" w:color="auto"/>
            </w:tcBorders>
            <w:shd w:val="clear" w:color="auto" w:fill="auto"/>
            <w:noWrap/>
            <w:vAlign w:val="bottom"/>
          </w:tcPr>
          <w:p w14:paraId="54BE4088"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c>
          <w:tcPr>
            <w:tcW w:w="813" w:type="pct"/>
            <w:tcBorders>
              <w:top w:val="nil"/>
              <w:left w:val="nil"/>
              <w:bottom w:val="single" w:sz="4" w:space="0" w:color="auto"/>
              <w:right w:val="single" w:sz="4" w:space="0" w:color="auto"/>
            </w:tcBorders>
            <w:shd w:val="clear" w:color="auto" w:fill="auto"/>
            <w:noWrap/>
            <w:vAlign w:val="bottom"/>
          </w:tcPr>
          <w:p w14:paraId="21BE9313" w14:textId="77777777" w:rsidR="006B3273" w:rsidRPr="0076358A" w:rsidRDefault="006B3273" w:rsidP="004A7CF6">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20"/>
                <w:lang w:val="es-ES" w:eastAsia="en-GB"/>
              </w:rPr>
            </w:pPr>
            <w:r w:rsidRPr="0076358A">
              <w:rPr>
                <w:rFonts w:ascii="Aptos" w:hAnsi="Aptos"/>
                <w:color w:val="000000"/>
                <w:sz w:val="20"/>
                <w:lang w:val="es-ES"/>
              </w:rPr>
              <w:t>No</w:t>
            </w:r>
          </w:p>
        </w:tc>
      </w:tr>
    </w:tbl>
    <w:p w14:paraId="1FD95D92" w14:textId="61801695" w:rsidR="006B3273" w:rsidRPr="0076358A" w:rsidRDefault="006B3273" w:rsidP="00490BBD">
      <w:pPr>
        <w:pStyle w:val="Sourcetext"/>
        <w:rPr>
          <w:rFonts w:eastAsia="Aptos" w:cs="Arial"/>
        </w:rPr>
      </w:pPr>
      <w:r w:rsidRPr="0076358A">
        <w:t xml:space="preserve">Fuente: UIT y UNITAR, </w:t>
      </w:r>
      <w:hyperlink r:id="rId84" w:history="1">
        <w:r w:rsidR="009B72B4" w:rsidRPr="00BC1D2E">
          <w:rPr>
            <w:rStyle w:val="Hyperlink"/>
            <w:rFonts w:cs="Times New Roman"/>
            <w:kern w:val="0"/>
            <w14:ligatures w14:val="none"/>
          </w:rPr>
          <w:t>Global E-waste Monitor, 2024</w:t>
        </w:r>
      </w:hyperlink>
    </w:p>
    <w:p w14:paraId="70E77C4F"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La adopción de marcos de responsabilidad ampliada del productor (RAP), esenciales para que los productores rindan cuentas durante todo el ciclo de vida de sus productos, también es limitada. Sólo 9 países han promulgado marcos de RAP para los residuos electrónicos. Los problemas de la región en materia de residuos electrónicos se ven exacerbados por la carencia de estos marcos en la mayor parte de las Américas, prolongando así su dependencia de prácticas de gestión de residuos no reguladas que son perjudiciales tanto para el medio ambiente como para la salud pública.</w:t>
      </w:r>
    </w:p>
    <w:p w14:paraId="7B98CD78" w14:textId="0D4568D1"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lastRenderedPageBreak/>
        <w:t>Por otra parte, los objetivos oficiales de recogida y reciclaje siguen siendo escasos. Mientras los países del mundo que disponen de una política o instrumento jurídico con objetivos de recogida alcanzan una tasa de recogida del 25</w:t>
      </w:r>
      <w:r w:rsidR="00AC027A">
        <w:rPr>
          <w:lang w:val="es-ES"/>
        </w:rPr>
        <w:t> %</w:t>
      </w:r>
      <w:r w:rsidRPr="0076358A">
        <w:rPr>
          <w:lang w:val="es-ES"/>
        </w:rPr>
        <w:t xml:space="preserve"> en promedio superior a la media mundial del 22</w:t>
      </w:r>
      <w:r w:rsidR="00AC027A">
        <w:rPr>
          <w:lang w:val="es-ES"/>
        </w:rPr>
        <w:t> %</w:t>
      </w:r>
      <w:r w:rsidRPr="0076358A">
        <w:rPr>
          <w:lang w:val="es-ES"/>
        </w:rPr>
        <w:t xml:space="preserve"> en las Américas solo cuatro países se han fijado objetivos de recogida y ninguno ha definido objetivos de reciclaje. Sin estas políticas, la región corre el riesgo de perder grandes oportunidades para avanzar hacia una economía circular y reducir su huella ambiental.</w:t>
      </w:r>
    </w:p>
    <w:p w14:paraId="300F6EA7"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rFonts w:ascii="Aptos" w:eastAsia="Aptos" w:hAnsi="Aptos" w:cs="Arial"/>
          <w:kern w:val="2"/>
          <w:sz w:val="22"/>
          <w:szCs w:val="22"/>
          <w:lang w:val="es-ES"/>
          <w14:ligatures w14:val="standardContextual"/>
        </w:rPr>
        <w:br w:type="page"/>
      </w:r>
    </w:p>
    <w:p w14:paraId="5B14D276" w14:textId="59942019" w:rsidR="006B3273" w:rsidRPr="007F571B" w:rsidRDefault="006B3273" w:rsidP="006B3273">
      <w:pPr>
        <w:pStyle w:val="Section"/>
        <w:rPr>
          <w:rFonts w:asciiTheme="minorHAnsi" w:hAnsiTheme="minorHAnsi" w:cstheme="minorHAnsi"/>
          <w:color w:val="auto"/>
          <w:lang w:val="es-ES"/>
        </w:rPr>
      </w:pPr>
      <w:bookmarkStart w:id="19" w:name="_Toc193034325"/>
      <w:r w:rsidRPr="007F571B">
        <w:rPr>
          <w:rFonts w:asciiTheme="minorHAnsi" w:hAnsiTheme="minorHAnsi" w:cstheme="minorHAnsi"/>
          <w:color w:val="auto"/>
          <w:lang w:val="es-ES"/>
        </w:rPr>
        <w:lastRenderedPageBreak/>
        <w:t xml:space="preserve">Disparidades </w:t>
      </w:r>
      <w:r w:rsidR="007E7F13" w:rsidRPr="007F571B">
        <w:rPr>
          <w:rFonts w:asciiTheme="minorHAnsi" w:hAnsiTheme="minorHAnsi" w:cstheme="minorHAnsi"/>
          <w:color w:val="auto"/>
          <w:lang w:val="es-ES"/>
        </w:rPr>
        <w:t>en el plano</w:t>
      </w:r>
      <w:r w:rsidRPr="007F571B">
        <w:rPr>
          <w:rFonts w:asciiTheme="minorHAnsi" w:hAnsiTheme="minorHAnsi" w:cstheme="minorHAnsi"/>
          <w:color w:val="auto"/>
          <w:lang w:val="es-ES"/>
        </w:rPr>
        <w:t xml:space="preserve"> regional</w:t>
      </w:r>
      <w:bookmarkEnd w:id="19"/>
    </w:p>
    <w:p w14:paraId="48DAD1E2"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lang w:val="es-ES"/>
          <w14:ligatures w14:val="standardContextual"/>
        </w:rPr>
      </w:pPr>
      <w:r w:rsidRPr="0076358A">
        <w:rPr>
          <w:b/>
          <w:bCs/>
          <w:i/>
          <w:iCs/>
          <w:lang w:val="es-ES"/>
        </w:rPr>
        <w:t>Los promedios regionales ocultan profundas desigualdades en materia de conectividad y acceso digital</w:t>
      </w:r>
    </w:p>
    <w:p w14:paraId="0DB29CDA" w14:textId="39AA45F8"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La región de las Américas es diversa en muchos aspectos: nivel de renta, siendo la RNB per cápita del país más rico más de 60 veces superior a la del más pobre; tasa de urbanización, que oscila entre menos del 20</w:t>
      </w:r>
      <w:r w:rsidR="00AC027A">
        <w:rPr>
          <w:lang w:val="es-ES"/>
        </w:rPr>
        <w:t> %</w:t>
      </w:r>
      <w:r w:rsidRPr="0076358A">
        <w:rPr>
          <w:lang w:val="es-ES"/>
        </w:rPr>
        <w:t xml:space="preserve"> y el 90</w:t>
      </w:r>
      <w:r w:rsidR="00AC027A">
        <w:rPr>
          <w:lang w:val="es-ES"/>
        </w:rPr>
        <w:t> %</w:t>
      </w:r>
      <w:r w:rsidRPr="0076358A">
        <w:rPr>
          <w:lang w:val="es-ES"/>
        </w:rPr>
        <w:t>; y población, que va desde los pequeños Estados insulares en desarrollo (PEID) con menos de 50</w:t>
      </w:r>
      <w:r w:rsidR="009B72B4">
        <w:rPr>
          <w:lang w:val="es-ES"/>
        </w:rPr>
        <w:t> </w:t>
      </w:r>
      <w:r w:rsidRPr="0076358A">
        <w:rPr>
          <w:lang w:val="es-ES"/>
        </w:rPr>
        <w:t>000 habitantes hasta los países grandes con más de 100</w:t>
      </w:r>
      <w:r w:rsidR="009B72B4">
        <w:rPr>
          <w:lang w:val="es-ES"/>
        </w:rPr>
        <w:t> </w:t>
      </w:r>
      <w:r w:rsidRPr="0076358A">
        <w:rPr>
          <w:lang w:val="es-ES"/>
        </w:rPr>
        <w:t xml:space="preserve">millones. </w:t>
      </w:r>
    </w:p>
    <w:p w14:paraId="18381131"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Dadas estas diferencias, puede resultar útil clasificar a los países de la región en grupos en función de los valores obtenidas en parámetros tales como la utilización de Internet, la propiedad de teléfonos móviles, las tasas de abonos a la banda ancha móvil y fija, la asequibilidad de la banda ancha móvil y fija a un nivel básico, y la igualdad de género. Este análisis por grupos arroja tres grupos distintos, cuyos miembros comparten perfiles de TIC similares</w:t>
      </w:r>
      <w:r w:rsidRPr="0076358A">
        <w:rPr>
          <w:rFonts w:ascii="Aptos" w:eastAsia="Aptos" w:hAnsi="Aptos" w:cs="Arial"/>
          <w:kern w:val="2"/>
          <w:sz w:val="22"/>
          <w:szCs w:val="22"/>
          <w:vertAlign w:val="superscript"/>
          <w:lang w:val="es-ES"/>
          <w14:ligatures w14:val="standardContextual"/>
        </w:rPr>
        <w:footnoteReference w:id="12"/>
      </w:r>
      <w:r w:rsidRPr="0076358A">
        <w:rPr>
          <w:lang w:val="es-ES"/>
        </w:rPr>
        <w:t>.</w:t>
      </w:r>
    </w:p>
    <w:p w14:paraId="39F84EE8" w14:textId="44B74450"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El primer grupo, formado por Argentina, Bahamas, Brasil, Canadá, Costa Rica, Jamaica, Estados Unidos de América y Uruguay, se caracteriza por tasas de utilización de las TIC y posesión de dispositivos muy superiores a la media mundial. La banda ancha móvil de sólo datos es muy asequible en relación con la media mundial, situándose los precios medios iniciales, expresados como porcentaje de la RNB per cápita mensual, muy por debajo de umbral establecido por la Comisión sobre la Banda Ancha del 2</w:t>
      </w:r>
      <w:r w:rsidR="00AC027A">
        <w:rPr>
          <w:lang w:val="es-ES"/>
        </w:rPr>
        <w:t> %</w:t>
      </w:r>
      <w:r w:rsidRPr="0076358A">
        <w:rPr>
          <w:lang w:val="es-ES"/>
        </w:rPr>
        <w:t>. Sin embargo, la asequibilidad media de la banda ancha fija es ligeramente superior a ese umbral. Además, este grupo registra altos niveles de paridad de género en lo que respecta al uso de Internet.</w:t>
      </w:r>
    </w:p>
    <w:p w14:paraId="05F7E66A" w14:textId="226D366F"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El segundo grupo, integrado por más de la mitad de los países de la región, se acerca más a los promedios mundiales en la mayoría de los indicadores. Su nivel medio de utilización de Internet y de posesión de teléfonos móviles está por encima de la media mundial, mientras que la tasa de abonos es algo inferior a la media. La paridad de género en la utilización de Internet está en consonancia con la media mundial y los precios de los servicios de banda ancha fijos y móviles superan el umbral del 2</w:t>
      </w:r>
      <w:r w:rsidR="00AC027A">
        <w:rPr>
          <w:lang w:val="es-ES"/>
        </w:rPr>
        <w:t> %</w:t>
      </w:r>
      <w:r w:rsidRPr="0076358A">
        <w:rPr>
          <w:lang w:val="es-ES"/>
        </w:rPr>
        <w:t>.</w:t>
      </w:r>
    </w:p>
    <w:p w14:paraId="124F129A"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El tercer grupo, formado por Cuba, Ecuador, Guatemala, Haití, Honduras y Nicaragua, tiene las tasas de conectividad más bajas. Si bien la utilización de Internet y la propiedad de teléfonos móviles están apenas por debajo de la media mundial, el grupo tiene tasas de abonos mucho más bajas y una asequibilidad mucho peor en comparación con las medias mundiales. En cambio, la paridad de género en la utilización de Internet es mejor que la del resto del mundo. Sin embargo, los bajos resultados generales de estos indicadores son un indicio de los problemas de desarrollo a los que se enfrentan estos países, en particular Haití, que está clasificado como PMA.</w:t>
      </w:r>
    </w:p>
    <w:p w14:paraId="7E896A38"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Por último, Venezuela no pertenece a ninguno de los tres grupos, debido en gran parte a la grave falta de asequibilidad de los servicios de banda ancha.</w:t>
      </w:r>
    </w:p>
    <w:p w14:paraId="78BCE319" w14:textId="23C16D6E" w:rsidR="006B3273" w:rsidRDefault="006B3273" w:rsidP="0017123C">
      <w:pPr>
        <w:tabs>
          <w:tab w:val="clear" w:pos="794"/>
          <w:tab w:val="clear" w:pos="1191"/>
          <w:tab w:val="clear" w:pos="1588"/>
          <w:tab w:val="clear" w:pos="1985"/>
        </w:tabs>
        <w:overflowPunct/>
        <w:autoSpaceDE/>
        <w:autoSpaceDN/>
        <w:adjustRightInd/>
        <w:spacing w:after="360"/>
        <w:textAlignment w:val="auto"/>
        <w:rPr>
          <w:lang w:val="es-ES"/>
        </w:rPr>
      </w:pPr>
      <w:r w:rsidRPr="0076358A">
        <w:rPr>
          <w:lang w:val="es-ES"/>
        </w:rPr>
        <w:lastRenderedPageBreak/>
        <w:t xml:space="preserve">Las diferencias entre estos grupos de países ponen de manifiesto la necesidad de diseñar </w:t>
      </w:r>
      <w:r w:rsidR="001A73AF">
        <w:rPr>
          <w:lang w:val="es-ES"/>
        </w:rPr>
        <w:t xml:space="preserve">estrategias </w:t>
      </w:r>
      <w:r w:rsidRPr="0076358A">
        <w:rPr>
          <w:lang w:val="es-ES"/>
        </w:rPr>
        <w:t xml:space="preserve">a medida para lograr una conectividad universal y efectiva. </w:t>
      </w:r>
    </w:p>
    <w:p w14:paraId="0161208F" w14:textId="77777777" w:rsidR="006B3273" w:rsidRPr="009B72B4" w:rsidRDefault="006B3273" w:rsidP="009B72B4">
      <w:pPr>
        <w:pStyle w:val="Figuretitle"/>
        <w:keepNext/>
        <w:rPr>
          <w:lang w:val="es-ES"/>
        </w:rPr>
      </w:pPr>
      <w:r w:rsidRPr="0076358A">
        <w:rPr>
          <w:lang w:val="es-ES"/>
        </w:rPr>
        <w:t>Promedio de Indicadores fundamentales de las TIC por grupos de países similares en las Américas, 2023</w:t>
      </w:r>
    </w:p>
    <w:tbl>
      <w:tblPr>
        <w:tblW w:w="38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4"/>
        <w:gridCol w:w="1196"/>
        <w:gridCol w:w="1245"/>
        <w:gridCol w:w="1250"/>
        <w:gridCol w:w="1383"/>
        <w:gridCol w:w="7"/>
      </w:tblGrid>
      <w:tr w:rsidR="006B3273" w:rsidRPr="0076358A" w14:paraId="25FA64A2" w14:textId="77777777" w:rsidTr="009B72B4">
        <w:trPr>
          <w:trHeight w:val="315"/>
          <w:jc w:val="center"/>
        </w:trPr>
        <w:tc>
          <w:tcPr>
            <w:tcW w:w="1601" w:type="pct"/>
            <w:shd w:val="clear" w:color="auto" w:fill="C1E4F5"/>
            <w:noWrap/>
            <w:vAlign w:val="bottom"/>
            <w:hideMark/>
          </w:tcPr>
          <w:p w14:paraId="062AC5C6"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cstheme="minorHAnsi"/>
                <w:color w:val="000000"/>
                <w:spacing w:val="-10"/>
                <w:kern w:val="28"/>
                <w:sz w:val="20"/>
                <w:lang w:val="es-ES" w:eastAsia="en-GB"/>
              </w:rPr>
            </w:pPr>
            <w:r w:rsidRPr="0076358A">
              <w:rPr>
                <w:rFonts w:cstheme="minorHAnsi"/>
                <w:color w:val="000000"/>
                <w:spacing w:val="-10"/>
                <w:kern w:val="28"/>
                <w:sz w:val="20"/>
                <w:lang w:val="es-ES" w:eastAsia="en-GB"/>
              </w:rPr>
              <w:t> </w:t>
            </w:r>
          </w:p>
        </w:tc>
        <w:tc>
          <w:tcPr>
            <w:tcW w:w="2469" w:type="pct"/>
            <w:gridSpan w:val="3"/>
            <w:shd w:val="clear" w:color="auto" w:fill="C1E4F5"/>
          </w:tcPr>
          <w:p w14:paraId="31F1FCC5" w14:textId="77777777" w:rsidR="006B3273" w:rsidRPr="0076358A" w:rsidRDefault="006B3273" w:rsidP="009B72B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cstheme="minorHAnsi"/>
                <w:color w:val="000000"/>
                <w:spacing w:val="-10"/>
                <w:kern w:val="28"/>
                <w:sz w:val="20"/>
                <w:lang w:val="es-ES"/>
              </w:rPr>
            </w:pPr>
            <w:r w:rsidRPr="0076358A">
              <w:rPr>
                <w:rFonts w:cstheme="minorHAnsi"/>
                <w:color w:val="000000"/>
                <w:sz w:val="20"/>
                <w:lang w:val="es-ES"/>
              </w:rPr>
              <w:t>Grupo</w:t>
            </w:r>
          </w:p>
        </w:tc>
        <w:tc>
          <w:tcPr>
            <w:tcW w:w="931" w:type="pct"/>
            <w:gridSpan w:val="2"/>
            <w:shd w:val="clear" w:color="auto" w:fill="C1E4F5"/>
            <w:noWrap/>
            <w:vAlign w:val="bottom"/>
            <w:hideMark/>
          </w:tcPr>
          <w:p w14:paraId="2B7AED9D"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cstheme="minorHAnsi"/>
                <w:color w:val="000000"/>
                <w:spacing w:val="-10"/>
                <w:kern w:val="28"/>
                <w:sz w:val="20"/>
                <w:lang w:val="es-ES" w:eastAsia="en-GB"/>
              </w:rPr>
            </w:pPr>
          </w:p>
        </w:tc>
      </w:tr>
      <w:tr w:rsidR="006B3273" w:rsidRPr="0076358A" w14:paraId="266C43EA" w14:textId="77777777" w:rsidTr="009B72B4">
        <w:trPr>
          <w:gridAfter w:val="1"/>
          <w:wAfter w:w="6" w:type="pct"/>
          <w:trHeight w:val="315"/>
          <w:jc w:val="center"/>
        </w:trPr>
        <w:tc>
          <w:tcPr>
            <w:tcW w:w="1601" w:type="pct"/>
            <w:shd w:val="clear" w:color="auto" w:fill="C1E4F5"/>
            <w:vAlign w:val="bottom"/>
            <w:hideMark/>
          </w:tcPr>
          <w:p w14:paraId="11F36CB7" w14:textId="06D6B216"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eastAsia="Yu Gothic Light" w:cstheme="minorHAnsi"/>
                <w:b/>
                <w:color w:val="000000"/>
                <w:spacing w:val="-10"/>
                <w:kern w:val="28"/>
                <w:sz w:val="20"/>
                <w:lang w:val="es-ES"/>
              </w:rPr>
            </w:pPr>
            <w:r w:rsidRPr="0076358A">
              <w:rPr>
                <w:rFonts w:cstheme="minorHAnsi"/>
                <w:b/>
                <w:bCs/>
                <w:color w:val="000000"/>
                <w:sz w:val="20"/>
                <w:lang w:val="es-ES"/>
              </w:rPr>
              <w:t>Indicador (unidad)</w:t>
            </w:r>
          </w:p>
        </w:tc>
        <w:tc>
          <w:tcPr>
            <w:tcW w:w="800" w:type="pct"/>
            <w:tcBorders>
              <w:bottom w:val="single" w:sz="4" w:space="0" w:color="auto"/>
            </w:tcBorders>
            <w:shd w:val="clear" w:color="auto" w:fill="C1E4F5"/>
            <w:noWrap/>
            <w:vAlign w:val="bottom"/>
            <w:hideMark/>
          </w:tcPr>
          <w:p w14:paraId="429E59BF"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cstheme="minorHAnsi"/>
                <w:color w:val="000000"/>
                <w:spacing w:val="-10"/>
                <w:kern w:val="28"/>
                <w:sz w:val="20"/>
                <w:lang w:val="es-ES"/>
              </w:rPr>
            </w:pPr>
            <w:r w:rsidRPr="0076358A">
              <w:rPr>
                <w:rFonts w:cstheme="minorHAnsi"/>
                <w:color w:val="000000"/>
                <w:sz w:val="20"/>
                <w:lang w:val="es-ES"/>
              </w:rPr>
              <w:t xml:space="preserve">1 </w:t>
            </w:r>
          </w:p>
          <w:p w14:paraId="4FE5CB7D"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cstheme="minorHAnsi"/>
                <w:color w:val="000000"/>
                <w:spacing w:val="-10"/>
                <w:kern w:val="28"/>
                <w:sz w:val="20"/>
                <w:lang w:val="es-ES"/>
              </w:rPr>
            </w:pPr>
            <w:r w:rsidRPr="0076358A">
              <w:rPr>
                <w:rFonts w:cstheme="minorHAnsi"/>
                <w:color w:val="000000"/>
                <w:sz w:val="20"/>
                <w:lang w:val="es-ES"/>
              </w:rPr>
              <w:t>(8 países)</w:t>
            </w:r>
          </w:p>
        </w:tc>
        <w:tc>
          <w:tcPr>
            <w:tcW w:w="833" w:type="pct"/>
            <w:tcBorders>
              <w:bottom w:val="single" w:sz="4" w:space="0" w:color="auto"/>
            </w:tcBorders>
            <w:shd w:val="clear" w:color="auto" w:fill="C1E4F5"/>
            <w:noWrap/>
            <w:vAlign w:val="bottom"/>
            <w:hideMark/>
          </w:tcPr>
          <w:p w14:paraId="3DBC6D80"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cstheme="minorHAnsi"/>
                <w:color w:val="000000"/>
                <w:spacing w:val="-10"/>
                <w:kern w:val="28"/>
                <w:sz w:val="20"/>
                <w:lang w:val="es-ES"/>
              </w:rPr>
            </w:pPr>
            <w:r w:rsidRPr="0076358A">
              <w:rPr>
                <w:rFonts w:cstheme="minorHAnsi"/>
                <w:color w:val="000000"/>
                <w:sz w:val="20"/>
                <w:lang w:val="es-ES"/>
              </w:rPr>
              <w:t xml:space="preserve">2 </w:t>
            </w:r>
          </w:p>
          <w:p w14:paraId="00C1A158"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cstheme="minorHAnsi"/>
                <w:color w:val="000000"/>
                <w:spacing w:val="-10"/>
                <w:kern w:val="28"/>
                <w:sz w:val="20"/>
                <w:lang w:val="es-ES"/>
              </w:rPr>
            </w:pPr>
            <w:r w:rsidRPr="0076358A">
              <w:rPr>
                <w:rFonts w:cstheme="minorHAnsi"/>
                <w:color w:val="000000"/>
                <w:sz w:val="20"/>
                <w:lang w:val="es-ES"/>
              </w:rPr>
              <w:t>(20 países)</w:t>
            </w:r>
          </w:p>
        </w:tc>
        <w:tc>
          <w:tcPr>
            <w:tcW w:w="836" w:type="pct"/>
            <w:tcBorders>
              <w:bottom w:val="single" w:sz="4" w:space="0" w:color="auto"/>
            </w:tcBorders>
            <w:shd w:val="clear" w:color="auto" w:fill="C1E4F5"/>
            <w:noWrap/>
            <w:vAlign w:val="bottom"/>
            <w:hideMark/>
          </w:tcPr>
          <w:p w14:paraId="1F575848"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cstheme="minorHAnsi"/>
                <w:color w:val="000000"/>
                <w:spacing w:val="-10"/>
                <w:kern w:val="28"/>
                <w:sz w:val="20"/>
                <w:lang w:val="es-ES"/>
              </w:rPr>
            </w:pPr>
            <w:r w:rsidRPr="0076358A">
              <w:rPr>
                <w:rFonts w:cstheme="minorHAnsi"/>
                <w:color w:val="000000"/>
                <w:sz w:val="20"/>
                <w:lang w:val="es-ES"/>
              </w:rPr>
              <w:t xml:space="preserve">3 </w:t>
            </w:r>
          </w:p>
          <w:p w14:paraId="74E2752E"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cstheme="minorHAnsi"/>
                <w:color w:val="000000"/>
                <w:spacing w:val="-10"/>
                <w:kern w:val="28"/>
                <w:sz w:val="20"/>
                <w:lang w:val="es-ES"/>
              </w:rPr>
            </w:pPr>
            <w:r w:rsidRPr="0076358A">
              <w:rPr>
                <w:rFonts w:cstheme="minorHAnsi"/>
                <w:color w:val="000000"/>
                <w:sz w:val="20"/>
                <w:lang w:val="es-ES"/>
              </w:rPr>
              <w:t>(6 países)</w:t>
            </w:r>
          </w:p>
        </w:tc>
        <w:tc>
          <w:tcPr>
            <w:tcW w:w="925" w:type="pct"/>
            <w:shd w:val="clear" w:color="auto" w:fill="C1E4F5"/>
            <w:noWrap/>
            <w:vAlign w:val="bottom"/>
            <w:hideMark/>
          </w:tcPr>
          <w:p w14:paraId="2EB665CD"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cstheme="minorHAnsi"/>
                <w:b/>
                <w:color w:val="000000"/>
                <w:spacing w:val="-10"/>
                <w:kern w:val="28"/>
                <w:sz w:val="20"/>
                <w:lang w:val="es-ES"/>
              </w:rPr>
            </w:pPr>
            <w:r w:rsidRPr="0076358A">
              <w:rPr>
                <w:rFonts w:cstheme="minorHAnsi"/>
                <w:b/>
                <w:bCs/>
                <w:color w:val="000000"/>
                <w:sz w:val="20"/>
                <w:lang w:val="es-ES"/>
              </w:rPr>
              <w:t>Promedio mundial</w:t>
            </w:r>
          </w:p>
        </w:tc>
      </w:tr>
      <w:tr w:rsidR="006B3273" w:rsidRPr="0076358A" w14:paraId="744CAAAD" w14:textId="77777777" w:rsidTr="009B72B4">
        <w:trPr>
          <w:gridAfter w:val="1"/>
          <w:wAfter w:w="6" w:type="pct"/>
          <w:trHeight w:val="510"/>
          <w:jc w:val="center"/>
        </w:trPr>
        <w:tc>
          <w:tcPr>
            <w:tcW w:w="1601" w:type="pct"/>
            <w:shd w:val="clear" w:color="auto" w:fill="FFFFFF" w:themeFill="background1"/>
            <w:vAlign w:val="center"/>
            <w:hideMark/>
          </w:tcPr>
          <w:p w14:paraId="227624B4" w14:textId="448734B1"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cstheme="minorHAnsi"/>
                <w:color w:val="000000"/>
                <w:kern w:val="28"/>
                <w:sz w:val="20"/>
                <w:lang w:val="es-ES"/>
              </w:rPr>
            </w:pPr>
            <w:r w:rsidRPr="0076358A">
              <w:rPr>
                <w:rFonts w:cstheme="minorHAnsi"/>
                <w:color w:val="000000"/>
                <w:sz w:val="20"/>
                <w:lang w:val="es-ES"/>
              </w:rPr>
              <w:t>Porcentaje de la población que utiliza Internet (</w:t>
            </w:r>
            <w:r w:rsidR="00AC027A">
              <w:rPr>
                <w:rFonts w:cstheme="minorHAnsi"/>
                <w:color w:val="000000"/>
                <w:sz w:val="20"/>
                <w:lang w:val="es-ES"/>
              </w:rPr>
              <w:t> %</w:t>
            </w:r>
            <w:r w:rsidRPr="0076358A">
              <w:rPr>
                <w:rFonts w:cstheme="minorHAnsi"/>
                <w:color w:val="000000"/>
                <w:sz w:val="20"/>
                <w:lang w:val="es-ES"/>
              </w:rPr>
              <w:t>)</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96AC5D0"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cstheme="minorHAnsi"/>
                <w:color w:val="000000"/>
                <w:kern w:val="28"/>
                <w:sz w:val="20"/>
                <w:lang w:val="es-ES"/>
              </w:rPr>
            </w:pPr>
            <w:r w:rsidRPr="0076358A">
              <w:rPr>
                <w:rFonts w:cstheme="minorHAnsi"/>
                <w:color w:val="000000"/>
                <w:sz w:val="20"/>
                <w:lang w:val="es-ES"/>
              </w:rPr>
              <w:t>89,2</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0338DCA"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cstheme="minorHAnsi"/>
                <w:color w:val="000000"/>
                <w:kern w:val="28"/>
                <w:sz w:val="20"/>
                <w:lang w:val="es-ES"/>
              </w:rPr>
            </w:pPr>
            <w:r w:rsidRPr="0076358A">
              <w:rPr>
                <w:rFonts w:cstheme="minorHAnsi"/>
                <w:color w:val="000000"/>
                <w:sz w:val="20"/>
                <w:lang w:val="es-ES"/>
              </w:rPr>
              <w:t>78,3</w:t>
            </w:r>
          </w:p>
        </w:tc>
        <w:tc>
          <w:tcPr>
            <w:tcW w:w="836" w:type="pct"/>
            <w:tcBorders>
              <w:top w:val="single" w:sz="4" w:space="0" w:color="auto"/>
              <w:left w:val="single" w:sz="4" w:space="0" w:color="auto"/>
              <w:bottom w:val="single" w:sz="4" w:space="0" w:color="auto"/>
              <w:right w:val="single" w:sz="4" w:space="0" w:color="D9D9D9" w:themeColor="background1" w:themeShade="D9"/>
            </w:tcBorders>
            <w:shd w:val="clear" w:color="auto" w:fill="FFFFFF" w:themeFill="background1"/>
            <w:noWrap/>
            <w:vAlign w:val="bottom"/>
          </w:tcPr>
          <w:p w14:paraId="54D32DF6"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cstheme="minorHAnsi"/>
                <w:color w:val="000000"/>
                <w:kern w:val="28"/>
                <w:sz w:val="20"/>
                <w:lang w:val="es-ES"/>
              </w:rPr>
            </w:pPr>
            <w:r w:rsidRPr="0076358A">
              <w:rPr>
                <w:rFonts w:cstheme="minorHAnsi"/>
                <w:color w:val="000000"/>
                <w:sz w:val="20"/>
                <w:lang w:val="es-ES"/>
              </w:rPr>
              <w:t>61,2</w:t>
            </w:r>
          </w:p>
        </w:tc>
        <w:tc>
          <w:tcPr>
            <w:tcW w:w="925" w:type="pct"/>
            <w:shd w:val="clear" w:color="auto" w:fill="FFFFFF" w:themeFill="background1"/>
            <w:noWrap/>
            <w:vAlign w:val="bottom"/>
          </w:tcPr>
          <w:p w14:paraId="44971D52"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cstheme="minorHAnsi"/>
                <w:b/>
                <w:bCs/>
                <w:color w:val="000000"/>
                <w:kern w:val="28"/>
                <w:sz w:val="20"/>
                <w:lang w:val="es-ES"/>
              </w:rPr>
            </w:pPr>
            <w:r w:rsidRPr="0076358A">
              <w:rPr>
                <w:rFonts w:cstheme="minorHAnsi"/>
                <w:b/>
                <w:bCs/>
                <w:color w:val="000000"/>
                <w:sz w:val="20"/>
                <w:lang w:val="es-ES"/>
              </w:rPr>
              <w:t>65,4</w:t>
            </w:r>
          </w:p>
        </w:tc>
      </w:tr>
      <w:tr w:rsidR="006B3273" w:rsidRPr="0076358A" w14:paraId="2BA90F33" w14:textId="77777777" w:rsidTr="009B72B4">
        <w:trPr>
          <w:gridAfter w:val="1"/>
          <w:wAfter w:w="6" w:type="pct"/>
          <w:trHeight w:val="510"/>
          <w:jc w:val="center"/>
        </w:trPr>
        <w:tc>
          <w:tcPr>
            <w:tcW w:w="1601" w:type="pct"/>
            <w:shd w:val="clear" w:color="auto" w:fill="FFFFFF" w:themeFill="background1"/>
            <w:vAlign w:val="center"/>
            <w:hideMark/>
          </w:tcPr>
          <w:p w14:paraId="3C3CB186" w14:textId="2A3C2B86"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cstheme="minorHAnsi"/>
                <w:color w:val="000000"/>
                <w:kern w:val="28"/>
                <w:sz w:val="20"/>
                <w:lang w:val="es-ES"/>
              </w:rPr>
            </w:pPr>
            <w:r w:rsidRPr="0076358A">
              <w:rPr>
                <w:rFonts w:cstheme="minorHAnsi"/>
                <w:color w:val="000000"/>
                <w:sz w:val="20"/>
                <w:lang w:val="es-ES"/>
              </w:rPr>
              <w:t>Igualdad de género – Utilización de Internet</w:t>
            </w:r>
            <w:r w:rsidR="00DF1C96" w:rsidRPr="0076358A">
              <w:rPr>
                <w:rFonts w:cstheme="minorHAnsi"/>
                <w:color w:val="000000"/>
                <w:sz w:val="20"/>
                <w:lang w:val="es-ES"/>
              </w:rPr>
              <w:t xml:space="preserve"> </w:t>
            </w:r>
            <w:r w:rsidRPr="0076358A">
              <w:rPr>
                <w:rFonts w:cstheme="minorHAnsi"/>
                <w:color w:val="000000"/>
                <w:sz w:val="20"/>
                <w:lang w:val="es-ES"/>
              </w:rPr>
              <w:t>índice de paridad de género)</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F733320"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cstheme="minorHAnsi"/>
                <w:color w:val="000000"/>
                <w:kern w:val="28"/>
                <w:sz w:val="20"/>
                <w:lang w:val="es-ES"/>
              </w:rPr>
            </w:pPr>
            <w:r w:rsidRPr="0076358A">
              <w:rPr>
                <w:rFonts w:cstheme="minorHAnsi"/>
                <w:color w:val="000000"/>
                <w:sz w:val="20"/>
                <w:lang w:val="es-ES"/>
              </w:rPr>
              <w:t>1,13</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17D3D7A"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cstheme="minorHAnsi"/>
                <w:color w:val="000000"/>
                <w:kern w:val="28"/>
                <w:sz w:val="20"/>
                <w:lang w:val="es-ES"/>
              </w:rPr>
            </w:pPr>
            <w:r w:rsidRPr="0076358A">
              <w:rPr>
                <w:rFonts w:cstheme="minorHAnsi"/>
                <w:color w:val="000000"/>
                <w:sz w:val="20"/>
                <w:lang w:val="es-ES"/>
              </w:rPr>
              <w:t>0,94</w:t>
            </w:r>
          </w:p>
        </w:tc>
        <w:tc>
          <w:tcPr>
            <w:tcW w:w="836" w:type="pct"/>
            <w:tcBorders>
              <w:top w:val="single" w:sz="4" w:space="0" w:color="auto"/>
              <w:left w:val="single" w:sz="4" w:space="0" w:color="auto"/>
              <w:bottom w:val="single" w:sz="4" w:space="0" w:color="auto"/>
              <w:right w:val="single" w:sz="4" w:space="0" w:color="D9D9D9" w:themeColor="background1" w:themeShade="D9"/>
            </w:tcBorders>
            <w:shd w:val="clear" w:color="auto" w:fill="FFFFFF" w:themeFill="background1"/>
            <w:noWrap/>
            <w:vAlign w:val="bottom"/>
          </w:tcPr>
          <w:p w14:paraId="3CAC25B2"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cstheme="minorHAnsi"/>
                <w:color w:val="000000"/>
                <w:kern w:val="28"/>
                <w:sz w:val="20"/>
                <w:lang w:val="es-ES"/>
              </w:rPr>
            </w:pPr>
            <w:r w:rsidRPr="0076358A">
              <w:rPr>
                <w:rFonts w:cstheme="minorHAnsi"/>
                <w:color w:val="000000"/>
                <w:sz w:val="20"/>
                <w:lang w:val="es-ES"/>
              </w:rPr>
              <w:t>1,00</w:t>
            </w:r>
          </w:p>
        </w:tc>
        <w:tc>
          <w:tcPr>
            <w:tcW w:w="925" w:type="pct"/>
            <w:noWrap/>
            <w:vAlign w:val="bottom"/>
          </w:tcPr>
          <w:p w14:paraId="332EF63B"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cstheme="minorHAnsi"/>
                <w:b/>
                <w:color w:val="000000"/>
                <w:kern w:val="28"/>
                <w:sz w:val="20"/>
                <w:lang w:val="es-ES"/>
              </w:rPr>
            </w:pPr>
            <w:r w:rsidRPr="0076358A">
              <w:rPr>
                <w:rFonts w:cstheme="minorHAnsi"/>
                <w:b/>
                <w:bCs/>
                <w:color w:val="000000"/>
                <w:sz w:val="20"/>
                <w:lang w:val="es-ES"/>
              </w:rPr>
              <w:t>0,90</w:t>
            </w:r>
          </w:p>
        </w:tc>
      </w:tr>
      <w:tr w:rsidR="006B3273" w:rsidRPr="0076358A" w14:paraId="0807A5EE" w14:textId="77777777" w:rsidTr="009B72B4">
        <w:trPr>
          <w:gridAfter w:val="1"/>
          <w:wAfter w:w="6" w:type="pct"/>
          <w:trHeight w:val="510"/>
          <w:jc w:val="center"/>
        </w:trPr>
        <w:tc>
          <w:tcPr>
            <w:tcW w:w="1601" w:type="pct"/>
            <w:shd w:val="clear" w:color="auto" w:fill="FFFFFF" w:themeFill="background1"/>
            <w:vAlign w:val="center"/>
            <w:hideMark/>
          </w:tcPr>
          <w:p w14:paraId="0FB8E23C" w14:textId="3E37133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cstheme="minorHAnsi"/>
                <w:color w:val="000000"/>
                <w:kern w:val="28"/>
                <w:sz w:val="20"/>
                <w:lang w:val="es-ES"/>
              </w:rPr>
            </w:pPr>
            <w:r w:rsidRPr="0076358A">
              <w:rPr>
                <w:rFonts w:cstheme="minorHAnsi"/>
                <w:color w:val="000000"/>
                <w:sz w:val="20"/>
                <w:lang w:val="es-ES"/>
              </w:rPr>
              <w:t>Porcentaje de habitantes que poseen un teléfono móvil (</w:t>
            </w:r>
            <w:r w:rsidR="00AC027A">
              <w:rPr>
                <w:rFonts w:cstheme="minorHAnsi"/>
                <w:color w:val="000000"/>
                <w:sz w:val="20"/>
                <w:lang w:val="es-ES"/>
              </w:rPr>
              <w:t> %</w:t>
            </w:r>
            <w:r w:rsidRPr="0076358A">
              <w:rPr>
                <w:rFonts w:cstheme="minorHAnsi"/>
                <w:color w:val="000000"/>
                <w:sz w:val="20"/>
                <w:lang w:val="es-ES"/>
              </w:rPr>
              <w:t>)</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2CBCEF2"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cstheme="minorHAnsi"/>
                <w:color w:val="000000"/>
                <w:kern w:val="28"/>
                <w:sz w:val="20"/>
                <w:lang w:val="es-ES"/>
              </w:rPr>
            </w:pPr>
            <w:r w:rsidRPr="0076358A">
              <w:rPr>
                <w:rFonts w:cstheme="minorHAnsi"/>
                <w:color w:val="000000"/>
                <w:sz w:val="20"/>
                <w:lang w:val="es-ES"/>
              </w:rPr>
              <w:t>92,4</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FCEE7C4"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cstheme="minorHAnsi"/>
                <w:color w:val="000000"/>
                <w:kern w:val="28"/>
                <w:sz w:val="20"/>
                <w:lang w:val="es-ES"/>
              </w:rPr>
            </w:pPr>
            <w:r w:rsidRPr="0076358A">
              <w:rPr>
                <w:rFonts w:cstheme="minorHAnsi"/>
                <w:color w:val="000000"/>
                <w:sz w:val="20"/>
                <w:lang w:val="es-ES"/>
              </w:rPr>
              <w:t>85,2</w:t>
            </w:r>
          </w:p>
        </w:tc>
        <w:tc>
          <w:tcPr>
            <w:tcW w:w="836" w:type="pct"/>
            <w:tcBorders>
              <w:top w:val="single" w:sz="4" w:space="0" w:color="auto"/>
              <w:left w:val="single" w:sz="4" w:space="0" w:color="auto"/>
              <w:bottom w:val="single" w:sz="4" w:space="0" w:color="auto"/>
              <w:right w:val="single" w:sz="4" w:space="0" w:color="D9D9D9" w:themeColor="background1" w:themeShade="D9"/>
            </w:tcBorders>
            <w:shd w:val="clear" w:color="auto" w:fill="FFFFFF" w:themeFill="background1"/>
            <w:noWrap/>
            <w:vAlign w:val="bottom"/>
          </w:tcPr>
          <w:p w14:paraId="5F9E197A"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cstheme="minorHAnsi"/>
                <w:color w:val="000000"/>
                <w:kern w:val="28"/>
                <w:sz w:val="20"/>
                <w:lang w:val="es-ES"/>
              </w:rPr>
            </w:pPr>
            <w:r w:rsidRPr="0076358A">
              <w:rPr>
                <w:rFonts w:cstheme="minorHAnsi"/>
                <w:color w:val="000000"/>
                <w:sz w:val="20"/>
                <w:lang w:val="es-ES"/>
              </w:rPr>
              <w:t>69,2</w:t>
            </w:r>
          </w:p>
        </w:tc>
        <w:tc>
          <w:tcPr>
            <w:tcW w:w="925" w:type="pct"/>
            <w:shd w:val="clear" w:color="auto" w:fill="FFFFFF" w:themeFill="background1"/>
            <w:noWrap/>
            <w:vAlign w:val="bottom"/>
          </w:tcPr>
          <w:p w14:paraId="4F443DE7"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cstheme="minorHAnsi"/>
                <w:b/>
                <w:bCs/>
                <w:color w:val="000000"/>
                <w:kern w:val="28"/>
                <w:sz w:val="20"/>
                <w:lang w:val="es-ES"/>
              </w:rPr>
            </w:pPr>
            <w:r w:rsidRPr="0076358A">
              <w:rPr>
                <w:rFonts w:cstheme="minorHAnsi"/>
                <w:b/>
                <w:bCs/>
                <w:color w:val="000000"/>
                <w:sz w:val="20"/>
                <w:lang w:val="es-ES"/>
              </w:rPr>
              <w:t>78,6</w:t>
            </w:r>
          </w:p>
        </w:tc>
      </w:tr>
      <w:tr w:rsidR="006B3273" w:rsidRPr="0076358A" w14:paraId="709125D9" w14:textId="77777777" w:rsidTr="009B72B4">
        <w:trPr>
          <w:gridAfter w:val="1"/>
          <w:wAfter w:w="6" w:type="pct"/>
          <w:trHeight w:val="510"/>
          <w:jc w:val="center"/>
        </w:trPr>
        <w:tc>
          <w:tcPr>
            <w:tcW w:w="1601" w:type="pct"/>
            <w:shd w:val="clear" w:color="auto" w:fill="FFFFFF" w:themeFill="background1"/>
            <w:vAlign w:val="center"/>
            <w:hideMark/>
          </w:tcPr>
          <w:p w14:paraId="28755B3A"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cstheme="minorHAnsi"/>
                <w:color w:val="000000"/>
                <w:kern w:val="28"/>
                <w:sz w:val="20"/>
                <w:lang w:val="es-ES"/>
              </w:rPr>
            </w:pPr>
            <w:r w:rsidRPr="0076358A">
              <w:rPr>
                <w:rFonts w:cstheme="minorHAnsi"/>
                <w:color w:val="000000"/>
                <w:sz w:val="20"/>
                <w:lang w:val="es-ES"/>
              </w:rPr>
              <w:t>Abonos a servicios de banda ancha móvil (por cada 100 habitantes)</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93989A7"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cstheme="minorHAnsi"/>
                <w:color w:val="000000"/>
                <w:kern w:val="28"/>
                <w:sz w:val="20"/>
                <w:lang w:val="es-ES"/>
              </w:rPr>
            </w:pPr>
            <w:r w:rsidRPr="0076358A">
              <w:rPr>
                <w:rFonts w:cstheme="minorHAnsi"/>
                <w:color w:val="000000"/>
                <w:sz w:val="20"/>
                <w:lang w:val="es-ES"/>
              </w:rPr>
              <w:t>103,4</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F628D61"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cstheme="minorHAnsi"/>
                <w:color w:val="000000"/>
                <w:kern w:val="28"/>
                <w:sz w:val="20"/>
                <w:lang w:val="es-ES"/>
              </w:rPr>
            </w:pPr>
            <w:r w:rsidRPr="0076358A">
              <w:rPr>
                <w:rFonts w:cstheme="minorHAnsi"/>
                <w:color w:val="000000"/>
                <w:sz w:val="20"/>
                <w:lang w:val="es-ES"/>
              </w:rPr>
              <w:t>79,3</w:t>
            </w:r>
          </w:p>
        </w:tc>
        <w:tc>
          <w:tcPr>
            <w:tcW w:w="836" w:type="pct"/>
            <w:tcBorders>
              <w:top w:val="single" w:sz="4" w:space="0" w:color="auto"/>
              <w:left w:val="single" w:sz="4" w:space="0" w:color="auto"/>
              <w:bottom w:val="single" w:sz="4" w:space="0" w:color="auto"/>
              <w:right w:val="single" w:sz="4" w:space="0" w:color="D9D9D9" w:themeColor="background1" w:themeShade="D9"/>
            </w:tcBorders>
            <w:shd w:val="clear" w:color="auto" w:fill="FFFFFF" w:themeFill="background1"/>
            <w:noWrap/>
            <w:vAlign w:val="bottom"/>
          </w:tcPr>
          <w:p w14:paraId="32D6A78B"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cstheme="minorHAnsi"/>
                <w:color w:val="000000"/>
                <w:kern w:val="28"/>
                <w:sz w:val="20"/>
                <w:lang w:val="es-ES"/>
              </w:rPr>
            </w:pPr>
            <w:r w:rsidRPr="0076358A">
              <w:rPr>
                <w:rFonts w:cstheme="minorHAnsi"/>
                <w:color w:val="000000"/>
                <w:sz w:val="20"/>
                <w:lang w:val="es-ES"/>
              </w:rPr>
              <w:t>46,3</w:t>
            </w:r>
          </w:p>
        </w:tc>
        <w:tc>
          <w:tcPr>
            <w:tcW w:w="925" w:type="pct"/>
            <w:shd w:val="clear" w:color="auto" w:fill="FFFFFF" w:themeFill="background1"/>
            <w:noWrap/>
            <w:vAlign w:val="bottom"/>
          </w:tcPr>
          <w:p w14:paraId="6FE64926"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cstheme="minorHAnsi"/>
                <w:b/>
                <w:bCs/>
                <w:color w:val="000000"/>
                <w:kern w:val="28"/>
                <w:sz w:val="20"/>
                <w:lang w:val="es-ES"/>
              </w:rPr>
            </w:pPr>
            <w:r w:rsidRPr="0076358A">
              <w:rPr>
                <w:rFonts w:cstheme="minorHAnsi"/>
                <w:b/>
                <w:bCs/>
                <w:color w:val="000000"/>
                <w:sz w:val="20"/>
                <w:lang w:val="es-ES"/>
              </w:rPr>
              <w:t>89,9</w:t>
            </w:r>
          </w:p>
        </w:tc>
      </w:tr>
      <w:tr w:rsidR="006B3273" w:rsidRPr="0076358A" w14:paraId="509A8140" w14:textId="77777777" w:rsidTr="009B72B4">
        <w:trPr>
          <w:gridAfter w:val="1"/>
          <w:wAfter w:w="6" w:type="pct"/>
          <w:trHeight w:val="510"/>
          <w:jc w:val="center"/>
        </w:trPr>
        <w:tc>
          <w:tcPr>
            <w:tcW w:w="1601" w:type="pct"/>
            <w:shd w:val="clear" w:color="auto" w:fill="FFFFFF" w:themeFill="background1"/>
            <w:vAlign w:val="center"/>
            <w:hideMark/>
          </w:tcPr>
          <w:p w14:paraId="0B65D72B"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cstheme="minorHAnsi"/>
                <w:color w:val="000000"/>
                <w:kern w:val="28"/>
                <w:sz w:val="20"/>
                <w:lang w:val="es-ES"/>
              </w:rPr>
            </w:pPr>
            <w:r w:rsidRPr="0076358A">
              <w:rPr>
                <w:rFonts w:cstheme="minorHAnsi"/>
                <w:color w:val="000000"/>
                <w:sz w:val="20"/>
                <w:lang w:val="es-ES"/>
              </w:rPr>
              <w:t>Abonos a servicios de banda ancha fija (por cada 100 habitantes)</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CFC3E4C"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cstheme="minorHAnsi"/>
                <w:color w:val="000000"/>
                <w:kern w:val="28"/>
                <w:sz w:val="20"/>
                <w:lang w:val="es-ES"/>
              </w:rPr>
            </w:pPr>
            <w:r w:rsidRPr="0076358A">
              <w:rPr>
                <w:rFonts w:cstheme="minorHAnsi"/>
                <w:color w:val="000000"/>
                <w:sz w:val="20"/>
                <w:lang w:val="es-ES"/>
              </w:rPr>
              <w:t>27,9</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3EED3DB"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cstheme="minorHAnsi"/>
                <w:color w:val="000000"/>
                <w:kern w:val="28"/>
                <w:sz w:val="20"/>
                <w:lang w:val="es-ES"/>
              </w:rPr>
            </w:pPr>
            <w:r w:rsidRPr="0076358A">
              <w:rPr>
                <w:rFonts w:cstheme="minorHAnsi"/>
                <w:color w:val="000000"/>
                <w:sz w:val="20"/>
                <w:lang w:val="es-ES"/>
              </w:rPr>
              <w:t>13,8</w:t>
            </w:r>
          </w:p>
        </w:tc>
        <w:tc>
          <w:tcPr>
            <w:tcW w:w="836" w:type="pct"/>
            <w:tcBorders>
              <w:top w:val="single" w:sz="4" w:space="0" w:color="auto"/>
              <w:left w:val="single" w:sz="4" w:space="0" w:color="auto"/>
              <w:bottom w:val="single" w:sz="4" w:space="0" w:color="auto"/>
              <w:right w:val="single" w:sz="4" w:space="0" w:color="D9D9D9" w:themeColor="background1" w:themeShade="D9"/>
            </w:tcBorders>
            <w:shd w:val="clear" w:color="auto" w:fill="FFFFFF" w:themeFill="background1"/>
            <w:noWrap/>
            <w:vAlign w:val="bottom"/>
          </w:tcPr>
          <w:p w14:paraId="0C426821"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cstheme="minorHAnsi"/>
                <w:color w:val="000000"/>
                <w:kern w:val="28"/>
                <w:sz w:val="20"/>
                <w:lang w:val="es-ES"/>
              </w:rPr>
            </w:pPr>
            <w:r w:rsidRPr="0076358A">
              <w:rPr>
                <w:rFonts w:cstheme="minorHAnsi"/>
                <w:color w:val="000000"/>
                <w:sz w:val="20"/>
                <w:lang w:val="es-ES"/>
              </w:rPr>
              <w:t>6,1</w:t>
            </w:r>
          </w:p>
        </w:tc>
        <w:tc>
          <w:tcPr>
            <w:tcW w:w="925" w:type="pct"/>
            <w:shd w:val="clear" w:color="auto" w:fill="FFFFFF" w:themeFill="background1"/>
            <w:noWrap/>
            <w:vAlign w:val="bottom"/>
          </w:tcPr>
          <w:p w14:paraId="6AA17F38"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cstheme="minorHAnsi"/>
                <w:b/>
                <w:bCs/>
                <w:color w:val="000000"/>
                <w:kern w:val="28"/>
                <w:sz w:val="20"/>
                <w:lang w:val="es-ES"/>
              </w:rPr>
            </w:pPr>
            <w:r w:rsidRPr="0076358A">
              <w:rPr>
                <w:rFonts w:cstheme="minorHAnsi"/>
                <w:b/>
                <w:bCs/>
                <w:color w:val="000000"/>
                <w:sz w:val="20"/>
                <w:lang w:val="es-ES"/>
              </w:rPr>
              <w:t>18,6</w:t>
            </w:r>
          </w:p>
        </w:tc>
      </w:tr>
      <w:tr w:rsidR="006B3273" w:rsidRPr="0076358A" w14:paraId="31F8F7F2" w14:textId="77777777" w:rsidTr="009B72B4">
        <w:trPr>
          <w:gridAfter w:val="1"/>
          <w:wAfter w:w="6" w:type="pct"/>
          <w:trHeight w:val="479"/>
          <w:jc w:val="center"/>
        </w:trPr>
        <w:tc>
          <w:tcPr>
            <w:tcW w:w="1601" w:type="pct"/>
            <w:shd w:val="clear" w:color="auto" w:fill="FFFFFF" w:themeFill="background1"/>
            <w:vAlign w:val="center"/>
            <w:hideMark/>
          </w:tcPr>
          <w:p w14:paraId="525D6265" w14:textId="3F48B535"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cstheme="minorHAnsi"/>
                <w:color w:val="A6A6A6"/>
                <w:kern w:val="28"/>
                <w:sz w:val="20"/>
                <w:lang w:val="es-ES"/>
              </w:rPr>
            </w:pPr>
            <w:r w:rsidRPr="0076358A">
              <w:rPr>
                <w:rFonts w:cstheme="minorHAnsi"/>
                <w:color w:val="000000"/>
                <w:sz w:val="20"/>
                <w:lang w:val="es-ES"/>
              </w:rPr>
              <w:t>Precios de la banda ancha móvil de solo datos (</w:t>
            </w:r>
            <w:r w:rsidR="00AC027A">
              <w:rPr>
                <w:rFonts w:cstheme="minorHAnsi"/>
                <w:color w:val="000000"/>
                <w:sz w:val="20"/>
                <w:lang w:val="es-ES"/>
              </w:rPr>
              <w:t> %</w:t>
            </w:r>
            <w:r w:rsidRPr="0076358A">
              <w:rPr>
                <w:rFonts w:cstheme="minorHAnsi"/>
                <w:color w:val="000000"/>
                <w:sz w:val="20"/>
                <w:lang w:val="es-ES"/>
              </w:rPr>
              <w:t xml:space="preserve"> de la RNB per cápita)</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39496FA"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cstheme="minorHAnsi"/>
                <w:color w:val="000000"/>
                <w:kern w:val="28"/>
                <w:sz w:val="20"/>
                <w:lang w:val="es-ES"/>
              </w:rPr>
            </w:pPr>
            <w:r w:rsidRPr="0076358A">
              <w:rPr>
                <w:rFonts w:cstheme="minorHAnsi"/>
                <w:color w:val="000000"/>
                <w:sz w:val="20"/>
                <w:lang w:val="es-ES"/>
              </w:rPr>
              <w:t>0,8</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670F04D"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cstheme="minorHAnsi"/>
                <w:color w:val="000000"/>
                <w:kern w:val="28"/>
                <w:sz w:val="20"/>
                <w:lang w:val="es-ES"/>
              </w:rPr>
            </w:pPr>
            <w:r w:rsidRPr="0076358A">
              <w:rPr>
                <w:rFonts w:cstheme="minorHAnsi"/>
                <w:color w:val="000000"/>
                <w:sz w:val="20"/>
                <w:lang w:val="es-ES"/>
              </w:rPr>
              <w:t>2,3</w:t>
            </w:r>
          </w:p>
        </w:tc>
        <w:tc>
          <w:tcPr>
            <w:tcW w:w="836" w:type="pct"/>
            <w:tcBorders>
              <w:top w:val="single" w:sz="4" w:space="0" w:color="auto"/>
              <w:left w:val="single" w:sz="4" w:space="0" w:color="auto"/>
              <w:bottom w:val="single" w:sz="4" w:space="0" w:color="auto"/>
              <w:right w:val="single" w:sz="4" w:space="0" w:color="D9D9D9" w:themeColor="background1" w:themeShade="D9"/>
            </w:tcBorders>
            <w:shd w:val="clear" w:color="auto" w:fill="FFFFFF" w:themeFill="background1"/>
            <w:noWrap/>
            <w:vAlign w:val="bottom"/>
          </w:tcPr>
          <w:p w14:paraId="45BFA100"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cstheme="minorHAnsi"/>
                <w:color w:val="000000"/>
                <w:kern w:val="28"/>
                <w:sz w:val="20"/>
                <w:lang w:val="es-ES"/>
              </w:rPr>
            </w:pPr>
            <w:r w:rsidRPr="0076358A">
              <w:rPr>
                <w:rFonts w:cstheme="minorHAnsi"/>
                <w:color w:val="000000"/>
                <w:sz w:val="20"/>
                <w:lang w:val="es-ES"/>
              </w:rPr>
              <w:t>4,5</w:t>
            </w:r>
          </w:p>
        </w:tc>
        <w:tc>
          <w:tcPr>
            <w:tcW w:w="925" w:type="pct"/>
            <w:shd w:val="clear" w:color="auto" w:fill="FFFFFF" w:themeFill="background1"/>
            <w:noWrap/>
            <w:vAlign w:val="bottom"/>
          </w:tcPr>
          <w:p w14:paraId="63904D79"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cstheme="minorHAnsi"/>
                <w:b/>
                <w:bCs/>
                <w:color w:val="000000"/>
                <w:kern w:val="28"/>
                <w:sz w:val="20"/>
                <w:lang w:val="es-ES"/>
              </w:rPr>
            </w:pPr>
            <w:r w:rsidRPr="0076358A">
              <w:rPr>
                <w:rFonts w:cstheme="minorHAnsi"/>
                <w:b/>
                <w:bCs/>
                <w:color w:val="000000"/>
                <w:sz w:val="20"/>
                <w:lang w:val="es-ES"/>
              </w:rPr>
              <w:t>2,8</w:t>
            </w:r>
          </w:p>
        </w:tc>
      </w:tr>
      <w:tr w:rsidR="006B3273" w:rsidRPr="0076358A" w14:paraId="436C36A8" w14:textId="77777777" w:rsidTr="009B72B4">
        <w:trPr>
          <w:gridAfter w:val="1"/>
          <w:wAfter w:w="6" w:type="pct"/>
          <w:trHeight w:val="510"/>
          <w:jc w:val="center"/>
        </w:trPr>
        <w:tc>
          <w:tcPr>
            <w:tcW w:w="1601" w:type="pct"/>
            <w:shd w:val="clear" w:color="auto" w:fill="FFFFFF" w:themeFill="background1"/>
            <w:vAlign w:val="center"/>
            <w:hideMark/>
          </w:tcPr>
          <w:p w14:paraId="374CC25A" w14:textId="700A0B4D"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cstheme="minorHAnsi"/>
                <w:color w:val="000000"/>
                <w:kern w:val="28"/>
                <w:sz w:val="20"/>
                <w:lang w:val="es-ES"/>
              </w:rPr>
            </w:pPr>
            <w:r w:rsidRPr="0076358A">
              <w:rPr>
                <w:rFonts w:cstheme="minorHAnsi"/>
                <w:color w:val="000000"/>
                <w:sz w:val="20"/>
                <w:lang w:val="es-ES"/>
              </w:rPr>
              <w:t>Precios de la banda ancha fija (</w:t>
            </w:r>
            <w:r w:rsidR="00AC027A">
              <w:rPr>
                <w:rFonts w:cstheme="minorHAnsi"/>
                <w:color w:val="000000"/>
                <w:sz w:val="20"/>
                <w:lang w:val="es-ES"/>
              </w:rPr>
              <w:t> %</w:t>
            </w:r>
            <w:r w:rsidRPr="0076358A">
              <w:rPr>
                <w:rFonts w:cstheme="minorHAnsi"/>
                <w:color w:val="000000"/>
                <w:sz w:val="20"/>
                <w:lang w:val="es-ES"/>
              </w:rPr>
              <w:t xml:space="preserve"> de la RNB per cápita)</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6C8BC75"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cstheme="minorHAnsi"/>
                <w:color w:val="000000"/>
                <w:kern w:val="28"/>
                <w:sz w:val="20"/>
                <w:lang w:val="es-ES"/>
              </w:rPr>
            </w:pPr>
            <w:r w:rsidRPr="0076358A">
              <w:rPr>
                <w:rFonts w:cstheme="minorHAnsi"/>
                <w:color w:val="000000"/>
                <w:sz w:val="20"/>
                <w:lang w:val="es-ES"/>
              </w:rPr>
              <w:t>2,1</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DF28C1A"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cstheme="minorHAnsi"/>
                <w:color w:val="000000"/>
                <w:kern w:val="28"/>
                <w:sz w:val="20"/>
                <w:lang w:val="es-ES"/>
              </w:rPr>
            </w:pPr>
            <w:r w:rsidRPr="0076358A">
              <w:rPr>
                <w:rFonts w:cstheme="minorHAnsi"/>
                <w:color w:val="000000"/>
                <w:sz w:val="20"/>
                <w:lang w:val="es-ES"/>
              </w:rPr>
              <w:t>3,7</w:t>
            </w:r>
          </w:p>
        </w:tc>
        <w:tc>
          <w:tcPr>
            <w:tcW w:w="836" w:type="pct"/>
            <w:tcBorders>
              <w:top w:val="single" w:sz="4" w:space="0" w:color="auto"/>
              <w:left w:val="single" w:sz="4" w:space="0" w:color="auto"/>
              <w:bottom w:val="single" w:sz="4" w:space="0" w:color="auto"/>
              <w:right w:val="single" w:sz="4" w:space="0" w:color="D9D9D9" w:themeColor="background1" w:themeShade="D9"/>
            </w:tcBorders>
            <w:shd w:val="clear" w:color="auto" w:fill="FFFFFF" w:themeFill="background1"/>
            <w:noWrap/>
            <w:vAlign w:val="bottom"/>
          </w:tcPr>
          <w:p w14:paraId="4CF592BE"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cstheme="minorHAnsi"/>
                <w:color w:val="000000"/>
                <w:kern w:val="28"/>
                <w:sz w:val="20"/>
                <w:lang w:val="es-ES"/>
              </w:rPr>
            </w:pPr>
            <w:r w:rsidRPr="0076358A">
              <w:rPr>
                <w:rFonts w:cstheme="minorHAnsi"/>
                <w:color w:val="000000"/>
                <w:sz w:val="20"/>
                <w:lang w:val="es-ES"/>
              </w:rPr>
              <w:t>15,4</w:t>
            </w:r>
          </w:p>
        </w:tc>
        <w:tc>
          <w:tcPr>
            <w:tcW w:w="925" w:type="pct"/>
            <w:shd w:val="clear" w:color="auto" w:fill="FFFFFF" w:themeFill="background1"/>
            <w:noWrap/>
            <w:vAlign w:val="bottom"/>
          </w:tcPr>
          <w:p w14:paraId="040B5FF0" w14:textId="77777777" w:rsidR="006B3273" w:rsidRPr="0076358A" w:rsidRDefault="006B3273" w:rsidP="004A7CF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cstheme="minorHAnsi"/>
                <w:b/>
                <w:bCs/>
                <w:color w:val="000000"/>
                <w:kern w:val="28"/>
                <w:sz w:val="20"/>
                <w:lang w:val="es-ES"/>
              </w:rPr>
            </w:pPr>
            <w:r w:rsidRPr="0076358A">
              <w:rPr>
                <w:rFonts w:cstheme="minorHAnsi"/>
                <w:b/>
                <w:bCs/>
                <w:color w:val="000000"/>
                <w:sz w:val="20"/>
                <w:lang w:val="es-ES"/>
              </w:rPr>
              <w:t>1,3</w:t>
            </w:r>
          </w:p>
        </w:tc>
      </w:tr>
    </w:tbl>
    <w:p w14:paraId="297994EA" w14:textId="77777777" w:rsidR="006B3273" w:rsidRPr="0076358A" w:rsidRDefault="006B3273" w:rsidP="0073214B">
      <w:pPr>
        <w:pStyle w:val="Figurelegend"/>
        <w:spacing w:before="120"/>
      </w:pPr>
      <w:r w:rsidRPr="0076358A">
        <w:t>Nota: Las medianas de grupo para los precios de la banda ancha móvil de solo datos y de la banda ancha fija se expresan en porcentaje de la RNB per cápita.</w:t>
      </w:r>
    </w:p>
    <w:p w14:paraId="38528C3B" w14:textId="77777777" w:rsidR="006B3273" w:rsidRPr="0076358A" w:rsidRDefault="006B3273" w:rsidP="00490BBD">
      <w:pPr>
        <w:pStyle w:val="Sourcetext"/>
      </w:pPr>
      <w:r w:rsidRPr="0076358A">
        <w:t>Fuente: UIT</w:t>
      </w:r>
    </w:p>
    <w:p w14:paraId="51DA8840" w14:textId="77777777" w:rsidR="006B3273" w:rsidRPr="000B7629" w:rsidRDefault="006B3273" w:rsidP="006B3273">
      <w:pPr>
        <w:tabs>
          <w:tab w:val="clear" w:pos="794"/>
          <w:tab w:val="clear" w:pos="1191"/>
          <w:tab w:val="clear" w:pos="1588"/>
          <w:tab w:val="clear" w:pos="1985"/>
        </w:tabs>
        <w:overflowPunct/>
        <w:autoSpaceDE/>
        <w:autoSpaceDN/>
        <w:adjustRightInd/>
        <w:spacing w:before="0"/>
        <w:textAlignment w:val="auto"/>
        <w:rPr>
          <w:rFonts w:eastAsia="Yu Gothic Light" w:cstheme="minorHAnsi"/>
          <w:kern w:val="2"/>
          <w:szCs w:val="24"/>
          <w:lang w:val="es-ES"/>
          <w14:ligatures w14:val="standardContextual"/>
        </w:rPr>
      </w:pPr>
      <w:r w:rsidRPr="0076358A">
        <w:rPr>
          <w:rFonts w:ascii="Aptos Display" w:eastAsia="Yu Gothic Light" w:hAnsi="Aptos Display"/>
          <w:color w:val="0F4761"/>
          <w:kern w:val="2"/>
          <w:sz w:val="32"/>
          <w:szCs w:val="32"/>
          <w:lang w:val="es-ES"/>
          <w14:ligatures w14:val="standardContextual"/>
        </w:rPr>
        <w:br w:type="page"/>
      </w:r>
    </w:p>
    <w:p w14:paraId="47A9F0C4" w14:textId="77777777" w:rsidR="006B3273" w:rsidRPr="000B7629" w:rsidRDefault="006B3273" w:rsidP="006B3273">
      <w:pPr>
        <w:pStyle w:val="Section"/>
        <w:rPr>
          <w:rFonts w:asciiTheme="minorHAnsi" w:hAnsiTheme="minorHAnsi" w:cstheme="minorHAnsi"/>
          <w:color w:val="auto"/>
          <w:lang w:val="es-ES"/>
        </w:rPr>
      </w:pPr>
      <w:bookmarkStart w:id="20" w:name="_Toc193034326"/>
      <w:r w:rsidRPr="000B7629">
        <w:rPr>
          <w:rFonts w:asciiTheme="minorHAnsi" w:hAnsiTheme="minorHAnsi" w:cstheme="minorHAnsi"/>
          <w:color w:val="auto"/>
          <w:lang w:val="es-ES"/>
        </w:rPr>
        <w:lastRenderedPageBreak/>
        <w:t>Visión general de la disponibilidad de datos en la región de las Américas</w:t>
      </w:r>
      <w:bookmarkEnd w:id="20"/>
    </w:p>
    <w:p w14:paraId="5D867029"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i/>
          <w:kern w:val="2"/>
          <w:sz w:val="22"/>
          <w:szCs w:val="22"/>
          <w:lang w:val="es-ES"/>
          <w14:ligatures w14:val="standardContextual"/>
        </w:rPr>
      </w:pPr>
      <w:r w:rsidRPr="0076358A">
        <w:rPr>
          <w:b/>
          <w:bCs/>
          <w:i/>
          <w:iCs/>
          <w:lang w:val="es-ES"/>
        </w:rPr>
        <w:t>Se necesitan más indicadores de TIC basados en encuestas, mejor calidad y mayor granularidad</w:t>
      </w:r>
      <w:r w:rsidRPr="0076358A">
        <w:rPr>
          <w:lang w:val="es-ES"/>
        </w:rPr>
        <w:t xml:space="preserve"> </w:t>
      </w:r>
    </w:p>
    <w:p w14:paraId="0989B063" w14:textId="0C9DB91C"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Disponer de datos es fundamental para alcanzar una conectividad universal y efectiva. Con ayuda de unos datos fidedignos y oportunos, los responsables políticos pueden detectar necesidades, establecer prioridades, concebir intervenciones eficaces, conocer los progresos y cuantificar las repercusiones. Invertir en datos aporta grandes beneficios, ya que permite tomar mejores de decisiones y emprender iniciativas más eficientes.</w:t>
      </w:r>
    </w:p>
    <w:p w14:paraId="02407121"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20"/>
        <w:textAlignment w:val="auto"/>
        <w:rPr>
          <w:rFonts w:ascii="Aptos" w:eastAsia="Aptos" w:hAnsi="Aptos" w:cs="Arial"/>
          <w:kern w:val="2"/>
          <w:sz w:val="22"/>
          <w:szCs w:val="22"/>
          <w:lang w:val="es-ES"/>
          <w14:ligatures w14:val="standardContextual"/>
        </w:rPr>
      </w:pPr>
      <w:r w:rsidRPr="0076358A">
        <w:rPr>
          <w:lang w:val="es-ES"/>
        </w:rPr>
        <w:t>El Grupo Asesor de Desarrollo de las Telecomunicaciones del UIT-D reconoció la importancia de los datos para la ejecución del Plan de Acción de Kigali y adoptó cinco indicadores fundamentales de rendimiento (IFR) para medir el grado en que los Estados Miembros presentaban a la UIT datos oportunos sobre las TIC, incluidos IFR relacionados con la presentación de datos sobre competencias en TIC y sobre el uso de Internet desglosados por ubicación y género.</w:t>
      </w:r>
    </w:p>
    <w:p w14:paraId="7D40A413" w14:textId="2EE2D071"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En promedio, el 69</w:t>
      </w:r>
      <w:r w:rsidR="00AC027A">
        <w:rPr>
          <w:lang w:val="es-ES"/>
        </w:rPr>
        <w:t> %</w:t>
      </w:r>
      <w:r w:rsidRPr="0076358A">
        <w:rPr>
          <w:lang w:val="es-ES"/>
        </w:rPr>
        <w:t xml:space="preserve"> de los países de la región ha adoptado un conjunto básico de 14 indicadores administrativos de las TIC, cuyos datos suelen recopilar los organismos reguladores o los ministerios nacionales (véase la lista de indicadores en la nota de la figura siguiente). Dos países recopilan información sobre todos los indicadores, mientras que a 10 países sólo les falta información sobre uno. Cinco países de la región no disponen de datos recientes sobre los indicadores seleccionados.</w:t>
      </w:r>
    </w:p>
    <w:p w14:paraId="33E369BC"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 xml:space="preserve">Algunos de los indicadores son más fáciles de obtener que otros. Los indicadores de cobertura por una red móvil y de abonos, por ejemplo, están disponibles en todos los países de la región, salvo en cinco. Es necesario desplegar más esfuerzos para mejorar las estadísticas sobre la utilización del ancho de banda internacional, el tráfico de Internet de banda ancha fija y los ingresos e inversiones. Estos indicadores sólo están disponibles en, a lo sumo, 18 de los 35 países estudiados en las Américas, y su calidad también tiende a fluctuar. </w:t>
      </w:r>
    </w:p>
    <w:p w14:paraId="365C3361" w14:textId="77777777" w:rsidR="006B3273" w:rsidRDefault="006B3273" w:rsidP="0017123C">
      <w:pPr>
        <w:pStyle w:val="Figuretitle"/>
        <w:keepNext/>
        <w:rPr>
          <w:lang w:val="es-ES"/>
        </w:rPr>
      </w:pPr>
      <w:r w:rsidRPr="0076358A">
        <w:rPr>
          <w:lang w:val="es-ES"/>
        </w:rPr>
        <w:t>Disponibilidad porcentual de determinados indicadores administrativos de las TIC, 2022-2023</w:t>
      </w:r>
    </w:p>
    <w:p w14:paraId="3EB8914B" w14:textId="3C55355B" w:rsidR="0017123C" w:rsidRPr="0017123C" w:rsidRDefault="0017123C" w:rsidP="0017123C">
      <w:pPr>
        <w:rPr>
          <w:rFonts w:eastAsia="Yu Gothic Light"/>
          <w:lang w:val="es-ES"/>
        </w:rPr>
      </w:pPr>
      <w:r w:rsidRPr="0017123C">
        <w:rPr>
          <w:rFonts w:eastAsia="Yu Gothic Light"/>
          <w:noProof/>
        </w:rPr>
        <w:drawing>
          <wp:inline distT="0" distB="0" distL="0" distR="0" wp14:anchorId="2BECADF0" wp14:editId="31D9ADC6">
            <wp:extent cx="5911688" cy="2893243"/>
            <wp:effectExtent l="0" t="0" r="0" b="2540"/>
            <wp:docPr id="1913333553" name="Chart 1">
              <a:extLst xmlns:a="http://schemas.openxmlformats.org/drawingml/2006/main">
                <a:ext uri="{FF2B5EF4-FFF2-40B4-BE49-F238E27FC236}">
                  <a16:creationId xmlns:a16="http://schemas.microsoft.com/office/drawing/2014/main" id="{DB5E49FE-3E66-491F-B5B0-5FF066FAD8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A2BE12A" w14:textId="21A47BC0" w:rsidR="006B3273" w:rsidRPr="0076358A" w:rsidRDefault="006B3273" w:rsidP="000B7629">
      <w:pPr>
        <w:pStyle w:val="Figurelegend"/>
      </w:pPr>
      <w:r w:rsidRPr="0076358A">
        <w:lastRenderedPageBreak/>
        <w:t>Nota: Los datos relativos a un indicador se consideran disponibles si se cuenta con al menos un valor para el periodo en cuestión. Evaluación basada en el siguiente conjunto de indicadores: abonos activos a la banda ancha móvil, abonos a la banda ancha fija (en total y por niveles de velocidad: 256</w:t>
      </w:r>
      <w:r w:rsidR="0017123C">
        <w:t> </w:t>
      </w:r>
      <w:r w:rsidRPr="0076358A">
        <w:t>Kbit/s a 2</w:t>
      </w:r>
      <w:r w:rsidR="0017123C">
        <w:t> </w:t>
      </w:r>
      <w:r w:rsidRPr="0076358A">
        <w:t>Mbit/s, 2</w:t>
      </w:r>
      <w:r w:rsidR="0017123C">
        <w:t> </w:t>
      </w:r>
      <w:r w:rsidRPr="0076358A">
        <w:t>Mbit/s a 10</w:t>
      </w:r>
      <w:r w:rsidR="0017123C">
        <w:t> </w:t>
      </w:r>
      <w:r w:rsidRPr="0076358A">
        <w:t>Mbit/s, y más de 10</w:t>
      </w:r>
      <w:r w:rsidR="0017123C">
        <w:t> </w:t>
      </w:r>
      <w:r w:rsidRPr="0076358A">
        <w:t xml:space="preserve">Mbit/s), indicadores de cobertura de red móvil por tecnología (al menos 2G, 3G, LTE/WiMAX, 5G), tráfico total de Internet de banda ancha fija, tráfico de Internet de banda ancha móvil a escala nacional, utilización del ancho de banda internacional, ingresos totales del sector de las telecomunicaciones e inversión en servicios de telecomunicaciones. </w:t>
      </w:r>
    </w:p>
    <w:p w14:paraId="5069C254" w14:textId="77777777" w:rsidR="006B3273" w:rsidRPr="0076358A" w:rsidRDefault="006B3273" w:rsidP="00490BBD">
      <w:pPr>
        <w:pStyle w:val="Sourcetext"/>
      </w:pPr>
      <w:r w:rsidRPr="0076358A">
        <w:t>Fuente: UIT</w:t>
      </w:r>
    </w:p>
    <w:p w14:paraId="0450E198"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 xml:space="preserve">Los datos sobre el acceso a las TIC y su utilización por los hogares y las personas, que por regla general se obtiene a partir de encuestas de hogares, también varían considerablemente de un país a otro de la región. Solo 16 países de las Américas han proporcionado al menos datos parciales sobre indicadores de las TIC en los hogares para el periodo 2022-2024. Nueve países no han facilitado ningún dato en los últimos 10 años. </w:t>
      </w:r>
    </w:p>
    <w:p w14:paraId="2DEB25DD" w14:textId="77777777" w:rsidR="006B3273" w:rsidRPr="0076358A"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lang w:val="es-ES"/>
          <w14:ligatures w14:val="standardContextual"/>
        </w:rPr>
      </w:pPr>
      <w:r w:rsidRPr="0076358A">
        <w:rPr>
          <w:lang w:val="es-ES"/>
        </w:rPr>
        <w:t xml:space="preserve">El problema es aún más agudo en el caso de los datos desglosados por atributos socioeconómicos, que a menudo no están disponibles. Siete países han presentado recientemente estos datos (aunque no anteriores a 2022) para los seis atributos de interés. Otros siete países han presentado datos recientes para al menos un atributo. </w:t>
      </w:r>
    </w:p>
    <w:p w14:paraId="3118581E" w14:textId="77777777" w:rsidR="006B3273" w:rsidRDefault="006B3273" w:rsidP="006B3273">
      <w:pPr>
        <w:tabs>
          <w:tab w:val="clear" w:pos="794"/>
          <w:tab w:val="clear" w:pos="1191"/>
          <w:tab w:val="clear" w:pos="1588"/>
          <w:tab w:val="clear" w:pos="1985"/>
        </w:tabs>
        <w:overflowPunct/>
        <w:autoSpaceDE/>
        <w:autoSpaceDN/>
        <w:adjustRightInd/>
        <w:spacing w:before="0" w:after="160" w:line="259" w:lineRule="auto"/>
        <w:textAlignment w:val="auto"/>
        <w:rPr>
          <w:lang w:val="es-ES"/>
        </w:rPr>
      </w:pPr>
      <w:r w:rsidRPr="0076358A">
        <w:rPr>
          <w:lang w:val="es-ES"/>
        </w:rPr>
        <w:t>Incluso cuando los datos están disponibles, pueden ser deficientes debido a un muestreo mal diseñado, métodos de recopilación inadecuados o bajas tasas de respuesta. Es probable que estas deficiencias produzcan resultados equívocos y puedan dar lugar a políticas equivocadas. (Por ejemplo, sobreestimar las competencias en materia de TIC podría dar lugar a que los responsables políticos no presten la atención necesaria a las poblaciones que necesitan formación en este campo). Para resolver estos problemas es preciso adoptar una estrategia doble dirigida tanto a los productores como a los usuarios de datos. La UIT aspira a mejorar la disponibilidad y la calidad de los datos de las TIC a nivel mundial mediante una labor constante de capacitación, asistencia técnica y promoción.</w:t>
      </w:r>
    </w:p>
    <w:p w14:paraId="438924BB" w14:textId="7F530142" w:rsidR="009D1918" w:rsidRDefault="009D1918">
      <w:pPr>
        <w:tabs>
          <w:tab w:val="clear" w:pos="794"/>
          <w:tab w:val="clear" w:pos="1191"/>
          <w:tab w:val="clear" w:pos="1588"/>
          <w:tab w:val="clear" w:pos="1985"/>
        </w:tabs>
        <w:overflowPunct/>
        <w:autoSpaceDE/>
        <w:autoSpaceDN/>
        <w:adjustRightInd/>
        <w:spacing w:before="0"/>
        <w:textAlignment w:val="auto"/>
        <w:rPr>
          <w:rFonts w:ascii="Aptos" w:eastAsia="Aptos" w:hAnsi="Aptos" w:cs="Arial"/>
          <w:kern w:val="2"/>
          <w:sz w:val="22"/>
          <w:szCs w:val="22"/>
          <w:lang w:val="es-ES"/>
          <w14:ligatures w14:val="standardContextual"/>
        </w:rPr>
      </w:pPr>
      <w:r>
        <w:rPr>
          <w:rFonts w:ascii="Aptos" w:eastAsia="Aptos" w:hAnsi="Aptos" w:cs="Arial"/>
          <w:kern w:val="2"/>
          <w:sz w:val="22"/>
          <w:szCs w:val="22"/>
          <w:lang w:val="es-ES"/>
          <w14:ligatures w14:val="standardContextual"/>
        </w:rPr>
        <w:br w:type="page"/>
      </w:r>
    </w:p>
    <w:p w14:paraId="0DF93FA8" w14:textId="77777777" w:rsidR="006B3273" w:rsidRDefault="006B3273" w:rsidP="0017123C">
      <w:pPr>
        <w:pStyle w:val="Figuretitle"/>
        <w:keepNext/>
        <w:rPr>
          <w:lang w:val="es-ES"/>
        </w:rPr>
      </w:pPr>
      <w:r w:rsidRPr="0076358A">
        <w:rPr>
          <w:lang w:val="es-ES"/>
        </w:rPr>
        <w:lastRenderedPageBreak/>
        <w:t>Último año en que se presentaron datos de encuestas sobre las TIC en los hogares, por atributo socioeconómico</w:t>
      </w:r>
    </w:p>
    <w:p w14:paraId="2C273EBB" w14:textId="0BB4A780" w:rsidR="0017123C" w:rsidRPr="0017123C" w:rsidRDefault="00F573AB" w:rsidP="00F573AB">
      <w:pPr>
        <w:jc w:val="center"/>
        <w:rPr>
          <w:rFonts w:eastAsia="Yu Gothic Light"/>
          <w:lang w:val="es-ES"/>
        </w:rPr>
      </w:pPr>
      <w:r w:rsidRPr="00F573AB">
        <w:rPr>
          <w:rFonts w:eastAsia="Yu Gothic Light"/>
          <w:lang w:val="es-ES"/>
        </w:rPr>
        <w:drawing>
          <wp:inline distT="0" distB="0" distL="0" distR="0" wp14:anchorId="2C8A9F1C" wp14:editId="2180FBAA">
            <wp:extent cx="5750936" cy="6138407"/>
            <wp:effectExtent l="0" t="0" r="2540" b="0"/>
            <wp:docPr id="1090857207"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57207" name="Picture 1" descr="A table with numbers and text&#10;&#10;AI-generated content may be incorrect."/>
                    <pic:cNvPicPr/>
                  </pic:nvPicPr>
                  <pic:blipFill>
                    <a:blip r:embed="rId86"/>
                    <a:stretch>
                      <a:fillRect/>
                    </a:stretch>
                  </pic:blipFill>
                  <pic:spPr>
                    <a:xfrm>
                      <a:off x="0" y="0"/>
                      <a:ext cx="5772133" cy="6161032"/>
                    </a:xfrm>
                    <a:prstGeom prst="rect">
                      <a:avLst/>
                    </a:prstGeom>
                  </pic:spPr>
                </pic:pic>
              </a:graphicData>
            </a:graphic>
          </wp:inline>
        </w:drawing>
      </w:r>
    </w:p>
    <w:p w14:paraId="167D2B33" w14:textId="77777777" w:rsidR="006B3273" w:rsidRPr="0076358A" w:rsidRDefault="006B3273" w:rsidP="00490BBD">
      <w:pPr>
        <w:pStyle w:val="Sourcetext"/>
      </w:pPr>
      <w:r w:rsidRPr="0076358A">
        <w:t>Fuente: UIT</w:t>
      </w:r>
    </w:p>
    <w:p w14:paraId="5AEF090F" w14:textId="77777777" w:rsidR="006B3273" w:rsidRPr="000B7629" w:rsidRDefault="006B3273" w:rsidP="006B3273">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kern w:val="2"/>
          <w:szCs w:val="24"/>
          <w:lang w:val="es-ES"/>
          <w14:ligatures w14:val="standardContextual"/>
        </w:rPr>
      </w:pPr>
      <w:r w:rsidRPr="0076358A">
        <w:rPr>
          <w:lang w:val="es-ES"/>
        </w:rPr>
        <w:br w:type="page"/>
      </w:r>
    </w:p>
    <w:p w14:paraId="1F3B73DF" w14:textId="77777777" w:rsidR="006B3273" w:rsidRPr="000B7629" w:rsidRDefault="006B3273" w:rsidP="006B3273">
      <w:pPr>
        <w:pStyle w:val="Parttitle0"/>
        <w:rPr>
          <w:rFonts w:asciiTheme="minorHAnsi" w:hAnsiTheme="minorHAnsi" w:cstheme="minorHAnsi"/>
          <w:color w:val="auto"/>
          <w:lang w:val="es-ES"/>
        </w:rPr>
      </w:pPr>
      <w:bookmarkStart w:id="21" w:name="_Toc193034327"/>
      <w:r w:rsidRPr="000B7629">
        <w:rPr>
          <w:rFonts w:asciiTheme="minorHAnsi" w:hAnsiTheme="minorHAnsi" w:cstheme="minorHAnsi"/>
          <w:color w:val="auto"/>
          <w:lang w:val="es-ES"/>
        </w:rPr>
        <w:lastRenderedPageBreak/>
        <w:t>Parte 2. BDT4Impact: Casos prácticos seleccionados de la región de las Américas</w:t>
      </w:r>
      <w:bookmarkEnd w:id="21"/>
    </w:p>
    <w:p w14:paraId="46D8E94F" w14:textId="31B51636" w:rsidR="006B3273" w:rsidRPr="0076358A" w:rsidRDefault="006B3273" w:rsidP="006B3273">
      <w:pPr>
        <w:spacing w:before="0" w:after="160" w:line="259" w:lineRule="auto"/>
        <w:rPr>
          <w:rFonts w:ascii="Aptos" w:hAnsi="Aptos" w:cs="Calibri"/>
          <w:color w:val="2F2F2F"/>
          <w:sz w:val="22"/>
          <w:szCs w:val="22"/>
          <w:lang w:val="es-ES"/>
        </w:rPr>
      </w:pPr>
      <w:r w:rsidRPr="0076358A">
        <w:rPr>
          <w:lang w:val="es-ES"/>
        </w:rPr>
        <w:t xml:space="preserve">En la segunda parte de este documento se presenta una selección de proyectos e iniciativas respaldados por la BDT en la Región de las Américas. Para ver más casos de estudio de la BDT, consulte </w:t>
      </w:r>
      <w:hyperlink r:id="rId87" w:history="1">
        <w:r w:rsidR="000B7629" w:rsidRPr="002014AA">
          <w:rPr>
            <w:rStyle w:val="Hyperlink"/>
            <w:lang w:val="es-ES"/>
          </w:rPr>
          <w:t>https://www.itu.int/itu-d/sites/digital-impact-unlocked/all-stories/list/es</w:t>
        </w:r>
      </w:hyperlink>
      <w:r w:rsidRPr="0076358A">
        <w:rPr>
          <w:lang w:val="es-ES"/>
        </w:rPr>
        <w:t xml:space="preserve">. </w:t>
      </w:r>
    </w:p>
    <w:p w14:paraId="0A7B577D" w14:textId="77777777" w:rsidR="006B3273" w:rsidRPr="000B7629" w:rsidRDefault="006B3273" w:rsidP="006B3273">
      <w:pPr>
        <w:pStyle w:val="Section"/>
        <w:rPr>
          <w:rFonts w:asciiTheme="minorHAnsi" w:hAnsiTheme="minorHAnsi" w:cstheme="minorHAnsi"/>
          <w:color w:val="auto"/>
          <w:lang w:val="es-ES"/>
        </w:rPr>
      </w:pPr>
      <w:bookmarkStart w:id="22" w:name="_Toc193034328"/>
      <w:r w:rsidRPr="000B7629">
        <w:rPr>
          <w:rFonts w:asciiTheme="minorHAnsi" w:hAnsiTheme="minorHAnsi" w:cstheme="minorHAnsi"/>
          <w:color w:val="auto"/>
          <w:lang w:val="es-ES"/>
        </w:rPr>
        <w:t>Reducción de la brecha digital en las comunidades indígenas y rurales de las Américas</w:t>
      </w:r>
      <w:bookmarkEnd w:id="22"/>
    </w:p>
    <w:p w14:paraId="38D81D71" w14:textId="325C9DAF" w:rsidR="006B3273" w:rsidRPr="0076358A" w:rsidRDefault="006B3273" w:rsidP="006B3273">
      <w:pPr>
        <w:spacing w:before="0" w:after="160" w:line="259" w:lineRule="auto"/>
        <w:rPr>
          <w:rFonts w:ascii="Aptos" w:hAnsi="Aptos" w:cs="Calibri"/>
          <w:color w:val="2F2F2F"/>
          <w:sz w:val="22"/>
          <w:szCs w:val="22"/>
          <w:lang w:val="es-ES"/>
        </w:rPr>
      </w:pPr>
      <w:hyperlink r:id="rId88" w:anchor="/es" w:history="1">
        <w:r w:rsidRPr="009D1918">
          <w:rPr>
            <w:rStyle w:val="Hyperlink"/>
            <w:lang w:val="es-ES"/>
          </w:rPr>
          <w:t>El campamento sobre redes de TIC celebrado en Guatemala el año 2004</w:t>
        </w:r>
      </w:hyperlink>
      <w:r w:rsidRPr="0076358A">
        <w:rPr>
          <w:lang w:val="es-ES"/>
        </w:rPr>
        <w:t xml:space="preserve"> permitió dotar a líderes de comunidades indígenas y rurales de América Latina de las competencias para construir, mantener y gestionar redes de TIC. </w:t>
      </w:r>
    </w:p>
    <w:p w14:paraId="55EE5962" w14:textId="77777777" w:rsidR="006B3273" w:rsidRPr="0076358A" w:rsidRDefault="006B3273" w:rsidP="006B3273">
      <w:pPr>
        <w:spacing w:before="0" w:after="160" w:line="259" w:lineRule="auto"/>
        <w:rPr>
          <w:rFonts w:ascii="Aptos" w:hAnsi="Aptos" w:cs="Calibri"/>
          <w:color w:val="2F2F2F"/>
          <w:sz w:val="22"/>
          <w:szCs w:val="22"/>
          <w:lang w:val="es-ES"/>
        </w:rPr>
      </w:pPr>
      <w:r w:rsidRPr="0076358A">
        <w:rPr>
          <w:lang w:val="es-ES"/>
        </w:rPr>
        <w:t>Los participantes también reflexionaron sobre cómo la tecnología puede conectar a las personas, preservar las identidades culturales y servir de herramienta para la educación, la atención sanitaria y las oportunidades económicas.</w:t>
      </w:r>
    </w:p>
    <w:p w14:paraId="33E7DC92" w14:textId="589B500E" w:rsidR="006B3273" w:rsidRPr="0076358A" w:rsidRDefault="006B3273" w:rsidP="006B3273">
      <w:pPr>
        <w:spacing w:before="0" w:after="160" w:line="259" w:lineRule="auto"/>
        <w:rPr>
          <w:rFonts w:ascii="Aptos" w:hAnsi="Aptos" w:cs="Calibri"/>
          <w:color w:val="2F2F2F"/>
          <w:sz w:val="22"/>
          <w:szCs w:val="22"/>
          <w:lang w:val="es-ES"/>
        </w:rPr>
      </w:pPr>
      <w:r w:rsidRPr="0076358A">
        <w:rPr>
          <w:lang w:val="es-ES"/>
        </w:rPr>
        <w:t>"El objetivo de esta formación no era únicamente aprender nuevas competencias; se trataba de entender las identidades de nuestras comunidades y cómo la tecnología puede ser una herramienta para mejorarlas y preservarlas", declaró</w:t>
      </w:r>
      <w:r w:rsidR="000B7629">
        <w:rPr>
          <w:lang w:val="es-ES"/>
        </w:rPr>
        <w:t xml:space="preserve"> </w:t>
      </w:r>
      <w:r w:rsidRPr="0076358A">
        <w:rPr>
          <w:lang w:val="es-ES"/>
        </w:rPr>
        <w:t>Jean Pierre Orozco Ruiz, creador audiovisual que participó en este evento.</w:t>
      </w:r>
    </w:p>
    <w:p w14:paraId="610589F4" w14:textId="77777777" w:rsidR="006B3273" w:rsidRPr="0076358A" w:rsidRDefault="006B3273" w:rsidP="006B3273">
      <w:pPr>
        <w:spacing w:before="0" w:after="160" w:line="259" w:lineRule="auto"/>
        <w:rPr>
          <w:rFonts w:ascii="Aptos" w:hAnsi="Aptos" w:cs="Calibri"/>
          <w:color w:val="2F2F2F"/>
          <w:sz w:val="22"/>
          <w:szCs w:val="22"/>
          <w:lang w:val="es-ES"/>
        </w:rPr>
      </w:pPr>
      <w:r w:rsidRPr="0076358A">
        <w:rPr>
          <w:lang w:val="es-ES"/>
        </w:rPr>
        <w:t>El campamento fue organizado en colaboración con la Asociación para el Progreso de las Comunicaciones, Rhizomática y Redes Por la Diversidad, Equidad y Sustentabilidad A.C.</w:t>
      </w:r>
    </w:p>
    <w:p w14:paraId="2C8A4955" w14:textId="77777777" w:rsidR="006B3273" w:rsidRPr="0073214B" w:rsidRDefault="006B3273" w:rsidP="006B3273">
      <w:pPr>
        <w:pStyle w:val="Section"/>
        <w:rPr>
          <w:rFonts w:asciiTheme="minorHAnsi" w:hAnsiTheme="minorHAnsi" w:cstheme="minorHAnsi"/>
          <w:color w:val="auto"/>
          <w:lang w:val="es-ES"/>
        </w:rPr>
      </w:pPr>
      <w:bookmarkStart w:id="23" w:name="_Toc193034329"/>
      <w:r w:rsidRPr="0073214B">
        <w:rPr>
          <w:rFonts w:asciiTheme="minorHAnsi" w:hAnsiTheme="minorHAnsi" w:cstheme="minorHAnsi"/>
          <w:color w:val="auto"/>
          <w:lang w:val="es-ES"/>
        </w:rPr>
        <w:t>Los países se esfuerzan por regular los residuos electrónicos para proteger la salud, el medio ambiente y los recursos</w:t>
      </w:r>
      <w:bookmarkEnd w:id="23"/>
    </w:p>
    <w:p w14:paraId="502C06BD" w14:textId="77777777" w:rsidR="006B3273" w:rsidRPr="0076358A" w:rsidRDefault="006B3273" w:rsidP="006B3273">
      <w:pPr>
        <w:spacing w:before="0" w:after="160" w:line="259" w:lineRule="auto"/>
        <w:rPr>
          <w:rFonts w:ascii="Aptos" w:hAnsi="Aptos" w:cs="Calibri"/>
          <w:color w:val="2F2F2F"/>
          <w:sz w:val="22"/>
          <w:szCs w:val="22"/>
          <w:lang w:val="es-ES"/>
        </w:rPr>
      </w:pPr>
      <w:r w:rsidRPr="0076358A">
        <w:rPr>
          <w:lang w:val="es-ES"/>
        </w:rPr>
        <w:t>La República Dominicana y Paraguay están elaborando marcos normativos para la gestión responsable de los residuos electrónicos, lo que constituye un paso importante hacia la creación de una economía circular para los dispositivos eléctricos y electrónicos.</w:t>
      </w:r>
    </w:p>
    <w:p w14:paraId="440B57BA" w14:textId="5BB2AC15" w:rsidR="006B3273" w:rsidRPr="0076358A" w:rsidRDefault="006B3273" w:rsidP="006B3273">
      <w:pPr>
        <w:spacing w:before="0" w:after="160" w:line="259" w:lineRule="auto"/>
        <w:rPr>
          <w:rFonts w:ascii="Aptos" w:hAnsi="Aptos" w:cs="Calibri"/>
          <w:color w:val="2F2F2F"/>
          <w:sz w:val="22"/>
          <w:szCs w:val="22"/>
          <w:lang w:val="es-ES"/>
        </w:rPr>
      </w:pPr>
      <w:r w:rsidRPr="0076358A">
        <w:rPr>
          <w:lang w:val="es-ES"/>
        </w:rPr>
        <w:t xml:space="preserve">Hasta la fecha, 12 países de las Américas han establecido políticas, </w:t>
      </w:r>
      <w:r w:rsidR="00585F8F">
        <w:rPr>
          <w:lang w:val="es-ES"/>
        </w:rPr>
        <w:t>leyes</w:t>
      </w:r>
      <w:r w:rsidRPr="0076358A">
        <w:rPr>
          <w:lang w:val="es-ES"/>
        </w:rPr>
        <w:t xml:space="preserve"> o reglamentos que rigen la gestión de este complejo y creciente flujo de residuos. </w:t>
      </w:r>
    </w:p>
    <w:p w14:paraId="023156F6" w14:textId="52A70158" w:rsidR="006B3273" w:rsidRPr="0076358A" w:rsidRDefault="006B3273" w:rsidP="006B3273">
      <w:pPr>
        <w:spacing w:before="0" w:after="160" w:line="259" w:lineRule="auto"/>
        <w:rPr>
          <w:rFonts w:ascii="Aptos" w:hAnsi="Aptos" w:cs="Calibri"/>
          <w:color w:val="2F2F2F"/>
          <w:sz w:val="22"/>
          <w:szCs w:val="22"/>
          <w:lang w:val="es-ES"/>
        </w:rPr>
      </w:pPr>
      <w:r w:rsidRPr="0076358A">
        <w:rPr>
          <w:lang w:val="es-ES"/>
        </w:rPr>
        <w:t>La República Dominicana, donde se generan 100</w:t>
      </w:r>
      <w:r w:rsidR="009D1918">
        <w:rPr>
          <w:lang w:val="es-ES"/>
        </w:rPr>
        <w:t> </w:t>
      </w:r>
      <w:r w:rsidRPr="0076358A">
        <w:rPr>
          <w:lang w:val="es-ES"/>
        </w:rPr>
        <w:t xml:space="preserve">000 toneladas de residuos electrónicos al año, aprobó recientemente una nueva reglamentación en materia de residuos electrónicos, que sirve de modelo para las naciones que se enfrentan a retos similares. </w:t>
      </w:r>
    </w:p>
    <w:p w14:paraId="39E1CD6C" w14:textId="77777777" w:rsidR="006B3273" w:rsidRPr="0076358A" w:rsidRDefault="006B3273" w:rsidP="006B3273">
      <w:pPr>
        <w:spacing w:before="0" w:after="160" w:line="259" w:lineRule="auto"/>
        <w:rPr>
          <w:rFonts w:ascii="Aptos" w:hAnsi="Aptos" w:cs="Calibri"/>
          <w:color w:val="2F2F2F"/>
          <w:sz w:val="22"/>
          <w:szCs w:val="22"/>
          <w:lang w:val="es-ES"/>
        </w:rPr>
      </w:pPr>
      <w:r w:rsidRPr="0076358A">
        <w:rPr>
          <w:lang w:val="es-ES"/>
        </w:rPr>
        <w:t>La nueva reglamentación se elaboró a lo largo de dos años con el apoyo de la UIT, en colaboración con el Ministerio de Medio Ambiente y Recursos Naturales de la República Dominicana; INDOTEL, organismo regulador de las telecomunicaciones del país; el Programa de las Naciones Unidas para el Medio Ambiente y agentes del sector privado.</w:t>
      </w:r>
    </w:p>
    <w:p w14:paraId="2692689A" w14:textId="03457A8B" w:rsidR="006B3273" w:rsidRPr="0076358A" w:rsidRDefault="006B3273" w:rsidP="006B3273">
      <w:pPr>
        <w:spacing w:before="0" w:after="160" w:line="259" w:lineRule="auto"/>
        <w:rPr>
          <w:rFonts w:ascii="Aptos" w:hAnsi="Aptos" w:cs="Calibri"/>
          <w:color w:val="2F2F2F"/>
          <w:sz w:val="22"/>
          <w:szCs w:val="22"/>
          <w:lang w:val="es-ES"/>
        </w:rPr>
      </w:pPr>
      <w:r w:rsidRPr="0076358A">
        <w:rPr>
          <w:lang w:val="es-ES"/>
        </w:rPr>
        <w:t>El Gobierno de Paraguay tiene previsto redactar en 2025 una reglamentación nacional sobre residuos electrónicos en el marco</w:t>
      </w:r>
      <w:r w:rsidR="00DF1C96" w:rsidRPr="0076358A">
        <w:rPr>
          <w:lang w:val="es-ES"/>
        </w:rPr>
        <w:t xml:space="preserve"> </w:t>
      </w:r>
      <w:r w:rsidRPr="0076358A">
        <w:rPr>
          <w:lang w:val="es-ES"/>
        </w:rPr>
        <w:t xml:space="preserve">de un proyecto patrocinado por la Comisión de Comunicaciones, </w:t>
      </w:r>
      <w:r w:rsidRPr="0076358A">
        <w:rPr>
          <w:lang w:val="es-ES"/>
        </w:rPr>
        <w:lastRenderedPageBreak/>
        <w:t xml:space="preserve">Espacio y Tecnología de Arabia Saudita. El proyecto tiene como objetivo ayudar al país a elaborar un marco reglamentario en materia de residuos electrónicos. </w:t>
      </w:r>
    </w:p>
    <w:p w14:paraId="59C3A78C" w14:textId="77777777" w:rsidR="006B3273" w:rsidRPr="0076358A" w:rsidRDefault="006B3273" w:rsidP="006B3273">
      <w:pPr>
        <w:spacing w:before="0" w:after="160" w:line="259" w:lineRule="auto"/>
        <w:rPr>
          <w:rFonts w:ascii="Aptos" w:hAnsi="Aptos" w:cs="Calibri"/>
          <w:color w:val="2F2F2F"/>
          <w:sz w:val="22"/>
          <w:szCs w:val="22"/>
          <w:lang w:val="es-ES"/>
        </w:rPr>
      </w:pPr>
      <w:r w:rsidRPr="0076358A">
        <w:rPr>
          <w:lang w:val="es-ES"/>
        </w:rPr>
        <w:t>Se está ejecutando en cooperación con el Ministerio de Ambiente y Desarrollo Sostenible de Paraguay y la Comisión Nacional de Telecomunicaciones (CONATEL). El proyecto comenzó en diciembre de 2023 y se prolongará al menos hasta finales de 2025.</w:t>
      </w:r>
    </w:p>
    <w:p w14:paraId="41FF8A43" w14:textId="29B4028C" w:rsidR="006B3273" w:rsidRPr="000B7629" w:rsidRDefault="006B3273" w:rsidP="006B3273">
      <w:pPr>
        <w:pStyle w:val="Section"/>
        <w:rPr>
          <w:rFonts w:asciiTheme="minorHAnsi" w:hAnsiTheme="minorHAnsi" w:cstheme="minorHAnsi"/>
          <w:color w:val="auto"/>
          <w:lang w:val="es-ES"/>
        </w:rPr>
      </w:pPr>
      <w:bookmarkStart w:id="24" w:name="_Toc193034330"/>
      <w:r w:rsidRPr="000B7629">
        <w:rPr>
          <w:rFonts w:asciiTheme="minorHAnsi" w:hAnsiTheme="minorHAnsi" w:cstheme="minorHAnsi"/>
          <w:color w:val="auto"/>
          <w:lang w:val="es-ES"/>
        </w:rPr>
        <w:t xml:space="preserve">El Proyecto Mares Inteligentes aumenta la resiliencia </w:t>
      </w:r>
      <w:r w:rsidR="00C901E7" w:rsidRPr="000B7629">
        <w:rPr>
          <w:rFonts w:asciiTheme="minorHAnsi" w:hAnsiTheme="minorHAnsi" w:cstheme="minorHAnsi"/>
          <w:color w:val="auto"/>
          <w:lang w:val="es-ES"/>
        </w:rPr>
        <w:t>e</w:t>
      </w:r>
      <w:r w:rsidRPr="000B7629">
        <w:rPr>
          <w:rFonts w:asciiTheme="minorHAnsi" w:hAnsiTheme="minorHAnsi" w:cstheme="minorHAnsi"/>
          <w:color w:val="auto"/>
          <w:lang w:val="es-ES"/>
        </w:rPr>
        <w:t>n caso de catástrofe de los pescadores minoristas del Caribe.</w:t>
      </w:r>
      <w:bookmarkEnd w:id="24"/>
      <w:r w:rsidR="00DF1C96" w:rsidRPr="000B7629">
        <w:rPr>
          <w:rFonts w:asciiTheme="minorHAnsi" w:hAnsiTheme="minorHAnsi" w:cstheme="minorHAnsi"/>
          <w:color w:val="auto"/>
          <w:lang w:val="es-ES"/>
        </w:rPr>
        <w:t xml:space="preserve"> </w:t>
      </w:r>
    </w:p>
    <w:p w14:paraId="03681578" w14:textId="5E7CE54F" w:rsidR="006B3273" w:rsidRPr="0076358A" w:rsidRDefault="006B3273" w:rsidP="006B3273">
      <w:pPr>
        <w:spacing w:before="0" w:after="160" w:line="259" w:lineRule="auto"/>
        <w:rPr>
          <w:rFonts w:ascii="Aptos" w:hAnsi="Aptos" w:cs="Calibri"/>
          <w:color w:val="2F2F2F"/>
          <w:sz w:val="22"/>
          <w:szCs w:val="22"/>
          <w:lang w:val="es-ES"/>
        </w:rPr>
      </w:pPr>
      <w:hyperlink r:id="rId89" w:anchor="/es" w:history="1">
        <w:r w:rsidRPr="009D1918">
          <w:rPr>
            <w:rStyle w:val="Hyperlink"/>
            <w:lang w:val="es-ES"/>
          </w:rPr>
          <w:t>El Proyecto Mares Inteligentes</w:t>
        </w:r>
      </w:hyperlink>
      <w:r w:rsidRPr="0076358A">
        <w:rPr>
          <w:lang w:val="es-ES"/>
        </w:rPr>
        <w:t>, una colaboración entre la BDT, la Unión de Telecomunicaciones del Caribe y la Autoridad de Telecomunicaciones de Trinidad y Tabago, proporciona herramientas digitales y conectividad para mejorar las comunicaciones marítimas y ayudar a los pescadores minoristas a navegar con seguridad en Barbados, Granada, San Vicente y las Granadinas y Trinidad y Tabago.</w:t>
      </w:r>
    </w:p>
    <w:p w14:paraId="4B0C4A00" w14:textId="77777777" w:rsidR="006B3273" w:rsidRPr="0076358A" w:rsidRDefault="006B3273" w:rsidP="006B3273">
      <w:pPr>
        <w:spacing w:before="0" w:after="160" w:line="259" w:lineRule="auto"/>
        <w:rPr>
          <w:rFonts w:ascii="Aptos" w:hAnsi="Aptos" w:cs="Calibri"/>
          <w:color w:val="2F2F2F"/>
          <w:sz w:val="22"/>
          <w:szCs w:val="22"/>
          <w:lang w:val="es-ES"/>
        </w:rPr>
      </w:pPr>
      <w:r w:rsidRPr="0076358A">
        <w:rPr>
          <w:lang w:val="es-ES"/>
        </w:rPr>
        <w:t>En el marco de este proyecto también se ayuda a las comunidades a utilizar las TIC para el desarrollo social y económico.</w:t>
      </w:r>
    </w:p>
    <w:p w14:paraId="317FBEB0" w14:textId="56103FAA" w:rsidR="006B3273" w:rsidRPr="0076358A" w:rsidRDefault="006B3273" w:rsidP="006B3273">
      <w:pPr>
        <w:spacing w:before="0" w:after="160" w:line="259" w:lineRule="auto"/>
        <w:rPr>
          <w:rFonts w:ascii="Aptos" w:hAnsi="Aptos" w:cs="Calibri"/>
          <w:color w:val="2F2F2F"/>
          <w:sz w:val="22"/>
          <w:szCs w:val="22"/>
          <w:lang w:val="es-ES"/>
        </w:rPr>
      </w:pPr>
      <w:r w:rsidRPr="0076358A">
        <w:rPr>
          <w:lang w:val="es-ES"/>
        </w:rPr>
        <w:t>Los pescadores minoristas, que representan más del 90</w:t>
      </w:r>
      <w:r w:rsidR="00AC027A">
        <w:rPr>
          <w:lang w:val="es-ES"/>
        </w:rPr>
        <w:t> %</w:t>
      </w:r>
      <w:r w:rsidRPr="0076358A">
        <w:rPr>
          <w:lang w:val="es-ES"/>
        </w:rPr>
        <w:t xml:space="preserve"> de la flota mundial de pesca extractiva, son muy vulnerables a las catástrofes en el mar, que van desde el robo y la piratería hasta las catástrofes relacionadas con el cambio climático. Estos pescadores suministran alrededor del 40</w:t>
      </w:r>
      <w:r w:rsidR="00AC027A">
        <w:rPr>
          <w:lang w:val="es-ES"/>
        </w:rPr>
        <w:t> %</w:t>
      </w:r>
      <w:r w:rsidRPr="0076358A">
        <w:rPr>
          <w:lang w:val="es-ES"/>
        </w:rPr>
        <w:t xml:space="preserve"> del pescado que se consume diariamente, lo que los hace esenciales para la seguridad económica y alimentaria.</w:t>
      </w:r>
    </w:p>
    <w:p w14:paraId="0CC333DE" w14:textId="67980519" w:rsidR="006B3273" w:rsidRPr="0076358A" w:rsidRDefault="006B3273" w:rsidP="006B3273">
      <w:pPr>
        <w:spacing w:before="0" w:after="160" w:line="259" w:lineRule="auto"/>
        <w:rPr>
          <w:rFonts w:ascii="Aptos" w:hAnsi="Aptos" w:cs="Calibri"/>
          <w:color w:val="2F2F2F"/>
          <w:sz w:val="22"/>
          <w:szCs w:val="22"/>
          <w:lang w:val="es-ES"/>
        </w:rPr>
      </w:pPr>
      <w:r w:rsidRPr="0076358A">
        <w:rPr>
          <w:lang w:val="es-ES"/>
        </w:rPr>
        <w:t>El proyecto Mares Inteligentes pone de manifiesto el compromiso de la UIT de utilizar la tecnología con fines sociales. En el marco de</w:t>
      </w:r>
      <w:r w:rsidR="007E3A75">
        <w:rPr>
          <w:lang w:val="es-ES"/>
        </w:rPr>
        <w:t xml:space="preserve"> este</w:t>
      </w:r>
      <w:r w:rsidRPr="0076358A">
        <w:rPr>
          <w:lang w:val="es-ES"/>
        </w:rPr>
        <w:t xml:space="preserve"> proyecto, se han organizado talleres para fomentar un entorno propicio y proporcionar herramientas gratuitas a los principales organismos implicados en las comunicaciones marítimas, como los reguladores y los coordinadores de salvamento.</w:t>
      </w:r>
    </w:p>
    <w:p w14:paraId="37A97B87" w14:textId="77777777" w:rsidR="006B3273" w:rsidRPr="0076358A" w:rsidRDefault="006B3273" w:rsidP="006B3273">
      <w:pPr>
        <w:spacing w:before="0" w:after="160" w:line="259" w:lineRule="auto"/>
        <w:rPr>
          <w:rFonts w:ascii="Aptos" w:hAnsi="Aptos" w:cs="Calibri"/>
          <w:color w:val="2F2F2F"/>
          <w:sz w:val="22"/>
          <w:szCs w:val="22"/>
          <w:lang w:val="es-ES"/>
        </w:rPr>
      </w:pPr>
      <w:r w:rsidRPr="0076358A">
        <w:rPr>
          <w:lang w:val="es-ES"/>
        </w:rPr>
        <w:t xml:space="preserve">Los talleres gratuitos incluyen formación en radiocomunicaciones VHF-DSC para pescadores, coordinadores de operaciones de rescate, organismos de gestión de catástrofes y reguladores. </w:t>
      </w:r>
    </w:p>
    <w:p w14:paraId="7BF4C680" w14:textId="77777777" w:rsidR="006B3273" w:rsidRPr="0076358A" w:rsidRDefault="006B3273" w:rsidP="006B3273">
      <w:pPr>
        <w:spacing w:before="0" w:after="160" w:line="259" w:lineRule="auto"/>
        <w:rPr>
          <w:rFonts w:ascii="Aptos" w:hAnsi="Aptos" w:cs="Calibri"/>
          <w:color w:val="2F2F2F"/>
          <w:sz w:val="22"/>
          <w:szCs w:val="22"/>
          <w:lang w:val="es-ES"/>
        </w:rPr>
      </w:pPr>
      <w:r w:rsidRPr="0076358A">
        <w:rPr>
          <w:lang w:val="es-ES"/>
        </w:rPr>
        <w:t>Esta labor es esencial para salvar vidas, conectar a las comunidades vulnerables y garantizar el desarrollo alimentario y económico en el Caribe.</w:t>
      </w:r>
    </w:p>
    <w:p w14:paraId="7870223E" w14:textId="77777777" w:rsidR="006B3273" w:rsidRPr="000B7629" w:rsidRDefault="006B3273" w:rsidP="006B3273">
      <w:pPr>
        <w:pStyle w:val="Section"/>
        <w:rPr>
          <w:rFonts w:asciiTheme="minorHAnsi" w:hAnsiTheme="minorHAnsi" w:cstheme="minorHAnsi"/>
          <w:color w:val="auto"/>
          <w:lang w:val="es-ES"/>
        </w:rPr>
      </w:pPr>
      <w:bookmarkStart w:id="25" w:name="_Toc193034331"/>
      <w:r w:rsidRPr="000B7629">
        <w:rPr>
          <w:rFonts w:asciiTheme="minorHAnsi" w:hAnsiTheme="minorHAnsi" w:cstheme="minorHAnsi"/>
          <w:color w:val="auto"/>
          <w:lang w:val="es-ES"/>
        </w:rPr>
        <w:t>Respuesta a la crisis: Huracán Beryl</w:t>
      </w:r>
      <w:bookmarkEnd w:id="25"/>
      <w:r w:rsidRPr="000B7629">
        <w:rPr>
          <w:rFonts w:asciiTheme="minorHAnsi" w:hAnsiTheme="minorHAnsi" w:cstheme="minorHAnsi"/>
          <w:color w:val="auto"/>
          <w:lang w:val="es-ES"/>
        </w:rPr>
        <w:t xml:space="preserve"> </w:t>
      </w:r>
    </w:p>
    <w:p w14:paraId="00DEAD92" w14:textId="73D9D952" w:rsidR="006B3273" w:rsidRPr="0076358A" w:rsidRDefault="006B3273" w:rsidP="006B3273">
      <w:pPr>
        <w:spacing w:before="0" w:after="160" w:line="259" w:lineRule="auto"/>
        <w:rPr>
          <w:rFonts w:ascii="Aptos" w:hAnsi="Aptos" w:cs="Calibri"/>
          <w:color w:val="2F2F2F"/>
          <w:sz w:val="22"/>
          <w:szCs w:val="22"/>
          <w:lang w:val="es-ES"/>
        </w:rPr>
      </w:pPr>
      <w:r w:rsidRPr="0076358A">
        <w:rPr>
          <w:lang w:val="es-ES"/>
        </w:rPr>
        <w:t xml:space="preserve">Cuando el huracán Beryl azotó la región en junio y julio de 2024, causando daños en todo el Caribe y otras zonas, la </w:t>
      </w:r>
      <w:hyperlink r:id="rId90" w:anchor="/es" w:history="1">
        <w:r w:rsidRPr="00FA3850">
          <w:rPr>
            <w:rStyle w:val="Hyperlink"/>
            <w:lang w:val="es-ES"/>
          </w:rPr>
          <w:t>BDT</w:t>
        </w:r>
      </w:hyperlink>
      <w:r w:rsidRPr="0076358A">
        <w:rPr>
          <w:lang w:val="es-ES"/>
        </w:rPr>
        <w:t xml:space="preserve"> actuó de inmediato suministrando teléfonos y accesorios por satélite y dispositivos de red de banda ancha de escala mundial.</w:t>
      </w:r>
    </w:p>
    <w:p w14:paraId="79B5760E" w14:textId="664DA9E2" w:rsidR="006B3273" w:rsidRPr="0076358A" w:rsidRDefault="006B3273" w:rsidP="006B3273">
      <w:pPr>
        <w:spacing w:before="0" w:after="160" w:line="259" w:lineRule="auto"/>
        <w:rPr>
          <w:rFonts w:ascii="Aptos" w:hAnsi="Aptos" w:cs="Calibri"/>
          <w:color w:val="2F2F2F"/>
          <w:sz w:val="22"/>
          <w:szCs w:val="22"/>
          <w:lang w:val="es-ES"/>
        </w:rPr>
      </w:pPr>
      <w:r w:rsidRPr="0076358A">
        <w:rPr>
          <w:lang w:val="es-ES"/>
        </w:rPr>
        <w:t>En Granada, Jamaica y San Vicente y las Granadinas, tres de los países más afectados y donde residen más de 900</w:t>
      </w:r>
      <w:r w:rsidR="00FA3850">
        <w:rPr>
          <w:lang w:val="es-ES"/>
        </w:rPr>
        <w:t> </w:t>
      </w:r>
      <w:r w:rsidRPr="0076358A">
        <w:rPr>
          <w:lang w:val="es-ES"/>
        </w:rPr>
        <w:t>000 personas, las comunicaciones telefónicas y radioeléctricas quedaron gravemente dañadas o interrumpidas por la tormenta.</w:t>
      </w:r>
    </w:p>
    <w:p w14:paraId="417EE3E2" w14:textId="77777777" w:rsidR="006B3273" w:rsidRPr="0076358A" w:rsidRDefault="006B3273" w:rsidP="006B3273">
      <w:pPr>
        <w:spacing w:before="0" w:after="160" w:line="259" w:lineRule="auto"/>
        <w:rPr>
          <w:rFonts w:ascii="Aptos" w:hAnsi="Aptos" w:cs="Calibri"/>
          <w:color w:val="2F2F2F"/>
          <w:sz w:val="22"/>
          <w:szCs w:val="22"/>
          <w:lang w:val="es-ES"/>
        </w:rPr>
      </w:pPr>
      <w:r w:rsidRPr="0076358A">
        <w:rPr>
          <w:lang w:val="es-ES"/>
        </w:rPr>
        <w:t xml:space="preserve">También se activó el Mapa de conectividad en caso de catástrofe dirigido por la UIT, para facilitar a los equipos de respuesta información casi en tiempo real sobre la conectividad de las telecomunicaciones. </w:t>
      </w:r>
    </w:p>
    <w:p w14:paraId="3BF93097" w14:textId="77777777" w:rsidR="006B3273" w:rsidRPr="0076358A" w:rsidRDefault="006B3273" w:rsidP="006B3273">
      <w:pPr>
        <w:spacing w:before="0" w:after="160" w:line="259" w:lineRule="auto"/>
        <w:rPr>
          <w:rFonts w:ascii="Aptos" w:hAnsi="Aptos" w:cs="Calibri"/>
          <w:color w:val="2F2F2F"/>
          <w:sz w:val="22"/>
          <w:szCs w:val="22"/>
          <w:lang w:val="es-ES"/>
        </w:rPr>
      </w:pPr>
      <w:r w:rsidRPr="0076358A">
        <w:rPr>
          <w:lang w:val="es-ES"/>
        </w:rPr>
        <w:lastRenderedPageBreak/>
        <w:t>Desde su lanzamiento en 2020, el Mapa se ha activado en más de 30 ocasiones para ayudar a los países a supervisar las interrupciones de la infraestructura de comunicaciones. Los socorristas, los gobiernos y los organismos de las Naciones Unidas lo han utilizado ampliamente.</w:t>
      </w:r>
    </w:p>
    <w:p w14:paraId="61C9E260" w14:textId="77777777" w:rsidR="006B3273" w:rsidRPr="0076358A" w:rsidRDefault="006B3273" w:rsidP="006B3273">
      <w:pPr>
        <w:spacing w:before="0" w:after="160" w:line="259" w:lineRule="auto"/>
        <w:rPr>
          <w:rFonts w:ascii="Aptos" w:hAnsi="Aptos" w:cs="Calibri"/>
          <w:color w:val="2F2F2F"/>
          <w:sz w:val="22"/>
          <w:szCs w:val="22"/>
          <w:lang w:val="es-ES"/>
        </w:rPr>
      </w:pPr>
      <w:r w:rsidRPr="0076358A">
        <w:rPr>
          <w:lang w:val="es-ES"/>
        </w:rPr>
        <w:t>La UIT está ayudando a los países a estar mejor preparados frente a los peligros. A tal efecto, se requiere, entre otras cosas, la elaboración de planes nacionales de telecomunicaciones de emergencia, la prestación de apoyo técnico, la elaboración de políticas y reglamentos en pro de una infraestructura de TIC sostenible y resiliente.</w:t>
      </w:r>
    </w:p>
    <w:p w14:paraId="18FE6EB2" w14:textId="77777777" w:rsidR="006B3273" w:rsidRPr="0076358A" w:rsidRDefault="006B3273" w:rsidP="006B3273">
      <w:pPr>
        <w:spacing w:before="0" w:after="160" w:line="259" w:lineRule="auto"/>
        <w:rPr>
          <w:rFonts w:ascii="Aptos" w:hAnsi="Aptos" w:cs="Calibri"/>
          <w:color w:val="2F2F2F"/>
          <w:sz w:val="22"/>
          <w:szCs w:val="22"/>
          <w:lang w:val="es-ES"/>
        </w:rPr>
      </w:pPr>
      <w:r w:rsidRPr="0076358A">
        <w:rPr>
          <w:lang w:val="es-ES"/>
        </w:rPr>
        <w:t>Para garantizar el rápido restablecimiento y mantenimiento de las redes de comunicaciones en caso de emergencia, se han colocado estratégicamente equipos de satélite en las regiones de la UIT, en particular en Bridgetown, Dubái, Ginebra y Harare.</w:t>
      </w:r>
    </w:p>
    <w:p w14:paraId="73E952C4" w14:textId="77777777" w:rsidR="006B3273" w:rsidRPr="0076358A" w:rsidRDefault="006B3273" w:rsidP="006B3273">
      <w:pPr>
        <w:spacing w:before="0" w:after="160" w:line="259" w:lineRule="auto"/>
        <w:rPr>
          <w:rFonts w:ascii="Aptos" w:hAnsi="Aptos" w:cs="Calibri"/>
          <w:color w:val="2F2F2F"/>
          <w:sz w:val="22"/>
          <w:szCs w:val="22"/>
          <w:lang w:val="es-ES"/>
        </w:rPr>
      </w:pPr>
      <w:r w:rsidRPr="0076358A">
        <w:rPr>
          <w:lang w:val="es-ES"/>
        </w:rPr>
        <w:t xml:space="preserve">Intelsat, proveedor multinacional de servicios por satélite, se ha asociado con la UIT para suministrar equipos y servicios de satélite en caso de catástrofe. Intelsat forma parte de la Coalición Digital Partner2Connect de la UIT, cuyo objetivo es mejorar la inclusión digital y la conectividad. </w:t>
      </w:r>
    </w:p>
    <w:p w14:paraId="59191A92" w14:textId="77777777" w:rsidR="006B3273" w:rsidRPr="000B7629" w:rsidRDefault="006B3273" w:rsidP="006B3273">
      <w:pPr>
        <w:pStyle w:val="Section"/>
        <w:rPr>
          <w:rFonts w:asciiTheme="minorHAnsi" w:hAnsiTheme="minorHAnsi" w:cstheme="minorHAnsi"/>
          <w:color w:val="auto"/>
          <w:lang w:val="es-ES"/>
        </w:rPr>
      </w:pPr>
      <w:bookmarkStart w:id="26" w:name="_Toc193034332"/>
      <w:r w:rsidRPr="000B7629">
        <w:rPr>
          <w:rFonts w:asciiTheme="minorHAnsi" w:hAnsiTheme="minorHAnsi" w:cstheme="minorHAnsi"/>
          <w:color w:val="auto"/>
          <w:lang w:val="es-ES"/>
        </w:rPr>
        <w:t>Un evento especial en Argentina fomenta las competencias tecnológicas de las niñas y su conocimiento de las profesiones</w:t>
      </w:r>
      <w:bookmarkEnd w:id="26"/>
      <w:r w:rsidRPr="000B7629">
        <w:rPr>
          <w:rFonts w:asciiTheme="minorHAnsi" w:hAnsiTheme="minorHAnsi" w:cstheme="minorHAnsi"/>
          <w:color w:val="auto"/>
          <w:lang w:val="es-ES"/>
        </w:rPr>
        <w:t xml:space="preserve"> </w:t>
      </w:r>
    </w:p>
    <w:p w14:paraId="331D2623" w14:textId="3C1BC44E" w:rsidR="006B3273" w:rsidRPr="0076358A" w:rsidRDefault="006B3273" w:rsidP="006B3273">
      <w:pPr>
        <w:spacing w:before="0" w:after="160" w:line="259" w:lineRule="auto"/>
        <w:rPr>
          <w:rFonts w:ascii="Aptos" w:hAnsi="Aptos" w:cs="Calibri"/>
          <w:color w:val="2F2F2F"/>
          <w:sz w:val="22"/>
          <w:szCs w:val="22"/>
          <w:lang w:val="es-ES"/>
        </w:rPr>
      </w:pPr>
      <w:r w:rsidRPr="0076358A">
        <w:rPr>
          <w:lang w:val="es-ES"/>
        </w:rPr>
        <w:t xml:space="preserve">El evento </w:t>
      </w:r>
      <w:hyperlink r:id="rId91" w:anchor="/es" w:history="1">
        <w:r w:rsidRPr="00FA3850">
          <w:rPr>
            <w:rStyle w:val="Hyperlink"/>
            <w:lang w:val="es-ES"/>
          </w:rPr>
          <w:t>Americas Girls Can Code celebrado en Quilmes (Argentina)</w:t>
        </w:r>
      </w:hyperlink>
      <w:r w:rsidRPr="0076358A">
        <w:rPr>
          <w:lang w:val="es-ES"/>
        </w:rPr>
        <w:t xml:space="preserve"> sirvió de foro para que las niñas aprendieran programación informática y otras aptitudes relacionadas con la tecnología y se informaran sobre las carreras en tecnologías de la información y la comunicación.</w:t>
      </w:r>
    </w:p>
    <w:p w14:paraId="004CD10E" w14:textId="3C3EF2B9" w:rsidR="006B3273" w:rsidRPr="0076358A" w:rsidRDefault="006B3273" w:rsidP="006B3273">
      <w:pPr>
        <w:spacing w:before="0" w:after="160" w:line="259" w:lineRule="auto"/>
        <w:rPr>
          <w:rFonts w:ascii="Aptos" w:hAnsi="Aptos" w:cs="Calibri"/>
          <w:color w:val="2F2F2F"/>
          <w:sz w:val="22"/>
          <w:szCs w:val="22"/>
          <w:lang w:val="es-ES"/>
        </w:rPr>
      </w:pPr>
      <w:r w:rsidRPr="0076358A">
        <w:rPr>
          <w:lang w:val="es-ES"/>
        </w:rPr>
        <w:t xml:space="preserve">Yasmín, profesora de historia de la Universidad Nacional de Quilmes, calificó el evento de gran oportunidad para que las jóvenes se reúnan, intercambien ideas y se capaciten para convertirse en las </w:t>
      </w:r>
      <w:r w:rsidR="00FA3850">
        <w:rPr>
          <w:lang w:val="es-ES"/>
        </w:rPr>
        <w:t>"</w:t>
      </w:r>
      <w:r w:rsidRPr="0076358A">
        <w:rPr>
          <w:lang w:val="es-ES"/>
        </w:rPr>
        <w:t>mujeres del futuro</w:t>
      </w:r>
      <w:r w:rsidR="00FA3850">
        <w:rPr>
          <w:lang w:val="es-ES"/>
        </w:rPr>
        <w:t>"</w:t>
      </w:r>
      <w:r w:rsidRPr="0076358A">
        <w:rPr>
          <w:lang w:val="es-ES"/>
        </w:rPr>
        <w:t>.</w:t>
      </w:r>
    </w:p>
    <w:p w14:paraId="1DFCAC60" w14:textId="77777777" w:rsidR="006B3273" w:rsidRPr="0076358A" w:rsidRDefault="006B3273" w:rsidP="006B3273">
      <w:pPr>
        <w:spacing w:before="0" w:after="160" w:line="259" w:lineRule="auto"/>
        <w:rPr>
          <w:rFonts w:ascii="Aptos" w:hAnsi="Aptos" w:cs="Calibri"/>
          <w:color w:val="2F2F2F"/>
          <w:sz w:val="22"/>
          <w:szCs w:val="22"/>
          <w:lang w:val="es-ES"/>
        </w:rPr>
      </w:pPr>
      <w:r w:rsidRPr="0076358A">
        <w:rPr>
          <w:lang w:val="es-ES"/>
        </w:rPr>
        <w:t xml:space="preserve">La iniciativa Americas Girls Can Code mejora las competencias digitales de las niñas mediante la promoción de la codificación, la robótica y otras actividades científicas, tecnológicas, de ingeniería y matemáticas, al tiempo que informa sobre las carreras en el ámbito de las tecnologías de la información y la comunicación. </w:t>
      </w:r>
    </w:p>
    <w:p w14:paraId="016DB1C0" w14:textId="77777777" w:rsidR="006B3273" w:rsidRPr="0076358A" w:rsidRDefault="006B3273" w:rsidP="006B3273">
      <w:pPr>
        <w:spacing w:before="0" w:after="160" w:line="259" w:lineRule="auto"/>
        <w:rPr>
          <w:rFonts w:ascii="Aptos" w:hAnsi="Aptos" w:cs="Calibri"/>
          <w:color w:val="2F2F2F"/>
          <w:sz w:val="22"/>
          <w:szCs w:val="22"/>
          <w:lang w:val="es-ES"/>
        </w:rPr>
      </w:pPr>
      <w:r w:rsidRPr="0076358A">
        <w:rPr>
          <w:lang w:val="es-ES"/>
        </w:rPr>
        <w:t>El evento fue organizado por la Oficina Regional de la UIT para las Américas con el apoyo de la Subsecretaría de Tecnologías e Información de Argentina y la Ciudad de Quilmes.</w:t>
      </w:r>
    </w:p>
    <w:p w14:paraId="6848D090" w14:textId="77777777" w:rsidR="006B3273" w:rsidRPr="000B7629" w:rsidRDefault="006B3273" w:rsidP="006B3273">
      <w:pPr>
        <w:pStyle w:val="Section"/>
        <w:rPr>
          <w:rFonts w:asciiTheme="minorHAnsi" w:hAnsiTheme="minorHAnsi" w:cstheme="minorHAnsi"/>
          <w:color w:val="auto"/>
          <w:lang w:val="es-ES"/>
        </w:rPr>
      </w:pPr>
      <w:bookmarkStart w:id="27" w:name="_Toc193034333"/>
      <w:r w:rsidRPr="000B7629">
        <w:rPr>
          <w:rFonts w:asciiTheme="minorHAnsi" w:hAnsiTheme="minorHAnsi" w:cstheme="minorHAnsi"/>
          <w:color w:val="auto"/>
          <w:lang w:val="es-ES"/>
        </w:rPr>
        <w:t>Desarrollo de un sistema de mapa nacional de telecomunicaciones en Uruguay</w:t>
      </w:r>
      <w:bookmarkEnd w:id="27"/>
    </w:p>
    <w:p w14:paraId="4C761EE5" w14:textId="77777777" w:rsidR="006B3273" w:rsidRPr="0076358A" w:rsidRDefault="006B3273" w:rsidP="006B3273">
      <w:pPr>
        <w:spacing w:before="0" w:after="160" w:line="259" w:lineRule="auto"/>
        <w:rPr>
          <w:rFonts w:ascii="Aptos" w:hAnsi="Aptos" w:cs="Calibri"/>
          <w:color w:val="2F2F2F"/>
          <w:sz w:val="22"/>
          <w:szCs w:val="22"/>
          <w:lang w:val="es-ES"/>
        </w:rPr>
      </w:pPr>
      <w:r w:rsidRPr="0076358A">
        <w:rPr>
          <w:lang w:val="es-ES"/>
        </w:rPr>
        <w:t xml:space="preserve">En una misión de cuatro días en Montevideo (Uruguay) se prestó asistencia a DINATEL, la Dirección Nacional de Telecomunicaciones y Servicios de Comunicaciones Audiovisuales de Uruguay, a organizar el primer taller práctico sobre cartografía, análisis y planificación de infraestructuras de TIC. </w:t>
      </w:r>
    </w:p>
    <w:p w14:paraId="6A8C22C9" w14:textId="77777777" w:rsidR="006B3273" w:rsidRPr="0076358A" w:rsidRDefault="006B3273" w:rsidP="006B3273">
      <w:pPr>
        <w:spacing w:before="0" w:after="160" w:line="259" w:lineRule="auto"/>
        <w:rPr>
          <w:rFonts w:ascii="Aptos" w:hAnsi="Aptos" w:cs="Calibri"/>
          <w:color w:val="2F2F2F"/>
          <w:sz w:val="22"/>
          <w:szCs w:val="22"/>
          <w:lang w:val="es-ES"/>
        </w:rPr>
      </w:pPr>
      <w:r w:rsidRPr="0076358A">
        <w:rPr>
          <w:lang w:val="es-ES"/>
        </w:rPr>
        <w:t>La BDT colabora con Uruguay en el desarrollo y puesta en marcha de un sistema cartográfico de la banda ancha para mejorar la infraestructura digital y la conectividad del país.</w:t>
      </w:r>
    </w:p>
    <w:p w14:paraId="1D1F72EE" w14:textId="77777777" w:rsidR="006B3273" w:rsidRPr="0076358A" w:rsidRDefault="006B3273" w:rsidP="006B3273">
      <w:pPr>
        <w:spacing w:before="0" w:after="160" w:line="259" w:lineRule="auto"/>
        <w:rPr>
          <w:rFonts w:ascii="Aptos" w:hAnsi="Aptos" w:cs="Calibri"/>
          <w:color w:val="2F2F2F"/>
          <w:sz w:val="22"/>
          <w:szCs w:val="22"/>
          <w:lang w:val="es-ES"/>
        </w:rPr>
      </w:pPr>
      <w:r w:rsidRPr="0076358A">
        <w:rPr>
          <w:lang w:val="es-ES"/>
        </w:rPr>
        <w:t xml:space="preserve">El sistema de cartografía de telecomunicaciones es una herramienta digital que recopila y muestra datos sobre la cobertura y la calidad de las redes de telecomunicaciones en una determinada zona. </w:t>
      </w:r>
      <w:r w:rsidRPr="0076358A">
        <w:rPr>
          <w:lang w:val="es-ES"/>
        </w:rPr>
        <w:lastRenderedPageBreak/>
        <w:t>Su principal utilidad es ayudar a mejorar las redes de banda ancha mediante la detección de deficiencias en la cobertura, la calidad y la asequibilidad. Esta información sirve de ayuda a los funcionarios gubernamentales, los reguladores, los proveedores de servicios, las empresas y los ciudadanos a la hora de tomar decisiones.</w:t>
      </w:r>
    </w:p>
    <w:p w14:paraId="5A88DC3E" w14:textId="77777777" w:rsidR="006B3273" w:rsidRPr="0076358A" w:rsidRDefault="006B3273" w:rsidP="006B3273">
      <w:pPr>
        <w:spacing w:before="0" w:after="160" w:line="259" w:lineRule="auto"/>
        <w:rPr>
          <w:rFonts w:ascii="Aptos" w:hAnsi="Aptos" w:cs="Calibri"/>
          <w:color w:val="2F2F2F"/>
          <w:sz w:val="22"/>
          <w:szCs w:val="22"/>
          <w:lang w:val="es-ES"/>
        </w:rPr>
      </w:pPr>
      <w:r w:rsidRPr="0076358A">
        <w:rPr>
          <w:lang w:val="es-ES"/>
        </w:rPr>
        <w:t>DINATEL ha tenido que superar diversos retos debido a la falta de datos centralizados y actualizados sobre el despliegue de redes y la calidad del servicio. El nuevo sistema sirve para suministrar datos completos y facilitar la coordinación entre los sectores público y privado.</w:t>
      </w:r>
    </w:p>
    <w:p w14:paraId="4F7610D0" w14:textId="77777777" w:rsidR="006B3273" w:rsidRPr="0076358A" w:rsidRDefault="006B3273" w:rsidP="006B3273">
      <w:pPr>
        <w:spacing w:before="0" w:after="160" w:line="259" w:lineRule="auto"/>
        <w:rPr>
          <w:rFonts w:ascii="Aptos" w:hAnsi="Aptos" w:cs="Calibri"/>
          <w:color w:val="2F2F2F"/>
          <w:sz w:val="22"/>
          <w:szCs w:val="22"/>
          <w:lang w:val="es-ES"/>
        </w:rPr>
      </w:pPr>
      <w:r w:rsidRPr="0076358A">
        <w:rPr>
          <w:lang w:val="es-ES"/>
        </w:rPr>
        <w:t>El taller tuvo lugar en octubre de 2024 e incluyó reuniones sectoriales y visitas in situ a las principales infraestructuras de conectividad. Las actividades permitieron obtener información valiosa sobre el estado de la infraestructura de telecomunicaciones.</w:t>
      </w:r>
    </w:p>
    <w:p w14:paraId="7F6FD0AD" w14:textId="77777777" w:rsidR="006B3273" w:rsidRPr="0073214B" w:rsidRDefault="006B3273" w:rsidP="006B3273">
      <w:pPr>
        <w:tabs>
          <w:tab w:val="clear" w:pos="794"/>
          <w:tab w:val="clear" w:pos="1191"/>
          <w:tab w:val="clear" w:pos="1588"/>
          <w:tab w:val="clear" w:pos="1985"/>
        </w:tabs>
        <w:overflowPunct/>
        <w:autoSpaceDE/>
        <w:autoSpaceDN/>
        <w:adjustRightInd/>
        <w:spacing w:before="0"/>
        <w:textAlignment w:val="auto"/>
        <w:rPr>
          <w:rFonts w:eastAsia="Yu Gothic Light" w:cstheme="minorHAnsi"/>
          <w:kern w:val="2"/>
          <w:szCs w:val="24"/>
          <w:lang w:val="es-ES"/>
          <w14:ligatures w14:val="standardContextual"/>
        </w:rPr>
      </w:pPr>
      <w:r w:rsidRPr="0076358A">
        <w:rPr>
          <w:lang w:val="es-ES"/>
        </w:rPr>
        <w:br w:type="page"/>
      </w:r>
    </w:p>
    <w:p w14:paraId="7FA58A3C" w14:textId="0D73D97A" w:rsidR="006B3273" w:rsidRPr="000B7629" w:rsidRDefault="006B3273" w:rsidP="000B7629">
      <w:pPr>
        <w:pStyle w:val="Annextitle"/>
        <w:rPr>
          <w:sz w:val="32"/>
          <w:szCs w:val="32"/>
          <w:lang w:val="es-ES"/>
        </w:rPr>
      </w:pPr>
      <w:bookmarkStart w:id="28" w:name="_Toc193034334"/>
      <w:r w:rsidRPr="000B7629">
        <w:rPr>
          <w:sz w:val="32"/>
          <w:szCs w:val="32"/>
          <w:lang w:val="es-ES"/>
        </w:rPr>
        <w:lastRenderedPageBreak/>
        <w:t>Anexo</w:t>
      </w:r>
      <w:r w:rsidR="000B7629" w:rsidRPr="000B7629">
        <w:rPr>
          <w:sz w:val="32"/>
          <w:szCs w:val="32"/>
          <w:lang w:val="es-ES"/>
        </w:rPr>
        <w:br/>
      </w:r>
      <w:r w:rsidRPr="000B7629">
        <w:rPr>
          <w:sz w:val="32"/>
          <w:szCs w:val="32"/>
          <w:lang w:val="es-ES"/>
        </w:rPr>
        <w:t>Recursos de datos</w:t>
      </w:r>
      <w:bookmarkEnd w:id="28"/>
      <w:r w:rsidRPr="000B7629">
        <w:rPr>
          <w:sz w:val="32"/>
          <w:szCs w:val="32"/>
          <w:lang w:val="es-ES"/>
        </w:rPr>
        <w:t xml:space="preserve"> </w:t>
      </w:r>
    </w:p>
    <w:p w14:paraId="0CB516B6" w14:textId="77777777" w:rsidR="006B3273" w:rsidRPr="0076358A" w:rsidRDefault="006B3273" w:rsidP="006B3273">
      <w:pPr>
        <w:autoSpaceDE/>
        <w:autoSpaceDN/>
        <w:adjustRightInd/>
        <w:spacing w:after="160" w:line="259" w:lineRule="auto"/>
        <w:textAlignment w:val="auto"/>
        <w:rPr>
          <w:rFonts w:ascii="Aptos" w:eastAsia="Aptos" w:hAnsi="Aptos" w:cs="Arial"/>
          <w:kern w:val="2"/>
          <w:sz w:val="22"/>
          <w:szCs w:val="22"/>
          <w:lang w:val="es-ES"/>
          <w14:ligatures w14:val="standardContextual"/>
        </w:rPr>
      </w:pPr>
      <w:r w:rsidRPr="0076358A">
        <w:rPr>
          <w:lang w:val="es-ES"/>
        </w:rPr>
        <w:t>A fin de garantizar que la información esté actualizada y mejorar la legibilidad, todos los datos presentados en este documento están disponibles para su descarga como archivos Excel:</w:t>
      </w:r>
    </w:p>
    <w:p w14:paraId="1A3501C9" w14:textId="3D5BD8E5" w:rsidR="006B3273" w:rsidRPr="00FA3850" w:rsidRDefault="00FA3850" w:rsidP="00FA3850">
      <w:pPr>
        <w:pStyle w:val="enumlev1"/>
        <w:rPr>
          <w:lang w:val="es-ES"/>
        </w:rPr>
      </w:pPr>
      <w:r w:rsidRPr="00FA3850">
        <w:rPr>
          <w:lang w:val="es-ES"/>
        </w:rPr>
        <w:t>•</w:t>
      </w:r>
      <w:r w:rsidRPr="00FA3850">
        <w:rPr>
          <w:lang w:val="es-ES"/>
        </w:rPr>
        <w:tab/>
      </w:r>
      <w:hyperlink r:id="rId92" w:history="1">
        <w:r w:rsidR="00A95867" w:rsidRPr="00A95867">
          <w:rPr>
            <w:lang w:val="es-ES"/>
          </w:rPr>
          <w:t xml:space="preserve">Datos nacionales organizados por pestañas en función de las secciones del presente documento (URL: </w:t>
        </w:r>
        <w:r w:rsidR="00A95867" w:rsidRPr="002014AA">
          <w:rPr>
            <w:rStyle w:val="Hyperlink"/>
            <w:lang w:val="es-ES"/>
          </w:rPr>
          <w:t>https://www.itu.int/en/ITU</w:t>
        </w:r>
        <w:r w:rsidR="00A95867" w:rsidRPr="002014AA">
          <w:rPr>
            <w:rStyle w:val="Hyperlink"/>
            <w:lang w:val="es-ES"/>
          </w:rPr>
          <w:noBreakHyphen/>
          <w:t>D/Statistics/Documents/facts/</w:t>
        </w:r>
        <w:r w:rsidR="00A95867" w:rsidRPr="002014AA">
          <w:rPr>
            <w:rStyle w:val="Hyperlink"/>
            <w:lang w:val="es-ES"/>
          </w:rPr>
          <w:t xml:space="preserve">rpm_ams_pub_2025_data.xlsx). </w:t>
        </w:r>
        <w:r w:rsidR="00A95867" w:rsidRPr="00A95867">
          <w:rPr>
            <w:lang w:val="es-ES"/>
          </w:rPr>
          <w:t xml:space="preserve">Los datos nacionales han sido extraídos del </w:t>
        </w:r>
        <w:r w:rsidR="00A95867" w:rsidRPr="00A95867">
          <w:rPr>
            <w:rStyle w:val="Hyperlink"/>
            <w:lang w:val="es-ES"/>
          </w:rPr>
          <w:t>Centro de Datos de la UIT</w:t>
        </w:r>
        <w:r w:rsidR="00A95867" w:rsidRPr="00A95867">
          <w:rPr>
            <w:lang w:val="es-ES"/>
          </w:rPr>
          <w:t>, en concreto, de la actualización publicada en febrero de 2025.</w:t>
        </w:r>
      </w:hyperlink>
    </w:p>
    <w:p w14:paraId="7E92424C" w14:textId="7BD24069" w:rsidR="006B3273" w:rsidRPr="0076358A" w:rsidRDefault="00FA3850" w:rsidP="00FA3850">
      <w:pPr>
        <w:pStyle w:val="enumlev1"/>
        <w:rPr>
          <w:rFonts w:ascii="Aptos" w:hAnsi="Aptos"/>
          <w:sz w:val="22"/>
          <w:szCs w:val="22"/>
          <w:lang w:val="es-ES"/>
        </w:rPr>
      </w:pPr>
      <w:r w:rsidRPr="00FA3850">
        <w:rPr>
          <w:lang w:val="es-ES"/>
        </w:rPr>
        <w:t>•</w:t>
      </w:r>
      <w:r w:rsidRPr="00FA3850">
        <w:rPr>
          <w:lang w:val="es-ES"/>
        </w:rPr>
        <w:tab/>
      </w:r>
      <w:hyperlink r:id="rId93" w:history="1">
        <w:r w:rsidR="00A95867" w:rsidRPr="00A95867">
          <w:rPr>
            <w:lang w:val="es-ES"/>
          </w:rPr>
          <w:t xml:space="preserve">Estimaciones regionales y mundiales, recopiladas para el informe </w:t>
        </w:r>
        <w:r w:rsidR="00A95867" w:rsidRPr="00A95867">
          <w:rPr>
            <w:rStyle w:val="Hyperlink"/>
            <w:lang w:val="es-ES"/>
          </w:rPr>
          <w:t>Facts and Figures 2024</w:t>
        </w:r>
        <w:r w:rsidR="00A95867" w:rsidRPr="00A95867">
          <w:rPr>
            <w:lang w:val="es-ES"/>
          </w:rPr>
          <w:t xml:space="preserve"> (URL:</w:t>
        </w:r>
        <w:r w:rsidR="00A95867" w:rsidRPr="002014AA">
          <w:rPr>
            <w:rStyle w:val="Hyperlink"/>
            <w:lang w:val="es-ES"/>
          </w:rPr>
          <w:t xml:space="preserve"> https://www.itu.int/en/ITU</w:t>
        </w:r>
        <w:r w:rsidR="00A95867" w:rsidRPr="002014AA">
          <w:rPr>
            <w:rStyle w:val="Hyperlink"/>
            <w:lang w:val="es-ES"/>
          </w:rPr>
          <w:noBreakHyphen/>
          <w:t>D/Statistics/Documents/facts/ITU_regional_global_Key_ICT_indicator_aggregates_Nov_2024.xlsx).</w:t>
        </w:r>
      </w:hyperlink>
    </w:p>
    <w:p w14:paraId="4445C5AB" w14:textId="77777777" w:rsidR="00C95D59" w:rsidRPr="000535D8" w:rsidRDefault="00C95D59" w:rsidP="00411C49">
      <w:pPr>
        <w:pStyle w:val="Reasons"/>
        <w:rPr>
          <w:lang w:val="es-ES"/>
        </w:rPr>
      </w:pPr>
    </w:p>
    <w:p w14:paraId="43BD0DCF" w14:textId="77777777" w:rsidR="00C95D59" w:rsidRDefault="00C95D59">
      <w:pPr>
        <w:jc w:val="center"/>
      </w:pPr>
      <w:r>
        <w:t>______________</w:t>
      </w:r>
    </w:p>
    <w:sectPr w:rsidR="00C95D59" w:rsidSect="00A95867">
      <w:headerReference w:type="default" r:id="rId94"/>
      <w:footerReference w:type="first" r:id="rId95"/>
      <w:pgSz w:w="11907" w:h="16834" w:code="9"/>
      <w:pgMar w:top="1418" w:right="992" w:bottom="1418" w:left="1134"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CC877" w14:textId="77777777" w:rsidR="00D32061" w:rsidRDefault="00D32061">
      <w:r>
        <w:separator/>
      </w:r>
    </w:p>
  </w:endnote>
  <w:endnote w:type="continuationSeparator" w:id="0">
    <w:p w14:paraId="3ECF9E95" w14:textId="77777777" w:rsidR="00D32061" w:rsidRDefault="00D32061">
      <w:r>
        <w:continuationSeparator/>
      </w:r>
    </w:p>
  </w:endnote>
  <w:endnote w:type="continuationNotice" w:id="1">
    <w:p w14:paraId="28287B99" w14:textId="77777777" w:rsidR="00D32061" w:rsidRDefault="00D3206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Avenir Next W1G">
    <w:altName w:val="Calibri"/>
    <w:panose1 w:val="00000000000000000000"/>
    <w:charset w:val="00"/>
    <w:family w:val="swiss"/>
    <w:notTrueType/>
    <w:pitch w:val="variable"/>
    <w:sig w:usb0="A00002EF" w:usb1="00000003" w:usb2="00000000" w:usb3="00000000" w:csb0="0000019F" w:csb1="00000000"/>
  </w:font>
  <w:font w:name="CG Times">
    <w:altName w:val="Times New Roman"/>
    <w:charset w:val="00"/>
    <w:family w:val="roman"/>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AvenirNext LT Pro Light">
    <w:altName w:val="Calibri"/>
    <w:panose1 w:val="00000000000000000000"/>
    <w:charset w:val="4D"/>
    <w:family w:val="swiss"/>
    <w:notTrueType/>
    <w:pitch w:val="variable"/>
    <w:sig w:usb0="A00000AF" w:usb1="5000204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AvenirNext LT Pro Medium">
    <w:altName w:val="Calibri"/>
    <w:charset w:val="4D"/>
    <w:family w:val="swiss"/>
    <w:pitch w:val="variable"/>
    <w:sig w:usb0="800000AF" w:usb1="5000204A" w:usb2="00000000" w:usb3="00000000" w:csb0="00000093" w:csb1="00000000"/>
  </w:font>
  <w:font w:name="Arial Unicode MS">
    <w:altName w:val="Arial"/>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Helvetica Neue">
    <w:altName w:val="Sylfaen"/>
    <w:charset w:val="00"/>
    <w:family w:val="auto"/>
    <w:pitch w:val="variable"/>
    <w:sig w:usb0="E50002FF" w:usb1="500079DB" w:usb2="00000010" w:usb3="00000000" w:csb0="0000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3" w:type="dxa"/>
      <w:tblLayout w:type="fixed"/>
      <w:tblLook w:val="04A0" w:firstRow="1" w:lastRow="0" w:firstColumn="1" w:lastColumn="0" w:noHBand="0" w:noVBand="1"/>
    </w:tblPr>
    <w:tblGrid>
      <w:gridCol w:w="1526"/>
      <w:gridCol w:w="2585"/>
      <w:gridCol w:w="5812"/>
    </w:tblGrid>
    <w:tr w:rsidR="000535D8" w:rsidRPr="000E2CE3" w14:paraId="695D1810" w14:textId="77777777" w:rsidTr="000535D8">
      <w:tc>
        <w:tcPr>
          <w:tcW w:w="1526" w:type="dxa"/>
          <w:tcBorders>
            <w:top w:val="single" w:sz="4" w:space="0" w:color="000000"/>
          </w:tcBorders>
          <w:shd w:val="clear" w:color="auto" w:fill="auto"/>
        </w:tcPr>
        <w:p w14:paraId="746E5A61" w14:textId="1C7ED52D" w:rsidR="000535D8" w:rsidRPr="000E2CE3" w:rsidRDefault="000535D8" w:rsidP="00DB7C30">
          <w:pPr>
            <w:pStyle w:val="FirstFooter"/>
            <w:tabs>
              <w:tab w:val="left" w:pos="1559"/>
              <w:tab w:val="left" w:pos="3828"/>
            </w:tabs>
            <w:rPr>
              <w:sz w:val="18"/>
              <w:szCs w:val="18"/>
              <w:lang w:val="es-ES"/>
            </w:rPr>
          </w:pPr>
          <w:r w:rsidRPr="000E2CE3">
            <w:rPr>
              <w:sz w:val="18"/>
              <w:szCs w:val="18"/>
              <w:lang w:val="es-ES"/>
            </w:rPr>
            <w:t>Contacto:</w:t>
          </w:r>
        </w:p>
      </w:tc>
      <w:tc>
        <w:tcPr>
          <w:tcW w:w="2585" w:type="dxa"/>
          <w:tcBorders>
            <w:top w:val="single" w:sz="4" w:space="0" w:color="000000"/>
          </w:tcBorders>
          <w:shd w:val="clear" w:color="auto" w:fill="auto"/>
        </w:tcPr>
        <w:p w14:paraId="488E41E2" w14:textId="7E308FF1" w:rsidR="000535D8" w:rsidRPr="000E2CE3" w:rsidRDefault="000535D8" w:rsidP="00DB7C30">
          <w:pPr>
            <w:pStyle w:val="FirstFooter"/>
            <w:tabs>
              <w:tab w:val="left" w:pos="2302"/>
            </w:tabs>
            <w:ind w:left="2302" w:hanging="2302"/>
            <w:rPr>
              <w:sz w:val="18"/>
              <w:szCs w:val="18"/>
              <w:lang w:val="es-ES"/>
            </w:rPr>
          </w:pPr>
          <w:r w:rsidRPr="000E2CE3">
            <w:rPr>
              <w:sz w:val="18"/>
              <w:szCs w:val="18"/>
              <w:lang w:val="es-ES"/>
            </w:rPr>
            <w:t>Nombre/Organización/Entidad:</w:t>
          </w:r>
        </w:p>
      </w:tc>
      <w:tc>
        <w:tcPr>
          <w:tcW w:w="5812" w:type="dxa"/>
          <w:tcBorders>
            <w:top w:val="single" w:sz="4" w:space="0" w:color="000000"/>
          </w:tcBorders>
        </w:tcPr>
        <w:p w14:paraId="5AA340C3" w14:textId="04C8FCAD" w:rsidR="000535D8" w:rsidRPr="00DB7C30" w:rsidRDefault="000535D8" w:rsidP="00DB7C30">
          <w:pPr>
            <w:pStyle w:val="FirstFooter"/>
            <w:tabs>
              <w:tab w:val="left" w:pos="2302"/>
            </w:tabs>
            <w:rPr>
              <w:sz w:val="18"/>
              <w:szCs w:val="18"/>
              <w:lang w:val="en-GB"/>
            </w:rPr>
          </w:pPr>
          <w:r>
            <w:rPr>
              <w:sz w:val="18"/>
              <w:szCs w:val="18"/>
              <w:lang w:val="en-GB"/>
            </w:rPr>
            <w:t>Sr. </w:t>
          </w:r>
          <w:r w:rsidRPr="00B6699B">
            <w:rPr>
              <w:sz w:val="18"/>
              <w:szCs w:val="18"/>
              <w:lang w:val="en-GB"/>
            </w:rPr>
            <w:t xml:space="preserve">Thierry Geiger, </w:t>
          </w:r>
          <w:r>
            <w:rPr>
              <w:sz w:val="18"/>
              <w:szCs w:val="18"/>
              <w:lang w:val="en-GB"/>
            </w:rPr>
            <w:t>UIT</w:t>
          </w:r>
          <w:r w:rsidRPr="00B6699B">
            <w:rPr>
              <w:sz w:val="18"/>
              <w:szCs w:val="18"/>
              <w:lang w:val="en-GB"/>
            </w:rPr>
            <w:t>/BDT/DKS/IDA</w:t>
          </w:r>
        </w:p>
      </w:tc>
      <w:bookmarkStart w:id="31" w:name="OrgName"/>
      <w:bookmarkEnd w:id="31"/>
    </w:tr>
    <w:tr w:rsidR="000535D8" w:rsidRPr="000E2CE3" w14:paraId="61167678" w14:textId="77777777" w:rsidTr="000535D8">
      <w:tc>
        <w:tcPr>
          <w:tcW w:w="1526" w:type="dxa"/>
          <w:shd w:val="clear" w:color="auto" w:fill="auto"/>
        </w:tcPr>
        <w:p w14:paraId="33710823" w14:textId="77777777" w:rsidR="000535D8" w:rsidRPr="00DB7C30" w:rsidRDefault="000535D8" w:rsidP="00DB7C30">
          <w:pPr>
            <w:pStyle w:val="FirstFooter"/>
            <w:tabs>
              <w:tab w:val="left" w:pos="1559"/>
              <w:tab w:val="left" w:pos="3828"/>
            </w:tabs>
            <w:rPr>
              <w:sz w:val="20"/>
              <w:lang w:val="en-GB"/>
            </w:rPr>
          </w:pPr>
        </w:p>
      </w:tc>
      <w:tc>
        <w:tcPr>
          <w:tcW w:w="2585" w:type="dxa"/>
          <w:shd w:val="clear" w:color="auto" w:fill="auto"/>
        </w:tcPr>
        <w:p w14:paraId="1251F6E4" w14:textId="0F148404" w:rsidR="000535D8" w:rsidRPr="000E2CE3" w:rsidRDefault="000535D8" w:rsidP="00DB7C30">
          <w:pPr>
            <w:pStyle w:val="FirstFooter"/>
            <w:tabs>
              <w:tab w:val="left" w:pos="2302"/>
            </w:tabs>
            <w:rPr>
              <w:sz w:val="18"/>
              <w:szCs w:val="18"/>
              <w:lang w:val="es-ES"/>
            </w:rPr>
          </w:pPr>
          <w:r w:rsidRPr="000E2CE3">
            <w:rPr>
              <w:sz w:val="18"/>
              <w:szCs w:val="18"/>
              <w:lang w:val="es-ES"/>
            </w:rPr>
            <w:t>Teléfono:</w:t>
          </w:r>
        </w:p>
      </w:tc>
      <w:tc>
        <w:tcPr>
          <w:tcW w:w="5812" w:type="dxa"/>
        </w:tcPr>
        <w:p w14:paraId="29A26236" w14:textId="6EF350AC" w:rsidR="000535D8" w:rsidRPr="000E2CE3" w:rsidRDefault="000535D8" w:rsidP="00DB7C30">
          <w:pPr>
            <w:pStyle w:val="FirstFooter"/>
            <w:tabs>
              <w:tab w:val="left" w:pos="2302"/>
            </w:tabs>
            <w:rPr>
              <w:sz w:val="18"/>
              <w:szCs w:val="18"/>
              <w:lang w:val="es-ES"/>
            </w:rPr>
          </w:pPr>
          <w:r w:rsidRPr="00B6699B">
            <w:rPr>
              <w:sz w:val="18"/>
              <w:szCs w:val="18"/>
              <w:lang w:val="en-GB"/>
            </w:rPr>
            <w:t>+41 22 730 5094</w:t>
          </w:r>
        </w:p>
      </w:tc>
      <w:bookmarkStart w:id="32" w:name="PhoneNo"/>
      <w:bookmarkEnd w:id="32"/>
    </w:tr>
    <w:tr w:rsidR="000535D8" w:rsidRPr="000E2CE3" w14:paraId="0299A231" w14:textId="77777777" w:rsidTr="000535D8">
      <w:tc>
        <w:tcPr>
          <w:tcW w:w="1526" w:type="dxa"/>
          <w:shd w:val="clear" w:color="auto" w:fill="auto"/>
        </w:tcPr>
        <w:p w14:paraId="35CBC438" w14:textId="77777777" w:rsidR="000535D8" w:rsidRPr="000E2CE3" w:rsidRDefault="000535D8" w:rsidP="00DB7C30">
          <w:pPr>
            <w:pStyle w:val="FirstFooter"/>
            <w:tabs>
              <w:tab w:val="left" w:pos="1559"/>
              <w:tab w:val="left" w:pos="3828"/>
            </w:tabs>
            <w:rPr>
              <w:sz w:val="20"/>
              <w:lang w:val="es-ES"/>
            </w:rPr>
          </w:pPr>
        </w:p>
      </w:tc>
      <w:tc>
        <w:tcPr>
          <w:tcW w:w="2585" w:type="dxa"/>
          <w:shd w:val="clear" w:color="auto" w:fill="auto"/>
        </w:tcPr>
        <w:p w14:paraId="65335E06" w14:textId="375D76CC" w:rsidR="000535D8" w:rsidRPr="000E2CE3" w:rsidRDefault="000535D8" w:rsidP="00DB7C30">
          <w:pPr>
            <w:pStyle w:val="FirstFooter"/>
            <w:tabs>
              <w:tab w:val="left" w:pos="2302"/>
            </w:tabs>
            <w:rPr>
              <w:sz w:val="18"/>
              <w:szCs w:val="18"/>
              <w:lang w:val="es-ES"/>
            </w:rPr>
          </w:pPr>
          <w:r w:rsidRPr="000E2CE3">
            <w:rPr>
              <w:sz w:val="18"/>
              <w:szCs w:val="18"/>
              <w:lang w:val="es-ES"/>
            </w:rPr>
            <w:t>Correo-e:</w:t>
          </w:r>
        </w:p>
      </w:tc>
      <w:tc>
        <w:tcPr>
          <w:tcW w:w="5812" w:type="dxa"/>
        </w:tcPr>
        <w:p w14:paraId="3B3F7CDF" w14:textId="076ADB7C" w:rsidR="000535D8" w:rsidRPr="000E2CE3" w:rsidRDefault="000535D8" w:rsidP="00DB7C30">
          <w:pPr>
            <w:pStyle w:val="FirstFooter"/>
            <w:tabs>
              <w:tab w:val="left" w:pos="2302"/>
            </w:tabs>
            <w:rPr>
              <w:sz w:val="18"/>
              <w:szCs w:val="18"/>
              <w:lang w:val="es-ES"/>
            </w:rPr>
          </w:pPr>
          <w:hyperlink r:id="rId1" w:history="1">
            <w:r w:rsidRPr="00B6699B">
              <w:rPr>
                <w:rStyle w:val="Hyperlink"/>
                <w:sz w:val="18"/>
                <w:szCs w:val="18"/>
                <w:lang w:val="en-GB"/>
              </w:rPr>
              <w:t>thierry.geiger@itu.int</w:t>
            </w:r>
          </w:hyperlink>
          <w:r w:rsidRPr="00B6699B">
            <w:rPr>
              <w:sz w:val="18"/>
              <w:szCs w:val="18"/>
              <w:lang w:val="en-GB"/>
            </w:rPr>
            <w:t xml:space="preserve"> </w:t>
          </w:r>
        </w:p>
      </w:tc>
      <w:bookmarkStart w:id="33" w:name="Email"/>
      <w:bookmarkEnd w:id="33"/>
    </w:tr>
  </w:tbl>
  <w:p w14:paraId="40A321D0" w14:textId="1C276101" w:rsidR="00721657" w:rsidRPr="000E2CE3" w:rsidRDefault="00721657" w:rsidP="00030397">
    <w:pPr>
      <w:pStyle w:val="Footer"/>
      <w:jc w:val="center"/>
      <w:rPr>
        <w:sz w:val="18"/>
        <w:szCs w:val="18"/>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D1E9B" w14:textId="77777777" w:rsidR="00D32061" w:rsidRDefault="00D32061">
      <w:r>
        <w:t>____________________</w:t>
      </w:r>
    </w:p>
  </w:footnote>
  <w:footnote w:type="continuationSeparator" w:id="0">
    <w:p w14:paraId="3D944B30" w14:textId="77777777" w:rsidR="00D32061" w:rsidRDefault="00D32061">
      <w:r>
        <w:continuationSeparator/>
      </w:r>
    </w:p>
  </w:footnote>
  <w:footnote w:type="continuationNotice" w:id="1">
    <w:p w14:paraId="340340A6" w14:textId="77777777" w:rsidR="00D32061" w:rsidRDefault="00D32061">
      <w:pPr>
        <w:spacing w:before="0"/>
      </w:pPr>
    </w:p>
  </w:footnote>
  <w:footnote w:id="2">
    <w:p w14:paraId="4C066C59" w14:textId="0D76CCBB" w:rsidR="006B3273" w:rsidRPr="009F6FEB" w:rsidRDefault="006B3273" w:rsidP="006B3273">
      <w:pPr>
        <w:pStyle w:val="FootnoteText"/>
        <w:rPr>
          <w:sz w:val="20"/>
          <w:szCs w:val="15"/>
          <w:lang w:val="es-ES"/>
        </w:rPr>
      </w:pPr>
      <w:r>
        <w:rPr>
          <w:rStyle w:val="FootnoteReference"/>
          <w:lang w:val="es-ES"/>
        </w:rPr>
        <w:footnoteRef/>
      </w:r>
      <w:r w:rsidR="00C71873">
        <w:rPr>
          <w:lang w:val="es-ES"/>
        </w:rPr>
        <w:tab/>
      </w:r>
      <w:r w:rsidRPr="009F6FEB">
        <w:rPr>
          <w:sz w:val="20"/>
          <w:szCs w:val="15"/>
          <w:lang w:val="es-ES"/>
        </w:rPr>
        <w:t xml:space="preserve">Los niveles del índice de referencia G5 indican el nivel de gobernanza digital de un país. Los cuatro niveles, de menos a más avanzado, son: limitada, transitoria, avanzada y de vanguardia. </w:t>
      </w:r>
      <w:r w:rsidRPr="00015FF1">
        <w:rPr>
          <w:sz w:val="21"/>
          <w:szCs w:val="21"/>
          <w:lang w:val="es-ES"/>
        </w:rPr>
        <w:t xml:space="preserve">Véase </w:t>
      </w:r>
      <w:hyperlink r:id="rId1" w:history="1">
        <w:r w:rsidR="00015FF1" w:rsidRPr="00015FF1">
          <w:rPr>
            <w:rStyle w:val="Hyperlink"/>
            <w:sz w:val="21"/>
            <w:szCs w:val="21"/>
            <w:lang w:val="de-CH"/>
          </w:rPr>
          <w:t>gen5.digital/benchmark</w:t>
        </w:r>
      </w:hyperlink>
      <w:r w:rsidR="007B01BB" w:rsidRPr="009F6FEB">
        <w:rPr>
          <w:sz w:val="20"/>
          <w:szCs w:val="15"/>
          <w:lang w:val="es-ES"/>
        </w:rPr>
        <w:t>.</w:t>
      </w:r>
      <w:r w:rsidRPr="009F6FEB">
        <w:rPr>
          <w:sz w:val="20"/>
          <w:szCs w:val="15"/>
          <w:lang w:val="es-ES"/>
        </w:rPr>
        <w:t xml:space="preserve"> </w:t>
      </w:r>
    </w:p>
  </w:footnote>
  <w:footnote w:id="3">
    <w:p w14:paraId="2D776D39" w14:textId="2A1E8DF1" w:rsidR="006B3273" w:rsidRPr="0073214B" w:rsidRDefault="006B3273" w:rsidP="006B3273">
      <w:pPr>
        <w:pStyle w:val="FootnoteText"/>
        <w:rPr>
          <w:rStyle w:val="Hyperlink"/>
          <w:sz w:val="20"/>
        </w:rPr>
      </w:pPr>
      <w:r w:rsidRPr="0073214B">
        <w:rPr>
          <w:rStyle w:val="FootnoteReference"/>
          <w:sz w:val="20"/>
          <w:lang w:val="es-ES"/>
        </w:rPr>
        <w:footnoteRef/>
      </w:r>
      <w:r w:rsidR="00AF0AB6" w:rsidRPr="0073214B">
        <w:rPr>
          <w:sz w:val="20"/>
          <w:lang w:val="es-ES"/>
        </w:rPr>
        <w:tab/>
      </w:r>
      <w:hyperlink r:id="rId2" w:history="1">
        <w:r w:rsidR="00AF0AB6" w:rsidRPr="0073214B">
          <w:rPr>
            <w:rStyle w:val="Hyperlink"/>
            <w:sz w:val="20"/>
            <w:lang w:val="es-ES"/>
          </w:rPr>
          <w:t>https://digitallibrary.un.org/record/4054465?ln=en</w:t>
        </w:r>
      </w:hyperlink>
      <w:r w:rsidR="001B7CAB" w:rsidRPr="0073214B">
        <w:rPr>
          <w:rStyle w:val="Hyperlink"/>
          <w:sz w:val="20"/>
          <w:lang w:val="es-ES"/>
        </w:rPr>
        <w:t xml:space="preserve"> </w:t>
      </w:r>
    </w:p>
  </w:footnote>
  <w:footnote w:id="4">
    <w:p w14:paraId="59A5E3D8" w14:textId="014B19ED" w:rsidR="006B3273" w:rsidRPr="0073214B" w:rsidRDefault="006B3273" w:rsidP="006B3273">
      <w:pPr>
        <w:pStyle w:val="FootnoteText"/>
        <w:rPr>
          <w:sz w:val="20"/>
          <w:lang w:val="es-ES"/>
        </w:rPr>
      </w:pPr>
      <w:r>
        <w:rPr>
          <w:rStyle w:val="FootnoteReference"/>
          <w:lang w:val="es-ES"/>
        </w:rPr>
        <w:footnoteRef/>
      </w:r>
      <w:r w:rsidR="00BA2C6D" w:rsidRPr="0073214B">
        <w:rPr>
          <w:sz w:val="20"/>
          <w:lang w:val="es-ES"/>
        </w:rPr>
        <w:tab/>
      </w:r>
      <w:r w:rsidRPr="0073214B">
        <w:rPr>
          <w:sz w:val="20"/>
          <w:lang w:val="es-ES"/>
        </w:rPr>
        <w:t xml:space="preserve">UIT, </w:t>
      </w:r>
      <w:hyperlink r:id="rId3" w:anchor="p=1" w:history="1">
        <w:r w:rsidRPr="0073214B">
          <w:rPr>
            <w:rStyle w:val="Hyperlink"/>
            <w:sz w:val="20"/>
            <w:lang w:val="es-ES"/>
          </w:rPr>
          <w:t>Acelerar la transformación digital sostenible e inclusiva en los PEID: un plan de 10 etapas para los PEID</w:t>
        </w:r>
      </w:hyperlink>
    </w:p>
  </w:footnote>
  <w:footnote w:id="5">
    <w:p w14:paraId="4C22C1E4" w14:textId="07EF1FB5" w:rsidR="006B3273" w:rsidRPr="0073214B" w:rsidRDefault="006B3273" w:rsidP="006B3273">
      <w:pPr>
        <w:pStyle w:val="FootnoteText"/>
        <w:rPr>
          <w:sz w:val="20"/>
          <w:lang w:val="es-ES"/>
        </w:rPr>
      </w:pPr>
      <w:r w:rsidRPr="0073214B">
        <w:rPr>
          <w:rStyle w:val="FootnoteReference"/>
          <w:sz w:val="20"/>
          <w:lang w:val="es-ES"/>
        </w:rPr>
        <w:footnoteRef/>
      </w:r>
      <w:r w:rsidR="00BA2C6D" w:rsidRPr="0073214B">
        <w:rPr>
          <w:sz w:val="20"/>
          <w:lang w:val="es-ES"/>
        </w:rPr>
        <w:tab/>
      </w:r>
      <w:hyperlink r:id="rId4" w:history="1">
        <w:r w:rsidR="00BA2C6D" w:rsidRPr="0073214B">
          <w:rPr>
            <w:rStyle w:val="Hyperlink"/>
            <w:sz w:val="20"/>
            <w:lang w:val="es-ES"/>
          </w:rPr>
          <w:t>https://docs.un.org/es/A/RES/79/233</w:t>
        </w:r>
      </w:hyperlink>
    </w:p>
  </w:footnote>
  <w:footnote w:id="6">
    <w:p w14:paraId="6C751B4C" w14:textId="1D11FCBC" w:rsidR="006B3273" w:rsidRPr="0073214B" w:rsidRDefault="006B3273" w:rsidP="006B3273">
      <w:pPr>
        <w:pStyle w:val="FootnoteText"/>
        <w:rPr>
          <w:sz w:val="20"/>
          <w:lang w:val="es-ES"/>
        </w:rPr>
      </w:pPr>
      <w:r>
        <w:rPr>
          <w:rStyle w:val="FootnoteReference"/>
          <w:lang w:val="es-ES"/>
        </w:rPr>
        <w:footnoteRef/>
      </w:r>
      <w:r w:rsidR="00BA1CD5">
        <w:rPr>
          <w:lang w:val="es-ES"/>
        </w:rPr>
        <w:tab/>
      </w:r>
      <w:r w:rsidRPr="0073214B">
        <w:rPr>
          <w:sz w:val="20"/>
          <w:lang w:val="es-ES"/>
        </w:rPr>
        <w:t>Teniendo en cuenta que algunas personas quizás nunca</w:t>
      </w:r>
      <w:r w:rsidR="00D83128" w:rsidRPr="0073214B">
        <w:rPr>
          <w:sz w:val="20"/>
          <w:lang w:val="es-ES"/>
        </w:rPr>
        <w:t xml:space="preserve"> </w:t>
      </w:r>
      <w:r w:rsidRPr="0073214B">
        <w:rPr>
          <w:sz w:val="20"/>
          <w:lang w:val="es-ES"/>
        </w:rPr>
        <w:t>quieran conectarse a Internet, por "universal" se entiende convencionalmente un índice de penetración de Internet de al menos el 95</w:t>
      </w:r>
      <w:r w:rsidR="00AC027A" w:rsidRPr="0073214B">
        <w:rPr>
          <w:sz w:val="20"/>
          <w:lang w:val="es-ES"/>
        </w:rPr>
        <w:t> %</w:t>
      </w:r>
      <w:r w:rsidRPr="0073214B">
        <w:rPr>
          <w:sz w:val="20"/>
          <w:lang w:val="es-ES"/>
        </w:rPr>
        <w:t>.</w:t>
      </w:r>
    </w:p>
  </w:footnote>
  <w:footnote w:id="7">
    <w:p w14:paraId="63A519C9" w14:textId="06B1D6F5" w:rsidR="006B3273" w:rsidRPr="0073214B" w:rsidRDefault="006B3273" w:rsidP="006B3273">
      <w:pPr>
        <w:pStyle w:val="FootnoteText"/>
        <w:rPr>
          <w:sz w:val="20"/>
          <w:lang w:val="es-ES"/>
        </w:rPr>
      </w:pPr>
      <w:r w:rsidRPr="0073214B">
        <w:rPr>
          <w:rStyle w:val="FootnoteReference"/>
          <w:sz w:val="20"/>
          <w:lang w:val="es-ES"/>
        </w:rPr>
        <w:footnoteRef/>
      </w:r>
      <w:r w:rsidR="00BA1CD5" w:rsidRPr="0073214B">
        <w:rPr>
          <w:sz w:val="20"/>
          <w:lang w:val="es-ES"/>
        </w:rPr>
        <w:tab/>
      </w:r>
      <w:r w:rsidRPr="0073214B">
        <w:rPr>
          <w:sz w:val="20"/>
          <w:lang w:val="es-ES"/>
        </w:rPr>
        <w:t>En este documento, a la hora de presentar datos económicos, se muestran todos los países Los países están ordenados por el valor del indicador. Sólo se muestran datos correspondientes al año 2020 y en adelante; en su defecto, se marcan como no</w:t>
      </w:r>
      <w:r w:rsidR="00D83128" w:rsidRPr="0073214B">
        <w:rPr>
          <w:sz w:val="20"/>
          <w:lang w:val="es-ES"/>
        </w:rPr>
        <w:t xml:space="preserve"> </w:t>
      </w:r>
      <w:r w:rsidRPr="0073214B">
        <w:rPr>
          <w:sz w:val="20"/>
          <w:lang w:val="es-ES"/>
        </w:rPr>
        <w:t xml:space="preserve">disponibles (N/D) o se excluyen por completo (cuando no hay datos disponibles para muchos países). Además, se muestra un marcador para los datos correspondientes al año 2018, de estar disponibles. Los datos se han extraído del </w:t>
      </w:r>
      <w:hyperlink r:id="rId5" w:history="1">
        <w:r w:rsidRPr="0073214B">
          <w:rPr>
            <w:rStyle w:val="Hyperlink"/>
            <w:sz w:val="20"/>
            <w:lang w:val="es-ES"/>
          </w:rPr>
          <w:t>Centro de D</w:t>
        </w:r>
        <w:r w:rsidRPr="0073214B">
          <w:rPr>
            <w:rStyle w:val="Hyperlink"/>
            <w:sz w:val="20"/>
            <w:lang w:val="es-ES"/>
          </w:rPr>
          <w:t>a</w:t>
        </w:r>
        <w:r w:rsidRPr="0073214B">
          <w:rPr>
            <w:rStyle w:val="Hyperlink"/>
            <w:sz w:val="20"/>
            <w:lang w:val="es-ES"/>
          </w:rPr>
          <w:t>tos de la UIT</w:t>
        </w:r>
      </w:hyperlink>
      <w:r w:rsidRPr="0073214B">
        <w:rPr>
          <w:sz w:val="20"/>
          <w:lang w:val="es-ES"/>
        </w:rPr>
        <w:t xml:space="preserve">, véanse en concreto los datos publicados a finales de febrero de 2025. Dado que los datos nacionales están disponibles, en el mejor de los casos, para el año 2023, se indica también, a efectos comparativos, la media regional para ese mismo año, publicada en el informe </w:t>
      </w:r>
      <w:hyperlink r:id="rId6" w:history="1">
        <w:r w:rsidR="00BA1CD5" w:rsidRPr="0073214B">
          <w:rPr>
            <w:rStyle w:val="Hyperlink"/>
            <w:sz w:val="20"/>
            <w:lang w:val="es-ES"/>
          </w:rPr>
          <w:t>Fact</w:t>
        </w:r>
        <w:r w:rsidR="00BA1CD5" w:rsidRPr="0073214B">
          <w:rPr>
            <w:rStyle w:val="Hyperlink"/>
            <w:sz w:val="20"/>
            <w:lang w:val="es-ES"/>
          </w:rPr>
          <w:t>s</w:t>
        </w:r>
        <w:r w:rsidR="00BA1CD5" w:rsidRPr="0073214B">
          <w:rPr>
            <w:rStyle w:val="Hyperlink"/>
            <w:sz w:val="20"/>
            <w:lang w:val="es-ES"/>
          </w:rPr>
          <w:t xml:space="preserve"> and Figures 2024</w:t>
        </w:r>
      </w:hyperlink>
      <w:r w:rsidRPr="0073214B">
        <w:rPr>
          <w:sz w:val="20"/>
          <w:lang w:val="es-ES"/>
        </w:rPr>
        <w:t xml:space="preserve">. Para ahorrar espacio, en esta figura se utiliza "San Vicente" en lugar de "San Vicente y las Granadinas", y "Bolivia" en lugar de "Bolivia (Estado Plurinacional de)". </w:t>
      </w:r>
    </w:p>
  </w:footnote>
  <w:footnote w:id="8">
    <w:p w14:paraId="4FDB1281" w14:textId="2957AEE9" w:rsidR="006B3273" w:rsidRPr="00437A58" w:rsidRDefault="006B3273" w:rsidP="006B3273">
      <w:pPr>
        <w:pStyle w:val="FootnoteText"/>
        <w:rPr>
          <w:sz w:val="20"/>
          <w:lang w:val="es-ES"/>
        </w:rPr>
      </w:pPr>
      <w:r w:rsidRPr="00437A58">
        <w:rPr>
          <w:rStyle w:val="FootnoteReference"/>
          <w:sz w:val="20"/>
          <w:lang w:val="es-ES"/>
        </w:rPr>
        <w:footnoteRef/>
      </w:r>
      <w:r w:rsidR="000B4387" w:rsidRPr="00437A58">
        <w:rPr>
          <w:sz w:val="20"/>
          <w:lang w:val="es-ES"/>
        </w:rPr>
        <w:tab/>
      </w:r>
      <w:r w:rsidRPr="00437A58">
        <w:rPr>
          <w:sz w:val="20"/>
          <w:lang w:val="es-ES"/>
        </w:rPr>
        <w:t>El índice de paridad de género se calcula dividiendo la proporción de mujeres que utilizan Internet por la proporción de hombres que utilizan Internet. Un valor inferior a uno indica que los hombres son más propensos a utilizar Internet que las mujeres, mientras que un valor superior a uno indica lo contrario. Se considera que se ha alcanzado la paridad de género cuando el valor se sitúa entre 0,98 y 1,02.</w:t>
      </w:r>
    </w:p>
  </w:footnote>
  <w:footnote w:id="9">
    <w:p w14:paraId="2261BA94" w14:textId="70506D8A" w:rsidR="006B3273" w:rsidRPr="00437A58" w:rsidRDefault="006B3273" w:rsidP="006B3273">
      <w:pPr>
        <w:pStyle w:val="FootnoteText"/>
        <w:rPr>
          <w:sz w:val="20"/>
          <w:lang w:val="es-ES"/>
        </w:rPr>
      </w:pPr>
      <w:r w:rsidRPr="00437A58">
        <w:rPr>
          <w:rStyle w:val="FootnoteReference"/>
          <w:sz w:val="20"/>
          <w:lang w:val="es-ES"/>
        </w:rPr>
        <w:footnoteRef/>
      </w:r>
      <w:r w:rsidR="00E97465" w:rsidRPr="00437A58">
        <w:rPr>
          <w:sz w:val="20"/>
          <w:lang w:val="es-ES"/>
        </w:rPr>
        <w:tab/>
      </w:r>
      <w:r w:rsidRPr="00437A58">
        <w:rPr>
          <w:sz w:val="20"/>
          <w:lang w:val="es-ES"/>
        </w:rPr>
        <w:t>Considerando únicamente los países respecto de los cuales se disponía de datos para el periodo comprendido entre 2018 y 2024.</w:t>
      </w:r>
    </w:p>
  </w:footnote>
  <w:footnote w:id="10">
    <w:p w14:paraId="1A3F7FD5" w14:textId="52B24E44" w:rsidR="006B3273" w:rsidRPr="00437A58" w:rsidRDefault="006B3273" w:rsidP="006B3273">
      <w:pPr>
        <w:pStyle w:val="FootnoteText"/>
        <w:rPr>
          <w:sz w:val="20"/>
          <w:lang w:val="es-ES"/>
        </w:rPr>
      </w:pPr>
      <w:r w:rsidRPr="00437A58">
        <w:rPr>
          <w:rStyle w:val="FootnoteReference"/>
          <w:sz w:val="20"/>
          <w:lang w:val="es-ES"/>
        </w:rPr>
        <w:footnoteRef/>
      </w:r>
      <w:r w:rsidR="00733BB1" w:rsidRPr="00437A58">
        <w:rPr>
          <w:sz w:val="20"/>
          <w:lang w:val="es-ES"/>
        </w:rPr>
        <w:tab/>
      </w:r>
      <w:r w:rsidRPr="00437A58">
        <w:rPr>
          <w:sz w:val="20"/>
          <w:lang w:val="es-ES"/>
        </w:rPr>
        <w:t>Para una definición completa, véase CIIU Rev. 4, clase 61.</w:t>
      </w:r>
    </w:p>
  </w:footnote>
  <w:footnote w:id="11">
    <w:p w14:paraId="1117CD79" w14:textId="271EC589" w:rsidR="006B3273" w:rsidRPr="00437A58" w:rsidRDefault="006B3273" w:rsidP="006B3273">
      <w:pPr>
        <w:pStyle w:val="FootnoteText"/>
        <w:rPr>
          <w:sz w:val="20"/>
          <w:lang w:val="es-ES"/>
        </w:rPr>
      </w:pPr>
      <w:r w:rsidRPr="00437A58">
        <w:rPr>
          <w:rStyle w:val="FootnoteReference"/>
          <w:sz w:val="20"/>
          <w:lang w:val="es-ES"/>
        </w:rPr>
        <w:footnoteRef/>
      </w:r>
      <w:r w:rsidR="00733BB1" w:rsidRPr="00437A58">
        <w:rPr>
          <w:sz w:val="20"/>
          <w:lang w:val="es-ES"/>
        </w:rPr>
        <w:tab/>
      </w:r>
      <w:r w:rsidRPr="00437A58">
        <w:rPr>
          <w:sz w:val="20"/>
          <w:lang w:val="es-ES"/>
        </w:rPr>
        <w:t xml:space="preserve">Las estadísticas de inversión recopiladas por la UIT se refieren a la adquisición o mejora de bienes (ya sean activos tangibles, por ejemplo, las instalaciones, o activos no tangibles, como </w:t>
      </w:r>
      <w:r w:rsidRPr="00437A58">
        <w:rPr>
          <w:i/>
          <w:iCs/>
          <w:sz w:val="20"/>
          <w:lang w:val="es-ES"/>
        </w:rPr>
        <w:t>software</w:t>
      </w:r>
      <w:r w:rsidRPr="00437A58">
        <w:rPr>
          <w:sz w:val="20"/>
          <w:lang w:val="es-ES"/>
        </w:rPr>
        <w:t xml:space="preserve">) y redes, pero no se cuentan los gastos de investigación y desarrollo, los cánones anuales por licencias de explotación y utilización del espectro radioeléctrico, ni las inversiones en </w:t>
      </w:r>
      <w:r w:rsidRPr="00437A58">
        <w:rPr>
          <w:i/>
          <w:iCs/>
          <w:sz w:val="20"/>
          <w:lang w:val="es-ES"/>
        </w:rPr>
        <w:t>software</w:t>
      </w:r>
      <w:r w:rsidRPr="00437A58">
        <w:rPr>
          <w:sz w:val="20"/>
          <w:lang w:val="es-ES"/>
        </w:rPr>
        <w:t xml:space="preserve"> o equipos de telecomunicaciones para uso interno.</w:t>
      </w:r>
    </w:p>
  </w:footnote>
  <w:footnote w:id="12">
    <w:p w14:paraId="59324C2F" w14:textId="5C0DAD6C" w:rsidR="006B3273" w:rsidRPr="00437A58" w:rsidRDefault="006B3273" w:rsidP="006B3273">
      <w:pPr>
        <w:pStyle w:val="FootnoteText"/>
        <w:rPr>
          <w:sz w:val="20"/>
          <w:lang w:val="es-ES"/>
        </w:rPr>
      </w:pPr>
      <w:r w:rsidRPr="00437A58">
        <w:rPr>
          <w:rStyle w:val="FootnoteReference"/>
          <w:sz w:val="20"/>
          <w:lang w:val="es-ES"/>
        </w:rPr>
        <w:footnoteRef/>
      </w:r>
      <w:r w:rsidR="009B72B4" w:rsidRPr="00437A58">
        <w:rPr>
          <w:sz w:val="20"/>
          <w:lang w:val="es-ES"/>
        </w:rPr>
        <w:tab/>
      </w:r>
      <w:r w:rsidRPr="00437A58">
        <w:rPr>
          <w:sz w:val="20"/>
          <w:lang w:val="es-ES"/>
        </w:rPr>
        <w:t xml:space="preserve">Venezuela no está incluida en los tres grupos debido a diferencias sustanciales con otros países de la región en lo que respecta a la conectividad.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4FE77" w14:textId="7441E721" w:rsidR="00721657" w:rsidRPr="00126B03" w:rsidRDefault="001D31BA" w:rsidP="001D31BA">
    <w:pPr>
      <w:tabs>
        <w:tab w:val="clear" w:pos="794"/>
        <w:tab w:val="clear" w:pos="1191"/>
        <w:tab w:val="clear" w:pos="1588"/>
        <w:tab w:val="clear" w:pos="1985"/>
        <w:tab w:val="center" w:pos="4820"/>
        <w:tab w:val="right" w:pos="10206"/>
      </w:tabs>
      <w:ind w:right="1"/>
      <w:rPr>
        <w:rStyle w:val="PageNumber"/>
        <w:smallCaps/>
        <w:spacing w:val="24"/>
        <w:sz w:val="22"/>
        <w:szCs w:val="22"/>
        <w:lang w:val="en-US"/>
      </w:rPr>
    </w:pPr>
    <w:r w:rsidRPr="004D495C">
      <w:rPr>
        <w:sz w:val="22"/>
        <w:szCs w:val="22"/>
      </w:rPr>
      <w:tab/>
    </w:r>
    <w:r w:rsidR="0017269C" w:rsidRPr="00126B03">
      <w:rPr>
        <w:sz w:val="22"/>
        <w:szCs w:val="22"/>
        <w:lang w:val="en-US"/>
      </w:rPr>
      <w:t>UIT</w:t>
    </w:r>
    <w:r w:rsidRPr="00126B03">
      <w:rPr>
        <w:sz w:val="22"/>
        <w:szCs w:val="22"/>
        <w:lang w:val="en-US"/>
      </w:rPr>
      <w:t>-D/</w:t>
    </w:r>
    <w:bookmarkStart w:id="29" w:name="DocRef2"/>
    <w:bookmarkEnd w:id="29"/>
    <w:r w:rsidRPr="00126B03">
      <w:rPr>
        <w:sz w:val="22"/>
        <w:szCs w:val="22"/>
        <w:lang w:val="en-US"/>
      </w:rPr>
      <w:t>RPM-A</w:t>
    </w:r>
    <w:r w:rsidR="000E2CE3" w:rsidRPr="00126B03">
      <w:rPr>
        <w:sz w:val="22"/>
        <w:szCs w:val="22"/>
        <w:lang w:val="en-US"/>
      </w:rPr>
      <w:t>MS</w:t>
    </w:r>
    <w:r w:rsidRPr="00126B03">
      <w:rPr>
        <w:sz w:val="22"/>
        <w:szCs w:val="22"/>
        <w:lang w:val="en-US"/>
      </w:rPr>
      <w:t>25/</w:t>
    </w:r>
    <w:bookmarkStart w:id="30" w:name="DocNo2"/>
    <w:bookmarkEnd w:id="30"/>
    <w:r w:rsidR="002649E7">
      <w:rPr>
        <w:sz w:val="22"/>
        <w:szCs w:val="22"/>
        <w:lang w:val="en-US"/>
      </w:rPr>
      <w:t>3</w:t>
    </w:r>
    <w:r w:rsidRPr="00126B03">
      <w:rPr>
        <w:sz w:val="22"/>
        <w:szCs w:val="22"/>
        <w:lang w:val="en-US"/>
      </w:rPr>
      <w:t>-</w:t>
    </w:r>
    <w:r w:rsidR="0017269C" w:rsidRPr="00126B03">
      <w:rPr>
        <w:sz w:val="22"/>
        <w:szCs w:val="22"/>
        <w:lang w:val="en-US"/>
      </w:rPr>
      <w:t>S</w:t>
    </w:r>
    <w:r w:rsidRPr="00126B03">
      <w:rPr>
        <w:sz w:val="22"/>
        <w:szCs w:val="22"/>
        <w:lang w:val="en-US"/>
      </w:rPr>
      <w:tab/>
      <w:t>P</w:t>
    </w:r>
    <w:r w:rsidR="0017269C" w:rsidRPr="00126B03">
      <w:rPr>
        <w:sz w:val="22"/>
        <w:szCs w:val="22"/>
        <w:lang w:val="en-US"/>
      </w:rPr>
      <w:t>ágina</w:t>
    </w:r>
    <w:r w:rsidRPr="00126B03">
      <w:rPr>
        <w:sz w:val="22"/>
        <w:szCs w:val="22"/>
        <w:lang w:val="en-US"/>
      </w:rPr>
      <w:t xml:space="preserve"> </w:t>
    </w:r>
    <w:r w:rsidRPr="004D495C">
      <w:rPr>
        <w:sz w:val="22"/>
        <w:szCs w:val="22"/>
      </w:rPr>
      <w:fldChar w:fldCharType="begin"/>
    </w:r>
    <w:r w:rsidRPr="00126B03">
      <w:rPr>
        <w:sz w:val="22"/>
        <w:szCs w:val="22"/>
        <w:lang w:val="en-US"/>
      </w:rPr>
      <w:instrText xml:space="preserve"> PAGE </w:instrText>
    </w:r>
    <w:r w:rsidRPr="004D495C">
      <w:rPr>
        <w:sz w:val="22"/>
        <w:szCs w:val="22"/>
      </w:rPr>
      <w:fldChar w:fldCharType="separate"/>
    </w:r>
    <w:r w:rsidRPr="00126B03">
      <w:rPr>
        <w:sz w:val="22"/>
        <w:szCs w:val="22"/>
        <w:lang w:val="en-US"/>
      </w:rPr>
      <w:t>2</w:t>
    </w:r>
    <w:r w:rsidRPr="004D495C">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5907"/>
    <w:multiLevelType w:val="multilevel"/>
    <w:tmpl w:val="7A2ED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496D4E"/>
    <w:multiLevelType w:val="hybridMultilevel"/>
    <w:tmpl w:val="3374359A"/>
    <w:lvl w:ilvl="0" w:tplc="C610FBF4">
      <w:start w:val="1"/>
      <w:numFmt w:val="bullet"/>
      <w:lvlText w:val=""/>
      <w:lvlJc w:val="left"/>
      <w:pPr>
        <w:ind w:left="1020" w:hanging="360"/>
      </w:pPr>
      <w:rPr>
        <w:rFonts w:ascii="Symbol" w:hAnsi="Symbol"/>
      </w:rPr>
    </w:lvl>
    <w:lvl w:ilvl="1" w:tplc="691CAD06">
      <w:start w:val="1"/>
      <w:numFmt w:val="bullet"/>
      <w:lvlText w:val=""/>
      <w:lvlJc w:val="left"/>
      <w:pPr>
        <w:ind w:left="1020" w:hanging="360"/>
      </w:pPr>
      <w:rPr>
        <w:rFonts w:ascii="Symbol" w:hAnsi="Symbol"/>
      </w:rPr>
    </w:lvl>
    <w:lvl w:ilvl="2" w:tplc="6868E694">
      <w:start w:val="1"/>
      <w:numFmt w:val="bullet"/>
      <w:lvlText w:val=""/>
      <w:lvlJc w:val="left"/>
      <w:pPr>
        <w:ind w:left="1020" w:hanging="360"/>
      </w:pPr>
      <w:rPr>
        <w:rFonts w:ascii="Symbol" w:hAnsi="Symbol"/>
      </w:rPr>
    </w:lvl>
    <w:lvl w:ilvl="3" w:tplc="6D6A1ECA">
      <w:start w:val="1"/>
      <w:numFmt w:val="bullet"/>
      <w:lvlText w:val=""/>
      <w:lvlJc w:val="left"/>
      <w:pPr>
        <w:ind w:left="1020" w:hanging="360"/>
      </w:pPr>
      <w:rPr>
        <w:rFonts w:ascii="Symbol" w:hAnsi="Symbol"/>
      </w:rPr>
    </w:lvl>
    <w:lvl w:ilvl="4" w:tplc="6C5EB502">
      <w:start w:val="1"/>
      <w:numFmt w:val="bullet"/>
      <w:lvlText w:val=""/>
      <w:lvlJc w:val="left"/>
      <w:pPr>
        <w:ind w:left="1020" w:hanging="360"/>
      </w:pPr>
      <w:rPr>
        <w:rFonts w:ascii="Symbol" w:hAnsi="Symbol"/>
      </w:rPr>
    </w:lvl>
    <w:lvl w:ilvl="5" w:tplc="8A5E985A">
      <w:start w:val="1"/>
      <w:numFmt w:val="bullet"/>
      <w:lvlText w:val=""/>
      <w:lvlJc w:val="left"/>
      <w:pPr>
        <w:ind w:left="1020" w:hanging="360"/>
      </w:pPr>
      <w:rPr>
        <w:rFonts w:ascii="Symbol" w:hAnsi="Symbol"/>
      </w:rPr>
    </w:lvl>
    <w:lvl w:ilvl="6" w:tplc="39BC6026">
      <w:start w:val="1"/>
      <w:numFmt w:val="bullet"/>
      <w:lvlText w:val=""/>
      <w:lvlJc w:val="left"/>
      <w:pPr>
        <w:ind w:left="1020" w:hanging="360"/>
      </w:pPr>
      <w:rPr>
        <w:rFonts w:ascii="Symbol" w:hAnsi="Symbol"/>
      </w:rPr>
    </w:lvl>
    <w:lvl w:ilvl="7" w:tplc="F95A8A26">
      <w:start w:val="1"/>
      <w:numFmt w:val="bullet"/>
      <w:lvlText w:val=""/>
      <w:lvlJc w:val="left"/>
      <w:pPr>
        <w:ind w:left="1020" w:hanging="360"/>
      </w:pPr>
      <w:rPr>
        <w:rFonts w:ascii="Symbol" w:hAnsi="Symbol"/>
      </w:rPr>
    </w:lvl>
    <w:lvl w:ilvl="8" w:tplc="7938B9F2">
      <w:start w:val="1"/>
      <w:numFmt w:val="bullet"/>
      <w:lvlText w:val=""/>
      <w:lvlJc w:val="left"/>
      <w:pPr>
        <w:ind w:left="1020" w:hanging="360"/>
      </w:pPr>
      <w:rPr>
        <w:rFonts w:ascii="Symbol" w:hAnsi="Symbol"/>
      </w:rPr>
    </w:lvl>
  </w:abstractNum>
  <w:abstractNum w:abstractNumId="2" w15:restartNumberingAfterBreak="0">
    <w:nsid w:val="0AEC2226"/>
    <w:multiLevelType w:val="hybridMultilevel"/>
    <w:tmpl w:val="8104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A33113"/>
    <w:multiLevelType w:val="hybridMultilevel"/>
    <w:tmpl w:val="ABA8D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B4EEA"/>
    <w:multiLevelType w:val="hybridMultilevel"/>
    <w:tmpl w:val="F5EE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455DF2"/>
    <w:multiLevelType w:val="hybridMultilevel"/>
    <w:tmpl w:val="CC0C8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65749C"/>
    <w:multiLevelType w:val="hybridMultilevel"/>
    <w:tmpl w:val="A0881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B73CB2"/>
    <w:multiLevelType w:val="multilevel"/>
    <w:tmpl w:val="8490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0D3087"/>
    <w:multiLevelType w:val="hybridMultilevel"/>
    <w:tmpl w:val="C6705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2E204F"/>
    <w:multiLevelType w:val="multilevel"/>
    <w:tmpl w:val="82661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3D1A11"/>
    <w:multiLevelType w:val="hybridMultilevel"/>
    <w:tmpl w:val="812C1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F90A0A"/>
    <w:multiLevelType w:val="hybridMultilevel"/>
    <w:tmpl w:val="A3044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002390"/>
    <w:multiLevelType w:val="hybridMultilevel"/>
    <w:tmpl w:val="FEA83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184A05"/>
    <w:multiLevelType w:val="multilevel"/>
    <w:tmpl w:val="A74C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0C44FD"/>
    <w:multiLevelType w:val="hybridMultilevel"/>
    <w:tmpl w:val="9C667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BD6800"/>
    <w:multiLevelType w:val="hybridMultilevel"/>
    <w:tmpl w:val="31D8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383A04"/>
    <w:multiLevelType w:val="multilevel"/>
    <w:tmpl w:val="B8B23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93366C0"/>
    <w:multiLevelType w:val="hybridMultilevel"/>
    <w:tmpl w:val="58FE7E0C"/>
    <w:lvl w:ilvl="0" w:tplc="3694506A">
      <w:start w:val="1"/>
      <w:numFmt w:val="bullet"/>
      <w:lvlText w:val=""/>
      <w:lvlJc w:val="left"/>
      <w:pPr>
        <w:ind w:left="1020" w:hanging="360"/>
      </w:pPr>
      <w:rPr>
        <w:rFonts w:ascii="Symbol" w:hAnsi="Symbol"/>
      </w:rPr>
    </w:lvl>
    <w:lvl w:ilvl="1" w:tplc="40ECF334">
      <w:start w:val="1"/>
      <w:numFmt w:val="bullet"/>
      <w:lvlText w:val=""/>
      <w:lvlJc w:val="left"/>
      <w:pPr>
        <w:ind w:left="1020" w:hanging="360"/>
      </w:pPr>
      <w:rPr>
        <w:rFonts w:ascii="Symbol" w:hAnsi="Symbol"/>
      </w:rPr>
    </w:lvl>
    <w:lvl w:ilvl="2" w:tplc="CD12AE32">
      <w:start w:val="1"/>
      <w:numFmt w:val="bullet"/>
      <w:lvlText w:val=""/>
      <w:lvlJc w:val="left"/>
      <w:pPr>
        <w:ind w:left="1020" w:hanging="360"/>
      </w:pPr>
      <w:rPr>
        <w:rFonts w:ascii="Symbol" w:hAnsi="Symbol"/>
      </w:rPr>
    </w:lvl>
    <w:lvl w:ilvl="3" w:tplc="435ECFC4">
      <w:start w:val="1"/>
      <w:numFmt w:val="bullet"/>
      <w:lvlText w:val=""/>
      <w:lvlJc w:val="left"/>
      <w:pPr>
        <w:ind w:left="1020" w:hanging="360"/>
      </w:pPr>
      <w:rPr>
        <w:rFonts w:ascii="Symbol" w:hAnsi="Symbol"/>
      </w:rPr>
    </w:lvl>
    <w:lvl w:ilvl="4" w:tplc="28F47298">
      <w:start w:val="1"/>
      <w:numFmt w:val="bullet"/>
      <w:lvlText w:val=""/>
      <w:lvlJc w:val="left"/>
      <w:pPr>
        <w:ind w:left="1020" w:hanging="360"/>
      </w:pPr>
      <w:rPr>
        <w:rFonts w:ascii="Symbol" w:hAnsi="Symbol"/>
      </w:rPr>
    </w:lvl>
    <w:lvl w:ilvl="5" w:tplc="ABD8FEA8">
      <w:start w:val="1"/>
      <w:numFmt w:val="bullet"/>
      <w:lvlText w:val=""/>
      <w:lvlJc w:val="left"/>
      <w:pPr>
        <w:ind w:left="1020" w:hanging="360"/>
      </w:pPr>
      <w:rPr>
        <w:rFonts w:ascii="Symbol" w:hAnsi="Symbol"/>
      </w:rPr>
    </w:lvl>
    <w:lvl w:ilvl="6" w:tplc="1038B760">
      <w:start w:val="1"/>
      <w:numFmt w:val="bullet"/>
      <w:lvlText w:val=""/>
      <w:lvlJc w:val="left"/>
      <w:pPr>
        <w:ind w:left="1020" w:hanging="360"/>
      </w:pPr>
      <w:rPr>
        <w:rFonts w:ascii="Symbol" w:hAnsi="Symbol"/>
      </w:rPr>
    </w:lvl>
    <w:lvl w:ilvl="7" w:tplc="73CCBBD0">
      <w:start w:val="1"/>
      <w:numFmt w:val="bullet"/>
      <w:lvlText w:val=""/>
      <w:lvlJc w:val="left"/>
      <w:pPr>
        <w:ind w:left="1020" w:hanging="360"/>
      </w:pPr>
      <w:rPr>
        <w:rFonts w:ascii="Symbol" w:hAnsi="Symbol"/>
      </w:rPr>
    </w:lvl>
    <w:lvl w:ilvl="8" w:tplc="95DA569E">
      <w:start w:val="1"/>
      <w:numFmt w:val="bullet"/>
      <w:lvlText w:val=""/>
      <w:lvlJc w:val="left"/>
      <w:pPr>
        <w:ind w:left="1020" w:hanging="360"/>
      </w:pPr>
      <w:rPr>
        <w:rFonts w:ascii="Symbol" w:hAnsi="Symbol"/>
      </w:rPr>
    </w:lvl>
  </w:abstractNum>
  <w:abstractNum w:abstractNumId="18" w15:restartNumberingAfterBreak="0">
    <w:nsid w:val="4E3B68E1"/>
    <w:multiLevelType w:val="hybridMultilevel"/>
    <w:tmpl w:val="C2BC21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4F2E6BE8"/>
    <w:multiLevelType w:val="multilevel"/>
    <w:tmpl w:val="E83A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21" w15:restartNumberingAfterBreak="0">
    <w:nsid w:val="5C382357"/>
    <w:multiLevelType w:val="hybridMultilevel"/>
    <w:tmpl w:val="4538FC12"/>
    <w:lvl w:ilvl="0" w:tplc="F766AB0A">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5B5972"/>
    <w:multiLevelType w:val="hybridMultilevel"/>
    <w:tmpl w:val="44504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BC1D1B"/>
    <w:multiLevelType w:val="hybridMultilevel"/>
    <w:tmpl w:val="8F6EE0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0167203"/>
    <w:multiLevelType w:val="multilevel"/>
    <w:tmpl w:val="6A640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55107F6"/>
    <w:multiLevelType w:val="hybridMultilevel"/>
    <w:tmpl w:val="0DFCF666"/>
    <w:lvl w:ilvl="0" w:tplc="1C38D086">
      <w:start w:val="1"/>
      <w:numFmt w:val="bullet"/>
      <w:lvlRestart w:val="0"/>
      <w:lvlText w:val="•"/>
      <w:lvlJc w:val="left"/>
      <w:pPr>
        <w:ind w:left="363" w:hanging="363"/>
      </w:pPr>
      <w:rPr>
        <w:rFonts w:ascii="Avenir Next W1G" w:hAnsi="Avenir Next W1G"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6" w15:restartNumberingAfterBreak="0">
    <w:nsid w:val="7BFD6E94"/>
    <w:multiLevelType w:val="hybridMultilevel"/>
    <w:tmpl w:val="EB803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3808767">
    <w:abstractNumId w:val="20"/>
  </w:num>
  <w:num w:numId="2" w16cid:durableId="1011488485">
    <w:abstractNumId w:val="3"/>
  </w:num>
  <w:num w:numId="3" w16cid:durableId="379672316">
    <w:abstractNumId w:val="24"/>
  </w:num>
  <w:num w:numId="4" w16cid:durableId="916474732">
    <w:abstractNumId w:val="14"/>
  </w:num>
  <w:num w:numId="5" w16cid:durableId="2130976733">
    <w:abstractNumId w:val="5"/>
  </w:num>
  <w:num w:numId="6" w16cid:durableId="2086758874">
    <w:abstractNumId w:val="7"/>
  </w:num>
  <w:num w:numId="7" w16cid:durableId="77137904">
    <w:abstractNumId w:val="1"/>
  </w:num>
  <w:num w:numId="8" w16cid:durableId="716323517">
    <w:abstractNumId w:val="17"/>
  </w:num>
  <w:num w:numId="9" w16cid:durableId="1225752095">
    <w:abstractNumId w:val="12"/>
  </w:num>
  <w:num w:numId="10" w16cid:durableId="883297556">
    <w:abstractNumId w:val="16"/>
  </w:num>
  <w:num w:numId="11" w16cid:durableId="442192808">
    <w:abstractNumId w:val="0"/>
  </w:num>
  <w:num w:numId="12" w16cid:durableId="1424957440">
    <w:abstractNumId w:val="23"/>
  </w:num>
  <w:num w:numId="13" w16cid:durableId="701516163">
    <w:abstractNumId w:val="9"/>
  </w:num>
  <w:num w:numId="14" w16cid:durableId="2094156602">
    <w:abstractNumId w:val="11"/>
  </w:num>
  <w:num w:numId="15" w16cid:durableId="1488085533">
    <w:abstractNumId w:val="18"/>
  </w:num>
  <w:num w:numId="16" w16cid:durableId="279066685">
    <w:abstractNumId w:val="15"/>
  </w:num>
  <w:num w:numId="17" w16cid:durableId="1044404833">
    <w:abstractNumId w:val="21"/>
  </w:num>
  <w:num w:numId="18" w16cid:durableId="742020862">
    <w:abstractNumId w:val="4"/>
  </w:num>
  <w:num w:numId="19" w16cid:durableId="1496990626">
    <w:abstractNumId w:val="19"/>
  </w:num>
  <w:num w:numId="20" w16cid:durableId="1870334765">
    <w:abstractNumId w:val="26"/>
  </w:num>
  <w:num w:numId="21" w16cid:durableId="623275208">
    <w:abstractNumId w:val="2"/>
  </w:num>
  <w:num w:numId="22" w16cid:durableId="1001547698">
    <w:abstractNumId w:val="22"/>
  </w:num>
  <w:num w:numId="23" w16cid:durableId="626356522">
    <w:abstractNumId w:val="8"/>
  </w:num>
  <w:num w:numId="24" w16cid:durableId="1719889230">
    <w:abstractNumId w:val="10"/>
  </w:num>
  <w:num w:numId="25" w16cid:durableId="136803954">
    <w:abstractNumId w:val="13"/>
  </w:num>
  <w:num w:numId="26" w16cid:durableId="926767242">
    <w:abstractNumId w:val="25"/>
  </w:num>
  <w:num w:numId="27" w16cid:durableId="116910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C43"/>
    <w:rsid w:val="00002716"/>
    <w:rsid w:val="00003C43"/>
    <w:rsid w:val="00005791"/>
    <w:rsid w:val="00010827"/>
    <w:rsid w:val="00011ADB"/>
    <w:rsid w:val="0001449F"/>
    <w:rsid w:val="00015089"/>
    <w:rsid w:val="00015A9F"/>
    <w:rsid w:val="00015FF1"/>
    <w:rsid w:val="00021196"/>
    <w:rsid w:val="0002520B"/>
    <w:rsid w:val="00030397"/>
    <w:rsid w:val="00037A9E"/>
    <w:rsid w:val="00037F91"/>
    <w:rsid w:val="000402E7"/>
    <w:rsid w:val="00040C48"/>
    <w:rsid w:val="00044970"/>
    <w:rsid w:val="0005206D"/>
    <w:rsid w:val="000535D8"/>
    <w:rsid w:val="000539F1"/>
    <w:rsid w:val="00054747"/>
    <w:rsid w:val="00055A2A"/>
    <w:rsid w:val="000615C1"/>
    <w:rsid w:val="00061675"/>
    <w:rsid w:val="000743AA"/>
    <w:rsid w:val="0009076F"/>
    <w:rsid w:val="0009145E"/>
    <w:rsid w:val="0009225C"/>
    <w:rsid w:val="00094033"/>
    <w:rsid w:val="000A17C4"/>
    <w:rsid w:val="000A19DA"/>
    <w:rsid w:val="000A36A4"/>
    <w:rsid w:val="000A68C5"/>
    <w:rsid w:val="000A7F42"/>
    <w:rsid w:val="000B2352"/>
    <w:rsid w:val="000B4387"/>
    <w:rsid w:val="000B7629"/>
    <w:rsid w:val="000C0C01"/>
    <w:rsid w:val="000C6BEE"/>
    <w:rsid w:val="000C7B84"/>
    <w:rsid w:val="000D261B"/>
    <w:rsid w:val="000D58A3"/>
    <w:rsid w:val="000D797B"/>
    <w:rsid w:val="000E2931"/>
    <w:rsid w:val="000E2CE3"/>
    <w:rsid w:val="000E3ED4"/>
    <w:rsid w:val="000E3F9C"/>
    <w:rsid w:val="000F1550"/>
    <w:rsid w:val="000F251B"/>
    <w:rsid w:val="000F3F13"/>
    <w:rsid w:val="000F5FE8"/>
    <w:rsid w:val="000F6644"/>
    <w:rsid w:val="00100833"/>
    <w:rsid w:val="00102F72"/>
    <w:rsid w:val="00107E85"/>
    <w:rsid w:val="00113A98"/>
    <w:rsid w:val="00113EE8"/>
    <w:rsid w:val="0011455A"/>
    <w:rsid w:val="00114A65"/>
    <w:rsid w:val="001159B7"/>
    <w:rsid w:val="00117481"/>
    <w:rsid w:val="00121846"/>
    <w:rsid w:val="00122C86"/>
    <w:rsid w:val="00126B03"/>
    <w:rsid w:val="00133061"/>
    <w:rsid w:val="0013591E"/>
    <w:rsid w:val="00137824"/>
    <w:rsid w:val="00137AC9"/>
    <w:rsid w:val="00141699"/>
    <w:rsid w:val="00147000"/>
    <w:rsid w:val="00150401"/>
    <w:rsid w:val="00160B1C"/>
    <w:rsid w:val="0016283A"/>
    <w:rsid w:val="00163091"/>
    <w:rsid w:val="001645CB"/>
    <w:rsid w:val="00166305"/>
    <w:rsid w:val="0016688C"/>
    <w:rsid w:val="00167545"/>
    <w:rsid w:val="001703C6"/>
    <w:rsid w:val="0017123C"/>
    <w:rsid w:val="0017131B"/>
    <w:rsid w:val="0017269C"/>
    <w:rsid w:val="00173781"/>
    <w:rsid w:val="001752B7"/>
    <w:rsid w:val="00175A6E"/>
    <w:rsid w:val="00175ADF"/>
    <w:rsid w:val="00175CAE"/>
    <w:rsid w:val="001828DB"/>
    <w:rsid w:val="00182D07"/>
    <w:rsid w:val="00183E0A"/>
    <w:rsid w:val="001850FE"/>
    <w:rsid w:val="00185135"/>
    <w:rsid w:val="0019037C"/>
    <w:rsid w:val="001905A9"/>
    <w:rsid w:val="00191273"/>
    <w:rsid w:val="0019303F"/>
    <w:rsid w:val="001942A7"/>
    <w:rsid w:val="0019533A"/>
    <w:rsid w:val="0019587B"/>
    <w:rsid w:val="0019710F"/>
    <w:rsid w:val="001A163D"/>
    <w:rsid w:val="001A21CE"/>
    <w:rsid w:val="001A2A6F"/>
    <w:rsid w:val="001A441E"/>
    <w:rsid w:val="001A6733"/>
    <w:rsid w:val="001A73AF"/>
    <w:rsid w:val="001B357F"/>
    <w:rsid w:val="001B6798"/>
    <w:rsid w:val="001B7CAB"/>
    <w:rsid w:val="001C3444"/>
    <w:rsid w:val="001C3702"/>
    <w:rsid w:val="001C4656"/>
    <w:rsid w:val="001C46BC"/>
    <w:rsid w:val="001D1E06"/>
    <w:rsid w:val="001D22A0"/>
    <w:rsid w:val="001D31BA"/>
    <w:rsid w:val="001D6E60"/>
    <w:rsid w:val="001E7D7B"/>
    <w:rsid w:val="001F2025"/>
    <w:rsid w:val="001F23E6"/>
    <w:rsid w:val="001F4238"/>
    <w:rsid w:val="00200A38"/>
    <w:rsid w:val="00200A46"/>
    <w:rsid w:val="00211AA5"/>
    <w:rsid w:val="00211B6F"/>
    <w:rsid w:val="00215A7B"/>
    <w:rsid w:val="00217CC3"/>
    <w:rsid w:val="00220AB6"/>
    <w:rsid w:val="0022120F"/>
    <w:rsid w:val="0022754A"/>
    <w:rsid w:val="00230C5E"/>
    <w:rsid w:val="00236560"/>
    <w:rsid w:val="0023662E"/>
    <w:rsid w:val="00243080"/>
    <w:rsid w:val="0024463A"/>
    <w:rsid w:val="00245D0F"/>
    <w:rsid w:val="002510D6"/>
    <w:rsid w:val="002548C3"/>
    <w:rsid w:val="00257ACD"/>
    <w:rsid w:val="00262908"/>
    <w:rsid w:val="002649E7"/>
    <w:rsid w:val="002650F4"/>
    <w:rsid w:val="00267B71"/>
    <w:rsid w:val="002715FD"/>
    <w:rsid w:val="002728FA"/>
    <w:rsid w:val="002770B1"/>
    <w:rsid w:val="002841D6"/>
    <w:rsid w:val="00285B33"/>
    <w:rsid w:val="00287A3C"/>
    <w:rsid w:val="002A1033"/>
    <w:rsid w:val="002A2FC6"/>
    <w:rsid w:val="002C1EC7"/>
    <w:rsid w:val="002C3015"/>
    <w:rsid w:val="002C4342"/>
    <w:rsid w:val="002C7EA3"/>
    <w:rsid w:val="002D20AE"/>
    <w:rsid w:val="002D223D"/>
    <w:rsid w:val="002D6C61"/>
    <w:rsid w:val="002E2104"/>
    <w:rsid w:val="002E2DAC"/>
    <w:rsid w:val="002E6963"/>
    <w:rsid w:val="002E6F8F"/>
    <w:rsid w:val="002F05D8"/>
    <w:rsid w:val="002F2DE0"/>
    <w:rsid w:val="002F5412"/>
    <w:rsid w:val="002F5E25"/>
    <w:rsid w:val="0030353C"/>
    <w:rsid w:val="00307769"/>
    <w:rsid w:val="00312343"/>
    <w:rsid w:val="003125C3"/>
    <w:rsid w:val="00312AE6"/>
    <w:rsid w:val="00314D96"/>
    <w:rsid w:val="00317D1A"/>
    <w:rsid w:val="003211FF"/>
    <w:rsid w:val="003242AB"/>
    <w:rsid w:val="003251F2"/>
    <w:rsid w:val="00327247"/>
    <w:rsid w:val="00327A9D"/>
    <w:rsid w:val="0033130E"/>
    <w:rsid w:val="0033269C"/>
    <w:rsid w:val="00341ADC"/>
    <w:rsid w:val="003448C4"/>
    <w:rsid w:val="00351AF8"/>
    <w:rsid w:val="00351C79"/>
    <w:rsid w:val="00353F23"/>
    <w:rsid w:val="0035516C"/>
    <w:rsid w:val="00355796"/>
    <w:rsid w:val="00355A4C"/>
    <w:rsid w:val="003604FB"/>
    <w:rsid w:val="00360B73"/>
    <w:rsid w:val="00380B71"/>
    <w:rsid w:val="0038365A"/>
    <w:rsid w:val="00386A89"/>
    <w:rsid w:val="00391563"/>
    <w:rsid w:val="00394B13"/>
    <w:rsid w:val="0039648E"/>
    <w:rsid w:val="003A035D"/>
    <w:rsid w:val="003A19D0"/>
    <w:rsid w:val="003A5AFE"/>
    <w:rsid w:val="003A5D5F"/>
    <w:rsid w:val="003A7FFE"/>
    <w:rsid w:val="003B0A63"/>
    <w:rsid w:val="003B50E1"/>
    <w:rsid w:val="003C1746"/>
    <w:rsid w:val="003C1A09"/>
    <w:rsid w:val="003C2627"/>
    <w:rsid w:val="003C2AA9"/>
    <w:rsid w:val="003C3259"/>
    <w:rsid w:val="003C58BF"/>
    <w:rsid w:val="003D451D"/>
    <w:rsid w:val="003D50AD"/>
    <w:rsid w:val="003E3240"/>
    <w:rsid w:val="003F2357"/>
    <w:rsid w:val="003F2DD8"/>
    <w:rsid w:val="003F3F2D"/>
    <w:rsid w:val="003F50B2"/>
    <w:rsid w:val="00400CCF"/>
    <w:rsid w:val="00401BFF"/>
    <w:rsid w:val="00402074"/>
    <w:rsid w:val="00404424"/>
    <w:rsid w:val="00404759"/>
    <w:rsid w:val="0041156B"/>
    <w:rsid w:val="00411C47"/>
    <w:rsid w:val="004122C5"/>
    <w:rsid w:val="00413B78"/>
    <w:rsid w:val="004146FD"/>
    <w:rsid w:val="00416DDE"/>
    <w:rsid w:val="00417AD7"/>
    <w:rsid w:val="00433AFC"/>
    <w:rsid w:val="00437A58"/>
    <w:rsid w:val="0044411E"/>
    <w:rsid w:val="00452607"/>
    <w:rsid w:val="00453435"/>
    <w:rsid w:val="00460089"/>
    <w:rsid w:val="00466398"/>
    <w:rsid w:val="004712A4"/>
    <w:rsid w:val="004717BB"/>
    <w:rsid w:val="0047306D"/>
    <w:rsid w:val="00473791"/>
    <w:rsid w:val="00476D03"/>
    <w:rsid w:val="00476E48"/>
    <w:rsid w:val="00481DE9"/>
    <w:rsid w:val="00487D77"/>
    <w:rsid w:val="004904ED"/>
    <w:rsid w:val="00490BBD"/>
    <w:rsid w:val="0049128B"/>
    <w:rsid w:val="00493B49"/>
    <w:rsid w:val="00495501"/>
    <w:rsid w:val="00496948"/>
    <w:rsid w:val="004A070A"/>
    <w:rsid w:val="004A320E"/>
    <w:rsid w:val="004A4E9C"/>
    <w:rsid w:val="004B1A3C"/>
    <w:rsid w:val="004C533B"/>
    <w:rsid w:val="004D0289"/>
    <w:rsid w:val="004D2BE6"/>
    <w:rsid w:val="004D2CC3"/>
    <w:rsid w:val="004D344A"/>
    <w:rsid w:val="004D35CB"/>
    <w:rsid w:val="004D7DAB"/>
    <w:rsid w:val="004E20E5"/>
    <w:rsid w:val="004E3AE2"/>
    <w:rsid w:val="004E64EA"/>
    <w:rsid w:val="004E7828"/>
    <w:rsid w:val="004F46AA"/>
    <w:rsid w:val="004F6A70"/>
    <w:rsid w:val="00500AD7"/>
    <w:rsid w:val="00502ABF"/>
    <w:rsid w:val="00504DB0"/>
    <w:rsid w:val="0050654F"/>
    <w:rsid w:val="00506678"/>
    <w:rsid w:val="005078A4"/>
    <w:rsid w:val="00507C35"/>
    <w:rsid w:val="00510735"/>
    <w:rsid w:val="005142E6"/>
    <w:rsid w:val="00514D2F"/>
    <w:rsid w:val="00523994"/>
    <w:rsid w:val="00531467"/>
    <w:rsid w:val="00542A3C"/>
    <w:rsid w:val="0054420E"/>
    <w:rsid w:val="00544D1B"/>
    <w:rsid w:val="00545DC0"/>
    <w:rsid w:val="00545F6C"/>
    <w:rsid w:val="005467DF"/>
    <w:rsid w:val="005477D9"/>
    <w:rsid w:val="0055192A"/>
    <w:rsid w:val="0055720C"/>
    <w:rsid w:val="005608B2"/>
    <w:rsid w:val="00561796"/>
    <w:rsid w:val="00563230"/>
    <w:rsid w:val="005632DD"/>
    <w:rsid w:val="00563D56"/>
    <w:rsid w:val="00563F4A"/>
    <w:rsid w:val="0056423B"/>
    <w:rsid w:val="00566BDC"/>
    <w:rsid w:val="00573424"/>
    <w:rsid w:val="0057402F"/>
    <w:rsid w:val="00580074"/>
    <w:rsid w:val="00581653"/>
    <w:rsid w:val="005849D6"/>
    <w:rsid w:val="00585367"/>
    <w:rsid w:val="00585F8F"/>
    <w:rsid w:val="005871A1"/>
    <w:rsid w:val="0058737E"/>
    <w:rsid w:val="005903ED"/>
    <w:rsid w:val="00592518"/>
    <w:rsid w:val="00592E87"/>
    <w:rsid w:val="00593C04"/>
    <w:rsid w:val="0059420B"/>
    <w:rsid w:val="00594C4D"/>
    <w:rsid w:val="00597AE4"/>
    <w:rsid w:val="005A0D18"/>
    <w:rsid w:val="005A33B0"/>
    <w:rsid w:val="005A406D"/>
    <w:rsid w:val="005A4AB8"/>
    <w:rsid w:val="005B2295"/>
    <w:rsid w:val="005B7930"/>
    <w:rsid w:val="005C2DC2"/>
    <w:rsid w:val="005C304A"/>
    <w:rsid w:val="005C3D69"/>
    <w:rsid w:val="005C7C98"/>
    <w:rsid w:val="005D2C3A"/>
    <w:rsid w:val="005D55A4"/>
    <w:rsid w:val="005D57C8"/>
    <w:rsid w:val="005D7761"/>
    <w:rsid w:val="005E0278"/>
    <w:rsid w:val="005E090D"/>
    <w:rsid w:val="005E3CA0"/>
    <w:rsid w:val="005E44B1"/>
    <w:rsid w:val="005E67B0"/>
    <w:rsid w:val="005E6DE9"/>
    <w:rsid w:val="005E7047"/>
    <w:rsid w:val="005E777F"/>
    <w:rsid w:val="005F1CA7"/>
    <w:rsid w:val="005F43DD"/>
    <w:rsid w:val="005F51A9"/>
    <w:rsid w:val="005F6BE1"/>
    <w:rsid w:val="005F7416"/>
    <w:rsid w:val="00600C11"/>
    <w:rsid w:val="0060133F"/>
    <w:rsid w:val="006022D1"/>
    <w:rsid w:val="006054A9"/>
    <w:rsid w:val="00605E17"/>
    <w:rsid w:val="00606B89"/>
    <w:rsid w:val="00611EAF"/>
    <w:rsid w:val="00623F30"/>
    <w:rsid w:val="00624B44"/>
    <w:rsid w:val="00625FB8"/>
    <w:rsid w:val="006261BD"/>
    <w:rsid w:val="00635EDB"/>
    <w:rsid w:val="00637819"/>
    <w:rsid w:val="00642C3C"/>
    <w:rsid w:val="0064734E"/>
    <w:rsid w:val="00650137"/>
    <w:rsid w:val="006509D7"/>
    <w:rsid w:val="00651CE8"/>
    <w:rsid w:val="0065521B"/>
    <w:rsid w:val="00655652"/>
    <w:rsid w:val="00671EF6"/>
    <w:rsid w:val="0067205B"/>
    <w:rsid w:val="006748F8"/>
    <w:rsid w:val="00680489"/>
    <w:rsid w:val="00680555"/>
    <w:rsid w:val="00683C32"/>
    <w:rsid w:val="00684398"/>
    <w:rsid w:val="006860C4"/>
    <w:rsid w:val="00690BB2"/>
    <w:rsid w:val="00693D09"/>
    <w:rsid w:val="0069537D"/>
    <w:rsid w:val="006975D8"/>
    <w:rsid w:val="006A0C66"/>
    <w:rsid w:val="006A6549"/>
    <w:rsid w:val="006A7710"/>
    <w:rsid w:val="006A7A61"/>
    <w:rsid w:val="006A7A98"/>
    <w:rsid w:val="006B1E59"/>
    <w:rsid w:val="006B2FFB"/>
    <w:rsid w:val="006B3273"/>
    <w:rsid w:val="006B3632"/>
    <w:rsid w:val="006B503E"/>
    <w:rsid w:val="006B7CEF"/>
    <w:rsid w:val="006C075B"/>
    <w:rsid w:val="006C10A2"/>
    <w:rsid w:val="006C1F18"/>
    <w:rsid w:val="006C4171"/>
    <w:rsid w:val="006D18D6"/>
    <w:rsid w:val="006D19C9"/>
    <w:rsid w:val="006D40D5"/>
    <w:rsid w:val="006D4EA0"/>
    <w:rsid w:val="006E35D8"/>
    <w:rsid w:val="006E61F4"/>
    <w:rsid w:val="006E7D25"/>
    <w:rsid w:val="006F009A"/>
    <w:rsid w:val="006F24AF"/>
    <w:rsid w:val="006F3D93"/>
    <w:rsid w:val="00700E65"/>
    <w:rsid w:val="007016D7"/>
    <w:rsid w:val="007019B1"/>
    <w:rsid w:val="00706440"/>
    <w:rsid w:val="0071703D"/>
    <w:rsid w:val="00717C21"/>
    <w:rsid w:val="00721657"/>
    <w:rsid w:val="00723ECE"/>
    <w:rsid w:val="00726990"/>
    <w:rsid w:val="007279A8"/>
    <w:rsid w:val="00727B1A"/>
    <w:rsid w:val="00730A78"/>
    <w:rsid w:val="0073214B"/>
    <w:rsid w:val="00733BB1"/>
    <w:rsid w:val="00740B35"/>
    <w:rsid w:val="00741337"/>
    <w:rsid w:val="00741ECC"/>
    <w:rsid w:val="00752258"/>
    <w:rsid w:val="007529E1"/>
    <w:rsid w:val="00757D5F"/>
    <w:rsid w:val="0076272A"/>
    <w:rsid w:val="00762880"/>
    <w:rsid w:val="00762AD6"/>
    <w:rsid w:val="00762E02"/>
    <w:rsid w:val="0076358A"/>
    <w:rsid w:val="00772290"/>
    <w:rsid w:val="00777265"/>
    <w:rsid w:val="00780460"/>
    <w:rsid w:val="007805E7"/>
    <w:rsid w:val="00780867"/>
    <w:rsid w:val="0078222A"/>
    <w:rsid w:val="00784700"/>
    <w:rsid w:val="00784AB3"/>
    <w:rsid w:val="00787755"/>
    <w:rsid w:val="00787D48"/>
    <w:rsid w:val="00795294"/>
    <w:rsid w:val="00796DEE"/>
    <w:rsid w:val="007A43E0"/>
    <w:rsid w:val="007A4E50"/>
    <w:rsid w:val="007B01BB"/>
    <w:rsid w:val="007B04F2"/>
    <w:rsid w:val="007B18A7"/>
    <w:rsid w:val="007B250E"/>
    <w:rsid w:val="007C27FC"/>
    <w:rsid w:val="007C51FF"/>
    <w:rsid w:val="007C7E65"/>
    <w:rsid w:val="007D50E4"/>
    <w:rsid w:val="007E2DC5"/>
    <w:rsid w:val="007E3A75"/>
    <w:rsid w:val="007E7F13"/>
    <w:rsid w:val="007F1CC7"/>
    <w:rsid w:val="007F28CD"/>
    <w:rsid w:val="007F4D46"/>
    <w:rsid w:val="007F571B"/>
    <w:rsid w:val="008027AC"/>
    <w:rsid w:val="008028CE"/>
    <w:rsid w:val="0080332E"/>
    <w:rsid w:val="008141E0"/>
    <w:rsid w:val="00816EE1"/>
    <w:rsid w:val="00816F88"/>
    <w:rsid w:val="00821996"/>
    <w:rsid w:val="00822323"/>
    <w:rsid w:val="00826A3E"/>
    <w:rsid w:val="00827BC6"/>
    <w:rsid w:val="008300AD"/>
    <w:rsid w:val="00832D43"/>
    <w:rsid w:val="00833024"/>
    <w:rsid w:val="008419B1"/>
    <w:rsid w:val="00844A56"/>
    <w:rsid w:val="00845B11"/>
    <w:rsid w:val="00852081"/>
    <w:rsid w:val="0085370A"/>
    <w:rsid w:val="00853D33"/>
    <w:rsid w:val="00870748"/>
    <w:rsid w:val="00872B6E"/>
    <w:rsid w:val="00872CD2"/>
    <w:rsid w:val="00874DFD"/>
    <w:rsid w:val="008802F9"/>
    <w:rsid w:val="00881B9C"/>
    <w:rsid w:val="00883086"/>
    <w:rsid w:val="008869C8"/>
    <w:rsid w:val="008879FD"/>
    <w:rsid w:val="00887F7D"/>
    <w:rsid w:val="00894C37"/>
    <w:rsid w:val="008A00EA"/>
    <w:rsid w:val="008A3F93"/>
    <w:rsid w:val="008A6236"/>
    <w:rsid w:val="008A6E1C"/>
    <w:rsid w:val="008A72FD"/>
    <w:rsid w:val="008A7665"/>
    <w:rsid w:val="008B2B9B"/>
    <w:rsid w:val="008B2EDF"/>
    <w:rsid w:val="008B47C7"/>
    <w:rsid w:val="008B54CB"/>
    <w:rsid w:val="008B5A3D"/>
    <w:rsid w:val="008C4010"/>
    <w:rsid w:val="008C4FDF"/>
    <w:rsid w:val="008C6B1F"/>
    <w:rsid w:val="008C7A35"/>
    <w:rsid w:val="008D1CCB"/>
    <w:rsid w:val="008D4C3A"/>
    <w:rsid w:val="008D5B2B"/>
    <w:rsid w:val="008D5E4F"/>
    <w:rsid w:val="008D772E"/>
    <w:rsid w:val="008D7C80"/>
    <w:rsid w:val="008E34F0"/>
    <w:rsid w:val="008F14F5"/>
    <w:rsid w:val="008F71C1"/>
    <w:rsid w:val="008F7311"/>
    <w:rsid w:val="00902D41"/>
    <w:rsid w:val="00902F49"/>
    <w:rsid w:val="00904230"/>
    <w:rsid w:val="00914004"/>
    <w:rsid w:val="009173C0"/>
    <w:rsid w:val="00922EC1"/>
    <w:rsid w:val="00923CF1"/>
    <w:rsid w:val="009301F1"/>
    <w:rsid w:val="009307DF"/>
    <w:rsid w:val="009359B8"/>
    <w:rsid w:val="00935FF0"/>
    <w:rsid w:val="009431F8"/>
    <w:rsid w:val="00944F7E"/>
    <w:rsid w:val="00947A35"/>
    <w:rsid w:val="00952667"/>
    <w:rsid w:val="00952AA3"/>
    <w:rsid w:val="00953E99"/>
    <w:rsid w:val="0096201B"/>
    <w:rsid w:val="00962081"/>
    <w:rsid w:val="00966CB5"/>
    <w:rsid w:val="00975786"/>
    <w:rsid w:val="00981CB7"/>
    <w:rsid w:val="00983E1F"/>
    <w:rsid w:val="009842AD"/>
    <w:rsid w:val="00991AA4"/>
    <w:rsid w:val="00993F46"/>
    <w:rsid w:val="00996241"/>
    <w:rsid w:val="0099732E"/>
    <w:rsid w:val="00997358"/>
    <w:rsid w:val="009A31EE"/>
    <w:rsid w:val="009A452B"/>
    <w:rsid w:val="009B050C"/>
    <w:rsid w:val="009B087F"/>
    <w:rsid w:val="009B1DD4"/>
    <w:rsid w:val="009B1E5C"/>
    <w:rsid w:val="009B2AF4"/>
    <w:rsid w:val="009B64CC"/>
    <w:rsid w:val="009B72B4"/>
    <w:rsid w:val="009C03ED"/>
    <w:rsid w:val="009C110B"/>
    <w:rsid w:val="009C128B"/>
    <w:rsid w:val="009C2FB5"/>
    <w:rsid w:val="009C5441"/>
    <w:rsid w:val="009D119F"/>
    <w:rsid w:val="009D1918"/>
    <w:rsid w:val="009D30B8"/>
    <w:rsid w:val="009D49A2"/>
    <w:rsid w:val="009E4D82"/>
    <w:rsid w:val="009F3940"/>
    <w:rsid w:val="009F3EB2"/>
    <w:rsid w:val="009F5F7F"/>
    <w:rsid w:val="009F6EB1"/>
    <w:rsid w:val="009F6FEB"/>
    <w:rsid w:val="00A10B2C"/>
    <w:rsid w:val="00A11D05"/>
    <w:rsid w:val="00A13162"/>
    <w:rsid w:val="00A13C98"/>
    <w:rsid w:val="00A163B7"/>
    <w:rsid w:val="00A20267"/>
    <w:rsid w:val="00A27364"/>
    <w:rsid w:val="00A27BE0"/>
    <w:rsid w:val="00A3042A"/>
    <w:rsid w:val="00A3158C"/>
    <w:rsid w:val="00A32DF3"/>
    <w:rsid w:val="00A33E32"/>
    <w:rsid w:val="00A35E20"/>
    <w:rsid w:val="00A36F6D"/>
    <w:rsid w:val="00A4384C"/>
    <w:rsid w:val="00A43960"/>
    <w:rsid w:val="00A50CA0"/>
    <w:rsid w:val="00A51D89"/>
    <w:rsid w:val="00A525CC"/>
    <w:rsid w:val="00A53E7C"/>
    <w:rsid w:val="00A60087"/>
    <w:rsid w:val="00A63F19"/>
    <w:rsid w:val="00A66BBF"/>
    <w:rsid w:val="00A702B0"/>
    <w:rsid w:val="00A705E8"/>
    <w:rsid w:val="00A721F4"/>
    <w:rsid w:val="00A82860"/>
    <w:rsid w:val="00A872E8"/>
    <w:rsid w:val="00A9392C"/>
    <w:rsid w:val="00A945AF"/>
    <w:rsid w:val="00A9462B"/>
    <w:rsid w:val="00A95867"/>
    <w:rsid w:val="00A97D59"/>
    <w:rsid w:val="00AA1640"/>
    <w:rsid w:val="00AA3E09"/>
    <w:rsid w:val="00AA4BEF"/>
    <w:rsid w:val="00AA5E63"/>
    <w:rsid w:val="00AB1659"/>
    <w:rsid w:val="00AB3B95"/>
    <w:rsid w:val="00AB4962"/>
    <w:rsid w:val="00AB734E"/>
    <w:rsid w:val="00AB740F"/>
    <w:rsid w:val="00AC027A"/>
    <w:rsid w:val="00AC6F14"/>
    <w:rsid w:val="00AC7221"/>
    <w:rsid w:val="00AD06FF"/>
    <w:rsid w:val="00AD4677"/>
    <w:rsid w:val="00AE5961"/>
    <w:rsid w:val="00AF0745"/>
    <w:rsid w:val="00AF0AB6"/>
    <w:rsid w:val="00AF2AEE"/>
    <w:rsid w:val="00AF4971"/>
    <w:rsid w:val="00AF5276"/>
    <w:rsid w:val="00AF7C86"/>
    <w:rsid w:val="00B01046"/>
    <w:rsid w:val="00B143A4"/>
    <w:rsid w:val="00B154F2"/>
    <w:rsid w:val="00B23D0A"/>
    <w:rsid w:val="00B310F9"/>
    <w:rsid w:val="00B343D7"/>
    <w:rsid w:val="00B37866"/>
    <w:rsid w:val="00B412FB"/>
    <w:rsid w:val="00B41718"/>
    <w:rsid w:val="00B44BBE"/>
    <w:rsid w:val="00B4576B"/>
    <w:rsid w:val="00B46350"/>
    <w:rsid w:val="00B46DF3"/>
    <w:rsid w:val="00B5363A"/>
    <w:rsid w:val="00B54A5C"/>
    <w:rsid w:val="00B5794F"/>
    <w:rsid w:val="00B648C7"/>
    <w:rsid w:val="00B66E8F"/>
    <w:rsid w:val="00B7377D"/>
    <w:rsid w:val="00B738FA"/>
    <w:rsid w:val="00B74388"/>
    <w:rsid w:val="00B80157"/>
    <w:rsid w:val="00B83424"/>
    <w:rsid w:val="00B83D5E"/>
    <w:rsid w:val="00B8460A"/>
    <w:rsid w:val="00B8650D"/>
    <w:rsid w:val="00B879B4"/>
    <w:rsid w:val="00B90F07"/>
    <w:rsid w:val="00B97BB9"/>
    <w:rsid w:val="00BA0009"/>
    <w:rsid w:val="00BA1CD5"/>
    <w:rsid w:val="00BA2C6D"/>
    <w:rsid w:val="00BB02B5"/>
    <w:rsid w:val="00BB1863"/>
    <w:rsid w:val="00BB25EE"/>
    <w:rsid w:val="00BB363A"/>
    <w:rsid w:val="00BC10A0"/>
    <w:rsid w:val="00BC1D2E"/>
    <w:rsid w:val="00BC6925"/>
    <w:rsid w:val="00BC7BA2"/>
    <w:rsid w:val="00BD048D"/>
    <w:rsid w:val="00BD426B"/>
    <w:rsid w:val="00BD79F0"/>
    <w:rsid w:val="00BE2B4D"/>
    <w:rsid w:val="00C015F8"/>
    <w:rsid w:val="00C02C2A"/>
    <w:rsid w:val="00C07E26"/>
    <w:rsid w:val="00C1011C"/>
    <w:rsid w:val="00C12F94"/>
    <w:rsid w:val="00C15EA7"/>
    <w:rsid w:val="00C177C5"/>
    <w:rsid w:val="00C31BD2"/>
    <w:rsid w:val="00C34EC3"/>
    <w:rsid w:val="00C376A9"/>
    <w:rsid w:val="00C4038C"/>
    <w:rsid w:val="00C42BA2"/>
    <w:rsid w:val="00C44066"/>
    <w:rsid w:val="00C44E13"/>
    <w:rsid w:val="00C452AE"/>
    <w:rsid w:val="00C50751"/>
    <w:rsid w:val="00C50A2C"/>
    <w:rsid w:val="00C52EA1"/>
    <w:rsid w:val="00C5618D"/>
    <w:rsid w:val="00C60A41"/>
    <w:rsid w:val="00C62DE8"/>
    <w:rsid w:val="00C62DFB"/>
    <w:rsid w:val="00C630E6"/>
    <w:rsid w:val="00C63812"/>
    <w:rsid w:val="00C64AF3"/>
    <w:rsid w:val="00C66F4D"/>
    <w:rsid w:val="00C67BB5"/>
    <w:rsid w:val="00C71873"/>
    <w:rsid w:val="00C71B13"/>
    <w:rsid w:val="00C72713"/>
    <w:rsid w:val="00C848EF"/>
    <w:rsid w:val="00C86600"/>
    <w:rsid w:val="00C87BCA"/>
    <w:rsid w:val="00C87EED"/>
    <w:rsid w:val="00C901E7"/>
    <w:rsid w:val="00C94506"/>
    <w:rsid w:val="00C94969"/>
    <w:rsid w:val="00C954BC"/>
    <w:rsid w:val="00C95D59"/>
    <w:rsid w:val="00CA1F0B"/>
    <w:rsid w:val="00CB110F"/>
    <w:rsid w:val="00CB2A2E"/>
    <w:rsid w:val="00CB338A"/>
    <w:rsid w:val="00CB79C5"/>
    <w:rsid w:val="00CC411F"/>
    <w:rsid w:val="00CC4B75"/>
    <w:rsid w:val="00CC57BB"/>
    <w:rsid w:val="00CC732E"/>
    <w:rsid w:val="00CD2A98"/>
    <w:rsid w:val="00CD2FCD"/>
    <w:rsid w:val="00CD7207"/>
    <w:rsid w:val="00CE0422"/>
    <w:rsid w:val="00CE0DBE"/>
    <w:rsid w:val="00CE5E4D"/>
    <w:rsid w:val="00CF02C4"/>
    <w:rsid w:val="00CF167F"/>
    <w:rsid w:val="00CF3288"/>
    <w:rsid w:val="00CF3AAC"/>
    <w:rsid w:val="00CF72E5"/>
    <w:rsid w:val="00D013EE"/>
    <w:rsid w:val="00D01F54"/>
    <w:rsid w:val="00D040F7"/>
    <w:rsid w:val="00D04A76"/>
    <w:rsid w:val="00D07E2B"/>
    <w:rsid w:val="00D10FC7"/>
    <w:rsid w:val="00D1519F"/>
    <w:rsid w:val="00D1703C"/>
    <w:rsid w:val="00D178BE"/>
    <w:rsid w:val="00D20E99"/>
    <w:rsid w:val="00D21C83"/>
    <w:rsid w:val="00D32061"/>
    <w:rsid w:val="00D35BDD"/>
    <w:rsid w:val="00D37ACF"/>
    <w:rsid w:val="00D4681A"/>
    <w:rsid w:val="00D63006"/>
    <w:rsid w:val="00D66575"/>
    <w:rsid w:val="00D72301"/>
    <w:rsid w:val="00D83128"/>
    <w:rsid w:val="00D911DE"/>
    <w:rsid w:val="00D91B97"/>
    <w:rsid w:val="00D93ACC"/>
    <w:rsid w:val="00D93C08"/>
    <w:rsid w:val="00D94F0A"/>
    <w:rsid w:val="00D95DAC"/>
    <w:rsid w:val="00DA0B53"/>
    <w:rsid w:val="00DB1171"/>
    <w:rsid w:val="00DB1519"/>
    <w:rsid w:val="00DB2840"/>
    <w:rsid w:val="00DB7C30"/>
    <w:rsid w:val="00DC1BD3"/>
    <w:rsid w:val="00DC2C1A"/>
    <w:rsid w:val="00DC42B1"/>
    <w:rsid w:val="00DD66B4"/>
    <w:rsid w:val="00DE1972"/>
    <w:rsid w:val="00DE27AB"/>
    <w:rsid w:val="00DE452D"/>
    <w:rsid w:val="00DF0DBE"/>
    <w:rsid w:val="00DF1C96"/>
    <w:rsid w:val="00DF2AB3"/>
    <w:rsid w:val="00DF7250"/>
    <w:rsid w:val="00E00CAA"/>
    <w:rsid w:val="00E01775"/>
    <w:rsid w:val="00E03630"/>
    <w:rsid w:val="00E03EBF"/>
    <w:rsid w:val="00E05209"/>
    <w:rsid w:val="00E05AC1"/>
    <w:rsid w:val="00E11BCF"/>
    <w:rsid w:val="00E14166"/>
    <w:rsid w:val="00E2258E"/>
    <w:rsid w:val="00E25DA3"/>
    <w:rsid w:val="00E260C2"/>
    <w:rsid w:val="00E3057D"/>
    <w:rsid w:val="00E32596"/>
    <w:rsid w:val="00E32EA0"/>
    <w:rsid w:val="00E368F7"/>
    <w:rsid w:val="00E36EB8"/>
    <w:rsid w:val="00E37FB8"/>
    <w:rsid w:val="00E40B07"/>
    <w:rsid w:val="00E42326"/>
    <w:rsid w:val="00E43544"/>
    <w:rsid w:val="00E44D89"/>
    <w:rsid w:val="00E46294"/>
    <w:rsid w:val="00E477EA"/>
    <w:rsid w:val="00E502E5"/>
    <w:rsid w:val="00E55807"/>
    <w:rsid w:val="00E63B14"/>
    <w:rsid w:val="00E65CA0"/>
    <w:rsid w:val="00E66B89"/>
    <w:rsid w:val="00E70D9F"/>
    <w:rsid w:val="00E732F4"/>
    <w:rsid w:val="00E74E57"/>
    <w:rsid w:val="00E83810"/>
    <w:rsid w:val="00E86933"/>
    <w:rsid w:val="00E9605B"/>
    <w:rsid w:val="00E97298"/>
    <w:rsid w:val="00E97465"/>
    <w:rsid w:val="00E97753"/>
    <w:rsid w:val="00EA0C51"/>
    <w:rsid w:val="00EA2C61"/>
    <w:rsid w:val="00EA7DE7"/>
    <w:rsid w:val="00EB251A"/>
    <w:rsid w:val="00EB7A8A"/>
    <w:rsid w:val="00EB7FAC"/>
    <w:rsid w:val="00EC5E77"/>
    <w:rsid w:val="00EC5FCC"/>
    <w:rsid w:val="00EC6498"/>
    <w:rsid w:val="00EC6FED"/>
    <w:rsid w:val="00EC7F3B"/>
    <w:rsid w:val="00ED11D9"/>
    <w:rsid w:val="00ED1C04"/>
    <w:rsid w:val="00ED5299"/>
    <w:rsid w:val="00EE3A64"/>
    <w:rsid w:val="00EE44D6"/>
    <w:rsid w:val="00EE50E5"/>
    <w:rsid w:val="00EF01CF"/>
    <w:rsid w:val="00EF1151"/>
    <w:rsid w:val="00F03590"/>
    <w:rsid w:val="00F03622"/>
    <w:rsid w:val="00F077FD"/>
    <w:rsid w:val="00F204F3"/>
    <w:rsid w:val="00F218AB"/>
    <w:rsid w:val="00F21D10"/>
    <w:rsid w:val="00F238B3"/>
    <w:rsid w:val="00F24FED"/>
    <w:rsid w:val="00F25586"/>
    <w:rsid w:val="00F2651D"/>
    <w:rsid w:val="00F27362"/>
    <w:rsid w:val="00F30C50"/>
    <w:rsid w:val="00F31498"/>
    <w:rsid w:val="00F32FEF"/>
    <w:rsid w:val="00F41B1C"/>
    <w:rsid w:val="00F42E13"/>
    <w:rsid w:val="00F42F1C"/>
    <w:rsid w:val="00F43B44"/>
    <w:rsid w:val="00F440E5"/>
    <w:rsid w:val="00F448F6"/>
    <w:rsid w:val="00F44F26"/>
    <w:rsid w:val="00F52741"/>
    <w:rsid w:val="00F53D8A"/>
    <w:rsid w:val="00F55DB2"/>
    <w:rsid w:val="00F573AB"/>
    <w:rsid w:val="00F626F7"/>
    <w:rsid w:val="00F736F9"/>
    <w:rsid w:val="00F73833"/>
    <w:rsid w:val="00F75755"/>
    <w:rsid w:val="00F9211C"/>
    <w:rsid w:val="00FA095D"/>
    <w:rsid w:val="00FA3850"/>
    <w:rsid w:val="00FA3A2D"/>
    <w:rsid w:val="00FA67C6"/>
    <w:rsid w:val="00FA67DC"/>
    <w:rsid w:val="00FA6C8B"/>
    <w:rsid w:val="00FA6CDA"/>
    <w:rsid w:val="00FA7C89"/>
    <w:rsid w:val="00FB3F8D"/>
    <w:rsid w:val="00FB4139"/>
    <w:rsid w:val="00FB476E"/>
    <w:rsid w:val="00FC0D90"/>
    <w:rsid w:val="00FC2DDD"/>
    <w:rsid w:val="00FC7D8C"/>
    <w:rsid w:val="00FD0A34"/>
    <w:rsid w:val="00FD3980"/>
    <w:rsid w:val="00FD431E"/>
    <w:rsid w:val="00FD5A2C"/>
    <w:rsid w:val="00FE0D47"/>
    <w:rsid w:val="00FE1D5C"/>
    <w:rsid w:val="00FE2F8B"/>
    <w:rsid w:val="00FE3669"/>
    <w:rsid w:val="00FE5204"/>
    <w:rsid w:val="00FF287F"/>
    <w:rsid w:val="00FF74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FAF29E"/>
  <w15:docId w15:val="{5E81C4F1-8D48-4490-88A6-5F63A085D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7C86"/>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rsid w:val="00B37866"/>
    <w:pPr>
      <w:keepNext/>
      <w:keepLines/>
      <w:spacing w:before="280"/>
      <w:ind w:left="794" w:hanging="794"/>
      <w:outlineLvl w:val="0"/>
    </w:pPr>
    <w:rPr>
      <w:b/>
      <w:sz w:val="28"/>
    </w:rPr>
  </w:style>
  <w:style w:type="paragraph" w:styleId="Heading2">
    <w:name w:val="heading 2"/>
    <w:basedOn w:val="Heading1"/>
    <w:next w:val="Normal"/>
    <w:link w:val="Heading2Char"/>
    <w:uiPriority w:val="9"/>
    <w:qFormat/>
    <w:rsid w:val="00B37866"/>
    <w:pPr>
      <w:spacing w:before="200"/>
      <w:outlineLvl w:val="1"/>
    </w:pPr>
    <w:rPr>
      <w:sz w:val="24"/>
    </w:rPr>
  </w:style>
  <w:style w:type="paragraph" w:styleId="Heading3">
    <w:name w:val="heading 3"/>
    <w:basedOn w:val="Heading1"/>
    <w:next w:val="Normal"/>
    <w:link w:val="Heading3Char"/>
    <w:uiPriority w:val="9"/>
    <w:qFormat/>
    <w:rsid w:val="00B37866"/>
    <w:pPr>
      <w:spacing w:before="200"/>
      <w:outlineLvl w:val="2"/>
    </w:pPr>
    <w:rPr>
      <w:sz w:val="24"/>
    </w:rPr>
  </w:style>
  <w:style w:type="paragraph" w:styleId="Heading4">
    <w:name w:val="heading 4"/>
    <w:basedOn w:val="Heading3"/>
    <w:next w:val="Normal"/>
    <w:link w:val="Heading4Char"/>
    <w:uiPriority w:val="9"/>
    <w:qFormat/>
    <w:rsid w:val="00B37866"/>
    <w:pPr>
      <w:tabs>
        <w:tab w:val="clear" w:pos="794"/>
        <w:tab w:val="left" w:pos="992"/>
      </w:tabs>
      <w:ind w:left="992" w:hanging="992"/>
      <w:outlineLvl w:val="3"/>
    </w:pPr>
  </w:style>
  <w:style w:type="paragraph" w:styleId="Heading5">
    <w:name w:val="heading 5"/>
    <w:basedOn w:val="Heading4"/>
    <w:next w:val="Normal"/>
    <w:link w:val="Heading5Char"/>
    <w:uiPriority w:val="9"/>
    <w:qFormat/>
    <w:rsid w:val="00B37866"/>
    <w:pPr>
      <w:outlineLvl w:val="4"/>
    </w:pPr>
  </w:style>
  <w:style w:type="paragraph" w:styleId="Heading6">
    <w:name w:val="heading 6"/>
    <w:basedOn w:val="Heading4"/>
    <w:next w:val="Normal"/>
    <w:link w:val="Heading6Char"/>
    <w:uiPriority w:val="9"/>
    <w:qFormat/>
    <w:rsid w:val="00B37866"/>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B37866"/>
    <w:pPr>
      <w:outlineLvl w:val="6"/>
    </w:pPr>
  </w:style>
  <w:style w:type="paragraph" w:styleId="Heading8">
    <w:name w:val="heading 8"/>
    <w:basedOn w:val="Heading6"/>
    <w:next w:val="Normal"/>
    <w:link w:val="Heading8Char"/>
    <w:uiPriority w:val="9"/>
    <w:qFormat/>
    <w:rsid w:val="00B37866"/>
    <w:pPr>
      <w:outlineLvl w:val="7"/>
    </w:pPr>
  </w:style>
  <w:style w:type="paragraph" w:styleId="Heading9">
    <w:name w:val="heading 9"/>
    <w:basedOn w:val="Heading6"/>
    <w:next w:val="Normal"/>
    <w:link w:val="Heading9Char"/>
    <w:uiPriority w:val="9"/>
    <w:qFormat/>
    <w:rsid w:val="00B37866"/>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B37866"/>
  </w:style>
  <w:style w:type="paragraph" w:styleId="TOC4">
    <w:name w:val="toc 4"/>
    <w:basedOn w:val="TOC3"/>
    <w:semiHidden/>
    <w:rsid w:val="00B37866"/>
  </w:style>
  <w:style w:type="paragraph" w:styleId="TOC3">
    <w:name w:val="toc 3"/>
    <w:basedOn w:val="TOC2"/>
    <w:rsid w:val="00B37866"/>
  </w:style>
  <w:style w:type="paragraph" w:styleId="TOC2">
    <w:name w:val="toc 2"/>
    <w:basedOn w:val="TOC1"/>
    <w:uiPriority w:val="39"/>
    <w:rsid w:val="00B37866"/>
    <w:pPr>
      <w:spacing w:before="120"/>
    </w:pPr>
  </w:style>
  <w:style w:type="paragraph" w:styleId="TOC1">
    <w:name w:val="toc 1"/>
    <w:basedOn w:val="Normal"/>
    <w:uiPriority w:val="39"/>
    <w:rsid w:val="00B37866"/>
    <w:pPr>
      <w:keepLines/>
      <w:tabs>
        <w:tab w:val="clear" w:pos="794"/>
        <w:tab w:val="clear" w:pos="1191"/>
        <w:tab w:val="clear" w:pos="1588"/>
        <w:tab w:val="clear" w:pos="1985"/>
        <w:tab w:val="left" w:pos="964"/>
        <w:tab w:val="left" w:leader="dot" w:pos="8647"/>
        <w:tab w:val="center" w:pos="9526"/>
      </w:tabs>
      <w:spacing w:before="240"/>
      <w:ind w:left="964" w:hanging="964"/>
    </w:pPr>
  </w:style>
  <w:style w:type="paragraph" w:styleId="TOC7">
    <w:name w:val="toc 7"/>
    <w:basedOn w:val="TOC4"/>
    <w:semiHidden/>
    <w:rsid w:val="00B37866"/>
  </w:style>
  <w:style w:type="paragraph" w:styleId="TOC6">
    <w:name w:val="toc 6"/>
    <w:basedOn w:val="TOC4"/>
    <w:semiHidden/>
    <w:rsid w:val="00B37866"/>
  </w:style>
  <w:style w:type="paragraph" w:styleId="TOC5">
    <w:name w:val="toc 5"/>
    <w:basedOn w:val="TOC4"/>
    <w:semiHidden/>
    <w:rsid w:val="00B37866"/>
  </w:style>
  <w:style w:type="paragraph" w:styleId="Index7">
    <w:name w:val="index 7"/>
    <w:basedOn w:val="Normal"/>
    <w:next w:val="Normal"/>
    <w:semiHidden/>
    <w:rsid w:val="00B37866"/>
    <w:pPr>
      <w:ind w:left="1698"/>
    </w:pPr>
  </w:style>
  <w:style w:type="paragraph" w:styleId="Index6">
    <w:name w:val="index 6"/>
    <w:basedOn w:val="Normal"/>
    <w:next w:val="Normal"/>
    <w:semiHidden/>
    <w:rsid w:val="00B37866"/>
    <w:pPr>
      <w:ind w:left="1415"/>
    </w:pPr>
  </w:style>
  <w:style w:type="paragraph" w:styleId="Index5">
    <w:name w:val="index 5"/>
    <w:basedOn w:val="Normal"/>
    <w:next w:val="Normal"/>
    <w:semiHidden/>
    <w:rsid w:val="00B37866"/>
    <w:pPr>
      <w:ind w:left="1132"/>
    </w:pPr>
  </w:style>
  <w:style w:type="paragraph" w:styleId="Index4">
    <w:name w:val="index 4"/>
    <w:basedOn w:val="Normal"/>
    <w:next w:val="Normal"/>
    <w:semiHidden/>
    <w:rsid w:val="00B37866"/>
    <w:pPr>
      <w:ind w:left="849"/>
    </w:pPr>
  </w:style>
  <w:style w:type="paragraph" w:styleId="Index3">
    <w:name w:val="index 3"/>
    <w:basedOn w:val="Normal"/>
    <w:next w:val="Normal"/>
    <w:semiHidden/>
    <w:rsid w:val="00B37866"/>
    <w:pPr>
      <w:ind w:left="566"/>
    </w:pPr>
  </w:style>
  <w:style w:type="paragraph" w:styleId="Index2">
    <w:name w:val="index 2"/>
    <w:basedOn w:val="Normal"/>
    <w:next w:val="Normal"/>
    <w:semiHidden/>
    <w:rsid w:val="00B37866"/>
    <w:pPr>
      <w:ind w:left="283"/>
    </w:pPr>
  </w:style>
  <w:style w:type="paragraph" w:styleId="Index1">
    <w:name w:val="index 1"/>
    <w:basedOn w:val="Normal"/>
    <w:next w:val="Normal"/>
    <w:semiHidden/>
    <w:rsid w:val="00B37866"/>
  </w:style>
  <w:style w:type="character" w:styleId="LineNumber">
    <w:name w:val="line number"/>
    <w:basedOn w:val="DefaultParagraphFont"/>
    <w:rsid w:val="00B37866"/>
  </w:style>
  <w:style w:type="paragraph" w:styleId="IndexHeading">
    <w:name w:val="index heading"/>
    <w:basedOn w:val="Normal"/>
    <w:next w:val="Index1"/>
    <w:semiHidden/>
    <w:rsid w:val="00B37866"/>
  </w:style>
  <w:style w:type="paragraph" w:styleId="Footer">
    <w:name w:val="footer"/>
    <w:basedOn w:val="Normal"/>
    <w:link w:val="FooterChar"/>
    <w:uiPriority w:val="99"/>
    <w:rsid w:val="00B37866"/>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link w:val="HeaderChar"/>
    <w:uiPriority w:val="99"/>
    <w:rsid w:val="00B37866"/>
    <w:pPr>
      <w:tabs>
        <w:tab w:val="clear" w:pos="794"/>
        <w:tab w:val="clear" w:pos="1191"/>
        <w:tab w:val="clear" w:pos="1588"/>
        <w:tab w:val="clear" w:pos="1985"/>
      </w:tabs>
      <w:spacing w:before="0"/>
      <w:jc w:val="center"/>
    </w:pPr>
    <w:rPr>
      <w:sz w:val="18"/>
      <w:lang w:val="fr-FR"/>
    </w:rPr>
  </w:style>
  <w:style w:type="character" w:styleId="FootnoteReference">
    <w:name w:val="footnote reference"/>
    <w:basedOn w:val="DefaultParagraphFont"/>
    <w:uiPriority w:val="99"/>
    <w:rsid w:val="00F52741"/>
    <w:rPr>
      <w:rFonts w:asciiTheme="minorHAnsi" w:hAnsiTheme="minorHAnsi"/>
      <w:position w:val="6"/>
      <w:sz w:val="18"/>
    </w:rPr>
  </w:style>
  <w:style w:type="paragraph" w:styleId="FootnoteText">
    <w:name w:val="footnote text"/>
    <w:basedOn w:val="Normal"/>
    <w:link w:val="FootnoteTextChar"/>
    <w:uiPriority w:val="99"/>
    <w:rsid w:val="00B37866"/>
    <w:pPr>
      <w:keepLines/>
      <w:tabs>
        <w:tab w:val="left" w:pos="255"/>
      </w:tabs>
      <w:ind w:left="255" w:hanging="255"/>
    </w:pPr>
  </w:style>
  <w:style w:type="paragraph" w:styleId="NormalIndent">
    <w:name w:val="Normal Indent"/>
    <w:basedOn w:val="Normal"/>
    <w:rsid w:val="00B37866"/>
    <w:pPr>
      <w:ind w:left="794"/>
    </w:pPr>
  </w:style>
  <w:style w:type="paragraph" w:customStyle="1" w:styleId="enumlev1">
    <w:name w:val="enumlev1"/>
    <w:basedOn w:val="Normal"/>
    <w:rsid w:val="00B37866"/>
    <w:pPr>
      <w:spacing w:before="80"/>
      <w:ind w:left="794" w:hanging="794"/>
    </w:pPr>
  </w:style>
  <w:style w:type="paragraph" w:customStyle="1" w:styleId="enumlev2">
    <w:name w:val="enumlev2"/>
    <w:basedOn w:val="enumlev1"/>
    <w:rsid w:val="00B37866"/>
    <w:pPr>
      <w:ind w:left="1191" w:hanging="397"/>
    </w:pPr>
  </w:style>
  <w:style w:type="paragraph" w:customStyle="1" w:styleId="enumlev3">
    <w:name w:val="enumlev3"/>
    <w:basedOn w:val="enumlev2"/>
    <w:rsid w:val="00B37866"/>
    <w:pPr>
      <w:ind w:left="1588"/>
    </w:pPr>
  </w:style>
  <w:style w:type="paragraph" w:customStyle="1" w:styleId="Normalaftertitle">
    <w:name w:val="Normal after title"/>
    <w:basedOn w:val="Normal"/>
    <w:next w:val="Normal"/>
    <w:rsid w:val="00B37866"/>
    <w:pPr>
      <w:spacing w:before="280"/>
    </w:pPr>
  </w:style>
  <w:style w:type="paragraph" w:customStyle="1" w:styleId="Equation">
    <w:name w:val="Equation"/>
    <w:basedOn w:val="Normal"/>
    <w:rsid w:val="00B37866"/>
    <w:pPr>
      <w:tabs>
        <w:tab w:val="clear" w:pos="1191"/>
        <w:tab w:val="clear" w:pos="1588"/>
        <w:tab w:val="clear" w:pos="1985"/>
        <w:tab w:val="center" w:pos="4820"/>
        <w:tab w:val="right" w:pos="9639"/>
      </w:tabs>
    </w:pPr>
  </w:style>
  <w:style w:type="paragraph" w:customStyle="1" w:styleId="toc0">
    <w:name w:val="toc 0"/>
    <w:basedOn w:val="Normal"/>
    <w:next w:val="TOC1"/>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rsid w:val="00B37866"/>
    <w:pPr>
      <w:keepNext/>
      <w:keepLines/>
      <w:spacing w:before="480" w:after="80"/>
      <w:jc w:val="center"/>
    </w:pPr>
    <w:rPr>
      <w:caps/>
      <w:sz w:val="28"/>
    </w:rPr>
  </w:style>
  <w:style w:type="paragraph" w:customStyle="1" w:styleId="ASN1">
    <w:name w:val="ASN.1"/>
    <w:basedOn w:val="Normal"/>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rsid w:val="00B37866"/>
    <w:pPr>
      <w:spacing w:before="80"/>
    </w:pPr>
  </w:style>
  <w:style w:type="paragraph" w:styleId="TOC9">
    <w:name w:val="toc 9"/>
    <w:basedOn w:val="TOC3"/>
    <w:next w:val="Normal"/>
    <w:semiHidden/>
    <w:rsid w:val="00B37866"/>
  </w:style>
  <w:style w:type="paragraph" w:customStyle="1" w:styleId="Source">
    <w:name w:val="Source"/>
    <w:basedOn w:val="Normal"/>
    <w:next w:val="Normalaftertitle"/>
    <w:rsid w:val="00EC6FED"/>
    <w:pPr>
      <w:spacing w:before="240" w:after="240"/>
      <w:jc w:val="center"/>
    </w:pPr>
    <w:rPr>
      <w:b/>
      <w:sz w:val="28"/>
    </w:rPr>
  </w:style>
  <w:style w:type="paragraph" w:customStyle="1" w:styleId="Title1">
    <w:name w:val="Title 1"/>
    <w:basedOn w:val="Source"/>
    <w:next w:val="Title2"/>
    <w:rsid w:val="00EC6FED"/>
    <w:pPr>
      <w:tabs>
        <w:tab w:val="clear" w:pos="794"/>
        <w:tab w:val="clear" w:pos="1191"/>
        <w:tab w:val="clear" w:pos="1588"/>
        <w:tab w:val="clear" w:pos="1985"/>
        <w:tab w:val="left" w:pos="567"/>
        <w:tab w:val="left" w:pos="1134"/>
        <w:tab w:val="left" w:pos="1701"/>
        <w:tab w:val="left" w:pos="2268"/>
        <w:tab w:val="left" w:pos="2835"/>
      </w:tabs>
      <w:spacing w:before="120" w:after="120"/>
    </w:pPr>
    <w:rPr>
      <w:rFonts w:cs="Times New Roman Bold"/>
      <w:b w:val="0"/>
    </w:rPr>
  </w:style>
  <w:style w:type="paragraph" w:customStyle="1" w:styleId="Title2">
    <w:name w:val="Title 2"/>
    <w:basedOn w:val="Title1"/>
    <w:next w:val="Title3"/>
    <w:rsid w:val="00B37866"/>
  </w:style>
  <w:style w:type="paragraph" w:customStyle="1" w:styleId="Title3">
    <w:name w:val="Title 3"/>
    <w:basedOn w:val="Title2"/>
    <w:next w:val="Title4"/>
    <w:rsid w:val="00B37866"/>
  </w:style>
  <w:style w:type="paragraph" w:customStyle="1" w:styleId="Title4">
    <w:name w:val="Title 4"/>
    <w:basedOn w:val="Title3"/>
    <w:next w:val="Heading1"/>
    <w:rsid w:val="00B37866"/>
  </w:style>
  <w:style w:type="paragraph" w:customStyle="1" w:styleId="FirstFooter">
    <w:name w:val="FirstFooter"/>
    <w:basedOn w:val="Footer"/>
    <w:rsid w:val="00B37866"/>
    <w:pPr>
      <w:tabs>
        <w:tab w:val="clear" w:pos="5954"/>
        <w:tab w:val="clear" w:pos="9639"/>
      </w:tabs>
      <w:overflowPunct/>
      <w:autoSpaceDE/>
      <w:autoSpaceDN/>
      <w:adjustRightInd/>
      <w:spacing w:before="40"/>
      <w:textAlignment w:val="auto"/>
    </w:pPr>
    <w:rPr>
      <w:caps w:val="0"/>
      <w:noProof w:val="0"/>
    </w:rPr>
  </w:style>
  <w:style w:type="paragraph" w:customStyle="1" w:styleId="Annexref">
    <w:name w:val="Annex_ref"/>
    <w:basedOn w:val="Normal"/>
    <w:next w:val="Annextitle"/>
    <w:rsid w:val="00B37866"/>
    <w:pPr>
      <w:keepNext/>
      <w:keepLines/>
      <w:spacing w:after="280"/>
      <w:jc w:val="center"/>
    </w:pPr>
  </w:style>
  <w:style w:type="paragraph" w:customStyle="1" w:styleId="Annextitle">
    <w:name w:val="Annex_title"/>
    <w:basedOn w:val="Normal"/>
    <w:next w:val="Normalaftertitle"/>
    <w:rsid w:val="00F52741"/>
    <w:pPr>
      <w:keepNext/>
      <w:keepLines/>
      <w:spacing w:before="240" w:after="280"/>
      <w:jc w:val="center"/>
    </w:pPr>
    <w:rPr>
      <w:b/>
      <w:sz w:val="28"/>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rsid w:val="00F52741"/>
    <w:rPr>
      <w:rFonts w:asciiTheme="minorHAnsi" w:hAnsiTheme="minorHAnsi"/>
    </w:rPr>
  </w:style>
  <w:style w:type="paragraph" w:customStyle="1" w:styleId="AppendixNo">
    <w:name w:val="Appendix_No"/>
    <w:basedOn w:val="AnnexNo"/>
    <w:next w:val="Annexref"/>
    <w:rsid w:val="00B37866"/>
  </w:style>
  <w:style w:type="paragraph" w:customStyle="1" w:styleId="Appendixref">
    <w:name w:val="Appendix_ref"/>
    <w:basedOn w:val="Annexref"/>
    <w:next w:val="Annextitle"/>
    <w:rsid w:val="00B37866"/>
  </w:style>
  <w:style w:type="paragraph" w:customStyle="1" w:styleId="Appendixtitle">
    <w:name w:val="Appendix_title"/>
    <w:basedOn w:val="Annextitle"/>
    <w:next w:val="Normalaftertitle"/>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rsid w:val="00F52741"/>
    <w:pPr>
      <w:spacing w:before="480"/>
      <w:jc w:val="center"/>
    </w:pPr>
    <w:rPr>
      <w:b/>
      <w:sz w:val="28"/>
    </w:rPr>
  </w:style>
  <w:style w:type="paragraph" w:customStyle="1" w:styleId="ArtNo">
    <w:name w:val="Art_No"/>
    <w:basedOn w:val="Normal"/>
    <w:next w:val="Arttitle"/>
    <w:rsid w:val="00B37866"/>
    <w:pPr>
      <w:keepNext/>
      <w:keepLines/>
      <w:spacing w:before="480"/>
      <w:jc w:val="center"/>
    </w:pPr>
    <w:rPr>
      <w:caps/>
      <w:sz w:val="28"/>
    </w:rPr>
  </w:style>
  <w:style w:type="paragraph" w:customStyle="1" w:styleId="Arttitle">
    <w:name w:val="Art_title"/>
    <w:basedOn w:val="Normal"/>
    <w:next w:val="Normalaftertitle"/>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rsid w:val="00B37866"/>
    <w:pPr>
      <w:keepNext/>
      <w:keepLines/>
      <w:spacing w:before="160"/>
      <w:ind w:left="794"/>
    </w:pPr>
    <w:rPr>
      <w:i/>
    </w:rPr>
  </w:style>
  <w:style w:type="paragraph" w:customStyle="1" w:styleId="ChapNo">
    <w:name w:val="Chap_No"/>
    <w:basedOn w:val="ArtNo"/>
    <w:next w:val="Chaptitle"/>
    <w:rsid w:val="00F52741"/>
    <w:rPr>
      <w:b/>
    </w:rPr>
  </w:style>
  <w:style w:type="paragraph" w:customStyle="1" w:styleId="Chaptitle">
    <w:name w:val="Chap_title"/>
    <w:basedOn w:val="Arttitle"/>
    <w:next w:val="Normalaftertitle"/>
    <w:rsid w:val="00B37866"/>
  </w:style>
  <w:style w:type="paragraph" w:customStyle="1" w:styleId="ddate">
    <w:name w:val="ddate"/>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uiPriority w:val="99"/>
    <w:semiHidden/>
    <w:rsid w:val="00B37866"/>
    <w:rPr>
      <w:vertAlign w:val="superscript"/>
    </w:rPr>
  </w:style>
  <w:style w:type="paragraph" w:customStyle="1" w:styleId="Equationlegend">
    <w:name w:val="Equation_legend"/>
    <w:basedOn w:val="Normal"/>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37866"/>
    <w:pPr>
      <w:keepNext/>
      <w:keepLines/>
      <w:spacing w:before="480" w:after="120"/>
      <w:jc w:val="center"/>
    </w:pPr>
    <w:rPr>
      <w:caps/>
    </w:rPr>
  </w:style>
  <w:style w:type="paragraph" w:customStyle="1" w:styleId="Figuretitle">
    <w:name w:val="Figure_title"/>
    <w:basedOn w:val="Tabletitle"/>
    <w:next w:val="Normal"/>
    <w:rsid w:val="00F52741"/>
    <w:pPr>
      <w:keepNext w:val="0"/>
      <w:spacing w:after="480"/>
    </w:pPr>
  </w:style>
  <w:style w:type="paragraph" w:customStyle="1" w:styleId="Tabletitle">
    <w:name w:val="Table_title"/>
    <w:basedOn w:val="Normal"/>
    <w:next w:val="Tabletext"/>
    <w:rsid w:val="00F52741"/>
    <w:pPr>
      <w:keepNext/>
      <w:keepLines/>
      <w:spacing w:before="0" w:after="120"/>
      <w:jc w:val="center"/>
    </w:pPr>
    <w:rPr>
      <w:b/>
    </w:rPr>
  </w:style>
  <w:style w:type="paragraph" w:customStyle="1" w:styleId="Tabletext">
    <w:name w:val="Table_text"/>
    <w:basedOn w:val="Normal"/>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B37866"/>
    <w:pPr>
      <w:keepNext w:val="0"/>
    </w:pPr>
  </w:style>
  <w:style w:type="paragraph" w:customStyle="1" w:styleId="Headingb">
    <w:name w:val="Heading_b"/>
    <w:basedOn w:val="Normal"/>
    <w:next w:val="Normal"/>
    <w:rsid w:val="00F52741"/>
    <w:pPr>
      <w:keepNext/>
      <w:spacing w:before="160"/>
    </w:pPr>
    <w:rPr>
      <w:b/>
    </w:rPr>
  </w:style>
  <w:style w:type="paragraph" w:customStyle="1" w:styleId="Headingi">
    <w:name w:val="Heading_i"/>
    <w:basedOn w:val="Normal"/>
    <w:next w:val="Normal"/>
    <w:rsid w:val="00F52741"/>
    <w:pPr>
      <w:keepNext/>
      <w:spacing w:before="160"/>
    </w:pPr>
    <w:rPr>
      <w:i/>
    </w:rPr>
  </w:style>
  <w:style w:type="paragraph" w:customStyle="1" w:styleId="PartNo">
    <w:name w:val="Part_No"/>
    <w:basedOn w:val="AnnexNo"/>
    <w:next w:val="Partref"/>
    <w:rsid w:val="00B37866"/>
  </w:style>
  <w:style w:type="paragraph" w:customStyle="1" w:styleId="Partref">
    <w:name w:val="Part_ref"/>
    <w:basedOn w:val="Annexref"/>
    <w:next w:val="Parttitle"/>
    <w:rsid w:val="00B37866"/>
  </w:style>
  <w:style w:type="paragraph" w:customStyle="1" w:styleId="Parttitle">
    <w:name w:val="Part_title"/>
    <w:basedOn w:val="Annextitle"/>
    <w:next w:val="Normalaftertitle"/>
    <w:rsid w:val="00B37866"/>
  </w:style>
  <w:style w:type="paragraph" w:customStyle="1" w:styleId="RecNo">
    <w:name w:val="Rec_No"/>
    <w:basedOn w:val="Normal"/>
    <w:next w:val="Rectitle"/>
    <w:rsid w:val="00B37866"/>
    <w:pPr>
      <w:keepNext/>
      <w:keepLines/>
      <w:spacing w:before="480"/>
      <w:jc w:val="center"/>
    </w:pPr>
    <w:rPr>
      <w:caps/>
      <w:sz w:val="28"/>
    </w:rPr>
  </w:style>
  <w:style w:type="paragraph" w:customStyle="1" w:styleId="Rectitle">
    <w:name w:val="Rec_title"/>
    <w:basedOn w:val="RecNo"/>
    <w:next w:val="Recref"/>
    <w:rsid w:val="00F52741"/>
    <w:pPr>
      <w:spacing w:before="240"/>
    </w:pPr>
    <w:rPr>
      <w:b/>
      <w:caps w:val="0"/>
    </w:rPr>
  </w:style>
  <w:style w:type="paragraph" w:customStyle="1" w:styleId="Recref">
    <w:name w:val="Rec_ref"/>
    <w:basedOn w:val="Rectitle"/>
    <w:next w:val="Recdate"/>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rsid w:val="00B37866"/>
    <w:pPr>
      <w:jc w:val="right"/>
    </w:pPr>
    <w:rPr>
      <w:sz w:val="22"/>
    </w:rPr>
  </w:style>
  <w:style w:type="paragraph" w:customStyle="1" w:styleId="Questiondate">
    <w:name w:val="Question_date"/>
    <w:basedOn w:val="Recdate"/>
    <w:next w:val="Normalaftertitle"/>
    <w:rsid w:val="00F52741"/>
  </w:style>
  <w:style w:type="paragraph" w:customStyle="1" w:styleId="QuestionNo">
    <w:name w:val="Question_No"/>
    <w:basedOn w:val="RecNo"/>
    <w:next w:val="Questiontitle"/>
    <w:rsid w:val="00B37866"/>
  </w:style>
  <w:style w:type="paragraph" w:customStyle="1" w:styleId="Questiontitle">
    <w:name w:val="Question_title"/>
    <w:basedOn w:val="Rectitle"/>
    <w:next w:val="Questionref"/>
    <w:rsid w:val="00F52741"/>
  </w:style>
  <w:style w:type="paragraph" w:customStyle="1" w:styleId="Questionref">
    <w:name w:val="Question_ref"/>
    <w:basedOn w:val="Recref"/>
    <w:next w:val="Questiondate"/>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rsid w:val="00B37866"/>
    <w:pPr>
      <w:ind w:left="794" w:hanging="794"/>
    </w:pPr>
  </w:style>
  <w:style w:type="paragraph" w:customStyle="1" w:styleId="Reftitle">
    <w:name w:val="Ref_title"/>
    <w:basedOn w:val="Normal"/>
    <w:next w:val="Reftext"/>
    <w:rsid w:val="00B37866"/>
    <w:pPr>
      <w:spacing w:before="480"/>
      <w:jc w:val="center"/>
    </w:pPr>
    <w:rPr>
      <w:caps/>
    </w:rPr>
  </w:style>
  <w:style w:type="paragraph" w:customStyle="1" w:styleId="Repdate">
    <w:name w:val="Rep_date"/>
    <w:basedOn w:val="Recdate"/>
    <w:next w:val="Normalaftertitle"/>
    <w:rsid w:val="00B37866"/>
  </w:style>
  <w:style w:type="paragraph" w:customStyle="1" w:styleId="RepNo">
    <w:name w:val="Rep_No"/>
    <w:basedOn w:val="RecNo"/>
    <w:next w:val="Reptitle"/>
    <w:rsid w:val="00B37866"/>
  </w:style>
  <w:style w:type="paragraph" w:customStyle="1" w:styleId="Reptitle">
    <w:name w:val="Rep_title"/>
    <w:basedOn w:val="Rectitle"/>
    <w:next w:val="Repref"/>
    <w:rsid w:val="00B37866"/>
  </w:style>
  <w:style w:type="paragraph" w:customStyle="1" w:styleId="Repref">
    <w:name w:val="Rep_ref"/>
    <w:basedOn w:val="Recref"/>
    <w:next w:val="Repdate"/>
    <w:rsid w:val="00B37866"/>
  </w:style>
  <w:style w:type="paragraph" w:customStyle="1" w:styleId="Resdate">
    <w:name w:val="Res_date"/>
    <w:basedOn w:val="Recdate"/>
    <w:next w:val="Normalaftertitle"/>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rsid w:val="00B37866"/>
  </w:style>
  <w:style w:type="paragraph" w:customStyle="1" w:styleId="Restitle">
    <w:name w:val="Res_title"/>
    <w:basedOn w:val="Rectitle"/>
    <w:next w:val="Resref"/>
    <w:rsid w:val="00B37866"/>
  </w:style>
  <w:style w:type="paragraph" w:customStyle="1" w:styleId="Resref">
    <w:name w:val="Res_ref"/>
    <w:basedOn w:val="Recref"/>
    <w:next w:val="Resdate"/>
    <w:rsid w:val="00B37866"/>
  </w:style>
  <w:style w:type="paragraph" w:customStyle="1" w:styleId="SectionNo">
    <w:name w:val="Section_No"/>
    <w:basedOn w:val="AnnexNo"/>
    <w:next w:val="Sectiontitle"/>
    <w:rsid w:val="00B37866"/>
  </w:style>
  <w:style w:type="paragraph" w:customStyle="1" w:styleId="Sectiontitle">
    <w:name w:val="Section_title"/>
    <w:basedOn w:val="Annextitle"/>
    <w:next w:val="Normalaftertitle"/>
    <w:rsid w:val="00B37866"/>
  </w:style>
  <w:style w:type="paragraph" w:customStyle="1" w:styleId="SpecialFooter">
    <w:name w:val="Special Footer"/>
    <w:basedOn w:val="Footer"/>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rsid w:val="00B37866"/>
    <w:pPr>
      <w:keepNext/>
      <w:spacing w:before="80" w:after="80"/>
      <w:jc w:val="center"/>
    </w:pPr>
    <w:rPr>
      <w:b/>
    </w:rPr>
  </w:style>
  <w:style w:type="paragraph" w:customStyle="1" w:styleId="Tablelegend">
    <w:name w:val="Table_legend"/>
    <w:basedOn w:val="Tabletext"/>
    <w:rsid w:val="00B37866"/>
    <w:pPr>
      <w:spacing w:before="120"/>
    </w:pPr>
  </w:style>
  <w:style w:type="paragraph" w:customStyle="1" w:styleId="TableNo">
    <w:name w:val="Table_No"/>
    <w:basedOn w:val="Normal"/>
    <w:next w:val="Tabletitle"/>
    <w:rsid w:val="00B37866"/>
    <w:pPr>
      <w:keepNext/>
      <w:spacing w:before="560" w:after="120"/>
      <w:jc w:val="center"/>
    </w:pPr>
    <w:rPr>
      <w:caps/>
    </w:rPr>
  </w:style>
  <w:style w:type="paragraph" w:customStyle="1" w:styleId="Tableref">
    <w:name w:val="Table_ref"/>
    <w:basedOn w:val="Normal"/>
    <w:next w:val="Tabletitle"/>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character" w:customStyle="1" w:styleId="HeaderChar">
    <w:name w:val="Header Char"/>
    <w:basedOn w:val="DefaultParagraphFont"/>
    <w:link w:val="Header"/>
    <w:uiPriority w:val="99"/>
    <w:rsid w:val="00005791"/>
    <w:rPr>
      <w:rFonts w:ascii="Times New Roman" w:hAnsi="Times New Roman"/>
      <w:sz w:val="18"/>
      <w:lang w:val="fr-FR" w:eastAsia="en-US"/>
    </w:rPr>
  </w:style>
  <w:style w:type="character" w:customStyle="1" w:styleId="FooterChar">
    <w:name w:val="Footer Char"/>
    <w:basedOn w:val="DefaultParagraphFont"/>
    <w:link w:val="Footer"/>
    <w:uiPriority w:val="99"/>
    <w:rsid w:val="0056423B"/>
    <w:rPr>
      <w:rFonts w:ascii="Times New Roman" w:hAnsi="Times New Roman"/>
      <w:caps/>
      <w:noProof/>
      <w:sz w:val="16"/>
      <w:lang w:val="fr-FR" w:eastAsia="en-US"/>
    </w:rPr>
  </w:style>
  <w:style w:type="table" w:styleId="TableGrid">
    <w:name w:val="Table Grid"/>
    <w:basedOn w:val="TableNormal"/>
    <w:uiPriority w:val="59"/>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
    <w:basedOn w:val="DefaultParagraphFont"/>
    <w:uiPriority w:val="99"/>
    <w:rsid w:val="00BA0009"/>
    <w:rPr>
      <w:color w:val="0000FF" w:themeColor="hyperlink"/>
      <w:u w:val="single"/>
    </w:rPr>
  </w:style>
  <w:style w:type="paragraph" w:customStyle="1" w:styleId="BDTLogo">
    <w:name w:val="BDT_Logo"/>
    <w:uiPriority w:val="99"/>
    <w:rsid w:val="00C72713"/>
    <w:pPr>
      <w:jc w:val="center"/>
    </w:pPr>
    <w:rPr>
      <w:rFonts w:ascii="Calibri" w:eastAsia="SimHei" w:hAnsi="Calibri" w:cs="Simplified Arabic"/>
      <w:sz w:val="22"/>
      <w:szCs w:val="28"/>
      <w:lang w:val="en-GB" w:eastAsia="en-US"/>
    </w:rPr>
  </w:style>
  <w:style w:type="paragraph" w:styleId="ListParagraph">
    <w:name w:val="List Paragraph"/>
    <w:basedOn w:val="Normal"/>
    <w:uiPriority w:val="34"/>
    <w:qFormat/>
    <w:rsid w:val="00A721F4"/>
    <w:pPr>
      <w:tabs>
        <w:tab w:val="clear" w:pos="794"/>
        <w:tab w:val="clear" w:pos="1191"/>
        <w:tab w:val="clear" w:pos="1588"/>
        <w:tab w:val="clear" w:pos="1985"/>
        <w:tab w:val="left" w:pos="1134"/>
        <w:tab w:val="left" w:pos="1871"/>
        <w:tab w:val="left" w:pos="2268"/>
      </w:tabs>
      <w:ind w:left="720"/>
      <w:contextualSpacing/>
    </w:pPr>
  </w:style>
  <w:style w:type="paragraph" w:customStyle="1" w:styleId="AppArtNo">
    <w:name w:val="App_Art_No"/>
    <w:basedOn w:val="ArtNo"/>
    <w:qFormat/>
    <w:rsid w:val="00A50CA0"/>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qFormat/>
    <w:rsid w:val="00A50CA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A50CA0"/>
    <w:pPr>
      <w:tabs>
        <w:tab w:val="clear" w:pos="794"/>
        <w:tab w:val="clear" w:pos="1191"/>
        <w:tab w:val="clear" w:pos="1588"/>
        <w:tab w:val="clear" w:pos="1985"/>
        <w:tab w:val="left" w:pos="1134"/>
        <w:tab w:val="left" w:pos="1871"/>
        <w:tab w:val="left" w:pos="2268"/>
      </w:tabs>
    </w:pPr>
  </w:style>
  <w:style w:type="paragraph" w:customStyle="1" w:styleId="Volumetitle">
    <w:name w:val="Volume_title"/>
    <w:basedOn w:val="Normal"/>
    <w:qFormat/>
    <w:rsid w:val="00A50CA0"/>
    <w:pPr>
      <w:tabs>
        <w:tab w:val="clear" w:pos="794"/>
        <w:tab w:val="clear" w:pos="1191"/>
        <w:tab w:val="clear" w:pos="1588"/>
        <w:tab w:val="clear" w:pos="1985"/>
        <w:tab w:val="left" w:pos="1871"/>
      </w:tabs>
      <w:overflowPunct/>
      <w:autoSpaceDE/>
      <w:autoSpaceDN/>
      <w:adjustRightInd/>
      <w:spacing w:before="0"/>
      <w:textAlignment w:val="auto"/>
    </w:pPr>
    <w:rPr>
      <w:b/>
      <w:sz w:val="28"/>
      <w:lang w:val="en-US"/>
    </w:rPr>
  </w:style>
  <w:style w:type="paragraph" w:customStyle="1" w:styleId="Proposal">
    <w:name w:val="Proposal"/>
    <w:basedOn w:val="Normal"/>
    <w:next w:val="Normal"/>
    <w:rsid w:val="00904230"/>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qFormat/>
    <w:rsid w:val="005D2C3A"/>
    <w:pPr>
      <w:tabs>
        <w:tab w:val="clear" w:pos="794"/>
        <w:tab w:val="clear" w:pos="1191"/>
        <w:tab w:val="left" w:pos="1134"/>
        <w:tab w:val="left" w:pos="1871"/>
      </w:tabs>
    </w:pPr>
  </w:style>
  <w:style w:type="character" w:styleId="FollowedHyperlink">
    <w:name w:val="FollowedHyperlink"/>
    <w:basedOn w:val="DefaultParagraphFont"/>
    <w:uiPriority w:val="99"/>
    <w:semiHidden/>
    <w:unhideWhenUsed/>
    <w:rsid w:val="00AD4677"/>
    <w:rPr>
      <w:color w:val="800080" w:themeColor="followedHyperlink"/>
      <w:u w:val="single"/>
    </w:rPr>
  </w:style>
  <w:style w:type="character" w:customStyle="1" w:styleId="Heading2Char">
    <w:name w:val="Heading 2 Char"/>
    <w:basedOn w:val="DefaultParagraphFont"/>
    <w:link w:val="Heading2"/>
    <w:uiPriority w:val="9"/>
    <w:rsid w:val="006B3273"/>
    <w:rPr>
      <w:rFonts w:asciiTheme="minorHAnsi" w:hAnsiTheme="minorHAnsi"/>
      <w:b/>
      <w:sz w:val="24"/>
      <w:lang w:val="en-GB" w:eastAsia="en-US"/>
    </w:rPr>
  </w:style>
  <w:style w:type="character" w:styleId="CommentReference">
    <w:name w:val="annotation reference"/>
    <w:basedOn w:val="DefaultParagraphFont"/>
    <w:uiPriority w:val="99"/>
    <w:semiHidden/>
    <w:unhideWhenUsed/>
    <w:rsid w:val="006B3273"/>
    <w:rPr>
      <w:sz w:val="16"/>
      <w:szCs w:val="16"/>
    </w:rPr>
  </w:style>
  <w:style w:type="paragraph" w:styleId="CommentText">
    <w:name w:val="annotation text"/>
    <w:basedOn w:val="Normal"/>
    <w:link w:val="CommentTextChar"/>
    <w:uiPriority w:val="99"/>
    <w:unhideWhenUsed/>
    <w:rsid w:val="006B3273"/>
    <w:pPr>
      <w:tabs>
        <w:tab w:val="clear" w:pos="794"/>
        <w:tab w:val="clear" w:pos="1191"/>
        <w:tab w:val="clear" w:pos="1588"/>
        <w:tab w:val="clear" w:pos="1985"/>
      </w:tabs>
      <w:overflowPunct/>
      <w:autoSpaceDE/>
      <w:autoSpaceDN/>
      <w:adjustRightInd/>
      <w:spacing w:before="0" w:after="160"/>
      <w:textAlignment w:val="auto"/>
    </w:pPr>
    <w:rPr>
      <w:rFonts w:eastAsiaTheme="minorHAnsi" w:cstheme="minorBidi"/>
      <w:kern w:val="2"/>
      <w:sz w:val="20"/>
      <w14:ligatures w14:val="standardContextual"/>
    </w:rPr>
  </w:style>
  <w:style w:type="character" w:customStyle="1" w:styleId="CommentTextChar">
    <w:name w:val="Comment Text Char"/>
    <w:basedOn w:val="DefaultParagraphFont"/>
    <w:link w:val="CommentText"/>
    <w:uiPriority w:val="99"/>
    <w:rsid w:val="006B3273"/>
    <w:rPr>
      <w:rFonts w:asciiTheme="minorHAnsi" w:eastAsiaTheme="minorHAnsi" w:hAnsiTheme="minorHAnsi" w:cstheme="minorBidi"/>
      <w:kern w:val="2"/>
      <w:lang w:val="en-GB" w:eastAsia="en-US"/>
      <w14:ligatures w14:val="standardContextual"/>
    </w:rPr>
  </w:style>
  <w:style w:type="character" w:customStyle="1" w:styleId="Colored-Normal">
    <w:name w:val="Colored - Normal"/>
    <w:rsid w:val="006B3273"/>
    <w:rPr>
      <w:color w:val="0070C0"/>
    </w:rPr>
  </w:style>
  <w:style w:type="paragraph" w:customStyle="1" w:styleId="Figuretitle0">
    <w:name w:val="Figure title"/>
    <w:basedOn w:val="Normal"/>
    <w:link w:val="FiguretitleChar"/>
    <w:rsid w:val="006B3273"/>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pPr>
    <w:rPr>
      <w:rFonts w:ascii="AvenirNext LT Pro Light" w:eastAsiaTheme="majorEastAsia" w:hAnsi="AvenirNext LT Pro Light" w:cs="Calibri"/>
      <w:color w:val="4F81BD" w:themeColor="accent1"/>
      <w:spacing w:val="-10"/>
      <w:kern w:val="28"/>
      <w:szCs w:val="24"/>
      <w:lang w:val="en-US"/>
    </w:rPr>
  </w:style>
  <w:style w:type="character" w:customStyle="1" w:styleId="FiguretitleChar">
    <w:name w:val="Figure title Char"/>
    <w:basedOn w:val="DefaultParagraphFont"/>
    <w:link w:val="Figuretitle0"/>
    <w:locked/>
    <w:rsid w:val="006B3273"/>
    <w:rPr>
      <w:rFonts w:ascii="AvenirNext LT Pro Light" w:eastAsiaTheme="majorEastAsia" w:hAnsi="AvenirNext LT Pro Light" w:cs="Calibri"/>
      <w:color w:val="4F81BD" w:themeColor="accent1"/>
      <w:spacing w:val="-10"/>
      <w:kern w:val="28"/>
      <w:sz w:val="24"/>
      <w:szCs w:val="24"/>
      <w:lang w:eastAsia="en-US"/>
    </w:rPr>
  </w:style>
  <w:style w:type="paragraph" w:customStyle="1" w:styleId="Sourcetext">
    <w:name w:val="Source text"/>
    <w:basedOn w:val="Normal"/>
    <w:autoRedefine/>
    <w:qFormat/>
    <w:rsid w:val="00490BBD"/>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after="120"/>
      <w:textAlignment w:val="center"/>
    </w:pPr>
    <w:rPr>
      <w:rFonts w:eastAsiaTheme="minorHAnsi" w:cstheme="minorHAnsi"/>
      <w:kern w:val="2"/>
      <w:sz w:val="18"/>
      <w:szCs w:val="18"/>
      <w:lang w:val="es-ES"/>
      <w14:ligatures w14:val="standardContextual"/>
    </w:rPr>
  </w:style>
  <w:style w:type="character" w:customStyle="1" w:styleId="FootnoteTextChar">
    <w:name w:val="Footnote Text Char"/>
    <w:basedOn w:val="DefaultParagraphFont"/>
    <w:link w:val="FootnoteText"/>
    <w:uiPriority w:val="99"/>
    <w:rsid w:val="006B3273"/>
    <w:rPr>
      <w:rFonts w:asciiTheme="minorHAnsi" w:hAnsiTheme="minorHAnsi"/>
      <w:sz w:val="24"/>
      <w:lang w:val="en-GB" w:eastAsia="en-US"/>
    </w:rPr>
  </w:style>
  <w:style w:type="character" w:styleId="Mention">
    <w:name w:val="Mention"/>
    <w:basedOn w:val="DefaultParagraphFont"/>
    <w:uiPriority w:val="99"/>
    <w:unhideWhenUsed/>
    <w:rsid w:val="006B3273"/>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6B3273"/>
    <w:pPr>
      <w:tabs>
        <w:tab w:val="left" w:pos="794"/>
        <w:tab w:val="left" w:pos="1191"/>
        <w:tab w:val="left" w:pos="1588"/>
        <w:tab w:val="left" w:pos="1985"/>
      </w:tabs>
      <w:overflowPunct w:val="0"/>
      <w:autoSpaceDE w:val="0"/>
      <w:autoSpaceDN w:val="0"/>
      <w:adjustRightInd w:val="0"/>
      <w:spacing w:before="120" w:after="0"/>
      <w:textAlignment w:val="baseline"/>
    </w:pPr>
    <w:rPr>
      <w:rFonts w:eastAsia="Times New Roman" w:cs="Times New Roman"/>
      <w:b/>
      <w:bCs/>
      <w:kern w:val="0"/>
      <w14:ligatures w14:val="none"/>
    </w:rPr>
  </w:style>
  <w:style w:type="character" w:customStyle="1" w:styleId="CommentSubjectChar">
    <w:name w:val="Comment Subject Char"/>
    <w:basedOn w:val="CommentTextChar"/>
    <w:link w:val="CommentSubject"/>
    <w:uiPriority w:val="99"/>
    <w:semiHidden/>
    <w:rsid w:val="006B3273"/>
    <w:rPr>
      <w:rFonts w:asciiTheme="minorHAnsi" w:eastAsiaTheme="minorHAnsi" w:hAnsiTheme="minorHAnsi" w:cstheme="minorBidi"/>
      <w:b/>
      <w:bCs/>
      <w:kern w:val="2"/>
      <w:lang w:val="en-GB" w:eastAsia="en-US"/>
      <w14:ligatures w14:val="standardContextual"/>
    </w:rPr>
  </w:style>
  <w:style w:type="paragraph" w:styleId="Title">
    <w:name w:val="Title"/>
    <w:basedOn w:val="Normal"/>
    <w:next w:val="Normal"/>
    <w:link w:val="TitleChar"/>
    <w:uiPriority w:val="10"/>
    <w:qFormat/>
    <w:rsid w:val="006B327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3273"/>
    <w:rPr>
      <w:rFonts w:asciiTheme="majorHAnsi" w:eastAsiaTheme="majorEastAsia" w:hAnsiTheme="majorHAnsi" w:cstheme="majorBidi"/>
      <w:spacing w:val="-10"/>
      <w:kern w:val="28"/>
      <w:sz w:val="56"/>
      <w:szCs w:val="56"/>
      <w:lang w:val="en-GB" w:eastAsia="en-US"/>
    </w:rPr>
  </w:style>
  <w:style w:type="numbering" w:customStyle="1" w:styleId="NoList1">
    <w:name w:val="No List1"/>
    <w:next w:val="NoList"/>
    <w:uiPriority w:val="99"/>
    <w:semiHidden/>
    <w:unhideWhenUsed/>
    <w:rsid w:val="006B3273"/>
  </w:style>
  <w:style w:type="character" w:customStyle="1" w:styleId="Heading1Char">
    <w:name w:val="Heading 1 Char"/>
    <w:basedOn w:val="DefaultParagraphFont"/>
    <w:link w:val="Heading1"/>
    <w:uiPriority w:val="9"/>
    <w:rsid w:val="006B3273"/>
    <w:rPr>
      <w:rFonts w:asciiTheme="minorHAnsi" w:hAnsiTheme="minorHAnsi"/>
      <w:b/>
      <w:sz w:val="28"/>
      <w:lang w:val="en-GB" w:eastAsia="en-US"/>
    </w:rPr>
  </w:style>
  <w:style w:type="character" w:customStyle="1" w:styleId="Heading3Char">
    <w:name w:val="Heading 3 Char"/>
    <w:basedOn w:val="DefaultParagraphFont"/>
    <w:link w:val="Heading3"/>
    <w:uiPriority w:val="9"/>
    <w:rsid w:val="006B3273"/>
    <w:rPr>
      <w:rFonts w:asciiTheme="minorHAnsi" w:hAnsiTheme="minorHAnsi"/>
      <w:b/>
      <w:sz w:val="24"/>
      <w:lang w:val="en-GB" w:eastAsia="en-US"/>
    </w:rPr>
  </w:style>
  <w:style w:type="character" w:customStyle="1" w:styleId="Heading4Char">
    <w:name w:val="Heading 4 Char"/>
    <w:basedOn w:val="DefaultParagraphFont"/>
    <w:link w:val="Heading4"/>
    <w:uiPriority w:val="9"/>
    <w:rsid w:val="006B3273"/>
    <w:rPr>
      <w:rFonts w:asciiTheme="minorHAnsi" w:hAnsiTheme="minorHAnsi"/>
      <w:b/>
      <w:sz w:val="24"/>
      <w:lang w:val="en-GB" w:eastAsia="en-US"/>
    </w:rPr>
  </w:style>
  <w:style w:type="character" w:customStyle="1" w:styleId="Heading5Char">
    <w:name w:val="Heading 5 Char"/>
    <w:basedOn w:val="DefaultParagraphFont"/>
    <w:link w:val="Heading5"/>
    <w:uiPriority w:val="9"/>
    <w:rsid w:val="006B3273"/>
    <w:rPr>
      <w:rFonts w:asciiTheme="minorHAnsi" w:hAnsiTheme="minorHAnsi"/>
      <w:b/>
      <w:sz w:val="24"/>
      <w:lang w:val="en-GB" w:eastAsia="en-US"/>
    </w:rPr>
  </w:style>
  <w:style w:type="character" w:customStyle="1" w:styleId="Heading6Char">
    <w:name w:val="Heading 6 Char"/>
    <w:basedOn w:val="DefaultParagraphFont"/>
    <w:link w:val="Heading6"/>
    <w:uiPriority w:val="9"/>
    <w:rsid w:val="006B3273"/>
    <w:rPr>
      <w:rFonts w:asciiTheme="minorHAnsi" w:hAnsiTheme="minorHAnsi"/>
      <w:b/>
      <w:sz w:val="24"/>
      <w:lang w:val="en-GB" w:eastAsia="en-US"/>
    </w:rPr>
  </w:style>
  <w:style w:type="character" w:customStyle="1" w:styleId="Heading7Char">
    <w:name w:val="Heading 7 Char"/>
    <w:basedOn w:val="DefaultParagraphFont"/>
    <w:link w:val="Heading7"/>
    <w:uiPriority w:val="9"/>
    <w:rsid w:val="006B3273"/>
    <w:rPr>
      <w:rFonts w:asciiTheme="minorHAnsi" w:hAnsiTheme="minorHAnsi"/>
      <w:b/>
      <w:sz w:val="24"/>
      <w:lang w:val="en-GB" w:eastAsia="en-US"/>
    </w:rPr>
  </w:style>
  <w:style w:type="character" w:customStyle="1" w:styleId="Heading8Char">
    <w:name w:val="Heading 8 Char"/>
    <w:basedOn w:val="DefaultParagraphFont"/>
    <w:link w:val="Heading8"/>
    <w:uiPriority w:val="9"/>
    <w:rsid w:val="006B3273"/>
    <w:rPr>
      <w:rFonts w:asciiTheme="minorHAnsi" w:hAnsiTheme="minorHAnsi"/>
      <w:b/>
      <w:sz w:val="24"/>
      <w:lang w:val="en-GB" w:eastAsia="en-US"/>
    </w:rPr>
  </w:style>
  <w:style w:type="character" w:customStyle="1" w:styleId="Heading9Char">
    <w:name w:val="Heading 9 Char"/>
    <w:basedOn w:val="DefaultParagraphFont"/>
    <w:link w:val="Heading9"/>
    <w:uiPriority w:val="9"/>
    <w:rsid w:val="006B3273"/>
    <w:rPr>
      <w:rFonts w:asciiTheme="minorHAnsi" w:hAnsiTheme="minorHAnsi"/>
      <w:b/>
      <w:sz w:val="24"/>
      <w:lang w:val="en-GB" w:eastAsia="en-US"/>
    </w:rPr>
  </w:style>
  <w:style w:type="paragraph" w:customStyle="1" w:styleId="Subtitle1">
    <w:name w:val="Subtitle1"/>
    <w:basedOn w:val="Normal"/>
    <w:next w:val="Normal"/>
    <w:uiPriority w:val="11"/>
    <w:qFormat/>
    <w:rsid w:val="006B3273"/>
    <w:pPr>
      <w:numPr>
        <w:ilvl w:val="1"/>
      </w:numPr>
      <w:tabs>
        <w:tab w:val="clear" w:pos="794"/>
        <w:tab w:val="clear" w:pos="1191"/>
        <w:tab w:val="clear" w:pos="1588"/>
        <w:tab w:val="clear" w:pos="1985"/>
      </w:tabs>
      <w:overflowPunct/>
      <w:autoSpaceDE/>
      <w:autoSpaceDN/>
      <w:adjustRightInd/>
      <w:spacing w:before="0" w:after="160" w:line="259" w:lineRule="auto"/>
      <w:textAlignment w:val="auto"/>
    </w:pPr>
    <w:rPr>
      <w:rFonts w:eastAsia="Yu Gothic Light"/>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6B3273"/>
    <w:rPr>
      <w:rFonts w:eastAsia="Yu Gothic Light"/>
      <w:color w:val="595959"/>
      <w:spacing w:val="15"/>
      <w:sz w:val="28"/>
      <w:szCs w:val="28"/>
    </w:rPr>
  </w:style>
  <w:style w:type="paragraph" w:customStyle="1" w:styleId="Quote1">
    <w:name w:val="Quote1"/>
    <w:basedOn w:val="Normal"/>
    <w:next w:val="Normal"/>
    <w:uiPriority w:val="29"/>
    <w:qFormat/>
    <w:rsid w:val="006B3273"/>
    <w:pPr>
      <w:tabs>
        <w:tab w:val="clear" w:pos="794"/>
        <w:tab w:val="clear" w:pos="1191"/>
        <w:tab w:val="clear" w:pos="1588"/>
        <w:tab w:val="clear" w:pos="1985"/>
      </w:tabs>
      <w:overflowPunct/>
      <w:autoSpaceDE/>
      <w:autoSpaceDN/>
      <w:adjustRightInd/>
      <w:spacing w:before="160" w:after="160" w:line="259" w:lineRule="auto"/>
      <w:jc w:val="center"/>
      <w:textAlignment w:val="auto"/>
    </w:pPr>
    <w:rPr>
      <w:rFonts w:eastAsia="Aptos" w:cs="Arial"/>
      <w:i/>
      <w:iCs/>
      <w:color w:val="404040"/>
      <w:kern w:val="2"/>
      <w:sz w:val="22"/>
      <w:szCs w:val="22"/>
      <w14:ligatures w14:val="standardContextual"/>
    </w:rPr>
  </w:style>
  <w:style w:type="character" w:customStyle="1" w:styleId="QuoteChar">
    <w:name w:val="Quote Char"/>
    <w:basedOn w:val="DefaultParagraphFont"/>
    <w:link w:val="Quote"/>
    <w:uiPriority w:val="29"/>
    <w:rsid w:val="006B3273"/>
    <w:rPr>
      <w:i/>
      <w:iCs/>
      <w:color w:val="404040"/>
    </w:rPr>
  </w:style>
  <w:style w:type="character" w:customStyle="1" w:styleId="IntenseEmphasis1">
    <w:name w:val="Intense Emphasis1"/>
    <w:basedOn w:val="DefaultParagraphFont"/>
    <w:uiPriority w:val="21"/>
    <w:qFormat/>
    <w:rsid w:val="006B3273"/>
    <w:rPr>
      <w:i/>
      <w:iCs/>
      <w:color w:val="0F4761"/>
    </w:rPr>
  </w:style>
  <w:style w:type="paragraph" w:customStyle="1" w:styleId="IntenseQuote1">
    <w:name w:val="Intense Quote1"/>
    <w:basedOn w:val="Normal"/>
    <w:next w:val="Normal"/>
    <w:uiPriority w:val="30"/>
    <w:qFormat/>
    <w:rsid w:val="006B3273"/>
    <w:pPr>
      <w:pBdr>
        <w:top w:val="single" w:sz="4" w:space="10" w:color="0F4761"/>
        <w:bottom w:val="single" w:sz="4" w:space="10" w:color="0F4761"/>
      </w:pBdr>
      <w:tabs>
        <w:tab w:val="clear" w:pos="794"/>
        <w:tab w:val="clear" w:pos="1191"/>
        <w:tab w:val="clear" w:pos="1588"/>
        <w:tab w:val="clear" w:pos="1985"/>
      </w:tabs>
      <w:overflowPunct/>
      <w:autoSpaceDE/>
      <w:autoSpaceDN/>
      <w:adjustRightInd/>
      <w:spacing w:before="360" w:after="360" w:line="259" w:lineRule="auto"/>
      <w:ind w:left="864" w:right="864"/>
      <w:jc w:val="center"/>
      <w:textAlignment w:val="auto"/>
    </w:pPr>
    <w:rPr>
      <w:rFonts w:eastAsia="Aptos" w:cs="Arial"/>
      <w:i/>
      <w:iCs/>
      <w:color w:val="0F4761"/>
      <w:kern w:val="2"/>
      <w:sz w:val="22"/>
      <w:szCs w:val="22"/>
      <w14:ligatures w14:val="standardContextual"/>
    </w:rPr>
  </w:style>
  <w:style w:type="character" w:customStyle="1" w:styleId="IntenseQuoteChar">
    <w:name w:val="Intense Quote Char"/>
    <w:basedOn w:val="DefaultParagraphFont"/>
    <w:link w:val="IntenseQuote"/>
    <w:uiPriority w:val="30"/>
    <w:rsid w:val="006B3273"/>
    <w:rPr>
      <w:i/>
      <w:iCs/>
      <w:color w:val="0F4761"/>
    </w:rPr>
  </w:style>
  <w:style w:type="character" w:customStyle="1" w:styleId="IntenseReference1">
    <w:name w:val="Intense Reference1"/>
    <w:basedOn w:val="DefaultParagraphFont"/>
    <w:uiPriority w:val="32"/>
    <w:qFormat/>
    <w:rsid w:val="006B3273"/>
    <w:rPr>
      <w:b/>
      <w:bCs/>
      <w:smallCaps/>
      <w:color w:val="0F4761"/>
      <w:spacing w:val="5"/>
    </w:rPr>
  </w:style>
  <w:style w:type="table" w:customStyle="1" w:styleId="TableGrid1">
    <w:name w:val="Table Grid1"/>
    <w:basedOn w:val="TableNormal"/>
    <w:next w:val="TableGrid"/>
    <w:uiPriority w:val="39"/>
    <w:rsid w:val="006B3273"/>
    <w:rPr>
      <w:rFonts w:ascii="Aptos" w:eastAsia="Aptos" w:hAnsi="Aptos" w:cs="Arial"/>
      <w:kern w:val="2"/>
      <w:sz w:val="22"/>
      <w:szCs w:val="22"/>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B3273"/>
    <w:rPr>
      <w:color w:val="605E5C"/>
      <w:shd w:val="clear" w:color="auto" w:fill="E1DFDD"/>
    </w:rPr>
  </w:style>
  <w:style w:type="paragraph" w:styleId="Revision">
    <w:name w:val="Revision"/>
    <w:hidden/>
    <w:uiPriority w:val="99"/>
    <w:semiHidden/>
    <w:rsid w:val="006B3273"/>
    <w:rPr>
      <w:rFonts w:ascii="Aptos" w:eastAsia="Aptos" w:hAnsi="Aptos" w:cs="Arial"/>
      <w:kern w:val="2"/>
      <w:sz w:val="22"/>
      <w:szCs w:val="22"/>
      <w:lang w:val="en-GB" w:eastAsia="en-US"/>
      <w14:ligatures w14:val="standardContextual"/>
    </w:rPr>
  </w:style>
  <w:style w:type="table" w:customStyle="1" w:styleId="GridTable2-Accent11">
    <w:name w:val="Grid Table 2 - Accent 11"/>
    <w:basedOn w:val="TableNormal"/>
    <w:next w:val="GridTable2-Accent1"/>
    <w:uiPriority w:val="47"/>
    <w:rsid w:val="006B3273"/>
    <w:rPr>
      <w:rFonts w:ascii="Aptos" w:eastAsia="Aptos" w:hAnsi="Aptos" w:cs="Arial"/>
      <w:sz w:val="22"/>
      <w:szCs w:val="22"/>
      <w:lang w:val="en-GB" w:eastAsia="en-US"/>
    </w:rPr>
    <w:tblPr>
      <w:tblStyleRowBandSize w:val="1"/>
      <w:tblStyleColBandSize w:val="1"/>
      <w:tblBorders>
        <w:top w:val="single" w:sz="2" w:space="0" w:color="45B0E1"/>
        <w:bottom w:val="single" w:sz="2" w:space="0" w:color="45B0E1"/>
        <w:insideH w:val="single" w:sz="2" w:space="0" w:color="45B0E1"/>
        <w:insideV w:val="single" w:sz="2" w:space="0" w:color="45B0E1"/>
      </w:tblBorders>
    </w:tblPr>
    <w:tblStylePr w:type="firstRow">
      <w:rPr>
        <w:b/>
        <w:bCs/>
      </w:rPr>
      <w:tblPr/>
      <w:tcPr>
        <w:tcBorders>
          <w:top w:val="nil"/>
          <w:bottom w:val="single" w:sz="12" w:space="0" w:color="45B0E1"/>
          <w:insideH w:val="nil"/>
          <w:insideV w:val="nil"/>
        </w:tcBorders>
        <w:shd w:val="clear" w:color="auto" w:fill="FFFFFF"/>
      </w:tcPr>
    </w:tblStylePr>
    <w:tblStylePr w:type="lastRow">
      <w:rPr>
        <w:b/>
        <w:bCs/>
      </w:rPr>
      <w:tblPr/>
      <w:tcPr>
        <w:tcBorders>
          <w:top w:val="double" w:sz="2" w:space="0" w:color="45B0E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paragraph" w:customStyle="1" w:styleId="Tabletext0">
    <w:name w:val="Table text"/>
    <w:basedOn w:val="Normal"/>
    <w:link w:val="TabletextChar"/>
    <w:rsid w:val="006B327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pPr>
    <w:rPr>
      <w:rFonts w:ascii="AvenirNext LT Pro Light" w:eastAsia="Yu Gothic Light" w:hAnsi="AvenirNext LT Pro Light" w:cs="Calibri"/>
      <w:color w:val="000000"/>
      <w:kern w:val="28"/>
      <w:sz w:val="19"/>
      <w:lang w:val="en-US"/>
    </w:rPr>
  </w:style>
  <w:style w:type="character" w:customStyle="1" w:styleId="TabletextChar">
    <w:name w:val="Table text Char"/>
    <w:basedOn w:val="DefaultParagraphFont"/>
    <w:link w:val="Tabletext0"/>
    <w:rsid w:val="006B3273"/>
    <w:rPr>
      <w:rFonts w:ascii="AvenirNext LT Pro Light" w:eastAsia="Yu Gothic Light" w:hAnsi="AvenirNext LT Pro Light" w:cs="Calibri"/>
      <w:color w:val="000000"/>
      <w:kern w:val="28"/>
      <w:sz w:val="19"/>
      <w:lang w:eastAsia="en-US"/>
    </w:rPr>
  </w:style>
  <w:style w:type="paragraph" w:customStyle="1" w:styleId="Tableheadwhitecentred">
    <w:name w:val="Table head white centred"/>
    <w:basedOn w:val="Normal"/>
    <w:rsid w:val="006B327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pPr>
    <w:rPr>
      <w:rFonts w:ascii="AvenirNext LT Pro Medium" w:eastAsia="Yu Gothic Light" w:hAnsi="AvenirNext LT Pro Medium" w:cs="Calibri"/>
      <w:color w:val="000000"/>
      <w:spacing w:val="-10"/>
      <w:kern w:val="28"/>
      <w:sz w:val="20"/>
      <w:szCs w:val="24"/>
      <w:lang w:val="en-US"/>
    </w:rPr>
  </w:style>
  <w:style w:type="paragraph" w:customStyle="1" w:styleId="Tabletextcentred">
    <w:name w:val="Table text centred"/>
    <w:basedOn w:val="Tabletext0"/>
    <w:rsid w:val="006B3273"/>
    <w:pPr>
      <w:jc w:val="center"/>
    </w:pPr>
  </w:style>
  <w:style w:type="paragraph" w:styleId="NoSpacing">
    <w:name w:val="No Spacing"/>
    <w:uiPriority w:val="1"/>
    <w:qFormat/>
    <w:rsid w:val="006B3273"/>
    <w:rPr>
      <w:rFonts w:ascii="Aptos" w:eastAsia="Aptos" w:hAnsi="Aptos" w:cs="Arial"/>
      <w:kern w:val="2"/>
      <w:sz w:val="22"/>
      <w:szCs w:val="22"/>
      <w:lang w:val="en-GB" w:eastAsia="en-US"/>
      <w14:ligatures w14:val="standardContextual"/>
    </w:rPr>
  </w:style>
  <w:style w:type="paragraph" w:customStyle="1" w:styleId="FigureTabletitle">
    <w:name w:val="Figure Table title"/>
    <w:basedOn w:val="Figuretitle0"/>
    <w:link w:val="FigureTabletitleChar"/>
    <w:qFormat/>
    <w:rsid w:val="006B3273"/>
    <w:rPr>
      <w:color w:val="0070C0"/>
      <w:lang w:val="en-GB"/>
    </w:rPr>
  </w:style>
  <w:style w:type="character" w:customStyle="1" w:styleId="FigureTabletitleChar">
    <w:name w:val="Figure Table title Char"/>
    <w:basedOn w:val="FiguretitleChar"/>
    <w:link w:val="FigureTabletitle"/>
    <w:rsid w:val="006B3273"/>
    <w:rPr>
      <w:rFonts w:ascii="AvenirNext LT Pro Light" w:eastAsiaTheme="majorEastAsia" w:hAnsi="AvenirNext LT Pro Light" w:cs="Calibri"/>
      <w:color w:val="0070C0"/>
      <w:spacing w:val="-10"/>
      <w:kern w:val="28"/>
      <w:sz w:val="24"/>
      <w:szCs w:val="24"/>
      <w:lang w:val="en-GB" w:eastAsia="en-US"/>
    </w:rPr>
  </w:style>
  <w:style w:type="paragraph" w:customStyle="1" w:styleId="notetext">
    <w:name w:val="note text"/>
    <w:basedOn w:val="Sourcetext"/>
    <w:qFormat/>
    <w:rsid w:val="006B3273"/>
  </w:style>
  <w:style w:type="character" w:styleId="Strong">
    <w:name w:val="Strong"/>
    <w:basedOn w:val="DefaultParagraphFont"/>
    <w:uiPriority w:val="22"/>
    <w:qFormat/>
    <w:rsid w:val="006B3273"/>
    <w:rPr>
      <w:b/>
      <w:bCs/>
    </w:rPr>
  </w:style>
  <w:style w:type="paragraph" w:customStyle="1" w:styleId="Caption1">
    <w:name w:val="Caption1"/>
    <w:basedOn w:val="Normal"/>
    <w:next w:val="Normal"/>
    <w:uiPriority w:val="35"/>
    <w:unhideWhenUsed/>
    <w:qFormat/>
    <w:rsid w:val="006B3273"/>
    <w:pPr>
      <w:tabs>
        <w:tab w:val="clear" w:pos="794"/>
        <w:tab w:val="clear" w:pos="1191"/>
        <w:tab w:val="clear" w:pos="1588"/>
        <w:tab w:val="clear" w:pos="1985"/>
      </w:tabs>
      <w:overflowPunct/>
      <w:autoSpaceDE/>
      <w:autoSpaceDN/>
      <w:adjustRightInd/>
      <w:spacing w:before="0" w:after="200"/>
      <w:textAlignment w:val="auto"/>
    </w:pPr>
    <w:rPr>
      <w:rFonts w:eastAsia="Aptos" w:cs="Arial"/>
      <w:i/>
      <w:iCs/>
      <w:color w:val="0E2841"/>
      <w:kern w:val="2"/>
      <w:sz w:val="18"/>
      <w:szCs w:val="18"/>
      <w14:ligatures w14:val="standardContextual"/>
    </w:rPr>
  </w:style>
  <w:style w:type="paragraph" w:styleId="NormalWeb">
    <w:name w:val="Normal (Web)"/>
    <w:basedOn w:val="Normal"/>
    <w:uiPriority w:val="99"/>
    <w:semiHidden/>
    <w:unhideWhenUsed/>
    <w:rsid w:val="006B3273"/>
    <w:pPr>
      <w:tabs>
        <w:tab w:val="clear" w:pos="794"/>
        <w:tab w:val="clear" w:pos="1191"/>
        <w:tab w:val="clear" w:pos="1588"/>
        <w:tab w:val="clear" w:pos="1985"/>
      </w:tabs>
      <w:overflowPunct/>
      <w:autoSpaceDE/>
      <w:autoSpaceDN/>
      <w:adjustRightInd/>
      <w:spacing w:before="0" w:after="160" w:line="259" w:lineRule="auto"/>
      <w:textAlignment w:val="auto"/>
    </w:pPr>
    <w:rPr>
      <w:rFonts w:ascii="Times New Roman" w:eastAsia="Aptos" w:hAnsi="Times New Roman"/>
      <w:kern w:val="2"/>
      <w:szCs w:val="24"/>
      <w14:ligatures w14:val="standardContextual"/>
    </w:rPr>
  </w:style>
  <w:style w:type="paragraph" w:styleId="EndnoteText">
    <w:name w:val="endnote text"/>
    <w:basedOn w:val="Normal"/>
    <w:link w:val="EndnoteTextChar"/>
    <w:uiPriority w:val="99"/>
    <w:semiHidden/>
    <w:unhideWhenUsed/>
    <w:rsid w:val="006B3273"/>
    <w:pPr>
      <w:tabs>
        <w:tab w:val="clear" w:pos="794"/>
        <w:tab w:val="clear" w:pos="1191"/>
        <w:tab w:val="clear" w:pos="1588"/>
        <w:tab w:val="clear" w:pos="1985"/>
      </w:tabs>
      <w:overflowPunct/>
      <w:autoSpaceDE/>
      <w:autoSpaceDN/>
      <w:adjustRightInd/>
      <w:spacing w:before="0"/>
      <w:textAlignment w:val="auto"/>
    </w:pPr>
    <w:rPr>
      <w:rFonts w:ascii="Aptos" w:eastAsia="Aptos" w:hAnsi="Aptos" w:cs="Aptos"/>
      <w:sz w:val="20"/>
      <w14:ligatures w14:val="standardContextual"/>
    </w:rPr>
  </w:style>
  <w:style w:type="character" w:customStyle="1" w:styleId="EndnoteTextChar">
    <w:name w:val="Endnote Text Char"/>
    <w:basedOn w:val="DefaultParagraphFont"/>
    <w:link w:val="EndnoteText"/>
    <w:uiPriority w:val="99"/>
    <w:semiHidden/>
    <w:rsid w:val="006B3273"/>
    <w:rPr>
      <w:rFonts w:ascii="Aptos" w:eastAsia="Aptos" w:hAnsi="Aptos" w:cs="Aptos"/>
      <w:lang w:val="en-GB" w:eastAsia="en-US"/>
      <w14:ligatures w14:val="standardContextual"/>
    </w:rPr>
  </w:style>
  <w:style w:type="paragraph" w:styleId="Subtitle">
    <w:name w:val="Subtitle"/>
    <w:basedOn w:val="Normal"/>
    <w:next w:val="Normal"/>
    <w:link w:val="SubtitleChar"/>
    <w:uiPriority w:val="11"/>
    <w:qFormat/>
    <w:rsid w:val="006B3273"/>
    <w:pPr>
      <w:numPr>
        <w:ilvl w:val="1"/>
      </w:numPr>
      <w:spacing w:after="160"/>
    </w:pPr>
    <w:rPr>
      <w:rFonts w:ascii="CG Times" w:eastAsia="Yu Gothic Light" w:hAnsi="CG Times"/>
      <w:color w:val="595959"/>
      <w:spacing w:val="15"/>
      <w:sz w:val="28"/>
      <w:szCs w:val="28"/>
      <w:lang w:val="en-US" w:eastAsia="zh-CN"/>
    </w:rPr>
  </w:style>
  <w:style w:type="character" w:customStyle="1" w:styleId="SubtitleChar1">
    <w:name w:val="Subtitle Char1"/>
    <w:basedOn w:val="DefaultParagraphFont"/>
    <w:rsid w:val="006B3273"/>
    <w:rPr>
      <w:rFonts w:asciiTheme="minorHAnsi" w:eastAsiaTheme="minorEastAsia" w:hAnsiTheme="minorHAnsi" w:cstheme="minorBidi"/>
      <w:color w:val="5A5A5A" w:themeColor="text1" w:themeTint="A5"/>
      <w:spacing w:val="15"/>
      <w:sz w:val="22"/>
      <w:szCs w:val="22"/>
      <w:lang w:val="en-GB" w:eastAsia="en-US"/>
    </w:rPr>
  </w:style>
  <w:style w:type="paragraph" w:styleId="Quote">
    <w:name w:val="Quote"/>
    <w:basedOn w:val="Normal"/>
    <w:next w:val="Normal"/>
    <w:link w:val="QuoteChar"/>
    <w:uiPriority w:val="29"/>
    <w:qFormat/>
    <w:rsid w:val="006B3273"/>
    <w:pPr>
      <w:spacing w:before="200" w:after="160"/>
      <w:ind w:left="864" w:right="864"/>
      <w:jc w:val="center"/>
    </w:pPr>
    <w:rPr>
      <w:rFonts w:ascii="CG Times" w:hAnsi="CG Times"/>
      <w:i/>
      <w:iCs/>
      <w:color w:val="404040"/>
      <w:sz w:val="20"/>
      <w:lang w:val="en-US" w:eastAsia="zh-CN"/>
    </w:rPr>
  </w:style>
  <w:style w:type="character" w:customStyle="1" w:styleId="QuoteChar1">
    <w:name w:val="Quote Char1"/>
    <w:basedOn w:val="DefaultParagraphFont"/>
    <w:uiPriority w:val="29"/>
    <w:rsid w:val="006B3273"/>
    <w:rPr>
      <w:rFonts w:asciiTheme="minorHAnsi" w:hAnsiTheme="minorHAnsi"/>
      <w:i/>
      <w:iCs/>
      <w:color w:val="404040" w:themeColor="text1" w:themeTint="BF"/>
      <w:sz w:val="24"/>
      <w:lang w:val="en-GB" w:eastAsia="en-US"/>
    </w:rPr>
  </w:style>
  <w:style w:type="character" w:styleId="IntenseEmphasis">
    <w:name w:val="Intense Emphasis"/>
    <w:basedOn w:val="DefaultParagraphFont"/>
    <w:uiPriority w:val="21"/>
    <w:qFormat/>
    <w:rsid w:val="006B3273"/>
    <w:rPr>
      <w:i/>
      <w:iCs/>
      <w:color w:val="4F81BD" w:themeColor="accent1"/>
    </w:rPr>
  </w:style>
  <w:style w:type="paragraph" w:styleId="IntenseQuote">
    <w:name w:val="Intense Quote"/>
    <w:basedOn w:val="Normal"/>
    <w:next w:val="Normal"/>
    <w:link w:val="IntenseQuoteChar"/>
    <w:uiPriority w:val="30"/>
    <w:qFormat/>
    <w:rsid w:val="006B3273"/>
    <w:pPr>
      <w:pBdr>
        <w:top w:val="single" w:sz="4" w:space="10" w:color="4F81BD" w:themeColor="accent1"/>
        <w:bottom w:val="single" w:sz="4" w:space="10" w:color="4F81BD" w:themeColor="accent1"/>
      </w:pBdr>
      <w:spacing w:before="360" w:after="360"/>
      <w:ind w:left="864" w:right="864"/>
      <w:jc w:val="center"/>
    </w:pPr>
    <w:rPr>
      <w:rFonts w:ascii="CG Times" w:hAnsi="CG Times"/>
      <w:i/>
      <w:iCs/>
      <w:color w:val="0F4761"/>
      <w:sz w:val="20"/>
      <w:lang w:val="en-US" w:eastAsia="zh-CN"/>
    </w:rPr>
  </w:style>
  <w:style w:type="character" w:customStyle="1" w:styleId="IntenseQuoteChar1">
    <w:name w:val="Intense Quote Char1"/>
    <w:basedOn w:val="DefaultParagraphFont"/>
    <w:uiPriority w:val="30"/>
    <w:rsid w:val="006B3273"/>
    <w:rPr>
      <w:rFonts w:asciiTheme="minorHAnsi" w:hAnsiTheme="minorHAnsi"/>
      <w:i/>
      <w:iCs/>
      <w:color w:val="4F81BD" w:themeColor="accent1"/>
      <w:sz w:val="24"/>
      <w:lang w:val="en-GB" w:eastAsia="en-US"/>
    </w:rPr>
  </w:style>
  <w:style w:type="character" w:styleId="IntenseReference">
    <w:name w:val="Intense Reference"/>
    <w:basedOn w:val="DefaultParagraphFont"/>
    <w:uiPriority w:val="32"/>
    <w:qFormat/>
    <w:rsid w:val="006B3273"/>
    <w:rPr>
      <w:b/>
      <w:bCs/>
      <w:smallCaps/>
      <w:color w:val="4F81BD" w:themeColor="accent1"/>
      <w:spacing w:val="5"/>
    </w:rPr>
  </w:style>
  <w:style w:type="table" w:styleId="GridTable2-Accent1">
    <w:name w:val="Grid Table 2 Accent 1"/>
    <w:basedOn w:val="TableNormal"/>
    <w:uiPriority w:val="47"/>
    <w:rsid w:val="006B3273"/>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Heading">
    <w:name w:val="TOC Heading"/>
    <w:basedOn w:val="Heading1"/>
    <w:next w:val="Normal"/>
    <w:uiPriority w:val="39"/>
    <w:unhideWhenUsed/>
    <w:qFormat/>
    <w:rsid w:val="006B3273"/>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Body">
    <w:name w:val="Body"/>
    <w:rsid w:val="006B3273"/>
    <w:pPr>
      <w:pBdr>
        <w:top w:val="nil"/>
        <w:left w:val="nil"/>
        <w:bottom w:val="nil"/>
        <w:right w:val="nil"/>
        <w:between w:val="nil"/>
        <w:bar w:val="nil"/>
      </w:pBdr>
      <w:spacing w:line="276" w:lineRule="auto"/>
    </w:pPr>
    <w:rPr>
      <w:rFonts w:ascii="Arial" w:eastAsia="Arial Unicode MS" w:hAnsi="Arial" w:cs="Arial Unicode MS"/>
      <w:color w:val="000000"/>
      <w:sz w:val="22"/>
      <w:szCs w:val="22"/>
      <w:u w:color="000000"/>
      <w:bdr w:val="nil"/>
      <w:lang w:eastAsia="en-GB"/>
      <w14:textOutline w14:w="0" w14:cap="flat" w14:cmpd="sng" w14:algn="ctr">
        <w14:noFill/>
        <w14:prstDash w14:val="solid"/>
        <w14:bevel/>
      </w14:textOutline>
    </w:rPr>
  </w:style>
  <w:style w:type="paragraph" w:customStyle="1" w:styleId="Heading2Aptos">
    <w:name w:val="Heading 2 Aptos"/>
    <w:basedOn w:val="Normal"/>
    <w:link w:val="Heading2AptosChar"/>
    <w:qFormat/>
    <w:rsid w:val="006B3273"/>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pPr>
    <w:rPr>
      <w:rFonts w:ascii="Aptos Display" w:eastAsia="Yu Gothic Light" w:hAnsi="Aptos Display"/>
      <w:color w:val="0F4761"/>
      <w:kern w:val="2"/>
      <w:sz w:val="32"/>
      <w:szCs w:val="32"/>
      <w14:ligatures w14:val="standardContextual"/>
    </w:rPr>
  </w:style>
  <w:style w:type="character" w:customStyle="1" w:styleId="Heading2AptosChar">
    <w:name w:val="Heading 2 Aptos Char"/>
    <w:basedOn w:val="DefaultParagraphFont"/>
    <w:link w:val="Heading2Aptos"/>
    <w:rsid w:val="006B3273"/>
    <w:rPr>
      <w:rFonts w:ascii="Aptos Display" w:eastAsia="Yu Gothic Light" w:hAnsi="Aptos Display"/>
      <w:color w:val="0F4761"/>
      <w:kern w:val="2"/>
      <w:sz w:val="32"/>
      <w:szCs w:val="32"/>
      <w:lang w:val="en-GB" w:eastAsia="en-US"/>
      <w14:ligatures w14:val="standardContextual"/>
    </w:rPr>
  </w:style>
  <w:style w:type="paragraph" w:customStyle="1" w:styleId="Parttitle0">
    <w:name w:val="Part title"/>
    <w:basedOn w:val="Normal"/>
    <w:link w:val="ParttitleChar"/>
    <w:qFormat/>
    <w:rsid w:val="006B3273"/>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pPr>
    <w:rPr>
      <w:rFonts w:ascii="Aptos Display" w:eastAsia="Yu Gothic Light" w:hAnsi="Aptos Display"/>
      <w:color w:val="0F4761"/>
      <w:kern w:val="2"/>
      <w:sz w:val="40"/>
      <w:szCs w:val="40"/>
      <w14:ligatures w14:val="standardContextual"/>
    </w:rPr>
  </w:style>
  <w:style w:type="character" w:customStyle="1" w:styleId="ParttitleChar">
    <w:name w:val="Part title Char"/>
    <w:basedOn w:val="DefaultParagraphFont"/>
    <w:link w:val="Parttitle0"/>
    <w:rsid w:val="006B3273"/>
    <w:rPr>
      <w:rFonts w:ascii="Aptos Display" w:eastAsia="Yu Gothic Light" w:hAnsi="Aptos Display"/>
      <w:color w:val="0F4761"/>
      <w:kern w:val="2"/>
      <w:sz w:val="40"/>
      <w:szCs w:val="40"/>
      <w:lang w:val="en-GB" w:eastAsia="en-US"/>
      <w14:ligatures w14:val="standardContextual"/>
    </w:rPr>
  </w:style>
  <w:style w:type="character" w:customStyle="1" w:styleId="normaltextrun">
    <w:name w:val="normaltextrun"/>
    <w:basedOn w:val="DefaultParagraphFont"/>
    <w:rsid w:val="006B3273"/>
  </w:style>
  <w:style w:type="character" w:customStyle="1" w:styleId="eop">
    <w:name w:val="eop"/>
    <w:basedOn w:val="DefaultParagraphFont"/>
    <w:rsid w:val="006B3273"/>
  </w:style>
  <w:style w:type="paragraph" w:customStyle="1" w:styleId="Section">
    <w:name w:val="Section"/>
    <w:basedOn w:val="Normal"/>
    <w:link w:val="SectionChar"/>
    <w:qFormat/>
    <w:rsid w:val="006B3273"/>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pPr>
    <w:rPr>
      <w:rFonts w:ascii="Aptos Display" w:eastAsia="Yu Gothic Light" w:hAnsi="Aptos Display"/>
      <w:color w:val="0F4761"/>
      <w:kern w:val="2"/>
      <w:sz w:val="32"/>
      <w:szCs w:val="32"/>
      <w14:ligatures w14:val="standardContextual"/>
    </w:rPr>
  </w:style>
  <w:style w:type="character" w:customStyle="1" w:styleId="SectionChar">
    <w:name w:val="Section Char"/>
    <w:basedOn w:val="DefaultParagraphFont"/>
    <w:link w:val="Section"/>
    <w:rsid w:val="006B3273"/>
    <w:rPr>
      <w:rFonts w:ascii="Aptos Display" w:eastAsia="Yu Gothic Light" w:hAnsi="Aptos Display"/>
      <w:color w:val="0F4761"/>
      <w:kern w:val="2"/>
      <w:sz w:val="32"/>
      <w:szCs w:val="32"/>
      <w:lang w:val="en-GB" w:eastAsia="en-US"/>
      <w14:ligatures w14:val="standardContextual"/>
    </w:rPr>
  </w:style>
  <w:style w:type="paragraph" w:customStyle="1" w:styleId="Bulletlist1">
    <w:name w:val="Bullet list 1"/>
    <w:basedOn w:val="Normal"/>
    <w:rsid w:val="006B327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40" w:after="40" w:line="284" w:lineRule="atLeast"/>
      <w:ind w:left="567" w:hanging="567"/>
      <w:jc w:val="both"/>
      <w:textAlignment w:val="center"/>
    </w:pPr>
    <w:rPr>
      <w:rFonts w:ascii="Avenir Next W1G" w:eastAsiaTheme="minorEastAsia" w:hAnsi="Avenir Next W1G" w:cstheme="minorBidi"/>
      <w:color w:val="000000"/>
      <w:sz w:val="20"/>
      <w:lang w:val="en-US" w:eastAsia="zh-CN"/>
    </w:rPr>
  </w:style>
  <w:style w:type="paragraph" w:customStyle="1" w:styleId="paragraph">
    <w:name w:val="paragraph"/>
    <w:basedOn w:val="Normal"/>
    <w:rsid w:val="006B3273"/>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hAnsi="Times New Roman"/>
      <w:szCs w:val="24"/>
      <w:lang w:eastAsia="en-GB"/>
    </w:rPr>
  </w:style>
  <w:style w:type="paragraph" w:customStyle="1" w:styleId="Default">
    <w:name w:val="Default"/>
    <w:rsid w:val="006B3273"/>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lang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403176">
      <w:bodyDiv w:val="1"/>
      <w:marLeft w:val="0"/>
      <w:marRight w:val="0"/>
      <w:marTop w:val="0"/>
      <w:marBottom w:val="0"/>
      <w:divBdr>
        <w:top w:val="none" w:sz="0" w:space="0" w:color="auto"/>
        <w:left w:val="none" w:sz="0" w:space="0" w:color="auto"/>
        <w:bottom w:val="none" w:sz="0" w:space="0" w:color="auto"/>
        <w:right w:val="none" w:sz="0" w:space="0" w:color="auto"/>
      </w:divBdr>
    </w:div>
    <w:div w:id="1463689421">
      <w:bodyDiv w:val="1"/>
      <w:marLeft w:val="0"/>
      <w:marRight w:val="0"/>
      <w:marTop w:val="0"/>
      <w:marBottom w:val="0"/>
      <w:divBdr>
        <w:top w:val="none" w:sz="0" w:space="0" w:color="auto"/>
        <w:left w:val="none" w:sz="0" w:space="0" w:color="auto"/>
        <w:bottom w:val="none" w:sz="0" w:space="0" w:color="auto"/>
        <w:right w:val="none" w:sz="0" w:space="0" w:color="auto"/>
      </w:divBdr>
    </w:div>
    <w:div w:id="146519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21" Type="http://schemas.openxmlformats.org/officeDocument/2006/relationships/chart" Target="charts/chart6.xml"/><Relationship Id="rId42" Type="http://schemas.openxmlformats.org/officeDocument/2006/relationships/chart" Target="charts/chart20.xml"/><Relationship Id="rId47" Type="http://schemas.openxmlformats.org/officeDocument/2006/relationships/chart" Target="charts/chart25.xml"/><Relationship Id="rId63" Type="http://schemas.openxmlformats.org/officeDocument/2006/relationships/image" Target="media/image11.png"/><Relationship Id="rId68" Type="http://schemas.openxmlformats.org/officeDocument/2006/relationships/image" Target="media/image13.png"/><Relationship Id="rId84" Type="http://schemas.openxmlformats.org/officeDocument/2006/relationships/hyperlink" Target="https://www.itu.int/hub/publication/d-gen-e_waste-01-2024/" TargetMode="External"/><Relationship Id="rId89" Type="http://schemas.openxmlformats.org/officeDocument/2006/relationships/hyperlink" Target="https://www.itu.int/itu-d/sites/digital-impact-unlocked/smart-seas-project-for-caribbean-small-scale-fishers/" TargetMode="External"/><Relationship Id="rId16" Type="http://schemas.openxmlformats.org/officeDocument/2006/relationships/hyperlink" Target="https://www.itu.int/pub/D-PREF-BB.REG_OUT01-2023/es" TargetMode="External"/><Relationship Id="rId11" Type="http://schemas.openxmlformats.org/officeDocument/2006/relationships/image" Target="media/image1.png"/><Relationship Id="rId32" Type="http://schemas.openxmlformats.org/officeDocument/2006/relationships/image" Target="media/image7.svg"/><Relationship Id="rId37" Type="http://schemas.openxmlformats.org/officeDocument/2006/relationships/image" Target="media/image10.png"/><Relationship Id="rId53" Type="http://schemas.openxmlformats.org/officeDocument/2006/relationships/chart" Target="charts/chart30.xml"/><Relationship Id="rId58" Type="http://schemas.openxmlformats.org/officeDocument/2006/relationships/chart" Target="charts/chart34.xml"/><Relationship Id="rId74" Type="http://schemas.openxmlformats.org/officeDocument/2006/relationships/image" Target="media/image15.png"/><Relationship Id="rId79" Type="http://schemas.openxmlformats.org/officeDocument/2006/relationships/chart" Target="charts/chart42.xml"/><Relationship Id="rId5" Type="http://schemas.openxmlformats.org/officeDocument/2006/relationships/numbering" Target="numbering.xml"/><Relationship Id="rId90" Type="http://schemas.openxmlformats.org/officeDocument/2006/relationships/hyperlink" Target="https://www.itu.int/itu-d/sites/digital-impact-unlocked/crisis-response-itus-response-to-hurricane-beryl/" TargetMode="External"/><Relationship Id="rId95"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chart" Target="charts/chart11.xml"/><Relationship Id="rId43" Type="http://schemas.openxmlformats.org/officeDocument/2006/relationships/chart" Target="charts/chart21.xml"/><Relationship Id="rId48" Type="http://schemas.openxmlformats.org/officeDocument/2006/relationships/hyperlink" Target="https://www.broadbandcommission.org/" TargetMode="External"/><Relationship Id="rId64" Type="http://schemas.microsoft.com/office/2014/relationships/chartEx" Target="charts/chartEx2.xml"/><Relationship Id="rId69" Type="http://schemas.openxmlformats.org/officeDocument/2006/relationships/hyperlink" Target="https://www.itu.int/itu-d/meetings/statistics/wp-content/uploads/sites/8/2023/09/Report-of-the-EGH-subgroup-on-ICT-Skills.pdf" TargetMode="External"/><Relationship Id="rId80" Type="http://schemas.openxmlformats.org/officeDocument/2006/relationships/hyperlink" Target="https://www.itu.int/hub/publication/d-gen-e_waste-01-2024/" TargetMode="External"/><Relationship Id="rId85" Type="http://schemas.openxmlformats.org/officeDocument/2006/relationships/chart" Target="charts/chart44.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chart" Target="charts/chart2.xml"/><Relationship Id="rId25" Type="http://schemas.openxmlformats.org/officeDocument/2006/relationships/chart" Target="charts/chart9.xml"/><Relationship Id="rId33" Type="http://schemas.openxmlformats.org/officeDocument/2006/relationships/image" Target="media/image8.png"/><Relationship Id="rId38" Type="http://schemas.openxmlformats.org/officeDocument/2006/relationships/hyperlink" Target="https://bbmaps.itu.int/app" TargetMode="External"/><Relationship Id="rId46" Type="http://schemas.openxmlformats.org/officeDocument/2006/relationships/chart" Target="charts/chart24.xml"/><Relationship Id="rId59" Type="http://schemas.openxmlformats.org/officeDocument/2006/relationships/chart" Target="charts/chart35.xml"/><Relationship Id="rId67" Type="http://schemas.microsoft.com/office/2014/relationships/chartEx" Target="charts/chartEx3.xml"/><Relationship Id="rId20" Type="http://schemas.openxmlformats.org/officeDocument/2006/relationships/chart" Target="charts/chart5.xml"/><Relationship Id="rId41" Type="http://schemas.openxmlformats.org/officeDocument/2006/relationships/chart" Target="charts/chart19.xml"/><Relationship Id="rId54" Type="http://schemas.openxmlformats.org/officeDocument/2006/relationships/chart" Target="charts/chart31.xml"/><Relationship Id="rId62" Type="http://schemas.microsoft.com/office/2014/relationships/chartEx" Target="charts/chartEx1.xml"/><Relationship Id="rId70" Type="http://schemas.microsoft.com/office/2014/relationships/chartEx" Target="charts/chartEx4.xml"/><Relationship Id="rId75" Type="http://schemas.openxmlformats.org/officeDocument/2006/relationships/chart" Target="charts/chart38.xml"/><Relationship Id="rId83" Type="http://schemas.openxmlformats.org/officeDocument/2006/relationships/hyperlink" Target="https://www.itu.int/hub/publication/d-gen-e_waste-01-2024/" TargetMode="External"/><Relationship Id="rId88" Type="http://schemas.openxmlformats.org/officeDocument/2006/relationships/hyperlink" Target="https://www.itu.int/itu-d/sites/digital-impact-unlocked/bridging-the-digital-divide-in-indigenous-and-rural-communities-in-the-americas/" TargetMode="External"/><Relationship Id="rId91" Type="http://schemas.openxmlformats.org/officeDocument/2006/relationships/hyperlink" Target="https://www.itu.int/itu-d/sites/digital-impact-unlocked/empowering-girls-in-technology-through-programming-and-innovation/"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16.xml"/><Relationship Id="rId49" Type="http://schemas.openxmlformats.org/officeDocument/2006/relationships/chart" Target="charts/chart26.xml"/><Relationship Id="rId57" Type="http://schemas.openxmlformats.org/officeDocument/2006/relationships/chart" Target="charts/chart33.xm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chart" Target="charts/chart22.xml"/><Relationship Id="rId52" Type="http://schemas.openxmlformats.org/officeDocument/2006/relationships/chart" Target="charts/chart29.xml"/><Relationship Id="rId60" Type="http://schemas.openxmlformats.org/officeDocument/2006/relationships/chart" Target="charts/chart36.xml"/><Relationship Id="rId65" Type="http://schemas.openxmlformats.org/officeDocument/2006/relationships/image" Target="media/image12.png"/><Relationship Id="rId73" Type="http://schemas.microsoft.com/office/2014/relationships/chartEx" Target="charts/chartEx5.xml"/><Relationship Id="rId78" Type="http://schemas.openxmlformats.org/officeDocument/2006/relationships/chart" Target="charts/chart41.xml"/><Relationship Id="rId81" Type="http://schemas.openxmlformats.org/officeDocument/2006/relationships/hyperlink" Target="https://www.itu.int/en/ITU-D/Environment/Pages/Publications/The-Global-E-waste-Monitor-2024.aspx" TargetMode="External"/><Relationship Id="rId86" Type="http://schemas.openxmlformats.org/officeDocument/2006/relationships/image" Target="media/image16.png"/><Relationship Id="rId9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chart" Target="charts/chart3.xml"/><Relationship Id="rId39" Type="http://schemas.openxmlformats.org/officeDocument/2006/relationships/chart" Target="charts/chart17.xml"/><Relationship Id="rId34" Type="http://schemas.openxmlformats.org/officeDocument/2006/relationships/image" Target="media/image9.svg"/><Relationship Id="rId50" Type="http://schemas.openxmlformats.org/officeDocument/2006/relationships/chart" Target="charts/chart27.xml"/><Relationship Id="rId55" Type="http://schemas.openxmlformats.org/officeDocument/2006/relationships/hyperlink" Target="https://www.itu.int/itu-d/meetings/statistics/wp-content/uploads/sites/8/2023/09/Report-of-the-EGH-subgroup-on-ICT-Skills.pdf" TargetMode="External"/><Relationship Id="rId76" Type="http://schemas.openxmlformats.org/officeDocument/2006/relationships/chart" Target="charts/chart39.xm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14.png"/><Relationship Id="rId92" Type="http://schemas.openxmlformats.org/officeDocument/2006/relationships/hyperlink" Target="Datos%20nacionales%20organizados%20por%20pesta&#241;as%20en%20funci&#243;n%20de%20las%20secciones%20del%20presente%20documento%20(URL:%20https://www.itu.int/en/ITUD/Statistics/Documents/facts/rpm_ams_pub_2025_data.xlsx).%20Los%20datos%20nacionales%20han%20sido%20extra&#237;dos%20del%20Centro%20de%20Datos%20de%20la%20UIT,%20en%20concreto,%20de%20la%20actualizaci&#243;n%20publicada%20en%20febrero%20de%202025." TargetMode="External"/><Relationship Id="rId2" Type="http://schemas.openxmlformats.org/officeDocument/2006/relationships/customXml" Target="../customXml/item2.xml"/><Relationship Id="rId29" Type="http://schemas.openxmlformats.org/officeDocument/2006/relationships/chart" Target="charts/chart13.xml"/><Relationship Id="rId24" Type="http://schemas.openxmlformats.org/officeDocument/2006/relationships/chart" Target="charts/chart8.xml"/><Relationship Id="rId40" Type="http://schemas.openxmlformats.org/officeDocument/2006/relationships/chart" Target="charts/chart18.xml"/><Relationship Id="rId45" Type="http://schemas.openxmlformats.org/officeDocument/2006/relationships/chart" Target="charts/chart23.xml"/><Relationship Id="rId66" Type="http://schemas.openxmlformats.org/officeDocument/2006/relationships/hyperlink" Target="https://www.itu.int/en/ITU-D/Statistics/Documents/facts/rpm_ams_pub_2025_data.xlsx" TargetMode="External"/><Relationship Id="rId87" Type="http://schemas.openxmlformats.org/officeDocument/2006/relationships/hyperlink" Target="https://www.itu.int/itu-d/sites/digital-impact-unlocked/all-stories/list/es" TargetMode="External"/><Relationship Id="rId61" Type="http://schemas.openxmlformats.org/officeDocument/2006/relationships/chart" Target="charts/chart37.xml"/><Relationship Id="rId82" Type="http://schemas.openxmlformats.org/officeDocument/2006/relationships/chart" Target="charts/chart43.xml"/><Relationship Id="rId19" Type="http://schemas.openxmlformats.org/officeDocument/2006/relationships/chart" Target="charts/chart4.xml"/><Relationship Id="rId14" Type="http://schemas.openxmlformats.org/officeDocument/2006/relationships/image" Target="media/image4.svg"/><Relationship Id="rId30" Type="http://schemas.openxmlformats.org/officeDocument/2006/relationships/chart" Target="charts/chart14.xml"/><Relationship Id="rId35" Type="http://schemas.openxmlformats.org/officeDocument/2006/relationships/chart" Target="charts/chart15.xml"/><Relationship Id="rId56" Type="http://schemas.openxmlformats.org/officeDocument/2006/relationships/chart" Target="charts/chart32.xml"/><Relationship Id="rId77" Type="http://schemas.openxmlformats.org/officeDocument/2006/relationships/chart" Target="charts/chart40.xml"/><Relationship Id="rId8" Type="http://schemas.openxmlformats.org/officeDocument/2006/relationships/webSettings" Target="webSettings.xml"/><Relationship Id="rId51" Type="http://schemas.openxmlformats.org/officeDocument/2006/relationships/chart" Target="charts/chart28.xml"/><Relationship Id="rId72" Type="http://schemas.openxmlformats.org/officeDocument/2006/relationships/hyperlink" Target="https://www.itu.int/itu-d/meetings/statistics/wp-content/uploads/sites/8/2023/09/Report-of-the-EGH-subgroup-on-ICT-Skills.pdf" TargetMode="External"/><Relationship Id="rId93" Type="http://schemas.openxmlformats.org/officeDocument/2006/relationships/hyperlink" Target="Estimaciones%20regionales%20y%20mundiales,%20recopiladas%20para%20el%20informe%20Facts%20and%20Figures%202024%20(URL:%20https://www.itu.int/en/ITUD/Statistics/Documents/facts/ITU_regional_global_Key_ICT_indicator_aggregates_Nov_2024.xlsx)."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thierry.geiger@itu.in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tu.int/net/epub/BDT/2024-ITUs-contribution-to-the-implementation-of-the-Antigua-and-Barbuda-Agenda-for-SIDS/index.html" TargetMode="External"/><Relationship Id="rId2" Type="http://schemas.openxmlformats.org/officeDocument/2006/relationships/hyperlink" Target="https://digitallibrary.un.org/record/4054465?ln=en" TargetMode="External"/><Relationship Id="rId1" Type="http://schemas.openxmlformats.org/officeDocument/2006/relationships/hyperlink" Target="http://www.gen5.digital/benchmark" TargetMode="External"/><Relationship Id="rId6" Type="http://schemas.openxmlformats.org/officeDocument/2006/relationships/hyperlink" Target="https://www.itu.int/itu-d/reports/statistics/facts-figures-2024/" TargetMode="External"/><Relationship Id="rId5" Type="http://schemas.openxmlformats.org/officeDocument/2006/relationships/hyperlink" Target="https://datahub.itu.int/" TargetMode="External"/><Relationship Id="rId4" Type="http://schemas.openxmlformats.org/officeDocument/2006/relationships/hyperlink" Target="https://docs.un.org/es/A/RES/79/233"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rueda\Downloads\2500372S_SelfRevision_Excel%2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blue\dfs\pool\ESP\gDocs\2025\2500372S.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blue\dfs\pool\ESP\gDocs\2025\2500372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blue\dfs\pool\ESP\gDocs\2025\2500372S.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chartUserShapes" Target="../drawings/drawing5.xml"/><Relationship Id="rId4" Type="http://schemas.openxmlformats.org/officeDocument/2006/relationships/oleObject" Target="file:///\\blue\dfs\pool\ESP\gDocs\2025\2500372S.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4.xml"/><Relationship Id="rId1" Type="http://schemas.microsoft.com/office/2011/relationships/chartStyle" Target="style14.xml"/><Relationship Id="rId5" Type="http://schemas.openxmlformats.org/officeDocument/2006/relationships/chartUserShapes" Target="../drawings/drawing6.xml"/><Relationship Id="rId4" Type="http://schemas.openxmlformats.org/officeDocument/2006/relationships/oleObject" Target="file:///\\blue\dfs\pool\ESP\gDocs\2025\2500372S.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file:///\\blue\dfs\pool\ESP\gDocs\2025\2500372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blue\dfs\pool\ESP\gDocs\2025\2500372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blue\dfs\pool\ESP\gDocs\2025\2500372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blue\dfs\pool\ESP\gDocs\2025\2500372S.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blue\dfs\pool\ESP\gDocs\2025\2500372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rueda\Downloads\2500372S_SelfRevision_Excel%20(2).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blue\dfs\pool\ESP\gDocs\2025\2500372S.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blue\dfs\pool\ESP\gDocs\2025\2500372S.xlsx"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file:///\\blue\dfs\pool\ESP\gDocs\2025\2500372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3.xml"/><Relationship Id="rId1" Type="http://schemas.microsoft.com/office/2011/relationships/chartStyle" Target="style23.xml"/><Relationship Id="rId5" Type="http://schemas.openxmlformats.org/officeDocument/2006/relationships/chartUserShapes" Target="../drawings/drawing7.xml"/><Relationship Id="rId4" Type="http://schemas.openxmlformats.org/officeDocument/2006/relationships/oleObject" Target="file:///\\blue\dfs\pool\ESP\gDocs\2025\2500372S.xlsx" TargetMode="External"/></Relationships>
</file>

<file path=word/charts/_rels/chart24.xml.rels><?xml version="1.0" encoding="UTF-8" standalone="yes"?>
<Relationships xmlns="http://schemas.openxmlformats.org/package/2006/relationships"><Relationship Id="rId3" Type="http://schemas.openxmlformats.org/officeDocument/2006/relationships/oleObject" Target="file:///\\blue\dfs\pool\ESP\gDocs\2025\2500372S.xlsx" TargetMode="Externa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chartUserShapes" Target="../drawings/drawing8.xml"/></Relationships>
</file>

<file path=word/charts/_rels/chart25.xml.rels><?xml version="1.0" encoding="UTF-8" standalone="yes"?>
<Relationships xmlns="http://schemas.openxmlformats.org/package/2006/relationships"><Relationship Id="rId3" Type="http://schemas.openxmlformats.org/officeDocument/2006/relationships/oleObject" Target="file:///\\blue\dfs\pool\ESP\gDocs\2025\2500372S.xlsx" TargetMode="Externa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chartUserShapes" Target="../drawings/drawing9.xml"/></Relationships>
</file>

<file path=word/charts/_rels/chart26.xml.rels><?xml version="1.0" encoding="UTF-8" standalone="yes"?>
<Relationships xmlns="http://schemas.openxmlformats.org/package/2006/relationships"><Relationship Id="rId3" Type="http://schemas.openxmlformats.org/officeDocument/2006/relationships/oleObject" Target="file:///\\blue\dfs\pool\ESP\gDocs\2025\2500372S.xlsx" TargetMode="Externa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chartUserShapes" Target="../drawings/drawing10.xml"/></Relationships>
</file>

<file path=word/charts/_rels/chart27.xml.rels><?xml version="1.0" encoding="UTF-8" standalone="yes"?>
<Relationships xmlns="http://schemas.openxmlformats.org/package/2006/relationships"><Relationship Id="rId3" Type="http://schemas.openxmlformats.org/officeDocument/2006/relationships/oleObject" Target="file:///\\blue\dfs\pool\ESP\gDocs\2025\2500372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blue\dfs\pool\ESP\gDocs\2025\2500372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9.xml"/><Relationship Id="rId1" Type="http://schemas.microsoft.com/office/2011/relationships/chartStyle" Target="style29.xml"/><Relationship Id="rId5" Type="http://schemas.openxmlformats.org/officeDocument/2006/relationships/chartUserShapes" Target="../drawings/drawing11.xml"/><Relationship Id="rId4" Type="http://schemas.openxmlformats.org/officeDocument/2006/relationships/oleObject" Target="file:///\\blue\dfs\pool\ESP\gDocs\2025\2500372S.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rueda\Downloads\2500372S_SelfRevision_Excel%20(2).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blue\dfs\pool\ESP\gDocs\2025\2500372S.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31.xml"/><Relationship Id="rId1" Type="http://schemas.microsoft.com/office/2011/relationships/chartStyle" Target="style31.xml"/><Relationship Id="rId5" Type="http://schemas.openxmlformats.org/officeDocument/2006/relationships/chartUserShapes" Target="../drawings/drawing12.xml"/><Relationship Id="rId4" Type="http://schemas.openxmlformats.org/officeDocument/2006/relationships/oleObject" Target="file:///\\blue\dfs\pool\ESP\gDocs\2025\2500372S.xlsx" TargetMode="External"/></Relationships>
</file>

<file path=word/charts/_rels/chart32.xml.rels><?xml version="1.0" encoding="UTF-8" standalone="yes"?>
<Relationships xmlns="http://schemas.openxmlformats.org/package/2006/relationships"><Relationship Id="rId3" Type="http://schemas.openxmlformats.org/officeDocument/2006/relationships/oleObject" Target="file:///\\blue\dfs\pool\ESP\gDocs\2025\2500372S.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blue\dfs\pool\ESP\gDocs\2025\2500372S.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blue\dfs\pool\ESP\gDocs\2025\2500372S.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blue\dfs\pool\ESP\gDocs\2025\2500372S.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blue\dfs\pool\ESP\gDocs\2025\2500372S.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blue\dfs\pool\ESP\gDocs\2025\2500372S.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blue\dfs\pool\ESP\gDocs\2025\2500372S.xlsx" TargetMode="Externa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chartUserShapes" Target="../drawings/drawing13.xml"/></Relationships>
</file>

<file path=word/charts/_rels/chart39.xml.rels><?xml version="1.0" encoding="UTF-8" standalone="yes"?>
<Relationships xmlns="http://schemas.openxmlformats.org/package/2006/relationships"><Relationship Id="rId3" Type="http://schemas.openxmlformats.org/officeDocument/2006/relationships/oleObject" Target="file:///\\blue\dfs\pool\ESP\gDocs\2025\2500372S.xlsx" TargetMode="External"/><Relationship Id="rId2" Type="http://schemas.microsoft.com/office/2011/relationships/chartColorStyle" Target="colors44.xml"/><Relationship Id="rId1" Type="http://schemas.microsoft.com/office/2011/relationships/chartStyle" Target="style44.xml"/></Relationships>
</file>

<file path=word/charts/_rels/chart4.xml.rels><?xml version="1.0" encoding="UTF-8" standalone="yes"?>
<Relationships xmlns="http://schemas.openxmlformats.org/package/2006/relationships"><Relationship Id="rId3" Type="http://schemas.openxmlformats.org/officeDocument/2006/relationships/oleObject" Target="file:///\\blue\dfs\pool\ESP\gDocs\2025\2500372S.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blue\dfs\pool\ESP\gDocs\2025\2500372S.xlsx" TargetMode="External"/><Relationship Id="rId2" Type="http://schemas.microsoft.com/office/2011/relationships/chartColorStyle" Target="colors45.xml"/><Relationship Id="rId1" Type="http://schemas.microsoft.com/office/2011/relationships/chartStyle" Target="style45.xml"/></Relationships>
</file>

<file path=word/charts/_rels/chart41.xml.rels><?xml version="1.0" encoding="UTF-8" standalone="yes"?>
<Relationships xmlns="http://schemas.openxmlformats.org/package/2006/relationships"><Relationship Id="rId3" Type="http://schemas.openxmlformats.org/officeDocument/2006/relationships/oleObject" Target="file:///\\blue\dfs\pool\ESP\gDocs\2025\2500372S.xlsx" TargetMode="External"/><Relationship Id="rId2" Type="http://schemas.microsoft.com/office/2011/relationships/chartColorStyle" Target="colors46.xml"/><Relationship Id="rId1" Type="http://schemas.microsoft.com/office/2011/relationships/chartStyle" Target="style46.xm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47.xml"/><Relationship Id="rId1" Type="http://schemas.microsoft.com/office/2011/relationships/chartStyle" Target="style47.xml"/><Relationship Id="rId5" Type="http://schemas.openxmlformats.org/officeDocument/2006/relationships/chartUserShapes" Target="../drawings/drawing14.xml"/><Relationship Id="rId4" Type="http://schemas.openxmlformats.org/officeDocument/2006/relationships/oleObject" Target="file:///\\blue\dfs\pool\ESP\gDocs\2025\2500372S.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48.xml"/><Relationship Id="rId1" Type="http://schemas.microsoft.com/office/2011/relationships/chartStyle" Target="style48.xml"/><Relationship Id="rId5" Type="http://schemas.openxmlformats.org/officeDocument/2006/relationships/chartUserShapes" Target="../drawings/drawing15.xml"/><Relationship Id="rId4" Type="http://schemas.openxmlformats.org/officeDocument/2006/relationships/oleObject" Target="file:///\\blue\dfs\pool\ESP\gDocs\2025\2500372S.xlsx" TargetMode="External"/></Relationships>
</file>

<file path=word/charts/_rels/chart44.xml.rels><?xml version="1.0" encoding="UTF-8" standalone="yes"?>
<Relationships xmlns="http://schemas.openxmlformats.org/package/2006/relationships"><Relationship Id="rId3" Type="http://schemas.openxmlformats.org/officeDocument/2006/relationships/oleObject" Target="file:///\\blue\dfs\pool\ESP\gDocs\2025\2500372S.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2.xml"/><Relationship Id="rId4" Type="http://schemas.openxmlformats.org/officeDocument/2006/relationships/oleObject" Target="file:///\\blue\dfs\pool\ESP\gDocs\2025\2500372S.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blue\dfs\pool\ESP\gDocs\2025\2500372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blue\dfs\pool\ESP\gDocs\2025\2500372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blue\dfs\pool\ESP\gDocs\2025\2500372S.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_rels/chart9.xml.rels><?xml version="1.0" encoding="UTF-8" standalone="yes"?>
<Relationships xmlns="http://schemas.openxmlformats.org/package/2006/relationships"><Relationship Id="rId3" Type="http://schemas.openxmlformats.org/officeDocument/2006/relationships/oleObject" Target="file:///\\blue\dfs\pool\ESP\gDocs\2025\2500372S.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38.xml"/><Relationship Id="rId2" Type="http://schemas.microsoft.com/office/2011/relationships/chartStyle" Target="style38.xml"/><Relationship Id="rId1" Type="http://schemas.openxmlformats.org/officeDocument/2006/relationships/oleObject" Target="file:///\\blue\dfs\pool\ESP\gDocs\2025\2500372S.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39.xml"/><Relationship Id="rId2" Type="http://schemas.microsoft.com/office/2011/relationships/chartStyle" Target="style39.xml"/><Relationship Id="rId1" Type="http://schemas.openxmlformats.org/officeDocument/2006/relationships/oleObject" Target="file:///\\blue\dfs\pool\ESP\gDocs\2025\2500372S.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40.xml"/><Relationship Id="rId2" Type="http://schemas.microsoft.com/office/2011/relationships/chartStyle" Target="style40.xml"/><Relationship Id="rId1" Type="http://schemas.openxmlformats.org/officeDocument/2006/relationships/oleObject" Target="file:///\\blue\dfs\pool\ESP\gDocs\2025\2500372S.xlsx"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41.xml"/><Relationship Id="rId2" Type="http://schemas.microsoft.com/office/2011/relationships/chartStyle" Target="style41.xml"/><Relationship Id="rId1" Type="http://schemas.openxmlformats.org/officeDocument/2006/relationships/oleObject" Target="file:///\\blue\dfs\pool\ESP\gDocs\2025\2500372S.xlsx" TargetMode="External"/></Relationships>
</file>

<file path=word/charts/_rels/chartEx5.xml.rels><?xml version="1.0" encoding="UTF-8" standalone="yes"?>
<Relationships xmlns="http://schemas.openxmlformats.org/package/2006/relationships"><Relationship Id="rId3" Type="http://schemas.microsoft.com/office/2011/relationships/chartColorStyle" Target="colors42.xml"/><Relationship Id="rId2" Type="http://schemas.microsoft.com/office/2011/relationships/chartStyle" Target="style42.xml"/><Relationship Id="rId1" Type="http://schemas.openxmlformats.org/officeDocument/2006/relationships/oleObject" Target="file:///\\blue\dfs\pool\ESP\gDocs\2025\2500372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filled"/>
        <c:varyColors val="0"/>
        <c:ser>
          <c:idx val="0"/>
          <c:order val="0"/>
          <c:tx>
            <c:strRef>
              <c:f>'2.Principales ámbitos'!$A$4</c:f>
              <c:strCache>
                <c:ptCount val="1"/>
                <c:pt idx="0">
                  <c:v>Mundo</c:v>
                </c:pt>
              </c:strCache>
            </c:strRef>
          </c:tx>
          <c:spPr>
            <a:noFill/>
            <a:ln w="12700">
              <a:solidFill>
                <a:srgbClr val="00B0F0"/>
              </a:solidFill>
            </a:ln>
            <a:effectLst/>
          </c:spPr>
          <c:cat>
            <c:strRef>
              <c:f>'2.Principales ámbitos'!$B$3:$J$3</c:f>
              <c:strCache>
                <c:ptCount val="9"/>
                <c:pt idx="0">
                  <c:v>Programa nacional de política digital</c:v>
                </c:pt>
                <c:pt idx="1">
                  <c:v>Capacidad de reglamentación</c:v>
                </c:pt>
                <c:pt idx="2">
                  <c:v>Buena gobernanza</c:v>
                </c:pt>
                <c:pt idx="3">
                  <c:v>Gobernanza colaborativa</c:v>
                </c:pt>
                <c:pt idx="4">
                  <c:v>Implicación de los interesados</c:v>
                </c:pt>
                <c:pt idx="5">
                  <c:v>Instrumentos jurídicos para TIC/telecomunicaciones</c:v>
                </c:pt>
                <c:pt idx="6">
                  <c:v>Instrumentos jurídicos para los mercados digitales</c:v>
                </c:pt>
                <c:pt idx="7">
                  <c:v>Reglas del mercado de TIC</c:v>
                </c:pt>
                <c:pt idx="8">
                  <c:v>Colaboración regional e internacional</c:v>
                </c:pt>
              </c:strCache>
            </c:strRef>
          </c:cat>
          <c:val>
            <c:numRef>
              <c:f>'2.Principales ámbitos'!$B$4:$J$4</c:f>
              <c:numCache>
                <c:formatCode>0%</c:formatCode>
                <c:ptCount val="9"/>
                <c:pt idx="0">
                  <c:v>0.42580045170718744</c:v>
                </c:pt>
                <c:pt idx="1">
                  <c:v>0.62877171594026215</c:v>
                </c:pt>
                <c:pt idx="2">
                  <c:v>0.57607159679698539</c:v>
                </c:pt>
                <c:pt idx="3">
                  <c:v>0.42389896373056996</c:v>
                </c:pt>
                <c:pt idx="4">
                  <c:v>0.33886010362694302</c:v>
                </c:pt>
                <c:pt idx="5">
                  <c:v>0.59219750076196287</c:v>
                </c:pt>
                <c:pt idx="6">
                  <c:v>0.38568652849740931</c:v>
                </c:pt>
                <c:pt idx="7">
                  <c:v>0.59158793050899117</c:v>
                </c:pt>
                <c:pt idx="8">
                  <c:v>0.36373056994818653</c:v>
                </c:pt>
              </c:numCache>
            </c:numRef>
          </c:val>
          <c:extLst>
            <c:ext xmlns:c16="http://schemas.microsoft.com/office/drawing/2014/chart" uri="{C3380CC4-5D6E-409C-BE32-E72D297353CC}">
              <c16:uniqueId val="{00000000-2380-4DB9-B146-22FEC424DA46}"/>
            </c:ext>
          </c:extLst>
        </c:ser>
        <c:ser>
          <c:idx val="1"/>
          <c:order val="1"/>
          <c:tx>
            <c:strRef>
              <c:f>'2.Principales ámbitos'!$A$5</c:f>
              <c:strCache>
                <c:ptCount val="1"/>
                <c:pt idx="0">
                  <c:v>Américas</c:v>
                </c:pt>
              </c:strCache>
            </c:strRef>
          </c:tx>
          <c:spPr>
            <a:noFill/>
            <a:ln w="12700">
              <a:solidFill>
                <a:srgbClr val="403A60"/>
              </a:solidFill>
            </a:ln>
            <a:effectLst/>
          </c:spPr>
          <c:cat>
            <c:strRef>
              <c:f>'2.Principales ámbitos'!$B$3:$J$3</c:f>
              <c:strCache>
                <c:ptCount val="9"/>
                <c:pt idx="0">
                  <c:v>Programa nacional de política digital</c:v>
                </c:pt>
                <c:pt idx="1">
                  <c:v>Capacidad de reglamentación</c:v>
                </c:pt>
                <c:pt idx="2">
                  <c:v>Buena gobernanza</c:v>
                </c:pt>
                <c:pt idx="3">
                  <c:v>Gobernanza colaborativa</c:v>
                </c:pt>
                <c:pt idx="4">
                  <c:v>Implicación de los interesados</c:v>
                </c:pt>
                <c:pt idx="5">
                  <c:v>Instrumentos jurídicos para TIC/telecomunicaciones</c:v>
                </c:pt>
                <c:pt idx="6">
                  <c:v>Instrumentos jurídicos para los mercados digitales</c:v>
                </c:pt>
                <c:pt idx="7">
                  <c:v>Reglas del mercado de TIC</c:v>
                </c:pt>
                <c:pt idx="8">
                  <c:v>Colaboración regional e internacional</c:v>
                </c:pt>
              </c:strCache>
            </c:strRef>
          </c:cat>
          <c:val>
            <c:numRef>
              <c:f>'2.Principales ámbitos'!$B$5:$J$5</c:f>
              <c:numCache>
                <c:formatCode>0%</c:formatCode>
                <c:ptCount val="9"/>
                <c:pt idx="0">
                  <c:v>0.42051282051282052</c:v>
                </c:pt>
                <c:pt idx="1">
                  <c:v>0.65210084033613447</c:v>
                </c:pt>
                <c:pt idx="2">
                  <c:v>0.62597402597402596</c:v>
                </c:pt>
                <c:pt idx="3">
                  <c:v>0.42499999999999999</c:v>
                </c:pt>
                <c:pt idx="4">
                  <c:v>0.30285714285714288</c:v>
                </c:pt>
                <c:pt idx="5">
                  <c:v>0.57478991596638651</c:v>
                </c:pt>
                <c:pt idx="6">
                  <c:v>0.32321428571428573</c:v>
                </c:pt>
                <c:pt idx="7">
                  <c:v>0.6386554621848739</c:v>
                </c:pt>
                <c:pt idx="8">
                  <c:v>0.29142857142857143</c:v>
                </c:pt>
              </c:numCache>
            </c:numRef>
          </c:val>
          <c:extLst>
            <c:ext xmlns:c16="http://schemas.microsoft.com/office/drawing/2014/chart" uri="{C3380CC4-5D6E-409C-BE32-E72D297353CC}">
              <c16:uniqueId val="{00000001-2380-4DB9-B146-22FEC424DA46}"/>
            </c:ext>
          </c:extLst>
        </c:ser>
        <c:ser>
          <c:idx val="2"/>
          <c:order val="2"/>
          <c:tx>
            <c:strRef>
              <c:f>'2.Principales ámbitos'!$A$6</c:f>
              <c:strCache>
                <c:ptCount val="1"/>
                <c:pt idx="0">
                  <c:v>PEID en las Américas</c:v>
                </c:pt>
              </c:strCache>
            </c:strRef>
          </c:tx>
          <c:spPr>
            <a:noFill/>
            <a:ln w="12700">
              <a:solidFill>
                <a:srgbClr val="A77BCA"/>
              </a:solidFill>
              <a:prstDash val="sysDot"/>
            </a:ln>
            <a:effectLst/>
          </c:spPr>
          <c:cat>
            <c:strRef>
              <c:f>'2.Principales ámbitos'!$B$3:$J$3</c:f>
              <c:strCache>
                <c:ptCount val="9"/>
                <c:pt idx="0">
                  <c:v>Programa nacional de política digital</c:v>
                </c:pt>
                <c:pt idx="1">
                  <c:v>Capacidad de reglamentación</c:v>
                </c:pt>
                <c:pt idx="2">
                  <c:v>Buena gobernanza</c:v>
                </c:pt>
                <c:pt idx="3">
                  <c:v>Gobernanza colaborativa</c:v>
                </c:pt>
                <c:pt idx="4">
                  <c:v>Implicación de los interesados</c:v>
                </c:pt>
                <c:pt idx="5">
                  <c:v>Instrumentos jurídicos para TIC/telecomunicaciones</c:v>
                </c:pt>
                <c:pt idx="6">
                  <c:v>Instrumentos jurídicos para los mercados digitales</c:v>
                </c:pt>
                <c:pt idx="7">
                  <c:v>Reglas del mercado de TIC</c:v>
                </c:pt>
                <c:pt idx="8">
                  <c:v>Colaboración regional e internacional</c:v>
                </c:pt>
              </c:strCache>
            </c:strRef>
          </c:cat>
          <c:val>
            <c:numRef>
              <c:f>'2.Principales ámbitos'!$B$6:$J$6</c:f>
              <c:numCache>
                <c:formatCode>0%</c:formatCode>
                <c:ptCount val="9"/>
                <c:pt idx="0">
                  <c:v>0.28525641025641024</c:v>
                </c:pt>
                <c:pt idx="1">
                  <c:v>0.72610294117647056</c:v>
                </c:pt>
                <c:pt idx="2">
                  <c:v>0.52840909090909083</c:v>
                </c:pt>
                <c:pt idx="3">
                  <c:v>0.423828125</c:v>
                </c:pt>
                <c:pt idx="4">
                  <c:v>0.32499999999999996</c:v>
                </c:pt>
                <c:pt idx="5">
                  <c:v>0.49264705882352938</c:v>
                </c:pt>
                <c:pt idx="6">
                  <c:v>0.21419270833333334</c:v>
                </c:pt>
                <c:pt idx="7">
                  <c:v>0.63664215686274517</c:v>
                </c:pt>
                <c:pt idx="8">
                  <c:v>0.23750000000000004</c:v>
                </c:pt>
              </c:numCache>
            </c:numRef>
          </c:val>
          <c:extLst>
            <c:ext xmlns:c16="http://schemas.microsoft.com/office/drawing/2014/chart" uri="{C3380CC4-5D6E-409C-BE32-E72D297353CC}">
              <c16:uniqueId val="{00000002-2380-4DB9-B146-22FEC424DA46}"/>
            </c:ext>
          </c:extLst>
        </c:ser>
        <c:ser>
          <c:idx val="3"/>
          <c:order val="3"/>
          <c:tx>
            <c:strRef>
              <c:f>'2.Principales ámbitos'!$A$7</c:f>
              <c:strCache>
                <c:ptCount val="1"/>
                <c:pt idx="0">
                  <c:v>PDSL en las Américas</c:v>
                </c:pt>
              </c:strCache>
            </c:strRef>
          </c:tx>
          <c:spPr>
            <a:noFill/>
            <a:ln w="12700">
              <a:solidFill>
                <a:schemeClr val="bg2">
                  <a:lumMod val="75000"/>
                </a:schemeClr>
              </a:solidFill>
              <a:prstDash val="sysDash"/>
            </a:ln>
            <a:effectLst/>
          </c:spPr>
          <c:cat>
            <c:strRef>
              <c:f>'2.Principales ámbitos'!$B$3:$J$3</c:f>
              <c:strCache>
                <c:ptCount val="9"/>
                <c:pt idx="0">
                  <c:v>Programa nacional de política digital</c:v>
                </c:pt>
                <c:pt idx="1">
                  <c:v>Capacidad de reglamentación</c:v>
                </c:pt>
                <c:pt idx="2">
                  <c:v>Buena gobernanza</c:v>
                </c:pt>
                <c:pt idx="3">
                  <c:v>Gobernanza colaborativa</c:v>
                </c:pt>
                <c:pt idx="4">
                  <c:v>Implicación de los interesados</c:v>
                </c:pt>
                <c:pt idx="5">
                  <c:v>Instrumentos jurídicos para TIC/telecomunicaciones</c:v>
                </c:pt>
                <c:pt idx="6">
                  <c:v>Instrumentos jurídicos para los mercados digitales</c:v>
                </c:pt>
                <c:pt idx="7">
                  <c:v>Reglas del mercado de TIC</c:v>
                </c:pt>
                <c:pt idx="8">
                  <c:v>Colaboración regional e internacional</c:v>
                </c:pt>
              </c:strCache>
            </c:strRef>
          </c:cat>
          <c:val>
            <c:numRef>
              <c:f>'2.Principales ámbitos'!$B$7:$J$7</c:f>
              <c:numCache>
                <c:formatCode>0%</c:formatCode>
                <c:ptCount val="9"/>
                <c:pt idx="0">
                  <c:v>0.3141025641025641</c:v>
                </c:pt>
                <c:pt idx="1">
                  <c:v>0.81617647058823528</c:v>
                </c:pt>
                <c:pt idx="2">
                  <c:v>0.81818181818181812</c:v>
                </c:pt>
                <c:pt idx="3">
                  <c:v>0.59375</c:v>
                </c:pt>
                <c:pt idx="4">
                  <c:v>0.30000000000000004</c:v>
                </c:pt>
                <c:pt idx="5">
                  <c:v>0.41176470588235292</c:v>
                </c:pt>
                <c:pt idx="6">
                  <c:v>0.33333333333333326</c:v>
                </c:pt>
                <c:pt idx="7">
                  <c:v>0.50245098039215674</c:v>
                </c:pt>
                <c:pt idx="8">
                  <c:v>0.3</c:v>
                </c:pt>
              </c:numCache>
            </c:numRef>
          </c:val>
          <c:extLst>
            <c:ext xmlns:c16="http://schemas.microsoft.com/office/drawing/2014/chart" uri="{C3380CC4-5D6E-409C-BE32-E72D297353CC}">
              <c16:uniqueId val="{00000003-2380-4DB9-B146-22FEC424DA46}"/>
            </c:ext>
          </c:extLst>
        </c:ser>
        <c:dLbls>
          <c:showLegendKey val="0"/>
          <c:showVal val="0"/>
          <c:showCatName val="0"/>
          <c:showSerName val="0"/>
          <c:showPercent val="0"/>
          <c:showBubbleSize val="0"/>
        </c:dLbls>
        <c:axId val="1349738543"/>
        <c:axId val="369575104"/>
      </c:radarChart>
      <c:catAx>
        <c:axId val="134973854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venir Next LT Pro Demi" panose="020B0704020202020204" pitchFamily="34" charset="0"/>
                <a:ea typeface="+mn-ea"/>
                <a:cs typeface="+mn-cs"/>
              </a:defRPr>
            </a:pPr>
            <a:endParaRPr lang="en-US"/>
          </a:p>
        </c:txPr>
        <c:crossAx val="369575104"/>
        <c:crosses val="autoZero"/>
        <c:auto val="1"/>
        <c:lblAlgn val="ctr"/>
        <c:lblOffset val="100"/>
        <c:noMultiLvlLbl val="0"/>
      </c:catAx>
      <c:valAx>
        <c:axId val="369575104"/>
        <c:scaling>
          <c:orientation val="minMax"/>
          <c:max val="1"/>
        </c:scaling>
        <c:delete val="0"/>
        <c:axPos val="l"/>
        <c:majorGridlines>
          <c:spPr>
            <a:ln w="12700" cap="flat" cmpd="sng" algn="ctr">
              <a:solidFill>
                <a:schemeClr val="tx1">
                  <a:lumMod val="15000"/>
                  <a:lumOff val="85000"/>
                </a:schemeClr>
              </a:solidFill>
              <a:prstDash val="sysDot"/>
              <a:round/>
            </a:ln>
            <a:effectLst/>
          </c:spPr>
        </c:majorGridlines>
        <c:numFmt formatCode="0%" sourceLinked="0"/>
        <c:majorTickMark val="none"/>
        <c:minorTickMark val="none"/>
        <c:tickLblPos val="nextTo"/>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Avenir Next LT Pro Demi" panose="020B0704020202020204" pitchFamily="34" charset="0"/>
                <a:ea typeface="+mn-ea"/>
                <a:cs typeface="+mn-cs"/>
              </a:defRPr>
            </a:pPr>
            <a:endParaRPr lang="en-US"/>
          </a:p>
        </c:txPr>
        <c:crossAx val="1349738543"/>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venir Next LT Pro Demi" panose="020B07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venir Next LT Pro Demi" panose="020B07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38790836997702E-2"/>
          <c:y val="3.9543057996485061E-2"/>
          <c:w val="0.91450527511915225"/>
          <c:h val="0.49588655328453013"/>
        </c:manualLayout>
      </c:layout>
      <c:barChart>
        <c:barDir val="col"/>
        <c:grouping val="clustered"/>
        <c:varyColors val="0"/>
        <c:ser>
          <c:idx val="2"/>
          <c:order val="2"/>
          <c:tx>
            <c:strRef>
              <c:f>'12. Usuarios por tipo zona'!$F$2:$F$3</c:f>
              <c:strCache>
                <c:ptCount val="2"/>
                <c:pt idx="1">
                  <c:v>Rural</c:v>
                </c:pt>
              </c:strCache>
            </c:strRef>
          </c:tx>
          <c:spPr>
            <a:solidFill>
              <a:srgbClr val="A77BCA"/>
            </a:solidFill>
            <a:ln>
              <a:noFill/>
            </a:ln>
            <a:effectLst/>
          </c:spPr>
          <c:invertIfNegative val="0"/>
          <c:cat>
            <c:strRef>
              <c:f>'12. Usuarios por tipo zona'!$C$4:$C$16</c:f>
              <c:strCache>
                <c:ptCount val="13"/>
                <c:pt idx="0">
                  <c:v>Bolivia (2021)</c:v>
                </c:pt>
                <c:pt idx="1">
                  <c:v>El Salvador (2020)</c:v>
                </c:pt>
                <c:pt idx="2">
                  <c:v>Perú</c:v>
                </c:pt>
                <c:pt idx="3">
                  <c:v>Colombia</c:v>
                </c:pt>
                <c:pt idx="4">
                  <c:v>Ecuador (2024)</c:v>
                </c:pt>
                <c:pt idx="5">
                  <c:v>México</c:v>
                </c:pt>
                <c:pt idx="6">
                  <c:v>Paraguay</c:v>
                </c:pt>
                <c:pt idx="7">
                  <c:v>Rep. Dominicana (2022)</c:v>
                </c:pt>
                <c:pt idx="8">
                  <c:v>Jamaica (2021)</c:v>
                </c:pt>
                <c:pt idx="9">
                  <c:v>Brasil</c:v>
                </c:pt>
                <c:pt idx="10">
                  <c:v>Costa Rica</c:v>
                </c:pt>
                <c:pt idx="11">
                  <c:v>Canadá (2022)</c:v>
                </c:pt>
                <c:pt idx="12">
                  <c:v>Honduras</c:v>
                </c:pt>
              </c:strCache>
            </c:strRef>
          </c:cat>
          <c:val>
            <c:numRef>
              <c:f>'12. Usuarios por tipo zona'!$F$4:$F$16</c:f>
              <c:numCache>
                <c:formatCode>0</c:formatCode>
                <c:ptCount val="13"/>
                <c:pt idx="0">
                  <c:v>37.947192432058202</c:v>
                </c:pt>
                <c:pt idx="1">
                  <c:v>39.698452423037502</c:v>
                </c:pt>
                <c:pt idx="2">
                  <c:v>58.277684043903001</c:v>
                </c:pt>
                <c:pt idx="3">
                  <c:v>59.601963492045101</c:v>
                </c:pt>
                <c:pt idx="4">
                  <c:v>59.780729765886598</c:v>
                </c:pt>
                <c:pt idx="5">
                  <c:v>66.021287505653802</c:v>
                </c:pt>
                <c:pt idx="6">
                  <c:v>68.225729153217301</c:v>
                </c:pt>
                <c:pt idx="7">
                  <c:v>71.899540988659396</c:v>
                </c:pt>
                <c:pt idx="8">
                  <c:v>76.781221935721604</c:v>
                </c:pt>
                <c:pt idx="9">
                  <c:v>77.624054706680397</c:v>
                </c:pt>
                <c:pt idx="10">
                  <c:v>79.662772199119999</c:v>
                </c:pt>
                <c:pt idx="11">
                  <c:v>92</c:v>
                </c:pt>
              </c:numCache>
            </c:numRef>
          </c:val>
          <c:extLst>
            <c:ext xmlns:c16="http://schemas.microsoft.com/office/drawing/2014/chart" uri="{C3380CC4-5D6E-409C-BE32-E72D297353CC}">
              <c16:uniqueId val="{00000000-269C-4029-9E01-73688A71AAEE}"/>
            </c:ext>
          </c:extLst>
        </c:ser>
        <c:ser>
          <c:idx val="3"/>
          <c:order val="3"/>
          <c:tx>
            <c:strRef>
              <c:f>'12. Usuarios por tipo zona'!$G$2:$G$3</c:f>
              <c:strCache>
                <c:ptCount val="2"/>
                <c:pt idx="1">
                  <c:v>Urbana</c:v>
                </c:pt>
              </c:strCache>
            </c:strRef>
          </c:tx>
          <c:spPr>
            <a:solidFill>
              <a:srgbClr val="403A60"/>
            </a:solidFill>
            <a:ln>
              <a:noFill/>
            </a:ln>
            <a:effectLst/>
          </c:spPr>
          <c:invertIfNegative val="0"/>
          <c:cat>
            <c:strRef>
              <c:f>'12. Usuarios por tipo zona'!$C$4:$C$16</c:f>
              <c:strCache>
                <c:ptCount val="13"/>
                <c:pt idx="0">
                  <c:v>Bolivia (2021)</c:v>
                </c:pt>
                <c:pt idx="1">
                  <c:v>El Salvador (2020)</c:v>
                </c:pt>
                <c:pt idx="2">
                  <c:v>Perú</c:v>
                </c:pt>
                <c:pt idx="3">
                  <c:v>Colombia</c:v>
                </c:pt>
                <c:pt idx="4">
                  <c:v>Ecuador (2024)</c:v>
                </c:pt>
                <c:pt idx="5">
                  <c:v>México</c:v>
                </c:pt>
                <c:pt idx="6">
                  <c:v>Paraguay</c:v>
                </c:pt>
                <c:pt idx="7">
                  <c:v>Rep. Dominicana (2022)</c:v>
                </c:pt>
                <c:pt idx="8">
                  <c:v>Jamaica (2021)</c:v>
                </c:pt>
                <c:pt idx="9">
                  <c:v>Brasil</c:v>
                </c:pt>
                <c:pt idx="10">
                  <c:v>Costa Rica</c:v>
                </c:pt>
                <c:pt idx="11">
                  <c:v>Canadá (2022)</c:v>
                </c:pt>
                <c:pt idx="12">
                  <c:v>Honduras</c:v>
                </c:pt>
              </c:strCache>
            </c:strRef>
          </c:cat>
          <c:val>
            <c:numRef>
              <c:f>'12. Usuarios por tipo zona'!$G$4:$G$16</c:f>
              <c:numCache>
                <c:formatCode>0</c:formatCode>
                <c:ptCount val="13"/>
                <c:pt idx="0">
                  <c:v>77.641890999964602</c:v>
                </c:pt>
                <c:pt idx="1">
                  <c:v>63.548748926174902</c:v>
                </c:pt>
                <c:pt idx="2">
                  <c:v>84.160489165082396</c:v>
                </c:pt>
                <c:pt idx="3">
                  <c:v>82.617615155190407</c:v>
                </c:pt>
                <c:pt idx="4">
                  <c:v>85.1099365661928</c:v>
                </c:pt>
                <c:pt idx="5">
                  <c:v>85.495739518710593</c:v>
                </c:pt>
                <c:pt idx="6">
                  <c:v>83.812638647243304</c:v>
                </c:pt>
                <c:pt idx="7">
                  <c:v>83.392978213279406</c:v>
                </c:pt>
                <c:pt idx="8">
                  <c:v>86.816151308171996</c:v>
                </c:pt>
                <c:pt idx="9">
                  <c:v>85.1197175718778</c:v>
                </c:pt>
                <c:pt idx="10">
                  <c:v>87.551431147825497</c:v>
                </c:pt>
                <c:pt idx="11">
                  <c:v>95</c:v>
                </c:pt>
              </c:numCache>
            </c:numRef>
          </c:val>
          <c:extLst>
            <c:ext xmlns:c16="http://schemas.microsoft.com/office/drawing/2014/chart" uri="{C3380CC4-5D6E-409C-BE32-E72D297353CC}">
              <c16:uniqueId val="{00000001-269C-4029-9E01-73688A71AAEE}"/>
            </c:ext>
          </c:extLst>
        </c:ser>
        <c:dLbls>
          <c:showLegendKey val="0"/>
          <c:showVal val="0"/>
          <c:showCatName val="0"/>
          <c:showSerName val="0"/>
          <c:showPercent val="0"/>
          <c:showBubbleSize val="0"/>
        </c:dLbls>
        <c:gapWidth val="219"/>
        <c:overlap val="-27"/>
        <c:axId val="1730554495"/>
        <c:axId val="1730538655"/>
      </c:barChart>
      <c:barChart>
        <c:barDir val="col"/>
        <c:grouping val="clustered"/>
        <c:varyColors val="0"/>
        <c:ser>
          <c:idx val="0"/>
          <c:order val="0"/>
          <c:tx>
            <c:strRef>
              <c:f>'12. Usuarios por tipo zona'!$D$2:$D$3</c:f>
              <c:strCache>
                <c:ptCount val="2"/>
                <c:pt idx="1">
                  <c:v>Rural</c:v>
                </c:pt>
              </c:strCache>
            </c:strRef>
          </c:tx>
          <c:spPr>
            <a:noFill/>
            <a:ln>
              <a:solidFill>
                <a:schemeClr val="tx1"/>
              </a:solidFill>
            </a:ln>
            <a:effectLst>
              <a:outerShdw dist="25400" dir="16200000" algn="ctr" rotWithShape="0">
                <a:schemeClr val="tx1"/>
              </a:outerShdw>
            </a:effectLst>
          </c:spPr>
          <c:invertIfNegative val="0"/>
          <c:cat>
            <c:strRef>
              <c:f>'12. Usuarios por tipo zona'!$C$4:$C$16</c:f>
              <c:strCache>
                <c:ptCount val="13"/>
                <c:pt idx="0">
                  <c:v>Bolivia (2021)</c:v>
                </c:pt>
                <c:pt idx="1">
                  <c:v>El Salvador (2020)</c:v>
                </c:pt>
                <c:pt idx="2">
                  <c:v>Perú</c:v>
                </c:pt>
                <c:pt idx="3">
                  <c:v>Colombia</c:v>
                </c:pt>
                <c:pt idx="4">
                  <c:v>Ecuador (2024)</c:v>
                </c:pt>
                <c:pt idx="5">
                  <c:v>México</c:v>
                </c:pt>
                <c:pt idx="6">
                  <c:v>Paraguay</c:v>
                </c:pt>
                <c:pt idx="7">
                  <c:v>Rep. Dominicana (2022)</c:v>
                </c:pt>
                <c:pt idx="8">
                  <c:v>Jamaica (2021)</c:v>
                </c:pt>
                <c:pt idx="9">
                  <c:v>Brasil</c:v>
                </c:pt>
                <c:pt idx="10">
                  <c:v>Costa Rica</c:v>
                </c:pt>
                <c:pt idx="11">
                  <c:v>Canadá (2022)</c:v>
                </c:pt>
                <c:pt idx="12">
                  <c:v>Honduras</c:v>
                </c:pt>
              </c:strCache>
            </c:strRef>
          </c:cat>
          <c:val>
            <c:numRef>
              <c:f>'12. Usuarios por tipo zona'!$D$4:$D$16</c:f>
              <c:numCache>
                <c:formatCode>General</c:formatCode>
                <c:ptCount val="13"/>
                <c:pt idx="0" formatCode="0">
                  <c:v>19.114533774719899</c:v>
                </c:pt>
                <c:pt idx="2" formatCode="0">
                  <c:v>17.700963954530199</c:v>
                </c:pt>
                <c:pt idx="3" formatCode="0">
                  <c:v>35.833777447711498</c:v>
                </c:pt>
                <c:pt idx="5" formatCode="0">
                  <c:v>27.599026944065599</c:v>
                </c:pt>
                <c:pt idx="6" formatCode="0">
                  <c:v>48.787003340665997</c:v>
                </c:pt>
                <c:pt idx="7" formatCode="0">
                  <c:v>60.507666237555902</c:v>
                </c:pt>
                <c:pt idx="9" formatCode="0">
                  <c:v>71.550973504891203</c:v>
                </c:pt>
                <c:pt idx="12" formatCode="0">
                  <c:v>17.396123260980499</c:v>
                </c:pt>
              </c:numCache>
            </c:numRef>
          </c:val>
          <c:extLst>
            <c:ext xmlns:c16="http://schemas.microsoft.com/office/drawing/2014/chart" uri="{C3380CC4-5D6E-409C-BE32-E72D297353CC}">
              <c16:uniqueId val="{00000002-269C-4029-9E01-73688A71AAEE}"/>
            </c:ext>
          </c:extLst>
        </c:ser>
        <c:ser>
          <c:idx val="1"/>
          <c:order val="1"/>
          <c:tx>
            <c:strRef>
              <c:f>'12. Usuarios por tipo zona'!$E$2:$E$3</c:f>
              <c:strCache>
                <c:ptCount val="2"/>
                <c:pt idx="1">
                  <c:v>Urbana</c:v>
                </c:pt>
              </c:strCache>
            </c:strRef>
          </c:tx>
          <c:spPr>
            <a:noFill/>
            <a:ln>
              <a:solidFill>
                <a:schemeClr val="tx1"/>
              </a:solidFill>
            </a:ln>
            <a:effectLst>
              <a:outerShdw dist="25400" dir="16200000" algn="ctr" rotWithShape="0">
                <a:schemeClr val="tx1"/>
              </a:outerShdw>
            </a:effectLst>
          </c:spPr>
          <c:invertIfNegative val="0"/>
          <c:cat>
            <c:strRef>
              <c:f>'12. Usuarios por tipo zona'!$C$4:$C$16</c:f>
              <c:strCache>
                <c:ptCount val="13"/>
                <c:pt idx="0">
                  <c:v>Bolivia (2021)</c:v>
                </c:pt>
                <c:pt idx="1">
                  <c:v>El Salvador (2020)</c:v>
                </c:pt>
                <c:pt idx="2">
                  <c:v>Perú</c:v>
                </c:pt>
                <c:pt idx="3">
                  <c:v>Colombia</c:v>
                </c:pt>
                <c:pt idx="4">
                  <c:v>Ecuador (2024)</c:v>
                </c:pt>
                <c:pt idx="5">
                  <c:v>México</c:v>
                </c:pt>
                <c:pt idx="6">
                  <c:v>Paraguay</c:v>
                </c:pt>
                <c:pt idx="7">
                  <c:v>Rep. Dominicana (2022)</c:v>
                </c:pt>
                <c:pt idx="8">
                  <c:v>Jamaica (2021)</c:v>
                </c:pt>
                <c:pt idx="9">
                  <c:v>Brasil</c:v>
                </c:pt>
                <c:pt idx="10">
                  <c:v>Costa Rica</c:v>
                </c:pt>
                <c:pt idx="11">
                  <c:v>Canadá (2022)</c:v>
                </c:pt>
                <c:pt idx="12">
                  <c:v>Honduras</c:v>
                </c:pt>
              </c:strCache>
            </c:strRef>
          </c:cat>
          <c:val>
            <c:numRef>
              <c:f>'12. Usuarios por tipo zona'!$E$4:$E$16</c:f>
              <c:numCache>
                <c:formatCode>General</c:formatCode>
                <c:ptCount val="13"/>
                <c:pt idx="0" formatCode="0">
                  <c:v>55.313675184511503</c:v>
                </c:pt>
                <c:pt idx="2" formatCode="0">
                  <c:v>62.1539445654224</c:v>
                </c:pt>
                <c:pt idx="3" formatCode="0">
                  <c:v>72.423109158238304</c:v>
                </c:pt>
                <c:pt idx="5" formatCode="0">
                  <c:v>65.640398994638701</c:v>
                </c:pt>
                <c:pt idx="6" formatCode="0">
                  <c:v>74.479599270162396</c:v>
                </c:pt>
                <c:pt idx="7" formatCode="0">
                  <c:v>78.126816146958106</c:v>
                </c:pt>
                <c:pt idx="9" formatCode="0">
                  <c:v>70.289737169742196</c:v>
                </c:pt>
                <c:pt idx="12" formatCode="0">
                  <c:v>51.273391569414301</c:v>
                </c:pt>
              </c:numCache>
            </c:numRef>
          </c:val>
          <c:extLst>
            <c:ext xmlns:c16="http://schemas.microsoft.com/office/drawing/2014/chart" uri="{C3380CC4-5D6E-409C-BE32-E72D297353CC}">
              <c16:uniqueId val="{00000003-269C-4029-9E01-73688A71AAEE}"/>
            </c:ext>
          </c:extLst>
        </c:ser>
        <c:dLbls>
          <c:showLegendKey val="0"/>
          <c:showVal val="0"/>
          <c:showCatName val="0"/>
          <c:showSerName val="0"/>
          <c:showPercent val="0"/>
          <c:showBubbleSize val="0"/>
        </c:dLbls>
        <c:gapWidth val="219"/>
        <c:overlap val="-27"/>
        <c:axId val="826222559"/>
        <c:axId val="826205759"/>
      </c:barChart>
      <c:catAx>
        <c:axId val="1730554495"/>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730538655"/>
        <c:crosses val="autoZero"/>
        <c:auto val="1"/>
        <c:lblAlgn val="ctr"/>
        <c:lblOffset val="100"/>
        <c:noMultiLvlLbl val="0"/>
      </c:catAx>
      <c:valAx>
        <c:axId val="1730538655"/>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730554495"/>
        <c:crosses val="autoZero"/>
        <c:crossBetween val="between"/>
        <c:majorUnit val="20"/>
      </c:valAx>
      <c:valAx>
        <c:axId val="826205759"/>
        <c:scaling>
          <c:orientation val="minMax"/>
          <c:max val="100"/>
        </c:scaling>
        <c:delete val="1"/>
        <c:axPos val="r"/>
        <c:numFmt formatCode="0" sourceLinked="1"/>
        <c:majorTickMark val="out"/>
        <c:minorTickMark val="none"/>
        <c:tickLblPos val="nextTo"/>
        <c:crossAx val="826222559"/>
        <c:crosses val="max"/>
        <c:crossBetween val="between"/>
      </c:valAx>
      <c:catAx>
        <c:axId val="826222559"/>
        <c:scaling>
          <c:orientation val="minMax"/>
        </c:scaling>
        <c:delete val="1"/>
        <c:axPos val="b"/>
        <c:numFmt formatCode="General" sourceLinked="1"/>
        <c:majorTickMark val="out"/>
        <c:minorTickMark val="none"/>
        <c:tickLblPos val="nextTo"/>
        <c:crossAx val="826205759"/>
        <c:crosses val="autoZero"/>
        <c:auto val="1"/>
        <c:lblAlgn val="ctr"/>
        <c:lblOffset val="100"/>
        <c:noMultiLvlLbl val="0"/>
      </c:catAx>
      <c:spPr>
        <a:noFill/>
        <a:ln>
          <a:noFill/>
        </a:ln>
        <a:effectLst/>
      </c:spPr>
    </c:plotArea>
    <c:legend>
      <c:legendPos val="b"/>
      <c:legendEntry>
        <c:idx val="2"/>
        <c:delete val="1"/>
      </c:legendEntry>
      <c:legendEntry>
        <c:idx val="3"/>
        <c:delete val="1"/>
      </c:legendEntry>
      <c:layout>
        <c:manualLayout>
          <c:xMode val="edge"/>
          <c:yMode val="edge"/>
          <c:x val="0.3916063606909031"/>
          <c:y val="0.90471527777777783"/>
          <c:w val="0.15548491410692425"/>
          <c:h val="6.882638888888889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'13. Abonos banda ancha'!$A$6</c:f>
              <c:strCache>
                <c:ptCount val="1"/>
                <c:pt idx="0">
                  <c:v> Américas </c:v>
                </c:pt>
              </c:strCache>
            </c:strRef>
          </c:tx>
          <c:spPr>
            <a:ln w="28575" cap="rnd">
              <a:solidFill>
                <a:srgbClr val="A77BCA"/>
              </a:solidFill>
              <a:round/>
            </a:ln>
            <a:effectLst/>
          </c:spPr>
          <c:marker>
            <c:symbol val="none"/>
          </c:marker>
          <c:cat>
            <c:numRef>
              <c:f>'13. Abonos banda ancha'!$B$4:$P$4</c:f>
              <c:numCache>
                <c:formatCode>0</c:formatCode>
                <c:ptCount val="15"/>
                <c:pt idx="0">
                  <c:v>2010</c:v>
                </c:pt>
                <c:pt idx="1">
                  <c:v>2011</c:v>
                </c:pt>
                <c:pt idx="2">
                  <c:v>2012</c:v>
                </c:pt>
                <c:pt idx="3">
                  <c:v>2013</c:v>
                </c:pt>
                <c:pt idx="4">
                  <c:v>2014</c:v>
                </c:pt>
                <c:pt idx="5" formatCode="General">
                  <c:v>2015</c:v>
                </c:pt>
                <c:pt idx="6" formatCode="General">
                  <c:v>2016</c:v>
                </c:pt>
                <c:pt idx="7" formatCode="General">
                  <c:v>2017</c:v>
                </c:pt>
                <c:pt idx="8" formatCode="General">
                  <c:v>2018</c:v>
                </c:pt>
                <c:pt idx="9" formatCode="General">
                  <c:v>2019</c:v>
                </c:pt>
                <c:pt idx="10" formatCode="General">
                  <c:v>2020</c:v>
                </c:pt>
                <c:pt idx="11" formatCode="General">
                  <c:v>2021</c:v>
                </c:pt>
                <c:pt idx="12" formatCode="General">
                  <c:v>2022</c:v>
                </c:pt>
                <c:pt idx="13" formatCode="General">
                  <c:v>2023</c:v>
                </c:pt>
                <c:pt idx="14" formatCode="General">
                  <c:v>2024</c:v>
                </c:pt>
              </c:numCache>
            </c:numRef>
          </c:cat>
          <c:val>
            <c:numRef>
              <c:f>'13. Abonos banda ancha'!$B$6:$P$6</c:f>
              <c:numCache>
                <c:formatCode>0.0</c:formatCode>
                <c:ptCount val="15"/>
                <c:pt idx="0">
                  <c:v>25.4</c:v>
                </c:pt>
                <c:pt idx="1">
                  <c:v>36.200000000000003</c:v>
                </c:pt>
                <c:pt idx="2">
                  <c:v>46.2</c:v>
                </c:pt>
                <c:pt idx="3">
                  <c:v>55.5</c:v>
                </c:pt>
                <c:pt idx="4">
                  <c:v>67.900000000000006</c:v>
                </c:pt>
                <c:pt idx="5">
                  <c:v>78.8</c:v>
                </c:pt>
                <c:pt idx="6">
                  <c:v>85.3</c:v>
                </c:pt>
                <c:pt idx="7">
                  <c:v>89.7</c:v>
                </c:pt>
                <c:pt idx="8">
                  <c:v>91.9</c:v>
                </c:pt>
                <c:pt idx="9">
                  <c:v>97.7</c:v>
                </c:pt>
                <c:pt idx="10">
                  <c:v>101.4</c:v>
                </c:pt>
                <c:pt idx="11">
                  <c:v>108.2</c:v>
                </c:pt>
                <c:pt idx="12">
                  <c:v>112.3</c:v>
                </c:pt>
                <c:pt idx="13">
                  <c:v>118.2</c:v>
                </c:pt>
                <c:pt idx="14">
                  <c:v>124.7</c:v>
                </c:pt>
              </c:numCache>
            </c:numRef>
          </c:val>
          <c:smooth val="0"/>
          <c:extLst>
            <c:ext xmlns:c16="http://schemas.microsoft.com/office/drawing/2014/chart" uri="{C3380CC4-5D6E-409C-BE32-E72D297353CC}">
              <c16:uniqueId val="{00000000-87F7-4BEF-9AC5-E4D72F8FA031}"/>
            </c:ext>
          </c:extLst>
        </c:ser>
        <c:ser>
          <c:idx val="0"/>
          <c:order val="1"/>
          <c:tx>
            <c:strRef>
              <c:f>'13. Abonos banda ancha'!$A$5</c:f>
              <c:strCache>
                <c:ptCount val="1"/>
                <c:pt idx="0">
                  <c:v> Mundo </c:v>
                </c:pt>
              </c:strCache>
            </c:strRef>
          </c:tx>
          <c:spPr>
            <a:ln w="28575" cap="rnd">
              <a:solidFill>
                <a:srgbClr val="00A3E0"/>
              </a:solidFill>
              <a:round/>
            </a:ln>
            <a:effectLst/>
          </c:spPr>
          <c:marker>
            <c:symbol val="none"/>
          </c:marker>
          <c:cat>
            <c:numRef>
              <c:f>'13. Abonos banda ancha'!$B$4:$P$4</c:f>
              <c:numCache>
                <c:formatCode>0</c:formatCode>
                <c:ptCount val="15"/>
                <c:pt idx="0">
                  <c:v>2010</c:v>
                </c:pt>
                <c:pt idx="1">
                  <c:v>2011</c:v>
                </c:pt>
                <c:pt idx="2">
                  <c:v>2012</c:v>
                </c:pt>
                <c:pt idx="3">
                  <c:v>2013</c:v>
                </c:pt>
                <c:pt idx="4">
                  <c:v>2014</c:v>
                </c:pt>
                <c:pt idx="5" formatCode="General">
                  <c:v>2015</c:v>
                </c:pt>
                <c:pt idx="6" formatCode="General">
                  <c:v>2016</c:v>
                </c:pt>
                <c:pt idx="7" formatCode="General">
                  <c:v>2017</c:v>
                </c:pt>
                <c:pt idx="8" formatCode="General">
                  <c:v>2018</c:v>
                </c:pt>
                <c:pt idx="9" formatCode="General">
                  <c:v>2019</c:v>
                </c:pt>
                <c:pt idx="10" formatCode="General">
                  <c:v>2020</c:v>
                </c:pt>
                <c:pt idx="11" formatCode="General">
                  <c:v>2021</c:v>
                </c:pt>
                <c:pt idx="12" formatCode="General">
                  <c:v>2022</c:v>
                </c:pt>
                <c:pt idx="13" formatCode="General">
                  <c:v>2023</c:v>
                </c:pt>
                <c:pt idx="14" formatCode="General">
                  <c:v>2024</c:v>
                </c:pt>
              </c:numCache>
            </c:numRef>
          </c:cat>
          <c:val>
            <c:numRef>
              <c:f>'13. Abonos banda ancha'!$B$5:$P$5</c:f>
              <c:numCache>
                <c:formatCode>0.0</c:formatCode>
                <c:ptCount val="15"/>
                <c:pt idx="0">
                  <c:v>11.5</c:v>
                </c:pt>
                <c:pt idx="1">
                  <c:v>16.899999999999999</c:v>
                </c:pt>
                <c:pt idx="2">
                  <c:v>21.9</c:v>
                </c:pt>
                <c:pt idx="3">
                  <c:v>27.4</c:v>
                </c:pt>
                <c:pt idx="4">
                  <c:v>36.799999999999997</c:v>
                </c:pt>
                <c:pt idx="5" formatCode="_-* #,##0.0_-;\-* #,##0.0_-;_-* &quot;-&quot;??_-;_-@_-">
                  <c:v>44.6</c:v>
                </c:pt>
                <c:pt idx="6" formatCode="_-* #,##0.0_-;\-* #,##0.0_-;_-* &quot;-&quot;??_-;_-@_-">
                  <c:v>51.8</c:v>
                </c:pt>
                <c:pt idx="7" formatCode="_-* #,##0.0_-;\-* #,##0.0_-;_-* &quot;-&quot;??_-;_-@_-">
                  <c:v>62.5</c:v>
                </c:pt>
                <c:pt idx="8" formatCode="_-* #,##0.0_-;\-* #,##0.0_-;_-* &quot;-&quot;??_-;_-@_-">
                  <c:v>68.599999999999994</c:v>
                </c:pt>
                <c:pt idx="9" formatCode="_-* #,##0.0_-;\-* #,##0.0_-;_-* &quot;-&quot;??_-;_-@_-">
                  <c:v>74.2</c:v>
                </c:pt>
                <c:pt idx="10" formatCode="_-* #,##0.0_-;\-* #,##0.0_-;_-* &quot;-&quot;??_-;_-@_-">
                  <c:v>76.7</c:v>
                </c:pt>
                <c:pt idx="11" formatCode="_-* #,##0.0_-;\-* #,##0.0_-;_-* &quot;-&quot;??_-;_-@_-">
                  <c:v>80.900000000000006</c:v>
                </c:pt>
                <c:pt idx="12" formatCode="_-* #,##0.0_-;\-* #,##0.0_-;_-* &quot;-&quot;??_-;_-@_-">
                  <c:v>85.9</c:v>
                </c:pt>
                <c:pt idx="13" formatCode="_-* #,##0.0_-;\-* #,##0.0_-;_-* &quot;-&quot;??_-;_-@_-">
                  <c:v>89.9</c:v>
                </c:pt>
                <c:pt idx="14" formatCode="_-* #,##0.0_-;\-* #,##0.0_-;_-* &quot;-&quot;??_-;_-@_-">
                  <c:v>94.6</c:v>
                </c:pt>
              </c:numCache>
            </c:numRef>
          </c:val>
          <c:smooth val="0"/>
          <c:extLst>
            <c:ext xmlns:c16="http://schemas.microsoft.com/office/drawing/2014/chart" uri="{C3380CC4-5D6E-409C-BE32-E72D297353CC}">
              <c16:uniqueId val="{00000001-87F7-4BEF-9AC5-E4D72F8FA031}"/>
            </c:ext>
          </c:extLst>
        </c:ser>
        <c:dLbls>
          <c:showLegendKey val="0"/>
          <c:showVal val="0"/>
          <c:showCatName val="0"/>
          <c:showSerName val="0"/>
          <c:showPercent val="0"/>
          <c:showBubbleSize val="0"/>
        </c:dLbls>
        <c:smooth val="0"/>
        <c:axId val="1409304527"/>
        <c:axId val="1409305775"/>
      </c:lineChart>
      <c:catAx>
        <c:axId val="1409304527"/>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5775"/>
        <c:crosses val="autoZero"/>
        <c:auto val="1"/>
        <c:lblAlgn val="ctr"/>
        <c:lblOffset val="100"/>
        <c:noMultiLvlLbl val="0"/>
      </c:catAx>
      <c:valAx>
        <c:axId val="14093057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4527"/>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'14. Abonos banda fija'!$A$6</c:f>
              <c:strCache>
                <c:ptCount val="1"/>
                <c:pt idx="0">
                  <c:v>Américas</c:v>
                </c:pt>
              </c:strCache>
            </c:strRef>
          </c:tx>
          <c:spPr>
            <a:ln w="28575" cap="rnd">
              <a:solidFill>
                <a:srgbClr val="A77BCA"/>
              </a:solidFill>
              <a:round/>
            </a:ln>
            <a:effectLst/>
          </c:spPr>
          <c:marker>
            <c:symbol val="none"/>
          </c:marker>
          <c:cat>
            <c:numRef>
              <c:f>'14. Abonos banda fija'!$C$4:$U$4</c:f>
              <c:numCache>
                <c:formatCode>0</c:formatCode>
                <c:ptCount val="19"/>
                <c:pt idx="0">
                  <c:v>2006</c:v>
                </c:pt>
                <c:pt idx="1">
                  <c:v>2007</c:v>
                </c:pt>
                <c:pt idx="2">
                  <c:v>2008</c:v>
                </c:pt>
                <c:pt idx="3">
                  <c:v>2009</c:v>
                </c:pt>
                <c:pt idx="4">
                  <c:v>2010</c:v>
                </c:pt>
                <c:pt idx="5">
                  <c:v>2011</c:v>
                </c:pt>
                <c:pt idx="6">
                  <c:v>2012</c:v>
                </c:pt>
                <c:pt idx="7">
                  <c:v>2013</c:v>
                </c:pt>
                <c:pt idx="8">
                  <c:v>2014</c:v>
                </c:pt>
                <c:pt idx="9" formatCode="General">
                  <c:v>2015</c:v>
                </c:pt>
                <c:pt idx="10" formatCode="General">
                  <c:v>2016</c:v>
                </c:pt>
                <c:pt idx="11" formatCode="General">
                  <c:v>2017</c:v>
                </c:pt>
                <c:pt idx="12" formatCode="General">
                  <c:v>2018</c:v>
                </c:pt>
                <c:pt idx="13" formatCode="General">
                  <c:v>2019</c:v>
                </c:pt>
                <c:pt idx="14" formatCode="General">
                  <c:v>2020</c:v>
                </c:pt>
                <c:pt idx="15" formatCode="General">
                  <c:v>2021</c:v>
                </c:pt>
                <c:pt idx="16" formatCode="General">
                  <c:v>2022</c:v>
                </c:pt>
                <c:pt idx="17" formatCode="General">
                  <c:v>2023</c:v>
                </c:pt>
                <c:pt idx="18" formatCode="General">
                  <c:v>2024</c:v>
                </c:pt>
              </c:numCache>
              <c:extLst/>
            </c:numRef>
          </c:cat>
          <c:val>
            <c:numRef>
              <c:f>'14. Abonos banda fija'!$C$6:$U$6</c:f>
              <c:numCache>
                <c:formatCode>0.0</c:formatCode>
                <c:ptCount val="19"/>
                <c:pt idx="0">
                  <c:v>9</c:v>
                </c:pt>
                <c:pt idx="1">
                  <c:v>10.9</c:v>
                </c:pt>
                <c:pt idx="2">
                  <c:v>12.3</c:v>
                </c:pt>
                <c:pt idx="3">
                  <c:v>13</c:v>
                </c:pt>
                <c:pt idx="4">
                  <c:v>14.3</c:v>
                </c:pt>
                <c:pt idx="5">
                  <c:v>15.4</c:v>
                </c:pt>
                <c:pt idx="6">
                  <c:v>16.3</c:v>
                </c:pt>
                <c:pt idx="7">
                  <c:v>17</c:v>
                </c:pt>
                <c:pt idx="8">
                  <c:v>17.600000000000001</c:v>
                </c:pt>
                <c:pt idx="9">
                  <c:v>18.600000000000001</c:v>
                </c:pt>
                <c:pt idx="10">
                  <c:v>19.2</c:v>
                </c:pt>
                <c:pt idx="11">
                  <c:v>19.899999999999999</c:v>
                </c:pt>
                <c:pt idx="12">
                  <c:v>20.6</c:v>
                </c:pt>
                <c:pt idx="13">
                  <c:v>21.3</c:v>
                </c:pt>
                <c:pt idx="14">
                  <c:v>22.9</c:v>
                </c:pt>
                <c:pt idx="15">
                  <c:v>24.3</c:v>
                </c:pt>
                <c:pt idx="16">
                  <c:v>25.2</c:v>
                </c:pt>
                <c:pt idx="17">
                  <c:v>25.8</c:v>
                </c:pt>
                <c:pt idx="18">
                  <c:v>26.6</c:v>
                </c:pt>
              </c:numCache>
              <c:extLst/>
            </c:numRef>
          </c:val>
          <c:smooth val="0"/>
          <c:extLst>
            <c:ext xmlns:c16="http://schemas.microsoft.com/office/drawing/2014/chart" uri="{C3380CC4-5D6E-409C-BE32-E72D297353CC}">
              <c16:uniqueId val="{00000000-0CFF-4CBA-B872-E3E7D6C055A2}"/>
            </c:ext>
          </c:extLst>
        </c:ser>
        <c:ser>
          <c:idx val="0"/>
          <c:order val="1"/>
          <c:tx>
            <c:strRef>
              <c:f>'14. Abonos banda fija'!$A$5</c:f>
              <c:strCache>
                <c:ptCount val="1"/>
                <c:pt idx="0">
                  <c:v> Mundo </c:v>
                </c:pt>
              </c:strCache>
            </c:strRef>
          </c:tx>
          <c:spPr>
            <a:ln w="28575" cap="rnd">
              <a:solidFill>
                <a:srgbClr val="00A3E0"/>
              </a:solidFill>
              <a:round/>
            </a:ln>
            <a:effectLst/>
          </c:spPr>
          <c:marker>
            <c:symbol val="none"/>
          </c:marker>
          <c:cat>
            <c:numRef>
              <c:f>'14. Abonos banda fija'!$C$4:$U$4</c:f>
              <c:numCache>
                <c:formatCode>0</c:formatCode>
                <c:ptCount val="19"/>
                <c:pt idx="0">
                  <c:v>2006</c:v>
                </c:pt>
                <c:pt idx="1">
                  <c:v>2007</c:v>
                </c:pt>
                <c:pt idx="2">
                  <c:v>2008</c:v>
                </c:pt>
                <c:pt idx="3">
                  <c:v>2009</c:v>
                </c:pt>
                <c:pt idx="4">
                  <c:v>2010</c:v>
                </c:pt>
                <c:pt idx="5">
                  <c:v>2011</c:v>
                </c:pt>
                <c:pt idx="6">
                  <c:v>2012</c:v>
                </c:pt>
                <c:pt idx="7">
                  <c:v>2013</c:v>
                </c:pt>
                <c:pt idx="8">
                  <c:v>2014</c:v>
                </c:pt>
                <c:pt idx="9" formatCode="General">
                  <c:v>2015</c:v>
                </c:pt>
                <c:pt idx="10" formatCode="General">
                  <c:v>2016</c:v>
                </c:pt>
                <c:pt idx="11" formatCode="General">
                  <c:v>2017</c:v>
                </c:pt>
                <c:pt idx="12" formatCode="General">
                  <c:v>2018</c:v>
                </c:pt>
                <c:pt idx="13" formatCode="General">
                  <c:v>2019</c:v>
                </c:pt>
                <c:pt idx="14" formatCode="General">
                  <c:v>2020</c:v>
                </c:pt>
                <c:pt idx="15" formatCode="General">
                  <c:v>2021</c:v>
                </c:pt>
                <c:pt idx="16" formatCode="General">
                  <c:v>2022</c:v>
                </c:pt>
                <c:pt idx="17" formatCode="General">
                  <c:v>2023</c:v>
                </c:pt>
                <c:pt idx="18" formatCode="General">
                  <c:v>2024</c:v>
                </c:pt>
              </c:numCache>
              <c:extLst/>
            </c:numRef>
          </c:cat>
          <c:val>
            <c:numRef>
              <c:f>'14. Abonos banda fija'!$C$5:$U$5</c:f>
              <c:numCache>
                <c:formatCode>_-* #,##0.0_-;\-* #,##0.0_-;_-* "-"??_-;_-@_-</c:formatCode>
                <c:ptCount val="19"/>
                <c:pt idx="0">
                  <c:v>4.3</c:v>
                </c:pt>
                <c:pt idx="1">
                  <c:v>5.2</c:v>
                </c:pt>
                <c:pt idx="2">
                  <c:v>6.1</c:v>
                </c:pt>
                <c:pt idx="3">
                  <c:v>6.9</c:v>
                </c:pt>
                <c:pt idx="4">
                  <c:v>7.6</c:v>
                </c:pt>
                <c:pt idx="5">
                  <c:v>8.6</c:v>
                </c:pt>
                <c:pt idx="6">
                  <c:v>9.1999999999999993</c:v>
                </c:pt>
                <c:pt idx="7">
                  <c:v>9.6999999999999993</c:v>
                </c:pt>
                <c:pt idx="8">
                  <c:v>10.1</c:v>
                </c:pt>
                <c:pt idx="9">
                  <c:v>11.3</c:v>
                </c:pt>
                <c:pt idx="10">
                  <c:v>12.2</c:v>
                </c:pt>
                <c:pt idx="11">
                  <c:v>13.5</c:v>
                </c:pt>
                <c:pt idx="12">
                  <c:v>14</c:v>
                </c:pt>
                <c:pt idx="13">
                  <c:v>14.7</c:v>
                </c:pt>
                <c:pt idx="14">
                  <c:v>15.6</c:v>
                </c:pt>
                <c:pt idx="15">
                  <c:v>16.8</c:v>
                </c:pt>
                <c:pt idx="16">
                  <c:v>17.7</c:v>
                </c:pt>
                <c:pt idx="17">
                  <c:v>18.600000000000001</c:v>
                </c:pt>
                <c:pt idx="18">
                  <c:v>19.600000000000001</c:v>
                </c:pt>
              </c:numCache>
              <c:extLst/>
            </c:numRef>
          </c:val>
          <c:smooth val="0"/>
          <c:extLst>
            <c:ext xmlns:c16="http://schemas.microsoft.com/office/drawing/2014/chart" uri="{C3380CC4-5D6E-409C-BE32-E72D297353CC}">
              <c16:uniqueId val="{00000001-0CFF-4CBA-B872-E3E7D6C055A2}"/>
            </c:ext>
          </c:extLst>
        </c:ser>
        <c:dLbls>
          <c:showLegendKey val="0"/>
          <c:showVal val="0"/>
          <c:showCatName val="0"/>
          <c:showSerName val="0"/>
          <c:showPercent val="0"/>
          <c:showBubbleSize val="0"/>
        </c:dLbls>
        <c:smooth val="0"/>
        <c:axId val="1409304527"/>
        <c:axId val="1409305775"/>
      </c:lineChart>
      <c:catAx>
        <c:axId val="1409304527"/>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5775"/>
        <c:crosses val="autoZero"/>
        <c:auto val="1"/>
        <c:lblAlgn val="ctr"/>
        <c:lblOffset val="100"/>
        <c:noMultiLvlLbl val="0"/>
      </c:catAx>
      <c:valAx>
        <c:axId val="14093057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4527"/>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'15. Abonos móvil'!$D$3</c:f>
              <c:strCache>
                <c:ptCount val="1"/>
                <c:pt idx="0">
                  <c:v>2023 o último año disponible</c:v>
                </c:pt>
              </c:strCache>
            </c:strRef>
          </c:tx>
          <c:spPr>
            <a:solidFill>
              <a:srgbClr val="403A60"/>
            </a:solidFill>
            <a:ln>
              <a:noFill/>
            </a:ln>
            <a:effectLst/>
          </c:spPr>
          <c:invertIfNegative val="0"/>
          <c:dPt>
            <c:idx val="0"/>
            <c:invertIfNegative val="0"/>
            <c:bubble3D val="0"/>
            <c:spPr>
              <a:solidFill>
                <a:srgbClr val="A77BCA"/>
              </a:solidFill>
              <a:ln>
                <a:noFill/>
              </a:ln>
              <a:effectLst/>
            </c:spPr>
            <c:extLst>
              <c:ext xmlns:c16="http://schemas.microsoft.com/office/drawing/2014/chart" uri="{C3380CC4-5D6E-409C-BE32-E72D297353CC}">
                <c16:uniqueId val="{00000001-9686-42B7-934B-1D98A18FAD23}"/>
              </c:ext>
            </c:extLst>
          </c:dPt>
          <c:dPt>
            <c:idx val="1"/>
            <c:invertIfNegative val="0"/>
            <c:bubble3D val="0"/>
            <c:spPr>
              <a:solidFill>
                <a:srgbClr val="A77BCA"/>
              </a:solidFill>
              <a:ln>
                <a:noFill/>
              </a:ln>
              <a:effectLst/>
            </c:spPr>
            <c:extLst>
              <c:ext xmlns:c16="http://schemas.microsoft.com/office/drawing/2014/chart" uri="{C3380CC4-5D6E-409C-BE32-E72D297353CC}">
                <c16:uniqueId val="{00000003-9686-42B7-934B-1D98A18FAD23}"/>
              </c:ext>
            </c:extLst>
          </c:dPt>
          <c:dPt>
            <c:idx val="2"/>
            <c:invertIfNegative val="0"/>
            <c:bubble3D val="0"/>
            <c:spPr>
              <a:solidFill>
                <a:srgbClr val="A77BCA"/>
              </a:solidFill>
              <a:ln>
                <a:noFill/>
              </a:ln>
              <a:effectLst/>
            </c:spPr>
            <c:extLst>
              <c:ext xmlns:c16="http://schemas.microsoft.com/office/drawing/2014/chart" uri="{C3380CC4-5D6E-409C-BE32-E72D297353CC}">
                <c16:uniqueId val="{00000005-9686-42B7-934B-1D98A18FAD23}"/>
              </c:ext>
            </c:extLst>
          </c:dPt>
          <c:dPt>
            <c:idx val="3"/>
            <c:invertIfNegative val="0"/>
            <c:bubble3D val="0"/>
            <c:spPr>
              <a:solidFill>
                <a:srgbClr val="A77BCA"/>
              </a:solidFill>
              <a:ln>
                <a:noFill/>
              </a:ln>
              <a:effectLst/>
            </c:spPr>
            <c:extLst>
              <c:ext xmlns:c16="http://schemas.microsoft.com/office/drawing/2014/chart" uri="{C3380CC4-5D6E-409C-BE32-E72D297353CC}">
                <c16:uniqueId val="{00000007-9686-42B7-934B-1D98A18FAD23}"/>
              </c:ext>
            </c:extLst>
          </c:dPt>
          <c:dPt>
            <c:idx val="6"/>
            <c:invertIfNegative val="0"/>
            <c:bubble3D val="0"/>
            <c:spPr>
              <a:solidFill>
                <a:srgbClr val="A77BCA"/>
              </a:solidFill>
              <a:ln>
                <a:noFill/>
              </a:ln>
              <a:effectLst/>
            </c:spPr>
            <c:extLst>
              <c:ext xmlns:c16="http://schemas.microsoft.com/office/drawing/2014/chart" uri="{C3380CC4-5D6E-409C-BE32-E72D297353CC}">
                <c16:uniqueId val="{00000009-9686-42B7-934B-1D98A18FAD23}"/>
              </c:ext>
            </c:extLst>
          </c:dPt>
          <c:dPt>
            <c:idx val="8"/>
            <c:invertIfNegative val="0"/>
            <c:bubble3D val="0"/>
            <c:spPr>
              <a:solidFill>
                <a:srgbClr val="A77BCA"/>
              </a:solidFill>
              <a:ln>
                <a:noFill/>
              </a:ln>
              <a:effectLst/>
            </c:spPr>
            <c:extLst>
              <c:ext xmlns:c16="http://schemas.microsoft.com/office/drawing/2014/chart" uri="{C3380CC4-5D6E-409C-BE32-E72D297353CC}">
                <c16:uniqueId val="{0000000B-9686-42B7-934B-1D98A18FAD23}"/>
              </c:ext>
            </c:extLst>
          </c:dPt>
          <c:dPt>
            <c:idx val="11"/>
            <c:invertIfNegative val="0"/>
            <c:bubble3D val="0"/>
            <c:spPr>
              <a:solidFill>
                <a:srgbClr val="A77BCA"/>
              </a:solidFill>
              <a:ln>
                <a:noFill/>
              </a:ln>
              <a:effectLst/>
            </c:spPr>
            <c:extLst>
              <c:ext xmlns:c16="http://schemas.microsoft.com/office/drawing/2014/chart" uri="{C3380CC4-5D6E-409C-BE32-E72D297353CC}">
                <c16:uniqueId val="{0000000D-9686-42B7-934B-1D98A18FAD23}"/>
              </c:ext>
            </c:extLst>
          </c:dPt>
          <c:dPt>
            <c:idx val="13"/>
            <c:invertIfNegative val="0"/>
            <c:bubble3D val="0"/>
            <c:spPr>
              <a:solidFill>
                <a:srgbClr val="A77BCA"/>
              </a:solidFill>
              <a:ln>
                <a:noFill/>
              </a:ln>
              <a:effectLst/>
            </c:spPr>
            <c:extLst>
              <c:ext xmlns:c16="http://schemas.microsoft.com/office/drawing/2014/chart" uri="{C3380CC4-5D6E-409C-BE32-E72D297353CC}">
                <c16:uniqueId val="{0000000F-9686-42B7-934B-1D98A18FAD23}"/>
              </c:ext>
            </c:extLst>
          </c:dPt>
          <c:dPt>
            <c:idx val="19"/>
            <c:invertIfNegative val="0"/>
            <c:bubble3D val="0"/>
            <c:spPr>
              <a:solidFill>
                <a:srgbClr val="A77BCA"/>
              </a:solidFill>
              <a:ln>
                <a:noFill/>
              </a:ln>
              <a:effectLst/>
            </c:spPr>
            <c:extLst>
              <c:ext xmlns:c16="http://schemas.microsoft.com/office/drawing/2014/chart" uri="{C3380CC4-5D6E-409C-BE32-E72D297353CC}">
                <c16:uniqueId val="{00000011-9686-42B7-934B-1D98A18FAD23}"/>
              </c:ext>
            </c:extLst>
          </c:dPt>
          <c:dPt>
            <c:idx val="20"/>
            <c:invertIfNegative val="0"/>
            <c:bubble3D val="0"/>
            <c:spPr>
              <a:solidFill>
                <a:srgbClr val="A77BCA"/>
              </a:solidFill>
              <a:ln>
                <a:noFill/>
              </a:ln>
              <a:effectLst/>
            </c:spPr>
            <c:extLst>
              <c:ext xmlns:c16="http://schemas.microsoft.com/office/drawing/2014/chart" uri="{C3380CC4-5D6E-409C-BE32-E72D297353CC}">
                <c16:uniqueId val="{00000013-9686-42B7-934B-1D98A18FAD23}"/>
              </c:ext>
            </c:extLst>
          </c:dPt>
          <c:dPt>
            <c:idx val="24"/>
            <c:invertIfNegative val="0"/>
            <c:bubble3D val="0"/>
            <c:spPr>
              <a:solidFill>
                <a:srgbClr val="A77BCA"/>
              </a:solidFill>
              <a:ln>
                <a:noFill/>
              </a:ln>
              <a:effectLst/>
            </c:spPr>
            <c:extLst>
              <c:ext xmlns:c16="http://schemas.microsoft.com/office/drawing/2014/chart" uri="{C3380CC4-5D6E-409C-BE32-E72D297353CC}">
                <c16:uniqueId val="{00000015-9686-42B7-934B-1D98A18FAD23}"/>
              </c:ext>
            </c:extLst>
          </c:dPt>
          <c:dPt>
            <c:idx val="32"/>
            <c:invertIfNegative val="0"/>
            <c:bubble3D val="0"/>
            <c:spPr>
              <a:solidFill>
                <a:srgbClr val="A77BCA"/>
              </a:solidFill>
              <a:ln>
                <a:noFill/>
              </a:ln>
              <a:effectLst/>
            </c:spPr>
            <c:extLst>
              <c:ext xmlns:c16="http://schemas.microsoft.com/office/drawing/2014/chart" uri="{C3380CC4-5D6E-409C-BE32-E72D297353CC}">
                <c16:uniqueId val="{00000017-9686-42B7-934B-1D98A18FAD23}"/>
              </c:ext>
            </c:extLst>
          </c:dPt>
          <c:dLbls>
            <c:delete val="1"/>
          </c:dLbls>
          <c:cat>
            <c:strRef>
              <c:f>'15. Abonos móvil'!$C$4:$C$38</c:f>
              <c:strCache>
                <c:ptCount val="35"/>
                <c:pt idx="0">
                  <c:v>Guatemala</c:v>
                </c:pt>
                <c:pt idx="1">
                  <c:v>Haití</c:v>
                </c:pt>
                <c:pt idx="2">
                  <c:v>Guyana</c:v>
                </c:pt>
                <c:pt idx="3">
                  <c:v>Belice</c:v>
                </c:pt>
                <c:pt idx="4">
                  <c:v>Cuba</c:v>
                </c:pt>
                <c:pt idx="5">
                  <c:v>Honduras</c:v>
                </c:pt>
                <c:pt idx="6">
                  <c:v>Antigua y Barbuda</c:v>
                </c:pt>
                <c:pt idx="7">
                  <c:v>Trinidad y Tabago</c:v>
                </c:pt>
                <c:pt idx="8">
                  <c:v>Granada</c:v>
                </c:pt>
                <c:pt idx="9">
                  <c:v>Venezuela</c:v>
                </c:pt>
                <c:pt idx="10">
                  <c:v>San Vicente</c:v>
                </c:pt>
                <c:pt idx="11">
                  <c:v>Barbados</c:v>
                </c:pt>
                <c:pt idx="12">
                  <c:v>Ecuador</c:v>
                </c:pt>
                <c:pt idx="13">
                  <c:v>Santa Lucía</c:v>
                </c:pt>
                <c:pt idx="14">
                  <c:v>Jamaica</c:v>
                </c:pt>
                <c:pt idx="15">
                  <c:v>Nicaragua</c:v>
                </c:pt>
                <c:pt idx="16">
                  <c:v>Rep. Dominicana</c:v>
                </c:pt>
                <c:pt idx="17">
                  <c:v>El Salvador</c:v>
                </c:pt>
                <c:pt idx="18">
                  <c:v>Paraguay</c:v>
                </c:pt>
                <c:pt idx="19">
                  <c:v>Argentina</c:v>
                </c:pt>
                <c:pt idx="20">
                  <c:v>Dominica</c:v>
                </c:pt>
                <c:pt idx="21">
                  <c:v>Canadá</c:v>
                </c:pt>
                <c:pt idx="22">
                  <c:v>Colombia</c:v>
                </c:pt>
                <c:pt idx="23">
                  <c:v>Perú</c:v>
                </c:pt>
                <c:pt idx="24">
                  <c:v>Bolivia</c:v>
                </c:pt>
                <c:pt idx="25">
                  <c:v>México</c:v>
                </c:pt>
                <c:pt idx="26">
                  <c:v>Brasil</c:v>
                </c:pt>
                <c:pt idx="27">
                  <c:v>Bahamas</c:v>
                </c:pt>
                <c:pt idx="28">
                  <c:v>Costa Rica</c:v>
                </c:pt>
                <c:pt idx="29">
                  <c:v>Panamá</c:v>
                </c:pt>
                <c:pt idx="30">
                  <c:v>Chile</c:v>
                </c:pt>
                <c:pt idx="31">
                  <c:v>Uruguay</c:v>
                </c:pt>
                <c:pt idx="32">
                  <c:v>Saint Kitts y Nevis</c:v>
                </c:pt>
                <c:pt idx="33">
                  <c:v>Suriname</c:v>
                </c:pt>
                <c:pt idx="34">
                  <c:v>Estados Unidos</c:v>
                </c:pt>
              </c:strCache>
            </c:strRef>
          </c:cat>
          <c:val>
            <c:numRef>
              <c:f>'15. Abonos móvil'!$D$4:$D$38</c:f>
              <c:numCache>
                <c:formatCode>0</c:formatCode>
                <c:ptCount val="35"/>
                <c:pt idx="0">
                  <c:v>16.991048416543101</c:v>
                </c:pt>
                <c:pt idx="1">
                  <c:v>29.253102798409099</c:v>
                </c:pt>
                <c:pt idx="2">
                  <c:v>31.669274511014098</c:v>
                </c:pt>
                <c:pt idx="3">
                  <c:v>43.808652756223502</c:v>
                </c:pt>
                <c:pt idx="4">
                  <c:v>48.571447498174003</c:v>
                </c:pt>
                <c:pt idx="5">
                  <c:v>49.435919770037202</c:v>
                </c:pt>
                <c:pt idx="6">
                  <c:v>51.438124223069998</c:v>
                </c:pt>
                <c:pt idx="7">
                  <c:v>52.656074925545497</c:v>
                </c:pt>
                <c:pt idx="8">
                  <c:v>56.627463038409303</c:v>
                </c:pt>
                <c:pt idx="9">
                  <c:v>56.8591428371737</c:v>
                </c:pt>
                <c:pt idx="10">
                  <c:v>62.254374623728097</c:v>
                </c:pt>
                <c:pt idx="11">
                  <c:v>62.266235974158398</c:v>
                </c:pt>
                <c:pt idx="12">
                  <c:v>63.126015602931297</c:v>
                </c:pt>
                <c:pt idx="13">
                  <c:v>65.063434291106304</c:v>
                </c:pt>
                <c:pt idx="14">
                  <c:v>70.453689116010807</c:v>
                </c:pt>
                <c:pt idx="15">
                  <c:v>70.6968874114051</c:v>
                </c:pt>
                <c:pt idx="16">
                  <c:v>72.839219628170397</c:v>
                </c:pt>
                <c:pt idx="17">
                  <c:v>72.881252512035601</c:v>
                </c:pt>
                <c:pt idx="18">
                  <c:v>74.957080109044995</c:v>
                </c:pt>
                <c:pt idx="19">
                  <c:v>79.607757856934896</c:v>
                </c:pt>
                <c:pt idx="20">
                  <c:v>83.145391670425496</c:v>
                </c:pt>
                <c:pt idx="21">
                  <c:v>83.420136412775804</c:v>
                </c:pt>
                <c:pt idx="22">
                  <c:v>85.915271896153996</c:v>
                </c:pt>
                <c:pt idx="23">
                  <c:v>90.432941435223398</c:v>
                </c:pt>
                <c:pt idx="24">
                  <c:v>91.846242767673999</c:v>
                </c:pt>
                <c:pt idx="25">
                  <c:v>97.164519166402997</c:v>
                </c:pt>
                <c:pt idx="26">
                  <c:v>97.475531592012302</c:v>
                </c:pt>
                <c:pt idx="27">
                  <c:v>100.047566593231</c:v>
                </c:pt>
                <c:pt idx="28">
                  <c:v>101.52636604462801</c:v>
                </c:pt>
                <c:pt idx="29">
                  <c:v>106.268829510633</c:v>
                </c:pt>
                <c:pt idx="30">
                  <c:v>109.47867968778399</c:v>
                </c:pt>
                <c:pt idx="31">
                  <c:v>110.226054217712</c:v>
                </c:pt>
                <c:pt idx="32">
                  <c:v>137.30270755806501</c:v>
                </c:pt>
                <c:pt idx="33">
                  <c:v>138.111676838091</c:v>
                </c:pt>
                <c:pt idx="34">
                  <c:v>184.795890535252</c:v>
                </c:pt>
              </c:numCache>
            </c:numRef>
          </c:val>
          <c:extLst>
            <c:ext xmlns:c16="http://schemas.microsoft.com/office/drawing/2014/chart" uri="{C3380CC4-5D6E-409C-BE32-E72D297353CC}">
              <c16:uniqueId val="{00000018-9686-42B7-934B-1D98A18FAD23}"/>
            </c:ext>
          </c:extLst>
        </c:ser>
        <c:dLbls>
          <c:dLblPos val="outEnd"/>
          <c:showLegendKey val="0"/>
          <c:showVal val="1"/>
          <c:showCatName val="0"/>
          <c:showSerName val="0"/>
          <c:showPercent val="0"/>
          <c:showBubbleSize val="0"/>
        </c:dLbls>
        <c:gapWidth val="219"/>
        <c:overlap val="-27"/>
        <c:axId val="1942888335"/>
        <c:axId val="1892808655"/>
      </c:barChart>
      <c:lineChart>
        <c:grouping val="standard"/>
        <c:varyColors val="0"/>
        <c:ser>
          <c:idx val="1"/>
          <c:order val="1"/>
          <c:tx>
            <c:strRef>
              <c:f>'15. Abonos móvil'!$E$3</c:f>
              <c:strCache>
                <c:ptCount val="1"/>
                <c:pt idx="0">
                  <c:v>Media regional (2023)</c:v>
                </c:pt>
              </c:strCache>
            </c:strRef>
          </c:tx>
          <c:spPr>
            <a:ln w="28575" cap="rnd">
              <a:solidFill>
                <a:srgbClr val="A77BCA"/>
              </a:solidFill>
              <a:prstDash val="sysDot"/>
              <a:round/>
            </a:ln>
            <a:effectLst/>
          </c:spPr>
          <c:marker>
            <c:symbol val="none"/>
          </c:marker>
          <c:cat>
            <c:strRef>
              <c:f>'15. Abonos móvil'!$C$4:$C$38</c:f>
              <c:strCache>
                <c:ptCount val="35"/>
                <c:pt idx="0">
                  <c:v>Guatemala</c:v>
                </c:pt>
                <c:pt idx="1">
                  <c:v>Haití</c:v>
                </c:pt>
                <c:pt idx="2">
                  <c:v>Guyana</c:v>
                </c:pt>
                <c:pt idx="3">
                  <c:v>Belice</c:v>
                </c:pt>
                <c:pt idx="4">
                  <c:v>Cuba</c:v>
                </c:pt>
                <c:pt idx="5">
                  <c:v>Honduras</c:v>
                </c:pt>
                <c:pt idx="6">
                  <c:v>Antigua y Barbuda</c:v>
                </c:pt>
                <c:pt idx="7">
                  <c:v>Trinidad y Tabago</c:v>
                </c:pt>
                <c:pt idx="8">
                  <c:v>Granada</c:v>
                </c:pt>
                <c:pt idx="9">
                  <c:v>Venezuela</c:v>
                </c:pt>
                <c:pt idx="10">
                  <c:v>San Vicente</c:v>
                </c:pt>
                <c:pt idx="11">
                  <c:v>Barbados</c:v>
                </c:pt>
                <c:pt idx="12">
                  <c:v>Ecuador</c:v>
                </c:pt>
                <c:pt idx="13">
                  <c:v>Santa Lucía</c:v>
                </c:pt>
                <c:pt idx="14">
                  <c:v>Jamaica</c:v>
                </c:pt>
                <c:pt idx="15">
                  <c:v>Nicaragua</c:v>
                </c:pt>
                <c:pt idx="16">
                  <c:v>Rep. Dominicana</c:v>
                </c:pt>
                <c:pt idx="17">
                  <c:v>El Salvador</c:v>
                </c:pt>
                <c:pt idx="18">
                  <c:v>Paraguay</c:v>
                </c:pt>
                <c:pt idx="19">
                  <c:v>Argentina</c:v>
                </c:pt>
                <c:pt idx="20">
                  <c:v>Dominica</c:v>
                </c:pt>
                <c:pt idx="21">
                  <c:v>Canadá</c:v>
                </c:pt>
                <c:pt idx="22">
                  <c:v>Colombia</c:v>
                </c:pt>
                <c:pt idx="23">
                  <c:v>Perú</c:v>
                </c:pt>
                <c:pt idx="24">
                  <c:v>Bolivia</c:v>
                </c:pt>
                <c:pt idx="25">
                  <c:v>México</c:v>
                </c:pt>
                <c:pt idx="26">
                  <c:v>Brasil</c:v>
                </c:pt>
                <c:pt idx="27">
                  <c:v>Bahamas</c:v>
                </c:pt>
                <c:pt idx="28">
                  <c:v>Costa Rica</c:v>
                </c:pt>
                <c:pt idx="29">
                  <c:v>Panamá</c:v>
                </c:pt>
                <c:pt idx="30">
                  <c:v>Chile</c:v>
                </c:pt>
                <c:pt idx="31">
                  <c:v>Uruguay</c:v>
                </c:pt>
                <c:pt idx="32">
                  <c:v>Saint Kitts y Nevis</c:v>
                </c:pt>
                <c:pt idx="33">
                  <c:v>Suriname</c:v>
                </c:pt>
                <c:pt idx="34">
                  <c:v>Estados Unidos</c:v>
                </c:pt>
              </c:strCache>
            </c:strRef>
          </c:cat>
          <c:val>
            <c:numRef>
              <c:f>'15. Abonos móvil'!$E$4:$E$38</c:f>
              <c:numCache>
                <c:formatCode>0.0</c:formatCode>
                <c:ptCount val="35"/>
                <c:pt idx="0">
                  <c:v>118.2</c:v>
                </c:pt>
                <c:pt idx="1">
                  <c:v>118.2</c:v>
                </c:pt>
                <c:pt idx="2">
                  <c:v>118.2</c:v>
                </c:pt>
                <c:pt idx="3">
                  <c:v>118.2</c:v>
                </c:pt>
                <c:pt idx="4">
                  <c:v>118.2</c:v>
                </c:pt>
                <c:pt idx="5">
                  <c:v>118.2</c:v>
                </c:pt>
                <c:pt idx="6">
                  <c:v>118.2</c:v>
                </c:pt>
                <c:pt idx="7">
                  <c:v>118.2</c:v>
                </c:pt>
                <c:pt idx="8">
                  <c:v>118.2</c:v>
                </c:pt>
                <c:pt idx="9">
                  <c:v>118.2</c:v>
                </c:pt>
                <c:pt idx="10">
                  <c:v>118.2</c:v>
                </c:pt>
                <c:pt idx="11">
                  <c:v>118.2</c:v>
                </c:pt>
                <c:pt idx="12">
                  <c:v>118.2</c:v>
                </c:pt>
                <c:pt idx="13">
                  <c:v>118.2</c:v>
                </c:pt>
                <c:pt idx="14">
                  <c:v>118.2</c:v>
                </c:pt>
                <c:pt idx="15">
                  <c:v>118.2</c:v>
                </c:pt>
                <c:pt idx="16">
                  <c:v>118.2</c:v>
                </c:pt>
                <c:pt idx="17">
                  <c:v>118.2</c:v>
                </c:pt>
                <c:pt idx="18">
                  <c:v>118.2</c:v>
                </c:pt>
                <c:pt idx="19">
                  <c:v>118.2</c:v>
                </c:pt>
                <c:pt idx="20">
                  <c:v>118.2</c:v>
                </c:pt>
                <c:pt idx="21">
                  <c:v>118.2</c:v>
                </c:pt>
                <c:pt idx="22">
                  <c:v>118.2</c:v>
                </c:pt>
                <c:pt idx="23">
                  <c:v>118.2</c:v>
                </c:pt>
                <c:pt idx="24">
                  <c:v>118.2</c:v>
                </c:pt>
                <c:pt idx="25">
                  <c:v>118.2</c:v>
                </c:pt>
                <c:pt idx="26">
                  <c:v>118.2</c:v>
                </c:pt>
                <c:pt idx="27">
                  <c:v>118.2</c:v>
                </c:pt>
                <c:pt idx="28">
                  <c:v>118.2</c:v>
                </c:pt>
                <c:pt idx="29">
                  <c:v>118.2</c:v>
                </c:pt>
                <c:pt idx="30">
                  <c:v>118.2</c:v>
                </c:pt>
                <c:pt idx="31">
                  <c:v>118.2</c:v>
                </c:pt>
                <c:pt idx="32">
                  <c:v>118.2</c:v>
                </c:pt>
                <c:pt idx="33">
                  <c:v>118.2</c:v>
                </c:pt>
                <c:pt idx="34">
                  <c:v>118.2</c:v>
                </c:pt>
              </c:numCache>
            </c:numRef>
          </c:val>
          <c:smooth val="0"/>
          <c:extLst>
            <c:ext xmlns:c16="http://schemas.microsoft.com/office/drawing/2014/chart" uri="{C3380CC4-5D6E-409C-BE32-E72D297353CC}">
              <c16:uniqueId val="{00000019-9686-42B7-934B-1D98A18FAD23}"/>
            </c:ext>
          </c:extLst>
        </c:ser>
        <c:ser>
          <c:idx val="2"/>
          <c:order val="2"/>
          <c:tx>
            <c:strRef>
              <c:f>'15. Abonos móvil'!$F$3</c:f>
              <c:strCache>
                <c:ptCount val="1"/>
                <c:pt idx="0">
                  <c:v>2018</c:v>
                </c:pt>
              </c:strCache>
            </c:strRef>
          </c:tx>
          <c:spPr>
            <a:ln w="28575" cap="rnd">
              <a:noFill/>
              <a:round/>
            </a:ln>
            <a:effectLst/>
          </c:spPr>
          <c:marker>
            <c:symbol val="dash"/>
            <c:size val="3"/>
            <c:spPr>
              <a:solidFill>
                <a:sysClr val="windowText" lastClr="000000"/>
              </a:solidFill>
              <a:ln w="9525">
                <a:solidFill>
                  <a:sysClr val="windowText" lastClr="000000"/>
                </a:solidFill>
              </a:ln>
              <a:effectLst/>
            </c:spPr>
          </c:marker>
          <c:cat>
            <c:strRef>
              <c:f>'15. Abonos móvil'!$C$4:$C$38</c:f>
              <c:strCache>
                <c:ptCount val="35"/>
                <c:pt idx="0">
                  <c:v>Guatemala</c:v>
                </c:pt>
                <c:pt idx="1">
                  <c:v>Haití</c:v>
                </c:pt>
                <c:pt idx="2">
                  <c:v>Guyana</c:v>
                </c:pt>
                <c:pt idx="3">
                  <c:v>Belice</c:v>
                </c:pt>
                <c:pt idx="4">
                  <c:v>Cuba</c:v>
                </c:pt>
                <c:pt idx="5">
                  <c:v>Honduras</c:v>
                </c:pt>
                <c:pt idx="6">
                  <c:v>Antigua y Barbuda</c:v>
                </c:pt>
                <c:pt idx="7">
                  <c:v>Trinidad y Tabago</c:v>
                </c:pt>
                <c:pt idx="8">
                  <c:v>Granada</c:v>
                </c:pt>
                <c:pt idx="9">
                  <c:v>Venezuela</c:v>
                </c:pt>
                <c:pt idx="10">
                  <c:v>San Vicente</c:v>
                </c:pt>
                <c:pt idx="11">
                  <c:v>Barbados</c:v>
                </c:pt>
                <c:pt idx="12">
                  <c:v>Ecuador</c:v>
                </c:pt>
                <c:pt idx="13">
                  <c:v>Santa Lucía</c:v>
                </c:pt>
                <c:pt idx="14">
                  <c:v>Jamaica</c:v>
                </c:pt>
                <c:pt idx="15">
                  <c:v>Nicaragua</c:v>
                </c:pt>
                <c:pt idx="16">
                  <c:v>Rep. Dominicana</c:v>
                </c:pt>
                <c:pt idx="17">
                  <c:v>El Salvador</c:v>
                </c:pt>
                <c:pt idx="18">
                  <c:v>Paraguay</c:v>
                </c:pt>
                <c:pt idx="19">
                  <c:v>Argentina</c:v>
                </c:pt>
                <c:pt idx="20">
                  <c:v>Dominica</c:v>
                </c:pt>
                <c:pt idx="21">
                  <c:v>Canadá</c:v>
                </c:pt>
                <c:pt idx="22">
                  <c:v>Colombia</c:v>
                </c:pt>
                <c:pt idx="23">
                  <c:v>Perú</c:v>
                </c:pt>
                <c:pt idx="24">
                  <c:v>Bolivia</c:v>
                </c:pt>
                <c:pt idx="25">
                  <c:v>México</c:v>
                </c:pt>
                <c:pt idx="26">
                  <c:v>Brasil</c:v>
                </c:pt>
                <c:pt idx="27">
                  <c:v>Bahamas</c:v>
                </c:pt>
                <c:pt idx="28">
                  <c:v>Costa Rica</c:v>
                </c:pt>
                <c:pt idx="29">
                  <c:v>Panamá</c:v>
                </c:pt>
                <c:pt idx="30">
                  <c:v>Chile</c:v>
                </c:pt>
                <c:pt idx="31">
                  <c:v>Uruguay</c:v>
                </c:pt>
                <c:pt idx="32">
                  <c:v>Saint Kitts y Nevis</c:v>
                </c:pt>
                <c:pt idx="33">
                  <c:v>Suriname</c:v>
                </c:pt>
                <c:pt idx="34">
                  <c:v>Estados Unidos</c:v>
                </c:pt>
              </c:strCache>
            </c:strRef>
          </c:cat>
          <c:val>
            <c:numRef>
              <c:f>'15. Abonos móvil'!$F$4:$F$38</c:f>
              <c:numCache>
                <c:formatCode>0.0</c:formatCode>
                <c:ptCount val="35"/>
                <c:pt idx="1">
                  <c:v>30.4227318893501</c:v>
                </c:pt>
                <c:pt idx="3">
                  <c:v>43.324233482192199</c:v>
                </c:pt>
                <c:pt idx="4">
                  <c:v>14.415409190497501</c:v>
                </c:pt>
                <c:pt idx="5">
                  <c:v>31.540345778534199</c:v>
                </c:pt>
                <c:pt idx="7">
                  <c:v>38.496094573476803</c:v>
                </c:pt>
                <c:pt idx="8">
                  <c:v>91.087465749280398</c:v>
                </c:pt>
                <c:pt idx="9">
                  <c:v>52.8453120265468</c:v>
                </c:pt>
                <c:pt idx="10">
                  <c:v>56.663743971942097</c:v>
                </c:pt>
                <c:pt idx="11">
                  <c:v>61.202802882680103</c:v>
                </c:pt>
                <c:pt idx="12">
                  <c:v>54.798018973759199</c:v>
                </c:pt>
                <c:pt idx="13">
                  <c:v>43.680550455606003</c:v>
                </c:pt>
                <c:pt idx="14">
                  <c:v>53.271678243691603</c:v>
                </c:pt>
                <c:pt idx="15">
                  <c:v>18.860639242009501</c:v>
                </c:pt>
                <c:pt idx="16">
                  <c:v>62.821134342411398</c:v>
                </c:pt>
                <c:pt idx="17">
                  <c:v>56.294110090554298</c:v>
                </c:pt>
                <c:pt idx="18">
                  <c:v>62.408380270536298</c:v>
                </c:pt>
                <c:pt idx="20">
                  <c:v>67.767770704374101</c:v>
                </c:pt>
                <c:pt idx="21">
                  <c:v>75.943145737612895</c:v>
                </c:pt>
                <c:pt idx="22">
                  <c:v>52.998685452253298</c:v>
                </c:pt>
                <c:pt idx="23">
                  <c:v>75.172774840878205</c:v>
                </c:pt>
                <c:pt idx="24">
                  <c:v>78.789034205371294</c:v>
                </c:pt>
                <c:pt idx="25">
                  <c:v>70.874372523107994</c:v>
                </c:pt>
                <c:pt idx="26">
                  <c:v>89.550702922591398</c:v>
                </c:pt>
                <c:pt idx="27">
                  <c:v>80.062487745628502</c:v>
                </c:pt>
                <c:pt idx="28">
                  <c:v>102.656168499933</c:v>
                </c:pt>
                <c:pt idx="29">
                  <c:v>79.317299525415905</c:v>
                </c:pt>
                <c:pt idx="30">
                  <c:v>91.343415731095902</c:v>
                </c:pt>
                <c:pt idx="31">
                  <c:v>98.215837578884205</c:v>
                </c:pt>
                <c:pt idx="32">
                  <c:v>57.524251191286602</c:v>
                </c:pt>
                <c:pt idx="33">
                  <c:v>40.4409912712485</c:v>
                </c:pt>
                <c:pt idx="34">
                  <c:v>138.214600864761</c:v>
                </c:pt>
              </c:numCache>
            </c:numRef>
          </c:val>
          <c:smooth val="0"/>
          <c:extLst>
            <c:ext xmlns:c16="http://schemas.microsoft.com/office/drawing/2014/chart" uri="{C3380CC4-5D6E-409C-BE32-E72D297353CC}">
              <c16:uniqueId val="{0000001A-9686-42B7-934B-1D98A18FAD23}"/>
            </c:ext>
          </c:extLst>
        </c:ser>
        <c:dLbls>
          <c:showLegendKey val="0"/>
          <c:showVal val="0"/>
          <c:showCatName val="0"/>
          <c:showSerName val="0"/>
          <c:showPercent val="0"/>
          <c:showBubbleSize val="0"/>
        </c:dLbls>
        <c:marker val="1"/>
        <c:smooth val="0"/>
        <c:axId val="1942888335"/>
        <c:axId val="1892808655"/>
      </c:lineChart>
      <c:catAx>
        <c:axId val="1942888335"/>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892808655"/>
        <c:crosses val="autoZero"/>
        <c:auto val="1"/>
        <c:lblAlgn val="ctr"/>
        <c:lblOffset val="100"/>
        <c:noMultiLvlLbl val="0"/>
      </c:catAx>
      <c:valAx>
        <c:axId val="1892808655"/>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942888335"/>
        <c:crosses val="autoZero"/>
        <c:crossBetween val="between"/>
        <c:majorUnit val="4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'16. Abonos por velocidad'!$D$2</c:f>
              <c:strCache>
                <c:ptCount val="1"/>
                <c:pt idx="0">
                  <c:v>256 kbit/s a &lt;2 Mbit/s</c:v>
                </c:pt>
              </c:strCache>
            </c:strRef>
          </c:tx>
          <c:spPr>
            <a:solidFill>
              <a:srgbClr val="A02B93">
                <a:lumMod val="20000"/>
                <a:lumOff val="80000"/>
              </a:srgbClr>
            </a:solidFill>
            <a:ln>
              <a:noFill/>
            </a:ln>
            <a:effectLst/>
          </c:spPr>
          <c:invertIfNegative val="0"/>
          <c:cat>
            <c:strRef>
              <c:f>'16. Abonos por velocidad'!$C$3:$C$37</c:f>
              <c:strCache>
                <c:ptCount val="35"/>
                <c:pt idx="0">
                  <c:v>Haití* (2022)</c:v>
                </c:pt>
                <c:pt idx="1">
                  <c:v>Cuba</c:v>
                </c:pt>
                <c:pt idx="2">
                  <c:v>Honduras</c:v>
                </c:pt>
                <c:pt idx="3">
                  <c:v>Guatemala</c:v>
                </c:pt>
                <c:pt idx="4">
                  <c:v>Nicaragua</c:v>
                </c:pt>
                <c:pt idx="5">
                  <c:v>Belice* (2022)</c:v>
                </c:pt>
                <c:pt idx="6">
                  <c:v>Perú</c:v>
                </c:pt>
                <c:pt idx="7">
                  <c:v>Venezuela</c:v>
                </c:pt>
                <c:pt idx="8">
                  <c:v>Antigua y Barbuda* (2022)</c:v>
                </c:pt>
                <c:pt idx="9">
                  <c:v>Bolivia* (2022)</c:v>
                </c:pt>
                <c:pt idx="10">
                  <c:v>Rep. Dominicana</c:v>
                </c:pt>
                <c:pt idx="11">
                  <c:v>El Salvador</c:v>
                </c:pt>
                <c:pt idx="12">
                  <c:v>Paraguay</c:v>
                </c:pt>
                <c:pt idx="13">
                  <c:v>Guyana* (2022)</c:v>
                </c:pt>
                <c:pt idx="14">
                  <c:v>Santa Lucía (2022)</c:v>
                </c:pt>
                <c:pt idx="15">
                  <c:v>Jamaica</c:v>
                </c:pt>
                <c:pt idx="16">
                  <c:v>Ecuador</c:v>
                </c:pt>
                <c:pt idx="17">
                  <c:v>Colombia</c:v>
                </c:pt>
                <c:pt idx="18">
                  <c:v>Suriname</c:v>
                </c:pt>
                <c:pt idx="19">
                  <c:v>Panamá</c:v>
                </c:pt>
                <c:pt idx="20">
                  <c:v>México</c:v>
                </c:pt>
                <c:pt idx="21">
                  <c:v>Dominica (2022)</c:v>
                </c:pt>
                <c:pt idx="22">
                  <c:v>Brasil</c:v>
                </c:pt>
                <c:pt idx="23">
                  <c:v>Costa Rica</c:v>
                </c:pt>
                <c:pt idx="24">
                  <c:v>Chile</c:v>
                </c:pt>
                <c:pt idx="25">
                  <c:v>Bahamas</c:v>
                </c:pt>
                <c:pt idx="26">
                  <c:v>Argentina</c:v>
                </c:pt>
                <c:pt idx="27">
                  <c:v>Trinidad y Tabago</c:v>
                </c:pt>
                <c:pt idx="28">
                  <c:v>Granada (2022)</c:v>
                </c:pt>
                <c:pt idx="29">
                  <c:v>San Vicente</c:v>
                </c:pt>
                <c:pt idx="30">
                  <c:v>Uruguay</c:v>
                </c:pt>
                <c:pt idx="31">
                  <c:v>Barbados (2022)</c:v>
                </c:pt>
                <c:pt idx="32">
                  <c:v>Estados Unidos</c:v>
                </c:pt>
                <c:pt idx="33">
                  <c:v>Canadá</c:v>
                </c:pt>
                <c:pt idx="34">
                  <c:v>Saint Kitts y Nevis (2022)</c:v>
                </c:pt>
              </c:strCache>
            </c:strRef>
          </c:cat>
          <c:val>
            <c:numRef>
              <c:f>'16. Abonos por velocidad'!$D$3:$D$37</c:f>
              <c:numCache>
                <c:formatCode>0.0</c:formatCode>
                <c:ptCount val="35"/>
                <c:pt idx="1">
                  <c:v>2.0403576029650301</c:v>
                </c:pt>
                <c:pt idx="2">
                  <c:v>0.266006541566434</c:v>
                </c:pt>
                <c:pt idx="3">
                  <c:v>5.0273552789823601E-2</c:v>
                </c:pt>
                <c:pt idx="6">
                  <c:v>0.139181980343275</c:v>
                </c:pt>
                <c:pt idx="7">
                  <c:v>1.85143176244788</c:v>
                </c:pt>
                <c:pt idx="10">
                  <c:v>0.42020904109117602</c:v>
                </c:pt>
                <c:pt idx="11">
                  <c:v>9.4490575032680199E-2</c:v>
                </c:pt>
                <c:pt idx="12">
                  <c:v>1.15427110993833E-3</c:v>
                </c:pt>
                <c:pt idx="14">
                  <c:v>2.0404852864678</c:v>
                </c:pt>
                <c:pt idx="15">
                  <c:v>3.6446408285694801E-2</c:v>
                </c:pt>
                <c:pt idx="16">
                  <c:v>0.88975673805287803</c:v>
                </c:pt>
                <c:pt idx="17">
                  <c:v>7.7314811416996296E-2</c:v>
                </c:pt>
                <c:pt idx="18">
                  <c:v>4.7703399344237299E-4</c:v>
                </c:pt>
                <c:pt idx="19">
                  <c:v>0.18135090952437699</c:v>
                </c:pt>
                <c:pt idx="20">
                  <c:v>2.21520374490599E-3</c:v>
                </c:pt>
                <c:pt idx="22">
                  <c:v>7.9688083297278001E-2</c:v>
                </c:pt>
                <c:pt idx="23">
                  <c:v>0.17294989251839901</c:v>
                </c:pt>
                <c:pt idx="24">
                  <c:v>4.63760950229248E-2</c:v>
                </c:pt>
                <c:pt idx="26">
                  <c:v>0.22714455872089101</c:v>
                </c:pt>
                <c:pt idx="27">
                  <c:v>0.37746218724466601</c:v>
                </c:pt>
                <c:pt idx="30">
                  <c:v>1.22488216781122E-2</c:v>
                </c:pt>
                <c:pt idx="32">
                  <c:v>0.17031691479730399</c:v>
                </c:pt>
                <c:pt idx="33">
                  <c:v>6.2378010898721498E-2</c:v>
                </c:pt>
              </c:numCache>
            </c:numRef>
          </c:val>
          <c:extLst>
            <c:ext xmlns:c16="http://schemas.microsoft.com/office/drawing/2014/chart" uri="{C3380CC4-5D6E-409C-BE32-E72D297353CC}">
              <c16:uniqueId val="{00000000-CE76-4665-9812-CEC34310C044}"/>
            </c:ext>
          </c:extLst>
        </c:ser>
        <c:ser>
          <c:idx val="1"/>
          <c:order val="1"/>
          <c:tx>
            <c:strRef>
              <c:f>'16. Abonos por velocidad'!$E$2</c:f>
              <c:strCache>
                <c:ptCount val="1"/>
                <c:pt idx="0">
                  <c:v>2 Mbit/s a &lt;10 Mbit/s</c:v>
                </c:pt>
              </c:strCache>
            </c:strRef>
          </c:tx>
          <c:spPr>
            <a:solidFill>
              <a:srgbClr val="C98BDB"/>
            </a:solidFill>
            <a:ln>
              <a:noFill/>
            </a:ln>
            <a:effectLst/>
          </c:spPr>
          <c:invertIfNegative val="0"/>
          <c:cat>
            <c:strRef>
              <c:f>'16. Abonos por velocidad'!$C$3:$C$37</c:f>
              <c:strCache>
                <c:ptCount val="35"/>
                <c:pt idx="0">
                  <c:v>Haití* (2022)</c:v>
                </c:pt>
                <c:pt idx="1">
                  <c:v>Cuba</c:v>
                </c:pt>
                <c:pt idx="2">
                  <c:v>Honduras</c:v>
                </c:pt>
                <c:pt idx="3">
                  <c:v>Guatemala</c:v>
                </c:pt>
                <c:pt idx="4">
                  <c:v>Nicaragua</c:v>
                </c:pt>
                <c:pt idx="5">
                  <c:v>Belice* (2022)</c:v>
                </c:pt>
                <c:pt idx="6">
                  <c:v>Perú</c:v>
                </c:pt>
                <c:pt idx="7">
                  <c:v>Venezuela</c:v>
                </c:pt>
                <c:pt idx="8">
                  <c:v>Antigua y Barbuda* (2022)</c:v>
                </c:pt>
                <c:pt idx="9">
                  <c:v>Bolivia* (2022)</c:v>
                </c:pt>
                <c:pt idx="10">
                  <c:v>Rep. Dominicana</c:v>
                </c:pt>
                <c:pt idx="11">
                  <c:v>El Salvador</c:v>
                </c:pt>
                <c:pt idx="12">
                  <c:v>Paraguay</c:v>
                </c:pt>
                <c:pt idx="13">
                  <c:v>Guyana* (2022)</c:v>
                </c:pt>
                <c:pt idx="14">
                  <c:v>Santa Lucía (2022)</c:v>
                </c:pt>
                <c:pt idx="15">
                  <c:v>Jamaica</c:v>
                </c:pt>
                <c:pt idx="16">
                  <c:v>Ecuador</c:v>
                </c:pt>
                <c:pt idx="17">
                  <c:v>Colombia</c:v>
                </c:pt>
                <c:pt idx="18">
                  <c:v>Suriname</c:v>
                </c:pt>
                <c:pt idx="19">
                  <c:v>Panamá</c:v>
                </c:pt>
                <c:pt idx="20">
                  <c:v>México</c:v>
                </c:pt>
                <c:pt idx="21">
                  <c:v>Dominica (2022)</c:v>
                </c:pt>
                <c:pt idx="22">
                  <c:v>Brasil</c:v>
                </c:pt>
                <c:pt idx="23">
                  <c:v>Costa Rica</c:v>
                </c:pt>
                <c:pt idx="24">
                  <c:v>Chile</c:v>
                </c:pt>
                <c:pt idx="25">
                  <c:v>Bahamas</c:v>
                </c:pt>
                <c:pt idx="26">
                  <c:v>Argentina</c:v>
                </c:pt>
                <c:pt idx="27">
                  <c:v>Trinidad y Tabago</c:v>
                </c:pt>
                <c:pt idx="28">
                  <c:v>Granada (2022)</c:v>
                </c:pt>
                <c:pt idx="29">
                  <c:v>San Vicente</c:v>
                </c:pt>
                <c:pt idx="30">
                  <c:v>Uruguay</c:v>
                </c:pt>
                <c:pt idx="31">
                  <c:v>Barbados (2022)</c:v>
                </c:pt>
                <c:pt idx="32">
                  <c:v>Estados Unidos</c:v>
                </c:pt>
                <c:pt idx="33">
                  <c:v>Canadá</c:v>
                </c:pt>
                <c:pt idx="34">
                  <c:v>Saint Kitts y Nevis (2022)</c:v>
                </c:pt>
              </c:strCache>
            </c:strRef>
          </c:cat>
          <c:val>
            <c:numRef>
              <c:f>'16. Abonos por velocidad'!$E$3:$E$37</c:f>
              <c:numCache>
                <c:formatCode>0.0</c:formatCode>
                <c:ptCount val="35"/>
                <c:pt idx="1">
                  <c:v>0.89296384886620395</c:v>
                </c:pt>
                <c:pt idx="2">
                  <c:v>0.90348845653170695</c:v>
                </c:pt>
                <c:pt idx="3">
                  <c:v>0.63956985436228397</c:v>
                </c:pt>
                <c:pt idx="6">
                  <c:v>8.4294518844197794E-2</c:v>
                </c:pt>
                <c:pt idx="7">
                  <c:v>4.7717499973675697</c:v>
                </c:pt>
                <c:pt idx="10">
                  <c:v>3.3590159615894599</c:v>
                </c:pt>
                <c:pt idx="11">
                  <c:v>2.09273959906327</c:v>
                </c:pt>
                <c:pt idx="12">
                  <c:v>0.27972810632619499</c:v>
                </c:pt>
                <c:pt idx="14">
                  <c:v>1.0202426432339</c:v>
                </c:pt>
                <c:pt idx="15">
                  <c:v>0.31643229454613803</c:v>
                </c:pt>
                <c:pt idx="16">
                  <c:v>1.7802865537383801</c:v>
                </c:pt>
                <c:pt idx="17">
                  <c:v>1.3852638412854501</c:v>
                </c:pt>
                <c:pt idx="18">
                  <c:v>3.1787955209688201</c:v>
                </c:pt>
                <c:pt idx="19">
                  <c:v>0.72535878256707798</c:v>
                </c:pt>
                <c:pt idx="20">
                  <c:v>0.93139220337229101</c:v>
                </c:pt>
                <c:pt idx="21">
                  <c:v>3.0646754257325002</c:v>
                </c:pt>
                <c:pt idx="22">
                  <c:v>0.53137213521698101</c:v>
                </c:pt>
                <c:pt idx="23">
                  <c:v>1.97119786897528</c:v>
                </c:pt>
                <c:pt idx="24">
                  <c:v>0.17596159691049901</c:v>
                </c:pt>
                <c:pt idx="26">
                  <c:v>2.4396047634610598</c:v>
                </c:pt>
                <c:pt idx="27">
                  <c:v>2.3313097332414201</c:v>
                </c:pt>
                <c:pt idx="30">
                  <c:v>0.35264800339779401</c:v>
                </c:pt>
                <c:pt idx="32">
                  <c:v>0.89205303750246001</c:v>
                </c:pt>
                <c:pt idx="33">
                  <c:v>1.17758406966266</c:v>
                </c:pt>
              </c:numCache>
            </c:numRef>
          </c:val>
          <c:extLst>
            <c:ext xmlns:c16="http://schemas.microsoft.com/office/drawing/2014/chart" uri="{C3380CC4-5D6E-409C-BE32-E72D297353CC}">
              <c16:uniqueId val="{00000001-CE76-4665-9812-CEC34310C044}"/>
            </c:ext>
          </c:extLst>
        </c:ser>
        <c:ser>
          <c:idx val="2"/>
          <c:order val="2"/>
          <c:tx>
            <c:strRef>
              <c:f>'16. Abonos por velocidad'!$F$2</c:f>
              <c:strCache>
                <c:ptCount val="1"/>
                <c:pt idx="0">
                  <c:v>&gt;=10 Mbit/s</c:v>
                </c:pt>
              </c:strCache>
            </c:strRef>
          </c:tx>
          <c:spPr>
            <a:solidFill>
              <a:srgbClr val="A77BCA"/>
            </a:solidFill>
            <a:ln>
              <a:noFill/>
            </a:ln>
            <a:effectLst/>
          </c:spPr>
          <c:invertIfNegative val="0"/>
          <c:dPt>
            <c:idx val="32"/>
            <c:invertIfNegative val="0"/>
            <c:bubble3D val="0"/>
            <c:spPr>
              <a:solidFill>
                <a:srgbClr val="A77BCA"/>
              </a:solidFill>
              <a:ln>
                <a:noFill/>
              </a:ln>
              <a:effectLst/>
            </c:spPr>
            <c:extLst>
              <c:ext xmlns:c16="http://schemas.microsoft.com/office/drawing/2014/chart" uri="{C3380CC4-5D6E-409C-BE32-E72D297353CC}">
                <c16:uniqueId val="{00000003-CE76-4665-9812-CEC34310C044}"/>
              </c:ext>
            </c:extLst>
          </c:dPt>
          <c:dLbls>
            <c:dLbl>
              <c:idx val="0"/>
              <c:tx>
                <c:rich>
                  <a:bodyPr/>
                  <a:lstStyle/>
                  <a:p>
                    <a:endParaRPr lang="en-GB"/>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4-CE76-4665-9812-CEC34310C044}"/>
                </c:ext>
              </c:extLst>
            </c:dLbl>
            <c:dLbl>
              <c:idx val="1"/>
              <c:tx>
                <c:rich>
                  <a:bodyPr/>
                  <a:lstStyle/>
                  <a:p>
                    <a:fld id="{47A07A1E-0398-437F-88F6-0398E8272A2D}"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CE76-4665-9812-CEC34310C044}"/>
                </c:ext>
              </c:extLst>
            </c:dLbl>
            <c:dLbl>
              <c:idx val="2"/>
              <c:tx>
                <c:rich>
                  <a:bodyPr/>
                  <a:lstStyle/>
                  <a:p>
                    <a:fld id="{75956AE9-9B97-4073-BB02-4DB3FADC3F07}"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CE76-4665-9812-CEC34310C044}"/>
                </c:ext>
              </c:extLst>
            </c:dLbl>
            <c:dLbl>
              <c:idx val="3"/>
              <c:tx>
                <c:rich>
                  <a:bodyPr/>
                  <a:lstStyle/>
                  <a:p>
                    <a:fld id="{59FE241D-CFE7-45A9-B8A9-9D143D49B2C0}"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CE76-4665-9812-CEC34310C044}"/>
                </c:ext>
              </c:extLst>
            </c:dLbl>
            <c:dLbl>
              <c:idx val="4"/>
              <c:tx>
                <c:rich>
                  <a:bodyPr/>
                  <a:lstStyle/>
                  <a:p>
                    <a:endParaRPr lang="en-GB"/>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8-CE76-4665-9812-CEC34310C044}"/>
                </c:ext>
              </c:extLst>
            </c:dLbl>
            <c:dLbl>
              <c:idx val="5"/>
              <c:tx>
                <c:rich>
                  <a:bodyPr/>
                  <a:lstStyle/>
                  <a:p>
                    <a:endParaRPr lang="en-GB"/>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9-CE76-4665-9812-CEC34310C044}"/>
                </c:ext>
              </c:extLst>
            </c:dLbl>
            <c:dLbl>
              <c:idx val="6"/>
              <c:tx>
                <c:rich>
                  <a:bodyPr/>
                  <a:lstStyle/>
                  <a:p>
                    <a:fld id="{A7C086E0-74F9-46DC-967D-C765842CCF96}"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CE76-4665-9812-CEC34310C044}"/>
                </c:ext>
              </c:extLst>
            </c:dLbl>
            <c:dLbl>
              <c:idx val="7"/>
              <c:tx>
                <c:rich>
                  <a:bodyPr/>
                  <a:lstStyle/>
                  <a:p>
                    <a:fld id="{6AB77A81-27DE-44D6-975B-F1594FD21293}"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CE76-4665-9812-CEC34310C044}"/>
                </c:ext>
              </c:extLst>
            </c:dLbl>
            <c:dLbl>
              <c:idx val="8"/>
              <c:tx>
                <c:rich>
                  <a:bodyPr/>
                  <a:lstStyle/>
                  <a:p>
                    <a:endParaRPr lang="en-GB"/>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C-CE76-4665-9812-CEC34310C044}"/>
                </c:ext>
              </c:extLst>
            </c:dLbl>
            <c:dLbl>
              <c:idx val="9"/>
              <c:tx>
                <c:rich>
                  <a:bodyPr/>
                  <a:lstStyle/>
                  <a:p>
                    <a:endParaRPr lang="en-GB"/>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0D-CE76-4665-9812-CEC34310C044}"/>
                </c:ext>
              </c:extLst>
            </c:dLbl>
            <c:dLbl>
              <c:idx val="10"/>
              <c:tx>
                <c:rich>
                  <a:bodyPr/>
                  <a:lstStyle/>
                  <a:p>
                    <a:fld id="{0BB95578-5114-43CE-9665-7E28982B9FCD}"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CE76-4665-9812-CEC34310C044}"/>
                </c:ext>
              </c:extLst>
            </c:dLbl>
            <c:dLbl>
              <c:idx val="11"/>
              <c:tx>
                <c:rich>
                  <a:bodyPr/>
                  <a:lstStyle/>
                  <a:p>
                    <a:fld id="{16037212-A30E-4DCE-8ED6-7883F0026529}"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CE76-4665-9812-CEC34310C044}"/>
                </c:ext>
              </c:extLst>
            </c:dLbl>
            <c:dLbl>
              <c:idx val="12"/>
              <c:tx>
                <c:rich>
                  <a:bodyPr/>
                  <a:lstStyle/>
                  <a:p>
                    <a:fld id="{883D0502-A48B-445C-8882-A6CE10E745F2}"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CE76-4665-9812-CEC34310C044}"/>
                </c:ext>
              </c:extLst>
            </c:dLbl>
            <c:dLbl>
              <c:idx val="13"/>
              <c:tx>
                <c:rich>
                  <a:bodyPr/>
                  <a:lstStyle/>
                  <a:p>
                    <a:endParaRPr lang="en-GB"/>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1-CE76-4665-9812-CEC34310C044}"/>
                </c:ext>
              </c:extLst>
            </c:dLbl>
            <c:dLbl>
              <c:idx val="14"/>
              <c:tx>
                <c:rich>
                  <a:bodyPr/>
                  <a:lstStyle/>
                  <a:p>
                    <a:fld id="{B9167EB2-E670-4D2D-A3B2-F67269B04947}"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CE76-4665-9812-CEC34310C044}"/>
                </c:ext>
              </c:extLst>
            </c:dLbl>
            <c:dLbl>
              <c:idx val="15"/>
              <c:tx>
                <c:rich>
                  <a:bodyPr/>
                  <a:lstStyle/>
                  <a:p>
                    <a:fld id="{A7F2F030-1A5F-45E6-8C33-320CEDF4C3BF}"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CE76-4665-9812-CEC34310C044}"/>
                </c:ext>
              </c:extLst>
            </c:dLbl>
            <c:dLbl>
              <c:idx val="16"/>
              <c:tx>
                <c:rich>
                  <a:bodyPr/>
                  <a:lstStyle/>
                  <a:p>
                    <a:fld id="{FDC69BB2-DEA5-40DC-858E-6BBCDAAB1680}"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CE76-4665-9812-CEC34310C044}"/>
                </c:ext>
              </c:extLst>
            </c:dLbl>
            <c:dLbl>
              <c:idx val="17"/>
              <c:tx>
                <c:rich>
                  <a:bodyPr/>
                  <a:lstStyle/>
                  <a:p>
                    <a:fld id="{7E463BDE-2801-4024-8BE5-2F5DA4339518}"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CE76-4665-9812-CEC34310C044}"/>
                </c:ext>
              </c:extLst>
            </c:dLbl>
            <c:dLbl>
              <c:idx val="18"/>
              <c:tx>
                <c:rich>
                  <a:bodyPr/>
                  <a:lstStyle/>
                  <a:p>
                    <a:fld id="{55A45C24-F3F6-4747-ABCA-83EB617FA58A}"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CE76-4665-9812-CEC34310C044}"/>
                </c:ext>
              </c:extLst>
            </c:dLbl>
            <c:dLbl>
              <c:idx val="19"/>
              <c:tx>
                <c:rich>
                  <a:bodyPr/>
                  <a:lstStyle/>
                  <a:p>
                    <a:fld id="{3EAB477F-42FE-42B1-9E3C-7CDC631E3BF0}"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CE76-4665-9812-CEC34310C044}"/>
                </c:ext>
              </c:extLst>
            </c:dLbl>
            <c:dLbl>
              <c:idx val="20"/>
              <c:tx>
                <c:rich>
                  <a:bodyPr/>
                  <a:lstStyle/>
                  <a:p>
                    <a:fld id="{CCBAA946-6E96-418E-A5E5-C8B11C1AE6F9}"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CE76-4665-9812-CEC34310C044}"/>
                </c:ext>
              </c:extLst>
            </c:dLbl>
            <c:dLbl>
              <c:idx val="21"/>
              <c:tx>
                <c:rich>
                  <a:bodyPr/>
                  <a:lstStyle/>
                  <a:p>
                    <a:fld id="{49F10A66-CFE4-465F-B409-48288B4C942D}"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CE76-4665-9812-CEC34310C044}"/>
                </c:ext>
              </c:extLst>
            </c:dLbl>
            <c:dLbl>
              <c:idx val="22"/>
              <c:tx>
                <c:rich>
                  <a:bodyPr/>
                  <a:lstStyle/>
                  <a:p>
                    <a:fld id="{32991FF3-E4A7-4861-A3B9-61DB71AC6FF7}"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CE76-4665-9812-CEC34310C044}"/>
                </c:ext>
              </c:extLst>
            </c:dLbl>
            <c:dLbl>
              <c:idx val="23"/>
              <c:tx>
                <c:rich>
                  <a:bodyPr/>
                  <a:lstStyle/>
                  <a:p>
                    <a:fld id="{01060122-4A1F-48CD-8442-2C8C0DE6D628}"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CE76-4665-9812-CEC34310C044}"/>
                </c:ext>
              </c:extLst>
            </c:dLbl>
            <c:dLbl>
              <c:idx val="24"/>
              <c:tx>
                <c:rich>
                  <a:bodyPr/>
                  <a:lstStyle/>
                  <a:p>
                    <a:fld id="{0833D437-78C4-498F-898E-BEA3F14E50B4}"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CE76-4665-9812-CEC34310C044}"/>
                </c:ext>
              </c:extLst>
            </c:dLbl>
            <c:dLbl>
              <c:idx val="25"/>
              <c:tx>
                <c:rich>
                  <a:bodyPr/>
                  <a:lstStyle/>
                  <a:p>
                    <a:fld id="{2E7D1624-EAED-4726-A00B-80781E19C137}"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CE76-4665-9812-CEC34310C044}"/>
                </c:ext>
              </c:extLst>
            </c:dLbl>
            <c:dLbl>
              <c:idx val="26"/>
              <c:tx>
                <c:rich>
                  <a:bodyPr/>
                  <a:lstStyle/>
                  <a:p>
                    <a:fld id="{3C16B6EA-FDC7-49BA-964E-5DF527D53EB0}"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CE76-4665-9812-CEC34310C044}"/>
                </c:ext>
              </c:extLst>
            </c:dLbl>
            <c:dLbl>
              <c:idx val="27"/>
              <c:tx>
                <c:rich>
                  <a:bodyPr/>
                  <a:lstStyle/>
                  <a:p>
                    <a:fld id="{4F3DB7BE-F2BE-4E2B-AC3E-C7CE3875A865}"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CE76-4665-9812-CEC34310C044}"/>
                </c:ext>
              </c:extLst>
            </c:dLbl>
            <c:dLbl>
              <c:idx val="28"/>
              <c:tx>
                <c:rich>
                  <a:bodyPr/>
                  <a:lstStyle/>
                  <a:p>
                    <a:fld id="{B330BFFE-1CDD-495A-8FDA-291416664998}"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CE76-4665-9812-CEC34310C044}"/>
                </c:ext>
              </c:extLst>
            </c:dLbl>
            <c:dLbl>
              <c:idx val="29"/>
              <c:tx>
                <c:rich>
                  <a:bodyPr/>
                  <a:lstStyle/>
                  <a:p>
                    <a:endParaRPr lang="en-GB"/>
                  </a:p>
                </c:rich>
              </c:tx>
              <c:dLblPos val="inBase"/>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21-CE76-4665-9812-CEC34310C044}"/>
                </c:ext>
              </c:extLst>
            </c:dLbl>
            <c:dLbl>
              <c:idx val="30"/>
              <c:tx>
                <c:rich>
                  <a:bodyPr/>
                  <a:lstStyle/>
                  <a:p>
                    <a:fld id="{C67E4006-A99A-4B02-9C88-D18F9E6DD0D1}"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CE76-4665-9812-CEC34310C044}"/>
                </c:ext>
              </c:extLst>
            </c:dLbl>
            <c:dLbl>
              <c:idx val="31"/>
              <c:tx>
                <c:rich>
                  <a:bodyPr/>
                  <a:lstStyle/>
                  <a:p>
                    <a:fld id="{AD477D3D-535C-44DD-A2DF-EB95B2D239DA}"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CE76-4665-9812-CEC34310C044}"/>
                </c:ext>
              </c:extLst>
            </c:dLbl>
            <c:dLbl>
              <c:idx val="32"/>
              <c:tx>
                <c:rich>
                  <a:bodyPr/>
                  <a:lstStyle/>
                  <a:p>
                    <a:fld id="{FF96FFBF-593A-4D46-BAB4-4DB9A1C33CAC}"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CE76-4665-9812-CEC34310C044}"/>
                </c:ext>
              </c:extLst>
            </c:dLbl>
            <c:dLbl>
              <c:idx val="33"/>
              <c:tx>
                <c:rich>
                  <a:bodyPr/>
                  <a:lstStyle/>
                  <a:p>
                    <a:fld id="{3209F920-A8C3-4705-80A8-38731362F264}"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CE76-4665-9812-CEC34310C044}"/>
                </c:ext>
              </c:extLst>
            </c:dLbl>
            <c:dLbl>
              <c:idx val="34"/>
              <c:tx>
                <c:rich>
                  <a:bodyPr/>
                  <a:lstStyle/>
                  <a:p>
                    <a:fld id="{B877EB27-B507-4DFE-8BED-717AB67DFAAB}"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CE76-4665-9812-CEC34310C04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'16. Abonos por velocidad'!$C$3:$C$37</c:f>
              <c:strCache>
                <c:ptCount val="35"/>
                <c:pt idx="0">
                  <c:v>Haití* (2022)</c:v>
                </c:pt>
                <c:pt idx="1">
                  <c:v>Cuba</c:v>
                </c:pt>
                <c:pt idx="2">
                  <c:v>Honduras</c:v>
                </c:pt>
                <c:pt idx="3">
                  <c:v>Guatemala</c:v>
                </c:pt>
                <c:pt idx="4">
                  <c:v>Nicaragua</c:v>
                </c:pt>
                <c:pt idx="5">
                  <c:v>Belice* (2022)</c:v>
                </c:pt>
                <c:pt idx="6">
                  <c:v>Perú</c:v>
                </c:pt>
                <c:pt idx="7">
                  <c:v>Venezuela</c:v>
                </c:pt>
                <c:pt idx="8">
                  <c:v>Antigua y Barbuda* (2022)</c:v>
                </c:pt>
                <c:pt idx="9">
                  <c:v>Bolivia* (2022)</c:v>
                </c:pt>
                <c:pt idx="10">
                  <c:v>Rep. Dominicana</c:v>
                </c:pt>
                <c:pt idx="11">
                  <c:v>El Salvador</c:v>
                </c:pt>
                <c:pt idx="12">
                  <c:v>Paraguay</c:v>
                </c:pt>
                <c:pt idx="13">
                  <c:v>Guyana* (2022)</c:v>
                </c:pt>
                <c:pt idx="14">
                  <c:v>Santa Lucía (2022)</c:v>
                </c:pt>
                <c:pt idx="15">
                  <c:v>Jamaica</c:v>
                </c:pt>
                <c:pt idx="16">
                  <c:v>Ecuador</c:v>
                </c:pt>
                <c:pt idx="17">
                  <c:v>Colombia</c:v>
                </c:pt>
                <c:pt idx="18">
                  <c:v>Suriname</c:v>
                </c:pt>
                <c:pt idx="19">
                  <c:v>Panamá</c:v>
                </c:pt>
                <c:pt idx="20">
                  <c:v>México</c:v>
                </c:pt>
                <c:pt idx="21">
                  <c:v>Dominica (2022)</c:v>
                </c:pt>
                <c:pt idx="22">
                  <c:v>Brasil</c:v>
                </c:pt>
                <c:pt idx="23">
                  <c:v>Costa Rica</c:v>
                </c:pt>
                <c:pt idx="24">
                  <c:v>Chile</c:v>
                </c:pt>
                <c:pt idx="25">
                  <c:v>Bahamas</c:v>
                </c:pt>
                <c:pt idx="26">
                  <c:v>Argentina</c:v>
                </c:pt>
                <c:pt idx="27">
                  <c:v>Trinidad y Tabago</c:v>
                </c:pt>
                <c:pt idx="28">
                  <c:v>Granada (2022)</c:v>
                </c:pt>
                <c:pt idx="29">
                  <c:v>San Vicente</c:v>
                </c:pt>
                <c:pt idx="30">
                  <c:v>Uruguay</c:v>
                </c:pt>
                <c:pt idx="31">
                  <c:v>Barbados (2022)</c:v>
                </c:pt>
                <c:pt idx="32">
                  <c:v>Estados Unidos</c:v>
                </c:pt>
                <c:pt idx="33">
                  <c:v>Canadá</c:v>
                </c:pt>
                <c:pt idx="34">
                  <c:v>Saint Kitts y Nevis (2022)</c:v>
                </c:pt>
              </c:strCache>
            </c:strRef>
          </c:cat>
          <c:val>
            <c:numRef>
              <c:f>'16. Abonos por velocidad'!$F$3:$F$37</c:f>
              <c:numCache>
                <c:formatCode>0.0</c:formatCode>
                <c:ptCount val="35"/>
                <c:pt idx="1">
                  <c:v>3.7858676247609899E-2</c:v>
                </c:pt>
                <c:pt idx="2">
                  <c:v>3.1926327573772499</c:v>
                </c:pt>
                <c:pt idx="3">
                  <c:v>4.3909854532217096</c:v>
                </c:pt>
                <c:pt idx="6">
                  <c:v>10.212950173134701</c:v>
                </c:pt>
                <c:pt idx="7">
                  <c:v>4.0148717773675697</c:v>
                </c:pt>
                <c:pt idx="10">
                  <c:v>7.3553217579855401</c:v>
                </c:pt>
                <c:pt idx="11">
                  <c:v>8.0886594827203595</c:v>
                </c:pt>
                <c:pt idx="12">
                  <c:v>12.602668031921</c:v>
                </c:pt>
                <c:pt idx="14">
                  <c:v>10.5111840743703</c:v>
                </c:pt>
                <c:pt idx="15">
                  <c:v>15.432324830110399</c:v>
                </c:pt>
                <c:pt idx="16">
                  <c:v>13.3978469398612</c:v>
                </c:pt>
                <c:pt idx="17">
                  <c:v>15.574402872475</c:v>
                </c:pt>
                <c:pt idx="18">
                  <c:v>14.3580871572908</c:v>
                </c:pt>
                <c:pt idx="19">
                  <c:v>17.227416866441999</c:v>
                </c:pt>
                <c:pt idx="20">
                  <c:v>15.731902199695</c:v>
                </c:pt>
                <c:pt idx="21">
                  <c:v>17.795468829497501</c:v>
                </c:pt>
                <c:pt idx="22">
                  <c:v>21.808169943374601</c:v>
                </c:pt>
                <c:pt idx="23">
                  <c:v>20.378981593469799</c:v>
                </c:pt>
                <c:pt idx="24">
                  <c:v>22.7730788726799</c:v>
                </c:pt>
                <c:pt idx="25">
                  <c:v>23.816342880032</c:v>
                </c:pt>
                <c:pt idx="26">
                  <c:v>22.084991521770799</c:v>
                </c:pt>
                <c:pt idx="27">
                  <c:v>24.185458823153699</c:v>
                </c:pt>
                <c:pt idx="28">
                  <c:v>29.767433903842999</c:v>
                </c:pt>
                <c:pt idx="30">
                  <c:v>32.0383131335998</c:v>
                </c:pt>
                <c:pt idx="31">
                  <c:v>37.484326185365397</c:v>
                </c:pt>
                <c:pt idx="32">
                  <c:v>37.085125281992802</c:v>
                </c:pt>
                <c:pt idx="33">
                  <c:v>41.284214996753697</c:v>
                </c:pt>
                <c:pt idx="34">
                  <c:v>46.744738701320898</c:v>
                </c:pt>
              </c:numCache>
            </c:numRef>
          </c:val>
          <c:extLst>
            <c:ext xmlns:c15="http://schemas.microsoft.com/office/drawing/2012/chart" uri="{02D57815-91ED-43cb-92C2-25804820EDAC}">
              <c15:datalabelsRange>
                <c15:f>'16. Abonos por velocidad'!$M$3:$M$37</c15:f>
                <c15:dlblRangeCache>
                  <c:ptCount val="35"/>
                </c15:dlblRangeCache>
              </c15:datalabelsRange>
            </c:ext>
            <c:ext xmlns:c16="http://schemas.microsoft.com/office/drawing/2014/chart" uri="{C3380CC4-5D6E-409C-BE32-E72D297353CC}">
              <c16:uniqueId val="{00000026-CE76-4665-9812-CEC34310C044}"/>
            </c:ext>
          </c:extLst>
        </c:ser>
        <c:ser>
          <c:idx val="5"/>
          <c:order val="5"/>
          <c:tx>
            <c:strRef>
              <c:f>'16. Abonos por velocidad'!$G$2</c:f>
              <c:strCache>
                <c:ptCount val="1"/>
                <c:pt idx="0">
                  <c:v>Velocidad no disponible</c:v>
                </c:pt>
              </c:strCache>
            </c:strRef>
          </c:tx>
          <c:spPr>
            <a:solidFill>
              <a:srgbClr val="403A60"/>
            </a:solidFill>
            <a:ln>
              <a:noFill/>
            </a:ln>
            <a:effectLst/>
          </c:spPr>
          <c:invertIfNegative val="0"/>
          <c:cat>
            <c:strRef>
              <c:f>'16. Abonos por velocidad'!$C$3:$C$37</c:f>
              <c:strCache>
                <c:ptCount val="35"/>
                <c:pt idx="0">
                  <c:v>Haití* (2022)</c:v>
                </c:pt>
                <c:pt idx="1">
                  <c:v>Cuba</c:v>
                </c:pt>
                <c:pt idx="2">
                  <c:v>Honduras</c:v>
                </c:pt>
                <c:pt idx="3">
                  <c:v>Guatemala</c:v>
                </c:pt>
                <c:pt idx="4">
                  <c:v>Nicaragua</c:v>
                </c:pt>
                <c:pt idx="5">
                  <c:v>Belice* (2022)</c:v>
                </c:pt>
                <c:pt idx="6">
                  <c:v>Perú</c:v>
                </c:pt>
                <c:pt idx="7">
                  <c:v>Venezuela</c:v>
                </c:pt>
                <c:pt idx="8">
                  <c:v>Antigua y Barbuda* (2022)</c:v>
                </c:pt>
                <c:pt idx="9">
                  <c:v>Bolivia* (2022)</c:v>
                </c:pt>
                <c:pt idx="10">
                  <c:v>Rep. Dominicana</c:v>
                </c:pt>
                <c:pt idx="11">
                  <c:v>El Salvador</c:v>
                </c:pt>
                <c:pt idx="12">
                  <c:v>Paraguay</c:v>
                </c:pt>
                <c:pt idx="13">
                  <c:v>Guyana* (2022)</c:v>
                </c:pt>
                <c:pt idx="14">
                  <c:v>Santa Lucía (2022)</c:v>
                </c:pt>
                <c:pt idx="15">
                  <c:v>Jamaica</c:v>
                </c:pt>
                <c:pt idx="16">
                  <c:v>Ecuador</c:v>
                </c:pt>
                <c:pt idx="17">
                  <c:v>Colombia</c:v>
                </c:pt>
                <c:pt idx="18">
                  <c:v>Suriname</c:v>
                </c:pt>
                <c:pt idx="19">
                  <c:v>Panamá</c:v>
                </c:pt>
                <c:pt idx="20">
                  <c:v>México</c:v>
                </c:pt>
                <c:pt idx="21">
                  <c:v>Dominica (2022)</c:v>
                </c:pt>
                <c:pt idx="22">
                  <c:v>Brasil</c:v>
                </c:pt>
                <c:pt idx="23">
                  <c:v>Costa Rica</c:v>
                </c:pt>
                <c:pt idx="24">
                  <c:v>Chile</c:v>
                </c:pt>
                <c:pt idx="25">
                  <c:v>Bahamas</c:v>
                </c:pt>
                <c:pt idx="26">
                  <c:v>Argentina</c:v>
                </c:pt>
                <c:pt idx="27">
                  <c:v>Trinidad y Tabago</c:v>
                </c:pt>
                <c:pt idx="28">
                  <c:v>Granada (2022)</c:v>
                </c:pt>
                <c:pt idx="29">
                  <c:v>San Vicente</c:v>
                </c:pt>
                <c:pt idx="30">
                  <c:v>Uruguay</c:v>
                </c:pt>
                <c:pt idx="31">
                  <c:v>Barbados (2022)</c:v>
                </c:pt>
                <c:pt idx="32">
                  <c:v>Estados Unidos</c:v>
                </c:pt>
                <c:pt idx="33">
                  <c:v>Canadá</c:v>
                </c:pt>
                <c:pt idx="34">
                  <c:v>Saint Kitts y Nevis (2022)</c:v>
                </c:pt>
              </c:strCache>
            </c:strRef>
          </c:cat>
          <c:val>
            <c:numRef>
              <c:f>'16. Abonos por velocidad'!$G$3:$G$37</c:f>
              <c:numCache>
                <c:formatCode>0.0</c:formatCode>
                <c:ptCount val="35"/>
                <c:pt idx="0">
                  <c:v>0.306790757611135</c:v>
                </c:pt>
                <c:pt idx="1">
                  <c:v>-3.9968028886505635E-15</c:v>
                </c:pt>
                <c:pt idx="2">
                  <c:v>0</c:v>
                </c:pt>
                <c:pt idx="3">
                  <c:v>-7.1054273576010019E-15</c:v>
                </c:pt>
                <c:pt idx="4">
                  <c:v>5.43030503048751</c:v>
                </c:pt>
                <c:pt idx="5">
                  <c:v>9.7538567735944195</c:v>
                </c:pt>
                <c:pt idx="6">
                  <c:v>2.6645352591003757E-14</c:v>
                </c:pt>
                <c:pt idx="7">
                  <c:v>-1.9539925233402755E-14</c:v>
                </c:pt>
                <c:pt idx="8">
                  <c:v>10.681818181818199</c:v>
                </c:pt>
                <c:pt idx="9">
                  <c:v>10.997524747966301</c:v>
                </c:pt>
                <c:pt idx="10">
                  <c:v>8.8251400249816925E-6</c:v>
                </c:pt>
                <c:pt idx="11">
                  <c:v>1.3512849577090904</c:v>
                </c:pt>
                <c:pt idx="12">
                  <c:v>-3.1974423109204508E-14</c:v>
                </c:pt>
                <c:pt idx="13">
                  <c:v>12.9356394612219</c:v>
                </c:pt>
                <c:pt idx="14">
                  <c:v>0</c:v>
                </c:pt>
                <c:pt idx="15">
                  <c:v>6.7501559897209518E-14</c:v>
                </c:pt>
                <c:pt idx="16">
                  <c:v>-6.0396132539608516E-14</c:v>
                </c:pt>
                <c:pt idx="17">
                  <c:v>-4.6185277824406512E-14</c:v>
                </c:pt>
                <c:pt idx="18">
                  <c:v>3.907985046680551E-14</c:v>
                </c:pt>
                <c:pt idx="19">
                  <c:v>-5.3290705182007514E-14</c:v>
                </c:pt>
                <c:pt idx="20">
                  <c:v>3.4227264134197029</c:v>
                </c:pt>
                <c:pt idx="21">
                  <c:v>0</c:v>
                </c:pt>
                <c:pt idx="22">
                  <c:v>4.2632564145606011E-14</c:v>
                </c:pt>
                <c:pt idx="23">
                  <c:v>0</c:v>
                </c:pt>
                <c:pt idx="24">
                  <c:v>0</c:v>
                </c:pt>
                <c:pt idx="25">
                  <c:v>0</c:v>
                </c:pt>
                <c:pt idx="26">
                  <c:v>0.60633222497204997</c:v>
                </c:pt>
                <c:pt idx="27">
                  <c:v>0</c:v>
                </c:pt>
                <c:pt idx="28">
                  <c:v>0</c:v>
                </c:pt>
                <c:pt idx="29">
                  <c:v>30.493570068000398</c:v>
                </c:pt>
                <c:pt idx="30">
                  <c:v>0</c:v>
                </c:pt>
                <c:pt idx="31">
                  <c:v>0</c:v>
                </c:pt>
                <c:pt idx="32">
                  <c:v>-6.3948846218409017E-14</c:v>
                </c:pt>
                <c:pt idx="33">
                  <c:v>0</c:v>
                </c:pt>
                <c:pt idx="34">
                  <c:v>0</c:v>
                </c:pt>
              </c:numCache>
            </c:numRef>
          </c:val>
          <c:extLst>
            <c:ext xmlns:c16="http://schemas.microsoft.com/office/drawing/2014/chart" uri="{C3380CC4-5D6E-409C-BE32-E72D297353CC}">
              <c16:uniqueId val="{00000027-CE76-4665-9812-CEC34310C044}"/>
            </c:ext>
          </c:extLst>
        </c:ser>
        <c:dLbls>
          <c:showLegendKey val="0"/>
          <c:showVal val="0"/>
          <c:showCatName val="0"/>
          <c:showSerName val="0"/>
          <c:showPercent val="0"/>
          <c:showBubbleSize val="0"/>
        </c:dLbls>
        <c:gapWidth val="150"/>
        <c:overlap val="100"/>
        <c:axId val="1942888335"/>
        <c:axId val="1892808655"/>
      </c:barChart>
      <c:lineChart>
        <c:grouping val="standard"/>
        <c:varyColors val="0"/>
        <c:ser>
          <c:idx val="3"/>
          <c:order val="3"/>
          <c:tx>
            <c:strRef>
              <c:f>'16. Abonos por velocidad'!$H$2</c:f>
              <c:strCache>
                <c:ptCount val="1"/>
                <c:pt idx="0">
                  <c:v>Media regional (2023)</c:v>
                </c:pt>
              </c:strCache>
            </c:strRef>
          </c:tx>
          <c:spPr>
            <a:ln w="28575" cap="rnd">
              <a:solidFill>
                <a:srgbClr val="A77BCA"/>
              </a:solidFill>
              <a:prstDash val="sysDot"/>
              <a:round/>
            </a:ln>
            <a:effectLst/>
          </c:spPr>
          <c:marker>
            <c:symbol val="none"/>
          </c:marker>
          <c:cat>
            <c:strRef>
              <c:f>'16. Abonos por velocidad'!$C$3:$C$37</c:f>
              <c:strCache>
                <c:ptCount val="35"/>
                <c:pt idx="0">
                  <c:v>Haití* (2022)</c:v>
                </c:pt>
                <c:pt idx="1">
                  <c:v>Cuba</c:v>
                </c:pt>
                <c:pt idx="2">
                  <c:v>Honduras</c:v>
                </c:pt>
                <c:pt idx="3">
                  <c:v>Guatemala</c:v>
                </c:pt>
                <c:pt idx="4">
                  <c:v>Nicaragua</c:v>
                </c:pt>
                <c:pt idx="5">
                  <c:v>Belice* (2022)</c:v>
                </c:pt>
                <c:pt idx="6">
                  <c:v>Perú</c:v>
                </c:pt>
                <c:pt idx="7">
                  <c:v>Venezuela</c:v>
                </c:pt>
                <c:pt idx="8">
                  <c:v>Antigua y Barbuda* (2022)</c:v>
                </c:pt>
                <c:pt idx="9">
                  <c:v>Bolivia* (2022)</c:v>
                </c:pt>
                <c:pt idx="10">
                  <c:v>Rep. Dominicana</c:v>
                </c:pt>
                <c:pt idx="11">
                  <c:v>El Salvador</c:v>
                </c:pt>
                <c:pt idx="12">
                  <c:v>Paraguay</c:v>
                </c:pt>
                <c:pt idx="13">
                  <c:v>Guyana* (2022)</c:v>
                </c:pt>
                <c:pt idx="14">
                  <c:v>Santa Lucía (2022)</c:v>
                </c:pt>
                <c:pt idx="15">
                  <c:v>Jamaica</c:v>
                </c:pt>
                <c:pt idx="16">
                  <c:v>Ecuador</c:v>
                </c:pt>
                <c:pt idx="17">
                  <c:v>Colombia</c:v>
                </c:pt>
                <c:pt idx="18">
                  <c:v>Suriname</c:v>
                </c:pt>
                <c:pt idx="19">
                  <c:v>Panamá</c:v>
                </c:pt>
                <c:pt idx="20">
                  <c:v>México</c:v>
                </c:pt>
                <c:pt idx="21">
                  <c:v>Dominica (2022)</c:v>
                </c:pt>
                <c:pt idx="22">
                  <c:v>Brasil</c:v>
                </c:pt>
                <c:pt idx="23">
                  <c:v>Costa Rica</c:v>
                </c:pt>
                <c:pt idx="24">
                  <c:v>Chile</c:v>
                </c:pt>
                <c:pt idx="25">
                  <c:v>Bahamas</c:v>
                </c:pt>
                <c:pt idx="26">
                  <c:v>Argentina</c:v>
                </c:pt>
                <c:pt idx="27">
                  <c:v>Trinidad y Tabago</c:v>
                </c:pt>
                <c:pt idx="28">
                  <c:v>Granada (2022)</c:v>
                </c:pt>
                <c:pt idx="29">
                  <c:v>San Vicente</c:v>
                </c:pt>
                <c:pt idx="30">
                  <c:v>Uruguay</c:v>
                </c:pt>
                <c:pt idx="31">
                  <c:v>Barbados (2022)</c:v>
                </c:pt>
                <c:pt idx="32">
                  <c:v>Estados Unidos</c:v>
                </c:pt>
                <c:pt idx="33">
                  <c:v>Canadá</c:v>
                </c:pt>
                <c:pt idx="34">
                  <c:v>Saint Kitts y Nevis (2022)</c:v>
                </c:pt>
              </c:strCache>
            </c:strRef>
          </c:cat>
          <c:val>
            <c:numRef>
              <c:f>'16. Abonos por velocidad'!$H$3:$H$37</c:f>
              <c:numCache>
                <c:formatCode>0.0</c:formatCode>
                <c:ptCount val="35"/>
                <c:pt idx="0">
                  <c:v>25.8</c:v>
                </c:pt>
                <c:pt idx="1">
                  <c:v>25.8</c:v>
                </c:pt>
                <c:pt idx="2">
                  <c:v>25.8</c:v>
                </c:pt>
                <c:pt idx="3">
                  <c:v>25.8</c:v>
                </c:pt>
                <c:pt idx="4">
                  <c:v>25.8</c:v>
                </c:pt>
                <c:pt idx="5">
                  <c:v>25.8</c:v>
                </c:pt>
                <c:pt idx="6">
                  <c:v>25.8</c:v>
                </c:pt>
                <c:pt idx="7">
                  <c:v>25.8</c:v>
                </c:pt>
                <c:pt idx="8">
                  <c:v>25.8</c:v>
                </c:pt>
                <c:pt idx="9">
                  <c:v>25.8</c:v>
                </c:pt>
                <c:pt idx="10">
                  <c:v>25.8</c:v>
                </c:pt>
                <c:pt idx="11">
                  <c:v>25.8</c:v>
                </c:pt>
                <c:pt idx="12">
                  <c:v>25.8</c:v>
                </c:pt>
                <c:pt idx="13">
                  <c:v>25.8</c:v>
                </c:pt>
                <c:pt idx="14">
                  <c:v>25.8</c:v>
                </c:pt>
                <c:pt idx="15">
                  <c:v>25.8</c:v>
                </c:pt>
                <c:pt idx="16">
                  <c:v>25.8</c:v>
                </c:pt>
                <c:pt idx="17">
                  <c:v>25.8</c:v>
                </c:pt>
                <c:pt idx="18">
                  <c:v>25.8</c:v>
                </c:pt>
                <c:pt idx="19">
                  <c:v>25.8</c:v>
                </c:pt>
                <c:pt idx="20">
                  <c:v>25.8</c:v>
                </c:pt>
                <c:pt idx="21">
                  <c:v>25.8</c:v>
                </c:pt>
                <c:pt idx="22">
                  <c:v>25.8</c:v>
                </c:pt>
                <c:pt idx="23">
                  <c:v>25.8</c:v>
                </c:pt>
                <c:pt idx="24">
                  <c:v>25.8</c:v>
                </c:pt>
                <c:pt idx="25">
                  <c:v>25.8</c:v>
                </c:pt>
                <c:pt idx="26">
                  <c:v>25.8</c:v>
                </c:pt>
                <c:pt idx="27">
                  <c:v>25.8</c:v>
                </c:pt>
                <c:pt idx="28">
                  <c:v>25.8</c:v>
                </c:pt>
                <c:pt idx="29">
                  <c:v>25.8</c:v>
                </c:pt>
                <c:pt idx="30">
                  <c:v>25.8</c:v>
                </c:pt>
                <c:pt idx="31">
                  <c:v>25.8</c:v>
                </c:pt>
                <c:pt idx="32">
                  <c:v>25.8</c:v>
                </c:pt>
                <c:pt idx="33">
                  <c:v>25.8</c:v>
                </c:pt>
                <c:pt idx="34">
                  <c:v>25.8</c:v>
                </c:pt>
              </c:numCache>
            </c:numRef>
          </c:val>
          <c:smooth val="0"/>
          <c:extLst>
            <c:ext xmlns:c16="http://schemas.microsoft.com/office/drawing/2014/chart" uri="{C3380CC4-5D6E-409C-BE32-E72D297353CC}">
              <c16:uniqueId val="{00000028-CE76-4665-9812-CEC34310C044}"/>
            </c:ext>
          </c:extLst>
        </c:ser>
        <c:ser>
          <c:idx val="4"/>
          <c:order val="4"/>
          <c:tx>
            <c:strRef>
              <c:f>'16. Abonos por velocidad'!$I$2</c:f>
              <c:strCache>
                <c:ptCount val="1"/>
                <c:pt idx="0">
                  <c:v>2018 (todas velocidades)</c:v>
                </c:pt>
              </c:strCache>
            </c:strRef>
          </c:tx>
          <c:spPr>
            <a:ln w="28575" cap="rnd">
              <a:noFill/>
              <a:round/>
            </a:ln>
            <a:effectLst/>
          </c:spPr>
          <c:marker>
            <c:symbol val="dash"/>
            <c:size val="3"/>
            <c:spPr>
              <a:solidFill>
                <a:sysClr val="windowText" lastClr="000000"/>
              </a:solidFill>
              <a:ln w="9525">
                <a:solidFill>
                  <a:sysClr val="windowText" lastClr="000000"/>
                </a:solidFill>
              </a:ln>
              <a:effectLst/>
            </c:spPr>
          </c:marker>
          <c:cat>
            <c:strRef>
              <c:f>'16. Abonos por velocidad'!$C$3:$C$37</c:f>
              <c:strCache>
                <c:ptCount val="35"/>
                <c:pt idx="0">
                  <c:v>Haití* (2022)</c:v>
                </c:pt>
                <c:pt idx="1">
                  <c:v>Cuba</c:v>
                </c:pt>
                <c:pt idx="2">
                  <c:v>Honduras</c:v>
                </c:pt>
                <c:pt idx="3">
                  <c:v>Guatemala</c:v>
                </c:pt>
                <c:pt idx="4">
                  <c:v>Nicaragua</c:v>
                </c:pt>
                <c:pt idx="5">
                  <c:v>Belice* (2022)</c:v>
                </c:pt>
                <c:pt idx="6">
                  <c:v>Perú</c:v>
                </c:pt>
                <c:pt idx="7">
                  <c:v>Venezuela</c:v>
                </c:pt>
                <c:pt idx="8">
                  <c:v>Antigua y Barbuda* (2022)</c:v>
                </c:pt>
                <c:pt idx="9">
                  <c:v>Bolivia* (2022)</c:v>
                </c:pt>
                <c:pt idx="10">
                  <c:v>Rep. Dominicana</c:v>
                </c:pt>
                <c:pt idx="11">
                  <c:v>El Salvador</c:v>
                </c:pt>
                <c:pt idx="12">
                  <c:v>Paraguay</c:v>
                </c:pt>
                <c:pt idx="13">
                  <c:v>Guyana* (2022)</c:v>
                </c:pt>
                <c:pt idx="14">
                  <c:v>Santa Lucía (2022)</c:v>
                </c:pt>
                <c:pt idx="15">
                  <c:v>Jamaica</c:v>
                </c:pt>
                <c:pt idx="16">
                  <c:v>Ecuador</c:v>
                </c:pt>
                <c:pt idx="17">
                  <c:v>Colombia</c:v>
                </c:pt>
                <c:pt idx="18">
                  <c:v>Suriname</c:v>
                </c:pt>
                <c:pt idx="19">
                  <c:v>Panamá</c:v>
                </c:pt>
                <c:pt idx="20">
                  <c:v>México</c:v>
                </c:pt>
                <c:pt idx="21">
                  <c:v>Dominica (2022)</c:v>
                </c:pt>
                <c:pt idx="22">
                  <c:v>Brasil</c:v>
                </c:pt>
                <c:pt idx="23">
                  <c:v>Costa Rica</c:v>
                </c:pt>
                <c:pt idx="24">
                  <c:v>Chile</c:v>
                </c:pt>
                <c:pt idx="25">
                  <c:v>Bahamas</c:v>
                </c:pt>
                <c:pt idx="26">
                  <c:v>Argentina</c:v>
                </c:pt>
                <c:pt idx="27">
                  <c:v>Trinidad y Tabago</c:v>
                </c:pt>
                <c:pt idx="28">
                  <c:v>Granada (2022)</c:v>
                </c:pt>
                <c:pt idx="29">
                  <c:v>San Vicente</c:v>
                </c:pt>
                <c:pt idx="30">
                  <c:v>Uruguay</c:v>
                </c:pt>
                <c:pt idx="31">
                  <c:v>Barbados (2022)</c:v>
                </c:pt>
                <c:pt idx="32">
                  <c:v>Estados Unidos</c:v>
                </c:pt>
                <c:pt idx="33">
                  <c:v>Canadá</c:v>
                </c:pt>
                <c:pt idx="34">
                  <c:v>Saint Kitts y Nevis (2022)</c:v>
                </c:pt>
              </c:strCache>
            </c:strRef>
          </c:cat>
          <c:val>
            <c:numRef>
              <c:f>'16. Abonos por velocidad'!$I$3:$I$37</c:f>
              <c:numCache>
                <c:formatCode>0.0</c:formatCode>
                <c:ptCount val="35"/>
                <c:pt idx="0">
                  <c:v>0.28369798406584301</c:v>
                </c:pt>
                <c:pt idx="1">
                  <c:v>0.88035059398146498</c:v>
                </c:pt>
                <c:pt idx="2">
                  <c:v>3.6339310675346499</c:v>
                </c:pt>
                <c:pt idx="4">
                  <c:v>3.00641554480569</c:v>
                </c:pt>
                <c:pt idx="5">
                  <c:v>6.4850904462083099</c:v>
                </c:pt>
                <c:pt idx="6">
                  <c:v>8.0951083944163305</c:v>
                </c:pt>
                <c:pt idx="7">
                  <c:v>8.7379685014475506</c:v>
                </c:pt>
                <c:pt idx="9">
                  <c:v>4.3802648646619602</c:v>
                </c:pt>
                <c:pt idx="10">
                  <c:v>7.9820234606526199</c:v>
                </c:pt>
                <c:pt idx="11">
                  <c:v>7.9144738735462399</c:v>
                </c:pt>
                <c:pt idx="12">
                  <c:v>4.9895898516689998</c:v>
                </c:pt>
                <c:pt idx="14">
                  <c:v>18.227062937458001</c:v>
                </c:pt>
                <c:pt idx="15">
                  <c:v>10.097383175117701</c:v>
                </c:pt>
                <c:pt idx="16">
                  <c:v>11.458410009368601</c:v>
                </c:pt>
                <c:pt idx="17">
                  <c:v>13.622877883521999</c:v>
                </c:pt>
                <c:pt idx="18">
                  <c:v>12.2059071279522</c:v>
                </c:pt>
                <c:pt idx="19">
                  <c:v>12.961567806980099</c:v>
                </c:pt>
                <c:pt idx="20">
                  <c:v>14.7373951154108</c:v>
                </c:pt>
                <c:pt idx="21">
                  <c:v>16.889136620999199</c:v>
                </c:pt>
                <c:pt idx="22">
                  <c:v>15.1537620986579</c:v>
                </c:pt>
                <c:pt idx="23">
                  <c:v>16.8377298238862</c:v>
                </c:pt>
                <c:pt idx="24">
                  <c:v>17.206664559734801</c:v>
                </c:pt>
                <c:pt idx="25">
                  <c:v>20.678503859012999</c:v>
                </c:pt>
                <c:pt idx="26">
                  <c:v>18.975875918785299</c:v>
                </c:pt>
                <c:pt idx="27">
                  <c:v>23.270711409176901</c:v>
                </c:pt>
                <c:pt idx="28">
                  <c:v>23.326792922526401</c:v>
                </c:pt>
                <c:pt idx="29">
                  <c:v>23.457484322284301</c:v>
                </c:pt>
                <c:pt idx="30">
                  <c:v>28.793053774096801</c:v>
                </c:pt>
                <c:pt idx="31">
                  <c:v>31.8263267203636</c:v>
                </c:pt>
                <c:pt idx="32">
                  <c:v>33.055917730793901</c:v>
                </c:pt>
                <c:pt idx="33">
                  <c:v>38.733353166194803</c:v>
                </c:pt>
                <c:pt idx="34">
                  <c:v>34.847260040844098</c:v>
                </c:pt>
              </c:numCache>
            </c:numRef>
          </c:val>
          <c:smooth val="0"/>
          <c:extLst>
            <c:ext xmlns:c16="http://schemas.microsoft.com/office/drawing/2014/chart" uri="{C3380CC4-5D6E-409C-BE32-E72D297353CC}">
              <c16:uniqueId val="{00000029-CE76-4665-9812-CEC34310C044}"/>
            </c:ext>
          </c:extLst>
        </c:ser>
        <c:dLbls>
          <c:showLegendKey val="0"/>
          <c:showVal val="0"/>
          <c:showCatName val="0"/>
          <c:showSerName val="0"/>
          <c:showPercent val="0"/>
          <c:showBubbleSize val="0"/>
        </c:dLbls>
        <c:marker val="1"/>
        <c:smooth val="0"/>
        <c:axId val="1942888335"/>
        <c:axId val="1892808655"/>
      </c:lineChart>
      <c:catAx>
        <c:axId val="1942888335"/>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3060000" spcFirstLastPara="1" vertOverflow="ellipsis"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892808655"/>
        <c:crosses val="autoZero"/>
        <c:auto val="1"/>
        <c:lblAlgn val="ctr"/>
        <c:lblOffset val="100"/>
        <c:noMultiLvlLbl val="0"/>
      </c:catAx>
      <c:valAx>
        <c:axId val="1892808655"/>
        <c:scaling>
          <c:orientation val="minMax"/>
          <c:max val="50"/>
          <c:min val="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942888335"/>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4">
    <c:autoUpdate val="0"/>
  </c:externalData>
  <c:userShapes r:id="rId5"/>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'19. Población cobertura móvil'!$D$2</c:f>
              <c:strCache>
                <c:ptCount val="1"/>
                <c:pt idx="0">
                  <c:v> 5G </c:v>
                </c:pt>
              </c:strCache>
            </c:strRef>
          </c:tx>
          <c:spPr>
            <a:solidFill>
              <a:srgbClr val="FF8674"/>
            </a:solidFill>
            <a:ln>
              <a:noFill/>
            </a:ln>
            <a:effectLst/>
          </c:spPr>
          <c:invertIfNegative val="0"/>
          <c:cat>
            <c:strRef>
              <c:f>'19. Población cobertura móvil'!$C$3:$C$37</c:f>
              <c:strCache>
                <c:ptCount val="35"/>
                <c:pt idx="0">
                  <c:v>Haití*</c:v>
                </c:pt>
                <c:pt idx="1">
                  <c:v>Guyana*</c:v>
                </c:pt>
                <c:pt idx="2">
                  <c:v>Cuba</c:v>
                </c:pt>
                <c:pt idx="3">
                  <c:v>Venezuela</c:v>
                </c:pt>
                <c:pt idx="4">
                  <c:v>El Salvador</c:v>
                </c:pt>
                <c:pt idx="5">
                  <c:v>Nicaragua</c:v>
                </c:pt>
                <c:pt idx="6">
                  <c:v>Panamá</c:v>
                </c:pt>
                <c:pt idx="7">
                  <c:v>Bolivia*</c:v>
                </c:pt>
                <c:pt idx="8">
                  <c:v>Belice*</c:v>
                </c:pt>
                <c:pt idx="9">
                  <c:v>Honduras</c:v>
                </c:pt>
                <c:pt idx="10">
                  <c:v>San Vicente</c:v>
                </c:pt>
                <c:pt idx="11">
                  <c:v>Uruguay</c:v>
                </c:pt>
                <c:pt idx="12">
                  <c:v>Trinidad y Tabago</c:v>
                </c:pt>
                <c:pt idx="13">
                  <c:v>Costa Rica</c:v>
                </c:pt>
                <c:pt idx="14">
                  <c:v>Bahamas</c:v>
                </c:pt>
                <c:pt idx="15">
                  <c:v>Ecuador</c:v>
                </c:pt>
                <c:pt idx="16">
                  <c:v>Santa Lucía*</c:v>
                </c:pt>
                <c:pt idx="17">
                  <c:v>Paraguay</c:v>
                </c:pt>
                <c:pt idx="18">
                  <c:v>Argentina</c:v>
                </c:pt>
                <c:pt idx="19">
                  <c:v>Granada*</c:v>
                </c:pt>
                <c:pt idx="20">
                  <c:v>Antigua y Barbuda*</c:v>
                </c:pt>
                <c:pt idx="21">
                  <c:v>Jamaica</c:v>
                </c:pt>
                <c:pt idx="22">
                  <c:v>Barbados*</c:v>
                </c:pt>
                <c:pt idx="23">
                  <c:v>Colombia</c:v>
                </c:pt>
                <c:pt idx="24">
                  <c:v>Dominica*</c:v>
                </c:pt>
                <c:pt idx="25">
                  <c:v>Saint Kitts y Nevis*</c:v>
                </c:pt>
                <c:pt idx="26">
                  <c:v>Perú</c:v>
                </c:pt>
                <c:pt idx="27">
                  <c:v>Suriname</c:v>
                </c:pt>
                <c:pt idx="28">
                  <c:v>México</c:v>
                </c:pt>
                <c:pt idx="29">
                  <c:v>Guatemala</c:v>
                </c:pt>
                <c:pt idx="30">
                  <c:v>Rep. Dominicana</c:v>
                </c:pt>
                <c:pt idx="31">
                  <c:v>Brasil</c:v>
                </c:pt>
                <c:pt idx="32">
                  <c:v>Chile</c:v>
                </c:pt>
                <c:pt idx="33">
                  <c:v>Canadá</c:v>
                </c:pt>
                <c:pt idx="34">
                  <c:v>Estados Unidos</c:v>
                </c:pt>
              </c:strCache>
            </c:strRef>
          </c:cat>
          <c:val>
            <c:numRef>
              <c:f>'19. Población cobertura móvil'!$D$3:$D$37</c:f>
              <c:numCache>
                <c:formatCode>General</c:formatCode>
                <c:ptCount val="3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9.89</c:v>
                </c:pt>
                <c:pt idx="27">
                  <c:v>16.29</c:v>
                </c:pt>
                <c:pt idx="28">
                  <c:v>37.130000000000003</c:v>
                </c:pt>
                <c:pt idx="29">
                  <c:v>40</c:v>
                </c:pt>
                <c:pt idx="30">
                  <c:v>54.9</c:v>
                </c:pt>
                <c:pt idx="31" formatCode="0">
                  <c:v>62.7</c:v>
                </c:pt>
                <c:pt idx="32">
                  <c:v>86</c:v>
                </c:pt>
                <c:pt idx="33">
                  <c:v>95.85</c:v>
                </c:pt>
                <c:pt idx="34">
                  <c:v>97.4</c:v>
                </c:pt>
              </c:numCache>
            </c:numRef>
          </c:val>
          <c:extLst>
            <c:ext xmlns:c16="http://schemas.microsoft.com/office/drawing/2014/chart" uri="{C3380CC4-5D6E-409C-BE32-E72D297353CC}">
              <c16:uniqueId val="{00000000-6835-471F-8D3E-387218BEA266}"/>
            </c:ext>
          </c:extLst>
        </c:ser>
        <c:ser>
          <c:idx val="1"/>
          <c:order val="1"/>
          <c:tx>
            <c:strRef>
              <c:f>'19. Población cobertura móvil'!$E$2</c:f>
              <c:strCache>
                <c:ptCount val="1"/>
                <c:pt idx="0">
                  <c:v> 4G </c:v>
                </c:pt>
              </c:strCache>
            </c:strRef>
          </c:tx>
          <c:spPr>
            <a:solidFill>
              <a:srgbClr val="00A0DF"/>
            </a:solidFill>
            <a:ln>
              <a:noFill/>
            </a:ln>
            <a:effectLst/>
          </c:spPr>
          <c:invertIfNegative val="0"/>
          <c:cat>
            <c:strRef>
              <c:f>'19. Población cobertura móvil'!$C$3:$C$37</c:f>
              <c:strCache>
                <c:ptCount val="35"/>
                <c:pt idx="0">
                  <c:v>Haití*</c:v>
                </c:pt>
                <c:pt idx="1">
                  <c:v>Guyana*</c:v>
                </c:pt>
                <c:pt idx="2">
                  <c:v>Cuba</c:v>
                </c:pt>
                <c:pt idx="3">
                  <c:v>Venezuela</c:v>
                </c:pt>
                <c:pt idx="4">
                  <c:v>El Salvador</c:v>
                </c:pt>
                <c:pt idx="5">
                  <c:v>Nicaragua</c:v>
                </c:pt>
                <c:pt idx="6">
                  <c:v>Panamá</c:v>
                </c:pt>
                <c:pt idx="7">
                  <c:v>Bolivia*</c:v>
                </c:pt>
                <c:pt idx="8">
                  <c:v>Belice*</c:v>
                </c:pt>
                <c:pt idx="9">
                  <c:v>Honduras</c:v>
                </c:pt>
                <c:pt idx="10">
                  <c:v>San Vicente</c:v>
                </c:pt>
                <c:pt idx="11">
                  <c:v>Uruguay</c:v>
                </c:pt>
                <c:pt idx="12">
                  <c:v>Trinidad y Tabago</c:v>
                </c:pt>
                <c:pt idx="13">
                  <c:v>Costa Rica</c:v>
                </c:pt>
                <c:pt idx="14">
                  <c:v>Bahamas</c:v>
                </c:pt>
                <c:pt idx="15">
                  <c:v>Ecuador</c:v>
                </c:pt>
                <c:pt idx="16">
                  <c:v>Santa Lucía*</c:v>
                </c:pt>
                <c:pt idx="17">
                  <c:v>Paraguay</c:v>
                </c:pt>
                <c:pt idx="18">
                  <c:v>Argentina</c:v>
                </c:pt>
                <c:pt idx="19">
                  <c:v>Granada*</c:v>
                </c:pt>
                <c:pt idx="20">
                  <c:v>Antigua y Barbuda*</c:v>
                </c:pt>
                <c:pt idx="21">
                  <c:v>Jamaica</c:v>
                </c:pt>
                <c:pt idx="22">
                  <c:v>Barbados*</c:v>
                </c:pt>
                <c:pt idx="23">
                  <c:v>Colombia</c:v>
                </c:pt>
                <c:pt idx="24">
                  <c:v>Dominica*</c:v>
                </c:pt>
                <c:pt idx="25">
                  <c:v>Saint Kitts y Nevis*</c:v>
                </c:pt>
                <c:pt idx="26">
                  <c:v>Perú</c:v>
                </c:pt>
                <c:pt idx="27">
                  <c:v>Suriname</c:v>
                </c:pt>
                <c:pt idx="28">
                  <c:v>México</c:v>
                </c:pt>
                <c:pt idx="29">
                  <c:v>Guatemala</c:v>
                </c:pt>
                <c:pt idx="30">
                  <c:v>Rep. Dominicana</c:v>
                </c:pt>
                <c:pt idx="31">
                  <c:v>Brasil</c:v>
                </c:pt>
                <c:pt idx="32">
                  <c:v>Chile</c:v>
                </c:pt>
                <c:pt idx="33">
                  <c:v>Canadá</c:v>
                </c:pt>
                <c:pt idx="34">
                  <c:v>Estados Unidos</c:v>
                </c:pt>
              </c:strCache>
            </c:strRef>
          </c:cat>
          <c:val>
            <c:numRef>
              <c:f>'19. Población cobertura móvil'!$E$3:$E$37</c:f>
              <c:numCache>
                <c:formatCode>0</c:formatCode>
                <c:ptCount val="35"/>
                <c:pt idx="0">
                  <c:v>35.46</c:v>
                </c:pt>
                <c:pt idx="1">
                  <c:v>50</c:v>
                </c:pt>
                <c:pt idx="2">
                  <c:v>50.04</c:v>
                </c:pt>
                <c:pt idx="3">
                  <c:v>70</c:v>
                </c:pt>
                <c:pt idx="4">
                  <c:v>76</c:v>
                </c:pt>
                <c:pt idx="5">
                  <c:v>78.5</c:v>
                </c:pt>
                <c:pt idx="6">
                  <c:v>85</c:v>
                </c:pt>
                <c:pt idx="7">
                  <c:v>87</c:v>
                </c:pt>
                <c:pt idx="8">
                  <c:v>87</c:v>
                </c:pt>
                <c:pt idx="9">
                  <c:v>90</c:v>
                </c:pt>
                <c:pt idx="10">
                  <c:v>91</c:v>
                </c:pt>
                <c:pt idx="11">
                  <c:v>93.9</c:v>
                </c:pt>
                <c:pt idx="12">
                  <c:v>94</c:v>
                </c:pt>
                <c:pt idx="13">
                  <c:v>95</c:v>
                </c:pt>
                <c:pt idx="14">
                  <c:v>95</c:v>
                </c:pt>
                <c:pt idx="15">
                  <c:v>95.05</c:v>
                </c:pt>
                <c:pt idx="16">
                  <c:v>96</c:v>
                </c:pt>
                <c:pt idx="17">
                  <c:v>96.9</c:v>
                </c:pt>
                <c:pt idx="18">
                  <c:v>97.68</c:v>
                </c:pt>
                <c:pt idx="19">
                  <c:v>98.5</c:v>
                </c:pt>
                <c:pt idx="20">
                  <c:v>99</c:v>
                </c:pt>
                <c:pt idx="21">
                  <c:v>99</c:v>
                </c:pt>
                <c:pt idx="22">
                  <c:v>99</c:v>
                </c:pt>
                <c:pt idx="23">
                  <c:v>99.8</c:v>
                </c:pt>
                <c:pt idx="24">
                  <c:v>100</c:v>
                </c:pt>
                <c:pt idx="25">
                  <c:v>100</c:v>
                </c:pt>
                <c:pt idx="26">
                  <c:v>71.23</c:v>
                </c:pt>
                <c:pt idx="27">
                  <c:v>66.300000000000011</c:v>
                </c:pt>
                <c:pt idx="28">
                  <c:v>59.809999999999995</c:v>
                </c:pt>
                <c:pt idx="29">
                  <c:v>52</c:v>
                </c:pt>
                <c:pt idx="30">
                  <c:v>42.699999999999996</c:v>
                </c:pt>
                <c:pt idx="31">
                  <c:v>30.489999999999995</c:v>
                </c:pt>
                <c:pt idx="32">
                  <c:v>10</c:v>
                </c:pt>
                <c:pt idx="33">
                  <c:v>3.6500000000000057</c:v>
                </c:pt>
                <c:pt idx="34">
                  <c:v>2.1999999999999886</c:v>
                </c:pt>
              </c:numCache>
            </c:numRef>
          </c:val>
          <c:extLst>
            <c:ext xmlns:c16="http://schemas.microsoft.com/office/drawing/2014/chart" uri="{C3380CC4-5D6E-409C-BE32-E72D297353CC}">
              <c16:uniqueId val="{00000001-6835-471F-8D3E-387218BEA266}"/>
            </c:ext>
          </c:extLst>
        </c:ser>
        <c:ser>
          <c:idx val="2"/>
          <c:order val="2"/>
          <c:tx>
            <c:strRef>
              <c:f>'19. Población cobertura móvil'!$F$2</c:f>
              <c:strCache>
                <c:ptCount val="1"/>
                <c:pt idx="0">
                  <c:v> 3G </c:v>
                </c:pt>
              </c:strCache>
            </c:strRef>
          </c:tx>
          <c:spPr>
            <a:solidFill>
              <a:srgbClr val="FFC629"/>
            </a:solidFill>
            <a:ln>
              <a:noFill/>
            </a:ln>
            <a:effectLst/>
          </c:spPr>
          <c:invertIfNegative val="0"/>
          <c:cat>
            <c:strRef>
              <c:f>'19. Población cobertura móvil'!$C$3:$C$37</c:f>
              <c:strCache>
                <c:ptCount val="35"/>
                <c:pt idx="0">
                  <c:v>Haití*</c:v>
                </c:pt>
                <c:pt idx="1">
                  <c:v>Guyana*</c:v>
                </c:pt>
                <c:pt idx="2">
                  <c:v>Cuba</c:v>
                </c:pt>
                <c:pt idx="3">
                  <c:v>Venezuela</c:v>
                </c:pt>
                <c:pt idx="4">
                  <c:v>El Salvador</c:v>
                </c:pt>
                <c:pt idx="5">
                  <c:v>Nicaragua</c:v>
                </c:pt>
                <c:pt idx="6">
                  <c:v>Panamá</c:v>
                </c:pt>
                <c:pt idx="7">
                  <c:v>Bolivia*</c:v>
                </c:pt>
                <c:pt idx="8">
                  <c:v>Belice*</c:v>
                </c:pt>
                <c:pt idx="9">
                  <c:v>Honduras</c:v>
                </c:pt>
                <c:pt idx="10">
                  <c:v>San Vicente</c:v>
                </c:pt>
                <c:pt idx="11">
                  <c:v>Uruguay</c:v>
                </c:pt>
                <c:pt idx="12">
                  <c:v>Trinidad y Tabago</c:v>
                </c:pt>
                <c:pt idx="13">
                  <c:v>Costa Rica</c:v>
                </c:pt>
                <c:pt idx="14">
                  <c:v>Bahamas</c:v>
                </c:pt>
                <c:pt idx="15">
                  <c:v>Ecuador</c:v>
                </c:pt>
                <c:pt idx="16">
                  <c:v>Santa Lucía*</c:v>
                </c:pt>
                <c:pt idx="17">
                  <c:v>Paraguay</c:v>
                </c:pt>
                <c:pt idx="18">
                  <c:v>Argentina</c:v>
                </c:pt>
                <c:pt idx="19">
                  <c:v>Granada*</c:v>
                </c:pt>
                <c:pt idx="20">
                  <c:v>Antigua y Barbuda*</c:v>
                </c:pt>
                <c:pt idx="21">
                  <c:v>Jamaica</c:v>
                </c:pt>
                <c:pt idx="22">
                  <c:v>Barbados*</c:v>
                </c:pt>
                <c:pt idx="23">
                  <c:v>Colombia</c:v>
                </c:pt>
                <c:pt idx="24">
                  <c:v>Dominica*</c:v>
                </c:pt>
                <c:pt idx="25">
                  <c:v>Saint Kitts y Nevis*</c:v>
                </c:pt>
                <c:pt idx="26">
                  <c:v>Perú</c:v>
                </c:pt>
                <c:pt idx="27">
                  <c:v>Suriname</c:v>
                </c:pt>
                <c:pt idx="28">
                  <c:v>México</c:v>
                </c:pt>
                <c:pt idx="29">
                  <c:v>Guatemala</c:v>
                </c:pt>
                <c:pt idx="30">
                  <c:v>Rep. Dominicana</c:v>
                </c:pt>
                <c:pt idx="31">
                  <c:v>Brasil</c:v>
                </c:pt>
                <c:pt idx="32">
                  <c:v>Chile</c:v>
                </c:pt>
                <c:pt idx="33">
                  <c:v>Canadá</c:v>
                </c:pt>
                <c:pt idx="34">
                  <c:v>Estados Unidos</c:v>
                </c:pt>
              </c:strCache>
            </c:strRef>
          </c:cat>
          <c:val>
            <c:numRef>
              <c:f>'19. Población cobertura móvil'!$F$3:$F$37</c:f>
              <c:numCache>
                <c:formatCode>0</c:formatCode>
                <c:ptCount val="35"/>
                <c:pt idx="0">
                  <c:v>32.080000000000005</c:v>
                </c:pt>
                <c:pt idx="1">
                  <c:v>43.2</c:v>
                </c:pt>
                <c:pt idx="2">
                  <c:v>24.529999999999994</c:v>
                </c:pt>
                <c:pt idx="3">
                  <c:v>15</c:v>
                </c:pt>
                <c:pt idx="4">
                  <c:v>16</c:v>
                </c:pt>
                <c:pt idx="5">
                  <c:v>0.87000000000000455</c:v>
                </c:pt>
                <c:pt idx="6">
                  <c:v>10</c:v>
                </c:pt>
                <c:pt idx="7">
                  <c:v>5</c:v>
                </c:pt>
                <c:pt idx="8">
                  <c:v>11.019999999999996</c:v>
                </c:pt>
                <c:pt idx="9">
                  <c:v>10</c:v>
                </c:pt>
                <c:pt idx="10">
                  <c:v>2</c:v>
                </c:pt>
                <c:pt idx="11">
                  <c:v>0</c:v>
                </c:pt>
                <c:pt idx="12">
                  <c:v>6</c:v>
                </c:pt>
                <c:pt idx="13">
                  <c:v>0</c:v>
                </c:pt>
                <c:pt idx="14">
                  <c:v>3</c:v>
                </c:pt>
                <c:pt idx="15">
                  <c:v>1.2199999999999989</c:v>
                </c:pt>
                <c:pt idx="16">
                  <c:v>4</c:v>
                </c:pt>
                <c:pt idx="17">
                  <c:v>2.7099999999999937</c:v>
                </c:pt>
                <c:pt idx="18">
                  <c:v>0.81999999999999318</c:v>
                </c:pt>
                <c:pt idx="19">
                  <c:v>0</c:v>
                </c:pt>
                <c:pt idx="20">
                  <c:v>0</c:v>
                </c:pt>
                <c:pt idx="21">
                  <c:v>0</c:v>
                </c:pt>
                <c:pt idx="22">
                  <c:v>1</c:v>
                </c:pt>
                <c:pt idx="23">
                  <c:v>0.20000000000000284</c:v>
                </c:pt>
                <c:pt idx="24">
                  <c:v>0</c:v>
                </c:pt>
                <c:pt idx="25">
                  <c:v>0</c:v>
                </c:pt>
                <c:pt idx="26">
                  <c:v>5.7599999999999909</c:v>
                </c:pt>
                <c:pt idx="27">
                  <c:v>9.4099999999999966</c:v>
                </c:pt>
                <c:pt idx="28">
                  <c:v>7.000000000000739E-2</c:v>
                </c:pt>
                <c:pt idx="29">
                  <c:v>3</c:v>
                </c:pt>
                <c:pt idx="30">
                  <c:v>1.1000000000000085</c:v>
                </c:pt>
                <c:pt idx="31">
                  <c:v>0.20000000000000284</c:v>
                </c:pt>
                <c:pt idx="32">
                  <c:v>2</c:v>
                </c:pt>
                <c:pt idx="33">
                  <c:v>0.20000000000000284</c:v>
                </c:pt>
                <c:pt idx="34">
                  <c:v>0.10000000000000853</c:v>
                </c:pt>
              </c:numCache>
            </c:numRef>
          </c:val>
          <c:extLst>
            <c:ext xmlns:c16="http://schemas.microsoft.com/office/drawing/2014/chart" uri="{C3380CC4-5D6E-409C-BE32-E72D297353CC}">
              <c16:uniqueId val="{00000002-6835-471F-8D3E-387218BEA266}"/>
            </c:ext>
          </c:extLst>
        </c:ser>
        <c:ser>
          <c:idx val="3"/>
          <c:order val="3"/>
          <c:tx>
            <c:strRef>
              <c:f>'19. Población cobertura móvil'!$G$2</c:f>
              <c:strCache>
                <c:ptCount val="1"/>
                <c:pt idx="0">
                  <c:v> 2G </c:v>
                </c:pt>
              </c:strCache>
            </c:strRef>
          </c:tx>
          <c:spPr>
            <a:solidFill>
              <a:srgbClr val="A2D45E"/>
            </a:solidFill>
            <a:ln>
              <a:noFill/>
            </a:ln>
            <a:effectLst/>
          </c:spPr>
          <c:invertIfNegative val="0"/>
          <c:cat>
            <c:strRef>
              <c:f>'19. Población cobertura móvil'!$C$3:$C$37</c:f>
              <c:strCache>
                <c:ptCount val="35"/>
                <c:pt idx="0">
                  <c:v>Haití*</c:v>
                </c:pt>
                <c:pt idx="1">
                  <c:v>Guyana*</c:v>
                </c:pt>
                <c:pt idx="2">
                  <c:v>Cuba</c:v>
                </c:pt>
                <c:pt idx="3">
                  <c:v>Venezuela</c:v>
                </c:pt>
                <c:pt idx="4">
                  <c:v>El Salvador</c:v>
                </c:pt>
                <c:pt idx="5">
                  <c:v>Nicaragua</c:v>
                </c:pt>
                <c:pt idx="6">
                  <c:v>Panamá</c:v>
                </c:pt>
                <c:pt idx="7">
                  <c:v>Bolivia*</c:v>
                </c:pt>
                <c:pt idx="8">
                  <c:v>Belice*</c:v>
                </c:pt>
                <c:pt idx="9">
                  <c:v>Honduras</c:v>
                </c:pt>
                <c:pt idx="10">
                  <c:v>San Vicente</c:v>
                </c:pt>
                <c:pt idx="11">
                  <c:v>Uruguay</c:v>
                </c:pt>
                <c:pt idx="12">
                  <c:v>Trinidad y Tabago</c:v>
                </c:pt>
                <c:pt idx="13">
                  <c:v>Costa Rica</c:v>
                </c:pt>
                <c:pt idx="14">
                  <c:v>Bahamas</c:v>
                </c:pt>
                <c:pt idx="15">
                  <c:v>Ecuador</c:v>
                </c:pt>
                <c:pt idx="16">
                  <c:v>Santa Lucía*</c:v>
                </c:pt>
                <c:pt idx="17">
                  <c:v>Paraguay</c:v>
                </c:pt>
                <c:pt idx="18">
                  <c:v>Argentina</c:v>
                </c:pt>
                <c:pt idx="19">
                  <c:v>Granada*</c:v>
                </c:pt>
                <c:pt idx="20">
                  <c:v>Antigua y Barbuda*</c:v>
                </c:pt>
                <c:pt idx="21">
                  <c:v>Jamaica</c:v>
                </c:pt>
                <c:pt idx="22">
                  <c:v>Barbados*</c:v>
                </c:pt>
                <c:pt idx="23">
                  <c:v>Colombia</c:v>
                </c:pt>
                <c:pt idx="24">
                  <c:v>Dominica*</c:v>
                </c:pt>
                <c:pt idx="25">
                  <c:v>Saint Kitts y Nevis*</c:v>
                </c:pt>
                <c:pt idx="26">
                  <c:v>Perú</c:v>
                </c:pt>
                <c:pt idx="27">
                  <c:v>Suriname</c:v>
                </c:pt>
                <c:pt idx="28">
                  <c:v>México</c:v>
                </c:pt>
                <c:pt idx="29">
                  <c:v>Guatemala</c:v>
                </c:pt>
                <c:pt idx="30">
                  <c:v>Rep. Dominicana</c:v>
                </c:pt>
                <c:pt idx="31">
                  <c:v>Brasil</c:v>
                </c:pt>
                <c:pt idx="32">
                  <c:v>Chile</c:v>
                </c:pt>
                <c:pt idx="33">
                  <c:v>Canadá</c:v>
                </c:pt>
                <c:pt idx="34">
                  <c:v>Estados Unidos</c:v>
                </c:pt>
              </c:strCache>
            </c:strRef>
          </c:cat>
          <c:val>
            <c:numRef>
              <c:f>'19. Población cobertura móvil'!$G$3:$G$37</c:f>
              <c:numCache>
                <c:formatCode>0</c:formatCode>
                <c:ptCount val="35"/>
                <c:pt idx="0">
                  <c:v>2.4599999999999937</c:v>
                </c:pt>
                <c:pt idx="1">
                  <c:v>4.4599999999999937</c:v>
                </c:pt>
                <c:pt idx="2">
                  <c:v>12.960000000000008</c:v>
                </c:pt>
                <c:pt idx="3">
                  <c:v>9</c:v>
                </c:pt>
                <c:pt idx="4">
                  <c:v>6</c:v>
                </c:pt>
                <c:pt idx="5">
                  <c:v>0</c:v>
                </c:pt>
                <c:pt idx="6">
                  <c:v>1</c:v>
                </c:pt>
                <c:pt idx="7">
                  <c:v>8</c:v>
                </c:pt>
                <c:pt idx="8">
                  <c:v>0</c:v>
                </c:pt>
                <c:pt idx="9">
                  <c:v>0</c:v>
                </c:pt>
                <c:pt idx="10">
                  <c:v>0</c:v>
                </c:pt>
                <c:pt idx="11">
                  <c:v>0</c:v>
                </c:pt>
                <c:pt idx="12">
                  <c:v>0</c:v>
                </c:pt>
                <c:pt idx="13">
                  <c:v>0</c:v>
                </c:pt>
                <c:pt idx="14">
                  <c:v>1</c:v>
                </c:pt>
                <c:pt idx="15">
                  <c:v>0.45000000000000284</c:v>
                </c:pt>
                <c:pt idx="16">
                  <c:v>0</c:v>
                </c:pt>
                <c:pt idx="17">
                  <c:v>0.21999999999999886</c:v>
                </c:pt>
                <c:pt idx="18">
                  <c:v>0.39000000000000057</c:v>
                </c:pt>
                <c:pt idx="19">
                  <c:v>0</c:v>
                </c:pt>
                <c:pt idx="20">
                  <c:v>0</c:v>
                </c:pt>
                <c:pt idx="21">
                  <c:v>1</c:v>
                </c:pt>
                <c:pt idx="22">
                  <c:v>0</c:v>
                </c:pt>
                <c:pt idx="23">
                  <c:v>0</c:v>
                </c:pt>
                <c:pt idx="24">
                  <c:v>0</c:v>
                </c:pt>
                <c:pt idx="25">
                  <c:v>0</c:v>
                </c:pt>
                <c:pt idx="26">
                  <c:v>1.8500000000000085</c:v>
                </c:pt>
                <c:pt idx="27">
                  <c:v>8</c:v>
                </c:pt>
                <c:pt idx="28">
                  <c:v>1.039999999999992</c:v>
                </c:pt>
                <c:pt idx="29">
                  <c:v>5</c:v>
                </c:pt>
                <c:pt idx="30">
                  <c:v>0.79999999999999716</c:v>
                </c:pt>
                <c:pt idx="31">
                  <c:v>4.9999999999997158E-2</c:v>
                </c:pt>
                <c:pt idx="32">
                  <c:v>1</c:v>
                </c:pt>
                <c:pt idx="33">
                  <c:v>0</c:v>
                </c:pt>
                <c:pt idx="34">
                  <c:v>0</c:v>
                </c:pt>
              </c:numCache>
            </c:numRef>
          </c:val>
          <c:extLst>
            <c:ext xmlns:c16="http://schemas.microsoft.com/office/drawing/2014/chart" uri="{C3380CC4-5D6E-409C-BE32-E72D297353CC}">
              <c16:uniqueId val="{00000003-6835-471F-8D3E-387218BEA266}"/>
            </c:ext>
          </c:extLst>
        </c:ser>
        <c:dLbls>
          <c:showLegendKey val="0"/>
          <c:showVal val="0"/>
          <c:showCatName val="0"/>
          <c:showSerName val="0"/>
          <c:showPercent val="0"/>
          <c:showBubbleSize val="0"/>
        </c:dLbls>
        <c:gapWidth val="150"/>
        <c:overlap val="100"/>
        <c:axId val="749542703"/>
        <c:axId val="749541263"/>
      </c:barChart>
      <c:catAx>
        <c:axId val="749542703"/>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749541263"/>
        <c:crosses val="autoZero"/>
        <c:auto val="1"/>
        <c:lblAlgn val="ctr"/>
        <c:lblOffset val="100"/>
        <c:noMultiLvlLbl val="0"/>
      </c:catAx>
      <c:valAx>
        <c:axId val="749541263"/>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749542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'20. Cobertura por zona y tipo'!$C$4</c:f>
              <c:strCache>
                <c:ptCount val="1"/>
                <c:pt idx="0">
                  <c:v> 5G </c:v>
                </c:pt>
              </c:strCache>
            </c:strRef>
          </c:tx>
          <c:spPr>
            <a:solidFill>
              <a:srgbClr val="FF867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'20. Cobertura por zona y tipo'!$A$5:$B$8</c:f>
              <c:multiLvlStrCache>
                <c:ptCount val="4"/>
                <c:lvl>
                  <c:pt idx="0">
                    <c:v> Rural </c:v>
                  </c:pt>
                  <c:pt idx="1">
                    <c:v> Urbana </c:v>
                  </c:pt>
                  <c:pt idx="2">
                    <c:v> Rural </c:v>
                  </c:pt>
                  <c:pt idx="3">
                    <c:v> Urbana </c:v>
                  </c:pt>
                </c:lvl>
                <c:lvl>
                  <c:pt idx="0">
                    <c:v> Mundo </c:v>
                  </c:pt>
                  <c:pt idx="2">
                    <c:v> Américas </c:v>
                  </c:pt>
                </c:lvl>
              </c:multiLvlStrCache>
            </c:multiLvlStrRef>
          </c:cat>
          <c:val>
            <c:numRef>
              <c:f>'20. Cobertura por zona y tipo'!$C$5:$C$8</c:f>
              <c:numCache>
                <c:formatCode>_-* #,##0_-;\-* #,##0_-;_-* "-"??_-;_-@_-</c:formatCode>
                <c:ptCount val="4"/>
                <c:pt idx="0">
                  <c:v>29.2</c:v>
                </c:pt>
                <c:pt idx="1">
                  <c:v>67.099999999999994</c:v>
                </c:pt>
                <c:pt idx="2">
                  <c:v>30.7</c:v>
                </c:pt>
                <c:pt idx="3">
                  <c:v>70.400000000000006</c:v>
                </c:pt>
              </c:numCache>
            </c:numRef>
          </c:val>
          <c:extLst>
            <c:ext xmlns:c16="http://schemas.microsoft.com/office/drawing/2014/chart" uri="{C3380CC4-5D6E-409C-BE32-E72D297353CC}">
              <c16:uniqueId val="{00000000-B9DC-4777-BC98-07A01514289C}"/>
            </c:ext>
          </c:extLst>
        </c:ser>
        <c:ser>
          <c:idx val="1"/>
          <c:order val="1"/>
          <c:tx>
            <c:strRef>
              <c:f>'20. Cobertura por zona y tipo'!$D$4</c:f>
              <c:strCache>
                <c:ptCount val="1"/>
                <c:pt idx="0">
                  <c:v> 4G </c:v>
                </c:pt>
              </c:strCache>
            </c:strRef>
          </c:tx>
          <c:spPr>
            <a:solidFill>
              <a:srgbClr val="00A0D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'20. Cobertura por zona y tipo'!$A$5:$B$8</c:f>
              <c:multiLvlStrCache>
                <c:ptCount val="4"/>
                <c:lvl>
                  <c:pt idx="0">
                    <c:v> Rural </c:v>
                  </c:pt>
                  <c:pt idx="1">
                    <c:v> Urbana </c:v>
                  </c:pt>
                  <c:pt idx="2">
                    <c:v> Rural </c:v>
                  </c:pt>
                  <c:pt idx="3">
                    <c:v> Urbana </c:v>
                  </c:pt>
                </c:lvl>
                <c:lvl>
                  <c:pt idx="0">
                    <c:v> Mundo </c:v>
                  </c:pt>
                  <c:pt idx="2">
                    <c:v> Américas </c:v>
                  </c:pt>
                </c:lvl>
              </c:multiLvlStrCache>
            </c:multiLvlStrRef>
          </c:cat>
          <c:val>
            <c:numRef>
              <c:f>'20. Cobertura por zona y tipo'!$D$5:$D$8</c:f>
              <c:numCache>
                <c:formatCode>_-* #,##0_-;\-* #,##0_-;_-* "-"??_-;_-@_-</c:formatCode>
                <c:ptCount val="4"/>
                <c:pt idx="0">
                  <c:v>52.5</c:v>
                </c:pt>
                <c:pt idx="1">
                  <c:v>32</c:v>
                </c:pt>
                <c:pt idx="2">
                  <c:v>41.3</c:v>
                </c:pt>
                <c:pt idx="3">
                  <c:v>28.099999999999994</c:v>
                </c:pt>
              </c:numCache>
            </c:numRef>
          </c:val>
          <c:extLst>
            <c:ext xmlns:c16="http://schemas.microsoft.com/office/drawing/2014/chart" uri="{C3380CC4-5D6E-409C-BE32-E72D297353CC}">
              <c16:uniqueId val="{00000001-B9DC-4777-BC98-07A01514289C}"/>
            </c:ext>
          </c:extLst>
        </c:ser>
        <c:ser>
          <c:idx val="2"/>
          <c:order val="2"/>
          <c:tx>
            <c:strRef>
              <c:f>'20. Cobertura por zona y tipo'!$E$4</c:f>
              <c:strCache>
                <c:ptCount val="1"/>
                <c:pt idx="0">
                  <c:v> 3G </c:v>
                </c:pt>
              </c:strCache>
            </c:strRef>
          </c:tx>
          <c:spPr>
            <a:solidFill>
              <a:srgbClr val="FFC629"/>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B9DC-4777-BC98-07A01514289C}"/>
                </c:ext>
              </c:extLst>
            </c:dLbl>
            <c:dLbl>
              <c:idx val="3"/>
              <c:delete val="1"/>
              <c:extLst>
                <c:ext xmlns:c15="http://schemas.microsoft.com/office/drawing/2012/chart" uri="{CE6537A1-D6FC-4f65-9D91-7224C49458BB}"/>
                <c:ext xmlns:c16="http://schemas.microsoft.com/office/drawing/2014/chart" uri="{C3380CC4-5D6E-409C-BE32-E72D297353CC}">
                  <c16:uniqueId val="{00000003-B9DC-4777-BC98-07A01514289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'20. Cobertura por zona y tipo'!$A$5:$B$8</c:f>
              <c:multiLvlStrCache>
                <c:ptCount val="4"/>
                <c:lvl>
                  <c:pt idx="0">
                    <c:v> Rural </c:v>
                  </c:pt>
                  <c:pt idx="1">
                    <c:v> Urbana </c:v>
                  </c:pt>
                  <c:pt idx="2">
                    <c:v> Rural </c:v>
                  </c:pt>
                  <c:pt idx="3">
                    <c:v> Urbana </c:v>
                  </c:pt>
                </c:lvl>
                <c:lvl>
                  <c:pt idx="0">
                    <c:v> Mundo </c:v>
                  </c:pt>
                  <c:pt idx="2">
                    <c:v> Américas </c:v>
                  </c:pt>
                </c:lvl>
              </c:multiLvlStrCache>
            </c:multiLvlStrRef>
          </c:cat>
          <c:val>
            <c:numRef>
              <c:f>'20. Cobertura por zona y tipo'!$E$5:$E$8</c:f>
              <c:numCache>
                <c:formatCode>_-* #,##0_-;\-* #,##0_-;_-* "-"??_-;_-@_-</c:formatCode>
                <c:ptCount val="4"/>
                <c:pt idx="0">
                  <c:v>8.0999999999999943</c:v>
                </c:pt>
                <c:pt idx="1">
                  <c:v>0.80000000000001137</c:v>
                </c:pt>
                <c:pt idx="2">
                  <c:v>4.4000000000000057</c:v>
                </c:pt>
                <c:pt idx="3">
                  <c:v>1.2000000000000028</c:v>
                </c:pt>
              </c:numCache>
            </c:numRef>
          </c:val>
          <c:extLst>
            <c:ext xmlns:c16="http://schemas.microsoft.com/office/drawing/2014/chart" uri="{C3380CC4-5D6E-409C-BE32-E72D297353CC}">
              <c16:uniqueId val="{00000004-B9DC-4777-BC98-07A01514289C}"/>
            </c:ext>
          </c:extLst>
        </c:ser>
        <c:ser>
          <c:idx val="3"/>
          <c:order val="3"/>
          <c:tx>
            <c:strRef>
              <c:f>'20. Cobertura por zona y tipo'!$F$4</c:f>
              <c:strCache>
                <c:ptCount val="1"/>
                <c:pt idx="0">
                  <c:v> 2G </c:v>
                </c:pt>
              </c:strCache>
            </c:strRef>
          </c:tx>
          <c:spPr>
            <a:solidFill>
              <a:srgbClr val="A2D45E"/>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5-B9DC-4777-BC98-07A01514289C}"/>
                </c:ext>
              </c:extLst>
            </c:dLbl>
            <c:dLbl>
              <c:idx val="3"/>
              <c:delete val="1"/>
              <c:extLst>
                <c:ext xmlns:c15="http://schemas.microsoft.com/office/drawing/2012/chart" uri="{CE6537A1-D6FC-4f65-9D91-7224C49458BB}"/>
                <c:ext xmlns:c16="http://schemas.microsoft.com/office/drawing/2014/chart" uri="{C3380CC4-5D6E-409C-BE32-E72D297353CC}">
                  <c16:uniqueId val="{00000006-B9DC-4777-BC98-07A01514289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'20. Cobertura por zona y tipo'!$A$5:$B$8</c:f>
              <c:multiLvlStrCache>
                <c:ptCount val="4"/>
                <c:lvl>
                  <c:pt idx="0">
                    <c:v> Rural </c:v>
                  </c:pt>
                  <c:pt idx="1">
                    <c:v> Urbana </c:v>
                  </c:pt>
                  <c:pt idx="2">
                    <c:v> Rural </c:v>
                  </c:pt>
                  <c:pt idx="3">
                    <c:v> Urbana </c:v>
                  </c:pt>
                </c:lvl>
                <c:lvl>
                  <c:pt idx="0">
                    <c:v> Mundo </c:v>
                  </c:pt>
                  <c:pt idx="2">
                    <c:v> Américas </c:v>
                  </c:pt>
                </c:lvl>
              </c:multiLvlStrCache>
            </c:multiLvlStrRef>
          </c:cat>
          <c:val>
            <c:numRef>
              <c:f>'20. Cobertura por zona y tipo'!$F$5:$F$8</c:f>
              <c:numCache>
                <c:formatCode>_-* #,##0_-;\-* #,##0_-;_-* "-"??_-;_-@_-</c:formatCode>
                <c:ptCount val="4"/>
                <c:pt idx="0">
                  <c:v>5.2000000000000028</c:v>
                </c:pt>
                <c:pt idx="1">
                  <c:v>9.9999999999994316E-2</c:v>
                </c:pt>
                <c:pt idx="2">
                  <c:v>6</c:v>
                </c:pt>
                <c:pt idx="3">
                  <c:v>0.29999999999999716</c:v>
                </c:pt>
              </c:numCache>
            </c:numRef>
          </c:val>
          <c:extLst>
            <c:ext xmlns:c16="http://schemas.microsoft.com/office/drawing/2014/chart" uri="{C3380CC4-5D6E-409C-BE32-E72D297353CC}">
              <c16:uniqueId val="{00000007-B9DC-4777-BC98-07A01514289C}"/>
            </c:ext>
          </c:extLst>
        </c:ser>
        <c:dLbls>
          <c:dLblPos val="ctr"/>
          <c:showLegendKey val="0"/>
          <c:showVal val="1"/>
          <c:showCatName val="0"/>
          <c:showSerName val="0"/>
          <c:showPercent val="0"/>
          <c:showBubbleSize val="0"/>
        </c:dLbls>
        <c:gapWidth val="150"/>
        <c:overlap val="100"/>
        <c:axId val="1409304527"/>
        <c:axId val="1409305775"/>
      </c:barChart>
      <c:catAx>
        <c:axId val="1409304527"/>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5775"/>
        <c:crosses val="autoZero"/>
        <c:auto val="1"/>
        <c:lblAlgn val="ctr"/>
        <c:lblOffset val="100"/>
        <c:noMultiLvlLbl val="0"/>
      </c:catAx>
      <c:valAx>
        <c:axId val="1409305775"/>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4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'21. Cercanía nodo fibra'!$D$3</c:f>
              <c:strCache>
                <c:ptCount val="1"/>
                <c:pt idx="0">
                  <c:v>10 km</c:v>
                </c:pt>
              </c:strCache>
            </c:strRef>
          </c:tx>
          <c:spPr>
            <a:solidFill>
              <a:srgbClr val="FF8674"/>
            </a:solidFill>
            <a:ln>
              <a:noFill/>
            </a:ln>
            <a:effectLst/>
          </c:spPr>
          <c:invertIfNegative val="0"/>
          <c:dLbls>
            <c:delete val="1"/>
          </c:dLbls>
          <c:cat>
            <c:strRef>
              <c:f>'21. Cercanía nodo fibra'!$C$4:$C$38</c:f>
              <c:strCache>
                <c:ptCount val="35"/>
                <c:pt idx="0">
                  <c:v>Guyana</c:v>
                </c:pt>
                <c:pt idx="1">
                  <c:v>Chile</c:v>
                </c:pt>
                <c:pt idx="2">
                  <c:v>Haití</c:v>
                </c:pt>
                <c:pt idx="3">
                  <c:v>Venezuela</c:v>
                </c:pt>
                <c:pt idx="4">
                  <c:v>Colombia</c:v>
                </c:pt>
                <c:pt idx="5">
                  <c:v>Bolivia</c:v>
                </c:pt>
                <c:pt idx="6">
                  <c:v>Guatemala</c:v>
                </c:pt>
                <c:pt idx="7">
                  <c:v>México</c:v>
                </c:pt>
                <c:pt idx="8">
                  <c:v>Costa Rica</c:v>
                </c:pt>
                <c:pt idx="9">
                  <c:v>Brasil</c:v>
                </c:pt>
                <c:pt idx="10">
                  <c:v>Estados Unidos</c:v>
                </c:pt>
                <c:pt idx="11">
                  <c:v>Cuba</c:v>
                </c:pt>
                <c:pt idx="12">
                  <c:v>Argentina</c:v>
                </c:pt>
                <c:pt idx="13">
                  <c:v>Bahamas</c:v>
                </c:pt>
                <c:pt idx="14">
                  <c:v>Canadá</c:v>
                </c:pt>
                <c:pt idx="15">
                  <c:v>Perú</c:v>
                </c:pt>
                <c:pt idx="16">
                  <c:v>Belice</c:v>
                </c:pt>
                <c:pt idx="17">
                  <c:v>Rep. Dominicana</c:v>
                </c:pt>
                <c:pt idx="18">
                  <c:v>Uruguay</c:v>
                </c:pt>
                <c:pt idx="19">
                  <c:v>El Salvador</c:v>
                </c:pt>
                <c:pt idx="20">
                  <c:v>Panamá</c:v>
                </c:pt>
                <c:pt idx="21">
                  <c:v>Antigua y Barbuda</c:v>
                </c:pt>
                <c:pt idx="22">
                  <c:v>Paraguay</c:v>
                </c:pt>
                <c:pt idx="23">
                  <c:v>Honduras</c:v>
                </c:pt>
                <c:pt idx="24">
                  <c:v>Nicaragua</c:v>
                </c:pt>
                <c:pt idx="25">
                  <c:v>Ecuador</c:v>
                </c:pt>
                <c:pt idx="26">
                  <c:v>Jamaica</c:v>
                </c:pt>
                <c:pt idx="27">
                  <c:v>San Vicente</c:v>
                </c:pt>
                <c:pt idx="28">
                  <c:v>Suriname</c:v>
                </c:pt>
                <c:pt idx="29">
                  <c:v>Trinidad y Tabago</c:v>
                </c:pt>
                <c:pt idx="30">
                  <c:v>Granada</c:v>
                </c:pt>
                <c:pt idx="31">
                  <c:v>Dominica</c:v>
                </c:pt>
                <c:pt idx="32">
                  <c:v>Barbados</c:v>
                </c:pt>
                <c:pt idx="33">
                  <c:v>Saint Kitts y Nevis</c:v>
                </c:pt>
                <c:pt idx="34">
                  <c:v>Santa Lucía</c:v>
                </c:pt>
              </c:strCache>
            </c:strRef>
          </c:cat>
          <c:val>
            <c:numRef>
              <c:f>'21. Cercanía nodo fibra'!$D$4:$D$38</c:f>
              <c:numCache>
                <c:formatCode>0</c:formatCode>
                <c:ptCount val="35"/>
                <c:pt idx="0">
                  <c:v>19.420000000000002</c:v>
                </c:pt>
                <c:pt idx="1">
                  <c:v>28.9</c:v>
                </c:pt>
                <c:pt idx="2">
                  <c:v>35.770000000000003</c:v>
                </c:pt>
                <c:pt idx="3">
                  <c:v>38.452254930000002</c:v>
                </c:pt>
                <c:pt idx="4">
                  <c:v>40.181536000000001</c:v>
                </c:pt>
                <c:pt idx="5">
                  <c:v>40.5</c:v>
                </c:pt>
                <c:pt idx="6">
                  <c:v>41.47</c:v>
                </c:pt>
                <c:pt idx="7">
                  <c:v>42.966785819999998</c:v>
                </c:pt>
                <c:pt idx="8">
                  <c:v>43.573243560000002</c:v>
                </c:pt>
                <c:pt idx="9">
                  <c:v>43.737933660000003</c:v>
                </c:pt>
                <c:pt idx="10">
                  <c:v>45.048620249999999</c:v>
                </c:pt>
                <c:pt idx="11">
                  <c:v>46.54</c:v>
                </c:pt>
                <c:pt idx="12">
                  <c:v>47.896901939999999</c:v>
                </c:pt>
                <c:pt idx="13">
                  <c:v>48.222189640000003</c:v>
                </c:pt>
                <c:pt idx="14">
                  <c:v>50.39021975</c:v>
                </c:pt>
                <c:pt idx="15">
                  <c:v>51.3</c:v>
                </c:pt>
                <c:pt idx="16">
                  <c:v>52.29</c:v>
                </c:pt>
                <c:pt idx="17">
                  <c:v>52.734371930000002</c:v>
                </c:pt>
                <c:pt idx="18">
                  <c:v>55.02</c:v>
                </c:pt>
                <c:pt idx="19">
                  <c:v>56.9</c:v>
                </c:pt>
                <c:pt idx="20">
                  <c:v>58.599071080000002</c:v>
                </c:pt>
                <c:pt idx="21">
                  <c:v>61.86</c:v>
                </c:pt>
                <c:pt idx="22">
                  <c:v>63.26</c:v>
                </c:pt>
                <c:pt idx="23">
                  <c:v>63.582894809999999</c:v>
                </c:pt>
                <c:pt idx="24">
                  <c:v>64.359302529999994</c:v>
                </c:pt>
                <c:pt idx="25">
                  <c:v>66.871063809999995</c:v>
                </c:pt>
                <c:pt idx="26">
                  <c:v>70.92</c:v>
                </c:pt>
                <c:pt idx="27">
                  <c:v>78.3</c:v>
                </c:pt>
                <c:pt idx="28">
                  <c:v>88.675270789999999</c:v>
                </c:pt>
                <c:pt idx="29">
                  <c:v>92.213900929999994</c:v>
                </c:pt>
                <c:pt idx="30">
                  <c:v>98.6</c:v>
                </c:pt>
                <c:pt idx="31">
                  <c:v>99.96</c:v>
                </c:pt>
                <c:pt idx="32">
                  <c:v>100</c:v>
                </c:pt>
                <c:pt idx="33">
                  <c:v>100</c:v>
                </c:pt>
                <c:pt idx="34">
                  <c:v>100</c:v>
                </c:pt>
              </c:numCache>
            </c:numRef>
          </c:val>
          <c:extLst>
            <c:ext xmlns:c16="http://schemas.microsoft.com/office/drawing/2014/chart" uri="{C3380CC4-5D6E-409C-BE32-E72D297353CC}">
              <c16:uniqueId val="{00000000-1472-4886-B887-C87B06BBDFA4}"/>
            </c:ext>
          </c:extLst>
        </c:ser>
        <c:ser>
          <c:idx val="1"/>
          <c:order val="1"/>
          <c:tx>
            <c:strRef>
              <c:f>'21. Cercanía nodo fibra'!$E$3</c:f>
              <c:strCache>
                <c:ptCount val="1"/>
                <c:pt idx="0">
                  <c:v>25 km</c:v>
                </c:pt>
              </c:strCache>
            </c:strRef>
          </c:tx>
          <c:spPr>
            <a:solidFill>
              <a:srgbClr val="00A0DF"/>
            </a:solidFill>
            <a:ln>
              <a:noFill/>
            </a:ln>
            <a:effectLst/>
          </c:spPr>
          <c:invertIfNegative val="0"/>
          <c:dLbls>
            <c:delete val="1"/>
          </c:dLbls>
          <c:cat>
            <c:strRef>
              <c:f>'21. Cercanía nodo fibra'!$C$4:$C$38</c:f>
              <c:strCache>
                <c:ptCount val="35"/>
                <c:pt idx="0">
                  <c:v>Guyana</c:v>
                </c:pt>
                <c:pt idx="1">
                  <c:v>Chile</c:v>
                </c:pt>
                <c:pt idx="2">
                  <c:v>Haití</c:v>
                </c:pt>
                <c:pt idx="3">
                  <c:v>Venezuela</c:v>
                </c:pt>
                <c:pt idx="4">
                  <c:v>Colombia</c:v>
                </c:pt>
                <c:pt idx="5">
                  <c:v>Bolivia</c:v>
                </c:pt>
                <c:pt idx="6">
                  <c:v>Guatemala</c:v>
                </c:pt>
                <c:pt idx="7">
                  <c:v>México</c:v>
                </c:pt>
                <c:pt idx="8">
                  <c:v>Costa Rica</c:v>
                </c:pt>
                <c:pt idx="9">
                  <c:v>Brasil</c:v>
                </c:pt>
                <c:pt idx="10">
                  <c:v>Estados Unidos</c:v>
                </c:pt>
                <c:pt idx="11">
                  <c:v>Cuba</c:v>
                </c:pt>
                <c:pt idx="12">
                  <c:v>Argentina</c:v>
                </c:pt>
                <c:pt idx="13">
                  <c:v>Bahamas</c:v>
                </c:pt>
                <c:pt idx="14">
                  <c:v>Canadá</c:v>
                </c:pt>
                <c:pt idx="15">
                  <c:v>Perú</c:v>
                </c:pt>
                <c:pt idx="16">
                  <c:v>Belice</c:v>
                </c:pt>
                <c:pt idx="17">
                  <c:v>Rep. Dominicana</c:v>
                </c:pt>
                <c:pt idx="18">
                  <c:v>Uruguay</c:v>
                </c:pt>
                <c:pt idx="19">
                  <c:v>El Salvador</c:v>
                </c:pt>
                <c:pt idx="20">
                  <c:v>Panamá</c:v>
                </c:pt>
                <c:pt idx="21">
                  <c:v>Antigua y Barbuda</c:v>
                </c:pt>
                <c:pt idx="22">
                  <c:v>Paraguay</c:v>
                </c:pt>
                <c:pt idx="23">
                  <c:v>Honduras</c:v>
                </c:pt>
                <c:pt idx="24">
                  <c:v>Nicaragua</c:v>
                </c:pt>
                <c:pt idx="25">
                  <c:v>Ecuador</c:v>
                </c:pt>
                <c:pt idx="26">
                  <c:v>Jamaica</c:v>
                </c:pt>
                <c:pt idx="27">
                  <c:v>San Vicente</c:v>
                </c:pt>
                <c:pt idx="28">
                  <c:v>Suriname</c:v>
                </c:pt>
                <c:pt idx="29">
                  <c:v>Trinidad y Tabago</c:v>
                </c:pt>
                <c:pt idx="30">
                  <c:v>Granada</c:v>
                </c:pt>
                <c:pt idx="31">
                  <c:v>Dominica</c:v>
                </c:pt>
                <c:pt idx="32">
                  <c:v>Barbados</c:v>
                </c:pt>
                <c:pt idx="33">
                  <c:v>Saint Kitts y Nevis</c:v>
                </c:pt>
                <c:pt idx="34">
                  <c:v>Santa Lucía</c:v>
                </c:pt>
              </c:strCache>
            </c:strRef>
          </c:cat>
          <c:val>
            <c:numRef>
              <c:f>'21. Cercanía nodo fibra'!$E$4:$E$38</c:f>
              <c:numCache>
                <c:formatCode>0</c:formatCode>
                <c:ptCount val="35"/>
                <c:pt idx="0">
                  <c:v>30.72</c:v>
                </c:pt>
                <c:pt idx="1">
                  <c:v>35.927469949999995</c:v>
                </c:pt>
                <c:pt idx="2">
                  <c:v>42.4</c:v>
                </c:pt>
                <c:pt idx="3">
                  <c:v>44.374829749999996</c:v>
                </c:pt>
                <c:pt idx="4">
                  <c:v>29.846366519999997</c:v>
                </c:pt>
                <c:pt idx="5">
                  <c:v>32.400000000000006</c:v>
                </c:pt>
                <c:pt idx="6">
                  <c:v>48.760000000000005</c:v>
                </c:pt>
                <c:pt idx="7">
                  <c:v>45.166386529999997</c:v>
                </c:pt>
                <c:pt idx="8">
                  <c:v>44.875041540000005</c:v>
                </c:pt>
                <c:pt idx="9">
                  <c:v>29.545642199999996</c:v>
                </c:pt>
                <c:pt idx="10">
                  <c:v>34.995147310000007</c:v>
                </c:pt>
                <c:pt idx="11">
                  <c:v>32.35</c:v>
                </c:pt>
                <c:pt idx="12">
                  <c:v>41.620590380000003</c:v>
                </c:pt>
                <c:pt idx="13">
                  <c:v>34.825549169999995</c:v>
                </c:pt>
                <c:pt idx="14">
                  <c:v>31.898644790000006</c:v>
                </c:pt>
                <c:pt idx="15">
                  <c:v>32.42</c:v>
                </c:pt>
                <c:pt idx="16">
                  <c:v>23.390000000000008</c:v>
                </c:pt>
                <c:pt idx="17">
                  <c:v>41.390044350000004</c:v>
                </c:pt>
                <c:pt idx="18">
                  <c:v>30.54</c:v>
                </c:pt>
                <c:pt idx="19">
                  <c:v>39.770000000000003</c:v>
                </c:pt>
                <c:pt idx="20">
                  <c:v>33.492029279999997</c:v>
                </c:pt>
                <c:pt idx="21">
                  <c:v>36.230000000000004</c:v>
                </c:pt>
                <c:pt idx="22">
                  <c:v>29.559999999999995</c:v>
                </c:pt>
                <c:pt idx="23">
                  <c:v>29.707546960000002</c:v>
                </c:pt>
                <c:pt idx="24">
                  <c:v>27.877842080000008</c:v>
                </c:pt>
                <c:pt idx="25">
                  <c:v>28.738936190000004</c:v>
                </c:pt>
                <c:pt idx="26">
                  <c:v>29.08</c:v>
                </c:pt>
                <c:pt idx="27">
                  <c:v>5.3800000000000097</c:v>
                </c:pt>
                <c:pt idx="28">
                  <c:v>3.0264411200000012</c:v>
                </c:pt>
                <c:pt idx="29">
                  <c:v>7.7860990700000059</c:v>
                </c:pt>
                <c:pt idx="30">
                  <c:v>1.4000000000000057</c:v>
                </c:pt>
                <c:pt idx="31">
                  <c:v>4.0000000000006253E-2</c:v>
                </c:pt>
                <c:pt idx="32">
                  <c:v>0</c:v>
                </c:pt>
                <c:pt idx="33">
                  <c:v>0</c:v>
                </c:pt>
                <c:pt idx="34">
                  <c:v>0</c:v>
                </c:pt>
              </c:numCache>
            </c:numRef>
          </c:val>
          <c:extLst>
            <c:ext xmlns:c16="http://schemas.microsoft.com/office/drawing/2014/chart" uri="{C3380CC4-5D6E-409C-BE32-E72D297353CC}">
              <c16:uniqueId val="{00000001-1472-4886-B887-C87B06BBDFA4}"/>
            </c:ext>
          </c:extLst>
        </c:ser>
        <c:ser>
          <c:idx val="2"/>
          <c:order val="2"/>
          <c:tx>
            <c:strRef>
              <c:f>'21. Cercanía nodo fibra'!$F$3</c:f>
              <c:strCache>
                <c:ptCount val="1"/>
                <c:pt idx="0">
                  <c:v>50 km</c:v>
                </c:pt>
              </c:strCache>
            </c:strRef>
          </c:tx>
          <c:spPr>
            <a:solidFill>
              <a:srgbClr val="FFC629"/>
            </a:solidFill>
            <a:ln>
              <a:noFill/>
            </a:ln>
            <a:effectLst/>
          </c:spPr>
          <c:invertIfNegative val="0"/>
          <c:dLbls>
            <c:delete val="1"/>
          </c:dLbls>
          <c:cat>
            <c:strRef>
              <c:f>'21. Cercanía nodo fibra'!$C$4:$C$38</c:f>
              <c:strCache>
                <c:ptCount val="35"/>
                <c:pt idx="0">
                  <c:v>Guyana</c:v>
                </c:pt>
                <c:pt idx="1">
                  <c:v>Chile</c:v>
                </c:pt>
                <c:pt idx="2">
                  <c:v>Haití</c:v>
                </c:pt>
                <c:pt idx="3">
                  <c:v>Venezuela</c:v>
                </c:pt>
                <c:pt idx="4">
                  <c:v>Colombia</c:v>
                </c:pt>
                <c:pt idx="5">
                  <c:v>Bolivia</c:v>
                </c:pt>
                <c:pt idx="6">
                  <c:v>Guatemala</c:v>
                </c:pt>
                <c:pt idx="7">
                  <c:v>México</c:v>
                </c:pt>
                <c:pt idx="8">
                  <c:v>Costa Rica</c:v>
                </c:pt>
                <c:pt idx="9">
                  <c:v>Brasil</c:v>
                </c:pt>
                <c:pt idx="10">
                  <c:v>Estados Unidos</c:v>
                </c:pt>
                <c:pt idx="11">
                  <c:v>Cuba</c:v>
                </c:pt>
                <c:pt idx="12">
                  <c:v>Argentina</c:v>
                </c:pt>
                <c:pt idx="13">
                  <c:v>Bahamas</c:v>
                </c:pt>
                <c:pt idx="14">
                  <c:v>Canadá</c:v>
                </c:pt>
                <c:pt idx="15">
                  <c:v>Perú</c:v>
                </c:pt>
                <c:pt idx="16">
                  <c:v>Belice</c:v>
                </c:pt>
                <c:pt idx="17">
                  <c:v>Rep. Dominicana</c:v>
                </c:pt>
                <c:pt idx="18">
                  <c:v>Uruguay</c:v>
                </c:pt>
                <c:pt idx="19">
                  <c:v>El Salvador</c:v>
                </c:pt>
                <c:pt idx="20">
                  <c:v>Panamá</c:v>
                </c:pt>
                <c:pt idx="21">
                  <c:v>Antigua y Barbuda</c:v>
                </c:pt>
                <c:pt idx="22">
                  <c:v>Paraguay</c:v>
                </c:pt>
                <c:pt idx="23">
                  <c:v>Honduras</c:v>
                </c:pt>
                <c:pt idx="24">
                  <c:v>Nicaragua</c:v>
                </c:pt>
                <c:pt idx="25">
                  <c:v>Ecuador</c:v>
                </c:pt>
                <c:pt idx="26">
                  <c:v>Jamaica</c:v>
                </c:pt>
                <c:pt idx="27">
                  <c:v>San Vicente</c:v>
                </c:pt>
                <c:pt idx="28">
                  <c:v>Suriname</c:v>
                </c:pt>
                <c:pt idx="29">
                  <c:v>Trinidad y Tabago</c:v>
                </c:pt>
                <c:pt idx="30">
                  <c:v>Granada</c:v>
                </c:pt>
                <c:pt idx="31">
                  <c:v>Dominica</c:v>
                </c:pt>
                <c:pt idx="32">
                  <c:v>Barbados</c:v>
                </c:pt>
                <c:pt idx="33">
                  <c:v>Saint Kitts y Nevis</c:v>
                </c:pt>
                <c:pt idx="34">
                  <c:v>Santa Lucía</c:v>
                </c:pt>
              </c:strCache>
            </c:strRef>
          </c:cat>
          <c:val>
            <c:numRef>
              <c:f>'21. Cercanía nodo fibra'!$F$4:$F$38</c:f>
              <c:numCache>
                <c:formatCode>0</c:formatCode>
                <c:ptCount val="35"/>
                <c:pt idx="0">
                  <c:v>23.67</c:v>
                </c:pt>
                <c:pt idx="1">
                  <c:v>28.715523610000005</c:v>
                </c:pt>
                <c:pt idx="2">
                  <c:v>19.11</c:v>
                </c:pt>
                <c:pt idx="3">
                  <c:v>13.433376199999998</c:v>
                </c:pt>
                <c:pt idx="4">
                  <c:v>19.65961471</c:v>
                </c:pt>
                <c:pt idx="5">
                  <c:v>14.719999999999999</c:v>
                </c:pt>
                <c:pt idx="6">
                  <c:v>9.1700000000000017</c:v>
                </c:pt>
                <c:pt idx="7">
                  <c:v>8.8563244300000008</c:v>
                </c:pt>
                <c:pt idx="8">
                  <c:v>11.152233819999992</c:v>
                </c:pt>
                <c:pt idx="9">
                  <c:v>15.765450250000001</c:v>
                </c:pt>
                <c:pt idx="10">
                  <c:v>13.867736119999989</c:v>
                </c:pt>
                <c:pt idx="11">
                  <c:v>18.090000000000003</c:v>
                </c:pt>
                <c:pt idx="12">
                  <c:v>7.8839012199999985</c:v>
                </c:pt>
                <c:pt idx="13">
                  <c:v>8.4694204700000029</c:v>
                </c:pt>
                <c:pt idx="14">
                  <c:v>9.2071113199999957</c:v>
                </c:pt>
                <c:pt idx="15">
                  <c:v>12.760000000000005</c:v>
                </c:pt>
                <c:pt idx="16">
                  <c:v>22.059999999999988</c:v>
                </c:pt>
                <c:pt idx="17">
                  <c:v>5.8655837199999894</c:v>
                </c:pt>
                <c:pt idx="18">
                  <c:v>10.689999999999998</c:v>
                </c:pt>
                <c:pt idx="19">
                  <c:v>3.3299999999999983</c:v>
                </c:pt>
                <c:pt idx="20">
                  <c:v>6.8183493700000071</c:v>
                </c:pt>
                <c:pt idx="21">
                  <c:v>4.9999999999997158E-2</c:v>
                </c:pt>
                <c:pt idx="22">
                  <c:v>6.1700000000000017</c:v>
                </c:pt>
                <c:pt idx="23">
                  <c:v>5.5390494300000057</c:v>
                </c:pt>
                <c:pt idx="24">
                  <c:v>5.8131608199999931</c:v>
                </c:pt>
                <c:pt idx="25">
                  <c:v>4.0300000000000011</c:v>
                </c:pt>
                <c:pt idx="26">
                  <c:v>0</c:v>
                </c:pt>
                <c:pt idx="27">
                  <c:v>15.449999999999989</c:v>
                </c:pt>
                <c:pt idx="28">
                  <c:v>2.6401590400000003</c:v>
                </c:pt>
                <c:pt idx="29">
                  <c:v>0</c:v>
                </c:pt>
                <c:pt idx="30">
                  <c:v>0</c:v>
                </c:pt>
                <c:pt idx="31">
                  <c:v>0</c:v>
                </c:pt>
                <c:pt idx="32">
                  <c:v>0</c:v>
                </c:pt>
                <c:pt idx="33">
                  <c:v>0</c:v>
                </c:pt>
                <c:pt idx="34">
                  <c:v>0</c:v>
                </c:pt>
              </c:numCache>
            </c:numRef>
          </c:val>
          <c:extLst>
            <c:ext xmlns:c16="http://schemas.microsoft.com/office/drawing/2014/chart" uri="{C3380CC4-5D6E-409C-BE32-E72D297353CC}">
              <c16:uniqueId val="{00000002-1472-4886-B887-C87B06BBDFA4}"/>
            </c:ext>
          </c:extLst>
        </c:ser>
        <c:ser>
          <c:idx val="3"/>
          <c:order val="3"/>
          <c:tx>
            <c:strRef>
              <c:f>'21. Cercanía nodo fibra'!$G$3</c:f>
              <c:strCache>
                <c:ptCount val="1"/>
                <c:pt idx="0">
                  <c:v>100 km</c:v>
                </c:pt>
              </c:strCache>
            </c:strRef>
          </c:tx>
          <c:spPr>
            <a:solidFill>
              <a:srgbClr val="A2D45E"/>
            </a:solidFill>
            <a:ln>
              <a:noFill/>
            </a:ln>
            <a:effectLst/>
          </c:spPr>
          <c:invertIfNegative val="0"/>
          <c:dLbls>
            <c:delete val="1"/>
          </c:dLbls>
          <c:cat>
            <c:strRef>
              <c:f>'21. Cercanía nodo fibra'!$C$4:$C$38</c:f>
              <c:strCache>
                <c:ptCount val="35"/>
                <c:pt idx="0">
                  <c:v>Guyana</c:v>
                </c:pt>
                <c:pt idx="1">
                  <c:v>Chile</c:v>
                </c:pt>
                <c:pt idx="2">
                  <c:v>Haití</c:v>
                </c:pt>
                <c:pt idx="3">
                  <c:v>Venezuela</c:v>
                </c:pt>
                <c:pt idx="4">
                  <c:v>Colombia</c:v>
                </c:pt>
                <c:pt idx="5">
                  <c:v>Bolivia</c:v>
                </c:pt>
                <c:pt idx="6">
                  <c:v>Guatemala</c:v>
                </c:pt>
                <c:pt idx="7">
                  <c:v>México</c:v>
                </c:pt>
                <c:pt idx="8">
                  <c:v>Costa Rica</c:v>
                </c:pt>
                <c:pt idx="9">
                  <c:v>Brasil</c:v>
                </c:pt>
                <c:pt idx="10">
                  <c:v>Estados Unidos</c:v>
                </c:pt>
                <c:pt idx="11">
                  <c:v>Cuba</c:v>
                </c:pt>
                <c:pt idx="12">
                  <c:v>Argentina</c:v>
                </c:pt>
                <c:pt idx="13">
                  <c:v>Bahamas</c:v>
                </c:pt>
                <c:pt idx="14">
                  <c:v>Canadá</c:v>
                </c:pt>
                <c:pt idx="15">
                  <c:v>Perú</c:v>
                </c:pt>
                <c:pt idx="16">
                  <c:v>Belice</c:v>
                </c:pt>
                <c:pt idx="17">
                  <c:v>Rep. Dominicana</c:v>
                </c:pt>
                <c:pt idx="18">
                  <c:v>Uruguay</c:v>
                </c:pt>
                <c:pt idx="19">
                  <c:v>El Salvador</c:v>
                </c:pt>
                <c:pt idx="20">
                  <c:v>Panamá</c:v>
                </c:pt>
                <c:pt idx="21">
                  <c:v>Antigua y Barbuda</c:v>
                </c:pt>
                <c:pt idx="22">
                  <c:v>Paraguay</c:v>
                </c:pt>
                <c:pt idx="23">
                  <c:v>Honduras</c:v>
                </c:pt>
                <c:pt idx="24">
                  <c:v>Nicaragua</c:v>
                </c:pt>
                <c:pt idx="25">
                  <c:v>Ecuador</c:v>
                </c:pt>
                <c:pt idx="26">
                  <c:v>Jamaica</c:v>
                </c:pt>
                <c:pt idx="27">
                  <c:v>San Vicente</c:v>
                </c:pt>
                <c:pt idx="28">
                  <c:v>Suriname</c:v>
                </c:pt>
                <c:pt idx="29">
                  <c:v>Trinidad y Tabago</c:v>
                </c:pt>
                <c:pt idx="30">
                  <c:v>Granada</c:v>
                </c:pt>
                <c:pt idx="31">
                  <c:v>Dominica</c:v>
                </c:pt>
                <c:pt idx="32">
                  <c:v>Barbados</c:v>
                </c:pt>
                <c:pt idx="33">
                  <c:v>Saint Kitts y Nevis</c:v>
                </c:pt>
                <c:pt idx="34">
                  <c:v>Santa Lucía</c:v>
                </c:pt>
              </c:strCache>
            </c:strRef>
          </c:cat>
          <c:val>
            <c:numRef>
              <c:f>'21. Cercanía nodo fibra'!$G$4:$G$38</c:f>
              <c:numCache>
                <c:formatCode>0</c:formatCode>
                <c:ptCount val="35"/>
                <c:pt idx="0">
                  <c:v>7.7999999999999972</c:v>
                </c:pt>
                <c:pt idx="1">
                  <c:v>5.2091590800000063</c:v>
                </c:pt>
                <c:pt idx="2">
                  <c:v>2.7199999999999989</c:v>
                </c:pt>
                <c:pt idx="3">
                  <c:v>3.39953912</c:v>
                </c:pt>
                <c:pt idx="4">
                  <c:v>8.0073445499999991</c:v>
                </c:pt>
                <c:pt idx="5">
                  <c:v>9.6199999999999903</c:v>
                </c:pt>
                <c:pt idx="6">
                  <c:v>0.59999999999999432</c:v>
                </c:pt>
                <c:pt idx="7">
                  <c:v>2.6405032199999994</c:v>
                </c:pt>
                <c:pt idx="8">
                  <c:v>0.39948108000000104</c:v>
                </c:pt>
                <c:pt idx="9">
                  <c:v>7.1843732500000073</c:v>
                </c:pt>
                <c:pt idx="10">
                  <c:v>4.5934936600000071</c:v>
                </c:pt>
                <c:pt idx="11">
                  <c:v>2.9299999999999926</c:v>
                </c:pt>
                <c:pt idx="12">
                  <c:v>2.299166679999999</c:v>
                </c:pt>
                <c:pt idx="13">
                  <c:v>8.3819403199999982</c:v>
                </c:pt>
                <c:pt idx="14">
                  <c:v>4.7640241400000036</c:v>
                </c:pt>
                <c:pt idx="15">
                  <c:v>2.9299999999999926</c:v>
                </c:pt>
                <c:pt idx="16">
                  <c:v>2.25</c:v>
                </c:pt>
                <c:pt idx="17">
                  <c:v>1.0000000000005116E-2</c:v>
                </c:pt>
                <c:pt idx="18">
                  <c:v>3.730000000000004</c:v>
                </c:pt>
                <c:pt idx="19">
                  <c:v>0</c:v>
                </c:pt>
                <c:pt idx="20">
                  <c:v>1.0905502699999943</c:v>
                </c:pt>
                <c:pt idx="21">
                  <c:v>1.8599999999999994</c:v>
                </c:pt>
                <c:pt idx="22">
                  <c:v>0.84000000000000341</c:v>
                </c:pt>
                <c:pt idx="23">
                  <c:v>1.0498843399999913</c:v>
                </c:pt>
                <c:pt idx="24">
                  <c:v>1.9511982700000061</c:v>
                </c:pt>
                <c:pt idx="25">
                  <c:v>0.17000000000000171</c:v>
                </c:pt>
                <c:pt idx="26">
                  <c:v>0</c:v>
                </c:pt>
                <c:pt idx="27">
                  <c:v>0.87000000000000455</c:v>
                </c:pt>
                <c:pt idx="28">
                  <c:v>1.6592058199999968</c:v>
                </c:pt>
                <c:pt idx="29">
                  <c:v>0</c:v>
                </c:pt>
                <c:pt idx="30">
                  <c:v>0</c:v>
                </c:pt>
                <c:pt idx="31">
                  <c:v>0</c:v>
                </c:pt>
                <c:pt idx="32">
                  <c:v>0</c:v>
                </c:pt>
                <c:pt idx="33">
                  <c:v>0</c:v>
                </c:pt>
                <c:pt idx="34">
                  <c:v>0</c:v>
                </c:pt>
              </c:numCache>
            </c:numRef>
          </c:val>
          <c:extLst>
            <c:ext xmlns:c16="http://schemas.microsoft.com/office/drawing/2014/chart" uri="{C3380CC4-5D6E-409C-BE32-E72D297353CC}">
              <c16:uniqueId val="{00000003-1472-4886-B887-C87B06BBDFA4}"/>
            </c:ext>
          </c:extLst>
        </c:ser>
        <c:dLbls>
          <c:dLblPos val="ctr"/>
          <c:showLegendKey val="0"/>
          <c:showVal val="1"/>
          <c:showCatName val="0"/>
          <c:showSerName val="0"/>
          <c:showPercent val="0"/>
          <c:showBubbleSize val="0"/>
        </c:dLbls>
        <c:gapWidth val="150"/>
        <c:overlap val="100"/>
        <c:axId val="749542703"/>
        <c:axId val="749541263"/>
      </c:barChart>
      <c:catAx>
        <c:axId val="749542703"/>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749541263"/>
        <c:crosses val="autoZero"/>
        <c:auto val="1"/>
        <c:lblAlgn val="ctr"/>
        <c:lblOffset val="100"/>
        <c:noMultiLvlLbl val="0"/>
      </c:catAx>
      <c:valAx>
        <c:axId val="749541263"/>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749542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'22. Tráfico por abono y mes'!$A$19</c:f>
              <c:strCache>
                <c:ptCount val="1"/>
                <c:pt idx="0">
                  <c:v> Américas </c:v>
                </c:pt>
              </c:strCache>
            </c:strRef>
          </c:tx>
          <c:spPr>
            <a:ln w="28575" cap="rnd">
              <a:solidFill>
                <a:srgbClr val="A77BCA"/>
              </a:solidFill>
              <a:round/>
            </a:ln>
            <a:effectLst/>
          </c:spPr>
          <c:marker>
            <c:symbol val="none"/>
          </c:marker>
          <c:cat>
            <c:numRef>
              <c:f>'22. Tráfico por abono y mes'!$B$14:$G$14</c:f>
              <c:numCache>
                <c:formatCode>General</c:formatCode>
                <c:ptCount val="6"/>
                <c:pt idx="0">
                  <c:v>2019</c:v>
                </c:pt>
                <c:pt idx="1">
                  <c:v>2020</c:v>
                </c:pt>
                <c:pt idx="2">
                  <c:v>2021</c:v>
                </c:pt>
                <c:pt idx="3">
                  <c:v>2022</c:v>
                </c:pt>
                <c:pt idx="4">
                  <c:v>2023</c:v>
                </c:pt>
                <c:pt idx="5">
                  <c:v>2024</c:v>
                </c:pt>
              </c:numCache>
            </c:numRef>
          </c:cat>
          <c:val>
            <c:numRef>
              <c:f>'22. Tráfico por abono y mes'!$B$19:$G$19</c:f>
              <c:numCache>
                <c:formatCode>#,##0</c:formatCode>
                <c:ptCount val="6"/>
                <c:pt idx="0" formatCode="#,##0.0">
                  <c:v>4.8</c:v>
                </c:pt>
                <c:pt idx="1">
                  <c:v>5.3583333333333334</c:v>
                </c:pt>
                <c:pt idx="2">
                  <c:v>6.4750000000000005</c:v>
                </c:pt>
                <c:pt idx="3">
                  <c:v>8.2083333333333339</c:v>
                </c:pt>
                <c:pt idx="4">
                  <c:v>10.108333333333333</c:v>
                </c:pt>
                <c:pt idx="5" formatCode="#,##0.0">
                  <c:v>11.208333333333334</c:v>
                </c:pt>
              </c:numCache>
            </c:numRef>
          </c:val>
          <c:smooth val="0"/>
          <c:extLst>
            <c:ext xmlns:c16="http://schemas.microsoft.com/office/drawing/2014/chart" uri="{C3380CC4-5D6E-409C-BE32-E72D297353CC}">
              <c16:uniqueId val="{00000000-08FA-435D-9B74-3C2DEAF1D004}"/>
            </c:ext>
          </c:extLst>
        </c:ser>
        <c:ser>
          <c:idx val="0"/>
          <c:order val="1"/>
          <c:tx>
            <c:strRef>
              <c:f>'22. Tráfico por abono y mes'!$A$18</c:f>
              <c:strCache>
                <c:ptCount val="1"/>
                <c:pt idx="0">
                  <c:v> Mundo  </c:v>
                </c:pt>
              </c:strCache>
            </c:strRef>
          </c:tx>
          <c:spPr>
            <a:ln w="28575" cap="rnd">
              <a:solidFill>
                <a:srgbClr val="00A3E0"/>
              </a:solidFill>
              <a:round/>
            </a:ln>
            <a:effectLst/>
          </c:spPr>
          <c:marker>
            <c:symbol val="none"/>
          </c:marker>
          <c:cat>
            <c:numRef>
              <c:f>'22. Tráfico por abono y mes'!$B$14:$G$14</c:f>
              <c:numCache>
                <c:formatCode>General</c:formatCode>
                <c:ptCount val="6"/>
                <c:pt idx="0">
                  <c:v>2019</c:v>
                </c:pt>
                <c:pt idx="1">
                  <c:v>2020</c:v>
                </c:pt>
                <c:pt idx="2">
                  <c:v>2021</c:v>
                </c:pt>
                <c:pt idx="3">
                  <c:v>2022</c:v>
                </c:pt>
                <c:pt idx="4">
                  <c:v>2023</c:v>
                </c:pt>
                <c:pt idx="5">
                  <c:v>2024</c:v>
                </c:pt>
              </c:numCache>
            </c:numRef>
          </c:cat>
          <c:val>
            <c:numRef>
              <c:f>'22. Tráfico por abono y mes'!$B$18:$G$18</c:f>
              <c:numCache>
                <c:formatCode>#,##0</c:formatCode>
                <c:ptCount val="6"/>
                <c:pt idx="0" formatCode="#,##0.0">
                  <c:v>6.1833333333333336</c:v>
                </c:pt>
                <c:pt idx="1">
                  <c:v>7.7583333333333329</c:v>
                </c:pt>
                <c:pt idx="2">
                  <c:v>9.7000000000000011</c:v>
                </c:pt>
                <c:pt idx="3">
                  <c:v>11.166666666666666</c:v>
                </c:pt>
                <c:pt idx="4">
                  <c:v>12.283333333333333</c:v>
                </c:pt>
                <c:pt idx="5" formatCode="#,##0.0">
                  <c:v>13.858333333333334</c:v>
                </c:pt>
              </c:numCache>
            </c:numRef>
          </c:val>
          <c:smooth val="0"/>
          <c:extLst>
            <c:ext xmlns:c16="http://schemas.microsoft.com/office/drawing/2014/chart" uri="{C3380CC4-5D6E-409C-BE32-E72D297353CC}">
              <c16:uniqueId val="{00000001-08FA-435D-9B74-3C2DEAF1D004}"/>
            </c:ext>
          </c:extLst>
        </c:ser>
        <c:dLbls>
          <c:showLegendKey val="0"/>
          <c:showVal val="0"/>
          <c:showCatName val="0"/>
          <c:showSerName val="0"/>
          <c:showPercent val="0"/>
          <c:showBubbleSize val="0"/>
        </c:dLbls>
        <c:smooth val="0"/>
        <c:axId val="1409304527"/>
        <c:axId val="1409305775"/>
      </c:lineChart>
      <c:catAx>
        <c:axId val="1409304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5775"/>
        <c:crosses val="autoZero"/>
        <c:auto val="1"/>
        <c:lblAlgn val="ctr"/>
        <c:lblOffset val="100"/>
        <c:noMultiLvlLbl val="0"/>
      </c:catAx>
      <c:valAx>
        <c:axId val="14093057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4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'22. Tráfico por abono y mes'!$A$16</c:f>
              <c:strCache>
                <c:ptCount val="1"/>
                <c:pt idx="0">
                  <c:v> Américas </c:v>
                </c:pt>
              </c:strCache>
            </c:strRef>
          </c:tx>
          <c:spPr>
            <a:ln w="28575" cap="rnd">
              <a:solidFill>
                <a:srgbClr val="A77BCA"/>
              </a:solidFill>
              <a:round/>
            </a:ln>
            <a:effectLst/>
          </c:spPr>
          <c:marker>
            <c:symbol val="none"/>
          </c:marker>
          <c:cat>
            <c:numRef>
              <c:f>'22. Tráfico por abono y mes'!$B$14:$G$14</c:f>
              <c:numCache>
                <c:formatCode>General</c:formatCode>
                <c:ptCount val="6"/>
                <c:pt idx="0">
                  <c:v>2019</c:v>
                </c:pt>
                <c:pt idx="1">
                  <c:v>2020</c:v>
                </c:pt>
                <c:pt idx="2">
                  <c:v>2021</c:v>
                </c:pt>
                <c:pt idx="3">
                  <c:v>2022</c:v>
                </c:pt>
                <c:pt idx="4">
                  <c:v>2023</c:v>
                </c:pt>
                <c:pt idx="5">
                  <c:v>2024</c:v>
                </c:pt>
              </c:numCache>
            </c:numRef>
          </c:cat>
          <c:val>
            <c:numRef>
              <c:f>'22. Tráfico por abono y mes'!$B$16:$G$16</c:f>
              <c:numCache>
                <c:formatCode>#,##0</c:formatCode>
                <c:ptCount val="6"/>
                <c:pt idx="0">
                  <c:v>188.31666666666669</c:v>
                </c:pt>
                <c:pt idx="1">
                  <c:v>223.04999999999998</c:v>
                </c:pt>
                <c:pt idx="2">
                  <c:v>268.49166666666667</c:v>
                </c:pt>
                <c:pt idx="3">
                  <c:v>327.875</c:v>
                </c:pt>
                <c:pt idx="4">
                  <c:v>350.7833333333333</c:v>
                </c:pt>
                <c:pt idx="5">
                  <c:v>401.6583333333333</c:v>
                </c:pt>
              </c:numCache>
            </c:numRef>
          </c:val>
          <c:smooth val="0"/>
          <c:extLst>
            <c:ext xmlns:c16="http://schemas.microsoft.com/office/drawing/2014/chart" uri="{C3380CC4-5D6E-409C-BE32-E72D297353CC}">
              <c16:uniqueId val="{00000000-08C6-4EE3-9C4B-0DF77445FD32}"/>
            </c:ext>
          </c:extLst>
        </c:ser>
        <c:ser>
          <c:idx val="0"/>
          <c:order val="1"/>
          <c:tx>
            <c:strRef>
              <c:f>'22. Tráfico por abono y mes'!$A$15</c:f>
              <c:strCache>
                <c:ptCount val="1"/>
                <c:pt idx="0">
                  <c:v> Mundo </c:v>
                </c:pt>
              </c:strCache>
            </c:strRef>
          </c:tx>
          <c:spPr>
            <a:ln w="28575" cap="rnd">
              <a:solidFill>
                <a:srgbClr val="00A3E0"/>
              </a:solidFill>
              <a:round/>
            </a:ln>
            <a:effectLst/>
          </c:spPr>
          <c:marker>
            <c:symbol val="none"/>
          </c:marker>
          <c:cat>
            <c:numRef>
              <c:f>'22. Tráfico por abono y mes'!$B$14:$G$14</c:f>
              <c:numCache>
                <c:formatCode>General</c:formatCode>
                <c:ptCount val="6"/>
                <c:pt idx="0">
                  <c:v>2019</c:v>
                </c:pt>
                <c:pt idx="1">
                  <c:v>2020</c:v>
                </c:pt>
                <c:pt idx="2">
                  <c:v>2021</c:v>
                </c:pt>
                <c:pt idx="3">
                  <c:v>2022</c:v>
                </c:pt>
                <c:pt idx="4">
                  <c:v>2023</c:v>
                </c:pt>
                <c:pt idx="5">
                  <c:v>2024</c:v>
                </c:pt>
              </c:numCache>
            </c:numRef>
          </c:cat>
          <c:val>
            <c:numRef>
              <c:f>'22. Tráfico por abono y mes'!$B$15:$G$15</c:f>
              <c:numCache>
                <c:formatCode>#,##0</c:formatCode>
                <c:ptCount val="6"/>
                <c:pt idx="0">
                  <c:v>140.85833333333332</c:v>
                </c:pt>
                <c:pt idx="1">
                  <c:v>209.81666666666669</c:v>
                </c:pt>
                <c:pt idx="2">
                  <c:v>243.875</c:v>
                </c:pt>
                <c:pt idx="3">
                  <c:v>256.63333333333333</c:v>
                </c:pt>
                <c:pt idx="4">
                  <c:v>282.92500000000001</c:v>
                </c:pt>
                <c:pt idx="5">
                  <c:v>310.99166666666667</c:v>
                </c:pt>
              </c:numCache>
            </c:numRef>
          </c:val>
          <c:smooth val="0"/>
          <c:extLst>
            <c:ext xmlns:c16="http://schemas.microsoft.com/office/drawing/2014/chart" uri="{C3380CC4-5D6E-409C-BE32-E72D297353CC}">
              <c16:uniqueId val="{00000001-08C6-4EE3-9C4B-0DF77445FD32}"/>
            </c:ext>
          </c:extLst>
        </c:ser>
        <c:dLbls>
          <c:showLegendKey val="0"/>
          <c:showVal val="0"/>
          <c:showCatName val="0"/>
          <c:showSerName val="0"/>
          <c:showPercent val="0"/>
          <c:showBubbleSize val="0"/>
        </c:dLbls>
        <c:smooth val="0"/>
        <c:axId val="1409304527"/>
        <c:axId val="1409305775"/>
      </c:lineChart>
      <c:catAx>
        <c:axId val="1409304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5775"/>
        <c:crosses val="autoZero"/>
        <c:auto val="1"/>
        <c:lblAlgn val="ctr"/>
        <c:lblOffset val="100"/>
        <c:noMultiLvlLbl val="0"/>
      </c:catAx>
      <c:valAx>
        <c:axId val="14093057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4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'3. Instrum. política TIC'!$C$2</c:f>
              <c:strCache>
                <c:ptCount val="1"/>
                <c:pt idx="0">
                  <c:v>PDSL</c:v>
                </c:pt>
              </c:strCache>
            </c:strRef>
          </c:tx>
          <c:spPr>
            <a:solidFill>
              <a:schemeClr val="accent5">
                <a:lumMod val="40000"/>
                <a:lumOff val="60000"/>
              </a:schemeClr>
            </a:solidFill>
            <a:ln>
              <a:noFill/>
            </a:ln>
            <a:effectLst/>
          </c:spPr>
          <c:invertIfNegative val="0"/>
          <c:cat>
            <c:strRef>
              <c:f>'3. Instrum. política TIC'!$A$3:$A$10</c:f>
              <c:strCache>
                <c:ptCount val="8"/>
                <c:pt idx="0">
                  <c:v>Política de competencia en mercados digitales</c:v>
                </c:pt>
                <c:pt idx="1">
                  <c:v>Compartición de infraestructura entre sectores</c:v>
                </c:pt>
                <c:pt idx="2">
                  <c:v>Obligación de compartir infraestructura</c:v>
                </c:pt>
                <c:pt idx="3">
                  <c:v>Portabilidad de números móviles</c:v>
                </c:pt>
                <c:pt idx="4">
                  <c:v>Concesión de licencias unificada</c:v>
                </c:pt>
                <c:pt idx="5">
                  <c:v>Posición dominante en el mercado /Regulación PSM en las telecomunicaciones</c:v>
                </c:pt>
                <c:pt idx="6">
                  <c:v>INSTRUMENTOS PARA MERCADOS DIGITALES</c:v>
                </c:pt>
                <c:pt idx="7">
                  <c:v>INSTRUMENTOS PARA MERCADOS DE TELECOM/TIC </c:v>
                </c:pt>
              </c:strCache>
            </c:strRef>
          </c:cat>
          <c:val>
            <c:numRef>
              <c:f>'3. Instrum. política TIC'!$C$3:$C$10</c:f>
              <c:numCache>
                <c:formatCode>0%</c:formatCode>
                <c:ptCount val="8"/>
                <c:pt idx="0">
                  <c:v>0</c:v>
                </c:pt>
                <c:pt idx="1">
                  <c:v>0</c:v>
                </c:pt>
                <c:pt idx="2">
                  <c:v>0.5</c:v>
                </c:pt>
                <c:pt idx="3">
                  <c:v>0.5</c:v>
                </c:pt>
                <c:pt idx="4">
                  <c:v>0</c:v>
                </c:pt>
                <c:pt idx="5">
                  <c:v>1</c:v>
                </c:pt>
                <c:pt idx="6">
                  <c:v>0.33333333333333326</c:v>
                </c:pt>
                <c:pt idx="7">
                  <c:v>0.41176470588235292</c:v>
                </c:pt>
              </c:numCache>
            </c:numRef>
          </c:val>
          <c:extLst>
            <c:ext xmlns:c16="http://schemas.microsoft.com/office/drawing/2014/chart" uri="{C3380CC4-5D6E-409C-BE32-E72D297353CC}">
              <c16:uniqueId val="{00000000-197B-4F82-94FC-7DEB05E04A77}"/>
            </c:ext>
          </c:extLst>
        </c:ser>
        <c:ser>
          <c:idx val="2"/>
          <c:order val="1"/>
          <c:tx>
            <c:strRef>
              <c:f>'3. Instrum. política TIC'!$D$2</c:f>
              <c:strCache>
                <c:ptCount val="1"/>
                <c:pt idx="0">
                  <c:v>PEID</c:v>
                </c:pt>
              </c:strCache>
            </c:strRef>
          </c:tx>
          <c:spPr>
            <a:solidFill>
              <a:srgbClr val="A77BCA"/>
            </a:solidFill>
            <a:ln w="25400">
              <a:noFill/>
            </a:ln>
            <a:effectLst/>
          </c:spPr>
          <c:invertIfNegative val="0"/>
          <c:cat>
            <c:strRef>
              <c:f>'3. Instrum. política TIC'!$A$3:$A$10</c:f>
              <c:strCache>
                <c:ptCount val="8"/>
                <c:pt idx="0">
                  <c:v>Política de competencia en mercados digitales</c:v>
                </c:pt>
                <c:pt idx="1">
                  <c:v>Compartición de infraestructura entre sectores</c:v>
                </c:pt>
                <c:pt idx="2">
                  <c:v>Obligación de compartir infraestructura</c:v>
                </c:pt>
                <c:pt idx="3">
                  <c:v>Portabilidad de números móviles</c:v>
                </c:pt>
                <c:pt idx="4">
                  <c:v>Concesión de licencias unificada</c:v>
                </c:pt>
                <c:pt idx="5">
                  <c:v>Posición dominante en el mercado /Regulación PSM en las telecomunicaciones</c:v>
                </c:pt>
                <c:pt idx="6">
                  <c:v>INSTRUMENTOS PARA MERCADOS DIGITALES</c:v>
                </c:pt>
                <c:pt idx="7">
                  <c:v>INSTRUMENTOS PARA MERCADOS DE TELECOM/TIC </c:v>
                </c:pt>
              </c:strCache>
            </c:strRef>
          </c:cat>
          <c:val>
            <c:numRef>
              <c:f>'3. Instrum. política TIC'!$D$3:$D$10</c:f>
              <c:numCache>
                <c:formatCode>0%</c:formatCode>
                <c:ptCount val="8"/>
                <c:pt idx="0">
                  <c:v>0</c:v>
                </c:pt>
                <c:pt idx="1">
                  <c:v>0</c:v>
                </c:pt>
                <c:pt idx="2">
                  <c:v>0.75</c:v>
                </c:pt>
                <c:pt idx="3">
                  <c:v>0.25</c:v>
                </c:pt>
                <c:pt idx="4">
                  <c:v>0.5</c:v>
                </c:pt>
                <c:pt idx="5">
                  <c:v>0.4375</c:v>
                </c:pt>
                <c:pt idx="6">
                  <c:v>0.21419270833333334</c:v>
                </c:pt>
                <c:pt idx="7">
                  <c:v>0.49264705882352938</c:v>
                </c:pt>
              </c:numCache>
            </c:numRef>
          </c:val>
          <c:extLst>
            <c:ext xmlns:c16="http://schemas.microsoft.com/office/drawing/2014/chart" uri="{C3380CC4-5D6E-409C-BE32-E72D297353CC}">
              <c16:uniqueId val="{00000001-197B-4F82-94FC-7DEB05E04A77}"/>
            </c:ext>
          </c:extLst>
        </c:ser>
        <c:ser>
          <c:idx val="0"/>
          <c:order val="3"/>
          <c:tx>
            <c:strRef>
              <c:f>'3. Instrum. política TIC'!$B$2</c:f>
              <c:strCache>
                <c:ptCount val="1"/>
                <c:pt idx="0">
                  <c:v>Américas</c:v>
                </c:pt>
              </c:strCache>
            </c:strRef>
          </c:tx>
          <c:spPr>
            <a:solidFill>
              <a:srgbClr val="403A60"/>
            </a:solidFill>
            <a:ln>
              <a:noFill/>
            </a:ln>
            <a:effectLst/>
          </c:spPr>
          <c:invertIfNegative val="0"/>
          <c:cat>
            <c:strRef>
              <c:f>'3. Instrum. política TIC'!$A$3:$A$10</c:f>
              <c:strCache>
                <c:ptCount val="8"/>
                <c:pt idx="0">
                  <c:v>Política de competencia en mercados digitales</c:v>
                </c:pt>
                <c:pt idx="1">
                  <c:v>Compartición de infraestructura entre sectores</c:v>
                </c:pt>
                <c:pt idx="2">
                  <c:v>Obligación de compartir infraestructura</c:v>
                </c:pt>
                <c:pt idx="3">
                  <c:v>Portabilidad de números móviles</c:v>
                </c:pt>
                <c:pt idx="4">
                  <c:v>Concesión de licencias unificada</c:v>
                </c:pt>
                <c:pt idx="5">
                  <c:v>Posición dominante en el mercado /Regulación PSM en las telecomunicaciones</c:v>
                </c:pt>
                <c:pt idx="6">
                  <c:v>INSTRUMENTOS PARA MERCADOS DIGITALES</c:v>
                </c:pt>
                <c:pt idx="7">
                  <c:v>INSTRUMENTOS PARA MERCADOS DE TELECOM/TIC </c:v>
                </c:pt>
              </c:strCache>
            </c:strRef>
          </c:cat>
          <c:val>
            <c:numRef>
              <c:f>'3. Instrum. política TIC'!$B$3:$B$10</c:f>
              <c:numCache>
                <c:formatCode>0%</c:formatCode>
                <c:ptCount val="8"/>
                <c:pt idx="0">
                  <c:v>0.11428571428571428</c:v>
                </c:pt>
                <c:pt idx="1">
                  <c:v>0.17142857142857143</c:v>
                </c:pt>
                <c:pt idx="2">
                  <c:v>0.77142857142857146</c:v>
                </c:pt>
                <c:pt idx="3">
                  <c:v>0.48571428571428571</c:v>
                </c:pt>
                <c:pt idx="4">
                  <c:v>0.45714285714285713</c:v>
                </c:pt>
                <c:pt idx="5">
                  <c:v>0.82857142857142863</c:v>
                </c:pt>
                <c:pt idx="6">
                  <c:v>0.32321428571428573</c:v>
                </c:pt>
                <c:pt idx="7">
                  <c:v>0.57478991596638651</c:v>
                </c:pt>
              </c:numCache>
            </c:numRef>
          </c:val>
          <c:extLst>
            <c:ext xmlns:c16="http://schemas.microsoft.com/office/drawing/2014/chart" uri="{C3380CC4-5D6E-409C-BE32-E72D297353CC}">
              <c16:uniqueId val="{00000002-197B-4F82-94FC-7DEB05E04A77}"/>
            </c:ext>
          </c:extLst>
        </c:ser>
        <c:dLbls>
          <c:showLegendKey val="0"/>
          <c:showVal val="0"/>
          <c:showCatName val="0"/>
          <c:showSerName val="0"/>
          <c:showPercent val="0"/>
          <c:showBubbleSize val="0"/>
        </c:dLbls>
        <c:gapWidth val="150"/>
        <c:axId val="161476143"/>
        <c:axId val="161472783"/>
      </c:barChart>
      <c:barChart>
        <c:barDir val="bar"/>
        <c:grouping val="clustered"/>
        <c:varyColors val="0"/>
        <c:ser>
          <c:idx val="3"/>
          <c:order val="2"/>
          <c:tx>
            <c:strRef>
              <c:f>'3. Instrum. política TIC'!$E$2</c:f>
              <c:strCache>
                <c:ptCount val="1"/>
                <c:pt idx="0">
                  <c:v>Mundo</c:v>
                </c:pt>
              </c:strCache>
            </c:strRef>
          </c:tx>
          <c:spPr>
            <a:noFill/>
            <a:ln>
              <a:noFill/>
              <a:prstDash val="sysDot"/>
            </a:ln>
            <a:effectLst>
              <a:outerShdw dist="25400" algn="ctr" rotWithShape="0">
                <a:srgbClr val="00A0DF"/>
              </a:outerShdw>
            </a:effectLst>
          </c:spPr>
          <c:invertIfNegative val="0"/>
          <c:cat>
            <c:strRef>
              <c:f>'3. Instrum. política TIC'!$A$3:$A$10</c:f>
              <c:strCache>
                <c:ptCount val="8"/>
                <c:pt idx="0">
                  <c:v>Política de competencia en mercados digitales</c:v>
                </c:pt>
                <c:pt idx="1">
                  <c:v>Compartición de infraestructura entre sectores</c:v>
                </c:pt>
                <c:pt idx="2">
                  <c:v>Obligación de compartir infraestructura</c:v>
                </c:pt>
                <c:pt idx="3">
                  <c:v>Portabilidad de números móviles</c:v>
                </c:pt>
                <c:pt idx="4">
                  <c:v>Concesión de licencias unificada</c:v>
                </c:pt>
                <c:pt idx="5">
                  <c:v>Posición dominante en el mercado /Regulación PSM en las telecomunicaciones</c:v>
                </c:pt>
                <c:pt idx="6">
                  <c:v>INSTRUMENTOS PARA MERCADOS DIGITALES</c:v>
                </c:pt>
                <c:pt idx="7">
                  <c:v>INSTRUMENTOS PARA MERCADOS DE TELECOM/TIC </c:v>
                </c:pt>
              </c:strCache>
            </c:strRef>
          </c:cat>
          <c:val>
            <c:numRef>
              <c:f>'3. Instrum. política TIC'!$E$3:$E$10</c:f>
              <c:numCache>
                <c:formatCode>0%</c:formatCode>
                <c:ptCount val="8"/>
                <c:pt idx="0">
                  <c:v>0.22279792746113988</c:v>
                </c:pt>
                <c:pt idx="1">
                  <c:v>0.24352331606217617</c:v>
                </c:pt>
                <c:pt idx="2">
                  <c:v>0.68393782383419688</c:v>
                </c:pt>
                <c:pt idx="3">
                  <c:v>0.47150259067357514</c:v>
                </c:pt>
                <c:pt idx="4">
                  <c:v>0.56476683937823835</c:v>
                </c:pt>
                <c:pt idx="5">
                  <c:v>0.7098445595854922</c:v>
                </c:pt>
                <c:pt idx="6">
                  <c:v>0.38568652849740931</c:v>
                </c:pt>
                <c:pt idx="7">
                  <c:v>0.59219750076196287</c:v>
                </c:pt>
              </c:numCache>
            </c:numRef>
          </c:val>
          <c:extLst>
            <c:ext xmlns:c16="http://schemas.microsoft.com/office/drawing/2014/chart" uri="{C3380CC4-5D6E-409C-BE32-E72D297353CC}">
              <c16:uniqueId val="{00000003-197B-4F82-94FC-7DEB05E04A77}"/>
            </c:ext>
          </c:extLst>
        </c:ser>
        <c:dLbls>
          <c:showLegendKey val="0"/>
          <c:showVal val="0"/>
          <c:showCatName val="0"/>
          <c:showSerName val="0"/>
          <c:showPercent val="0"/>
          <c:showBubbleSize val="0"/>
        </c:dLbls>
        <c:gapWidth val="200"/>
        <c:axId val="238774319"/>
        <c:axId val="238770959"/>
      </c:barChart>
      <c:catAx>
        <c:axId val="161476143"/>
        <c:scaling>
          <c:orientation val="minMax"/>
        </c:scaling>
        <c:delete val="0"/>
        <c:axPos val="l"/>
        <c:numFmt formatCode="General" sourceLinked="1"/>
        <c:majorTickMark val="none"/>
        <c:minorTickMark val="none"/>
        <c:tickLblPos val="nextTo"/>
        <c:spPr>
          <a:noFill/>
          <a:ln w="12700" cap="flat" cmpd="sng" algn="ctr">
            <a:solidFill>
              <a:schemeClr val="tx1"/>
            </a:solidFill>
            <a:round/>
          </a:ln>
          <a:effectLst/>
        </c:spPr>
        <c:txPr>
          <a:bodyPr rot="0" spcFirstLastPara="1" vertOverflow="ellipsis" wrap="square" anchor="ctr" anchorCtr="1"/>
          <a:lstStyle/>
          <a:p>
            <a:pPr>
              <a:defRPr sz="900" b="0" i="0" u="none" strike="noStrike" kern="1200" baseline="0">
                <a:solidFill>
                  <a:schemeClr val="tx1">
                    <a:lumMod val="85000"/>
                    <a:lumOff val="15000"/>
                  </a:schemeClr>
                </a:solidFill>
                <a:latin typeface="Avenir Next LT Pro Demi" panose="020B0704020202020204" pitchFamily="34" charset="0"/>
                <a:ea typeface="+mn-ea"/>
                <a:cs typeface="+mn-cs"/>
              </a:defRPr>
            </a:pPr>
            <a:endParaRPr lang="en-US"/>
          </a:p>
        </c:txPr>
        <c:crossAx val="161472783"/>
        <c:crosses val="autoZero"/>
        <c:auto val="1"/>
        <c:lblAlgn val="ctr"/>
        <c:lblOffset val="100"/>
        <c:noMultiLvlLbl val="0"/>
      </c:catAx>
      <c:valAx>
        <c:axId val="161472783"/>
        <c:scaling>
          <c:orientation val="minMax"/>
        </c:scaling>
        <c:delete val="0"/>
        <c:axPos val="b"/>
        <c:majorGridlines>
          <c:spPr>
            <a:ln w="6350"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venir Next LT Pro Demi" panose="020B0704020202020204" pitchFamily="34" charset="0"/>
                <a:ea typeface="+mn-ea"/>
                <a:cs typeface="+mn-cs"/>
              </a:defRPr>
            </a:pPr>
            <a:endParaRPr lang="en-US"/>
          </a:p>
        </c:txPr>
        <c:crossAx val="161476143"/>
        <c:crosses val="autoZero"/>
        <c:crossBetween val="between"/>
        <c:majorUnit val="0.2"/>
      </c:valAx>
      <c:valAx>
        <c:axId val="238770959"/>
        <c:scaling>
          <c:orientation val="minMax"/>
        </c:scaling>
        <c:delete val="1"/>
        <c:axPos val="t"/>
        <c:numFmt formatCode="0%" sourceLinked="1"/>
        <c:majorTickMark val="out"/>
        <c:minorTickMark val="none"/>
        <c:tickLblPos val="nextTo"/>
        <c:crossAx val="238774319"/>
        <c:crosses val="max"/>
        <c:crossBetween val="between"/>
      </c:valAx>
      <c:catAx>
        <c:axId val="238774319"/>
        <c:scaling>
          <c:orientation val="minMax"/>
        </c:scaling>
        <c:delete val="1"/>
        <c:axPos val="l"/>
        <c:numFmt formatCode="General" sourceLinked="1"/>
        <c:majorTickMark val="out"/>
        <c:minorTickMark val="none"/>
        <c:tickLblPos val="nextTo"/>
        <c:crossAx val="238770959"/>
        <c:crosses val="autoZero"/>
        <c:auto val="1"/>
        <c:lblAlgn val="ctr"/>
        <c:lblOffset val="100"/>
        <c:noMultiLvlLbl val="0"/>
      </c:cat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venir Next LT Pro Demi" panose="020B07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venir Next LT Pro Demi" panose="020B0704020202020204" pitchFamily="34" charset="0"/>
        </a:defRPr>
      </a:pPr>
      <a:endParaRPr lang="en-US"/>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'23. Tráfico fijo mensual GB'!$E$39</c:f>
              <c:strCache>
                <c:ptCount val="1"/>
                <c:pt idx="0">
                  <c:v>2023 o último año disponible</c:v>
                </c:pt>
              </c:strCache>
            </c:strRef>
          </c:tx>
          <c:spPr>
            <a:solidFill>
              <a:srgbClr val="A77BCA"/>
            </a:solidFill>
            <a:ln>
              <a:noFill/>
            </a:ln>
            <a:effectLst/>
          </c:spPr>
          <c:invertIfNegative val="0"/>
          <c:dLbls>
            <c:dLbl>
              <c:idx val="0"/>
              <c:tx>
                <c:rich>
                  <a:bodyPr/>
                  <a:lstStyle/>
                  <a:p>
                    <a:fld id="{1BE3E40E-E0AC-40C3-9123-4B3CF6A33C72}"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028C-47A4-A3B5-B9488475BFF2}"/>
                </c:ext>
              </c:extLst>
            </c:dLbl>
            <c:dLbl>
              <c:idx val="1"/>
              <c:tx>
                <c:rich>
                  <a:bodyPr/>
                  <a:lstStyle/>
                  <a:p>
                    <a:fld id="{50542722-7916-48E4-AB90-EA5CA2391285}"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028C-47A4-A3B5-B9488475BFF2}"/>
                </c:ext>
              </c:extLst>
            </c:dLbl>
            <c:dLbl>
              <c:idx val="2"/>
              <c:tx>
                <c:rich>
                  <a:bodyPr/>
                  <a:lstStyle/>
                  <a:p>
                    <a:fld id="{F3B5CDCE-6DE2-4A5E-BCEB-63694D1625C6}"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028C-47A4-A3B5-B9488475BFF2}"/>
                </c:ext>
              </c:extLst>
            </c:dLbl>
            <c:dLbl>
              <c:idx val="3"/>
              <c:tx>
                <c:rich>
                  <a:bodyPr/>
                  <a:lstStyle/>
                  <a:p>
                    <a:fld id="{9DBA81B5-312D-43CF-B246-145B532876C6}"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028C-47A4-A3B5-B9488475BFF2}"/>
                </c:ext>
              </c:extLst>
            </c:dLbl>
            <c:dLbl>
              <c:idx val="4"/>
              <c:tx>
                <c:rich>
                  <a:bodyPr/>
                  <a:lstStyle/>
                  <a:p>
                    <a:fld id="{F0ADE49E-F2B7-4EAB-8E8E-CC326B1A74C1}"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028C-47A4-A3B5-B9488475BFF2}"/>
                </c:ext>
              </c:extLst>
            </c:dLbl>
            <c:dLbl>
              <c:idx val="5"/>
              <c:tx>
                <c:rich>
                  <a:bodyPr/>
                  <a:lstStyle/>
                  <a:p>
                    <a:fld id="{2134DF99-E559-4FE0-9658-37AD751370C4}"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028C-47A4-A3B5-B9488475BFF2}"/>
                </c:ext>
              </c:extLst>
            </c:dLbl>
            <c:dLbl>
              <c:idx val="6"/>
              <c:tx>
                <c:rich>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venir Next LT Pro Demi" panose="020B0704020202020204" pitchFamily="34" charset="0"/>
                        <a:ea typeface="+mn-ea"/>
                        <a:cs typeface="+mn-cs"/>
                      </a:defRPr>
                    </a:pPr>
                    <a:fld id="{BC546288-7DFA-46C5-A4CA-9BD2EEF327C2}" type="CELLRANGE">
                      <a:rPr lang="en-GB"/>
                      <a:pPr>
                        <a:defRPr sz="600"/>
                      </a:pPr>
                      <a:t>[CELLRANGE]</a:t>
                    </a:fld>
                    <a:endParaRPr lang="en-GB"/>
                  </a:p>
                </c:rich>
              </c:tx>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GB"/>
                </a:p>
              </c:txPr>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028C-47A4-A3B5-B9488475BFF2}"/>
                </c:ext>
              </c:extLst>
            </c:dLbl>
            <c:dLbl>
              <c:idx val="7"/>
              <c:tx>
                <c:rich>
                  <a:bodyPr/>
                  <a:lstStyle/>
                  <a:p>
                    <a:fld id="{29D70F98-0215-4000-9C43-EA86E4914AE9}"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028C-47A4-A3B5-B9488475BFF2}"/>
                </c:ext>
              </c:extLst>
            </c:dLbl>
            <c:dLbl>
              <c:idx val="8"/>
              <c:tx>
                <c:rich>
                  <a:bodyPr/>
                  <a:lstStyle/>
                  <a:p>
                    <a:fld id="{B668D445-72D5-4221-83B6-15F7A3072E67}"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028C-47A4-A3B5-B9488475BFF2}"/>
                </c:ext>
              </c:extLst>
            </c:dLbl>
            <c:dLbl>
              <c:idx val="9"/>
              <c:tx>
                <c:rich>
                  <a:bodyPr/>
                  <a:lstStyle/>
                  <a:p>
                    <a:fld id="{CAB361F6-1AD8-4944-A8EC-081D131725E0}"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028C-47A4-A3B5-B9488475BFF2}"/>
                </c:ext>
              </c:extLst>
            </c:dLbl>
            <c:dLbl>
              <c:idx val="10"/>
              <c:tx>
                <c:rich>
                  <a:bodyPr/>
                  <a:lstStyle/>
                  <a:p>
                    <a:fld id="{DBC398AC-4257-4FA0-9EEA-A12164FED6D6}"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028C-47A4-A3B5-B9488475BFF2}"/>
                </c:ext>
              </c:extLst>
            </c:dLbl>
            <c:dLbl>
              <c:idx val="11"/>
              <c:tx>
                <c:rich>
                  <a:bodyPr/>
                  <a:lstStyle/>
                  <a:p>
                    <a:fld id="{6F58D19F-71B9-4066-B151-ACCBAF5985EC}"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028C-47A4-A3B5-B9488475BFF2}"/>
                </c:ext>
              </c:extLst>
            </c:dLbl>
            <c:dLbl>
              <c:idx val="12"/>
              <c:tx>
                <c:rich>
                  <a:bodyPr/>
                  <a:lstStyle/>
                  <a:p>
                    <a:fld id="{4EB0B68F-619F-4507-80C9-9541156E5523}"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028C-47A4-A3B5-B9488475BFF2}"/>
                </c:ext>
              </c:extLst>
            </c:dLbl>
            <c:dLbl>
              <c:idx val="13"/>
              <c:tx>
                <c:rich>
                  <a:bodyPr/>
                  <a:lstStyle/>
                  <a:p>
                    <a:fld id="{54A63963-A9AE-466D-9C1E-F0FACAC660CE}"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028C-47A4-A3B5-B9488475BFF2}"/>
                </c:ext>
              </c:extLst>
            </c:dLbl>
            <c:dLbl>
              <c:idx val="14"/>
              <c:tx>
                <c:rich>
                  <a:bodyPr/>
                  <a:lstStyle/>
                  <a:p>
                    <a:fld id="{9787314A-2BDC-46AF-969B-C5391921D8A7}"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028C-47A4-A3B5-B9488475BFF2}"/>
                </c:ext>
              </c:extLst>
            </c:dLbl>
            <c:dLbl>
              <c:idx val="15"/>
              <c:tx>
                <c:rich>
                  <a:bodyPr/>
                  <a:lstStyle/>
                  <a:p>
                    <a:fld id="{4CB2CE95-F1EE-4A51-B12D-77724AF9BEE3}"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028C-47A4-A3B5-B9488475BFF2}"/>
                </c:ext>
              </c:extLst>
            </c:dLbl>
            <c:dLbl>
              <c:idx val="16"/>
              <c:tx>
                <c:rich>
                  <a:bodyPr/>
                  <a:lstStyle/>
                  <a:p>
                    <a:fld id="{FBF2C7E0-5BDF-4FD6-87AE-FFEE774FAAA7}"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028C-47A4-A3B5-B9488475BFF2}"/>
                </c:ext>
              </c:extLst>
            </c:dLbl>
            <c:dLbl>
              <c:idx val="17"/>
              <c:tx>
                <c:rich>
                  <a:bodyPr/>
                  <a:lstStyle/>
                  <a:p>
                    <a:fld id="{3DF75F00-2F32-4562-A651-EFBF3CBB3A40}"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028C-47A4-A3B5-B9488475BFF2}"/>
                </c:ext>
              </c:extLst>
            </c:dLbl>
            <c:dLbl>
              <c:idx val="18"/>
              <c:tx>
                <c:rich>
                  <a:bodyPr/>
                  <a:lstStyle/>
                  <a:p>
                    <a:fld id="{946B6801-4A3F-4CF5-8B48-2C7600190586}"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028C-47A4-A3B5-B9488475BFF2}"/>
                </c:ext>
              </c:extLst>
            </c:dLbl>
            <c:dLbl>
              <c:idx val="19"/>
              <c:tx>
                <c:rich>
                  <a:bodyPr/>
                  <a:lstStyle/>
                  <a:p>
                    <a:fld id="{1A1505D0-79B2-4E9B-8B60-C1DBC5606763}"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028C-47A4-A3B5-B9488475BFF2}"/>
                </c:ext>
              </c:extLst>
            </c:dLbl>
            <c:dLbl>
              <c:idx val="20"/>
              <c:tx>
                <c:rich>
                  <a:bodyPr/>
                  <a:lstStyle/>
                  <a:p>
                    <a:fld id="{E0B419BB-AFD0-4FD6-9401-2A10B2EDA0AA}"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028C-47A4-A3B5-B9488475BFF2}"/>
                </c:ext>
              </c:extLst>
            </c:dLbl>
            <c:dLbl>
              <c:idx val="21"/>
              <c:tx>
                <c:rich>
                  <a:bodyPr/>
                  <a:lstStyle/>
                  <a:p>
                    <a:fld id="{8737040E-F065-4207-B73C-FD82492D9805}"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028C-47A4-A3B5-B9488475BFF2}"/>
                </c:ext>
              </c:extLst>
            </c:dLbl>
            <c:dLbl>
              <c:idx val="22"/>
              <c:tx>
                <c:rich>
                  <a:bodyPr/>
                  <a:lstStyle/>
                  <a:p>
                    <a:fld id="{7B7A489C-52AC-4A98-A04C-9C980994D25C}"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028C-47A4-A3B5-B9488475BFF2}"/>
                </c:ext>
              </c:extLst>
            </c:dLbl>
            <c:dLbl>
              <c:idx val="23"/>
              <c:tx>
                <c:rich>
                  <a:bodyPr/>
                  <a:lstStyle/>
                  <a:p>
                    <a:fld id="{F2B5D5D6-2CC0-443E-8277-29C833790F38}"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028C-47A4-A3B5-B9488475BFF2}"/>
                </c:ext>
              </c:extLst>
            </c:dLbl>
            <c:dLbl>
              <c:idx val="24"/>
              <c:tx>
                <c:rich>
                  <a:bodyPr/>
                  <a:lstStyle/>
                  <a:p>
                    <a:fld id="{9DA9AB16-82B1-4EB1-8B3A-6B0F8713DF69}"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028C-47A4-A3B5-B9488475BFF2}"/>
                </c:ext>
              </c:extLst>
            </c:dLbl>
            <c:dLbl>
              <c:idx val="25"/>
              <c:tx>
                <c:rich>
                  <a:bodyPr/>
                  <a:lstStyle/>
                  <a:p>
                    <a:fld id="{4E7326F1-88A8-46F5-9F37-05884640DE7F}"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028C-47A4-A3B5-B9488475BFF2}"/>
                </c:ext>
              </c:extLst>
            </c:dLbl>
            <c:dLbl>
              <c:idx val="26"/>
              <c:tx>
                <c:rich>
                  <a:bodyPr/>
                  <a:lstStyle/>
                  <a:p>
                    <a:fld id="{548FBF2F-AB6F-4DE7-B0B1-457676F022EC}"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028C-47A4-A3B5-B9488475BFF2}"/>
                </c:ext>
              </c:extLst>
            </c:dLbl>
            <c:dLbl>
              <c:idx val="27"/>
              <c:tx>
                <c:rich>
                  <a:bodyPr/>
                  <a:lstStyle/>
                  <a:p>
                    <a:endParaRPr lang="en-GB"/>
                  </a:p>
                </c:rich>
              </c:tx>
              <c:dLblPos val="outEnd"/>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B-028C-47A4-A3B5-B9488475BFF2}"/>
                </c:ext>
              </c:extLst>
            </c:dLbl>
            <c:dLbl>
              <c:idx val="28"/>
              <c:tx>
                <c:rich>
                  <a:bodyPr/>
                  <a:lstStyle/>
                  <a:p>
                    <a:endParaRPr lang="en-GB"/>
                  </a:p>
                </c:rich>
              </c:tx>
              <c:dLblPos val="outEnd"/>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C-028C-47A4-A3B5-B9488475BFF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'23. Tráfico fijo mensual GB'!$C$40:$C$68</c:f>
              <c:strCache>
                <c:ptCount val="29"/>
                <c:pt idx="0">
                  <c:v>Granada (2020)</c:v>
                </c:pt>
                <c:pt idx="1">
                  <c:v>Rep. Dominicana (2020)</c:v>
                </c:pt>
                <c:pt idx="2">
                  <c:v>Santa Lucía (2020)</c:v>
                </c:pt>
                <c:pt idx="3">
                  <c:v>San Vicente (2020)</c:v>
                </c:pt>
                <c:pt idx="4">
                  <c:v>Paraguay (2020)</c:v>
                </c:pt>
                <c:pt idx="5">
                  <c:v>Barbados (2021)</c:v>
                </c:pt>
                <c:pt idx="6">
                  <c:v>Ucrania</c:v>
                </c:pt>
                <c:pt idx="7">
                  <c:v>Guatemala</c:v>
                </c:pt>
                <c:pt idx="8">
                  <c:v>Argentina</c:v>
                </c:pt>
                <c:pt idx="9">
                  <c:v>Nicaragua</c:v>
                </c:pt>
                <c:pt idx="10">
                  <c:v>Brasil</c:v>
                </c:pt>
                <c:pt idx="11">
                  <c:v>Suriname</c:v>
                </c:pt>
                <c:pt idx="12">
                  <c:v>México</c:v>
                </c:pt>
                <c:pt idx="13">
                  <c:v>Ecuador</c:v>
                </c:pt>
                <c:pt idx="14">
                  <c:v>Canadá</c:v>
                </c:pt>
                <c:pt idx="15">
                  <c:v>Costa Rica</c:v>
                </c:pt>
                <c:pt idx="16">
                  <c:v>Colombia</c:v>
                </c:pt>
                <c:pt idx="17">
                  <c:v>Cuba</c:v>
                </c:pt>
                <c:pt idx="18">
                  <c:v>Rep. Dominicana (2022)</c:v>
                </c:pt>
                <c:pt idx="19">
                  <c:v>Bahamas</c:v>
                </c:pt>
                <c:pt idx="20">
                  <c:v>Trinidad y Tobago</c:v>
                </c:pt>
                <c:pt idx="21">
                  <c:v>Honduras</c:v>
                </c:pt>
                <c:pt idx="22">
                  <c:v>Estados Unidos</c:v>
                </c:pt>
                <c:pt idx="23">
                  <c:v>Uruguay</c:v>
                </c:pt>
                <c:pt idx="24">
                  <c:v>Perú</c:v>
                </c:pt>
                <c:pt idx="25">
                  <c:v>Jamaica</c:v>
                </c:pt>
                <c:pt idx="26">
                  <c:v>Chile</c:v>
                </c:pt>
                <c:pt idx="27">
                  <c:v>Belice</c:v>
                </c:pt>
                <c:pt idx="28">
                  <c:v>El Salvador</c:v>
                </c:pt>
              </c:strCache>
              <c:extLst/>
            </c:strRef>
          </c:cat>
          <c:val>
            <c:numRef>
              <c:f>'23. Tráfico fijo mensual GB'!$E$40:$E$68</c:f>
              <c:numCache>
                <c:formatCode>0</c:formatCode>
                <c:ptCount val="29"/>
                <c:pt idx="0" formatCode="0.0">
                  <c:v>0.74775942122880912</c:v>
                </c:pt>
                <c:pt idx="1">
                  <c:v>1.5381634676038585</c:v>
                </c:pt>
                <c:pt idx="2">
                  <c:v>1.8925720873908498</c:v>
                </c:pt>
                <c:pt idx="3">
                  <c:v>2.1302382691350998</c:v>
                </c:pt>
                <c:pt idx="4">
                  <c:v>2.8927423723643169</c:v>
                </c:pt>
                <c:pt idx="5">
                  <c:v>3.1734682749911163</c:v>
                </c:pt>
                <c:pt idx="6">
                  <c:v>3.3062682676570248</c:v>
                </c:pt>
                <c:pt idx="7">
                  <c:v>3.8037948651339999</c:v>
                </c:pt>
                <c:pt idx="8">
                  <c:v>4.6887563984799003</c:v>
                </c:pt>
                <c:pt idx="9">
                  <c:v>4.8050420093743584</c:v>
                </c:pt>
                <c:pt idx="10">
                  <c:v>5.1382206124828915</c:v>
                </c:pt>
                <c:pt idx="11">
                  <c:v>5.3633483581155916</c:v>
                </c:pt>
                <c:pt idx="12">
                  <c:v>5.7650655242632416</c:v>
                </c:pt>
                <c:pt idx="13">
                  <c:v>6.0572100182288997</c:v>
                </c:pt>
                <c:pt idx="14">
                  <c:v>6.5327843435564921</c:v>
                </c:pt>
                <c:pt idx="15">
                  <c:v>6.6950531441004415</c:v>
                </c:pt>
                <c:pt idx="16">
                  <c:v>7.3411867718043249</c:v>
                </c:pt>
                <c:pt idx="17">
                  <c:v>8.1223120238242004</c:v>
                </c:pt>
                <c:pt idx="18">
                  <c:v>9.7373601917075003</c:v>
                </c:pt>
                <c:pt idx="19">
                  <c:v>11.719173568884584</c:v>
                </c:pt>
                <c:pt idx="20">
                  <c:v>11.745008223978667</c:v>
                </c:pt>
                <c:pt idx="21">
                  <c:v>12.510182338282917</c:v>
                </c:pt>
                <c:pt idx="22">
                  <c:v>13.1604099577985</c:v>
                </c:pt>
                <c:pt idx="23">
                  <c:v>14.412922259936167</c:v>
                </c:pt>
                <c:pt idx="24">
                  <c:v>16.375024924375751</c:v>
                </c:pt>
                <c:pt idx="25">
                  <c:v>18.74312127449225</c:v>
                </c:pt>
                <c:pt idx="26">
                  <c:v>23.156430066217251</c:v>
                </c:pt>
              </c:numCache>
              <c:extLst/>
            </c:numRef>
          </c:val>
          <c:extLst>
            <c:ext xmlns:c15="http://schemas.microsoft.com/office/drawing/2012/chart" uri="{02D57815-91ED-43cb-92C2-25804820EDAC}">
              <c15:datalabelsRange>
                <c15:f>'23. Tráfico fijo mensual GB'!$I$40:$I$73</c15:f>
                <c15:dlblRangeCache>
                  <c:ptCount val="34"/>
                  <c:pt idx="31">
                    <c:v>N/A</c:v>
                  </c:pt>
                </c15:dlblRangeCache>
              </c15:datalabelsRange>
            </c:ext>
            <c:ext xmlns:c16="http://schemas.microsoft.com/office/drawing/2014/chart" uri="{C3380CC4-5D6E-409C-BE32-E72D297353CC}">
              <c16:uniqueId val="{0000001D-028C-47A4-A3B5-B9488475BFF2}"/>
            </c:ext>
          </c:extLst>
        </c:ser>
        <c:dLbls>
          <c:dLblPos val="outEnd"/>
          <c:showLegendKey val="0"/>
          <c:showVal val="1"/>
          <c:showCatName val="0"/>
          <c:showSerName val="0"/>
          <c:showPercent val="0"/>
          <c:showBubbleSize val="0"/>
        </c:dLbls>
        <c:gapWidth val="219"/>
        <c:overlap val="-27"/>
        <c:axId val="1942888335"/>
        <c:axId val="1892808655"/>
      </c:barChart>
      <c:lineChart>
        <c:grouping val="standard"/>
        <c:varyColors val="0"/>
        <c:ser>
          <c:idx val="2"/>
          <c:order val="1"/>
          <c:tx>
            <c:strRef>
              <c:f>'23. Tráfico fijo mensual GB'!$H$39</c:f>
              <c:strCache>
                <c:ptCount val="1"/>
                <c:pt idx="0">
                  <c:v>Media regional 2023</c:v>
                </c:pt>
              </c:strCache>
            </c:strRef>
          </c:tx>
          <c:spPr>
            <a:ln w="28575" cap="rnd">
              <a:solidFill>
                <a:srgbClr val="A77BCA"/>
              </a:solidFill>
              <a:prstDash val="sysDot"/>
              <a:round/>
            </a:ln>
            <a:effectLst/>
          </c:spPr>
          <c:marker>
            <c:symbol val="none"/>
          </c:marker>
          <c:cat>
            <c:strRef>
              <c:f>'23. Tráfico fijo mensual GB'!$C$40:$C$68</c:f>
              <c:strCache>
                <c:ptCount val="29"/>
                <c:pt idx="0">
                  <c:v>Granada (2020)</c:v>
                </c:pt>
                <c:pt idx="1">
                  <c:v>Rep. Dominicana (2020)</c:v>
                </c:pt>
                <c:pt idx="2">
                  <c:v>Santa Lucía (2020)</c:v>
                </c:pt>
                <c:pt idx="3">
                  <c:v>San Vicente (2020)</c:v>
                </c:pt>
                <c:pt idx="4">
                  <c:v>Paraguay (2020)</c:v>
                </c:pt>
                <c:pt idx="5">
                  <c:v>Barbados (2021)</c:v>
                </c:pt>
                <c:pt idx="6">
                  <c:v>Ucrania</c:v>
                </c:pt>
                <c:pt idx="7">
                  <c:v>Guatemala</c:v>
                </c:pt>
                <c:pt idx="8">
                  <c:v>Argentina</c:v>
                </c:pt>
                <c:pt idx="9">
                  <c:v>Nicaragua</c:v>
                </c:pt>
                <c:pt idx="10">
                  <c:v>Brasil</c:v>
                </c:pt>
                <c:pt idx="11">
                  <c:v>Suriname</c:v>
                </c:pt>
                <c:pt idx="12">
                  <c:v>México</c:v>
                </c:pt>
                <c:pt idx="13">
                  <c:v>Ecuador</c:v>
                </c:pt>
                <c:pt idx="14">
                  <c:v>Canadá</c:v>
                </c:pt>
                <c:pt idx="15">
                  <c:v>Costa Rica</c:v>
                </c:pt>
                <c:pt idx="16">
                  <c:v>Colombia</c:v>
                </c:pt>
                <c:pt idx="17">
                  <c:v>Cuba</c:v>
                </c:pt>
                <c:pt idx="18">
                  <c:v>Rep. Dominicana (2022)</c:v>
                </c:pt>
                <c:pt idx="19">
                  <c:v>Bahamas</c:v>
                </c:pt>
                <c:pt idx="20">
                  <c:v>Trinidad y Tobago</c:v>
                </c:pt>
                <c:pt idx="21">
                  <c:v>Honduras</c:v>
                </c:pt>
                <c:pt idx="22">
                  <c:v>Estados Unidos</c:v>
                </c:pt>
                <c:pt idx="23">
                  <c:v>Uruguay</c:v>
                </c:pt>
                <c:pt idx="24">
                  <c:v>Perú</c:v>
                </c:pt>
                <c:pt idx="25">
                  <c:v>Jamaica</c:v>
                </c:pt>
                <c:pt idx="26">
                  <c:v>Chile</c:v>
                </c:pt>
                <c:pt idx="27">
                  <c:v>Belice</c:v>
                </c:pt>
                <c:pt idx="28">
                  <c:v>El Salvador</c:v>
                </c:pt>
              </c:strCache>
              <c:extLst/>
            </c:strRef>
          </c:cat>
          <c:val>
            <c:numRef>
              <c:f>'23. Tráfico fijo mensual GB'!$H$40:$H$68</c:f>
              <c:numCache>
                <c:formatCode>0.0</c:formatCode>
                <c:ptCount val="29"/>
                <c:pt idx="0">
                  <c:v>10.108333333333333</c:v>
                </c:pt>
                <c:pt idx="1">
                  <c:v>10.108333333333333</c:v>
                </c:pt>
                <c:pt idx="2">
                  <c:v>10.108333333333333</c:v>
                </c:pt>
                <c:pt idx="3">
                  <c:v>10.108333333333333</c:v>
                </c:pt>
                <c:pt idx="4">
                  <c:v>10.108333333333333</c:v>
                </c:pt>
                <c:pt idx="5">
                  <c:v>10.108333333333333</c:v>
                </c:pt>
                <c:pt idx="6">
                  <c:v>10.108333333333333</c:v>
                </c:pt>
                <c:pt idx="7">
                  <c:v>10.108333333333333</c:v>
                </c:pt>
                <c:pt idx="8">
                  <c:v>10.108333333333333</c:v>
                </c:pt>
                <c:pt idx="9">
                  <c:v>10.108333333333333</c:v>
                </c:pt>
                <c:pt idx="10">
                  <c:v>10.108333333333333</c:v>
                </c:pt>
                <c:pt idx="11">
                  <c:v>10.108333333333333</c:v>
                </c:pt>
                <c:pt idx="12">
                  <c:v>10.108333333333333</c:v>
                </c:pt>
                <c:pt idx="13">
                  <c:v>10.108333333333333</c:v>
                </c:pt>
                <c:pt idx="14">
                  <c:v>10.108333333333333</c:v>
                </c:pt>
                <c:pt idx="15">
                  <c:v>10.108333333333333</c:v>
                </c:pt>
                <c:pt idx="16">
                  <c:v>10.108333333333333</c:v>
                </c:pt>
                <c:pt idx="17">
                  <c:v>10.108333333333333</c:v>
                </c:pt>
                <c:pt idx="18">
                  <c:v>10.108333333333333</c:v>
                </c:pt>
                <c:pt idx="19">
                  <c:v>10.108333333333333</c:v>
                </c:pt>
                <c:pt idx="20">
                  <c:v>10.108333333333333</c:v>
                </c:pt>
                <c:pt idx="21">
                  <c:v>10.108333333333333</c:v>
                </c:pt>
                <c:pt idx="22">
                  <c:v>10.108333333333333</c:v>
                </c:pt>
                <c:pt idx="23">
                  <c:v>10.108333333333333</c:v>
                </c:pt>
                <c:pt idx="24">
                  <c:v>10.108333333333333</c:v>
                </c:pt>
                <c:pt idx="25">
                  <c:v>10.108333333333333</c:v>
                </c:pt>
                <c:pt idx="26">
                  <c:v>10.108333333333333</c:v>
                </c:pt>
                <c:pt idx="27">
                  <c:v>10.108333333333333</c:v>
                </c:pt>
                <c:pt idx="28">
                  <c:v>10.108333333333333</c:v>
                </c:pt>
              </c:numCache>
              <c:extLst/>
            </c:numRef>
          </c:val>
          <c:smooth val="0"/>
          <c:extLst>
            <c:ext xmlns:c16="http://schemas.microsoft.com/office/drawing/2014/chart" uri="{C3380CC4-5D6E-409C-BE32-E72D297353CC}">
              <c16:uniqueId val="{0000001E-028C-47A4-A3B5-B9488475BFF2}"/>
            </c:ext>
          </c:extLst>
        </c:ser>
        <c:ser>
          <c:idx val="1"/>
          <c:order val="2"/>
          <c:tx>
            <c:strRef>
              <c:f>'23. Tráfico fijo mensual GB'!$F$39</c:f>
              <c:strCache>
                <c:ptCount val="1"/>
                <c:pt idx="0">
                  <c:v>2018</c:v>
                </c:pt>
              </c:strCache>
            </c:strRef>
          </c:tx>
          <c:spPr>
            <a:ln w="28575" cap="rnd">
              <a:noFill/>
              <a:round/>
            </a:ln>
            <a:effectLst/>
          </c:spPr>
          <c:marker>
            <c:symbol val="dash"/>
            <c:size val="3"/>
            <c:spPr>
              <a:solidFill>
                <a:sysClr val="windowText" lastClr="000000"/>
              </a:solidFill>
              <a:ln w="9525">
                <a:solidFill>
                  <a:sysClr val="windowText" lastClr="000000"/>
                </a:solidFill>
              </a:ln>
              <a:effectLst/>
            </c:spPr>
          </c:marker>
          <c:cat>
            <c:strRef>
              <c:f>'23. Tráfico fijo mensual GB'!$C$40:$C$68</c:f>
              <c:strCache>
                <c:ptCount val="29"/>
                <c:pt idx="0">
                  <c:v>Granada (2020)</c:v>
                </c:pt>
                <c:pt idx="1">
                  <c:v>Rep. Dominicana (2020)</c:v>
                </c:pt>
                <c:pt idx="2">
                  <c:v>Santa Lucía (2020)</c:v>
                </c:pt>
                <c:pt idx="3">
                  <c:v>San Vicente (2020)</c:v>
                </c:pt>
                <c:pt idx="4">
                  <c:v>Paraguay (2020)</c:v>
                </c:pt>
                <c:pt idx="5">
                  <c:v>Barbados (2021)</c:v>
                </c:pt>
                <c:pt idx="6">
                  <c:v>Ucrania</c:v>
                </c:pt>
                <c:pt idx="7">
                  <c:v>Guatemala</c:v>
                </c:pt>
                <c:pt idx="8">
                  <c:v>Argentina</c:v>
                </c:pt>
                <c:pt idx="9">
                  <c:v>Nicaragua</c:v>
                </c:pt>
                <c:pt idx="10">
                  <c:v>Brasil</c:v>
                </c:pt>
                <c:pt idx="11">
                  <c:v>Suriname</c:v>
                </c:pt>
                <c:pt idx="12">
                  <c:v>México</c:v>
                </c:pt>
                <c:pt idx="13">
                  <c:v>Ecuador</c:v>
                </c:pt>
                <c:pt idx="14">
                  <c:v>Canadá</c:v>
                </c:pt>
                <c:pt idx="15">
                  <c:v>Costa Rica</c:v>
                </c:pt>
                <c:pt idx="16">
                  <c:v>Colombia</c:v>
                </c:pt>
                <c:pt idx="17">
                  <c:v>Cuba</c:v>
                </c:pt>
                <c:pt idx="18">
                  <c:v>Rep. Dominicana (2022)</c:v>
                </c:pt>
                <c:pt idx="19">
                  <c:v>Bahamas</c:v>
                </c:pt>
                <c:pt idx="20">
                  <c:v>Trinidad y Tobago</c:v>
                </c:pt>
                <c:pt idx="21">
                  <c:v>Honduras</c:v>
                </c:pt>
                <c:pt idx="22">
                  <c:v>Estados Unidos</c:v>
                </c:pt>
                <c:pt idx="23">
                  <c:v>Uruguay</c:v>
                </c:pt>
                <c:pt idx="24">
                  <c:v>Perú</c:v>
                </c:pt>
                <c:pt idx="25">
                  <c:v>Jamaica</c:v>
                </c:pt>
                <c:pt idx="26">
                  <c:v>Chile</c:v>
                </c:pt>
                <c:pt idx="27">
                  <c:v>Belice</c:v>
                </c:pt>
                <c:pt idx="28">
                  <c:v>El Salvador</c:v>
                </c:pt>
              </c:strCache>
              <c:extLst/>
            </c:strRef>
          </c:cat>
          <c:val>
            <c:numRef>
              <c:f>'23. Tráfico fijo mensual GB'!$F$40:$F$68</c:f>
              <c:numCache>
                <c:formatCode>0</c:formatCode>
                <c:ptCount val="29"/>
                <c:pt idx="2">
                  <c:v>6.6281265357858326E-6</c:v>
                </c:pt>
                <c:pt idx="5">
                  <c:v>0.42231703365676582</c:v>
                </c:pt>
                <c:pt idx="6">
                  <c:v>0.34969293151552255</c:v>
                </c:pt>
                <c:pt idx="10">
                  <c:v>1.3409510114511749</c:v>
                </c:pt>
                <c:pt idx="11">
                  <c:v>2.8701531043642166</c:v>
                </c:pt>
                <c:pt idx="12">
                  <c:v>1.8766080396686584</c:v>
                </c:pt>
                <c:pt idx="13">
                  <c:v>1.5163168898221333</c:v>
                </c:pt>
                <c:pt idx="14">
                  <c:v>2.2066871447233667</c:v>
                </c:pt>
                <c:pt idx="15">
                  <c:v>2.2104306390443416</c:v>
                </c:pt>
                <c:pt idx="16">
                  <c:v>1.5940325374563</c:v>
                </c:pt>
                <c:pt idx="18">
                  <c:v>6.9297434910166338</c:v>
                </c:pt>
                <c:pt idx="20">
                  <c:v>1.5216743332650251</c:v>
                </c:pt>
                <c:pt idx="21">
                  <c:v>4.7078212495466669</c:v>
                </c:pt>
                <c:pt idx="22">
                  <c:v>5.5130638577518996</c:v>
                </c:pt>
                <c:pt idx="23">
                  <c:v>3.6339559144203499</c:v>
                </c:pt>
                <c:pt idx="24">
                  <c:v>3.0958621814100167</c:v>
                </c:pt>
                <c:pt idx="25">
                  <c:v>2.2188008313402916</c:v>
                </c:pt>
                <c:pt idx="26">
                  <c:v>6.5020304576175505</c:v>
                </c:pt>
                <c:pt idx="27">
                  <c:v>1.3152835953782918</c:v>
                </c:pt>
                <c:pt idx="28">
                  <c:v>2.2300699104306836</c:v>
                </c:pt>
              </c:numCache>
              <c:extLst/>
            </c:numRef>
          </c:val>
          <c:smooth val="0"/>
          <c:extLst>
            <c:ext xmlns:c16="http://schemas.microsoft.com/office/drawing/2014/chart" uri="{C3380CC4-5D6E-409C-BE32-E72D297353CC}">
              <c16:uniqueId val="{0000001F-028C-47A4-A3B5-B9488475BFF2}"/>
            </c:ext>
          </c:extLst>
        </c:ser>
        <c:dLbls>
          <c:showLegendKey val="0"/>
          <c:showVal val="0"/>
          <c:showCatName val="0"/>
          <c:showSerName val="0"/>
          <c:showPercent val="0"/>
          <c:showBubbleSize val="0"/>
        </c:dLbls>
        <c:marker val="1"/>
        <c:smooth val="0"/>
        <c:axId val="1942888335"/>
        <c:axId val="1892808655"/>
      </c:lineChart>
      <c:catAx>
        <c:axId val="1942888335"/>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892808655"/>
        <c:crosses val="autoZero"/>
        <c:auto val="1"/>
        <c:lblAlgn val="ctr"/>
        <c:lblOffset val="100"/>
        <c:noMultiLvlLbl val="0"/>
      </c:catAx>
      <c:valAx>
        <c:axId val="1892808655"/>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942888335"/>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'23. Tráfico fijo mensual GB'!$E$2</c:f>
              <c:strCache>
                <c:ptCount val="1"/>
                <c:pt idx="0">
                  <c:v>2023 o último año disponible</c:v>
                </c:pt>
              </c:strCache>
            </c:strRef>
          </c:tx>
          <c:spPr>
            <a:solidFill>
              <a:srgbClr val="A77BCA"/>
            </a:solidFill>
            <a:ln>
              <a:noFill/>
            </a:ln>
            <a:effectLst/>
          </c:spPr>
          <c:invertIfNegative val="0"/>
          <c:dLbls>
            <c:dLbl>
              <c:idx val="0"/>
              <c:tx>
                <c:rich>
                  <a:bodyPr/>
                  <a:lstStyle/>
                  <a:p>
                    <a:fld id="{8AC28B28-3BF8-4A71-8D9E-C48D61992F79}"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0569-4E84-84F4-161F394878F9}"/>
                </c:ext>
              </c:extLst>
            </c:dLbl>
            <c:dLbl>
              <c:idx val="1"/>
              <c:tx>
                <c:rich>
                  <a:bodyPr/>
                  <a:lstStyle/>
                  <a:p>
                    <a:fld id="{4DA237C9-B3D8-43C3-B877-FC64E070DBC0}"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0569-4E84-84F4-161F394878F9}"/>
                </c:ext>
              </c:extLst>
            </c:dLbl>
            <c:dLbl>
              <c:idx val="2"/>
              <c:tx>
                <c:rich>
                  <a:bodyPr/>
                  <a:lstStyle/>
                  <a:p>
                    <a:fld id="{76E8A6B9-2326-44CC-8AC1-383F5A76899D}"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0569-4E84-84F4-161F394878F9}"/>
                </c:ext>
              </c:extLst>
            </c:dLbl>
            <c:dLbl>
              <c:idx val="3"/>
              <c:tx>
                <c:rich>
                  <a:bodyPr/>
                  <a:lstStyle/>
                  <a:p>
                    <a:fld id="{FB2ED137-4AF7-4210-9B07-CC38B1A912CF}"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0569-4E84-84F4-161F394878F9}"/>
                </c:ext>
              </c:extLst>
            </c:dLbl>
            <c:dLbl>
              <c:idx val="4"/>
              <c:tx>
                <c:rich>
                  <a:bodyPr/>
                  <a:lstStyle/>
                  <a:p>
                    <a:fld id="{CC6A9005-61D7-4BAD-84B2-41D681C81FA5}"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0569-4E84-84F4-161F394878F9}"/>
                </c:ext>
              </c:extLst>
            </c:dLbl>
            <c:dLbl>
              <c:idx val="5"/>
              <c:tx>
                <c:rich>
                  <a:bodyPr/>
                  <a:lstStyle/>
                  <a:p>
                    <a:fld id="{C5242B6A-2240-4D0B-82EC-232AAD20106A}"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0569-4E84-84F4-161F394878F9}"/>
                </c:ext>
              </c:extLst>
            </c:dLbl>
            <c:dLbl>
              <c:idx val="6"/>
              <c:tx>
                <c:rich>
                  <a:bodyPr/>
                  <a:lstStyle/>
                  <a:p>
                    <a:fld id="{F17ECACC-8587-45B5-B5B8-EBDCF8E89E5A}"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0569-4E84-84F4-161F394878F9}"/>
                </c:ext>
              </c:extLst>
            </c:dLbl>
            <c:dLbl>
              <c:idx val="7"/>
              <c:tx>
                <c:rich>
                  <a:bodyPr/>
                  <a:lstStyle/>
                  <a:p>
                    <a:fld id="{A32C128E-4838-44A2-AC34-3649B1735A59}"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0569-4E84-84F4-161F394878F9}"/>
                </c:ext>
              </c:extLst>
            </c:dLbl>
            <c:dLbl>
              <c:idx val="8"/>
              <c:tx>
                <c:rich>
                  <a:bodyPr/>
                  <a:lstStyle/>
                  <a:p>
                    <a:fld id="{2B1F6E71-C0AD-41F4-A996-0CAEA27782C8}"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0569-4E84-84F4-161F394878F9}"/>
                </c:ext>
              </c:extLst>
            </c:dLbl>
            <c:dLbl>
              <c:idx val="9"/>
              <c:tx>
                <c:rich>
                  <a:bodyPr/>
                  <a:lstStyle/>
                  <a:p>
                    <a:fld id="{FB0697DF-9567-404E-A22B-08269DAE430A}"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0569-4E84-84F4-161F394878F9}"/>
                </c:ext>
              </c:extLst>
            </c:dLbl>
            <c:dLbl>
              <c:idx val="10"/>
              <c:tx>
                <c:rich>
                  <a:bodyPr/>
                  <a:lstStyle/>
                  <a:p>
                    <a:fld id="{8960592C-0FBC-4876-A9C8-F5C43F92EDA3}"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0569-4E84-84F4-161F394878F9}"/>
                </c:ext>
              </c:extLst>
            </c:dLbl>
            <c:dLbl>
              <c:idx val="11"/>
              <c:tx>
                <c:rich>
                  <a:bodyPr/>
                  <a:lstStyle/>
                  <a:p>
                    <a:fld id="{85EE8C48-2030-4B07-8BA0-75DB495444A4}"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0569-4E84-84F4-161F394878F9}"/>
                </c:ext>
              </c:extLst>
            </c:dLbl>
            <c:dLbl>
              <c:idx val="12"/>
              <c:tx>
                <c:rich>
                  <a:bodyPr/>
                  <a:lstStyle/>
                  <a:p>
                    <a:fld id="{A5C9D536-DCCE-42F2-8FF3-CEFDC9A25BCC}"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0569-4E84-84F4-161F394878F9}"/>
                </c:ext>
              </c:extLst>
            </c:dLbl>
            <c:dLbl>
              <c:idx val="13"/>
              <c:tx>
                <c:rich>
                  <a:bodyPr/>
                  <a:lstStyle/>
                  <a:p>
                    <a:fld id="{D1C8AD45-DA15-4A58-A933-1EB413244B02}"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0569-4E84-84F4-161F394878F9}"/>
                </c:ext>
              </c:extLst>
            </c:dLbl>
            <c:dLbl>
              <c:idx val="14"/>
              <c:tx>
                <c:rich>
                  <a:bodyPr/>
                  <a:lstStyle/>
                  <a:p>
                    <a:fld id="{5E4A724B-1300-4B2F-AF1D-BFA32FF1C422}"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0569-4E84-84F4-161F394878F9}"/>
                </c:ext>
              </c:extLst>
            </c:dLbl>
            <c:dLbl>
              <c:idx val="15"/>
              <c:tx>
                <c:rich>
                  <a:bodyPr/>
                  <a:lstStyle/>
                  <a:p>
                    <a:fld id="{4CAB9D90-533A-4DED-A975-880F8E357A24}"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0569-4E84-84F4-161F394878F9}"/>
                </c:ext>
              </c:extLst>
            </c:dLbl>
            <c:dLbl>
              <c:idx val="16"/>
              <c:tx>
                <c:rich>
                  <a:bodyPr/>
                  <a:lstStyle/>
                  <a:p>
                    <a:fld id="{35576F4F-E031-47BE-8E51-CDE325BCEC26}"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0569-4E84-84F4-161F394878F9}"/>
                </c:ext>
              </c:extLst>
            </c:dLbl>
            <c:dLbl>
              <c:idx val="17"/>
              <c:tx>
                <c:rich>
                  <a:bodyPr/>
                  <a:lstStyle/>
                  <a:p>
                    <a:fld id="{FBD15DBB-5733-495F-A752-5A27066EA033}"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0569-4E84-84F4-161F394878F9}"/>
                </c:ext>
              </c:extLst>
            </c:dLbl>
            <c:dLbl>
              <c:idx val="18"/>
              <c:tx>
                <c:rich>
                  <a:bodyPr/>
                  <a:lstStyle/>
                  <a:p>
                    <a:fld id="{F09893C9-A34E-4A0E-B8A4-D97E3D651951}"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0569-4E84-84F4-161F394878F9}"/>
                </c:ext>
              </c:extLst>
            </c:dLbl>
            <c:dLbl>
              <c:idx val="19"/>
              <c:tx>
                <c:rich>
                  <a:bodyPr/>
                  <a:lstStyle/>
                  <a:p>
                    <a:fld id="{E06FCD4C-3E07-407A-B0AA-15F358CA58AF}"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0569-4E84-84F4-161F394878F9}"/>
                </c:ext>
              </c:extLst>
            </c:dLbl>
            <c:dLbl>
              <c:idx val="20"/>
              <c:tx>
                <c:rich>
                  <a:bodyPr/>
                  <a:lstStyle/>
                  <a:p>
                    <a:fld id="{741DE17B-DCA4-455C-AF36-EC0BF3589A8E}"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0569-4E84-84F4-161F394878F9}"/>
                </c:ext>
              </c:extLst>
            </c:dLbl>
            <c:dLbl>
              <c:idx val="21"/>
              <c:tx>
                <c:rich>
                  <a:bodyPr/>
                  <a:lstStyle/>
                  <a:p>
                    <a:fld id="{59BAF50F-48D8-4CE0-98BB-B8D5CF6F57F7}"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0569-4E84-84F4-161F394878F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'23. Tráfico fijo mensual GB'!$C$3:$C$24</c:f>
              <c:strCache>
                <c:ptCount val="22"/>
                <c:pt idx="0">
                  <c:v>Suriname (2020)</c:v>
                </c:pt>
                <c:pt idx="1">
                  <c:v>Cuba</c:v>
                </c:pt>
                <c:pt idx="2">
                  <c:v>Colombia</c:v>
                </c:pt>
                <c:pt idx="3">
                  <c:v>Nicaragua</c:v>
                </c:pt>
                <c:pt idx="4">
                  <c:v>Perú</c:v>
                </c:pt>
                <c:pt idx="5">
                  <c:v>Brasil</c:v>
                </c:pt>
                <c:pt idx="6">
                  <c:v>Bahamas</c:v>
                </c:pt>
                <c:pt idx="7">
                  <c:v>Honduras</c:v>
                </c:pt>
                <c:pt idx="8">
                  <c:v>Ecuador</c:v>
                </c:pt>
                <c:pt idx="9">
                  <c:v>Guatemala</c:v>
                </c:pt>
                <c:pt idx="10">
                  <c:v>Venezuela</c:v>
                </c:pt>
                <c:pt idx="11">
                  <c:v>Costa Rica</c:v>
                </c:pt>
                <c:pt idx="12">
                  <c:v>México</c:v>
                </c:pt>
                <c:pt idx="13">
                  <c:v>Uruguay</c:v>
                </c:pt>
                <c:pt idx="14">
                  <c:v>Trinidad y Tobago</c:v>
                </c:pt>
                <c:pt idx="15">
                  <c:v>Paraguay (2020)</c:v>
                </c:pt>
                <c:pt idx="16">
                  <c:v>Canadá</c:v>
                </c:pt>
                <c:pt idx="17">
                  <c:v>Rep. Dominicana</c:v>
                </c:pt>
                <c:pt idx="18">
                  <c:v>Jamaica</c:v>
                </c:pt>
                <c:pt idx="19">
                  <c:v>Chile</c:v>
                </c:pt>
                <c:pt idx="20">
                  <c:v>Barbados</c:v>
                </c:pt>
                <c:pt idx="21">
                  <c:v>El Salvador</c:v>
                </c:pt>
              </c:strCache>
              <c:extLst/>
            </c:strRef>
          </c:cat>
          <c:val>
            <c:numRef>
              <c:f>'23. Tráfico fijo mensual GB'!$E$3:$E$24</c:f>
              <c:numCache>
                <c:formatCode>0</c:formatCode>
                <c:ptCount val="22"/>
                <c:pt idx="0" formatCode="0.0">
                  <c:v>0.31881073660633669</c:v>
                </c:pt>
                <c:pt idx="1">
                  <c:v>36.886393298760247</c:v>
                </c:pt>
                <c:pt idx="2">
                  <c:v>51.978482404068416</c:v>
                </c:pt>
                <c:pt idx="3">
                  <c:v>77.556226043041335</c:v>
                </c:pt>
                <c:pt idx="4">
                  <c:v>109.78294524045417</c:v>
                </c:pt>
                <c:pt idx="5">
                  <c:v>141.82261838100834</c:v>
                </c:pt>
                <c:pt idx="6">
                  <c:v>141.90808560736667</c:v>
                </c:pt>
                <c:pt idx="7">
                  <c:v>145.36699243230166</c:v>
                </c:pt>
                <c:pt idx="8">
                  <c:v>173.06906840381831</c:v>
                </c:pt>
                <c:pt idx="9">
                  <c:v>178.9840719650075</c:v>
                </c:pt>
                <c:pt idx="10">
                  <c:v>206.92909887975836</c:v>
                </c:pt>
                <c:pt idx="11">
                  <c:v>247.11778053738081</c:v>
                </c:pt>
                <c:pt idx="12" formatCode="_-* #,##0_-;\-* #,##0_-;_-* &quot;-&quot;??_-;_-@_-">
                  <c:v>265.81409078690751</c:v>
                </c:pt>
                <c:pt idx="13">
                  <c:v>294.40198254705166</c:v>
                </c:pt>
                <c:pt idx="14">
                  <c:v>346.32119171437415</c:v>
                </c:pt>
                <c:pt idx="15">
                  <c:v>360.08385952995246</c:v>
                </c:pt>
                <c:pt idx="16">
                  <c:v>416.37692318018338</c:v>
                </c:pt>
                <c:pt idx="17">
                  <c:v>427.72792385215752</c:v>
                </c:pt>
                <c:pt idx="18">
                  <c:v>548.40950090645583</c:v>
                </c:pt>
                <c:pt idx="19">
                  <c:v>553.2634529707617</c:v>
                </c:pt>
                <c:pt idx="20">
                  <c:v>0</c:v>
                </c:pt>
                <c:pt idx="21">
                  <c:v>0</c:v>
                </c:pt>
              </c:numCache>
              <c:extLst/>
            </c:numRef>
          </c:val>
          <c:extLst>
            <c:ext xmlns:c15="http://schemas.microsoft.com/office/drawing/2012/chart" uri="{02D57815-91ED-43cb-92C2-25804820EDAC}">
              <c15:datalabelsRange>
                <c15:f>'23. Tráfico fijo mensual GB'!$K$3:$K$37</c15:f>
                <c15:dlblRangeCache>
                  <c:ptCount val="35"/>
                  <c:pt idx="29">
                    <c:v>N/A</c:v>
                  </c:pt>
                </c15:dlblRangeCache>
              </c15:datalabelsRange>
            </c:ext>
            <c:ext xmlns:c16="http://schemas.microsoft.com/office/drawing/2014/chart" uri="{C3380CC4-5D6E-409C-BE32-E72D297353CC}">
              <c16:uniqueId val="{00000016-0569-4E84-84F4-161F394878F9}"/>
            </c:ext>
          </c:extLst>
        </c:ser>
        <c:dLbls>
          <c:dLblPos val="outEnd"/>
          <c:showLegendKey val="0"/>
          <c:showVal val="1"/>
          <c:showCatName val="0"/>
          <c:showSerName val="0"/>
          <c:showPercent val="0"/>
          <c:showBubbleSize val="0"/>
        </c:dLbls>
        <c:gapWidth val="219"/>
        <c:overlap val="-27"/>
        <c:axId val="1942888335"/>
        <c:axId val="1892808655"/>
      </c:barChart>
      <c:lineChart>
        <c:grouping val="standard"/>
        <c:varyColors val="0"/>
        <c:ser>
          <c:idx val="2"/>
          <c:order val="1"/>
          <c:tx>
            <c:strRef>
              <c:f>'23. Tráfico fijo mensual GB'!$H$2</c:f>
              <c:strCache>
                <c:ptCount val="1"/>
                <c:pt idx="0">
                  <c:v>Media regional 2023 </c:v>
                </c:pt>
              </c:strCache>
            </c:strRef>
          </c:tx>
          <c:spPr>
            <a:ln w="28575" cap="rnd">
              <a:solidFill>
                <a:srgbClr val="A77BCA"/>
              </a:solidFill>
              <a:prstDash val="sysDot"/>
              <a:round/>
            </a:ln>
            <a:effectLst/>
          </c:spPr>
          <c:marker>
            <c:symbol val="none"/>
          </c:marker>
          <c:cat>
            <c:strRef>
              <c:f>'23. Tráfico fijo mensual GB'!$C$3:$C$24</c:f>
              <c:strCache>
                <c:ptCount val="22"/>
                <c:pt idx="0">
                  <c:v>Suriname (2020)</c:v>
                </c:pt>
                <c:pt idx="1">
                  <c:v>Cuba</c:v>
                </c:pt>
                <c:pt idx="2">
                  <c:v>Colombia</c:v>
                </c:pt>
                <c:pt idx="3">
                  <c:v>Nicaragua</c:v>
                </c:pt>
                <c:pt idx="4">
                  <c:v>Perú</c:v>
                </c:pt>
                <c:pt idx="5">
                  <c:v>Brasil</c:v>
                </c:pt>
                <c:pt idx="6">
                  <c:v>Bahamas</c:v>
                </c:pt>
                <c:pt idx="7">
                  <c:v>Honduras</c:v>
                </c:pt>
                <c:pt idx="8">
                  <c:v>Ecuador</c:v>
                </c:pt>
                <c:pt idx="9">
                  <c:v>Guatemala</c:v>
                </c:pt>
                <c:pt idx="10">
                  <c:v>Venezuela</c:v>
                </c:pt>
                <c:pt idx="11">
                  <c:v>Costa Rica</c:v>
                </c:pt>
                <c:pt idx="12">
                  <c:v>México</c:v>
                </c:pt>
                <c:pt idx="13">
                  <c:v>Uruguay</c:v>
                </c:pt>
                <c:pt idx="14">
                  <c:v>Trinidad y Tobago</c:v>
                </c:pt>
                <c:pt idx="15">
                  <c:v>Paraguay (2020)</c:v>
                </c:pt>
                <c:pt idx="16">
                  <c:v>Canadá</c:v>
                </c:pt>
                <c:pt idx="17">
                  <c:v>Rep. Dominicana</c:v>
                </c:pt>
                <c:pt idx="18">
                  <c:v>Jamaica</c:v>
                </c:pt>
                <c:pt idx="19">
                  <c:v>Chile</c:v>
                </c:pt>
                <c:pt idx="20">
                  <c:v>Barbados</c:v>
                </c:pt>
                <c:pt idx="21">
                  <c:v>El Salvador</c:v>
                </c:pt>
              </c:strCache>
              <c:extLst/>
            </c:strRef>
          </c:cat>
          <c:val>
            <c:numRef>
              <c:f>'23. Tráfico fijo mensual GB'!$H$3:$H$24</c:f>
              <c:numCache>
                <c:formatCode>General</c:formatCode>
                <c:ptCount val="22"/>
                <c:pt idx="0">
                  <c:v>350.7833333333333</c:v>
                </c:pt>
                <c:pt idx="1">
                  <c:v>350.7833333333333</c:v>
                </c:pt>
                <c:pt idx="2">
                  <c:v>350.7833333333333</c:v>
                </c:pt>
                <c:pt idx="3">
                  <c:v>350.7833333333333</c:v>
                </c:pt>
                <c:pt idx="4">
                  <c:v>350.7833333333333</c:v>
                </c:pt>
                <c:pt idx="5">
                  <c:v>350.7833333333333</c:v>
                </c:pt>
                <c:pt idx="6">
                  <c:v>350.7833333333333</c:v>
                </c:pt>
                <c:pt idx="7">
                  <c:v>350.7833333333333</c:v>
                </c:pt>
                <c:pt idx="8">
                  <c:v>350.7833333333333</c:v>
                </c:pt>
                <c:pt idx="9">
                  <c:v>350.7833333333333</c:v>
                </c:pt>
                <c:pt idx="10">
                  <c:v>350.7833333333333</c:v>
                </c:pt>
                <c:pt idx="11">
                  <c:v>350.7833333333333</c:v>
                </c:pt>
                <c:pt idx="12">
                  <c:v>350.7833333333333</c:v>
                </c:pt>
                <c:pt idx="13">
                  <c:v>350.7833333333333</c:v>
                </c:pt>
                <c:pt idx="14">
                  <c:v>350.7833333333333</c:v>
                </c:pt>
                <c:pt idx="15">
                  <c:v>350.7833333333333</c:v>
                </c:pt>
                <c:pt idx="16">
                  <c:v>350.7833333333333</c:v>
                </c:pt>
                <c:pt idx="17">
                  <c:v>350.7833333333333</c:v>
                </c:pt>
                <c:pt idx="18">
                  <c:v>350.7833333333333</c:v>
                </c:pt>
                <c:pt idx="19">
                  <c:v>350.7833333333333</c:v>
                </c:pt>
                <c:pt idx="20">
                  <c:v>350.7833333333333</c:v>
                </c:pt>
                <c:pt idx="21">
                  <c:v>350.7833333333333</c:v>
                </c:pt>
              </c:numCache>
              <c:extLst/>
            </c:numRef>
          </c:val>
          <c:smooth val="0"/>
          <c:extLst>
            <c:ext xmlns:c16="http://schemas.microsoft.com/office/drawing/2014/chart" uri="{C3380CC4-5D6E-409C-BE32-E72D297353CC}">
              <c16:uniqueId val="{00000017-0569-4E84-84F4-161F394878F9}"/>
            </c:ext>
          </c:extLst>
        </c:ser>
        <c:ser>
          <c:idx val="1"/>
          <c:order val="2"/>
          <c:tx>
            <c:strRef>
              <c:f>'23. Tráfico fijo mensual GB'!$F$2</c:f>
              <c:strCache>
                <c:ptCount val="1"/>
                <c:pt idx="0">
                  <c:v>2018</c:v>
                </c:pt>
              </c:strCache>
            </c:strRef>
          </c:tx>
          <c:spPr>
            <a:ln w="28575" cap="rnd">
              <a:noFill/>
              <a:round/>
            </a:ln>
            <a:effectLst/>
          </c:spPr>
          <c:marker>
            <c:symbol val="dash"/>
            <c:size val="5"/>
            <c:spPr>
              <a:solidFill>
                <a:sysClr val="windowText" lastClr="000000"/>
              </a:solidFill>
              <a:ln w="9525">
                <a:solidFill>
                  <a:sysClr val="windowText" lastClr="000000"/>
                </a:solidFill>
              </a:ln>
              <a:effectLst/>
            </c:spPr>
          </c:marker>
          <c:cat>
            <c:strRef>
              <c:f>'23. Tráfico fijo mensual GB'!$C$3:$C$24</c:f>
              <c:strCache>
                <c:ptCount val="22"/>
                <c:pt idx="0">
                  <c:v>Suriname (2020)</c:v>
                </c:pt>
                <c:pt idx="1">
                  <c:v>Cuba</c:v>
                </c:pt>
                <c:pt idx="2">
                  <c:v>Colombia</c:v>
                </c:pt>
                <c:pt idx="3">
                  <c:v>Nicaragua</c:v>
                </c:pt>
                <c:pt idx="4">
                  <c:v>Perú</c:v>
                </c:pt>
                <c:pt idx="5">
                  <c:v>Brasil</c:v>
                </c:pt>
                <c:pt idx="6">
                  <c:v>Bahamas</c:v>
                </c:pt>
                <c:pt idx="7">
                  <c:v>Honduras</c:v>
                </c:pt>
                <c:pt idx="8">
                  <c:v>Ecuador</c:v>
                </c:pt>
                <c:pt idx="9">
                  <c:v>Guatemala</c:v>
                </c:pt>
                <c:pt idx="10">
                  <c:v>Venezuela</c:v>
                </c:pt>
                <c:pt idx="11">
                  <c:v>Costa Rica</c:v>
                </c:pt>
                <c:pt idx="12">
                  <c:v>México</c:v>
                </c:pt>
                <c:pt idx="13">
                  <c:v>Uruguay</c:v>
                </c:pt>
                <c:pt idx="14">
                  <c:v>Trinidad y Tobago</c:v>
                </c:pt>
                <c:pt idx="15">
                  <c:v>Paraguay (2020)</c:v>
                </c:pt>
                <c:pt idx="16">
                  <c:v>Canadá</c:v>
                </c:pt>
                <c:pt idx="17">
                  <c:v>Rep. Dominicana</c:v>
                </c:pt>
                <c:pt idx="18">
                  <c:v>Jamaica</c:v>
                </c:pt>
                <c:pt idx="19">
                  <c:v>Chile</c:v>
                </c:pt>
                <c:pt idx="20">
                  <c:v>Barbados</c:v>
                </c:pt>
                <c:pt idx="21">
                  <c:v>El Salvador</c:v>
                </c:pt>
              </c:strCache>
              <c:extLst/>
            </c:strRef>
          </c:cat>
          <c:val>
            <c:numRef>
              <c:f>'23. Tráfico fijo mensual GB'!$F$3:$F$24</c:f>
              <c:numCache>
                <c:formatCode>General</c:formatCode>
                <c:ptCount val="22"/>
                <c:pt idx="2" formatCode="0">
                  <c:v>3.9055424713643916</c:v>
                </c:pt>
                <c:pt idx="5" formatCode="0">
                  <c:v>87.869122888937497</c:v>
                </c:pt>
                <c:pt idx="6" formatCode="0">
                  <c:v>82.093718188684164</c:v>
                </c:pt>
                <c:pt idx="8" formatCode="0">
                  <c:v>184.27452399587</c:v>
                </c:pt>
                <c:pt idx="11" formatCode="0">
                  <c:v>82.456459794789254</c:v>
                </c:pt>
                <c:pt idx="16" formatCode="0">
                  <c:v>159.96790535013417</c:v>
                </c:pt>
                <c:pt idx="17" formatCode="0">
                  <c:v>134.55961319628582</c:v>
                </c:pt>
                <c:pt idx="18" formatCode="0">
                  <c:v>79.015016364887842</c:v>
                </c:pt>
                <c:pt idx="19" formatCode="0">
                  <c:v>183.02691449228666</c:v>
                </c:pt>
                <c:pt idx="20" formatCode="0">
                  <c:v>57.036409596298746</c:v>
                </c:pt>
                <c:pt idx="21" formatCode="0">
                  <c:v>129.80136037838668</c:v>
                </c:pt>
              </c:numCache>
              <c:extLst/>
            </c:numRef>
          </c:val>
          <c:smooth val="0"/>
          <c:extLst>
            <c:ext xmlns:c16="http://schemas.microsoft.com/office/drawing/2014/chart" uri="{C3380CC4-5D6E-409C-BE32-E72D297353CC}">
              <c16:uniqueId val="{00000018-0569-4E84-84F4-161F394878F9}"/>
            </c:ext>
          </c:extLst>
        </c:ser>
        <c:dLbls>
          <c:showLegendKey val="0"/>
          <c:showVal val="0"/>
          <c:showCatName val="0"/>
          <c:showSerName val="0"/>
          <c:showPercent val="0"/>
          <c:showBubbleSize val="0"/>
        </c:dLbls>
        <c:marker val="1"/>
        <c:smooth val="0"/>
        <c:axId val="1942888335"/>
        <c:axId val="1892808655"/>
      </c:lineChart>
      <c:catAx>
        <c:axId val="1942888335"/>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892808655"/>
        <c:crosses val="autoZero"/>
        <c:auto val="1"/>
        <c:lblAlgn val="ctr"/>
        <c:lblOffset val="100"/>
        <c:noMultiLvlLbl val="0"/>
      </c:catAx>
      <c:valAx>
        <c:axId val="1892808655"/>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942888335"/>
        <c:crosses val="autoZero"/>
        <c:crossBetween val="between"/>
      </c:valAx>
      <c:spPr>
        <a:noFill/>
        <a:ln>
          <a:solidFill>
            <a:srgbClr val="156082">
              <a:shade val="15000"/>
            </a:srgbClr>
          </a:solid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'24. Ancho Intern. por usuario'!$A$4</c:f>
              <c:strCache>
                <c:ptCount val="1"/>
                <c:pt idx="0">
                  <c:v>Américas</c:v>
                </c:pt>
              </c:strCache>
            </c:strRef>
          </c:tx>
          <c:spPr>
            <a:ln w="28575" cap="rnd">
              <a:solidFill>
                <a:srgbClr val="A77BCA"/>
              </a:solidFill>
              <a:round/>
            </a:ln>
            <a:effectLst/>
          </c:spPr>
          <c:marker>
            <c:symbol val="none"/>
          </c:marker>
          <c:cat>
            <c:numRef>
              <c:f>'24. Ancho Intern. por usuario'!$L$2:$U$2</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'24. Ancho Intern. por usuario'!$L$4:$U$4</c:f>
              <c:numCache>
                <c:formatCode>_-* #,##0.0_-;\-* #,##0.0_-;_-* "-"??_-;_-@_-</c:formatCode>
                <c:ptCount val="10"/>
                <c:pt idx="0">
                  <c:v>63.7</c:v>
                </c:pt>
                <c:pt idx="1">
                  <c:v>69.7</c:v>
                </c:pt>
                <c:pt idx="2">
                  <c:v>72.5</c:v>
                </c:pt>
                <c:pt idx="3">
                  <c:v>95.2</c:v>
                </c:pt>
                <c:pt idx="4">
                  <c:v>131.30000000000001</c:v>
                </c:pt>
                <c:pt idx="5">
                  <c:v>165.5</c:v>
                </c:pt>
                <c:pt idx="6">
                  <c:v>204.9</c:v>
                </c:pt>
                <c:pt idx="7">
                  <c:v>258.89999999999998</c:v>
                </c:pt>
                <c:pt idx="8">
                  <c:v>303.5</c:v>
                </c:pt>
                <c:pt idx="9">
                  <c:v>356.6</c:v>
                </c:pt>
              </c:numCache>
            </c:numRef>
          </c:val>
          <c:smooth val="0"/>
          <c:extLst>
            <c:ext xmlns:c16="http://schemas.microsoft.com/office/drawing/2014/chart" uri="{C3380CC4-5D6E-409C-BE32-E72D297353CC}">
              <c16:uniqueId val="{00000000-869D-427F-B191-F6A4BDB2D7E1}"/>
            </c:ext>
          </c:extLst>
        </c:ser>
        <c:ser>
          <c:idx val="0"/>
          <c:order val="1"/>
          <c:tx>
            <c:strRef>
              <c:f>'24. Ancho Intern. por usuario'!$A$3</c:f>
              <c:strCache>
                <c:ptCount val="1"/>
                <c:pt idx="0">
                  <c:v> Mundo </c:v>
                </c:pt>
              </c:strCache>
            </c:strRef>
          </c:tx>
          <c:spPr>
            <a:ln w="28575" cap="rnd">
              <a:solidFill>
                <a:srgbClr val="00A0DF"/>
              </a:solidFill>
              <a:round/>
            </a:ln>
            <a:effectLst/>
          </c:spPr>
          <c:marker>
            <c:symbol val="none"/>
          </c:marker>
          <c:cat>
            <c:numRef>
              <c:f>'24. Ancho Intern. por usuario'!$L$2:$U$2</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'24. Ancho Intern. por usuario'!$L$3:$U$3</c:f>
              <c:numCache>
                <c:formatCode>_-* #,##0.0_-;\-* #,##0.0_-;_-* "-"??_-;_-@_-</c:formatCode>
                <c:ptCount val="10"/>
                <c:pt idx="0">
                  <c:v>52.4</c:v>
                </c:pt>
                <c:pt idx="1">
                  <c:v>67</c:v>
                </c:pt>
                <c:pt idx="2">
                  <c:v>84.7</c:v>
                </c:pt>
                <c:pt idx="3">
                  <c:v>108.1</c:v>
                </c:pt>
                <c:pt idx="4">
                  <c:v>134.9</c:v>
                </c:pt>
                <c:pt idx="5">
                  <c:v>154.30000000000001</c:v>
                </c:pt>
                <c:pt idx="6">
                  <c:v>198</c:v>
                </c:pt>
                <c:pt idx="7">
                  <c:v>234.5</c:v>
                </c:pt>
                <c:pt idx="8">
                  <c:v>276.10000000000002</c:v>
                </c:pt>
                <c:pt idx="9">
                  <c:v>322.8</c:v>
                </c:pt>
              </c:numCache>
            </c:numRef>
          </c:val>
          <c:smooth val="0"/>
          <c:extLst>
            <c:ext xmlns:c16="http://schemas.microsoft.com/office/drawing/2014/chart" uri="{C3380CC4-5D6E-409C-BE32-E72D297353CC}">
              <c16:uniqueId val="{00000001-869D-427F-B191-F6A4BDB2D7E1}"/>
            </c:ext>
          </c:extLst>
        </c:ser>
        <c:dLbls>
          <c:showLegendKey val="0"/>
          <c:showVal val="0"/>
          <c:showCatName val="0"/>
          <c:showSerName val="0"/>
          <c:showPercent val="0"/>
          <c:showBubbleSize val="0"/>
        </c:dLbls>
        <c:smooth val="0"/>
        <c:axId val="1409304527"/>
        <c:axId val="1409305775"/>
      </c:lineChart>
      <c:catAx>
        <c:axId val="1409304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5775"/>
        <c:crosses val="autoZero"/>
        <c:auto val="1"/>
        <c:lblAlgn val="ctr"/>
        <c:lblOffset val="100"/>
        <c:tickLblSkip val="1"/>
        <c:noMultiLvlLbl val="0"/>
      </c:catAx>
      <c:valAx>
        <c:axId val="1409305775"/>
        <c:scaling>
          <c:orientation val="minMax"/>
          <c:max val="35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4527"/>
        <c:crosses val="autoZero"/>
        <c:crossBetween val="between"/>
        <c:majorUnit val="5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'25. BW inter. por país'!$D$2</c:f>
              <c:strCache>
                <c:ptCount val="1"/>
                <c:pt idx="0">
                  <c:v>2023 o último año disponible</c:v>
                </c:pt>
              </c:strCache>
            </c:strRef>
          </c:tx>
          <c:spPr>
            <a:solidFill>
              <a:srgbClr val="A77BCA"/>
            </a:solidFill>
            <a:ln>
              <a:noFill/>
            </a:ln>
            <a:effectLst/>
          </c:spPr>
          <c:invertIfNegative val="0"/>
          <c:dLbls>
            <c:delete val="1"/>
          </c:dLbls>
          <c:cat>
            <c:strRef>
              <c:f>'25. BW inter. por país'!$C$3:$C$22</c:f>
              <c:strCache>
                <c:ptCount val="20"/>
                <c:pt idx="0">
                  <c:v>San Vicente (2020)</c:v>
                </c:pt>
                <c:pt idx="1">
                  <c:v>Santa Lucía (2022)</c:v>
                </c:pt>
                <c:pt idx="2">
                  <c:v>Ecuador</c:v>
                </c:pt>
                <c:pt idx="3">
                  <c:v>Granada (2022)</c:v>
                </c:pt>
                <c:pt idx="4">
                  <c:v>Cuba</c:v>
                </c:pt>
                <c:pt idx="5">
                  <c:v>Rep. Dominicana</c:v>
                </c:pt>
                <c:pt idx="6">
                  <c:v>Bolivia (2021)</c:v>
                </c:pt>
                <c:pt idx="7">
                  <c:v>Venezuela</c:v>
                </c:pt>
                <c:pt idx="8">
                  <c:v>Jamaica</c:v>
                </c:pt>
                <c:pt idx="9">
                  <c:v>Honduras</c:v>
                </c:pt>
                <c:pt idx="10">
                  <c:v>El Salvador</c:v>
                </c:pt>
                <c:pt idx="11">
                  <c:v>Suriname</c:v>
                </c:pt>
                <c:pt idx="12">
                  <c:v>Chile</c:v>
                </c:pt>
                <c:pt idx="13">
                  <c:v>Colombia</c:v>
                </c:pt>
                <c:pt idx="14">
                  <c:v>Trinidad y Tobago</c:v>
                </c:pt>
                <c:pt idx="15">
                  <c:v>Costa Rica</c:v>
                </c:pt>
                <c:pt idx="16">
                  <c:v>Bahamas</c:v>
                </c:pt>
                <c:pt idx="17">
                  <c:v>Haití</c:v>
                </c:pt>
                <c:pt idx="18">
                  <c:v>Barbados</c:v>
                </c:pt>
                <c:pt idx="19">
                  <c:v>Saint Kitts y Nevis</c:v>
                </c:pt>
              </c:strCache>
            </c:strRef>
          </c:cat>
          <c:val>
            <c:numRef>
              <c:f>'25. BW inter. por país'!$D$3:$D$22</c:f>
              <c:numCache>
                <c:formatCode>0</c:formatCode>
                <c:ptCount val="20"/>
                <c:pt idx="0">
                  <c:v>0.98253698407684309</c:v>
                </c:pt>
                <c:pt idx="1">
                  <c:v>5.1351719634301896</c:v>
                </c:pt>
                <c:pt idx="2">
                  <c:v>14.885408228373802</c:v>
                </c:pt>
                <c:pt idx="3">
                  <c:v>17.275139340057002</c:v>
                </c:pt>
                <c:pt idx="4">
                  <c:v>30.097553592502901</c:v>
                </c:pt>
                <c:pt idx="5">
                  <c:v>50.490818040198199</c:v>
                </c:pt>
                <c:pt idx="6">
                  <c:v>68.523480638902399</c:v>
                </c:pt>
                <c:pt idx="7">
                  <c:v>123.426549025706</c:v>
                </c:pt>
                <c:pt idx="8">
                  <c:v>125.96022973732201</c:v>
                </c:pt>
                <c:pt idx="9">
                  <c:v>127.52054415761201</c:v>
                </c:pt>
                <c:pt idx="10">
                  <c:v>163.97955205920999</c:v>
                </c:pt>
                <c:pt idx="11">
                  <c:v>208.49042624978</c:v>
                </c:pt>
                <c:pt idx="12">
                  <c:v>235.75729882373398</c:v>
                </c:pt>
                <c:pt idx="13">
                  <c:v>273.56053408660404</c:v>
                </c:pt>
                <c:pt idx="14">
                  <c:v>302.10758590666501</c:v>
                </c:pt>
                <c:pt idx="15">
                  <c:v>373.57874544444098</c:v>
                </c:pt>
                <c:pt idx="16">
                  <c:v>1082.52704971761</c:v>
                </c:pt>
              </c:numCache>
            </c:numRef>
          </c:val>
          <c:extLst>
            <c:ext xmlns:c16="http://schemas.microsoft.com/office/drawing/2014/chart" uri="{C3380CC4-5D6E-409C-BE32-E72D297353CC}">
              <c16:uniqueId val="{00000000-14B4-44BC-9DE3-98CFD8D0503C}"/>
            </c:ext>
          </c:extLst>
        </c:ser>
        <c:dLbls>
          <c:dLblPos val="outEnd"/>
          <c:showLegendKey val="0"/>
          <c:showVal val="1"/>
          <c:showCatName val="0"/>
          <c:showSerName val="0"/>
          <c:showPercent val="0"/>
          <c:showBubbleSize val="0"/>
        </c:dLbls>
        <c:gapWidth val="219"/>
        <c:overlap val="-27"/>
        <c:axId val="1942888335"/>
        <c:axId val="1892808655"/>
      </c:barChart>
      <c:lineChart>
        <c:grouping val="standard"/>
        <c:varyColors val="0"/>
        <c:ser>
          <c:idx val="1"/>
          <c:order val="1"/>
          <c:tx>
            <c:strRef>
              <c:f>'25. BW inter. por país'!$E$2</c:f>
              <c:strCache>
                <c:ptCount val="1"/>
                <c:pt idx="0">
                  <c:v>Media regional (2023)</c:v>
                </c:pt>
              </c:strCache>
            </c:strRef>
          </c:tx>
          <c:spPr>
            <a:ln w="28575" cap="rnd">
              <a:solidFill>
                <a:srgbClr val="A77BCA"/>
              </a:solidFill>
              <a:prstDash val="sysDot"/>
              <a:round/>
            </a:ln>
            <a:effectLst/>
          </c:spPr>
          <c:marker>
            <c:symbol val="none"/>
          </c:marker>
          <c:cat>
            <c:strRef>
              <c:f>'25. BW inter. por país'!$C$3:$C$22</c:f>
              <c:strCache>
                <c:ptCount val="20"/>
                <c:pt idx="0">
                  <c:v>San Vicente (2020)</c:v>
                </c:pt>
                <c:pt idx="1">
                  <c:v>Santa Lucía (2022)</c:v>
                </c:pt>
                <c:pt idx="2">
                  <c:v>Ecuador</c:v>
                </c:pt>
                <c:pt idx="3">
                  <c:v>Granada (2022)</c:v>
                </c:pt>
                <c:pt idx="4">
                  <c:v>Cuba</c:v>
                </c:pt>
                <c:pt idx="5">
                  <c:v>Rep. Dominicana</c:v>
                </c:pt>
                <c:pt idx="6">
                  <c:v>Bolivia (2021)</c:v>
                </c:pt>
                <c:pt idx="7">
                  <c:v>Venezuela</c:v>
                </c:pt>
                <c:pt idx="8">
                  <c:v>Jamaica</c:v>
                </c:pt>
                <c:pt idx="9">
                  <c:v>Honduras</c:v>
                </c:pt>
                <c:pt idx="10">
                  <c:v>El Salvador</c:v>
                </c:pt>
                <c:pt idx="11">
                  <c:v>Suriname</c:v>
                </c:pt>
                <c:pt idx="12">
                  <c:v>Chile</c:v>
                </c:pt>
                <c:pt idx="13">
                  <c:v>Colombia</c:v>
                </c:pt>
                <c:pt idx="14">
                  <c:v>Trinidad y Tobago</c:v>
                </c:pt>
                <c:pt idx="15">
                  <c:v>Costa Rica</c:v>
                </c:pt>
                <c:pt idx="16">
                  <c:v>Bahamas</c:v>
                </c:pt>
                <c:pt idx="17">
                  <c:v>Haití</c:v>
                </c:pt>
                <c:pt idx="18">
                  <c:v>Barbados</c:v>
                </c:pt>
                <c:pt idx="19">
                  <c:v>Saint Kitts y Nevis</c:v>
                </c:pt>
              </c:strCache>
            </c:strRef>
          </c:cat>
          <c:val>
            <c:numRef>
              <c:f>'25. BW inter. por país'!$E$3:$E$22</c:f>
              <c:numCache>
                <c:formatCode>0</c:formatCode>
                <c:ptCount val="20"/>
                <c:pt idx="0">
                  <c:v>303.5</c:v>
                </c:pt>
                <c:pt idx="1">
                  <c:v>303.5</c:v>
                </c:pt>
                <c:pt idx="2">
                  <c:v>303.5</c:v>
                </c:pt>
                <c:pt idx="3">
                  <c:v>303.5</c:v>
                </c:pt>
                <c:pt idx="4">
                  <c:v>303.5</c:v>
                </c:pt>
                <c:pt idx="5">
                  <c:v>303.5</c:v>
                </c:pt>
                <c:pt idx="6">
                  <c:v>303.5</c:v>
                </c:pt>
                <c:pt idx="7">
                  <c:v>303.5</c:v>
                </c:pt>
                <c:pt idx="8">
                  <c:v>303.5</c:v>
                </c:pt>
                <c:pt idx="9">
                  <c:v>303.5</c:v>
                </c:pt>
                <c:pt idx="10">
                  <c:v>303.5</c:v>
                </c:pt>
                <c:pt idx="11">
                  <c:v>303.5</c:v>
                </c:pt>
                <c:pt idx="12">
                  <c:v>303.5</c:v>
                </c:pt>
                <c:pt idx="13">
                  <c:v>303.5</c:v>
                </c:pt>
                <c:pt idx="14">
                  <c:v>303.5</c:v>
                </c:pt>
                <c:pt idx="15">
                  <c:v>303.5</c:v>
                </c:pt>
                <c:pt idx="16">
                  <c:v>303.5</c:v>
                </c:pt>
                <c:pt idx="17">
                  <c:v>303.5</c:v>
                </c:pt>
                <c:pt idx="18">
                  <c:v>303.5</c:v>
                </c:pt>
                <c:pt idx="19">
                  <c:v>303.5</c:v>
                </c:pt>
              </c:numCache>
            </c:numRef>
          </c:val>
          <c:smooth val="0"/>
          <c:extLst xmlns:c15="http://schemas.microsoft.com/office/drawing/2012/chart">
            <c:ext xmlns:c16="http://schemas.microsoft.com/office/drawing/2014/chart" uri="{C3380CC4-5D6E-409C-BE32-E72D297353CC}">
              <c16:uniqueId val="{00000001-14B4-44BC-9DE3-98CFD8D0503C}"/>
            </c:ext>
          </c:extLst>
        </c:ser>
        <c:ser>
          <c:idx val="2"/>
          <c:order val="2"/>
          <c:tx>
            <c:strRef>
              <c:f>'25. BW inter. por país'!$F$2</c:f>
              <c:strCache>
                <c:ptCount val="1"/>
                <c:pt idx="0">
                  <c:v>2018</c:v>
                </c:pt>
              </c:strCache>
            </c:strRef>
          </c:tx>
          <c:spPr>
            <a:ln w="28575" cap="rnd">
              <a:noFill/>
              <a:round/>
            </a:ln>
            <a:effectLst/>
          </c:spPr>
          <c:marker>
            <c:symbol val="dash"/>
            <c:size val="3"/>
            <c:spPr>
              <a:solidFill>
                <a:sysClr val="windowText" lastClr="000000"/>
              </a:solidFill>
              <a:ln w="9525">
                <a:solidFill>
                  <a:sysClr val="windowText" lastClr="000000"/>
                </a:solidFill>
              </a:ln>
              <a:effectLst/>
            </c:spPr>
          </c:marker>
          <c:cat>
            <c:strRef>
              <c:f>'25. BW inter. por país'!$C$3:$C$22</c:f>
              <c:strCache>
                <c:ptCount val="20"/>
                <c:pt idx="0">
                  <c:v>San Vicente (2020)</c:v>
                </c:pt>
                <c:pt idx="1">
                  <c:v>Santa Lucía (2022)</c:v>
                </c:pt>
                <c:pt idx="2">
                  <c:v>Ecuador</c:v>
                </c:pt>
                <c:pt idx="3">
                  <c:v>Granada (2022)</c:v>
                </c:pt>
                <c:pt idx="4">
                  <c:v>Cuba</c:v>
                </c:pt>
                <c:pt idx="5">
                  <c:v>Rep. Dominicana</c:v>
                </c:pt>
                <c:pt idx="6">
                  <c:v>Bolivia (2021)</c:v>
                </c:pt>
                <c:pt idx="7">
                  <c:v>Venezuela</c:v>
                </c:pt>
                <c:pt idx="8">
                  <c:v>Jamaica</c:v>
                </c:pt>
                <c:pt idx="9">
                  <c:v>Honduras</c:v>
                </c:pt>
                <c:pt idx="10">
                  <c:v>El Salvador</c:v>
                </c:pt>
                <c:pt idx="11">
                  <c:v>Suriname</c:v>
                </c:pt>
                <c:pt idx="12">
                  <c:v>Chile</c:v>
                </c:pt>
                <c:pt idx="13">
                  <c:v>Colombia</c:v>
                </c:pt>
                <c:pt idx="14">
                  <c:v>Trinidad y Tobago</c:v>
                </c:pt>
                <c:pt idx="15">
                  <c:v>Costa Rica</c:v>
                </c:pt>
                <c:pt idx="16">
                  <c:v>Bahamas</c:v>
                </c:pt>
                <c:pt idx="17">
                  <c:v>Haití</c:v>
                </c:pt>
                <c:pt idx="18">
                  <c:v>Barbados</c:v>
                </c:pt>
                <c:pt idx="19">
                  <c:v>Saint Kitts y Nevis</c:v>
                </c:pt>
              </c:strCache>
            </c:strRef>
          </c:cat>
          <c:val>
            <c:numRef>
              <c:f>'25. BW inter. por país'!$F$3:$F$22</c:f>
              <c:numCache>
                <c:formatCode>0</c:formatCode>
                <c:ptCount val="20"/>
                <c:pt idx="0">
                  <c:v>333.56841964813299</c:v>
                </c:pt>
                <c:pt idx="2">
                  <c:v>4.4734326372425004</c:v>
                </c:pt>
                <c:pt idx="3">
                  <c:v>275.92314098965801</c:v>
                </c:pt>
                <c:pt idx="4">
                  <c:v>1.1152421560955899</c:v>
                </c:pt>
                <c:pt idx="5">
                  <c:v>48.855430573723304</c:v>
                </c:pt>
                <c:pt idx="8">
                  <c:v>69.137040558471199</c:v>
                </c:pt>
                <c:pt idx="9">
                  <c:v>59.584229540188495</c:v>
                </c:pt>
                <c:pt idx="10">
                  <c:v>120.396048084515</c:v>
                </c:pt>
                <c:pt idx="11">
                  <c:v>87.185102809838696</c:v>
                </c:pt>
                <c:pt idx="12">
                  <c:v>152.443475454664</c:v>
                </c:pt>
                <c:pt idx="13">
                  <c:v>160.03864461263601</c:v>
                </c:pt>
                <c:pt idx="14">
                  <c:v>184.938942574007</c:v>
                </c:pt>
                <c:pt idx="15">
                  <c:v>114.40269185378399</c:v>
                </c:pt>
                <c:pt idx="17">
                  <c:v>0.86295127029497198</c:v>
                </c:pt>
                <c:pt idx="18">
                  <c:v>305.06591874213001</c:v>
                </c:pt>
                <c:pt idx="19">
                  <c:v>657.41554815060294</c:v>
                </c:pt>
              </c:numCache>
            </c:numRef>
          </c:val>
          <c:smooth val="0"/>
          <c:extLst>
            <c:ext xmlns:c16="http://schemas.microsoft.com/office/drawing/2014/chart" uri="{C3380CC4-5D6E-409C-BE32-E72D297353CC}">
              <c16:uniqueId val="{00000002-14B4-44BC-9DE3-98CFD8D0503C}"/>
            </c:ext>
          </c:extLst>
        </c:ser>
        <c:dLbls>
          <c:showLegendKey val="0"/>
          <c:showVal val="0"/>
          <c:showCatName val="0"/>
          <c:showSerName val="0"/>
          <c:showPercent val="0"/>
          <c:showBubbleSize val="0"/>
        </c:dLbls>
        <c:marker val="1"/>
        <c:smooth val="0"/>
        <c:axId val="1942888335"/>
        <c:axId val="1892808655"/>
        <c:extLst/>
      </c:lineChart>
      <c:catAx>
        <c:axId val="1942888335"/>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892808655"/>
        <c:crosses val="autoZero"/>
        <c:auto val="1"/>
        <c:lblAlgn val="ctr"/>
        <c:lblOffset val="100"/>
        <c:noMultiLvlLbl val="0"/>
      </c:catAx>
      <c:valAx>
        <c:axId val="1892808655"/>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942888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4">
    <c:autoUpdate val="0"/>
  </c:externalData>
  <c:userShapes r:id="rId5"/>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'26. Asequibilidad'!$A$4</c:f>
              <c:strCache>
                <c:ptCount val="1"/>
                <c:pt idx="0">
                  <c:v>Américas</c:v>
                </c:pt>
              </c:strCache>
            </c:strRef>
          </c:tx>
          <c:spPr>
            <a:ln w="28575" cap="rnd">
              <a:solidFill>
                <a:srgbClr val="A77BCA"/>
              </a:solidFill>
              <a:round/>
            </a:ln>
            <a:effectLst/>
          </c:spPr>
          <c:marker>
            <c:symbol val="none"/>
          </c:marker>
          <c:cat>
            <c:numRef>
              <c:f>'26. Asequibilidad'!$B$3:$H$3</c:f>
              <c:numCache>
                <c:formatCode>General</c:formatCode>
                <c:ptCount val="7"/>
                <c:pt idx="0">
                  <c:v>2018</c:v>
                </c:pt>
                <c:pt idx="1">
                  <c:v>2019</c:v>
                </c:pt>
                <c:pt idx="2">
                  <c:v>2020</c:v>
                </c:pt>
                <c:pt idx="3">
                  <c:v>2021</c:v>
                </c:pt>
                <c:pt idx="4">
                  <c:v>2022</c:v>
                </c:pt>
                <c:pt idx="5">
                  <c:v>2023</c:v>
                </c:pt>
                <c:pt idx="6">
                  <c:v>2024</c:v>
                </c:pt>
              </c:numCache>
            </c:numRef>
          </c:cat>
          <c:val>
            <c:numRef>
              <c:f>'26. Asequibilidad'!$B$4:$H$4</c:f>
              <c:numCache>
                <c:formatCode>0.00</c:formatCode>
                <c:ptCount val="7"/>
                <c:pt idx="0">
                  <c:v>2.5765780466961798</c:v>
                </c:pt>
                <c:pt idx="1">
                  <c:v>2.7416116941999999</c:v>
                </c:pt>
                <c:pt idx="2">
                  <c:v>2.36536350177898</c:v>
                </c:pt>
                <c:pt idx="3">
                  <c:v>2.6112316781545299</c:v>
                </c:pt>
                <c:pt idx="4">
                  <c:v>2.43323916760008</c:v>
                </c:pt>
                <c:pt idx="5">
                  <c:v>2.0102988567717501</c:v>
                </c:pt>
                <c:pt idx="6">
                  <c:v>1.81615438008075</c:v>
                </c:pt>
              </c:numCache>
            </c:numRef>
          </c:val>
          <c:smooth val="0"/>
          <c:extLst>
            <c:ext xmlns:c16="http://schemas.microsoft.com/office/drawing/2014/chart" uri="{C3380CC4-5D6E-409C-BE32-E72D297353CC}">
              <c16:uniqueId val="{00000000-3A46-47C0-88AE-4948FE755855}"/>
            </c:ext>
          </c:extLst>
        </c:ser>
        <c:ser>
          <c:idx val="0"/>
          <c:order val="1"/>
          <c:tx>
            <c:strRef>
              <c:f>'26. Asequibilidad'!$A$5</c:f>
              <c:strCache>
                <c:ptCount val="1"/>
                <c:pt idx="0">
                  <c:v>Mundo</c:v>
                </c:pt>
              </c:strCache>
            </c:strRef>
          </c:tx>
          <c:spPr>
            <a:ln w="28575" cap="rnd">
              <a:solidFill>
                <a:srgbClr val="00A0DF"/>
              </a:solidFill>
              <a:round/>
            </a:ln>
            <a:effectLst/>
          </c:spPr>
          <c:marker>
            <c:symbol val="none"/>
          </c:marker>
          <c:cat>
            <c:numRef>
              <c:f>'26. Asequibilidad'!$B$3:$H$3</c:f>
              <c:numCache>
                <c:formatCode>General</c:formatCode>
                <c:ptCount val="7"/>
                <c:pt idx="0">
                  <c:v>2018</c:v>
                </c:pt>
                <c:pt idx="1">
                  <c:v>2019</c:v>
                </c:pt>
                <c:pt idx="2">
                  <c:v>2020</c:v>
                </c:pt>
                <c:pt idx="3">
                  <c:v>2021</c:v>
                </c:pt>
                <c:pt idx="4">
                  <c:v>2022</c:v>
                </c:pt>
                <c:pt idx="5">
                  <c:v>2023</c:v>
                </c:pt>
                <c:pt idx="6">
                  <c:v>2024</c:v>
                </c:pt>
              </c:numCache>
            </c:numRef>
          </c:cat>
          <c:val>
            <c:numRef>
              <c:f>'26. Asequibilidad'!$B$5:$H$5</c:f>
              <c:numCache>
                <c:formatCode>0.00</c:formatCode>
                <c:ptCount val="7"/>
                <c:pt idx="0">
                  <c:v>1.92</c:v>
                </c:pt>
                <c:pt idx="1">
                  <c:v>1.89</c:v>
                </c:pt>
                <c:pt idx="2">
                  <c:v>1.71</c:v>
                </c:pt>
                <c:pt idx="3">
                  <c:v>1.93</c:v>
                </c:pt>
                <c:pt idx="4">
                  <c:v>1.42</c:v>
                </c:pt>
                <c:pt idx="5">
                  <c:v>1.2</c:v>
                </c:pt>
                <c:pt idx="6">
                  <c:v>1.07</c:v>
                </c:pt>
              </c:numCache>
            </c:numRef>
          </c:val>
          <c:smooth val="0"/>
          <c:extLst>
            <c:ext xmlns:c16="http://schemas.microsoft.com/office/drawing/2014/chart" uri="{C3380CC4-5D6E-409C-BE32-E72D297353CC}">
              <c16:uniqueId val="{00000001-3A46-47C0-88AE-4948FE755855}"/>
            </c:ext>
          </c:extLst>
        </c:ser>
        <c:dLbls>
          <c:showLegendKey val="0"/>
          <c:showVal val="0"/>
          <c:showCatName val="0"/>
          <c:showSerName val="0"/>
          <c:showPercent val="0"/>
          <c:showBubbleSize val="0"/>
        </c:dLbls>
        <c:smooth val="0"/>
        <c:axId val="1409304527"/>
        <c:axId val="1409305775"/>
      </c:lineChart>
      <c:catAx>
        <c:axId val="1409304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5775"/>
        <c:crosses val="autoZero"/>
        <c:auto val="1"/>
        <c:lblAlgn val="ctr"/>
        <c:lblOffset val="100"/>
        <c:tickLblSkip val="1"/>
        <c:noMultiLvlLbl val="0"/>
      </c:catAx>
      <c:valAx>
        <c:axId val="1409305775"/>
        <c:scaling>
          <c:orientation val="minMax"/>
          <c:max val="5.0999999999999996"/>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4527"/>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'26. Asequibilidad'!$A$9</c:f>
              <c:strCache>
                <c:ptCount val="1"/>
                <c:pt idx="0">
                  <c:v>Américas</c:v>
                </c:pt>
              </c:strCache>
            </c:strRef>
          </c:tx>
          <c:spPr>
            <a:ln w="28575" cap="rnd">
              <a:solidFill>
                <a:srgbClr val="A77BCA"/>
              </a:solidFill>
              <a:round/>
            </a:ln>
            <a:effectLst/>
          </c:spPr>
          <c:marker>
            <c:symbol val="none"/>
          </c:marker>
          <c:cat>
            <c:numRef>
              <c:f>'26. Asequibilidad'!$B$8:$H$8</c:f>
              <c:numCache>
                <c:formatCode>General</c:formatCode>
                <c:ptCount val="7"/>
                <c:pt idx="0">
                  <c:v>2018</c:v>
                </c:pt>
                <c:pt idx="1">
                  <c:v>2019</c:v>
                </c:pt>
                <c:pt idx="2">
                  <c:v>2020</c:v>
                </c:pt>
                <c:pt idx="3">
                  <c:v>2021</c:v>
                </c:pt>
                <c:pt idx="4">
                  <c:v>2022</c:v>
                </c:pt>
                <c:pt idx="5">
                  <c:v>2023</c:v>
                </c:pt>
                <c:pt idx="6">
                  <c:v>2024</c:v>
                </c:pt>
              </c:numCache>
            </c:numRef>
          </c:cat>
          <c:val>
            <c:numRef>
              <c:f>'26. Asequibilidad'!$B$9:$H$9</c:f>
              <c:numCache>
                <c:formatCode>0.00</c:formatCode>
                <c:ptCount val="7"/>
                <c:pt idx="0">
                  <c:v>4.1818181818181799</c:v>
                </c:pt>
                <c:pt idx="1">
                  <c:v>4.4167253935000002</c:v>
                </c:pt>
                <c:pt idx="2">
                  <c:v>4.4916155048461697</c:v>
                </c:pt>
                <c:pt idx="3">
                  <c:v>5.0085687366753504</c:v>
                </c:pt>
                <c:pt idx="4">
                  <c:v>3.8042154355638802</c:v>
                </c:pt>
                <c:pt idx="5">
                  <c:v>3.7498725294683202</c:v>
                </c:pt>
                <c:pt idx="6">
                  <c:v>3.1975178936896702</c:v>
                </c:pt>
              </c:numCache>
            </c:numRef>
          </c:val>
          <c:smooth val="0"/>
          <c:extLst>
            <c:ext xmlns:c16="http://schemas.microsoft.com/office/drawing/2014/chart" uri="{C3380CC4-5D6E-409C-BE32-E72D297353CC}">
              <c16:uniqueId val="{00000000-D8E6-419A-8D0B-0D76ADA325E9}"/>
            </c:ext>
          </c:extLst>
        </c:ser>
        <c:ser>
          <c:idx val="0"/>
          <c:order val="1"/>
          <c:tx>
            <c:strRef>
              <c:f>'26. Asequibilidad'!$A$10</c:f>
              <c:strCache>
                <c:ptCount val="1"/>
                <c:pt idx="0">
                  <c:v>Mundo</c:v>
                </c:pt>
              </c:strCache>
            </c:strRef>
          </c:tx>
          <c:spPr>
            <a:ln w="28575" cap="rnd">
              <a:solidFill>
                <a:srgbClr val="00A0DF"/>
              </a:solidFill>
              <a:round/>
            </a:ln>
            <a:effectLst/>
          </c:spPr>
          <c:marker>
            <c:symbol val="none"/>
          </c:marker>
          <c:cat>
            <c:numRef>
              <c:f>'26. Asequibilidad'!$B$8:$H$8</c:f>
              <c:numCache>
                <c:formatCode>General</c:formatCode>
                <c:ptCount val="7"/>
                <c:pt idx="0">
                  <c:v>2018</c:v>
                </c:pt>
                <c:pt idx="1">
                  <c:v>2019</c:v>
                </c:pt>
                <c:pt idx="2">
                  <c:v>2020</c:v>
                </c:pt>
                <c:pt idx="3">
                  <c:v>2021</c:v>
                </c:pt>
                <c:pt idx="4">
                  <c:v>2022</c:v>
                </c:pt>
                <c:pt idx="5">
                  <c:v>2023</c:v>
                </c:pt>
                <c:pt idx="6">
                  <c:v>2024</c:v>
                </c:pt>
              </c:numCache>
            </c:numRef>
          </c:cat>
          <c:val>
            <c:numRef>
              <c:f>'26. Asequibilidad'!$B$10:$H$10</c:f>
              <c:numCache>
                <c:formatCode>0.00</c:formatCode>
                <c:ptCount val="7"/>
                <c:pt idx="0">
                  <c:v>2.98</c:v>
                </c:pt>
                <c:pt idx="1">
                  <c:v>3.07</c:v>
                </c:pt>
                <c:pt idx="2">
                  <c:v>2.92</c:v>
                </c:pt>
                <c:pt idx="3">
                  <c:v>3.31</c:v>
                </c:pt>
                <c:pt idx="4">
                  <c:v>2.97</c:v>
                </c:pt>
                <c:pt idx="5">
                  <c:v>2.65</c:v>
                </c:pt>
                <c:pt idx="6">
                  <c:v>2.46</c:v>
                </c:pt>
              </c:numCache>
            </c:numRef>
          </c:val>
          <c:smooth val="0"/>
          <c:extLst>
            <c:ext xmlns:c16="http://schemas.microsoft.com/office/drawing/2014/chart" uri="{C3380CC4-5D6E-409C-BE32-E72D297353CC}">
              <c16:uniqueId val="{00000001-D8E6-419A-8D0B-0D76ADA325E9}"/>
            </c:ext>
          </c:extLst>
        </c:ser>
        <c:dLbls>
          <c:showLegendKey val="0"/>
          <c:showVal val="0"/>
          <c:showCatName val="0"/>
          <c:showSerName val="0"/>
          <c:showPercent val="0"/>
          <c:showBubbleSize val="0"/>
        </c:dLbls>
        <c:smooth val="0"/>
        <c:axId val="1409304527"/>
        <c:axId val="1409305775"/>
      </c:lineChart>
      <c:catAx>
        <c:axId val="1409304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5775"/>
        <c:crosses val="autoZero"/>
        <c:auto val="1"/>
        <c:lblAlgn val="ctr"/>
        <c:lblOffset val="100"/>
        <c:tickLblSkip val="1"/>
        <c:noMultiLvlLbl val="0"/>
      </c:catAx>
      <c:valAx>
        <c:axId val="1409305775"/>
        <c:scaling>
          <c:orientation val="minMax"/>
          <c:max val="5.0999999999999996"/>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4527"/>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'27. Cesta precios'!$D$3:$D$4</c:f>
              <c:strCache>
                <c:ptCount val="2"/>
                <c:pt idx="1">
                  <c:v>Cesta banda ancha móvil sólo datos (2GB)</c:v>
                </c:pt>
              </c:strCache>
            </c:strRef>
          </c:tx>
          <c:spPr>
            <a:solidFill>
              <a:srgbClr val="A77BCA"/>
            </a:solidFill>
            <a:ln>
              <a:noFill/>
            </a:ln>
            <a:effectLst/>
          </c:spPr>
          <c:invertIfNegative val="0"/>
          <c:dLbls>
            <c:dLbl>
              <c:idx val="0"/>
              <c:tx>
                <c:rich>
                  <a:bodyPr/>
                  <a:lstStyle/>
                  <a:p>
                    <a:fld id="{C398B502-7C8C-4D58-8701-76F8E6C25E50}" type="CELLRANGE">
                      <a:rPr lang="en-US"/>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264D-424A-896F-70A7E1398200}"/>
                </c:ext>
              </c:extLst>
            </c:dLbl>
            <c:dLbl>
              <c:idx val="1"/>
              <c:tx>
                <c:rich>
                  <a:bodyPr/>
                  <a:lstStyle/>
                  <a:p>
                    <a:fld id="{5B622642-88DD-4527-91D9-2BD9679D1605}"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264D-424A-896F-70A7E1398200}"/>
                </c:ext>
              </c:extLst>
            </c:dLbl>
            <c:dLbl>
              <c:idx val="2"/>
              <c:tx>
                <c:rich>
                  <a:bodyPr/>
                  <a:lstStyle/>
                  <a:p>
                    <a:fld id="{2C1C7507-5FF9-41B2-8F1D-C959A7894135}"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264D-424A-896F-70A7E1398200}"/>
                </c:ext>
              </c:extLst>
            </c:dLbl>
            <c:dLbl>
              <c:idx val="3"/>
              <c:tx>
                <c:rich>
                  <a:bodyPr/>
                  <a:lstStyle/>
                  <a:p>
                    <a:fld id="{760ACF71-47E0-4908-AE68-374AB427D71E}"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264D-424A-896F-70A7E1398200}"/>
                </c:ext>
              </c:extLst>
            </c:dLbl>
            <c:dLbl>
              <c:idx val="4"/>
              <c:tx>
                <c:rich>
                  <a:bodyPr/>
                  <a:lstStyle/>
                  <a:p>
                    <a:fld id="{AFAD713C-088E-40C6-AB32-C249FF54E348}"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264D-424A-896F-70A7E1398200}"/>
                </c:ext>
              </c:extLst>
            </c:dLbl>
            <c:dLbl>
              <c:idx val="5"/>
              <c:tx>
                <c:rich>
                  <a:bodyPr/>
                  <a:lstStyle/>
                  <a:p>
                    <a:fld id="{947BE5D6-BC11-4A84-B23A-D50C4639FA34}"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264D-424A-896F-70A7E1398200}"/>
                </c:ext>
              </c:extLst>
            </c:dLbl>
            <c:dLbl>
              <c:idx val="6"/>
              <c:tx>
                <c:rich>
                  <a:bodyPr/>
                  <a:lstStyle/>
                  <a:p>
                    <a:fld id="{72B383D7-6FC1-4728-A66C-EA2D98733053}"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264D-424A-896F-70A7E1398200}"/>
                </c:ext>
              </c:extLst>
            </c:dLbl>
            <c:dLbl>
              <c:idx val="7"/>
              <c:tx>
                <c:rich>
                  <a:bodyPr/>
                  <a:lstStyle/>
                  <a:p>
                    <a:fld id="{A7059683-A599-498C-85BF-71AD7BDBE3F1}"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264D-424A-896F-70A7E1398200}"/>
                </c:ext>
              </c:extLst>
            </c:dLbl>
            <c:dLbl>
              <c:idx val="8"/>
              <c:tx>
                <c:rich>
                  <a:bodyPr/>
                  <a:lstStyle/>
                  <a:p>
                    <a:fld id="{109868F8-4EE6-4E3E-BD23-BD12C75AD8D5}"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264D-424A-896F-70A7E1398200}"/>
                </c:ext>
              </c:extLst>
            </c:dLbl>
            <c:dLbl>
              <c:idx val="9"/>
              <c:tx>
                <c:rich>
                  <a:bodyPr/>
                  <a:lstStyle/>
                  <a:p>
                    <a:fld id="{E6C4EECA-D4FA-436F-9A42-B35AFFAD9D85}"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264D-424A-896F-70A7E1398200}"/>
                </c:ext>
              </c:extLst>
            </c:dLbl>
            <c:dLbl>
              <c:idx val="10"/>
              <c:tx>
                <c:rich>
                  <a:bodyPr/>
                  <a:lstStyle/>
                  <a:p>
                    <a:fld id="{AD4CAAD9-873B-4D7F-969A-DFB60B01E1E6}"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264D-424A-896F-70A7E1398200}"/>
                </c:ext>
              </c:extLst>
            </c:dLbl>
            <c:dLbl>
              <c:idx val="11"/>
              <c:tx>
                <c:rich>
                  <a:bodyPr/>
                  <a:lstStyle/>
                  <a:p>
                    <a:fld id="{A3572555-B053-407F-8BEF-F115107EA233}"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264D-424A-896F-70A7E1398200}"/>
                </c:ext>
              </c:extLst>
            </c:dLbl>
            <c:dLbl>
              <c:idx val="12"/>
              <c:tx>
                <c:rich>
                  <a:bodyPr/>
                  <a:lstStyle/>
                  <a:p>
                    <a:fld id="{78B3A21E-97C7-4282-8BC2-7EF142EDE175}"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264D-424A-896F-70A7E1398200}"/>
                </c:ext>
              </c:extLst>
            </c:dLbl>
            <c:dLbl>
              <c:idx val="13"/>
              <c:tx>
                <c:rich>
                  <a:bodyPr/>
                  <a:lstStyle/>
                  <a:p>
                    <a:fld id="{D051C22A-F7B9-4093-8858-B88E6A1BE447}"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264D-424A-896F-70A7E1398200}"/>
                </c:ext>
              </c:extLst>
            </c:dLbl>
            <c:dLbl>
              <c:idx val="14"/>
              <c:tx>
                <c:rich>
                  <a:bodyPr/>
                  <a:lstStyle/>
                  <a:p>
                    <a:fld id="{CEF87C45-58C6-4704-9BFC-09AA3EE61EDF}"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264D-424A-896F-70A7E1398200}"/>
                </c:ext>
              </c:extLst>
            </c:dLbl>
            <c:dLbl>
              <c:idx val="15"/>
              <c:tx>
                <c:rich>
                  <a:bodyPr/>
                  <a:lstStyle/>
                  <a:p>
                    <a:fld id="{531DBF8B-CD31-424A-A268-13304023C873}"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264D-424A-896F-70A7E1398200}"/>
                </c:ext>
              </c:extLst>
            </c:dLbl>
            <c:dLbl>
              <c:idx val="16"/>
              <c:tx>
                <c:rich>
                  <a:bodyPr/>
                  <a:lstStyle/>
                  <a:p>
                    <a:fld id="{383FB799-8EB3-4917-BC08-A1AFB3F9E0BA}"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264D-424A-896F-70A7E1398200}"/>
                </c:ext>
              </c:extLst>
            </c:dLbl>
            <c:dLbl>
              <c:idx val="17"/>
              <c:tx>
                <c:rich>
                  <a:bodyPr/>
                  <a:lstStyle/>
                  <a:p>
                    <a:fld id="{221F49C8-54FF-4627-8EE0-71A6D5DF8E0D}"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264D-424A-896F-70A7E1398200}"/>
                </c:ext>
              </c:extLst>
            </c:dLbl>
            <c:dLbl>
              <c:idx val="18"/>
              <c:tx>
                <c:rich>
                  <a:bodyPr/>
                  <a:lstStyle/>
                  <a:p>
                    <a:fld id="{DA7D8B8B-A14E-4AD4-8CBB-1DE52234B7D2}"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264D-424A-896F-70A7E1398200}"/>
                </c:ext>
              </c:extLst>
            </c:dLbl>
            <c:dLbl>
              <c:idx val="19"/>
              <c:tx>
                <c:rich>
                  <a:bodyPr/>
                  <a:lstStyle/>
                  <a:p>
                    <a:fld id="{A281A348-4453-48DF-BD72-E8A808AE66DA}"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264D-424A-896F-70A7E1398200}"/>
                </c:ext>
              </c:extLst>
            </c:dLbl>
            <c:dLbl>
              <c:idx val="20"/>
              <c:tx>
                <c:rich>
                  <a:bodyPr/>
                  <a:lstStyle/>
                  <a:p>
                    <a:fld id="{69D15E17-295D-4391-9F34-B9473BA433D1}"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264D-424A-896F-70A7E1398200}"/>
                </c:ext>
              </c:extLst>
            </c:dLbl>
            <c:dLbl>
              <c:idx val="21"/>
              <c:tx>
                <c:rich>
                  <a:bodyPr/>
                  <a:lstStyle/>
                  <a:p>
                    <a:fld id="{DAD11A8B-BB7D-4C44-A5B1-76BF43C13D7F}"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264D-424A-896F-70A7E1398200}"/>
                </c:ext>
              </c:extLst>
            </c:dLbl>
            <c:dLbl>
              <c:idx val="22"/>
              <c:tx>
                <c:rich>
                  <a:bodyPr/>
                  <a:lstStyle/>
                  <a:p>
                    <a:fld id="{94B45A6B-A76E-40F8-B48A-2010AE1C0D66}"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264D-424A-896F-70A7E1398200}"/>
                </c:ext>
              </c:extLst>
            </c:dLbl>
            <c:dLbl>
              <c:idx val="23"/>
              <c:tx>
                <c:rich>
                  <a:bodyPr/>
                  <a:lstStyle/>
                  <a:p>
                    <a:fld id="{049D4CDB-981A-4B1D-A810-E33E5DD3A508}"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264D-424A-896F-70A7E1398200}"/>
                </c:ext>
              </c:extLst>
            </c:dLbl>
            <c:dLbl>
              <c:idx val="24"/>
              <c:tx>
                <c:rich>
                  <a:bodyPr/>
                  <a:lstStyle/>
                  <a:p>
                    <a:fld id="{D3D887BE-999F-4AA6-ADB3-315C923B727E}"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264D-424A-896F-70A7E1398200}"/>
                </c:ext>
              </c:extLst>
            </c:dLbl>
            <c:dLbl>
              <c:idx val="25"/>
              <c:tx>
                <c:rich>
                  <a:bodyPr/>
                  <a:lstStyle/>
                  <a:p>
                    <a:fld id="{1E4411B9-247B-4732-A5EC-680A15058F8E}"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264D-424A-896F-70A7E1398200}"/>
                </c:ext>
              </c:extLst>
            </c:dLbl>
            <c:dLbl>
              <c:idx val="26"/>
              <c:tx>
                <c:rich>
                  <a:bodyPr/>
                  <a:lstStyle/>
                  <a:p>
                    <a:fld id="{F7A87074-549E-4D3D-A1CB-12809284041B}"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264D-424A-896F-70A7E1398200}"/>
                </c:ext>
              </c:extLst>
            </c:dLbl>
            <c:dLbl>
              <c:idx val="27"/>
              <c:tx>
                <c:rich>
                  <a:bodyPr/>
                  <a:lstStyle/>
                  <a:p>
                    <a:fld id="{4B62BF66-A82D-4E8A-84BF-1F253FFA4F8C}"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264D-424A-896F-70A7E1398200}"/>
                </c:ext>
              </c:extLst>
            </c:dLbl>
            <c:dLbl>
              <c:idx val="28"/>
              <c:tx>
                <c:rich>
                  <a:bodyPr/>
                  <a:lstStyle/>
                  <a:p>
                    <a:fld id="{8922D382-C2BE-4179-BC5F-48FEC157064A}"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264D-424A-896F-70A7E1398200}"/>
                </c:ext>
              </c:extLst>
            </c:dLbl>
            <c:dLbl>
              <c:idx val="29"/>
              <c:tx>
                <c:rich>
                  <a:bodyPr/>
                  <a:lstStyle/>
                  <a:p>
                    <a:fld id="{249007FE-9AE1-434A-8E84-1D9DB9D60D2C}"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264D-424A-896F-70A7E1398200}"/>
                </c:ext>
              </c:extLst>
            </c:dLbl>
            <c:dLbl>
              <c:idx val="30"/>
              <c:tx>
                <c:rich>
                  <a:bodyPr/>
                  <a:lstStyle/>
                  <a:p>
                    <a:fld id="{A289BECA-B07C-4EDD-90D2-5D171D78E733}"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264D-424A-896F-70A7E1398200}"/>
                </c:ext>
              </c:extLst>
            </c:dLbl>
            <c:dLbl>
              <c:idx val="31"/>
              <c:tx>
                <c:rich>
                  <a:bodyPr/>
                  <a:lstStyle/>
                  <a:p>
                    <a:fld id="{31F2BBFC-3464-4C50-B354-3B94D91DCB63}"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264D-424A-896F-70A7E1398200}"/>
                </c:ext>
              </c:extLst>
            </c:dLbl>
            <c:dLbl>
              <c:idx val="32"/>
              <c:tx>
                <c:rich>
                  <a:bodyPr/>
                  <a:lstStyle/>
                  <a:p>
                    <a:fld id="{4769E53D-AD12-412F-B5C9-F060DB576B0F}"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264D-424A-896F-70A7E1398200}"/>
                </c:ext>
              </c:extLst>
            </c:dLbl>
            <c:dLbl>
              <c:idx val="33"/>
              <c:layout>
                <c:manualLayout>
                  <c:x val="-7.5998367815977514E-3"/>
                  <c:y val="1.2393113709407375E-4"/>
                </c:manualLayout>
              </c:layout>
              <c:tx>
                <c:rich>
                  <a:bodyPr/>
                  <a:lstStyle/>
                  <a:p>
                    <a:fld id="{B106FE2B-FC05-4711-B9EB-12884BBAC813}"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1-264D-424A-896F-70A7E1398200}"/>
                </c:ext>
              </c:extLst>
            </c:dLbl>
            <c:dLbl>
              <c:idx val="34"/>
              <c:layout>
                <c:manualLayout>
                  <c:x val="-1.4826795631259586E-3"/>
                  <c:y val="4.4922448105993917E-3"/>
                </c:manualLayout>
              </c:layout>
              <c:tx>
                <c:rich>
                  <a:bodyPr/>
                  <a:lstStyle/>
                  <a:p>
                    <a:fld id="{234581FA-0F63-4785-8ADC-F666B3DB750A}"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2-264D-424A-896F-70A7E1398200}"/>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'27. Cesta precios'!$A$6:$A$40</c:f>
              <c:strCache>
                <c:ptCount val="35"/>
                <c:pt idx="0">
                  <c:v>Chile</c:v>
                </c:pt>
                <c:pt idx="1">
                  <c:v>Uruguay</c:v>
                </c:pt>
                <c:pt idx="2">
                  <c:v>Estados Unidos</c:v>
                </c:pt>
                <c:pt idx="3">
                  <c:v>Canadá</c:v>
                </c:pt>
                <c:pt idx="4">
                  <c:v>Brasil</c:v>
                </c:pt>
                <c:pt idx="5">
                  <c:v>Argentina</c:v>
                </c:pt>
                <c:pt idx="6">
                  <c:v>Costa Rica</c:v>
                </c:pt>
                <c:pt idx="7">
                  <c:v>Bahamas</c:v>
                </c:pt>
                <c:pt idx="8">
                  <c:v>México</c:v>
                </c:pt>
                <c:pt idx="9">
                  <c:v>Colombia</c:v>
                </c:pt>
                <c:pt idx="10">
                  <c:v>Perú</c:v>
                </c:pt>
                <c:pt idx="11">
                  <c:v>Guyana</c:v>
                </c:pt>
                <c:pt idx="12">
                  <c:v>Bolivia</c:v>
                </c:pt>
                <c:pt idx="13">
                  <c:v>Panamá</c:v>
                </c:pt>
                <c:pt idx="14">
                  <c:v>Trinidad y Tabago</c:v>
                </c:pt>
                <c:pt idx="15">
                  <c:v>Barbados</c:v>
                </c:pt>
                <c:pt idx="16">
                  <c:v>Rep. Dominicana</c:v>
                </c:pt>
                <c:pt idx="17">
                  <c:v>Ecuador</c:v>
                </c:pt>
                <c:pt idx="18">
                  <c:v>Paraguay</c:v>
                </c:pt>
                <c:pt idx="19">
                  <c:v>Saint Kitts y Nevis</c:v>
                </c:pt>
                <c:pt idx="20">
                  <c:v>Belice</c:v>
                </c:pt>
                <c:pt idx="21">
                  <c:v>Suriname</c:v>
                </c:pt>
                <c:pt idx="22">
                  <c:v>Antigua y Barbuda</c:v>
                </c:pt>
                <c:pt idx="23">
                  <c:v>El Salvador</c:v>
                </c:pt>
                <c:pt idx="24">
                  <c:v>Guatemala</c:v>
                </c:pt>
                <c:pt idx="25">
                  <c:v>Haití</c:v>
                </c:pt>
                <c:pt idx="26">
                  <c:v>Santa Lucía</c:v>
                </c:pt>
                <c:pt idx="27">
                  <c:v>Jamaica</c:v>
                </c:pt>
                <c:pt idx="28">
                  <c:v>San Vicente</c:v>
                </c:pt>
                <c:pt idx="29">
                  <c:v>Granada</c:v>
                </c:pt>
                <c:pt idx="30">
                  <c:v>Nicaragua</c:v>
                </c:pt>
                <c:pt idx="31">
                  <c:v>Dominica</c:v>
                </c:pt>
                <c:pt idx="32">
                  <c:v>Honduras</c:v>
                </c:pt>
                <c:pt idx="33">
                  <c:v>Cuba</c:v>
                </c:pt>
                <c:pt idx="34">
                  <c:v>Venezuela</c:v>
                </c:pt>
              </c:strCache>
            </c:strRef>
          </c:cat>
          <c:val>
            <c:numRef>
              <c:f>'27. Cesta precios'!$D$6:$D$40</c:f>
              <c:numCache>
                <c:formatCode>0.0</c:formatCode>
                <c:ptCount val="35"/>
                <c:pt idx="0">
                  <c:v>0.44</c:v>
                </c:pt>
                <c:pt idx="1">
                  <c:v>0.59</c:v>
                </c:pt>
                <c:pt idx="2">
                  <c:v>0.64</c:v>
                </c:pt>
                <c:pt idx="3">
                  <c:v>0.67</c:v>
                </c:pt>
                <c:pt idx="4">
                  <c:v>0.74</c:v>
                </c:pt>
                <c:pt idx="5">
                  <c:v>0.84</c:v>
                </c:pt>
                <c:pt idx="6">
                  <c:v>0.85</c:v>
                </c:pt>
                <c:pt idx="7">
                  <c:v>0.87</c:v>
                </c:pt>
                <c:pt idx="8">
                  <c:v>0.9</c:v>
                </c:pt>
                <c:pt idx="9">
                  <c:v>1.1200000000000001</c:v>
                </c:pt>
                <c:pt idx="10">
                  <c:v>1.21</c:v>
                </c:pt>
                <c:pt idx="11">
                  <c:v>1.22</c:v>
                </c:pt>
                <c:pt idx="12">
                  <c:v>1.44</c:v>
                </c:pt>
                <c:pt idx="13">
                  <c:v>1.5</c:v>
                </c:pt>
                <c:pt idx="14">
                  <c:v>1.64</c:v>
                </c:pt>
                <c:pt idx="15">
                  <c:v>1.66</c:v>
                </c:pt>
                <c:pt idx="16">
                  <c:v>1.82</c:v>
                </c:pt>
                <c:pt idx="17">
                  <c:v>1.89</c:v>
                </c:pt>
                <c:pt idx="18">
                  <c:v>1.9</c:v>
                </c:pt>
                <c:pt idx="19">
                  <c:v>2.02</c:v>
                </c:pt>
                <c:pt idx="20">
                  <c:v>2.1</c:v>
                </c:pt>
                <c:pt idx="21">
                  <c:v>2.15</c:v>
                </c:pt>
                <c:pt idx="22">
                  <c:v>2.31</c:v>
                </c:pt>
                <c:pt idx="23">
                  <c:v>2.93</c:v>
                </c:pt>
                <c:pt idx="24">
                  <c:v>2.96</c:v>
                </c:pt>
                <c:pt idx="25">
                  <c:v>3.52</c:v>
                </c:pt>
                <c:pt idx="26">
                  <c:v>4.28</c:v>
                </c:pt>
                <c:pt idx="27">
                  <c:v>4.66</c:v>
                </c:pt>
                <c:pt idx="28">
                  <c:v>5.22</c:v>
                </c:pt>
                <c:pt idx="29">
                  <c:v>5.43</c:v>
                </c:pt>
                <c:pt idx="30">
                  <c:v>5.48</c:v>
                </c:pt>
                <c:pt idx="31">
                  <c:v>5.94</c:v>
                </c:pt>
                <c:pt idx="32">
                  <c:v>7.13</c:v>
                </c:pt>
                <c:pt idx="33">
                  <c:v>18.63</c:v>
                </c:pt>
                <c:pt idx="34">
                  <c:v>20.59</c:v>
                </c:pt>
              </c:numCache>
            </c:numRef>
          </c:val>
          <c:extLst>
            <c:ext xmlns:c15="http://schemas.microsoft.com/office/drawing/2012/chart" uri="{02D57815-91ED-43cb-92C2-25804820EDAC}">
              <c15:datalabelsRange>
                <c15:f>'27. Cesta precios'!$F$6:$F$40</c15:f>
                <c15:dlblRangeCache>
                  <c:ptCount val="35"/>
                  <c:pt idx="33">
                    <c:v>19</c:v>
                  </c:pt>
                  <c:pt idx="34">
                    <c:v>21</c:v>
                  </c:pt>
                </c15:dlblRangeCache>
              </c15:datalabelsRange>
            </c:ext>
            <c:ext xmlns:c16="http://schemas.microsoft.com/office/drawing/2014/chart" uri="{C3380CC4-5D6E-409C-BE32-E72D297353CC}">
              <c16:uniqueId val="{00000023-264D-424A-896F-70A7E1398200}"/>
            </c:ext>
          </c:extLst>
        </c:ser>
        <c:ser>
          <c:idx val="3"/>
          <c:order val="3"/>
          <c:tx>
            <c:strRef>
              <c:f>'27. Cesta precios'!$E$3:$E$4</c:f>
              <c:strCache>
                <c:ptCount val="2"/>
                <c:pt idx="1">
                  <c:v>Cesta banda ancha fija (5GB)</c:v>
                </c:pt>
              </c:strCache>
            </c:strRef>
          </c:tx>
          <c:spPr>
            <a:solidFill>
              <a:srgbClr val="403A60"/>
            </a:solidFill>
            <a:ln>
              <a:noFill/>
            </a:ln>
            <a:effectLst/>
          </c:spPr>
          <c:invertIfNegative val="0"/>
          <c:dLbls>
            <c:dLbl>
              <c:idx val="0"/>
              <c:tx>
                <c:rich>
                  <a:bodyPr/>
                  <a:lstStyle/>
                  <a:p>
                    <a:fld id="{C5F0F979-FC0C-47F9-BD76-B969A2BEDAFE}" type="CELLRANGE">
                      <a:rPr lang="en-US"/>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4-264D-424A-896F-70A7E1398200}"/>
                </c:ext>
              </c:extLst>
            </c:dLbl>
            <c:dLbl>
              <c:idx val="1"/>
              <c:tx>
                <c:rich>
                  <a:bodyPr/>
                  <a:lstStyle/>
                  <a:p>
                    <a:fld id="{A3FE1D08-F20A-4F56-B99B-7817B8A53012}"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264D-424A-896F-70A7E1398200}"/>
                </c:ext>
              </c:extLst>
            </c:dLbl>
            <c:dLbl>
              <c:idx val="2"/>
              <c:tx>
                <c:rich>
                  <a:bodyPr/>
                  <a:lstStyle/>
                  <a:p>
                    <a:fld id="{FA71F917-3865-4DB4-A0EF-837723400F30}"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264D-424A-896F-70A7E1398200}"/>
                </c:ext>
              </c:extLst>
            </c:dLbl>
            <c:dLbl>
              <c:idx val="3"/>
              <c:tx>
                <c:rich>
                  <a:bodyPr/>
                  <a:lstStyle/>
                  <a:p>
                    <a:fld id="{F6F1850B-0FF4-47CE-940F-1EF60106B35A}"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264D-424A-896F-70A7E1398200}"/>
                </c:ext>
              </c:extLst>
            </c:dLbl>
            <c:dLbl>
              <c:idx val="4"/>
              <c:tx>
                <c:rich>
                  <a:bodyPr/>
                  <a:lstStyle/>
                  <a:p>
                    <a:fld id="{A22F085A-5F35-41AD-840F-F86E879C6DAA}"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264D-424A-896F-70A7E1398200}"/>
                </c:ext>
              </c:extLst>
            </c:dLbl>
            <c:dLbl>
              <c:idx val="5"/>
              <c:layout>
                <c:manualLayout>
                  <c:x val="5.1048814525047053E-4"/>
                  <c:y val="4.5001649529121815E-3"/>
                </c:manualLayout>
              </c:layout>
              <c:tx>
                <c:rich>
                  <a:bodyPr/>
                  <a:lstStyle/>
                  <a:p>
                    <a:fld id="{809FA5B8-CAB1-4173-BA2C-24BC5B66C787}"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9-264D-424A-896F-70A7E1398200}"/>
                </c:ext>
              </c:extLst>
            </c:dLbl>
            <c:dLbl>
              <c:idx val="6"/>
              <c:tx>
                <c:rich>
                  <a:bodyPr/>
                  <a:lstStyle/>
                  <a:p>
                    <a:fld id="{4A7AF366-0C03-459C-9BF9-F3FC572E5A70}"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264D-424A-896F-70A7E1398200}"/>
                </c:ext>
              </c:extLst>
            </c:dLbl>
            <c:dLbl>
              <c:idx val="7"/>
              <c:tx>
                <c:rich>
                  <a:bodyPr/>
                  <a:lstStyle/>
                  <a:p>
                    <a:fld id="{3760607D-FF02-4F6A-87FC-8FAF581822D9}"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264D-424A-896F-70A7E1398200}"/>
                </c:ext>
              </c:extLst>
            </c:dLbl>
            <c:dLbl>
              <c:idx val="8"/>
              <c:tx>
                <c:rich>
                  <a:bodyPr/>
                  <a:lstStyle/>
                  <a:p>
                    <a:fld id="{80A82315-E201-4126-B702-17B1FBE8A4A7}"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264D-424A-896F-70A7E1398200}"/>
                </c:ext>
              </c:extLst>
            </c:dLbl>
            <c:dLbl>
              <c:idx val="9"/>
              <c:tx>
                <c:rich>
                  <a:bodyPr/>
                  <a:lstStyle/>
                  <a:p>
                    <a:fld id="{D3EE2CFC-2DD5-40A9-8F92-8A967C5B6ED5}"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264D-424A-896F-70A7E1398200}"/>
                </c:ext>
              </c:extLst>
            </c:dLbl>
            <c:dLbl>
              <c:idx val="10"/>
              <c:tx>
                <c:rich>
                  <a:bodyPr/>
                  <a:lstStyle/>
                  <a:p>
                    <a:fld id="{E3550CA3-99FC-4AA7-A64E-A378FC85786D}"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264D-424A-896F-70A7E1398200}"/>
                </c:ext>
              </c:extLst>
            </c:dLbl>
            <c:dLbl>
              <c:idx val="11"/>
              <c:tx>
                <c:rich>
                  <a:bodyPr/>
                  <a:lstStyle/>
                  <a:p>
                    <a:fld id="{8B78A962-79AD-4FC2-A039-52BBC8F7305C}"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264D-424A-896F-70A7E1398200}"/>
                </c:ext>
              </c:extLst>
            </c:dLbl>
            <c:dLbl>
              <c:idx val="12"/>
              <c:tx>
                <c:rich>
                  <a:bodyPr/>
                  <a:lstStyle/>
                  <a:p>
                    <a:fld id="{1743F534-D068-4EB0-93C3-ED48A5D90337}"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264D-424A-896F-70A7E1398200}"/>
                </c:ext>
              </c:extLst>
            </c:dLbl>
            <c:dLbl>
              <c:idx val="13"/>
              <c:tx>
                <c:rich>
                  <a:bodyPr/>
                  <a:lstStyle/>
                  <a:p>
                    <a:fld id="{63B83267-4B6B-4168-8489-D6AA55F128D0}"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264D-424A-896F-70A7E1398200}"/>
                </c:ext>
              </c:extLst>
            </c:dLbl>
            <c:dLbl>
              <c:idx val="14"/>
              <c:tx>
                <c:rich>
                  <a:bodyPr/>
                  <a:lstStyle/>
                  <a:p>
                    <a:fld id="{BDC1D729-76A4-4A55-8FAE-5B093BC984E1}"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2-264D-424A-896F-70A7E1398200}"/>
                </c:ext>
              </c:extLst>
            </c:dLbl>
            <c:dLbl>
              <c:idx val="15"/>
              <c:tx>
                <c:rich>
                  <a:bodyPr/>
                  <a:lstStyle/>
                  <a:p>
                    <a:fld id="{5846A60B-7ABE-4793-8F85-2564EFDDDA92}"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264D-424A-896F-70A7E1398200}"/>
                </c:ext>
              </c:extLst>
            </c:dLbl>
            <c:dLbl>
              <c:idx val="16"/>
              <c:tx>
                <c:rich>
                  <a:bodyPr/>
                  <a:lstStyle/>
                  <a:p>
                    <a:fld id="{E897EF60-4B75-4AC3-B4BF-6F25ABBF2584}"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264D-424A-896F-70A7E1398200}"/>
                </c:ext>
              </c:extLst>
            </c:dLbl>
            <c:dLbl>
              <c:idx val="17"/>
              <c:tx>
                <c:rich>
                  <a:bodyPr/>
                  <a:lstStyle/>
                  <a:p>
                    <a:fld id="{76B1336C-751B-4115-803F-FC3051C864CE}"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264D-424A-896F-70A7E1398200}"/>
                </c:ext>
              </c:extLst>
            </c:dLbl>
            <c:dLbl>
              <c:idx val="18"/>
              <c:tx>
                <c:rich>
                  <a:bodyPr/>
                  <a:lstStyle/>
                  <a:p>
                    <a:fld id="{FC70BA5A-F639-4CEF-8E1D-2C4916F07796}"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264D-424A-896F-70A7E1398200}"/>
                </c:ext>
              </c:extLst>
            </c:dLbl>
            <c:dLbl>
              <c:idx val="19"/>
              <c:tx>
                <c:rich>
                  <a:bodyPr/>
                  <a:lstStyle/>
                  <a:p>
                    <a:fld id="{D1FD5C47-A1B1-4C4F-9501-05F389896121}"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7-264D-424A-896F-70A7E1398200}"/>
                </c:ext>
              </c:extLst>
            </c:dLbl>
            <c:dLbl>
              <c:idx val="20"/>
              <c:tx>
                <c:rich>
                  <a:bodyPr/>
                  <a:lstStyle/>
                  <a:p>
                    <a:fld id="{6CC59769-3346-441A-8961-5B36F3D92A7F}"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8-264D-424A-896F-70A7E1398200}"/>
                </c:ext>
              </c:extLst>
            </c:dLbl>
            <c:dLbl>
              <c:idx val="21"/>
              <c:tx>
                <c:rich>
                  <a:bodyPr/>
                  <a:lstStyle/>
                  <a:p>
                    <a:fld id="{E0F246EC-34AB-4CC2-A34B-F654A1682BA3}"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9-264D-424A-896F-70A7E1398200}"/>
                </c:ext>
              </c:extLst>
            </c:dLbl>
            <c:dLbl>
              <c:idx val="22"/>
              <c:tx>
                <c:rich>
                  <a:bodyPr/>
                  <a:lstStyle/>
                  <a:p>
                    <a:fld id="{9F37143F-CB29-4677-A410-F67940D10F62}"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A-264D-424A-896F-70A7E1398200}"/>
                </c:ext>
              </c:extLst>
            </c:dLbl>
            <c:dLbl>
              <c:idx val="23"/>
              <c:tx>
                <c:rich>
                  <a:bodyPr/>
                  <a:lstStyle/>
                  <a:p>
                    <a:fld id="{67069455-C49A-4144-BD1F-9337EC4C029F}"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B-264D-424A-896F-70A7E1398200}"/>
                </c:ext>
              </c:extLst>
            </c:dLbl>
            <c:dLbl>
              <c:idx val="24"/>
              <c:tx>
                <c:rich>
                  <a:bodyPr/>
                  <a:lstStyle/>
                  <a:p>
                    <a:fld id="{3347F68C-371B-46D9-AAE9-D122B9861669}"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C-264D-424A-896F-70A7E1398200}"/>
                </c:ext>
              </c:extLst>
            </c:dLbl>
            <c:dLbl>
              <c:idx val="25"/>
              <c:layout>
                <c:manualLayout>
                  <c:x val="5.5098012277731074E-4"/>
                  <c:y val="2.6555339622798433E-3"/>
                </c:manualLayout>
              </c:layout>
              <c:tx>
                <c:rich>
                  <a:bodyPr/>
                  <a:lstStyle/>
                  <a:p>
                    <a:fld id="{29FD5809-5748-439C-A0CB-30B477D96C35}"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D-264D-424A-896F-70A7E1398200}"/>
                </c:ext>
              </c:extLst>
            </c:dLbl>
            <c:dLbl>
              <c:idx val="26"/>
              <c:tx>
                <c:rich>
                  <a:bodyPr/>
                  <a:lstStyle/>
                  <a:p>
                    <a:fld id="{9B958D9F-5A6D-40A7-A28E-A78D465610B1}"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E-264D-424A-896F-70A7E1398200}"/>
                </c:ext>
              </c:extLst>
            </c:dLbl>
            <c:dLbl>
              <c:idx val="27"/>
              <c:tx>
                <c:rich>
                  <a:bodyPr/>
                  <a:lstStyle/>
                  <a:p>
                    <a:fld id="{EFF4BEFE-4AF7-4070-BFC2-BFC04D0019E6}"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F-264D-424A-896F-70A7E1398200}"/>
                </c:ext>
              </c:extLst>
            </c:dLbl>
            <c:dLbl>
              <c:idx val="28"/>
              <c:tx>
                <c:rich>
                  <a:bodyPr/>
                  <a:lstStyle/>
                  <a:p>
                    <a:fld id="{4A21A454-257D-426B-8F1D-875978DF4CCD}"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0-264D-424A-896F-70A7E1398200}"/>
                </c:ext>
              </c:extLst>
            </c:dLbl>
            <c:dLbl>
              <c:idx val="29"/>
              <c:tx>
                <c:rich>
                  <a:bodyPr/>
                  <a:lstStyle/>
                  <a:p>
                    <a:fld id="{E1539EDD-EB7D-4594-A1B3-58E56D07CDC9}"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1-264D-424A-896F-70A7E1398200}"/>
                </c:ext>
              </c:extLst>
            </c:dLbl>
            <c:dLbl>
              <c:idx val="30"/>
              <c:tx>
                <c:rich>
                  <a:bodyPr/>
                  <a:lstStyle/>
                  <a:p>
                    <a:fld id="{F970AC5A-9951-464F-AB58-603F290AB31B}"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2-264D-424A-896F-70A7E1398200}"/>
                </c:ext>
              </c:extLst>
            </c:dLbl>
            <c:dLbl>
              <c:idx val="31"/>
              <c:tx>
                <c:rich>
                  <a:bodyPr/>
                  <a:lstStyle/>
                  <a:p>
                    <a:fld id="{1C3F83A5-7F60-48A8-A340-F2AC1E3A9D50}"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3-264D-424A-896F-70A7E1398200}"/>
                </c:ext>
              </c:extLst>
            </c:dLbl>
            <c:dLbl>
              <c:idx val="32"/>
              <c:tx>
                <c:rich>
                  <a:bodyPr/>
                  <a:lstStyle/>
                  <a:p>
                    <a:fld id="{5A09DACE-E358-4980-AA24-2829E3D6E306}"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44-264D-424A-896F-70A7E1398200}"/>
                </c:ext>
              </c:extLst>
            </c:dLbl>
            <c:dLbl>
              <c:idx val="33"/>
              <c:layout>
                <c:manualLayout>
                  <c:x val="1.3468403001225314E-3"/>
                  <c:y val="2.6555339622798433E-3"/>
                </c:manualLayout>
              </c:layout>
              <c:tx>
                <c:rich>
                  <a:bodyPr/>
                  <a:lstStyle/>
                  <a:p>
                    <a:fld id="{3F752A9F-39BC-43BC-A787-2D5D80CB6D08}"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45-264D-424A-896F-70A7E1398200}"/>
                </c:ext>
              </c:extLst>
            </c:dLbl>
            <c:dLbl>
              <c:idx val="34"/>
              <c:layout>
                <c:manualLayout>
                  <c:x val="8.149197421200632E-3"/>
                  <c:y val="2.6553713273749723E-3"/>
                </c:manualLayout>
              </c:layout>
              <c:tx>
                <c:rich>
                  <a:bodyPr/>
                  <a:lstStyle/>
                  <a:p>
                    <a:fld id="{8A082342-F7E5-451A-BD3D-81AA2FF953A6}"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46-264D-424A-896F-70A7E1398200}"/>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'27. Cesta precios'!$A$6:$A$40</c:f>
              <c:strCache>
                <c:ptCount val="35"/>
                <c:pt idx="0">
                  <c:v>Chile</c:v>
                </c:pt>
                <c:pt idx="1">
                  <c:v>Uruguay</c:v>
                </c:pt>
                <c:pt idx="2">
                  <c:v>Estados Unidos</c:v>
                </c:pt>
                <c:pt idx="3">
                  <c:v>Canadá</c:v>
                </c:pt>
                <c:pt idx="4">
                  <c:v>Brasil</c:v>
                </c:pt>
                <c:pt idx="5">
                  <c:v>Argentina</c:v>
                </c:pt>
                <c:pt idx="6">
                  <c:v>Costa Rica</c:v>
                </c:pt>
                <c:pt idx="7">
                  <c:v>Bahamas</c:v>
                </c:pt>
                <c:pt idx="8">
                  <c:v>México</c:v>
                </c:pt>
                <c:pt idx="9">
                  <c:v>Colombia</c:v>
                </c:pt>
                <c:pt idx="10">
                  <c:v>Perú</c:v>
                </c:pt>
                <c:pt idx="11">
                  <c:v>Guyana</c:v>
                </c:pt>
                <c:pt idx="12">
                  <c:v>Bolivia</c:v>
                </c:pt>
                <c:pt idx="13">
                  <c:v>Panamá</c:v>
                </c:pt>
                <c:pt idx="14">
                  <c:v>Trinidad y Tabago</c:v>
                </c:pt>
                <c:pt idx="15">
                  <c:v>Barbados</c:v>
                </c:pt>
                <c:pt idx="16">
                  <c:v>Rep. Dominicana</c:v>
                </c:pt>
                <c:pt idx="17">
                  <c:v>Ecuador</c:v>
                </c:pt>
                <c:pt idx="18">
                  <c:v>Paraguay</c:v>
                </c:pt>
                <c:pt idx="19">
                  <c:v>Saint Kitts y Nevis</c:v>
                </c:pt>
                <c:pt idx="20">
                  <c:v>Belice</c:v>
                </c:pt>
                <c:pt idx="21">
                  <c:v>Suriname</c:v>
                </c:pt>
                <c:pt idx="22">
                  <c:v>Antigua y Barbuda</c:v>
                </c:pt>
                <c:pt idx="23">
                  <c:v>El Salvador</c:v>
                </c:pt>
                <c:pt idx="24">
                  <c:v>Guatemala</c:v>
                </c:pt>
                <c:pt idx="25">
                  <c:v>Haití</c:v>
                </c:pt>
                <c:pt idx="26">
                  <c:v>Santa Lucía</c:v>
                </c:pt>
                <c:pt idx="27">
                  <c:v>Jamaica</c:v>
                </c:pt>
                <c:pt idx="28">
                  <c:v>San Vicente</c:v>
                </c:pt>
                <c:pt idx="29">
                  <c:v>Granada</c:v>
                </c:pt>
                <c:pt idx="30">
                  <c:v>Nicaragua</c:v>
                </c:pt>
                <c:pt idx="31">
                  <c:v>Dominica</c:v>
                </c:pt>
                <c:pt idx="32">
                  <c:v>Honduras</c:v>
                </c:pt>
                <c:pt idx="33">
                  <c:v>Cuba</c:v>
                </c:pt>
                <c:pt idx="34">
                  <c:v>Venezuela</c:v>
                </c:pt>
              </c:strCache>
            </c:strRef>
          </c:cat>
          <c:val>
            <c:numRef>
              <c:f>'27. Cesta precios'!$E$6:$E$40</c:f>
              <c:numCache>
                <c:formatCode>0.0</c:formatCode>
                <c:ptCount val="35"/>
                <c:pt idx="0">
                  <c:v>2.02</c:v>
                </c:pt>
                <c:pt idx="1">
                  <c:v>2.08</c:v>
                </c:pt>
                <c:pt idx="2">
                  <c:v>0.71</c:v>
                </c:pt>
                <c:pt idx="3">
                  <c:v>1.62</c:v>
                </c:pt>
                <c:pt idx="4">
                  <c:v>2.46</c:v>
                </c:pt>
                <c:pt idx="5">
                  <c:v>13.75</c:v>
                </c:pt>
                <c:pt idx="6">
                  <c:v>3.2</c:v>
                </c:pt>
                <c:pt idx="7">
                  <c:v>1.98</c:v>
                </c:pt>
                <c:pt idx="8">
                  <c:v>1.74</c:v>
                </c:pt>
                <c:pt idx="9">
                  <c:v>3.03</c:v>
                </c:pt>
                <c:pt idx="10">
                  <c:v>2.6</c:v>
                </c:pt>
                <c:pt idx="11">
                  <c:v>1.76</c:v>
                </c:pt>
                <c:pt idx="12">
                  <c:v>8.11</c:v>
                </c:pt>
                <c:pt idx="13">
                  <c:v>2.87</c:v>
                </c:pt>
                <c:pt idx="14">
                  <c:v>2.97</c:v>
                </c:pt>
                <c:pt idx="15">
                  <c:v>3.18</c:v>
                </c:pt>
                <c:pt idx="16">
                  <c:v>2.4900000000000002</c:v>
                </c:pt>
                <c:pt idx="17">
                  <c:v>5.38</c:v>
                </c:pt>
                <c:pt idx="18">
                  <c:v>3.78</c:v>
                </c:pt>
                <c:pt idx="19">
                  <c:v>3.2</c:v>
                </c:pt>
                <c:pt idx="20">
                  <c:v>3.81</c:v>
                </c:pt>
                <c:pt idx="21">
                  <c:v>3.06</c:v>
                </c:pt>
                <c:pt idx="22">
                  <c:v>3.46</c:v>
                </c:pt>
                <c:pt idx="23">
                  <c:v>7.32</c:v>
                </c:pt>
                <c:pt idx="24">
                  <c:v>6.7</c:v>
                </c:pt>
                <c:pt idx="25">
                  <c:v>37.93</c:v>
                </c:pt>
                <c:pt idx="26">
                  <c:v>3.99</c:v>
                </c:pt>
                <c:pt idx="27">
                  <c:v>7.71</c:v>
                </c:pt>
                <c:pt idx="28">
                  <c:v>5.44</c:v>
                </c:pt>
                <c:pt idx="29">
                  <c:v>4.71</c:v>
                </c:pt>
                <c:pt idx="30">
                  <c:v>8.4499999999999993</c:v>
                </c:pt>
                <c:pt idx="31">
                  <c:v>5.45</c:v>
                </c:pt>
                <c:pt idx="32">
                  <c:v>10.76</c:v>
                </c:pt>
                <c:pt idx="33">
                  <c:v>32.61</c:v>
                </c:pt>
                <c:pt idx="34">
                  <c:v>41.96</c:v>
                </c:pt>
              </c:numCache>
            </c:numRef>
          </c:val>
          <c:extLst>
            <c:ext xmlns:c15="http://schemas.microsoft.com/office/drawing/2012/chart" uri="{02D57815-91ED-43cb-92C2-25804820EDAC}">
              <c15:datalabelsRange>
                <c15:f>'27. Cesta precios'!$G$6:$G$40</c15:f>
                <c15:dlblRangeCache>
                  <c:ptCount val="35"/>
                  <c:pt idx="5">
                    <c:v>13,8</c:v>
                  </c:pt>
                  <c:pt idx="25">
                    <c:v>37,9</c:v>
                  </c:pt>
                  <c:pt idx="33">
                    <c:v>33</c:v>
                  </c:pt>
                  <c:pt idx="34">
                    <c:v>42</c:v>
                  </c:pt>
                </c15:dlblRangeCache>
              </c15:datalabelsRange>
            </c:ext>
            <c:ext xmlns:c16="http://schemas.microsoft.com/office/drawing/2014/chart" uri="{C3380CC4-5D6E-409C-BE32-E72D297353CC}">
              <c16:uniqueId val="{00000047-264D-424A-896F-70A7E1398200}"/>
            </c:ext>
          </c:extLst>
        </c:ser>
        <c:dLbls>
          <c:showLegendKey val="0"/>
          <c:showVal val="0"/>
          <c:showCatName val="0"/>
          <c:showSerName val="0"/>
          <c:showPercent val="0"/>
          <c:showBubbleSize val="0"/>
        </c:dLbls>
        <c:gapWidth val="219"/>
        <c:overlap val="-27"/>
        <c:axId val="1730554495"/>
        <c:axId val="1730538655"/>
      </c:barChart>
      <c:barChart>
        <c:barDir val="col"/>
        <c:grouping val="clustered"/>
        <c:varyColors val="0"/>
        <c:ser>
          <c:idx val="0"/>
          <c:order val="0"/>
          <c:tx>
            <c:strRef>
              <c:f>'27. Cesta precios'!$B$3:$B$4</c:f>
              <c:strCache>
                <c:ptCount val="2"/>
                <c:pt idx="1">
                  <c:v>Cesta banda ancha móvil sólo datos (2GB)</c:v>
                </c:pt>
              </c:strCache>
            </c:strRef>
          </c:tx>
          <c:spPr>
            <a:noFill/>
            <a:ln>
              <a:noFill/>
            </a:ln>
            <a:effectLst>
              <a:outerShdw dist="25400" dir="16200000" algn="ctr" rotWithShape="0">
                <a:schemeClr val="tx1"/>
              </a:outerShdw>
            </a:effectLst>
          </c:spPr>
          <c:invertIfNegative val="0"/>
          <c:cat>
            <c:strRef>
              <c:f>'27. Cesta precios'!$A$6:$A$40</c:f>
              <c:strCache>
                <c:ptCount val="35"/>
                <c:pt idx="0">
                  <c:v>Chile</c:v>
                </c:pt>
                <c:pt idx="1">
                  <c:v>Uruguay</c:v>
                </c:pt>
                <c:pt idx="2">
                  <c:v>Estados Unidos</c:v>
                </c:pt>
                <c:pt idx="3">
                  <c:v>Canadá</c:v>
                </c:pt>
                <c:pt idx="4">
                  <c:v>Brasil</c:v>
                </c:pt>
                <c:pt idx="5">
                  <c:v>Argentina</c:v>
                </c:pt>
                <c:pt idx="6">
                  <c:v>Costa Rica</c:v>
                </c:pt>
                <c:pt idx="7">
                  <c:v>Bahamas</c:v>
                </c:pt>
                <c:pt idx="8">
                  <c:v>México</c:v>
                </c:pt>
                <c:pt idx="9">
                  <c:v>Colombia</c:v>
                </c:pt>
                <c:pt idx="10">
                  <c:v>Perú</c:v>
                </c:pt>
                <c:pt idx="11">
                  <c:v>Guyana</c:v>
                </c:pt>
                <c:pt idx="12">
                  <c:v>Bolivia</c:v>
                </c:pt>
                <c:pt idx="13">
                  <c:v>Panamá</c:v>
                </c:pt>
                <c:pt idx="14">
                  <c:v>Trinidad y Tabago</c:v>
                </c:pt>
                <c:pt idx="15">
                  <c:v>Barbados</c:v>
                </c:pt>
                <c:pt idx="16">
                  <c:v>Rep. Dominicana</c:v>
                </c:pt>
                <c:pt idx="17">
                  <c:v>Ecuador</c:v>
                </c:pt>
                <c:pt idx="18">
                  <c:v>Paraguay</c:v>
                </c:pt>
                <c:pt idx="19">
                  <c:v>Saint Kitts y Nevis</c:v>
                </c:pt>
                <c:pt idx="20">
                  <c:v>Belice</c:v>
                </c:pt>
                <c:pt idx="21">
                  <c:v>Suriname</c:v>
                </c:pt>
                <c:pt idx="22">
                  <c:v>Antigua y Barbuda</c:v>
                </c:pt>
                <c:pt idx="23">
                  <c:v>El Salvador</c:v>
                </c:pt>
                <c:pt idx="24">
                  <c:v>Guatemala</c:v>
                </c:pt>
                <c:pt idx="25">
                  <c:v>Haití</c:v>
                </c:pt>
                <c:pt idx="26">
                  <c:v>Santa Lucía</c:v>
                </c:pt>
                <c:pt idx="27">
                  <c:v>Jamaica</c:v>
                </c:pt>
                <c:pt idx="28">
                  <c:v>San Vicente</c:v>
                </c:pt>
                <c:pt idx="29">
                  <c:v>Granada</c:v>
                </c:pt>
                <c:pt idx="30">
                  <c:v>Nicaragua</c:v>
                </c:pt>
                <c:pt idx="31">
                  <c:v>Dominica</c:v>
                </c:pt>
                <c:pt idx="32">
                  <c:v>Honduras</c:v>
                </c:pt>
                <c:pt idx="33">
                  <c:v>Cuba</c:v>
                </c:pt>
                <c:pt idx="34">
                  <c:v>Venezuela</c:v>
                </c:pt>
              </c:strCache>
            </c:strRef>
          </c:cat>
          <c:val>
            <c:numRef>
              <c:f>'27. Cesta precios'!$B$6:$B$40</c:f>
              <c:numCache>
                <c:formatCode>0.0</c:formatCode>
                <c:ptCount val="35"/>
                <c:pt idx="0">
                  <c:v>0.89</c:v>
                </c:pt>
                <c:pt idx="1">
                  <c:v>1.48</c:v>
                </c:pt>
                <c:pt idx="2">
                  <c:v>0.42</c:v>
                </c:pt>
                <c:pt idx="3">
                  <c:v>0.7</c:v>
                </c:pt>
                <c:pt idx="4">
                  <c:v>4.67</c:v>
                </c:pt>
                <c:pt idx="5">
                  <c:v>1.17</c:v>
                </c:pt>
                <c:pt idx="6">
                  <c:v>0.72</c:v>
                </c:pt>
                <c:pt idx="7">
                  <c:v>0.57999999999999996</c:v>
                </c:pt>
                <c:pt idx="8">
                  <c:v>1.02</c:v>
                </c:pt>
                <c:pt idx="9">
                  <c:v>2.74</c:v>
                </c:pt>
                <c:pt idx="10">
                  <c:v>1.57</c:v>
                </c:pt>
                <c:pt idx="11">
                  <c:v>4.6100000000000003</c:v>
                </c:pt>
                <c:pt idx="12">
                  <c:v>2.58</c:v>
                </c:pt>
                <c:pt idx="13">
                  <c:v>1.67</c:v>
                </c:pt>
                <c:pt idx="14">
                  <c:v>2.73</c:v>
                </c:pt>
                <c:pt idx="15">
                  <c:v>1.18</c:v>
                </c:pt>
                <c:pt idx="16">
                  <c:v>3.42</c:v>
                </c:pt>
                <c:pt idx="17">
                  <c:v>2.2000000000000002</c:v>
                </c:pt>
                <c:pt idx="18">
                  <c:v>5.16</c:v>
                </c:pt>
                <c:pt idx="19">
                  <c:v>1.57</c:v>
                </c:pt>
                <c:pt idx="20">
                  <c:v>4.45</c:v>
                </c:pt>
                <c:pt idx="21">
                  <c:v>1.93</c:v>
                </c:pt>
                <c:pt idx="22">
                  <c:v>2.25</c:v>
                </c:pt>
                <c:pt idx="23">
                  <c:v>4.4000000000000004</c:v>
                </c:pt>
                <c:pt idx="24">
                  <c:v>3.58</c:v>
                </c:pt>
                <c:pt idx="25">
                  <c:v>11.02</c:v>
                </c:pt>
                <c:pt idx="26">
                  <c:v>1.17</c:v>
                </c:pt>
                <c:pt idx="27">
                  <c:v>5.6</c:v>
                </c:pt>
                <c:pt idx="28">
                  <c:v>4.59</c:v>
                </c:pt>
                <c:pt idx="29">
                  <c:v>3.45</c:v>
                </c:pt>
                <c:pt idx="30">
                  <c:v>9.0500000000000007</c:v>
                </c:pt>
                <c:pt idx="31">
                  <c:v>3.39</c:v>
                </c:pt>
                <c:pt idx="32">
                  <c:v>8.6199999999999992</c:v>
                </c:pt>
                <c:pt idx="33">
                  <c:v>0</c:v>
                </c:pt>
                <c:pt idx="34">
                  <c:v>0</c:v>
                </c:pt>
              </c:numCache>
            </c:numRef>
          </c:val>
          <c:extLst>
            <c:ext xmlns:c16="http://schemas.microsoft.com/office/drawing/2014/chart" uri="{C3380CC4-5D6E-409C-BE32-E72D297353CC}">
              <c16:uniqueId val="{00000048-264D-424A-896F-70A7E1398200}"/>
            </c:ext>
          </c:extLst>
        </c:ser>
        <c:ser>
          <c:idx val="1"/>
          <c:order val="1"/>
          <c:tx>
            <c:strRef>
              <c:f>'27. Cesta precios'!$C$3:$C$4</c:f>
              <c:strCache>
                <c:ptCount val="2"/>
                <c:pt idx="1">
                  <c:v>Cesta banda ancha fija(5GB)</c:v>
                </c:pt>
              </c:strCache>
            </c:strRef>
          </c:tx>
          <c:spPr>
            <a:noFill/>
            <a:ln>
              <a:noFill/>
            </a:ln>
            <a:effectLst>
              <a:outerShdw dist="25400" dir="16200000" algn="ctr" rotWithShape="0">
                <a:schemeClr val="tx1"/>
              </a:outerShdw>
            </a:effectLst>
          </c:spPr>
          <c:invertIfNegative val="0"/>
          <c:cat>
            <c:strRef>
              <c:f>'27. Cesta precios'!$A$6:$A$40</c:f>
              <c:strCache>
                <c:ptCount val="35"/>
                <c:pt idx="0">
                  <c:v>Chile</c:v>
                </c:pt>
                <c:pt idx="1">
                  <c:v>Uruguay</c:v>
                </c:pt>
                <c:pt idx="2">
                  <c:v>Estados Unidos</c:v>
                </c:pt>
                <c:pt idx="3">
                  <c:v>Canadá</c:v>
                </c:pt>
                <c:pt idx="4">
                  <c:v>Brasil</c:v>
                </c:pt>
                <c:pt idx="5">
                  <c:v>Argentina</c:v>
                </c:pt>
                <c:pt idx="6">
                  <c:v>Costa Rica</c:v>
                </c:pt>
                <c:pt idx="7">
                  <c:v>Bahamas</c:v>
                </c:pt>
                <c:pt idx="8">
                  <c:v>México</c:v>
                </c:pt>
                <c:pt idx="9">
                  <c:v>Colombia</c:v>
                </c:pt>
                <c:pt idx="10">
                  <c:v>Perú</c:v>
                </c:pt>
                <c:pt idx="11">
                  <c:v>Guyana</c:v>
                </c:pt>
                <c:pt idx="12">
                  <c:v>Bolivia</c:v>
                </c:pt>
                <c:pt idx="13">
                  <c:v>Panamá</c:v>
                </c:pt>
                <c:pt idx="14">
                  <c:v>Trinidad y Tabago</c:v>
                </c:pt>
                <c:pt idx="15">
                  <c:v>Barbados</c:v>
                </c:pt>
                <c:pt idx="16">
                  <c:v>Rep. Dominicana</c:v>
                </c:pt>
                <c:pt idx="17">
                  <c:v>Ecuador</c:v>
                </c:pt>
                <c:pt idx="18">
                  <c:v>Paraguay</c:v>
                </c:pt>
                <c:pt idx="19">
                  <c:v>Saint Kitts y Nevis</c:v>
                </c:pt>
                <c:pt idx="20">
                  <c:v>Belice</c:v>
                </c:pt>
                <c:pt idx="21">
                  <c:v>Suriname</c:v>
                </c:pt>
                <c:pt idx="22">
                  <c:v>Antigua y Barbuda</c:v>
                </c:pt>
                <c:pt idx="23">
                  <c:v>El Salvador</c:v>
                </c:pt>
                <c:pt idx="24">
                  <c:v>Guatemala</c:v>
                </c:pt>
                <c:pt idx="25">
                  <c:v>Haití</c:v>
                </c:pt>
                <c:pt idx="26">
                  <c:v>Santa Lucía</c:v>
                </c:pt>
                <c:pt idx="27">
                  <c:v>Jamaica</c:v>
                </c:pt>
                <c:pt idx="28">
                  <c:v>San Vicente</c:v>
                </c:pt>
                <c:pt idx="29">
                  <c:v>Granada</c:v>
                </c:pt>
                <c:pt idx="30">
                  <c:v>Nicaragua</c:v>
                </c:pt>
                <c:pt idx="31">
                  <c:v>Dominica</c:v>
                </c:pt>
                <c:pt idx="32">
                  <c:v>Honduras</c:v>
                </c:pt>
                <c:pt idx="33">
                  <c:v>Cuba</c:v>
                </c:pt>
                <c:pt idx="34">
                  <c:v>Venezuela</c:v>
                </c:pt>
              </c:strCache>
            </c:strRef>
          </c:cat>
          <c:val>
            <c:numRef>
              <c:f>'27. Cesta precios'!$C$6:$C$40</c:f>
              <c:numCache>
                <c:formatCode>0.0</c:formatCode>
                <c:ptCount val="35"/>
                <c:pt idx="0">
                  <c:v>2.68</c:v>
                </c:pt>
                <c:pt idx="1">
                  <c:v>2.38</c:v>
                </c:pt>
                <c:pt idx="2">
                  <c:v>0.83</c:v>
                </c:pt>
                <c:pt idx="3">
                  <c:v>0.93</c:v>
                </c:pt>
                <c:pt idx="4">
                  <c:v>1.43</c:v>
                </c:pt>
                <c:pt idx="5">
                  <c:v>4.67</c:v>
                </c:pt>
                <c:pt idx="6">
                  <c:v>1.79</c:v>
                </c:pt>
                <c:pt idx="7">
                  <c:v>1.19</c:v>
                </c:pt>
                <c:pt idx="8">
                  <c:v>2.37</c:v>
                </c:pt>
                <c:pt idx="9">
                  <c:v>3.93</c:v>
                </c:pt>
                <c:pt idx="10">
                  <c:v>3.35</c:v>
                </c:pt>
                <c:pt idx="11">
                  <c:v>7.64</c:v>
                </c:pt>
                <c:pt idx="12">
                  <c:v>7.58</c:v>
                </c:pt>
                <c:pt idx="13">
                  <c:v>2.67</c:v>
                </c:pt>
                <c:pt idx="14">
                  <c:v>1.55</c:v>
                </c:pt>
                <c:pt idx="15">
                  <c:v>3.35</c:v>
                </c:pt>
                <c:pt idx="16">
                  <c:v>3.21</c:v>
                </c:pt>
                <c:pt idx="17">
                  <c:v>4.59</c:v>
                </c:pt>
                <c:pt idx="18">
                  <c:v>4.9400000000000004</c:v>
                </c:pt>
                <c:pt idx="19">
                  <c:v>2.27</c:v>
                </c:pt>
                <c:pt idx="20">
                  <c:v>8.77</c:v>
                </c:pt>
                <c:pt idx="21">
                  <c:v>6.77</c:v>
                </c:pt>
                <c:pt idx="22">
                  <c:v>3.65</c:v>
                </c:pt>
                <c:pt idx="23">
                  <c:v>7.85</c:v>
                </c:pt>
                <c:pt idx="24">
                  <c:v>5.39</c:v>
                </c:pt>
                <c:pt idx="25">
                  <c:v>82.5</c:v>
                </c:pt>
                <c:pt idx="26">
                  <c:v>4.18</c:v>
                </c:pt>
                <c:pt idx="27">
                  <c:v>5.98</c:v>
                </c:pt>
                <c:pt idx="28">
                  <c:v>6.12</c:v>
                </c:pt>
                <c:pt idx="29">
                  <c:v>4.5</c:v>
                </c:pt>
                <c:pt idx="30">
                  <c:v>19.03</c:v>
                </c:pt>
                <c:pt idx="31">
                  <c:v>5.86</c:v>
                </c:pt>
                <c:pt idx="32">
                  <c:v>17.510000000000002</c:v>
                </c:pt>
                <c:pt idx="33">
                  <c:v>0</c:v>
                </c:pt>
                <c:pt idx="34">
                  <c:v>0</c:v>
                </c:pt>
              </c:numCache>
            </c:numRef>
          </c:val>
          <c:extLst>
            <c:ext xmlns:c16="http://schemas.microsoft.com/office/drawing/2014/chart" uri="{C3380CC4-5D6E-409C-BE32-E72D297353CC}">
              <c16:uniqueId val="{00000049-264D-424A-896F-70A7E1398200}"/>
            </c:ext>
          </c:extLst>
        </c:ser>
        <c:dLbls>
          <c:showLegendKey val="0"/>
          <c:showVal val="0"/>
          <c:showCatName val="0"/>
          <c:showSerName val="0"/>
          <c:showPercent val="0"/>
          <c:showBubbleSize val="0"/>
        </c:dLbls>
        <c:gapWidth val="219"/>
        <c:overlap val="-27"/>
        <c:axId val="826222559"/>
        <c:axId val="826205759"/>
      </c:barChart>
      <c:catAx>
        <c:axId val="1730554495"/>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730538655"/>
        <c:crosses val="autoZero"/>
        <c:auto val="1"/>
        <c:lblAlgn val="ctr"/>
        <c:lblOffset val="100"/>
        <c:noMultiLvlLbl val="0"/>
      </c:catAx>
      <c:valAx>
        <c:axId val="1730538655"/>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730554495"/>
        <c:crosses val="autoZero"/>
        <c:crossBetween val="between"/>
        <c:majorUnit val="1"/>
        <c:minorUnit val="0.5"/>
      </c:valAx>
      <c:valAx>
        <c:axId val="826205759"/>
        <c:scaling>
          <c:orientation val="minMax"/>
          <c:max val="100"/>
        </c:scaling>
        <c:delete val="1"/>
        <c:axPos val="r"/>
        <c:numFmt formatCode="0.0" sourceLinked="1"/>
        <c:majorTickMark val="out"/>
        <c:minorTickMark val="none"/>
        <c:tickLblPos val="nextTo"/>
        <c:crossAx val="826222559"/>
        <c:crosses val="max"/>
        <c:crossBetween val="between"/>
      </c:valAx>
      <c:catAx>
        <c:axId val="826222559"/>
        <c:scaling>
          <c:orientation val="minMax"/>
        </c:scaling>
        <c:delete val="1"/>
        <c:axPos val="b"/>
        <c:numFmt formatCode="General" sourceLinked="1"/>
        <c:majorTickMark val="out"/>
        <c:minorTickMark val="none"/>
        <c:tickLblPos val="nextTo"/>
        <c:crossAx val="826205759"/>
        <c:crosses val="autoZero"/>
        <c:auto val="1"/>
        <c:lblAlgn val="ctr"/>
        <c:lblOffset val="100"/>
        <c:noMultiLvlLbl val="0"/>
      </c:catAx>
      <c:spPr>
        <a:noFill/>
        <a:ln>
          <a:noFill/>
        </a:ln>
        <a:effectLst/>
      </c:spPr>
    </c:plotArea>
    <c:legend>
      <c:legendPos val="b"/>
      <c:legendEntry>
        <c:idx val="2"/>
        <c:delete val="1"/>
      </c:legendEntry>
      <c:legendEntry>
        <c:idx val="3"/>
        <c:delete val="1"/>
      </c:legendEntry>
      <c:layout>
        <c:manualLayout>
          <c:xMode val="edge"/>
          <c:yMode val="edge"/>
          <c:x val="0.15145833841070394"/>
          <c:y val="0.90471527777777783"/>
          <c:w val="0.66626555439114532"/>
          <c:h val="6.882638888888889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'28. Posesión tel.'!$A$4</c:f>
              <c:strCache>
                <c:ptCount val="1"/>
                <c:pt idx="0">
                  <c:v>Américas</c:v>
                </c:pt>
              </c:strCache>
            </c:strRef>
          </c:tx>
          <c:spPr>
            <a:ln w="28575" cap="rnd">
              <a:solidFill>
                <a:srgbClr val="A77BCA"/>
              </a:solidFill>
              <a:round/>
            </a:ln>
            <a:effectLst/>
          </c:spPr>
          <c:marker>
            <c:symbol val="none"/>
          </c:marker>
          <c:cat>
            <c:numRef>
              <c:f>'28. Posesión tel.'!$B$2:$G$2</c:f>
              <c:numCache>
                <c:formatCode>General</c:formatCode>
                <c:ptCount val="6"/>
                <c:pt idx="0">
                  <c:v>2019</c:v>
                </c:pt>
                <c:pt idx="1">
                  <c:v>2020</c:v>
                </c:pt>
                <c:pt idx="2">
                  <c:v>2021</c:v>
                </c:pt>
                <c:pt idx="3">
                  <c:v>2022</c:v>
                </c:pt>
                <c:pt idx="4">
                  <c:v>2023</c:v>
                </c:pt>
                <c:pt idx="5">
                  <c:v>2024</c:v>
                </c:pt>
              </c:numCache>
            </c:numRef>
          </c:cat>
          <c:val>
            <c:numRef>
              <c:f>'28. Posesión tel.'!$B$4:$G$4</c:f>
              <c:numCache>
                <c:formatCode>_-* #,##0.0_-;\-* #,##0.0_-;_-* "-"??_-;_-@_-</c:formatCode>
                <c:ptCount val="6"/>
                <c:pt idx="0">
                  <c:v>84.3</c:v>
                </c:pt>
                <c:pt idx="1">
                  <c:v>86.1</c:v>
                </c:pt>
                <c:pt idx="2">
                  <c:v>87</c:v>
                </c:pt>
                <c:pt idx="3">
                  <c:v>87.5</c:v>
                </c:pt>
                <c:pt idx="4">
                  <c:v>88.2</c:v>
                </c:pt>
                <c:pt idx="5">
                  <c:v>88.8</c:v>
                </c:pt>
              </c:numCache>
            </c:numRef>
          </c:val>
          <c:smooth val="0"/>
          <c:extLst>
            <c:ext xmlns:c16="http://schemas.microsoft.com/office/drawing/2014/chart" uri="{C3380CC4-5D6E-409C-BE32-E72D297353CC}">
              <c16:uniqueId val="{00000000-F9C1-4FF4-A06C-B1785EBF3E86}"/>
            </c:ext>
          </c:extLst>
        </c:ser>
        <c:ser>
          <c:idx val="0"/>
          <c:order val="1"/>
          <c:tx>
            <c:strRef>
              <c:f>'28. Posesión tel.'!$A$3</c:f>
              <c:strCache>
                <c:ptCount val="1"/>
                <c:pt idx="0">
                  <c:v> Mundo </c:v>
                </c:pt>
              </c:strCache>
            </c:strRef>
          </c:tx>
          <c:spPr>
            <a:ln w="28575" cap="rnd">
              <a:solidFill>
                <a:srgbClr val="00A0DF"/>
              </a:solidFill>
              <a:round/>
            </a:ln>
            <a:effectLst/>
          </c:spPr>
          <c:marker>
            <c:symbol val="none"/>
          </c:marker>
          <c:cat>
            <c:numRef>
              <c:f>'28. Posesión tel.'!$B$2:$G$2</c:f>
              <c:numCache>
                <c:formatCode>General</c:formatCode>
                <c:ptCount val="6"/>
                <c:pt idx="0">
                  <c:v>2019</c:v>
                </c:pt>
                <c:pt idx="1">
                  <c:v>2020</c:v>
                </c:pt>
                <c:pt idx="2">
                  <c:v>2021</c:v>
                </c:pt>
                <c:pt idx="3">
                  <c:v>2022</c:v>
                </c:pt>
                <c:pt idx="4">
                  <c:v>2023</c:v>
                </c:pt>
                <c:pt idx="5">
                  <c:v>2024</c:v>
                </c:pt>
              </c:numCache>
            </c:numRef>
          </c:cat>
          <c:val>
            <c:numRef>
              <c:f>'28. Posesión tel.'!$B$3:$G$3</c:f>
              <c:numCache>
                <c:formatCode>_-* #,##0.0_-;\-* #,##0.0_-;_-* "-"??_-;_-@_-</c:formatCode>
                <c:ptCount val="6"/>
                <c:pt idx="0">
                  <c:v>70.900000000000006</c:v>
                </c:pt>
                <c:pt idx="1">
                  <c:v>74.2</c:v>
                </c:pt>
                <c:pt idx="2">
                  <c:v>76.400000000000006</c:v>
                </c:pt>
                <c:pt idx="3">
                  <c:v>77.7</c:v>
                </c:pt>
                <c:pt idx="4">
                  <c:v>78.599999999999994</c:v>
                </c:pt>
                <c:pt idx="5">
                  <c:v>79.7</c:v>
                </c:pt>
              </c:numCache>
            </c:numRef>
          </c:val>
          <c:smooth val="0"/>
          <c:extLst>
            <c:ext xmlns:c16="http://schemas.microsoft.com/office/drawing/2014/chart" uri="{C3380CC4-5D6E-409C-BE32-E72D297353CC}">
              <c16:uniqueId val="{00000001-F9C1-4FF4-A06C-B1785EBF3E86}"/>
            </c:ext>
          </c:extLst>
        </c:ser>
        <c:dLbls>
          <c:showLegendKey val="0"/>
          <c:showVal val="0"/>
          <c:showCatName val="0"/>
          <c:showSerName val="0"/>
          <c:showPercent val="0"/>
          <c:showBubbleSize val="0"/>
        </c:dLbls>
        <c:smooth val="0"/>
        <c:axId val="1409304527"/>
        <c:axId val="1409305775"/>
      </c:lineChart>
      <c:catAx>
        <c:axId val="1409304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5775"/>
        <c:crosses val="autoZero"/>
        <c:auto val="1"/>
        <c:lblAlgn val="ctr"/>
        <c:lblOffset val="100"/>
        <c:noMultiLvlLbl val="0"/>
      </c:catAx>
      <c:valAx>
        <c:axId val="1409305775"/>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4527"/>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'29. Posesión tel. por sexo'!$D$3:$D$4</c:f>
              <c:strCache>
                <c:ptCount val="2"/>
                <c:pt idx="1">
                  <c:v>Mujeres</c:v>
                </c:pt>
              </c:strCache>
            </c:strRef>
          </c:tx>
          <c:spPr>
            <a:solidFill>
              <a:srgbClr val="6FA287"/>
            </a:solidFill>
            <a:ln>
              <a:noFill/>
            </a:ln>
            <a:effectLst/>
          </c:spPr>
          <c:invertIfNegative val="0"/>
          <c:dPt>
            <c:idx val="0"/>
            <c:invertIfNegative val="0"/>
            <c:bubble3D val="0"/>
            <c:spPr>
              <a:solidFill>
                <a:srgbClr val="A77BCA"/>
              </a:solidFill>
              <a:ln>
                <a:noFill/>
              </a:ln>
              <a:effectLst/>
            </c:spPr>
            <c:extLst>
              <c:ext xmlns:c16="http://schemas.microsoft.com/office/drawing/2014/chart" uri="{C3380CC4-5D6E-409C-BE32-E72D297353CC}">
                <c16:uniqueId val="{00000001-DF0D-4A85-A9C1-663FF9A98931}"/>
              </c:ext>
            </c:extLst>
          </c:dPt>
          <c:dPt>
            <c:idx val="1"/>
            <c:invertIfNegative val="0"/>
            <c:bubble3D val="0"/>
            <c:spPr>
              <a:solidFill>
                <a:srgbClr val="00A0DF"/>
              </a:solidFill>
              <a:ln>
                <a:noFill/>
              </a:ln>
              <a:effectLst/>
            </c:spPr>
            <c:extLst>
              <c:ext xmlns:c16="http://schemas.microsoft.com/office/drawing/2014/chart" uri="{C3380CC4-5D6E-409C-BE32-E72D297353CC}">
                <c16:uniqueId val="{00000003-DF0D-4A85-A9C1-663FF9A98931}"/>
              </c:ext>
            </c:extLst>
          </c:dPt>
          <c:dLbls>
            <c:dLbl>
              <c:idx val="0"/>
              <c:layout>
                <c:manualLayout>
                  <c:x val="-4.5095965718370393E-2"/>
                  <c:y val="1.3417146562456222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fld id="{EEA3C558-21EC-444A-A3D7-B3A0F9949039}" type="SERIESNAME">
                      <a:rPr lang="en-US"/>
                      <a:pPr>
                        <a:defRPr/>
                      </a:pPr>
                      <a:t>[SERIES NAME]</a:t>
                    </a:fld>
                    <a:r>
                      <a:rPr lang="en-US" baseline="0"/>
                      <a:t>,</a:t>
                    </a:r>
                  </a:p>
                  <a:p>
                    <a:pPr>
                      <a:defRPr/>
                    </a:pPr>
                    <a:r>
                      <a:rPr lang="en-US" baseline="0"/>
                      <a:t> </a:t>
                    </a:r>
                    <a:fld id="{FA798302-1F67-814B-95FE-ADEF52FED5AF}" type="VALUE">
                      <a:rPr lang="en-US" baseline="0"/>
                      <a:pPr>
                        <a:defRPr/>
                      </a:pPr>
                      <a:t>[VALUE]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0.20327709387285878"/>
                      <c:h val="0.10354574656780735"/>
                    </c:manualLayout>
                  </c15:layout>
                  <c15:dlblFieldTable/>
                  <c15:showDataLabelsRange val="0"/>
                </c:ext>
                <c:ext xmlns:c16="http://schemas.microsoft.com/office/drawing/2014/chart" uri="{C3380CC4-5D6E-409C-BE32-E72D297353CC}">
                  <c16:uniqueId val="{00000001-DF0D-4A85-A9C1-663FF9A98931}"/>
                </c:ext>
              </c:extLst>
            </c:dLbl>
            <c:dLbl>
              <c:idx val="1"/>
              <c:layout>
                <c:manualLayout>
                  <c:x val="-1.6025671358907454E-2"/>
                  <c:y val="0"/>
                </c:manualLayout>
              </c:layout>
              <c:tx>
                <c:rich>
                  <a:bodyPr/>
                  <a:lstStyle/>
                  <a:p>
                    <a:fld id="{04641128-6504-6045-8EB6-0F081EF0CB6E}" type="SERIESNAME">
                      <a:rPr lang="en-US"/>
                      <a:pPr/>
                      <a:t>[SERIES NAME]</a:t>
                    </a:fld>
                    <a:r>
                      <a:rPr lang="en-US" baseline="0"/>
                      <a:t>, </a:t>
                    </a:r>
                  </a:p>
                  <a:p>
                    <a:fld id="{FC760270-C880-F249-8C96-B6EDE4E18AAA}" type="VALUE">
                      <a:rPr lang="en-US" baseline="0"/>
                      <a:pPr/>
                      <a:t>[VALUE]</a:t>
                    </a:fld>
                    <a:endParaRPr lang="en-GB"/>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F0D-4A85-A9C1-663FF9A9893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'29. Posesión tel. por sexo'!$A$5:$A$6</c:f>
              <c:strCache>
                <c:ptCount val="2"/>
                <c:pt idx="0">
                  <c:v>Américas</c:v>
                </c:pt>
                <c:pt idx="1">
                  <c:v> Mundo </c:v>
                </c:pt>
              </c:strCache>
            </c:strRef>
          </c:cat>
          <c:val>
            <c:numRef>
              <c:f>'29. Posesión tel. por sexo'!$D$5:$D$6</c:f>
              <c:numCache>
                <c:formatCode>_-* #,##0_-;\-* #,##0_-;_-* "-"??_-;_-@_-</c:formatCode>
                <c:ptCount val="2"/>
                <c:pt idx="0">
                  <c:v>89.4</c:v>
                </c:pt>
                <c:pt idx="1">
                  <c:v>77</c:v>
                </c:pt>
              </c:numCache>
            </c:numRef>
          </c:val>
          <c:extLst>
            <c:ext xmlns:c16="http://schemas.microsoft.com/office/drawing/2014/chart" uri="{C3380CC4-5D6E-409C-BE32-E72D297353CC}">
              <c16:uniqueId val="{00000004-DF0D-4A85-A9C1-663FF9A98931}"/>
            </c:ext>
          </c:extLst>
        </c:ser>
        <c:ser>
          <c:idx val="3"/>
          <c:order val="1"/>
          <c:tx>
            <c:strRef>
              <c:f>'29. Posesión tel. por sexo'!$E$3:$E$4</c:f>
              <c:strCache>
                <c:ptCount val="2"/>
                <c:pt idx="1">
                  <c:v>Hombres</c:v>
                </c:pt>
              </c:strCache>
            </c:strRef>
          </c:tx>
          <c:spPr>
            <a:solidFill>
              <a:srgbClr val="0070C0"/>
            </a:solidFill>
            <a:ln>
              <a:noFill/>
            </a:ln>
            <a:effectLst/>
          </c:spPr>
          <c:invertIfNegative val="0"/>
          <c:dPt>
            <c:idx val="0"/>
            <c:invertIfNegative val="0"/>
            <c:bubble3D val="0"/>
            <c:spPr>
              <a:solidFill>
                <a:srgbClr val="403A60"/>
              </a:solidFill>
              <a:ln>
                <a:noFill/>
              </a:ln>
              <a:effectLst/>
            </c:spPr>
            <c:extLst>
              <c:ext xmlns:c16="http://schemas.microsoft.com/office/drawing/2014/chart" uri="{C3380CC4-5D6E-409C-BE32-E72D297353CC}">
                <c16:uniqueId val="{00000006-DF0D-4A85-A9C1-663FF9A98931}"/>
              </c:ext>
            </c:extLst>
          </c:dPt>
          <c:dLbls>
            <c:dLbl>
              <c:idx val="0"/>
              <c:layout>
                <c:manualLayout>
                  <c:x val="3.706756472942048E-2"/>
                  <c:y val="2.8738662314422371E-4"/>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0.22335528133854582"/>
                      <c:h val="9.1537518433821602E-2"/>
                    </c:manualLayout>
                  </c15:layout>
                </c:ext>
                <c:ext xmlns:c16="http://schemas.microsoft.com/office/drawing/2014/chart" uri="{C3380CC4-5D6E-409C-BE32-E72D297353CC}">
                  <c16:uniqueId val="{00000006-DF0D-4A85-A9C1-663FF9A98931}"/>
                </c:ext>
              </c:extLst>
            </c:dLbl>
            <c:dLbl>
              <c:idx val="1"/>
              <c:layout>
                <c:manualLayout>
                  <c:x val="2.368598322072555E-2"/>
                  <c:y val="-2.3961468419107429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0.20317945165604884"/>
                      <c:h val="9.1381706409225327E-2"/>
                    </c:manualLayout>
                  </c15:layout>
                </c:ext>
                <c:ext xmlns:c16="http://schemas.microsoft.com/office/drawing/2014/chart" uri="{C3380CC4-5D6E-409C-BE32-E72D297353CC}">
                  <c16:uniqueId val="{00000007-DF0D-4A85-A9C1-663FF9A9893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'29. Posesión tel. por sexo'!$A$5:$A$6</c:f>
              <c:strCache>
                <c:ptCount val="2"/>
                <c:pt idx="0">
                  <c:v>Américas</c:v>
                </c:pt>
                <c:pt idx="1">
                  <c:v> Mundo </c:v>
                </c:pt>
              </c:strCache>
            </c:strRef>
          </c:cat>
          <c:val>
            <c:numRef>
              <c:f>'29. Posesión tel. por sexo'!$E$5:$E$6</c:f>
              <c:numCache>
                <c:formatCode>_-* #,##0_-;\-* #,##0_-;_-* "-"??_-;_-@_-</c:formatCode>
                <c:ptCount val="2"/>
                <c:pt idx="0">
                  <c:v>88.2</c:v>
                </c:pt>
                <c:pt idx="1">
                  <c:v>82.4</c:v>
                </c:pt>
              </c:numCache>
            </c:numRef>
          </c:val>
          <c:extLst>
            <c:ext xmlns:c16="http://schemas.microsoft.com/office/drawing/2014/chart" uri="{C3380CC4-5D6E-409C-BE32-E72D297353CC}">
              <c16:uniqueId val="{00000008-DF0D-4A85-A9C1-663FF9A98931}"/>
            </c:ext>
          </c:extLst>
        </c:ser>
        <c:dLbls>
          <c:showLegendKey val="0"/>
          <c:showVal val="0"/>
          <c:showCatName val="0"/>
          <c:showSerName val="0"/>
          <c:showPercent val="0"/>
          <c:showBubbleSize val="0"/>
        </c:dLbls>
        <c:gapWidth val="219"/>
        <c:overlap val="-27"/>
        <c:axId val="1730554495"/>
        <c:axId val="1730538655"/>
      </c:barChart>
      <c:barChart>
        <c:barDir val="col"/>
        <c:grouping val="clustered"/>
        <c:varyColors val="0"/>
        <c:ser>
          <c:idx val="0"/>
          <c:order val="2"/>
          <c:tx>
            <c:strRef>
              <c:f>'29. Posesión tel. por sexo'!$B$3:$B$4</c:f>
              <c:strCache>
                <c:ptCount val="2"/>
              </c:strCache>
            </c:strRef>
          </c:tx>
          <c:spPr>
            <a:noFill/>
            <a:ln>
              <a:noFill/>
            </a:ln>
            <a:effectLst>
              <a:outerShdw dist="25400" dir="16200000" algn="ctr" rotWithShape="0">
                <a:schemeClr val="tx1"/>
              </a:outerShdw>
            </a:effectLst>
          </c:spPr>
          <c:invertIfNegative val="0"/>
          <c:dLbls>
            <c:dLbl>
              <c:idx val="0"/>
              <c:tx>
                <c:rich>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Avenir Next LT Pro Demi" panose="020B0704020202020204" pitchFamily="34" charset="0"/>
                        <a:ea typeface="+mn-ea"/>
                        <a:cs typeface="+mn-cs"/>
                      </a:defRPr>
                    </a:pPr>
                    <a:fld id="{69F4331C-DFD1-41AC-BC14-7D1A05535E79}" type="CELLRANGE">
                      <a:rPr lang="en-US">
                        <a:solidFill>
                          <a:schemeClr val="bg1"/>
                        </a:solidFill>
                      </a:rPr>
                      <a:pPr>
                        <a:defRPr>
                          <a:solidFill>
                            <a:schemeClr val="bg1"/>
                          </a:solidFill>
                        </a:defRPr>
                      </a:pPr>
                      <a:t>[CELLRANGE]</a:t>
                    </a:fld>
                    <a:endParaRPr lang="en-GB"/>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Avenir Next LT Pro Demi" panose="020B0704020202020204" pitchFamily="34" charset="0"/>
                      <a:ea typeface="+mn-ea"/>
                      <a:cs typeface="+mn-cs"/>
                    </a:defRPr>
                  </a:pPr>
                  <a:endParaRPr lang="en-GB"/>
                </a:p>
              </c:txPr>
              <c:dLblPos val="inEnd"/>
              <c:showLegendKey val="0"/>
              <c:showVal val="0"/>
              <c:showCatName val="0"/>
              <c:showSerName val="0"/>
              <c:showPercent val="0"/>
              <c:showBubbleSize val="0"/>
              <c:extLst>
                <c:ext xmlns:c15="http://schemas.microsoft.com/office/drawing/2012/chart" uri="{CE6537A1-D6FC-4f65-9D91-7224C49458BB}">
                  <c15:layout>
                    <c:manualLayout>
                      <c:w val="0.15085037037037036"/>
                      <c:h val="0.12090888888888889"/>
                    </c:manualLayout>
                  </c15:layout>
                  <c15:dlblFieldTable/>
                  <c15:showDataLabelsRange val="1"/>
                </c:ext>
                <c:ext xmlns:c16="http://schemas.microsoft.com/office/drawing/2014/chart" uri="{C3380CC4-5D6E-409C-BE32-E72D297353CC}">
                  <c16:uniqueId val="{00000009-DF0D-4A85-A9C1-663FF9A98931}"/>
                </c:ext>
              </c:extLst>
            </c:dLbl>
            <c:dLbl>
              <c:idx val="1"/>
              <c:tx>
                <c:rich>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Avenir Next LT Pro Demi" panose="020B0704020202020204" pitchFamily="34" charset="0"/>
                        <a:ea typeface="+mn-ea"/>
                        <a:cs typeface="+mn-cs"/>
                      </a:defRPr>
                    </a:pPr>
                    <a:fld id="{8F4FF11A-6A3F-4665-88C1-1CC7CDD916B2}" type="CELLRANGE">
                      <a:rPr lang="en-US">
                        <a:solidFill>
                          <a:schemeClr val="bg1"/>
                        </a:solidFill>
                      </a:rPr>
                      <a:pPr>
                        <a:defRPr>
                          <a:solidFill>
                            <a:schemeClr val="bg1"/>
                          </a:solidFill>
                        </a:defRPr>
                      </a:pPr>
                      <a:t>[CELLRANGE]</a:t>
                    </a:fld>
                    <a:endParaRPr lang="en-GB"/>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Avenir Next LT Pro Demi" panose="020B0704020202020204" pitchFamily="34" charset="0"/>
                      <a:ea typeface="+mn-ea"/>
                      <a:cs typeface="+mn-cs"/>
                    </a:defRPr>
                  </a:pPr>
                  <a:endParaRPr lang="en-GB"/>
                </a:p>
              </c:txPr>
              <c:dLblPos val="inEnd"/>
              <c:showLegendKey val="0"/>
              <c:showVal val="0"/>
              <c:showCatName val="0"/>
              <c:showSerName val="0"/>
              <c:showPercent val="0"/>
              <c:showBubbleSize val="0"/>
              <c:extLst>
                <c:ext xmlns:c15="http://schemas.microsoft.com/office/drawing/2012/chart" uri="{CE6537A1-D6FC-4f65-9D91-7224C49458BB}">
                  <c15:layout>
                    <c:manualLayout>
                      <c:w val="0.14725370370370369"/>
                      <c:h val="0.14442740740740742"/>
                    </c:manualLayout>
                  </c15:layout>
                  <c15:dlblFieldTable/>
                  <c15:showDataLabelsRange val="1"/>
                </c:ext>
                <c:ext xmlns:c16="http://schemas.microsoft.com/office/drawing/2014/chart" uri="{C3380CC4-5D6E-409C-BE32-E72D297353CC}">
                  <c16:uniqueId val="{0000000A-DF0D-4A85-A9C1-663FF9A9893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venir Next LT Pro Demi" panose="020B0704020202020204" pitchFamily="34" charset="0"/>
                    <a:ea typeface="+mn-ea"/>
                    <a:cs typeface="+mn-cs"/>
                  </a:defRPr>
                </a:pPr>
                <a:endParaRPr lang="en-US"/>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'29. Posesión tel. por sexo'!$A$5:$A$6</c:f>
              <c:strCache>
                <c:ptCount val="2"/>
                <c:pt idx="0">
                  <c:v>Américas</c:v>
                </c:pt>
                <c:pt idx="1">
                  <c:v> Mundo </c:v>
                </c:pt>
              </c:strCache>
            </c:strRef>
          </c:cat>
          <c:val>
            <c:numRef>
              <c:f>'29. Posesión tel. por sexo'!$B$5:$B$6</c:f>
              <c:numCache>
                <c:formatCode>_-* #,##0_-;\-* #,##0_-;_-* "-"??_-;_-@_-</c:formatCode>
                <c:ptCount val="2"/>
                <c:pt idx="0">
                  <c:v>86.7</c:v>
                </c:pt>
                <c:pt idx="1">
                  <c:v>72.8</c:v>
                </c:pt>
              </c:numCache>
            </c:numRef>
          </c:val>
          <c:extLst>
            <c:ext xmlns:c15="http://schemas.microsoft.com/office/drawing/2012/chart" uri="{02D57815-91ED-43cb-92C2-25804820EDAC}">
              <c15:datalabelsRange>
                <c15:f>'29. Posesión tel. por sexo'!$G$5:$G$6</c15:f>
                <c15:dlblRangeCache>
                  <c:ptCount val="2"/>
                  <c:pt idx="0">
                    <c:v>2021: 87</c:v>
                  </c:pt>
                  <c:pt idx="1">
                    <c:v>2021: 73</c:v>
                  </c:pt>
                </c15:dlblRangeCache>
              </c15:datalabelsRange>
            </c:ext>
            <c:ext xmlns:c16="http://schemas.microsoft.com/office/drawing/2014/chart" uri="{C3380CC4-5D6E-409C-BE32-E72D297353CC}">
              <c16:uniqueId val="{0000000B-DF0D-4A85-A9C1-663FF9A98931}"/>
            </c:ext>
          </c:extLst>
        </c:ser>
        <c:ser>
          <c:idx val="1"/>
          <c:order val="3"/>
          <c:tx>
            <c:strRef>
              <c:f>'29. Posesión tel. por sexo'!$C$3:$C$4</c:f>
              <c:strCache>
                <c:ptCount val="2"/>
              </c:strCache>
            </c:strRef>
          </c:tx>
          <c:spPr>
            <a:noFill/>
            <a:ln>
              <a:noFill/>
            </a:ln>
            <a:effectLst>
              <a:outerShdw dist="25400" dir="16200000" algn="ctr" rotWithShape="0">
                <a:schemeClr val="tx1"/>
              </a:outerShdw>
            </a:effectLst>
          </c:spPr>
          <c:invertIfNegative val="0"/>
          <c:dLbls>
            <c:dLbl>
              <c:idx val="0"/>
              <c:tx>
                <c:rich>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Avenir Next LT Pro Demi" panose="020B0704020202020204" pitchFamily="34" charset="0"/>
                        <a:ea typeface="+mn-ea"/>
                        <a:cs typeface="+mn-cs"/>
                      </a:defRPr>
                    </a:pPr>
                    <a:fld id="{D6FE85A8-B772-4F65-BD23-4F698FC7D3F9}" type="CELLRANGE">
                      <a:rPr lang="en-US">
                        <a:solidFill>
                          <a:schemeClr val="bg1"/>
                        </a:solidFill>
                      </a:rPr>
                      <a:pPr>
                        <a:defRPr>
                          <a:solidFill>
                            <a:schemeClr val="bg1"/>
                          </a:solidFill>
                        </a:defRPr>
                      </a:pPr>
                      <a:t>[CELLRANGE]</a:t>
                    </a:fld>
                    <a:endParaRPr lang="en-GB"/>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Avenir Next LT Pro Demi" panose="020B0704020202020204" pitchFamily="34" charset="0"/>
                      <a:ea typeface="+mn-ea"/>
                      <a:cs typeface="+mn-cs"/>
                    </a:defRPr>
                  </a:pPr>
                  <a:endParaRPr lang="en-GB"/>
                </a:p>
              </c:txPr>
              <c:dLblPos val="inEnd"/>
              <c:showLegendKey val="0"/>
              <c:showVal val="0"/>
              <c:showCatName val="0"/>
              <c:showSerName val="0"/>
              <c:showPercent val="0"/>
              <c:showBubbleSize val="0"/>
              <c:extLst>
                <c:ext xmlns:c15="http://schemas.microsoft.com/office/drawing/2012/chart" uri="{CE6537A1-D6FC-4f65-9D91-7224C49458BB}">
                  <c15:layout>
                    <c:manualLayout>
                      <c:w val="0.12916461554949657"/>
                      <c:h val="0.16324222222222223"/>
                    </c:manualLayout>
                  </c15:layout>
                  <c15:dlblFieldTable/>
                  <c15:showDataLabelsRange val="1"/>
                </c:ext>
                <c:ext xmlns:c16="http://schemas.microsoft.com/office/drawing/2014/chart" uri="{C3380CC4-5D6E-409C-BE32-E72D297353CC}">
                  <c16:uniqueId val="{0000000C-DF0D-4A85-A9C1-663FF9A98931}"/>
                </c:ext>
              </c:extLst>
            </c:dLbl>
            <c:dLbl>
              <c:idx val="1"/>
              <c:tx>
                <c:rich>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Avenir Next LT Pro Demi" panose="020B0704020202020204" pitchFamily="34" charset="0"/>
                        <a:ea typeface="+mn-ea"/>
                        <a:cs typeface="+mn-cs"/>
                      </a:defRPr>
                    </a:pPr>
                    <a:fld id="{B0C1775E-756F-435D-B2EB-A580725ABD8E}" type="CELLRANGE">
                      <a:rPr lang="en-US">
                        <a:solidFill>
                          <a:schemeClr val="bg1"/>
                        </a:solidFill>
                      </a:rPr>
                      <a:pPr>
                        <a:defRPr>
                          <a:solidFill>
                            <a:schemeClr val="bg1"/>
                          </a:solidFill>
                        </a:defRPr>
                      </a:pPr>
                      <a:t>[CELLRANGE]</a:t>
                    </a:fld>
                    <a:endParaRPr lang="en-GB"/>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Avenir Next LT Pro Demi" panose="020B0704020202020204" pitchFamily="34" charset="0"/>
                      <a:ea typeface="+mn-ea"/>
                      <a:cs typeface="+mn-cs"/>
                    </a:defRPr>
                  </a:pPr>
                  <a:endParaRPr lang="en-GB"/>
                </a:p>
              </c:txPr>
              <c:dLblPos val="inEnd"/>
              <c:showLegendKey val="0"/>
              <c:showVal val="0"/>
              <c:showCatName val="0"/>
              <c:showSerName val="0"/>
              <c:showPercent val="0"/>
              <c:showBubbleSize val="0"/>
              <c:extLst>
                <c:ext xmlns:c15="http://schemas.microsoft.com/office/drawing/2012/chart" uri="{CE6537A1-D6FC-4f65-9D91-7224C49458BB}">
                  <c15:layout>
                    <c:manualLayout>
                      <c:w val="0.15028273628415675"/>
                      <c:h val="0.12561259259259258"/>
                    </c:manualLayout>
                  </c15:layout>
                  <c15:dlblFieldTable/>
                  <c15:showDataLabelsRange val="1"/>
                </c:ext>
                <c:ext xmlns:c16="http://schemas.microsoft.com/office/drawing/2014/chart" uri="{C3380CC4-5D6E-409C-BE32-E72D297353CC}">
                  <c16:uniqueId val="{0000000D-DF0D-4A85-A9C1-663FF9A9893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venir Next LT Pro Demi" panose="020B0704020202020204" pitchFamily="34" charset="0"/>
                    <a:ea typeface="+mn-ea"/>
                    <a:cs typeface="+mn-cs"/>
                  </a:defRPr>
                </a:pPr>
                <a:endParaRPr lang="en-US"/>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'29. Posesión tel. por sexo'!$A$5:$A$6</c:f>
              <c:strCache>
                <c:ptCount val="2"/>
                <c:pt idx="0">
                  <c:v>Américas</c:v>
                </c:pt>
                <c:pt idx="1">
                  <c:v> Mundo </c:v>
                </c:pt>
              </c:strCache>
            </c:strRef>
          </c:cat>
          <c:val>
            <c:numRef>
              <c:f>'29. Posesión tel. por sexo'!$C$5:$C$6</c:f>
              <c:numCache>
                <c:formatCode>_-* #,##0_-;\-* #,##0_-;_-* "-"??_-;_-@_-</c:formatCode>
                <c:ptCount val="2"/>
                <c:pt idx="0">
                  <c:v>87.4</c:v>
                </c:pt>
                <c:pt idx="1">
                  <c:v>80.099999999999994</c:v>
                </c:pt>
              </c:numCache>
            </c:numRef>
          </c:val>
          <c:extLst>
            <c:ext xmlns:c15="http://schemas.microsoft.com/office/drawing/2012/chart" uri="{02D57815-91ED-43cb-92C2-25804820EDAC}">
              <c15:datalabelsRange>
                <c15:f>'29. Posesión tel. por sexo'!$H$5:$H$6</c15:f>
                <c15:dlblRangeCache>
                  <c:ptCount val="2"/>
                  <c:pt idx="0">
                    <c:v>2021: 87</c:v>
                  </c:pt>
                  <c:pt idx="1">
                    <c:v>2021: 80</c:v>
                  </c:pt>
                </c15:dlblRangeCache>
              </c15:datalabelsRange>
            </c:ext>
            <c:ext xmlns:c16="http://schemas.microsoft.com/office/drawing/2014/chart" uri="{C3380CC4-5D6E-409C-BE32-E72D297353CC}">
              <c16:uniqueId val="{0000000E-DF0D-4A85-A9C1-663FF9A98931}"/>
            </c:ext>
          </c:extLst>
        </c:ser>
        <c:dLbls>
          <c:showLegendKey val="0"/>
          <c:showVal val="0"/>
          <c:showCatName val="0"/>
          <c:showSerName val="0"/>
          <c:showPercent val="0"/>
          <c:showBubbleSize val="0"/>
        </c:dLbls>
        <c:gapWidth val="219"/>
        <c:overlap val="-27"/>
        <c:axId val="826222559"/>
        <c:axId val="826205759"/>
      </c:barChart>
      <c:catAx>
        <c:axId val="1730554495"/>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730538655"/>
        <c:crosses val="autoZero"/>
        <c:auto val="1"/>
        <c:lblAlgn val="ctr"/>
        <c:lblOffset val="100"/>
        <c:noMultiLvlLbl val="0"/>
      </c:catAx>
      <c:valAx>
        <c:axId val="1730538655"/>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730554495"/>
        <c:crosses val="autoZero"/>
        <c:crossBetween val="between"/>
        <c:majorUnit val="20"/>
      </c:valAx>
      <c:valAx>
        <c:axId val="826205759"/>
        <c:scaling>
          <c:orientation val="minMax"/>
          <c:max val="100"/>
          <c:min val="0"/>
        </c:scaling>
        <c:delete val="1"/>
        <c:axPos val="r"/>
        <c:numFmt formatCode="_-* #,##0_-;\-* #,##0_-;_-* &quot;-&quot;??_-;_-@_-" sourceLinked="1"/>
        <c:majorTickMark val="out"/>
        <c:minorTickMark val="none"/>
        <c:tickLblPos val="nextTo"/>
        <c:crossAx val="826222559"/>
        <c:crosses val="max"/>
        <c:crossBetween val="between"/>
      </c:valAx>
      <c:catAx>
        <c:axId val="826222559"/>
        <c:scaling>
          <c:orientation val="minMax"/>
        </c:scaling>
        <c:delete val="1"/>
        <c:axPos val="b"/>
        <c:numFmt formatCode="General" sourceLinked="1"/>
        <c:majorTickMark val="out"/>
        <c:minorTickMark val="none"/>
        <c:tickLblPos val="nextTo"/>
        <c:crossAx val="826205759"/>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'30. Posesión de tel. %'!$D$3</c:f>
              <c:strCache>
                <c:ptCount val="1"/>
                <c:pt idx="0">
                  <c:v>2023 o último año disponible</c:v>
                </c:pt>
              </c:strCache>
            </c:strRef>
          </c:tx>
          <c:spPr>
            <a:solidFill>
              <a:srgbClr val="A77BCA"/>
            </a:solidFill>
            <a:ln>
              <a:noFill/>
            </a:ln>
            <a:effectLst/>
          </c:spPr>
          <c:invertIfNegative val="0"/>
          <c:dPt>
            <c:idx val="0"/>
            <c:invertIfNegative val="0"/>
            <c:bubble3D val="0"/>
            <c:spPr>
              <a:solidFill>
                <a:srgbClr val="403A60"/>
              </a:solidFill>
              <a:ln>
                <a:noFill/>
              </a:ln>
              <a:effectLst/>
            </c:spPr>
            <c:extLst>
              <c:ext xmlns:c16="http://schemas.microsoft.com/office/drawing/2014/chart" uri="{C3380CC4-5D6E-409C-BE32-E72D297353CC}">
                <c16:uniqueId val="{00000001-D873-4C90-BCFB-17B6463F427D}"/>
              </c:ext>
            </c:extLst>
          </c:dPt>
          <c:dPt>
            <c:idx val="3"/>
            <c:invertIfNegative val="0"/>
            <c:bubble3D val="0"/>
            <c:spPr>
              <a:solidFill>
                <a:srgbClr val="A77BCA"/>
              </a:solidFill>
              <a:ln>
                <a:noFill/>
              </a:ln>
              <a:effectLst/>
            </c:spPr>
            <c:extLst>
              <c:ext xmlns:c16="http://schemas.microsoft.com/office/drawing/2014/chart" uri="{C3380CC4-5D6E-409C-BE32-E72D297353CC}">
                <c16:uniqueId val="{00000003-D873-4C90-BCFB-17B6463F427D}"/>
              </c:ext>
            </c:extLst>
          </c:dPt>
          <c:dPt>
            <c:idx val="4"/>
            <c:invertIfNegative val="0"/>
            <c:bubble3D val="0"/>
            <c:spPr>
              <a:solidFill>
                <a:srgbClr val="A77BCA"/>
              </a:solidFill>
              <a:ln>
                <a:noFill/>
              </a:ln>
              <a:effectLst/>
            </c:spPr>
            <c:extLst>
              <c:ext xmlns:c16="http://schemas.microsoft.com/office/drawing/2014/chart" uri="{C3380CC4-5D6E-409C-BE32-E72D297353CC}">
                <c16:uniqueId val="{00000005-D873-4C90-BCFB-17B6463F427D}"/>
              </c:ext>
            </c:extLst>
          </c:dPt>
          <c:dPt>
            <c:idx val="5"/>
            <c:invertIfNegative val="0"/>
            <c:bubble3D val="0"/>
            <c:spPr>
              <a:solidFill>
                <a:srgbClr val="403A60"/>
              </a:solidFill>
              <a:ln>
                <a:noFill/>
              </a:ln>
              <a:effectLst/>
            </c:spPr>
            <c:extLst>
              <c:ext xmlns:c16="http://schemas.microsoft.com/office/drawing/2014/chart" uri="{C3380CC4-5D6E-409C-BE32-E72D297353CC}">
                <c16:uniqueId val="{00000007-D873-4C90-BCFB-17B6463F427D}"/>
              </c:ext>
            </c:extLst>
          </c:dPt>
          <c:dPt>
            <c:idx val="6"/>
            <c:invertIfNegative val="0"/>
            <c:bubble3D val="0"/>
            <c:spPr>
              <a:solidFill>
                <a:srgbClr val="A77BCA"/>
              </a:solidFill>
              <a:ln>
                <a:noFill/>
              </a:ln>
              <a:effectLst/>
            </c:spPr>
            <c:extLst>
              <c:ext xmlns:c16="http://schemas.microsoft.com/office/drawing/2014/chart" uri="{C3380CC4-5D6E-409C-BE32-E72D297353CC}">
                <c16:uniqueId val="{00000009-D873-4C90-BCFB-17B6463F427D}"/>
              </c:ext>
            </c:extLst>
          </c:dPt>
          <c:dPt>
            <c:idx val="11"/>
            <c:invertIfNegative val="0"/>
            <c:bubble3D val="0"/>
            <c:spPr>
              <a:solidFill>
                <a:srgbClr val="A77BCA"/>
              </a:solidFill>
              <a:ln>
                <a:noFill/>
              </a:ln>
              <a:effectLst/>
            </c:spPr>
            <c:extLst>
              <c:ext xmlns:c16="http://schemas.microsoft.com/office/drawing/2014/chart" uri="{C3380CC4-5D6E-409C-BE32-E72D297353CC}">
                <c16:uniqueId val="{0000000B-D873-4C90-BCFB-17B6463F427D}"/>
              </c:ext>
            </c:extLst>
          </c:dPt>
          <c:dPt>
            <c:idx val="13"/>
            <c:invertIfNegative val="0"/>
            <c:bubble3D val="0"/>
            <c:spPr>
              <a:solidFill>
                <a:srgbClr val="A77BCA"/>
              </a:solidFill>
              <a:ln>
                <a:noFill/>
              </a:ln>
              <a:effectLst/>
            </c:spPr>
            <c:extLst>
              <c:ext xmlns:c16="http://schemas.microsoft.com/office/drawing/2014/chart" uri="{C3380CC4-5D6E-409C-BE32-E72D297353CC}">
                <c16:uniqueId val="{0000000D-D873-4C90-BCFB-17B6463F427D}"/>
              </c:ext>
            </c:extLst>
          </c:dPt>
          <c:dPt>
            <c:idx val="14"/>
            <c:invertIfNegative val="0"/>
            <c:bubble3D val="0"/>
            <c:spPr>
              <a:solidFill>
                <a:srgbClr val="403A60"/>
              </a:solidFill>
              <a:ln>
                <a:noFill/>
              </a:ln>
              <a:effectLst/>
            </c:spPr>
            <c:extLst>
              <c:ext xmlns:c16="http://schemas.microsoft.com/office/drawing/2014/chart" uri="{C3380CC4-5D6E-409C-BE32-E72D297353CC}">
                <c16:uniqueId val="{0000000F-D873-4C90-BCFB-17B6463F427D}"/>
              </c:ext>
            </c:extLst>
          </c:dPt>
          <c:dPt>
            <c:idx val="17"/>
            <c:invertIfNegative val="0"/>
            <c:bubble3D val="0"/>
            <c:spPr>
              <a:solidFill>
                <a:srgbClr val="A77BCA"/>
              </a:solidFill>
              <a:ln>
                <a:noFill/>
              </a:ln>
              <a:effectLst/>
            </c:spPr>
            <c:extLst>
              <c:ext xmlns:c16="http://schemas.microsoft.com/office/drawing/2014/chart" uri="{C3380CC4-5D6E-409C-BE32-E72D297353CC}">
                <c16:uniqueId val="{00000011-D873-4C90-BCFB-17B6463F427D}"/>
              </c:ext>
            </c:extLst>
          </c:dPt>
          <c:dPt>
            <c:idx val="21"/>
            <c:invertIfNegative val="0"/>
            <c:bubble3D val="0"/>
            <c:spPr>
              <a:solidFill>
                <a:srgbClr val="403A60"/>
              </a:solidFill>
              <a:ln>
                <a:noFill/>
              </a:ln>
              <a:effectLst/>
            </c:spPr>
            <c:extLst>
              <c:ext xmlns:c16="http://schemas.microsoft.com/office/drawing/2014/chart" uri="{C3380CC4-5D6E-409C-BE32-E72D297353CC}">
                <c16:uniqueId val="{00000013-D873-4C90-BCFB-17B6463F427D}"/>
              </c:ext>
            </c:extLst>
          </c:dPt>
          <c:dPt>
            <c:idx val="22"/>
            <c:invertIfNegative val="0"/>
            <c:bubble3D val="0"/>
            <c:spPr>
              <a:solidFill>
                <a:srgbClr val="A77BCA"/>
              </a:solidFill>
              <a:ln>
                <a:noFill/>
              </a:ln>
              <a:effectLst/>
            </c:spPr>
            <c:extLst>
              <c:ext xmlns:c16="http://schemas.microsoft.com/office/drawing/2014/chart" uri="{C3380CC4-5D6E-409C-BE32-E72D297353CC}">
                <c16:uniqueId val="{00000015-D873-4C90-BCFB-17B6463F427D}"/>
              </c:ext>
            </c:extLst>
          </c:dPt>
          <c:dPt>
            <c:idx val="23"/>
            <c:invertIfNegative val="0"/>
            <c:bubble3D val="0"/>
            <c:spPr>
              <a:solidFill>
                <a:srgbClr val="403A60"/>
              </a:solidFill>
              <a:ln>
                <a:noFill/>
              </a:ln>
              <a:effectLst/>
            </c:spPr>
            <c:extLst>
              <c:ext xmlns:c16="http://schemas.microsoft.com/office/drawing/2014/chart" uri="{C3380CC4-5D6E-409C-BE32-E72D297353CC}">
                <c16:uniqueId val="{00000017-D873-4C90-BCFB-17B6463F427D}"/>
              </c:ext>
            </c:extLst>
          </c:dPt>
          <c:dPt>
            <c:idx val="31"/>
            <c:invertIfNegative val="0"/>
            <c:bubble3D val="0"/>
            <c:spPr>
              <a:solidFill>
                <a:srgbClr val="A77BCA"/>
              </a:solidFill>
              <a:ln>
                <a:noFill/>
              </a:ln>
              <a:effectLst/>
            </c:spPr>
            <c:extLst>
              <c:ext xmlns:c16="http://schemas.microsoft.com/office/drawing/2014/chart" uri="{C3380CC4-5D6E-409C-BE32-E72D297353CC}">
                <c16:uniqueId val="{00000019-D873-4C90-BCFB-17B6463F427D}"/>
              </c:ext>
            </c:extLst>
          </c:dPt>
          <c:dPt>
            <c:idx val="32"/>
            <c:invertIfNegative val="0"/>
            <c:bubble3D val="0"/>
            <c:spPr>
              <a:solidFill>
                <a:srgbClr val="A77BCA"/>
              </a:solidFill>
              <a:ln>
                <a:noFill/>
              </a:ln>
              <a:effectLst/>
            </c:spPr>
            <c:extLst>
              <c:ext xmlns:c16="http://schemas.microsoft.com/office/drawing/2014/chart" uri="{C3380CC4-5D6E-409C-BE32-E72D297353CC}">
                <c16:uniqueId val="{0000001B-D873-4C90-BCFB-17B6463F427D}"/>
              </c:ext>
            </c:extLst>
          </c:dPt>
          <c:dPt>
            <c:idx val="33"/>
            <c:invertIfNegative val="0"/>
            <c:bubble3D val="0"/>
            <c:spPr>
              <a:solidFill>
                <a:srgbClr val="A77BCA"/>
              </a:solidFill>
              <a:ln>
                <a:noFill/>
              </a:ln>
              <a:effectLst/>
            </c:spPr>
            <c:extLst>
              <c:ext xmlns:c16="http://schemas.microsoft.com/office/drawing/2014/chart" uri="{C3380CC4-5D6E-409C-BE32-E72D297353CC}">
                <c16:uniqueId val="{0000001D-D873-4C90-BCFB-17B6463F427D}"/>
              </c:ext>
            </c:extLst>
          </c:dPt>
          <c:dLbls>
            <c:dLbl>
              <c:idx val="0"/>
              <c:tx>
                <c:rich>
                  <a:bodyPr/>
                  <a:lstStyle/>
                  <a:p>
                    <a:fld id="{F720A04F-4293-4C80-B21B-B6D5F3FE5963}"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D873-4C90-BCFB-17B6463F427D}"/>
                </c:ext>
              </c:extLst>
            </c:dLbl>
            <c:dLbl>
              <c:idx val="1"/>
              <c:tx>
                <c:rich>
                  <a:bodyPr/>
                  <a:lstStyle/>
                  <a:p>
                    <a:fld id="{A8F699DF-E946-4B56-B019-7624151AFDCC}"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D873-4C90-BCFB-17B6463F427D}"/>
                </c:ext>
              </c:extLst>
            </c:dLbl>
            <c:dLbl>
              <c:idx val="2"/>
              <c:tx>
                <c:rich>
                  <a:bodyPr/>
                  <a:lstStyle/>
                  <a:p>
                    <a:fld id="{790C388E-811F-4B42-B3CE-B03B39BD9E18}"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D873-4C90-BCFB-17B6463F427D}"/>
                </c:ext>
              </c:extLst>
            </c:dLbl>
            <c:dLbl>
              <c:idx val="3"/>
              <c:tx>
                <c:rich>
                  <a:bodyPr/>
                  <a:lstStyle/>
                  <a:p>
                    <a:fld id="{1D067C87-DF2B-44B6-8CEB-4E5A28464009}"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873-4C90-BCFB-17B6463F427D}"/>
                </c:ext>
              </c:extLst>
            </c:dLbl>
            <c:dLbl>
              <c:idx val="4"/>
              <c:tx>
                <c:rich>
                  <a:bodyPr/>
                  <a:lstStyle/>
                  <a:p>
                    <a:fld id="{958DB7A1-2799-4617-B3C0-232ADEECC530}"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873-4C90-BCFB-17B6463F427D}"/>
                </c:ext>
              </c:extLst>
            </c:dLbl>
            <c:dLbl>
              <c:idx val="5"/>
              <c:tx>
                <c:rich>
                  <a:bodyPr/>
                  <a:lstStyle/>
                  <a:p>
                    <a:fld id="{F1D247C6-2A57-4D2F-845F-5699FA2FF94A}"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873-4C90-BCFB-17B6463F427D}"/>
                </c:ext>
              </c:extLst>
            </c:dLbl>
            <c:dLbl>
              <c:idx val="6"/>
              <c:tx>
                <c:rich>
                  <a:bodyPr/>
                  <a:lstStyle/>
                  <a:p>
                    <a:fld id="{99B666C4-62AF-4CBD-8BD9-2F9E72F60223}"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D873-4C90-BCFB-17B6463F427D}"/>
                </c:ext>
              </c:extLst>
            </c:dLbl>
            <c:dLbl>
              <c:idx val="7"/>
              <c:tx>
                <c:rich>
                  <a:bodyPr/>
                  <a:lstStyle/>
                  <a:p>
                    <a:fld id="{A6CC182B-DCD1-406E-BA14-4C93B9F4BD47}"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D873-4C90-BCFB-17B6463F427D}"/>
                </c:ext>
              </c:extLst>
            </c:dLbl>
            <c:dLbl>
              <c:idx val="8"/>
              <c:tx>
                <c:rich>
                  <a:bodyPr/>
                  <a:lstStyle/>
                  <a:p>
                    <a:fld id="{FCD417C3-ED35-41E3-83AD-B24F8E9E73A0}"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D873-4C90-BCFB-17B6463F427D}"/>
                </c:ext>
              </c:extLst>
            </c:dLbl>
            <c:dLbl>
              <c:idx val="9"/>
              <c:tx>
                <c:rich>
                  <a:bodyPr/>
                  <a:lstStyle/>
                  <a:p>
                    <a:fld id="{C7B8DE22-C0B7-4CE6-BB22-EC26309E18C1}"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D873-4C90-BCFB-17B6463F427D}"/>
                </c:ext>
              </c:extLst>
            </c:dLbl>
            <c:dLbl>
              <c:idx val="10"/>
              <c:tx>
                <c:rich>
                  <a:bodyPr/>
                  <a:lstStyle/>
                  <a:p>
                    <a:fld id="{3064C25F-5398-40D0-86B3-85B55D009B20}"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D873-4C90-BCFB-17B6463F427D}"/>
                </c:ext>
              </c:extLst>
            </c:dLbl>
            <c:dLbl>
              <c:idx val="11"/>
              <c:tx>
                <c:rich>
                  <a:bodyPr/>
                  <a:lstStyle/>
                  <a:p>
                    <a:fld id="{F0AD831E-7721-4046-9453-4C30920387D1}"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D873-4C90-BCFB-17B6463F427D}"/>
                </c:ext>
              </c:extLst>
            </c:dLbl>
            <c:dLbl>
              <c:idx val="12"/>
              <c:tx>
                <c:rich>
                  <a:bodyPr/>
                  <a:lstStyle/>
                  <a:p>
                    <a:fld id="{91F62C34-9143-4D46-9010-25CCA31AA681}"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D873-4C90-BCFB-17B6463F427D}"/>
                </c:ext>
              </c:extLst>
            </c:dLbl>
            <c:dLbl>
              <c:idx val="13"/>
              <c:tx>
                <c:rich>
                  <a:bodyPr/>
                  <a:lstStyle/>
                  <a:p>
                    <a:fld id="{C7F53467-18F6-4A3F-BA62-4E52EDA0ECCF}"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D873-4C90-BCFB-17B6463F427D}"/>
                </c:ext>
              </c:extLst>
            </c:dLbl>
            <c:dLbl>
              <c:idx val="14"/>
              <c:tx>
                <c:rich>
                  <a:bodyPr/>
                  <a:lstStyle/>
                  <a:p>
                    <a:fld id="{0950F5DB-2959-4390-A076-B6368D6B9DBC}"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D873-4C90-BCFB-17B6463F427D}"/>
                </c:ext>
              </c:extLst>
            </c:dLbl>
            <c:dLbl>
              <c:idx val="15"/>
              <c:tx>
                <c:rich>
                  <a:bodyPr/>
                  <a:lstStyle/>
                  <a:p>
                    <a:fld id="{F41E29A1-4C60-45FD-B501-AE68BB7CFF59}"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D873-4C90-BCFB-17B6463F427D}"/>
                </c:ext>
              </c:extLst>
            </c:dLbl>
            <c:dLbl>
              <c:idx val="16"/>
              <c:tx>
                <c:rich>
                  <a:bodyPr/>
                  <a:lstStyle/>
                  <a:p>
                    <a:fld id="{8844B088-5575-4F3D-8E39-87D09DC068A5}"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D873-4C90-BCFB-17B6463F427D}"/>
                </c:ext>
              </c:extLst>
            </c:dLbl>
            <c:dLbl>
              <c:idx val="17"/>
              <c:tx>
                <c:rich>
                  <a:bodyPr/>
                  <a:lstStyle/>
                  <a:p>
                    <a:fld id="{746D0E80-722D-4EBA-ACDE-BDEBA8765EE2}"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D873-4C90-BCFB-17B6463F427D}"/>
                </c:ext>
              </c:extLst>
            </c:dLbl>
            <c:dLbl>
              <c:idx val="18"/>
              <c:tx>
                <c:rich>
                  <a:bodyPr/>
                  <a:lstStyle/>
                  <a:p>
                    <a:fld id="{C32FB68C-D541-4F92-B913-4185F471EF09}"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D873-4C90-BCFB-17B6463F427D}"/>
                </c:ext>
              </c:extLst>
            </c:dLbl>
            <c:dLbl>
              <c:idx val="19"/>
              <c:tx>
                <c:rich>
                  <a:bodyPr/>
                  <a:lstStyle/>
                  <a:p>
                    <a:fld id="{98560AB1-F06D-4343-9E94-C6E3912C2519}"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D873-4C90-BCFB-17B6463F427D}"/>
                </c:ext>
              </c:extLst>
            </c:dLbl>
            <c:dLbl>
              <c:idx val="20"/>
              <c:tx>
                <c:rich>
                  <a:bodyPr/>
                  <a:lstStyle/>
                  <a:p>
                    <a:fld id="{9699B72B-139E-4FF3-9CA8-FA99C0498492}"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D873-4C90-BCFB-17B6463F427D}"/>
                </c:ext>
              </c:extLst>
            </c:dLbl>
            <c:dLbl>
              <c:idx val="21"/>
              <c:tx>
                <c:rich>
                  <a:bodyPr/>
                  <a:lstStyle/>
                  <a:p>
                    <a:fld id="{989C4548-3640-474A-8A1A-F7193BC34F25}"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D873-4C90-BCFB-17B6463F427D}"/>
                </c:ext>
              </c:extLst>
            </c:dLbl>
            <c:dLbl>
              <c:idx val="22"/>
              <c:tx>
                <c:rich>
                  <a:bodyPr/>
                  <a:lstStyle/>
                  <a:p>
                    <a:fld id="{1D9BE6FA-C709-4161-8315-64CE67508346}"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D873-4C90-BCFB-17B6463F427D}"/>
                </c:ext>
              </c:extLst>
            </c:dLbl>
            <c:dLbl>
              <c:idx val="23"/>
              <c:tx>
                <c:rich>
                  <a:bodyPr/>
                  <a:lstStyle/>
                  <a:p>
                    <a:fld id="{FBB9DEE9-BA5B-45DC-BC8B-38B36DA03417}"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D873-4C90-BCFB-17B6463F427D}"/>
                </c:ext>
              </c:extLst>
            </c:dLbl>
            <c:dLbl>
              <c:idx val="24"/>
              <c:tx>
                <c:rich>
                  <a:bodyPr/>
                  <a:lstStyle/>
                  <a:p>
                    <a:fld id="{93FCA475-FD0D-4C98-A661-AEC18AB3D45B}"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D873-4C90-BCFB-17B6463F427D}"/>
                </c:ext>
              </c:extLst>
            </c:dLbl>
            <c:dLbl>
              <c:idx val="25"/>
              <c:tx>
                <c:rich>
                  <a:bodyPr/>
                  <a:lstStyle/>
                  <a:p>
                    <a:fld id="{0D7D43F0-2F84-4C80-9CBF-9FC68ECA27D8}"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D873-4C90-BCFB-17B6463F427D}"/>
                </c:ext>
              </c:extLst>
            </c:dLbl>
            <c:dLbl>
              <c:idx val="26"/>
              <c:tx>
                <c:rich>
                  <a:bodyPr/>
                  <a:lstStyle/>
                  <a:p>
                    <a:fld id="{2CFBC0A8-2CB6-4339-A868-BDBDD1208798}"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D873-4C90-BCFB-17B6463F427D}"/>
                </c:ext>
              </c:extLst>
            </c:dLbl>
            <c:dLbl>
              <c:idx val="27"/>
              <c:tx>
                <c:rich>
                  <a:bodyPr/>
                  <a:lstStyle/>
                  <a:p>
                    <a:fld id="{48B5BE89-9060-4976-8BB7-8F49404DB32C}"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D873-4C90-BCFB-17B6463F427D}"/>
                </c:ext>
              </c:extLst>
            </c:dLbl>
            <c:dLbl>
              <c:idx val="28"/>
              <c:tx>
                <c:rich>
                  <a:bodyPr/>
                  <a:lstStyle/>
                  <a:p>
                    <a:fld id="{20D989E4-8267-4624-A62D-9CB7048B2531}"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D873-4C90-BCFB-17B6463F427D}"/>
                </c:ext>
              </c:extLst>
            </c:dLbl>
            <c:dLbl>
              <c:idx val="29"/>
              <c:tx>
                <c:rich>
                  <a:bodyPr/>
                  <a:lstStyle/>
                  <a:p>
                    <a:fld id="{7FDA9810-01CC-4C91-940A-E710D7EF6680}"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D873-4C90-BCFB-17B6463F427D}"/>
                </c:ext>
              </c:extLst>
            </c:dLbl>
            <c:dLbl>
              <c:idx val="30"/>
              <c:tx>
                <c:rich>
                  <a:bodyPr/>
                  <a:lstStyle/>
                  <a:p>
                    <a:fld id="{45F35BE4-531C-4119-8FE0-0C02D66230AC}"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D873-4C90-BCFB-17B6463F427D}"/>
                </c:ext>
              </c:extLst>
            </c:dLbl>
            <c:dLbl>
              <c:idx val="31"/>
              <c:tx>
                <c:rich>
                  <a:bodyPr/>
                  <a:lstStyle/>
                  <a:p>
                    <a:fld id="{6EA9D1EF-BD08-4ACD-86BD-694A2E96F570}"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D873-4C90-BCFB-17B6463F427D}"/>
                </c:ext>
              </c:extLst>
            </c:dLbl>
            <c:dLbl>
              <c:idx val="32"/>
              <c:tx>
                <c:rich>
                  <a:bodyPr/>
                  <a:lstStyle/>
                  <a:p>
                    <a:fld id="{FA4E1B40-3987-4F75-9229-F39B5168D118}"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D873-4C90-BCFB-17B6463F427D}"/>
                </c:ext>
              </c:extLst>
            </c:dLbl>
            <c:dLbl>
              <c:idx val="33"/>
              <c:tx>
                <c:rich>
                  <a:bodyPr/>
                  <a:lstStyle/>
                  <a:p>
                    <a:endParaRPr lang="en-GB"/>
                  </a:p>
                </c:rich>
              </c:tx>
              <c:dLblPos val="outEnd"/>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1D-D873-4C90-BCFB-17B6463F427D}"/>
                </c:ext>
              </c:extLst>
            </c:dLbl>
            <c:dLbl>
              <c:idx val="34"/>
              <c:tx>
                <c:rich>
                  <a:bodyPr/>
                  <a:lstStyle/>
                  <a:p>
                    <a:fld id="{350AB500-AC41-4D0F-9409-6E7A59A3CB51}"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D873-4C90-BCFB-17B6463F427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'30. Posesión de tel. %'!$C$4:$C$38</c:f>
              <c:strCache>
                <c:ptCount val="35"/>
                <c:pt idx="0">
                  <c:v>Ecuador (2024)</c:v>
                </c:pt>
                <c:pt idx="1">
                  <c:v>Cuba</c:v>
                </c:pt>
                <c:pt idx="2">
                  <c:v>Guatemala</c:v>
                </c:pt>
                <c:pt idx="3">
                  <c:v>Honduras</c:v>
                </c:pt>
                <c:pt idx="4">
                  <c:v>Nicaragua</c:v>
                </c:pt>
                <c:pt idx="5">
                  <c:v>Colombia</c:v>
                </c:pt>
                <c:pt idx="6">
                  <c:v>Belice</c:v>
                </c:pt>
                <c:pt idx="7">
                  <c:v>Bolivia</c:v>
                </c:pt>
                <c:pt idx="8">
                  <c:v>México</c:v>
                </c:pt>
                <c:pt idx="9">
                  <c:v>Santa Lucía</c:v>
                </c:pt>
                <c:pt idx="10">
                  <c:v>Granada</c:v>
                </c:pt>
                <c:pt idx="11">
                  <c:v>El Salvador</c:v>
                </c:pt>
                <c:pt idx="12">
                  <c:v>Trinidad y Tabago</c:v>
                </c:pt>
                <c:pt idx="13">
                  <c:v>Rep. Dominicana</c:v>
                </c:pt>
                <c:pt idx="14">
                  <c:v>Perú</c:v>
                </c:pt>
                <c:pt idx="15">
                  <c:v>Barbados</c:v>
                </c:pt>
                <c:pt idx="16">
                  <c:v>Paraguay</c:v>
                </c:pt>
                <c:pt idx="17">
                  <c:v>Guyana</c:v>
                </c:pt>
                <c:pt idx="18">
                  <c:v>Saint Kitts y Nevis</c:v>
                </c:pt>
                <c:pt idx="19">
                  <c:v>Panamá</c:v>
                </c:pt>
                <c:pt idx="20">
                  <c:v>San Vicente</c:v>
                </c:pt>
                <c:pt idx="21">
                  <c:v>Brasil</c:v>
                </c:pt>
                <c:pt idx="22">
                  <c:v>Antigua y Barbuda</c:v>
                </c:pt>
                <c:pt idx="23">
                  <c:v>Argentina</c:v>
                </c:pt>
                <c:pt idx="24">
                  <c:v>Suriname</c:v>
                </c:pt>
                <c:pt idx="25">
                  <c:v>Dominica</c:v>
                </c:pt>
                <c:pt idx="26">
                  <c:v>Uruguay</c:v>
                </c:pt>
                <c:pt idx="27">
                  <c:v>Costa Rica</c:v>
                </c:pt>
                <c:pt idx="28">
                  <c:v>Canadá</c:v>
                </c:pt>
                <c:pt idx="29">
                  <c:v>Bahamas</c:v>
                </c:pt>
                <c:pt idx="30">
                  <c:v>Chile</c:v>
                </c:pt>
                <c:pt idx="31">
                  <c:v>Estados Unidos</c:v>
                </c:pt>
                <c:pt idx="32">
                  <c:v>Jamaica</c:v>
                </c:pt>
                <c:pt idx="33">
                  <c:v>Haití</c:v>
                </c:pt>
                <c:pt idx="34">
                  <c:v>Venezuela</c:v>
                </c:pt>
              </c:strCache>
            </c:strRef>
          </c:cat>
          <c:val>
            <c:numRef>
              <c:f>'30. Posesión de tel. %'!$D$4:$D$38</c:f>
              <c:numCache>
                <c:formatCode>0.0</c:formatCode>
                <c:ptCount val="35"/>
                <c:pt idx="0">
                  <c:v>61.324222349943803</c:v>
                </c:pt>
                <c:pt idx="1">
                  <c:v>70.080751205169406</c:v>
                </c:pt>
                <c:pt idx="2">
                  <c:v>71.181544352912496</c:v>
                </c:pt>
                <c:pt idx="3">
                  <c:v>74.281128348179607</c:v>
                </c:pt>
                <c:pt idx="4">
                  <c:v>76.862302563336797</c:v>
                </c:pt>
                <c:pt idx="5">
                  <c:v>76.991009520126795</c:v>
                </c:pt>
                <c:pt idx="6">
                  <c:v>78.120619336805007</c:v>
                </c:pt>
                <c:pt idx="7">
                  <c:v>79.718771603045994</c:v>
                </c:pt>
                <c:pt idx="8">
                  <c:v>81.400000000000006</c:v>
                </c:pt>
                <c:pt idx="9">
                  <c:v>81.511901991020807</c:v>
                </c:pt>
                <c:pt idx="10">
                  <c:v>83.463800356178496</c:v>
                </c:pt>
                <c:pt idx="11">
                  <c:v>83.826475845836796</c:v>
                </c:pt>
                <c:pt idx="12">
                  <c:v>84.074939903276302</c:v>
                </c:pt>
                <c:pt idx="13">
                  <c:v>84.378677404539303</c:v>
                </c:pt>
                <c:pt idx="14">
                  <c:v>85.964605199976901</c:v>
                </c:pt>
                <c:pt idx="15">
                  <c:v>86.303237952796493</c:v>
                </c:pt>
                <c:pt idx="16">
                  <c:v>86.731369138297495</c:v>
                </c:pt>
                <c:pt idx="17">
                  <c:v>87.139656870784506</c:v>
                </c:pt>
                <c:pt idx="18">
                  <c:v>87.281850831766207</c:v>
                </c:pt>
                <c:pt idx="19">
                  <c:v>87.356781891317794</c:v>
                </c:pt>
                <c:pt idx="20">
                  <c:v>87.599531429835693</c:v>
                </c:pt>
                <c:pt idx="21">
                  <c:v>88.130213875562902</c:v>
                </c:pt>
                <c:pt idx="22">
                  <c:v>89.023034581361102</c:v>
                </c:pt>
                <c:pt idx="23">
                  <c:v>89.460001224891698</c:v>
                </c:pt>
                <c:pt idx="24">
                  <c:v>90.312784109318201</c:v>
                </c:pt>
                <c:pt idx="25">
                  <c:v>90.356553890943999</c:v>
                </c:pt>
                <c:pt idx="26">
                  <c:v>91.246642421298503</c:v>
                </c:pt>
                <c:pt idx="27">
                  <c:v>92.084030314048505</c:v>
                </c:pt>
                <c:pt idx="28">
                  <c:v>92.441621271641097</c:v>
                </c:pt>
                <c:pt idx="29">
                  <c:v>92.763668626613196</c:v>
                </c:pt>
                <c:pt idx="30">
                  <c:v>93.2385091478845</c:v>
                </c:pt>
                <c:pt idx="31">
                  <c:v>96.386931421547303</c:v>
                </c:pt>
                <c:pt idx="32">
                  <c:v>96.812107840770096</c:v>
                </c:pt>
                <c:pt idx="34">
                  <c:v>0</c:v>
                </c:pt>
              </c:numCache>
            </c:numRef>
          </c:val>
          <c:extLst>
            <c:ext xmlns:c15="http://schemas.microsoft.com/office/drawing/2012/chart" uri="{02D57815-91ED-43cb-92C2-25804820EDAC}">
              <c15:datalabelsRange>
                <c15:f>'30. Posesión de tel. %'!$I$4:$I$38</c15:f>
                <c15:dlblRangeCache>
                  <c:ptCount val="35"/>
                  <c:pt idx="34">
                    <c:v>N/A</c:v>
                  </c:pt>
                </c15:dlblRangeCache>
              </c15:datalabelsRange>
            </c:ext>
            <c:ext xmlns:c16="http://schemas.microsoft.com/office/drawing/2014/chart" uri="{C3380CC4-5D6E-409C-BE32-E72D297353CC}">
              <c16:uniqueId val="{00000032-D873-4C90-BCFB-17B6463F427D}"/>
            </c:ext>
          </c:extLst>
        </c:ser>
        <c:dLbls>
          <c:dLblPos val="outEnd"/>
          <c:showLegendKey val="0"/>
          <c:showVal val="1"/>
          <c:showCatName val="0"/>
          <c:showSerName val="0"/>
          <c:showPercent val="0"/>
          <c:showBubbleSize val="0"/>
        </c:dLbls>
        <c:gapWidth val="219"/>
        <c:overlap val="-27"/>
        <c:axId val="1942888335"/>
        <c:axId val="1892808655"/>
      </c:barChart>
      <c:lineChart>
        <c:grouping val="standard"/>
        <c:varyColors val="0"/>
        <c:ser>
          <c:idx val="1"/>
          <c:order val="1"/>
          <c:tx>
            <c:strRef>
              <c:f>'30. Posesión de tel. %'!$E$3</c:f>
              <c:strCache>
                <c:ptCount val="1"/>
                <c:pt idx="0">
                  <c:v>Media regional (2023)</c:v>
                </c:pt>
              </c:strCache>
            </c:strRef>
          </c:tx>
          <c:spPr>
            <a:ln w="28575" cap="rnd">
              <a:solidFill>
                <a:srgbClr val="A77BCA"/>
              </a:solidFill>
              <a:prstDash val="sysDot"/>
              <a:round/>
            </a:ln>
            <a:effectLst/>
          </c:spPr>
          <c:marker>
            <c:symbol val="none"/>
          </c:marker>
          <c:cat>
            <c:strRef>
              <c:f>'30. Posesión de tel. %'!$C$4:$C$38</c:f>
              <c:strCache>
                <c:ptCount val="35"/>
                <c:pt idx="0">
                  <c:v>Ecuador (2024)</c:v>
                </c:pt>
                <c:pt idx="1">
                  <c:v>Cuba</c:v>
                </c:pt>
                <c:pt idx="2">
                  <c:v>Guatemala</c:v>
                </c:pt>
                <c:pt idx="3">
                  <c:v>Honduras</c:v>
                </c:pt>
                <c:pt idx="4">
                  <c:v>Nicaragua</c:v>
                </c:pt>
                <c:pt idx="5">
                  <c:v>Colombia</c:v>
                </c:pt>
                <c:pt idx="6">
                  <c:v>Belice</c:v>
                </c:pt>
                <c:pt idx="7">
                  <c:v>Bolivia</c:v>
                </c:pt>
                <c:pt idx="8">
                  <c:v>México</c:v>
                </c:pt>
                <c:pt idx="9">
                  <c:v>Santa Lucía</c:v>
                </c:pt>
                <c:pt idx="10">
                  <c:v>Granada</c:v>
                </c:pt>
                <c:pt idx="11">
                  <c:v>El Salvador</c:v>
                </c:pt>
                <c:pt idx="12">
                  <c:v>Trinidad y Tabago</c:v>
                </c:pt>
                <c:pt idx="13">
                  <c:v>Rep. Dominicana</c:v>
                </c:pt>
                <c:pt idx="14">
                  <c:v>Perú</c:v>
                </c:pt>
                <c:pt idx="15">
                  <c:v>Barbados</c:v>
                </c:pt>
                <c:pt idx="16">
                  <c:v>Paraguay</c:v>
                </c:pt>
                <c:pt idx="17">
                  <c:v>Guyana</c:v>
                </c:pt>
                <c:pt idx="18">
                  <c:v>Saint Kitts y Nevis</c:v>
                </c:pt>
                <c:pt idx="19">
                  <c:v>Panamá</c:v>
                </c:pt>
                <c:pt idx="20">
                  <c:v>San Vicente</c:v>
                </c:pt>
                <c:pt idx="21">
                  <c:v>Brasil</c:v>
                </c:pt>
                <c:pt idx="22">
                  <c:v>Antigua y Barbuda</c:v>
                </c:pt>
                <c:pt idx="23">
                  <c:v>Argentina</c:v>
                </c:pt>
                <c:pt idx="24">
                  <c:v>Suriname</c:v>
                </c:pt>
                <c:pt idx="25">
                  <c:v>Dominica</c:v>
                </c:pt>
                <c:pt idx="26">
                  <c:v>Uruguay</c:v>
                </c:pt>
                <c:pt idx="27">
                  <c:v>Costa Rica</c:v>
                </c:pt>
                <c:pt idx="28">
                  <c:v>Canadá</c:v>
                </c:pt>
                <c:pt idx="29">
                  <c:v>Bahamas</c:v>
                </c:pt>
                <c:pt idx="30">
                  <c:v>Chile</c:v>
                </c:pt>
                <c:pt idx="31">
                  <c:v>Estados Unidos</c:v>
                </c:pt>
                <c:pt idx="32">
                  <c:v>Jamaica</c:v>
                </c:pt>
                <c:pt idx="33">
                  <c:v>Haití</c:v>
                </c:pt>
                <c:pt idx="34">
                  <c:v>Venezuela</c:v>
                </c:pt>
              </c:strCache>
            </c:strRef>
          </c:cat>
          <c:val>
            <c:numRef>
              <c:f>'30. Posesión de tel. %'!$E$4:$E$38</c:f>
              <c:numCache>
                <c:formatCode>_-* #,##0.0_-;\-* #,##0.0_-;_-* "-"??_-;_-@_-</c:formatCode>
                <c:ptCount val="35"/>
                <c:pt idx="0">
                  <c:v>88.2</c:v>
                </c:pt>
                <c:pt idx="1">
                  <c:v>88.2</c:v>
                </c:pt>
                <c:pt idx="2">
                  <c:v>88.2</c:v>
                </c:pt>
                <c:pt idx="3">
                  <c:v>88.2</c:v>
                </c:pt>
                <c:pt idx="4">
                  <c:v>88.2</c:v>
                </c:pt>
                <c:pt idx="5">
                  <c:v>88.2</c:v>
                </c:pt>
                <c:pt idx="6">
                  <c:v>88.2</c:v>
                </c:pt>
                <c:pt idx="7">
                  <c:v>88.2</c:v>
                </c:pt>
                <c:pt idx="8">
                  <c:v>88.2</c:v>
                </c:pt>
                <c:pt idx="9">
                  <c:v>88.2</c:v>
                </c:pt>
                <c:pt idx="10">
                  <c:v>88.2</c:v>
                </c:pt>
                <c:pt idx="11">
                  <c:v>88.2</c:v>
                </c:pt>
                <c:pt idx="12">
                  <c:v>88.2</c:v>
                </c:pt>
                <c:pt idx="13">
                  <c:v>88.2</c:v>
                </c:pt>
                <c:pt idx="14">
                  <c:v>88.2</c:v>
                </c:pt>
                <c:pt idx="15">
                  <c:v>88.2</c:v>
                </c:pt>
                <c:pt idx="16">
                  <c:v>88.2</c:v>
                </c:pt>
                <c:pt idx="17">
                  <c:v>88.2</c:v>
                </c:pt>
                <c:pt idx="18">
                  <c:v>88.2</c:v>
                </c:pt>
                <c:pt idx="19">
                  <c:v>88.2</c:v>
                </c:pt>
                <c:pt idx="20">
                  <c:v>88.2</c:v>
                </c:pt>
                <c:pt idx="21">
                  <c:v>88.2</c:v>
                </c:pt>
                <c:pt idx="22">
                  <c:v>88.2</c:v>
                </c:pt>
                <c:pt idx="23">
                  <c:v>88.2</c:v>
                </c:pt>
                <c:pt idx="24">
                  <c:v>88.2</c:v>
                </c:pt>
                <c:pt idx="25">
                  <c:v>88.2</c:v>
                </c:pt>
                <c:pt idx="26">
                  <c:v>88.2</c:v>
                </c:pt>
                <c:pt idx="27">
                  <c:v>88.2</c:v>
                </c:pt>
                <c:pt idx="28">
                  <c:v>88.2</c:v>
                </c:pt>
                <c:pt idx="29">
                  <c:v>88.2</c:v>
                </c:pt>
                <c:pt idx="30">
                  <c:v>88.2</c:v>
                </c:pt>
                <c:pt idx="31">
                  <c:v>88.2</c:v>
                </c:pt>
                <c:pt idx="32">
                  <c:v>88.2</c:v>
                </c:pt>
                <c:pt idx="33">
                  <c:v>88.2</c:v>
                </c:pt>
                <c:pt idx="34">
                  <c:v>88.2</c:v>
                </c:pt>
              </c:numCache>
            </c:numRef>
          </c:val>
          <c:smooth val="0"/>
          <c:extLst>
            <c:ext xmlns:c16="http://schemas.microsoft.com/office/drawing/2014/chart" uri="{C3380CC4-5D6E-409C-BE32-E72D297353CC}">
              <c16:uniqueId val="{00000033-D873-4C90-BCFB-17B6463F427D}"/>
            </c:ext>
          </c:extLst>
        </c:ser>
        <c:ser>
          <c:idx val="2"/>
          <c:order val="2"/>
          <c:tx>
            <c:strRef>
              <c:f>'30. Posesión de tel. %'!$F$3</c:f>
              <c:strCache>
                <c:ptCount val="1"/>
                <c:pt idx="0">
                  <c:v>2018</c:v>
                </c:pt>
              </c:strCache>
            </c:strRef>
          </c:tx>
          <c:spPr>
            <a:ln w="28575" cap="rnd">
              <a:noFill/>
              <a:round/>
            </a:ln>
            <a:effectLst/>
          </c:spPr>
          <c:marker>
            <c:symbol val="dash"/>
            <c:size val="3"/>
            <c:spPr>
              <a:solidFill>
                <a:sysClr val="windowText" lastClr="000000"/>
              </a:solidFill>
              <a:ln w="9525">
                <a:solidFill>
                  <a:sysClr val="windowText" lastClr="000000"/>
                </a:solidFill>
              </a:ln>
              <a:effectLst/>
            </c:spPr>
          </c:marker>
          <c:dPt>
            <c:idx val="22"/>
            <c:marker>
              <c:symbol val="dash"/>
              <c:size val="3"/>
              <c:spPr>
                <a:solidFill>
                  <a:sysClr val="windowText" lastClr="000000"/>
                </a:solidFill>
                <a:ln w="9525">
                  <a:solidFill>
                    <a:sysClr val="window" lastClr="FFFFFF">
                      <a:lumMod val="65000"/>
                    </a:sysClr>
                  </a:solidFill>
                </a:ln>
                <a:effectLst/>
              </c:spPr>
            </c:marker>
            <c:bubble3D val="0"/>
            <c:spPr>
              <a:ln w="28575" cap="rnd">
                <a:solidFill>
                  <a:sysClr val="window" lastClr="FFFFFF">
                    <a:lumMod val="65000"/>
                  </a:sysClr>
                </a:solidFill>
                <a:round/>
              </a:ln>
              <a:effectLst/>
            </c:spPr>
            <c:extLst>
              <c:ext xmlns:c16="http://schemas.microsoft.com/office/drawing/2014/chart" uri="{C3380CC4-5D6E-409C-BE32-E72D297353CC}">
                <c16:uniqueId val="{00000035-D873-4C90-BCFB-17B6463F427D}"/>
              </c:ext>
            </c:extLst>
          </c:dPt>
          <c:dPt>
            <c:idx val="29"/>
            <c:marker>
              <c:symbol val="dash"/>
              <c:size val="3"/>
              <c:spPr>
                <a:solidFill>
                  <a:sysClr val="window" lastClr="FFFFFF">
                    <a:lumMod val="65000"/>
                  </a:sysClr>
                </a:solidFill>
                <a:ln w="9525">
                  <a:solidFill>
                    <a:sysClr val="window" lastClr="FFFFFF">
                      <a:lumMod val="65000"/>
                    </a:sysClr>
                  </a:solidFill>
                </a:ln>
                <a:effectLst/>
              </c:spPr>
            </c:marker>
            <c:bubble3D val="0"/>
            <c:extLst>
              <c:ext xmlns:c16="http://schemas.microsoft.com/office/drawing/2014/chart" uri="{C3380CC4-5D6E-409C-BE32-E72D297353CC}">
                <c16:uniqueId val="{00000036-D873-4C90-BCFB-17B6463F427D}"/>
              </c:ext>
            </c:extLst>
          </c:dPt>
          <c:dPt>
            <c:idx val="34"/>
            <c:marker>
              <c:symbol val="dash"/>
              <c:size val="3"/>
              <c:spPr>
                <a:solidFill>
                  <a:sysClr val="window" lastClr="FFFFFF">
                    <a:lumMod val="65000"/>
                  </a:sysClr>
                </a:solidFill>
                <a:ln w="9525">
                  <a:solidFill>
                    <a:sysClr val="window" lastClr="FFFFFF">
                      <a:lumMod val="65000"/>
                    </a:sysClr>
                  </a:solidFill>
                </a:ln>
                <a:effectLst/>
              </c:spPr>
            </c:marker>
            <c:bubble3D val="0"/>
            <c:spPr>
              <a:ln w="28575" cap="rnd">
                <a:solidFill>
                  <a:sysClr val="window" lastClr="FFFFFF">
                    <a:lumMod val="65000"/>
                  </a:sysClr>
                </a:solidFill>
                <a:round/>
              </a:ln>
              <a:effectLst/>
            </c:spPr>
            <c:extLst>
              <c:ext xmlns:c16="http://schemas.microsoft.com/office/drawing/2014/chart" uri="{C3380CC4-5D6E-409C-BE32-E72D297353CC}">
                <c16:uniqueId val="{00000038-D873-4C90-BCFB-17B6463F427D}"/>
              </c:ext>
            </c:extLst>
          </c:dPt>
          <c:cat>
            <c:strRef>
              <c:f>'30. Posesión de tel. %'!$C$4:$C$38</c:f>
              <c:strCache>
                <c:ptCount val="35"/>
                <c:pt idx="0">
                  <c:v>Ecuador (2024)</c:v>
                </c:pt>
                <c:pt idx="1">
                  <c:v>Cuba</c:v>
                </c:pt>
                <c:pt idx="2">
                  <c:v>Guatemala</c:v>
                </c:pt>
                <c:pt idx="3">
                  <c:v>Honduras</c:v>
                </c:pt>
                <c:pt idx="4">
                  <c:v>Nicaragua</c:v>
                </c:pt>
                <c:pt idx="5">
                  <c:v>Colombia</c:v>
                </c:pt>
                <c:pt idx="6">
                  <c:v>Belice</c:v>
                </c:pt>
                <c:pt idx="7">
                  <c:v>Bolivia</c:v>
                </c:pt>
                <c:pt idx="8">
                  <c:v>México</c:v>
                </c:pt>
                <c:pt idx="9">
                  <c:v>Santa Lucía</c:v>
                </c:pt>
                <c:pt idx="10">
                  <c:v>Granada</c:v>
                </c:pt>
                <c:pt idx="11">
                  <c:v>El Salvador</c:v>
                </c:pt>
                <c:pt idx="12">
                  <c:v>Trinidad y Tabago</c:v>
                </c:pt>
                <c:pt idx="13">
                  <c:v>Rep. Dominicana</c:v>
                </c:pt>
                <c:pt idx="14">
                  <c:v>Perú</c:v>
                </c:pt>
                <c:pt idx="15">
                  <c:v>Barbados</c:v>
                </c:pt>
                <c:pt idx="16">
                  <c:v>Paraguay</c:v>
                </c:pt>
                <c:pt idx="17">
                  <c:v>Guyana</c:v>
                </c:pt>
                <c:pt idx="18">
                  <c:v>Saint Kitts y Nevis</c:v>
                </c:pt>
                <c:pt idx="19">
                  <c:v>Panamá</c:v>
                </c:pt>
                <c:pt idx="20">
                  <c:v>San Vicente</c:v>
                </c:pt>
                <c:pt idx="21">
                  <c:v>Brasil</c:v>
                </c:pt>
                <c:pt idx="22">
                  <c:v>Antigua y Barbuda</c:v>
                </c:pt>
                <c:pt idx="23">
                  <c:v>Argentina</c:v>
                </c:pt>
                <c:pt idx="24">
                  <c:v>Suriname</c:v>
                </c:pt>
                <c:pt idx="25">
                  <c:v>Dominica</c:v>
                </c:pt>
                <c:pt idx="26">
                  <c:v>Uruguay</c:v>
                </c:pt>
                <c:pt idx="27">
                  <c:v>Costa Rica</c:v>
                </c:pt>
                <c:pt idx="28">
                  <c:v>Canadá</c:v>
                </c:pt>
                <c:pt idx="29">
                  <c:v>Bahamas</c:v>
                </c:pt>
                <c:pt idx="30">
                  <c:v>Chile</c:v>
                </c:pt>
                <c:pt idx="31">
                  <c:v>Estados Unidos</c:v>
                </c:pt>
                <c:pt idx="32">
                  <c:v>Jamaica</c:v>
                </c:pt>
                <c:pt idx="33">
                  <c:v>Haití</c:v>
                </c:pt>
                <c:pt idx="34">
                  <c:v>Venezuela</c:v>
                </c:pt>
              </c:strCache>
            </c:strRef>
          </c:cat>
          <c:val>
            <c:numRef>
              <c:f>'30. Posesión de tel. %'!$F$4:$F$38</c:f>
              <c:numCache>
                <c:formatCode>0.0</c:formatCode>
                <c:ptCount val="35"/>
                <c:pt idx="0">
                  <c:v>59.019272746305198</c:v>
                </c:pt>
                <c:pt idx="1">
                  <c:v>51.4502999032335</c:v>
                </c:pt>
                <c:pt idx="5">
                  <c:v>72.157988476098794</c:v>
                </c:pt>
                <c:pt idx="13">
                  <c:v>70.693252209858201</c:v>
                </c:pt>
                <c:pt idx="14">
                  <c:v>80.765671360593799</c:v>
                </c:pt>
                <c:pt idx="21">
                  <c:v>83.024689022441905</c:v>
                </c:pt>
                <c:pt idx="26">
                  <c:v>82.7943609895365</c:v>
                </c:pt>
                <c:pt idx="33">
                  <c:v>58.683912447853899</c:v>
                </c:pt>
              </c:numCache>
            </c:numRef>
          </c:val>
          <c:smooth val="0"/>
          <c:extLst>
            <c:ext xmlns:c16="http://schemas.microsoft.com/office/drawing/2014/chart" uri="{C3380CC4-5D6E-409C-BE32-E72D297353CC}">
              <c16:uniqueId val="{00000039-D873-4C90-BCFB-17B6463F427D}"/>
            </c:ext>
          </c:extLst>
        </c:ser>
        <c:dLbls>
          <c:showLegendKey val="0"/>
          <c:showVal val="0"/>
          <c:showCatName val="0"/>
          <c:showSerName val="0"/>
          <c:showPercent val="0"/>
          <c:showBubbleSize val="0"/>
        </c:dLbls>
        <c:marker val="1"/>
        <c:smooth val="0"/>
        <c:axId val="1942888335"/>
        <c:axId val="1892808655"/>
      </c:lineChart>
      <c:catAx>
        <c:axId val="1942888335"/>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892808655"/>
        <c:crosses val="autoZero"/>
        <c:auto val="1"/>
        <c:lblAlgn val="ctr"/>
        <c:lblOffset val="100"/>
        <c:noMultiLvlLbl val="0"/>
      </c:catAx>
      <c:valAx>
        <c:axId val="1892808655"/>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942888335"/>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'4. Instrum. política económica '!$B$2</c:f>
              <c:strCache>
                <c:ptCount val="1"/>
                <c:pt idx="0">
                  <c:v>Américas</c:v>
                </c:pt>
              </c:strCache>
            </c:strRef>
          </c:tx>
          <c:spPr>
            <a:solidFill>
              <a:srgbClr val="403A60"/>
            </a:solidFill>
            <a:ln>
              <a:noFill/>
            </a:ln>
            <a:effectLst/>
          </c:spPr>
          <c:invertIfNegative val="0"/>
          <c:cat>
            <c:strRef>
              <c:f>'4. Instrum. política económica '!$A$3:$A$9</c:f>
              <c:strCache>
                <c:ptCount val="7"/>
                <c:pt idx="0">
                  <c:v>Agenda digital nacional</c:v>
                </c:pt>
                <c:pt idx="1">
                  <c:v>Política de innovación</c:v>
                </c:pt>
                <c:pt idx="2">
                  <c:v>Estrategia de comercio-e</c:v>
                </c:pt>
                <c:pt idx="3">
                  <c:v>Política de inteligencia artificial</c:v>
                </c:pt>
                <c:pt idx="4">
                  <c:v>Reglamentación de Internet de las cosas</c:v>
                </c:pt>
                <c:pt idx="5">
                  <c:v>Experiencia reglamentaria</c:v>
                </c:pt>
                <c:pt idx="6">
                  <c:v>Incentivos a los agentes del mercado</c:v>
                </c:pt>
              </c:strCache>
            </c:strRef>
          </c:cat>
          <c:val>
            <c:numRef>
              <c:f>'4. Instrum. política económica '!$B$3:$B$9</c:f>
              <c:numCache>
                <c:formatCode>0%</c:formatCode>
                <c:ptCount val="7"/>
                <c:pt idx="0">
                  <c:v>0.45714285714285713</c:v>
                </c:pt>
                <c:pt idx="1">
                  <c:v>0.31428571428571428</c:v>
                </c:pt>
                <c:pt idx="2">
                  <c:v>0.94285714285714284</c:v>
                </c:pt>
                <c:pt idx="3">
                  <c:v>0.14285714285714285</c:v>
                </c:pt>
                <c:pt idx="4">
                  <c:v>0.17142857142857143</c:v>
                </c:pt>
                <c:pt idx="5">
                  <c:v>0.2</c:v>
                </c:pt>
                <c:pt idx="6">
                  <c:v>0.17142857142857143</c:v>
                </c:pt>
              </c:numCache>
            </c:numRef>
          </c:val>
          <c:extLst>
            <c:ext xmlns:c16="http://schemas.microsoft.com/office/drawing/2014/chart" uri="{C3380CC4-5D6E-409C-BE32-E72D297353CC}">
              <c16:uniqueId val="{00000000-ECAE-47E1-85EC-D5D5D3C82ADB}"/>
            </c:ext>
          </c:extLst>
        </c:ser>
        <c:ser>
          <c:idx val="1"/>
          <c:order val="1"/>
          <c:tx>
            <c:strRef>
              <c:f>'4. Instrum. política económica '!$C$2</c:f>
              <c:strCache>
                <c:ptCount val="1"/>
                <c:pt idx="0">
                  <c:v>PDSL</c:v>
                </c:pt>
              </c:strCache>
            </c:strRef>
          </c:tx>
          <c:spPr>
            <a:solidFill>
              <a:srgbClr val="A77BCA"/>
            </a:solidFill>
            <a:ln>
              <a:noFill/>
            </a:ln>
            <a:effectLst/>
          </c:spPr>
          <c:invertIfNegative val="0"/>
          <c:cat>
            <c:strRef>
              <c:f>'4. Instrum. política económica '!$A$3:$A$9</c:f>
              <c:strCache>
                <c:ptCount val="7"/>
                <c:pt idx="0">
                  <c:v>Agenda digital nacional</c:v>
                </c:pt>
                <c:pt idx="1">
                  <c:v>Política de innovación</c:v>
                </c:pt>
                <c:pt idx="2">
                  <c:v>Estrategia de comercio-e</c:v>
                </c:pt>
                <c:pt idx="3">
                  <c:v>Política de inteligencia artificial</c:v>
                </c:pt>
                <c:pt idx="4">
                  <c:v>Reglamentación de Internet de las cosas</c:v>
                </c:pt>
                <c:pt idx="5">
                  <c:v>Experiencia reglamentaria</c:v>
                </c:pt>
                <c:pt idx="6">
                  <c:v>Incentivos a los agentes del mercado</c:v>
                </c:pt>
              </c:strCache>
            </c:strRef>
          </c:cat>
          <c:val>
            <c:numRef>
              <c:f>'4. Instrum. política económica '!$C$3:$C$9</c:f>
              <c:numCache>
                <c:formatCode>0%</c:formatCode>
                <c:ptCount val="7"/>
                <c:pt idx="0">
                  <c:v>0.1875</c:v>
                </c:pt>
                <c:pt idx="1">
                  <c:v>0.125</c:v>
                </c:pt>
                <c:pt idx="2">
                  <c:v>0.9375</c:v>
                </c:pt>
                <c:pt idx="3">
                  <c:v>0</c:v>
                </c:pt>
                <c:pt idx="4">
                  <c:v>0</c:v>
                </c:pt>
                <c:pt idx="5">
                  <c:v>0.125</c:v>
                </c:pt>
                <c:pt idx="6">
                  <c:v>6.25E-2</c:v>
                </c:pt>
              </c:numCache>
            </c:numRef>
          </c:val>
          <c:extLst>
            <c:ext xmlns:c16="http://schemas.microsoft.com/office/drawing/2014/chart" uri="{C3380CC4-5D6E-409C-BE32-E72D297353CC}">
              <c16:uniqueId val="{00000001-ECAE-47E1-85EC-D5D5D3C82ADB}"/>
            </c:ext>
          </c:extLst>
        </c:ser>
        <c:ser>
          <c:idx val="2"/>
          <c:order val="2"/>
          <c:tx>
            <c:strRef>
              <c:f>'4. Instrum. política económica '!$D$2</c:f>
              <c:strCache>
                <c:ptCount val="1"/>
                <c:pt idx="0">
                  <c:v>PEID</c:v>
                </c:pt>
              </c:strCache>
            </c:strRef>
          </c:tx>
          <c:spPr>
            <a:solidFill>
              <a:schemeClr val="accent5">
                <a:lumMod val="40000"/>
                <a:lumOff val="60000"/>
              </a:schemeClr>
            </a:solidFill>
            <a:ln w="25400">
              <a:noFill/>
            </a:ln>
            <a:effectLst/>
          </c:spPr>
          <c:invertIfNegative val="0"/>
          <c:cat>
            <c:strRef>
              <c:f>'4. Instrum. política económica '!$A$3:$A$9</c:f>
              <c:strCache>
                <c:ptCount val="7"/>
                <c:pt idx="0">
                  <c:v>Agenda digital nacional</c:v>
                </c:pt>
                <c:pt idx="1">
                  <c:v>Política de innovación</c:v>
                </c:pt>
                <c:pt idx="2">
                  <c:v>Estrategia de comercio-e</c:v>
                </c:pt>
                <c:pt idx="3">
                  <c:v>Política de inteligencia artificial</c:v>
                </c:pt>
                <c:pt idx="4">
                  <c:v>Reglamentación de Internet de las cosas</c:v>
                </c:pt>
                <c:pt idx="5">
                  <c:v>Experiencia reglamentaria</c:v>
                </c:pt>
                <c:pt idx="6">
                  <c:v>Incentivos a los agentes del mercado</c:v>
                </c:pt>
              </c:strCache>
            </c:strRef>
          </c:cat>
          <c:val>
            <c:numRef>
              <c:f>'4. Instrum. política económica '!$D$3:$D$9</c:f>
              <c:numCache>
                <c:formatCode>0%</c:formatCode>
                <c:ptCount val="7"/>
                <c:pt idx="0">
                  <c:v>0.5</c:v>
                </c:pt>
                <c:pt idx="1">
                  <c:v>0</c:v>
                </c:pt>
                <c:pt idx="2">
                  <c:v>1</c:v>
                </c:pt>
                <c:pt idx="3">
                  <c:v>0</c:v>
                </c:pt>
                <c:pt idx="4">
                  <c:v>0</c:v>
                </c:pt>
                <c:pt idx="5">
                  <c:v>0</c:v>
                </c:pt>
                <c:pt idx="6">
                  <c:v>0</c:v>
                </c:pt>
              </c:numCache>
            </c:numRef>
          </c:val>
          <c:extLst>
            <c:ext xmlns:c16="http://schemas.microsoft.com/office/drawing/2014/chart" uri="{C3380CC4-5D6E-409C-BE32-E72D297353CC}">
              <c16:uniqueId val="{00000002-ECAE-47E1-85EC-D5D5D3C82ADB}"/>
            </c:ext>
          </c:extLst>
        </c:ser>
        <c:dLbls>
          <c:showLegendKey val="0"/>
          <c:showVal val="0"/>
          <c:showCatName val="0"/>
          <c:showSerName val="0"/>
          <c:showPercent val="0"/>
          <c:showBubbleSize val="0"/>
        </c:dLbls>
        <c:gapWidth val="150"/>
        <c:axId val="161476143"/>
        <c:axId val="161472783"/>
      </c:barChart>
      <c:lineChart>
        <c:grouping val="standard"/>
        <c:varyColors val="0"/>
        <c:ser>
          <c:idx val="3"/>
          <c:order val="3"/>
          <c:tx>
            <c:strRef>
              <c:f>'4. Instrum. política económica '!$E$2</c:f>
              <c:strCache>
                <c:ptCount val="1"/>
                <c:pt idx="0">
                  <c:v>Mundo</c:v>
                </c:pt>
              </c:strCache>
            </c:strRef>
          </c:tx>
          <c:spPr>
            <a:ln w="28575" cap="rnd">
              <a:noFill/>
              <a:prstDash val="sysDot"/>
              <a:round/>
            </a:ln>
            <a:effectLst/>
          </c:spPr>
          <c:marker>
            <c:symbol val="diamond"/>
            <c:size val="8"/>
            <c:spPr>
              <a:solidFill>
                <a:srgbClr val="00B0F0"/>
              </a:solidFill>
              <a:ln w="9525">
                <a:noFill/>
              </a:ln>
              <a:effectLst/>
            </c:spPr>
          </c:marker>
          <c:cat>
            <c:strRef>
              <c:f>'4. Instrum. política económica '!$A$3:$A$9</c:f>
              <c:strCache>
                <c:ptCount val="7"/>
                <c:pt idx="0">
                  <c:v>Agenda digital nacional</c:v>
                </c:pt>
                <c:pt idx="1">
                  <c:v>Política de innovación</c:v>
                </c:pt>
                <c:pt idx="2">
                  <c:v>Estrategia de comercio-e</c:v>
                </c:pt>
                <c:pt idx="3">
                  <c:v>Política de inteligencia artificial</c:v>
                </c:pt>
                <c:pt idx="4">
                  <c:v>Reglamentación de Internet de las cosas</c:v>
                </c:pt>
                <c:pt idx="5">
                  <c:v>Experiencia reglamentaria</c:v>
                </c:pt>
                <c:pt idx="6">
                  <c:v>Incentivos a los agentes del mercado</c:v>
                </c:pt>
              </c:strCache>
            </c:strRef>
          </c:cat>
          <c:val>
            <c:numRef>
              <c:f>'4. Instrum. política económica '!$E$3:$E$9</c:f>
              <c:numCache>
                <c:formatCode>0%</c:formatCode>
                <c:ptCount val="7"/>
                <c:pt idx="0">
                  <c:v>0.56994818652849744</c:v>
                </c:pt>
                <c:pt idx="1">
                  <c:v>0.48186528497409326</c:v>
                </c:pt>
                <c:pt idx="2">
                  <c:v>0.83419689119170981</c:v>
                </c:pt>
                <c:pt idx="3">
                  <c:v>0.15544041450777202</c:v>
                </c:pt>
                <c:pt idx="4">
                  <c:v>0.29533678756476683</c:v>
                </c:pt>
                <c:pt idx="5">
                  <c:v>0.39896373056994816</c:v>
                </c:pt>
                <c:pt idx="6">
                  <c:v>0.25388601036269431</c:v>
                </c:pt>
              </c:numCache>
            </c:numRef>
          </c:val>
          <c:smooth val="0"/>
          <c:extLst>
            <c:ext xmlns:c16="http://schemas.microsoft.com/office/drawing/2014/chart" uri="{C3380CC4-5D6E-409C-BE32-E72D297353CC}">
              <c16:uniqueId val="{00000003-ECAE-47E1-85EC-D5D5D3C82ADB}"/>
            </c:ext>
          </c:extLst>
        </c:ser>
        <c:dLbls>
          <c:showLegendKey val="0"/>
          <c:showVal val="0"/>
          <c:showCatName val="0"/>
          <c:showSerName val="0"/>
          <c:showPercent val="0"/>
          <c:showBubbleSize val="0"/>
        </c:dLbls>
        <c:marker val="1"/>
        <c:smooth val="0"/>
        <c:axId val="238774319"/>
        <c:axId val="238770959"/>
      </c:lineChart>
      <c:catAx>
        <c:axId val="161476143"/>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venir Next LT Pro Demi" panose="020B0704020202020204" pitchFamily="34" charset="0"/>
                <a:ea typeface="+mn-ea"/>
                <a:cs typeface="+mn-cs"/>
              </a:defRPr>
            </a:pPr>
            <a:endParaRPr lang="en-US"/>
          </a:p>
        </c:txPr>
        <c:crossAx val="161472783"/>
        <c:crosses val="autoZero"/>
        <c:auto val="1"/>
        <c:lblAlgn val="ctr"/>
        <c:lblOffset val="100"/>
        <c:noMultiLvlLbl val="0"/>
      </c:catAx>
      <c:valAx>
        <c:axId val="161472783"/>
        <c:scaling>
          <c:orientation val="minMax"/>
          <c:max val="1"/>
        </c:scaling>
        <c:delete val="0"/>
        <c:axPos val="l"/>
        <c:majorGridlines>
          <c:spPr>
            <a:ln w="6350"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venir Next LT Pro Demi" panose="020B0704020202020204" pitchFamily="34" charset="0"/>
                <a:ea typeface="+mn-ea"/>
                <a:cs typeface="+mn-cs"/>
              </a:defRPr>
            </a:pPr>
            <a:endParaRPr lang="en-US"/>
          </a:p>
        </c:txPr>
        <c:crossAx val="161476143"/>
        <c:crosses val="autoZero"/>
        <c:crossBetween val="between"/>
        <c:majorUnit val="0.2"/>
      </c:valAx>
      <c:valAx>
        <c:axId val="238770959"/>
        <c:scaling>
          <c:orientation val="minMax"/>
          <c:max val="1"/>
        </c:scaling>
        <c:delete val="1"/>
        <c:axPos val="r"/>
        <c:numFmt formatCode="0%" sourceLinked="1"/>
        <c:majorTickMark val="out"/>
        <c:minorTickMark val="none"/>
        <c:tickLblPos val="nextTo"/>
        <c:crossAx val="238774319"/>
        <c:crosses val="max"/>
        <c:crossBetween val="between"/>
      </c:valAx>
      <c:catAx>
        <c:axId val="238774319"/>
        <c:scaling>
          <c:orientation val="minMax"/>
        </c:scaling>
        <c:delete val="1"/>
        <c:axPos val="b"/>
        <c:numFmt formatCode="General" sourceLinked="1"/>
        <c:majorTickMark val="out"/>
        <c:minorTickMark val="none"/>
        <c:tickLblPos val="nextTo"/>
        <c:crossAx val="23877095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venir Next LT Pro Demi" panose="020B07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venir Next LT Pro Demi" panose="020B0704020202020204" pitchFamily="34"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'31. Abonos 100 h'!$A$6</c:f>
              <c:strCache>
                <c:ptCount val="1"/>
                <c:pt idx="0">
                  <c:v> Américas </c:v>
                </c:pt>
              </c:strCache>
            </c:strRef>
          </c:tx>
          <c:spPr>
            <a:ln w="28575" cap="rnd">
              <a:solidFill>
                <a:srgbClr val="A77BCA"/>
              </a:solidFill>
              <a:round/>
            </a:ln>
            <a:effectLst/>
          </c:spPr>
          <c:marker>
            <c:symbol val="none"/>
          </c:marker>
          <c:cat>
            <c:numRef>
              <c:f>'31. Abonos 100 h'!$B$4:$U$4</c:f>
              <c:numCache>
                <c:formatCode>General</c:formatCode>
                <c:ptCount val="20"/>
                <c:pt idx="0">
                  <c:v>2005</c:v>
                </c:pt>
                <c:pt idx="1">
                  <c:v>2006</c:v>
                </c:pt>
                <c:pt idx="2">
                  <c:v>2007</c:v>
                </c:pt>
                <c:pt idx="3">
                  <c:v>2008</c:v>
                </c:pt>
                <c:pt idx="4">
                  <c:v>2009</c:v>
                </c:pt>
                <c:pt idx="5">
                  <c:v>2010</c:v>
                </c:pt>
                <c:pt idx="6" formatCode="0">
                  <c:v>2011</c:v>
                </c:pt>
                <c:pt idx="7" formatCode="0">
                  <c:v>2012</c:v>
                </c:pt>
                <c:pt idx="8" formatCode="0">
                  <c:v>2013</c:v>
                </c:pt>
                <c:pt idx="9" formatCode="0">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'31. Abonos 100 h'!$B$6:$U$6</c:f>
              <c:numCache>
                <c:formatCode>0.0</c:formatCode>
                <c:ptCount val="20"/>
                <c:pt idx="0">
                  <c:v>52.1</c:v>
                </c:pt>
                <c:pt idx="1">
                  <c:v>62</c:v>
                </c:pt>
                <c:pt idx="2">
                  <c:v>72.099999999999994</c:v>
                </c:pt>
                <c:pt idx="3">
                  <c:v>80.8</c:v>
                </c:pt>
                <c:pt idx="4">
                  <c:v>87.3</c:v>
                </c:pt>
                <c:pt idx="5">
                  <c:v>94.2</c:v>
                </c:pt>
                <c:pt idx="6">
                  <c:v>100.8</c:v>
                </c:pt>
                <c:pt idx="7">
                  <c:v>104.2</c:v>
                </c:pt>
                <c:pt idx="8">
                  <c:v>108.2</c:v>
                </c:pt>
                <c:pt idx="9">
                  <c:v>112.3</c:v>
                </c:pt>
                <c:pt idx="10">
                  <c:v>107.6</c:v>
                </c:pt>
                <c:pt idx="11">
                  <c:v>107</c:v>
                </c:pt>
                <c:pt idx="12">
                  <c:v>104.7</c:v>
                </c:pt>
                <c:pt idx="13">
                  <c:v>104.4</c:v>
                </c:pt>
                <c:pt idx="14">
                  <c:v>103.4</c:v>
                </c:pt>
                <c:pt idx="15">
                  <c:v>102.5</c:v>
                </c:pt>
                <c:pt idx="16">
                  <c:v>107.2</c:v>
                </c:pt>
                <c:pt idx="17">
                  <c:v>109</c:v>
                </c:pt>
                <c:pt idx="18">
                  <c:v>111.4</c:v>
                </c:pt>
                <c:pt idx="19">
                  <c:v>114.1</c:v>
                </c:pt>
              </c:numCache>
            </c:numRef>
          </c:val>
          <c:smooth val="0"/>
          <c:extLst>
            <c:ext xmlns:c16="http://schemas.microsoft.com/office/drawing/2014/chart" uri="{C3380CC4-5D6E-409C-BE32-E72D297353CC}">
              <c16:uniqueId val="{00000000-E3D6-4995-97BC-ED47E93F8A2A}"/>
            </c:ext>
          </c:extLst>
        </c:ser>
        <c:ser>
          <c:idx val="0"/>
          <c:order val="1"/>
          <c:tx>
            <c:strRef>
              <c:f>'31. Abonos 100 h'!$A$5</c:f>
              <c:strCache>
                <c:ptCount val="1"/>
                <c:pt idx="0">
                  <c:v> Mundo </c:v>
                </c:pt>
              </c:strCache>
            </c:strRef>
          </c:tx>
          <c:spPr>
            <a:ln w="28575" cap="rnd">
              <a:solidFill>
                <a:srgbClr val="00A3E0"/>
              </a:solidFill>
              <a:round/>
            </a:ln>
            <a:effectLst/>
          </c:spPr>
          <c:marker>
            <c:symbol val="none"/>
          </c:marker>
          <c:cat>
            <c:numRef>
              <c:f>'31. Abonos 100 h'!$B$4:$U$4</c:f>
              <c:numCache>
                <c:formatCode>General</c:formatCode>
                <c:ptCount val="20"/>
                <c:pt idx="0">
                  <c:v>2005</c:v>
                </c:pt>
                <c:pt idx="1">
                  <c:v>2006</c:v>
                </c:pt>
                <c:pt idx="2">
                  <c:v>2007</c:v>
                </c:pt>
                <c:pt idx="3">
                  <c:v>2008</c:v>
                </c:pt>
                <c:pt idx="4">
                  <c:v>2009</c:v>
                </c:pt>
                <c:pt idx="5">
                  <c:v>2010</c:v>
                </c:pt>
                <c:pt idx="6" formatCode="0">
                  <c:v>2011</c:v>
                </c:pt>
                <c:pt idx="7" formatCode="0">
                  <c:v>2012</c:v>
                </c:pt>
                <c:pt idx="8" formatCode="0">
                  <c:v>2013</c:v>
                </c:pt>
                <c:pt idx="9" formatCode="0">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'31. Abonos 100 h'!$B$5:$U$5</c:f>
              <c:numCache>
                <c:formatCode>_-* #,##0.0_-;\-* #,##0.0_-;_-* "-"??_-;_-@_-</c:formatCode>
                <c:ptCount val="20"/>
                <c:pt idx="0">
                  <c:v>33.9</c:v>
                </c:pt>
                <c:pt idx="1">
                  <c:v>41.7</c:v>
                </c:pt>
                <c:pt idx="2">
                  <c:v>50.6</c:v>
                </c:pt>
                <c:pt idx="3">
                  <c:v>59.7</c:v>
                </c:pt>
                <c:pt idx="4">
                  <c:v>68</c:v>
                </c:pt>
                <c:pt idx="5">
                  <c:v>76.599999999999994</c:v>
                </c:pt>
                <c:pt idx="6">
                  <c:v>84.2</c:v>
                </c:pt>
                <c:pt idx="7">
                  <c:v>88.5</c:v>
                </c:pt>
                <c:pt idx="8">
                  <c:v>93.1</c:v>
                </c:pt>
                <c:pt idx="9">
                  <c:v>96.7</c:v>
                </c:pt>
                <c:pt idx="10">
                  <c:v>96.1</c:v>
                </c:pt>
                <c:pt idx="11">
                  <c:v>99.3</c:v>
                </c:pt>
                <c:pt idx="12">
                  <c:v>101.4</c:v>
                </c:pt>
                <c:pt idx="13">
                  <c:v>103.1</c:v>
                </c:pt>
                <c:pt idx="14">
                  <c:v>105.9</c:v>
                </c:pt>
                <c:pt idx="15">
                  <c:v>104.9</c:v>
                </c:pt>
                <c:pt idx="16">
                  <c:v>106.7</c:v>
                </c:pt>
                <c:pt idx="17">
                  <c:v>108.1</c:v>
                </c:pt>
                <c:pt idx="18">
                  <c:v>109.4</c:v>
                </c:pt>
                <c:pt idx="19">
                  <c:v>112.1</c:v>
                </c:pt>
              </c:numCache>
            </c:numRef>
          </c:val>
          <c:smooth val="0"/>
          <c:extLst>
            <c:ext xmlns:c16="http://schemas.microsoft.com/office/drawing/2014/chart" uri="{C3380CC4-5D6E-409C-BE32-E72D297353CC}">
              <c16:uniqueId val="{00000001-E3D6-4995-97BC-ED47E93F8A2A}"/>
            </c:ext>
          </c:extLst>
        </c:ser>
        <c:dLbls>
          <c:showLegendKey val="0"/>
          <c:showVal val="0"/>
          <c:showCatName val="0"/>
          <c:showSerName val="0"/>
          <c:showPercent val="0"/>
          <c:showBubbleSize val="0"/>
        </c:dLbls>
        <c:smooth val="0"/>
        <c:axId val="1409304527"/>
        <c:axId val="1409305775"/>
      </c:lineChart>
      <c:catAx>
        <c:axId val="1409304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5775"/>
        <c:crosses val="autoZero"/>
        <c:auto val="1"/>
        <c:lblAlgn val="ctr"/>
        <c:lblOffset val="100"/>
        <c:noMultiLvlLbl val="0"/>
      </c:catAx>
      <c:valAx>
        <c:axId val="14093057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4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'31. Abonos por país'!$D$2</c:f>
              <c:strCache>
                <c:ptCount val="1"/>
                <c:pt idx="0">
                  <c:v>2023 o último año disponible</c:v>
                </c:pt>
              </c:strCache>
            </c:strRef>
          </c:tx>
          <c:spPr>
            <a:solidFill>
              <a:srgbClr val="403A60"/>
            </a:solidFill>
            <a:ln>
              <a:noFill/>
            </a:ln>
            <a:effectLst/>
          </c:spPr>
          <c:invertIfNegative val="0"/>
          <c:dPt>
            <c:idx val="0"/>
            <c:invertIfNegative val="0"/>
            <c:bubble3D val="0"/>
            <c:spPr>
              <a:solidFill>
                <a:srgbClr val="A77BCA"/>
              </a:solidFill>
              <a:ln>
                <a:noFill/>
              </a:ln>
              <a:effectLst/>
            </c:spPr>
            <c:extLst>
              <c:ext xmlns:c16="http://schemas.microsoft.com/office/drawing/2014/chart" uri="{C3380CC4-5D6E-409C-BE32-E72D297353CC}">
                <c16:uniqueId val="{00000001-69DA-4879-B3C5-B88C95E5BD29}"/>
              </c:ext>
            </c:extLst>
          </c:dPt>
          <c:dPt>
            <c:idx val="1"/>
            <c:invertIfNegative val="0"/>
            <c:bubble3D val="0"/>
            <c:spPr>
              <a:solidFill>
                <a:srgbClr val="A77BCA"/>
              </a:solidFill>
              <a:ln>
                <a:noFill/>
              </a:ln>
              <a:effectLst/>
            </c:spPr>
            <c:extLst>
              <c:ext xmlns:c16="http://schemas.microsoft.com/office/drawing/2014/chart" uri="{C3380CC4-5D6E-409C-BE32-E72D297353CC}">
                <c16:uniqueId val="{00000003-69DA-4879-B3C5-B88C95E5BD29}"/>
              </c:ext>
            </c:extLst>
          </c:dPt>
          <c:dPt>
            <c:idx val="13"/>
            <c:invertIfNegative val="0"/>
            <c:bubble3D val="0"/>
            <c:spPr>
              <a:solidFill>
                <a:srgbClr val="A77BCA"/>
              </a:solidFill>
              <a:ln>
                <a:noFill/>
              </a:ln>
              <a:effectLst/>
            </c:spPr>
            <c:extLst>
              <c:ext xmlns:c16="http://schemas.microsoft.com/office/drawing/2014/chart" uri="{C3380CC4-5D6E-409C-BE32-E72D297353CC}">
                <c16:uniqueId val="{00000005-69DA-4879-B3C5-B88C95E5BD29}"/>
              </c:ext>
            </c:extLst>
          </c:dPt>
          <c:dPt>
            <c:idx val="18"/>
            <c:invertIfNegative val="0"/>
            <c:bubble3D val="0"/>
            <c:spPr>
              <a:solidFill>
                <a:srgbClr val="A77BCA"/>
              </a:solidFill>
              <a:ln>
                <a:noFill/>
              </a:ln>
              <a:effectLst/>
            </c:spPr>
            <c:extLst>
              <c:ext xmlns:c16="http://schemas.microsoft.com/office/drawing/2014/chart" uri="{C3380CC4-5D6E-409C-BE32-E72D297353CC}">
                <c16:uniqueId val="{00000007-69DA-4879-B3C5-B88C95E5BD29}"/>
              </c:ext>
            </c:extLst>
          </c:dPt>
          <c:dPt>
            <c:idx val="34"/>
            <c:invertIfNegative val="0"/>
            <c:bubble3D val="0"/>
            <c:spPr>
              <a:solidFill>
                <a:srgbClr val="A77BCA"/>
              </a:solidFill>
              <a:ln>
                <a:noFill/>
              </a:ln>
              <a:effectLst/>
            </c:spPr>
            <c:extLst>
              <c:ext xmlns:c16="http://schemas.microsoft.com/office/drawing/2014/chart" uri="{C3380CC4-5D6E-409C-BE32-E72D297353CC}">
                <c16:uniqueId val="{00000009-69DA-4879-B3C5-B88C95E5BD29}"/>
              </c:ext>
            </c:extLst>
          </c:dPt>
          <c:dLbls>
            <c:delete val="1"/>
          </c:dLbls>
          <c:cat>
            <c:strRef>
              <c:f>'31. Abonos por país'!$C$3:$C$37</c:f>
              <c:strCache>
                <c:ptCount val="35"/>
                <c:pt idx="0">
                  <c:v>Haití (2022)</c:v>
                </c:pt>
                <c:pt idx="1">
                  <c:v>Belice (2022)</c:v>
                </c:pt>
                <c:pt idx="2">
                  <c:v>Cuba</c:v>
                </c:pt>
                <c:pt idx="3">
                  <c:v>Venezuela</c:v>
                </c:pt>
                <c:pt idx="4">
                  <c:v>Honduras</c:v>
                </c:pt>
                <c:pt idx="5">
                  <c:v>Dominica (2022)</c:v>
                </c:pt>
                <c:pt idx="6">
                  <c:v>Rep. Dominicana</c:v>
                </c:pt>
                <c:pt idx="7">
                  <c:v>Canadá</c:v>
                </c:pt>
                <c:pt idx="8">
                  <c:v>Granada (2022)</c:v>
                </c:pt>
                <c:pt idx="9">
                  <c:v>Santa Lucía (2022)</c:v>
                </c:pt>
                <c:pt idx="10">
                  <c:v>Bahamas</c:v>
                </c:pt>
                <c:pt idx="11">
                  <c:v>Brasil</c:v>
                </c:pt>
                <c:pt idx="12">
                  <c:v>Ecuador</c:v>
                </c:pt>
                <c:pt idx="13">
                  <c:v>Bolivia (2022)</c:v>
                </c:pt>
                <c:pt idx="14">
                  <c:v>San Vicente</c:v>
                </c:pt>
                <c:pt idx="15">
                  <c:v>Nicaragua</c:v>
                </c:pt>
                <c:pt idx="16">
                  <c:v>México</c:v>
                </c:pt>
                <c:pt idx="17">
                  <c:v>Estados Unidos</c:v>
                </c:pt>
                <c:pt idx="18">
                  <c:v>Guyana (2022)</c:v>
                </c:pt>
                <c:pt idx="19">
                  <c:v>Guatemala</c:v>
                </c:pt>
                <c:pt idx="20">
                  <c:v>Barbados (2022)</c:v>
                </c:pt>
                <c:pt idx="21">
                  <c:v>Jamaica</c:v>
                </c:pt>
                <c:pt idx="22">
                  <c:v>Saint Kitts y Nevis</c:v>
                </c:pt>
                <c:pt idx="23">
                  <c:v>Perú</c:v>
                </c:pt>
                <c:pt idx="24">
                  <c:v>Paraguay</c:v>
                </c:pt>
                <c:pt idx="25">
                  <c:v>Trinidad y Tabago</c:v>
                </c:pt>
                <c:pt idx="26">
                  <c:v>Chile</c:v>
                </c:pt>
                <c:pt idx="27">
                  <c:v>Argentina</c:v>
                </c:pt>
                <c:pt idx="28">
                  <c:v>Uruguay</c:v>
                </c:pt>
                <c:pt idx="29">
                  <c:v>Costa Rica</c:v>
                </c:pt>
                <c:pt idx="30">
                  <c:v>Panamá</c:v>
                </c:pt>
                <c:pt idx="31">
                  <c:v>Suriname</c:v>
                </c:pt>
                <c:pt idx="32">
                  <c:v>Colombia</c:v>
                </c:pt>
                <c:pt idx="33">
                  <c:v>El Salvador</c:v>
                </c:pt>
                <c:pt idx="34">
                  <c:v>Antigua y Barbuda (2022)</c:v>
                </c:pt>
              </c:strCache>
            </c:strRef>
          </c:cat>
          <c:val>
            <c:numRef>
              <c:f>'31. Abonos por país'!$D$3:$D$37</c:f>
              <c:numCache>
                <c:formatCode>0</c:formatCode>
                <c:ptCount val="35"/>
                <c:pt idx="0">
                  <c:v>65.188932931117407</c:v>
                </c:pt>
                <c:pt idx="1">
                  <c:v>67.175026630546796</c:v>
                </c:pt>
                <c:pt idx="2">
                  <c:v>69.576778656781102</c:v>
                </c:pt>
                <c:pt idx="3">
                  <c:v>70.219732591815102</c:v>
                </c:pt>
                <c:pt idx="4">
                  <c:v>74.414822715696104</c:v>
                </c:pt>
                <c:pt idx="5">
                  <c:v>85.189896148205804</c:v>
                </c:pt>
                <c:pt idx="6">
                  <c:v>91.867624665030803</c:v>
                </c:pt>
                <c:pt idx="7">
                  <c:v>94.149726819478502</c:v>
                </c:pt>
                <c:pt idx="8">
                  <c:v>95.759239776586</c:v>
                </c:pt>
                <c:pt idx="9">
                  <c:v>98.667643653408305</c:v>
                </c:pt>
                <c:pt idx="10">
                  <c:v>100.047566593231</c:v>
                </c:pt>
                <c:pt idx="11">
                  <c:v>101.02025602080801</c:v>
                </c:pt>
                <c:pt idx="12">
                  <c:v>101.031858418006</c:v>
                </c:pt>
                <c:pt idx="13">
                  <c:v>101.57150434614</c:v>
                </c:pt>
                <c:pt idx="14">
                  <c:v>101.63141636153701</c:v>
                </c:pt>
                <c:pt idx="15">
                  <c:v>105.84313618020199</c:v>
                </c:pt>
                <c:pt idx="16">
                  <c:v>111.56165165992</c:v>
                </c:pt>
                <c:pt idx="17">
                  <c:v>112.410910606372</c:v>
                </c:pt>
                <c:pt idx="18">
                  <c:v>112.56503784518</c:v>
                </c:pt>
                <c:pt idx="19">
                  <c:v>113.709374947241</c:v>
                </c:pt>
                <c:pt idx="20">
                  <c:v>114.580721030894</c:v>
                </c:pt>
                <c:pt idx="21">
                  <c:v>115.092228780619</c:v>
                </c:pt>
                <c:pt idx="22">
                  <c:v>118.893023653706</c:v>
                </c:pt>
                <c:pt idx="23">
                  <c:v>121.975084691173</c:v>
                </c:pt>
                <c:pt idx="24">
                  <c:v>126.605481531224</c:v>
                </c:pt>
                <c:pt idx="25">
                  <c:v>134.23055733725801</c:v>
                </c:pt>
                <c:pt idx="26">
                  <c:v>135.871118507277</c:v>
                </c:pt>
                <c:pt idx="27">
                  <c:v>137.706086781571</c:v>
                </c:pt>
                <c:pt idx="28">
                  <c:v>141.71948663564999</c:v>
                </c:pt>
                <c:pt idx="29">
                  <c:v>145.78874846367401</c:v>
                </c:pt>
                <c:pt idx="30">
                  <c:v>156.586507591014</c:v>
                </c:pt>
                <c:pt idx="31">
                  <c:v>157.24614636038999</c:v>
                </c:pt>
                <c:pt idx="32">
                  <c:v>166.98010777744301</c:v>
                </c:pt>
                <c:pt idx="33">
                  <c:v>179.70563697614901</c:v>
                </c:pt>
                <c:pt idx="34">
                  <c:v>200.54071520896201</c:v>
                </c:pt>
              </c:numCache>
            </c:numRef>
          </c:val>
          <c:extLst>
            <c:ext xmlns:c16="http://schemas.microsoft.com/office/drawing/2014/chart" uri="{C3380CC4-5D6E-409C-BE32-E72D297353CC}">
              <c16:uniqueId val="{0000000A-69DA-4879-B3C5-B88C95E5BD29}"/>
            </c:ext>
          </c:extLst>
        </c:ser>
        <c:dLbls>
          <c:dLblPos val="outEnd"/>
          <c:showLegendKey val="0"/>
          <c:showVal val="1"/>
          <c:showCatName val="0"/>
          <c:showSerName val="0"/>
          <c:showPercent val="0"/>
          <c:showBubbleSize val="0"/>
        </c:dLbls>
        <c:gapWidth val="219"/>
        <c:overlap val="-27"/>
        <c:axId val="1942888335"/>
        <c:axId val="1892808655"/>
      </c:barChart>
      <c:lineChart>
        <c:grouping val="standard"/>
        <c:varyColors val="0"/>
        <c:ser>
          <c:idx val="1"/>
          <c:order val="1"/>
          <c:tx>
            <c:strRef>
              <c:f>'31. Abonos por país'!$E$2</c:f>
              <c:strCache>
                <c:ptCount val="1"/>
                <c:pt idx="0">
                  <c:v>Media regional (2023)</c:v>
                </c:pt>
              </c:strCache>
            </c:strRef>
          </c:tx>
          <c:spPr>
            <a:ln w="28575" cap="rnd">
              <a:solidFill>
                <a:srgbClr val="A77BCA"/>
              </a:solidFill>
              <a:prstDash val="sysDot"/>
              <a:round/>
            </a:ln>
            <a:effectLst/>
          </c:spPr>
          <c:marker>
            <c:symbol val="none"/>
          </c:marker>
          <c:cat>
            <c:strRef>
              <c:f>'31. Abonos por país'!$C$3:$C$37</c:f>
              <c:strCache>
                <c:ptCount val="35"/>
                <c:pt idx="0">
                  <c:v>Haití (2022)</c:v>
                </c:pt>
                <c:pt idx="1">
                  <c:v>Belice (2022)</c:v>
                </c:pt>
                <c:pt idx="2">
                  <c:v>Cuba</c:v>
                </c:pt>
                <c:pt idx="3">
                  <c:v>Venezuela</c:v>
                </c:pt>
                <c:pt idx="4">
                  <c:v>Honduras</c:v>
                </c:pt>
                <c:pt idx="5">
                  <c:v>Dominica (2022)</c:v>
                </c:pt>
                <c:pt idx="6">
                  <c:v>Rep. Dominicana</c:v>
                </c:pt>
                <c:pt idx="7">
                  <c:v>Canadá</c:v>
                </c:pt>
                <c:pt idx="8">
                  <c:v>Granada (2022)</c:v>
                </c:pt>
                <c:pt idx="9">
                  <c:v>Santa Lucía (2022)</c:v>
                </c:pt>
                <c:pt idx="10">
                  <c:v>Bahamas</c:v>
                </c:pt>
                <c:pt idx="11">
                  <c:v>Brasil</c:v>
                </c:pt>
                <c:pt idx="12">
                  <c:v>Ecuador</c:v>
                </c:pt>
                <c:pt idx="13">
                  <c:v>Bolivia (2022)</c:v>
                </c:pt>
                <c:pt idx="14">
                  <c:v>San Vicente</c:v>
                </c:pt>
                <c:pt idx="15">
                  <c:v>Nicaragua</c:v>
                </c:pt>
                <c:pt idx="16">
                  <c:v>México</c:v>
                </c:pt>
                <c:pt idx="17">
                  <c:v>Estados Unidos</c:v>
                </c:pt>
                <c:pt idx="18">
                  <c:v>Guyana (2022)</c:v>
                </c:pt>
                <c:pt idx="19">
                  <c:v>Guatemala</c:v>
                </c:pt>
                <c:pt idx="20">
                  <c:v>Barbados (2022)</c:v>
                </c:pt>
                <c:pt idx="21">
                  <c:v>Jamaica</c:v>
                </c:pt>
                <c:pt idx="22">
                  <c:v>Saint Kitts y Nevis</c:v>
                </c:pt>
                <c:pt idx="23">
                  <c:v>Perú</c:v>
                </c:pt>
                <c:pt idx="24">
                  <c:v>Paraguay</c:v>
                </c:pt>
                <c:pt idx="25">
                  <c:v>Trinidad y Tabago</c:v>
                </c:pt>
                <c:pt idx="26">
                  <c:v>Chile</c:v>
                </c:pt>
                <c:pt idx="27">
                  <c:v>Argentina</c:v>
                </c:pt>
                <c:pt idx="28">
                  <c:v>Uruguay</c:v>
                </c:pt>
                <c:pt idx="29">
                  <c:v>Costa Rica</c:v>
                </c:pt>
                <c:pt idx="30">
                  <c:v>Panamá</c:v>
                </c:pt>
                <c:pt idx="31">
                  <c:v>Suriname</c:v>
                </c:pt>
                <c:pt idx="32">
                  <c:v>Colombia</c:v>
                </c:pt>
                <c:pt idx="33">
                  <c:v>El Salvador</c:v>
                </c:pt>
                <c:pt idx="34">
                  <c:v>Antigua y Barbuda (2022)</c:v>
                </c:pt>
              </c:strCache>
            </c:strRef>
          </c:cat>
          <c:val>
            <c:numRef>
              <c:f>'31. Abonos por país'!$E$3:$E$37</c:f>
              <c:numCache>
                <c:formatCode>0.0</c:formatCode>
                <c:ptCount val="35"/>
                <c:pt idx="0">
                  <c:v>111.4</c:v>
                </c:pt>
                <c:pt idx="1">
                  <c:v>111.4</c:v>
                </c:pt>
                <c:pt idx="2">
                  <c:v>111.4</c:v>
                </c:pt>
                <c:pt idx="3">
                  <c:v>111.4</c:v>
                </c:pt>
                <c:pt idx="4">
                  <c:v>111.4</c:v>
                </c:pt>
                <c:pt idx="5">
                  <c:v>111.4</c:v>
                </c:pt>
                <c:pt idx="6">
                  <c:v>111.4</c:v>
                </c:pt>
                <c:pt idx="7">
                  <c:v>111.4</c:v>
                </c:pt>
                <c:pt idx="8">
                  <c:v>111.4</c:v>
                </c:pt>
                <c:pt idx="9">
                  <c:v>111.4</c:v>
                </c:pt>
                <c:pt idx="10">
                  <c:v>111.4</c:v>
                </c:pt>
                <c:pt idx="11">
                  <c:v>111.4</c:v>
                </c:pt>
                <c:pt idx="12">
                  <c:v>111.4</c:v>
                </c:pt>
                <c:pt idx="13">
                  <c:v>111.4</c:v>
                </c:pt>
                <c:pt idx="14">
                  <c:v>111.4</c:v>
                </c:pt>
                <c:pt idx="15">
                  <c:v>111.4</c:v>
                </c:pt>
                <c:pt idx="16">
                  <c:v>111.4</c:v>
                </c:pt>
                <c:pt idx="17">
                  <c:v>111.4</c:v>
                </c:pt>
                <c:pt idx="18">
                  <c:v>111.4</c:v>
                </c:pt>
                <c:pt idx="19">
                  <c:v>111.4</c:v>
                </c:pt>
                <c:pt idx="20">
                  <c:v>111.4</c:v>
                </c:pt>
                <c:pt idx="21">
                  <c:v>111.4</c:v>
                </c:pt>
                <c:pt idx="22">
                  <c:v>111.4</c:v>
                </c:pt>
                <c:pt idx="23">
                  <c:v>111.4</c:v>
                </c:pt>
                <c:pt idx="24">
                  <c:v>111.4</c:v>
                </c:pt>
                <c:pt idx="25">
                  <c:v>111.4</c:v>
                </c:pt>
                <c:pt idx="26">
                  <c:v>111.4</c:v>
                </c:pt>
                <c:pt idx="27">
                  <c:v>111.4</c:v>
                </c:pt>
                <c:pt idx="28">
                  <c:v>111.4</c:v>
                </c:pt>
                <c:pt idx="29">
                  <c:v>111.4</c:v>
                </c:pt>
                <c:pt idx="30">
                  <c:v>111.4</c:v>
                </c:pt>
                <c:pt idx="31">
                  <c:v>111.4</c:v>
                </c:pt>
                <c:pt idx="32">
                  <c:v>111.4</c:v>
                </c:pt>
                <c:pt idx="33">
                  <c:v>111.4</c:v>
                </c:pt>
                <c:pt idx="34">
                  <c:v>111.4</c:v>
                </c:pt>
              </c:numCache>
            </c:numRef>
          </c:val>
          <c:smooth val="0"/>
          <c:extLst>
            <c:ext xmlns:c16="http://schemas.microsoft.com/office/drawing/2014/chart" uri="{C3380CC4-5D6E-409C-BE32-E72D297353CC}">
              <c16:uniqueId val="{0000000B-69DA-4879-B3C5-B88C95E5BD29}"/>
            </c:ext>
          </c:extLst>
        </c:ser>
        <c:ser>
          <c:idx val="2"/>
          <c:order val="2"/>
          <c:tx>
            <c:strRef>
              <c:f>'31. Abonos por país'!$F$2</c:f>
              <c:strCache>
                <c:ptCount val="1"/>
                <c:pt idx="0">
                  <c:v>2018</c:v>
                </c:pt>
              </c:strCache>
            </c:strRef>
          </c:tx>
          <c:spPr>
            <a:ln w="28575" cap="rnd">
              <a:noFill/>
              <a:round/>
            </a:ln>
            <a:effectLst/>
          </c:spPr>
          <c:marker>
            <c:symbol val="dash"/>
            <c:size val="3"/>
            <c:spPr>
              <a:solidFill>
                <a:sysClr val="windowText" lastClr="000000"/>
              </a:solidFill>
              <a:ln w="9525">
                <a:solidFill>
                  <a:sysClr val="windowText" lastClr="000000"/>
                </a:solidFill>
              </a:ln>
              <a:effectLst/>
            </c:spPr>
          </c:marker>
          <c:cat>
            <c:strRef>
              <c:f>'31. Abonos por país'!$C$3:$C$37</c:f>
              <c:strCache>
                <c:ptCount val="35"/>
                <c:pt idx="0">
                  <c:v>Haití (2022)</c:v>
                </c:pt>
                <c:pt idx="1">
                  <c:v>Belice (2022)</c:v>
                </c:pt>
                <c:pt idx="2">
                  <c:v>Cuba</c:v>
                </c:pt>
                <c:pt idx="3">
                  <c:v>Venezuela</c:v>
                </c:pt>
                <c:pt idx="4">
                  <c:v>Honduras</c:v>
                </c:pt>
                <c:pt idx="5">
                  <c:v>Dominica (2022)</c:v>
                </c:pt>
                <c:pt idx="6">
                  <c:v>Rep. Dominicana</c:v>
                </c:pt>
                <c:pt idx="7">
                  <c:v>Canadá</c:v>
                </c:pt>
                <c:pt idx="8">
                  <c:v>Granada (2022)</c:v>
                </c:pt>
                <c:pt idx="9">
                  <c:v>Santa Lucía (2022)</c:v>
                </c:pt>
                <c:pt idx="10">
                  <c:v>Bahamas</c:v>
                </c:pt>
                <c:pt idx="11">
                  <c:v>Brasil</c:v>
                </c:pt>
                <c:pt idx="12">
                  <c:v>Ecuador</c:v>
                </c:pt>
                <c:pt idx="13">
                  <c:v>Bolivia (2022)</c:v>
                </c:pt>
                <c:pt idx="14">
                  <c:v>San Vicente</c:v>
                </c:pt>
                <c:pt idx="15">
                  <c:v>Nicaragua</c:v>
                </c:pt>
                <c:pt idx="16">
                  <c:v>México</c:v>
                </c:pt>
                <c:pt idx="17">
                  <c:v>Estados Unidos</c:v>
                </c:pt>
                <c:pt idx="18">
                  <c:v>Guyana (2022)</c:v>
                </c:pt>
                <c:pt idx="19">
                  <c:v>Guatemala</c:v>
                </c:pt>
                <c:pt idx="20">
                  <c:v>Barbados (2022)</c:v>
                </c:pt>
                <c:pt idx="21">
                  <c:v>Jamaica</c:v>
                </c:pt>
                <c:pt idx="22">
                  <c:v>Saint Kitts y Nevis</c:v>
                </c:pt>
                <c:pt idx="23">
                  <c:v>Perú</c:v>
                </c:pt>
                <c:pt idx="24">
                  <c:v>Paraguay</c:v>
                </c:pt>
                <c:pt idx="25">
                  <c:v>Trinidad y Tabago</c:v>
                </c:pt>
                <c:pt idx="26">
                  <c:v>Chile</c:v>
                </c:pt>
                <c:pt idx="27">
                  <c:v>Argentina</c:v>
                </c:pt>
                <c:pt idx="28">
                  <c:v>Uruguay</c:v>
                </c:pt>
                <c:pt idx="29">
                  <c:v>Costa Rica</c:v>
                </c:pt>
                <c:pt idx="30">
                  <c:v>Panamá</c:v>
                </c:pt>
                <c:pt idx="31">
                  <c:v>Suriname</c:v>
                </c:pt>
                <c:pt idx="32">
                  <c:v>Colombia</c:v>
                </c:pt>
                <c:pt idx="33">
                  <c:v>El Salvador</c:v>
                </c:pt>
                <c:pt idx="34">
                  <c:v>Antigua y Barbuda (2022)</c:v>
                </c:pt>
              </c:strCache>
            </c:strRef>
          </c:cat>
          <c:val>
            <c:numRef>
              <c:f>'31. Abonos por país'!$F$3:$F$37</c:f>
              <c:numCache>
                <c:formatCode>0.0</c:formatCode>
                <c:ptCount val="35"/>
                <c:pt idx="0">
                  <c:v>60.232256515521001</c:v>
                </c:pt>
                <c:pt idx="1">
                  <c:v>64.780157064482694</c:v>
                </c:pt>
                <c:pt idx="2">
                  <c:v>47.860154315648899</c:v>
                </c:pt>
                <c:pt idx="3">
                  <c:v>69.549962304905407</c:v>
                </c:pt>
                <c:pt idx="4">
                  <c:v>77.710095328211096</c:v>
                </c:pt>
                <c:pt idx="5">
                  <c:v>112.682254231819</c:v>
                </c:pt>
                <c:pt idx="6">
                  <c:v>82.893740181021201</c:v>
                </c:pt>
                <c:pt idx="7">
                  <c:v>89.049458499871506</c:v>
                </c:pt>
                <c:pt idx="8">
                  <c:v>102.61904556102</c:v>
                </c:pt>
                <c:pt idx="9">
                  <c:v>104.47810097335299</c:v>
                </c:pt>
                <c:pt idx="10">
                  <c:v>98.978908476078203</c:v>
                </c:pt>
                <c:pt idx="11">
                  <c:v>101.602460284017</c:v>
                </c:pt>
                <c:pt idx="12">
                  <c:v>92.511771720386506</c:v>
                </c:pt>
                <c:pt idx="13">
                  <c:v>99.456586720202196</c:v>
                </c:pt>
                <c:pt idx="14">
                  <c:v>107.164096601414</c:v>
                </c:pt>
                <c:pt idx="15">
                  <c:v>116.272405969925</c:v>
                </c:pt>
                <c:pt idx="16">
                  <c:v>96.461220457661398</c:v>
                </c:pt>
                <c:pt idx="17">
                  <c:v>103.935307364</c:v>
                </c:pt>
                <c:pt idx="19">
                  <c:v>121.500075538632</c:v>
                </c:pt>
                <c:pt idx="20">
                  <c:v>117.318523321138</c:v>
                </c:pt>
                <c:pt idx="21">
                  <c:v>105.13730556076599</c:v>
                </c:pt>
                <c:pt idx="22">
                  <c:v>152.30173587474499</c:v>
                </c:pt>
                <c:pt idx="23">
                  <c:v>132.15662665862101</c:v>
                </c:pt>
                <c:pt idx="24">
                  <c:v>115.74995853677299</c:v>
                </c:pt>
                <c:pt idx="25">
                  <c:v>134.14286666331199</c:v>
                </c:pt>
                <c:pt idx="26">
                  <c:v>133.27013419808199</c:v>
                </c:pt>
                <c:pt idx="27">
                  <c:v>131.224265691711</c:v>
                </c:pt>
                <c:pt idx="28">
                  <c:v>131.36333293465299</c:v>
                </c:pt>
                <c:pt idx="29">
                  <c:v>171.35733905520499</c:v>
                </c:pt>
                <c:pt idx="30">
                  <c:v>137.29755797939501</c:v>
                </c:pt>
                <c:pt idx="31">
                  <c:v>125.480181413914</c:v>
                </c:pt>
                <c:pt idx="32">
                  <c:v>131.595473810882</c:v>
                </c:pt>
                <c:pt idx="33">
                  <c:v>151.66861286853401</c:v>
                </c:pt>
              </c:numCache>
            </c:numRef>
          </c:val>
          <c:smooth val="0"/>
          <c:extLst>
            <c:ext xmlns:c16="http://schemas.microsoft.com/office/drawing/2014/chart" uri="{C3380CC4-5D6E-409C-BE32-E72D297353CC}">
              <c16:uniqueId val="{0000000C-69DA-4879-B3C5-B88C95E5BD29}"/>
            </c:ext>
          </c:extLst>
        </c:ser>
        <c:dLbls>
          <c:showLegendKey val="0"/>
          <c:showVal val="0"/>
          <c:showCatName val="0"/>
          <c:showSerName val="0"/>
          <c:showPercent val="0"/>
          <c:showBubbleSize val="0"/>
        </c:dLbls>
        <c:marker val="1"/>
        <c:smooth val="0"/>
        <c:axId val="1942888335"/>
        <c:axId val="1892808655"/>
      </c:lineChart>
      <c:catAx>
        <c:axId val="1942888335"/>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892808655"/>
        <c:crosses val="autoZero"/>
        <c:auto val="1"/>
        <c:lblAlgn val="ctr"/>
        <c:lblOffset val="100"/>
        <c:noMultiLvlLbl val="0"/>
      </c:catAx>
      <c:valAx>
        <c:axId val="1892808655"/>
        <c:scaling>
          <c:orientation val="minMax"/>
          <c:max val="220"/>
          <c:min val="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942888335"/>
        <c:crosses val="autoZero"/>
        <c:crossBetween val="between"/>
        <c:majorUnit val="4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4">
    <c:autoUpdate val="0"/>
  </c:externalData>
  <c:userShapes r:id="rId5"/>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61676356589148"/>
          <c:y val="5.1059941520467833E-2"/>
          <c:w val="0.70191036821705421"/>
          <c:h val="0.74957602339181284"/>
        </c:manualLayout>
      </c:layout>
      <c:barChart>
        <c:barDir val="bar"/>
        <c:grouping val="stacked"/>
        <c:varyColors val="0"/>
        <c:ser>
          <c:idx val="0"/>
          <c:order val="0"/>
          <c:tx>
            <c:strRef>
              <c:f>'32. Competencias TIC'!$B$8</c:f>
              <c:strCache>
                <c:ptCount val="1"/>
                <c:pt idx="0">
                  <c:v>Más que básicas</c:v>
                </c:pt>
              </c:strCache>
            </c:strRef>
          </c:tx>
          <c:spPr>
            <a:solidFill>
              <a:srgbClr val="403A60"/>
            </a:solidFill>
            <a:ln>
              <a:noFill/>
            </a:ln>
            <a:effectLst/>
          </c:spPr>
          <c:invertIfNegative val="0"/>
          <c:dLbls>
            <c:dLbl>
              <c:idx val="0"/>
              <c:tx>
                <c:rich>
                  <a:bodyPr/>
                  <a:lstStyle/>
                  <a:p>
                    <a:fld id="{4B644C73-F087-4CD4-8F19-B12A06581E84}"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C126-4CA9-8282-19958FA00462}"/>
                </c:ext>
              </c:extLst>
            </c:dLbl>
            <c:dLbl>
              <c:idx val="1"/>
              <c:tx>
                <c:rich>
                  <a:bodyPr/>
                  <a:lstStyle/>
                  <a:p>
                    <a:fld id="{87289DAE-7865-4F39-9734-4D00EB71E7AF}" type="CELLRANGE">
                      <a:rPr lang="en-GB"/>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C126-4CA9-8282-19958FA00462}"/>
                </c:ext>
              </c:extLst>
            </c:dLbl>
            <c:dLbl>
              <c:idx val="2"/>
              <c:tx>
                <c:rich>
                  <a:bodyPr/>
                  <a:lstStyle/>
                  <a:p>
                    <a:fld id="{DBB648EC-58D5-4522-AFD5-A85FA5403447}" type="CELLRANGE">
                      <a:rPr lang="en-GB"/>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C126-4CA9-8282-19958FA00462}"/>
                </c:ext>
              </c:extLst>
            </c:dLbl>
            <c:dLbl>
              <c:idx val="3"/>
              <c:tx>
                <c:rich>
                  <a:bodyPr/>
                  <a:lstStyle/>
                  <a:p>
                    <a:fld id="{39250E71-4432-4E5A-BA9C-C38BE92BA466}" type="CELLRANGE">
                      <a:rPr lang="en-GB"/>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C126-4CA9-8282-19958FA00462}"/>
                </c:ext>
              </c:extLst>
            </c:dLbl>
            <c:dLbl>
              <c:idx val="4"/>
              <c:layout>
                <c:manualLayout>
                  <c:x val="6.5851851851851759E-2"/>
                  <c:y val="0"/>
                </c:manualLayout>
              </c:layout>
              <c:tx>
                <c:rich>
                  <a:bodyPr/>
                  <a:lstStyle/>
                  <a:p>
                    <a:fld id="{F254179A-4468-4FD3-BAEF-7631D817CD34}" type="CELLRANGE">
                      <a:rPr lang="en-US">
                        <a:solidFill>
                          <a:schemeClr val="bg1"/>
                        </a:solidFill>
                      </a:rPr>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C126-4CA9-8282-19958FA0046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venir Next LT Pro Demi" panose="020B0704020202020204" pitchFamily="34" charset="0"/>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'32. Competencias TIC'!$A$9:$A$13</c:f>
              <c:strCache>
                <c:ptCount val="5"/>
                <c:pt idx="0">
                  <c:v>Resolución de problemas</c:v>
                </c:pt>
                <c:pt idx="1">
                  <c:v>Seguridad</c:v>
                </c:pt>
                <c:pt idx="2">
                  <c:v>Creación de contenido digital</c:v>
                </c:pt>
                <c:pt idx="3">
                  <c:v>Comunicación y colaboración</c:v>
                </c:pt>
                <c:pt idx="4">
                  <c:v>Alfabetización información y datos</c:v>
                </c:pt>
              </c:strCache>
            </c:strRef>
          </c:cat>
          <c:val>
            <c:numRef>
              <c:f>'32. Competencias TIC'!$B$9:$B$13</c:f>
              <c:numCache>
                <c:formatCode>0</c:formatCode>
                <c:ptCount val="5"/>
                <c:pt idx="0">
                  <c:v>53.770493432276297</c:v>
                </c:pt>
                <c:pt idx="1">
                  <c:v>32.494895922789397</c:v>
                </c:pt>
                <c:pt idx="2">
                  <c:v>39.570516066322</c:v>
                </c:pt>
                <c:pt idx="3">
                  <c:v>74.148010939948193</c:v>
                </c:pt>
                <c:pt idx="4">
                  <c:v>62.666719514149101</c:v>
                </c:pt>
              </c:numCache>
            </c:numRef>
          </c:val>
          <c:extLst>
            <c:ext xmlns:c15="http://schemas.microsoft.com/office/drawing/2012/chart" uri="{02D57815-91ED-43cb-92C2-25804820EDAC}">
              <c15:datalabelsRange>
                <c15:f>'32. Competencias TIC'!$B$9:$B$13</c15:f>
                <c15:dlblRangeCache>
                  <c:ptCount val="5"/>
                  <c:pt idx="0">
                    <c:v>54</c:v>
                  </c:pt>
                  <c:pt idx="1">
                    <c:v>32</c:v>
                  </c:pt>
                  <c:pt idx="2">
                    <c:v>40</c:v>
                  </c:pt>
                  <c:pt idx="3">
                    <c:v>74</c:v>
                  </c:pt>
                  <c:pt idx="4">
                    <c:v>63</c:v>
                  </c:pt>
                </c15:dlblRangeCache>
              </c15:datalabelsRange>
            </c:ext>
            <c:ext xmlns:c16="http://schemas.microsoft.com/office/drawing/2014/chart" uri="{C3380CC4-5D6E-409C-BE32-E72D297353CC}">
              <c16:uniqueId val="{00000005-C126-4CA9-8282-19958FA00462}"/>
            </c:ext>
          </c:extLst>
        </c:ser>
        <c:ser>
          <c:idx val="1"/>
          <c:order val="1"/>
          <c:tx>
            <c:strRef>
              <c:f>'32. Competencias TIC'!$C$8</c:f>
              <c:strCache>
                <c:ptCount val="1"/>
                <c:pt idx="0">
                  <c:v>Básicas</c:v>
                </c:pt>
              </c:strCache>
            </c:strRef>
          </c:tx>
          <c:spPr>
            <a:solidFill>
              <a:srgbClr val="A77BC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venir Next LT Pro Demi" panose="020B07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'32. Competencias TIC'!$A$9:$A$13</c:f>
              <c:strCache>
                <c:ptCount val="5"/>
                <c:pt idx="0">
                  <c:v>Resolución de problemas</c:v>
                </c:pt>
                <c:pt idx="1">
                  <c:v>Seguridad</c:v>
                </c:pt>
                <c:pt idx="2">
                  <c:v>Creación de contenido digital</c:v>
                </c:pt>
                <c:pt idx="3">
                  <c:v>Comunicación y colaboración</c:v>
                </c:pt>
                <c:pt idx="4">
                  <c:v>Alfabetización información y datos</c:v>
                </c:pt>
              </c:strCache>
            </c:strRef>
          </c:cat>
          <c:val>
            <c:numRef>
              <c:f>'32. Competencias TIC'!$C$9:$C$13</c:f>
              <c:numCache>
                <c:formatCode>0</c:formatCode>
                <c:ptCount val="5"/>
                <c:pt idx="0">
                  <c:v>17.6564343194425</c:v>
                </c:pt>
                <c:pt idx="1">
                  <c:v>24.3799981076424</c:v>
                </c:pt>
                <c:pt idx="2">
                  <c:v>24.043020451778698</c:v>
                </c:pt>
                <c:pt idx="3">
                  <c:v>19.029515414468499</c:v>
                </c:pt>
                <c:pt idx="4">
                  <c:v>16.775763842309399</c:v>
                </c:pt>
              </c:numCache>
            </c:numRef>
          </c:val>
          <c:extLst>
            <c:ext xmlns:c16="http://schemas.microsoft.com/office/drawing/2014/chart" uri="{C3380CC4-5D6E-409C-BE32-E72D297353CC}">
              <c16:uniqueId val="{00000006-C126-4CA9-8282-19958FA00462}"/>
            </c:ext>
          </c:extLst>
        </c:ser>
        <c:dLbls>
          <c:dLblPos val="ctr"/>
          <c:showLegendKey val="0"/>
          <c:showVal val="1"/>
          <c:showCatName val="0"/>
          <c:showSerName val="0"/>
          <c:showPercent val="0"/>
          <c:showBubbleSize val="0"/>
        </c:dLbls>
        <c:gapWidth val="150"/>
        <c:overlap val="100"/>
        <c:axId val="553308479"/>
        <c:axId val="553306079"/>
      </c:barChart>
      <c:catAx>
        <c:axId val="5533084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553306079"/>
        <c:crosses val="autoZero"/>
        <c:auto val="1"/>
        <c:lblAlgn val="ctr"/>
        <c:lblOffset val="100"/>
        <c:noMultiLvlLbl val="0"/>
      </c:catAx>
      <c:valAx>
        <c:axId val="553306079"/>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553308479"/>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61676356589148"/>
          <c:y val="5.1059941520467833E-2"/>
          <c:w val="0.70191036821705421"/>
          <c:h val="0.74957602339181284"/>
        </c:manualLayout>
      </c:layout>
      <c:barChart>
        <c:barDir val="bar"/>
        <c:grouping val="stacked"/>
        <c:varyColors val="0"/>
        <c:ser>
          <c:idx val="0"/>
          <c:order val="0"/>
          <c:tx>
            <c:strRef>
              <c:f>'32. Competencias TIC'!$B$16</c:f>
              <c:strCache>
                <c:ptCount val="1"/>
                <c:pt idx="0">
                  <c:v>Más que básicas</c:v>
                </c:pt>
              </c:strCache>
            </c:strRef>
          </c:tx>
          <c:spPr>
            <a:solidFill>
              <a:srgbClr val="403A60"/>
            </a:solidFill>
            <a:ln>
              <a:noFill/>
            </a:ln>
            <a:effectLst/>
          </c:spPr>
          <c:invertIfNegative val="0"/>
          <c:dLbls>
            <c:dLbl>
              <c:idx val="0"/>
              <c:tx>
                <c:rich>
                  <a:bodyPr/>
                  <a:lstStyle/>
                  <a:p>
                    <a:fld id="{9D8444F8-6D58-44BB-9542-C846F9616A9E}"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DF13-4E8E-9536-C98790FF40FD}"/>
                </c:ext>
              </c:extLst>
            </c:dLbl>
            <c:dLbl>
              <c:idx val="1"/>
              <c:tx>
                <c:rich>
                  <a:bodyPr/>
                  <a:lstStyle/>
                  <a:p>
                    <a:fld id="{9494B1DE-0C4C-4860-8F84-281F5E343DBD}" type="CELLRANGE">
                      <a:rPr lang="en-GB"/>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F13-4E8E-9536-C98790FF40FD}"/>
                </c:ext>
              </c:extLst>
            </c:dLbl>
            <c:dLbl>
              <c:idx val="2"/>
              <c:tx>
                <c:rich>
                  <a:bodyPr/>
                  <a:lstStyle/>
                  <a:p>
                    <a:fld id="{0434F25A-587D-4EC9-97A1-CFDD633012D8}" type="CELLRANGE">
                      <a:rPr lang="en-GB"/>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F13-4E8E-9536-C98790FF40FD}"/>
                </c:ext>
              </c:extLst>
            </c:dLbl>
            <c:dLbl>
              <c:idx val="3"/>
              <c:layout>
                <c:manualLayout>
                  <c:x val="6.1148148148148146E-2"/>
                  <c:y val="-4.2549459732066821E-17"/>
                </c:manualLayout>
              </c:layout>
              <c:tx>
                <c:rich>
                  <a:bodyPr/>
                  <a:lstStyle/>
                  <a:p>
                    <a:fld id="{C4ADCA04-6FDB-4213-B659-3A9074E7EB8D}" type="CELLRANGE">
                      <a:rPr lang="en-US">
                        <a:solidFill>
                          <a:schemeClr val="bg1"/>
                        </a:solidFill>
                      </a:rPr>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DF13-4E8E-9536-C98790FF40FD}"/>
                </c:ext>
              </c:extLst>
            </c:dLbl>
            <c:dLbl>
              <c:idx val="4"/>
              <c:layout>
                <c:manualLayout>
                  <c:x val="5.6444444444444443E-2"/>
                  <c:y val="0"/>
                </c:manualLayout>
              </c:layout>
              <c:tx>
                <c:rich>
                  <a:bodyPr/>
                  <a:lstStyle/>
                  <a:p>
                    <a:fld id="{BA0903D2-2AFB-4205-81B8-E94D00118B82}" type="CELLRANGE">
                      <a:rPr lang="en-US">
                        <a:solidFill>
                          <a:schemeClr val="bg1"/>
                        </a:solidFill>
                      </a:rPr>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DF13-4E8E-9536-C98790FF40F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venir Next LT Pro Demi" panose="020B0704020202020204" pitchFamily="34" charset="0"/>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'32. Competencias TIC'!$A$17:$A$21</c:f>
              <c:strCache>
                <c:ptCount val="5"/>
                <c:pt idx="0">
                  <c:v>Resolución de problemas</c:v>
                </c:pt>
                <c:pt idx="1">
                  <c:v>Seguridad</c:v>
                </c:pt>
                <c:pt idx="2">
                  <c:v>Creación de contenido digital</c:v>
                </c:pt>
                <c:pt idx="3">
                  <c:v>Comunicación y colaboración</c:v>
                </c:pt>
                <c:pt idx="4">
                  <c:v>Alfabetización información y datos</c:v>
                </c:pt>
              </c:strCache>
            </c:strRef>
          </c:cat>
          <c:val>
            <c:numRef>
              <c:f>'32. Competencias TIC'!$B$17:$B$21</c:f>
              <c:numCache>
                <c:formatCode>0</c:formatCode>
                <c:ptCount val="5"/>
                <c:pt idx="0">
                  <c:v>72.978723404255305</c:v>
                </c:pt>
                <c:pt idx="1">
                  <c:v>51.276595744680897</c:v>
                </c:pt>
                <c:pt idx="2">
                  <c:v>64.148936170212806</c:v>
                </c:pt>
                <c:pt idx="3">
                  <c:v>85.212765957446805</c:v>
                </c:pt>
                <c:pt idx="4">
                  <c:v>82.553191489361694</c:v>
                </c:pt>
              </c:numCache>
            </c:numRef>
          </c:val>
          <c:extLst>
            <c:ext xmlns:c15="http://schemas.microsoft.com/office/drawing/2012/chart" uri="{02D57815-91ED-43cb-92C2-25804820EDAC}">
              <c15:datalabelsRange>
                <c15:f>'32. Competencias TIC'!$B$17:$B$21</c15:f>
                <c15:dlblRangeCache>
                  <c:ptCount val="5"/>
                  <c:pt idx="0">
                    <c:v>73</c:v>
                  </c:pt>
                  <c:pt idx="1">
                    <c:v>51</c:v>
                  </c:pt>
                  <c:pt idx="2">
                    <c:v>64</c:v>
                  </c:pt>
                  <c:pt idx="3">
                    <c:v>85</c:v>
                  </c:pt>
                  <c:pt idx="4">
                    <c:v>83</c:v>
                  </c:pt>
                </c15:dlblRangeCache>
              </c15:datalabelsRange>
            </c:ext>
            <c:ext xmlns:c16="http://schemas.microsoft.com/office/drawing/2014/chart" uri="{C3380CC4-5D6E-409C-BE32-E72D297353CC}">
              <c16:uniqueId val="{00000005-DF13-4E8E-9536-C98790FF40FD}"/>
            </c:ext>
          </c:extLst>
        </c:ser>
        <c:ser>
          <c:idx val="1"/>
          <c:order val="1"/>
          <c:tx>
            <c:strRef>
              <c:f>'32. Competencias TIC'!$C$16</c:f>
              <c:strCache>
                <c:ptCount val="1"/>
                <c:pt idx="0">
                  <c:v>Básicas</c:v>
                </c:pt>
              </c:strCache>
            </c:strRef>
          </c:tx>
          <c:spPr>
            <a:solidFill>
              <a:srgbClr val="A77BC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venir Next LT Pro Demi" panose="020B07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'32. Competencias TIC'!$A$17:$A$21</c:f>
              <c:strCache>
                <c:ptCount val="5"/>
                <c:pt idx="0">
                  <c:v>Resolución de problemas</c:v>
                </c:pt>
                <c:pt idx="1">
                  <c:v>Seguridad</c:v>
                </c:pt>
                <c:pt idx="2">
                  <c:v>Creación de contenido digital</c:v>
                </c:pt>
                <c:pt idx="3">
                  <c:v>Comunicación y colaboración</c:v>
                </c:pt>
                <c:pt idx="4">
                  <c:v>Alfabetización información y datos</c:v>
                </c:pt>
              </c:strCache>
            </c:strRef>
          </c:cat>
          <c:val>
            <c:numRef>
              <c:f>'32. Competencias TIC'!$C$17:$C$21</c:f>
              <c:numCache>
                <c:formatCode>0</c:formatCode>
                <c:ptCount val="5"/>
                <c:pt idx="0">
                  <c:v>17.127659574468101</c:v>
                </c:pt>
                <c:pt idx="1">
                  <c:v>35.851063829787201</c:v>
                </c:pt>
                <c:pt idx="2">
                  <c:v>9.6808510638297793</c:v>
                </c:pt>
                <c:pt idx="3">
                  <c:v>13.6170212765957</c:v>
                </c:pt>
                <c:pt idx="4">
                  <c:v>11.702127659574501</c:v>
                </c:pt>
              </c:numCache>
            </c:numRef>
          </c:val>
          <c:extLst>
            <c:ext xmlns:c16="http://schemas.microsoft.com/office/drawing/2014/chart" uri="{C3380CC4-5D6E-409C-BE32-E72D297353CC}">
              <c16:uniqueId val="{00000006-DF13-4E8E-9536-C98790FF40FD}"/>
            </c:ext>
          </c:extLst>
        </c:ser>
        <c:dLbls>
          <c:dLblPos val="ctr"/>
          <c:showLegendKey val="0"/>
          <c:showVal val="1"/>
          <c:showCatName val="0"/>
          <c:showSerName val="0"/>
          <c:showPercent val="0"/>
          <c:showBubbleSize val="0"/>
        </c:dLbls>
        <c:gapWidth val="150"/>
        <c:overlap val="100"/>
        <c:axId val="553308479"/>
        <c:axId val="553306079"/>
      </c:barChart>
      <c:catAx>
        <c:axId val="5533084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553306079"/>
        <c:crosses val="autoZero"/>
        <c:auto val="1"/>
        <c:lblAlgn val="ctr"/>
        <c:lblOffset val="100"/>
        <c:noMultiLvlLbl val="0"/>
      </c:catAx>
      <c:valAx>
        <c:axId val="553306079"/>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553308479"/>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61676356589148"/>
          <c:y val="5.1059941520467833E-2"/>
          <c:w val="0.70191036821705421"/>
          <c:h val="0.74957602339181284"/>
        </c:manualLayout>
      </c:layout>
      <c:barChart>
        <c:barDir val="bar"/>
        <c:grouping val="stacked"/>
        <c:varyColors val="0"/>
        <c:ser>
          <c:idx val="0"/>
          <c:order val="0"/>
          <c:tx>
            <c:strRef>
              <c:f>'32. Competencias TIC'!$B$24</c:f>
              <c:strCache>
                <c:ptCount val="1"/>
                <c:pt idx="0">
                  <c:v>Más que básicas</c:v>
                </c:pt>
              </c:strCache>
            </c:strRef>
          </c:tx>
          <c:spPr>
            <a:solidFill>
              <a:srgbClr val="403A60"/>
            </a:solidFill>
            <a:ln>
              <a:noFill/>
            </a:ln>
            <a:effectLst/>
          </c:spPr>
          <c:invertIfNegative val="0"/>
          <c:dLbls>
            <c:dLbl>
              <c:idx val="0"/>
              <c:tx>
                <c:rich>
                  <a:bodyPr/>
                  <a:lstStyle/>
                  <a:p>
                    <a:fld id="{98F27F1C-A70F-4055-BAEA-8F82B0246C8B}" type="CELLRANGE">
                      <a:rPr lang="en-US">
                        <a:solidFill>
                          <a:schemeClr val="bg1"/>
                        </a:solidFill>
                      </a:rPr>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4EED-4892-AB07-387AE9689476}"/>
                </c:ext>
              </c:extLst>
            </c:dLbl>
            <c:dLbl>
              <c:idx val="1"/>
              <c:layout>
                <c:manualLayout>
                  <c:x val="5.6444444444444443E-2"/>
                  <c:y val="-8.5098919464133642E-17"/>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fld id="{6C48B132-87AB-47D2-B3E4-9A98B31D3EFA}" type="CELLRANGE">
                      <a:rPr lang="en-US">
                        <a:solidFill>
                          <a:schemeClr val="tx1">
                            <a:lumMod val="75000"/>
                            <a:lumOff val="25000"/>
                          </a:schemeClr>
                        </a:solidFill>
                      </a:rPr>
                      <a:pPr>
                        <a:defRPr/>
                      </a:pPr>
                      <a:t>[CELLRANGE]</a:t>
                    </a:fld>
                    <a:endParaRPr lang="en-GB"/>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GB"/>
                </a:p>
              </c:txPr>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4EED-4892-AB07-387AE9689476}"/>
                </c:ext>
              </c:extLst>
            </c:dLbl>
            <c:dLbl>
              <c:idx val="2"/>
              <c:tx>
                <c:rich>
                  <a:bodyPr/>
                  <a:lstStyle/>
                  <a:p>
                    <a:fld id="{D9F3663F-F760-4BC6-B4C5-646C00E3CFBE}"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4EED-4892-AB07-387AE9689476}"/>
                </c:ext>
              </c:extLst>
            </c:dLbl>
            <c:dLbl>
              <c:idx val="3"/>
              <c:layout>
                <c:manualLayout>
                  <c:x val="5.6444444444444443E-2"/>
                  <c:y val="-4.2549459732066821E-17"/>
                </c:manualLayout>
              </c:layout>
              <c:tx>
                <c:rich>
                  <a:bodyPr/>
                  <a:lstStyle/>
                  <a:p>
                    <a:fld id="{D0CF6248-EF71-4AC8-9245-9834D282B099}"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4EED-4892-AB07-387AE9689476}"/>
                </c:ext>
              </c:extLst>
            </c:dLbl>
            <c:dLbl>
              <c:idx val="4"/>
              <c:layout>
                <c:manualLayout>
                  <c:x val="5.6444444444444443E-2"/>
                  <c:y val="0"/>
                </c:manualLayout>
              </c:layout>
              <c:tx>
                <c:rich>
                  <a:bodyPr/>
                  <a:lstStyle/>
                  <a:p>
                    <a:fld id="{69B5DE8F-671B-40F4-8C9B-A91E7A5ADBA1}"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4EED-4892-AB07-387AE968947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venir Next LT Pro Demi" panose="020B0704020202020204" pitchFamily="34" charset="0"/>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'32. Competencias TIC'!$A$25:$A$29</c:f>
              <c:strCache>
                <c:ptCount val="5"/>
                <c:pt idx="0">
                  <c:v>Resolución de problemas</c:v>
                </c:pt>
                <c:pt idx="1">
                  <c:v>Seguridad</c:v>
                </c:pt>
                <c:pt idx="2">
                  <c:v>Creación de contenido digital</c:v>
                </c:pt>
                <c:pt idx="3">
                  <c:v>Comunicación y colaboración</c:v>
                </c:pt>
                <c:pt idx="4">
                  <c:v>Alfabetización información y datos</c:v>
                </c:pt>
              </c:strCache>
            </c:strRef>
          </c:cat>
          <c:val>
            <c:numRef>
              <c:f>'32. Competencias TIC'!$B$25:$B$29</c:f>
              <c:numCache>
                <c:formatCode>0</c:formatCode>
                <c:ptCount val="5"/>
                <c:pt idx="0">
                  <c:v>53.560231468378198</c:v>
                </c:pt>
                <c:pt idx="1">
                  <c:v>0</c:v>
                </c:pt>
                <c:pt idx="2">
                  <c:v>49.954360395855602</c:v>
                </c:pt>
                <c:pt idx="3">
                  <c:v>75.812056071667499</c:v>
                </c:pt>
                <c:pt idx="4">
                  <c:v>48.804342382348104</c:v>
                </c:pt>
              </c:numCache>
            </c:numRef>
          </c:val>
          <c:extLst>
            <c:ext xmlns:c15="http://schemas.microsoft.com/office/drawing/2012/chart" uri="{02D57815-91ED-43cb-92C2-25804820EDAC}">
              <c15:datalabelsRange>
                <c15:f>'32. Competencias TIC'!$B$25:$B$29</c15:f>
                <c15:dlblRangeCache>
                  <c:ptCount val="5"/>
                  <c:pt idx="0">
                    <c:v>54</c:v>
                  </c:pt>
                  <c:pt idx="1">
                    <c:v>N/A</c:v>
                  </c:pt>
                  <c:pt idx="2">
                    <c:v>50</c:v>
                  </c:pt>
                  <c:pt idx="3">
                    <c:v>76</c:v>
                  </c:pt>
                  <c:pt idx="4">
                    <c:v>49</c:v>
                  </c:pt>
                </c15:dlblRangeCache>
              </c15:datalabelsRange>
            </c:ext>
            <c:ext xmlns:c16="http://schemas.microsoft.com/office/drawing/2014/chart" uri="{C3380CC4-5D6E-409C-BE32-E72D297353CC}">
              <c16:uniqueId val="{00000005-4EED-4892-AB07-387AE9689476}"/>
            </c:ext>
          </c:extLst>
        </c:ser>
        <c:ser>
          <c:idx val="1"/>
          <c:order val="1"/>
          <c:tx>
            <c:strRef>
              <c:f>'32. Competencias TIC'!$C$24</c:f>
              <c:strCache>
                <c:ptCount val="1"/>
                <c:pt idx="0">
                  <c:v>Básicas</c:v>
                </c:pt>
              </c:strCache>
            </c:strRef>
          </c:tx>
          <c:spPr>
            <a:solidFill>
              <a:srgbClr val="A77BC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venir Next LT Pro Demi" panose="020B07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'32. Competencias TIC'!$A$25:$A$29</c:f>
              <c:strCache>
                <c:ptCount val="5"/>
                <c:pt idx="0">
                  <c:v>Resolución de problemas</c:v>
                </c:pt>
                <c:pt idx="1">
                  <c:v>Seguridad</c:v>
                </c:pt>
                <c:pt idx="2">
                  <c:v>Creación de contenido digital</c:v>
                </c:pt>
                <c:pt idx="3">
                  <c:v>Comunicación y colaboración</c:v>
                </c:pt>
                <c:pt idx="4">
                  <c:v>Alfabetización información y datos</c:v>
                </c:pt>
              </c:strCache>
            </c:strRef>
          </c:cat>
          <c:val>
            <c:numRef>
              <c:f>'32. Competencias TIC'!$C$25:$C$29</c:f>
              <c:numCache>
                <c:formatCode>General</c:formatCode>
                <c:ptCount val="5"/>
                <c:pt idx="0" formatCode="0">
                  <c:v>12.373052469812301</c:v>
                </c:pt>
                <c:pt idx="2" formatCode="0">
                  <c:v>20.9739618461372</c:v>
                </c:pt>
                <c:pt idx="3" formatCode="0">
                  <c:v>12.6019467204838</c:v>
                </c:pt>
                <c:pt idx="4" formatCode="0">
                  <c:v>21.837479312161701</c:v>
                </c:pt>
              </c:numCache>
            </c:numRef>
          </c:val>
          <c:extLst>
            <c:ext xmlns:c16="http://schemas.microsoft.com/office/drawing/2014/chart" uri="{C3380CC4-5D6E-409C-BE32-E72D297353CC}">
              <c16:uniqueId val="{00000006-4EED-4892-AB07-387AE9689476}"/>
            </c:ext>
          </c:extLst>
        </c:ser>
        <c:dLbls>
          <c:dLblPos val="ctr"/>
          <c:showLegendKey val="0"/>
          <c:showVal val="1"/>
          <c:showCatName val="0"/>
          <c:showSerName val="0"/>
          <c:showPercent val="0"/>
          <c:showBubbleSize val="0"/>
        </c:dLbls>
        <c:gapWidth val="150"/>
        <c:overlap val="100"/>
        <c:axId val="553308479"/>
        <c:axId val="553306079"/>
      </c:barChart>
      <c:catAx>
        <c:axId val="5533084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553306079"/>
        <c:crosses val="autoZero"/>
        <c:auto val="1"/>
        <c:lblAlgn val="ctr"/>
        <c:lblOffset val="100"/>
        <c:noMultiLvlLbl val="0"/>
      </c:catAx>
      <c:valAx>
        <c:axId val="553306079"/>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553308479"/>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61676356589148"/>
          <c:y val="5.1059941520467833E-2"/>
          <c:w val="0.70191036821705421"/>
          <c:h val="0.74957602339181284"/>
        </c:manualLayout>
      </c:layout>
      <c:barChart>
        <c:barDir val="bar"/>
        <c:grouping val="stacked"/>
        <c:varyColors val="0"/>
        <c:ser>
          <c:idx val="0"/>
          <c:order val="0"/>
          <c:tx>
            <c:strRef>
              <c:f>'32. Competencias TIC'!$B$32</c:f>
              <c:strCache>
                <c:ptCount val="1"/>
                <c:pt idx="0">
                  <c:v>Más que básicas</c:v>
                </c:pt>
              </c:strCache>
            </c:strRef>
          </c:tx>
          <c:spPr>
            <a:solidFill>
              <a:srgbClr val="403A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venir Next LT Pro Demi" panose="020B07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'32. Competencias TIC'!$A$33:$A$37</c:f>
              <c:strCache>
                <c:ptCount val="5"/>
                <c:pt idx="0">
                  <c:v>Resolución de problemas</c:v>
                </c:pt>
                <c:pt idx="1">
                  <c:v>Seguridad</c:v>
                </c:pt>
                <c:pt idx="2">
                  <c:v>Creación de contenido digital</c:v>
                </c:pt>
                <c:pt idx="3">
                  <c:v>Comunicación y colaboración</c:v>
                </c:pt>
                <c:pt idx="4">
                  <c:v>Alfabetización información y datos</c:v>
                </c:pt>
              </c:strCache>
            </c:strRef>
          </c:cat>
          <c:val>
            <c:numRef>
              <c:f>'32. Competencias TIC'!$B$33:$B$37</c:f>
              <c:numCache>
                <c:formatCode>0</c:formatCode>
                <c:ptCount val="5"/>
                <c:pt idx="0">
                  <c:v>25.149281534695199</c:v>
                </c:pt>
                <c:pt idx="1">
                  <c:v>9.604719722934</c:v>
                </c:pt>
                <c:pt idx="2">
                  <c:v>21.5790604097681</c:v>
                </c:pt>
                <c:pt idx="3">
                  <c:v>76.789484731038101</c:v>
                </c:pt>
                <c:pt idx="4">
                  <c:v>26.549852577530899</c:v>
                </c:pt>
              </c:numCache>
            </c:numRef>
          </c:val>
          <c:extLst>
            <c:ext xmlns:c16="http://schemas.microsoft.com/office/drawing/2014/chart" uri="{C3380CC4-5D6E-409C-BE32-E72D297353CC}">
              <c16:uniqueId val="{00000000-3836-4369-82AB-B4E279374CAE}"/>
            </c:ext>
          </c:extLst>
        </c:ser>
        <c:ser>
          <c:idx val="1"/>
          <c:order val="1"/>
          <c:tx>
            <c:strRef>
              <c:f>'32. Competencias TIC'!$C$32</c:f>
              <c:strCache>
                <c:ptCount val="1"/>
                <c:pt idx="0">
                  <c:v>Básicas</c:v>
                </c:pt>
              </c:strCache>
            </c:strRef>
          </c:tx>
          <c:spPr>
            <a:solidFill>
              <a:srgbClr val="A77BC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venir Next LT Pro Demi" panose="020B07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'32. Competencias TIC'!$A$33:$A$37</c:f>
              <c:strCache>
                <c:ptCount val="5"/>
                <c:pt idx="0">
                  <c:v>Resolución de problemas</c:v>
                </c:pt>
                <c:pt idx="1">
                  <c:v>Seguridad</c:v>
                </c:pt>
                <c:pt idx="2">
                  <c:v>Creación de contenido digital</c:v>
                </c:pt>
                <c:pt idx="3">
                  <c:v>Comunicación y colaboración</c:v>
                </c:pt>
                <c:pt idx="4">
                  <c:v>Alfabetización información y datos</c:v>
                </c:pt>
              </c:strCache>
            </c:strRef>
          </c:cat>
          <c:val>
            <c:numRef>
              <c:f>'32. Competencias TIC'!$C$33:$C$37</c:f>
              <c:numCache>
                <c:formatCode>0</c:formatCode>
                <c:ptCount val="5"/>
                <c:pt idx="0">
                  <c:v>17.1859679424368</c:v>
                </c:pt>
                <c:pt idx="1">
                  <c:v>7.3374767815289204</c:v>
                </c:pt>
                <c:pt idx="2">
                  <c:v>26.611094509723198</c:v>
                </c:pt>
                <c:pt idx="3">
                  <c:v>20.597082391586099</c:v>
                </c:pt>
                <c:pt idx="4">
                  <c:v>23.639929594766699</c:v>
                </c:pt>
              </c:numCache>
            </c:numRef>
          </c:val>
          <c:extLst>
            <c:ext xmlns:c16="http://schemas.microsoft.com/office/drawing/2014/chart" uri="{C3380CC4-5D6E-409C-BE32-E72D297353CC}">
              <c16:uniqueId val="{00000001-3836-4369-82AB-B4E279374CAE}"/>
            </c:ext>
          </c:extLst>
        </c:ser>
        <c:dLbls>
          <c:dLblPos val="ctr"/>
          <c:showLegendKey val="0"/>
          <c:showVal val="1"/>
          <c:showCatName val="0"/>
          <c:showSerName val="0"/>
          <c:showPercent val="0"/>
          <c:showBubbleSize val="0"/>
        </c:dLbls>
        <c:gapWidth val="150"/>
        <c:overlap val="100"/>
        <c:axId val="553308479"/>
        <c:axId val="553306079"/>
      </c:barChart>
      <c:catAx>
        <c:axId val="5533084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553306079"/>
        <c:crosses val="autoZero"/>
        <c:auto val="1"/>
        <c:lblAlgn val="ctr"/>
        <c:lblOffset val="100"/>
        <c:noMultiLvlLbl val="0"/>
      </c:catAx>
      <c:valAx>
        <c:axId val="553306079"/>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553308479"/>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61676356589148"/>
          <c:y val="5.1059941520467833E-2"/>
          <c:w val="0.70191036821705421"/>
          <c:h val="0.74957602339181284"/>
        </c:manualLayout>
      </c:layout>
      <c:barChart>
        <c:barDir val="bar"/>
        <c:grouping val="stacked"/>
        <c:varyColors val="0"/>
        <c:ser>
          <c:idx val="0"/>
          <c:order val="0"/>
          <c:tx>
            <c:strRef>
              <c:f>'32. Competencias TIC'!$B$40</c:f>
              <c:strCache>
                <c:ptCount val="1"/>
                <c:pt idx="0">
                  <c:v>Más que básicas</c:v>
                </c:pt>
              </c:strCache>
            </c:strRef>
          </c:tx>
          <c:spPr>
            <a:solidFill>
              <a:srgbClr val="403A60"/>
            </a:solidFill>
            <a:ln>
              <a:noFill/>
            </a:ln>
            <a:effectLst/>
          </c:spPr>
          <c:invertIfNegative val="0"/>
          <c:dLbls>
            <c:dLbl>
              <c:idx val="0"/>
              <c:tx>
                <c:rich>
                  <a:bodyPr/>
                  <a:lstStyle/>
                  <a:p>
                    <a:fld id="{9D37EA31-A0B5-414A-AE22-F49F669867CE}"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4E22-4C60-8122-0BEE859CAF7F}"/>
                </c:ext>
              </c:extLst>
            </c:dLbl>
            <c:dLbl>
              <c:idx val="1"/>
              <c:layout>
                <c:manualLayout>
                  <c:x val="5.1740740740740657E-2"/>
                  <c:y val="-8.5098919464133642E-17"/>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fld id="{E7B1A4E8-6516-4DA4-BD86-BD3DBC5B7263}" type="CELLRANGE">
                      <a:rPr lang="en-US">
                        <a:solidFill>
                          <a:schemeClr val="tx1">
                            <a:lumMod val="75000"/>
                            <a:lumOff val="25000"/>
                          </a:schemeClr>
                        </a:solidFill>
                      </a:rPr>
                      <a:pPr>
                        <a:defRPr/>
                      </a:pPr>
                      <a:t>[CELLRANGE]</a:t>
                    </a:fld>
                    <a:endParaRPr lang="en-GB"/>
                  </a:p>
                </c:rich>
              </c:tx>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GB"/>
                </a:p>
              </c:txPr>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4E22-4C60-8122-0BEE859CAF7F}"/>
                </c:ext>
              </c:extLst>
            </c:dLbl>
            <c:dLbl>
              <c:idx val="2"/>
              <c:tx>
                <c:rich>
                  <a:bodyPr/>
                  <a:lstStyle/>
                  <a:p>
                    <a:fld id="{F8AF2A18-770F-4C49-B587-1FC11E394013}" type="CELLRANGE">
                      <a:rPr lang="en-GB"/>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E22-4C60-8122-0BEE859CAF7F}"/>
                </c:ext>
              </c:extLst>
            </c:dLbl>
            <c:dLbl>
              <c:idx val="3"/>
              <c:tx>
                <c:rich>
                  <a:bodyPr/>
                  <a:lstStyle/>
                  <a:p>
                    <a:fld id="{B1B89510-7947-4049-85F9-017F799764B2}" type="CELLRANGE">
                      <a:rPr lang="en-GB"/>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4E22-4C60-8122-0BEE859CAF7F}"/>
                </c:ext>
              </c:extLst>
            </c:dLbl>
            <c:dLbl>
              <c:idx val="4"/>
              <c:layout>
                <c:manualLayout>
                  <c:x val="5.6444444444444443E-2"/>
                  <c:y val="0"/>
                </c:manualLayout>
              </c:layout>
              <c:tx>
                <c:rich>
                  <a:bodyPr/>
                  <a:lstStyle/>
                  <a:p>
                    <a:fld id="{304919EF-B139-4CE0-9938-5ECB8E0E7FEA}" type="CELLRANGE">
                      <a:rPr lang="en-US">
                        <a:solidFill>
                          <a:schemeClr val="bg1"/>
                        </a:solidFill>
                      </a:rPr>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4E22-4C60-8122-0BEE859CAF7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venir Next LT Pro Demi" panose="020B0704020202020204" pitchFamily="34" charset="0"/>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'32. Competencias TIC'!$A$41:$A$45</c:f>
              <c:strCache>
                <c:ptCount val="5"/>
                <c:pt idx="0">
                  <c:v>Resolución de problemas</c:v>
                </c:pt>
                <c:pt idx="1">
                  <c:v>Seguridad</c:v>
                </c:pt>
                <c:pt idx="2">
                  <c:v>Creación de contenido digital</c:v>
                </c:pt>
                <c:pt idx="3">
                  <c:v>Comunicación y colaboración</c:v>
                </c:pt>
                <c:pt idx="4">
                  <c:v>Alfabetización información y datos</c:v>
                </c:pt>
              </c:strCache>
            </c:strRef>
          </c:cat>
          <c:val>
            <c:numRef>
              <c:f>'32. Competencias TIC'!$B$41:$B$45</c:f>
              <c:numCache>
                <c:formatCode>0</c:formatCode>
                <c:ptCount val="5"/>
                <c:pt idx="0">
                  <c:v>35.1803010859811</c:v>
                </c:pt>
                <c:pt idx="1">
                  <c:v>0</c:v>
                </c:pt>
                <c:pt idx="2">
                  <c:v>34.826971925117498</c:v>
                </c:pt>
                <c:pt idx="3">
                  <c:v>83.507585327845106</c:v>
                </c:pt>
                <c:pt idx="4">
                  <c:v>65.422805192866207</c:v>
                </c:pt>
              </c:numCache>
            </c:numRef>
          </c:val>
          <c:extLst>
            <c:ext xmlns:c15="http://schemas.microsoft.com/office/drawing/2012/chart" uri="{02D57815-91ED-43cb-92C2-25804820EDAC}">
              <c15:datalabelsRange>
                <c15:f>'32. Competencias TIC'!$B$41:$B$45</c15:f>
                <c15:dlblRangeCache>
                  <c:ptCount val="5"/>
                  <c:pt idx="0">
                    <c:v>35</c:v>
                  </c:pt>
                  <c:pt idx="1">
                    <c:v>N/A</c:v>
                  </c:pt>
                  <c:pt idx="2">
                    <c:v>35</c:v>
                  </c:pt>
                  <c:pt idx="3">
                    <c:v>84</c:v>
                  </c:pt>
                  <c:pt idx="4">
                    <c:v>65</c:v>
                  </c:pt>
                </c15:dlblRangeCache>
              </c15:datalabelsRange>
            </c:ext>
            <c:ext xmlns:c16="http://schemas.microsoft.com/office/drawing/2014/chart" uri="{C3380CC4-5D6E-409C-BE32-E72D297353CC}">
              <c16:uniqueId val="{00000005-4E22-4C60-8122-0BEE859CAF7F}"/>
            </c:ext>
          </c:extLst>
        </c:ser>
        <c:ser>
          <c:idx val="1"/>
          <c:order val="1"/>
          <c:tx>
            <c:strRef>
              <c:f>'32. Competencias TIC'!$C$40</c:f>
              <c:strCache>
                <c:ptCount val="1"/>
                <c:pt idx="0">
                  <c:v>Básicas</c:v>
                </c:pt>
              </c:strCache>
            </c:strRef>
          </c:tx>
          <c:spPr>
            <a:solidFill>
              <a:srgbClr val="A77BC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venir Next LT Pro Demi" panose="020B07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'32. Competencias TIC'!$A$41:$A$45</c:f>
              <c:strCache>
                <c:ptCount val="5"/>
                <c:pt idx="0">
                  <c:v>Resolución de problemas</c:v>
                </c:pt>
                <c:pt idx="1">
                  <c:v>Seguridad</c:v>
                </c:pt>
                <c:pt idx="2">
                  <c:v>Creación de contenido digital</c:v>
                </c:pt>
                <c:pt idx="3">
                  <c:v>Comunicación y colaboración</c:v>
                </c:pt>
                <c:pt idx="4">
                  <c:v>Alfabetización información y datos</c:v>
                </c:pt>
              </c:strCache>
            </c:strRef>
          </c:cat>
          <c:val>
            <c:numRef>
              <c:f>'32. Competencias TIC'!$C$41:$C$45</c:f>
              <c:numCache>
                <c:formatCode>General</c:formatCode>
                <c:ptCount val="5"/>
                <c:pt idx="0" formatCode="0">
                  <c:v>19.3933675626756</c:v>
                </c:pt>
                <c:pt idx="2" formatCode="0">
                  <c:v>5.5483621221680899</c:v>
                </c:pt>
                <c:pt idx="3" formatCode="0">
                  <c:v>11.7471019513867</c:v>
                </c:pt>
                <c:pt idx="4" formatCode="0">
                  <c:v>22.8641566516519</c:v>
                </c:pt>
              </c:numCache>
            </c:numRef>
          </c:val>
          <c:extLst>
            <c:ext xmlns:c16="http://schemas.microsoft.com/office/drawing/2014/chart" uri="{C3380CC4-5D6E-409C-BE32-E72D297353CC}">
              <c16:uniqueId val="{00000006-4E22-4C60-8122-0BEE859CAF7F}"/>
            </c:ext>
          </c:extLst>
        </c:ser>
        <c:dLbls>
          <c:dLblPos val="ctr"/>
          <c:showLegendKey val="0"/>
          <c:showVal val="1"/>
          <c:showCatName val="0"/>
          <c:showSerName val="0"/>
          <c:showPercent val="0"/>
          <c:showBubbleSize val="0"/>
        </c:dLbls>
        <c:gapWidth val="150"/>
        <c:overlap val="100"/>
        <c:axId val="553308479"/>
        <c:axId val="553306079"/>
      </c:barChart>
      <c:catAx>
        <c:axId val="5533084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553306079"/>
        <c:crosses val="autoZero"/>
        <c:auto val="1"/>
        <c:lblAlgn val="ctr"/>
        <c:lblOffset val="100"/>
        <c:noMultiLvlLbl val="0"/>
      </c:catAx>
      <c:valAx>
        <c:axId val="553306079"/>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553308479"/>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61676356589148"/>
          <c:y val="5.1059941520467833E-2"/>
          <c:w val="0.70191036821705421"/>
          <c:h val="0.74957602339181284"/>
        </c:manualLayout>
      </c:layout>
      <c:barChart>
        <c:barDir val="bar"/>
        <c:grouping val="stacked"/>
        <c:varyColors val="0"/>
        <c:ser>
          <c:idx val="0"/>
          <c:order val="0"/>
          <c:tx>
            <c:strRef>
              <c:f>'32. Competencias TIC'!$B$48</c:f>
              <c:strCache>
                <c:ptCount val="1"/>
                <c:pt idx="0">
                  <c:v>Más que básicas</c:v>
                </c:pt>
              </c:strCache>
            </c:strRef>
          </c:tx>
          <c:spPr>
            <a:solidFill>
              <a:srgbClr val="403A60"/>
            </a:solidFill>
            <a:ln>
              <a:noFill/>
            </a:ln>
            <a:effectLst/>
          </c:spPr>
          <c:invertIfNegative val="0"/>
          <c:dLbls>
            <c:dLbl>
              <c:idx val="0"/>
              <c:layout>
                <c:manualLayout>
                  <c:x val="5.6444444444444443E-2"/>
                  <c:y val="0"/>
                </c:manualLayout>
              </c:layout>
              <c:tx>
                <c:rich>
                  <a:bodyPr/>
                  <a:lstStyle/>
                  <a:p>
                    <a:fld id="{BAACEF11-5A5E-42FD-BCC2-980B6BF27C04}"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C874-4D14-AE62-D2D930693F53}"/>
                </c:ext>
              </c:extLst>
            </c:dLbl>
            <c:dLbl>
              <c:idx val="1"/>
              <c:layout>
                <c:manualLayout>
                  <c:x val="5.6444444444444443E-2"/>
                  <c:y val="-8.5098919464133642E-17"/>
                </c:manualLayout>
              </c:layout>
              <c:tx>
                <c:rich>
                  <a:bodyPr/>
                  <a:lstStyle/>
                  <a:p>
                    <a:fld id="{0E6BCAA5-EB9B-4F6F-8EDD-DEA31309B78B}"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C874-4D14-AE62-D2D930693F53}"/>
                </c:ext>
              </c:extLst>
            </c:dLbl>
            <c:dLbl>
              <c:idx val="2"/>
              <c:layout>
                <c:manualLayout>
                  <c:x val="5.6444444444444443E-2"/>
                  <c:y val="0"/>
                </c:manualLayout>
              </c:layout>
              <c:tx>
                <c:rich>
                  <a:bodyPr/>
                  <a:lstStyle/>
                  <a:p>
                    <a:fld id="{DF24BB59-1A9B-478A-A112-1E9D7D2AC96C}"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C874-4D14-AE62-D2D930693F53}"/>
                </c:ext>
              </c:extLst>
            </c:dLbl>
            <c:dLbl>
              <c:idx val="3"/>
              <c:tx>
                <c:rich>
                  <a:bodyPr/>
                  <a:lstStyle/>
                  <a:p>
                    <a:fld id="{4365480C-3D16-412B-A196-9ED4C743FB94}" type="CELLRANGE">
                      <a:rPr lang="en-GB"/>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C874-4D14-AE62-D2D930693F53}"/>
                </c:ext>
              </c:extLst>
            </c:dLbl>
            <c:dLbl>
              <c:idx val="4"/>
              <c:layout>
                <c:manualLayout>
                  <c:x val="5.6444444444444443E-2"/>
                  <c:y val="-4.6418128654970763E-3"/>
                </c:manualLayout>
              </c:layout>
              <c:tx>
                <c:rich>
                  <a:bodyPr/>
                  <a:lstStyle/>
                  <a:p>
                    <a:fld id="{12F7B637-311C-4D93-9A55-9288D4EC8E5C}" type="CELLRANGE">
                      <a:rPr lang="en-US"/>
                      <a:pPr/>
                      <a:t>[CELLRANGE]</a:t>
                    </a:fld>
                    <a:endParaRPr lang="en-GB"/>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C874-4D14-AE62-D2D930693F5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venir Next LT Pro Demi" panose="020B0704020202020204" pitchFamily="34" charset="0"/>
                    <a:ea typeface="+mn-ea"/>
                    <a:cs typeface="+mn-cs"/>
                  </a:defRPr>
                </a:pPr>
                <a:endParaRPr lang="en-US"/>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'32. Competencias TIC'!$A$49:$A$53</c:f>
              <c:strCache>
                <c:ptCount val="5"/>
                <c:pt idx="0">
                  <c:v>Resolución de problemas</c:v>
                </c:pt>
                <c:pt idx="1">
                  <c:v>Seguridad</c:v>
                </c:pt>
                <c:pt idx="2">
                  <c:v>Creación de contenido digital</c:v>
                </c:pt>
                <c:pt idx="3">
                  <c:v>Comunicación y colaboración</c:v>
                </c:pt>
                <c:pt idx="4">
                  <c:v>Alfabetización información y datos</c:v>
                </c:pt>
              </c:strCache>
            </c:strRef>
          </c:cat>
          <c:val>
            <c:numRef>
              <c:f>'32. Competencias TIC'!$B$49:$B$53</c:f>
              <c:numCache>
                <c:formatCode>0</c:formatCode>
                <c:ptCount val="5"/>
                <c:pt idx="0">
                  <c:v>62.405729092313003</c:v>
                </c:pt>
                <c:pt idx="1">
                  <c:v>51.435573423471098</c:v>
                </c:pt>
                <c:pt idx="2">
                  <c:v>60.756247246514299</c:v>
                </c:pt>
                <c:pt idx="3">
                  <c:v>94.657124831337001</c:v>
                </c:pt>
                <c:pt idx="4">
                  <c:v>81.523285854413302</c:v>
                </c:pt>
              </c:numCache>
            </c:numRef>
          </c:val>
          <c:extLst>
            <c:ext xmlns:c15="http://schemas.microsoft.com/office/drawing/2012/chart" uri="{02D57815-91ED-43cb-92C2-25804820EDAC}">
              <c15:datalabelsRange>
                <c15:f>'32. Competencias TIC'!$B$49:$B$53</c15:f>
                <c15:dlblRangeCache>
                  <c:ptCount val="5"/>
                  <c:pt idx="0">
                    <c:v>62</c:v>
                  </c:pt>
                  <c:pt idx="1">
                    <c:v>51</c:v>
                  </c:pt>
                  <c:pt idx="2">
                    <c:v>61</c:v>
                  </c:pt>
                  <c:pt idx="3">
                    <c:v>95</c:v>
                  </c:pt>
                  <c:pt idx="4">
                    <c:v>82</c:v>
                  </c:pt>
                </c15:dlblRangeCache>
              </c15:datalabelsRange>
            </c:ext>
            <c:ext xmlns:c16="http://schemas.microsoft.com/office/drawing/2014/chart" uri="{C3380CC4-5D6E-409C-BE32-E72D297353CC}">
              <c16:uniqueId val="{00000005-C874-4D14-AE62-D2D930693F53}"/>
            </c:ext>
          </c:extLst>
        </c:ser>
        <c:ser>
          <c:idx val="1"/>
          <c:order val="1"/>
          <c:tx>
            <c:strRef>
              <c:f>'32. Competencias TIC'!$C$48</c:f>
              <c:strCache>
                <c:ptCount val="1"/>
                <c:pt idx="0">
                  <c:v>Básicas</c:v>
                </c:pt>
              </c:strCache>
            </c:strRef>
          </c:tx>
          <c:spPr>
            <a:solidFill>
              <a:srgbClr val="A77BC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venir Next LT Pro Demi" panose="020B0704020202020204"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'32. Competencias TIC'!$A$49:$A$53</c:f>
              <c:strCache>
                <c:ptCount val="5"/>
                <c:pt idx="0">
                  <c:v>Resolución de problemas</c:v>
                </c:pt>
                <c:pt idx="1">
                  <c:v>Seguridad</c:v>
                </c:pt>
                <c:pt idx="2">
                  <c:v>Creación de contenido digital</c:v>
                </c:pt>
                <c:pt idx="3">
                  <c:v>Comunicación y colaboración</c:v>
                </c:pt>
                <c:pt idx="4">
                  <c:v>Alfabetización información y datos</c:v>
                </c:pt>
              </c:strCache>
            </c:strRef>
          </c:cat>
          <c:val>
            <c:numRef>
              <c:f>'32. Competencias TIC'!$C$49:$C$53</c:f>
              <c:numCache>
                <c:formatCode>0</c:formatCode>
                <c:ptCount val="5"/>
                <c:pt idx="0">
                  <c:v>9.6142894203212208</c:v>
                </c:pt>
                <c:pt idx="1">
                  <c:v>18.596792985461601</c:v>
                </c:pt>
                <c:pt idx="2">
                  <c:v>13.766699363110099</c:v>
                </c:pt>
                <c:pt idx="3">
                  <c:v>4.1257769242931497</c:v>
                </c:pt>
                <c:pt idx="4">
                  <c:v>9.7912032751704992</c:v>
                </c:pt>
              </c:numCache>
            </c:numRef>
          </c:val>
          <c:extLst>
            <c:ext xmlns:c16="http://schemas.microsoft.com/office/drawing/2014/chart" uri="{C3380CC4-5D6E-409C-BE32-E72D297353CC}">
              <c16:uniqueId val="{00000006-C874-4D14-AE62-D2D930693F53}"/>
            </c:ext>
          </c:extLst>
        </c:ser>
        <c:dLbls>
          <c:dLblPos val="ctr"/>
          <c:showLegendKey val="0"/>
          <c:showVal val="1"/>
          <c:showCatName val="0"/>
          <c:showSerName val="0"/>
          <c:showPercent val="0"/>
          <c:showBubbleSize val="0"/>
        </c:dLbls>
        <c:gapWidth val="150"/>
        <c:overlap val="100"/>
        <c:axId val="553308479"/>
        <c:axId val="553306079"/>
      </c:barChart>
      <c:catAx>
        <c:axId val="5533084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553306079"/>
        <c:crosses val="autoZero"/>
        <c:auto val="1"/>
        <c:lblAlgn val="ctr"/>
        <c:lblOffset val="100"/>
        <c:noMultiLvlLbl val="0"/>
      </c:catAx>
      <c:valAx>
        <c:axId val="553306079"/>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553308479"/>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'34. Ingresos telecom'!$C$26</c:f>
              <c:strCache>
                <c:ptCount val="1"/>
                <c:pt idx="0">
                  <c:v>Ingresos telecom., miles millones USD (eje izquierdo)</c:v>
                </c:pt>
              </c:strCache>
            </c:strRef>
          </c:tx>
          <c:spPr>
            <a:solidFill>
              <a:srgbClr val="A77BCA"/>
            </a:solidFill>
            <a:ln>
              <a:noFill/>
            </a:ln>
            <a:effectLst/>
          </c:spPr>
          <c:invertIfNegative val="0"/>
          <c:cat>
            <c:strRef>
              <c:f>'34. Ingresos telecom'!$B$28:$B$47</c:f>
              <c:strCache>
                <c:ptCount val="20"/>
                <c:pt idx="0">
                  <c:v>San Vicente</c:v>
                </c:pt>
                <c:pt idx="1">
                  <c:v>Suriname</c:v>
                </c:pt>
                <c:pt idx="2">
                  <c:v>Bahamas</c:v>
                </c:pt>
                <c:pt idx="3">
                  <c:v>Jamaica (2022)</c:v>
                </c:pt>
                <c:pt idx="4">
                  <c:v>Trinidad y Tabago</c:v>
                </c:pt>
                <c:pt idx="5">
                  <c:v>Paraguay</c:v>
                </c:pt>
                <c:pt idx="6">
                  <c:v>Honduras</c:v>
                </c:pt>
                <c:pt idx="7">
                  <c:v>Panamá</c:v>
                </c:pt>
                <c:pt idx="8">
                  <c:v>Uruguay</c:v>
                </c:pt>
                <c:pt idx="9">
                  <c:v>Bolivia (2021)</c:v>
                </c:pt>
                <c:pt idx="10">
                  <c:v>Costa Rica</c:v>
                </c:pt>
                <c:pt idx="11">
                  <c:v>Ecuador (2021)</c:v>
                </c:pt>
                <c:pt idx="12">
                  <c:v>Rep. Dominicana</c:v>
                </c:pt>
                <c:pt idx="13">
                  <c:v>Perú</c:v>
                </c:pt>
                <c:pt idx="14">
                  <c:v>Colombia</c:v>
                </c:pt>
                <c:pt idx="15">
                  <c:v>Argentina</c:v>
                </c:pt>
                <c:pt idx="16">
                  <c:v>Brasil</c:v>
                </c:pt>
                <c:pt idx="17">
                  <c:v>México</c:v>
                </c:pt>
                <c:pt idx="18">
                  <c:v>Canadá</c:v>
                </c:pt>
                <c:pt idx="19">
                  <c:v>Estados Unidos (2022)</c:v>
                </c:pt>
              </c:strCache>
            </c:strRef>
          </c:cat>
          <c:val>
            <c:numRef>
              <c:f>'34. Ingresos telecom'!$C$28:$C$47</c:f>
              <c:numCache>
                <c:formatCode>General</c:formatCode>
                <c:ptCount val="20"/>
                <c:pt idx="0">
                  <c:v>4.5407432962962999E-2</c:v>
                </c:pt>
                <c:pt idx="1">
                  <c:v>7.233852382010271E-2</c:v>
                </c:pt>
                <c:pt idx="2">
                  <c:v>0.35665399999999997</c:v>
                </c:pt>
                <c:pt idx="3">
                  <c:v>0.74683794527769232</c:v>
                </c:pt>
                <c:pt idx="4">
                  <c:v>0.77632863578588107</c:v>
                </c:pt>
                <c:pt idx="5">
                  <c:v>0.86281111016347212</c:v>
                </c:pt>
                <c:pt idx="6">
                  <c:v>1.0187871081411199</c:v>
                </c:pt>
                <c:pt idx="7">
                  <c:v>1.1077172210000001</c:v>
                </c:pt>
                <c:pt idx="8">
                  <c:v>1.2505434793807499</c:v>
                </c:pt>
                <c:pt idx="9">
                  <c:v>1.4243042069426095</c:v>
                </c:pt>
                <c:pt idx="10">
                  <c:v>1.6528655820896001</c:v>
                </c:pt>
                <c:pt idx="11">
                  <c:v>2.7988614476457956</c:v>
                </c:pt>
                <c:pt idx="12">
                  <c:v>3.7379913659237598</c:v>
                </c:pt>
                <c:pt idx="13">
                  <c:v>4.6006531196662204</c:v>
                </c:pt>
                <c:pt idx="14">
                  <c:v>5.93041073567663</c:v>
                </c:pt>
                <c:pt idx="15">
                  <c:v>10.178326400863199</c:v>
                </c:pt>
                <c:pt idx="16">
                  <c:v>26.846050469447704</c:v>
                </c:pt>
                <c:pt idx="17">
                  <c:v>33.981232872602902</c:v>
                </c:pt>
                <c:pt idx="18">
                  <c:v>44.1673889370403</c:v>
                </c:pt>
                <c:pt idx="19">
                  <c:v>692.78180434825742</c:v>
                </c:pt>
              </c:numCache>
            </c:numRef>
          </c:val>
          <c:extLst>
            <c:ext xmlns:c16="http://schemas.microsoft.com/office/drawing/2014/chart" uri="{C3380CC4-5D6E-409C-BE32-E72D297353CC}">
              <c16:uniqueId val="{00000000-77D9-40B4-9D36-86623E4DDDEC}"/>
            </c:ext>
          </c:extLst>
        </c:ser>
        <c:dLbls>
          <c:showLegendKey val="0"/>
          <c:showVal val="0"/>
          <c:showCatName val="0"/>
          <c:showSerName val="0"/>
          <c:showPercent val="0"/>
          <c:showBubbleSize val="0"/>
        </c:dLbls>
        <c:gapWidth val="33"/>
        <c:overlap val="-27"/>
        <c:axId val="161476143"/>
        <c:axId val="161472783"/>
      </c:barChart>
      <c:lineChart>
        <c:grouping val="standard"/>
        <c:varyColors val="0"/>
        <c:ser>
          <c:idx val="1"/>
          <c:order val="1"/>
          <c:tx>
            <c:strRef>
              <c:f>'34. Ingresos telecom'!$D$26</c:f>
              <c:strCache>
                <c:ptCount val="1"/>
                <c:pt idx="0">
                  <c:v>En % del PIB (eje derecho)</c:v>
                </c:pt>
              </c:strCache>
            </c:strRef>
          </c:tx>
          <c:spPr>
            <a:ln w="25400" cap="rnd">
              <a:noFill/>
              <a:round/>
            </a:ln>
            <a:effectLst/>
          </c:spPr>
          <c:marker>
            <c:symbol val="circle"/>
            <c:size val="5"/>
            <c:spPr>
              <a:solidFill>
                <a:srgbClr val="403A60"/>
              </a:solidFill>
              <a:ln w="9525">
                <a:solidFill>
                  <a:srgbClr val="403A60"/>
                </a:solidFill>
              </a:ln>
              <a:effectLst/>
            </c:spPr>
          </c:marker>
          <c:cat>
            <c:strRef>
              <c:f>'34. Ingresos telecom'!$B$28:$B$47</c:f>
              <c:strCache>
                <c:ptCount val="20"/>
                <c:pt idx="0">
                  <c:v>San Vicente</c:v>
                </c:pt>
                <c:pt idx="1">
                  <c:v>Suriname</c:v>
                </c:pt>
                <c:pt idx="2">
                  <c:v>Bahamas</c:v>
                </c:pt>
                <c:pt idx="3">
                  <c:v>Jamaica (2022)</c:v>
                </c:pt>
                <c:pt idx="4">
                  <c:v>Trinidad y Tabago</c:v>
                </c:pt>
                <c:pt idx="5">
                  <c:v>Paraguay</c:v>
                </c:pt>
                <c:pt idx="6">
                  <c:v>Honduras</c:v>
                </c:pt>
                <c:pt idx="7">
                  <c:v>Panamá</c:v>
                </c:pt>
                <c:pt idx="8">
                  <c:v>Uruguay</c:v>
                </c:pt>
                <c:pt idx="9">
                  <c:v>Bolivia (2021)</c:v>
                </c:pt>
                <c:pt idx="10">
                  <c:v>Costa Rica</c:v>
                </c:pt>
                <c:pt idx="11">
                  <c:v>Ecuador (2021)</c:v>
                </c:pt>
                <c:pt idx="12">
                  <c:v>Rep. Dominicana</c:v>
                </c:pt>
                <c:pt idx="13">
                  <c:v>Perú</c:v>
                </c:pt>
                <c:pt idx="14">
                  <c:v>Colombia</c:v>
                </c:pt>
                <c:pt idx="15">
                  <c:v>Argentina</c:v>
                </c:pt>
                <c:pt idx="16">
                  <c:v>Brasil</c:v>
                </c:pt>
                <c:pt idx="17">
                  <c:v>México</c:v>
                </c:pt>
                <c:pt idx="18">
                  <c:v>Canadá</c:v>
                </c:pt>
                <c:pt idx="19">
                  <c:v>Estados Unidos (2022)</c:v>
                </c:pt>
              </c:strCache>
            </c:strRef>
          </c:cat>
          <c:val>
            <c:numRef>
              <c:f>'34. Ingresos telecom'!$D$28:$D$47</c:f>
              <c:numCache>
                <c:formatCode>0.0</c:formatCode>
                <c:ptCount val="20"/>
                <c:pt idx="0">
                  <c:v>4.2597570966957372</c:v>
                </c:pt>
                <c:pt idx="1">
                  <c:v>1.9124844676945714</c:v>
                </c:pt>
                <c:pt idx="2">
                  <c:v>2.4873871046483242</c:v>
                </c:pt>
                <c:pt idx="3">
                  <c:v>4.2144297002007054</c:v>
                </c:pt>
                <c:pt idx="4">
                  <c:v>2.7588128248189019</c:v>
                </c:pt>
                <c:pt idx="5">
                  <c:v>2.0085804456383078</c:v>
                </c:pt>
                <c:pt idx="6">
                  <c:v>2.961546897871369</c:v>
                </c:pt>
                <c:pt idx="7">
                  <c:v>1.3284784570844688</c:v>
                </c:pt>
                <c:pt idx="8">
                  <c:v>1.6191253165146759</c:v>
                </c:pt>
                <c:pt idx="9">
                  <c:v>3.1772917720384495</c:v>
                </c:pt>
                <c:pt idx="10">
                  <c:v>1.9108727522806845</c:v>
                </c:pt>
                <c:pt idx="11">
                  <c:v>2.3482082237349973</c:v>
                </c:pt>
                <c:pt idx="12">
                  <c:v>3.0779476703559929</c:v>
                </c:pt>
                <c:pt idx="13">
                  <c:v>1.7192085889246003</c:v>
                </c:pt>
                <c:pt idx="14">
                  <c:v>1.6312945444863693</c:v>
                </c:pt>
                <c:pt idx="15">
                  <c:v>1.5888952244305401</c:v>
                </c:pt>
                <c:pt idx="16">
                  <c:v>1.2350588691558355</c:v>
                </c:pt>
                <c:pt idx="17">
                  <c:v>1.8995745406188238</c:v>
                </c:pt>
                <c:pt idx="18">
                  <c:v>2.0638162358251528</c:v>
                </c:pt>
                <c:pt idx="19">
                  <c:v>2.5963921531093637</c:v>
                </c:pt>
              </c:numCache>
            </c:numRef>
          </c:val>
          <c:smooth val="0"/>
          <c:extLst>
            <c:ext xmlns:c16="http://schemas.microsoft.com/office/drawing/2014/chart" uri="{C3380CC4-5D6E-409C-BE32-E72D297353CC}">
              <c16:uniqueId val="{00000001-77D9-40B4-9D36-86623E4DDDEC}"/>
            </c:ext>
          </c:extLst>
        </c:ser>
        <c:ser>
          <c:idx val="2"/>
          <c:order val="2"/>
          <c:tx>
            <c:strRef>
              <c:f>'34. Ingresos telecom'!$E$26</c:f>
              <c:strCache>
                <c:ptCount val="1"/>
                <c:pt idx="0">
                  <c:v>Media regional (eje derecho)</c:v>
                </c:pt>
              </c:strCache>
            </c:strRef>
          </c:tx>
          <c:spPr>
            <a:ln w="25400" cap="rnd">
              <a:solidFill>
                <a:srgbClr val="403A60"/>
              </a:solidFill>
              <a:prstDash val="sysDot"/>
              <a:round/>
            </a:ln>
            <a:effectLst/>
          </c:spPr>
          <c:marker>
            <c:symbol val="none"/>
          </c:marker>
          <c:cat>
            <c:strRef>
              <c:f>'34. Ingresos telecom'!$B$28:$B$47</c:f>
              <c:strCache>
                <c:ptCount val="20"/>
                <c:pt idx="0">
                  <c:v>San Vicente</c:v>
                </c:pt>
                <c:pt idx="1">
                  <c:v>Suriname</c:v>
                </c:pt>
                <c:pt idx="2">
                  <c:v>Bahamas</c:v>
                </c:pt>
                <c:pt idx="3">
                  <c:v>Jamaica (2022)</c:v>
                </c:pt>
                <c:pt idx="4">
                  <c:v>Trinidad y Tabago</c:v>
                </c:pt>
                <c:pt idx="5">
                  <c:v>Paraguay</c:v>
                </c:pt>
                <c:pt idx="6">
                  <c:v>Honduras</c:v>
                </c:pt>
                <c:pt idx="7">
                  <c:v>Panamá</c:v>
                </c:pt>
                <c:pt idx="8">
                  <c:v>Uruguay</c:v>
                </c:pt>
                <c:pt idx="9">
                  <c:v>Bolivia (2021)</c:v>
                </c:pt>
                <c:pt idx="10">
                  <c:v>Costa Rica</c:v>
                </c:pt>
                <c:pt idx="11">
                  <c:v>Ecuador (2021)</c:v>
                </c:pt>
                <c:pt idx="12">
                  <c:v>Rep. Dominicana</c:v>
                </c:pt>
                <c:pt idx="13">
                  <c:v>Perú</c:v>
                </c:pt>
                <c:pt idx="14">
                  <c:v>Colombia</c:v>
                </c:pt>
                <c:pt idx="15">
                  <c:v>Argentina</c:v>
                </c:pt>
                <c:pt idx="16">
                  <c:v>Brasil</c:v>
                </c:pt>
                <c:pt idx="17">
                  <c:v>México</c:v>
                </c:pt>
                <c:pt idx="18">
                  <c:v>Canadá</c:v>
                </c:pt>
                <c:pt idx="19">
                  <c:v>Estados Unidos (2022)</c:v>
                </c:pt>
              </c:strCache>
            </c:strRef>
          </c:cat>
          <c:val>
            <c:numRef>
              <c:f>'34. Ingresos telecom'!$E$28:$E$47</c:f>
              <c:numCache>
                <c:formatCode>#,##0.0;\-#,##0.0;#,##0.0;"N/A"</c:formatCode>
                <c:ptCount val="20"/>
                <c:pt idx="0">
                  <c:v>2.2021894490492242</c:v>
                </c:pt>
                <c:pt idx="1">
                  <c:v>2.2021894490492242</c:v>
                </c:pt>
                <c:pt idx="2">
                  <c:v>2.2021894490492242</c:v>
                </c:pt>
                <c:pt idx="3">
                  <c:v>2.2021894490492242</c:v>
                </c:pt>
                <c:pt idx="4">
                  <c:v>2.2021894490492242</c:v>
                </c:pt>
                <c:pt idx="5">
                  <c:v>2.2021894490492242</c:v>
                </c:pt>
                <c:pt idx="6">
                  <c:v>2.2021894490492242</c:v>
                </c:pt>
                <c:pt idx="7">
                  <c:v>2.2021894490492242</c:v>
                </c:pt>
                <c:pt idx="8">
                  <c:v>2.2021894490492242</c:v>
                </c:pt>
                <c:pt idx="9">
                  <c:v>2.2021894490492242</c:v>
                </c:pt>
                <c:pt idx="10">
                  <c:v>2.2021894490492242</c:v>
                </c:pt>
                <c:pt idx="11">
                  <c:v>2.2021894490492242</c:v>
                </c:pt>
                <c:pt idx="12">
                  <c:v>2.2021894490492242</c:v>
                </c:pt>
                <c:pt idx="13">
                  <c:v>2.2021894490492242</c:v>
                </c:pt>
                <c:pt idx="14">
                  <c:v>2.2021894490492242</c:v>
                </c:pt>
                <c:pt idx="15">
                  <c:v>2.2021894490492242</c:v>
                </c:pt>
                <c:pt idx="16">
                  <c:v>2.2021894490492242</c:v>
                </c:pt>
                <c:pt idx="17">
                  <c:v>2.2021894490492242</c:v>
                </c:pt>
                <c:pt idx="18">
                  <c:v>2.2021894490492242</c:v>
                </c:pt>
                <c:pt idx="19">
                  <c:v>2.2021894490492242</c:v>
                </c:pt>
              </c:numCache>
            </c:numRef>
          </c:val>
          <c:smooth val="0"/>
          <c:extLst>
            <c:ext xmlns:c16="http://schemas.microsoft.com/office/drawing/2014/chart" uri="{C3380CC4-5D6E-409C-BE32-E72D297353CC}">
              <c16:uniqueId val="{00000002-77D9-40B4-9D36-86623E4DDDEC}"/>
            </c:ext>
          </c:extLst>
        </c:ser>
        <c:dLbls>
          <c:showLegendKey val="0"/>
          <c:showVal val="0"/>
          <c:showCatName val="0"/>
          <c:showSerName val="0"/>
          <c:showPercent val="0"/>
          <c:showBubbleSize val="0"/>
        </c:dLbls>
        <c:marker val="1"/>
        <c:smooth val="0"/>
        <c:axId val="238774319"/>
        <c:axId val="238770959"/>
      </c:lineChart>
      <c:catAx>
        <c:axId val="161476143"/>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venir Next LT Pro Demi" panose="020B0704020202020204" pitchFamily="34" charset="0"/>
                <a:ea typeface="+mn-ea"/>
                <a:cs typeface="+mn-cs"/>
              </a:defRPr>
            </a:pPr>
            <a:endParaRPr lang="en-US"/>
          </a:p>
        </c:txPr>
        <c:crossAx val="161472783"/>
        <c:crosses val="autoZero"/>
        <c:auto val="1"/>
        <c:lblAlgn val="ctr"/>
        <c:lblOffset val="100"/>
        <c:tickLblSkip val="1"/>
        <c:noMultiLvlLbl val="0"/>
      </c:catAx>
      <c:valAx>
        <c:axId val="161472783"/>
        <c:scaling>
          <c:orientation val="minMax"/>
          <c:max val="120"/>
          <c:min val="0"/>
        </c:scaling>
        <c:delete val="0"/>
        <c:axPos val="l"/>
        <c:majorGridlines>
          <c:spPr>
            <a:ln w="6350"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venir Next LT Pro Demi" panose="020B0704020202020204" pitchFamily="34" charset="0"/>
                <a:ea typeface="+mn-ea"/>
                <a:cs typeface="+mn-cs"/>
              </a:defRPr>
            </a:pPr>
            <a:endParaRPr lang="en-US"/>
          </a:p>
        </c:txPr>
        <c:crossAx val="161476143"/>
        <c:crosses val="autoZero"/>
        <c:crossBetween val="between"/>
      </c:valAx>
      <c:valAx>
        <c:axId val="238770959"/>
        <c:scaling>
          <c:orientation val="minMax"/>
          <c:max val="5"/>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238774319"/>
        <c:crosses val="max"/>
        <c:crossBetween val="between"/>
        <c:majorUnit val="1"/>
      </c:valAx>
      <c:catAx>
        <c:axId val="238774319"/>
        <c:scaling>
          <c:orientation val="minMax"/>
        </c:scaling>
        <c:delete val="1"/>
        <c:axPos val="b"/>
        <c:numFmt formatCode="General" sourceLinked="1"/>
        <c:majorTickMark val="out"/>
        <c:minorTickMark val="none"/>
        <c:tickLblPos val="nextTo"/>
        <c:crossAx val="23877095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venir Next LT Pro Demi" panose="020B07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venir Next LT Pro Demi" panose="020B0704020202020204" pitchFamily="34" charset="0"/>
        </a:defRPr>
      </a:pPr>
      <a:endParaRPr lang="en-US"/>
    </a:p>
  </c:txPr>
  <c:externalData r:id="rId3">
    <c:autoUpdate val="0"/>
  </c:externalData>
  <c:userShapes r:id="rId4"/>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'34. Ingresos telecom'!$C$2</c:f>
              <c:strCache>
                <c:ptCount val="1"/>
                <c:pt idx="0">
                  <c:v>Ingresos telecom., miles millones USD (eje izquierdo)</c:v>
                </c:pt>
              </c:strCache>
            </c:strRef>
          </c:tx>
          <c:spPr>
            <a:solidFill>
              <a:srgbClr val="A77BCA"/>
            </a:solidFill>
            <a:ln>
              <a:noFill/>
            </a:ln>
            <a:effectLst/>
          </c:spPr>
          <c:invertIfNegative val="0"/>
          <c:cat>
            <c:strRef>
              <c:f>'34. Ingresos telecom'!$B$3:$B$18</c:f>
              <c:strCache>
                <c:ptCount val="16"/>
                <c:pt idx="0">
                  <c:v>Nicaragua</c:v>
                </c:pt>
                <c:pt idx="1">
                  <c:v>Suriname</c:v>
                </c:pt>
                <c:pt idx="2">
                  <c:v>Bahamas</c:v>
                </c:pt>
                <c:pt idx="3">
                  <c:v>Trinidad y Tobago</c:v>
                </c:pt>
                <c:pt idx="4">
                  <c:v>Paraguay</c:v>
                </c:pt>
                <c:pt idx="5">
                  <c:v>Honduras</c:v>
                </c:pt>
                <c:pt idx="6">
                  <c:v>Costa Rica</c:v>
                </c:pt>
                <c:pt idx="7">
                  <c:v>Bolivia</c:v>
                </c:pt>
                <c:pt idx="8">
                  <c:v>Panamá</c:v>
                </c:pt>
                <c:pt idx="9">
                  <c:v>Rep. Dominicana</c:v>
                </c:pt>
                <c:pt idx="10">
                  <c:v>Perú</c:v>
                </c:pt>
                <c:pt idx="11">
                  <c:v>Chile</c:v>
                </c:pt>
                <c:pt idx="12">
                  <c:v>México</c:v>
                </c:pt>
                <c:pt idx="13">
                  <c:v>Brasil</c:v>
                </c:pt>
                <c:pt idx="14">
                  <c:v>Canadá</c:v>
                </c:pt>
                <c:pt idx="15">
                  <c:v>Estados Unidos</c:v>
                </c:pt>
              </c:strCache>
            </c:strRef>
          </c:cat>
          <c:val>
            <c:numRef>
              <c:f>'34. Ingresos telecom'!$C$3:$C$18</c:f>
              <c:numCache>
                <c:formatCode>0.00</c:formatCode>
                <c:ptCount val="16"/>
                <c:pt idx="0">
                  <c:v>4.1673703651055822E-3</c:v>
                </c:pt>
                <c:pt idx="1">
                  <c:v>1.0745824378905727E-2</c:v>
                </c:pt>
                <c:pt idx="2">
                  <c:v>6.310071769061977E-2</c:v>
                </c:pt>
                <c:pt idx="3">
                  <c:v>7.1262269923086971E-2</c:v>
                </c:pt>
                <c:pt idx="4">
                  <c:v>0.19239640275919512</c:v>
                </c:pt>
                <c:pt idx="5">
                  <c:v>0.22591712075202119</c:v>
                </c:pt>
                <c:pt idx="6">
                  <c:v>0.28632462542873288</c:v>
                </c:pt>
                <c:pt idx="7">
                  <c:v>0.30042228013716449</c:v>
                </c:pt>
                <c:pt idx="8">
                  <c:v>0.30328435262405079</c:v>
                </c:pt>
                <c:pt idx="9">
                  <c:v>0.32290087594281602</c:v>
                </c:pt>
                <c:pt idx="10">
                  <c:v>0.9778454110711815</c:v>
                </c:pt>
                <c:pt idx="11">
                  <c:v>1.6748864168891797</c:v>
                </c:pt>
                <c:pt idx="12">
                  <c:v>3.6044065996739461</c:v>
                </c:pt>
                <c:pt idx="13">
                  <c:v>6.5481051488222732</c:v>
                </c:pt>
                <c:pt idx="14">
                  <c:v>10.836696588386856</c:v>
                </c:pt>
                <c:pt idx="15">
                  <c:v>104.40032125937161</c:v>
                </c:pt>
              </c:numCache>
            </c:numRef>
          </c:val>
          <c:extLst>
            <c:ext xmlns:c16="http://schemas.microsoft.com/office/drawing/2014/chart" uri="{C3380CC4-5D6E-409C-BE32-E72D297353CC}">
              <c16:uniqueId val="{00000000-D6F3-42D3-AF65-E80BFEF4349F}"/>
            </c:ext>
          </c:extLst>
        </c:ser>
        <c:dLbls>
          <c:showLegendKey val="0"/>
          <c:showVal val="0"/>
          <c:showCatName val="0"/>
          <c:showSerName val="0"/>
          <c:showPercent val="0"/>
          <c:showBubbleSize val="0"/>
        </c:dLbls>
        <c:gapWidth val="33"/>
        <c:overlap val="-27"/>
        <c:axId val="161476143"/>
        <c:axId val="161472783"/>
      </c:barChart>
      <c:lineChart>
        <c:grouping val="standard"/>
        <c:varyColors val="0"/>
        <c:ser>
          <c:idx val="1"/>
          <c:order val="1"/>
          <c:tx>
            <c:strRef>
              <c:f>'34. Ingresos telecom'!$D$2</c:f>
              <c:strCache>
                <c:ptCount val="1"/>
                <c:pt idx="0">
                  <c:v>En % del PIB (eje derecho)</c:v>
                </c:pt>
              </c:strCache>
            </c:strRef>
          </c:tx>
          <c:spPr>
            <a:ln w="25400" cap="rnd">
              <a:noFill/>
              <a:round/>
            </a:ln>
            <a:effectLst/>
          </c:spPr>
          <c:marker>
            <c:symbol val="circle"/>
            <c:size val="5"/>
            <c:spPr>
              <a:solidFill>
                <a:srgbClr val="403A60"/>
              </a:solidFill>
              <a:ln w="9525">
                <a:solidFill>
                  <a:srgbClr val="403A60"/>
                </a:solidFill>
              </a:ln>
              <a:effectLst/>
            </c:spPr>
          </c:marker>
          <c:cat>
            <c:strRef>
              <c:f>'34. Ingresos telecom'!$B$3:$B$18</c:f>
              <c:strCache>
                <c:ptCount val="16"/>
                <c:pt idx="0">
                  <c:v>Nicaragua</c:v>
                </c:pt>
                <c:pt idx="1">
                  <c:v>Suriname</c:v>
                </c:pt>
                <c:pt idx="2">
                  <c:v>Bahamas</c:v>
                </c:pt>
                <c:pt idx="3">
                  <c:v>Trinidad y Tobago</c:v>
                </c:pt>
                <c:pt idx="4">
                  <c:v>Paraguay</c:v>
                </c:pt>
                <c:pt idx="5">
                  <c:v>Honduras</c:v>
                </c:pt>
                <c:pt idx="6">
                  <c:v>Costa Rica</c:v>
                </c:pt>
                <c:pt idx="7">
                  <c:v>Bolivia</c:v>
                </c:pt>
                <c:pt idx="8">
                  <c:v>Panamá</c:v>
                </c:pt>
                <c:pt idx="9">
                  <c:v>Rep. Dominicana</c:v>
                </c:pt>
                <c:pt idx="10">
                  <c:v>Perú</c:v>
                </c:pt>
                <c:pt idx="11">
                  <c:v>Chile</c:v>
                </c:pt>
                <c:pt idx="12">
                  <c:v>México</c:v>
                </c:pt>
                <c:pt idx="13">
                  <c:v>Brasil</c:v>
                </c:pt>
                <c:pt idx="14">
                  <c:v>Canadá</c:v>
                </c:pt>
                <c:pt idx="15">
                  <c:v>Estados Unidos</c:v>
                </c:pt>
              </c:strCache>
            </c:strRef>
          </c:cat>
          <c:val>
            <c:numRef>
              <c:f>'34. Ingresos telecom'!$D$3:$D$18</c:f>
              <c:numCache>
                <c:formatCode>0.0</c:formatCode>
                <c:ptCount val="16"/>
                <c:pt idx="0">
                  <c:v>2.4732976641555281E-2</c:v>
                </c:pt>
                <c:pt idx="1">
                  <c:v>0.28590344289050046</c:v>
                </c:pt>
                <c:pt idx="2">
                  <c:v>0.46420554967516159</c:v>
                </c:pt>
                <c:pt idx="3">
                  <c:v>0.24957807736172341</c:v>
                </c:pt>
                <c:pt idx="4">
                  <c:v>0.44043551436829748</c:v>
                </c:pt>
                <c:pt idx="5">
                  <c:v>0.68960622290251272</c:v>
                </c:pt>
                <c:pt idx="6">
                  <c:v>0.37854147266375771</c:v>
                </c:pt>
                <c:pt idx="7">
                  <c:v>#N/A</c:v>
                </c:pt>
                <c:pt idx="8">
                  <c:v>0.38359086609187426</c:v>
                </c:pt>
                <c:pt idx="9">
                  <c:v>0.28636749087417018</c:v>
                </c:pt>
                <c:pt idx="10">
                  <c:v>0.37863572430009801</c:v>
                </c:pt>
                <c:pt idx="11">
                  <c:v>0.50266655688410611</c:v>
                </c:pt>
                <c:pt idx="12">
                  <c:v>0.23117081193513447</c:v>
                </c:pt>
                <c:pt idx="13">
                  <c:v>0.33080891895582037</c:v>
                </c:pt>
                <c:pt idx="14">
                  <c:v>0.49162515469611229</c:v>
                </c:pt>
                <c:pt idx="15">
                  <c:v>0.39481036068818343</c:v>
                </c:pt>
              </c:numCache>
            </c:numRef>
          </c:val>
          <c:smooth val="0"/>
          <c:extLst>
            <c:ext xmlns:c16="http://schemas.microsoft.com/office/drawing/2014/chart" uri="{C3380CC4-5D6E-409C-BE32-E72D297353CC}">
              <c16:uniqueId val="{00000001-D6F3-42D3-AF65-E80BFEF4349F}"/>
            </c:ext>
          </c:extLst>
        </c:ser>
        <c:ser>
          <c:idx val="2"/>
          <c:order val="2"/>
          <c:tx>
            <c:strRef>
              <c:f>'34. Ingresos telecom'!$E$2</c:f>
              <c:strCache>
                <c:ptCount val="1"/>
                <c:pt idx="0">
                  <c:v>Media regional (eje derecho)</c:v>
                </c:pt>
              </c:strCache>
            </c:strRef>
          </c:tx>
          <c:spPr>
            <a:ln w="25400" cap="rnd">
              <a:solidFill>
                <a:srgbClr val="403A60"/>
              </a:solidFill>
              <a:prstDash val="sysDot"/>
              <a:round/>
            </a:ln>
            <a:effectLst/>
          </c:spPr>
          <c:marker>
            <c:symbol val="none"/>
          </c:marker>
          <c:cat>
            <c:strRef>
              <c:f>'34. Ingresos telecom'!$B$3:$B$18</c:f>
              <c:strCache>
                <c:ptCount val="16"/>
                <c:pt idx="0">
                  <c:v>Nicaragua</c:v>
                </c:pt>
                <c:pt idx="1">
                  <c:v>Suriname</c:v>
                </c:pt>
                <c:pt idx="2">
                  <c:v>Bahamas</c:v>
                </c:pt>
                <c:pt idx="3">
                  <c:v>Trinidad y Tobago</c:v>
                </c:pt>
                <c:pt idx="4">
                  <c:v>Paraguay</c:v>
                </c:pt>
                <c:pt idx="5">
                  <c:v>Honduras</c:v>
                </c:pt>
                <c:pt idx="6">
                  <c:v>Costa Rica</c:v>
                </c:pt>
                <c:pt idx="7">
                  <c:v>Bolivia</c:v>
                </c:pt>
                <c:pt idx="8">
                  <c:v>Panamá</c:v>
                </c:pt>
                <c:pt idx="9">
                  <c:v>Rep. Dominicana</c:v>
                </c:pt>
                <c:pt idx="10">
                  <c:v>Perú</c:v>
                </c:pt>
                <c:pt idx="11">
                  <c:v>Chile</c:v>
                </c:pt>
                <c:pt idx="12">
                  <c:v>México</c:v>
                </c:pt>
                <c:pt idx="13">
                  <c:v>Brasil</c:v>
                </c:pt>
                <c:pt idx="14">
                  <c:v>Canadá</c:v>
                </c:pt>
                <c:pt idx="15">
                  <c:v>Estados Unidos</c:v>
                </c:pt>
              </c:strCache>
            </c:strRef>
          </c:cat>
          <c:val>
            <c:numRef>
              <c:f>'34. Ingresos telecom'!$E$3:$E$18</c:f>
              <c:numCache>
                <c:formatCode>#,##0.00;\-#,##0.00;#,##0.00;"N/A"</c:formatCode>
                <c:ptCount val="16"/>
                <c:pt idx="0">
                  <c:v>0.38111329519598613</c:v>
                </c:pt>
                <c:pt idx="1">
                  <c:v>0.38111329519598613</c:v>
                </c:pt>
                <c:pt idx="2">
                  <c:v>0.38111329519598613</c:v>
                </c:pt>
                <c:pt idx="3">
                  <c:v>0.38111329519598613</c:v>
                </c:pt>
                <c:pt idx="4">
                  <c:v>0.38111329519598613</c:v>
                </c:pt>
                <c:pt idx="5">
                  <c:v>0.38111329519598613</c:v>
                </c:pt>
                <c:pt idx="6">
                  <c:v>0.38111329519598613</c:v>
                </c:pt>
                <c:pt idx="7">
                  <c:v>0.38111329519598613</c:v>
                </c:pt>
                <c:pt idx="8">
                  <c:v>0.38111329519598613</c:v>
                </c:pt>
                <c:pt idx="9">
                  <c:v>0.38111329519598613</c:v>
                </c:pt>
                <c:pt idx="10">
                  <c:v>0.38111329519598613</c:v>
                </c:pt>
                <c:pt idx="11">
                  <c:v>0.38111329519598613</c:v>
                </c:pt>
                <c:pt idx="12">
                  <c:v>0.38111329519598613</c:v>
                </c:pt>
                <c:pt idx="13">
                  <c:v>0.38111329519598613</c:v>
                </c:pt>
                <c:pt idx="14">
                  <c:v>0.38111329519598613</c:v>
                </c:pt>
                <c:pt idx="15">
                  <c:v>0.38111329519598613</c:v>
                </c:pt>
              </c:numCache>
            </c:numRef>
          </c:val>
          <c:smooth val="0"/>
          <c:extLst>
            <c:ext xmlns:c16="http://schemas.microsoft.com/office/drawing/2014/chart" uri="{C3380CC4-5D6E-409C-BE32-E72D297353CC}">
              <c16:uniqueId val="{00000002-D6F3-42D3-AF65-E80BFEF4349F}"/>
            </c:ext>
          </c:extLst>
        </c:ser>
        <c:dLbls>
          <c:showLegendKey val="0"/>
          <c:showVal val="0"/>
          <c:showCatName val="0"/>
          <c:showSerName val="0"/>
          <c:showPercent val="0"/>
          <c:showBubbleSize val="0"/>
        </c:dLbls>
        <c:marker val="1"/>
        <c:smooth val="0"/>
        <c:axId val="238774319"/>
        <c:axId val="238770959"/>
      </c:lineChart>
      <c:catAx>
        <c:axId val="161476143"/>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venir Next LT Pro Demi" panose="020B0704020202020204" pitchFamily="34" charset="0"/>
                <a:ea typeface="+mn-ea"/>
                <a:cs typeface="+mn-cs"/>
              </a:defRPr>
            </a:pPr>
            <a:endParaRPr lang="en-US"/>
          </a:p>
        </c:txPr>
        <c:crossAx val="161472783"/>
        <c:crosses val="autoZero"/>
        <c:auto val="1"/>
        <c:lblAlgn val="ctr"/>
        <c:lblOffset val="100"/>
        <c:tickLblSkip val="1"/>
        <c:noMultiLvlLbl val="0"/>
      </c:catAx>
      <c:valAx>
        <c:axId val="161472783"/>
        <c:scaling>
          <c:orientation val="minMax"/>
        </c:scaling>
        <c:delete val="0"/>
        <c:axPos val="l"/>
        <c:majorGridlines>
          <c:spPr>
            <a:ln w="6350"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Avenir Next LT Pro Demi" panose="020B0704020202020204" pitchFamily="34" charset="0"/>
                <a:ea typeface="+mn-ea"/>
                <a:cs typeface="+mn-cs"/>
              </a:defRPr>
            </a:pPr>
            <a:endParaRPr lang="en-US"/>
          </a:p>
        </c:txPr>
        <c:crossAx val="161476143"/>
        <c:crosses val="autoZero"/>
        <c:crossBetween val="between"/>
      </c:valAx>
      <c:valAx>
        <c:axId val="238770959"/>
        <c:scaling>
          <c:orientation val="minMax"/>
          <c:max val="1.8"/>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238774319"/>
        <c:crosses val="max"/>
        <c:crossBetween val="between"/>
      </c:valAx>
      <c:catAx>
        <c:axId val="238774319"/>
        <c:scaling>
          <c:orientation val="minMax"/>
        </c:scaling>
        <c:delete val="1"/>
        <c:axPos val="b"/>
        <c:numFmt formatCode="General" sourceLinked="1"/>
        <c:majorTickMark val="out"/>
        <c:minorTickMark val="none"/>
        <c:tickLblPos val="nextTo"/>
        <c:crossAx val="238770959"/>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Avenir Next LT Pro Demi" panose="020B07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venir Next LT Pro Demi" panose="020B07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 Usuarios Internet'!$A$6</c:f>
              <c:strCache>
                <c:ptCount val="1"/>
                <c:pt idx="0">
                  <c:v>Américas</c:v>
                </c:pt>
              </c:strCache>
            </c:strRef>
          </c:tx>
          <c:spPr>
            <a:ln w="28575" cap="rnd">
              <a:solidFill>
                <a:srgbClr val="A77BCA"/>
              </a:solidFill>
              <a:round/>
            </a:ln>
            <a:effectLst/>
          </c:spPr>
          <c:marker>
            <c:symbol val="none"/>
          </c:marker>
          <c:cat>
            <c:numRef>
              <c:f>'5. Usuarios Internet'!$B$4:$U$4</c:f>
              <c:numCache>
                <c:formatCode>0</c:formatCode>
                <c:ptCount val="20"/>
                <c:pt idx="0" formatCode="General">
                  <c:v>2005</c:v>
                </c:pt>
                <c:pt idx="1">
                  <c:v>2006</c:v>
                </c:pt>
                <c:pt idx="2">
                  <c:v>2007</c:v>
                </c:pt>
                <c:pt idx="3">
                  <c:v>2008</c:v>
                </c:pt>
                <c:pt idx="4">
                  <c:v>2009</c:v>
                </c:pt>
                <c:pt idx="5">
                  <c:v>2010</c:v>
                </c:pt>
                <c:pt idx="6">
                  <c:v>2011</c:v>
                </c:pt>
                <c:pt idx="7">
                  <c:v>2012</c:v>
                </c:pt>
                <c:pt idx="8">
                  <c:v>2013</c:v>
                </c:pt>
                <c:pt idx="9">
                  <c:v>2014</c:v>
                </c:pt>
                <c:pt idx="10" formatCode="General">
                  <c:v>2015</c:v>
                </c:pt>
                <c:pt idx="11" formatCode="General">
                  <c:v>2016</c:v>
                </c:pt>
                <c:pt idx="12" formatCode="General">
                  <c:v>2017</c:v>
                </c:pt>
                <c:pt idx="13" formatCode="General">
                  <c:v>2018</c:v>
                </c:pt>
                <c:pt idx="14" formatCode="General">
                  <c:v>2019</c:v>
                </c:pt>
                <c:pt idx="15" formatCode="General">
                  <c:v>2020</c:v>
                </c:pt>
                <c:pt idx="16" formatCode="General">
                  <c:v>2021</c:v>
                </c:pt>
                <c:pt idx="17" formatCode="General">
                  <c:v>2022</c:v>
                </c:pt>
                <c:pt idx="18" formatCode="General">
                  <c:v>2023</c:v>
                </c:pt>
                <c:pt idx="19" formatCode="General">
                  <c:v>2024</c:v>
                </c:pt>
              </c:numCache>
            </c:numRef>
          </c:cat>
          <c:val>
            <c:numRef>
              <c:f>'5. Usuarios Internet'!$B$6:$U$6</c:f>
              <c:numCache>
                <c:formatCode>_-* #,##0.0_-;\-* #,##0.0_-;_-* "-"??_-;_-@_-</c:formatCode>
                <c:ptCount val="20"/>
                <c:pt idx="0">
                  <c:v>35.9</c:v>
                </c:pt>
                <c:pt idx="1">
                  <c:v>38.799999999999997</c:v>
                </c:pt>
                <c:pt idx="2">
                  <c:v>42.7</c:v>
                </c:pt>
                <c:pt idx="3">
                  <c:v>44.2</c:v>
                </c:pt>
                <c:pt idx="4">
                  <c:v>46.2</c:v>
                </c:pt>
                <c:pt idx="5">
                  <c:v>48.7</c:v>
                </c:pt>
                <c:pt idx="6">
                  <c:v>51.1</c:v>
                </c:pt>
                <c:pt idx="7">
                  <c:v>55.1</c:v>
                </c:pt>
                <c:pt idx="8">
                  <c:v>56</c:v>
                </c:pt>
                <c:pt idx="9">
                  <c:v>58.2</c:v>
                </c:pt>
                <c:pt idx="10">
                  <c:v>62.4</c:v>
                </c:pt>
                <c:pt idx="11">
                  <c:v>68.099999999999994</c:v>
                </c:pt>
                <c:pt idx="12">
                  <c:v>71.8</c:v>
                </c:pt>
                <c:pt idx="13">
                  <c:v>74.099999999999994</c:v>
                </c:pt>
                <c:pt idx="14">
                  <c:v>76</c:v>
                </c:pt>
                <c:pt idx="15">
                  <c:v>80.099999999999994</c:v>
                </c:pt>
                <c:pt idx="16">
                  <c:v>81.900000000000006</c:v>
                </c:pt>
                <c:pt idx="17">
                  <c:v>82.9</c:v>
                </c:pt>
                <c:pt idx="18">
                  <c:v>84.7</c:v>
                </c:pt>
                <c:pt idx="19">
                  <c:v>86.5</c:v>
                </c:pt>
              </c:numCache>
            </c:numRef>
          </c:val>
          <c:smooth val="0"/>
          <c:extLst>
            <c:ext xmlns:c16="http://schemas.microsoft.com/office/drawing/2014/chart" uri="{C3380CC4-5D6E-409C-BE32-E72D297353CC}">
              <c16:uniqueId val="{00000000-9F17-4480-9DA1-750D2922D808}"/>
            </c:ext>
          </c:extLst>
        </c:ser>
        <c:ser>
          <c:idx val="1"/>
          <c:order val="1"/>
          <c:tx>
            <c:strRef>
              <c:f>'5. Usuarios Internet'!$A$5</c:f>
              <c:strCache>
                <c:ptCount val="1"/>
                <c:pt idx="0">
                  <c:v>Mundo</c:v>
                </c:pt>
              </c:strCache>
            </c:strRef>
          </c:tx>
          <c:spPr>
            <a:ln w="28575" cap="rnd">
              <a:solidFill>
                <a:srgbClr val="00A3E0"/>
              </a:solidFill>
              <a:round/>
            </a:ln>
            <a:effectLst/>
          </c:spPr>
          <c:marker>
            <c:symbol val="none"/>
          </c:marker>
          <c:cat>
            <c:numRef>
              <c:f>'5. Usuarios Internet'!$B$4:$U$4</c:f>
              <c:numCache>
                <c:formatCode>0</c:formatCode>
                <c:ptCount val="20"/>
                <c:pt idx="0" formatCode="General">
                  <c:v>2005</c:v>
                </c:pt>
                <c:pt idx="1">
                  <c:v>2006</c:v>
                </c:pt>
                <c:pt idx="2">
                  <c:v>2007</c:v>
                </c:pt>
                <c:pt idx="3">
                  <c:v>2008</c:v>
                </c:pt>
                <c:pt idx="4">
                  <c:v>2009</c:v>
                </c:pt>
                <c:pt idx="5">
                  <c:v>2010</c:v>
                </c:pt>
                <c:pt idx="6">
                  <c:v>2011</c:v>
                </c:pt>
                <c:pt idx="7">
                  <c:v>2012</c:v>
                </c:pt>
                <c:pt idx="8">
                  <c:v>2013</c:v>
                </c:pt>
                <c:pt idx="9">
                  <c:v>2014</c:v>
                </c:pt>
                <c:pt idx="10" formatCode="General">
                  <c:v>2015</c:v>
                </c:pt>
                <c:pt idx="11" formatCode="General">
                  <c:v>2016</c:v>
                </c:pt>
                <c:pt idx="12" formatCode="General">
                  <c:v>2017</c:v>
                </c:pt>
                <c:pt idx="13" formatCode="General">
                  <c:v>2018</c:v>
                </c:pt>
                <c:pt idx="14" formatCode="General">
                  <c:v>2019</c:v>
                </c:pt>
                <c:pt idx="15" formatCode="General">
                  <c:v>2020</c:v>
                </c:pt>
                <c:pt idx="16" formatCode="General">
                  <c:v>2021</c:v>
                </c:pt>
                <c:pt idx="17" formatCode="General">
                  <c:v>2022</c:v>
                </c:pt>
                <c:pt idx="18" formatCode="General">
                  <c:v>2023</c:v>
                </c:pt>
                <c:pt idx="19" formatCode="General">
                  <c:v>2024</c:v>
                </c:pt>
              </c:numCache>
            </c:numRef>
          </c:cat>
          <c:val>
            <c:numRef>
              <c:f>'5. Usuarios Internet'!$B$5:$U$5</c:f>
              <c:numCache>
                <c:formatCode>_-* #,##0.0_-;\-* #,##0.0_-;_-* "-"??_-;_-@_-</c:formatCode>
                <c:ptCount val="20"/>
                <c:pt idx="0">
                  <c:v>15.6</c:v>
                </c:pt>
                <c:pt idx="1">
                  <c:v>17.2</c:v>
                </c:pt>
                <c:pt idx="2">
                  <c:v>20.2</c:v>
                </c:pt>
                <c:pt idx="3">
                  <c:v>22.8</c:v>
                </c:pt>
                <c:pt idx="4">
                  <c:v>25.3</c:v>
                </c:pt>
                <c:pt idx="5">
                  <c:v>28.4</c:v>
                </c:pt>
                <c:pt idx="6">
                  <c:v>30.9</c:v>
                </c:pt>
                <c:pt idx="7">
                  <c:v>33.299999999999997</c:v>
                </c:pt>
                <c:pt idx="8">
                  <c:v>35.299999999999997</c:v>
                </c:pt>
                <c:pt idx="9">
                  <c:v>37.4</c:v>
                </c:pt>
                <c:pt idx="10">
                  <c:v>39.799999999999997</c:v>
                </c:pt>
                <c:pt idx="11">
                  <c:v>42.7</c:v>
                </c:pt>
                <c:pt idx="12">
                  <c:v>45.2</c:v>
                </c:pt>
                <c:pt idx="13">
                  <c:v>48.4</c:v>
                </c:pt>
                <c:pt idx="14">
                  <c:v>52.9</c:v>
                </c:pt>
                <c:pt idx="15">
                  <c:v>58.6</c:v>
                </c:pt>
                <c:pt idx="16">
                  <c:v>61.7</c:v>
                </c:pt>
                <c:pt idx="17">
                  <c:v>63.7</c:v>
                </c:pt>
                <c:pt idx="18">
                  <c:v>65.400000000000006</c:v>
                </c:pt>
                <c:pt idx="19">
                  <c:v>67.599999999999994</c:v>
                </c:pt>
              </c:numCache>
            </c:numRef>
          </c:val>
          <c:smooth val="0"/>
          <c:extLst>
            <c:ext xmlns:c16="http://schemas.microsoft.com/office/drawing/2014/chart" uri="{C3380CC4-5D6E-409C-BE32-E72D297353CC}">
              <c16:uniqueId val="{00000001-9F17-4480-9DA1-750D2922D808}"/>
            </c:ext>
          </c:extLst>
        </c:ser>
        <c:dLbls>
          <c:showLegendKey val="0"/>
          <c:showVal val="0"/>
          <c:showCatName val="0"/>
          <c:showSerName val="0"/>
          <c:showPercent val="0"/>
          <c:showBubbleSize val="0"/>
        </c:dLbls>
        <c:smooth val="0"/>
        <c:axId val="1409304527"/>
        <c:axId val="1409305775"/>
      </c:lineChart>
      <c:catAx>
        <c:axId val="1409304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5775"/>
        <c:crosses val="autoZero"/>
        <c:auto val="1"/>
        <c:lblAlgn val="ctr"/>
        <c:lblOffset val="100"/>
        <c:tickLblSkip val="1"/>
        <c:noMultiLvlLbl val="0"/>
      </c:catAx>
      <c:valAx>
        <c:axId val="1409305775"/>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409304527"/>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'35. ICG'!$B$3</c:f>
              <c:strCache>
                <c:ptCount val="1"/>
                <c:pt idx="0">
                  <c:v>Américas</c:v>
                </c:pt>
              </c:strCache>
            </c:strRef>
          </c:tx>
          <c:spPr>
            <a:solidFill>
              <a:srgbClr val="A77BC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'35. ICG'!$C$2:$F$2</c:f>
              <c:numCache>
                <c:formatCode>General</c:formatCode>
                <c:ptCount val="4"/>
                <c:pt idx="0">
                  <c:v>2017</c:v>
                </c:pt>
                <c:pt idx="1">
                  <c:v>2018</c:v>
                </c:pt>
                <c:pt idx="2">
                  <c:v>2021</c:v>
                </c:pt>
                <c:pt idx="3">
                  <c:v>2024</c:v>
                </c:pt>
              </c:numCache>
            </c:numRef>
          </c:cat>
          <c:val>
            <c:numRef>
              <c:f>'35. ICG'!$C$3:$F$3</c:f>
              <c:numCache>
                <c:formatCode>0</c:formatCode>
                <c:ptCount val="4"/>
                <c:pt idx="0">
                  <c:v>29.65</c:v>
                </c:pt>
                <c:pt idx="1">
                  <c:v>31.81</c:v>
                </c:pt>
                <c:pt idx="2">
                  <c:v>37.57</c:v>
                </c:pt>
                <c:pt idx="3">
                  <c:v>53.62</c:v>
                </c:pt>
              </c:numCache>
            </c:numRef>
          </c:val>
          <c:extLst>
            <c:ext xmlns:c16="http://schemas.microsoft.com/office/drawing/2014/chart" uri="{C3380CC4-5D6E-409C-BE32-E72D297353CC}">
              <c16:uniqueId val="{00000000-4607-4BB3-B7A7-6C45C8FC08C0}"/>
            </c:ext>
          </c:extLst>
        </c:ser>
        <c:ser>
          <c:idx val="1"/>
          <c:order val="1"/>
          <c:tx>
            <c:strRef>
              <c:f>'35. ICG'!$B$4</c:f>
              <c:strCache>
                <c:ptCount val="1"/>
                <c:pt idx="0">
                  <c:v>Mundo</c:v>
                </c:pt>
              </c:strCache>
            </c:strRef>
          </c:tx>
          <c:spPr>
            <a:solidFill>
              <a:srgbClr val="00A0D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'35. ICG'!$C$2:$F$2</c:f>
              <c:numCache>
                <c:formatCode>General</c:formatCode>
                <c:ptCount val="4"/>
                <c:pt idx="0">
                  <c:v>2017</c:v>
                </c:pt>
                <c:pt idx="1">
                  <c:v>2018</c:v>
                </c:pt>
                <c:pt idx="2">
                  <c:v>2021</c:v>
                </c:pt>
                <c:pt idx="3">
                  <c:v>2024</c:v>
                </c:pt>
              </c:numCache>
            </c:numRef>
          </c:cat>
          <c:val>
            <c:numRef>
              <c:f>'35. ICG'!$C$4:$F$4</c:f>
              <c:numCache>
                <c:formatCode>0</c:formatCode>
                <c:ptCount val="4"/>
                <c:pt idx="0">
                  <c:v>35.65</c:v>
                </c:pt>
                <c:pt idx="1">
                  <c:v>47</c:v>
                </c:pt>
                <c:pt idx="2">
                  <c:v>51.71</c:v>
                </c:pt>
                <c:pt idx="3">
                  <c:v>65.790000000000006</c:v>
                </c:pt>
              </c:numCache>
            </c:numRef>
          </c:val>
          <c:extLst>
            <c:ext xmlns:c16="http://schemas.microsoft.com/office/drawing/2014/chart" uri="{C3380CC4-5D6E-409C-BE32-E72D297353CC}">
              <c16:uniqueId val="{00000001-4607-4BB3-B7A7-6C45C8FC08C0}"/>
            </c:ext>
          </c:extLst>
        </c:ser>
        <c:dLbls>
          <c:dLblPos val="outEnd"/>
          <c:showLegendKey val="0"/>
          <c:showVal val="1"/>
          <c:showCatName val="0"/>
          <c:showSerName val="0"/>
          <c:showPercent val="0"/>
          <c:showBubbleSize val="0"/>
        </c:dLbls>
        <c:gapWidth val="219"/>
        <c:overlap val="-27"/>
        <c:axId val="502400128"/>
        <c:axId val="1120468896"/>
      </c:barChart>
      <c:catAx>
        <c:axId val="502400128"/>
        <c:scaling>
          <c:orientation val="minMax"/>
        </c:scaling>
        <c:delete val="0"/>
        <c:axPos val="b"/>
        <c:numFmt formatCode="General" sourceLinked="1"/>
        <c:majorTickMark val="none"/>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120468896"/>
        <c:crosses val="autoZero"/>
        <c:auto val="1"/>
        <c:lblAlgn val="ctr"/>
        <c:lblOffset val="100"/>
        <c:noMultiLvlLbl val="0"/>
      </c:catAx>
      <c:valAx>
        <c:axId val="112046889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502400128"/>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'36. ICG por pilar'!$B$4</c:f>
              <c:strCache>
                <c:ptCount val="1"/>
                <c:pt idx="0">
                  <c:v>Jurídico</c:v>
                </c:pt>
              </c:strCache>
            </c:strRef>
          </c:tx>
          <c:spPr>
            <a:solidFill>
              <a:schemeClr val="accent5">
                <a:lumMod val="20000"/>
                <a:lumOff val="80000"/>
              </a:schemeClr>
            </a:solidFill>
            <a:ln>
              <a:noFill/>
            </a:ln>
            <a:effectLst/>
          </c:spPr>
          <c:invertIfNegative val="0"/>
          <c:cat>
            <c:strRef>
              <c:f>'36. ICG por pilar'!$A$5:$A$39</c:f>
              <c:strCache>
                <c:ptCount val="35"/>
                <c:pt idx="0">
                  <c:v>Antigua y Barbuda</c:v>
                </c:pt>
                <c:pt idx="1">
                  <c:v>Argentina</c:v>
                </c:pt>
                <c:pt idx="2">
                  <c:v>Bahamas</c:v>
                </c:pt>
                <c:pt idx="3">
                  <c:v>Barbados</c:v>
                </c:pt>
                <c:pt idx="4">
                  <c:v>Belice</c:v>
                </c:pt>
                <c:pt idx="5">
                  <c:v>Bolivia</c:v>
                </c:pt>
                <c:pt idx="6">
                  <c:v>Brasil</c:v>
                </c:pt>
                <c:pt idx="7">
                  <c:v>Canadá</c:v>
                </c:pt>
                <c:pt idx="8">
                  <c:v>Chile</c:v>
                </c:pt>
                <c:pt idx="9">
                  <c:v>Colombia</c:v>
                </c:pt>
                <c:pt idx="10">
                  <c:v>Costa Rica</c:v>
                </c:pt>
                <c:pt idx="11">
                  <c:v>Cuba</c:v>
                </c:pt>
                <c:pt idx="12">
                  <c:v>Dominica</c:v>
                </c:pt>
                <c:pt idx="13">
                  <c:v>Rep.Dominicana</c:v>
                </c:pt>
                <c:pt idx="14">
                  <c:v>Ecuador</c:v>
                </c:pt>
                <c:pt idx="15">
                  <c:v>El Salvador</c:v>
                </c:pt>
                <c:pt idx="16">
                  <c:v>Granada</c:v>
                </c:pt>
                <c:pt idx="17">
                  <c:v>Guatemala</c:v>
                </c:pt>
                <c:pt idx="18">
                  <c:v>Guyana</c:v>
                </c:pt>
                <c:pt idx="19">
                  <c:v>Haití</c:v>
                </c:pt>
                <c:pt idx="20">
                  <c:v>Honduras</c:v>
                </c:pt>
                <c:pt idx="21">
                  <c:v>Jamaica</c:v>
                </c:pt>
                <c:pt idx="22">
                  <c:v>México</c:v>
                </c:pt>
                <c:pt idx="23">
                  <c:v>Nicaragua</c:v>
                </c:pt>
                <c:pt idx="24">
                  <c:v>Panamá</c:v>
                </c:pt>
                <c:pt idx="25">
                  <c:v>Paraguay</c:v>
                </c:pt>
                <c:pt idx="26">
                  <c:v>Perú</c:v>
                </c:pt>
                <c:pt idx="27">
                  <c:v>Saint Kitts y Nevis</c:v>
                </c:pt>
                <c:pt idx="28">
                  <c:v>Santa Lucía</c:v>
                </c:pt>
                <c:pt idx="29">
                  <c:v>San Vicente</c:v>
                </c:pt>
                <c:pt idx="30">
                  <c:v>Suriname</c:v>
                </c:pt>
                <c:pt idx="31">
                  <c:v>Trinidad y Tabago</c:v>
                </c:pt>
                <c:pt idx="32">
                  <c:v>Estados Unidos</c:v>
                </c:pt>
                <c:pt idx="33">
                  <c:v>Uruguay</c:v>
                </c:pt>
                <c:pt idx="34">
                  <c:v>Venezuela</c:v>
                </c:pt>
              </c:strCache>
            </c:strRef>
          </c:cat>
          <c:val>
            <c:numRef>
              <c:f>'36. ICG por pilar'!$B$5:$B$39</c:f>
              <c:numCache>
                <c:formatCode>0.00</c:formatCode>
                <c:ptCount val="35"/>
                <c:pt idx="0">
                  <c:v>11.839915939825072</c:v>
                </c:pt>
                <c:pt idx="1">
                  <c:v>16.958575907638483</c:v>
                </c:pt>
                <c:pt idx="2">
                  <c:v>11.26004244897959</c:v>
                </c:pt>
                <c:pt idx="3">
                  <c:v>14.91528573574344</c:v>
                </c:pt>
                <c:pt idx="4">
                  <c:v>14.128281654110786</c:v>
                </c:pt>
                <c:pt idx="5">
                  <c:v>13.696566452244898</c:v>
                </c:pt>
                <c:pt idx="6">
                  <c:v>20</c:v>
                </c:pt>
                <c:pt idx="7">
                  <c:v>18.902734693877548</c:v>
                </c:pt>
                <c:pt idx="8">
                  <c:v>14.688914704606413</c:v>
                </c:pt>
                <c:pt idx="9">
                  <c:v>13.372845714285713</c:v>
                </c:pt>
                <c:pt idx="10">
                  <c:v>18.684795102040816</c:v>
                </c:pt>
                <c:pt idx="11">
                  <c:v>20</c:v>
                </c:pt>
                <c:pt idx="12">
                  <c:v>6.6902011951020395</c:v>
                </c:pt>
                <c:pt idx="13">
                  <c:v>18.483775112769678</c:v>
                </c:pt>
                <c:pt idx="14">
                  <c:v>19.212995918367348</c:v>
                </c:pt>
                <c:pt idx="15">
                  <c:v>12.99923349084548</c:v>
                </c:pt>
                <c:pt idx="16">
                  <c:v>13.798345327580176</c:v>
                </c:pt>
                <c:pt idx="17">
                  <c:v>6.9927078138775514</c:v>
                </c:pt>
                <c:pt idx="18">
                  <c:v>16.522590225539361</c:v>
                </c:pt>
                <c:pt idx="19">
                  <c:v>6.490589688163265</c:v>
                </c:pt>
                <c:pt idx="20">
                  <c:v>17.436182857142857</c:v>
                </c:pt>
                <c:pt idx="21">
                  <c:v>16.407023673469386</c:v>
                </c:pt>
                <c:pt idx="22">
                  <c:v>18.392695510204081</c:v>
                </c:pt>
                <c:pt idx="23">
                  <c:v>12.327038367346939</c:v>
                </c:pt>
                <c:pt idx="24">
                  <c:v>14.017583673469387</c:v>
                </c:pt>
                <c:pt idx="25">
                  <c:v>17.806982857142856</c:v>
                </c:pt>
                <c:pt idx="26">
                  <c:v>20</c:v>
                </c:pt>
                <c:pt idx="27">
                  <c:v>13.352777830437319</c:v>
                </c:pt>
                <c:pt idx="28">
                  <c:v>12.047046530612242</c:v>
                </c:pt>
                <c:pt idx="29">
                  <c:v>11.578085735743443</c:v>
                </c:pt>
                <c:pt idx="30">
                  <c:v>15.212896326530615</c:v>
                </c:pt>
                <c:pt idx="31">
                  <c:v>8.8752474654227402</c:v>
                </c:pt>
                <c:pt idx="32">
                  <c:v>20</c:v>
                </c:pt>
                <c:pt idx="33">
                  <c:v>19.146727784489794</c:v>
                </c:pt>
                <c:pt idx="34">
                  <c:v>15.01463183673469</c:v>
                </c:pt>
              </c:numCache>
            </c:numRef>
          </c:val>
          <c:extLst>
            <c:ext xmlns:c16="http://schemas.microsoft.com/office/drawing/2014/chart" uri="{C3380CC4-5D6E-409C-BE32-E72D297353CC}">
              <c16:uniqueId val="{00000000-FEF1-4101-9680-BF782570DC50}"/>
            </c:ext>
          </c:extLst>
        </c:ser>
        <c:ser>
          <c:idx val="1"/>
          <c:order val="1"/>
          <c:tx>
            <c:strRef>
              <c:f>'36. ICG por pilar'!$C$4</c:f>
              <c:strCache>
                <c:ptCount val="1"/>
                <c:pt idx="0">
                  <c:v>Técnico</c:v>
                </c:pt>
              </c:strCache>
            </c:strRef>
          </c:tx>
          <c:spPr>
            <a:solidFill>
              <a:schemeClr val="accent5">
                <a:lumMod val="40000"/>
                <a:lumOff val="60000"/>
              </a:schemeClr>
            </a:solidFill>
            <a:ln>
              <a:noFill/>
            </a:ln>
            <a:effectLst/>
          </c:spPr>
          <c:invertIfNegative val="0"/>
          <c:cat>
            <c:strRef>
              <c:f>'36. ICG por pilar'!$A$5:$A$39</c:f>
              <c:strCache>
                <c:ptCount val="35"/>
                <c:pt idx="0">
                  <c:v>Antigua y Barbuda</c:v>
                </c:pt>
                <c:pt idx="1">
                  <c:v>Argentina</c:v>
                </c:pt>
                <c:pt idx="2">
                  <c:v>Bahamas</c:v>
                </c:pt>
                <c:pt idx="3">
                  <c:v>Barbados</c:v>
                </c:pt>
                <c:pt idx="4">
                  <c:v>Belice</c:v>
                </c:pt>
                <c:pt idx="5">
                  <c:v>Bolivia</c:v>
                </c:pt>
                <c:pt idx="6">
                  <c:v>Brasil</c:v>
                </c:pt>
                <c:pt idx="7">
                  <c:v>Canadá</c:v>
                </c:pt>
                <c:pt idx="8">
                  <c:v>Chile</c:v>
                </c:pt>
                <c:pt idx="9">
                  <c:v>Colombia</c:v>
                </c:pt>
                <c:pt idx="10">
                  <c:v>Costa Rica</c:v>
                </c:pt>
                <c:pt idx="11">
                  <c:v>Cuba</c:v>
                </c:pt>
                <c:pt idx="12">
                  <c:v>Dominica</c:v>
                </c:pt>
                <c:pt idx="13">
                  <c:v>Rep.Dominicana</c:v>
                </c:pt>
                <c:pt idx="14">
                  <c:v>Ecuador</c:v>
                </c:pt>
                <c:pt idx="15">
                  <c:v>El Salvador</c:v>
                </c:pt>
                <c:pt idx="16">
                  <c:v>Granada</c:v>
                </c:pt>
                <c:pt idx="17">
                  <c:v>Guatemala</c:v>
                </c:pt>
                <c:pt idx="18">
                  <c:v>Guyana</c:v>
                </c:pt>
                <c:pt idx="19">
                  <c:v>Haití</c:v>
                </c:pt>
                <c:pt idx="20">
                  <c:v>Honduras</c:v>
                </c:pt>
                <c:pt idx="21">
                  <c:v>Jamaica</c:v>
                </c:pt>
                <c:pt idx="22">
                  <c:v>México</c:v>
                </c:pt>
                <c:pt idx="23">
                  <c:v>Nicaragua</c:v>
                </c:pt>
                <c:pt idx="24">
                  <c:v>Panamá</c:v>
                </c:pt>
                <c:pt idx="25">
                  <c:v>Paraguay</c:v>
                </c:pt>
                <c:pt idx="26">
                  <c:v>Perú</c:v>
                </c:pt>
                <c:pt idx="27">
                  <c:v>Saint Kitts y Nevis</c:v>
                </c:pt>
                <c:pt idx="28">
                  <c:v>Santa Lucía</c:v>
                </c:pt>
                <c:pt idx="29">
                  <c:v>San Vicente</c:v>
                </c:pt>
                <c:pt idx="30">
                  <c:v>Suriname</c:v>
                </c:pt>
                <c:pt idx="31">
                  <c:v>Trinidad y Tabago</c:v>
                </c:pt>
                <c:pt idx="32">
                  <c:v>Estados Unidos</c:v>
                </c:pt>
                <c:pt idx="33">
                  <c:v>Uruguay</c:v>
                </c:pt>
                <c:pt idx="34">
                  <c:v>Venezuela</c:v>
                </c:pt>
              </c:strCache>
            </c:strRef>
          </c:cat>
          <c:val>
            <c:numRef>
              <c:f>'36. ICG por pilar'!$C$5:$C$39</c:f>
              <c:numCache>
                <c:formatCode>0.00</c:formatCode>
                <c:ptCount val="35"/>
                <c:pt idx="0">
                  <c:v>0</c:v>
                </c:pt>
                <c:pt idx="1">
                  <c:v>12.180299666888942</c:v>
                </c:pt>
                <c:pt idx="2">
                  <c:v>3.2245108729345198</c:v>
                </c:pt>
                <c:pt idx="3">
                  <c:v>3.0128703923900129</c:v>
                </c:pt>
                <c:pt idx="4">
                  <c:v>0</c:v>
                </c:pt>
                <c:pt idx="5">
                  <c:v>6.1794249210709751</c:v>
                </c:pt>
                <c:pt idx="6">
                  <c:v>20</c:v>
                </c:pt>
                <c:pt idx="7">
                  <c:v>15.296551724137933</c:v>
                </c:pt>
                <c:pt idx="8">
                  <c:v>13.810623067776458</c:v>
                </c:pt>
                <c:pt idx="9">
                  <c:v>16.222911246873593</c:v>
                </c:pt>
                <c:pt idx="10">
                  <c:v>9.3149816130222653</c:v>
                </c:pt>
                <c:pt idx="11">
                  <c:v>14.653073025328281</c:v>
                </c:pt>
                <c:pt idx="12">
                  <c:v>0</c:v>
                </c:pt>
                <c:pt idx="13">
                  <c:v>15.741591443629101</c:v>
                </c:pt>
                <c:pt idx="14">
                  <c:v>17.892683564505781</c:v>
                </c:pt>
                <c:pt idx="15">
                  <c:v>0</c:v>
                </c:pt>
                <c:pt idx="16">
                  <c:v>4.55804085448358</c:v>
                </c:pt>
                <c:pt idx="17">
                  <c:v>3.7656060814301542</c:v>
                </c:pt>
                <c:pt idx="18">
                  <c:v>7.9555652302267426</c:v>
                </c:pt>
                <c:pt idx="19">
                  <c:v>0</c:v>
                </c:pt>
                <c:pt idx="20">
                  <c:v>0</c:v>
                </c:pt>
                <c:pt idx="21">
                  <c:v>6.5820406412727062</c:v>
                </c:pt>
                <c:pt idx="22">
                  <c:v>19.59738427979827</c:v>
                </c:pt>
                <c:pt idx="23">
                  <c:v>0</c:v>
                </c:pt>
                <c:pt idx="24">
                  <c:v>14.491320283734474</c:v>
                </c:pt>
                <c:pt idx="25">
                  <c:v>8.4705850178359121</c:v>
                </c:pt>
                <c:pt idx="26">
                  <c:v>13.50879429250892</c:v>
                </c:pt>
                <c:pt idx="27">
                  <c:v>1.7761403091557666</c:v>
                </c:pt>
                <c:pt idx="28">
                  <c:v>0</c:v>
                </c:pt>
                <c:pt idx="29">
                  <c:v>0</c:v>
                </c:pt>
                <c:pt idx="30">
                  <c:v>6.1794249210709751</c:v>
                </c:pt>
                <c:pt idx="31">
                  <c:v>6.9846563614744364</c:v>
                </c:pt>
                <c:pt idx="32">
                  <c:v>20</c:v>
                </c:pt>
                <c:pt idx="33">
                  <c:v>20</c:v>
                </c:pt>
                <c:pt idx="34">
                  <c:v>4.55804085448358</c:v>
                </c:pt>
              </c:numCache>
            </c:numRef>
          </c:val>
          <c:extLst>
            <c:ext xmlns:c16="http://schemas.microsoft.com/office/drawing/2014/chart" uri="{C3380CC4-5D6E-409C-BE32-E72D297353CC}">
              <c16:uniqueId val="{00000001-FEF1-4101-9680-BF782570DC50}"/>
            </c:ext>
          </c:extLst>
        </c:ser>
        <c:ser>
          <c:idx val="2"/>
          <c:order val="2"/>
          <c:tx>
            <c:strRef>
              <c:f>'36. ICG por pilar'!$D$4</c:f>
              <c:strCache>
                <c:ptCount val="1"/>
                <c:pt idx="0">
                  <c:v>Institucional</c:v>
                </c:pt>
              </c:strCache>
            </c:strRef>
          </c:tx>
          <c:spPr>
            <a:solidFill>
              <a:srgbClr val="A77BCA"/>
            </a:solidFill>
            <a:ln>
              <a:noFill/>
            </a:ln>
            <a:effectLst/>
          </c:spPr>
          <c:invertIfNegative val="0"/>
          <c:cat>
            <c:strRef>
              <c:f>'36. ICG por pilar'!$A$5:$A$39</c:f>
              <c:strCache>
                <c:ptCount val="35"/>
                <c:pt idx="0">
                  <c:v>Antigua y Barbuda</c:v>
                </c:pt>
                <c:pt idx="1">
                  <c:v>Argentina</c:v>
                </c:pt>
                <c:pt idx="2">
                  <c:v>Bahamas</c:v>
                </c:pt>
                <c:pt idx="3">
                  <c:v>Barbados</c:v>
                </c:pt>
                <c:pt idx="4">
                  <c:v>Belice</c:v>
                </c:pt>
                <c:pt idx="5">
                  <c:v>Bolivia</c:v>
                </c:pt>
                <c:pt idx="6">
                  <c:v>Brasil</c:v>
                </c:pt>
                <c:pt idx="7">
                  <c:v>Canadá</c:v>
                </c:pt>
                <c:pt idx="8">
                  <c:v>Chile</c:v>
                </c:pt>
                <c:pt idx="9">
                  <c:v>Colombia</c:v>
                </c:pt>
                <c:pt idx="10">
                  <c:v>Costa Rica</c:v>
                </c:pt>
                <c:pt idx="11">
                  <c:v>Cuba</c:v>
                </c:pt>
                <c:pt idx="12">
                  <c:v>Dominica</c:v>
                </c:pt>
                <c:pt idx="13">
                  <c:v>Rep.Dominicana</c:v>
                </c:pt>
                <c:pt idx="14">
                  <c:v>Ecuador</c:v>
                </c:pt>
                <c:pt idx="15">
                  <c:v>El Salvador</c:v>
                </c:pt>
                <c:pt idx="16">
                  <c:v>Granada</c:v>
                </c:pt>
                <c:pt idx="17">
                  <c:v>Guatemala</c:v>
                </c:pt>
                <c:pt idx="18">
                  <c:v>Guyana</c:v>
                </c:pt>
                <c:pt idx="19">
                  <c:v>Haití</c:v>
                </c:pt>
                <c:pt idx="20">
                  <c:v>Honduras</c:v>
                </c:pt>
                <c:pt idx="21">
                  <c:v>Jamaica</c:v>
                </c:pt>
                <c:pt idx="22">
                  <c:v>México</c:v>
                </c:pt>
                <c:pt idx="23">
                  <c:v>Nicaragua</c:v>
                </c:pt>
                <c:pt idx="24">
                  <c:v>Panamá</c:v>
                </c:pt>
                <c:pt idx="25">
                  <c:v>Paraguay</c:v>
                </c:pt>
                <c:pt idx="26">
                  <c:v>Perú</c:v>
                </c:pt>
                <c:pt idx="27">
                  <c:v>Saint Kitts y Nevis</c:v>
                </c:pt>
                <c:pt idx="28">
                  <c:v>Santa Lucía</c:v>
                </c:pt>
                <c:pt idx="29">
                  <c:v>San Vicente</c:v>
                </c:pt>
                <c:pt idx="30">
                  <c:v>Suriname</c:v>
                </c:pt>
                <c:pt idx="31">
                  <c:v>Trinidad y Tabago</c:v>
                </c:pt>
                <c:pt idx="32">
                  <c:v>Estados Unidos</c:v>
                </c:pt>
                <c:pt idx="33">
                  <c:v>Uruguay</c:v>
                </c:pt>
                <c:pt idx="34">
                  <c:v>Venezuela</c:v>
                </c:pt>
              </c:strCache>
            </c:strRef>
          </c:cat>
          <c:val>
            <c:numRef>
              <c:f>'36. ICG por pilar'!$D$5:$D$39</c:f>
              <c:numCache>
                <c:formatCode>0.00</c:formatCode>
                <c:ptCount val="35"/>
                <c:pt idx="0">
                  <c:v>0</c:v>
                </c:pt>
                <c:pt idx="1">
                  <c:v>12.083671759927498</c:v>
                </c:pt>
                <c:pt idx="2">
                  <c:v>5.469347554630593</c:v>
                </c:pt>
                <c:pt idx="3">
                  <c:v>4.1720124869927151</c:v>
                </c:pt>
                <c:pt idx="4">
                  <c:v>12.384499271592093</c:v>
                </c:pt>
                <c:pt idx="5">
                  <c:v>4.6533361082206035</c:v>
                </c:pt>
                <c:pt idx="6">
                  <c:v>17.292600811654523</c:v>
                </c:pt>
                <c:pt idx="7">
                  <c:v>20</c:v>
                </c:pt>
                <c:pt idx="8">
                  <c:v>13.413607055150884</c:v>
                </c:pt>
                <c:pt idx="9">
                  <c:v>10.914785535228761</c:v>
                </c:pt>
                <c:pt idx="10">
                  <c:v>18.123040582726329</c:v>
                </c:pt>
                <c:pt idx="11">
                  <c:v>14.328055150884499</c:v>
                </c:pt>
                <c:pt idx="12">
                  <c:v>0</c:v>
                </c:pt>
                <c:pt idx="13">
                  <c:v>18.36936707596254</c:v>
                </c:pt>
                <c:pt idx="14">
                  <c:v>18.604440166493237</c:v>
                </c:pt>
                <c:pt idx="15">
                  <c:v>15.148277835587926</c:v>
                </c:pt>
                <c:pt idx="16">
                  <c:v>0</c:v>
                </c:pt>
                <c:pt idx="17">
                  <c:v>12.578895296566074</c:v>
                </c:pt>
                <c:pt idx="18">
                  <c:v>5.876344432882413</c:v>
                </c:pt>
                <c:pt idx="19">
                  <c:v>6.3747200832466184</c:v>
                </c:pt>
                <c:pt idx="20">
                  <c:v>3.1617741935483865</c:v>
                </c:pt>
                <c:pt idx="21">
                  <c:v>15.818134378839247</c:v>
                </c:pt>
                <c:pt idx="22">
                  <c:v>17.344138792924035</c:v>
                </c:pt>
                <c:pt idx="23">
                  <c:v>5.9689658494176099</c:v>
                </c:pt>
                <c:pt idx="24">
                  <c:v>13.145050195025341</c:v>
                </c:pt>
                <c:pt idx="25">
                  <c:v>17.664277438823806</c:v>
                </c:pt>
                <c:pt idx="26">
                  <c:v>18.271072840790843</c:v>
                </c:pt>
                <c:pt idx="27">
                  <c:v>2.6699854318418308</c:v>
                </c:pt>
                <c:pt idx="28">
                  <c:v>1.0376878251821011</c:v>
                </c:pt>
                <c:pt idx="29">
                  <c:v>4.7242611862643074</c:v>
                </c:pt>
                <c:pt idx="30">
                  <c:v>3.3907689906347551</c:v>
                </c:pt>
                <c:pt idx="31">
                  <c:v>16.207367761404448</c:v>
                </c:pt>
                <c:pt idx="32">
                  <c:v>20</c:v>
                </c:pt>
                <c:pt idx="33">
                  <c:v>19.514279271592091</c:v>
                </c:pt>
                <c:pt idx="34">
                  <c:v>12.229717397200497</c:v>
                </c:pt>
              </c:numCache>
            </c:numRef>
          </c:val>
          <c:extLst>
            <c:ext xmlns:c16="http://schemas.microsoft.com/office/drawing/2014/chart" uri="{C3380CC4-5D6E-409C-BE32-E72D297353CC}">
              <c16:uniqueId val="{00000002-FEF1-4101-9680-BF782570DC50}"/>
            </c:ext>
          </c:extLst>
        </c:ser>
        <c:ser>
          <c:idx val="3"/>
          <c:order val="3"/>
          <c:tx>
            <c:strRef>
              <c:f>'36. ICG por pilar'!$E$4</c:f>
              <c:strCache>
                <c:ptCount val="1"/>
                <c:pt idx="0">
                  <c:v>Capacitación</c:v>
                </c:pt>
              </c:strCache>
            </c:strRef>
          </c:tx>
          <c:spPr>
            <a:solidFill>
              <a:schemeClr val="accent5">
                <a:lumMod val="75000"/>
              </a:schemeClr>
            </a:solidFill>
            <a:ln>
              <a:noFill/>
            </a:ln>
            <a:effectLst/>
          </c:spPr>
          <c:invertIfNegative val="0"/>
          <c:cat>
            <c:strRef>
              <c:f>'36. ICG por pilar'!$A$5:$A$39</c:f>
              <c:strCache>
                <c:ptCount val="35"/>
                <c:pt idx="0">
                  <c:v>Antigua y Barbuda</c:v>
                </c:pt>
                <c:pt idx="1">
                  <c:v>Argentina</c:v>
                </c:pt>
                <c:pt idx="2">
                  <c:v>Bahamas</c:v>
                </c:pt>
                <c:pt idx="3">
                  <c:v>Barbados</c:v>
                </c:pt>
                <c:pt idx="4">
                  <c:v>Belice</c:v>
                </c:pt>
                <c:pt idx="5">
                  <c:v>Bolivia</c:v>
                </c:pt>
                <c:pt idx="6">
                  <c:v>Brasil</c:v>
                </c:pt>
                <c:pt idx="7">
                  <c:v>Canadá</c:v>
                </c:pt>
                <c:pt idx="8">
                  <c:v>Chile</c:v>
                </c:pt>
                <c:pt idx="9">
                  <c:v>Colombia</c:v>
                </c:pt>
                <c:pt idx="10">
                  <c:v>Costa Rica</c:v>
                </c:pt>
                <c:pt idx="11">
                  <c:v>Cuba</c:v>
                </c:pt>
                <c:pt idx="12">
                  <c:v>Dominica</c:v>
                </c:pt>
                <c:pt idx="13">
                  <c:v>Rep.Dominicana</c:v>
                </c:pt>
                <c:pt idx="14">
                  <c:v>Ecuador</c:v>
                </c:pt>
                <c:pt idx="15">
                  <c:v>El Salvador</c:v>
                </c:pt>
                <c:pt idx="16">
                  <c:v>Granada</c:v>
                </c:pt>
                <c:pt idx="17">
                  <c:v>Guatemala</c:v>
                </c:pt>
                <c:pt idx="18">
                  <c:v>Guyana</c:v>
                </c:pt>
                <c:pt idx="19">
                  <c:v>Haití</c:v>
                </c:pt>
                <c:pt idx="20">
                  <c:v>Honduras</c:v>
                </c:pt>
                <c:pt idx="21">
                  <c:v>Jamaica</c:v>
                </c:pt>
                <c:pt idx="22">
                  <c:v>México</c:v>
                </c:pt>
                <c:pt idx="23">
                  <c:v>Nicaragua</c:v>
                </c:pt>
                <c:pt idx="24">
                  <c:v>Panamá</c:v>
                </c:pt>
                <c:pt idx="25">
                  <c:v>Paraguay</c:v>
                </c:pt>
                <c:pt idx="26">
                  <c:v>Perú</c:v>
                </c:pt>
                <c:pt idx="27">
                  <c:v>Saint Kitts y Nevis</c:v>
                </c:pt>
                <c:pt idx="28">
                  <c:v>Santa Lucía</c:v>
                </c:pt>
                <c:pt idx="29">
                  <c:v>San Vicente</c:v>
                </c:pt>
                <c:pt idx="30">
                  <c:v>Suriname</c:v>
                </c:pt>
                <c:pt idx="31">
                  <c:v>Trinidad y Tabago</c:v>
                </c:pt>
                <c:pt idx="32">
                  <c:v>Estados Unidos</c:v>
                </c:pt>
                <c:pt idx="33">
                  <c:v>Uruguay</c:v>
                </c:pt>
                <c:pt idx="34">
                  <c:v>Venezuela</c:v>
                </c:pt>
              </c:strCache>
            </c:strRef>
          </c:cat>
          <c:val>
            <c:numRef>
              <c:f>'36. ICG por pilar'!$E$5:$E$39</c:f>
              <c:numCache>
                <c:formatCode>0.00</c:formatCode>
                <c:ptCount val="35"/>
                <c:pt idx="0">
                  <c:v>2.3667991138263242</c:v>
                </c:pt>
                <c:pt idx="1">
                  <c:v>1.889522215434192</c:v>
                </c:pt>
                <c:pt idx="2">
                  <c:v>6.0716983636668784</c:v>
                </c:pt>
                <c:pt idx="3">
                  <c:v>6.5309522773992166</c:v>
                </c:pt>
                <c:pt idx="4">
                  <c:v>0</c:v>
                </c:pt>
                <c:pt idx="5">
                  <c:v>8.3908304569836556</c:v>
                </c:pt>
                <c:pt idx="6">
                  <c:v>19.252142076734586</c:v>
                </c:pt>
                <c:pt idx="7">
                  <c:v>18.978630593132156</c:v>
                </c:pt>
                <c:pt idx="8">
                  <c:v>11.525108633345644</c:v>
                </c:pt>
                <c:pt idx="9">
                  <c:v>14.984642479138</c:v>
                </c:pt>
                <c:pt idx="10">
                  <c:v>12.151167048303183</c:v>
                </c:pt>
                <c:pt idx="11">
                  <c:v>16.97739189365916</c:v>
                </c:pt>
                <c:pt idx="12">
                  <c:v>8.1770216986338191</c:v>
                </c:pt>
                <c:pt idx="13">
                  <c:v>10.796594232620592</c:v>
                </c:pt>
                <c:pt idx="14">
                  <c:v>13.704083573159682</c:v>
                </c:pt>
                <c:pt idx="15">
                  <c:v>1.0150760366553659</c:v>
                </c:pt>
                <c:pt idx="16">
                  <c:v>2.3667991138263242</c:v>
                </c:pt>
                <c:pt idx="17">
                  <c:v>8.6713211646470434</c:v>
                </c:pt>
                <c:pt idx="18">
                  <c:v>8.5069326134738699</c:v>
                </c:pt>
                <c:pt idx="19">
                  <c:v>1.8030099861031852</c:v>
                </c:pt>
                <c:pt idx="20">
                  <c:v>1.3843804370447446</c:v>
                </c:pt>
                <c:pt idx="21">
                  <c:v>8.0929281686415386</c:v>
                </c:pt>
                <c:pt idx="22">
                  <c:v>17.042530517807396</c:v>
                </c:pt>
                <c:pt idx="23">
                  <c:v>0</c:v>
                </c:pt>
                <c:pt idx="24">
                  <c:v>7.1425887345842725</c:v>
                </c:pt>
                <c:pt idx="25">
                  <c:v>14.191726280285994</c:v>
                </c:pt>
                <c:pt idx="26">
                  <c:v>15.012530211674671</c:v>
                </c:pt>
                <c:pt idx="27">
                  <c:v>7.3518510927461334</c:v>
                </c:pt>
                <c:pt idx="28">
                  <c:v>5.1182005996441902</c:v>
                </c:pt>
                <c:pt idx="29">
                  <c:v>3.7923388647578138</c:v>
                </c:pt>
                <c:pt idx="30">
                  <c:v>2.0274706557013875</c:v>
                </c:pt>
                <c:pt idx="31">
                  <c:v>13.027514721627341</c:v>
                </c:pt>
                <c:pt idx="32">
                  <c:v>19.856456191467224</c:v>
                </c:pt>
                <c:pt idx="33">
                  <c:v>19.453429344432884</c:v>
                </c:pt>
                <c:pt idx="34">
                  <c:v>4.7697080986875244</c:v>
                </c:pt>
              </c:numCache>
            </c:numRef>
          </c:val>
          <c:extLst>
            <c:ext xmlns:c16="http://schemas.microsoft.com/office/drawing/2014/chart" uri="{C3380CC4-5D6E-409C-BE32-E72D297353CC}">
              <c16:uniqueId val="{00000003-FEF1-4101-9680-BF782570DC50}"/>
            </c:ext>
          </c:extLst>
        </c:ser>
        <c:ser>
          <c:idx val="4"/>
          <c:order val="4"/>
          <c:tx>
            <c:strRef>
              <c:f>'36. ICG por pilar'!$F$4</c:f>
              <c:strCache>
                <c:ptCount val="1"/>
                <c:pt idx="0">
                  <c:v>Cooperación</c:v>
                </c:pt>
              </c:strCache>
            </c:strRef>
          </c:tx>
          <c:spPr>
            <a:solidFill>
              <a:srgbClr val="403A60"/>
            </a:solidFill>
            <a:ln>
              <a:noFill/>
            </a:ln>
            <a:effectLst/>
          </c:spPr>
          <c:invertIfNegative val="0"/>
          <c:cat>
            <c:strRef>
              <c:f>'36. ICG por pilar'!$A$5:$A$39</c:f>
              <c:strCache>
                <c:ptCount val="35"/>
                <c:pt idx="0">
                  <c:v>Antigua y Barbuda</c:v>
                </c:pt>
                <c:pt idx="1">
                  <c:v>Argentina</c:v>
                </c:pt>
                <c:pt idx="2">
                  <c:v>Bahamas</c:v>
                </c:pt>
                <c:pt idx="3">
                  <c:v>Barbados</c:v>
                </c:pt>
                <c:pt idx="4">
                  <c:v>Belice</c:v>
                </c:pt>
                <c:pt idx="5">
                  <c:v>Bolivia</c:v>
                </c:pt>
                <c:pt idx="6">
                  <c:v>Brasil</c:v>
                </c:pt>
                <c:pt idx="7">
                  <c:v>Canadá</c:v>
                </c:pt>
                <c:pt idx="8">
                  <c:v>Chile</c:v>
                </c:pt>
                <c:pt idx="9">
                  <c:v>Colombia</c:v>
                </c:pt>
                <c:pt idx="10">
                  <c:v>Costa Rica</c:v>
                </c:pt>
                <c:pt idx="11">
                  <c:v>Cuba</c:v>
                </c:pt>
                <c:pt idx="12">
                  <c:v>Dominica</c:v>
                </c:pt>
                <c:pt idx="13">
                  <c:v>Rep.Dominicana</c:v>
                </c:pt>
                <c:pt idx="14">
                  <c:v>Ecuador</c:v>
                </c:pt>
                <c:pt idx="15">
                  <c:v>El Salvador</c:v>
                </c:pt>
                <c:pt idx="16">
                  <c:v>Granada</c:v>
                </c:pt>
                <c:pt idx="17">
                  <c:v>Guatemala</c:v>
                </c:pt>
                <c:pt idx="18">
                  <c:v>Guyana</c:v>
                </c:pt>
                <c:pt idx="19">
                  <c:v>Haití</c:v>
                </c:pt>
                <c:pt idx="20">
                  <c:v>Honduras</c:v>
                </c:pt>
                <c:pt idx="21">
                  <c:v>Jamaica</c:v>
                </c:pt>
                <c:pt idx="22">
                  <c:v>México</c:v>
                </c:pt>
                <c:pt idx="23">
                  <c:v>Nicaragua</c:v>
                </c:pt>
                <c:pt idx="24">
                  <c:v>Panamá</c:v>
                </c:pt>
                <c:pt idx="25">
                  <c:v>Paraguay</c:v>
                </c:pt>
                <c:pt idx="26">
                  <c:v>Perú</c:v>
                </c:pt>
                <c:pt idx="27">
                  <c:v>Saint Kitts y Nevis</c:v>
                </c:pt>
                <c:pt idx="28">
                  <c:v>Santa Lucía</c:v>
                </c:pt>
                <c:pt idx="29">
                  <c:v>San Vicente</c:v>
                </c:pt>
                <c:pt idx="30">
                  <c:v>Suriname</c:v>
                </c:pt>
                <c:pt idx="31">
                  <c:v>Trinidad y Tabago</c:v>
                </c:pt>
                <c:pt idx="32">
                  <c:v>Estados Unidos</c:v>
                </c:pt>
                <c:pt idx="33">
                  <c:v>Uruguay</c:v>
                </c:pt>
                <c:pt idx="34">
                  <c:v>Venezuela</c:v>
                </c:pt>
              </c:strCache>
            </c:strRef>
          </c:cat>
          <c:val>
            <c:numRef>
              <c:f>'36. ICG por pilar'!$F$5:$F$39</c:f>
              <c:numCache>
                <c:formatCode>0.00</c:formatCode>
                <c:ptCount val="35"/>
                <c:pt idx="0">
                  <c:v>3.9939433838051359</c:v>
                </c:pt>
                <c:pt idx="1">
                  <c:v>8.4129833066867299</c:v>
                </c:pt>
                <c:pt idx="2">
                  <c:v>7.9743999499396541</c:v>
                </c:pt>
                <c:pt idx="3">
                  <c:v>7.9743999499396541</c:v>
                </c:pt>
                <c:pt idx="4">
                  <c:v>5.8376198156682033</c:v>
                </c:pt>
                <c:pt idx="5">
                  <c:v>10.231579344278035</c:v>
                </c:pt>
                <c:pt idx="6">
                  <c:v>20</c:v>
                </c:pt>
                <c:pt idx="7">
                  <c:v>20</c:v>
                </c:pt>
                <c:pt idx="8">
                  <c:v>16.800886219101699</c:v>
                </c:pt>
                <c:pt idx="9">
                  <c:v>10.231579344278035</c:v>
                </c:pt>
                <c:pt idx="10">
                  <c:v>16.800886219101699</c:v>
                </c:pt>
                <c:pt idx="11">
                  <c:v>6.9269621461487834</c:v>
                </c:pt>
                <c:pt idx="12">
                  <c:v>7.9743999499396541</c:v>
                </c:pt>
                <c:pt idx="13">
                  <c:v>12.436771231073076</c:v>
                </c:pt>
                <c:pt idx="14">
                  <c:v>17.695837487068562</c:v>
                </c:pt>
                <c:pt idx="15">
                  <c:v>8.1311982291666656</c:v>
                </c:pt>
                <c:pt idx="16">
                  <c:v>3.9939433838051359</c:v>
                </c:pt>
                <c:pt idx="17">
                  <c:v>7.9743999499396541</c:v>
                </c:pt>
                <c:pt idx="18">
                  <c:v>8.5184742331166348</c:v>
                </c:pt>
                <c:pt idx="19">
                  <c:v>9.6124512995117417</c:v>
                </c:pt>
                <c:pt idx="20">
                  <c:v>6.0943244989165031</c:v>
                </c:pt>
                <c:pt idx="21">
                  <c:v>11.128317000630899</c:v>
                </c:pt>
                <c:pt idx="22">
                  <c:v>13.385496394969278</c:v>
                </c:pt>
                <c:pt idx="23">
                  <c:v>2.2571793943383809</c:v>
                </c:pt>
                <c:pt idx="24">
                  <c:v>17.74282060566162</c:v>
                </c:pt>
                <c:pt idx="25">
                  <c:v>16.800886219101699</c:v>
                </c:pt>
                <c:pt idx="26">
                  <c:v>16.800886219101699</c:v>
                </c:pt>
                <c:pt idx="27">
                  <c:v>6.4585342488204969</c:v>
                </c:pt>
                <c:pt idx="28">
                  <c:v>7.9743999499396541</c:v>
                </c:pt>
                <c:pt idx="29">
                  <c:v>6.4585342488204969</c:v>
                </c:pt>
                <c:pt idx="30">
                  <c:v>7.9743999499396541</c:v>
                </c:pt>
                <c:pt idx="31">
                  <c:v>11.128317000630899</c:v>
                </c:pt>
                <c:pt idx="32">
                  <c:v>20</c:v>
                </c:pt>
                <c:pt idx="33">
                  <c:v>16.584610175867581</c:v>
                </c:pt>
                <c:pt idx="34">
                  <c:v>3.9266826702051794</c:v>
                </c:pt>
              </c:numCache>
            </c:numRef>
          </c:val>
          <c:extLst>
            <c:ext xmlns:c16="http://schemas.microsoft.com/office/drawing/2014/chart" uri="{C3380CC4-5D6E-409C-BE32-E72D297353CC}">
              <c16:uniqueId val="{00000004-FEF1-4101-9680-BF782570DC50}"/>
            </c:ext>
          </c:extLst>
        </c:ser>
        <c:dLbls>
          <c:showLegendKey val="0"/>
          <c:showVal val="0"/>
          <c:showCatName val="0"/>
          <c:showSerName val="0"/>
          <c:showPercent val="0"/>
          <c:showBubbleSize val="0"/>
        </c:dLbls>
        <c:gapWidth val="150"/>
        <c:overlap val="100"/>
        <c:axId val="1977999296"/>
        <c:axId val="1977994016"/>
      </c:barChart>
      <c:catAx>
        <c:axId val="197799929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977994016"/>
        <c:crosses val="autoZero"/>
        <c:auto val="1"/>
        <c:lblAlgn val="ctr"/>
        <c:lblOffset val="100"/>
        <c:noMultiLvlLbl val="0"/>
      </c:catAx>
      <c:valAx>
        <c:axId val="1977994016"/>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97799929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'37. Residios generados'!$D$3</c:f>
              <c:strCache>
                <c:ptCount val="1"/>
                <c:pt idx="0">
                  <c:v>Million kg</c:v>
                </c:pt>
              </c:strCache>
            </c:strRef>
          </c:tx>
          <c:spPr>
            <a:solidFill>
              <a:srgbClr val="A77BCA"/>
            </a:solidFill>
            <a:ln>
              <a:noFill/>
            </a:ln>
            <a:effectLst/>
          </c:spPr>
          <c:invertIfNegative val="0"/>
          <c:dLbls>
            <c:dLbl>
              <c:idx val="0"/>
              <c:tx>
                <c:rich>
                  <a:bodyPr/>
                  <a:lstStyle/>
                  <a:p>
                    <a:fld id="{27972C2D-74EF-431E-BE62-6A12CFEC60D4}" type="CELLRANGE">
                      <a:rPr lang="en-US"/>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3363-4345-AD4A-C090053C8CCD}"/>
                </c:ext>
              </c:extLst>
            </c:dLbl>
            <c:dLbl>
              <c:idx val="1"/>
              <c:tx>
                <c:rich>
                  <a:bodyPr/>
                  <a:lstStyle/>
                  <a:p>
                    <a:fld id="{86AAC9AA-1644-4472-B721-124946698D3A}"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3363-4345-AD4A-C090053C8CCD}"/>
                </c:ext>
              </c:extLst>
            </c:dLbl>
            <c:dLbl>
              <c:idx val="2"/>
              <c:tx>
                <c:rich>
                  <a:bodyPr/>
                  <a:lstStyle/>
                  <a:p>
                    <a:fld id="{685A0D0B-7804-426B-8BF3-79963862F4AE}"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3363-4345-AD4A-C090053C8CCD}"/>
                </c:ext>
              </c:extLst>
            </c:dLbl>
            <c:dLbl>
              <c:idx val="3"/>
              <c:tx>
                <c:rich>
                  <a:bodyPr/>
                  <a:lstStyle/>
                  <a:p>
                    <a:fld id="{7A6AB736-EA27-4D58-9088-5E45B68FF4DA}"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3363-4345-AD4A-C090053C8CCD}"/>
                </c:ext>
              </c:extLst>
            </c:dLbl>
            <c:dLbl>
              <c:idx val="4"/>
              <c:tx>
                <c:rich>
                  <a:bodyPr/>
                  <a:lstStyle/>
                  <a:p>
                    <a:fld id="{D869D63B-CD02-4997-B837-335382D510B5}"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3363-4345-AD4A-C090053C8CCD}"/>
                </c:ext>
              </c:extLst>
            </c:dLbl>
            <c:dLbl>
              <c:idx val="5"/>
              <c:tx>
                <c:rich>
                  <a:bodyPr/>
                  <a:lstStyle/>
                  <a:p>
                    <a:fld id="{EA7ED427-8D8F-457F-97AB-B80F90712032}"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3363-4345-AD4A-C090053C8CCD}"/>
                </c:ext>
              </c:extLst>
            </c:dLbl>
            <c:dLbl>
              <c:idx val="6"/>
              <c:tx>
                <c:rich>
                  <a:bodyPr/>
                  <a:lstStyle/>
                  <a:p>
                    <a:fld id="{8B63C3A0-C71F-4410-93EC-C27A20C3F69D}"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3363-4345-AD4A-C090053C8CCD}"/>
                </c:ext>
              </c:extLst>
            </c:dLbl>
            <c:dLbl>
              <c:idx val="7"/>
              <c:tx>
                <c:rich>
                  <a:bodyPr/>
                  <a:lstStyle/>
                  <a:p>
                    <a:fld id="{8DECDB55-F0B0-4517-B2ED-140883E814BB}"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3363-4345-AD4A-C090053C8CCD}"/>
                </c:ext>
              </c:extLst>
            </c:dLbl>
            <c:dLbl>
              <c:idx val="8"/>
              <c:tx>
                <c:rich>
                  <a:bodyPr/>
                  <a:lstStyle/>
                  <a:p>
                    <a:fld id="{F3C18D05-F23D-4832-B8FC-D6BB735B1531}"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3363-4345-AD4A-C090053C8CCD}"/>
                </c:ext>
              </c:extLst>
            </c:dLbl>
            <c:dLbl>
              <c:idx val="9"/>
              <c:tx>
                <c:rich>
                  <a:bodyPr/>
                  <a:lstStyle/>
                  <a:p>
                    <a:fld id="{C5AB2EE6-3B3B-4525-8A6C-8B60F3884A2C}"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3363-4345-AD4A-C090053C8CCD}"/>
                </c:ext>
              </c:extLst>
            </c:dLbl>
            <c:dLbl>
              <c:idx val="10"/>
              <c:tx>
                <c:rich>
                  <a:bodyPr/>
                  <a:lstStyle/>
                  <a:p>
                    <a:fld id="{6E983C46-CBCE-4426-A0DC-262A027F5934}"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3363-4345-AD4A-C090053C8CCD}"/>
                </c:ext>
              </c:extLst>
            </c:dLbl>
            <c:dLbl>
              <c:idx val="11"/>
              <c:tx>
                <c:rich>
                  <a:bodyPr/>
                  <a:lstStyle/>
                  <a:p>
                    <a:fld id="{D5D224AB-F08E-4A90-ADAA-A62E0976B1E5}"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3363-4345-AD4A-C090053C8CCD}"/>
                </c:ext>
              </c:extLst>
            </c:dLbl>
            <c:dLbl>
              <c:idx val="12"/>
              <c:tx>
                <c:rich>
                  <a:bodyPr/>
                  <a:lstStyle/>
                  <a:p>
                    <a:fld id="{740F3F4C-EA0C-4393-BD4D-6489EF7CC80A}"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3363-4345-AD4A-C090053C8CCD}"/>
                </c:ext>
              </c:extLst>
            </c:dLbl>
            <c:dLbl>
              <c:idx val="13"/>
              <c:tx>
                <c:rich>
                  <a:bodyPr/>
                  <a:lstStyle/>
                  <a:p>
                    <a:fld id="{4EDAE950-329C-4B1C-9F45-AB3BDD69E629}"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3363-4345-AD4A-C090053C8CCD}"/>
                </c:ext>
              </c:extLst>
            </c:dLbl>
            <c:dLbl>
              <c:idx val="14"/>
              <c:tx>
                <c:rich>
                  <a:bodyPr/>
                  <a:lstStyle/>
                  <a:p>
                    <a:fld id="{C3CE703E-FE49-4BA1-88B7-88DAA8277A79}"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3363-4345-AD4A-C090053C8CCD}"/>
                </c:ext>
              </c:extLst>
            </c:dLbl>
            <c:dLbl>
              <c:idx val="15"/>
              <c:tx>
                <c:rich>
                  <a:bodyPr/>
                  <a:lstStyle/>
                  <a:p>
                    <a:fld id="{DB694FEF-DCB0-41EC-A118-21AAFAFC2A35}"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3363-4345-AD4A-C090053C8CCD}"/>
                </c:ext>
              </c:extLst>
            </c:dLbl>
            <c:dLbl>
              <c:idx val="16"/>
              <c:tx>
                <c:rich>
                  <a:bodyPr/>
                  <a:lstStyle/>
                  <a:p>
                    <a:fld id="{53FEC9BE-D368-4D5D-B27D-53BB05BCBDF7}"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3363-4345-AD4A-C090053C8CCD}"/>
                </c:ext>
              </c:extLst>
            </c:dLbl>
            <c:dLbl>
              <c:idx val="17"/>
              <c:tx>
                <c:rich>
                  <a:bodyPr/>
                  <a:lstStyle/>
                  <a:p>
                    <a:fld id="{DC703280-C333-42F4-88E2-9BA139BFF3A0}"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3363-4345-AD4A-C090053C8CCD}"/>
                </c:ext>
              </c:extLst>
            </c:dLbl>
            <c:dLbl>
              <c:idx val="18"/>
              <c:tx>
                <c:rich>
                  <a:bodyPr/>
                  <a:lstStyle/>
                  <a:p>
                    <a:fld id="{17081E02-9D7F-4C00-97FE-559E3C88F082}"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3363-4345-AD4A-C090053C8CCD}"/>
                </c:ext>
              </c:extLst>
            </c:dLbl>
            <c:dLbl>
              <c:idx val="19"/>
              <c:tx>
                <c:rich>
                  <a:bodyPr/>
                  <a:lstStyle/>
                  <a:p>
                    <a:fld id="{1214D320-9A77-47C5-BC36-5996175C7AD5}"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3363-4345-AD4A-C090053C8CCD}"/>
                </c:ext>
              </c:extLst>
            </c:dLbl>
            <c:dLbl>
              <c:idx val="20"/>
              <c:tx>
                <c:rich>
                  <a:bodyPr/>
                  <a:lstStyle/>
                  <a:p>
                    <a:fld id="{1B664501-9ED2-4556-957C-EB9E1B40B434}"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3363-4345-AD4A-C090053C8CCD}"/>
                </c:ext>
              </c:extLst>
            </c:dLbl>
            <c:dLbl>
              <c:idx val="21"/>
              <c:tx>
                <c:rich>
                  <a:bodyPr/>
                  <a:lstStyle/>
                  <a:p>
                    <a:fld id="{9A846E70-FDC0-40F7-8931-57E1D9780CA9}"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3363-4345-AD4A-C090053C8CCD}"/>
                </c:ext>
              </c:extLst>
            </c:dLbl>
            <c:dLbl>
              <c:idx val="22"/>
              <c:tx>
                <c:rich>
                  <a:bodyPr/>
                  <a:lstStyle/>
                  <a:p>
                    <a:fld id="{8A5E2144-B8B2-4941-977C-0440AD870F23}"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3363-4345-AD4A-C090053C8CCD}"/>
                </c:ext>
              </c:extLst>
            </c:dLbl>
            <c:dLbl>
              <c:idx val="23"/>
              <c:tx>
                <c:rich>
                  <a:bodyPr/>
                  <a:lstStyle/>
                  <a:p>
                    <a:fld id="{FE4769AB-CBAE-436F-9FA4-38A169317058}"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3363-4345-AD4A-C090053C8CCD}"/>
                </c:ext>
              </c:extLst>
            </c:dLbl>
            <c:dLbl>
              <c:idx val="24"/>
              <c:tx>
                <c:rich>
                  <a:bodyPr/>
                  <a:lstStyle/>
                  <a:p>
                    <a:fld id="{54AA2A05-1B51-4AEE-B1FE-83AFA4CE5A89}"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3363-4345-AD4A-C090053C8CCD}"/>
                </c:ext>
              </c:extLst>
            </c:dLbl>
            <c:dLbl>
              <c:idx val="25"/>
              <c:tx>
                <c:rich>
                  <a:bodyPr/>
                  <a:lstStyle/>
                  <a:p>
                    <a:fld id="{151E444B-D468-482F-BA23-1662595E699D}"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3363-4345-AD4A-C090053C8CCD}"/>
                </c:ext>
              </c:extLst>
            </c:dLbl>
            <c:dLbl>
              <c:idx val="26"/>
              <c:tx>
                <c:rich>
                  <a:bodyPr/>
                  <a:lstStyle/>
                  <a:p>
                    <a:fld id="{735D4AE0-D498-4077-8CA5-3BA9214B3519}"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3363-4345-AD4A-C090053C8CCD}"/>
                </c:ext>
              </c:extLst>
            </c:dLbl>
            <c:dLbl>
              <c:idx val="27"/>
              <c:tx>
                <c:rich>
                  <a:bodyPr/>
                  <a:lstStyle/>
                  <a:p>
                    <a:fld id="{DA7F9447-E607-4DCA-BABF-831C82A6F0D2}"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3363-4345-AD4A-C090053C8CCD}"/>
                </c:ext>
              </c:extLst>
            </c:dLbl>
            <c:dLbl>
              <c:idx val="28"/>
              <c:tx>
                <c:rich>
                  <a:bodyPr/>
                  <a:lstStyle/>
                  <a:p>
                    <a:fld id="{8C8BE91E-ADD9-40A2-AA42-B0B0328ABE94}"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3363-4345-AD4A-C090053C8CCD}"/>
                </c:ext>
              </c:extLst>
            </c:dLbl>
            <c:dLbl>
              <c:idx val="29"/>
              <c:tx>
                <c:rich>
                  <a:bodyPr/>
                  <a:lstStyle/>
                  <a:p>
                    <a:fld id="{F2D4C006-FDBF-4D0C-8815-19031FB0DA52}"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3363-4345-AD4A-C090053C8CCD}"/>
                </c:ext>
              </c:extLst>
            </c:dLbl>
            <c:dLbl>
              <c:idx val="30"/>
              <c:tx>
                <c:rich>
                  <a:bodyPr/>
                  <a:lstStyle/>
                  <a:p>
                    <a:fld id="{74F04E2D-BADA-44E5-857F-B4E966929E78}"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3363-4345-AD4A-C090053C8CCD}"/>
                </c:ext>
              </c:extLst>
            </c:dLbl>
            <c:dLbl>
              <c:idx val="31"/>
              <c:layout>
                <c:manualLayout>
                  <c:x val="-7.5521944282851789E-3"/>
                  <c:y val="2.7639777337120329E-3"/>
                </c:manualLayout>
              </c:layout>
              <c:tx>
                <c:rich>
                  <a:bodyPr/>
                  <a:lstStyle/>
                  <a:p>
                    <a:fld id="{1D37F9C2-F4C7-4E3E-B9D3-94C1CE07C552}"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F-3363-4345-AD4A-C090053C8CCD}"/>
                </c:ext>
              </c:extLst>
            </c:dLbl>
            <c:dLbl>
              <c:idx val="32"/>
              <c:layout>
                <c:manualLayout>
                  <c:x val="6.5671255898116935E-4"/>
                  <c:y val="2.7639777337120329E-3"/>
                </c:manualLayout>
              </c:layout>
              <c:tx>
                <c:rich>
                  <a:bodyPr/>
                  <a:lstStyle/>
                  <a:p>
                    <a:fld id="{680B4E89-C8F7-4738-B775-0352FA367DB9}"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0-3363-4345-AD4A-C090053C8CCD}"/>
                </c:ext>
              </c:extLst>
            </c:dLbl>
            <c:dLbl>
              <c:idx val="33"/>
              <c:layout>
                <c:manualLayout>
                  <c:x val="6.8133927994310436E-3"/>
                  <c:y val="2.7639777337120329E-3"/>
                </c:manualLayout>
              </c:layout>
              <c:tx>
                <c:rich>
                  <a:bodyPr/>
                  <a:lstStyle/>
                  <a:p>
                    <a:fld id="{275E2B66-700D-4892-B812-4202D4748B9C}"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1-3363-4345-AD4A-C090053C8CCD}"/>
                </c:ext>
              </c:extLst>
            </c:dLbl>
            <c:dLbl>
              <c:idx val="34"/>
              <c:tx>
                <c:rich>
                  <a:bodyPr/>
                  <a:lstStyle/>
                  <a:p>
                    <a:fld id="{09548A11-3E42-46E0-A3F7-E664192BF4B2}" type="CELLRANGE">
                      <a:rPr lang="en-GB"/>
                      <a:pPr/>
                      <a:t>[CELLRANGE]</a:t>
                    </a:fld>
                    <a:endParaRPr lang="en-GB"/>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3363-4345-AD4A-C090053C8CCD}"/>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'37. Residios generados'!$C$4:$C$38</c:f>
              <c:strCache>
                <c:ptCount val="35"/>
                <c:pt idx="0">
                  <c:v>Antigua y Barbuda</c:v>
                </c:pt>
                <c:pt idx="1">
                  <c:v>Dominica</c:v>
                </c:pt>
                <c:pt idx="2">
                  <c:v>Granada</c:v>
                </c:pt>
                <c:pt idx="3">
                  <c:v>Saint Kitts y Nevis</c:v>
                </c:pt>
                <c:pt idx="4">
                  <c:v>San Vicente</c:v>
                </c:pt>
                <c:pt idx="5">
                  <c:v>Santa Lucía</c:v>
                </c:pt>
                <c:pt idx="6">
                  <c:v>Belice</c:v>
                </c:pt>
                <c:pt idx="7">
                  <c:v>Barbados</c:v>
                </c:pt>
                <c:pt idx="8">
                  <c:v>Bahamas</c:v>
                </c:pt>
                <c:pt idx="9">
                  <c:v>Guyana</c:v>
                </c:pt>
                <c:pt idx="10">
                  <c:v>Suriname</c:v>
                </c:pt>
                <c:pt idx="11">
                  <c:v>Haití</c:v>
                </c:pt>
                <c:pt idx="12">
                  <c:v>Jamaica</c:v>
                </c:pt>
                <c:pt idx="13">
                  <c:v>Nicaragua</c:v>
                </c:pt>
                <c:pt idx="14">
                  <c:v>Trinidad y Tabago</c:v>
                </c:pt>
                <c:pt idx="15">
                  <c:v>Honduras</c:v>
                </c:pt>
                <c:pt idx="16">
                  <c:v>El Salvador</c:v>
                </c:pt>
                <c:pt idx="17">
                  <c:v>Uruguay</c:v>
                </c:pt>
                <c:pt idx="18">
                  <c:v>Panamá</c:v>
                </c:pt>
                <c:pt idx="19">
                  <c:v>Paraguay</c:v>
                </c:pt>
                <c:pt idx="20">
                  <c:v>Costa Rica</c:v>
                </c:pt>
                <c:pt idx="21">
                  <c:v>Bolivia</c:v>
                </c:pt>
                <c:pt idx="22">
                  <c:v>Guatemala</c:v>
                </c:pt>
                <c:pt idx="23">
                  <c:v>Rep. Dominicana</c:v>
                </c:pt>
                <c:pt idx="24">
                  <c:v>Ecuador</c:v>
                </c:pt>
                <c:pt idx="25">
                  <c:v>Perú</c:v>
                </c:pt>
                <c:pt idx="26">
                  <c:v>Chile</c:v>
                </c:pt>
                <c:pt idx="27">
                  <c:v>Venezuela</c:v>
                </c:pt>
                <c:pt idx="28">
                  <c:v>Colombia</c:v>
                </c:pt>
                <c:pt idx="29">
                  <c:v>Argentina</c:v>
                </c:pt>
                <c:pt idx="30">
                  <c:v>Canadá</c:v>
                </c:pt>
                <c:pt idx="31">
                  <c:v>México</c:v>
                </c:pt>
                <c:pt idx="32">
                  <c:v>Brasil</c:v>
                </c:pt>
                <c:pt idx="33">
                  <c:v>Estados Unidos</c:v>
                </c:pt>
                <c:pt idx="34">
                  <c:v>Cuba</c:v>
                </c:pt>
              </c:strCache>
            </c:strRef>
          </c:cat>
          <c:val>
            <c:numRef>
              <c:f>'37. Residios generados'!$D$4:$D$38</c:f>
              <c:numCache>
                <c:formatCode>General</c:formatCode>
                <c:ptCount val="35"/>
                <c:pt idx="0">
                  <c:v>1</c:v>
                </c:pt>
                <c:pt idx="1">
                  <c:v>1</c:v>
                </c:pt>
                <c:pt idx="2">
                  <c:v>1</c:v>
                </c:pt>
                <c:pt idx="3">
                  <c:v>1</c:v>
                </c:pt>
                <c:pt idx="4">
                  <c:v>1</c:v>
                </c:pt>
                <c:pt idx="5">
                  <c:v>2</c:v>
                </c:pt>
                <c:pt idx="6">
                  <c:v>3</c:v>
                </c:pt>
                <c:pt idx="7">
                  <c:v>4</c:v>
                </c:pt>
                <c:pt idx="8">
                  <c:v>7</c:v>
                </c:pt>
                <c:pt idx="9">
                  <c:v>7</c:v>
                </c:pt>
                <c:pt idx="10">
                  <c:v>7</c:v>
                </c:pt>
                <c:pt idx="11">
                  <c:v>12</c:v>
                </c:pt>
                <c:pt idx="12">
                  <c:v>21</c:v>
                </c:pt>
                <c:pt idx="13">
                  <c:v>21</c:v>
                </c:pt>
                <c:pt idx="14">
                  <c:v>24</c:v>
                </c:pt>
                <c:pt idx="15">
                  <c:v>36</c:v>
                </c:pt>
                <c:pt idx="16">
                  <c:v>41</c:v>
                </c:pt>
                <c:pt idx="17">
                  <c:v>44</c:v>
                </c:pt>
                <c:pt idx="18">
                  <c:v>54</c:v>
                </c:pt>
                <c:pt idx="19">
                  <c:v>57</c:v>
                </c:pt>
                <c:pt idx="20">
                  <c:v>66</c:v>
                </c:pt>
                <c:pt idx="21">
                  <c:v>89</c:v>
                </c:pt>
                <c:pt idx="22">
                  <c:v>92</c:v>
                </c:pt>
                <c:pt idx="23">
                  <c:v>99</c:v>
                </c:pt>
                <c:pt idx="24">
                  <c:v>108</c:v>
                </c:pt>
                <c:pt idx="25">
                  <c:v>221</c:v>
                </c:pt>
                <c:pt idx="26">
                  <c:v>230</c:v>
                </c:pt>
                <c:pt idx="27">
                  <c:v>303</c:v>
                </c:pt>
                <c:pt idx="28">
                  <c:v>388</c:v>
                </c:pt>
                <c:pt idx="29">
                  <c:v>517</c:v>
                </c:pt>
                <c:pt idx="30">
                  <c:v>774</c:v>
                </c:pt>
                <c:pt idx="31">
                  <c:v>1499</c:v>
                </c:pt>
                <c:pt idx="32">
                  <c:v>2443</c:v>
                </c:pt>
                <c:pt idx="33">
                  <c:v>7188</c:v>
                </c:pt>
                <c:pt idx="34">
                  <c:v>0</c:v>
                </c:pt>
              </c:numCache>
            </c:numRef>
          </c:val>
          <c:extLst>
            <c:ext xmlns:c15="http://schemas.microsoft.com/office/drawing/2012/chart" uri="{02D57815-91ED-43cb-92C2-25804820EDAC}">
              <c15:datalabelsRange>
                <c15:f>'37. Residios generados'!$E$4:$E$38</c15:f>
                <c15:dlblRangeCache>
                  <c:ptCount val="35"/>
                  <c:pt idx="31">
                    <c:v>1'499</c:v>
                  </c:pt>
                  <c:pt idx="32">
                    <c:v>2'443</c:v>
                  </c:pt>
                  <c:pt idx="33">
                    <c:v>7'188</c:v>
                  </c:pt>
                  <c:pt idx="34">
                    <c:v>N/A</c:v>
                  </c:pt>
                </c15:dlblRangeCache>
              </c15:datalabelsRange>
            </c:ext>
            <c:ext xmlns:c16="http://schemas.microsoft.com/office/drawing/2014/chart" uri="{C3380CC4-5D6E-409C-BE32-E72D297353CC}">
              <c16:uniqueId val="{00000023-3363-4345-AD4A-C090053C8CCD}"/>
            </c:ext>
          </c:extLst>
        </c:ser>
        <c:dLbls>
          <c:dLblPos val="outEnd"/>
          <c:showLegendKey val="0"/>
          <c:showVal val="1"/>
          <c:showCatName val="0"/>
          <c:showSerName val="0"/>
          <c:showPercent val="0"/>
          <c:showBubbleSize val="0"/>
        </c:dLbls>
        <c:gapWidth val="219"/>
        <c:overlap val="-27"/>
        <c:axId val="1942888335"/>
        <c:axId val="1892808655"/>
      </c:barChart>
      <c:lineChart>
        <c:grouping val="standard"/>
        <c:varyColors val="0"/>
        <c:dLbls>
          <c:showLegendKey val="0"/>
          <c:showVal val="0"/>
          <c:showCatName val="0"/>
          <c:showSerName val="0"/>
          <c:showPercent val="0"/>
          <c:showBubbleSize val="0"/>
        </c:dLbls>
        <c:marker val="1"/>
        <c:smooth val="0"/>
        <c:axId val="1942888335"/>
        <c:axId val="1892808655"/>
        <c:extLst>
          <c:ext xmlns:c15="http://schemas.microsoft.com/office/drawing/2012/chart" uri="{02D57815-91ED-43cb-92C2-25804820EDAC}">
            <c15:filteredLineSeries>
              <c15:ser>
                <c:idx val="1"/>
                <c:order val="1"/>
                <c:tx>
                  <c:strRef>
                    <c:extLst>
                      <c:ext uri="{02D57815-91ED-43cb-92C2-25804820EDAC}">
                        <c15:formulaRef>
                          <c15:sqref>'37. Residios generados'!$E$3</c15:sqref>
                        </c15:formulaRef>
                      </c:ext>
                    </c:extLst>
                    <c:strCache>
                      <c:ptCount val="1"/>
                      <c:pt idx="0">
                        <c:v>label</c:v>
                      </c:pt>
                    </c:strCache>
                  </c:strRef>
                </c:tx>
                <c:spPr>
                  <a:ln w="28575" cap="rnd">
                    <a:solidFill>
                      <a:srgbClr val="6FA287"/>
                    </a:solidFill>
                    <a:prstDash val="sysDot"/>
                    <a:round/>
                  </a:ln>
                  <a:effectLst/>
                </c:spPr>
                <c:marker>
                  <c:symbol val="none"/>
                </c:marker>
                <c:cat>
                  <c:strRef>
                    <c:extLst>
                      <c:ext uri="{02D57815-91ED-43cb-92C2-25804820EDAC}">
                        <c15:formulaRef>
                          <c15:sqref>'37. Residios generados'!$C$4:$C$38</c15:sqref>
                        </c15:formulaRef>
                      </c:ext>
                    </c:extLst>
                    <c:strCache>
                      <c:ptCount val="35"/>
                      <c:pt idx="0">
                        <c:v>Antigua y Barbuda</c:v>
                      </c:pt>
                      <c:pt idx="1">
                        <c:v>Dominica</c:v>
                      </c:pt>
                      <c:pt idx="2">
                        <c:v>Granada</c:v>
                      </c:pt>
                      <c:pt idx="3">
                        <c:v>Saint Kitts y Nevis</c:v>
                      </c:pt>
                      <c:pt idx="4">
                        <c:v>San Vicente</c:v>
                      </c:pt>
                      <c:pt idx="5">
                        <c:v>Santa Lucía</c:v>
                      </c:pt>
                      <c:pt idx="6">
                        <c:v>Belice</c:v>
                      </c:pt>
                      <c:pt idx="7">
                        <c:v>Barbados</c:v>
                      </c:pt>
                      <c:pt idx="8">
                        <c:v>Bahamas</c:v>
                      </c:pt>
                      <c:pt idx="9">
                        <c:v>Guyana</c:v>
                      </c:pt>
                      <c:pt idx="10">
                        <c:v>Suriname</c:v>
                      </c:pt>
                      <c:pt idx="11">
                        <c:v>Haití</c:v>
                      </c:pt>
                      <c:pt idx="12">
                        <c:v>Jamaica</c:v>
                      </c:pt>
                      <c:pt idx="13">
                        <c:v>Nicaragua</c:v>
                      </c:pt>
                      <c:pt idx="14">
                        <c:v>Trinidad y Tabago</c:v>
                      </c:pt>
                      <c:pt idx="15">
                        <c:v>Honduras</c:v>
                      </c:pt>
                      <c:pt idx="16">
                        <c:v>El Salvador</c:v>
                      </c:pt>
                      <c:pt idx="17">
                        <c:v>Uruguay</c:v>
                      </c:pt>
                      <c:pt idx="18">
                        <c:v>Panamá</c:v>
                      </c:pt>
                      <c:pt idx="19">
                        <c:v>Paraguay</c:v>
                      </c:pt>
                      <c:pt idx="20">
                        <c:v>Costa Rica</c:v>
                      </c:pt>
                      <c:pt idx="21">
                        <c:v>Bolivia</c:v>
                      </c:pt>
                      <c:pt idx="22">
                        <c:v>Guatemala</c:v>
                      </c:pt>
                      <c:pt idx="23">
                        <c:v>Rep. Dominicana</c:v>
                      </c:pt>
                      <c:pt idx="24">
                        <c:v>Ecuador</c:v>
                      </c:pt>
                      <c:pt idx="25">
                        <c:v>Perú</c:v>
                      </c:pt>
                      <c:pt idx="26">
                        <c:v>Chile</c:v>
                      </c:pt>
                      <c:pt idx="27">
                        <c:v>Venezuela</c:v>
                      </c:pt>
                      <c:pt idx="28">
                        <c:v>Colombia</c:v>
                      </c:pt>
                      <c:pt idx="29">
                        <c:v>Argentina</c:v>
                      </c:pt>
                      <c:pt idx="30">
                        <c:v>Canadá</c:v>
                      </c:pt>
                      <c:pt idx="31">
                        <c:v>México</c:v>
                      </c:pt>
                      <c:pt idx="32">
                        <c:v>Brasil</c:v>
                      </c:pt>
                      <c:pt idx="33">
                        <c:v>Estados Unidos</c:v>
                      </c:pt>
                      <c:pt idx="34">
                        <c:v>Cuba</c:v>
                      </c:pt>
                    </c:strCache>
                  </c:strRef>
                </c:cat>
                <c:val>
                  <c:numRef>
                    <c:extLst>
                      <c:ext uri="{02D57815-91ED-43cb-92C2-25804820EDAC}">
                        <c15:formulaRef>
                          <c15:sqref>'37. Residios generados'!$E$4:$E$38</c15:sqref>
                        </c15:formulaRef>
                      </c:ext>
                    </c:extLst>
                    <c:numCache>
                      <c:formatCode>General</c:formatCode>
                      <c:ptCount val="35"/>
                      <c:pt idx="31">
                        <c:v>0</c:v>
                      </c:pt>
                      <c:pt idx="32">
                        <c:v>0</c:v>
                      </c:pt>
                      <c:pt idx="33">
                        <c:v>0</c:v>
                      </c:pt>
                      <c:pt idx="34">
                        <c:v>0</c:v>
                      </c:pt>
                    </c:numCache>
                  </c:numRef>
                </c:val>
                <c:smooth val="0"/>
                <c:extLst>
                  <c:ext xmlns:c16="http://schemas.microsoft.com/office/drawing/2014/chart" uri="{C3380CC4-5D6E-409C-BE32-E72D297353CC}">
                    <c16:uniqueId val="{00000024-3363-4345-AD4A-C090053C8CCD}"/>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'37. Residios generados'!$F$3</c15:sqref>
                        </c15:formulaRef>
                      </c:ext>
                    </c:extLst>
                    <c:strCache>
                      <c:ptCount val="1"/>
                    </c:strCache>
                  </c:strRef>
                </c:tx>
                <c:spPr>
                  <a:ln w="28575" cap="rnd">
                    <a:noFill/>
                    <a:round/>
                  </a:ln>
                  <a:effectLst/>
                </c:spPr>
                <c:marker>
                  <c:symbol val="diamond"/>
                  <c:size val="6"/>
                  <c:spPr>
                    <a:solidFill>
                      <a:srgbClr val="28724F"/>
                    </a:solidFill>
                    <a:ln w="9525">
                      <a:solidFill>
                        <a:srgbClr val="28724F"/>
                      </a:solidFill>
                    </a:ln>
                    <a:effectLst/>
                  </c:spPr>
                </c:marker>
                <c:cat>
                  <c:strRef>
                    <c:extLst xmlns:c15="http://schemas.microsoft.com/office/drawing/2012/chart">
                      <c:ext xmlns:c15="http://schemas.microsoft.com/office/drawing/2012/chart" uri="{02D57815-91ED-43cb-92C2-25804820EDAC}">
                        <c15:formulaRef>
                          <c15:sqref>'37. Residios generados'!$C$4:$C$38</c15:sqref>
                        </c15:formulaRef>
                      </c:ext>
                    </c:extLst>
                    <c:strCache>
                      <c:ptCount val="35"/>
                      <c:pt idx="0">
                        <c:v>Antigua y Barbuda</c:v>
                      </c:pt>
                      <c:pt idx="1">
                        <c:v>Dominica</c:v>
                      </c:pt>
                      <c:pt idx="2">
                        <c:v>Granada</c:v>
                      </c:pt>
                      <c:pt idx="3">
                        <c:v>Saint Kitts y Nevis</c:v>
                      </c:pt>
                      <c:pt idx="4">
                        <c:v>San Vicente</c:v>
                      </c:pt>
                      <c:pt idx="5">
                        <c:v>Santa Lucía</c:v>
                      </c:pt>
                      <c:pt idx="6">
                        <c:v>Belice</c:v>
                      </c:pt>
                      <c:pt idx="7">
                        <c:v>Barbados</c:v>
                      </c:pt>
                      <c:pt idx="8">
                        <c:v>Bahamas</c:v>
                      </c:pt>
                      <c:pt idx="9">
                        <c:v>Guyana</c:v>
                      </c:pt>
                      <c:pt idx="10">
                        <c:v>Suriname</c:v>
                      </c:pt>
                      <c:pt idx="11">
                        <c:v>Haití</c:v>
                      </c:pt>
                      <c:pt idx="12">
                        <c:v>Jamaica</c:v>
                      </c:pt>
                      <c:pt idx="13">
                        <c:v>Nicaragua</c:v>
                      </c:pt>
                      <c:pt idx="14">
                        <c:v>Trinidad y Tabago</c:v>
                      </c:pt>
                      <c:pt idx="15">
                        <c:v>Honduras</c:v>
                      </c:pt>
                      <c:pt idx="16">
                        <c:v>El Salvador</c:v>
                      </c:pt>
                      <c:pt idx="17">
                        <c:v>Uruguay</c:v>
                      </c:pt>
                      <c:pt idx="18">
                        <c:v>Panamá</c:v>
                      </c:pt>
                      <c:pt idx="19">
                        <c:v>Paraguay</c:v>
                      </c:pt>
                      <c:pt idx="20">
                        <c:v>Costa Rica</c:v>
                      </c:pt>
                      <c:pt idx="21">
                        <c:v>Bolivia</c:v>
                      </c:pt>
                      <c:pt idx="22">
                        <c:v>Guatemala</c:v>
                      </c:pt>
                      <c:pt idx="23">
                        <c:v>Rep. Dominicana</c:v>
                      </c:pt>
                      <c:pt idx="24">
                        <c:v>Ecuador</c:v>
                      </c:pt>
                      <c:pt idx="25">
                        <c:v>Perú</c:v>
                      </c:pt>
                      <c:pt idx="26">
                        <c:v>Chile</c:v>
                      </c:pt>
                      <c:pt idx="27">
                        <c:v>Venezuela</c:v>
                      </c:pt>
                      <c:pt idx="28">
                        <c:v>Colombia</c:v>
                      </c:pt>
                      <c:pt idx="29">
                        <c:v>Argentina</c:v>
                      </c:pt>
                      <c:pt idx="30">
                        <c:v>Canadá</c:v>
                      </c:pt>
                      <c:pt idx="31">
                        <c:v>México</c:v>
                      </c:pt>
                      <c:pt idx="32">
                        <c:v>Brasil</c:v>
                      </c:pt>
                      <c:pt idx="33">
                        <c:v>Estados Unidos</c:v>
                      </c:pt>
                      <c:pt idx="34">
                        <c:v>Cuba</c:v>
                      </c:pt>
                    </c:strCache>
                  </c:strRef>
                </c:cat>
                <c:val>
                  <c:numRef>
                    <c:extLst xmlns:c15="http://schemas.microsoft.com/office/drawing/2012/chart">
                      <c:ext xmlns:c15="http://schemas.microsoft.com/office/drawing/2012/chart" uri="{02D57815-91ED-43cb-92C2-25804820EDAC}">
                        <c15:formulaRef>
                          <c15:sqref>'37. Residios generados'!$F$4:$F$38</c15:sqref>
                        </c15:formulaRef>
                      </c:ext>
                    </c:extLst>
                    <c:numCache>
                      <c:formatCode>General</c:formatCode>
                      <c:ptCount val="35"/>
                    </c:numCache>
                  </c:numRef>
                </c:val>
                <c:smooth val="0"/>
                <c:extLst xmlns:c15="http://schemas.microsoft.com/office/drawing/2012/chart">
                  <c:ext xmlns:c16="http://schemas.microsoft.com/office/drawing/2014/chart" uri="{C3380CC4-5D6E-409C-BE32-E72D297353CC}">
                    <c16:uniqueId val="{00000025-3363-4345-AD4A-C090053C8CCD}"/>
                  </c:ext>
                </c:extLst>
              </c15:ser>
            </c15:filteredLineSeries>
          </c:ext>
        </c:extLst>
      </c:lineChart>
      <c:catAx>
        <c:axId val="1942888335"/>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892808655"/>
        <c:crosses val="autoZero"/>
        <c:auto val="1"/>
        <c:lblAlgn val="ctr"/>
        <c:lblOffset val="100"/>
        <c:noMultiLvlLbl val="0"/>
      </c:catAx>
      <c:valAx>
        <c:axId val="1892808655"/>
        <c:scaling>
          <c:orientation val="minMax"/>
          <c:max val="8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94288833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4">
    <c:autoUpdate val="0"/>
  </c:externalData>
  <c:userShapes r:id="rId5"/>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'37. Residios generados'!$D$42</c:f>
              <c:strCache>
                <c:ptCount val="1"/>
                <c:pt idx="0">
                  <c:v>Kg per cápita</c:v>
                </c:pt>
              </c:strCache>
            </c:strRef>
          </c:tx>
          <c:spPr>
            <a:solidFill>
              <a:srgbClr val="A77BCA"/>
            </a:solidFill>
            <a:ln>
              <a:noFill/>
            </a:ln>
            <a:effectLst/>
          </c:spPr>
          <c:invertIfNegative val="0"/>
          <c:dLbls>
            <c:dLbl>
              <c:idx val="0"/>
              <c:tx>
                <c:rich>
                  <a:bodyPr/>
                  <a:lstStyle/>
                  <a:p>
                    <a:fld id="{16C0B45B-8F9A-4F59-B7C1-EB1986F4B10E}"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B9F4-4787-AD7E-F073CADF5CD9}"/>
                </c:ext>
              </c:extLst>
            </c:dLbl>
            <c:dLbl>
              <c:idx val="1"/>
              <c:tx>
                <c:rich>
                  <a:bodyPr/>
                  <a:lstStyle/>
                  <a:p>
                    <a:fld id="{4AE6E5A1-E490-428B-B9CF-C7AD3DCA4CEE}"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9F4-4787-AD7E-F073CADF5CD9}"/>
                </c:ext>
              </c:extLst>
            </c:dLbl>
            <c:dLbl>
              <c:idx val="2"/>
              <c:tx>
                <c:rich>
                  <a:bodyPr/>
                  <a:lstStyle/>
                  <a:p>
                    <a:fld id="{0DE8F9BD-7E9D-4D57-99FB-4B779DDAE5C9}"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B9F4-4787-AD7E-F073CADF5CD9}"/>
                </c:ext>
              </c:extLst>
            </c:dLbl>
            <c:dLbl>
              <c:idx val="3"/>
              <c:tx>
                <c:rich>
                  <a:bodyPr/>
                  <a:lstStyle/>
                  <a:p>
                    <a:fld id="{B2CCC9A1-55E7-4900-A28E-572FAA47F41A}"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B9F4-4787-AD7E-F073CADF5CD9}"/>
                </c:ext>
              </c:extLst>
            </c:dLbl>
            <c:dLbl>
              <c:idx val="4"/>
              <c:tx>
                <c:rich>
                  <a:bodyPr/>
                  <a:lstStyle/>
                  <a:p>
                    <a:fld id="{91A7980C-907C-43AC-B499-468A3522CBC8}"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9F4-4787-AD7E-F073CADF5CD9}"/>
                </c:ext>
              </c:extLst>
            </c:dLbl>
            <c:dLbl>
              <c:idx val="5"/>
              <c:tx>
                <c:rich>
                  <a:bodyPr/>
                  <a:lstStyle/>
                  <a:p>
                    <a:fld id="{92C7FB5C-5605-4AA7-986A-56566444A245}"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B9F4-4787-AD7E-F073CADF5CD9}"/>
                </c:ext>
              </c:extLst>
            </c:dLbl>
            <c:dLbl>
              <c:idx val="6"/>
              <c:tx>
                <c:rich>
                  <a:bodyPr/>
                  <a:lstStyle/>
                  <a:p>
                    <a:fld id="{92B84668-B0D8-4E22-ACFF-3445287D9D73}"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B9F4-4787-AD7E-F073CADF5CD9}"/>
                </c:ext>
              </c:extLst>
            </c:dLbl>
            <c:dLbl>
              <c:idx val="7"/>
              <c:tx>
                <c:rich>
                  <a:bodyPr/>
                  <a:lstStyle/>
                  <a:p>
                    <a:fld id="{106920E7-DB42-44A2-8248-917BE1BE2FFE}"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B9F4-4787-AD7E-F073CADF5CD9}"/>
                </c:ext>
              </c:extLst>
            </c:dLbl>
            <c:dLbl>
              <c:idx val="8"/>
              <c:tx>
                <c:rich>
                  <a:bodyPr/>
                  <a:lstStyle/>
                  <a:p>
                    <a:fld id="{DC4F6723-8C26-4EFC-8941-F95CC0112CBE}"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B9F4-4787-AD7E-F073CADF5CD9}"/>
                </c:ext>
              </c:extLst>
            </c:dLbl>
            <c:dLbl>
              <c:idx val="9"/>
              <c:tx>
                <c:rich>
                  <a:bodyPr/>
                  <a:lstStyle/>
                  <a:p>
                    <a:fld id="{272F91C8-060E-48E8-9114-E5956DE01DCD}"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B9F4-4787-AD7E-F073CADF5CD9}"/>
                </c:ext>
              </c:extLst>
            </c:dLbl>
            <c:dLbl>
              <c:idx val="10"/>
              <c:tx>
                <c:rich>
                  <a:bodyPr/>
                  <a:lstStyle/>
                  <a:p>
                    <a:fld id="{B78D2B48-D1A4-41E6-B414-0421E5F412BC}"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B9F4-4787-AD7E-F073CADF5CD9}"/>
                </c:ext>
              </c:extLst>
            </c:dLbl>
            <c:dLbl>
              <c:idx val="11"/>
              <c:tx>
                <c:rich>
                  <a:bodyPr/>
                  <a:lstStyle/>
                  <a:p>
                    <a:fld id="{EAB8ECE2-C144-496C-B624-6EE1AA5A1472}"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B9F4-4787-AD7E-F073CADF5CD9}"/>
                </c:ext>
              </c:extLst>
            </c:dLbl>
            <c:dLbl>
              <c:idx val="12"/>
              <c:tx>
                <c:rich>
                  <a:bodyPr/>
                  <a:lstStyle/>
                  <a:p>
                    <a:fld id="{17952919-95ED-410C-8D94-85D75F1CCC87}"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B9F4-4787-AD7E-F073CADF5CD9}"/>
                </c:ext>
              </c:extLst>
            </c:dLbl>
            <c:dLbl>
              <c:idx val="13"/>
              <c:tx>
                <c:rich>
                  <a:bodyPr/>
                  <a:lstStyle/>
                  <a:p>
                    <a:fld id="{37BDD31A-6948-440A-9A27-033866B84417}"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B9F4-4787-AD7E-F073CADF5CD9}"/>
                </c:ext>
              </c:extLst>
            </c:dLbl>
            <c:dLbl>
              <c:idx val="14"/>
              <c:tx>
                <c:rich>
                  <a:bodyPr/>
                  <a:lstStyle/>
                  <a:p>
                    <a:fld id="{65E60B5A-DAA5-4AE5-92E3-37599B01F8C5}"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B9F4-4787-AD7E-F073CADF5CD9}"/>
                </c:ext>
              </c:extLst>
            </c:dLbl>
            <c:dLbl>
              <c:idx val="15"/>
              <c:tx>
                <c:rich>
                  <a:bodyPr/>
                  <a:lstStyle/>
                  <a:p>
                    <a:fld id="{314A65AE-9695-4062-A6C2-92E6A4515868}"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B9F4-4787-AD7E-F073CADF5CD9}"/>
                </c:ext>
              </c:extLst>
            </c:dLbl>
            <c:dLbl>
              <c:idx val="16"/>
              <c:tx>
                <c:rich>
                  <a:bodyPr/>
                  <a:lstStyle/>
                  <a:p>
                    <a:fld id="{F5C9E00C-DF93-4FA0-81EF-B5472ACD0528}"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B9F4-4787-AD7E-F073CADF5CD9}"/>
                </c:ext>
              </c:extLst>
            </c:dLbl>
            <c:dLbl>
              <c:idx val="17"/>
              <c:tx>
                <c:rich>
                  <a:bodyPr/>
                  <a:lstStyle/>
                  <a:p>
                    <a:fld id="{B81739EA-3926-4627-9A88-AA19A2FD4353}"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B9F4-4787-AD7E-F073CADF5CD9}"/>
                </c:ext>
              </c:extLst>
            </c:dLbl>
            <c:dLbl>
              <c:idx val="18"/>
              <c:tx>
                <c:rich>
                  <a:bodyPr/>
                  <a:lstStyle/>
                  <a:p>
                    <a:fld id="{70CFC302-59FF-4D2D-87B5-9D6128679A5C}"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B9F4-4787-AD7E-F073CADF5CD9}"/>
                </c:ext>
              </c:extLst>
            </c:dLbl>
            <c:dLbl>
              <c:idx val="19"/>
              <c:tx>
                <c:rich>
                  <a:bodyPr/>
                  <a:lstStyle/>
                  <a:p>
                    <a:fld id="{18211D4F-5FA8-4720-AC75-C1B47EBEC9E8}"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B9F4-4787-AD7E-F073CADF5CD9}"/>
                </c:ext>
              </c:extLst>
            </c:dLbl>
            <c:dLbl>
              <c:idx val="20"/>
              <c:tx>
                <c:rich>
                  <a:bodyPr/>
                  <a:lstStyle/>
                  <a:p>
                    <a:fld id="{07A914EF-E5E3-470A-B287-7014D0EFBFE6}"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B9F4-4787-AD7E-F073CADF5CD9}"/>
                </c:ext>
              </c:extLst>
            </c:dLbl>
            <c:dLbl>
              <c:idx val="21"/>
              <c:tx>
                <c:rich>
                  <a:bodyPr/>
                  <a:lstStyle/>
                  <a:p>
                    <a:fld id="{6ACD71B8-C678-4C17-A959-B69A4667E95F}"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B9F4-4787-AD7E-F073CADF5CD9}"/>
                </c:ext>
              </c:extLst>
            </c:dLbl>
            <c:dLbl>
              <c:idx val="22"/>
              <c:tx>
                <c:rich>
                  <a:bodyPr/>
                  <a:lstStyle/>
                  <a:p>
                    <a:fld id="{4D7D91BD-B573-4946-9B55-A829EE94713B}"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B9F4-4787-AD7E-F073CADF5CD9}"/>
                </c:ext>
              </c:extLst>
            </c:dLbl>
            <c:dLbl>
              <c:idx val="23"/>
              <c:tx>
                <c:rich>
                  <a:bodyPr/>
                  <a:lstStyle/>
                  <a:p>
                    <a:fld id="{DF7FEE76-C27A-4158-9422-2E0B1F61130F}"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B9F4-4787-AD7E-F073CADF5CD9}"/>
                </c:ext>
              </c:extLst>
            </c:dLbl>
            <c:dLbl>
              <c:idx val="24"/>
              <c:tx>
                <c:rich>
                  <a:bodyPr/>
                  <a:lstStyle/>
                  <a:p>
                    <a:fld id="{4F4E59B6-D392-42C2-B6C3-CFD198AFE7B6}"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B9F4-4787-AD7E-F073CADF5CD9}"/>
                </c:ext>
              </c:extLst>
            </c:dLbl>
            <c:dLbl>
              <c:idx val="25"/>
              <c:tx>
                <c:rich>
                  <a:bodyPr/>
                  <a:lstStyle/>
                  <a:p>
                    <a:fld id="{47ACF78C-79B3-4BEF-AB3C-A71EABB13C43}"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B9F4-4787-AD7E-F073CADF5CD9}"/>
                </c:ext>
              </c:extLst>
            </c:dLbl>
            <c:dLbl>
              <c:idx val="26"/>
              <c:tx>
                <c:rich>
                  <a:bodyPr/>
                  <a:lstStyle/>
                  <a:p>
                    <a:fld id="{905BE82B-387C-4D4F-88A7-BFE4E1D9FFCD}"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B9F4-4787-AD7E-F073CADF5CD9}"/>
                </c:ext>
              </c:extLst>
            </c:dLbl>
            <c:dLbl>
              <c:idx val="27"/>
              <c:tx>
                <c:rich>
                  <a:bodyPr/>
                  <a:lstStyle/>
                  <a:p>
                    <a:fld id="{3A95ABC7-BACF-43E8-A896-D32888BD3CC4}"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B9F4-4787-AD7E-F073CADF5CD9}"/>
                </c:ext>
              </c:extLst>
            </c:dLbl>
            <c:dLbl>
              <c:idx val="28"/>
              <c:tx>
                <c:rich>
                  <a:bodyPr/>
                  <a:lstStyle/>
                  <a:p>
                    <a:fld id="{F2DA3588-7B0D-4CAC-AA65-24107E77B6B6}"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B9F4-4787-AD7E-F073CADF5CD9}"/>
                </c:ext>
              </c:extLst>
            </c:dLbl>
            <c:dLbl>
              <c:idx val="29"/>
              <c:tx>
                <c:rich>
                  <a:bodyPr/>
                  <a:lstStyle/>
                  <a:p>
                    <a:fld id="{9888C3F3-4341-46BA-B868-CF88CDAB059A}"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B9F4-4787-AD7E-F073CADF5CD9}"/>
                </c:ext>
              </c:extLst>
            </c:dLbl>
            <c:dLbl>
              <c:idx val="30"/>
              <c:tx>
                <c:rich>
                  <a:bodyPr/>
                  <a:lstStyle/>
                  <a:p>
                    <a:fld id="{ACB1ECA0-3808-4B92-A7BA-45CB7AEDB01F}"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B9F4-4787-AD7E-F073CADF5CD9}"/>
                </c:ext>
              </c:extLst>
            </c:dLbl>
            <c:dLbl>
              <c:idx val="31"/>
              <c:tx>
                <c:rich>
                  <a:bodyPr/>
                  <a:lstStyle/>
                  <a:p>
                    <a:fld id="{B01954F7-2C1B-46BE-BE3A-06BB8D115713}"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B9F4-4787-AD7E-F073CADF5CD9}"/>
                </c:ext>
              </c:extLst>
            </c:dLbl>
            <c:dLbl>
              <c:idx val="32"/>
              <c:tx>
                <c:rich>
                  <a:bodyPr/>
                  <a:lstStyle/>
                  <a:p>
                    <a:fld id="{166D6885-8439-4D2D-A462-02A4ADCC269A}"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B9F4-4787-AD7E-F073CADF5CD9}"/>
                </c:ext>
              </c:extLst>
            </c:dLbl>
            <c:dLbl>
              <c:idx val="33"/>
              <c:tx>
                <c:rich>
                  <a:bodyPr/>
                  <a:lstStyle/>
                  <a:p>
                    <a:fld id="{961AC21D-000C-4DFD-8AB5-E834BD9C4C79}"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B9F4-4787-AD7E-F073CADF5CD9}"/>
                </c:ext>
              </c:extLst>
            </c:dLbl>
            <c:dLbl>
              <c:idx val="34"/>
              <c:tx>
                <c:rich>
                  <a:bodyPr/>
                  <a:lstStyle/>
                  <a:p>
                    <a:fld id="{9F39EF3E-B172-4610-9E21-B78B5FC2B765}"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B9F4-4787-AD7E-F073CADF5CD9}"/>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'37. Residios generados'!$C$43:$C$77</c:f>
              <c:strCache>
                <c:ptCount val="35"/>
                <c:pt idx="0">
                  <c:v>Haití</c:v>
                </c:pt>
                <c:pt idx="1">
                  <c:v>Nicaragua</c:v>
                </c:pt>
                <c:pt idx="2">
                  <c:v>Honduras</c:v>
                </c:pt>
                <c:pt idx="3">
                  <c:v>Guatemala</c:v>
                </c:pt>
                <c:pt idx="4">
                  <c:v>Ecuador</c:v>
                </c:pt>
                <c:pt idx="5">
                  <c:v>El Salvador</c:v>
                </c:pt>
                <c:pt idx="6">
                  <c:v>Perú</c:v>
                </c:pt>
                <c:pt idx="7">
                  <c:v>Belize</c:v>
                </c:pt>
                <c:pt idx="8">
                  <c:v>Bolivia</c:v>
                </c:pt>
                <c:pt idx="9">
                  <c:v>Jamaica</c:v>
                </c:pt>
                <c:pt idx="10">
                  <c:v>Colombia</c:v>
                </c:pt>
                <c:pt idx="11">
                  <c:v>Guyana</c:v>
                </c:pt>
                <c:pt idx="12">
                  <c:v>Paraguay</c:v>
                </c:pt>
                <c:pt idx="13">
                  <c:v>Rep. Dominicana</c:v>
                </c:pt>
                <c:pt idx="14">
                  <c:v>Dominica</c:v>
                </c:pt>
                <c:pt idx="15">
                  <c:v>Granada</c:v>
                </c:pt>
                <c:pt idx="16">
                  <c:v>San Vicente</c:v>
                </c:pt>
                <c:pt idx="17">
                  <c:v>Venezuela</c:v>
                </c:pt>
                <c:pt idx="18">
                  <c:v>Suriname</c:v>
                </c:pt>
                <c:pt idx="19">
                  <c:v>Argentina</c:v>
                </c:pt>
                <c:pt idx="20">
                  <c:v>Brasil</c:v>
                </c:pt>
                <c:pt idx="21">
                  <c:v>Saint Lucia</c:v>
                </c:pt>
                <c:pt idx="22">
                  <c:v>Chile</c:v>
                </c:pt>
                <c:pt idx="23">
                  <c:v>México</c:v>
                </c:pt>
                <c:pt idx="24">
                  <c:v>Panamá</c:v>
                </c:pt>
                <c:pt idx="25">
                  <c:v>Costa Rica</c:v>
                </c:pt>
                <c:pt idx="26">
                  <c:v>Uruguay</c:v>
                </c:pt>
                <c:pt idx="27">
                  <c:v>Antigua y Barbuda</c:v>
                </c:pt>
                <c:pt idx="28">
                  <c:v>Barbados</c:v>
                </c:pt>
                <c:pt idx="29">
                  <c:v>Saint Kitts y Nevis</c:v>
                </c:pt>
                <c:pt idx="30">
                  <c:v>Trinidad y Tabago</c:v>
                </c:pt>
                <c:pt idx="31">
                  <c:v>Bahamas</c:v>
                </c:pt>
                <c:pt idx="32">
                  <c:v>Canadá</c:v>
                </c:pt>
                <c:pt idx="33">
                  <c:v>Estados Unidos</c:v>
                </c:pt>
                <c:pt idx="34">
                  <c:v>Cuba</c:v>
                </c:pt>
              </c:strCache>
            </c:strRef>
          </c:cat>
          <c:val>
            <c:numRef>
              <c:f>'37. Residios generados'!$D$43:$D$77</c:f>
              <c:numCache>
                <c:formatCode>General</c:formatCode>
                <c:ptCount val="35"/>
                <c:pt idx="0">
                  <c:v>1.1000000000000001</c:v>
                </c:pt>
                <c:pt idx="1">
                  <c:v>3</c:v>
                </c:pt>
                <c:pt idx="2">
                  <c:v>3.5</c:v>
                </c:pt>
                <c:pt idx="3">
                  <c:v>5.2</c:v>
                </c:pt>
                <c:pt idx="4">
                  <c:v>6</c:v>
                </c:pt>
                <c:pt idx="5">
                  <c:v>6.4</c:v>
                </c:pt>
                <c:pt idx="6">
                  <c:v>6.5</c:v>
                </c:pt>
                <c:pt idx="7">
                  <c:v>7.1</c:v>
                </c:pt>
                <c:pt idx="8">
                  <c:v>7.3</c:v>
                </c:pt>
                <c:pt idx="9">
                  <c:v>7.4</c:v>
                </c:pt>
                <c:pt idx="10">
                  <c:v>7.5</c:v>
                </c:pt>
                <c:pt idx="11">
                  <c:v>8.1</c:v>
                </c:pt>
                <c:pt idx="12">
                  <c:v>8.4</c:v>
                </c:pt>
                <c:pt idx="13">
                  <c:v>8.8000000000000007</c:v>
                </c:pt>
                <c:pt idx="14">
                  <c:v>8.9</c:v>
                </c:pt>
                <c:pt idx="15">
                  <c:v>10.4</c:v>
                </c:pt>
                <c:pt idx="16">
                  <c:v>10.6</c:v>
                </c:pt>
                <c:pt idx="17">
                  <c:v>10.8</c:v>
                </c:pt>
                <c:pt idx="18">
                  <c:v>11.1</c:v>
                </c:pt>
                <c:pt idx="19">
                  <c:v>11.4</c:v>
                </c:pt>
                <c:pt idx="20">
                  <c:v>11.4</c:v>
                </c:pt>
                <c:pt idx="21">
                  <c:v>11.4</c:v>
                </c:pt>
                <c:pt idx="22">
                  <c:v>11.7</c:v>
                </c:pt>
                <c:pt idx="23">
                  <c:v>11.8</c:v>
                </c:pt>
                <c:pt idx="24">
                  <c:v>12.4</c:v>
                </c:pt>
                <c:pt idx="25">
                  <c:v>12.7</c:v>
                </c:pt>
                <c:pt idx="26">
                  <c:v>12.9</c:v>
                </c:pt>
                <c:pt idx="27">
                  <c:v>13.3</c:v>
                </c:pt>
                <c:pt idx="28">
                  <c:v>14.7</c:v>
                </c:pt>
                <c:pt idx="29">
                  <c:v>15</c:v>
                </c:pt>
                <c:pt idx="30">
                  <c:v>15.4</c:v>
                </c:pt>
                <c:pt idx="31">
                  <c:v>17.7</c:v>
                </c:pt>
                <c:pt idx="32">
                  <c:v>20.2</c:v>
                </c:pt>
                <c:pt idx="33">
                  <c:v>21.3</c:v>
                </c:pt>
                <c:pt idx="34">
                  <c:v>0</c:v>
                </c:pt>
              </c:numCache>
            </c:numRef>
          </c:val>
          <c:extLst>
            <c:ext xmlns:c15="http://schemas.microsoft.com/office/drawing/2012/chart" uri="{02D57815-91ED-43cb-92C2-25804820EDAC}">
              <c15:datalabelsRange>
                <c15:f>'37. Residios generados'!$F$43:$F$77</c15:f>
                <c15:dlblRangeCache>
                  <c:ptCount val="35"/>
                  <c:pt idx="34">
                    <c:v>N/D</c:v>
                  </c:pt>
                </c15:dlblRangeCache>
              </c15:datalabelsRange>
            </c:ext>
            <c:ext xmlns:c16="http://schemas.microsoft.com/office/drawing/2014/chart" uri="{C3380CC4-5D6E-409C-BE32-E72D297353CC}">
              <c16:uniqueId val="{00000023-B9F4-4787-AD7E-F073CADF5CD9}"/>
            </c:ext>
          </c:extLst>
        </c:ser>
        <c:dLbls>
          <c:dLblPos val="outEnd"/>
          <c:showLegendKey val="0"/>
          <c:showVal val="1"/>
          <c:showCatName val="0"/>
          <c:showSerName val="0"/>
          <c:showPercent val="0"/>
          <c:showBubbleSize val="0"/>
        </c:dLbls>
        <c:gapWidth val="219"/>
        <c:overlap val="-27"/>
        <c:axId val="1942888335"/>
        <c:axId val="1892808655"/>
      </c:barChart>
      <c:lineChart>
        <c:grouping val="standard"/>
        <c:varyColors val="0"/>
        <c:ser>
          <c:idx val="1"/>
          <c:order val="1"/>
          <c:tx>
            <c:strRef>
              <c:f>'37. Residios generados'!$E$42</c:f>
              <c:strCache>
                <c:ptCount val="1"/>
                <c:pt idx="0">
                  <c:v>Media regional (2022)</c:v>
                </c:pt>
              </c:strCache>
            </c:strRef>
          </c:tx>
          <c:spPr>
            <a:ln w="28575" cap="rnd">
              <a:solidFill>
                <a:srgbClr val="A77BCA"/>
              </a:solidFill>
              <a:prstDash val="sysDot"/>
              <a:round/>
            </a:ln>
            <a:effectLst/>
          </c:spPr>
          <c:marker>
            <c:symbol val="none"/>
          </c:marker>
          <c:cat>
            <c:strRef>
              <c:f>'37. Residios generados'!$C$43:$C$77</c:f>
              <c:strCache>
                <c:ptCount val="35"/>
                <c:pt idx="0">
                  <c:v>Haití</c:v>
                </c:pt>
                <c:pt idx="1">
                  <c:v>Nicaragua</c:v>
                </c:pt>
                <c:pt idx="2">
                  <c:v>Honduras</c:v>
                </c:pt>
                <c:pt idx="3">
                  <c:v>Guatemala</c:v>
                </c:pt>
                <c:pt idx="4">
                  <c:v>Ecuador</c:v>
                </c:pt>
                <c:pt idx="5">
                  <c:v>El Salvador</c:v>
                </c:pt>
                <c:pt idx="6">
                  <c:v>Perú</c:v>
                </c:pt>
                <c:pt idx="7">
                  <c:v>Belize</c:v>
                </c:pt>
                <c:pt idx="8">
                  <c:v>Bolivia</c:v>
                </c:pt>
                <c:pt idx="9">
                  <c:v>Jamaica</c:v>
                </c:pt>
                <c:pt idx="10">
                  <c:v>Colombia</c:v>
                </c:pt>
                <c:pt idx="11">
                  <c:v>Guyana</c:v>
                </c:pt>
                <c:pt idx="12">
                  <c:v>Paraguay</c:v>
                </c:pt>
                <c:pt idx="13">
                  <c:v>Rep. Dominicana</c:v>
                </c:pt>
                <c:pt idx="14">
                  <c:v>Dominica</c:v>
                </c:pt>
                <c:pt idx="15">
                  <c:v>Granada</c:v>
                </c:pt>
                <c:pt idx="16">
                  <c:v>San Vicente</c:v>
                </c:pt>
                <c:pt idx="17">
                  <c:v>Venezuela</c:v>
                </c:pt>
                <c:pt idx="18">
                  <c:v>Suriname</c:v>
                </c:pt>
                <c:pt idx="19">
                  <c:v>Argentina</c:v>
                </c:pt>
                <c:pt idx="20">
                  <c:v>Brasil</c:v>
                </c:pt>
                <c:pt idx="21">
                  <c:v>Saint Lucia</c:v>
                </c:pt>
                <c:pt idx="22">
                  <c:v>Chile</c:v>
                </c:pt>
                <c:pt idx="23">
                  <c:v>México</c:v>
                </c:pt>
                <c:pt idx="24">
                  <c:v>Panamá</c:v>
                </c:pt>
                <c:pt idx="25">
                  <c:v>Costa Rica</c:v>
                </c:pt>
                <c:pt idx="26">
                  <c:v>Uruguay</c:v>
                </c:pt>
                <c:pt idx="27">
                  <c:v>Antigua y Barbuda</c:v>
                </c:pt>
                <c:pt idx="28">
                  <c:v>Barbados</c:v>
                </c:pt>
                <c:pt idx="29">
                  <c:v>Saint Kitts y Nevis</c:v>
                </c:pt>
                <c:pt idx="30">
                  <c:v>Trinidad y Tabago</c:v>
                </c:pt>
                <c:pt idx="31">
                  <c:v>Bahamas</c:v>
                </c:pt>
                <c:pt idx="32">
                  <c:v>Canadá</c:v>
                </c:pt>
                <c:pt idx="33">
                  <c:v>Estados Unidos</c:v>
                </c:pt>
                <c:pt idx="34">
                  <c:v>Cuba</c:v>
                </c:pt>
              </c:strCache>
            </c:strRef>
          </c:cat>
          <c:val>
            <c:numRef>
              <c:f>'37. Residios generados'!$E$43:$E$77</c:f>
              <c:numCache>
                <c:formatCode>0.0</c:formatCode>
                <c:ptCount val="35"/>
                <c:pt idx="0">
                  <c:v>14.160227442068434</c:v>
                </c:pt>
                <c:pt idx="1">
                  <c:v>14.160227442068434</c:v>
                </c:pt>
                <c:pt idx="2">
                  <c:v>14.160227442068434</c:v>
                </c:pt>
                <c:pt idx="3">
                  <c:v>14.160227442068434</c:v>
                </c:pt>
                <c:pt idx="4">
                  <c:v>14.160227442068434</c:v>
                </c:pt>
                <c:pt idx="5">
                  <c:v>14.160227442068434</c:v>
                </c:pt>
                <c:pt idx="6">
                  <c:v>14.160227442068434</c:v>
                </c:pt>
                <c:pt idx="7">
                  <c:v>14.160227442068434</c:v>
                </c:pt>
                <c:pt idx="8">
                  <c:v>14.160227442068434</c:v>
                </c:pt>
                <c:pt idx="9">
                  <c:v>14.160227442068434</c:v>
                </c:pt>
                <c:pt idx="10">
                  <c:v>14.160227442068434</c:v>
                </c:pt>
                <c:pt idx="11">
                  <c:v>14.160227442068434</c:v>
                </c:pt>
                <c:pt idx="12">
                  <c:v>14.160227442068434</c:v>
                </c:pt>
                <c:pt idx="13">
                  <c:v>14.160227442068434</c:v>
                </c:pt>
                <c:pt idx="14">
                  <c:v>14.160227442068434</c:v>
                </c:pt>
                <c:pt idx="15">
                  <c:v>14.160227442068434</c:v>
                </c:pt>
                <c:pt idx="16">
                  <c:v>14.160227442068434</c:v>
                </c:pt>
                <c:pt idx="17">
                  <c:v>14.160227442068434</c:v>
                </c:pt>
                <c:pt idx="18">
                  <c:v>14.160227442068434</c:v>
                </c:pt>
                <c:pt idx="19">
                  <c:v>14.160227442068434</c:v>
                </c:pt>
                <c:pt idx="20">
                  <c:v>14.160227442068434</c:v>
                </c:pt>
                <c:pt idx="21">
                  <c:v>14.160227442068434</c:v>
                </c:pt>
                <c:pt idx="22">
                  <c:v>14.160227442068434</c:v>
                </c:pt>
                <c:pt idx="23">
                  <c:v>14.160227442068434</c:v>
                </c:pt>
                <c:pt idx="24">
                  <c:v>14.160227442068434</c:v>
                </c:pt>
                <c:pt idx="25">
                  <c:v>14.160227442068434</c:v>
                </c:pt>
                <c:pt idx="26">
                  <c:v>14.160227442068434</c:v>
                </c:pt>
                <c:pt idx="27">
                  <c:v>14.160227442068434</c:v>
                </c:pt>
                <c:pt idx="28">
                  <c:v>14.160227442068434</c:v>
                </c:pt>
                <c:pt idx="29">
                  <c:v>14.160227442068434</c:v>
                </c:pt>
                <c:pt idx="30">
                  <c:v>14.160227442068434</c:v>
                </c:pt>
                <c:pt idx="31">
                  <c:v>14.160227442068434</c:v>
                </c:pt>
                <c:pt idx="32">
                  <c:v>14.160227442068434</c:v>
                </c:pt>
                <c:pt idx="33">
                  <c:v>14.160227442068434</c:v>
                </c:pt>
                <c:pt idx="34">
                  <c:v>14.160227442068434</c:v>
                </c:pt>
              </c:numCache>
            </c:numRef>
          </c:val>
          <c:smooth val="0"/>
          <c:extLst>
            <c:ext xmlns:c16="http://schemas.microsoft.com/office/drawing/2014/chart" uri="{C3380CC4-5D6E-409C-BE32-E72D297353CC}">
              <c16:uniqueId val="{00000024-B9F4-4787-AD7E-F073CADF5CD9}"/>
            </c:ext>
          </c:extLst>
        </c:ser>
        <c:dLbls>
          <c:showLegendKey val="0"/>
          <c:showVal val="0"/>
          <c:showCatName val="0"/>
          <c:showSerName val="0"/>
          <c:showPercent val="0"/>
          <c:showBubbleSize val="0"/>
        </c:dLbls>
        <c:marker val="1"/>
        <c:smooth val="0"/>
        <c:axId val="1942888335"/>
        <c:axId val="1892808655"/>
      </c:lineChart>
      <c:catAx>
        <c:axId val="1942888335"/>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892808655"/>
        <c:crosses val="autoZero"/>
        <c:auto val="1"/>
        <c:lblAlgn val="ctr"/>
        <c:lblOffset val="100"/>
        <c:noMultiLvlLbl val="0"/>
      </c:catAx>
      <c:valAx>
        <c:axId val="1892808655"/>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942888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4">
    <c:autoUpdate val="0"/>
  </c:externalData>
  <c:userShapes r:id="rId5"/>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'38. Indicadores admin.'!$I$4</c:f>
              <c:strCache>
                <c:ptCount val="1"/>
                <c:pt idx="0">
                  <c:v>% de indicadores administrativos disponibles</c:v>
                </c:pt>
              </c:strCache>
            </c:strRef>
          </c:tx>
          <c:spPr>
            <a:solidFill>
              <a:srgbClr val="A77BCA"/>
            </a:solidFill>
            <a:ln>
              <a:noFill/>
            </a:ln>
            <a:effectLst/>
          </c:spPr>
          <c:invertIfNegative val="0"/>
          <c:cat>
            <c:strRef>
              <c:f>'38. Indicadores admin.'!$G$6:$G$40</c:f>
              <c:strCache>
                <c:ptCount val="35"/>
                <c:pt idx="0">
                  <c:v>Antigua y Barbuda</c:v>
                </c:pt>
                <c:pt idx="1">
                  <c:v>Belice</c:v>
                </c:pt>
                <c:pt idx="2">
                  <c:v>Bolivia</c:v>
                </c:pt>
                <c:pt idx="3">
                  <c:v>Guyana</c:v>
                </c:pt>
                <c:pt idx="4">
                  <c:v>Haití</c:v>
                </c:pt>
                <c:pt idx="5">
                  <c:v>Dominica</c:v>
                </c:pt>
                <c:pt idx="6">
                  <c:v>San Vicente</c:v>
                </c:pt>
                <c:pt idx="7">
                  <c:v>Barbados</c:v>
                </c:pt>
                <c:pt idx="8">
                  <c:v>El Salvador</c:v>
                </c:pt>
                <c:pt idx="9">
                  <c:v>Nicaragua</c:v>
                </c:pt>
                <c:pt idx="10">
                  <c:v>Saint Kitts y Nevis</c:v>
                </c:pt>
                <c:pt idx="11">
                  <c:v>Argentina</c:v>
                </c:pt>
                <c:pt idx="12">
                  <c:v>Granada</c:v>
                </c:pt>
                <c:pt idx="13">
                  <c:v>Santa Lucía</c:v>
                </c:pt>
                <c:pt idx="14">
                  <c:v>Guatemala</c:v>
                </c:pt>
                <c:pt idx="15">
                  <c:v>Panamá</c:v>
                </c:pt>
                <c:pt idx="16">
                  <c:v>Paraguay</c:v>
                </c:pt>
                <c:pt idx="17">
                  <c:v>Uruguay</c:v>
                </c:pt>
                <c:pt idx="18">
                  <c:v>Bahamas</c:v>
                </c:pt>
                <c:pt idx="19">
                  <c:v>Cuba</c:v>
                </c:pt>
                <c:pt idx="20">
                  <c:v>Ecuador</c:v>
                </c:pt>
                <c:pt idx="21">
                  <c:v>Estados Unidos</c:v>
                </c:pt>
                <c:pt idx="22">
                  <c:v>Venezuela</c:v>
                </c:pt>
                <c:pt idx="23">
                  <c:v>Brasil</c:v>
                </c:pt>
                <c:pt idx="24">
                  <c:v>Canadá</c:v>
                </c:pt>
                <c:pt idx="25">
                  <c:v>Chile</c:v>
                </c:pt>
                <c:pt idx="26">
                  <c:v>Colombia</c:v>
                </c:pt>
                <c:pt idx="27">
                  <c:v>Costa Rica</c:v>
                </c:pt>
                <c:pt idx="28">
                  <c:v>Jamaica</c:v>
                </c:pt>
                <c:pt idx="29">
                  <c:v>México</c:v>
                </c:pt>
                <c:pt idx="30">
                  <c:v>Perú</c:v>
                </c:pt>
                <c:pt idx="31">
                  <c:v>Suriname</c:v>
                </c:pt>
                <c:pt idx="32">
                  <c:v>Trinidad y Tabago</c:v>
                </c:pt>
                <c:pt idx="33">
                  <c:v>Rep. Dominicana</c:v>
                </c:pt>
                <c:pt idx="34">
                  <c:v>Honduras</c:v>
                </c:pt>
              </c:strCache>
            </c:strRef>
          </c:cat>
          <c:val>
            <c:numRef>
              <c:f>'38. Indicadores admin.'!$I$6:$I$40</c:f>
              <c:numCache>
                <c:formatCode>0.0</c:formatCode>
                <c:ptCount val="35"/>
                <c:pt idx="0">
                  <c:v>0</c:v>
                </c:pt>
                <c:pt idx="1">
                  <c:v>0</c:v>
                </c:pt>
                <c:pt idx="2">
                  <c:v>0</c:v>
                </c:pt>
                <c:pt idx="3">
                  <c:v>0</c:v>
                </c:pt>
                <c:pt idx="4">
                  <c:v>0</c:v>
                </c:pt>
                <c:pt idx="5">
                  <c:v>42.857142857142854</c:v>
                </c:pt>
                <c:pt idx="6">
                  <c:v>50</c:v>
                </c:pt>
                <c:pt idx="7">
                  <c:v>57.142857142857139</c:v>
                </c:pt>
                <c:pt idx="8">
                  <c:v>64.285714285714292</c:v>
                </c:pt>
                <c:pt idx="9">
                  <c:v>64.285714285714292</c:v>
                </c:pt>
                <c:pt idx="10">
                  <c:v>64.285714285714292</c:v>
                </c:pt>
                <c:pt idx="11">
                  <c:v>71.428571428571431</c:v>
                </c:pt>
                <c:pt idx="12">
                  <c:v>71.428571428571431</c:v>
                </c:pt>
                <c:pt idx="13">
                  <c:v>71.428571428571431</c:v>
                </c:pt>
                <c:pt idx="14">
                  <c:v>78.571428571428569</c:v>
                </c:pt>
                <c:pt idx="15">
                  <c:v>78.571428571428569</c:v>
                </c:pt>
                <c:pt idx="16">
                  <c:v>78.571428571428569</c:v>
                </c:pt>
                <c:pt idx="17">
                  <c:v>78.571428571428569</c:v>
                </c:pt>
                <c:pt idx="18">
                  <c:v>85.714285714285708</c:v>
                </c:pt>
                <c:pt idx="19">
                  <c:v>85.714285714285708</c:v>
                </c:pt>
                <c:pt idx="20">
                  <c:v>85.714285714285708</c:v>
                </c:pt>
                <c:pt idx="21">
                  <c:v>85.714285714285708</c:v>
                </c:pt>
                <c:pt idx="22">
                  <c:v>85.714285714285708</c:v>
                </c:pt>
                <c:pt idx="23">
                  <c:v>92.857142857142861</c:v>
                </c:pt>
                <c:pt idx="24">
                  <c:v>92.857142857142861</c:v>
                </c:pt>
                <c:pt idx="25">
                  <c:v>92.857142857142861</c:v>
                </c:pt>
                <c:pt idx="26">
                  <c:v>92.857142857142861</c:v>
                </c:pt>
                <c:pt idx="27">
                  <c:v>92.857142857142861</c:v>
                </c:pt>
                <c:pt idx="28">
                  <c:v>92.857142857142861</c:v>
                </c:pt>
                <c:pt idx="29">
                  <c:v>92.857142857142861</c:v>
                </c:pt>
                <c:pt idx="30">
                  <c:v>92.857142857142861</c:v>
                </c:pt>
                <c:pt idx="31">
                  <c:v>92.857142857142861</c:v>
                </c:pt>
                <c:pt idx="32">
                  <c:v>92.857142857142861</c:v>
                </c:pt>
                <c:pt idx="33">
                  <c:v>100</c:v>
                </c:pt>
                <c:pt idx="34">
                  <c:v>100</c:v>
                </c:pt>
              </c:numCache>
            </c:numRef>
          </c:val>
          <c:extLst>
            <c:ext xmlns:c16="http://schemas.microsoft.com/office/drawing/2014/chart" uri="{C3380CC4-5D6E-409C-BE32-E72D297353CC}">
              <c16:uniqueId val="{00000000-857E-4670-AC5B-22E90AEB2E56}"/>
            </c:ext>
          </c:extLst>
        </c:ser>
        <c:dLbls>
          <c:showLegendKey val="0"/>
          <c:showVal val="0"/>
          <c:showCatName val="0"/>
          <c:showSerName val="0"/>
          <c:showPercent val="0"/>
          <c:showBubbleSize val="0"/>
        </c:dLbls>
        <c:gapWidth val="75"/>
        <c:overlap val="100"/>
        <c:axId val="888392095"/>
        <c:axId val="888388255"/>
      </c:barChart>
      <c:lineChart>
        <c:grouping val="standard"/>
        <c:varyColors val="0"/>
        <c:ser>
          <c:idx val="2"/>
          <c:order val="1"/>
          <c:tx>
            <c:strRef>
              <c:f>'38. Indicadores admin.'!$J$4</c:f>
              <c:strCache>
                <c:ptCount val="1"/>
                <c:pt idx="0">
                  <c:v>Media regional </c:v>
                </c:pt>
              </c:strCache>
            </c:strRef>
          </c:tx>
          <c:spPr>
            <a:ln w="28575" cap="rnd">
              <a:solidFill>
                <a:srgbClr val="A77BCA"/>
              </a:solidFill>
              <a:prstDash val="sysDot"/>
              <a:round/>
            </a:ln>
            <a:effectLst/>
          </c:spPr>
          <c:marker>
            <c:symbol val="none"/>
          </c:marker>
          <c:cat>
            <c:strRef>
              <c:f>'38. Indicadores admin.'!$G$6:$G$40</c:f>
              <c:strCache>
                <c:ptCount val="35"/>
                <c:pt idx="0">
                  <c:v>Antigua y Barbuda</c:v>
                </c:pt>
                <c:pt idx="1">
                  <c:v>Belice</c:v>
                </c:pt>
                <c:pt idx="2">
                  <c:v>Bolivia</c:v>
                </c:pt>
                <c:pt idx="3">
                  <c:v>Guyana</c:v>
                </c:pt>
                <c:pt idx="4">
                  <c:v>Haití</c:v>
                </c:pt>
                <c:pt idx="5">
                  <c:v>Dominica</c:v>
                </c:pt>
                <c:pt idx="6">
                  <c:v>San Vicente</c:v>
                </c:pt>
                <c:pt idx="7">
                  <c:v>Barbados</c:v>
                </c:pt>
                <c:pt idx="8">
                  <c:v>El Salvador</c:v>
                </c:pt>
                <c:pt idx="9">
                  <c:v>Nicaragua</c:v>
                </c:pt>
                <c:pt idx="10">
                  <c:v>Saint Kitts y Nevis</c:v>
                </c:pt>
                <c:pt idx="11">
                  <c:v>Argentina</c:v>
                </c:pt>
                <c:pt idx="12">
                  <c:v>Granada</c:v>
                </c:pt>
                <c:pt idx="13">
                  <c:v>Santa Lucía</c:v>
                </c:pt>
                <c:pt idx="14">
                  <c:v>Guatemala</c:v>
                </c:pt>
                <c:pt idx="15">
                  <c:v>Panamá</c:v>
                </c:pt>
                <c:pt idx="16">
                  <c:v>Paraguay</c:v>
                </c:pt>
                <c:pt idx="17">
                  <c:v>Uruguay</c:v>
                </c:pt>
                <c:pt idx="18">
                  <c:v>Bahamas</c:v>
                </c:pt>
                <c:pt idx="19">
                  <c:v>Cuba</c:v>
                </c:pt>
                <c:pt idx="20">
                  <c:v>Ecuador</c:v>
                </c:pt>
                <c:pt idx="21">
                  <c:v>Estados Unidos</c:v>
                </c:pt>
                <c:pt idx="22">
                  <c:v>Venezuela</c:v>
                </c:pt>
                <c:pt idx="23">
                  <c:v>Brasil</c:v>
                </c:pt>
                <c:pt idx="24">
                  <c:v>Canadá</c:v>
                </c:pt>
                <c:pt idx="25">
                  <c:v>Chile</c:v>
                </c:pt>
                <c:pt idx="26">
                  <c:v>Colombia</c:v>
                </c:pt>
                <c:pt idx="27">
                  <c:v>Costa Rica</c:v>
                </c:pt>
                <c:pt idx="28">
                  <c:v>Jamaica</c:v>
                </c:pt>
                <c:pt idx="29">
                  <c:v>México</c:v>
                </c:pt>
                <c:pt idx="30">
                  <c:v>Perú</c:v>
                </c:pt>
                <c:pt idx="31">
                  <c:v>Suriname</c:v>
                </c:pt>
                <c:pt idx="32">
                  <c:v>Trinidad y Tabago</c:v>
                </c:pt>
                <c:pt idx="33">
                  <c:v>Rep. Dominicana</c:v>
                </c:pt>
                <c:pt idx="34">
                  <c:v>Honduras</c:v>
                </c:pt>
              </c:strCache>
            </c:strRef>
          </c:cat>
          <c:val>
            <c:numRef>
              <c:f>'38. Indicadores admin.'!$J$6:$J$40</c:f>
              <c:numCache>
                <c:formatCode>0.0</c:formatCode>
                <c:ptCount val="35"/>
                <c:pt idx="0">
                  <c:v>69.387755102040813</c:v>
                </c:pt>
                <c:pt idx="1">
                  <c:v>69.387755102040813</c:v>
                </c:pt>
                <c:pt idx="2">
                  <c:v>69.387755102040813</c:v>
                </c:pt>
                <c:pt idx="3">
                  <c:v>69.387755102040813</c:v>
                </c:pt>
                <c:pt idx="4">
                  <c:v>69.387755102040813</c:v>
                </c:pt>
                <c:pt idx="5">
                  <c:v>69.387755102040813</c:v>
                </c:pt>
                <c:pt idx="6">
                  <c:v>69.387755102040813</c:v>
                </c:pt>
                <c:pt idx="7">
                  <c:v>69.387755102040813</c:v>
                </c:pt>
                <c:pt idx="8">
                  <c:v>69.387755102040813</c:v>
                </c:pt>
                <c:pt idx="9">
                  <c:v>69.387755102040813</c:v>
                </c:pt>
                <c:pt idx="10">
                  <c:v>69.387755102040813</c:v>
                </c:pt>
                <c:pt idx="11">
                  <c:v>69.387755102040813</c:v>
                </c:pt>
                <c:pt idx="12">
                  <c:v>69.387755102040813</c:v>
                </c:pt>
                <c:pt idx="13">
                  <c:v>69.387755102040813</c:v>
                </c:pt>
                <c:pt idx="14">
                  <c:v>69.387755102040813</c:v>
                </c:pt>
                <c:pt idx="15">
                  <c:v>69.387755102040813</c:v>
                </c:pt>
                <c:pt idx="16">
                  <c:v>69.387755102040813</c:v>
                </c:pt>
                <c:pt idx="17">
                  <c:v>69.387755102040813</c:v>
                </c:pt>
                <c:pt idx="18">
                  <c:v>69.387755102040813</c:v>
                </c:pt>
                <c:pt idx="19">
                  <c:v>69.387755102040813</c:v>
                </c:pt>
                <c:pt idx="20">
                  <c:v>69.387755102040813</c:v>
                </c:pt>
                <c:pt idx="21">
                  <c:v>69.387755102040813</c:v>
                </c:pt>
                <c:pt idx="22">
                  <c:v>69.387755102040813</c:v>
                </c:pt>
                <c:pt idx="23">
                  <c:v>69.387755102040813</c:v>
                </c:pt>
                <c:pt idx="24">
                  <c:v>69.387755102040813</c:v>
                </c:pt>
                <c:pt idx="25">
                  <c:v>69.387755102040813</c:v>
                </c:pt>
                <c:pt idx="26">
                  <c:v>69.387755102040813</c:v>
                </c:pt>
                <c:pt idx="27">
                  <c:v>69.387755102040813</c:v>
                </c:pt>
                <c:pt idx="28">
                  <c:v>69.387755102040813</c:v>
                </c:pt>
                <c:pt idx="29">
                  <c:v>69.387755102040813</c:v>
                </c:pt>
                <c:pt idx="30">
                  <c:v>69.387755102040813</c:v>
                </c:pt>
                <c:pt idx="31">
                  <c:v>69.387755102040813</c:v>
                </c:pt>
                <c:pt idx="32">
                  <c:v>69.387755102040813</c:v>
                </c:pt>
                <c:pt idx="33">
                  <c:v>69.387755102040813</c:v>
                </c:pt>
                <c:pt idx="34">
                  <c:v>69.387755102040813</c:v>
                </c:pt>
              </c:numCache>
            </c:numRef>
          </c:val>
          <c:smooth val="0"/>
          <c:extLst>
            <c:ext xmlns:c16="http://schemas.microsoft.com/office/drawing/2014/chart" uri="{C3380CC4-5D6E-409C-BE32-E72D297353CC}">
              <c16:uniqueId val="{00000001-857E-4670-AC5B-22E90AEB2E56}"/>
            </c:ext>
          </c:extLst>
        </c:ser>
        <c:dLbls>
          <c:showLegendKey val="0"/>
          <c:showVal val="0"/>
          <c:showCatName val="0"/>
          <c:showSerName val="0"/>
          <c:showPercent val="0"/>
          <c:showBubbleSize val="0"/>
        </c:dLbls>
        <c:marker val="1"/>
        <c:smooth val="0"/>
        <c:axId val="888392095"/>
        <c:axId val="888388255"/>
      </c:lineChart>
      <c:catAx>
        <c:axId val="888392095"/>
        <c:scaling>
          <c:orientation val="minMax"/>
        </c:scaling>
        <c:delete val="0"/>
        <c:axPos val="b"/>
        <c:numFmt formatCode="General" sourceLinked="1"/>
        <c:majorTickMark val="none"/>
        <c:minorTickMark val="none"/>
        <c:tickLblPos val="nextTo"/>
        <c:spPr>
          <a:noFill/>
          <a:ln w="12700" cap="flat" cmpd="sng" algn="ctr">
            <a:solidFill>
              <a:schemeClr val="tx1">
                <a:lumMod val="85000"/>
                <a:lumOff val="15000"/>
              </a:schemeClr>
            </a:solidFill>
            <a:round/>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Avenir Next LT Pro Demi" panose="020B0704020202020204" pitchFamily="34" charset="0"/>
                <a:ea typeface="+mn-ea"/>
                <a:cs typeface="+mn-cs"/>
              </a:defRPr>
            </a:pPr>
            <a:endParaRPr lang="en-US"/>
          </a:p>
        </c:txPr>
        <c:crossAx val="888388255"/>
        <c:crosses val="autoZero"/>
        <c:auto val="1"/>
        <c:lblAlgn val="ctr"/>
        <c:lblOffset val="100"/>
        <c:tickLblSkip val="1"/>
        <c:noMultiLvlLbl val="0"/>
      </c:catAx>
      <c:valAx>
        <c:axId val="888388255"/>
        <c:scaling>
          <c:orientation val="minMax"/>
          <c:max val="100"/>
          <c:min val="0"/>
        </c:scaling>
        <c:delete val="0"/>
        <c:axPos val="l"/>
        <c:majorGridlines>
          <c:spPr>
            <a:ln w="6350" cap="flat" cmpd="sng" algn="ctr">
              <a:solidFill>
                <a:schemeClr val="bg1">
                  <a:lumMod val="7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Avenir Next LT Pro Demi" panose="020B0704020202020204" pitchFamily="34" charset="0"/>
                <a:ea typeface="+mn-ea"/>
                <a:cs typeface="+mn-cs"/>
              </a:defRPr>
            </a:pPr>
            <a:endParaRPr lang="en-US"/>
          </a:p>
        </c:txPr>
        <c:crossAx val="888392095"/>
        <c:crosses val="autoZero"/>
        <c:crossBetween val="between"/>
        <c:majorUnit val="25"/>
        <c:min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Avenir Next LT Pro Demi" panose="020B07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85000"/>
              <a:lumOff val="15000"/>
            </a:schemeClr>
          </a:solidFill>
          <a:latin typeface="Avenir Next LT Pro Demi" panose="020B07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'6. Usuarios Internet 2023'!$D$2</c:f>
              <c:strCache>
                <c:ptCount val="1"/>
                <c:pt idx="0">
                  <c:v>2023 o año más reciente</c:v>
                </c:pt>
              </c:strCache>
            </c:strRef>
          </c:tx>
          <c:spPr>
            <a:solidFill>
              <a:srgbClr val="A77BCA"/>
            </a:solidFill>
            <a:ln>
              <a:noFill/>
            </a:ln>
            <a:effectLst/>
          </c:spPr>
          <c:invertIfNegative val="0"/>
          <c:dPt>
            <c:idx val="4"/>
            <c:invertIfNegative val="0"/>
            <c:bubble3D val="0"/>
            <c:spPr>
              <a:solidFill>
                <a:srgbClr val="A77BCA"/>
              </a:solidFill>
              <a:ln>
                <a:noFill/>
              </a:ln>
              <a:effectLst/>
            </c:spPr>
            <c:extLst>
              <c:ext xmlns:c16="http://schemas.microsoft.com/office/drawing/2014/chart" uri="{C3380CC4-5D6E-409C-BE32-E72D297353CC}">
                <c16:uniqueId val="{00000001-4396-407D-8D13-D32315EBCCE0}"/>
              </c:ext>
            </c:extLst>
          </c:dPt>
          <c:dPt>
            <c:idx val="8"/>
            <c:invertIfNegative val="0"/>
            <c:bubble3D val="0"/>
            <c:spPr>
              <a:solidFill>
                <a:srgbClr val="A77BCA"/>
              </a:solidFill>
              <a:ln>
                <a:noFill/>
              </a:ln>
              <a:effectLst/>
            </c:spPr>
            <c:extLst>
              <c:ext xmlns:c16="http://schemas.microsoft.com/office/drawing/2014/chart" uri="{C3380CC4-5D6E-409C-BE32-E72D297353CC}">
                <c16:uniqueId val="{00000003-4396-407D-8D13-D32315EBCCE0}"/>
              </c:ext>
            </c:extLst>
          </c:dPt>
          <c:dPt>
            <c:idx val="11"/>
            <c:invertIfNegative val="0"/>
            <c:bubble3D val="0"/>
            <c:spPr>
              <a:solidFill>
                <a:srgbClr val="403A60"/>
              </a:solidFill>
              <a:ln>
                <a:noFill/>
              </a:ln>
              <a:effectLst/>
            </c:spPr>
            <c:extLst>
              <c:ext xmlns:c16="http://schemas.microsoft.com/office/drawing/2014/chart" uri="{C3380CC4-5D6E-409C-BE32-E72D297353CC}">
                <c16:uniqueId val="{00000005-4396-407D-8D13-D32315EBCCE0}"/>
              </c:ext>
            </c:extLst>
          </c:dPt>
          <c:dPt>
            <c:idx val="12"/>
            <c:invertIfNegative val="0"/>
            <c:bubble3D val="0"/>
            <c:spPr>
              <a:solidFill>
                <a:srgbClr val="403A60"/>
              </a:solidFill>
              <a:ln>
                <a:noFill/>
              </a:ln>
              <a:effectLst/>
            </c:spPr>
            <c:extLst>
              <c:ext xmlns:c16="http://schemas.microsoft.com/office/drawing/2014/chart" uri="{C3380CC4-5D6E-409C-BE32-E72D297353CC}">
                <c16:uniqueId val="{00000007-4396-407D-8D13-D32315EBCCE0}"/>
              </c:ext>
            </c:extLst>
          </c:dPt>
          <c:dPt>
            <c:idx val="13"/>
            <c:invertIfNegative val="0"/>
            <c:bubble3D val="0"/>
            <c:spPr>
              <a:solidFill>
                <a:srgbClr val="A77BCA"/>
              </a:solidFill>
              <a:ln>
                <a:noFill/>
              </a:ln>
              <a:effectLst/>
            </c:spPr>
            <c:extLst>
              <c:ext xmlns:c16="http://schemas.microsoft.com/office/drawing/2014/chart" uri="{C3380CC4-5D6E-409C-BE32-E72D297353CC}">
                <c16:uniqueId val="{00000009-4396-407D-8D13-D32315EBCCE0}"/>
              </c:ext>
            </c:extLst>
          </c:dPt>
          <c:dPt>
            <c:idx val="15"/>
            <c:invertIfNegative val="0"/>
            <c:bubble3D val="0"/>
            <c:spPr>
              <a:solidFill>
                <a:srgbClr val="403A60"/>
              </a:solidFill>
              <a:ln>
                <a:noFill/>
              </a:ln>
              <a:effectLst/>
            </c:spPr>
            <c:extLst>
              <c:ext xmlns:c16="http://schemas.microsoft.com/office/drawing/2014/chart" uri="{C3380CC4-5D6E-409C-BE32-E72D297353CC}">
                <c16:uniqueId val="{0000000B-4396-407D-8D13-D32315EBCCE0}"/>
              </c:ext>
            </c:extLst>
          </c:dPt>
          <c:dPt>
            <c:idx val="17"/>
            <c:invertIfNegative val="0"/>
            <c:bubble3D val="0"/>
            <c:spPr>
              <a:solidFill>
                <a:srgbClr val="403A60"/>
              </a:solidFill>
              <a:ln>
                <a:noFill/>
              </a:ln>
              <a:effectLst/>
            </c:spPr>
            <c:extLst>
              <c:ext xmlns:c16="http://schemas.microsoft.com/office/drawing/2014/chart" uri="{C3380CC4-5D6E-409C-BE32-E72D297353CC}">
                <c16:uniqueId val="{0000000D-4396-407D-8D13-D32315EBCCE0}"/>
              </c:ext>
            </c:extLst>
          </c:dPt>
          <c:dPt>
            <c:idx val="18"/>
            <c:invertIfNegative val="0"/>
            <c:bubble3D val="0"/>
            <c:spPr>
              <a:solidFill>
                <a:srgbClr val="A77BCA"/>
              </a:solidFill>
              <a:ln>
                <a:noFill/>
              </a:ln>
              <a:effectLst/>
            </c:spPr>
            <c:extLst>
              <c:ext xmlns:c16="http://schemas.microsoft.com/office/drawing/2014/chart" uri="{C3380CC4-5D6E-409C-BE32-E72D297353CC}">
                <c16:uniqueId val="{0000000F-4396-407D-8D13-D32315EBCCE0}"/>
              </c:ext>
            </c:extLst>
          </c:dPt>
          <c:dPt>
            <c:idx val="19"/>
            <c:invertIfNegative val="0"/>
            <c:bubble3D val="0"/>
            <c:spPr>
              <a:solidFill>
                <a:srgbClr val="403A60"/>
              </a:solidFill>
              <a:ln>
                <a:noFill/>
              </a:ln>
              <a:effectLst/>
            </c:spPr>
            <c:extLst>
              <c:ext xmlns:c16="http://schemas.microsoft.com/office/drawing/2014/chart" uri="{C3380CC4-5D6E-409C-BE32-E72D297353CC}">
                <c16:uniqueId val="{00000011-4396-407D-8D13-D32315EBCCE0}"/>
              </c:ext>
            </c:extLst>
          </c:dPt>
          <c:dPt>
            <c:idx val="23"/>
            <c:invertIfNegative val="0"/>
            <c:bubble3D val="0"/>
            <c:spPr>
              <a:solidFill>
                <a:srgbClr val="403A60"/>
              </a:solidFill>
              <a:ln>
                <a:noFill/>
              </a:ln>
              <a:effectLst/>
            </c:spPr>
            <c:extLst>
              <c:ext xmlns:c16="http://schemas.microsoft.com/office/drawing/2014/chart" uri="{C3380CC4-5D6E-409C-BE32-E72D297353CC}">
                <c16:uniqueId val="{00000013-4396-407D-8D13-D32315EBCCE0}"/>
              </c:ext>
            </c:extLst>
          </c:dPt>
          <c:dPt>
            <c:idx val="26"/>
            <c:invertIfNegative val="0"/>
            <c:bubble3D val="0"/>
            <c:spPr>
              <a:solidFill>
                <a:srgbClr val="403A60"/>
              </a:solidFill>
              <a:ln>
                <a:noFill/>
              </a:ln>
              <a:effectLst/>
            </c:spPr>
            <c:extLst>
              <c:ext xmlns:c16="http://schemas.microsoft.com/office/drawing/2014/chart" uri="{C3380CC4-5D6E-409C-BE32-E72D297353CC}">
                <c16:uniqueId val="{00000015-4396-407D-8D13-D32315EBCCE0}"/>
              </c:ext>
            </c:extLst>
          </c:dPt>
          <c:dPt>
            <c:idx val="27"/>
            <c:invertIfNegative val="0"/>
            <c:bubble3D val="0"/>
            <c:spPr>
              <a:solidFill>
                <a:srgbClr val="403A60"/>
              </a:solidFill>
              <a:ln>
                <a:noFill/>
              </a:ln>
              <a:effectLst/>
            </c:spPr>
            <c:extLst>
              <c:ext xmlns:c16="http://schemas.microsoft.com/office/drawing/2014/chart" uri="{C3380CC4-5D6E-409C-BE32-E72D297353CC}">
                <c16:uniqueId val="{00000017-4396-407D-8D13-D32315EBCCE0}"/>
              </c:ext>
            </c:extLst>
          </c:dPt>
          <c:dPt>
            <c:idx val="29"/>
            <c:invertIfNegative val="0"/>
            <c:bubble3D val="0"/>
            <c:spPr>
              <a:solidFill>
                <a:srgbClr val="A77BCA"/>
              </a:solidFill>
              <a:ln>
                <a:noFill/>
              </a:ln>
              <a:effectLst/>
            </c:spPr>
            <c:extLst>
              <c:ext xmlns:c16="http://schemas.microsoft.com/office/drawing/2014/chart" uri="{C3380CC4-5D6E-409C-BE32-E72D297353CC}">
                <c16:uniqueId val="{00000019-4396-407D-8D13-D32315EBCCE0}"/>
              </c:ext>
            </c:extLst>
          </c:dPt>
          <c:dPt>
            <c:idx val="31"/>
            <c:invertIfNegative val="0"/>
            <c:bubble3D val="0"/>
            <c:spPr>
              <a:solidFill>
                <a:srgbClr val="403A60"/>
              </a:solidFill>
              <a:ln>
                <a:noFill/>
              </a:ln>
              <a:effectLst/>
            </c:spPr>
            <c:extLst>
              <c:ext xmlns:c16="http://schemas.microsoft.com/office/drawing/2014/chart" uri="{C3380CC4-5D6E-409C-BE32-E72D297353CC}">
                <c16:uniqueId val="{0000001B-4396-407D-8D13-D32315EBCCE0}"/>
              </c:ext>
            </c:extLst>
          </c:dPt>
          <c:dPt>
            <c:idx val="34"/>
            <c:invertIfNegative val="0"/>
            <c:bubble3D val="0"/>
            <c:spPr>
              <a:solidFill>
                <a:srgbClr val="A77BCA"/>
              </a:solidFill>
              <a:ln>
                <a:noFill/>
              </a:ln>
              <a:effectLst/>
            </c:spPr>
            <c:extLst>
              <c:ext xmlns:c16="http://schemas.microsoft.com/office/drawing/2014/chart" uri="{C3380CC4-5D6E-409C-BE32-E72D297353CC}">
                <c16:uniqueId val="{0000001D-4396-407D-8D13-D32315EBCCE0}"/>
              </c:ext>
            </c:extLst>
          </c:dPt>
          <c:dLbls>
            <c:dLbl>
              <c:idx val="0"/>
              <c:tx>
                <c:rich>
                  <a:bodyPr/>
                  <a:lstStyle/>
                  <a:p>
                    <a:fld id="{2CDD700E-FCBD-4473-99C6-735A4297D02B}" type="CELLRANGE">
                      <a:rPr lang="en-US"/>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E-4396-407D-8D13-D32315EBCCE0}"/>
                </c:ext>
              </c:extLst>
            </c:dLbl>
            <c:dLbl>
              <c:idx val="1"/>
              <c:tx>
                <c:rich>
                  <a:bodyPr/>
                  <a:lstStyle/>
                  <a:p>
                    <a:fld id="{197DC2D9-A617-4D1D-A4BE-D67EA2F3F492}"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4396-407D-8D13-D32315EBCCE0}"/>
                </c:ext>
              </c:extLst>
            </c:dLbl>
            <c:dLbl>
              <c:idx val="2"/>
              <c:tx>
                <c:rich>
                  <a:bodyPr/>
                  <a:lstStyle/>
                  <a:p>
                    <a:fld id="{43DB12FA-504A-4535-AF2C-3B8519C393FE}"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4396-407D-8D13-D32315EBCCE0}"/>
                </c:ext>
              </c:extLst>
            </c:dLbl>
            <c:dLbl>
              <c:idx val="3"/>
              <c:tx>
                <c:rich>
                  <a:bodyPr/>
                  <a:lstStyle/>
                  <a:p>
                    <a:fld id="{2B1CC918-BCE5-4AB9-A7BC-D36DA885DFDC}"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4396-407D-8D13-D32315EBCCE0}"/>
                </c:ext>
              </c:extLst>
            </c:dLbl>
            <c:dLbl>
              <c:idx val="4"/>
              <c:tx>
                <c:rich>
                  <a:bodyPr/>
                  <a:lstStyle/>
                  <a:p>
                    <a:fld id="{8DCDA9BF-1954-4A20-8C4B-2D93BF87A136}"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396-407D-8D13-D32315EBCCE0}"/>
                </c:ext>
              </c:extLst>
            </c:dLbl>
            <c:dLbl>
              <c:idx val="5"/>
              <c:tx>
                <c:rich>
                  <a:bodyPr/>
                  <a:lstStyle/>
                  <a:p>
                    <a:fld id="{A81CB8C6-C255-4A67-9A5C-D29E232817B4}"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4396-407D-8D13-D32315EBCCE0}"/>
                </c:ext>
              </c:extLst>
            </c:dLbl>
            <c:dLbl>
              <c:idx val="6"/>
              <c:tx>
                <c:rich>
                  <a:bodyPr/>
                  <a:lstStyle/>
                  <a:p>
                    <a:fld id="{AF63A9EC-2EF2-4C08-9958-92BAF3BAB59B}"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4396-407D-8D13-D32315EBCCE0}"/>
                </c:ext>
              </c:extLst>
            </c:dLbl>
            <c:dLbl>
              <c:idx val="7"/>
              <c:tx>
                <c:rich>
                  <a:bodyPr/>
                  <a:lstStyle/>
                  <a:p>
                    <a:fld id="{712A99E2-5F40-4FA7-B203-5CFA81CC7E94}"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4396-407D-8D13-D32315EBCCE0}"/>
                </c:ext>
              </c:extLst>
            </c:dLbl>
            <c:dLbl>
              <c:idx val="8"/>
              <c:tx>
                <c:rich>
                  <a:bodyPr/>
                  <a:lstStyle/>
                  <a:p>
                    <a:fld id="{7CE14FF4-E845-4D1A-9DE9-7AEDF007DD08}"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4396-407D-8D13-D32315EBCCE0}"/>
                </c:ext>
              </c:extLst>
            </c:dLbl>
            <c:dLbl>
              <c:idx val="9"/>
              <c:tx>
                <c:rich>
                  <a:bodyPr/>
                  <a:lstStyle/>
                  <a:p>
                    <a:fld id="{12D1F0C1-B1C1-451B-B1EA-AB2D625C2918}"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4396-407D-8D13-D32315EBCCE0}"/>
                </c:ext>
              </c:extLst>
            </c:dLbl>
            <c:dLbl>
              <c:idx val="10"/>
              <c:tx>
                <c:rich>
                  <a:bodyPr/>
                  <a:lstStyle/>
                  <a:p>
                    <a:fld id="{7E033A04-C806-44F1-9D97-97E385CF87CF}"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4396-407D-8D13-D32315EBCCE0}"/>
                </c:ext>
              </c:extLst>
            </c:dLbl>
            <c:dLbl>
              <c:idx val="11"/>
              <c:tx>
                <c:rich>
                  <a:bodyPr/>
                  <a:lstStyle/>
                  <a:p>
                    <a:fld id="{4EBB62F4-0A78-4134-844E-CF530A90C7E2}"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396-407D-8D13-D32315EBCCE0}"/>
                </c:ext>
              </c:extLst>
            </c:dLbl>
            <c:dLbl>
              <c:idx val="12"/>
              <c:tx>
                <c:rich>
                  <a:bodyPr/>
                  <a:lstStyle/>
                  <a:p>
                    <a:fld id="{63854887-6A70-44B2-AA22-86CC25010416}"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4396-407D-8D13-D32315EBCCE0}"/>
                </c:ext>
              </c:extLst>
            </c:dLbl>
            <c:dLbl>
              <c:idx val="13"/>
              <c:tx>
                <c:rich>
                  <a:bodyPr/>
                  <a:lstStyle/>
                  <a:p>
                    <a:fld id="{B61D3074-9A2A-45F8-ACF7-7A6262992E6A}"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4396-407D-8D13-D32315EBCCE0}"/>
                </c:ext>
              </c:extLst>
            </c:dLbl>
            <c:dLbl>
              <c:idx val="14"/>
              <c:tx>
                <c:rich>
                  <a:bodyPr/>
                  <a:lstStyle/>
                  <a:p>
                    <a:fld id="{BD82F212-C5E8-40E9-9019-3C048B2D1E1A}"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4396-407D-8D13-D32315EBCCE0}"/>
                </c:ext>
              </c:extLst>
            </c:dLbl>
            <c:dLbl>
              <c:idx val="15"/>
              <c:tx>
                <c:rich>
                  <a:bodyPr/>
                  <a:lstStyle/>
                  <a:p>
                    <a:fld id="{3ADE8446-2E55-427B-BCF4-CF1A37FE049F}"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4396-407D-8D13-D32315EBCCE0}"/>
                </c:ext>
              </c:extLst>
            </c:dLbl>
            <c:dLbl>
              <c:idx val="16"/>
              <c:tx>
                <c:rich>
                  <a:bodyPr/>
                  <a:lstStyle/>
                  <a:p>
                    <a:fld id="{CE27E2D4-CE1C-4DEA-995A-EA00012E214B}"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4396-407D-8D13-D32315EBCCE0}"/>
                </c:ext>
              </c:extLst>
            </c:dLbl>
            <c:dLbl>
              <c:idx val="17"/>
              <c:tx>
                <c:rich>
                  <a:bodyPr/>
                  <a:lstStyle/>
                  <a:p>
                    <a:fld id="{7E3AF0B5-95E6-4FCA-A69E-D7E06D4A53E7}"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4396-407D-8D13-D32315EBCCE0}"/>
                </c:ext>
              </c:extLst>
            </c:dLbl>
            <c:dLbl>
              <c:idx val="18"/>
              <c:tx>
                <c:rich>
                  <a:bodyPr/>
                  <a:lstStyle/>
                  <a:p>
                    <a:fld id="{B79A8BF9-4FF6-4AE9-9729-3A48981E3A3B}"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4396-407D-8D13-D32315EBCCE0}"/>
                </c:ext>
              </c:extLst>
            </c:dLbl>
            <c:dLbl>
              <c:idx val="19"/>
              <c:tx>
                <c:rich>
                  <a:bodyPr/>
                  <a:lstStyle/>
                  <a:p>
                    <a:fld id="{34A1AD56-2DD0-4A23-954C-5ED6035A8F98}"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4396-407D-8D13-D32315EBCCE0}"/>
                </c:ext>
              </c:extLst>
            </c:dLbl>
            <c:dLbl>
              <c:idx val="20"/>
              <c:tx>
                <c:rich>
                  <a:bodyPr/>
                  <a:lstStyle/>
                  <a:p>
                    <a:fld id="{D708110A-DFF9-4D47-8CF5-B065B28FFFA3}"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4396-407D-8D13-D32315EBCCE0}"/>
                </c:ext>
              </c:extLst>
            </c:dLbl>
            <c:dLbl>
              <c:idx val="21"/>
              <c:tx>
                <c:rich>
                  <a:bodyPr/>
                  <a:lstStyle/>
                  <a:p>
                    <a:fld id="{9FAF16E6-FB24-4EC0-B3C7-BBD1E0199C4A}"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4396-407D-8D13-D32315EBCCE0}"/>
                </c:ext>
              </c:extLst>
            </c:dLbl>
            <c:dLbl>
              <c:idx val="22"/>
              <c:tx>
                <c:rich>
                  <a:bodyPr/>
                  <a:lstStyle/>
                  <a:p>
                    <a:fld id="{AC4580AB-26EE-4A7B-BF0F-2AA2ACBA8D33}"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4396-407D-8D13-D32315EBCCE0}"/>
                </c:ext>
              </c:extLst>
            </c:dLbl>
            <c:dLbl>
              <c:idx val="23"/>
              <c:tx>
                <c:rich>
                  <a:bodyPr/>
                  <a:lstStyle/>
                  <a:p>
                    <a:fld id="{1B87A4AC-FA92-49DA-A97F-65F87C3F8A21}"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4396-407D-8D13-D32315EBCCE0}"/>
                </c:ext>
              </c:extLst>
            </c:dLbl>
            <c:dLbl>
              <c:idx val="24"/>
              <c:tx>
                <c:rich>
                  <a:bodyPr/>
                  <a:lstStyle/>
                  <a:p>
                    <a:fld id="{77CFA9D0-9D96-4152-A5A8-EFBB3A853D55}"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4396-407D-8D13-D32315EBCCE0}"/>
                </c:ext>
              </c:extLst>
            </c:dLbl>
            <c:dLbl>
              <c:idx val="25"/>
              <c:tx>
                <c:rich>
                  <a:bodyPr/>
                  <a:lstStyle/>
                  <a:p>
                    <a:fld id="{96D6AB29-5409-4A42-AC77-14BF7C888508}"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4396-407D-8D13-D32315EBCCE0}"/>
                </c:ext>
              </c:extLst>
            </c:dLbl>
            <c:dLbl>
              <c:idx val="26"/>
              <c:tx>
                <c:rich>
                  <a:bodyPr/>
                  <a:lstStyle/>
                  <a:p>
                    <a:fld id="{46A85856-914C-4C52-85BA-07C64260ECE8}"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4396-407D-8D13-D32315EBCCE0}"/>
                </c:ext>
              </c:extLst>
            </c:dLbl>
            <c:dLbl>
              <c:idx val="27"/>
              <c:tx>
                <c:rich>
                  <a:bodyPr/>
                  <a:lstStyle/>
                  <a:p>
                    <a:fld id="{0EE21D82-EB25-4071-B0AD-D44A6DC03D14}"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4396-407D-8D13-D32315EBCCE0}"/>
                </c:ext>
              </c:extLst>
            </c:dLbl>
            <c:dLbl>
              <c:idx val="28"/>
              <c:tx>
                <c:rich>
                  <a:bodyPr/>
                  <a:lstStyle/>
                  <a:p>
                    <a:fld id="{2448DD24-4FB4-421D-9AC1-9CD28EBCABF6}"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4396-407D-8D13-D32315EBCCE0}"/>
                </c:ext>
              </c:extLst>
            </c:dLbl>
            <c:dLbl>
              <c:idx val="29"/>
              <c:tx>
                <c:rich>
                  <a:bodyPr/>
                  <a:lstStyle/>
                  <a:p>
                    <a:fld id="{3C964433-98C6-4966-86EC-9CCBA424B486}"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4396-407D-8D13-D32315EBCCE0}"/>
                </c:ext>
              </c:extLst>
            </c:dLbl>
            <c:dLbl>
              <c:idx val="30"/>
              <c:tx>
                <c:rich>
                  <a:bodyPr/>
                  <a:lstStyle/>
                  <a:p>
                    <a:fld id="{6D8105D4-BB37-41E1-987E-4C215FAE374E}"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4396-407D-8D13-D32315EBCCE0}"/>
                </c:ext>
              </c:extLst>
            </c:dLbl>
            <c:dLbl>
              <c:idx val="31"/>
              <c:tx>
                <c:rich>
                  <a:bodyPr/>
                  <a:lstStyle/>
                  <a:p>
                    <a:fld id="{43BC635A-2A95-42C9-9125-BF741F1573B4}"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4396-407D-8D13-D32315EBCCE0}"/>
                </c:ext>
              </c:extLst>
            </c:dLbl>
            <c:dLbl>
              <c:idx val="32"/>
              <c:tx>
                <c:rich>
                  <a:bodyPr/>
                  <a:lstStyle/>
                  <a:p>
                    <a:fld id="{A2C0A303-B53F-4FFE-A352-3F097F5DE451}"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0-4396-407D-8D13-D32315EBCCE0}"/>
                </c:ext>
              </c:extLst>
            </c:dLbl>
            <c:dLbl>
              <c:idx val="33"/>
              <c:tx>
                <c:rich>
                  <a:bodyPr/>
                  <a:lstStyle/>
                  <a:p>
                    <a:endParaRPr lang="en-GB"/>
                  </a:p>
                </c:rich>
              </c:tx>
              <c:dLblPos val="outEnd"/>
              <c:showLegendKey val="0"/>
              <c:showVal val="0"/>
              <c:showCatName val="0"/>
              <c:showSerName val="0"/>
              <c:showPercent val="0"/>
              <c:showBubbleSize val="0"/>
              <c:extLst>
                <c:ext xmlns:c15="http://schemas.microsoft.com/office/drawing/2012/chart" uri="{CE6537A1-D6FC-4f65-9D91-7224C49458BB}">
                  <c15:xForSave val="1"/>
                  <c15:showDataLabelsRange val="1"/>
                </c:ext>
                <c:ext xmlns:c16="http://schemas.microsoft.com/office/drawing/2014/chart" uri="{C3380CC4-5D6E-409C-BE32-E72D297353CC}">
                  <c16:uniqueId val="{00000031-4396-407D-8D13-D32315EBCCE0}"/>
                </c:ext>
              </c:extLst>
            </c:dLbl>
            <c:dLbl>
              <c:idx val="34"/>
              <c:tx>
                <c:rich>
                  <a:bodyPr/>
                  <a:lstStyle/>
                  <a:p>
                    <a:fld id="{F4F33A1C-AED3-439B-946F-DF599B5328DE}" type="CELLRANGE">
                      <a:rPr lang="en-GB"/>
                      <a:pPr/>
                      <a:t>[CELLRANGE]</a:t>
                    </a:fld>
                    <a:endParaRPr lang="en-GB"/>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4396-407D-8D13-D32315EBCCE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'6. Usuarios Internet 2023'!$C$3:$C$37</c:f>
              <c:strCache>
                <c:ptCount val="35"/>
                <c:pt idx="0">
                  <c:v>Guatemala</c:v>
                </c:pt>
                <c:pt idx="1">
                  <c:v>Nicaragua</c:v>
                </c:pt>
                <c:pt idx="2">
                  <c:v>Honduras</c:v>
                </c:pt>
                <c:pt idx="3">
                  <c:v>El Salvador</c:v>
                </c:pt>
                <c:pt idx="4">
                  <c:v>Santa Lucía</c:v>
                </c:pt>
                <c:pt idx="5">
                  <c:v>Bolivia</c:v>
                </c:pt>
                <c:pt idx="6">
                  <c:v>Cuba</c:v>
                </c:pt>
                <c:pt idx="7">
                  <c:v>Belice</c:v>
                </c:pt>
                <c:pt idx="8">
                  <c:v>Granada</c:v>
                </c:pt>
                <c:pt idx="9">
                  <c:v>San Vicente</c:v>
                </c:pt>
                <c:pt idx="10">
                  <c:v>Saint Kitts y Nevis</c:v>
                </c:pt>
                <c:pt idx="11">
                  <c:v>Ecuador (2024)</c:v>
                </c:pt>
                <c:pt idx="12">
                  <c:v>Colombia</c:v>
                </c:pt>
                <c:pt idx="13">
                  <c:v>Antigua y Barbuda</c:v>
                </c:pt>
                <c:pt idx="14">
                  <c:v>Panamá</c:v>
                </c:pt>
                <c:pt idx="15">
                  <c:v>Paraguay</c:v>
                </c:pt>
                <c:pt idx="16">
                  <c:v>Suriname</c:v>
                </c:pt>
                <c:pt idx="17">
                  <c:v>Perú</c:v>
                </c:pt>
                <c:pt idx="18">
                  <c:v>Barbados</c:v>
                </c:pt>
                <c:pt idx="19">
                  <c:v>México</c:v>
                </c:pt>
                <c:pt idx="20">
                  <c:v>Guyana</c:v>
                </c:pt>
                <c:pt idx="21">
                  <c:v>Jamaica</c:v>
                </c:pt>
                <c:pt idx="22">
                  <c:v>Dominica</c:v>
                </c:pt>
                <c:pt idx="23">
                  <c:v>Brasil</c:v>
                </c:pt>
                <c:pt idx="24">
                  <c:v>Rep. Dominicana </c:v>
                </c:pt>
                <c:pt idx="25">
                  <c:v>Trinidad y Tabago</c:v>
                </c:pt>
                <c:pt idx="26">
                  <c:v>Costa Rica</c:v>
                </c:pt>
                <c:pt idx="27">
                  <c:v>Argentina</c:v>
                </c:pt>
                <c:pt idx="28">
                  <c:v>Uruguay</c:v>
                </c:pt>
                <c:pt idx="29">
                  <c:v>Estados Unidos</c:v>
                </c:pt>
                <c:pt idx="30">
                  <c:v>Canadá</c:v>
                </c:pt>
                <c:pt idx="31">
                  <c:v>Chile</c:v>
                </c:pt>
                <c:pt idx="32">
                  <c:v>Bahamas</c:v>
                </c:pt>
                <c:pt idx="33">
                  <c:v>Haití</c:v>
                </c:pt>
                <c:pt idx="34">
                  <c:v>Venezuela</c:v>
                </c:pt>
              </c:strCache>
            </c:strRef>
          </c:cat>
          <c:val>
            <c:numRef>
              <c:f>'6. Usuarios Internet 2023'!$D$3:$D$37</c:f>
              <c:numCache>
                <c:formatCode>0.0</c:formatCode>
                <c:ptCount val="35"/>
                <c:pt idx="0">
                  <c:v>56.0534923430125</c:v>
                </c:pt>
                <c:pt idx="1">
                  <c:v>58.231398856088397</c:v>
                </c:pt>
                <c:pt idx="2">
                  <c:v>58.278939509263303</c:v>
                </c:pt>
                <c:pt idx="3">
                  <c:v>67.655773639952898</c:v>
                </c:pt>
                <c:pt idx="4">
                  <c:v>70.0834446808</c:v>
                </c:pt>
                <c:pt idx="5">
                  <c:v>70.236769050796994</c:v>
                </c:pt>
                <c:pt idx="6">
                  <c:v>71.275028645711203</c:v>
                </c:pt>
                <c:pt idx="7">
                  <c:v>72.359453843024397</c:v>
                </c:pt>
                <c:pt idx="8">
                  <c:v>74.120124051999994</c:v>
                </c:pt>
                <c:pt idx="9">
                  <c:v>75.992720545799997</c:v>
                </c:pt>
                <c:pt idx="10">
                  <c:v>76.420790839052501</c:v>
                </c:pt>
                <c:pt idx="11">
                  <c:v>77.172731146427395</c:v>
                </c:pt>
                <c:pt idx="12">
                  <c:v>77.3368632204253</c:v>
                </c:pt>
                <c:pt idx="13">
                  <c:v>77.575574419314606</c:v>
                </c:pt>
                <c:pt idx="14">
                  <c:v>77.950205144700007</c:v>
                </c:pt>
                <c:pt idx="15">
                  <c:v>78.094818776338698</c:v>
                </c:pt>
                <c:pt idx="16">
                  <c:v>78.395804654672602</c:v>
                </c:pt>
                <c:pt idx="17">
                  <c:v>79.484844773493705</c:v>
                </c:pt>
                <c:pt idx="18">
                  <c:v>79.992304374847706</c:v>
                </c:pt>
                <c:pt idx="19">
                  <c:v>81.183187554029303</c:v>
                </c:pt>
                <c:pt idx="20">
                  <c:v>81.722084496698898</c:v>
                </c:pt>
                <c:pt idx="21">
                  <c:v>83.388291625016606</c:v>
                </c:pt>
                <c:pt idx="22">
                  <c:v>83.825512576142998</c:v>
                </c:pt>
                <c:pt idx="23">
                  <c:v>84.150602382924802</c:v>
                </c:pt>
                <c:pt idx="24">
                  <c:v>84.616147868883104</c:v>
                </c:pt>
                <c:pt idx="25">
                  <c:v>84.699351811450498</c:v>
                </c:pt>
                <c:pt idx="26">
                  <c:v>85.395147988035902</c:v>
                </c:pt>
                <c:pt idx="27">
                  <c:v>89.228971664536999</c:v>
                </c:pt>
                <c:pt idx="28">
                  <c:v>89.896039664283194</c:v>
                </c:pt>
                <c:pt idx="29">
                  <c:v>93.144392967224107</c:v>
                </c:pt>
                <c:pt idx="30">
                  <c:v>93.9563516507597</c:v>
                </c:pt>
                <c:pt idx="31">
                  <c:v>94.119208927009893</c:v>
                </c:pt>
                <c:pt idx="32">
                  <c:v>94.818601723098098</c:v>
                </c:pt>
                <c:pt idx="34">
                  <c:v>0</c:v>
                </c:pt>
              </c:numCache>
            </c:numRef>
          </c:val>
          <c:extLst>
            <c:ext xmlns:c15="http://schemas.microsoft.com/office/drawing/2012/chart" uri="{02D57815-91ED-43cb-92C2-25804820EDAC}">
              <c15:datalabelsRange>
                <c15:f>'6. Usuarios Internet 2023'!$J$3:$J$37</c15:f>
                <c15:dlblRangeCache>
                  <c:ptCount val="35"/>
                  <c:pt idx="34">
                    <c:v>N/A</c:v>
                  </c:pt>
                </c15:dlblRangeCache>
              </c15:datalabelsRange>
            </c:ext>
            <c:ext xmlns:c16="http://schemas.microsoft.com/office/drawing/2014/chart" uri="{C3380CC4-5D6E-409C-BE32-E72D297353CC}">
              <c16:uniqueId val="{00000032-4396-407D-8D13-D32315EBCCE0}"/>
            </c:ext>
          </c:extLst>
        </c:ser>
        <c:dLbls>
          <c:dLblPos val="outEnd"/>
          <c:showLegendKey val="0"/>
          <c:showVal val="1"/>
          <c:showCatName val="0"/>
          <c:showSerName val="0"/>
          <c:showPercent val="0"/>
          <c:showBubbleSize val="0"/>
        </c:dLbls>
        <c:gapWidth val="219"/>
        <c:overlap val="-27"/>
        <c:axId val="1942888335"/>
        <c:axId val="1892808655"/>
      </c:barChart>
      <c:lineChart>
        <c:grouping val="standard"/>
        <c:varyColors val="0"/>
        <c:ser>
          <c:idx val="1"/>
          <c:order val="1"/>
          <c:tx>
            <c:strRef>
              <c:f>'6. Usuarios Internet 2023'!$E$2</c:f>
              <c:strCache>
                <c:ptCount val="1"/>
                <c:pt idx="0">
                  <c:v>Media regional (2023)</c:v>
                </c:pt>
              </c:strCache>
            </c:strRef>
          </c:tx>
          <c:spPr>
            <a:ln w="28575" cap="rnd">
              <a:solidFill>
                <a:srgbClr val="A77BCA"/>
              </a:solidFill>
              <a:prstDash val="sysDot"/>
              <a:round/>
            </a:ln>
            <a:effectLst/>
          </c:spPr>
          <c:marker>
            <c:symbol val="none"/>
          </c:marker>
          <c:cat>
            <c:strRef>
              <c:f>'6. Usuarios Internet 2023'!$C$3:$C$37</c:f>
              <c:strCache>
                <c:ptCount val="35"/>
                <c:pt idx="0">
                  <c:v>Guatemala</c:v>
                </c:pt>
                <c:pt idx="1">
                  <c:v>Nicaragua</c:v>
                </c:pt>
                <c:pt idx="2">
                  <c:v>Honduras</c:v>
                </c:pt>
                <c:pt idx="3">
                  <c:v>El Salvador</c:v>
                </c:pt>
                <c:pt idx="4">
                  <c:v>Santa Lucía</c:v>
                </c:pt>
                <c:pt idx="5">
                  <c:v>Bolivia</c:v>
                </c:pt>
                <c:pt idx="6">
                  <c:v>Cuba</c:v>
                </c:pt>
                <c:pt idx="7">
                  <c:v>Belice</c:v>
                </c:pt>
                <c:pt idx="8">
                  <c:v>Granada</c:v>
                </c:pt>
                <c:pt idx="9">
                  <c:v>San Vicente</c:v>
                </c:pt>
                <c:pt idx="10">
                  <c:v>Saint Kitts y Nevis</c:v>
                </c:pt>
                <c:pt idx="11">
                  <c:v>Ecuador (2024)</c:v>
                </c:pt>
                <c:pt idx="12">
                  <c:v>Colombia</c:v>
                </c:pt>
                <c:pt idx="13">
                  <c:v>Antigua y Barbuda</c:v>
                </c:pt>
                <c:pt idx="14">
                  <c:v>Panamá</c:v>
                </c:pt>
                <c:pt idx="15">
                  <c:v>Paraguay</c:v>
                </c:pt>
                <c:pt idx="16">
                  <c:v>Suriname</c:v>
                </c:pt>
                <c:pt idx="17">
                  <c:v>Perú</c:v>
                </c:pt>
                <c:pt idx="18">
                  <c:v>Barbados</c:v>
                </c:pt>
                <c:pt idx="19">
                  <c:v>México</c:v>
                </c:pt>
                <c:pt idx="20">
                  <c:v>Guyana</c:v>
                </c:pt>
                <c:pt idx="21">
                  <c:v>Jamaica</c:v>
                </c:pt>
                <c:pt idx="22">
                  <c:v>Dominica</c:v>
                </c:pt>
                <c:pt idx="23">
                  <c:v>Brasil</c:v>
                </c:pt>
                <c:pt idx="24">
                  <c:v>Rep. Dominicana </c:v>
                </c:pt>
                <c:pt idx="25">
                  <c:v>Trinidad y Tabago</c:v>
                </c:pt>
                <c:pt idx="26">
                  <c:v>Costa Rica</c:v>
                </c:pt>
                <c:pt idx="27">
                  <c:v>Argentina</c:v>
                </c:pt>
                <c:pt idx="28">
                  <c:v>Uruguay</c:v>
                </c:pt>
                <c:pt idx="29">
                  <c:v>Estados Unidos</c:v>
                </c:pt>
                <c:pt idx="30">
                  <c:v>Canadá</c:v>
                </c:pt>
                <c:pt idx="31">
                  <c:v>Chile</c:v>
                </c:pt>
                <c:pt idx="32">
                  <c:v>Bahamas</c:v>
                </c:pt>
                <c:pt idx="33">
                  <c:v>Haití</c:v>
                </c:pt>
                <c:pt idx="34">
                  <c:v>Venezuela</c:v>
                </c:pt>
              </c:strCache>
            </c:strRef>
          </c:cat>
          <c:val>
            <c:numRef>
              <c:f>'6. Usuarios Internet 2023'!$E$3:$E$37</c:f>
              <c:numCache>
                <c:formatCode>_-* #,##0.0_-;\-* #,##0.0_-;_-* "-"??_-;_-@_-</c:formatCode>
                <c:ptCount val="35"/>
                <c:pt idx="0">
                  <c:v>84.7</c:v>
                </c:pt>
                <c:pt idx="1">
                  <c:v>84.7</c:v>
                </c:pt>
                <c:pt idx="2">
                  <c:v>84.7</c:v>
                </c:pt>
                <c:pt idx="3">
                  <c:v>84.7</c:v>
                </c:pt>
                <c:pt idx="4">
                  <c:v>84.7</c:v>
                </c:pt>
                <c:pt idx="5">
                  <c:v>84.7</c:v>
                </c:pt>
                <c:pt idx="6">
                  <c:v>84.7</c:v>
                </c:pt>
                <c:pt idx="7">
                  <c:v>84.7</c:v>
                </c:pt>
                <c:pt idx="8">
                  <c:v>84.7</c:v>
                </c:pt>
                <c:pt idx="9">
                  <c:v>84.7</c:v>
                </c:pt>
                <c:pt idx="10">
                  <c:v>84.7</c:v>
                </c:pt>
                <c:pt idx="11">
                  <c:v>84.7</c:v>
                </c:pt>
                <c:pt idx="12">
                  <c:v>84.7</c:v>
                </c:pt>
                <c:pt idx="13">
                  <c:v>84.7</c:v>
                </c:pt>
                <c:pt idx="14">
                  <c:v>84.7</c:v>
                </c:pt>
                <c:pt idx="15">
                  <c:v>84.7</c:v>
                </c:pt>
                <c:pt idx="16">
                  <c:v>84.7</c:v>
                </c:pt>
                <c:pt idx="17">
                  <c:v>84.7</c:v>
                </c:pt>
                <c:pt idx="18">
                  <c:v>84.7</c:v>
                </c:pt>
                <c:pt idx="19">
                  <c:v>84.7</c:v>
                </c:pt>
                <c:pt idx="20">
                  <c:v>84.7</c:v>
                </c:pt>
                <c:pt idx="21">
                  <c:v>84.7</c:v>
                </c:pt>
                <c:pt idx="22">
                  <c:v>84.7</c:v>
                </c:pt>
                <c:pt idx="23">
                  <c:v>84.7</c:v>
                </c:pt>
                <c:pt idx="24">
                  <c:v>84.7</c:v>
                </c:pt>
                <c:pt idx="25">
                  <c:v>84.7</c:v>
                </c:pt>
                <c:pt idx="26">
                  <c:v>84.7</c:v>
                </c:pt>
                <c:pt idx="27">
                  <c:v>84.7</c:v>
                </c:pt>
                <c:pt idx="28">
                  <c:v>84.7</c:v>
                </c:pt>
                <c:pt idx="29">
                  <c:v>84.7</c:v>
                </c:pt>
                <c:pt idx="30">
                  <c:v>84.7</c:v>
                </c:pt>
                <c:pt idx="31">
                  <c:v>84.7</c:v>
                </c:pt>
                <c:pt idx="32">
                  <c:v>84.7</c:v>
                </c:pt>
                <c:pt idx="33">
                  <c:v>84.7</c:v>
                </c:pt>
                <c:pt idx="34">
                  <c:v>84.7</c:v>
                </c:pt>
              </c:numCache>
            </c:numRef>
          </c:val>
          <c:smooth val="0"/>
          <c:extLst>
            <c:ext xmlns:c16="http://schemas.microsoft.com/office/drawing/2014/chart" uri="{C3380CC4-5D6E-409C-BE32-E72D297353CC}">
              <c16:uniqueId val="{00000033-4396-407D-8D13-D32315EBCCE0}"/>
            </c:ext>
          </c:extLst>
        </c:ser>
        <c:ser>
          <c:idx val="2"/>
          <c:order val="2"/>
          <c:tx>
            <c:strRef>
              <c:f>'6. Usuarios Internet 2023'!$F$2</c:f>
              <c:strCache>
                <c:ptCount val="1"/>
                <c:pt idx="0">
                  <c:v>2018</c:v>
                </c:pt>
              </c:strCache>
            </c:strRef>
          </c:tx>
          <c:spPr>
            <a:ln w="28575" cap="rnd">
              <a:noFill/>
              <a:round/>
            </a:ln>
            <a:effectLst/>
          </c:spPr>
          <c:marker>
            <c:symbol val="dash"/>
            <c:size val="3"/>
            <c:spPr>
              <a:solidFill>
                <a:sysClr val="windowText" lastClr="000000">
                  <a:lumMod val="50000"/>
                  <a:lumOff val="50000"/>
                </a:sysClr>
              </a:solidFill>
              <a:ln w="9525">
                <a:noFill/>
              </a:ln>
              <a:effectLst/>
            </c:spPr>
          </c:marker>
          <c:dPt>
            <c:idx val="2"/>
            <c:marker>
              <c:symbol val="dash"/>
              <c:size val="3"/>
              <c:spPr>
                <a:solidFill>
                  <a:sysClr val="windowText" lastClr="000000">
                    <a:lumMod val="95000"/>
                    <a:lumOff val="5000"/>
                  </a:sysClr>
                </a:solidFill>
                <a:ln w="9525">
                  <a:noFill/>
                </a:ln>
                <a:effectLst/>
              </c:spPr>
            </c:marker>
            <c:bubble3D val="0"/>
            <c:extLst>
              <c:ext xmlns:c16="http://schemas.microsoft.com/office/drawing/2014/chart" uri="{C3380CC4-5D6E-409C-BE32-E72D297353CC}">
                <c16:uniqueId val="{00000034-4396-407D-8D13-D32315EBCCE0}"/>
              </c:ext>
            </c:extLst>
          </c:dPt>
          <c:dPt>
            <c:idx val="5"/>
            <c:marker>
              <c:symbol val="dash"/>
              <c:size val="3"/>
              <c:spPr>
                <a:solidFill>
                  <a:sysClr val="windowText" lastClr="000000">
                    <a:lumMod val="95000"/>
                    <a:lumOff val="5000"/>
                  </a:sysClr>
                </a:solidFill>
                <a:ln w="9525">
                  <a:noFill/>
                </a:ln>
                <a:effectLst/>
              </c:spPr>
            </c:marker>
            <c:bubble3D val="0"/>
            <c:extLst>
              <c:ext xmlns:c16="http://schemas.microsoft.com/office/drawing/2014/chart" uri="{C3380CC4-5D6E-409C-BE32-E72D297353CC}">
                <c16:uniqueId val="{00000035-4396-407D-8D13-D32315EBCCE0}"/>
              </c:ext>
            </c:extLst>
          </c:dPt>
          <c:dPt>
            <c:idx val="6"/>
            <c:marker>
              <c:symbol val="dash"/>
              <c:size val="3"/>
              <c:spPr>
                <a:solidFill>
                  <a:sysClr val="windowText" lastClr="000000">
                    <a:lumMod val="95000"/>
                    <a:lumOff val="5000"/>
                  </a:sysClr>
                </a:solidFill>
                <a:ln w="9525">
                  <a:noFill/>
                </a:ln>
                <a:effectLst/>
              </c:spPr>
            </c:marker>
            <c:bubble3D val="0"/>
            <c:extLst>
              <c:ext xmlns:c16="http://schemas.microsoft.com/office/drawing/2014/chart" uri="{C3380CC4-5D6E-409C-BE32-E72D297353CC}">
                <c16:uniqueId val="{00000036-4396-407D-8D13-D32315EBCCE0}"/>
              </c:ext>
            </c:extLst>
          </c:dPt>
          <c:dPt>
            <c:idx val="7"/>
            <c:marker>
              <c:symbol val="dash"/>
              <c:size val="3"/>
              <c:spPr>
                <a:solidFill>
                  <a:sysClr val="windowText" lastClr="000000">
                    <a:lumMod val="50000"/>
                    <a:lumOff val="50000"/>
                  </a:sysClr>
                </a:solidFill>
                <a:ln w="9525">
                  <a:noFill/>
                </a:ln>
                <a:effectLst/>
              </c:spPr>
            </c:marker>
            <c:bubble3D val="0"/>
            <c:extLst>
              <c:ext xmlns:c16="http://schemas.microsoft.com/office/drawing/2014/chart" uri="{C3380CC4-5D6E-409C-BE32-E72D297353CC}">
                <c16:uniqueId val="{00000037-4396-407D-8D13-D32315EBCCE0}"/>
              </c:ext>
            </c:extLst>
          </c:dPt>
          <c:dPt>
            <c:idx val="9"/>
            <c:marker>
              <c:symbol val="dash"/>
              <c:size val="3"/>
              <c:spPr>
                <a:solidFill>
                  <a:sysClr val="windowText" lastClr="000000">
                    <a:lumMod val="50000"/>
                    <a:lumOff val="50000"/>
                  </a:sysClr>
                </a:solidFill>
                <a:ln w="9525">
                  <a:noFill/>
                </a:ln>
                <a:effectLst/>
              </c:spPr>
            </c:marker>
            <c:bubble3D val="0"/>
            <c:spPr>
              <a:ln w="28575" cap="rnd">
                <a:noFill/>
                <a:round/>
              </a:ln>
              <a:effectLst/>
            </c:spPr>
            <c:extLst>
              <c:ext xmlns:c16="http://schemas.microsoft.com/office/drawing/2014/chart" uri="{C3380CC4-5D6E-409C-BE32-E72D297353CC}">
                <c16:uniqueId val="{00000039-4396-407D-8D13-D32315EBCCE0}"/>
              </c:ext>
            </c:extLst>
          </c:dPt>
          <c:dPt>
            <c:idx val="12"/>
            <c:marker>
              <c:symbol val="dash"/>
              <c:size val="3"/>
              <c:spPr>
                <a:solidFill>
                  <a:sysClr val="windowText" lastClr="000000">
                    <a:lumMod val="95000"/>
                    <a:lumOff val="5000"/>
                  </a:sysClr>
                </a:solidFill>
                <a:ln w="9525">
                  <a:noFill/>
                </a:ln>
                <a:effectLst/>
              </c:spPr>
            </c:marker>
            <c:bubble3D val="0"/>
            <c:extLst>
              <c:ext xmlns:c16="http://schemas.microsoft.com/office/drawing/2014/chart" uri="{C3380CC4-5D6E-409C-BE32-E72D297353CC}">
                <c16:uniqueId val="{0000003A-4396-407D-8D13-D32315EBCCE0}"/>
              </c:ext>
            </c:extLst>
          </c:dPt>
          <c:dPt>
            <c:idx val="13"/>
            <c:marker>
              <c:symbol val="dash"/>
              <c:size val="3"/>
              <c:spPr>
                <a:solidFill>
                  <a:sysClr val="windowText" lastClr="000000">
                    <a:lumMod val="50000"/>
                    <a:lumOff val="50000"/>
                  </a:sysClr>
                </a:solidFill>
                <a:ln w="9525">
                  <a:noFill/>
                </a:ln>
                <a:effectLst/>
              </c:spPr>
            </c:marker>
            <c:bubble3D val="0"/>
            <c:spPr>
              <a:ln w="28575" cap="rnd">
                <a:noFill/>
                <a:round/>
              </a:ln>
              <a:effectLst/>
            </c:spPr>
            <c:extLst>
              <c:ext xmlns:c16="http://schemas.microsoft.com/office/drawing/2014/chart" uri="{C3380CC4-5D6E-409C-BE32-E72D297353CC}">
                <c16:uniqueId val="{0000003C-4396-407D-8D13-D32315EBCCE0}"/>
              </c:ext>
            </c:extLst>
          </c:dPt>
          <c:dPt>
            <c:idx val="14"/>
            <c:marker>
              <c:symbol val="dash"/>
              <c:size val="3"/>
              <c:spPr>
                <a:solidFill>
                  <a:sysClr val="windowText" lastClr="000000">
                    <a:lumMod val="95000"/>
                    <a:lumOff val="5000"/>
                  </a:sysClr>
                </a:solidFill>
                <a:ln w="9525">
                  <a:noFill/>
                </a:ln>
                <a:effectLst/>
              </c:spPr>
            </c:marker>
            <c:bubble3D val="0"/>
            <c:extLst>
              <c:ext xmlns:c16="http://schemas.microsoft.com/office/drawing/2014/chart" uri="{C3380CC4-5D6E-409C-BE32-E72D297353CC}">
                <c16:uniqueId val="{0000003D-4396-407D-8D13-D32315EBCCE0}"/>
              </c:ext>
            </c:extLst>
          </c:dPt>
          <c:dPt>
            <c:idx val="15"/>
            <c:marker>
              <c:symbol val="dash"/>
              <c:size val="3"/>
              <c:spPr>
                <a:solidFill>
                  <a:sysClr val="windowText" lastClr="000000">
                    <a:lumMod val="95000"/>
                    <a:lumOff val="5000"/>
                  </a:sysClr>
                </a:solidFill>
                <a:ln w="9525">
                  <a:noFill/>
                </a:ln>
                <a:effectLst/>
              </c:spPr>
            </c:marker>
            <c:bubble3D val="0"/>
            <c:extLst>
              <c:ext xmlns:c16="http://schemas.microsoft.com/office/drawing/2014/chart" uri="{C3380CC4-5D6E-409C-BE32-E72D297353CC}">
                <c16:uniqueId val="{0000003E-4396-407D-8D13-D32315EBCCE0}"/>
              </c:ext>
            </c:extLst>
          </c:dPt>
          <c:dPt>
            <c:idx val="17"/>
            <c:marker>
              <c:symbol val="dash"/>
              <c:size val="3"/>
              <c:spPr>
                <a:solidFill>
                  <a:sysClr val="windowText" lastClr="000000">
                    <a:lumMod val="95000"/>
                    <a:lumOff val="5000"/>
                  </a:sysClr>
                </a:solidFill>
                <a:ln w="9525">
                  <a:noFill/>
                </a:ln>
                <a:effectLst/>
              </c:spPr>
            </c:marker>
            <c:bubble3D val="0"/>
            <c:extLst>
              <c:ext xmlns:c16="http://schemas.microsoft.com/office/drawing/2014/chart" uri="{C3380CC4-5D6E-409C-BE32-E72D297353CC}">
                <c16:uniqueId val="{0000003F-4396-407D-8D13-D32315EBCCE0}"/>
              </c:ext>
            </c:extLst>
          </c:dPt>
          <c:dPt>
            <c:idx val="19"/>
            <c:marker>
              <c:symbol val="dash"/>
              <c:size val="3"/>
              <c:spPr>
                <a:solidFill>
                  <a:sysClr val="windowText" lastClr="000000">
                    <a:lumMod val="95000"/>
                    <a:lumOff val="5000"/>
                  </a:sysClr>
                </a:solidFill>
                <a:ln w="9525">
                  <a:noFill/>
                </a:ln>
                <a:effectLst/>
              </c:spPr>
            </c:marker>
            <c:bubble3D val="0"/>
            <c:extLst>
              <c:ext xmlns:c16="http://schemas.microsoft.com/office/drawing/2014/chart" uri="{C3380CC4-5D6E-409C-BE32-E72D297353CC}">
                <c16:uniqueId val="{00000040-4396-407D-8D13-D32315EBCCE0}"/>
              </c:ext>
            </c:extLst>
          </c:dPt>
          <c:dPt>
            <c:idx val="21"/>
            <c:marker>
              <c:symbol val="dash"/>
              <c:size val="3"/>
              <c:spPr>
                <a:solidFill>
                  <a:sysClr val="windowText" lastClr="000000">
                    <a:lumMod val="95000"/>
                    <a:lumOff val="5000"/>
                  </a:sysClr>
                </a:solidFill>
                <a:ln w="9525">
                  <a:noFill/>
                </a:ln>
                <a:effectLst/>
              </c:spPr>
            </c:marker>
            <c:bubble3D val="0"/>
            <c:extLst>
              <c:ext xmlns:c16="http://schemas.microsoft.com/office/drawing/2014/chart" uri="{C3380CC4-5D6E-409C-BE32-E72D297353CC}">
                <c16:uniqueId val="{00000041-4396-407D-8D13-D32315EBCCE0}"/>
              </c:ext>
            </c:extLst>
          </c:dPt>
          <c:dPt>
            <c:idx val="23"/>
            <c:marker>
              <c:symbol val="dash"/>
              <c:size val="3"/>
              <c:spPr>
                <a:solidFill>
                  <a:sysClr val="windowText" lastClr="000000">
                    <a:lumMod val="95000"/>
                    <a:lumOff val="5000"/>
                  </a:sysClr>
                </a:solidFill>
                <a:ln w="9525">
                  <a:noFill/>
                </a:ln>
                <a:effectLst/>
              </c:spPr>
            </c:marker>
            <c:bubble3D val="0"/>
            <c:extLst>
              <c:ext xmlns:c16="http://schemas.microsoft.com/office/drawing/2014/chart" uri="{C3380CC4-5D6E-409C-BE32-E72D297353CC}">
                <c16:uniqueId val="{00000042-4396-407D-8D13-D32315EBCCE0}"/>
              </c:ext>
            </c:extLst>
          </c:dPt>
          <c:dPt>
            <c:idx val="24"/>
            <c:marker>
              <c:symbol val="dash"/>
              <c:size val="3"/>
              <c:spPr>
                <a:solidFill>
                  <a:sysClr val="windowText" lastClr="000000">
                    <a:lumMod val="95000"/>
                    <a:lumOff val="5000"/>
                  </a:sysClr>
                </a:solidFill>
                <a:ln w="9525">
                  <a:noFill/>
                </a:ln>
                <a:effectLst/>
              </c:spPr>
            </c:marker>
            <c:bubble3D val="0"/>
            <c:extLst>
              <c:ext xmlns:c16="http://schemas.microsoft.com/office/drawing/2014/chart" uri="{C3380CC4-5D6E-409C-BE32-E72D297353CC}">
                <c16:uniqueId val="{00000043-4396-407D-8D13-D32315EBCCE0}"/>
              </c:ext>
            </c:extLst>
          </c:dPt>
          <c:dPt>
            <c:idx val="26"/>
            <c:marker>
              <c:symbol val="dash"/>
              <c:size val="3"/>
              <c:spPr>
                <a:solidFill>
                  <a:sysClr val="windowText" lastClr="000000">
                    <a:lumMod val="95000"/>
                    <a:lumOff val="5000"/>
                  </a:sysClr>
                </a:solidFill>
                <a:ln w="9525">
                  <a:noFill/>
                </a:ln>
                <a:effectLst/>
              </c:spPr>
            </c:marker>
            <c:bubble3D val="0"/>
            <c:extLst>
              <c:ext xmlns:c16="http://schemas.microsoft.com/office/drawing/2014/chart" uri="{C3380CC4-5D6E-409C-BE32-E72D297353CC}">
                <c16:uniqueId val="{00000044-4396-407D-8D13-D32315EBCCE0}"/>
              </c:ext>
            </c:extLst>
          </c:dPt>
          <c:dPt>
            <c:idx val="27"/>
            <c:marker>
              <c:symbol val="dash"/>
              <c:size val="3"/>
              <c:spPr>
                <a:solidFill>
                  <a:sysClr val="windowText" lastClr="000000">
                    <a:lumMod val="95000"/>
                    <a:lumOff val="5000"/>
                  </a:sysClr>
                </a:solidFill>
                <a:ln w="9525">
                  <a:noFill/>
                </a:ln>
                <a:effectLst/>
              </c:spPr>
            </c:marker>
            <c:bubble3D val="0"/>
            <c:extLst>
              <c:ext xmlns:c16="http://schemas.microsoft.com/office/drawing/2014/chart" uri="{C3380CC4-5D6E-409C-BE32-E72D297353CC}">
                <c16:uniqueId val="{00000045-4396-407D-8D13-D32315EBCCE0}"/>
              </c:ext>
            </c:extLst>
          </c:dPt>
          <c:dPt>
            <c:idx val="28"/>
            <c:marker>
              <c:symbol val="dash"/>
              <c:size val="3"/>
              <c:spPr>
                <a:solidFill>
                  <a:sysClr val="windowText" lastClr="000000">
                    <a:lumMod val="95000"/>
                    <a:lumOff val="5000"/>
                  </a:sysClr>
                </a:solidFill>
                <a:ln w="9525">
                  <a:noFill/>
                </a:ln>
                <a:effectLst/>
              </c:spPr>
            </c:marker>
            <c:bubble3D val="0"/>
            <c:extLst>
              <c:ext xmlns:c16="http://schemas.microsoft.com/office/drawing/2014/chart" uri="{C3380CC4-5D6E-409C-BE32-E72D297353CC}">
                <c16:uniqueId val="{00000046-4396-407D-8D13-D32315EBCCE0}"/>
              </c:ext>
            </c:extLst>
          </c:dPt>
          <c:dPt>
            <c:idx val="29"/>
            <c:marker>
              <c:symbol val="dash"/>
              <c:size val="3"/>
              <c:spPr>
                <a:solidFill>
                  <a:sysClr val="windowText" lastClr="000000">
                    <a:lumMod val="95000"/>
                    <a:lumOff val="5000"/>
                  </a:sysClr>
                </a:solidFill>
                <a:ln w="9525">
                  <a:noFill/>
                </a:ln>
                <a:effectLst/>
              </c:spPr>
            </c:marker>
            <c:bubble3D val="0"/>
            <c:extLst>
              <c:ext xmlns:c16="http://schemas.microsoft.com/office/drawing/2014/chart" uri="{C3380CC4-5D6E-409C-BE32-E72D297353CC}">
                <c16:uniqueId val="{00000047-4396-407D-8D13-D32315EBCCE0}"/>
              </c:ext>
            </c:extLst>
          </c:dPt>
          <c:dPt>
            <c:idx val="30"/>
            <c:marker>
              <c:symbol val="dash"/>
              <c:size val="3"/>
              <c:spPr>
                <a:solidFill>
                  <a:sysClr val="windowText" lastClr="000000">
                    <a:lumMod val="95000"/>
                    <a:lumOff val="5000"/>
                  </a:sysClr>
                </a:solidFill>
                <a:ln w="9525">
                  <a:noFill/>
                </a:ln>
                <a:effectLst/>
              </c:spPr>
            </c:marker>
            <c:bubble3D val="0"/>
            <c:extLst>
              <c:ext xmlns:c16="http://schemas.microsoft.com/office/drawing/2014/chart" uri="{C3380CC4-5D6E-409C-BE32-E72D297353CC}">
                <c16:uniqueId val="{00000048-4396-407D-8D13-D32315EBCCE0}"/>
              </c:ext>
            </c:extLst>
          </c:dPt>
          <c:dPt>
            <c:idx val="33"/>
            <c:marker>
              <c:symbol val="dash"/>
              <c:size val="3"/>
              <c:spPr>
                <a:solidFill>
                  <a:sysClr val="windowText" lastClr="000000">
                    <a:lumMod val="95000"/>
                    <a:lumOff val="5000"/>
                  </a:sysClr>
                </a:solidFill>
                <a:ln w="9525">
                  <a:noFill/>
                </a:ln>
                <a:effectLst/>
              </c:spPr>
            </c:marker>
            <c:bubble3D val="0"/>
            <c:extLst>
              <c:ext xmlns:c16="http://schemas.microsoft.com/office/drawing/2014/chart" uri="{C3380CC4-5D6E-409C-BE32-E72D297353CC}">
                <c16:uniqueId val="{00000049-4396-407D-8D13-D32315EBCCE0}"/>
              </c:ext>
            </c:extLst>
          </c:dPt>
          <c:cat>
            <c:strRef>
              <c:f>'6. Usuarios Internet 2023'!$C$3:$C$37</c:f>
              <c:strCache>
                <c:ptCount val="35"/>
                <c:pt idx="0">
                  <c:v>Guatemala</c:v>
                </c:pt>
                <c:pt idx="1">
                  <c:v>Nicaragua</c:v>
                </c:pt>
                <c:pt idx="2">
                  <c:v>Honduras</c:v>
                </c:pt>
                <c:pt idx="3">
                  <c:v>El Salvador</c:v>
                </c:pt>
                <c:pt idx="4">
                  <c:v>Santa Lucía</c:v>
                </c:pt>
                <c:pt idx="5">
                  <c:v>Bolivia</c:v>
                </c:pt>
                <c:pt idx="6">
                  <c:v>Cuba</c:v>
                </c:pt>
                <c:pt idx="7">
                  <c:v>Belice</c:v>
                </c:pt>
                <c:pt idx="8">
                  <c:v>Granada</c:v>
                </c:pt>
                <c:pt idx="9">
                  <c:v>San Vicente</c:v>
                </c:pt>
                <c:pt idx="10">
                  <c:v>Saint Kitts y Nevis</c:v>
                </c:pt>
                <c:pt idx="11">
                  <c:v>Ecuador (2024)</c:v>
                </c:pt>
                <c:pt idx="12">
                  <c:v>Colombia</c:v>
                </c:pt>
                <c:pt idx="13">
                  <c:v>Antigua y Barbuda</c:v>
                </c:pt>
                <c:pt idx="14">
                  <c:v>Panamá</c:v>
                </c:pt>
                <c:pt idx="15">
                  <c:v>Paraguay</c:v>
                </c:pt>
                <c:pt idx="16">
                  <c:v>Suriname</c:v>
                </c:pt>
                <c:pt idx="17">
                  <c:v>Perú</c:v>
                </c:pt>
                <c:pt idx="18">
                  <c:v>Barbados</c:v>
                </c:pt>
                <c:pt idx="19">
                  <c:v>México</c:v>
                </c:pt>
                <c:pt idx="20">
                  <c:v>Guyana</c:v>
                </c:pt>
                <c:pt idx="21">
                  <c:v>Jamaica</c:v>
                </c:pt>
                <c:pt idx="22">
                  <c:v>Dominica</c:v>
                </c:pt>
                <c:pt idx="23">
                  <c:v>Brasil</c:v>
                </c:pt>
                <c:pt idx="24">
                  <c:v>Rep. Dominicana </c:v>
                </c:pt>
                <c:pt idx="25">
                  <c:v>Trinidad y Tabago</c:v>
                </c:pt>
                <c:pt idx="26">
                  <c:v>Costa Rica</c:v>
                </c:pt>
                <c:pt idx="27">
                  <c:v>Argentina</c:v>
                </c:pt>
                <c:pt idx="28">
                  <c:v>Uruguay</c:v>
                </c:pt>
                <c:pt idx="29">
                  <c:v>Estados Unidos</c:v>
                </c:pt>
                <c:pt idx="30">
                  <c:v>Canadá</c:v>
                </c:pt>
                <c:pt idx="31">
                  <c:v>Chile</c:v>
                </c:pt>
                <c:pt idx="32">
                  <c:v>Bahamas</c:v>
                </c:pt>
                <c:pt idx="33">
                  <c:v>Haití</c:v>
                </c:pt>
                <c:pt idx="34">
                  <c:v>Venezuela</c:v>
                </c:pt>
              </c:strCache>
            </c:strRef>
          </c:cat>
          <c:val>
            <c:numRef>
              <c:f>'6. Usuarios Internet 2023'!$F$3:$F$37</c:f>
              <c:numCache>
                <c:formatCode>0.0</c:formatCode>
                <c:ptCount val="35"/>
                <c:pt idx="0">
                  <c:v>41.5</c:v>
                </c:pt>
                <c:pt idx="1">
                  <c:v>33.912963498580197</c:v>
                </c:pt>
                <c:pt idx="2">
                  <c:v>36.040060823146803</c:v>
                </c:pt>
                <c:pt idx="3">
                  <c:v>43.8</c:v>
                </c:pt>
                <c:pt idx="4">
                  <c:v>60.112604293756398</c:v>
                </c:pt>
                <c:pt idx="5">
                  <c:v>44.286142202428302</c:v>
                </c:pt>
                <c:pt idx="6">
                  <c:v>62.678923623060101</c:v>
                </c:pt>
                <c:pt idx="7">
                  <c:v>53.593620779657599</c:v>
                </c:pt>
                <c:pt idx="8">
                  <c:v>61.4</c:v>
                </c:pt>
                <c:pt idx="9">
                  <c:v>56</c:v>
                </c:pt>
                <c:pt idx="10">
                  <c:v>68.599999999999994</c:v>
                </c:pt>
                <c:pt idx="11">
                  <c:v>57.5</c:v>
                </c:pt>
                <c:pt idx="12">
                  <c:v>64.126376820445898</c:v>
                </c:pt>
                <c:pt idx="13">
                  <c:v>72.963678623026397</c:v>
                </c:pt>
                <c:pt idx="14">
                  <c:v>61.8055313202468</c:v>
                </c:pt>
                <c:pt idx="15">
                  <c:v>64.993543023575597</c:v>
                </c:pt>
                <c:pt idx="16">
                  <c:v>55.1</c:v>
                </c:pt>
                <c:pt idx="17">
                  <c:v>55.054334244319698</c:v>
                </c:pt>
                <c:pt idx="18">
                  <c:v>72.400000000000006</c:v>
                </c:pt>
                <c:pt idx="19">
                  <c:v>56.6595667981289</c:v>
                </c:pt>
                <c:pt idx="20">
                  <c:v>48.598881462126698</c:v>
                </c:pt>
                <c:pt idx="21">
                  <c:v>68.214517087607206</c:v>
                </c:pt>
                <c:pt idx="23">
                  <c:v>70.434282540436101</c:v>
                </c:pt>
                <c:pt idx="24">
                  <c:v>74.822048359728399</c:v>
                </c:pt>
                <c:pt idx="25">
                  <c:v>72.8</c:v>
                </c:pt>
                <c:pt idx="26">
                  <c:v>73.479728436990598</c:v>
                </c:pt>
                <c:pt idx="27">
                  <c:v>77.7</c:v>
                </c:pt>
                <c:pt idx="28">
                  <c:v>80.726842879585405</c:v>
                </c:pt>
                <c:pt idx="29">
                  <c:v>88.498903165152001</c:v>
                </c:pt>
                <c:pt idx="30">
                  <c:v>94.64</c:v>
                </c:pt>
                <c:pt idx="31">
                  <c:v>84.9</c:v>
                </c:pt>
                <c:pt idx="32">
                  <c:v>83</c:v>
                </c:pt>
                <c:pt idx="33">
                  <c:v>32.473627130055696</c:v>
                </c:pt>
              </c:numCache>
            </c:numRef>
          </c:val>
          <c:smooth val="0"/>
          <c:extLst>
            <c:ext xmlns:c16="http://schemas.microsoft.com/office/drawing/2014/chart" uri="{C3380CC4-5D6E-409C-BE32-E72D297353CC}">
              <c16:uniqueId val="{0000004A-4396-407D-8D13-D32315EBCCE0}"/>
            </c:ext>
          </c:extLst>
        </c:ser>
        <c:dLbls>
          <c:showLegendKey val="0"/>
          <c:showVal val="0"/>
          <c:showCatName val="0"/>
          <c:showSerName val="0"/>
          <c:showPercent val="0"/>
          <c:showBubbleSize val="0"/>
        </c:dLbls>
        <c:marker val="1"/>
        <c:smooth val="0"/>
        <c:axId val="1942888335"/>
        <c:axId val="1892808655"/>
      </c:lineChart>
      <c:catAx>
        <c:axId val="1942888335"/>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892808655"/>
        <c:crosses val="autoZero"/>
        <c:auto val="1"/>
        <c:lblAlgn val="ctr"/>
        <c:lblOffset val="100"/>
        <c:noMultiLvlLbl val="0"/>
      </c:catAx>
      <c:valAx>
        <c:axId val="1892808655"/>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942888335"/>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'7. Usuarios Internet por sexo'!$D$4:$D$5</c:f>
              <c:strCache>
                <c:ptCount val="2"/>
                <c:pt idx="1">
                  <c:v>Mujeres</c:v>
                </c:pt>
              </c:strCache>
            </c:strRef>
          </c:tx>
          <c:spPr>
            <a:solidFill>
              <a:srgbClr val="6FA287"/>
            </a:solidFill>
            <a:ln>
              <a:noFill/>
            </a:ln>
            <a:effectLst/>
          </c:spPr>
          <c:invertIfNegative val="0"/>
          <c:dPt>
            <c:idx val="0"/>
            <c:invertIfNegative val="0"/>
            <c:bubble3D val="0"/>
            <c:spPr>
              <a:solidFill>
                <a:srgbClr val="A77BCA"/>
              </a:solidFill>
              <a:ln>
                <a:noFill/>
              </a:ln>
              <a:effectLst/>
            </c:spPr>
            <c:extLst>
              <c:ext xmlns:c16="http://schemas.microsoft.com/office/drawing/2014/chart" uri="{C3380CC4-5D6E-409C-BE32-E72D297353CC}">
                <c16:uniqueId val="{00000001-4259-4EC4-A9B4-DB646058BFC4}"/>
              </c:ext>
            </c:extLst>
          </c:dPt>
          <c:dPt>
            <c:idx val="1"/>
            <c:invertIfNegative val="0"/>
            <c:bubble3D val="0"/>
            <c:spPr>
              <a:solidFill>
                <a:srgbClr val="00A0DF"/>
              </a:solidFill>
              <a:ln>
                <a:noFill/>
              </a:ln>
              <a:effectLst/>
            </c:spPr>
            <c:extLst>
              <c:ext xmlns:c16="http://schemas.microsoft.com/office/drawing/2014/chart" uri="{C3380CC4-5D6E-409C-BE32-E72D297353CC}">
                <c16:uniqueId val="{00000003-4259-4EC4-A9B4-DB646058BFC4}"/>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 Usuarios Internet por sexo'!$A$6:$A$7</c:f>
              <c:strCache>
                <c:ptCount val="2"/>
                <c:pt idx="0">
                  <c:v> Américas </c:v>
                </c:pt>
                <c:pt idx="1">
                  <c:v> Mundo </c:v>
                </c:pt>
              </c:strCache>
            </c:strRef>
          </c:cat>
          <c:val>
            <c:numRef>
              <c:f>'7. Usuarios Internet por sexo'!$D$6:$D$7</c:f>
              <c:numCache>
                <c:formatCode>_-* #,##0_-;\-* #,##0_-;_-* "-"??_-;_-@_-</c:formatCode>
                <c:ptCount val="2"/>
                <c:pt idx="0">
                  <c:v>87.1</c:v>
                </c:pt>
                <c:pt idx="1">
                  <c:v>65.3</c:v>
                </c:pt>
              </c:numCache>
            </c:numRef>
          </c:val>
          <c:extLst>
            <c:ext xmlns:c16="http://schemas.microsoft.com/office/drawing/2014/chart" uri="{C3380CC4-5D6E-409C-BE32-E72D297353CC}">
              <c16:uniqueId val="{00000004-4259-4EC4-A9B4-DB646058BFC4}"/>
            </c:ext>
          </c:extLst>
        </c:ser>
        <c:ser>
          <c:idx val="3"/>
          <c:order val="1"/>
          <c:tx>
            <c:strRef>
              <c:f>'7. Usuarios Internet por sexo'!$E$4:$E$5</c:f>
              <c:strCache>
                <c:ptCount val="2"/>
                <c:pt idx="1">
                  <c:v>Hombres</c:v>
                </c:pt>
              </c:strCache>
            </c:strRef>
          </c:tx>
          <c:spPr>
            <a:solidFill>
              <a:srgbClr val="0070C0"/>
            </a:solidFill>
            <a:ln>
              <a:noFill/>
            </a:ln>
            <a:effectLst/>
          </c:spPr>
          <c:invertIfNegative val="0"/>
          <c:dPt>
            <c:idx val="0"/>
            <c:invertIfNegative val="0"/>
            <c:bubble3D val="0"/>
            <c:spPr>
              <a:solidFill>
                <a:srgbClr val="403A60"/>
              </a:solidFill>
              <a:ln>
                <a:noFill/>
              </a:ln>
              <a:effectLst/>
            </c:spPr>
            <c:extLst>
              <c:ext xmlns:c16="http://schemas.microsoft.com/office/drawing/2014/chart" uri="{C3380CC4-5D6E-409C-BE32-E72D297353CC}">
                <c16:uniqueId val="{00000006-4259-4EC4-A9B4-DB646058BFC4}"/>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 Usuarios Internet por sexo'!$A$6:$A$7</c:f>
              <c:strCache>
                <c:ptCount val="2"/>
                <c:pt idx="0">
                  <c:v> Américas </c:v>
                </c:pt>
                <c:pt idx="1">
                  <c:v> Mundo </c:v>
                </c:pt>
              </c:strCache>
            </c:strRef>
          </c:cat>
          <c:val>
            <c:numRef>
              <c:f>'7. Usuarios Internet por sexo'!$E$6:$E$7</c:f>
              <c:numCache>
                <c:formatCode>_-* #,##0_-;\-* #,##0_-;_-* "-"??_-;_-@_-</c:formatCode>
                <c:ptCount val="2"/>
                <c:pt idx="0">
                  <c:v>85.5</c:v>
                </c:pt>
                <c:pt idx="1">
                  <c:v>69.5</c:v>
                </c:pt>
              </c:numCache>
            </c:numRef>
          </c:val>
          <c:extLst>
            <c:ext xmlns:c16="http://schemas.microsoft.com/office/drawing/2014/chart" uri="{C3380CC4-5D6E-409C-BE32-E72D297353CC}">
              <c16:uniqueId val="{00000007-4259-4EC4-A9B4-DB646058BFC4}"/>
            </c:ext>
          </c:extLst>
        </c:ser>
        <c:dLbls>
          <c:showLegendKey val="0"/>
          <c:showVal val="0"/>
          <c:showCatName val="0"/>
          <c:showSerName val="0"/>
          <c:showPercent val="0"/>
          <c:showBubbleSize val="0"/>
        </c:dLbls>
        <c:gapWidth val="219"/>
        <c:overlap val="-27"/>
        <c:axId val="1730554495"/>
        <c:axId val="1730538655"/>
      </c:barChart>
      <c:barChart>
        <c:barDir val="col"/>
        <c:grouping val="clustered"/>
        <c:varyColors val="0"/>
        <c:ser>
          <c:idx val="0"/>
          <c:order val="2"/>
          <c:tx>
            <c:strRef>
              <c:f>'7. Usuarios Internet por sexo'!$B$4:$B$5</c:f>
              <c:strCache>
                <c:ptCount val="2"/>
              </c:strCache>
            </c:strRef>
          </c:tx>
          <c:spPr>
            <a:noFill/>
            <a:ln>
              <a:noFill/>
            </a:ln>
            <a:effectLst>
              <a:outerShdw dist="25400" dir="16200000" algn="ctr" rotWithShape="0">
                <a:schemeClr val="tx1"/>
              </a:outerShdw>
            </a:effectLst>
          </c:spPr>
          <c:invertIfNegative val="0"/>
          <c:dLbls>
            <c:dLbl>
              <c:idx val="0"/>
              <c:tx>
                <c:rich>
                  <a:bodyPr/>
                  <a:lstStyle/>
                  <a:p>
                    <a:fld id="{9348613B-C207-4ADC-99EF-CAF7080264B0}" type="CELLRANGE">
                      <a:rPr lang="en-US"/>
                      <a:pPr/>
                      <a:t>[CELLRANGE]</a:t>
                    </a:fld>
                    <a:endParaRPr lang="en-GB"/>
                  </a:p>
                </c:rich>
              </c:tx>
              <c:dLblPos val="in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4259-4EC4-A9B4-DB646058BFC4}"/>
                </c:ext>
              </c:extLst>
            </c:dLbl>
            <c:dLbl>
              <c:idx val="1"/>
              <c:tx>
                <c:rich>
                  <a:bodyPr/>
                  <a:lstStyle/>
                  <a:p>
                    <a:fld id="{19D9998F-400A-4FAF-9DD0-91B323CC9C21}" type="CELLRANGE">
                      <a:rPr lang="en-GB"/>
                      <a:pPr/>
                      <a:t>[CELLRANGE]</a:t>
                    </a:fld>
                    <a:endParaRPr lang="en-GB"/>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4259-4EC4-A9B4-DB646058BFC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venir Next LT Pro Demi" panose="020B0704020202020204" pitchFamily="34" charset="0"/>
                    <a:ea typeface="+mn-ea"/>
                    <a:cs typeface="+mn-cs"/>
                  </a:defRPr>
                </a:pPr>
                <a:endParaRPr lang="en-US"/>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'7. Usuarios Internet por sexo'!$A$6:$A$7</c:f>
              <c:strCache>
                <c:ptCount val="2"/>
                <c:pt idx="0">
                  <c:v> Américas </c:v>
                </c:pt>
                <c:pt idx="1">
                  <c:v> Mundo </c:v>
                </c:pt>
              </c:strCache>
            </c:strRef>
          </c:cat>
          <c:val>
            <c:numRef>
              <c:f>'7. Usuarios Internet por sexo'!$B$6:$B$7</c:f>
              <c:numCache>
                <c:formatCode>_-* #,##0_-;\-* #,##0_-;_-* "-"??_-;_-@_-</c:formatCode>
                <c:ptCount val="2"/>
                <c:pt idx="0">
                  <c:v>75.5</c:v>
                </c:pt>
                <c:pt idx="1">
                  <c:v>50.4</c:v>
                </c:pt>
              </c:numCache>
            </c:numRef>
          </c:val>
          <c:extLst>
            <c:ext xmlns:c15="http://schemas.microsoft.com/office/drawing/2012/chart" uri="{02D57815-91ED-43cb-92C2-25804820EDAC}">
              <c15:datalabelsRange>
                <c15:f>'7. Usuarios Internet por sexo'!$G$6:$G$7</c15:f>
                <c15:dlblRangeCache>
                  <c:ptCount val="2"/>
                  <c:pt idx="0">
                    <c:v>2019: 76</c:v>
                  </c:pt>
                  <c:pt idx="1">
                    <c:v>2019: 50</c:v>
                  </c:pt>
                </c15:dlblRangeCache>
              </c15:datalabelsRange>
            </c:ext>
            <c:ext xmlns:c16="http://schemas.microsoft.com/office/drawing/2014/chart" uri="{C3380CC4-5D6E-409C-BE32-E72D297353CC}">
              <c16:uniqueId val="{0000000A-4259-4EC4-A9B4-DB646058BFC4}"/>
            </c:ext>
          </c:extLst>
        </c:ser>
        <c:ser>
          <c:idx val="1"/>
          <c:order val="3"/>
          <c:tx>
            <c:strRef>
              <c:f>'7. Usuarios Internet por sexo'!$C$4:$C$5</c:f>
              <c:strCache>
                <c:ptCount val="2"/>
              </c:strCache>
            </c:strRef>
          </c:tx>
          <c:spPr>
            <a:noFill/>
            <a:ln>
              <a:noFill/>
            </a:ln>
            <a:effectLst>
              <a:outerShdw dist="25400" dir="16200000" algn="ctr" rotWithShape="0">
                <a:schemeClr val="tx1"/>
              </a:outerShdw>
            </a:effectLst>
          </c:spPr>
          <c:invertIfNegative val="0"/>
          <c:dLbls>
            <c:dLbl>
              <c:idx val="0"/>
              <c:tx>
                <c:rich>
                  <a:bodyPr/>
                  <a:lstStyle/>
                  <a:p>
                    <a:fld id="{2F0D0473-5223-44FE-B106-BF196FC77027}" type="CELLRANGE">
                      <a:rPr lang="en-US"/>
                      <a:pPr/>
                      <a:t>[CELLRANGE]</a:t>
                    </a:fld>
                    <a:endParaRPr lang="en-GB"/>
                  </a:p>
                </c:rich>
              </c:tx>
              <c:dLblPos val="in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4259-4EC4-A9B4-DB646058BFC4}"/>
                </c:ext>
              </c:extLst>
            </c:dLbl>
            <c:dLbl>
              <c:idx val="1"/>
              <c:tx>
                <c:rich>
                  <a:bodyPr/>
                  <a:lstStyle/>
                  <a:p>
                    <a:fld id="{FB4AFD3F-23BB-42AC-B632-A8B2D98D5091}" type="CELLRANGE">
                      <a:rPr lang="en-GB"/>
                      <a:pPr/>
                      <a:t>[CELLRANGE]</a:t>
                    </a:fld>
                    <a:endParaRPr lang="en-GB"/>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4259-4EC4-A9B4-DB646058BFC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venir Next LT Pro Demi" panose="020B0704020202020204" pitchFamily="34" charset="0"/>
                    <a:ea typeface="+mn-ea"/>
                    <a:cs typeface="+mn-cs"/>
                  </a:defRPr>
                </a:pPr>
                <a:endParaRPr lang="en-US"/>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'7. Usuarios Internet por sexo'!$A$6:$A$7</c:f>
              <c:strCache>
                <c:ptCount val="2"/>
                <c:pt idx="0">
                  <c:v> Américas </c:v>
                </c:pt>
                <c:pt idx="1">
                  <c:v> Mundo </c:v>
                </c:pt>
              </c:strCache>
            </c:strRef>
          </c:cat>
          <c:val>
            <c:numRef>
              <c:f>'7. Usuarios Internet por sexo'!$C$6:$C$7</c:f>
              <c:numCache>
                <c:formatCode>_-* #,##0_-;\-* #,##0_-;_-* "-"??_-;_-@_-</c:formatCode>
                <c:ptCount val="2"/>
                <c:pt idx="0">
                  <c:v>76.400000000000006</c:v>
                </c:pt>
                <c:pt idx="1">
                  <c:v>55.5</c:v>
                </c:pt>
              </c:numCache>
            </c:numRef>
          </c:val>
          <c:extLst>
            <c:ext xmlns:c15="http://schemas.microsoft.com/office/drawing/2012/chart" uri="{02D57815-91ED-43cb-92C2-25804820EDAC}">
              <c15:datalabelsRange>
                <c15:f>'7. Usuarios Internet por sexo'!$H$6:$H$7</c15:f>
                <c15:dlblRangeCache>
                  <c:ptCount val="2"/>
                  <c:pt idx="0">
                    <c:v>2019: 76</c:v>
                  </c:pt>
                  <c:pt idx="1">
                    <c:v>2019: 56</c:v>
                  </c:pt>
                </c15:dlblRangeCache>
              </c15:datalabelsRange>
            </c:ext>
            <c:ext xmlns:c16="http://schemas.microsoft.com/office/drawing/2014/chart" uri="{C3380CC4-5D6E-409C-BE32-E72D297353CC}">
              <c16:uniqueId val="{0000000D-4259-4EC4-A9B4-DB646058BFC4}"/>
            </c:ext>
          </c:extLst>
        </c:ser>
        <c:dLbls>
          <c:showLegendKey val="0"/>
          <c:showVal val="0"/>
          <c:showCatName val="0"/>
          <c:showSerName val="0"/>
          <c:showPercent val="0"/>
          <c:showBubbleSize val="0"/>
        </c:dLbls>
        <c:gapWidth val="219"/>
        <c:overlap val="-27"/>
        <c:axId val="826222559"/>
        <c:axId val="826205759"/>
      </c:barChart>
      <c:catAx>
        <c:axId val="1730554495"/>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730538655"/>
        <c:crosses val="autoZero"/>
        <c:auto val="1"/>
        <c:lblAlgn val="ctr"/>
        <c:lblOffset val="100"/>
        <c:noMultiLvlLbl val="0"/>
      </c:catAx>
      <c:valAx>
        <c:axId val="1730538655"/>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730554495"/>
        <c:crosses val="autoZero"/>
        <c:crossBetween val="between"/>
        <c:majorUnit val="20"/>
      </c:valAx>
      <c:valAx>
        <c:axId val="826205759"/>
        <c:scaling>
          <c:orientation val="minMax"/>
          <c:max val="100"/>
          <c:min val="0"/>
        </c:scaling>
        <c:delete val="1"/>
        <c:axPos val="r"/>
        <c:numFmt formatCode="_-* #,##0_-;\-* #,##0_-;_-* &quot;-&quot;??_-;_-@_-" sourceLinked="1"/>
        <c:majorTickMark val="out"/>
        <c:minorTickMark val="none"/>
        <c:tickLblPos val="nextTo"/>
        <c:crossAx val="826222559"/>
        <c:crosses val="max"/>
        <c:crossBetween val="between"/>
      </c:valAx>
      <c:catAx>
        <c:axId val="826222559"/>
        <c:scaling>
          <c:orientation val="minMax"/>
        </c:scaling>
        <c:delete val="1"/>
        <c:axPos val="b"/>
        <c:numFmt formatCode="General" sourceLinked="1"/>
        <c:majorTickMark val="out"/>
        <c:minorTickMark val="none"/>
        <c:tickLblPos val="nextTo"/>
        <c:crossAx val="826205759"/>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579295865633076E-2"/>
          <c:y val="9.4074074074074074E-2"/>
          <c:w val="0.91885933462532299"/>
          <c:h val="0.80554074074074078"/>
        </c:manualLayout>
      </c:layout>
      <c:barChart>
        <c:barDir val="col"/>
        <c:grouping val="clustered"/>
        <c:varyColors val="0"/>
        <c:ser>
          <c:idx val="2"/>
          <c:order val="0"/>
          <c:tx>
            <c:strRef>
              <c:f>'9. Usuarios jóvenes'!$D$4:$D$5</c:f>
              <c:strCache>
                <c:ptCount val="2"/>
                <c:pt idx="1">
                  <c:v>Jóvenes 
(15-24)</c:v>
                </c:pt>
              </c:strCache>
            </c:strRef>
          </c:tx>
          <c:spPr>
            <a:solidFill>
              <a:srgbClr val="6FA287"/>
            </a:solidFill>
            <a:ln>
              <a:noFill/>
            </a:ln>
            <a:effectLst/>
          </c:spPr>
          <c:invertIfNegative val="0"/>
          <c:dPt>
            <c:idx val="0"/>
            <c:invertIfNegative val="0"/>
            <c:bubble3D val="0"/>
            <c:spPr>
              <a:solidFill>
                <a:srgbClr val="A77BCA"/>
              </a:solidFill>
              <a:ln>
                <a:noFill/>
              </a:ln>
              <a:effectLst/>
            </c:spPr>
            <c:extLst>
              <c:ext xmlns:c16="http://schemas.microsoft.com/office/drawing/2014/chart" uri="{C3380CC4-5D6E-409C-BE32-E72D297353CC}">
                <c16:uniqueId val="{00000001-1B88-43C6-BBF9-10C673217AFA}"/>
              </c:ext>
            </c:extLst>
          </c:dPt>
          <c:dPt>
            <c:idx val="1"/>
            <c:invertIfNegative val="0"/>
            <c:bubble3D val="0"/>
            <c:spPr>
              <a:solidFill>
                <a:srgbClr val="00A0DF"/>
              </a:solidFill>
              <a:ln>
                <a:noFill/>
              </a:ln>
              <a:effectLst/>
            </c:spPr>
            <c:extLst>
              <c:ext xmlns:c16="http://schemas.microsoft.com/office/drawing/2014/chart" uri="{C3380CC4-5D6E-409C-BE32-E72D297353CC}">
                <c16:uniqueId val="{00000003-1B88-43C6-BBF9-10C673217AFA}"/>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Usuarios jóvenes'!$A$6:$A$7</c:f>
              <c:strCache>
                <c:ptCount val="2"/>
                <c:pt idx="0">
                  <c:v> Américas </c:v>
                </c:pt>
                <c:pt idx="1">
                  <c:v> Mundo </c:v>
                </c:pt>
              </c:strCache>
            </c:strRef>
          </c:cat>
          <c:val>
            <c:numRef>
              <c:f>'9. Usuarios jóvenes'!$D$6:$D$7</c:f>
              <c:numCache>
                <c:formatCode>_-* #,##0_-;\-* #,##0_-;_-* "-"??_-;_-@_-</c:formatCode>
                <c:ptCount val="2"/>
                <c:pt idx="0">
                  <c:v>94.8</c:v>
                </c:pt>
                <c:pt idx="1">
                  <c:v>78.5</c:v>
                </c:pt>
              </c:numCache>
            </c:numRef>
          </c:val>
          <c:extLst>
            <c:ext xmlns:c16="http://schemas.microsoft.com/office/drawing/2014/chart" uri="{C3380CC4-5D6E-409C-BE32-E72D297353CC}">
              <c16:uniqueId val="{00000004-1B88-43C6-BBF9-10C673217AFA}"/>
            </c:ext>
          </c:extLst>
        </c:ser>
        <c:ser>
          <c:idx val="3"/>
          <c:order val="1"/>
          <c:tx>
            <c:strRef>
              <c:f>'9. Usuarios jóvenes'!$E$4:$E$5</c:f>
              <c:strCache>
                <c:ptCount val="2"/>
                <c:pt idx="1">
                  <c:v>Resto de la población</c:v>
                </c:pt>
              </c:strCache>
            </c:strRef>
          </c:tx>
          <c:spPr>
            <a:solidFill>
              <a:srgbClr val="0070C0"/>
            </a:solidFill>
            <a:ln>
              <a:noFill/>
            </a:ln>
            <a:effectLst/>
          </c:spPr>
          <c:invertIfNegative val="0"/>
          <c:dPt>
            <c:idx val="0"/>
            <c:invertIfNegative val="0"/>
            <c:bubble3D val="0"/>
            <c:spPr>
              <a:solidFill>
                <a:srgbClr val="403A60"/>
              </a:solidFill>
              <a:ln>
                <a:noFill/>
              </a:ln>
              <a:effectLst/>
            </c:spPr>
            <c:extLst>
              <c:ext xmlns:c16="http://schemas.microsoft.com/office/drawing/2014/chart" uri="{C3380CC4-5D6E-409C-BE32-E72D297353CC}">
                <c16:uniqueId val="{00000006-1B88-43C6-BBF9-10C673217AFA}"/>
              </c:ext>
            </c:extLst>
          </c:dPt>
          <c:dLbls>
            <c:dLbl>
              <c:idx val="0"/>
              <c:layout>
                <c:manualLayout>
                  <c:x val="4.058366986622531E-3"/>
                  <c:y val="9.4075925925925924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0.15633836235305396"/>
                      <c:h val="0.1289285185185185"/>
                    </c:manualLayout>
                  </c15:layout>
                </c:ext>
                <c:ext xmlns:c16="http://schemas.microsoft.com/office/drawing/2014/chart" uri="{C3380CC4-5D6E-409C-BE32-E72D297353CC}">
                  <c16:uniqueId val="{00000006-1B88-43C6-BBF9-10C673217AFA}"/>
                </c:ext>
              </c:extLst>
            </c:dLbl>
            <c:dLbl>
              <c:idx val="1"/>
              <c:layout>
                <c:manualLayout>
                  <c:x val="0"/>
                  <c:y val="1.4111111111111111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0.15838937338501294"/>
                      <c:h val="0.12892851851851853"/>
                    </c:manualLayout>
                  </c15:layout>
                </c:ext>
                <c:ext xmlns:c16="http://schemas.microsoft.com/office/drawing/2014/chart" uri="{C3380CC4-5D6E-409C-BE32-E72D297353CC}">
                  <c16:uniqueId val="{00000007-1B88-43C6-BBF9-10C673217AF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'9. Usuarios jóvenes'!$A$6:$A$7</c:f>
              <c:strCache>
                <c:ptCount val="2"/>
                <c:pt idx="0">
                  <c:v> Américas </c:v>
                </c:pt>
                <c:pt idx="1">
                  <c:v> Mundo </c:v>
                </c:pt>
              </c:strCache>
            </c:strRef>
          </c:cat>
          <c:val>
            <c:numRef>
              <c:f>'9. Usuarios jóvenes'!$E$6:$E$7</c:f>
              <c:numCache>
                <c:formatCode>_-* #,##0_-;\-* #,##0_-;_-* "-"??_-;_-@_-</c:formatCode>
                <c:ptCount val="2"/>
                <c:pt idx="0">
                  <c:v>85.1</c:v>
                </c:pt>
                <c:pt idx="1">
                  <c:v>65.599999999999994</c:v>
                </c:pt>
              </c:numCache>
            </c:numRef>
          </c:val>
          <c:extLst>
            <c:ext xmlns:c16="http://schemas.microsoft.com/office/drawing/2014/chart" uri="{C3380CC4-5D6E-409C-BE32-E72D297353CC}">
              <c16:uniqueId val="{00000008-1B88-43C6-BBF9-10C673217AFA}"/>
            </c:ext>
          </c:extLst>
        </c:ser>
        <c:dLbls>
          <c:showLegendKey val="0"/>
          <c:showVal val="0"/>
          <c:showCatName val="0"/>
          <c:showSerName val="0"/>
          <c:showPercent val="0"/>
          <c:showBubbleSize val="0"/>
        </c:dLbls>
        <c:gapWidth val="219"/>
        <c:overlap val="-27"/>
        <c:axId val="1730554495"/>
        <c:axId val="1730538655"/>
      </c:barChart>
      <c:barChart>
        <c:barDir val="col"/>
        <c:grouping val="clustered"/>
        <c:varyColors val="0"/>
        <c:ser>
          <c:idx val="0"/>
          <c:order val="2"/>
          <c:tx>
            <c:strRef>
              <c:f>'9. Usuarios jóvenes'!$B$4:$B$5</c:f>
              <c:strCache>
                <c:ptCount val="2"/>
              </c:strCache>
            </c:strRef>
          </c:tx>
          <c:spPr>
            <a:noFill/>
            <a:ln>
              <a:noFill/>
            </a:ln>
            <a:effectLst>
              <a:outerShdw dist="25400" dir="16200000" algn="ctr" rotWithShape="0">
                <a:schemeClr val="tx1"/>
              </a:outerShdw>
            </a:effectLst>
          </c:spPr>
          <c:invertIfNegative val="0"/>
          <c:dLbls>
            <c:dLbl>
              <c:idx val="0"/>
              <c:tx>
                <c:rich>
                  <a:bodyPr/>
                  <a:lstStyle/>
                  <a:p>
                    <a:fld id="{6ACA1ED8-B07C-400E-8259-3CC35E82D9FD}" type="CELLRANGE">
                      <a:rPr lang="en-US"/>
                      <a:pPr/>
                      <a:t>[CELLRANGE]</a:t>
                    </a:fld>
                    <a:endParaRPr lang="en-GB"/>
                  </a:p>
                </c:rich>
              </c:tx>
              <c:dLblPos val="in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1B88-43C6-BBF9-10C673217AFA}"/>
                </c:ext>
              </c:extLst>
            </c:dLbl>
            <c:dLbl>
              <c:idx val="1"/>
              <c:tx>
                <c:rich>
                  <a:bodyPr/>
                  <a:lstStyle/>
                  <a:p>
                    <a:fld id="{C2E224A4-7A10-43E2-9475-273B3AAD1F38}" type="CELLRANGE">
                      <a:rPr lang="en-GB"/>
                      <a:pPr/>
                      <a:t>[CELLRANGE]</a:t>
                    </a:fld>
                    <a:endParaRPr lang="en-GB"/>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1B88-43C6-BBF9-10C673217AF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venir Next LT Pro Demi" panose="020B0704020202020204" pitchFamily="34" charset="0"/>
                    <a:ea typeface="+mn-ea"/>
                    <a:cs typeface="+mn-cs"/>
                  </a:defRPr>
                </a:pPr>
                <a:endParaRPr lang="en-US"/>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'9. Usuarios jóvenes'!$A$6:$A$7</c:f>
              <c:strCache>
                <c:ptCount val="2"/>
                <c:pt idx="0">
                  <c:v> Américas </c:v>
                </c:pt>
                <c:pt idx="1">
                  <c:v> Mundo </c:v>
                </c:pt>
              </c:strCache>
            </c:strRef>
          </c:cat>
          <c:val>
            <c:numRef>
              <c:f>'9. Usuarios jóvenes'!$B$6:$B$7</c:f>
              <c:numCache>
                <c:formatCode>_-* #,##0_-;\-* #,##0_-;_-* "-"??_-;_-@_-</c:formatCode>
                <c:ptCount val="2"/>
                <c:pt idx="0">
                  <c:v>93.2</c:v>
                </c:pt>
                <c:pt idx="1">
                  <c:v>74.2</c:v>
                </c:pt>
              </c:numCache>
            </c:numRef>
          </c:val>
          <c:extLst>
            <c:ext xmlns:c15="http://schemas.microsoft.com/office/drawing/2012/chart" uri="{02D57815-91ED-43cb-92C2-25804820EDAC}">
              <c15:datalabelsRange>
                <c15:f>'9. Usuarios jóvenes'!$G$6:$G$7</c15:f>
                <c15:dlblRangeCache>
                  <c:ptCount val="2"/>
                  <c:pt idx="0">
                    <c:v>2021: 93</c:v>
                  </c:pt>
                  <c:pt idx="1">
                    <c:v>2021: 74</c:v>
                  </c:pt>
                </c15:dlblRangeCache>
              </c15:datalabelsRange>
            </c:ext>
            <c:ext xmlns:c16="http://schemas.microsoft.com/office/drawing/2014/chart" uri="{C3380CC4-5D6E-409C-BE32-E72D297353CC}">
              <c16:uniqueId val="{0000000B-1B88-43C6-BBF9-10C673217AFA}"/>
            </c:ext>
          </c:extLst>
        </c:ser>
        <c:ser>
          <c:idx val="1"/>
          <c:order val="3"/>
          <c:tx>
            <c:strRef>
              <c:f>'9. Usuarios jóvenes'!$C$4:$C$5</c:f>
              <c:strCache>
                <c:ptCount val="2"/>
              </c:strCache>
            </c:strRef>
          </c:tx>
          <c:spPr>
            <a:noFill/>
            <a:ln>
              <a:noFill/>
            </a:ln>
            <a:effectLst>
              <a:outerShdw dist="25400" dir="16200000" algn="ctr" rotWithShape="0">
                <a:schemeClr val="tx1"/>
              </a:outerShdw>
            </a:effectLst>
          </c:spPr>
          <c:invertIfNegative val="0"/>
          <c:dLbls>
            <c:dLbl>
              <c:idx val="0"/>
              <c:tx>
                <c:rich>
                  <a:bodyPr/>
                  <a:lstStyle/>
                  <a:p>
                    <a:fld id="{BCB357D8-2A55-4B78-9EF5-286AEF75853C}" type="CELLRANGE">
                      <a:rPr lang="en-US"/>
                      <a:pPr/>
                      <a:t>[CELLRANGE]</a:t>
                    </a:fld>
                    <a:endParaRPr lang="en-GB"/>
                  </a:p>
                </c:rich>
              </c:tx>
              <c:dLblPos val="in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1B88-43C6-BBF9-10C673217AFA}"/>
                </c:ext>
              </c:extLst>
            </c:dLbl>
            <c:dLbl>
              <c:idx val="1"/>
              <c:tx>
                <c:rich>
                  <a:bodyPr/>
                  <a:lstStyle/>
                  <a:p>
                    <a:fld id="{65872D02-6DA4-4152-897A-73C4D81AF0F6}" type="CELLRANGE">
                      <a:rPr lang="en-GB"/>
                      <a:pPr/>
                      <a:t>[CELLRANGE]</a:t>
                    </a:fld>
                    <a:endParaRPr lang="en-GB"/>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1B88-43C6-BBF9-10C673217AF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venir Next LT Pro Demi" panose="020B0704020202020204" pitchFamily="34" charset="0"/>
                    <a:ea typeface="+mn-ea"/>
                    <a:cs typeface="+mn-cs"/>
                  </a:defRPr>
                </a:pPr>
                <a:endParaRPr lang="en-US"/>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'9. Usuarios jóvenes'!$A$6:$A$7</c:f>
              <c:strCache>
                <c:ptCount val="2"/>
                <c:pt idx="0">
                  <c:v> Américas </c:v>
                </c:pt>
                <c:pt idx="1">
                  <c:v> Mundo </c:v>
                </c:pt>
              </c:strCache>
            </c:strRef>
          </c:cat>
          <c:val>
            <c:numRef>
              <c:f>'9. Usuarios jóvenes'!$C$6:$C$7</c:f>
              <c:numCache>
                <c:formatCode>_-* #,##0_-;\-* #,##0_-;_-* "-"??_-;_-@_-</c:formatCode>
                <c:ptCount val="2"/>
                <c:pt idx="0">
                  <c:v>79.900000000000006</c:v>
                </c:pt>
                <c:pt idx="1">
                  <c:v>59.4</c:v>
                </c:pt>
              </c:numCache>
            </c:numRef>
          </c:val>
          <c:extLst>
            <c:ext xmlns:c15="http://schemas.microsoft.com/office/drawing/2012/chart" uri="{02D57815-91ED-43cb-92C2-25804820EDAC}">
              <c15:datalabelsRange>
                <c15:f>'9. Usuarios jóvenes'!$H$6:$H$7</c15:f>
                <c15:dlblRangeCache>
                  <c:ptCount val="2"/>
                  <c:pt idx="0">
                    <c:v>2021: 80</c:v>
                  </c:pt>
                  <c:pt idx="1">
                    <c:v>2021: 59</c:v>
                  </c:pt>
                </c15:dlblRangeCache>
              </c15:datalabelsRange>
            </c:ext>
            <c:ext xmlns:c16="http://schemas.microsoft.com/office/drawing/2014/chart" uri="{C3380CC4-5D6E-409C-BE32-E72D297353CC}">
              <c16:uniqueId val="{0000000E-1B88-43C6-BBF9-10C673217AFA}"/>
            </c:ext>
          </c:extLst>
        </c:ser>
        <c:dLbls>
          <c:showLegendKey val="0"/>
          <c:showVal val="0"/>
          <c:showCatName val="0"/>
          <c:showSerName val="0"/>
          <c:showPercent val="0"/>
          <c:showBubbleSize val="0"/>
        </c:dLbls>
        <c:gapWidth val="219"/>
        <c:overlap val="-27"/>
        <c:axId val="826222559"/>
        <c:axId val="826205759"/>
      </c:barChart>
      <c:catAx>
        <c:axId val="1730554495"/>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730538655"/>
        <c:crosses val="autoZero"/>
        <c:auto val="1"/>
        <c:lblAlgn val="ctr"/>
        <c:lblOffset val="100"/>
        <c:noMultiLvlLbl val="0"/>
      </c:catAx>
      <c:valAx>
        <c:axId val="1730538655"/>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730554495"/>
        <c:crosses val="autoZero"/>
        <c:crossBetween val="between"/>
        <c:majorUnit val="20"/>
      </c:valAx>
      <c:valAx>
        <c:axId val="826205759"/>
        <c:scaling>
          <c:orientation val="minMax"/>
          <c:max val="100"/>
          <c:min val="0"/>
        </c:scaling>
        <c:delete val="1"/>
        <c:axPos val="r"/>
        <c:numFmt formatCode="_-* #,##0_-;\-* #,##0_-;_-* &quot;-&quot;??_-;_-@_-" sourceLinked="1"/>
        <c:majorTickMark val="out"/>
        <c:minorTickMark val="none"/>
        <c:tickLblPos val="nextTo"/>
        <c:crossAx val="826222559"/>
        <c:crosses val="max"/>
        <c:crossBetween val="between"/>
      </c:valAx>
      <c:catAx>
        <c:axId val="826222559"/>
        <c:scaling>
          <c:orientation val="minMax"/>
        </c:scaling>
        <c:delete val="1"/>
        <c:axPos val="b"/>
        <c:numFmt formatCode="General" sourceLinked="1"/>
        <c:majorTickMark val="out"/>
        <c:minorTickMark val="none"/>
        <c:tickLblPos val="nextTo"/>
        <c:crossAx val="826205759"/>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4"/>
          <c:order val="4"/>
          <c:tx>
            <c:strRef>
              <c:f>'10. Usuarios por edades'!$H$6:$H$7</c:f>
              <c:strCache>
                <c:ptCount val="2"/>
                <c:pt idx="1">
                  <c:v>14 o menos años</c:v>
                </c:pt>
              </c:strCache>
            </c:strRef>
          </c:tx>
          <c:spPr>
            <a:solidFill>
              <a:schemeClr val="accent5">
                <a:lumMod val="40000"/>
                <a:lumOff val="60000"/>
              </a:schemeClr>
            </a:solidFill>
            <a:ln>
              <a:noFill/>
            </a:ln>
            <a:effectLst/>
          </c:spPr>
          <c:invertIfNegative val="0"/>
          <c:cat>
            <c:strRef>
              <c:f>'10. Usuarios por edades'!$C$8:$C$21</c:f>
              <c:strCache>
                <c:ptCount val="14"/>
                <c:pt idx="0">
                  <c:v>El Salvador (2020)</c:v>
                </c:pt>
                <c:pt idx="1">
                  <c:v>Bolivia (2021)</c:v>
                </c:pt>
                <c:pt idx="2">
                  <c:v>Rep. Dominicana (2022)</c:v>
                </c:pt>
                <c:pt idx="3">
                  <c:v>Colombia</c:v>
                </c:pt>
                <c:pt idx="4">
                  <c:v>Ecuador (2024)</c:v>
                </c:pt>
                <c:pt idx="5">
                  <c:v>Paraguay</c:v>
                </c:pt>
                <c:pt idx="6">
                  <c:v>Perú</c:v>
                </c:pt>
                <c:pt idx="7">
                  <c:v>Argentina (2021)</c:v>
                </c:pt>
                <c:pt idx="8">
                  <c:v>Brasil</c:v>
                </c:pt>
                <c:pt idx="9">
                  <c:v>Jamaica (2021)</c:v>
                </c:pt>
                <c:pt idx="10">
                  <c:v>Costa Rica</c:v>
                </c:pt>
                <c:pt idx="11">
                  <c:v>México</c:v>
                </c:pt>
                <c:pt idx="12">
                  <c:v>Canadá (2022)</c:v>
                </c:pt>
                <c:pt idx="13">
                  <c:v>Uruguay (2022)</c:v>
                </c:pt>
              </c:strCache>
            </c:strRef>
          </c:cat>
          <c:val>
            <c:numRef>
              <c:f>'10. Usuarios por edades'!$H$8:$H$21</c:f>
              <c:numCache>
                <c:formatCode>0</c:formatCode>
                <c:ptCount val="14"/>
                <c:pt idx="0">
                  <c:v>49.860120126954499</c:v>
                </c:pt>
                <c:pt idx="1">
                  <c:v>63.127021013645603</c:v>
                </c:pt>
                <c:pt idx="2">
                  <c:v>88.547027001340496</c:v>
                </c:pt>
                <c:pt idx="3">
                  <c:v>70.514368193775397</c:v>
                </c:pt>
                <c:pt idx="4">
                  <c:v>74.912854044479104</c:v>
                </c:pt>
                <c:pt idx="5">
                  <c:v>44.025985610429899</c:v>
                </c:pt>
                <c:pt idx="6">
                  <c:v>86.929330801067294</c:v>
                </c:pt>
                <c:pt idx="7">
                  <c:v>84.8162266618411</c:v>
                </c:pt>
                <c:pt idx="8">
                  <c:v>90.769692911783494</c:v>
                </c:pt>
                <c:pt idx="9">
                  <c:v>80.707326797968406</c:v>
                </c:pt>
                <c:pt idx="10">
                  <c:v>65.235812194468096</c:v>
                </c:pt>
                <c:pt idx="11">
                  <c:v>77.656679528780202</c:v>
                </c:pt>
              </c:numCache>
            </c:numRef>
          </c:val>
          <c:extLst>
            <c:ext xmlns:c16="http://schemas.microsoft.com/office/drawing/2014/chart" uri="{C3380CC4-5D6E-409C-BE32-E72D297353CC}">
              <c16:uniqueId val="{00000000-0A8C-4199-BF2B-8F9C078D1687}"/>
            </c:ext>
          </c:extLst>
        </c:ser>
        <c:ser>
          <c:idx val="5"/>
          <c:order val="5"/>
          <c:tx>
            <c:strRef>
              <c:f>'10. Usuarios por edades'!$I$6:$I$7</c:f>
              <c:strCache>
                <c:ptCount val="2"/>
                <c:pt idx="1">
                  <c:v>15 a 24 años</c:v>
                </c:pt>
              </c:strCache>
            </c:strRef>
          </c:tx>
          <c:spPr>
            <a:solidFill>
              <a:srgbClr val="A77BCA"/>
            </a:solidFill>
            <a:ln>
              <a:noFill/>
            </a:ln>
            <a:effectLst/>
          </c:spPr>
          <c:invertIfNegative val="0"/>
          <c:cat>
            <c:strRef>
              <c:f>'10. Usuarios por edades'!$C$8:$C$21</c:f>
              <c:strCache>
                <c:ptCount val="14"/>
                <c:pt idx="0">
                  <c:v>El Salvador (2020)</c:v>
                </c:pt>
                <c:pt idx="1">
                  <c:v>Bolivia (2021)</c:v>
                </c:pt>
                <c:pt idx="2">
                  <c:v>Rep. Dominicana (2022)</c:v>
                </c:pt>
                <c:pt idx="3">
                  <c:v>Colombia</c:v>
                </c:pt>
                <c:pt idx="4">
                  <c:v>Ecuador (2024)</c:v>
                </c:pt>
                <c:pt idx="5">
                  <c:v>Paraguay</c:v>
                </c:pt>
                <c:pt idx="6">
                  <c:v>Perú</c:v>
                </c:pt>
                <c:pt idx="7">
                  <c:v>Argentina (2021)</c:v>
                </c:pt>
                <c:pt idx="8">
                  <c:v>Brasil</c:v>
                </c:pt>
                <c:pt idx="9">
                  <c:v>Jamaica (2021)</c:v>
                </c:pt>
                <c:pt idx="10">
                  <c:v>Costa Rica</c:v>
                </c:pt>
                <c:pt idx="11">
                  <c:v>México</c:v>
                </c:pt>
                <c:pt idx="12">
                  <c:v>Canadá (2022)</c:v>
                </c:pt>
                <c:pt idx="13">
                  <c:v>Uruguay (2022)</c:v>
                </c:pt>
              </c:strCache>
            </c:strRef>
          </c:cat>
          <c:val>
            <c:numRef>
              <c:f>'10. Usuarios por edades'!$I$8:$I$21</c:f>
              <c:numCache>
                <c:formatCode>0</c:formatCode>
                <c:ptCount val="14"/>
                <c:pt idx="0">
                  <c:v>77.281581256566696</c:v>
                </c:pt>
                <c:pt idx="1">
                  <c:v>85.760866198208703</c:v>
                </c:pt>
                <c:pt idx="2">
                  <c:v>91.153339862982094</c:v>
                </c:pt>
                <c:pt idx="3">
                  <c:v>91.347227712134298</c:v>
                </c:pt>
                <c:pt idx="4">
                  <c:v>91.415426033311505</c:v>
                </c:pt>
                <c:pt idx="5">
                  <c:v>91.544010449120506</c:v>
                </c:pt>
                <c:pt idx="6">
                  <c:v>93.745939287431895</c:v>
                </c:pt>
                <c:pt idx="7">
                  <c:v>94.758218492384103</c:v>
                </c:pt>
                <c:pt idx="8">
                  <c:v>95.210970494776106</c:v>
                </c:pt>
                <c:pt idx="9">
                  <c:v>95.351055684977197</c:v>
                </c:pt>
                <c:pt idx="10">
                  <c:v>95.708678226972594</c:v>
                </c:pt>
                <c:pt idx="11">
                  <c:v>96.322450019576905</c:v>
                </c:pt>
                <c:pt idx="12">
                  <c:v>99</c:v>
                </c:pt>
                <c:pt idx="13">
                  <c:v>100</c:v>
                </c:pt>
              </c:numCache>
            </c:numRef>
          </c:val>
          <c:extLst>
            <c:ext xmlns:c16="http://schemas.microsoft.com/office/drawing/2014/chart" uri="{C3380CC4-5D6E-409C-BE32-E72D297353CC}">
              <c16:uniqueId val="{00000001-0A8C-4199-BF2B-8F9C078D1687}"/>
            </c:ext>
          </c:extLst>
        </c:ser>
        <c:ser>
          <c:idx val="6"/>
          <c:order val="6"/>
          <c:tx>
            <c:strRef>
              <c:f>'10. Usuarios por edades'!$J$6:$J$7</c:f>
              <c:strCache>
                <c:ptCount val="2"/>
                <c:pt idx="1">
                  <c:v>25 a 74 años</c:v>
                </c:pt>
              </c:strCache>
            </c:strRef>
          </c:tx>
          <c:spPr>
            <a:solidFill>
              <a:schemeClr val="accent5">
                <a:lumMod val="75000"/>
              </a:schemeClr>
            </a:solidFill>
            <a:ln>
              <a:noFill/>
            </a:ln>
            <a:effectLst/>
          </c:spPr>
          <c:invertIfNegative val="0"/>
          <c:cat>
            <c:strRef>
              <c:f>'10. Usuarios por edades'!$C$8:$C$21</c:f>
              <c:strCache>
                <c:ptCount val="14"/>
                <c:pt idx="0">
                  <c:v>El Salvador (2020)</c:v>
                </c:pt>
                <c:pt idx="1">
                  <c:v>Bolivia (2021)</c:v>
                </c:pt>
                <c:pt idx="2">
                  <c:v>Rep. Dominicana (2022)</c:v>
                </c:pt>
                <c:pt idx="3">
                  <c:v>Colombia</c:v>
                </c:pt>
                <c:pt idx="4">
                  <c:v>Ecuador (2024)</c:v>
                </c:pt>
                <c:pt idx="5">
                  <c:v>Paraguay</c:v>
                </c:pt>
                <c:pt idx="6">
                  <c:v>Perú</c:v>
                </c:pt>
                <c:pt idx="7">
                  <c:v>Argentina (2021)</c:v>
                </c:pt>
                <c:pt idx="8">
                  <c:v>Brasil</c:v>
                </c:pt>
                <c:pt idx="9">
                  <c:v>Jamaica (2021)</c:v>
                </c:pt>
                <c:pt idx="10">
                  <c:v>Costa Rica</c:v>
                </c:pt>
                <c:pt idx="11">
                  <c:v>México</c:v>
                </c:pt>
                <c:pt idx="12">
                  <c:v>Canadá (2022)</c:v>
                </c:pt>
                <c:pt idx="13">
                  <c:v>Uruguay (2022)</c:v>
                </c:pt>
              </c:strCache>
            </c:strRef>
          </c:cat>
          <c:val>
            <c:numRef>
              <c:f>'10. Usuarios por edades'!$J$8:$J$21</c:f>
              <c:numCache>
                <c:formatCode>0</c:formatCode>
                <c:ptCount val="14"/>
                <c:pt idx="0">
                  <c:v>52.050880639601097</c:v>
                </c:pt>
                <c:pt idx="1">
                  <c:v>63.108409783638898</c:v>
                </c:pt>
                <c:pt idx="2">
                  <c:v>82.502111038112105</c:v>
                </c:pt>
                <c:pt idx="3">
                  <c:v>79.049217114514605</c:v>
                </c:pt>
                <c:pt idx="4">
                  <c:v>78.215625163066406</c:v>
                </c:pt>
                <c:pt idx="5">
                  <c:v>82.962783496432394</c:v>
                </c:pt>
                <c:pt idx="6">
                  <c:v>78.006581234984594</c:v>
                </c:pt>
                <c:pt idx="7">
                  <c:v>89.501147873946906</c:v>
                </c:pt>
                <c:pt idx="8">
                  <c:v>84.137111054701904</c:v>
                </c:pt>
                <c:pt idx="9">
                  <c:v>82.687852009683695</c:v>
                </c:pt>
                <c:pt idx="10">
                  <c:v>91.052039218245795</c:v>
                </c:pt>
                <c:pt idx="11">
                  <c:v>81.222482357840306</c:v>
                </c:pt>
                <c:pt idx="12">
                  <c:v>97</c:v>
                </c:pt>
                <c:pt idx="13">
                  <c:v>92.368538754640696</c:v>
                </c:pt>
              </c:numCache>
            </c:numRef>
          </c:val>
          <c:extLst>
            <c:ext xmlns:c16="http://schemas.microsoft.com/office/drawing/2014/chart" uri="{C3380CC4-5D6E-409C-BE32-E72D297353CC}">
              <c16:uniqueId val="{00000002-0A8C-4199-BF2B-8F9C078D1687}"/>
            </c:ext>
          </c:extLst>
        </c:ser>
        <c:ser>
          <c:idx val="7"/>
          <c:order val="7"/>
          <c:tx>
            <c:strRef>
              <c:f>'10. Usuarios por edades'!$K$6:$K$7</c:f>
              <c:strCache>
                <c:ptCount val="2"/>
                <c:pt idx="1">
                  <c:v>75 o más años</c:v>
                </c:pt>
              </c:strCache>
            </c:strRef>
          </c:tx>
          <c:spPr>
            <a:solidFill>
              <a:srgbClr val="403A60"/>
            </a:solidFill>
            <a:ln>
              <a:noFill/>
            </a:ln>
            <a:effectLst/>
          </c:spPr>
          <c:invertIfNegative val="0"/>
          <c:cat>
            <c:strRef>
              <c:f>'10. Usuarios por edades'!$C$8:$C$21</c:f>
              <c:strCache>
                <c:ptCount val="14"/>
                <c:pt idx="0">
                  <c:v>El Salvador (2020)</c:v>
                </c:pt>
                <c:pt idx="1">
                  <c:v>Bolivia (2021)</c:v>
                </c:pt>
                <c:pt idx="2">
                  <c:v>Rep. Dominicana (2022)</c:v>
                </c:pt>
                <c:pt idx="3">
                  <c:v>Colombia</c:v>
                </c:pt>
                <c:pt idx="4">
                  <c:v>Ecuador (2024)</c:v>
                </c:pt>
                <c:pt idx="5">
                  <c:v>Paraguay</c:v>
                </c:pt>
                <c:pt idx="6">
                  <c:v>Perú</c:v>
                </c:pt>
                <c:pt idx="7">
                  <c:v>Argentina (2021)</c:v>
                </c:pt>
                <c:pt idx="8">
                  <c:v>Brasil</c:v>
                </c:pt>
                <c:pt idx="9">
                  <c:v>Jamaica (2021)</c:v>
                </c:pt>
                <c:pt idx="10">
                  <c:v>Costa Rica</c:v>
                </c:pt>
                <c:pt idx="11">
                  <c:v>México</c:v>
                </c:pt>
                <c:pt idx="12">
                  <c:v>Canadá (2022)</c:v>
                </c:pt>
                <c:pt idx="13">
                  <c:v>Uruguay (2022)</c:v>
                </c:pt>
              </c:strCache>
            </c:strRef>
          </c:cat>
          <c:val>
            <c:numRef>
              <c:f>'10. Usuarios por edades'!$K$8:$K$21</c:f>
              <c:numCache>
                <c:formatCode>0</c:formatCode>
                <c:ptCount val="14"/>
                <c:pt idx="0">
                  <c:v>9.8836038519872194</c:v>
                </c:pt>
                <c:pt idx="1">
                  <c:v>13.6956480763532</c:v>
                </c:pt>
                <c:pt idx="2">
                  <c:v>28.624762029734999</c:v>
                </c:pt>
                <c:pt idx="3">
                  <c:v>26.421878245779801</c:v>
                </c:pt>
                <c:pt idx="4">
                  <c:v>20.364979477628602</c:v>
                </c:pt>
                <c:pt idx="5">
                  <c:v>21.821426706318199</c:v>
                </c:pt>
                <c:pt idx="6">
                  <c:v>19.164985738322201</c:v>
                </c:pt>
                <c:pt idx="7">
                  <c:v>42.186072367389997</c:v>
                </c:pt>
                <c:pt idx="8">
                  <c:v>28.252409412427198</c:v>
                </c:pt>
                <c:pt idx="9">
                  <c:v>34.933918209114701</c:v>
                </c:pt>
                <c:pt idx="10">
                  <c:v>42.478541968565402</c:v>
                </c:pt>
                <c:pt idx="11">
                  <c:v>23.0531622340613</c:v>
                </c:pt>
                <c:pt idx="12">
                  <c:v>72</c:v>
                </c:pt>
                <c:pt idx="13">
                  <c:v>40.915861487154501</c:v>
                </c:pt>
              </c:numCache>
            </c:numRef>
          </c:val>
          <c:extLst>
            <c:ext xmlns:c16="http://schemas.microsoft.com/office/drawing/2014/chart" uri="{C3380CC4-5D6E-409C-BE32-E72D297353CC}">
              <c16:uniqueId val="{00000003-0A8C-4199-BF2B-8F9C078D1687}"/>
            </c:ext>
          </c:extLst>
        </c:ser>
        <c:dLbls>
          <c:showLegendKey val="0"/>
          <c:showVal val="0"/>
          <c:showCatName val="0"/>
          <c:showSerName val="0"/>
          <c:showPercent val="0"/>
          <c:showBubbleSize val="0"/>
        </c:dLbls>
        <c:gapWidth val="219"/>
        <c:overlap val="-27"/>
        <c:axId val="1730554495"/>
        <c:axId val="1730538655"/>
      </c:barChart>
      <c:barChart>
        <c:barDir val="col"/>
        <c:grouping val="clustered"/>
        <c:varyColors val="0"/>
        <c:ser>
          <c:idx val="0"/>
          <c:order val="0"/>
          <c:tx>
            <c:strRef>
              <c:f>'10. Usuarios por edades'!$D$6:$D$7</c:f>
              <c:strCache>
                <c:ptCount val="2"/>
                <c:pt idx="1">
                  <c:v>14 o menos años</c:v>
                </c:pt>
              </c:strCache>
            </c:strRef>
          </c:tx>
          <c:spPr>
            <a:noFill/>
            <a:ln>
              <a:noFill/>
            </a:ln>
            <a:effectLst>
              <a:outerShdw dist="25400" dir="16200000" algn="ctr" rotWithShape="0">
                <a:schemeClr val="tx1"/>
              </a:outerShdw>
            </a:effectLst>
          </c:spPr>
          <c:invertIfNegative val="0"/>
          <c:cat>
            <c:strRef>
              <c:f>'10. Usuarios por edades'!$C$8:$C$21</c:f>
              <c:strCache>
                <c:ptCount val="14"/>
                <c:pt idx="0">
                  <c:v>El Salvador (2020)</c:v>
                </c:pt>
                <c:pt idx="1">
                  <c:v>Bolivia (2021)</c:v>
                </c:pt>
                <c:pt idx="2">
                  <c:v>Rep. Dominicana (2022)</c:v>
                </c:pt>
                <c:pt idx="3">
                  <c:v>Colombia</c:v>
                </c:pt>
                <c:pt idx="4">
                  <c:v>Ecuador (2024)</c:v>
                </c:pt>
                <c:pt idx="5">
                  <c:v>Paraguay</c:v>
                </c:pt>
                <c:pt idx="6">
                  <c:v>Perú</c:v>
                </c:pt>
                <c:pt idx="7">
                  <c:v>Argentina (2021)</c:v>
                </c:pt>
                <c:pt idx="8">
                  <c:v>Brasil</c:v>
                </c:pt>
                <c:pt idx="9">
                  <c:v>Jamaica (2021)</c:v>
                </c:pt>
                <c:pt idx="10">
                  <c:v>Costa Rica</c:v>
                </c:pt>
                <c:pt idx="11">
                  <c:v>México</c:v>
                </c:pt>
                <c:pt idx="12">
                  <c:v>Canadá (2022)</c:v>
                </c:pt>
                <c:pt idx="13">
                  <c:v>Uruguay (2022)</c:v>
                </c:pt>
              </c:strCache>
            </c:strRef>
          </c:cat>
          <c:val>
            <c:numRef>
              <c:f>'10. Usuarios por edades'!$D$8:$D$21</c:f>
              <c:numCache>
                <c:formatCode>0</c:formatCode>
                <c:ptCount val="14"/>
                <c:pt idx="1">
                  <c:v>23.086178948343498</c:v>
                </c:pt>
                <c:pt idx="2">
                  <c:v>65.917094508246294</c:v>
                </c:pt>
                <c:pt idx="3">
                  <c:v>60.410751900357198</c:v>
                </c:pt>
                <c:pt idx="5">
                  <c:v>35.452983591763797</c:v>
                </c:pt>
                <c:pt idx="6">
                  <c:v>43.419788885809098</c:v>
                </c:pt>
                <c:pt idx="8">
                  <c:v>82.154294103050205</c:v>
                </c:pt>
                <c:pt idx="11">
                  <c:v>50.579643010763597</c:v>
                </c:pt>
                <c:pt idx="13">
                  <c:v>55.251727051339401</c:v>
                </c:pt>
              </c:numCache>
            </c:numRef>
          </c:val>
          <c:extLst>
            <c:ext xmlns:c16="http://schemas.microsoft.com/office/drawing/2014/chart" uri="{C3380CC4-5D6E-409C-BE32-E72D297353CC}">
              <c16:uniqueId val="{00000004-0A8C-4199-BF2B-8F9C078D1687}"/>
            </c:ext>
          </c:extLst>
        </c:ser>
        <c:ser>
          <c:idx val="1"/>
          <c:order val="1"/>
          <c:tx>
            <c:strRef>
              <c:f>'10. Usuarios por edades'!$E$6:$E$7</c:f>
              <c:strCache>
                <c:ptCount val="2"/>
                <c:pt idx="1">
                  <c:v>15 a 24 años</c:v>
                </c:pt>
              </c:strCache>
            </c:strRef>
          </c:tx>
          <c:spPr>
            <a:noFill/>
            <a:ln>
              <a:noFill/>
            </a:ln>
            <a:effectLst>
              <a:outerShdw dist="25400" dir="16200000" algn="ctr" rotWithShape="0">
                <a:schemeClr val="tx1"/>
              </a:outerShdw>
            </a:effectLst>
          </c:spPr>
          <c:invertIfNegative val="0"/>
          <c:cat>
            <c:strRef>
              <c:f>'10. Usuarios por edades'!$C$8:$C$21</c:f>
              <c:strCache>
                <c:ptCount val="14"/>
                <c:pt idx="0">
                  <c:v>El Salvador (2020)</c:v>
                </c:pt>
                <c:pt idx="1">
                  <c:v>Bolivia (2021)</c:v>
                </c:pt>
                <c:pt idx="2">
                  <c:v>Rep. Dominicana (2022)</c:v>
                </c:pt>
                <c:pt idx="3">
                  <c:v>Colombia</c:v>
                </c:pt>
                <c:pt idx="4">
                  <c:v>Ecuador (2024)</c:v>
                </c:pt>
                <c:pt idx="5">
                  <c:v>Paraguay</c:v>
                </c:pt>
                <c:pt idx="6">
                  <c:v>Perú</c:v>
                </c:pt>
                <c:pt idx="7">
                  <c:v>Argentina (2021)</c:v>
                </c:pt>
                <c:pt idx="8">
                  <c:v>Brasil</c:v>
                </c:pt>
                <c:pt idx="9">
                  <c:v>Jamaica (2021)</c:v>
                </c:pt>
                <c:pt idx="10">
                  <c:v>Costa Rica</c:v>
                </c:pt>
                <c:pt idx="11">
                  <c:v>México</c:v>
                </c:pt>
                <c:pt idx="12">
                  <c:v>Canadá (2022)</c:v>
                </c:pt>
                <c:pt idx="13">
                  <c:v>Uruguay (2022)</c:v>
                </c:pt>
              </c:strCache>
            </c:strRef>
          </c:cat>
          <c:val>
            <c:numRef>
              <c:f>'10. Usuarios por edades'!$E$8:$E$21</c:f>
              <c:numCache>
                <c:formatCode>0</c:formatCode>
                <c:ptCount val="14"/>
                <c:pt idx="1">
                  <c:v>76.907902917982895</c:v>
                </c:pt>
                <c:pt idx="2">
                  <c:v>91.543967752360203</c:v>
                </c:pt>
                <c:pt idx="3">
                  <c:v>84.220540298549196</c:v>
                </c:pt>
                <c:pt idx="5">
                  <c:v>84.821680772489998</c:v>
                </c:pt>
                <c:pt idx="6">
                  <c:v>79.279780244474793</c:v>
                </c:pt>
                <c:pt idx="8">
                  <c:v>89.908857992490198</c:v>
                </c:pt>
                <c:pt idx="11">
                  <c:v>76.227898438095707</c:v>
                </c:pt>
                <c:pt idx="13">
                  <c:v>94.382897448717202</c:v>
                </c:pt>
              </c:numCache>
            </c:numRef>
          </c:val>
          <c:extLst>
            <c:ext xmlns:c16="http://schemas.microsoft.com/office/drawing/2014/chart" uri="{C3380CC4-5D6E-409C-BE32-E72D297353CC}">
              <c16:uniqueId val="{00000005-0A8C-4199-BF2B-8F9C078D1687}"/>
            </c:ext>
          </c:extLst>
        </c:ser>
        <c:ser>
          <c:idx val="2"/>
          <c:order val="2"/>
          <c:tx>
            <c:strRef>
              <c:f>'10. Usuarios por edades'!$F$6:$F$7</c:f>
              <c:strCache>
                <c:ptCount val="2"/>
                <c:pt idx="1">
                  <c:v>25 a 74 años</c:v>
                </c:pt>
              </c:strCache>
            </c:strRef>
          </c:tx>
          <c:spPr>
            <a:noFill/>
            <a:ln>
              <a:noFill/>
            </a:ln>
            <a:effectLst>
              <a:outerShdw dist="25400" dir="16200000" algn="ctr" rotWithShape="0">
                <a:schemeClr val="tx1"/>
              </a:outerShdw>
            </a:effectLst>
          </c:spPr>
          <c:invertIfNegative val="0"/>
          <c:dPt>
            <c:idx val="3"/>
            <c:invertIfNegative val="0"/>
            <c:bubble3D val="0"/>
            <c:spPr>
              <a:noFill/>
              <a:ln>
                <a:noFill/>
              </a:ln>
              <a:effectLst>
                <a:outerShdw dist="25400" dir="16200000" algn="ctr" rotWithShape="0">
                  <a:schemeClr val="tx1"/>
                </a:outerShdw>
              </a:effectLst>
            </c:spPr>
            <c:extLst>
              <c:ext xmlns:c16="http://schemas.microsoft.com/office/drawing/2014/chart" uri="{C3380CC4-5D6E-409C-BE32-E72D297353CC}">
                <c16:uniqueId val="{00000007-0A8C-4199-BF2B-8F9C078D1687}"/>
              </c:ext>
            </c:extLst>
          </c:dPt>
          <c:cat>
            <c:strRef>
              <c:f>'10. Usuarios por edades'!$C$8:$C$21</c:f>
              <c:strCache>
                <c:ptCount val="14"/>
                <c:pt idx="0">
                  <c:v>El Salvador (2020)</c:v>
                </c:pt>
                <c:pt idx="1">
                  <c:v>Bolivia (2021)</c:v>
                </c:pt>
                <c:pt idx="2">
                  <c:v>Rep. Dominicana (2022)</c:v>
                </c:pt>
                <c:pt idx="3">
                  <c:v>Colombia</c:v>
                </c:pt>
                <c:pt idx="4">
                  <c:v>Ecuador (2024)</c:v>
                </c:pt>
                <c:pt idx="5">
                  <c:v>Paraguay</c:v>
                </c:pt>
                <c:pt idx="6">
                  <c:v>Perú</c:v>
                </c:pt>
                <c:pt idx="7">
                  <c:v>Argentina (2021)</c:v>
                </c:pt>
                <c:pt idx="8">
                  <c:v>Brasil</c:v>
                </c:pt>
                <c:pt idx="9">
                  <c:v>Jamaica (2021)</c:v>
                </c:pt>
                <c:pt idx="10">
                  <c:v>Costa Rica</c:v>
                </c:pt>
                <c:pt idx="11">
                  <c:v>México</c:v>
                </c:pt>
                <c:pt idx="12">
                  <c:v>Canadá (2022)</c:v>
                </c:pt>
                <c:pt idx="13">
                  <c:v>Uruguay (2022)</c:v>
                </c:pt>
              </c:strCache>
            </c:strRef>
          </c:cat>
          <c:val>
            <c:numRef>
              <c:f>'10. Usuarios por edades'!$F$8:$F$21</c:f>
              <c:numCache>
                <c:formatCode>0</c:formatCode>
                <c:ptCount val="14"/>
                <c:pt idx="1">
                  <c:v>43.778704161964001</c:v>
                </c:pt>
                <c:pt idx="2">
                  <c:v>75.845864335493701</c:v>
                </c:pt>
                <c:pt idx="3">
                  <c:v>62.207129971459999</c:v>
                </c:pt>
                <c:pt idx="5">
                  <c:v>66.216969950498495</c:v>
                </c:pt>
                <c:pt idx="6">
                  <c:v>49.198784487142802</c:v>
                </c:pt>
                <c:pt idx="8">
                  <c:v>67.223754576726506</c:v>
                </c:pt>
                <c:pt idx="11">
                  <c:v>55.111794624542</c:v>
                </c:pt>
                <c:pt idx="13">
                  <c:v>81.047616783972998</c:v>
                </c:pt>
              </c:numCache>
            </c:numRef>
          </c:val>
          <c:extLst>
            <c:ext xmlns:c16="http://schemas.microsoft.com/office/drawing/2014/chart" uri="{C3380CC4-5D6E-409C-BE32-E72D297353CC}">
              <c16:uniqueId val="{00000008-0A8C-4199-BF2B-8F9C078D1687}"/>
            </c:ext>
          </c:extLst>
        </c:ser>
        <c:ser>
          <c:idx val="3"/>
          <c:order val="3"/>
          <c:tx>
            <c:strRef>
              <c:f>'10. Usuarios por edades'!$G$6:$G$7</c:f>
              <c:strCache>
                <c:ptCount val="2"/>
                <c:pt idx="1">
                  <c:v>75 o más años</c:v>
                </c:pt>
              </c:strCache>
            </c:strRef>
          </c:tx>
          <c:spPr>
            <a:noFill/>
            <a:ln>
              <a:noFill/>
            </a:ln>
            <a:effectLst>
              <a:outerShdw dist="25400" dir="16200000" algn="ctr" rotWithShape="0">
                <a:schemeClr val="tx1"/>
              </a:outerShdw>
            </a:effectLst>
          </c:spPr>
          <c:invertIfNegative val="0"/>
          <c:cat>
            <c:strRef>
              <c:f>'10. Usuarios por edades'!$C$8:$C$21</c:f>
              <c:strCache>
                <c:ptCount val="14"/>
                <c:pt idx="0">
                  <c:v>El Salvador (2020)</c:v>
                </c:pt>
                <c:pt idx="1">
                  <c:v>Bolivia (2021)</c:v>
                </c:pt>
                <c:pt idx="2">
                  <c:v>Rep. Dominicana (2022)</c:v>
                </c:pt>
                <c:pt idx="3">
                  <c:v>Colombia</c:v>
                </c:pt>
                <c:pt idx="4">
                  <c:v>Ecuador (2024)</c:v>
                </c:pt>
                <c:pt idx="5">
                  <c:v>Paraguay</c:v>
                </c:pt>
                <c:pt idx="6">
                  <c:v>Perú</c:v>
                </c:pt>
                <c:pt idx="7">
                  <c:v>Argentina (2021)</c:v>
                </c:pt>
                <c:pt idx="8">
                  <c:v>Brasil</c:v>
                </c:pt>
                <c:pt idx="9">
                  <c:v>Jamaica (2021)</c:v>
                </c:pt>
                <c:pt idx="10">
                  <c:v>Costa Rica</c:v>
                </c:pt>
                <c:pt idx="11">
                  <c:v>México</c:v>
                </c:pt>
                <c:pt idx="12">
                  <c:v>Canadá (2022)</c:v>
                </c:pt>
                <c:pt idx="13">
                  <c:v>Uruguay (2022)</c:v>
                </c:pt>
              </c:strCache>
            </c:strRef>
          </c:cat>
          <c:val>
            <c:numRef>
              <c:f>'10. Usuarios por edades'!$G$8:$G$21</c:f>
              <c:numCache>
                <c:formatCode>0</c:formatCode>
                <c:ptCount val="14"/>
                <c:pt idx="1">
                  <c:v>3.80820025343656</c:v>
                </c:pt>
                <c:pt idx="2">
                  <c:v>16.3147162974008</c:v>
                </c:pt>
                <c:pt idx="3">
                  <c:v>11.349246171122701</c:v>
                </c:pt>
                <c:pt idx="5">
                  <c:v>6.0518400515294903</c:v>
                </c:pt>
                <c:pt idx="6">
                  <c:v>5.3926575116863296</c:v>
                </c:pt>
                <c:pt idx="8">
                  <c:v>12.784855441713001</c:v>
                </c:pt>
                <c:pt idx="11">
                  <c:v>7.2072494492503196</c:v>
                </c:pt>
                <c:pt idx="13">
                  <c:v>25.226333637610399</c:v>
                </c:pt>
              </c:numCache>
            </c:numRef>
          </c:val>
          <c:extLst>
            <c:ext xmlns:c16="http://schemas.microsoft.com/office/drawing/2014/chart" uri="{C3380CC4-5D6E-409C-BE32-E72D297353CC}">
              <c16:uniqueId val="{00000009-0A8C-4199-BF2B-8F9C078D1687}"/>
            </c:ext>
          </c:extLst>
        </c:ser>
        <c:dLbls>
          <c:showLegendKey val="0"/>
          <c:showVal val="0"/>
          <c:showCatName val="0"/>
          <c:showSerName val="0"/>
          <c:showPercent val="0"/>
          <c:showBubbleSize val="0"/>
        </c:dLbls>
        <c:gapWidth val="219"/>
        <c:overlap val="-27"/>
        <c:axId val="826222559"/>
        <c:axId val="826205759"/>
      </c:barChart>
      <c:catAx>
        <c:axId val="1730554495"/>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venir Next LT Pro Demi" panose="020B0704020202020204" pitchFamily="34" charset="0"/>
                <a:ea typeface="+mn-ea"/>
                <a:cs typeface="+mn-cs"/>
              </a:defRPr>
            </a:pPr>
            <a:endParaRPr lang="en-US"/>
          </a:p>
        </c:txPr>
        <c:crossAx val="1730538655"/>
        <c:crosses val="autoZero"/>
        <c:auto val="1"/>
        <c:lblAlgn val="ctr"/>
        <c:lblOffset val="100"/>
        <c:noMultiLvlLbl val="0"/>
      </c:catAx>
      <c:valAx>
        <c:axId val="1730538655"/>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venir Next LT Pro Demi" panose="020B0704020202020204" pitchFamily="34" charset="0"/>
                <a:ea typeface="+mn-ea"/>
                <a:cs typeface="+mn-cs"/>
              </a:defRPr>
            </a:pPr>
            <a:endParaRPr lang="en-US"/>
          </a:p>
        </c:txPr>
        <c:crossAx val="1730554495"/>
        <c:crosses val="autoZero"/>
        <c:crossBetween val="between"/>
        <c:majorUnit val="20"/>
      </c:valAx>
      <c:valAx>
        <c:axId val="826205759"/>
        <c:scaling>
          <c:orientation val="minMax"/>
          <c:max val="100"/>
        </c:scaling>
        <c:delete val="1"/>
        <c:axPos val="r"/>
        <c:numFmt formatCode="0" sourceLinked="1"/>
        <c:majorTickMark val="out"/>
        <c:minorTickMark val="none"/>
        <c:tickLblPos val="nextTo"/>
        <c:crossAx val="826222559"/>
        <c:crosses val="max"/>
        <c:crossBetween val="between"/>
      </c:valAx>
      <c:catAx>
        <c:axId val="826222559"/>
        <c:scaling>
          <c:orientation val="minMax"/>
        </c:scaling>
        <c:delete val="1"/>
        <c:axPos val="b"/>
        <c:numFmt formatCode="General" sourceLinked="1"/>
        <c:majorTickMark val="out"/>
        <c:minorTickMark val="none"/>
        <c:tickLblPos val="nextTo"/>
        <c:crossAx val="826205759"/>
        <c:crosses val="autoZero"/>
        <c:auto val="1"/>
        <c:lblAlgn val="ctr"/>
        <c:lblOffset val="100"/>
        <c:noMultiLvlLbl val="0"/>
      </c:catAx>
      <c:spPr>
        <a:noFill/>
        <a:ln>
          <a:noFill/>
        </a:ln>
        <a:effectLst/>
      </c:spPr>
    </c:plotArea>
    <c:legend>
      <c:legendPos val="b"/>
      <c:legendEntry>
        <c:idx val="4"/>
        <c:delete val="1"/>
      </c:legendEntry>
      <c:legendEntry>
        <c:idx val="5"/>
        <c:delete val="1"/>
      </c:legendEntry>
      <c:legendEntry>
        <c:idx val="6"/>
        <c:delete val="1"/>
      </c:legendEntry>
      <c:legendEntry>
        <c:idx val="7"/>
        <c:delete val="1"/>
      </c:legendEntry>
      <c:layout>
        <c:manualLayout>
          <c:xMode val="edge"/>
          <c:yMode val="edge"/>
          <c:x val="8.7439739512445463E-2"/>
          <c:y val="0.89533391659375916"/>
          <c:w val="0.71074800401571825"/>
          <c:h val="7.225867599883348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venir Next LT Pro Demi" panose="020B07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venir Next LT Pro Demi" panose="020B0704020202020204" pitchFamily="34" charset="0"/>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strRef>
              <c:f>'11. Usuarios urbana o rural'!$D$5:$D$6</c:f>
              <c:strCache>
                <c:ptCount val="2"/>
                <c:pt idx="1">
                  <c:v>Urbana</c:v>
                </c:pt>
              </c:strCache>
            </c:strRef>
          </c:tx>
          <c:spPr>
            <a:solidFill>
              <a:srgbClr val="6FA287"/>
            </a:solidFill>
            <a:ln>
              <a:noFill/>
            </a:ln>
            <a:effectLst/>
          </c:spPr>
          <c:invertIfNegative val="0"/>
          <c:dPt>
            <c:idx val="0"/>
            <c:invertIfNegative val="0"/>
            <c:bubble3D val="0"/>
            <c:spPr>
              <a:solidFill>
                <a:srgbClr val="A77BCA"/>
              </a:solidFill>
              <a:ln>
                <a:noFill/>
              </a:ln>
              <a:effectLst/>
            </c:spPr>
            <c:extLst>
              <c:ext xmlns:c16="http://schemas.microsoft.com/office/drawing/2014/chart" uri="{C3380CC4-5D6E-409C-BE32-E72D297353CC}">
                <c16:uniqueId val="{00000001-A347-4225-A021-C9211E3F0004}"/>
              </c:ext>
            </c:extLst>
          </c:dPt>
          <c:dPt>
            <c:idx val="1"/>
            <c:invertIfNegative val="0"/>
            <c:bubble3D val="0"/>
            <c:spPr>
              <a:solidFill>
                <a:srgbClr val="00A0DF"/>
              </a:solidFill>
              <a:ln>
                <a:noFill/>
              </a:ln>
              <a:effectLst/>
            </c:spPr>
            <c:extLst>
              <c:ext xmlns:c16="http://schemas.microsoft.com/office/drawing/2014/chart" uri="{C3380CC4-5D6E-409C-BE32-E72D297353CC}">
                <c16:uniqueId val="{00000003-A347-4225-A021-C9211E3F0004}"/>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 Usuarios urbana o rural'!$A$7:$A$8</c:f>
              <c:strCache>
                <c:ptCount val="2"/>
                <c:pt idx="0">
                  <c:v> Américas </c:v>
                </c:pt>
                <c:pt idx="1">
                  <c:v> Mundo </c:v>
                </c:pt>
              </c:strCache>
            </c:strRef>
          </c:cat>
          <c:val>
            <c:numRef>
              <c:f>'11. Usuarios urbana o rural'!$D$7:$D$8</c:f>
              <c:numCache>
                <c:formatCode>_-* #,##0_-;\-* #,##0_-;_-* "-"??_-;_-@_-</c:formatCode>
                <c:ptCount val="2"/>
                <c:pt idx="0">
                  <c:v>89.5</c:v>
                </c:pt>
                <c:pt idx="1">
                  <c:v>82.9</c:v>
                </c:pt>
              </c:numCache>
            </c:numRef>
          </c:val>
          <c:extLst>
            <c:ext xmlns:c16="http://schemas.microsoft.com/office/drawing/2014/chart" uri="{C3380CC4-5D6E-409C-BE32-E72D297353CC}">
              <c16:uniqueId val="{00000004-A347-4225-A021-C9211E3F0004}"/>
            </c:ext>
          </c:extLst>
        </c:ser>
        <c:ser>
          <c:idx val="3"/>
          <c:order val="1"/>
          <c:tx>
            <c:strRef>
              <c:f>'11. Usuarios urbana o rural'!$E$5:$E$6</c:f>
              <c:strCache>
                <c:ptCount val="2"/>
                <c:pt idx="1">
                  <c:v>Rural</c:v>
                </c:pt>
              </c:strCache>
            </c:strRef>
          </c:tx>
          <c:spPr>
            <a:solidFill>
              <a:srgbClr val="0070C0"/>
            </a:solidFill>
            <a:ln>
              <a:noFill/>
            </a:ln>
            <a:effectLst/>
          </c:spPr>
          <c:invertIfNegative val="0"/>
          <c:dPt>
            <c:idx val="0"/>
            <c:invertIfNegative val="0"/>
            <c:bubble3D val="0"/>
            <c:spPr>
              <a:solidFill>
                <a:srgbClr val="403A60"/>
              </a:solidFill>
              <a:ln>
                <a:noFill/>
              </a:ln>
              <a:effectLst/>
            </c:spPr>
            <c:extLst>
              <c:ext xmlns:c16="http://schemas.microsoft.com/office/drawing/2014/chart" uri="{C3380CC4-5D6E-409C-BE32-E72D297353CC}">
                <c16:uniqueId val="{00000006-A347-4225-A021-C9211E3F0004}"/>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 Usuarios urbana o rural'!$A$7:$A$8</c:f>
              <c:strCache>
                <c:ptCount val="2"/>
                <c:pt idx="0">
                  <c:v> Américas </c:v>
                </c:pt>
                <c:pt idx="1">
                  <c:v> Mundo </c:v>
                </c:pt>
              </c:strCache>
            </c:strRef>
          </c:cat>
          <c:val>
            <c:numRef>
              <c:f>'11. Usuarios urbana o rural'!$E$7:$E$8</c:f>
              <c:numCache>
                <c:formatCode>_-* #,##0_-;\-* #,##0_-;_-* "-"??_-;_-@_-</c:formatCode>
                <c:ptCount val="2"/>
                <c:pt idx="0">
                  <c:v>74.2</c:v>
                </c:pt>
                <c:pt idx="1">
                  <c:v>47.5</c:v>
                </c:pt>
              </c:numCache>
            </c:numRef>
          </c:val>
          <c:extLst>
            <c:ext xmlns:c16="http://schemas.microsoft.com/office/drawing/2014/chart" uri="{C3380CC4-5D6E-409C-BE32-E72D297353CC}">
              <c16:uniqueId val="{00000007-A347-4225-A021-C9211E3F0004}"/>
            </c:ext>
          </c:extLst>
        </c:ser>
        <c:dLbls>
          <c:showLegendKey val="0"/>
          <c:showVal val="0"/>
          <c:showCatName val="0"/>
          <c:showSerName val="0"/>
          <c:showPercent val="0"/>
          <c:showBubbleSize val="0"/>
        </c:dLbls>
        <c:gapWidth val="219"/>
        <c:overlap val="-27"/>
        <c:axId val="1730554495"/>
        <c:axId val="1730538655"/>
      </c:barChart>
      <c:barChart>
        <c:barDir val="col"/>
        <c:grouping val="clustered"/>
        <c:varyColors val="0"/>
        <c:ser>
          <c:idx val="0"/>
          <c:order val="2"/>
          <c:tx>
            <c:strRef>
              <c:f>'11. Usuarios urbana o rural'!$B$5:$B$6</c:f>
              <c:strCache>
                <c:ptCount val="2"/>
              </c:strCache>
            </c:strRef>
          </c:tx>
          <c:spPr>
            <a:noFill/>
            <a:ln>
              <a:noFill/>
            </a:ln>
            <a:effectLst>
              <a:outerShdw dist="25400" dir="16200000" algn="ctr" rotWithShape="0">
                <a:schemeClr val="tx1"/>
              </a:outerShdw>
            </a:effectLst>
          </c:spPr>
          <c:invertIfNegative val="0"/>
          <c:dLbls>
            <c:dLbl>
              <c:idx val="0"/>
              <c:tx>
                <c:rich>
                  <a:bodyPr/>
                  <a:lstStyle/>
                  <a:p>
                    <a:fld id="{3D4909ED-1AF3-48F6-9232-A05DCCDB3D69}" type="CELLRANGE">
                      <a:rPr lang="en-US"/>
                      <a:pPr/>
                      <a:t>[CELLRANGE]</a:t>
                    </a:fld>
                    <a:endParaRPr lang="en-GB"/>
                  </a:p>
                </c:rich>
              </c:tx>
              <c:dLblPos val="in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A347-4225-A021-C9211E3F0004}"/>
                </c:ext>
              </c:extLst>
            </c:dLbl>
            <c:dLbl>
              <c:idx val="1"/>
              <c:tx>
                <c:rich>
                  <a:bodyPr/>
                  <a:lstStyle/>
                  <a:p>
                    <a:fld id="{9478DB3C-2593-4CCD-833B-4D68465D4F26}" type="CELLRANGE">
                      <a:rPr lang="en-GB"/>
                      <a:pPr/>
                      <a:t>[CELLRANGE]</a:t>
                    </a:fld>
                    <a:endParaRPr lang="en-GB"/>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A347-4225-A021-C9211E3F000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venir Next LT Pro Demi" panose="020B0704020202020204" pitchFamily="34" charset="0"/>
                    <a:ea typeface="+mn-ea"/>
                    <a:cs typeface="+mn-cs"/>
                  </a:defRPr>
                </a:pPr>
                <a:endParaRPr lang="en-US"/>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'11. Usuarios urbana o rural'!$A$7:$A$8</c:f>
              <c:strCache>
                <c:ptCount val="2"/>
                <c:pt idx="0">
                  <c:v> Américas </c:v>
                </c:pt>
                <c:pt idx="1">
                  <c:v> Mundo </c:v>
                </c:pt>
              </c:strCache>
            </c:strRef>
          </c:cat>
          <c:val>
            <c:numRef>
              <c:f>'11. Usuarios urbana o rural'!$B$7:$B$8</c:f>
              <c:numCache>
                <c:formatCode>_-* #,##0_-;\-* #,##0_-;_-* "-"??_-;_-@_-</c:formatCode>
                <c:ptCount val="2"/>
                <c:pt idx="0">
                  <c:v>85.7</c:v>
                </c:pt>
                <c:pt idx="1">
                  <c:v>76.7</c:v>
                </c:pt>
              </c:numCache>
            </c:numRef>
          </c:val>
          <c:extLst>
            <c:ext xmlns:c15="http://schemas.microsoft.com/office/drawing/2012/chart" uri="{02D57815-91ED-43cb-92C2-25804820EDAC}">
              <c15:datalabelsRange>
                <c15:f>'11. Usuarios urbana o rural'!$G$7:$G$8</c15:f>
                <c15:dlblRangeCache>
                  <c:ptCount val="2"/>
                  <c:pt idx="0">
                    <c:v>2021: 86</c:v>
                  </c:pt>
                  <c:pt idx="1">
                    <c:v>2021: 77</c:v>
                  </c:pt>
                </c15:dlblRangeCache>
              </c15:datalabelsRange>
            </c:ext>
            <c:ext xmlns:c16="http://schemas.microsoft.com/office/drawing/2014/chart" uri="{C3380CC4-5D6E-409C-BE32-E72D297353CC}">
              <c16:uniqueId val="{0000000A-A347-4225-A021-C9211E3F0004}"/>
            </c:ext>
          </c:extLst>
        </c:ser>
        <c:ser>
          <c:idx val="1"/>
          <c:order val="3"/>
          <c:tx>
            <c:strRef>
              <c:f>'11. Usuarios urbana o rural'!$C$5:$C$6</c:f>
              <c:strCache>
                <c:ptCount val="2"/>
              </c:strCache>
            </c:strRef>
          </c:tx>
          <c:spPr>
            <a:noFill/>
            <a:ln>
              <a:noFill/>
            </a:ln>
            <a:effectLst>
              <a:outerShdw dist="25400" dir="16200000" algn="ctr" rotWithShape="0">
                <a:schemeClr val="tx1"/>
              </a:outerShdw>
            </a:effectLst>
          </c:spPr>
          <c:invertIfNegative val="0"/>
          <c:dLbls>
            <c:dLbl>
              <c:idx val="0"/>
              <c:tx>
                <c:rich>
                  <a:bodyPr/>
                  <a:lstStyle/>
                  <a:p>
                    <a:fld id="{C403AA42-9DFF-47A7-AEEE-532627A37F7C}" type="CELLRANGE">
                      <a:rPr lang="en-US"/>
                      <a:pPr/>
                      <a:t>[CELLRANGE]</a:t>
                    </a:fld>
                    <a:endParaRPr lang="en-GB"/>
                  </a:p>
                </c:rich>
              </c:tx>
              <c:dLblPos val="in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A347-4225-A021-C9211E3F0004}"/>
                </c:ext>
              </c:extLst>
            </c:dLbl>
            <c:dLbl>
              <c:idx val="1"/>
              <c:tx>
                <c:rich>
                  <a:bodyPr/>
                  <a:lstStyle/>
                  <a:p>
                    <a:fld id="{6D36C34C-CE16-4820-BB42-FF999BE24A02}" type="CELLRANGE">
                      <a:rPr lang="en-GB"/>
                      <a:pPr/>
                      <a:t>[CELLRANGE]</a:t>
                    </a:fld>
                    <a:endParaRPr lang="en-GB"/>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A347-4225-A021-C9211E3F000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venir Next LT Pro Demi" panose="020B0704020202020204" pitchFamily="34" charset="0"/>
                    <a:ea typeface="+mn-ea"/>
                    <a:cs typeface="+mn-cs"/>
                  </a:defRPr>
                </a:pPr>
                <a:endParaRPr lang="en-US"/>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'11. Usuarios urbana o rural'!$A$7:$A$8</c:f>
              <c:strCache>
                <c:ptCount val="2"/>
                <c:pt idx="0">
                  <c:v> Américas </c:v>
                </c:pt>
                <c:pt idx="1">
                  <c:v> Mundo </c:v>
                </c:pt>
              </c:strCache>
            </c:strRef>
          </c:cat>
          <c:val>
            <c:numRef>
              <c:f>'11. Usuarios urbana o rural'!$C$7:$C$8</c:f>
              <c:numCache>
                <c:formatCode>_-* #,##0_-;\-* #,##0_-;_-* "-"??_-;_-@_-</c:formatCode>
                <c:ptCount val="2"/>
                <c:pt idx="0">
                  <c:v>69.5</c:v>
                </c:pt>
                <c:pt idx="1">
                  <c:v>44.4</c:v>
                </c:pt>
              </c:numCache>
            </c:numRef>
          </c:val>
          <c:extLst>
            <c:ext xmlns:c15="http://schemas.microsoft.com/office/drawing/2012/chart" uri="{02D57815-91ED-43cb-92C2-25804820EDAC}">
              <c15:datalabelsRange>
                <c15:f>'11. Usuarios urbana o rural'!$H$7:$H$8</c15:f>
                <c15:dlblRangeCache>
                  <c:ptCount val="2"/>
                  <c:pt idx="0">
                    <c:v>2021: 70</c:v>
                  </c:pt>
                  <c:pt idx="1">
                    <c:v>2021: 44</c:v>
                  </c:pt>
                </c15:dlblRangeCache>
              </c15:datalabelsRange>
            </c:ext>
            <c:ext xmlns:c16="http://schemas.microsoft.com/office/drawing/2014/chart" uri="{C3380CC4-5D6E-409C-BE32-E72D297353CC}">
              <c16:uniqueId val="{0000000D-A347-4225-A021-C9211E3F0004}"/>
            </c:ext>
          </c:extLst>
        </c:ser>
        <c:dLbls>
          <c:showLegendKey val="0"/>
          <c:showVal val="0"/>
          <c:showCatName val="0"/>
          <c:showSerName val="0"/>
          <c:showPercent val="0"/>
          <c:showBubbleSize val="0"/>
        </c:dLbls>
        <c:gapWidth val="219"/>
        <c:overlap val="-27"/>
        <c:axId val="826222559"/>
        <c:axId val="826205759"/>
      </c:barChart>
      <c:catAx>
        <c:axId val="1730554495"/>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730538655"/>
        <c:crosses val="autoZero"/>
        <c:auto val="1"/>
        <c:lblAlgn val="ctr"/>
        <c:lblOffset val="100"/>
        <c:noMultiLvlLbl val="0"/>
      </c:catAx>
      <c:valAx>
        <c:axId val="1730538655"/>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Avenir Next LT Pro Demi" panose="020B0704020202020204" pitchFamily="34" charset="0"/>
                <a:ea typeface="+mn-ea"/>
                <a:cs typeface="+mn-cs"/>
              </a:defRPr>
            </a:pPr>
            <a:endParaRPr lang="en-US"/>
          </a:p>
        </c:txPr>
        <c:crossAx val="1730554495"/>
        <c:crosses val="autoZero"/>
        <c:crossBetween val="between"/>
        <c:majorUnit val="20"/>
      </c:valAx>
      <c:valAx>
        <c:axId val="826205759"/>
        <c:scaling>
          <c:orientation val="minMax"/>
          <c:max val="100"/>
          <c:min val="0"/>
        </c:scaling>
        <c:delete val="1"/>
        <c:axPos val="r"/>
        <c:numFmt formatCode="_-* #,##0_-;\-* #,##0_-;_-* &quot;-&quot;??_-;_-@_-" sourceLinked="1"/>
        <c:majorTickMark val="out"/>
        <c:minorTickMark val="none"/>
        <c:tickLblPos val="nextTo"/>
        <c:crossAx val="826222559"/>
        <c:crosses val="max"/>
        <c:crossBetween val="between"/>
      </c:valAx>
      <c:catAx>
        <c:axId val="826222559"/>
        <c:scaling>
          <c:orientation val="minMax"/>
        </c:scaling>
        <c:delete val="1"/>
        <c:axPos val="b"/>
        <c:numFmt formatCode="General" sourceLinked="1"/>
        <c:majorTickMark val="out"/>
        <c:minorTickMark val="none"/>
        <c:tickLblPos val="nextTo"/>
        <c:crossAx val="826205759"/>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lumMod val="75000"/>
              <a:lumOff val="25000"/>
            </a:schemeClr>
          </a:solidFill>
          <a:latin typeface="Avenir Next LT Pro Demi" panose="020B0704020202020204" pitchFamily="34" charset="0"/>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'33. Usuarios por competencias'!$C$31:$C$67</cx:f>
        <cx:lvl ptCount="37">
          <cx:pt idx="0">Periódicos/revistas/libros</cx:pt>
          <cx:pt idx="1">Periódicos/revistas/libros</cx:pt>
          <cx:pt idx="2">Periódicos/revistas/libros</cx:pt>
          <cx:pt idx="3">Periódicos/revistas/libros</cx:pt>
          <cx:pt idx="4">Periódicos/revistas/libros</cx:pt>
          <cx:pt idx="5">Periódicos/revistas/libros</cx:pt>
          <cx:pt idx="6">Periódicos/revistas/libros</cx:pt>
          <cx:pt idx="7">Periódicos/revistas/libros</cx:pt>
          <cx:pt idx="8">Periódicos/revistas/libros</cx:pt>
          <cx:pt idx="9">Periódicos/revistas/libros</cx:pt>
          <cx:pt idx="10">Verificar fiabilidad</cx:pt>
          <cx:pt idx="11">Verificar fiabilidad</cx:pt>
          <cx:pt idx="12">Verificar fiabilidad</cx:pt>
          <cx:pt idx="13">Verificar fiabilidad</cx:pt>
          <cx:pt idx="14">Verificar fiabilidad</cx:pt>
          <cx:pt idx="15">Verificar fiabilidad</cx:pt>
          <cx:pt idx="16">Buscar info. sanitaria</cx:pt>
          <cx:pt idx="17">Buscar info. sanitaria</cx:pt>
          <cx:pt idx="18">Buscar info. sanitaria</cx:pt>
          <cx:pt idx="19">Buscar info. sanitaria</cx:pt>
          <cx:pt idx="20">Buscar info. sanitaria</cx:pt>
          <cx:pt idx="21">Buscar info. sanitaria</cx:pt>
          <cx:pt idx="22">Buscar info. sanitaria</cx:pt>
          <cx:pt idx="23">Buscar info. sanitaria</cx:pt>
          <cx:pt idx="24">Buscar info. sanitaria</cx:pt>
          <cx:pt idx="25">Buscar info. sanitaria</cx:pt>
          <cx:pt idx="26">Buscar info. bienes/servicios</cx:pt>
          <cx:pt idx="27">Buscar info. bienes/servicios</cx:pt>
          <cx:pt idx="28">Buscar info. bienes/servicios</cx:pt>
          <cx:pt idx="29">Buscar info. bienes/servicios</cx:pt>
          <cx:pt idx="30">Buscar info. bienes/servicios</cx:pt>
          <cx:pt idx="31">Buscar info. bienes/servicios</cx:pt>
          <cx:pt idx="32">Buscar info. bienes/servicios</cx:pt>
          <cx:pt idx="33">Buscar info. bienes/servicios</cx:pt>
          <cx:pt idx="34">Buscar info. bienes/servicios</cx:pt>
          <cx:pt idx="35">Buscar info. bienes/servicios</cx:pt>
          <cx:pt idx="36">Buscar info. bienes/servicios</cx:pt>
        </cx:lvl>
      </cx:strDim>
      <cx:numDim type="val">
        <cx:f>'33. Usuarios por competencias'!$D$31:$D$67</cx:f>
        <cx:lvl ptCount="37" formatCode="0,0">
          <cx:pt idx="0">56.417816856914399</cx:pt>
          <cx:pt idx="1">81.914893617021306</cx:pt>
          <cx:pt idx="2">27.551119241572501</cx:pt>
          <cx:pt idx="3">19.5721455261254</cx:pt>
          <cx:pt idx="4">5.2538508807535704</cx:pt>
          <cx:pt idx="5">0.27957642619608097</cx:pt>
          <cx:pt idx="6">25.535828574050001</cx:pt>
          <cx:pt idx="7">36.783385831429698</cx:pt>
          <cx:pt idx="8">32.957599839906102</cx:pt>
          <cx:pt idx="9">64.255112081259099</cx:pt>
          <cx:pt idx="10">50.998351019369402</cx:pt>
          <cx:pt idx="11">38.297872340425499</cx:pt>
          <cx:pt idx="12">43.911746045471602</cx:pt>
          <cx:pt idx="13">24.664859696478601</cx:pt>
          <cx:pt idx="14">14.5589969796748</cx:pt>
          <cx:pt idx="15">63.931601496361203</cx:pt>
          <cx:pt idx="16">53.639514425589702</cx:pt>
          <cx:pt idx="17">73.404255319148902</cx:pt>
          <cx:pt idx="18">44.719203537555899</cx:pt>
          <cx:pt idx="19">45.264669419583399</cx:pt>
          <cx:pt idx="20">35.1333607455459</cx:pt>
          <cx:pt idx="21">2.66131622703291</cx:pt>
          <cx:pt idx="22">0.116455954443591</cx:pt>
          <cx:pt idx="23">58.014558371173699</cx:pt>
          <cx:pt idx="24">36.940133168772199</cx:pt>
          <cx:pt idx="25">63.098110820987699</cx:pt>
          <cx:pt idx="26">57.541843888958098</cx:pt>
          <cx:pt idx="27">80.851063829787194</cx:pt>
          <cx:pt idx="28">47.757127913751198</cx:pt>
          <cx:pt idx="29">45.264669419583399</cx:pt>
          <cx:pt idx="30">34.845703317125199</cx:pt>
          <cx:pt idx="31">51.689137937019602</cx:pt>
          <cx:pt idx="32">0.38607371812249702</cx:pt>
          <cx:pt idx="33">87.670985004765697</cx:pt>
          <cx:pt idx="34">40.253778130163397</cx:pt>
          <cx:pt idx="35">80.980624438059905</cx:pt>
          <cx:pt idx="36">68.652706973859694</cx:pt>
        </cx:lvl>
      </cx:numDim>
    </cx:data>
  </cx:chartData>
  <cx:chart>
    <cx:plotArea>
      <cx:plotAreaRegion>
        <cx:series layoutId="boxWhisker" uniqueId="{6C3E0AE2-BA45-41AB-B9D5-706DCA06084C}">
          <cx:spPr>
            <a:solidFill>
              <a:srgbClr val="A77BCA"/>
            </a:solidFill>
            <a:ln>
              <a:solidFill>
                <a:srgbClr val="403A60"/>
              </a:solidFill>
            </a:ln>
          </cx:spPr>
          <cx:dataId val="0"/>
          <cx:layoutPr>
            <cx:visibility meanMarker="0"/>
            <cx:statistics quartileMethod="exclusive"/>
          </cx:layoutPr>
        </cx:series>
      </cx:plotAreaRegion>
      <cx:axis id="0">
        <cx:catScaling gapWidth="1"/>
        <cx:tickLabels/>
        <cx:spPr>
          <a:ln>
            <a:solidFill>
              <a:schemeClr val="tx1"/>
            </a:solidFill>
          </a:ln>
        </cx:spPr>
        <cx:txPr>
          <a:bodyPr vertOverflow="overflow" horzOverflow="overflow" wrap="square" lIns="0" tIns="0" rIns="0" bIns="0"/>
          <a:lstStyle/>
          <a:p>
            <a:pPr algn="ctr" rtl="0">
              <a:defRPr sz="800" b="0" i="0">
                <a:solidFill>
                  <a:schemeClr val="tx1">
                    <a:lumMod val="75000"/>
                    <a:lumOff val="25000"/>
                  </a:schemeClr>
                </a:solidFill>
                <a:latin typeface="Avenir Next LT Pro Demi" panose="020B0704020202020204" pitchFamily="34" charset="0"/>
                <a:ea typeface="Avenir Next LT Pro Demi" panose="020B0704020202020204" pitchFamily="34" charset="0"/>
                <a:cs typeface="Avenir Next LT Pro Demi" panose="020B0704020202020204" pitchFamily="34" charset="0"/>
              </a:defRPr>
            </a:pPr>
            <a:endParaRPr lang="en-GB" sz="800">
              <a:solidFill>
                <a:schemeClr val="tx1">
                  <a:lumMod val="75000"/>
                  <a:lumOff val="25000"/>
                </a:schemeClr>
              </a:solidFill>
              <a:latin typeface="Avenir Next LT Pro Demi" panose="020B0704020202020204" pitchFamily="34" charset="0"/>
            </a:endParaRPr>
          </a:p>
        </cx:txPr>
      </cx:axis>
      <cx:axis id="1">
        <cx:valScaling max="100"/>
        <cx:majorGridlines/>
        <cx:tickLabels/>
        <cx:numFmt formatCode="#,##0" sourceLinked="0"/>
        <cx:txPr>
          <a:bodyPr vertOverflow="overflow" horzOverflow="overflow" wrap="square" lIns="0" tIns="0" rIns="0" bIns="0"/>
          <a:lstStyle/>
          <a:p>
            <a:pPr algn="ctr" rtl="0">
              <a:defRPr sz="800" b="0" i="0">
                <a:solidFill>
                  <a:schemeClr val="tx1">
                    <a:lumMod val="75000"/>
                    <a:lumOff val="25000"/>
                  </a:schemeClr>
                </a:solidFill>
                <a:latin typeface="Avenir Next LT Pro Demi" panose="020B0704020202020204" pitchFamily="34" charset="0"/>
                <a:ea typeface="Avenir Next LT Pro Demi" panose="020B0704020202020204" pitchFamily="34" charset="0"/>
                <a:cs typeface="Avenir Next LT Pro Demi" panose="020B0704020202020204" pitchFamily="34" charset="0"/>
              </a:defRPr>
            </a:pPr>
            <a:endParaRPr lang="en-GB" sz="800">
              <a:solidFill>
                <a:schemeClr val="tx1">
                  <a:lumMod val="75000"/>
                  <a:lumOff val="25000"/>
                </a:schemeClr>
              </a:solidFill>
              <a:latin typeface="Avenir Next LT Pro Demi" panose="020B0704020202020204" pitchFamily="34" charset="0"/>
            </a:endParaRPr>
          </a:p>
        </cx:txPr>
      </cx:axis>
    </cx:plotArea>
  </cx:chart>
  <cx:spPr>
    <a:ln>
      <a:noFill/>
    </a:ln>
  </cx:spPr>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'33. Usuarios por competencias'!$C$70:$C$102</cx:f>
        <cx:lvl ptCount="33">
          <cx:pt idx="0">Consultar o votar en línea</cx:pt>
          <cx:pt idx="1">Consultar o votar en línea</cx:pt>
          <cx:pt idx="2">Consultar o votar en línea</cx:pt>
          <cx:pt idx="3">Correos con adjuntos</cx:pt>
          <cx:pt idx="4">Correos con adjuntos</cx:pt>
          <cx:pt idx="5">Correos con adjuntos</cx:pt>
          <cx:pt idx="6">Correos con adjuntos</cx:pt>
          <cx:pt idx="7">Correos con adjuntos</cx:pt>
          <cx:pt idx="8">Correos con adjuntos</cx:pt>
          <cx:pt idx="9">Correos con adjuntos</cx:pt>
          <cx:pt idx="10">Correos con adjuntos</cx:pt>
          <cx:pt idx="11">Correos con adjuntos</cx:pt>
          <cx:pt idx="12">Correos con adjuntos</cx:pt>
          <cx:pt idx="13">Redes sociales</cx:pt>
          <cx:pt idx="14">Redes sociales</cx:pt>
          <cx:pt idx="15">Redes sociales</cx:pt>
          <cx:pt idx="16">Redes sociales</cx:pt>
          <cx:pt idx="17">Redes sociales</cx:pt>
          <cx:pt idx="18">Redes sociales</cx:pt>
          <cx:pt idx="19">Redes sociales</cx:pt>
          <cx:pt idx="20">Redes sociales</cx:pt>
          <cx:pt idx="21">Redes sociales</cx:pt>
          <cx:pt idx="22"> Llamadas VoIP o mensajería</cx:pt>
          <cx:pt idx="23"> Llamadas VoIP o mensajería</cx:pt>
          <cx:pt idx="24"> Llamadas VoIP o mensajería</cx:pt>
          <cx:pt idx="25"> Llamadas VoIP o mensajería</cx:pt>
          <cx:pt idx="26"> Llamadas VoIP o mensajería</cx:pt>
          <cx:pt idx="27"> Llamadas VoIP o mensajería</cx:pt>
          <cx:pt idx="28"> Llamadas VoIP o mensajería</cx:pt>
          <cx:pt idx="29"> Llamadas VoIP o mensajería</cx:pt>
          <cx:pt idx="30"> Llamadas VoIP o mensajería</cx:pt>
          <cx:pt idx="31"> Llamadas VoIP o mensajería</cx:pt>
          <cx:pt idx="32"> Llamadas VoIP o mensajería</cx:pt>
        </cx:lvl>
      </cx:strDim>
      <cx:numDim type="val">
        <cx:f>'33. Usuarios por competencias'!$D$70:$D$102</cx:f>
        <cx:lvl ptCount="33" formatCode="0,0">
          <cx:pt idx="0">9.3409110648429099</cx:pt>
          <cx:pt idx="1">8.5106382978723403</cx:pt>
          <cx:pt idx="2">7.6175421791795799</cx:pt>
          <cx:pt idx="3">37.234496387379203</cx:pt>
          <cx:pt idx="4">97.872340425531902</cx:pt>
          <cx:pt idx="5">69.065303215066805</cx:pt>
          <cx:pt idx="6">54.454311458128899</cx:pt>
          <cx:pt idx="7">21.836063260322401</cx:pt>
          <cx:pt idx="8">24.1116724026671</cx:pt>
          <cx:pt idx="9">28.657425573240701</cx:pt>
          <cx:pt idx="10">38.846608075824399</cx:pt>
          <cx:pt idx="11">31.7912938391887</cx:pt>
          <cx:pt idx="12">80.790494084706793</cx:pt>
          <cx:pt idx="13">80.092845319030502</cx:pt>
          <cx:pt idx="14">78.723404255319195</cx:pt>
          <cx:pt idx="15">72.497870728792705</cx:pt>
          <cx:pt idx="16">82.826710418417406</cx:pt>
          <cx:pt idx="17">75.808021762089396</cx:pt>
          <cx:pt idx="18">68.328225538144594</cx:pt>
          <cx:pt idx="19">91.523188414177994</cx:pt>
          <cx:pt idx="20">84.731508935539097</cx:pt>
          <cx:pt idx="21">94.272826492408399</cx:pt>
          <cx:pt idx="22">80.732435175662303</cx:pt>
          <cx:pt idx="23">69.148936170212806</cx:pt>
          <cx:pt idx="24">80.826388792190301</cx:pt>
          <cx:pt idx="25">45.2723972335803</cx:pt>
          <cx:pt idx="26">95.205542330381704</cx:pt>
          <cx:pt idx="27">84.833077351177806</cx:pt>
          <cx:pt idx="28">0.428730606174278</cx:pt>
          <cx:pt idx="29">84.647620031702303</cx:pt>
          <cx:pt idx="30">83.969944199428596</cx:pt>
          <cx:pt idx="31">85.992628107553401</cx:pt>
          <cx:pt idx="32">89.281668347540204</cx:pt>
        </cx:lvl>
      </cx:numDim>
    </cx:data>
  </cx:chartData>
  <cx:chart>
    <cx:plotArea>
      <cx:plotAreaRegion>
        <cx:plotSurface>
          <cx:spPr>
            <a:ln>
              <a:noFill/>
            </a:ln>
          </cx:spPr>
        </cx:plotSurface>
        <cx:series layoutId="boxWhisker" uniqueId="{E684A4A2-E687-4F06-B06E-C152988ECD24}">
          <cx:spPr>
            <a:solidFill>
              <a:srgbClr val="A77BCA"/>
            </a:solidFill>
            <a:ln>
              <a:solidFill>
                <a:srgbClr val="403A60"/>
              </a:solidFill>
            </a:ln>
          </cx:spPr>
          <cx:dataId val="0"/>
          <cx:layoutPr>
            <cx:visibility meanMarker="0"/>
            <cx:statistics quartileMethod="exclusive"/>
          </cx:layoutPr>
        </cx:series>
      </cx:plotAreaRegion>
      <cx:axis id="0">
        <cx:catScaling gapWidth="1"/>
        <cx:tickLabels/>
        <cx:spPr>
          <a:ln>
            <a:solidFill>
              <a:schemeClr val="tx1"/>
            </a:solidFill>
          </a:ln>
        </cx:spPr>
        <cx:txPr>
          <a:bodyPr vertOverflow="overflow" horzOverflow="overflow" wrap="square" lIns="0" tIns="0" rIns="0" bIns="0"/>
          <a:lstStyle/>
          <a:p>
            <a:pPr algn="ctr" rtl="0">
              <a:defRPr sz="800" b="0" i="0">
                <a:solidFill>
                  <a:schemeClr val="tx1">
                    <a:lumMod val="75000"/>
                    <a:lumOff val="25000"/>
                  </a:schemeClr>
                </a:solidFill>
                <a:latin typeface="Avenir Next LT Pro Demi" panose="020B0704020202020204" pitchFamily="34" charset="0"/>
                <a:ea typeface="Avenir Next LT Pro Demi" panose="020B0704020202020204" pitchFamily="34" charset="0"/>
                <a:cs typeface="Avenir Next LT Pro Demi" panose="020B0704020202020204" pitchFamily="34" charset="0"/>
              </a:defRPr>
            </a:pPr>
            <a:endParaRPr lang="en-GB" sz="800">
              <a:solidFill>
                <a:schemeClr val="tx1">
                  <a:lumMod val="75000"/>
                  <a:lumOff val="25000"/>
                </a:schemeClr>
              </a:solidFill>
              <a:latin typeface="Avenir Next LT Pro Demi" panose="020B0704020202020204" pitchFamily="34" charset="0"/>
            </a:endParaRPr>
          </a:p>
        </cx:txPr>
      </cx:axis>
      <cx:axis id="1">
        <cx:valScaling max="100"/>
        <cx:majorGridlines/>
        <cx:tickLabels/>
        <cx:numFmt formatCode="#,##0" sourceLinked="0"/>
        <cx:txPr>
          <a:bodyPr vertOverflow="overflow" horzOverflow="overflow" wrap="square" lIns="0" tIns="0" rIns="0" bIns="0"/>
          <a:lstStyle/>
          <a:p>
            <a:pPr algn="ctr" rtl="0">
              <a:defRPr sz="800" b="0" i="0">
                <a:solidFill>
                  <a:schemeClr val="tx1">
                    <a:lumMod val="75000"/>
                    <a:lumOff val="25000"/>
                  </a:schemeClr>
                </a:solidFill>
                <a:latin typeface="Avenir Next LT Pro Demi" panose="020B0704020202020204" pitchFamily="34" charset="0"/>
                <a:ea typeface="Avenir Next LT Pro Demi" panose="020B0704020202020204" pitchFamily="34" charset="0"/>
                <a:cs typeface="Avenir Next LT Pro Demi" panose="020B0704020202020204" pitchFamily="34" charset="0"/>
              </a:defRPr>
            </a:pPr>
            <a:endParaRPr lang="en-GB" sz="800">
              <a:solidFill>
                <a:schemeClr val="tx1">
                  <a:lumMod val="75000"/>
                  <a:lumOff val="25000"/>
                </a:schemeClr>
              </a:solidFill>
              <a:latin typeface="Avenir Next LT Pro Demi" panose="020B0704020202020204" pitchFamily="34" charset="0"/>
            </a:endParaRPr>
          </a:p>
        </cx:txPr>
      </cx:axis>
    </cx:plotArea>
  </cx:chart>
  <cx:spPr>
    <a:ln>
      <a:noFill/>
    </a:ln>
  </cx:spPr>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'33. Usuarios por competencias'!$C$105:$C$155</cx:f>
        <cx:lvl ptCount="51">
          <cx:pt idx="0">Programar</cx:pt>
          <cx:pt idx="1">Programar</cx:pt>
          <cx:pt idx="2">Programar</cx:pt>
          <cx:pt idx="3">Programar</cx:pt>
          <cx:pt idx="4">Programar</cx:pt>
          <cx:pt idx="5">Programar</cx:pt>
          <cx:pt idx="6">Programar</cx:pt>
          <cx:pt idx="7">Programar</cx:pt>
          <cx:pt idx="8">Programar</cx:pt>
          <cx:pt idx="9">Programar</cx:pt>
          <cx:pt idx="10">Contenido creado por el usuario</cx:pt>
          <cx:pt idx="11">Contenido creado por el usuario</cx:pt>
          <cx:pt idx="12">Contenido creado por el usuario</cx:pt>
          <cx:pt idx="13">Contenido creado por el usuario</cx:pt>
          <cx:pt idx="14">Contenido creado por el usuario</cx:pt>
          <cx:pt idx="15">Contenido creado por el usuario</cx:pt>
          <cx:pt idx="16">Contenido creado por el usuario</cx:pt>
          <cx:pt idx="17">Software Internet</cx:pt>
          <cx:pt idx="18">Software Internet</cx:pt>
          <cx:pt idx="19">Software Internet</cx:pt>
          <cx:pt idx="20">Software Internet</cx:pt>
          <cx:pt idx="21">Software Internet</cx:pt>
          <cx:pt idx="22">Software Internet</cx:pt>
          <cx:pt idx="23">Presentaciones</cx:pt>
          <cx:pt idx="24">Presentaciones</cx:pt>
          <cx:pt idx="25">Presentaciones</cx:pt>
          <cx:pt idx="26">Presentaciones</cx:pt>
          <cx:pt idx="27">Presentaciones</cx:pt>
          <cx:pt idx="28">Presentaciones</cx:pt>
          <cx:pt idx="29">Presentaciones</cx:pt>
          <cx:pt idx="30">Presentaciones</cx:pt>
          <cx:pt idx="31">Presentaciones</cx:pt>
          <cx:pt idx="32">Hojas de cálculo</cx:pt>
          <cx:pt idx="33">Hojas de cálculo</cx:pt>
          <cx:pt idx="34">Hojas de cálculo</cx:pt>
          <cx:pt idx="35">Hojas de cálculo</cx:pt>
          <cx:pt idx="36">Hojas de cálculo</cx:pt>
          <cx:pt idx="37">Hojas de cálculo</cx:pt>
          <cx:pt idx="38">Hojas de cálculo</cx:pt>
          <cx:pt idx="39">Hojas de cálculo</cx:pt>
          <cx:pt idx="40">Hojas de cálculo</cx:pt>
          <cx:pt idx="41">Hojas de cálculo</cx:pt>
          <cx:pt idx="42">Copiar y pegar</cx:pt>
          <cx:pt idx="43">Copiar y pegar</cx:pt>
          <cx:pt idx="44">Copiar y pegar</cx:pt>
          <cx:pt idx="45">Copiar y pegar</cx:pt>
          <cx:pt idx="46">Copiar y pegar</cx:pt>
          <cx:pt idx="47">Copiar y pegar</cx:pt>
          <cx:pt idx="48">Copiar y pegar</cx:pt>
          <cx:pt idx="49">Copiar y pegar</cx:pt>
          <cx:pt idx="50">Copiar y pegar</cx:pt>
        </cx:lvl>
      </cx:strDim>
      <cx:numDim type="val">
        <cx:f>'33. Usuarios por competencias'!$D$105:$D$155</cx:f>
        <cx:lvl ptCount="51" formatCode="0,0">
          <cx:pt idx="0">4.9709644963007502</cx:pt>
          <cx:pt idx="1">9.5744680851063801</cx:pt>
          <cx:pt idx="2">17.134942211760201</cx:pt>
          <cx:pt idx="3">9.3760285434410697</cx:pt>
          <cx:pt idx="4">11.968352870525299</cx:pt>
          <cx:pt idx="5">4.8605234496082597</cx:pt>
          <cx:pt idx="6">1.0655419272675399</cx:pt>
          <cx:pt idx="7">1.76959382450414</cx:pt>
          <cx:pt idx="8">7.6404560260525898</cx:pt>
          <cx:pt idx="9">10.9079479988395</cx:pt>
          <cx:pt idx="10">35.083833140686401</cx:pt>
          <cx:pt idx="11">13.8297872340426</cx:pt>
          <cx:pt idx="12">56.389371484375303</cx:pt>
          <cx:pt idx="13">11.5951770601616</cx:pt>
          <cx:pt idx="14">3.7562330560808501</cx:pt>
          <cx:pt idx="15">37.185232013141103</cx:pt>
          <cx:pt idx="16">3.9437239620723998</cx:pt>
          <cx:pt idx="17">19.166512018980399</cx:pt>
          <cx:pt idx="18">70.212765957446805</cx:pt>
          <cx:pt idx="19">12.6249546209415</cx:pt>
          <cx:pt idx="20">4.2853898827441101</cx:pt>
          <cx:pt idx="21">7.2017462557805096</cx:pt>
          <cx:pt idx="22">48.275761497098003</cx:pt>
          <cx:pt idx="23">15.159574678474</cx:pt>
          <cx:pt idx="24">42.553191489361701</cx:pt>
          <cx:pt idx="25">31.436784415811701</cx:pt>
          <cx:pt idx="26">13.4019240040173</cx:pt>
          <cx:pt idx="27">13.597211356255601</cx:pt>
          <cx:pt idx="28">8.6096894748539192</cx:pt>
          <cx:pt idx="29">34.306166729385602</cx:pt>
          <cx:pt idx="30">24.787245314122401</cx:pt>
          <cx:pt idx="31">49.422861721674998</cx:pt>
          <cx:pt idx="32">16.925512977393499</cx:pt>
          <cx:pt idx="33">50</cx:pt>
          <cx:pt idx="34">48.087648657595601</cx:pt>
          <cx:pt idx="35">30.891348524199401</cx:pt>
          <cx:pt idx="36">15.0154621000729</cx:pt>
          <cx:pt idx="37">16.715442631686798</cx:pt>
          <cx:pt idx="38">8.6398418713904501</cx:pt>
          <cx:pt idx="39">31.089540809702601</cx:pt>
          <cx:pt idx="40">24.577767102088</cx:pt>
          <cx:pt idx="41">42.278420193814704</cx:pt>
          <cx:pt idx="42">52.137665626316</cx:pt>
          <cx:pt idx="43">63.829787234042598</cx:pt>
          <cx:pt idx="44">48.661027781252997</cx:pt>
          <cx:pt idx="45">21.898949372260699</cx:pt>
          <cx:pt idx="46">26.9129297491091</cx:pt>
          <cx:pt idx="47">19.425091336820099</cx:pt>
          <cx:pt idx="48">36.536016660768901</cx:pt>
          <cx:pt idx="49">32.850981848313701</cx:pt>
          <cx:pt idx="50">70.585634748490705</cx:pt>
        </cx:lvl>
      </cx:numDim>
    </cx:data>
  </cx:chartData>
  <cx:chart>
    <cx:plotArea>
      <cx:plotAreaRegion>
        <cx:series layoutId="boxWhisker" uniqueId="{34689B37-E2B1-4B2A-BC6F-932B2CA8F894}">
          <cx:spPr>
            <a:solidFill>
              <a:srgbClr val="A77BCA"/>
            </a:solidFill>
            <a:ln>
              <a:solidFill>
                <a:srgbClr val="403A60"/>
              </a:solidFill>
            </a:ln>
          </cx:spPr>
          <cx:dataId val="0"/>
          <cx:layoutPr>
            <cx:visibility meanMarker="0"/>
            <cx:statistics quartileMethod="exclusive"/>
          </cx:layoutPr>
        </cx:series>
      </cx:plotAreaRegion>
      <cx:axis id="0">
        <cx:catScaling gapWidth="1"/>
        <cx:tickLabels/>
        <cx:spPr>
          <a:ln>
            <a:solidFill>
              <a:schemeClr val="tx1"/>
            </a:solidFill>
          </a:ln>
        </cx:spPr>
        <cx:txPr>
          <a:bodyPr vertOverflow="overflow" horzOverflow="overflow" wrap="square" lIns="0" tIns="0" rIns="0" bIns="0"/>
          <a:lstStyle/>
          <a:p>
            <a:pPr algn="ctr" rtl="0">
              <a:defRPr sz="800" b="0" i="0">
                <a:solidFill>
                  <a:schemeClr val="tx1">
                    <a:lumMod val="75000"/>
                    <a:lumOff val="25000"/>
                  </a:schemeClr>
                </a:solidFill>
                <a:latin typeface="Avenir Next LT Pro Demi" panose="020B0704020202020204" pitchFamily="34" charset="0"/>
                <a:ea typeface="Avenir Next LT Pro Demi" panose="020B0704020202020204" pitchFamily="34" charset="0"/>
                <a:cs typeface="Avenir Next LT Pro Demi" panose="020B0704020202020204" pitchFamily="34" charset="0"/>
              </a:defRPr>
            </a:pPr>
            <a:endParaRPr lang="en-GB" sz="800">
              <a:solidFill>
                <a:schemeClr val="tx1">
                  <a:lumMod val="75000"/>
                  <a:lumOff val="25000"/>
                </a:schemeClr>
              </a:solidFill>
              <a:latin typeface="Avenir Next LT Pro Demi" panose="020B0704020202020204" pitchFamily="34" charset="0"/>
            </a:endParaRPr>
          </a:p>
        </cx:txPr>
      </cx:axis>
      <cx:axis id="1">
        <cx:valScaling max="100"/>
        <cx:majorGridlines/>
        <cx:tickLabels/>
        <cx:numFmt formatCode="#,##0" sourceLinked="0"/>
        <cx:txPr>
          <a:bodyPr vertOverflow="overflow" horzOverflow="overflow" wrap="square" lIns="0" tIns="0" rIns="0" bIns="0"/>
          <a:lstStyle/>
          <a:p>
            <a:pPr algn="ctr" rtl="0">
              <a:defRPr sz="800" b="0" i="0">
                <a:solidFill>
                  <a:schemeClr val="tx1">
                    <a:lumMod val="75000"/>
                    <a:lumOff val="25000"/>
                  </a:schemeClr>
                </a:solidFill>
                <a:latin typeface="Avenir Next LT Pro Demi" panose="020B0704020202020204" pitchFamily="34" charset="0"/>
                <a:ea typeface="Avenir Next LT Pro Demi" panose="020B0704020202020204" pitchFamily="34" charset="0"/>
                <a:cs typeface="Avenir Next LT Pro Demi" panose="020B0704020202020204" pitchFamily="34" charset="0"/>
              </a:defRPr>
            </a:pPr>
            <a:endParaRPr lang="en-GB" sz="800">
              <a:solidFill>
                <a:schemeClr val="tx1">
                  <a:lumMod val="75000"/>
                  <a:lumOff val="25000"/>
                </a:schemeClr>
              </a:solidFill>
              <a:latin typeface="Avenir Next LT Pro Demi" panose="020B0704020202020204" pitchFamily="34" charset="0"/>
            </a:endParaRPr>
          </a:p>
        </cx:txPr>
      </cx:axis>
    </cx:plotArea>
  </cx:chart>
  <cx:spPr>
    <a:ln>
      <a:noFill/>
    </a:ln>
  </cx:spPr>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'33. Usuarios por competencias'!$C$158:$C$167</cx:f>
        <cx:lvl ptCount="10">
          <cx:pt idx="0">Cambiar ajustes privacidad</cx:pt>
          <cx:pt idx="1">Cambiar ajustes privacidad</cx:pt>
          <cx:pt idx="2">Cambiar ajustes privacidad</cx:pt>
          <cx:pt idx="3">Cambiar ajustes privacidad</cx:pt>
          <cx:pt idx="4">Cambiar ajustes privacidad</cx:pt>
          <cx:pt idx="5">Configurar medidas de seguridad eficaces</cx:pt>
          <cx:pt idx="6">Configurar medidas de seguridad eficaces</cx:pt>
          <cx:pt idx="7">Configurar medidas de seguridad eficaces</cx:pt>
          <cx:pt idx="8">Configurar medidas de seguridad eficaces</cx:pt>
          <cx:pt idx="9">Configurar medidas de seguridad eficaces</cx:pt>
        </cx:lvl>
      </cx:strDim>
      <cx:numDim type="val">
        <cx:f>'33. Usuarios por competencias'!$D$158:$D$167</cx:f>
        <cx:lvl ptCount="10" formatCode="0,0">
          <cx:pt idx="0">38.924763786362</cx:pt>
          <cx:pt idx="1">52.127659541847997</cx:pt>
          <cx:pt idx="2">20.627556230042899</cx:pt>
          <cx:pt idx="3">11.7982299255657</cx:pt>
          <cx:pt idx="4">58.376161069127697</cx:pt>
          <cx:pt idx="5">50.445026518641399</cx:pt>
          <cx:pt idx="6">79.787234042553195</cx:pt>
          <cx:pt idx="7">20.790695733134399</cx:pt>
          <cx:pt idx="8">14.748687053249601</cx:pt>
          <cx:pt idx="9">63.091778763276203</cx:pt>
        </cx:lvl>
      </cx:numDim>
    </cx:data>
  </cx:chartData>
  <cx:chart>
    <cx:plotArea>
      <cx:plotAreaRegion>
        <cx:series layoutId="boxWhisker" uniqueId="{3E8E21EF-2D81-4308-A573-BADC9845B2EF}">
          <cx:spPr>
            <a:solidFill>
              <a:srgbClr val="A77BCA"/>
            </a:solidFill>
            <a:ln>
              <a:solidFill>
                <a:srgbClr val="403A60"/>
              </a:solidFill>
            </a:ln>
          </cx:spPr>
          <cx:dataId val="0"/>
          <cx:layoutPr>
            <cx:visibility meanMarker="0"/>
            <cx:statistics quartileMethod="exclusive"/>
          </cx:layoutPr>
        </cx:series>
      </cx:plotAreaRegion>
      <cx:axis id="0">
        <cx:catScaling gapWidth="1"/>
        <cx:tickLabels/>
        <cx:spPr>
          <a:ln>
            <a:solidFill>
              <a:schemeClr val="tx1"/>
            </a:solidFill>
          </a:ln>
        </cx:spPr>
        <cx:txPr>
          <a:bodyPr vertOverflow="overflow" horzOverflow="overflow" wrap="square" lIns="0" tIns="0" rIns="0" bIns="0"/>
          <a:lstStyle/>
          <a:p>
            <a:pPr algn="ctr" rtl="0">
              <a:defRPr sz="800" b="0" i="0">
                <a:solidFill>
                  <a:schemeClr val="tx1">
                    <a:lumMod val="75000"/>
                    <a:lumOff val="25000"/>
                  </a:schemeClr>
                </a:solidFill>
                <a:latin typeface="Avenir Next LT Pro Demi" panose="020B0704020202020204" pitchFamily="34" charset="0"/>
                <a:ea typeface="Avenir Next LT Pro Demi" panose="020B0704020202020204" pitchFamily="34" charset="0"/>
                <a:cs typeface="Avenir Next LT Pro Demi" panose="020B0704020202020204" pitchFamily="34" charset="0"/>
              </a:defRPr>
            </a:pPr>
            <a:endParaRPr lang="en-GB" sz="800">
              <a:solidFill>
                <a:schemeClr val="tx1">
                  <a:lumMod val="75000"/>
                  <a:lumOff val="25000"/>
                </a:schemeClr>
              </a:solidFill>
              <a:latin typeface="Avenir Next LT Pro Demi" panose="020B0704020202020204" pitchFamily="34" charset="0"/>
            </a:endParaRPr>
          </a:p>
        </cx:txPr>
      </cx:axis>
      <cx:axis id="1">
        <cx:valScaling max="100"/>
        <cx:majorGridlines/>
        <cx:tickLabels/>
        <cx:numFmt formatCode="#,##0" sourceLinked="0"/>
        <cx:txPr>
          <a:bodyPr vertOverflow="overflow" horzOverflow="overflow" wrap="square" lIns="0" tIns="0" rIns="0" bIns="0"/>
          <a:lstStyle/>
          <a:p>
            <a:pPr algn="ctr" rtl="0">
              <a:defRPr sz="800" b="0" i="0">
                <a:solidFill>
                  <a:schemeClr val="tx1">
                    <a:lumMod val="75000"/>
                    <a:lumOff val="25000"/>
                  </a:schemeClr>
                </a:solidFill>
                <a:latin typeface="Avenir Next LT Pro Demi" panose="020B0704020202020204" pitchFamily="34" charset="0"/>
                <a:ea typeface="Avenir Next LT Pro Demi" panose="020B0704020202020204" pitchFamily="34" charset="0"/>
                <a:cs typeface="Avenir Next LT Pro Demi" panose="020B0704020202020204" pitchFamily="34" charset="0"/>
              </a:defRPr>
            </a:pPr>
            <a:endParaRPr lang="en-GB" sz="800">
              <a:solidFill>
                <a:schemeClr val="tx1">
                  <a:lumMod val="75000"/>
                  <a:lumOff val="25000"/>
                </a:schemeClr>
              </a:solidFill>
              <a:latin typeface="Avenir Next LT Pro Demi" panose="020B0704020202020204" pitchFamily="34" charset="0"/>
            </a:endParaRPr>
          </a:p>
        </cx:txPr>
      </cx:axis>
    </cx:plotArea>
  </cx:chart>
  <cx:spPr>
    <a:ln>
      <a:noFill/>
    </a:ln>
  </cx:spPr>
</cx:chartSpace>
</file>

<file path=word/charts/chartEx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'33. Usuarios por competencias'!$C$170:$C$232</cx:f>
        <cx:lvl ptCount="63">
          <cx:pt idx="0">Instalar dispositivos</cx:pt>
          <cx:pt idx="1">Instalar dispositivos</cx:pt>
          <cx:pt idx="2">Instalar dispositivos</cx:pt>
          <cx:pt idx="3">Instalar dispositivos</cx:pt>
          <cx:pt idx="4">Instalar dispositivos</cx:pt>
          <cx:pt idx="5">Instalar dispositivos</cx:pt>
          <cx:pt idx="6">Instalar dispositivos</cx:pt>
          <cx:pt idx="7">Instalar dispositivos</cx:pt>
          <cx:pt idx="8">Instalar dispositivos</cx:pt>
          <cx:pt idx="9">Compras/pedidos</cx:pt>
          <cx:pt idx="10">Compras/pedidos</cx:pt>
          <cx:pt idx="11">Compras/pedidos</cx:pt>
          <cx:pt idx="12">Compras/pedidos</cx:pt>
          <cx:pt idx="13">Compras/pedidos</cx:pt>
          <cx:pt idx="14">Compras/pedidos</cx:pt>
          <cx:pt idx="15">Compras/pedidos</cx:pt>
          <cx:pt idx="16">Compras/pedidos</cx:pt>
          <cx:pt idx="17">Compras/pedidos</cx:pt>
          <cx:pt idx="18">Compras/pedidos</cx:pt>
          <cx:pt idx="19">Compras/pedidos</cx:pt>
          <cx:pt idx="20">Compras/pedidos</cx:pt>
          <cx:pt idx="21">Compras/pedidos</cx:pt>
          <cx:pt idx="22">Cursos en línea</cx:pt>
          <cx:pt idx="23">Cursos en línea</cx:pt>
          <cx:pt idx="24">Cursos en línea</cx:pt>
          <cx:pt idx="25">Cursos en línea</cx:pt>
          <cx:pt idx="26">Cursos en línea</cx:pt>
          <cx:pt idx="27">Cursos en línea</cx:pt>
          <cx:pt idx="28">Cursos en línea</cx:pt>
          <cx:pt idx="29">Cursos en línea</cx:pt>
          <cx:pt idx="30">Cursos en línea</cx:pt>
          <cx:pt idx="31">Cursos en línea</cx:pt>
          <cx:pt idx="32">Instalar software</cx:pt>
          <cx:pt idx="33">Instalar software</cx:pt>
          <cx:pt idx="34">Instalar software</cx:pt>
          <cx:pt idx="35">Instalar software</cx:pt>
          <cx:pt idx="36">Instalar software</cx:pt>
          <cx:pt idx="37">Instalar software</cx:pt>
          <cx:pt idx="38">Instalar software</cx:pt>
          <cx:pt idx="39">Instalar software</cx:pt>
          <cx:pt idx="40">Instalar software</cx:pt>
          <cx:pt idx="41">Instalar software</cx:pt>
          <cx:pt idx="42">Banca por Internet</cx:pt>
          <cx:pt idx="43">Banca por Internet</cx:pt>
          <cx:pt idx="44">Banca por Internet</cx:pt>
          <cx:pt idx="45">Banca por Internet</cx:pt>
          <cx:pt idx="46">Banca por Internet</cx:pt>
          <cx:pt idx="47">Banca por Internet</cx:pt>
          <cx:pt idx="48">Banca por Internet</cx:pt>
          <cx:pt idx="49">Banca por Internet</cx:pt>
          <cx:pt idx="50">Banca por Internet</cx:pt>
          <cx:pt idx="51">Banca por Internet</cx:pt>
          <cx:pt idx="52">Banca por Internet</cx:pt>
          <cx:pt idx="53">Banca por Internet</cx:pt>
          <cx:pt idx="54">Banca por Internet</cx:pt>
          <cx:pt idx="55">Transferir ficheros</cx:pt>
          <cx:pt idx="56">Transferir ficheros</cx:pt>
          <cx:pt idx="57">Transferir ficheros</cx:pt>
          <cx:pt idx="58">Transferir ficheros</cx:pt>
          <cx:pt idx="59">Transferir ficheros</cx:pt>
          <cx:pt idx="60">Transferir ficheros</cx:pt>
          <cx:pt idx="61">Transferir ficheros</cx:pt>
          <cx:pt idx="62">Transferir ficheros</cx:pt>
        </cx:lvl>
      </cx:strDim>
      <cx:numDim type="val">
        <cx:f>'33. Usuarios por competencias'!$D$170:$D$232</cx:f>
        <cx:lvl ptCount="63" formatCode="0,0">
          <cx:pt idx="0">16.119106393221301</cx:pt>
          <cx:pt idx="1">49.3079358905308</cx:pt>
          <cx:pt idx="2">35.261490899241103</cx:pt>
          <cx:pt idx="3">11.463366384570399</cx:pt>
          <cx:pt idx="4">11.6609610284178</cx:pt>
          <cx:pt idx="5">10.1247917279996</cx:pt>
          <cx:pt idx="6">27.450974692442699</cx:pt>
          <cx:pt idx="7">19.093437526028001</cx:pt>
          <cx:pt idx="8">56.184156193827</cx:pt>
          <cx:pt idx="9">49.618979209272197</cx:pt>
          <cx:pt idx="10">78.723404255319195</cx:pt>
          <cx:pt idx="11">43.786655449030199</cx:pt>
          <cx:pt idx="12">15.490633561043399</cx:pt>
          <cx:pt idx="13">21.461816169163601</cx:pt>
          <cx:pt idx="14">16.624538701032801</cx:pt>
          <cx:pt idx="15">4.30674664487778</cx:pt>
          <cx:pt idx="16">0.28123380509680801</cx:pt>
          <cx:pt idx="17">14.273797122027201</cx:pt>
          <cx:pt idx="18">33.363998583722903</cx:pt>
          <cx:pt idx="19">23.497420979037699</cx:pt>
          <cx:pt idx="20">15.3397944928524</cx:pt>
          <cx:pt idx="21">42.448042588268898</cx:pt>
          <cx:pt idx="22">18.652101624959201</cx:pt>
          <cx:pt idx="23">35.106382978723403</cx:pt>
          <cx:pt idx="24">22.595716039422499</cx:pt>
          <cx:pt idx="25">30.8334587756876</cx:pt>
          <cx:pt idx="26">20.9920303921532</cx:pt>
          <cx:pt idx="27">32.440127742905197</cx:pt>
          <cx:pt idx="28">32.3980870054246</cx:pt>
          <cx:pt idx="29">21.491483216814899</cx:pt>
          <cx:pt idx="30">20.012658675711499</cx:pt>
          <cx:pt idx="31">7.2316704198499604</cx:pt>
          <cx:pt idx="32">37.365326692563499</cx:pt>
          <cx:pt idx="33">52.796732627466398</cx:pt>
          <cx:pt idx="34">25.337221887415001</cx:pt>
          <cx:pt idx="35">28.8220519851902</cx:pt>
          <cx:pt idx="36">11.070486962949699</cx:pt>
          <cx:pt idx="37">7.2574763616809301</cx:pt>
          <cx:pt idx="38">10.6142671163842</cx:pt>
          <cx:pt idx="39">23.365606527656599</cx:pt>
          <cx:pt idx="40">15.0405079335131</cx:pt>
          <cx:pt idx="41">47.072632155800903</cx:pt>
          <cx:pt idx="42">54.458892073786402</cx:pt>
          <cx:pt idx="43">82.978723404255305</cx:pt>
          <cx:pt idx="44">56.589377962006502</cx:pt>
          <cx:pt idx="45">22.328859110880799</cx:pt>
          <cx:pt idx="46">46.016248458478998</cx:pt>
          <cx:pt idx="47">24.942439873089</cx:pt>
          <cx:pt idx="48">12.844536321620801</cx:pt>
          <cx:pt idx="49">0.085591369555261906</cx:pt>
          <cx:pt idx="50">19.0509254826054</cx:pt>
          <cx:pt idx="51">16.562280191698601</cx:pt>
          <cx:pt idx="52">20.0686224293805</cx:pt>
          <cx:pt idx="53">26.018781849662801</cx:pt>
          <cx:pt idx="54">53.097527504156098</cx:pt>
          <cx:pt idx="55">26.830155965969499</cx:pt>
          <cx:pt idx="56">52.832628858893003</cx:pt>
          <cx:pt idx="57">36.912250486682801</cx:pt>
          <cx:pt idx="58">17.471661706037001</cx:pt>
          <cx:pt idx="59">16.018938119075798</cx:pt>
          <cx:pt idx="60">16.296991752851898</cx:pt>
          <cx:pt idx="61">24.5887120883596</cx:pt>
          <cx:pt idx="62">63.2696136447017</cx:pt>
        </cx:lvl>
      </cx:numDim>
    </cx:data>
  </cx:chartData>
  <cx:chart>
    <cx:plotArea>
      <cx:plotAreaRegion>
        <cx:series layoutId="boxWhisker" uniqueId="{6DFE790D-2E7D-4CB7-AABB-D17DB632B2EC}">
          <cx:spPr>
            <a:solidFill>
              <a:srgbClr val="A77BCA"/>
            </a:solidFill>
            <a:ln>
              <a:solidFill>
                <a:srgbClr val="403A60"/>
              </a:solidFill>
            </a:ln>
          </cx:spPr>
          <cx:dataId val="0"/>
          <cx:layoutPr>
            <cx:visibility meanMarker="0"/>
            <cx:statistics quartileMethod="exclusive"/>
          </cx:layoutPr>
        </cx:series>
      </cx:plotAreaRegion>
      <cx:axis id="0">
        <cx:catScaling gapWidth="1"/>
        <cx:tickLabels/>
        <cx:spPr>
          <a:ln>
            <a:solidFill>
              <a:schemeClr val="tx1"/>
            </a:solidFill>
          </a:ln>
        </cx:spPr>
        <cx:txPr>
          <a:bodyPr vertOverflow="overflow" horzOverflow="overflow" wrap="square" lIns="0" tIns="0" rIns="0" bIns="0"/>
          <a:lstStyle/>
          <a:p>
            <a:pPr algn="ctr" rtl="0">
              <a:defRPr sz="800" b="0" i="0">
                <a:solidFill>
                  <a:schemeClr val="tx1">
                    <a:lumMod val="75000"/>
                    <a:lumOff val="25000"/>
                  </a:schemeClr>
                </a:solidFill>
                <a:latin typeface="Avenir Next LT Pro Demi" panose="020B0704020202020204" pitchFamily="34" charset="0"/>
                <a:ea typeface="Avenir Next LT Pro Demi" panose="020B0704020202020204" pitchFamily="34" charset="0"/>
                <a:cs typeface="Avenir Next LT Pro Demi" panose="020B0704020202020204" pitchFamily="34" charset="0"/>
              </a:defRPr>
            </a:pPr>
            <a:endParaRPr lang="en-GB" sz="800">
              <a:solidFill>
                <a:schemeClr val="tx1">
                  <a:lumMod val="75000"/>
                  <a:lumOff val="25000"/>
                </a:schemeClr>
              </a:solidFill>
              <a:latin typeface="Avenir Next LT Pro Demi" panose="020B0704020202020204" pitchFamily="34" charset="0"/>
            </a:endParaRPr>
          </a:p>
        </cx:txPr>
      </cx:axis>
      <cx:axis id="1">
        <cx:valScaling max="100"/>
        <cx:majorGridlines/>
        <cx:tickLabels/>
        <cx:numFmt formatCode="#,##0" sourceLinked="0"/>
        <cx:txPr>
          <a:bodyPr vertOverflow="overflow" horzOverflow="overflow" wrap="square" lIns="0" tIns="0" rIns="0" bIns="0"/>
          <a:lstStyle/>
          <a:p>
            <a:pPr algn="ctr" rtl="0">
              <a:defRPr sz="800" b="0" i="0">
                <a:solidFill>
                  <a:schemeClr val="tx1">
                    <a:lumMod val="75000"/>
                    <a:lumOff val="25000"/>
                  </a:schemeClr>
                </a:solidFill>
                <a:latin typeface="Avenir Next LT Pro Demi" panose="020B0704020202020204" pitchFamily="34" charset="0"/>
                <a:ea typeface="Avenir Next LT Pro Demi" panose="020B0704020202020204" pitchFamily="34" charset="0"/>
                <a:cs typeface="Avenir Next LT Pro Demi" panose="020B0704020202020204" pitchFamily="34" charset="0"/>
              </a:defRPr>
            </a:pPr>
            <a:endParaRPr lang="en-GB" sz="800">
              <a:solidFill>
                <a:schemeClr val="tx1">
                  <a:lumMod val="75000"/>
                  <a:lumOff val="25000"/>
                </a:schemeClr>
              </a:solidFill>
              <a:latin typeface="Avenir Next LT Pro Demi" panose="020B0704020202020204" pitchFamily="34" charset="0"/>
            </a:endParaRPr>
          </a:p>
        </cx:txPr>
      </cx:axis>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39.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1.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2.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0.73424</cdr:x>
      <cdr:y>0.95343</cdr:y>
    </cdr:from>
    <cdr:to>
      <cdr:x>0.73424</cdr:x>
      <cdr:y>0.99069</cdr:y>
    </cdr:to>
    <cdr:cxnSp macro="">
      <cdr:nvCxnSpPr>
        <cdr:cNvPr id="3" name="Straight Connector 2">
          <a:extLst xmlns:a="http://schemas.openxmlformats.org/drawingml/2006/main">
            <a:ext uri="{FF2B5EF4-FFF2-40B4-BE49-F238E27FC236}">
              <a16:creationId xmlns:a16="http://schemas.microsoft.com/office/drawing/2014/main" id="{B3920C83-02CD-B090-AC38-CCE1FEDF1474}"/>
            </a:ext>
          </a:extLst>
        </cdr:cNvPr>
        <cdr:cNvCxnSpPr/>
      </cdr:nvCxnSpPr>
      <cdr:spPr>
        <a:xfrm xmlns:a="http://schemas.openxmlformats.org/drawingml/2006/main">
          <a:off x="6731950" y="6046846"/>
          <a:ext cx="0" cy="236279"/>
        </a:xfrm>
        <a:prstGeom xmlns:a="http://schemas.openxmlformats.org/drawingml/2006/main" prst="line">
          <a:avLst/>
        </a:prstGeom>
        <a:ln xmlns:a="http://schemas.openxmlformats.org/drawingml/2006/main">
          <a:solidFill>
            <a:srgbClr val="00B0F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0.74058</cdr:x>
      <cdr:y>0.95343</cdr:y>
    </cdr:from>
    <cdr:to>
      <cdr:x>0.89173</cdr:x>
      <cdr:y>1</cdr:y>
    </cdr:to>
    <cdr:sp macro="" textlink="">
      <cdr:nvSpPr>
        <cdr:cNvPr id="4" name="TextBox 3">
          <a:extLst xmlns:a="http://schemas.openxmlformats.org/drawingml/2006/main">
            <a:ext uri="{FF2B5EF4-FFF2-40B4-BE49-F238E27FC236}">
              <a16:creationId xmlns:a16="http://schemas.microsoft.com/office/drawing/2014/main" id="{52014EC8-119E-91FB-2086-FBD4F1A20B33}"/>
            </a:ext>
          </a:extLst>
        </cdr:cNvPr>
        <cdr:cNvSpPr txBox="1"/>
      </cdr:nvSpPr>
      <cdr:spPr>
        <a:xfrm xmlns:a="http://schemas.openxmlformats.org/drawingml/2006/main">
          <a:off x="6790065" y="6046846"/>
          <a:ext cx="1385831" cy="2953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kern="1200">
              <a:solidFill>
                <a:schemeClr val="tx1">
                  <a:lumMod val="75000"/>
                  <a:lumOff val="25000"/>
                </a:schemeClr>
              </a:solidFill>
              <a:latin typeface="Avenir Next LT Pro Demi" panose="020B0704020202020204" pitchFamily="34" charset="0"/>
            </a:rPr>
            <a:t>Mundo</a:t>
          </a:r>
        </a:p>
      </cdr:txBody>
    </cdr:sp>
  </cdr:relSizeAnchor>
</c:userShapes>
</file>

<file path=word/drawings/drawing10.xml><?xml version="1.0" encoding="utf-8"?>
<c:userShapes xmlns:c="http://schemas.openxmlformats.org/drawingml/2006/chart">
  <cdr:relSizeAnchor xmlns:cdr="http://schemas.openxmlformats.org/drawingml/2006/chartDrawing">
    <cdr:from>
      <cdr:x>0.81017</cdr:x>
      <cdr:y>0.89132</cdr:y>
    </cdr:from>
    <cdr:to>
      <cdr:x>0.96623</cdr:x>
      <cdr:y>0.97709</cdr:y>
    </cdr:to>
    <cdr:sp macro="" textlink="">
      <cdr:nvSpPr>
        <cdr:cNvPr id="2" name="TextBox 1">
          <a:extLst xmlns:a="http://schemas.openxmlformats.org/drawingml/2006/main">
            <a:ext uri="{FF2B5EF4-FFF2-40B4-BE49-F238E27FC236}">
              <a16:creationId xmlns:a16="http://schemas.microsoft.com/office/drawing/2014/main" id="{A19302D7-A016-B42E-77D7-BE86CC375049}"/>
            </a:ext>
          </a:extLst>
        </cdr:cNvPr>
        <cdr:cNvSpPr txBox="1"/>
      </cdr:nvSpPr>
      <cdr:spPr>
        <a:xfrm xmlns:a="http://schemas.openxmlformats.org/drawingml/2006/main">
          <a:off x="5056512" y="2567015"/>
          <a:ext cx="974020" cy="2470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b="1">
              <a:effectLst/>
              <a:latin typeface="+mn-lt"/>
              <a:ea typeface="+mn-ea"/>
              <a:cs typeface="+mn-cs"/>
            </a:rPr>
            <a:t>–</a:t>
          </a:r>
          <a:r>
            <a:rPr lang="en-GB" sz="800">
              <a:solidFill>
                <a:schemeClr val="tx1">
                  <a:lumMod val="75000"/>
                  <a:lumOff val="25000"/>
                </a:schemeClr>
              </a:solidFill>
              <a:latin typeface="Avenir Next LT Pro Demi" panose="020B0704020202020204" pitchFamily="34" charset="0"/>
            </a:rPr>
            <a:t>  2018</a:t>
          </a:r>
        </a:p>
      </cdr:txBody>
    </cdr:sp>
  </cdr:relSizeAnchor>
  <cdr:relSizeAnchor xmlns:cdr="http://schemas.openxmlformats.org/drawingml/2006/chartDrawing">
    <cdr:from>
      <cdr:x>0.04896</cdr:x>
      <cdr:y>0.40949</cdr:y>
    </cdr:from>
    <cdr:to>
      <cdr:x>0.9874</cdr:x>
      <cdr:y>0.41086</cdr:y>
    </cdr:to>
    <cdr:cxnSp macro="">
      <cdr:nvCxnSpPr>
        <cdr:cNvPr id="3" name="Straight Connector 2">
          <a:extLst xmlns:a="http://schemas.openxmlformats.org/drawingml/2006/main">
            <a:ext uri="{FF2B5EF4-FFF2-40B4-BE49-F238E27FC236}">
              <a16:creationId xmlns:a16="http://schemas.microsoft.com/office/drawing/2014/main" id="{1833BC88-1CA2-8F82-1CC7-C65417EFCB08}"/>
            </a:ext>
          </a:extLst>
        </cdr:cNvPr>
        <cdr:cNvCxnSpPr/>
      </cdr:nvCxnSpPr>
      <cdr:spPr>
        <a:xfrm xmlns:a="http://schemas.openxmlformats.org/drawingml/2006/main" flipH="1">
          <a:off x="305480" y="1163035"/>
          <a:ext cx="5855865" cy="3891"/>
        </a:xfrm>
        <a:prstGeom xmlns:a="http://schemas.openxmlformats.org/drawingml/2006/main" prst="line">
          <a:avLst/>
        </a:prstGeom>
        <a:ln xmlns:a="http://schemas.openxmlformats.org/drawingml/2006/main">
          <a:solidFill>
            <a:srgbClr val="FF00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0.06348</cdr:x>
      <cdr:y>0.30088</cdr:y>
    </cdr:from>
    <cdr:to>
      <cdr:x>0.17832</cdr:x>
      <cdr:y>0.38425</cdr:y>
    </cdr:to>
    <cdr:sp macro="" textlink="">
      <cdr:nvSpPr>
        <cdr:cNvPr id="10" name="TextBox 1">
          <a:extLst xmlns:a="http://schemas.openxmlformats.org/drawingml/2006/main">
            <a:ext uri="{FF2B5EF4-FFF2-40B4-BE49-F238E27FC236}">
              <a16:creationId xmlns:a16="http://schemas.microsoft.com/office/drawing/2014/main" id="{A488D4D0-A660-7AC3-BCA5-8BA2035E34BC}"/>
            </a:ext>
          </a:extLst>
        </cdr:cNvPr>
        <cdr:cNvSpPr txBox="1"/>
      </cdr:nvSpPr>
      <cdr:spPr>
        <a:xfrm xmlns:a="http://schemas.openxmlformats.org/drawingml/2006/main">
          <a:off x="393246" y="846474"/>
          <a:ext cx="711454" cy="23454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a:solidFill>
                <a:srgbClr val="FF0000"/>
              </a:solidFill>
              <a:latin typeface="Avenir Next LT Pro Demi" panose="020B0704020202020204" pitchFamily="34" charset="0"/>
            </a:rPr>
            <a:t>Umbral 2%</a:t>
          </a:r>
        </a:p>
      </cdr:txBody>
    </cdr:sp>
  </cdr:relSizeAnchor>
  <cdr:relSizeAnchor xmlns:cdr="http://schemas.openxmlformats.org/drawingml/2006/chartDrawing">
    <cdr:from>
      <cdr:x>0.18981</cdr:x>
      <cdr:y>0.05334</cdr:y>
    </cdr:from>
    <cdr:to>
      <cdr:x>0.2042</cdr:x>
      <cdr:y>0.07062</cdr:y>
    </cdr:to>
    <cdr:cxnSp macro="">
      <cdr:nvCxnSpPr>
        <cdr:cNvPr id="5" name="Straight Connector 4">
          <a:extLst xmlns:a="http://schemas.openxmlformats.org/drawingml/2006/main">
            <a:ext uri="{FF2B5EF4-FFF2-40B4-BE49-F238E27FC236}">
              <a16:creationId xmlns:a16="http://schemas.microsoft.com/office/drawing/2014/main" id="{0D62C057-6B0B-C3F9-9EEB-2F906E241380}"/>
            </a:ext>
          </a:extLst>
        </cdr:cNvPr>
        <cdr:cNvCxnSpPr/>
      </cdr:nvCxnSpPr>
      <cdr:spPr>
        <a:xfrm xmlns:a="http://schemas.openxmlformats.org/drawingml/2006/main">
          <a:off x="1184969" y="153019"/>
          <a:ext cx="89829" cy="49561"/>
        </a:xfrm>
        <a:prstGeom xmlns:a="http://schemas.openxmlformats.org/drawingml/2006/main" prst="line">
          <a:avLst/>
        </a:prstGeom>
        <a:ln xmlns:a="http://schemas.openxmlformats.org/drawingml/2006/main">
          <a:solidFill>
            <a:schemeClr val="bg1"/>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0.18733</cdr:x>
      <cdr:y>0.06414</cdr:y>
    </cdr:from>
    <cdr:to>
      <cdr:x>0.20171</cdr:x>
      <cdr:y>0.08141</cdr:y>
    </cdr:to>
    <cdr:cxnSp macro="">
      <cdr:nvCxnSpPr>
        <cdr:cNvPr id="6" name="Straight Connector 5">
          <a:extLst xmlns:a="http://schemas.openxmlformats.org/drawingml/2006/main">
            <a:ext uri="{FF2B5EF4-FFF2-40B4-BE49-F238E27FC236}">
              <a16:creationId xmlns:a16="http://schemas.microsoft.com/office/drawing/2014/main" id="{49B791E3-2E55-0781-048E-4316831AF205}"/>
            </a:ext>
          </a:extLst>
        </cdr:cNvPr>
        <cdr:cNvCxnSpPr/>
      </cdr:nvCxnSpPr>
      <cdr:spPr>
        <a:xfrm xmlns:a="http://schemas.openxmlformats.org/drawingml/2006/main">
          <a:off x="1169481" y="183994"/>
          <a:ext cx="89829" cy="49561"/>
        </a:xfrm>
        <a:prstGeom xmlns:a="http://schemas.openxmlformats.org/drawingml/2006/main" prst="line">
          <a:avLst/>
        </a:prstGeom>
        <a:ln xmlns:a="http://schemas.openxmlformats.org/drawingml/2006/main">
          <a:solidFill>
            <a:schemeClr val="bg1"/>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0.72368</cdr:x>
      <cdr:y>0.05334</cdr:y>
    </cdr:from>
    <cdr:to>
      <cdr:x>0.73807</cdr:x>
      <cdr:y>0.07062</cdr:y>
    </cdr:to>
    <cdr:cxnSp macro="">
      <cdr:nvCxnSpPr>
        <cdr:cNvPr id="7" name="Straight Connector 6">
          <a:extLst xmlns:a="http://schemas.openxmlformats.org/drawingml/2006/main">
            <a:ext uri="{FF2B5EF4-FFF2-40B4-BE49-F238E27FC236}">
              <a16:creationId xmlns:a16="http://schemas.microsoft.com/office/drawing/2014/main" id="{906E343F-C46D-3A7A-A58D-8F2C527C5038}"/>
            </a:ext>
          </a:extLst>
        </cdr:cNvPr>
        <cdr:cNvCxnSpPr/>
      </cdr:nvCxnSpPr>
      <cdr:spPr>
        <a:xfrm xmlns:a="http://schemas.openxmlformats.org/drawingml/2006/main">
          <a:off x="4517945" y="153018"/>
          <a:ext cx="89829" cy="49561"/>
        </a:xfrm>
        <a:prstGeom xmlns:a="http://schemas.openxmlformats.org/drawingml/2006/main" prst="line">
          <a:avLst/>
        </a:prstGeom>
        <a:ln xmlns:a="http://schemas.openxmlformats.org/drawingml/2006/main">
          <a:solidFill>
            <a:schemeClr val="bg1"/>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0.72021</cdr:x>
      <cdr:y>0.06414</cdr:y>
    </cdr:from>
    <cdr:to>
      <cdr:x>0.7346</cdr:x>
      <cdr:y>0.08141</cdr:y>
    </cdr:to>
    <cdr:cxnSp macro="">
      <cdr:nvCxnSpPr>
        <cdr:cNvPr id="8" name="Straight Connector 7">
          <a:extLst xmlns:a="http://schemas.openxmlformats.org/drawingml/2006/main">
            <a:ext uri="{FF2B5EF4-FFF2-40B4-BE49-F238E27FC236}">
              <a16:creationId xmlns:a16="http://schemas.microsoft.com/office/drawing/2014/main" id="{B7F73675-69B0-D172-B508-92C186BDDE23}"/>
            </a:ext>
          </a:extLst>
        </cdr:cNvPr>
        <cdr:cNvCxnSpPr/>
      </cdr:nvCxnSpPr>
      <cdr:spPr>
        <a:xfrm xmlns:a="http://schemas.openxmlformats.org/drawingml/2006/main">
          <a:off x="4496262" y="183993"/>
          <a:ext cx="89829" cy="49561"/>
        </a:xfrm>
        <a:prstGeom xmlns:a="http://schemas.openxmlformats.org/drawingml/2006/main" prst="line">
          <a:avLst/>
        </a:prstGeom>
        <a:ln xmlns:a="http://schemas.openxmlformats.org/drawingml/2006/main">
          <a:solidFill>
            <a:schemeClr val="bg1"/>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0.92959</cdr:x>
      <cdr:y>0.05226</cdr:y>
    </cdr:from>
    <cdr:to>
      <cdr:x>0.94695</cdr:x>
      <cdr:y>0.07386</cdr:y>
    </cdr:to>
    <cdr:cxnSp macro="">
      <cdr:nvCxnSpPr>
        <cdr:cNvPr id="9" name="Straight Connector 8">
          <a:extLst xmlns:a="http://schemas.openxmlformats.org/drawingml/2006/main">
            <a:ext uri="{FF2B5EF4-FFF2-40B4-BE49-F238E27FC236}">
              <a16:creationId xmlns:a16="http://schemas.microsoft.com/office/drawing/2014/main" id="{BFA27746-225C-CEBD-0004-5DAE1C1EC762}"/>
            </a:ext>
          </a:extLst>
        </cdr:cNvPr>
        <cdr:cNvCxnSpPr/>
      </cdr:nvCxnSpPr>
      <cdr:spPr>
        <a:xfrm xmlns:a="http://schemas.openxmlformats.org/drawingml/2006/main">
          <a:off x="5803432" y="149920"/>
          <a:ext cx="108415" cy="61953"/>
        </a:xfrm>
        <a:prstGeom xmlns:a="http://schemas.openxmlformats.org/drawingml/2006/main" prst="line">
          <a:avLst/>
        </a:prstGeom>
        <a:ln xmlns:a="http://schemas.openxmlformats.org/drawingml/2006/main">
          <a:solidFill>
            <a:schemeClr val="bg1"/>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0.92859</cdr:x>
      <cdr:y>0.06414</cdr:y>
    </cdr:from>
    <cdr:to>
      <cdr:x>0.94596</cdr:x>
      <cdr:y>0.08573</cdr:y>
    </cdr:to>
    <cdr:cxnSp macro="">
      <cdr:nvCxnSpPr>
        <cdr:cNvPr id="12" name="Straight Connector 11">
          <a:extLst xmlns:a="http://schemas.openxmlformats.org/drawingml/2006/main">
            <a:ext uri="{FF2B5EF4-FFF2-40B4-BE49-F238E27FC236}">
              <a16:creationId xmlns:a16="http://schemas.microsoft.com/office/drawing/2014/main" id="{2C1E0114-AA37-12D7-A7F4-DFCCF2597DF1}"/>
            </a:ext>
          </a:extLst>
        </cdr:cNvPr>
        <cdr:cNvCxnSpPr/>
      </cdr:nvCxnSpPr>
      <cdr:spPr>
        <a:xfrm xmlns:a="http://schemas.openxmlformats.org/drawingml/2006/main">
          <a:off x="5797236" y="183994"/>
          <a:ext cx="108415" cy="61953"/>
        </a:xfrm>
        <a:prstGeom xmlns:a="http://schemas.openxmlformats.org/drawingml/2006/main" prst="line">
          <a:avLst/>
        </a:prstGeom>
        <a:ln xmlns:a="http://schemas.openxmlformats.org/drawingml/2006/main">
          <a:solidFill>
            <a:schemeClr val="bg1"/>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0.9544</cdr:x>
      <cdr:y>0.05226</cdr:y>
    </cdr:from>
    <cdr:to>
      <cdr:x>0.97176</cdr:x>
      <cdr:y>0.07386</cdr:y>
    </cdr:to>
    <cdr:cxnSp macro="">
      <cdr:nvCxnSpPr>
        <cdr:cNvPr id="13" name="Straight Connector 12">
          <a:extLst xmlns:a="http://schemas.openxmlformats.org/drawingml/2006/main">
            <a:ext uri="{FF2B5EF4-FFF2-40B4-BE49-F238E27FC236}">
              <a16:creationId xmlns:a16="http://schemas.microsoft.com/office/drawing/2014/main" id="{ED0416EA-EA86-EFCB-8490-B4826DDA9A27}"/>
            </a:ext>
          </a:extLst>
        </cdr:cNvPr>
        <cdr:cNvCxnSpPr/>
      </cdr:nvCxnSpPr>
      <cdr:spPr>
        <a:xfrm xmlns:a="http://schemas.openxmlformats.org/drawingml/2006/main">
          <a:off x="5958309" y="149921"/>
          <a:ext cx="108415" cy="61953"/>
        </a:xfrm>
        <a:prstGeom xmlns:a="http://schemas.openxmlformats.org/drawingml/2006/main" prst="line">
          <a:avLst/>
        </a:prstGeom>
        <a:ln xmlns:a="http://schemas.openxmlformats.org/drawingml/2006/main">
          <a:solidFill>
            <a:schemeClr val="bg1"/>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0.95539</cdr:x>
      <cdr:y>0.06954</cdr:y>
    </cdr:from>
    <cdr:to>
      <cdr:x>0.97275</cdr:x>
      <cdr:y>0.09113</cdr:y>
    </cdr:to>
    <cdr:cxnSp macro="">
      <cdr:nvCxnSpPr>
        <cdr:cNvPr id="14" name="Straight Connector 13">
          <a:extLst xmlns:a="http://schemas.openxmlformats.org/drawingml/2006/main">
            <a:ext uri="{FF2B5EF4-FFF2-40B4-BE49-F238E27FC236}">
              <a16:creationId xmlns:a16="http://schemas.microsoft.com/office/drawing/2014/main" id="{75E3C53C-5BD0-BD5E-5137-3214D23E775B}"/>
            </a:ext>
          </a:extLst>
        </cdr:cNvPr>
        <cdr:cNvCxnSpPr/>
      </cdr:nvCxnSpPr>
      <cdr:spPr>
        <a:xfrm xmlns:a="http://schemas.openxmlformats.org/drawingml/2006/main">
          <a:off x="5964504" y="199482"/>
          <a:ext cx="108415" cy="61953"/>
        </a:xfrm>
        <a:prstGeom xmlns:a="http://schemas.openxmlformats.org/drawingml/2006/main" prst="line">
          <a:avLst/>
        </a:prstGeom>
        <a:ln xmlns:a="http://schemas.openxmlformats.org/drawingml/2006/main">
          <a:solidFill>
            <a:schemeClr val="bg1"/>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11.xml><?xml version="1.0" encoding="utf-8"?>
<c:userShapes xmlns:c="http://schemas.openxmlformats.org/drawingml/2006/chart">
  <cdr:relSizeAnchor xmlns:cdr="http://schemas.openxmlformats.org/drawingml/2006/chartDrawing">
    <cdr:from>
      <cdr:x>0.87186</cdr:x>
      <cdr:y>0.19828</cdr:y>
    </cdr:from>
    <cdr:to>
      <cdr:x>0.93619</cdr:x>
      <cdr:y>0.32056</cdr:y>
    </cdr:to>
    <cdr:sp macro="" textlink="">
      <cdr:nvSpPr>
        <cdr:cNvPr id="4" name="TextBox 3">
          <a:extLst xmlns:a="http://schemas.openxmlformats.org/drawingml/2006/main">
            <a:ext uri="{FF2B5EF4-FFF2-40B4-BE49-F238E27FC236}">
              <a16:creationId xmlns:a16="http://schemas.microsoft.com/office/drawing/2014/main" id="{C8766C69-59FE-B112-8E41-AACF39898AED}"/>
            </a:ext>
          </a:extLst>
        </cdr:cNvPr>
        <cdr:cNvSpPr txBox="1"/>
      </cdr:nvSpPr>
      <cdr:spPr>
        <a:xfrm xmlns:a="http://schemas.openxmlformats.org/drawingml/2006/main">
          <a:off x="5771029" y="672353"/>
          <a:ext cx="425824" cy="4146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12.xml><?xml version="1.0" encoding="utf-8"?>
<c:userShapes xmlns:c="http://schemas.openxmlformats.org/drawingml/2006/chart">
  <cdr:relSizeAnchor xmlns:cdr="http://schemas.openxmlformats.org/drawingml/2006/chartDrawing">
    <cdr:from>
      <cdr:x>0.87186</cdr:x>
      <cdr:y>0.19828</cdr:y>
    </cdr:from>
    <cdr:to>
      <cdr:x>0.93619</cdr:x>
      <cdr:y>0.32056</cdr:y>
    </cdr:to>
    <cdr:sp macro="" textlink="">
      <cdr:nvSpPr>
        <cdr:cNvPr id="4" name="TextBox 3">
          <a:extLst xmlns:a="http://schemas.openxmlformats.org/drawingml/2006/main">
            <a:ext uri="{FF2B5EF4-FFF2-40B4-BE49-F238E27FC236}">
              <a16:creationId xmlns:a16="http://schemas.microsoft.com/office/drawing/2014/main" id="{C8766C69-59FE-B112-8E41-AACF39898AED}"/>
            </a:ext>
          </a:extLst>
        </cdr:cNvPr>
        <cdr:cNvSpPr txBox="1"/>
      </cdr:nvSpPr>
      <cdr:spPr>
        <a:xfrm xmlns:a="http://schemas.openxmlformats.org/drawingml/2006/main">
          <a:off x="5771029" y="672353"/>
          <a:ext cx="425824" cy="4146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13.xml><?xml version="1.0" encoding="utf-8"?>
<c:userShapes xmlns:c="http://schemas.openxmlformats.org/drawingml/2006/chart">
  <cdr:relSizeAnchor xmlns:cdr="http://schemas.openxmlformats.org/drawingml/2006/chartDrawing">
    <cdr:from>
      <cdr:x>0.89307</cdr:x>
      <cdr:y>0</cdr:y>
    </cdr:from>
    <cdr:to>
      <cdr:x>0.96087</cdr:x>
      <cdr:y>0.06611</cdr:y>
    </cdr:to>
    <cdr:sp macro="" textlink="">
      <cdr:nvSpPr>
        <cdr:cNvPr id="4" name="TextBox 3">
          <a:extLst xmlns:a="http://schemas.openxmlformats.org/drawingml/2006/main">
            <a:ext uri="{FF2B5EF4-FFF2-40B4-BE49-F238E27FC236}">
              <a16:creationId xmlns:a16="http://schemas.microsoft.com/office/drawing/2014/main" id="{393C487A-95A6-143B-A84E-8A297ACB6A2E}"/>
            </a:ext>
          </a:extLst>
        </cdr:cNvPr>
        <cdr:cNvSpPr txBox="1"/>
      </cdr:nvSpPr>
      <cdr:spPr>
        <a:xfrm xmlns:a="http://schemas.openxmlformats.org/drawingml/2006/main">
          <a:off x="5648139" y="0"/>
          <a:ext cx="428811" cy="247561"/>
        </a:xfrm>
        <a:prstGeom xmlns:a="http://schemas.openxmlformats.org/drawingml/2006/main" prst="rect">
          <a:avLst/>
        </a:prstGeom>
      </cdr:spPr>
      <cdr:txBody>
        <a:bodyPr xmlns:a="http://schemas.openxmlformats.org/drawingml/2006/main" vertOverflow="clip" wrap="none" tIns="9144" rtlCol="0"/>
        <a:lstStyle xmlns:a="http://schemas.openxmlformats.org/drawingml/2006/main"/>
        <a:p xmlns:a="http://schemas.openxmlformats.org/drawingml/2006/main">
          <a:r>
            <a:rPr lang="en-GB" sz="900" kern="1200">
              <a:solidFill>
                <a:schemeClr val="tx1">
                  <a:lumMod val="75000"/>
                  <a:lumOff val="25000"/>
                </a:schemeClr>
              </a:solidFill>
              <a:latin typeface="Avenir Next LT Pro Demi" panose="020B0704020202020204" pitchFamily="34" charset="0"/>
            </a:rPr>
            <a:t>693</a:t>
          </a:r>
        </a:p>
      </cdr:txBody>
    </cdr:sp>
  </cdr:relSizeAnchor>
  <cdr:relSizeAnchor xmlns:cdr="http://schemas.openxmlformats.org/drawingml/2006/chartDrawing">
    <cdr:from>
      <cdr:x>0.90063</cdr:x>
      <cdr:y>0.04339</cdr:y>
    </cdr:from>
    <cdr:to>
      <cdr:x>0.9428</cdr:x>
      <cdr:y>0.0751</cdr:y>
    </cdr:to>
    <cdr:cxnSp macro="">
      <cdr:nvCxnSpPr>
        <cdr:cNvPr id="3" name="Straight Connector 2">
          <a:extLst xmlns:a="http://schemas.openxmlformats.org/drawingml/2006/main">
            <a:ext uri="{FF2B5EF4-FFF2-40B4-BE49-F238E27FC236}">
              <a16:creationId xmlns:a16="http://schemas.microsoft.com/office/drawing/2014/main" id="{17FB99E2-159B-092F-7AD3-C718CE46D94E}"/>
            </a:ext>
          </a:extLst>
        </cdr:cNvPr>
        <cdr:cNvCxnSpPr/>
      </cdr:nvCxnSpPr>
      <cdr:spPr>
        <a:xfrm xmlns:a="http://schemas.openxmlformats.org/drawingml/2006/main">
          <a:off x="5695950" y="165100"/>
          <a:ext cx="266700" cy="120650"/>
        </a:xfrm>
        <a:prstGeom xmlns:a="http://schemas.openxmlformats.org/drawingml/2006/main" prst="line">
          <a:avLst/>
        </a:prstGeom>
        <a:ln xmlns:a="http://schemas.openxmlformats.org/drawingml/2006/main">
          <a:solidFill>
            <a:schemeClr val="bg1"/>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0.89962</cdr:x>
      <cdr:y>0.06008</cdr:y>
    </cdr:from>
    <cdr:to>
      <cdr:x>0.94179</cdr:x>
      <cdr:y>0.09179</cdr:y>
    </cdr:to>
    <cdr:cxnSp macro="">
      <cdr:nvCxnSpPr>
        <cdr:cNvPr id="5" name="Straight Connector 4">
          <a:extLst xmlns:a="http://schemas.openxmlformats.org/drawingml/2006/main">
            <a:ext uri="{FF2B5EF4-FFF2-40B4-BE49-F238E27FC236}">
              <a16:creationId xmlns:a16="http://schemas.microsoft.com/office/drawing/2014/main" id="{387E28CD-852D-205F-8C53-672C0916C05C}"/>
            </a:ext>
          </a:extLst>
        </cdr:cNvPr>
        <cdr:cNvCxnSpPr/>
      </cdr:nvCxnSpPr>
      <cdr:spPr>
        <a:xfrm xmlns:a="http://schemas.openxmlformats.org/drawingml/2006/main">
          <a:off x="5689600" y="228600"/>
          <a:ext cx="266700" cy="120650"/>
        </a:xfrm>
        <a:prstGeom xmlns:a="http://schemas.openxmlformats.org/drawingml/2006/main" prst="line">
          <a:avLst/>
        </a:prstGeom>
        <a:ln xmlns:a="http://schemas.openxmlformats.org/drawingml/2006/main">
          <a:solidFill>
            <a:schemeClr val="bg1"/>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14.xml><?xml version="1.0" encoding="utf-8"?>
<c:userShapes xmlns:c="http://schemas.openxmlformats.org/drawingml/2006/chart">
  <cdr:relSizeAnchor xmlns:cdr="http://schemas.openxmlformats.org/drawingml/2006/chartDrawing">
    <cdr:from>
      <cdr:x>0.87186</cdr:x>
      <cdr:y>0.19828</cdr:y>
    </cdr:from>
    <cdr:to>
      <cdr:x>0.93619</cdr:x>
      <cdr:y>0.32056</cdr:y>
    </cdr:to>
    <cdr:sp macro="" textlink="">
      <cdr:nvSpPr>
        <cdr:cNvPr id="4" name="TextBox 3">
          <a:extLst xmlns:a="http://schemas.openxmlformats.org/drawingml/2006/main">
            <a:ext uri="{FF2B5EF4-FFF2-40B4-BE49-F238E27FC236}">
              <a16:creationId xmlns:a16="http://schemas.microsoft.com/office/drawing/2014/main" id="{C8766C69-59FE-B112-8E41-AACF39898AED}"/>
            </a:ext>
          </a:extLst>
        </cdr:cNvPr>
        <cdr:cNvSpPr txBox="1"/>
      </cdr:nvSpPr>
      <cdr:spPr>
        <a:xfrm xmlns:a="http://schemas.openxmlformats.org/drawingml/2006/main">
          <a:off x="5771029" y="672353"/>
          <a:ext cx="425824" cy="4146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0.87616</cdr:x>
      <cdr:y>0.0476</cdr:y>
    </cdr:from>
    <cdr:to>
      <cdr:x>0.89287</cdr:x>
      <cdr:y>0.06511</cdr:y>
    </cdr:to>
    <cdr:cxnSp macro="">
      <cdr:nvCxnSpPr>
        <cdr:cNvPr id="5" name="Straight Connector 4">
          <a:extLst xmlns:a="http://schemas.openxmlformats.org/drawingml/2006/main">
            <a:ext uri="{FF2B5EF4-FFF2-40B4-BE49-F238E27FC236}">
              <a16:creationId xmlns:a16="http://schemas.microsoft.com/office/drawing/2014/main" id="{6BDD4FC8-A41B-3143-6D95-AAC381EBD021}"/>
            </a:ext>
          </a:extLst>
        </cdr:cNvPr>
        <cdr:cNvCxnSpPr/>
      </cdr:nvCxnSpPr>
      <cdr:spPr>
        <a:xfrm xmlns:a="http://schemas.openxmlformats.org/drawingml/2006/main">
          <a:off x="5422033" y="147904"/>
          <a:ext cx="103414" cy="54429"/>
        </a:xfrm>
        <a:prstGeom xmlns:a="http://schemas.openxmlformats.org/drawingml/2006/main" prst="line">
          <a:avLst/>
        </a:prstGeom>
        <a:ln xmlns:a="http://schemas.openxmlformats.org/drawingml/2006/main">
          <a:solidFill>
            <a:schemeClr val="bg1"/>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0.87704</cdr:x>
      <cdr:y>0.05635</cdr:y>
    </cdr:from>
    <cdr:to>
      <cdr:x>0.89375</cdr:x>
      <cdr:y>0.07387</cdr:y>
    </cdr:to>
    <cdr:cxnSp macro="">
      <cdr:nvCxnSpPr>
        <cdr:cNvPr id="6" name="Straight Connector 5">
          <a:extLst xmlns:a="http://schemas.openxmlformats.org/drawingml/2006/main">
            <a:ext uri="{FF2B5EF4-FFF2-40B4-BE49-F238E27FC236}">
              <a16:creationId xmlns:a16="http://schemas.microsoft.com/office/drawing/2014/main" id="{4FD6B3EB-1EFB-B981-E760-68D594444A28}"/>
            </a:ext>
          </a:extLst>
        </cdr:cNvPr>
        <cdr:cNvCxnSpPr/>
      </cdr:nvCxnSpPr>
      <cdr:spPr>
        <a:xfrm xmlns:a="http://schemas.openxmlformats.org/drawingml/2006/main">
          <a:off x="5427476" y="175119"/>
          <a:ext cx="103414" cy="54429"/>
        </a:xfrm>
        <a:prstGeom xmlns:a="http://schemas.openxmlformats.org/drawingml/2006/main" prst="line">
          <a:avLst/>
        </a:prstGeom>
        <a:ln xmlns:a="http://schemas.openxmlformats.org/drawingml/2006/main">
          <a:solidFill>
            <a:schemeClr val="bg1"/>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0.90167</cdr:x>
      <cdr:y>0.0476</cdr:y>
    </cdr:from>
    <cdr:to>
      <cdr:x>0.91838</cdr:x>
      <cdr:y>0.06511</cdr:y>
    </cdr:to>
    <cdr:cxnSp macro="">
      <cdr:nvCxnSpPr>
        <cdr:cNvPr id="7" name="Straight Connector 6">
          <a:extLst xmlns:a="http://schemas.openxmlformats.org/drawingml/2006/main">
            <a:ext uri="{FF2B5EF4-FFF2-40B4-BE49-F238E27FC236}">
              <a16:creationId xmlns:a16="http://schemas.microsoft.com/office/drawing/2014/main" id="{7C5B585C-A630-CDF4-7E0F-25306A4BC711}"/>
            </a:ext>
          </a:extLst>
        </cdr:cNvPr>
        <cdr:cNvCxnSpPr/>
      </cdr:nvCxnSpPr>
      <cdr:spPr>
        <a:xfrm xmlns:a="http://schemas.openxmlformats.org/drawingml/2006/main">
          <a:off x="5579876" y="147905"/>
          <a:ext cx="103414" cy="54429"/>
        </a:xfrm>
        <a:prstGeom xmlns:a="http://schemas.openxmlformats.org/drawingml/2006/main" prst="line">
          <a:avLst/>
        </a:prstGeom>
        <a:ln xmlns:a="http://schemas.openxmlformats.org/drawingml/2006/main">
          <a:solidFill>
            <a:schemeClr val="bg1"/>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0.90079</cdr:x>
      <cdr:y>0.0546</cdr:y>
    </cdr:from>
    <cdr:to>
      <cdr:x>0.9175</cdr:x>
      <cdr:y>0.07212</cdr:y>
    </cdr:to>
    <cdr:cxnSp macro="">
      <cdr:nvCxnSpPr>
        <cdr:cNvPr id="8" name="Straight Connector 7">
          <a:extLst xmlns:a="http://schemas.openxmlformats.org/drawingml/2006/main">
            <a:ext uri="{FF2B5EF4-FFF2-40B4-BE49-F238E27FC236}">
              <a16:creationId xmlns:a16="http://schemas.microsoft.com/office/drawing/2014/main" id="{85E73B71-061E-FAD4-A184-01BEA6061B7C}"/>
            </a:ext>
          </a:extLst>
        </cdr:cNvPr>
        <cdr:cNvCxnSpPr/>
      </cdr:nvCxnSpPr>
      <cdr:spPr>
        <a:xfrm xmlns:a="http://schemas.openxmlformats.org/drawingml/2006/main">
          <a:off x="5574433" y="169676"/>
          <a:ext cx="103414" cy="54429"/>
        </a:xfrm>
        <a:prstGeom xmlns:a="http://schemas.openxmlformats.org/drawingml/2006/main" prst="line">
          <a:avLst/>
        </a:prstGeom>
        <a:ln xmlns:a="http://schemas.openxmlformats.org/drawingml/2006/main">
          <a:solidFill>
            <a:schemeClr val="bg1"/>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0.92805</cdr:x>
      <cdr:y>0.04584</cdr:y>
    </cdr:from>
    <cdr:to>
      <cdr:x>0.94476</cdr:x>
      <cdr:y>0.06336</cdr:y>
    </cdr:to>
    <cdr:cxnSp macro="">
      <cdr:nvCxnSpPr>
        <cdr:cNvPr id="9" name="Straight Connector 8">
          <a:extLst xmlns:a="http://schemas.openxmlformats.org/drawingml/2006/main">
            <a:ext uri="{FF2B5EF4-FFF2-40B4-BE49-F238E27FC236}">
              <a16:creationId xmlns:a16="http://schemas.microsoft.com/office/drawing/2014/main" id="{2724D1FB-EDD2-48CD-82DC-6B9AD8BD2B8F}"/>
            </a:ext>
          </a:extLst>
        </cdr:cNvPr>
        <cdr:cNvCxnSpPr/>
      </cdr:nvCxnSpPr>
      <cdr:spPr>
        <a:xfrm xmlns:a="http://schemas.openxmlformats.org/drawingml/2006/main">
          <a:off x="5743161" y="142462"/>
          <a:ext cx="103414" cy="54429"/>
        </a:xfrm>
        <a:prstGeom xmlns:a="http://schemas.openxmlformats.org/drawingml/2006/main" prst="line">
          <a:avLst/>
        </a:prstGeom>
        <a:ln xmlns:a="http://schemas.openxmlformats.org/drawingml/2006/main">
          <a:solidFill>
            <a:schemeClr val="bg1"/>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0.93069</cdr:x>
      <cdr:y>0.05635</cdr:y>
    </cdr:from>
    <cdr:to>
      <cdr:x>0.9474</cdr:x>
      <cdr:y>0.07387</cdr:y>
    </cdr:to>
    <cdr:cxnSp macro="">
      <cdr:nvCxnSpPr>
        <cdr:cNvPr id="10" name="Straight Connector 9">
          <a:extLst xmlns:a="http://schemas.openxmlformats.org/drawingml/2006/main">
            <a:ext uri="{FF2B5EF4-FFF2-40B4-BE49-F238E27FC236}">
              <a16:creationId xmlns:a16="http://schemas.microsoft.com/office/drawing/2014/main" id="{33C16DDF-0401-9075-113D-753D0BFAB411}"/>
            </a:ext>
          </a:extLst>
        </cdr:cNvPr>
        <cdr:cNvCxnSpPr/>
      </cdr:nvCxnSpPr>
      <cdr:spPr>
        <a:xfrm xmlns:a="http://schemas.openxmlformats.org/drawingml/2006/main">
          <a:off x="5759489" y="175118"/>
          <a:ext cx="103414" cy="54429"/>
        </a:xfrm>
        <a:prstGeom xmlns:a="http://schemas.openxmlformats.org/drawingml/2006/main" prst="line">
          <a:avLst/>
        </a:prstGeom>
        <a:ln xmlns:a="http://schemas.openxmlformats.org/drawingml/2006/main">
          <a:solidFill>
            <a:schemeClr val="bg1"/>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userShapes>
</file>

<file path=word/drawings/drawing15.xml><?xml version="1.0" encoding="utf-8"?>
<c:userShapes xmlns:c="http://schemas.openxmlformats.org/drawingml/2006/chart">
  <cdr:relSizeAnchor xmlns:cdr="http://schemas.openxmlformats.org/drawingml/2006/chartDrawing">
    <cdr:from>
      <cdr:x>0.87186</cdr:x>
      <cdr:y>0.19828</cdr:y>
    </cdr:from>
    <cdr:to>
      <cdr:x>0.93619</cdr:x>
      <cdr:y>0.32056</cdr:y>
    </cdr:to>
    <cdr:sp macro="" textlink="">
      <cdr:nvSpPr>
        <cdr:cNvPr id="4" name="TextBox 3">
          <a:extLst xmlns:a="http://schemas.openxmlformats.org/drawingml/2006/main">
            <a:ext uri="{FF2B5EF4-FFF2-40B4-BE49-F238E27FC236}">
              <a16:creationId xmlns:a16="http://schemas.microsoft.com/office/drawing/2014/main" id="{C8766C69-59FE-B112-8E41-AACF39898AED}"/>
            </a:ext>
          </a:extLst>
        </cdr:cNvPr>
        <cdr:cNvSpPr txBox="1"/>
      </cdr:nvSpPr>
      <cdr:spPr>
        <a:xfrm xmlns:a="http://schemas.openxmlformats.org/drawingml/2006/main">
          <a:off x="5771029" y="672353"/>
          <a:ext cx="425824" cy="4146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2.xml><?xml version="1.0" encoding="utf-8"?>
<c:userShapes xmlns:c="http://schemas.openxmlformats.org/drawingml/2006/chart">
  <cdr:relSizeAnchor xmlns:cdr="http://schemas.openxmlformats.org/drawingml/2006/chartDrawing">
    <cdr:from>
      <cdr:x>0.87186</cdr:x>
      <cdr:y>0.19828</cdr:y>
    </cdr:from>
    <cdr:to>
      <cdr:x>0.93619</cdr:x>
      <cdr:y>0.32056</cdr:y>
    </cdr:to>
    <cdr:sp macro="" textlink="">
      <cdr:nvSpPr>
        <cdr:cNvPr id="4" name="TextBox 3">
          <a:extLst xmlns:a="http://schemas.openxmlformats.org/drawingml/2006/main">
            <a:ext uri="{FF2B5EF4-FFF2-40B4-BE49-F238E27FC236}">
              <a16:creationId xmlns:a16="http://schemas.microsoft.com/office/drawing/2014/main" id="{C8766C69-59FE-B112-8E41-AACF39898AED}"/>
            </a:ext>
          </a:extLst>
        </cdr:cNvPr>
        <cdr:cNvSpPr txBox="1"/>
      </cdr:nvSpPr>
      <cdr:spPr>
        <a:xfrm xmlns:a="http://schemas.openxmlformats.org/drawingml/2006/main">
          <a:off x="5771029" y="672353"/>
          <a:ext cx="425824" cy="4146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3.xml><?xml version="1.0" encoding="utf-8"?>
<c:userShapes xmlns:c="http://schemas.openxmlformats.org/drawingml/2006/chart">
  <cdr:relSizeAnchor xmlns:cdr="http://schemas.openxmlformats.org/drawingml/2006/chartDrawing">
    <cdr:from>
      <cdr:x>0.79434</cdr:x>
      <cdr:y>0.87737</cdr:y>
    </cdr:from>
    <cdr:to>
      <cdr:x>0.95077</cdr:x>
      <cdr:y>0.97239</cdr:y>
    </cdr:to>
    <cdr:sp macro="" textlink="">
      <cdr:nvSpPr>
        <cdr:cNvPr id="2" name="TextBox 1">
          <a:extLst xmlns:a="http://schemas.openxmlformats.org/drawingml/2006/main">
            <a:ext uri="{FF2B5EF4-FFF2-40B4-BE49-F238E27FC236}">
              <a16:creationId xmlns:a16="http://schemas.microsoft.com/office/drawing/2014/main" id="{39603546-A8BA-537F-A452-7A9950651883}"/>
            </a:ext>
          </a:extLst>
        </cdr:cNvPr>
        <cdr:cNvSpPr txBox="1"/>
      </cdr:nvSpPr>
      <cdr:spPr>
        <a:xfrm xmlns:a="http://schemas.openxmlformats.org/drawingml/2006/main">
          <a:off x="4925179" y="2406804"/>
          <a:ext cx="969951" cy="2606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b="1">
              <a:effectLst/>
              <a:latin typeface="+mn-lt"/>
              <a:ea typeface="+mn-ea"/>
              <a:cs typeface="+mn-cs"/>
            </a:rPr>
            <a:t>–</a:t>
          </a:r>
          <a:r>
            <a:rPr lang="en-GB" sz="800">
              <a:solidFill>
                <a:schemeClr val="tx1">
                  <a:lumMod val="75000"/>
                  <a:lumOff val="25000"/>
                </a:schemeClr>
              </a:solidFill>
              <a:latin typeface="Avenir Next LT Pro Demi" panose="020B0704020202020204" pitchFamily="34" charset="0"/>
            </a:rPr>
            <a:t>  2018</a:t>
          </a:r>
        </a:p>
      </cdr:txBody>
    </cdr:sp>
  </cdr:relSizeAnchor>
</c:userShapes>
</file>

<file path=word/drawings/drawing4.xml><?xml version="1.0" encoding="utf-8"?>
<c:userShapes xmlns:c="http://schemas.openxmlformats.org/drawingml/2006/chart">
  <cdr:relSizeAnchor xmlns:cdr="http://schemas.openxmlformats.org/drawingml/2006/chartDrawing">
    <cdr:from>
      <cdr:x>0.54457</cdr:x>
      <cdr:y>0.88847</cdr:y>
    </cdr:from>
    <cdr:to>
      <cdr:x>0.70063</cdr:x>
      <cdr:y>0.97424</cdr:y>
    </cdr:to>
    <cdr:sp macro="" textlink="">
      <cdr:nvSpPr>
        <cdr:cNvPr id="2" name="TextBox 1">
          <a:extLst xmlns:a="http://schemas.openxmlformats.org/drawingml/2006/main">
            <a:ext uri="{FF2B5EF4-FFF2-40B4-BE49-F238E27FC236}">
              <a16:creationId xmlns:a16="http://schemas.microsoft.com/office/drawing/2014/main" id="{A19302D7-A016-B42E-77D7-BE86CC375049}"/>
            </a:ext>
          </a:extLst>
        </cdr:cNvPr>
        <cdr:cNvSpPr txBox="1"/>
      </cdr:nvSpPr>
      <cdr:spPr>
        <a:xfrm xmlns:a="http://schemas.openxmlformats.org/drawingml/2006/main">
          <a:off x="3384549" y="2558792"/>
          <a:ext cx="969951" cy="2470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b="1">
              <a:effectLst/>
              <a:latin typeface="+mn-lt"/>
              <a:ea typeface="+mn-ea"/>
              <a:cs typeface="+mn-cs"/>
            </a:rPr>
            <a:t>–</a:t>
          </a:r>
          <a:r>
            <a:rPr lang="en-GB" sz="800">
              <a:solidFill>
                <a:schemeClr val="tx1">
                  <a:lumMod val="75000"/>
                  <a:lumOff val="25000"/>
                </a:schemeClr>
              </a:solidFill>
              <a:latin typeface="Avenir Next LT Pro Demi" panose="020B0704020202020204" pitchFamily="34" charset="0"/>
            </a:rPr>
            <a:t>  2018</a:t>
          </a:r>
        </a:p>
      </cdr:txBody>
    </cdr:sp>
  </cdr:relSizeAnchor>
</c:userShapes>
</file>

<file path=word/drawings/drawing5.xml><?xml version="1.0" encoding="utf-8"?>
<c:userShapes xmlns:c="http://schemas.openxmlformats.org/drawingml/2006/chart">
  <cdr:relSizeAnchor xmlns:cdr="http://schemas.openxmlformats.org/drawingml/2006/chartDrawing">
    <cdr:from>
      <cdr:x>0.87186</cdr:x>
      <cdr:y>0.19828</cdr:y>
    </cdr:from>
    <cdr:to>
      <cdr:x>0.93619</cdr:x>
      <cdr:y>0.32056</cdr:y>
    </cdr:to>
    <cdr:sp macro="" textlink="">
      <cdr:nvSpPr>
        <cdr:cNvPr id="4" name="TextBox 3">
          <a:extLst xmlns:a="http://schemas.openxmlformats.org/drawingml/2006/main">
            <a:ext uri="{FF2B5EF4-FFF2-40B4-BE49-F238E27FC236}">
              <a16:creationId xmlns:a16="http://schemas.microsoft.com/office/drawing/2014/main" id="{C8766C69-59FE-B112-8E41-AACF39898AED}"/>
            </a:ext>
          </a:extLst>
        </cdr:cNvPr>
        <cdr:cNvSpPr txBox="1"/>
      </cdr:nvSpPr>
      <cdr:spPr>
        <a:xfrm xmlns:a="http://schemas.openxmlformats.org/drawingml/2006/main">
          <a:off x="5771029" y="672353"/>
          <a:ext cx="425824" cy="4146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6.xml><?xml version="1.0" encoding="utf-8"?>
<c:userShapes xmlns:c="http://schemas.openxmlformats.org/drawingml/2006/chart">
  <cdr:relSizeAnchor xmlns:cdr="http://schemas.openxmlformats.org/drawingml/2006/chartDrawing">
    <cdr:from>
      <cdr:x>0.87186</cdr:x>
      <cdr:y>0.19828</cdr:y>
    </cdr:from>
    <cdr:to>
      <cdr:x>0.93619</cdr:x>
      <cdr:y>0.32056</cdr:y>
    </cdr:to>
    <cdr:sp macro="" textlink="">
      <cdr:nvSpPr>
        <cdr:cNvPr id="4" name="TextBox 3">
          <a:extLst xmlns:a="http://schemas.openxmlformats.org/drawingml/2006/main">
            <a:ext uri="{FF2B5EF4-FFF2-40B4-BE49-F238E27FC236}">
              <a16:creationId xmlns:a16="http://schemas.microsoft.com/office/drawing/2014/main" id="{C8766C69-59FE-B112-8E41-AACF39898AED}"/>
            </a:ext>
          </a:extLst>
        </cdr:cNvPr>
        <cdr:cNvSpPr txBox="1"/>
      </cdr:nvSpPr>
      <cdr:spPr>
        <a:xfrm xmlns:a="http://schemas.openxmlformats.org/drawingml/2006/main">
          <a:off x="5771029" y="672353"/>
          <a:ext cx="425824" cy="4146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7.xml><?xml version="1.0" encoding="utf-8"?>
<c:userShapes xmlns:c="http://schemas.openxmlformats.org/drawingml/2006/chart">
  <cdr:relSizeAnchor xmlns:cdr="http://schemas.openxmlformats.org/drawingml/2006/chartDrawing">
    <cdr:from>
      <cdr:x>0.87186</cdr:x>
      <cdr:y>0.19828</cdr:y>
    </cdr:from>
    <cdr:to>
      <cdr:x>0.93619</cdr:x>
      <cdr:y>0.32056</cdr:y>
    </cdr:to>
    <cdr:sp macro="" textlink="">
      <cdr:nvSpPr>
        <cdr:cNvPr id="4" name="TextBox 3">
          <a:extLst xmlns:a="http://schemas.openxmlformats.org/drawingml/2006/main">
            <a:ext uri="{FF2B5EF4-FFF2-40B4-BE49-F238E27FC236}">
              <a16:creationId xmlns:a16="http://schemas.microsoft.com/office/drawing/2014/main" id="{C8766C69-59FE-B112-8E41-AACF39898AED}"/>
            </a:ext>
          </a:extLst>
        </cdr:cNvPr>
        <cdr:cNvSpPr txBox="1"/>
      </cdr:nvSpPr>
      <cdr:spPr>
        <a:xfrm xmlns:a="http://schemas.openxmlformats.org/drawingml/2006/main">
          <a:off x="5771029" y="672353"/>
          <a:ext cx="425824" cy="4146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userShapes>
</file>

<file path=word/drawings/drawing8.xml><?xml version="1.0" encoding="utf-8"?>
<c:userShapes xmlns:c="http://schemas.openxmlformats.org/drawingml/2006/chart">
  <cdr:relSizeAnchor xmlns:cdr="http://schemas.openxmlformats.org/drawingml/2006/chartDrawing">
    <cdr:from>
      <cdr:x>0.1126</cdr:x>
      <cdr:y>0.49239</cdr:y>
    </cdr:from>
    <cdr:to>
      <cdr:x>0.92513</cdr:x>
      <cdr:y>0.49307</cdr:y>
    </cdr:to>
    <cdr:cxnSp macro="">
      <cdr:nvCxnSpPr>
        <cdr:cNvPr id="3" name="Straight Connector 2">
          <a:extLst xmlns:a="http://schemas.openxmlformats.org/drawingml/2006/main">
            <a:ext uri="{FF2B5EF4-FFF2-40B4-BE49-F238E27FC236}">
              <a16:creationId xmlns:a16="http://schemas.microsoft.com/office/drawing/2014/main" id="{48F45A04-BA37-3B58-5E30-532BDB852532}"/>
            </a:ext>
          </a:extLst>
        </cdr:cNvPr>
        <cdr:cNvCxnSpPr/>
      </cdr:nvCxnSpPr>
      <cdr:spPr>
        <a:xfrm xmlns:a="http://schemas.openxmlformats.org/drawingml/2006/main">
          <a:off x="291199" y="1195493"/>
          <a:ext cx="2101315" cy="1650"/>
        </a:xfrm>
        <a:prstGeom xmlns:a="http://schemas.openxmlformats.org/drawingml/2006/main" prst="line">
          <a:avLst/>
        </a:prstGeom>
        <a:ln xmlns:a="http://schemas.openxmlformats.org/drawingml/2006/main">
          <a:solidFill>
            <a:srgbClr val="FF00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0.0875</cdr:x>
      <cdr:y>0.39767</cdr:y>
    </cdr:from>
    <cdr:to>
      <cdr:x>0.37977</cdr:x>
      <cdr:y>0.48013</cdr:y>
    </cdr:to>
    <cdr:sp macro="" textlink="">
      <cdr:nvSpPr>
        <cdr:cNvPr id="6" name="TextBox 5">
          <a:extLst xmlns:a="http://schemas.openxmlformats.org/drawingml/2006/main">
            <a:ext uri="{FF2B5EF4-FFF2-40B4-BE49-F238E27FC236}">
              <a16:creationId xmlns:a16="http://schemas.microsoft.com/office/drawing/2014/main" id="{8CA4381B-D324-5F48-A98F-2BA4A285DB15}"/>
            </a:ext>
          </a:extLst>
        </cdr:cNvPr>
        <cdr:cNvSpPr txBox="1"/>
      </cdr:nvSpPr>
      <cdr:spPr>
        <a:xfrm xmlns:a="http://schemas.openxmlformats.org/drawingml/2006/main">
          <a:off x="226800" y="954143"/>
          <a:ext cx="757564" cy="1978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a:solidFill>
                <a:srgbClr val="FF0000"/>
              </a:solidFill>
              <a:latin typeface="Avenir Next LT Pro Demi" panose="020B0704020202020204" pitchFamily="34" charset="0"/>
            </a:rPr>
            <a:t>Umbral 2%</a:t>
          </a:r>
        </a:p>
      </cdr:txBody>
    </cdr:sp>
  </cdr:relSizeAnchor>
</c:userShapes>
</file>

<file path=word/drawings/drawing9.xml><?xml version="1.0" encoding="utf-8"?>
<c:userShapes xmlns:c="http://schemas.openxmlformats.org/drawingml/2006/chart">
  <cdr:relSizeAnchor xmlns:cdr="http://schemas.openxmlformats.org/drawingml/2006/chartDrawing">
    <cdr:from>
      <cdr:x>0.1126</cdr:x>
      <cdr:y>0.49446</cdr:y>
    </cdr:from>
    <cdr:to>
      <cdr:x>0.92513</cdr:x>
      <cdr:y>0.49514</cdr:y>
    </cdr:to>
    <cdr:cxnSp macro="">
      <cdr:nvCxnSpPr>
        <cdr:cNvPr id="3" name="Straight Connector 2">
          <a:extLst xmlns:a="http://schemas.openxmlformats.org/drawingml/2006/main">
            <a:ext uri="{FF2B5EF4-FFF2-40B4-BE49-F238E27FC236}">
              <a16:creationId xmlns:a16="http://schemas.microsoft.com/office/drawing/2014/main" id="{48F45A04-BA37-3B58-5E30-532BDB852532}"/>
            </a:ext>
          </a:extLst>
        </cdr:cNvPr>
        <cdr:cNvCxnSpPr/>
      </cdr:nvCxnSpPr>
      <cdr:spPr>
        <a:xfrm xmlns:a="http://schemas.openxmlformats.org/drawingml/2006/main">
          <a:off x="291199" y="1200508"/>
          <a:ext cx="2101316" cy="1651"/>
        </a:xfrm>
        <a:prstGeom xmlns:a="http://schemas.openxmlformats.org/drawingml/2006/main" prst="line">
          <a:avLst/>
        </a:prstGeom>
        <a:ln xmlns:a="http://schemas.openxmlformats.org/drawingml/2006/main">
          <a:solidFill>
            <a:srgbClr val="FF00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0.0875</cdr:x>
      <cdr:y>0.3937</cdr:y>
    </cdr:from>
    <cdr:to>
      <cdr:x>0.37977</cdr:x>
      <cdr:y>0.47616</cdr:y>
    </cdr:to>
    <cdr:sp macro="" textlink="">
      <cdr:nvSpPr>
        <cdr:cNvPr id="6" name="TextBox 5">
          <a:extLst xmlns:a="http://schemas.openxmlformats.org/drawingml/2006/main">
            <a:ext uri="{FF2B5EF4-FFF2-40B4-BE49-F238E27FC236}">
              <a16:creationId xmlns:a16="http://schemas.microsoft.com/office/drawing/2014/main" id="{8CA4381B-D324-5F48-A98F-2BA4A285DB15}"/>
            </a:ext>
          </a:extLst>
        </cdr:cNvPr>
        <cdr:cNvSpPr txBox="1"/>
      </cdr:nvSpPr>
      <cdr:spPr>
        <a:xfrm xmlns:a="http://schemas.openxmlformats.org/drawingml/2006/main">
          <a:off x="226800" y="944618"/>
          <a:ext cx="757564" cy="1978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a:solidFill>
                <a:srgbClr val="FF0000"/>
              </a:solidFill>
              <a:latin typeface="Avenir Next LT Pro Demi" panose="020B0704020202020204" pitchFamily="34" charset="0"/>
            </a:rPr>
            <a:t>Umbral 2%</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6109c62-af78-494c-a825-80e1ffe32798">
      <Terms xmlns="http://schemas.microsoft.com/office/infopath/2007/PartnerControls"/>
    </lcf76f155ced4ddcb4097134ff3c332f>
    <TaxCatchAll xmlns="54151c7f-6a84-4427-a6ce-bf1d7f28364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3CCE0E51E9C1044807BC3B58DFAB656" ma:contentTypeVersion="15" ma:contentTypeDescription="Create a new document." ma:contentTypeScope="" ma:versionID="2a3de5c381e7c50ee45f33fb83aef136">
  <xsd:schema xmlns:xsd="http://www.w3.org/2001/XMLSchema" xmlns:xs="http://www.w3.org/2001/XMLSchema" xmlns:p="http://schemas.microsoft.com/office/2006/metadata/properties" xmlns:ns2="b6109c62-af78-494c-a825-80e1ffe32798" xmlns:ns3="54151c7f-6a84-4427-a6ce-bf1d7f28364f" targetNamespace="http://schemas.microsoft.com/office/2006/metadata/properties" ma:root="true" ma:fieldsID="1582df10e80f2d8741f1104f58a0ba8a" ns2:_="" ns3:_="">
    <xsd:import namespace="b6109c62-af78-494c-a825-80e1ffe32798"/>
    <xsd:import namespace="54151c7f-6a84-4427-a6ce-bf1d7f2836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109c62-af78-494c-a825-80e1ffe32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151c7f-6a84-4427-a6ce-bf1d7f2836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d29b382-fa5a-4cbe-be10-aecbe8bfdefe}" ma:internalName="TaxCatchAll" ma:showField="CatchAllData" ma:web="54151c7f-6a84-4427-a6ce-bf1d7f2836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638EDA-4BD1-49CF-972F-CE71234FC357}">
  <ds:schemaRefs>
    <ds:schemaRef ds:uri="http://purl.org/dc/terms/"/>
    <ds:schemaRef ds:uri="54151c7f-6a84-4427-a6ce-bf1d7f28364f"/>
    <ds:schemaRef ds:uri="http://schemas.openxmlformats.org/package/2006/metadata/core-properties"/>
    <ds:schemaRef ds:uri="http://purl.org/dc/elements/1.1/"/>
    <ds:schemaRef ds:uri="http://www.w3.org/XML/1998/namespace"/>
    <ds:schemaRef ds:uri="http://schemas.microsoft.com/office/2006/documentManagement/types"/>
    <ds:schemaRef ds:uri="http://schemas.microsoft.com/office/2006/metadata/properties"/>
    <ds:schemaRef ds:uri="http://schemas.microsoft.com/office/infopath/2007/PartnerControls"/>
    <ds:schemaRef ds:uri="b6109c62-af78-494c-a825-80e1ffe32798"/>
    <ds:schemaRef ds:uri="http://purl.org/dc/dcmitype/"/>
  </ds:schemaRefs>
</ds:datastoreItem>
</file>

<file path=customXml/itemProps2.xml><?xml version="1.0" encoding="utf-8"?>
<ds:datastoreItem xmlns:ds="http://schemas.openxmlformats.org/officeDocument/2006/customXml" ds:itemID="{0617E243-CB01-4DD2-9601-80AA209EE04B}">
  <ds:schemaRefs>
    <ds:schemaRef ds:uri="http://schemas.microsoft.com/sharepoint/v3/contenttype/forms"/>
  </ds:schemaRefs>
</ds:datastoreItem>
</file>

<file path=customXml/itemProps3.xml><?xml version="1.0" encoding="utf-8"?>
<ds:datastoreItem xmlns:ds="http://schemas.openxmlformats.org/officeDocument/2006/customXml" ds:itemID="{BACF41A4-028F-4752-A2BC-E01D80CDE6F4}">
  <ds:schemaRefs>
    <ds:schemaRef ds:uri="http://schemas.openxmlformats.org/officeDocument/2006/bibliography"/>
  </ds:schemaRefs>
</ds:datastoreItem>
</file>

<file path=customXml/itemProps4.xml><?xml version="1.0" encoding="utf-8"?>
<ds:datastoreItem xmlns:ds="http://schemas.openxmlformats.org/officeDocument/2006/customXml" ds:itemID="{FDFB80B7-C7CA-46B4-AB6C-E8989DD7AE3D}"/>
</file>

<file path=docProps/app.xml><?xml version="1.0" encoding="utf-8"?>
<Properties xmlns="http://schemas.openxmlformats.org/officeDocument/2006/extended-properties" xmlns:vt="http://schemas.openxmlformats.org/officeDocument/2006/docPropsVTypes">
  <Template>Normal.dotm</Template>
  <TotalTime>745</TotalTime>
  <Pages>65</Pages>
  <Words>15384</Words>
  <Characters>81938</Characters>
  <Application>Microsoft Office Word</Application>
  <DocSecurity>0</DocSecurity>
  <Lines>682</Lines>
  <Paragraphs>194</Paragraphs>
  <ScaleCrop>false</ScaleCrop>
  <HeadingPairs>
    <vt:vector size="2" baseType="variant">
      <vt:variant>
        <vt:lpstr>Title</vt:lpstr>
      </vt:variant>
      <vt:variant>
        <vt:i4>1</vt:i4>
      </vt:variant>
    </vt:vector>
  </HeadingPairs>
  <TitlesOfParts>
    <vt:vector size="1" baseType="lpstr">
      <vt:lpstr>TDAG19</vt:lpstr>
    </vt:vector>
  </TitlesOfParts>
  <Manager>General Secretariat - Pool</Manager>
  <Company>International Telecommunication Union (ITU)</Company>
  <LinksUpToDate>false</LinksUpToDate>
  <CharactersWithSpaces>97128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TDAG19</dc:title>
  <dc:subject/>
  <dc:creator>BDT-nd</dc:creator>
  <cp:keywords/>
  <cp:lastModifiedBy>Rueda, Martha</cp:lastModifiedBy>
  <cp:revision>21</cp:revision>
  <cp:lastPrinted>2014-11-05T03:22:00Z</cp:lastPrinted>
  <dcterms:created xsi:type="dcterms:W3CDTF">2025-03-17T16:20:00Z</dcterms:created>
  <dcterms:modified xsi:type="dcterms:W3CDTF">2025-03-19T12:04:00Z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y fmtid="{D5CDD505-2E9C-101B-9397-08002B2CF9AE}" pid="8" name="ContentTypeId">
    <vt:lpwstr>0x010100B3CCE0E51E9C1044807BC3B58DFAB656</vt:lpwstr>
  </property>
  <property fmtid="{D5CDD505-2E9C-101B-9397-08002B2CF9AE}" pid="9" name="MediaServiceImageTags">
    <vt:lpwstr/>
  </property>
</Properties>
</file>