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6379"/>
        <w:gridCol w:w="3509"/>
      </w:tblGrid>
      <w:tr w:rsidR="00307769" w:rsidRPr="003D0AEA" w14:paraId="3F0E9EC4" w14:textId="77777777" w:rsidTr="00952667">
        <w:trPr>
          <w:cantSplit/>
          <w:trHeight w:val="1134"/>
        </w:trPr>
        <w:tc>
          <w:tcPr>
            <w:tcW w:w="6379" w:type="dxa"/>
          </w:tcPr>
          <w:p w14:paraId="4209EAD7" w14:textId="363C123F" w:rsidR="00FB742A" w:rsidRPr="003D0AEA" w:rsidRDefault="00FB742A" w:rsidP="00FB742A">
            <w:pPr>
              <w:tabs>
                <w:tab w:val="clear" w:pos="1191"/>
                <w:tab w:val="clear" w:pos="1588"/>
                <w:tab w:val="clear" w:pos="1985"/>
              </w:tabs>
              <w:ind w:left="34"/>
              <w:rPr>
                <w:b/>
                <w:bCs/>
                <w:sz w:val="32"/>
                <w:szCs w:val="32"/>
              </w:rPr>
            </w:pPr>
            <w:r w:rsidRPr="003D0AEA">
              <w:rPr>
                <w:b/>
                <w:bCs/>
                <w:sz w:val="32"/>
                <w:szCs w:val="32"/>
              </w:rPr>
              <w:t xml:space="preserve">Regional Preparatory Meeting </w:t>
            </w:r>
            <w:r w:rsidR="00093C9A" w:rsidRPr="003D0AEA">
              <w:rPr>
                <w:b/>
                <w:bCs/>
                <w:sz w:val="32"/>
                <w:szCs w:val="32"/>
              </w:rPr>
              <w:br/>
            </w:r>
            <w:r w:rsidRPr="003D0AEA">
              <w:rPr>
                <w:b/>
                <w:bCs/>
                <w:sz w:val="32"/>
                <w:szCs w:val="32"/>
              </w:rPr>
              <w:t xml:space="preserve">for </w:t>
            </w:r>
            <w:r w:rsidR="00060A76">
              <w:rPr>
                <w:b/>
                <w:bCs/>
                <w:sz w:val="32"/>
                <w:szCs w:val="32"/>
              </w:rPr>
              <w:t>the Americas</w:t>
            </w:r>
            <w:r w:rsidR="00093C9A" w:rsidRPr="003D0AEA">
              <w:rPr>
                <w:b/>
                <w:bCs/>
                <w:sz w:val="32"/>
                <w:szCs w:val="32"/>
              </w:rPr>
              <w:t xml:space="preserve"> </w:t>
            </w:r>
            <w:r w:rsidRPr="003D0AEA">
              <w:rPr>
                <w:b/>
                <w:bCs/>
                <w:sz w:val="32"/>
                <w:szCs w:val="32"/>
              </w:rPr>
              <w:t>for WTDC-25 (RPM-</w:t>
            </w:r>
            <w:r w:rsidR="00060A76">
              <w:rPr>
                <w:b/>
                <w:bCs/>
                <w:sz w:val="32"/>
                <w:szCs w:val="32"/>
              </w:rPr>
              <w:t>AMS</w:t>
            </w:r>
            <w:r w:rsidRPr="003D0AEA">
              <w:rPr>
                <w:b/>
                <w:bCs/>
                <w:sz w:val="32"/>
                <w:szCs w:val="32"/>
              </w:rPr>
              <w:t>)</w:t>
            </w:r>
          </w:p>
          <w:p w14:paraId="5F5F590A" w14:textId="3B9B72C3" w:rsidR="00307769" w:rsidRPr="003D0AEA" w:rsidRDefault="008335E5" w:rsidP="00FB742A">
            <w:pPr>
              <w:tabs>
                <w:tab w:val="clear" w:pos="1191"/>
                <w:tab w:val="clear" w:pos="1588"/>
                <w:tab w:val="clear" w:pos="1985"/>
              </w:tabs>
              <w:spacing w:after="120"/>
              <w:ind w:left="34"/>
              <w:rPr>
                <w:rFonts w:ascii="Verdana" w:hAnsi="Verdana"/>
                <w:sz w:val="28"/>
                <w:szCs w:val="28"/>
              </w:rPr>
            </w:pPr>
            <w:r w:rsidRPr="008335E5">
              <w:rPr>
                <w:b/>
                <w:bCs/>
                <w:sz w:val="26"/>
                <w:szCs w:val="26"/>
              </w:rPr>
              <w:t>Asunción, Paraguay</w:t>
            </w:r>
            <w:r w:rsidR="00FB742A" w:rsidRPr="003D0AEA">
              <w:rPr>
                <w:b/>
                <w:bCs/>
                <w:sz w:val="26"/>
                <w:szCs w:val="26"/>
              </w:rPr>
              <w:t xml:space="preserve">, </w:t>
            </w:r>
            <w:r w:rsidR="00060A76">
              <w:rPr>
                <w:b/>
                <w:bCs/>
                <w:sz w:val="26"/>
                <w:szCs w:val="26"/>
              </w:rPr>
              <w:t>1-2</w:t>
            </w:r>
            <w:r w:rsidR="00A04E75" w:rsidRPr="003D0AEA">
              <w:rPr>
                <w:b/>
                <w:bCs/>
                <w:sz w:val="26"/>
                <w:szCs w:val="26"/>
              </w:rPr>
              <w:t xml:space="preserve"> April </w:t>
            </w:r>
            <w:r w:rsidR="00FB742A" w:rsidRPr="003D0AEA">
              <w:rPr>
                <w:b/>
                <w:bCs/>
                <w:sz w:val="26"/>
                <w:szCs w:val="26"/>
              </w:rPr>
              <w:t>2025</w:t>
            </w:r>
          </w:p>
        </w:tc>
        <w:tc>
          <w:tcPr>
            <w:tcW w:w="3509" w:type="dxa"/>
          </w:tcPr>
          <w:p w14:paraId="67E7B4C4" w14:textId="0F52E4CC" w:rsidR="00307769" w:rsidRPr="003D0AEA" w:rsidRDefault="00307769" w:rsidP="00952667">
            <w:pPr>
              <w:spacing w:after="120"/>
              <w:ind w:right="142"/>
              <w:jc w:val="right"/>
            </w:pPr>
            <w:r w:rsidRPr="003D0AEA">
              <w:rPr>
                <w:noProof/>
                <w:lang w:eastAsia="fr-FR"/>
              </w:rPr>
              <w:drawing>
                <wp:inline distT="0" distB="0" distL="0" distR="0" wp14:anchorId="7A20172F" wp14:editId="3C26654E">
                  <wp:extent cx="712470" cy="785495"/>
                  <wp:effectExtent l="0" t="0" r="0" b="0"/>
                  <wp:docPr id="2" name="Picture 2"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3D0AEA" w14:paraId="3C13197B" w14:textId="77777777" w:rsidTr="00D07E2B">
        <w:trPr>
          <w:cantSplit/>
        </w:trPr>
        <w:tc>
          <w:tcPr>
            <w:tcW w:w="6379" w:type="dxa"/>
            <w:tcBorders>
              <w:top w:val="single" w:sz="12" w:space="0" w:color="auto"/>
            </w:tcBorders>
          </w:tcPr>
          <w:p w14:paraId="2EED9DB2" w14:textId="77777777" w:rsidR="00683C32" w:rsidRPr="003D0AEA" w:rsidRDefault="00683C32" w:rsidP="00107E85">
            <w:pPr>
              <w:spacing w:before="0"/>
              <w:rPr>
                <w:rFonts w:cs="Arial"/>
                <w:b/>
                <w:bCs/>
                <w:sz w:val="20"/>
              </w:rPr>
            </w:pPr>
          </w:p>
        </w:tc>
        <w:tc>
          <w:tcPr>
            <w:tcW w:w="3509" w:type="dxa"/>
            <w:tcBorders>
              <w:top w:val="single" w:sz="12" w:space="0" w:color="auto"/>
            </w:tcBorders>
          </w:tcPr>
          <w:p w14:paraId="6CC77CFE" w14:textId="77777777" w:rsidR="00683C32" w:rsidRPr="003D0AEA" w:rsidRDefault="00683C32" w:rsidP="00107E85">
            <w:pPr>
              <w:spacing w:before="0"/>
              <w:rPr>
                <w:b/>
                <w:bCs/>
                <w:sz w:val="20"/>
              </w:rPr>
            </w:pPr>
          </w:p>
        </w:tc>
      </w:tr>
      <w:tr w:rsidR="00706440" w:rsidRPr="004A3096" w14:paraId="0BB3FBC4" w14:textId="77777777" w:rsidTr="00D07E2B">
        <w:trPr>
          <w:cantSplit/>
        </w:trPr>
        <w:tc>
          <w:tcPr>
            <w:tcW w:w="6379" w:type="dxa"/>
          </w:tcPr>
          <w:p w14:paraId="43C54B3D" w14:textId="77777777" w:rsidR="00706440" w:rsidRPr="003D0AEA" w:rsidRDefault="00706440" w:rsidP="00706440">
            <w:pPr>
              <w:pStyle w:val="Committee"/>
              <w:spacing w:before="0"/>
              <w:rPr>
                <w:b w:val="0"/>
                <w:szCs w:val="24"/>
              </w:rPr>
            </w:pPr>
          </w:p>
        </w:tc>
        <w:tc>
          <w:tcPr>
            <w:tcW w:w="3509" w:type="dxa"/>
          </w:tcPr>
          <w:p w14:paraId="02E44EE9" w14:textId="4FDF20AF" w:rsidR="00706440" w:rsidRPr="004442A8" w:rsidRDefault="00706440" w:rsidP="00706440">
            <w:pPr>
              <w:spacing w:before="0"/>
              <w:jc w:val="both"/>
              <w:rPr>
                <w:bCs/>
                <w:szCs w:val="24"/>
              </w:rPr>
            </w:pPr>
            <w:r w:rsidRPr="004442A8">
              <w:rPr>
                <w:b/>
                <w:bCs/>
              </w:rPr>
              <w:t xml:space="preserve">Document </w:t>
            </w:r>
            <w:bookmarkStart w:id="0" w:name="DocRef1"/>
            <w:bookmarkEnd w:id="0"/>
            <w:r w:rsidR="00121846" w:rsidRPr="004442A8">
              <w:rPr>
                <w:b/>
                <w:bCs/>
              </w:rPr>
              <w:t>RPM-</w:t>
            </w:r>
            <w:r w:rsidR="0019574B" w:rsidRPr="004442A8">
              <w:rPr>
                <w:b/>
                <w:bCs/>
              </w:rPr>
              <w:t>A</w:t>
            </w:r>
            <w:r w:rsidR="00060A76" w:rsidRPr="004442A8">
              <w:rPr>
                <w:b/>
                <w:bCs/>
              </w:rPr>
              <w:t>MS</w:t>
            </w:r>
            <w:r w:rsidR="00121846" w:rsidRPr="004442A8">
              <w:rPr>
                <w:b/>
                <w:bCs/>
              </w:rPr>
              <w:t>25</w:t>
            </w:r>
            <w:r w:rsidRPr="004442A8">
              <w:rPr>
                <w:b/>
                <w:bCs/>
              </w:rPr>
              <w:t>/</w:t>
            </w:r>
            <w:r w:rsidR="0004506C" w:rsidRPr="004442A8">
              <w:rPr>
                <w:b/>
                <w:bCs/>
              </w:rPr>
              <w:t>3</w:t>
            </w:r>
            <w:r w:rsidRPr="004442A8">
              <w:rPr>
                <w:b/>
                <w:bCs/>
              </w:rPr>
              <w:t>-E</w:t>
            </w:r>
          </w:p>
        </w:tc>
      </w:tr>
      <w:tr w:rsidR="00706440" w:rsidRPr="003D0AEA" w14:paraId="24D04936" w14:textId="77777777" w:rsidTr="00D07E2B">
        <w:trPr>
          <w:cantSplit/>
        </w:trPr>
        <w:tc>
          <w:tcPr>
            <w:tcW w:w="6379" w:type="dxa"/>
          </w:tcPr>
          <w:p w14:paraId="12CE4DBF" w14:textId="77777777" w:rsidR="00706440" w:rsidRPr="00563970" w:rsidRDefault="00706440" w:rsidP="00706440">
            <w:pPr>
              <w:spacing w:before="0"/>
              <w:rPr>
                <w:b/>
                <w:bCs/>
                <w:smallCaps/>
                <w:szCs w:val="24"/>
              </w:rPr>
            </w:pPr>
          </w:p>
        </w:tc>
        <w:tc>
          <w:tcPr>
            <w:tcW w:w="3509" w:type="dxa"/>
          </w:tcPr>
          <w:p w14:paraId="0F89640F" w14:textId="74D83CAF" w:rsidR="00706440" w:rsidRPr="004442A8" w:rsidRDefault="004442A8" w:rsidP="00706440">
            <w:pPr>
              <w:spacing w:before="0"/>
              <w:rPr>
                <w:b/>
                <w:szCs w:val="24"/>
              </w:rPr>
            </w:pPr>
            <w:bookmarkStart w:id="1" w:name="CreationDate"/>
            <w:bookmarkEnd w:id="1"/>
            <w:r>
              <w:rPr>
                <w:b/>
                <w:bCs/>
                <w:szCs w:val="28"/>
              </w:rPr>
              <w:t>24</w:t>
            </w:r>
            <w:r w:rsidR="00706440" w:rsidRPr="004442A8">
              <w:rPr>
                <w:b/>
                <w:bCs/>
                <w:szCs w:val="28"/>
              </w:rPr>
              <w:t xml:space="preserve"> </w:t>
            </w:r>
            <w:r>
              <w:rPr>
                <w:b/>
                <w:bCs/>
                <w:szCs w:val="28"/>
              </w:rPr>
              <w:t>February</w:t>
            </w:r>
            <w:r w:rsidR="00706440" w:rsidRPr="004442A8">
              <w:rPr>
                <w:b/>
                <w:bCs/>
                <w:szCs w:val="28"/>
              </w:rPr>
              <w:t xml:space="preserve"> 202</w:t>
            </w:r>
            <w:r w:rsidR="001E5D41" w:rsidRPr="004442A8">
              <w:rPr>
                <w:b/>
                <w:bCs/>
                <w:szCs w:val="28"/>
              </w:rPr>
              <w:t>5</w:t>
            </w:r>
          </w:p>
        </w:tc>
      </w:tr>
      <w:tr w:rsidR="00706440" w:rsidRPr="003D0AEA" w14:paraId="7B96545F" w14:textId="77777777" w:rsidTr="00D07E2B">
        <w:trPr>
          <w:cantSplit/>
        </w:trPr>
        <w:tc>
          <w:tcPr>
            <w:tcW w:w="6379" w:type="dxa"/>
          </w:tcPr>
          <w:p w14:paraId="65956FD3" w14:textId="77777777" w:rsidR="00706440" w:rsidRPr="003D0AEA" w:rsidRDefault="00706440" w:rsidP="00706440">
            <w:pPr>
              <w:spacing w:before="0"/>
              <w:rPr>
                <w:b/>
                <w:bCs/>
                <w:smallCaps/>
                <w:szCs w:val="24"/>
              </w:rPr>
            </w:pPr>
          </w:p>
        </w:tc>
        <w:tc>
          <w:tcPr>
            <w:tcW w:w="3509" w:type="dxa"/>
          </w:tcPr>
          <w:p w14:paraId="30EFD39F" w14:textId="7F09BA89" w:rsidR="00706440" w:rsidRPr="004442A8" w:rsidRDefault="00211AA5" w:rsidP="00706440">
            <w:pPr>
              <w:spacing w:before="0"/>
              <w:rPr>
                <w:szCs w:val="24"/>
              </w:rPr>
            </w:pPr>
            <w:bookmarkStart w:id="2" w:name="Original"/>
            <w:bookmarkEnd w:id="2"/>
            <w:r w:rsidRPr="004442A8">
              <w:rPr>
                <w:b/>
              </w:rPr>
              <w:t xml:space="preserve">Original: </w:t>
            </w:r>
            <w:r w:rsidR="00706440" w:rsidRPr="004442A8">
              <w:rPr>
                <w:b/>
              </w:rPr>
              <w:t>Englis</w:t>
            </w:r>
            <w:r w:rsidRPr="004442A8">
              <w:rPr>
                <w:b/>
              </w:rPr>
              <w:t>h</w:t>
            </w:r>
          </w:p>
        </w:tc>
      </w:tr>
      <w:tr w:rsidR="00A13162" w:rsidRPr="003D0AEA" w14:paraId="31656E31" w14:textId="77777777" w:rsidTr="00107E85">
        <w:trPr>
          <w:cantSplit/>
          <w:trHeight w:val="852"/>
        </w:trPr>
        <w:tc>
          <w:tcPr>
            <w:tcW w:w="9888" w:type="dxa"/>
            <w:gridSpan w:val="2"/>
          </w:tcPr>
          <w:p w14:paraId="512FCA01" w14:textId="2F8B68F3" w:rsidR="00A13162" w:rsidRPr="003D0AEA" w:rsidRDefault="002D0346" w:rsidP="0030353C">
            <w:pPr>
              <w:pStyle w:val="Source"/>
            </w:pPr>
            <w:bookmarkStart w:id="3" w:name="Source"/>
            <w:bookmarkEnd w:id="3"/>
            <w:r w:rsidRPr="003D0AEA">
              <w:t>Director, Telecommunication Development Bureau</w:t>
            </w:r>
          </w:p>
        </w:tc>
      </w:tr>
      <w:tr w:rsidR="00AC6F14" w:rsidRPr="003D0AEA" w14:paraId="2CBD3A36" w14:textId="77777777" w:rsidTr="00107E85">
        <w:trPr>
          <w:cantSplit/>
        </w:trPr>
        <w:tc>
          <w:tcPr>
            <w:tcW w:w="9888" w:type="dxa"/>
            <w:gridSpan w:val="2"/>
          </w:tcPr>
          <w:p w14:paraId="1B4121DF" w14:textId="51557394" w:rsidR="00AC6F14" w:rsidRPr="003D0AEA" w:rsidRDefault="00511FF3" w:rsidP="004442A8">
            <w:pPr>
              <w:pStyle w:val="Title1"/>
              <w:rPr>
                <w:rFonts w:cs="Times New Roman"/>
                <w:bCs/>
              </w:rPr>
            </w:pPr>
            <w:bookmarkStart w:id="4" w:name="Title"/>
            <w:bookmarkEnd w:id="4"/>
            <w:r w:rsidRPr="003D0AEA">
              <w:rPr>
                <w:rFonts w:cs="Times New Roman"/>
                <w:bCs/>
              </w:rPr>
              <w:t xml:space="preserve">State of digital development and trends in </w:t>
            </w:r>
            <w:r w:rsidR="00060A76">
              <w:rPr>
                <w:rFonts w:cs="Times New Roman"/>
                <w:bCs/>
              </w:rPr>
              <w:t>the Americas</w:t>
            </w:r>
            <w:r w:rsidRPr="003D0AEA">
              <w:rPr>
                <w:rFonts w:cs="Times New Roman"/>
                <w:bCs/>
              </w:rPr>
              <w:t xml:space="preserve">: </w:t>
            </w:r>
            <w:r w:rsidR="004442A8">
              <w:rPr>
                <w:rFonts w:cs="Times New Roman"/>
                <w:bCs/>
              </w:rPr>
              <w:br/>
            </w:r>
            <w:r w:rsidRPr="003D0AEA">
              <w:rPr>
                <w:rFonts w:cs="Times New Roman"/>
                <w:bCs/>
              </w:rPr>
              <w:t>Challenges and opportunities</w:t>
            </w:r>
          </w:p>
        </w:tc>
      </w:tr>
      <w:tr w:rsidR="00A721F4" w:rsidRPr="003D0AEA" w14:paraId="23A30231" w14:textId="77777777" w:rsidTr="00A721F4">
        <w:trPr>
          <w:cantSplit/>
        </w:trPr>
        <w:tc>
          <w:tcPr>
            <w:tcW w:w="9888" w:type="dxa"/>
            <w:gridSpan w:val="2"/>
            <w:tcBorders>
              <w:bottom w:val="single" w:sz="4" w:space="0" w:color="auto"/>
            </w:tcBorders>
          </w:tcPr>
          <w:p w14:paraId="726EE70E" w14:textId="77777777" w:rsidR="00A721F4" w:rsidRPr="003D0AEA" w:rsidRDefault="00A721F4" w:rsidP="0030353C"/>
        </w:tc>
      </w:tr>
      <w:tr w:rsidR="00A721F4" w:rsidRPr="003D0AEA" w14:paraId="590033C8" w14:textId="77777777" w:rsidTr="00A721F4">
        <w:trPr>
          <w:cantSplit/>
        </w:trPr>
        <w:tc>
          <w:tcPr>
            <w:tcW w:w="9888" w:type="dxa"/>
            <w:gridSpan w:val="2"/>
            <w:tcBorders>
              <w:top w:val="single" w:sz="4" w:space="0" w:color="auto"/>
              <w:left w:val="single" w:sz="4" w:space="0" w:color="auto"/>
              <w:bottom w:val="single" w:sz="4" w:space="0" w:color="auto"/>
              <w:right w:val="single" w:sz="4" w:space="0" w:color="auto"/>
            </w:tcBorders>
          </w:tcPr>
          <w:p w14:paraId="2E9C8590" w14:textId="77777777" w:rsidR="008D1CCB" w:rsidRPr="003D0AEA" w:rsidRDefault="008D1CCB" w:rsidP="008D1CCB">
            <w:pPr>
              <w:pStyle w:val="Title1"/>
              <w:jc w:val="left"/>
              <w:rPr>
                <w:rFonts w:cstheme="minorHAnsi"/>
                <w:b/>
                <w:bCs/>
                <w:caps/>
                <w:sz w:val="24"/>
                <w:szCs w:val="24"/>
              </w:rPr>
            </w:pPr>
            <w:r w:rsidRPr="003D0AEA">
              <w:rPr>
                <w:rFonts w:cstheme="minorHAnsi"/>
                <w:b/>
                <w:bCs/>
                <w:sz w:val="24"/>
                <w:szCs w:val="24"/>
              </w:rPr>
              <w:t>Agenda item:</w:t>
            </w:r>
          </w:p>
          <w:p w14:paraId="45BC9F9B" w14:textId="058C942B" w:rsidR="008D1CCB" w:rsidRPr="003D0AEA" w:rsidRDefault="004442A8" w:rsidP="008D1CCB">
            <w:pPr>
              <w:pStyle w:val="Title1"/>
              <w:jc w:val="left"/>
              <w:rPr>
                <w:rFonts w:cstheme="minorHAnsi"/>
                <w:caps/>
                <w:sz w:val="24"/>
                <w:szCs w:val="24"/>
              </w:rPr>
            </w:pPr>
            <w:r>
              <w:rPr>
                <w:rFonts w:cstheme="minorHAnsi"/>
                <w:sz w:val="24"/>
                <w:szCs w:val="24"/>
              </w:rPr>
              <w:t>5</w:t>
            </w:r>
          </w:p>
          <w:p w14:paraId="7043E349" w14:textId="77777777" w:rsidR="008D1CCB" w:rsidRPr="003D0AEA" w:rsidRDefault="008D1CCB" w:rsidP="008D1CCB">
            <w:pPr>
              <w:pStyle w:val="Title1"/>
              <w:jc w:val="left"/>
              <w:rPr>
                <w:rFonts w:cstheme="minorHAnsi"/>
                <w:b/>
                <w:bCs/>
                <w:caps/>
                <w:sz w:val="24"/>
                <w:szCs w:val="24"/>
              </w:rPr>
            </w:pPr>
            <w:r w:rsidRPr="003D0AEA">
              <w:rPr>
                <w:rFonts w:cstheme="minorHAnsi"/>
                <w:b/>
                <w:bCs/>
                <w:sz w:val="24"/>
                <w:szCs w:val="24"/>
              </w:rPr>
              <w:t xml:space="preserve">Summary: </w:t>
            </w:r>
          </w:p>
          <w:p w14:paraId="19ACDF5B" w14:textId="7FE92F09" w:rsidR="0072774E" w:rsidRPr="003D0AEA" w:rsidRDefault="0072774E" w:rsidP="0072774E">
            <w:r w:rsidRPr="003D0AEA">
              <w:t xml:space="preserve">This document, prepared for the RPM for </w:t>
            </w:r>
            <w:r w:rsidR="00060A76">
              <w:t>the Americas</w:t>
            </w:r>
            <w:r w:rsidRPr="003D0AEA">
              <w:t xml:space="preserve">, aims to </w:t>
            </w:r>
            <w:r w:rsidR="00511FF3" w:rsidRPr="003D0AEA">
              <w:t xml:space="preserve">inform </w:t>
            </w:r>
            <w:r w:rsidRPr="003D0AEA">
              <w:t>participants and stakeholders in setting the region’s digital agenda.</w:t>
            </w:r>
            <w:r w:rsidRPr="003D0AEA">
              <w:rPr>
                <w:rStyle w:val="CommentReference"/>
              </w:rPr>
              <w:t xml:space="preserve"> </w:t>
            </w:r>
            <w:r w:rsidRPr="003D0AEA">
              <w:t xml:space="preserve"> It is structured into two parts: the first provides an overview of the state of digital connectivity in</w:t>
            </w:r>
            <w:r w:rsidR="0086265F" w:rsidRPr="003D0AEA">
              <w:t xml:space="preserve"> </w:t>
            </w:r>
            <w:r w:rsidR="0004203B">
              <w:t>t</w:t>
            </w:r>
            <w:r w:rsidR="00060A76">
              <w:t>he Americas</w:t>
            </w:r>
            <w:r w:rsidR="0086265F" w:rsidRPr="003D0AEA">
              <w:t xml:space="preserve"> </w:t>
            </w:r>
            <w:r w:rsidRPr="003D0AEA">
              <w:t>through key indicators, and the second highlights impactful case studies from the region.</w:t>
            </w:r>
          </w:p>
          <w:p w14:paraId="1CD88A00" w14:textId="77777777" w:rsidR="008D1CCB" w:rsidRPr="003D0AEA" w:rsidRDefault="008D1CCB" w:rsidP="008D1CCB">
            <w:pPr>
              <w:pStyle w:val="Title1"/>
              <w:jc w:val="left"/>
              <w:rPr>
                <w:rFonts w:cstheme="minorHAnsi"/>
                <w:b/>
                <w:bCs/>
                <w:caps/>
                <w:sz w:val="24"/>
                <w:szCs w:val="24"/>
              </w:rPr>
            </w:pPr>
            <w:r w:rsidRPr="003D0AEA">
              <w:rPr>
                <w:rFonts w:cstheme="minorHAnsi"/>
                <w:b/>
                <w:bCs/>
                <w:sz w:val="24"/>
                <w:szCs w:val="24"/>
              </w:rPr>
              <w:t>Expected results:</w:t>
            </w:r>
          </w:p>
          <w:p w14:paraId="5C751A3F" w14:textId="7813AB28" w:rsidR="002D0346" w:rsidRPr="003D0AEA" w:rsidRDefault="008E2872" w:rsidP="008D1CCB">
            <w:pPr>
              <w:pStyle w:val="Title1"/>
              <w:jc w:val="left"/>
              <w:rPr>
                <w:rFonts w:cstheme="minorHAnsi"/>
                <w:sz w:val="24"/>
                <w:szCs w:val="24"/>
              </w:rPr>
            </w:pPr>
            <w:r>
              <w:rPr>
                <w:rFonts w:cstheme="minorHAnsi"/>
                <w:sz w:val="24"/>
                <w:szCs w:val="24"/>
              </w:rPr>
              <w:t>R</w:t>
            </w:r>
            <w:r w:rsidR="002D0346" w:rsidRPr="003D0AEA">
              <w:rPr>
                <w:rFonts w:cstheme="minorHAnsi"/>
                <w:sz w:val="24"/>
                <w:szCs w:val="24"/>
              </w:rPr>
              <w:t>PM-</w:t>
            </w:r>
            <w:r w:rsidR="0086265F" w:rsidRPr="003D0AEA">
              <w:rPr>
                <w:rFonts w:cstheme="minorHAnsi"/>
                <w:sz w:val="24"/>
                <w:szCs w:val="24"/>
              </w:rPr>
              <w:t>A</w:t>
            </w:r>
            <w:r w:rsidR="0004203B">
              <w:rPr>
                <w:rFonts w:cstheme="minorHAnsi"/>
                <w:sz w:val="24"/>
                <w:szCs w:val="24"/>
              </w:rPr>
              <w:t>MS</w:t>
            </w:r>
            <w:r w:rsidR="002D0346" w:rsidRPr="003D0AEA">
              <w:rPr>
                <w:rFonts w:cstheme="minorHAnsi"/>
                <w:sz w:val="24"/>
                <w:szCs w:val="24"/>
              </w:rPr>
              <w:t xml:space="preserve"> is invited to note this document</w:t>
            </w:r>
          </w:p>
          <w:p w14:paraId="4CD2685E" w14:textId="3B80EF9C" w:rsidR="008D1CCB" w:rsidRPr="003D0AEA" w:rsidRDefault="008D1CCB" w:rsidP="008D1CCB">
            <w:pPr>
              <w:pStyle w:val="Title1"/>
              <w:jc w:val="left"/>
              <w:rPr>
                <w:rFonts w:cstheme="minorHAnsi"/>
                <w:b/>
                <w:bCs/>
                <w:caps/>
                <w:sz w:val="24"/>
                <w:szCs w:val="24"/>
              </w:rPr>
            </w:pPr>
            <w:r w:rsidRPr="003D0AEA">
              <w:rPr>
                <w:rFonts w:cstheme="minorHAnsi"/>
                <w:b/>
                <w:bCs/>
                <w:sz w:val="24"/>
                <w:szCs w:val="24"/>
              </w:rPr>
              <w:t>References:</w:t>
            </w:r>
          </w:p>
          <w:p w14:paraId="1ECDD20E" w14:textId="55031060" w:rsidR="00A721F4" w:rsidRPr="003D0AEA" w:rsidRDefault="002D0346" w:rsidP="008D1CCB">
            <w:pPr>
              <w:spacing w:after="120"/>
            </w:pPr>
            <w:r w:rsidRPr="003D0AEA">
              <w:t>N/A</w:t>
            </w:r>
          </w:p>
        </w:tc>
      </w:tr>
    </w:tbl>
    <w:p w14:paraId="72F5CF96" w14:textId="77777777" w:rsidR="00923CF1" w:rsidRPr="003D0AEA" w:rsidRDefault="00923CF1" w:rsidP="00935FF0"/>
    <w:p w14:paraId="02569DE9" w14:textId="77777777" w:rsidR="00EA2854" w:rsidRPr="003D0AEA" w:rsidRDefault="00EA2854" w:rsidP="00EA2854"/>
    <w:p w14:paraId="76DECBE4" w14:textId="77777777" w:rsidR="00EA2854" w:rsidRPr="003D0AEA" w:rsidRDefault="00EA2854" w:rsidP="00EA2854"/>
    <w:p w14:paraId="66A31481" w14:textId="78FDA36E" w:rsidR="006C41B5" w:rsidRPr="003D0AEA" w:rsidRDefault="00923CF1" w:rsidP="006C41B5">
      <w:pPr>
        <w:pStyle w:val="Title"/>
        <w:rPr>
          <w:rFonts w:ascii="Aptos Display" w:eastAsia="Yu Gothic Light" w:hAnsi="Aptos Display"/>
          <w:sz w:val="48"/>
          <w14:ligatures w14:val="standardContextual"/>
        </w:rPr>
      </w:pPr>
      <w:r w:rsidRPr="003D0AEA">
        <w:br w:type="page"/>
      </w:r>
      <w:r w:rsidR="006C41B5" w:rsidRPr="003D0AEA">
        <w:rPr>
          <w:rFonts w:ascii="Aptos Display" w:eastAsia="Yu Gothic Light" w:hAnsi="Aptos Display"/>
          <w:sz w:val="48"/>
          <w14:ligatures w14:val="standardContextual"/>
        </w:rPr>
        <w:lastRenderedPageBreak/>
        <w:t xml:space="preserve">State of digital development and trends in </w:t>
      </w:r>
      <w:r w:rsidR="0004203B">
        <w:rPr>
          <w:rFonts w:ascii="Aptos Display" w:eastAsia="Yu Gothic Light" w:hAnsi="Aptos Display"/>
          <w:sz w:val="48"/>
          <w14:ligatures w14:val="standardContextual"/>
        </w:rPr>
        <w:t>t</w:t>
      </w:r>
      <w:r w:rsidR="00060A76">
        <w:rPr>
          <w:rFonts w:ascii="Aptos Display" w:eastAsia="Yu Gothic Light" w:hAnsi="Aptos Display"/>
          <w:sz w:val="48"/>
          <w14:ligatures w14:val="standardContextual"/>
        </w:rPr>
        <w:t>he Americas</w:t>
      </w:r>
      <w:r w:rsidR="006C41B5" w:rsidRPr="003D0AEA">
        <w:rPr>
          <w:rFonts w:ascii="Aptos Display" w:eastAsia="Yu Gothic Light" w:hAnsi="Aptos Display"/>
          <w:sz w:val="48"/>
          <w14:ligatures w14:val="standardContextual"/>
        </w:rPr>
        <w:t xml:space="preserve">: Challenges and opportunities </w:t>
      </w:r>
    </w:p>
    <w:p w14:paraId="195698D8" w14:textId="0B357EF6" w:rsidR="006C41B5" w:rsidRPr="003D0AEA" w:rsidRDefault="00AB777E"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Display" w:eastAsia="Aptos" w:hAnsi="Aptos Display" w:cs="Arial"/>
          <w:kern w:val="2"/>
          <w:sz w:val="28"/>
          <w:szCs w:val="28"/>
          <w14:ligatures w14:val="standardContextual"/>
        </w:rPr>
      </w:pPr>
      <w:r>
        <w:rPr>
          <w:rFonts w:ascii="Aptos Display" w:eastAsia="Aptos" w:hAnsi="Aptos Display" w:cs="Arial"/>
          <w:kern w:val="2"/>
          <w:sz w:val="28"/>
          <w:szCs w:val="28"/>
          <w14:ligatures w14:val="standardContextual"/>
        </w:rPr>
        <w:t>February</w:t>
      </w:r>
      <w:r w:rsidR="00670782" w:rsidRPr="003D0AEA">
        <w:rPr>
          <w:rFonts w:ascii="Aptos Display" w:eastAsia="Aptos" w:hAnsi="Aptos Display" w:cs="Arial"/>
          <w:kern w:val="2"/>
          <w:sz w:val="28"/>
          <w:szCs w:val="28"/>
          <w14:ligatures w14:val="standardContextual"/>
        </w:rPr>
        <w:t xml:space="preserve"> </w:t>
      </w:r>
      <w:r w:rsidR="006C41B5" w:rsidRPr="003D0AEA">
        <w:rPr>
          <w:rFonts w:ascii="Aptos Display" w:eastAsia="Aptos" w:hAnsi="Aptos Display" w:cs="Arial"/>
          <w:kern w:val="2"/>
          <w:sz w:val="28"/>
          <w:szCs w:val="28"/>
          <w14:ligatures w14:val="standardContextual"/>
        </w:rPr>
        <w:t>202</w:t>
      </w:r>
      <w:r w:rsidR="00CF6D86" w:rsidRPr="003D0AEA">
        <w:rPr>
          <w:rFonts w:ascii="Aptos Display" w:eastAsia="Aptos" w:hAnsi="Aptos Display" w:cs="Arial"/>
          <w:kern w:val="2"/>
          <w:sz w:val="28"/>
          <w:szCs w:val="28"/>
          <w14:ligatures w14:val="standardContextual"/>
        </w:rPr>
        <w:t>5</w:t>
      </w:r>
    </w:p>
    <w:p w14:paraId="2A32533D" w14:textId="77777777" w:rsidR="006C41B5" w:rsidRPr="003D0AEA" w:rsidRDefault="006C41B5" w:rsidP="006C41B5">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rPr>
          <w:rFonts w:ascii="Aptos Display" w:eastAsia="Yu Gothic Light" w:hAnsi="Aptos Display"/>
          <w:color w:val="0F4761"/>
          <w:kern w:val="2"/>
          <w:sz w:val="40"/>
          <w:szCs w:val="40"/>
          <w14:ligatures w14:val="standardContextual"/>
        </w:rPr>
      </w:pPr>
      <w:bookmarkStart w:id="5" w:name="_Toc187749106"/>
      <w:r w:rsidRPr="003D0AEA">
        <w:rPr>
          <w:rFonts w:ascii="Aptos Display" w:eastAsia="Yu Gothic Light" w:hAnsi="Aptos Display"/>
          <w:color w:val="0F4761"/>
          <w:kern w:val="2"/>
          <w:sz w:val="40"/>
          <w:szCs w:val="40"/>
          <w14:ligatures w14:val="standardContextual"/>
        </w:rPr>
        <w:t>Contents</w:t>
      </w:r>
      <w:bookmarkEnd w:id="5"/>
    </w:p>
    <w:p w14:paraId="535B8F8E" w14:textId="5FCF8257" w:rsidR="0095412A" w:rsidRDefault="00203A56">
      <w:pPr>
        <w:pStyle w:val="TOC1"/>
        <w:tabs>
          <w:tab w:val="right" w:leader="dot" w:pos="9629"/>
        </w:tabs>
        <w:rPr>
          <w:rFonts w:eastAsiaTheme="minorEastAsia" w:cstheme="minorBidi"/>
          <w:b w:val="0"/>
          <w:bCs w:val="0"/>
          <w:noProof/>
          <w:kern w:val="2"/>
          <w:sz w:val="24"/>
          <w:szCs w:val="24"/>
          <w:lang w:eastAsia="en-GB"/>
          <w14:ligatures w14:val="standardContextual"/>
        </w:rPr>
      </w:pPr>
      <w:r w:rsidRPr="003D0AEA">
        <w:rPr>
          <w:rFonts w:ascii="Aptos" w:eastAsia="Aptos" w:hAnsi="Aptos" w:cs="Arial"/>
          <w:kern w:val="2"/>
          <w:sz w:val="22"/>
          <w:szCs w:val="22"/>
          <w14:ligatures w14:val="standardContextual"/>
        </w:rPr>
        <w:fldChar w:fldCharType="begin"/>
      </w:r>
      <w:r w:rsidRPr="003D0AEA">
        <w:rPr>
          <w:rFonts w:ascii="Aptos" w:eastAsia="Aptos" w:hAnsi="Aptos" w:cs="Arial"/>
          <w:kern w:val="2"/>
          <w:sz w:val="22"/>
          <w:szCs w:val="22"/>
          <w14:ligatures w14:val="standardContextual"/>
        </w:rPr>
        <w:instrText xml:space="preserve"> TOC \t "Part title,1,Section,2" </w:instrText>
      </w:r>
      <w:r w:rsidRPr="003D0AEA">
        <w:rPr>
          <w:rFonts w:ascii="Aptos" w:eastAsia="Aptos" w:hAnsi="Aptos" w:cs="Arial"/>
          <w:kern w:val="2"/>
          <w:sz w:val="22"/>
          <w:szCs w:val="22"/>
          <w14:ligatures w14:val="standardContextual"/>
        </w:rPr>
        <w:fldChar w:fldCharType="separate"/>
      </w:r>
      <w:r w:rsidR="0095412A">
        <w:rPr>
          <w:noProof/>
        </w:rPr>
        <w:t>Introduction</w:t>
      </w:r>
      <w:r w:rsidR="0095412A">
        <w:rPr>
          <w:noProof/>
        </w:rPr>
        <w:tab/>
      </w:r>
      <w:r w:rsidR="0095412A">
        <w:rPr>
          <w:noProof/>
        </w:rPr>
        <w:fldChar w:fldCharType="begin"/>
      </w:r>
      <w:r w:rsidR="0095412A">
        <w:rPr>
          <w:noProof/>
        </w:rPr>
        <w:instrText xml:space="preserve"> PAGEREF _Toc190883381 \h </w:instrText>
      </w:r>
      <w:r w:rsidR="0095412A">
        <w:rPr>
          <w:noProof/>
        </w:rPr>
      </w:r>
      <w:r w:rsidR="0095412A">
        <w:rPr>
          <w:noProof/>
        </w:rPr>
        <w:fldChar w:fldCharType="separate"/>
      </w:r>
      <w:r w:rsidR="0095412A">
        <w:rPr>
          <w:noProof/>
        </w:rPr>
        <w:t>3</w:t>
      </w:r>
      <w:r w:rsidR="0095412A">
        <w:rPr>
          <w:noProof/>
        </w:rPr>
        <w:fldChar w:fldCharType="end"/>
      </w:r>
    </w:p>
    <w:p w14:paraId="7A9F11E0" w14:textId="3A40407F" w:rsidR="0095412A" w:rsidRDefault="0095412A">
      <w:pPr>
        <w:pStyle w:val="TOC1"/>
        <w:tabs>
          <w:tab w:val="right" w:leader="dot" w:pos="9629"/>
        </w:tabs>
        <w:rPr>
          <w:rFonts w:eastAsiaTheme="minorEastAsia" w:cstheme="minorBidi"/>
          <w:b w:val="0"/>
          <w:bCs w:val="0"/>
          <w:noProof/>
          <w:kern w:val="2"/>
          <w:sz w:val="24"/>
          <w:szCs w:val="24"/>
          <w:lang w:eastAsia="en-GB"/>
          <w14:ligatures w14:val="standardContextual"/>
        </w:rPr>
      </w:pPr>
      <w:r>
        <w:rPr>
          <w:noProof/>
        </w:rPr>
        <w:t>Part 1. The state of digital connectivity in the Americas and recent trends</w:t>
      </w:r>
      <w:r>
        <w:rPr>
          <w:noProof/>
        </w:rPr>
        <w:tab/>
      </w:r>
      <w:r>
        <w:rPr>
          <w:noProof/>
        </w:rPr>
        <w:fldChar w:fldCharType="begin"/>
      </w:r>
      <w:r>
        <w:rPr>
          <w:noProof/>
        </w:rPr>
        <w:instrText xml:space="preserve"> PAGEREF _Toc190883382 \h </w:instrText>
      </w:r>
      <w:r>
        <w:rPr>
          <w:noProof/>
        </w:rPr>
      </w:r>
      <w:r>
        <w:rPr>
          <w:noProof/>
        </w:rPr>
        <w:fldChar w:fldCharType="separate"/>
      </w:r>
      <w:r>
        <w:rPr>
          <w:noProof/>
        </w:rPr>
        <w:t>5</w:t>
      </w:r>
      <w:r>
        <w:rPr>
          <w:noProof/>
        </w:rPr>
        <w:fldChar w:fldCharType="end"/>
      </w:r>
    </w:p>
    <w:p w14:paraId="437DAFAB" w14:textId="19C02973" w:rsidR="0095412A" w:rsidRDefault="0095412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ICT regulation and digital policy frameworks</w:t>
      </w:r>
      <w:r>
        <w:rPr>
          <w:noProof/>
        </w:rPr>
        <w:tab/>
      </w:r>
      <w:r>
        <w:rPr>
          <w:noProof/>
        </w:rPr>
        <w:fldChar w:fldCharType="begin"/>
      </w:r>
      <w:r>
        <w:rPr>
          <w:noProof/>
        </w:rPr>
        <w:instrText xml:space="preserve"> PAGEREF _Toc190883383 \h </w:instrText>
      </w:r>
      <w:r>
        <w:rPr>
          <w:noProof/>
        </w:rPr>
      </w:r>
      <w:r>
        <w:rPr>
          <w:noProof/>
        </w:rPr>
        <w:fldChar w:fldCharType="separate"/>
      </w:r>
      <w:r>
        <w:rPr>
          <w:noProof/>
        </w:rPr>
        <w:t>5</w:t>
      </w:r>
      <w:r>
        <w:rPr>
          <w:noProof/>
        </w:rPr>
        <w:fldChar w:fldCharType="end"/>
      </w:r>
    </w:p>
    <w:p w14:paraId="47C8FF2C" w14:textId="12BB1D1E" w:rsidR="0095412A" w:rsidRDefault="0095412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Internet use</w:t>
      </w:r>
      <w:r>
        <w:rPr>
          <w:noProof/>
        </w:rPr>
        <w:tab/>
      </w:r>
      <w:r>
        <w:rPr>
          <w:noProof/>
        </w:rPr>
        <w:fldChar w:fldCharType="begin"/>
      </w:r>
      <w:r>
        <w:rPr>
          <w:noProof/>
        </w:rPr>
        <w:instrText xml:space="preserve"> PAGEREF _Toc190883384 \h </w:instrText>
      </w:r>
      <w:r>
        <w:rPr>
          <w:noProof/>
        </w:rPr>
      </w:r>
      <w:r>
        <w:rPr>
          <w:noProof/>
        </w:rPr>
        <w:fldChar w:fldCharType="separate"/>
      </w:r>
      <w:r>
        <w:rPr>
          <w:noProof/>
        </w:rPr>
        <w:t>12</w:t>
      </w:r>
      <w:r>
        <w:rPr>
          <w:noProof/>
        </w:rPr>
        <w:fldChar w:fldCharType="end"/>
      </w:r>
    </w:p>
    <w:p w14:paraId="04F222D7" w14:textId="7AFF1933" w:rsidR="0095412A" w:rsidRDefault="0095412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Broadband subscriptions</w:t>
      </w:r>
      <w:r>
        <w:rPr>
          <w:noProof/>
        </w:rPr>
        <w:tab/>
      </w:r>
      <w:r>
        <w:rPr>
          <w:noProof/>
        </w:rPr>
        <w:fldChar w:fldCharType="begin"/>
      </w:r>
      <w:r>
        <w:rPr>
          <w:noProof/>
        </w:rPr>
        <w:instrText xml:space="preserve"> PAGEREF _Toc190883385 \h </w:instrText>
      </w:r>
      <w:r>
        <w:rPr>
          <w:noProof/>
        </w:rPr>
      </w:r>
      <w:r>
        <w:rPr>
          <w:noProof/>
        </w:rPr>
        <w:fldChar w:fldCharType="separate"/>
      </w:r>
      <w:r>
        <w:rPr>
          <w:noProof/>
        </w:rPr>
        <w:t>17</w:t>
      </w:r>
      <w:r>
        <w:rPr>
          <w:noProof/>
        </w:rPr>
        <w:fldChar w:fldCharType="end"/>
      </w:r>
    </w:p>
    <w:p w14:paraId="582F3C24" w14:textId="0D44F4C6" w:rsidR="0095412A" w:rsidRDefault="0095412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Mobile network coverage</w:t>
      </w:r>
      <w:r>
        <w:rPr>
          <w:noProof/>
        </w:rPr>
        <w:tab/>
      </w:r>
      <w:r>
        <w:rPr>
          <w:noProof/>
        </w:rPr>
        <w:fldChar w:fldCharType="begin"/>
      </w:r>
      <w:r>
        <w:rPr>
          <w:noProof/>
        </w:rPr>
        <w:instrText xml:space="preserve"> PAGEREF _Toc190883386 \h </w:instrText>
      </w:r>
      <w:r>
        <w:rPr>
          <w:noProof/>
        </w:rPr>
      </w:r>
      <w:r>
        <w:rPr>
          <w:noProof/>
        </w:rPr>
        <w:fldChar w:fldCharType="separate"/>
      </w:r>
      <w:r>
        <w:rPr>
          <w:noProof/>
        </w:rPr>
        <w:t>19</w:t>
      </w:r>
      <w:r>
        <w:rPr>
          <w:noProof/>
        </w:rPr>
        <w:fldChar w:fldCharType="end"/>
      </w:r>
    </w:p>
    <w:p w14:paraId="27230719" w14:textId="25973F4A" w:rsidR="0095412A" w:rsidRDefault="0095412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Availability of fixed-broadband infrastructure</w:t>
      </w:r>
      <w:r>
        <w:rPr>
          <w:noProof/>
        </w:rPr>
        <w:tab/>
      </w:r>
      <w:r>
        <w:rPr>
          <w:noProof/>
        </w:rPr>
        <w:fldChar w:fldCharType="begin"/>
      </w:r>
      <w:r>
        <w:rPr>
          <w:noProof/>
        </w:rPr>
        <w:instrText xml:space="preserve"> PAGEREF _Toc190883387 \h </w:instrText>
      </w:r>
      <w:r>
        <w:rPr>
          <w:noProof/>
        </w:rPr>
      </w:r>
      <w:r>
        <w:rPr>
          <w:noProof/>
        </w:rPr>
        <w:fldChar w:fldCharType="separate"/>
      </w:r>
      <w:r>
        <w:rPr>
          <w:noProof/>
        </w:rPr>
        <w:t>22</w:t>
      </w:r>
      <w:r>
        <w:rPr>
          <w:noProof/>
        </w:rPr>
        <w:fldChar w:fldCharType="end"/>
      </w:r>
    </w:p>
    <w:p w14:paraId="05D411A4" w14:textId="29910D80" w:rsidR="0095412A" w:rsidRDefault="0095412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Internet traffic and international bandwidth</w:t>
      </w:r>
      <w:r>
        <w:rPr>
          <w:noProof/>
        </w:rPr>
        <w:tab/>
      </w:r>
      <w:r>
        <w:rPr>
          <w:noProof/>
        </w:rPr>
        <w:fldChar w:fldCharType="begin"/>
      </w:r>
      <w:r>
        <w:rPr>
          <w:noProof/>
        </w:rPr>
        <w:instrText xml:space="preserve"> PAGEREF _Toc190883388 \h </w:instrText>
      </w:r>
      <w:r>
        <w:rPr>
          <w:noProof/>
        </w:rPr>
      </w:r>
      <w:r>
        <w:rPr>
          <w:noProof/>
        </w:rPr>
        <w:fldChar w:fldCharType="separate"/>
      </w:r>
      <w:r>
        <w:rPr>
          <w:noProof/>
        </w:rPr>
        <w:t>24</w:t>
      </w:r>
      <w:r>
        <w:rPr>
          <w:noProof/>
        </w:rPr>
        <w:fldChar w:fldCharType="end"/>
      </w:r>
    </w:p>
    <w:p w14:paraId="33B585F6" w14:textId="209778BE" w:rsidR="0095412A" w:rsidRDefault="0095412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Affordability of ICT services</w:t>
      </w:r>
      <w:r>
        <w:rPr>
          <w:noProof/>
        </w:rPr>
        <w:tab/>
      </w:r>
      <w:r>
        <w:rPr>
          <w:noProof/>
        </w:rPr>
        <w:fldChar w:fldCharType="begin"/>
      </w:r>
      <w:r>
        <w:rPr>
          <w:noProof/>
        </w:rPr>
        <w:instrText xml:space="preserve"> PAGEREF _Toc190883389 \h </w:instrText>
      </w:r>
      <w:r>
        <w:rPr>
          <w:noProof/>
        </w:rPr>
      </w:r>
      <w:r>
        <w:rPr>
          <w:noProof/>
        </w:rPr>
        <w:fldChar w:fldCharType="separate"/>
      </w:r>
      <w:r>
        <w:rPr>
          <w:noProof/>
        </w:rPr>
        <w:t>28</w:t>
      </w:r>
      <w:r>
        <w:rPr>
          <w:noProof/>
        </w:rPr>
        <w:fldChar w:fldCharType="end"/>
      </w:r>
    </w:p>
    <w:p w14:paraId="55E10FD9" w14:textId="07DA5769" w:rsidR="0095412A" w:rsidRDefault="0095412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Mobile phone ownership and subscriptions</w:t>
      </w:r>
      <w:r>
        <w:rPr>
          <w:noProof/>
        </w:rPr>
        <w:tab/>
      </w:r>
      <w:r>
        <w:rPr>
          <w:noProof/>
        </w:rPr>
        <w:fldChar w:fldCharType="begin"/>
      </w:r>
      <w:r>
        <w:rPr>
          <w:noProof/>
        </w:rPr>
        <w:instrText xml:space="preserve"> PAGEREF _Toc190883390 \h </w:instrText>
      </w:r>
      <w:r>
        <w:rPr>
          <w:noProof/>
        </w:rPr>
      </w:r>
      <w:r>
        <w:rPr>
          <w:noProof/>
        </w:rPr>
        <w:fldChar w:fldCharType="separate"/>
      </w:r>
      <w:r>
        <w:rPr>
          <w:noProof/>
        </w:rPr>
        <w:t>30</w:t>
      </w:r>
      <w:r>
        <w:rPr>
          <w:noProof/>
        </w:rPr>
        <w:fldChar w:fldCharType="end"/>
      </w:r>
    </w:p>
    <w:p w14:paraId="3629DDBC" w14:textId="70BF1CE6" w:rsidR="0095412A" w:rsidRDefault="0095412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ICT skills</w:t>
      </w:r>
      <w:r>
        <w:rPr>
          <w:noProof/>
        </w:rPr>
        <w:tab/>
      </w:r>
      <w:r>
        <w:rPr>
          <w:noProof/>
        </w:rPr>
        <w:fldChar w:fldCharType="begin"/>
      </w:r>
      <w:r>
        <w:rPr>
          <w:noProof/>
        </w:rPr>
        <w:instrText xml:space="preserve"> PAGEREF _Toc190883391 \h </w:instrText>
      </w:r>
      <w:r>
        <w:rPr>
          <w:noProof/>
        </w:rPr>
      </w:r>
      <w:r>
        <w:rPr>
          <w:noProof/>
        </w:rPr>
        <w:fldChar w:fldCharType="separate"/>
      </w:r>
      <w:r>
        <w:rPr>
          <w:noProof/>
        </w:rPr>
        <w:t>33</w:t>
      </w:r>
      <w:r>
        <w:rPr>
          <w:noProof/>
        </w:rPr>
        <w:fldChar w:fldCharType="end"/>
      </w:r>
    </w:p>
    <w:p w14:paraId="7F2C5055" w14:textId="07C2A720" w:rsidR="0095412A" w:rsidRDefault="0095412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Revenue and investment</w:t>
      </w:r>
      <w:r>
        <w:rPr>
          <w:noProof/>
        </w:rPr>
        <w:tab/>
      </w:r>
      <w:r>
        <w:rPr>
          <w:noProof/>
        </w:rPr>
        <w:fldChar w:fldCharType="begin"/>
      </w:r>
      <w:r>
        <w:rPr>
          <w:noProof/>
        </w:rPr>
        <w:instrText xml:space="preserve"> PAGEREF _Toc190883392 \h </w:instrText>
      </w:r>
      <w:r>
        <w:rPr>
          <w:noProof/>
        </w:rPr>
      </w:r>
      <w:r>
        <w:rPr>
          <w:noProof/>
        </w:rPr>
        <w:fldChar w:fldCharType="separate"/>
      </w:r>
      <w:r>
        <w:rPr>
          <w:noProof/>
        </w:rPr>
        <w:t>40</w:t>
      </w:r>
      <w:r>
        <w:rPr>
          <w:noProof/>
        </w:rPr>
        <w:fldChar w:fldCharType="end"/>
      </w:r>
    </w:p>
    <w:p w14:paraId="6212C151" w14:textId="6FB6757E" w:rsidR="0095412A" w:rsidRDefault="0095412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Cybersecurity</w:t>
      </w:r>
      <w:r>
        <w:rPr>
          <w:noProof/>
        </w:rPr>
        <w:tab/>
      </w:r>
      <w:r>
        <w:rPr>
          <w:noProof/>
        </w:rPr>
        <w:fldChar w:fldCharType="begin"/>
      </w:r>
      <w:r>
        <w:rPr>
          <w:noProof/>
        </w:rPr>
        <w:instrText xml:space="preserve"> PAGEREF _Toc190883393 \h </w:instrText>
      </w:r>
      <w:r>
        <w:rPr>
          <w:noProof/>
        </w:rPr>
      </w:r>
      <w:r>
        <w:rPr>
          <w:noProof/>
        </w:rPr>
        <w:fldChar w:fldCharType="separate"/>
      </w:r>
      <w:r>
        <w:rPr>
          <w:noProof/>
        </w:rPr>
        <w:t>42</w:t>
      </w:r>
      <w:r>
        <w:rPr>
          <w:noProof/>
        </w:rPr>
        <w:fldChar w:fldCharType="end"/>
      </w:r>
    </w:p>
    <w:p w14:paraId="048F24C2" w14:textId="66B323DC" w:rsidR="0095412A" w:rsidRDefault="0095412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E-waste management</w:t>
      </w:r>
      <w:r>
        <w:rPr>
          <w:noProof/>
        </w:rPr>
        <w:tab/>
      </w:r>
      <w:r>
        <w:rPr>
          <w:noProof/>
        </w:rPr>
        <w:fldChar w:fldCharType="begin"/>
      </w:r>
      <w:r>
        <w:rPr>
          <w:noProof/>
        </w:rPr>
        <w:instrText xml:space="preserve"> PAGEREF _Toc190883394 \h </w:instrText>
      </w:r>
      <w:r>
        <w:rPr>
          <w:noProof/>
        </w:rPr>
      </w:r>
      <w:r>
        <w:rPr>
          <w:noProof/>
        </w:rPr>
        <w:fldChar w:fldCharType="separate"/>
      </w:r>
      <w:r>
        <w:rPr>
          <w:noProof/>
        </w:rPr>
        <w:t>44</w:t>
      </w:r>
      <w:r>
        <w:rPr>
          <w:noProof/>
        </w:rPr>
        <w:fldChar w:fldCharType="end"/>
      </w:r>
    </w:p>
    <w:p w14:paraId="0281E246" w14:textId="49B9C258" w:rsidR="0095412A" w:rsidRDefault="0095412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Disparities within the region</w:t>
      </w:r>
      <w:r>
        <w:rPr>
          <w:noProof/>
        </w:rPr>
        <w:tab/>
      </w:r>
      <w:r>
        <w:rPr>
          <w:noProof/>
        </w:rPr>
        <w:fldChar w:fldCharType="begin"/>
      </w:r>
      <w:r>
        <w:rPr>
          <w:noProof/>
        </w:rPr>
        <w:instrText xml:space="preserve"> PAGEREF _Toc190883395 \h </w:instrText>
      </w:r>
      <w:r>
        <w:rPr>
          <w:noProof/>
        </w:rPr>
      </w:r>
      <w:r>
        <w:rPr>
          <w:noProof/>
        </w:rPr>
        <w:fldChar w:fldCharType="separate"/>
      </w:r>
      <w:r>
        <w:rPr>
          <w:noProof/>
        </w:rPr>
        <w:t>47</w:t>
      </w:r>
      <w:r>
        <w:rPr>
          <w:noProof/>
        </w:rPr>
        <w:fldChar w:fldCharType="end"/>
      </w:r>
    </w:p>
    <w:p w14:paraId="4BD248F5" w14:textId="19437439" w:rsidR="0095412A" w:rsidRDefault="0095412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Overview of data availability in the Americas</w:t>
      </w:r>
      <w:r>
        <w:rPr>
          <w:noProof/>
        </w:rPr>
        <w:tab/>
      </w:r>
      <w:r>
        <w:rPr>
          <w:noProof/>
        </w:rPr>
        <w:fldChar w:fldCharType="begin"/>
      </w:r>
      <w:r>
        <w:rPr>
          <w:noProof/>
        </w:rPr>
        <w:instrText xml:space="preserve"> PAGEREF _Toc190883396 \h </w:instrText>
      </w:r>
      <w:r>
        <w:rPr>
          <w:noProof/>
        </w:rPr>
      </w:r>
      <w:r>
        <w:rPr>
          <w:noProof/>
        </w:rPr>
        <w:fldChar w:fldCharType="separate"/>
      </w:r>
      <w:r>
        <w:rPr>
          <w:noProof/>
        </w:rPr>
        <w:t>49</w:t>
      </w:r>
      <w:r>
        <w:rPr>
          <w:noProof/>
        </w:rPr>
        <w:fldChar w:fldCharType="end"/>
      </w:r>
    </w:p>
    <w:p w14:paraId="5D45BB51" w14:textId="475479DA" w:rsidR="0095412A" w:rsidRDefault="0095412A">
      <w:pPr>
        <w:pStyle w:val="TOC1"/>
        <w:tabs>
          <w:tab w:val="right" w:leader="dot" w:pos="9629"/>
        </w:tabs>
        <w:rPr>
          <w:rFonts w:eastAsiaTheme="minorEastAsia" w:cstheme="minorBidi"/>
          <w:b w:val="0"/>
          <w:bCs w:val="0"/>
          <w:noProof/>
          <w:kern w:val="2"/>
          <w:sz w:val="24"/>
          <w:szCs w:val="24"/>
          <w:lang w:eastAsia="en-GB"/>
          <w14:ligatures w14:val="standardContextual"/>
        </w:rPr>
      </w:pPr>
      <w:r>
        <w:rPr>
          <w:noProof/>
        </w:rPr>
        <w:t>Part 2. BDT4Impact: Selected case studies from the Americas</w:t>
      </w:r>
      <w:r>
        <w:rPr>
          <w:noProof/>
        </w:rPr>
        <w:tab/>
      </w:r>
      <w:r>
        <w:rPr>
          <w:noProof/>
        </w:rPr>
        <w:fldChar w:fldCharType="begin"/>
      </w:r>
      <w:r>
        <w:rPr>
          <w:noProof/>
        </w:rPr>
        <w:instrText xml:space="preserve"> PAGEREF _Toc190883397 \h </w:instrText>
      </w:r>
      <w:r>
        <w:rPr>
          <w:noProof/>
        </w:rPr>
      </w:r>
      <w:r>
        <w:rPr>
          <w:noProof/>
        </w:rPr>
        <w:fldChar w:fldCharType="separate"/>
      </w:r>
      <w:r>
        <w:rPr>
          <w:noProof/>
        </w:rPr>
        <w:t>51</w:t>
      </w:r>
      <w:r>
        <w:rPr>
          <w:noProof/>
        </w:rPr>
        <w:fldChar w:fldCharType="end"/>
      </w:r>
    </w:p>
    <w:p w14:paraId="572FFAE0" w14:textId="5F7F59A6" w:rsidR="0095412A" w:rsidRDefault="0095412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Bridging the digital divide in indigenous and rural communities in the Americas</w:t>
      </w:r>
      <w:r>
        <w:rPr>
          <w:noProof/>
        </w:rPr>
        <w:tab/>
      </w:r>
      <w:r>
        <w:rPr>
          <w:noProof/>
        </w:rPr>
        <w:fldChar w:fldCharType="begin"/>
      </w:r>
      <w:r>
        <w:rPr>
          <w:noProof/>
        </w:rPr>
        <w:instrText xml:space="preserve"> PAGEREF _Toc190883398 \h </w:instrText>
      </w:r>
      <w:r>
        <w:rPr>
          <w:noProof/>
        </w:rPr>
      </w:r>
      <w:r>
        <w:rPr>
          <w:noProof/>
        </w:rPr>
        <w:fldChar w:fldCharType="separate"/>
      </w:r>
      <w:r>
        <w:rPr>
          <w:noProof/>
        </w:rPr>
        <w:t>51</w:t>
      </w:r>
      <w:r>
        <w:rPr>
          <w:noProof/>
        </w:rPr>
        <w:fldChar w:fldCharType="end"/>
      </w:r>
    </w:p>
    <w:p w14:paraId="66B84528" w14:textId="7CE318C2" w:rsidR="0095412A" w:rsidRDefault="0095412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Countries work to regulate e-waste to protect health, environment and resources</w:t>
      </w:r>
      <w:r>
        <w:rPr>
          <w:noProof/>
        </w:rPr>
        <w:tab/>
      </w:r>
      <w:r>
        <w:rPr>
          <w:noProof/>
        </w:rPr>
        <w:fldChar w:fldCharType="begin"/>
      </w:r>
      <w:r>
        <w:rPr>
          <w:noProof/>
        </w:rPr>
        <w:instrText xml:space="preserve"> PAGEREF _Toc190883399 \h </w:instrText>
      </w:r>
      <w:r>
        <w:rPr>
          <w:noProof/>
        </w:rPr>
      </w:r>
      <w:r>
        <w:rPr>
          <w:noProof/>
        </w:rPr>
        <w:fldChar w:fldCharType="separate"/>
      </w:r>
      <w:r>
        <w:rPr>
          <w:noProof/>
        </w:rPr>
        <w:t>51</w:t>
      </w:r>
      <w:r>
        <w:rPr>
          <w:noProof/>
        </w:rPr>
        <w:fldChar w:fldCharType="end"/>
      </w:r>
    </w:p>
    <w:p w14:paraId="4641EAF2" w14:textId="5732862E" w:rsidR="0095412A" w:rsidRDefault="0095412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The Smart Seas Project builds disaster resilience among small-scale Caribbean fishers</w:t>
      </w:r>
      <w:r>
        <w:rPr>
          <w:noProof/>
        </w:rPr>
        <w:tab/>
      </w:r>
      <w:r>
        <w:rPr>
          <w:noProof/>
        </w:rPr>
        <w:fldChar w:fldCharType="begin"/>
      </w:r>
      <w:r>
        <w:rPr>
          <w:noProof/>
        </w:rPr>
        <w:instrText xml:space="preserve"> PAGEREF _Toc190883400 \h </w:instrText>
      </w:r>
      <w:r>
        <w:rPr>
          <w:noProof/>
        </w:rPr>
      </w:r>
      <w:r>
        <w:rPr>
          <w:noProof/>
        </w:rPr>
        <w:fldChar w:fldCharType="separate"/>
      </w:r>
      <w:r>
        <w:rPr>
          <w:noProof/>
        </w:rPr>
        <w:t>52</w:t>
      </w:r>
      <w:r>
        <w:rPr>
          <w:noProof/>
        </w:rPr>
        <w:fldChar w:fldCharType="end"/>
      </w:r>
    </w:p>
    <w:p w14:paraId="69DF1077" w14:textId="20206C1C" w:rsidR="0095412A" w:rsidRDefault="0095412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Crisis response: Hurricane Beryl</w:t>
      </w:r>
      <w:r>
        <w:rPr>
          <w:noProof/>
        </w:rPr>
        <w:tab/>
      </w:r>
      <w:r>
        <w:rPr>
          <w:noProof/>
        </w:rPr>
        <w:fldChar w:fldCharType="begin"/>
      </w:r>
      <w:r>
        <w:rPr>
          <w:noProof/>
        </w:rPr>
        <w:instrText xml:space="preserve"> PAGEREF _Toc190883401 \h </w:instrText>
      </w:r>
      <w:r>
        <w:rPr>
          <w:noProof/>
        </w:rPr>
      </w:r>
      <w:r>
        <w:rPr>
          <w:noProof/>
        </w:rPr>
        <w:fldChar w:fldCharType="separate"/>
      </w:r>
      <w:r>
        <w:rPr>
          <w:noProof/>
        </w:rPr>
        <w:t>52</w:t>
      </w:r>
      <w:r>
        <w:rPr>
          <w:noProof/>
        </w:rPr>
        <w:fldChar w:fldCharType="end"/>
      </w:r>
    </w:p>
    <w:p w14:paraId="2D879B2B" w14:textId="2FFEC8E6" w:rsidR="0095412A" w:rsidRDefault="0095412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Special event in Argentina builds girls’ technology skills and knowledge about careers</w:t>
      </w:r>
      <w:r>
        <w:rPr>
          <w:noProof/>
        </w:rPr>
        <w:tab/>
      </w:r>
      <w:r>
        <w:rPr>
          <w:noProof/>
        </w:rPr>
        <w:fldChar w:fldCharType="begin"/>
      </w:r>
      <w:r>
        <w:rPr>
          <w:noProof/>
        </w:rPr>
        <w:instrText xml:space="preserve"> PAGEREF _Toc190883402 \h </w:instrText>
      </w:r>
      <w:r>
        <w:rPr>
          <w:noProof/>
        </w:rPr>
      </w:r>
      <w:r>
        <w:rPr>
          <w:noProof/>
        </w:rPr>
        <w:fldChar w:fldCharType="separate"/>
      </w:r>
      <w:r>
        <w:rPr>
          <w:noProof/>
        </w:rPr>
        <w:t>53</w:t>
      </w:r>
      <w:r>
        <w:rPr>
          <w:noProof/>
        </w:rPr>
        <w:fldChar w:fldCharType="end"/>
      </w:r>
    </w:p>
    <w:p w14:paraId="465896B7" w14:textId="01AC4D60" w:rsidR="0095412A" w:rsidRDefault="0095412A">
      <w:pPr>
        <w:pStyle w:val="TOC2"/>
        <w:tabs>
          <w:tab w:val="right" w:leader="dot" w:pos="9629"/>
        </w:tabs>
        <w:rPr>
          <w:rFonts w:eastAsiaTheme="minorEastAsia" w:cstheme="minorBidi"/>
          <w:i w:val="0"/>
          <w:iCs w:val="0"/>
          <w:noProof/>
          <w:kern w:val="2"/>
          <w:sz w:val="24"/>
          <w:szCs w:val="24"/>
          <w:lang w:eastAsia="en-GB"/>
          <w14:ligatures w14:val="standardContextual"/>
        </w:rPr>
      </w:pPr>
      <w:r>
        <w:rPr>
          <w:noProof/>
        </w:rPr>
        <w:t>Developing national telecommunications mapping system in Uruguay</w:t>
      </w:r>
      <w:r>
        <w:rPr>
          <w:noProof/>
        </w:rPr>
        <w:tab/>
      </w:r>
      <w:r>
        <w:rPr>
          <w:noProof/>
        </w:rPr>
        <w:fldChar w:fldCharType="begin"/>
      </w:r>
      <w:r>
        <w:rPr>
          <w:noProof/>
        </w:rPr>
        <w:instrText xml:space="preserve"> PAGEREF _Toc190883403 \h </w:instrText>
      </w:r>
      <w:r>
        <w:rPr>
          <w:noProof/>
        </w:rPr>
      </w:r>
      <w:r>
        <w:rPr>
          <w:noProof/>
        </w:rPr>
        <w:fldChar w:fldCharType="separate"/>
      </w:r>
      <w:r>
        <w:rPr>
          <w:noProof/>
        </w:rPr>
        <w:t>53</w:t>
      </w:r>
      <w:r>
        <w:rPr>
          <w:noProof/>
        </w:rPr>
        <w:fldChar w:fldCharType="end"/>
      </w:r>
    </w:p>
    <w:p w14:paraId="4F9AB901" w14:textId="732B4C49" w:rsidR="0095412A" w:rsidRDefault="0095412A">
      <w:pPr>
        <w:pStyle w:val="TOC1"/>
        <w:tabs>
          <w:tab w:val="right" w:leader="dot" w:pos="9629"/>
        </w:tabs>
        <w:rPr>
          <w:rFonts w:eastAsiaTheme="minorEastAsia" w:cstheme="minorBidi"/>
          <w:b w:val="0"/>
          <w:bCs w:val="0"/>
          <w:noProof/>
          <w:kern w:val="2"/>
          <w:sz w:val="24"/>
          <w:szCs w:val="24"/>
          <w:lang w:eastAsia="en-GB"/>
          <w14:ligatures w14:val="standardContextual"/>
        </w:rPr>
      </w:pPr>
      <w:r>
        <w:rPr>
          <w:noProof/>
        </w:rPr>
        <w:t>Annex: Data resources</w:t>
      </w:r>
      <w:r>
        <w:rPr>
          <w:noProof/>
        </w:rPr>
        <w:tab/>
      </w:r>
      <w:r>
        <w:rPr>
          <w:noProof/>
        </w:rPr>
        <w:fldChar w:fldCharType="begin"/>
      </w:r>
      <w:r>
        <w:rPr>
          <w:noProof/>
        </w:rPr>
        <w:instrText xml:space="preserve"> PAGEREF _Toc190883404 \h </w:instrText>
      </w:r>
      <w:r>
        <w:rPr>
          <w:noProof/>
        </w:rPr>
      </w:r>
      <w:r>
        <w:rPr>
          <w:noProof/>
        </w:rPr>
        <w:fldChar w:fldCharType="separate"/>
      </w:r>
      <w:r>
        <w:rPr>
          <w:noProof/>
        </w:rPr>
        <w:t>54</w:t>
      </w:r>
      <w:r>
        <w:rPr>
          <w:noProof/>
        </w:rPr>
        <w:fldChar w:fldCharType="end"/>
      </w:r>
    </w:p>
    <w:p w14:paraId="095B8632" w14:textId="7DB842FC" w:rsidR="00394A30" w:rsidRPr="003D0AEA" w:rsidRDefault="00203A56" w:rsidP="00E22751">
      <w:pPr>
        <w:rPr>
          <w:rFonts w:eastAsia="Yu Gothic Light"/>
        </w:rPr>
      </w:pPr>
      <w:r w:rsidRPr="003D0AEA">
        <w:rPr>
          <w:rFonts w:ascii="Aptos" w:eastAsia="Aptos" w:hAnsi="Aptos" w:cs="Arial"/>
          <w:kern w:val="2"/>
          <w:sz w:val="22"/>
          <w:szCs w:val="22"/>
          <w14:ligatures w14:val="standardContextual"/>
        </w:rPr>
        <w:fldChar w:fldCharType="end"/>
      </w:r>
    </w:p>
    <w:p w14:paraId="55E4843D" w14:textId="77777777" w:rsidR="00394A30" w:rsidRPr="003D0AEA" w:rsidRDefault="00394A30">
      <w:pPr>
        <w:tabs>
          <w:tab w:val="clear" w:pos="794"/>
          <w:tab w:val="clear" w:pos="1191"/>
          <w:tab w:val="clear" w:pos="1588"/>
          <w:tab w:val="clear" w:pos="1985"/>
        </w:tabs>
        <w:overflowPunct/>
        <w:autoSpaceDE/>
        <w:autoSpaceDN/>
        <w:adjustRightInd/>
        <w:spacing w:before="0"/>
        <w:textAlignment w:val="auto"/>
        <w:rPr>
          <w:rFonts w:eastAsia="Yu Gothic Light"/>
        </w:rPr>
      </w:pPr>
      <w:r w:rsidRPr="003D0AEA">
        <w:rPr>
          <w:rFonts w:eastAsia="Yu Gothic Light"/>
        </w:rPr>
        <w:br w:type="page"/>
      </w:r>
    </w:p>
    <w:p w14:paraId="503B6FEE" w14:textId="159AFB04" w:rsidR="006C41B5" w:rsidRPr="003D0AEA" w:rsidRDefault="006C41B5" w:rsidP="00554ABD">
      <w:pPr>
        <w:pStyle w:val="Parttitle0"/>
      </w:pPr>
      <w:bookmarkStart w:id="6" w:name="_Toc190883381"/>
      <w:r w:rsidRPr="003D0AEA">
        <w:lastRenderedPageBreak/>
        <w:t>Introduction</w:t>
      </w:r>
      <w:bookmarkEnd w:id="6"/>
    </w:p>
    <w:p w14:paraId="50B6B23B" w14:textId="54DC80DF" w:rsidR="00E17B19" w:rsidRPr="00E17B19" w:rsidRDefault="00E17B19" w:rsidP="00621816">
      <w:pPr>
        <w:rPr>
          <w:rFonts w:ascii="Aptos" w:eastAsia="Aptos" w:hAnsi="Aptos" w:cs="Arial"/>
          <w:kern w:val="2"/>
          <w:sz w:val="22"/>
          <w:szCs w:val="22"/>
          <w14:ligatures w14:val="standardContextual"/>
        </w:rPr>
      </w:pPr>
      <w:r w:rsidRPr="00E17B19">
        <w:rPr>
          <w:rFonts w:ascii="Aptos" w:eastAsia="Aptos" w:hAnsi="Aptos" w:cs="Arial"/>
          <w:kern w:val="2"/>
          <w:sz w:val="22"/>
          <w:szCs w:val="22"/>
          <w14:ligatures w14:val="standardContextual"/>
        </w:rPr>
        <w:t>The Regional Preparatory Meetings (RPMs) engage member states in preparations for the World Telecommunication Development Conference 2025. Prepared for the RPM Americas on 1</w:t>
      </w:r>
      <w:r w:rsidR="003B5454">
        <w:rPr>
          <w:rFonts w:ascii="Aptos" w:eastAsia="Aptos" w:hAnsi="Aptos" w:cs="Arial"/>
          <w:kern w:val="2"/>
          <w:sz w:val="22"/>
          <w:szCs w:val="22"/>
          <w14:ligatures w14:val="standardContextual"/>
        </w:rPr>
        <w:t>-</w:t>
      </w:r>
      <w:r w:rsidRPr="00E17B19">
        <w:rPr>
          <w:rFonts w:ascii="Aptos" w:eastAsia="Aptos" w:hAnsi="Aptos" w:cs="Arial"/>
          <w:kern w:val="2"/>
          <w:sz w:val="22"/>
          <w:szCs w:val="22"/>
          <w14:ligatures w14:val="standardContextual"/>
        </w:rPr>
        <w:t>2 April 2025, this document provides key insights to support participants and stakeholders in discussions on the region’s digital agenda. It consists of two parts: the first offers an overview of digital connectivity in the Americas through key indicators, while the second highlights impactful case studies from the region.</w:t>
      </w:r>
    </w:p>
    <w:p w14:paraId="1709F261" w14:textId="07B27926" w:rsidR="00621816" w:rsidRDefault="00C57355" w:rsidP="00621816">
      <w:pPr>
        <w:rPr>
          <w:rFonts w:ascii="Aptos" w:hAnsi="Aptos"/>
          <w:sz w:val="22"/>
          <w:szCs w:val="22"/>
          <w:lang w:eastAsia="en-GB"/>
        </w:rPr>
      </w:pPr>
      <w:r w:rsidRPr="003D0AEA">
        <w:rPr>
          <w:rFonts w:ascii="Aptos" w:hAnsi="Aptos"/>
          <w:b/>
          <w:bCs/>
          <w:sz w:val="22"/>
          <w:szCs w:val="22"/>
        </w:rPr>
        <w:t xml:space="preserve">Universal and meaningful connectivity </w:t>
      </w:r>
      <w:r w:rsidR="00F53880" w:rsidRPr="003D0AEA">
        <w:rPr>
          <w:rFonts w:ascii="Aptos" w:hAnsi="Aptos"/>
          <w:b/>
          <w:bCs/>
          <w:sz w:val="22"/>
          <w:szCs w:val="22"/>
        </w:rPr>
        <w:t xml:space="preserve">is a policy imperative. </w:t>
      </w:r>
      <w:r w:rsidRPr="003D0AEA">
        <w:rPr>
          <w:rFonts w:ascii="Aptos" w:hAnsi="Aptos"/>
          <w:sz w:val="22"/>
          <w:szCs w:val="22"/>
        </w:rPr>
        <w:t xml:space="preserve">The concept of universal and meaningful connectivity (UMC) has emerged as a </w:t>
      </w:r>
      <w:r w:rsidR="000C351A">
        <w:rPr>
          <w:rFonts w:ascii="Aptos" w:hAnsi="Aptos"/>
          <w:sz w:val="22"/>
          <w:szCs w:val="22"/>
        </w:rPr>
        <w:t>critical</w:t>
      </w:r>
      <w:r w:rsidR="00F53880" w:rsidRPr="003D0AEA">
        <w:rPr>
          <w:rFonts w:ascii="Aptos" w:hAnsi="Aptos"/>
          <w:sz w:val="22"/>
          <w:szCs w:val="22"/>
        </w:rPr>
        <w:t xml:space="preserve"> </w:t>
      </w:r>
      <w:r w:rsidRPr="003D0AEA">
        <w:rPr>
          <w:rFonts w:ascii="Aptos" w:hAnsi="Aptos"/>
          <w:sz w:val="22"/>
          <w:szCs w:val="22"/>
        </w:rPr>
        <w:t xml:space="preserve">policy objective. UMC is defined as </w:t>
      </w:r>
      <w:r w:rsidR="00C3155A">
        <w:rPr>
          <w:rFonts w:ascii="Aptos" w:hAnsi="Aptos"/>
          <w:sz w:val="22"/>
          <w:szCs w:val="22"/>
        </w:rPr>
        <w:t xml:space="preserve">the possibility for </w:t>
      </w:r>
      <w:r w:rsidRPr="003D0AEA">
        <w:rPr>
          <w:rFonts w:ascii="Aptos" w:hAnsi="Aptos"/>
          <w:sz w:val="22"/>
          <w:szCs w:val="22"/>
        </w:rPr>
        <w:t xml:space="preserve">everyone to enjoy a safe, enriching, and productive online experience at an affordable cost. </w:t>
      </w:r>
      <w:r w:rsidRPr="003D0AEA">
        <w:rPr>
          <w:rFonts w:ascii="Aptos" w:hAnsi="Aptos"/>
          <w:sz w:val="22"/>
          <w:szCs w:val="22"/>
          <w:lang w:eastAsia="en-GB"/>
        </w:rPr>
        <w:t>UMC does not mean everyone must be connected all the time</w:t>
      </w:r>
      <w:r w:rsidR="00FA74B7" w:rsidRPr="003D0AEA">
        <w:rPr>
          <w:rFonts w:ascii="Aptos" w:hAnsi="Aptos"/>
          <w:sz w:val="22"/>
          <w:szCs w:val="22"/>
          <w:lang w:eastAsia="en-GB"/>
        </w:rPr>
        <w:t xml:space="preserve"> but describes </w:t>
      </w:r>
      <w:r w:rsidRPr="003D0AEA">
        <w:rPr>
          <w:rFonts w:ascii="Aptos" w:hAnsi="Aptos"/>
          <w:sz w:val="22"/>
          <w:szCs w:val="22"/>
          <w:lang w:eastAsia="en-GB"/>
        </w:rPr>
        <w:t xml:space="preserve">a situation where </w:t>
      </w:r>
      <w:r w:rsidRPr="003D0AEA">
        <w:rPr>
          <w:rFonts w:ascii="Aptos" w:hAnsi="Aptos"/>
          <w:sz w:val="22"/>
          <w:szCs w:val="22"/>
        </w:rPr>
        <w:t>everyone can access the Internet optimally and affordably whenever and wherever needed</w:t>
      </w:r>
      <w:r w:rsidRPr="003D0AEA">
        <w:rPr>
          <w:rFonts w:ascii="Aptos" w:hAnsi="Aptos"/>
          <w:sz w:val="22"/>
          <w:szCs w:val="22"/>
          <w:lang w:eastAsia="en-GB"/>
        </w:rPr>
        <w:t>.</w:t>
      </w:r>
    </w:p>
    <w:p w14:paraId="7F7AA5DA" w14:textId="64DE6345" w:rsidR="00EA0BB9" w:rsidRDefault="00807CA4" w:rsidP="00EA0BB9">
      <w:pPr>
        <w:rPr>
          <w:rFonts w:ascii="Aptos" w:eastAsia="Aptos" w:hAnsi="Aptos" w:cs="Arial"/>
          <w:kern w:val="2"/>
          <w:sz w:val="22"/>
          <w:szCs w:val="22"/>
          <w14:ligatures w14:val="standardContextual"/>
        </w:rPr>
      </w:pPr>
      <w:r w:rsidRPr="00807CA4">
        <w:rPr>
          <w:rFonts w:ascii="Aptos" w:eastAsia="Aptos" w:hAnsi="Aptos" w:cs="Arial"/>
          <w:b/>
          <w:bCs/>
          <w:kern w:val="2"/>
          <w:sz w:val="22"/>
          <w:szCs w:val="22"/>
          <w14:ligatures w14:val="standardContextual"/>
        </w:rPr>
        <w:t xml:space="preserve">The Americas region has made significant progress toward UMC. </w:t>
      </w:r>
      <w:r w:rsidRPr="00807CA4">
        <w:rPr>
          <w:rFonts w:ascii="Aptos" w:eastAsia="Aptos" w:hAnsi="Aptos" w:cs="Arial"/>
          <w:kern w:val="2"/>
          <w:sz w:val="22"/>
          <w:szCs w:val="22"/>
          <w14:ligatures w14:val="standardContextual"/>
        </w:rPr>
        <w:t xml:space="preserve">As of 2024, 96 per cent of the region’s population had access to a mobile broadband network (3G or </w:t>
      </w:r>
      <w:r w:rsidR="007B64A5">
        <w:rPr>
          <w:rFonts w:ascii="Aptos" w:eastAsia="Aptos" w:hAnsi="Aptos" w:cs="Arial"/>
          <w:kern w:val="2"/>
          <w:sz w:val="22"/>
          <w:szCs w:val="22"/>
          <w14:ligatures w14:val="standardContextual"/>
        </w:rPr>
        <w:t>higher</w:t>
      </w:r>
      <w:r w:rsidRPr="00807CA4">
        <w:rPr>
          <w:rFonts w:ascii="Aptos" w:eastAsia="Aptos" w:hAnsi="Aptos" w:cs="Arial"/>
          <w:kern w:val="2"/>
          <w:sz w:val="22"/>
          <w:szCs w:val="22"/>
          <w14:ligatures w14:val="standardContextual"/>
        </w:rPr>
        <w:t>), including 63 per cent covered by a 5G network. Universal access is within reach, enabling almost everyone who wishes to connect to do so. Internet adoption is also high, with nearly nine in ten people (87 per cent) using the Internet—well above the global average of 68 per cent. Notably, the Americas is the only region to experience a ‘reverse gender gap,’ where women have higher Internet usage than men.</w:t>
      </w:r>
    </w:p>
    <w:p w14:paraId="42CA4CC8" w14:textId="0E71311D" w:rsidR="00621816" w:rsidRDefault="00AD30BE" w:rsidP="00621816">
      <w:pPr>
        <w:rPr>
          <w:rFonts w:ascii="Aptos" w:eastAsia="Aptos" w:hAnsi="Aptos" w:cs="Arial"/>
          <w:kern w:val="2"/>
          <w:sz w:val="22"/>
          <w:szCs w:val="22"/>
          <w14:ligatures w14:val="standardContextual"/>
        </w:rPr>
      </w:pPr>
      <w:r w:rsidRPr="00AD30BE">
        <w:rPr>
          <w:rFonts w:ascii="Aptos" w:eastAsia="Aptos" w:hAnsi="Aptos" w:cs="Arial"/>
          <w:b/>
          <w:bCs/>
          <w:kern w:val="2"/>
          <w:sz w:val="22"/>
          <w:szCs w:val="22"/>
          <w14:ligatures w14:val="standardContextual"/>
        </w:rPr>
        <w:t>The Americas is a region of digital contrasts.</w:t>
      </w:r>
      <w:r w:rsidRPr="00AD30BE">
        <w:rPr>
          <w:rFonts w:ascii="Aptos" w:eastAsia="Aptos" w:hAnsi="Aptos" w:cs="Arial"/>
          <w:kern w:val="2"/>
          <w:sz w:val="22"/>
          <w:szCs w:val="22"/>
          <w14:ligatures w14:val="standardContextual"/>
        </w:rPr>
        <w:t xml:space="preserve"> </w:t>
      </w:r>
      <w:r w:rsidR="00FC1758" w:rsidRPr="004E0393">
        <w:rPr>
          <w:rFonts w:ascii="Aptos" w:eastAsia="Aptos" w:hAnsi="Aptos" w:cs="Arial"/>
          <w:kern w:val="2"/>
          <w:sz w:val="22"/>
          <w:szCs w:val="22"/>
          <w14:ligatures w14:val="standardContextual"/>
        </w:rPr>
        <w:t xml:space="preserve">Despite the achievements, </w:t>
      </w:r>
      <w:r w:rsidR="004E6E27">
        <w:rPr>
          <w:rFonts w:ascii="Aptos" w:eastAsia="Aptos" w:hAnsi="Aptos" w:cs="Arial"/>
          <w:kern w:val="2"/>
          <w:sz w:val="22"/>
          <w:szCs w:val="22"/>
          <w14:ligatures w14:val="standardContextual"/>
        </w:rPr>
        <w:t>the region</w:t>
      </w:r>
      <w:r w:rsidR="00D55BEC">
        <w:rPr>
          <w:rFonts w:ascii="Aptos" w:eastAsia="Aptos" w:hAnsi="Aptos" w:cs="Arial"/>
          <w:kern w:val="2"/>
          <w:sz w:val="22"/>
          <w:szCs w:val="22"/>
          <w14:ligatures w14:val="standardContextual"/>
        </w:rPr>
        <w:t xml:space="preserve"> is very diverse</w:t>
      </w:r>
      <w:r w:rsidR="00D92494" w:rsidRPr="004E0393">
        <w:rPr>
          <w:rFonts w:ascii="Aptos" w:eastAsia="Aptos" w:hAnsi="Aptos" w:cs="Arial"/>
          <w:kern w:val="2"/>
          <w:sz w:val="22"/>
          <w:szCs w:val="22"/>
          <w14:ligatures w14:val="standardContextual"/>
        </w:rPr>
        <w:t xml:space="preserve">, notably </w:t>
      </w:r>
      <w:r w:rsidR="00CB1026" w:rsidRPr="004E0393">
        <w:rPr>
          <w:rFonts w:ascii="Aptos" w:eastAsia="Aptos" w:hAnsi="Aptos" w:cs="Arial"/>
          <w:kern w:val="2"/>
          <w:sz w:val="22"/>
          <w:szCs w:val="22"/>
          <w14:ligatures w14:val="standardContextual"/>
        </w:rPr>
        <w:t xml:space="preserve">in regulatory maturity, Internet affordability, quality of service, </w:t>
      </w:r>
      <w:r w:rsidR="00D92494" w:rsidRPr="004E0393">
        <w:rPr>
          <w:rFonts w:ascii="Aptos" w:eastAsia="Aptos" w:hAnsi="Aptos" w:cs="Arial"/>
          <w:kern w:val="2"/>
          <w:sz w:val="22"/>
          <w:szCs w:val="22"/>
          <w14:ligatures w14:val="standardContextual"/>
        </w:rPr>
        <w:t xml:space="preserve">and </w:t>
      </w:r>
      <w:r w:rsidR="00CB1026" w:rsidRPr="004E0393">
        <w:rPr>
          <w:rFonts w:ascii="Aptos" w:eastAsia="Aptos" w:hAnsi="Aptos" w:cs="Arial"/>
          <w:kern w:val="2"/>
          <w:sz w:val="22"/>
          <w:szCs w:val="22"/>
          <w14:ligatures w14:val="standardContextual"/>
        </w:rPr>
        <w:t>cybersecurity</w:t>
      </w:r>
      <w:r w:rsidR="00D92494" w:rsidRPr="004E0393">
        <w:rPr>
          <w:rFonts w:ascii="Aptos" w:eastAsia="Aptos" w:hAnsi="Aptos" w:cs="Arial"/>
          <w:kern w:val="2"/>
          <w:sz w:val="22"/>
          <w:szCs w:val="22"/>
          <w14:ligatures w14:val="standardContextual"/>
        </w:rPr>
        <w:t xml:space="preserve"> </w:t>
      </w:r>
      <w:r w:rsidR="00CB1026" w:rsidRPr="004E0393">
        <w:rPr>
          <w:rFonts w:ascii="Aptos" w:eastAsia="Aptos" w:hAnsi="Aptos" w:cs="Arial"/>
          <w:kern w:val="2"/>
          <w:sz w:val="22"/>
          <w:szCs w:val="22"/>
          <w14:ligatures w14:val="standardContextual"/>
        </w:rPr>
        <w:t>readiness</w:t>
      </w:r>
      <w:r w:rsidR="00EC1EEA" w:rsidRPr="004E0393">
        <w:rPr>
          <w:rFonts w:ascii="Aptos" w:eastAsia="Aptos" w:hAnsi="Aptos" w:cs="Arial"/>
          <w:kern w:val="2"/>
          <w:sz w:val="22"/>
          <w:szCs w:val="22"/>
          <w14:ligatures w14:val="standardContextual"/>
        </w:rPr>
        <w:t xml:space="preserve">. </w:t>
      </w:r>
      <w:r w:rsidR="0081548F" w:rsidRPr="0081548F">
        <w:rPr>
          <w:rFonts w:ascii="Aptos" w:eastAsia="Aptos" w:hAnsi="Aptos" w:cs="Arial"/>
          <w:kern w:val="2"/>
          <w:sz w:val="22"/>
          <w:szCs w:val="22"/>
          <w14:ligatures w14:val="standardContextual"/>
        </w:rPr>
        <w:t>North America generally leads, while Latin America and the Caribbean present a mixed landscape</w:t>
      </w:r>
      <w:r w:rsidR="0040050B">
        <w:rPr>
          <w:rFonts w:ascii="Aptos" w:eastAsia="Aptos" w:hAnsi="Aptos" w:cs="Arial"/>
          <w:kern w:val="2"/>
          <w:sz w:val="22"/>
          <w:szCs w:val="22"/>
          <w14:ligatures w14:val="standardContextual"/>
        </w:rPr>
        <w:t xml:space="preserve">. </w:t>
      </w:r>
      <w:r w:rsidR="00182EAD">
        <w:rPr>
          <w:rFonts w:ascii="Aptos" w:eastAsia="Aptos" w:hAnsi="Aptos" w:cs="Arial"/>
          <w:kern w:val="2"/>
          <w:sz w:val="22"/>
          <w:szCs w:val="22"/>
          <w14:ligatures w14:val="standardContextual"/>
        </w:rPr>
        <w:t>The region’s s</w:t>
      </w:r>
      <w:r w:rsidRPr="00563970">
        <w:rPr>
          <w:rFonts w:ascii="Aptos" w:eastAsia="Aptos" w:hAnsi="Aptos" w:cs="Arial"/>
          <w:kern w:val="2"/>
          <w:sz w:val="22"/>
          <w:szCs w:val="22"/>
          <w14:ligatures w14:val="standardContextual"/>
        </w:rPr>
        <w:t>mall</w:t>
      </w:r>
      <w:r w:rsidRPr="00AD30BE">
        <w:rPr>
          <w:rFonts w:ascii="Aptos" w:eastAsia="Aptos" w:hAnsi="Aptos" w:cs="Arial"/>
          <w:kern w:val="2"/>
          <w:sz w:val="22"/>
          <w:szCs w:val="22"/>
          <w14:ligatures w14:val="standardContextual"/>
        </w:rPr>
        <w:t xml:space="preserve"> island developing states </w:t>
      </w:r>
      <w:r w:rsidR="00C26BF9" w:rsidRPr="004E0393">
        <w:rPr>
          <w:rFonts w:ascii="Aptos" w:eastAsia="Aptos" w:hAnsi="Aptos" w:cs="Arial"/>
          <w:kern w:val="2"/>
          <w:sz w:val="22"/>
          <w:szCs w:val="22"/>
          <w14:ligatures w14:val="standardContextual"/>
        </w:rPr>
        <w:t xml:space="preserve">(SDIDs) </w:t>
      </w:r>
      <w:r w:rsidRPr="00AD30BE">
        <w:rPr>
          <w:rFonts w:ascii="Aptos" w:eastAsia="Aptos" w:hAnsi="Aptos" w:cs="Arial"/>
          <w:kern w:val="2"/>
          <w:sz w:val="22"/>
          <w:szCs w:val="22"/>
          <w14:ligatures w14:val="standardContextual"/>
        </w:rPr>
        <w:t xml:space="preserve">and landlocked </w:t>
      </w:r>
      <w:r w:rsidR="00BC5F6C">
        <w:rPr>
          <w:rFonts w:ascii="Aptos" w:eastAsia="Aptos" w:hAnsi="Aptos" w:cs="Arial"/>
          <w:kern w:val="2"/>
          <w:sz w:val="22"/>
          <w:szCs w:val="22"/>
          <w14:ligatures w14:val="standardContextual"/>
        </w:rPr>
        <w:t xml:space="preserve">developing </w:t>
      </w:r>
      <w:r w:rsidRPr="00AD30BE">
        <w:rPr>
          <w:rFonts w:ascii="Aptos" w:eastAsia="Aptos" w:hAnsi="Aptos" w:cs="Arial"/>
          <w:kern w:val="2"/>
          <w:sz w:val="22"/>
          <w:szCs w:val="22"/>
          <w14:ligatures w14:val="standardContextual"/>
        </w:rPr>
        <w:t xml:space="preserve">countries </w:t>
      </w:r>
      <w:r w:rsidR="00C26BF9" w:rsidRPr="004E0393">
        <w:rPr>
          <w:rFonts w:ascii="Aptos" w:eastAsia="Aptos" w:hAnsi="Aptos" w:cs="Arial"/>
          <w:kern w:val="2"/>
          <w:sz w:val="22"/>
          <w:szCs w:val="22"/>
          <w14:ligatures w14:val="standardContextual"/>
        </w:rPr>
        <w:t xml:space="preserve">(LLDCs) </w:t>
      </w:r>
      <w:r w:rsidR="00D7722D">
        <w:rPr>
          <w:rFonts w:ascii="Aptos" w:eastAsia="Aptos" w:hAnsi="Aptos" w:cs="Arial"/>
          <w:kern w:val="2"/>
          <w:sz w:val="22"/>
          <w:szCs w:val="22"/>
          <w14:ligatures w14:val="standardContextual"/>
        </w:rPr>
        <w:t xml:space="preserve">lag in most dimensions of connectivity, as they </w:t>
      </w:r>
      <w:r w:rsidRPr="00AD30BE">
        <w:rPr>
          <w:rFonts w:ascii="Aptos" w:eastAsia="Aptos" w:hAnsi="Aptos" w:cs="Arial"/>
          <w:kern w:val="2"/>
          <w:sz w:val="22"/>
          <w:szCs w:val="22"/>
          <w14:ligatures w14:val="standardContextual"/>
        </w:rPr>
        <w:t>face additional obstacles, including high infrastructure costs and geographic challenges</w:t>
      </w:r>
      <w:r w:rsidR="00D7722D">
        <w:rPr>
          <w:rFonts w:ascii="Aptos" w:eastAsia="Aptos" w:hAnsi="Aptos" w:cs="Arial"/>
          <w:kern w:val="2"/>
          <w:sz w:val="22"/>
          <w:szCs w:val="22"/>
          <w14:ligatures w14:val="standardContextual"/>
        </w:rPr>
        <w:t>.</w:t>
      </w:r>
      <w:r w:rsidRPr="00563970">
        <w:rPr>
          <w:rFonts w:ascii="Aptos" w:eastAsia="Aptos" w:hAnsi="Aptos" w:cs="Arial"/>
          <w:kern w:val="2"/>
          <w:sz w:val="22"/>
          <w:szCs w:val="22"/>
          <w14:ligatures w14:val="standardContextual"/>
        </w:rPr>
        <w:t xml:space="preserve"> </w:t>
      </w:r>
      <w:r w:rsidR="00AF71E2">
        <w:rPr>
          <w:rFonts w:ascii="Aptos" w:eastAsia="Aptos" w:hAnsi="Aptos" w:cs="Arial"/>
          <w:kern w:val="2"/>
          <w:sz w:val="22"/>
          <w:szCs w:val="22"/>
          <w14:ligatures w14:val="standardContextual"/>
        </w:rPr>
        <w:t xml:space="preserve"> </w:t>
      </w:r>
    </w:p>
    <w:p w14:paraId="63219E5D" w14:textId="01F96C20" w:rsidR="00EC7AAE" w:rsidRDefault="00EC7AAE" w:rsidP="00621816">
      <w:pPr>
        <w:rPr>
          <w:rFonts w:ascii="Aptos" w:eastAsia="Aptos" w:hAnsi="Aptos" w:cs="Arial"/>
          <w:kern w:val="2"/>
          <w:sz w:val="22"/>
          <w:szCs w:val="22"/>
          <w14:ligatures w14:val="standardContextual"/>
        </w:rPr>
      </w:pPr>
      <w:r w:rsidRPr="00EC7AAE">
        <w:rPr>
          <w:rFonts w:ascii="Aptos" w:eastAsia="Aptos" w:hAnsi="Aptos" w:cs="Arial"/>
          <w:b/>
          <w:bCs/>
          <w:kern w:val="2"/>
          <w:sz w:val="22"/>
          <w:szCs w:val="22"/>
          <w14:ligatures w14:val="standardContextual"/>
        </w:rPr>
        <w:t>The urban-rural divide remains a challenge.</w:t>
      </w:r>
      <w:r w:rsidRPr="00EC7AAE">
        <w:rPr>
          <w:rFonts w:ascii="Aptos" w:eastAsia="Aptos" w:hAnsi="Aptos" w:cs="Arial"/>
          <w:kern w:val="2"/>
          <w:sz w:val="22"/>
          <w:szCs w:val="22"/>
          <w14:ligatures w14:val="standardContextual"/>
        </w:rPr>
        <w:t xml:space="preserve"> </w:t>
      </w:r>
      <w:r w:rsidR="00051E39">
        <w:rPr>
          <w:rFonts w:ascii="Aptos" w:eastAsia="Aptos" w:hAnsi="Aptos" w:cs="Arial"/>
          <w:kern w:val="2"/>
          <w:sz w:val="22"/>
          <w:szCs w:val="22"/>
          <w14:ligatures w14:val="standardContextual"/>
        </w:rPr>
        <w:t>Although less pronounced than in most regions, the Americas’ u</w:t>
      </w:r>
      <w:r w:rsidRPr="00EC7AAE">
        <w:rPr>
          <w:rFonts w:ascii="Aptos" w:eastAsia="Aptos" w:hAnsi="Aptos" w:cs="Arial"/>
          <w:kern w:val="2"/>
          <w:sz w:val="22"/>
          <w:szCs w:val="22"/>
          <w14:ligatures w14:val="standardContextual"/>
        </w:rPr>
        <w:t xml:space="preserve">rban-rural </w:t>
      </w:r>
      <w:r w:rsidR="00051E39">
        <w:rPr>
          <w:rFonts w:ascii="Aptos" w:eastAsia="Aptos" w:hAnsi="Aptos" w:cs="Arial"/>
          <w:kern w:val="2"/>
          <w:sz w:val="22"/>
          <w:szCs w:val="22"/>
          <w14:ligatures w14:val="standardContextual"/>
        </w:rPr>
        <w:t xml:space="preserve">digital </w:t>
      </w:r>
      <w:r w:rsidRPr="00EC7AAE">
        <w:rPr>
          <w:rFonts w:ascii="Aptos" w:eastAsia="Aptos" w:hAnsi="Aptos" w:cs="Arial"/>
          <w:kern w:val="2"/>
          <w:sz w:val="22"/>
          <w:szCs w:val="22"/>
          <w14:ligatures w14:val="standardContextual"/>
        </w:rPr>
        <w:t>gap</w:t>
      </w:r>
      <w:r w:rsidR="00051E39">
        <w:rPr>
          <w:rFonts w:ascii="Aptos" w:eastAsia="Aptos" w:hAnsi="Aptos" w:cs="Arial"/>
          <w:kern w:val="2"/>
          <w:sz w:val="22"/>
          <w:szCs w:val="22"/>
          <w14:ligatures w14:val="standardContextual"/>
        </w:rPr>
        <w:t xml:space="preserve"> is significant</w:t>
      </w:r>
      <w:r w:rsidR="00417828">
        <w:rPr>
          <w:rFonts w:ascii="Aptos" w:eastAsia="Aptos" w:hAnsi="Aptos" w:cs="Arial"/>
          <w:kern w:val="2"/>
          <w:sz w:val="22"/>
          <w:szCs w:val="22"/>
          <w14:ligatures w14:val="standardContextual"/>
        </w:rPr>
        <w:t xml:space="preserve">. For instance, </w:t>
      </w:r>
      <w:r w:rsidR="009C2EEB" w:rsidRPr="00EC7AAE">
        <w:rPr>
          <w:rFonts w:ascii="Aptos" w:eastAsia="Aptos" w:hAnsi="Aptos" w:cs="Arial"/>
          <w:kern w:val="2"/>
          <w:sz w:val="22"/>
          <w:szCs w:val="22"/>
          <w14:ligatures w14:val="standardContextual"/>
        </w:rPr>
        <w:t>90</w:t>
      </w:r>
      <w:r w:rsidR="009C2EEB">
        <w:rPr>
          <w:rFonts w:ascii="Aptos" w:eastAsia="Aptos" w:hAnsi="Aptos" w:cs="Arial"/>
          <w:kern w:val="2"/>
          <w:sz w:val="22"/>
          <w:szCs w:val="22"/>
          <w14:ligatures w14:val="standardContextual"/>
        </w:rPr>
        <w:t xml:space="preserve"> per cent </w:t>
      </w:r>
      <w:r w:rsidR="009C2EEB" w:rsidRPr="00EC7AAE">
        <w:rPr>
          <w:rFonts w:ascii="Aptos" w:eastAsia="Aptos" w:hAnsi="Aptos" w:cs="Arial"/>
          <w:kern w:val="2"/>
          <w:sz w:val="22"/>
          <w:szCs w:val="22"/>
          <w14:ligatures w14:val="standardContextual"/>
        </w:rPr>
        <w:t xml:space="preserve">of </w:t>
      </w:r>
      <w:r w:rsidR="003F4BE7">
        <w:rPr>
          <w:rFonts w:ascii="Aptos" w:eastAsia="Aptos" w:hAnsi="Aptos" w:cs="Arial"/>
          <w:kern w:val="2"/>
          <w:sz w:val="22"/>
          <w:szCs w:val="22"/>
          <w14:ligatures w14:val="standardContextual"/>
        </w:rPr>
        <w:t xml:space="preserve">urban </w:t>
      </w:r>
      <w:r w:rsidR="009C2EEB" w:rsidRPr="00EC7AAE">
        <w:rPr>
          <w:rFonts w:ascii="Aptos" w:eastAsia="Aptos" w:hAnsi="Aptos" w:cs="Arial"/>
          <w:kern w:val="2"/>
          <w:sz w:val="22"/>
          <w:szCs w:val="22"/>
          <w14:ligatures w14:val="standardContextual"/>
        </w:rPr>
        <w:t xml:space="preserve">residents </w:t>
      </w:r>
      <w:r w:rsidR="00BC00B1">
        <w:rPr>
          <w:rFonts w:ascii="Aptos" w:eastAsia="Aptos" w:hAnsi="Aptos" w:cs="Arial"/>
          <w:kern w:val="2"/>
          <w:sz w:val="22"/>
          <w:szCs w:val="22"/>
          <w14:ligatures w14:val="standardContextual"/>
        </w:rPr>
        <w:t xml:space="preserve">were </w:t>
      </w:r>
      <w:r w:rsidR="009C2EEB" w:rsidRPr="00EC7AAE">
        <w:rPr>
          <w:rFonts w:ascii="Aptos" w:eastAsia="Aptos" w:hAnsi="Aptos" w:cs="Arial"/>
          <w:kern w:val="2"/>
          <w:sz w:val="22"/>
          <w:szCs w:val="22"/>
          <w14:ligatures w14:val="standardContextual"/>
        </w:rPr>
        <w:t xml:space="preserve">online in 2024, </w:t>
      </w:r>
      <w:r w:rsidR="009C2EEB">
        <w:rPr>
          <w:rFonts w:ascii="Aptos" w:eastAsia="Aptos" w:hAnsi="Aptos" w:cs="Arial"/>
          <w:kern w:val="2"/>
          <w:sz w:val="22"/>
          <w:szCs w:val="22"/>
          <w14:ligatures w14:val="standardContextual"/>
        </w:rPr>
        <w:t xml:space="preserve">compared with </w:t>
      </w:r>
      <w:r w:rsidR="009C2EEB" w:rsidRPr="00EC7AAE">
        <w:rPr>
          <w:rFonts w:ascii="Aptos" w:eastAsia="Aptos" w:hAnsi="Aptos" w:cs="Arial"/>
          <w:kern w:val="2"/>
          <w:sz w:val="22"/>
          <w:szCs w:val="22"/>
          <w14:ligatures w14:val="standardContextual"/>
        </w:rPr>
        <w:t>74</w:t>
      </w:r>
      <w:r w:rsidR="009C2EEB">
        <w:rPr>
          <w:rFonts w:ascii="Aptos" w:eastAsia="Aptos" w:hAnsi="Aptos" w:cs="Arial"/>
          <w:kern w:val="2"/>
          <w:sz w:val="22"/>
          <w:szCs w:val="22"/>
          <w14:ligatures w14:val="standardContextual"/>
        </w:rPr>
        <w:t xml:space="preserve"> per cent</w:t>
      </w:r>
      <w:r w:rsidR="009C2EEB" w:rsidRPr="00EC7AAE">
        <w:rPr>
          <w:rFonts w:ascii="Aptos" w:eastAsia="Aptos" w:hAnsi="Aptos" w:cs="Arial"/>
          <w:kern w:val="2"/>
          <w:sz w:val="22"/>
          <w:szCs w:val="22"/>
          <w14:ligatures w14:val="standardContextual"/>
        </w:rPr>
        <w:t xml:space="preserve"> </w:t>
      </w:r>
      <w:r w:rsidR="003F4BE7">
        <w:rPr>
          <w:rFonts w:ascii="Aptos" w:eastAsia="Aptos" w:hAnsi="Aptos" w:cs="Arial"/>
          <w:kern w:val="2"/>
          <w:sz w:val="22"/>
          <w:szCs w:val="22"/>
          <w14:ligatures w14:val="standardContextual"/>
        </w:rPr>
        <w:t xml:space="preserve">of rural </w:t>
      </w:r>
      <w:r w:rsidR="009C2EEB" w:rsidRPr="00EC7AAE">
        <w:rPr>
          <w:rFonts w:ascii="Aptos" w:eastAsia="Aptos" w:hAnsi="Aptos" w:cs="Arial"/>
          <w:kern w:val="2"/>
          <w:sz w:val="22"/>
          <w:szCs w:val="22"/>
          <w14:ligatures w14:val="standardContextual"/>
        </w:rPr>
        <w:t>areas</w:t>
      </w:r>
      <w:r w:rsidR="009C2EEB">
        <w:rPr>
          <w:rFonts w:ascii="Aptos" w:eastAsia="Aptos" w:hAnsi="Aptos" w:cs="Arial"/>
          <w:kern w:val="2"/>
          <w:sz w:val="22"/>
          <w:szCs w:val="22"/>
          <w14:ligatures w14:val="standardContextual"/>
        </w:rPr>
        <w:t xml:space="preserve">. </w:t>
      </w:r>
      <w:r w:rsidR="00B27C8D" w:rsidRPr="00563970">
        <w:rPr>
          <w:rFonts w:ascii="Aptos" w:eastAsia="Aptos" w:hAnsi="Aptos" w:cs="Arial"/>
          <w:kern w:val="2"/>
          <w:sz w:val="22"/>
          <w:szCs w:val="22"/>
          <w14:ligatures w14:val="standardContextual"/>
        </w:rPr>
        <w:t xml:space="preserve">And </w:t>
      </w:r>
      <w:r w:rsidRPr="00563970">
        <w:rPr>
          <w:rFonts w:ascii="Aptos" w:eastAsia="Aptos" w:hAnsi="Aptos" w:cs="Arial"/>
          <w:kern w:val="2"/>
          <w:sz w:val="22"/>
          <w:szCs w:val="22"/>
          <w14:ligatures w14:val="standardContextual"/>
        </w:rPr>
        <w:t xml:space="preserve">while </w:t>
      </w:r>
      <w:r w:rsidR="007F4DE4" w:rsidRPr="00563970">
        <w:rPr>
          <w:rFonts w:ascii="Aptos" w:eastAsia="Aptos" w:hAnsi="Aptos" w:cs="Arial"/>
          <w:kern w:val="2"/>
          <w:sz w:val="22"/>
          <w:szCs w:val="22"/>
          <w14:ligatures w14:val="standardContextual"/>
        </w:rPr>
        <w:t xml:space="preserve">5G </w:t>
      </w:r>
      <w:r w:rsidR="0023155A">
        <w:rPr>
          <w:rFonts w:ascii="Aptos" w:eastAsia="Aptos" w:hAnsi="Aptos" w:cs="Arial"/>
          <w:kern w:val="2"/>
          <w:sz w:val="22"/>
          <w:szCs w:val="22"/>
          <w14:ligatures w14:val="standardContextual"/>
        </w:rPr>
        <w:t xml:space="preserve">covered </w:t>
      </w:r>
      <w:r w:rsidR="00DD0F20">
        <w:rPr>
          <w:rFonts w:ascii="Aptos" w:eastAsia="Aptos" w:hAnsi="Aptos" w:cs="Arial"/>
          <w:kern w:val="2"/>
          <w:sz w:val="22"/>
          <w:szCs w:val="22"/>
          <w14:ligatures w14:val="standardContextual"/>
        </w:rPr>
        <w:t xml:space="preserve">70 per cent of </w:t>
      </w:r>
      <w:r w:rsidR="00EF1243">
        <w:rPr>
          <w:rFonts w:ascii="Aptos" w:eastAsia="Aptos" w:hAnsi="Aptos" w:cs="Arial"/>
          <w:kern w:val="2"/>
          <w:sz w:val="22"/>
          <w:szCs w:val="22"/>
          <w14:ligatures w14:val="standardContextual"/>
        </w:rPr>
        <w:t xml:space="preserve">the population in </w:t>
      </w:r>
      <w:r w:rsidR="00DD0F20">
        <w:rPr>
          <w:rFonts w:ascii="Aptos" w:eastAsia="Aptos" w:hAnsi="Aptos" w:cs="Arial"/>
          <w:kern w:val="2"/>
          <w:sz w:val="22"/>
          <w:szCs w:val="22"/>
          <w14:ligatures w14:val="standardContextual"/>
        </w:rPr>
        <w:t xml:space="preserve">urban </w:t>
      </w:r>
      <w:r w:rsidR="00EF1243">
        <w:rPr>
          <w:rFonts w:ascii="Aptos" w:eastAsia="Aptos" w:hAnsi="Aptos" w:cs="Arial"/>
          <w:kern w:val="2"/>
          <w:sz w:val="22"/>
          <w:szCs w:val="22"/>
          <w14:ligatures w14:val="standardContextual"/>
        </w:rPr>
        <w:t>areas</w:t>
      </w:r>
      <w:r w:rsidR="007F4DE4">
        <w:rPr>
          <w:rFonts w:ascii="Aptos" w:eastAsia="Aptos" w:hAnsi="Aptos" w:cs="Arial"/>
          <w:kern w:val="2"/>
          <w:sz w:val="22"/>
          <w:szCs w:val="22"/>
          <w14:ligatures w14:val="standardContextual"/>
        </w:rPr>
        <w:t xml:space="preserve">, it only </w:t>
      </w:r>
      <w:r w:rsidR="009B0906">
        <w:rPr>
          <w:rFonts w:ascii="Aptos" w:eastAsia="Aptos" w:hAnsi="Aptos" w:cs="Arial"/>
          <w:kern w:val="2"/>
          <w:sz w:val="22"/>
          <w:szCs w:val="22"/>
          <w14:ligatures w14:val="standardContextual"/>
        </w:rPr>
        <w:t>cover</w:t>
      </w:r>
      <w:r w:rsidR="00BC00B1">
        <w:rPr>
          <w:rFonts w:ascii="Aptos" w:eastAsia="Aptos" w:hAnsi="Aptos" w:cs="Arial"/>
          <w:kern w:val="2"/>
          <w:sz w:val="22"/>
          <w:szCs w:val="22"/>
          <w14:ligatures w14:val="standardContextual"/>
        </w:rPr>
        <w:t xml:space="preserve">ed </w:t>
      </w:r>
      <w:r w:rsidR="005F6567">
        <w:rPr>
          <w:rFonts w:ascii="Aptos" w:eastAsia="Aptos" w:hAnsi="Aptos" w:cs="Arial"/>
          <w:kern w:val="2"/>
          <w:sz w:val="22"/>
          <w:szCs w:val="22"/>
          <w14:ligatures w14:val="standardContextual"/>
        </w:rPr>
        <w:t xml:space="preserve">31 per cent </w:t>
      </w:r>
      <w:r w:rsidR="009B0906">
        <w:rPr>
          <w:rFonts w:ascii="Aptos" w:eastAsia="Aptos" w:hAnsi="Aptos" w:cs="Arial"/>
          <w:kern w:val="2"/>
          <w:sz w:val="22"/>
          <w:szCs w:val="22"/>
          <w14:ligatures w14:val="standardContextual"/>
        </w:rPr>
        <w:t xml:space="preserve">of </w:t>
      </w:r>
      <w:r w:rsidR="00FA6F4D">
        <w:rPr>
          <w:rFonts w:ascii="Aptos" w:eastAsia="Aptos" w:hAnsi="Aptos" w:cs="Arial"/>
          <w:kern w:val="2"/>
          <w:sz w:val="22"/>
          <w:szCs w:val="22"/>
          <w14:ligatures w14:val="standardContextual"/>
        </w:rPr>
        <w:t xml:space="preserve">rural dwellers. </w:t>
      </w:r>
      <w:r w:rsidR="00361C84">
        <w:rPr>
          <w:rFonts w:ascii="Aptos" w:eastAsia="Aptos" w:hAnsi="Aptos" w:cs="Arial"/>
          <w:kern w:val="2"/>
          <w:sz w:val="22"/>
          <w:szCs w:val="22"/>
          <w14:ligatures w14:val="standardContextual"/>
        </w:rPr>
        <w:t>T</w:t>
      </w:r>
      <w:r w:rsidR="00BC00B1" w:rsidRPr="00563970">
        <w:rPr>
          <w:rFonts w:ascii="Aptos" w:eastAsia="Aptos" w:hAnsi="Aptos" w:cs="Arial"/>
          <w:kern w:val="2"/>
          <w:sz w:val="22"/>
          <w:szCs w:val="22"/>
          <w14:ligatures w14:val="standardContextual"/>
        </w:rPr>
        <w:t xml:space="preserve">he </w:t>
      </w:r>
      <w:r w:rsidR="00BC00B1">
        <w:rPr>
          <w:rFonts w:ascii="Aptos" w:eastAsia="Aptos" w:hAnsi="Aptos" w:cs="Arial"/>
          <w:kern w:val="2"/>
          <w:sz w:val="22"/>
          <w:szCs w:val="22"/>
          <w14:ligatures w14:val="standardContextual"/>
        </w:rPr>
        <w:t xml:space="preserve">technology </w:t>
      </w:r>
      <w:r w:rsidR="004D3F56">
        <w:rPr>
          <w:rFonts w:ascii="Aptos" w:eastAsia="Aptos" w:hAnsi="Aptos" w:cs="Arial"/>
          <w:kern w:val="2"/>
          <w:sz w:val="22"/>
          <w:szCs w:val="22"/>
          <w14:ligatures w14:val="standardContextual"/>
        </w:rPr>
        <w:t>remained</w:t>
      </w:r>
      <w:r w:rsidR="00BC00B1">
        <w:rPr>
          <w:rFonts w:ascii="Aptos" w:eastAsia="Aptos" w:hAnsi="Aptos" w:cs="Arial"/>
          <w:kern w:val="2"/>
          <w:sz w:val="22"/>
          <w:szCs w:val="22"/>
          <w14:ligatures w14:val="standardContextual"/>
        </w:rPr>
        <w:t xml:space="preserve"> </w:t>
      </w:r>
      <w:r w:rsidRPr="00EC7AAE">
        <w:rPr>
          <w:rFonts w:ascii="Aptos" w:eastAsia="Aptos" w:hAnsi="Aptos" w:cs="Arial"/>
          <w:kern w:val="2"/>
          <w:sz w:val="22"/>
          <w:szCs w:val="22"/>
          <w14:ligatures w14:val="standardContextual"/>
        </w:rPr>
        <w:t xml:space="preserve">absent in 26 out of 35 </w:t>
      </w:r>
      <w:r w:rsidR="00FA6F4D">
        <w:rPr>
          <w:rFonts w:ascii="Aptos" w:eastAsia="Aptos" w:hAnsi="Aptos" w:cs="Arial"/>
          <w:kern w:val="2"/>
          <w:sz w:val="22"/>
          <w:szCs w:val="22"/>
          <w14:ligatures w14:val="standardContextual"/>
        </w:rPr>
        <w:t>countries</w:t>
      </w:r>
      <w:r w:rsidRPr="00EC7AAE">
        <w:rPr>
          <w:rFonts w:ascii="Aptos" w:eastAsia="Aptos" w:hAnsi="Aptos" w:cs="Arial"/>
          <w:kern w:val="2"/>
          <w:sz w:val="22"/>
          <w:szCs w:val="22"/>
          <w14:ligatures w14:val="standardContextual"/>
        </w:rPr>
        <w:t>.</w:t>
      </w:r>
    </w:p>
    <w:p w14:paraId="43D353CC" w14:textId="4C6BD104" w:rsidR="00584581" w:rsidRDefault="00584581" w:rsidP="000011A3">
      <w:pPr>
        <w:rPr>
          <w:rFonts w:ascii="Aptos" w:eastAsia="Aptos" w:hAnsi="Aptos" w:cs="Arial"/>
          <w:kern w:val="2"/>
          <w:sz w:val="22"/>
          <w:szCs w:val="22"/>
          <w14:ligatures w14:val="standardContextual"/>
        </w:rPr>
      </w:pPr>
      <w:r w:rsidRPr="00584581">
        <w:rPr>
          <w:rFonts w:ascii="Aptos" w:eastAsia="Aptos" w:hAnsi="Aptos" w:cs="Arial"/>
          <w:b/>
          <w:bCs/>
          <w:kern w:val="2"/>
          <w:sz w:val="22"/>
          <w:szCs w:val="22"/>
          <w14:ligatures w14:val="standardContextual"/>
        </w:rPr>
        <w:t>Affordability remains a key barrier to universal connectivity.</w:t>
      </w:r>
      <w:r w:rsidRPr="00584581">
        <w:rPr>
          <w:rFonts w:ascii="Aptos" w:eastAsia="Aptos" w:hAnsi="Aptos" w:cs="Arial"/>
          <w:kern w:val="2"/>
          <w:sz w:val="22"/>
          <w:szCs w:val="22"/>
          <w14:ligatures w14:val="standardContextual"/>
        </w:rPr>
        <w:t xml:space="preserve"> In 2024, the median price of an entry-level mobile broadband plan in the Americas was 1.8</w:t>
      </w:r>
      <w:r>
        <w:rPr>
          <w:rFonts w:ascii="Aptos" w:eastAsia="Aptos" w:hAnsi="Aptos" w:cs="Arial"/>
          <w:kern w:val="2"/>
          <w:sz w:val="22"/>
          <w:szCs w:val="22"/>
          <w14:ligatures w14:val="standardContextual"/>
        </w:rPr>
        <w:t xml:space="preserve"> per cent</w:t>
      </w:r>
      <w:r w:rsidRPr="00584581">
        <w:rPr>
          <w:rFonts w:ascii="Aptos" w:eastAsia="Aptos" w:hAnsi="Aptos" w:cs="Arial"/>
          <w:kern w:val="2"/>
          <w:sz w:val="22"/>
          <w:szCs w:val="22"/>
          <w14:ligatures w14:val="standardContextual"/>
        </w:rPr>
        <w:t xml:space="preserve"> of gross national income (GNI) per capita, </w:t>
      </w:r>
      <w:r w:rsidR="003079AC">
        <w:rPr>
          <w:rFonts w:ascii="Aptos" w:eastAsia="Aptos" w:hAnsi="Aptos" w:cs="Arial"/>
          <w:kern w:val="2"/>
          <w:sz w:val="22"/>
          <w:szCs w:val="22"/>
          <w14:ligatures w14:val="standardContextual"/>
        </w:rPr>
        <w:t xml:space="preserve">just </w:t>
      </w:r>
      <w:r w:rsidRPr="00584581">
        <w:rPr>
          <w:rFonts w:ascii="Aptos" w:eastAsia="Aptos" w:hAnsi="Aptos" w:cs="Arial"/>
          <w:kern w:val="2"/>
          <w:sz w:val="22"/>
          <w:szCs w:val="22"/>
          <w14:ligatures w14:val="standardContextual"/>
        </w:rPr>
        <w:t>below the UN Broadband Commission’s 2</w:t>
      </w:r>
      <w:r>
        <w:rPr>
          <w:rFonts w:ascii="Aptos" w:eastAsia="Aptos" w:hAnsi="Aptos" w:cs="Arial"/>
          <w:kern w:val="2"/>
          <w:sz w:val="22"/>
          <w:szCs w:val="22"/>
          <w14:ligatures w14:val="standardContextual"/>
        </w:rPr>
        <w:t xml:space="preserve"> per cent </w:t>
      </w:r>
      <w:r w:rsidRPr="00584581">
        <w:rPr>
          <w:rFonts w:ascii="Aptos" w:eastAsia="Aptos" w:hAnsi="Aptos" w:cs="Arial"/>
          <w:kern w:val="2"/>
          <w:sz w:val="22"/>
          <w:szCs w:val="22"/>
          <w14:ligatures w14:val="standardContextual"/>
        </w:rPr>
        <w:t>affordability target</w:t>
      </w:r>
      <w:r w:rsidR="003079AC">
        <w:rPr>
          <w:rFonts w:ascii="Aptos" w:eastAsia="Aptos" w:hAnsi="Aptos" w:cs="Arial"/>
          <w:kern w:val="2"/>
          <w:sz w:val="22"/>
          <w:szCs w:val="22"/>
          <w14:ligatures w14:val="standardContextual"/>
        </w:rPr>
        <w:t>, but</w:t>
      </w:r>
      <w:r w:rsidRPr="00584581">
        <w:rPr>
          <w:rFonts w:ascii="Aptos" w:eastAsia="Aptos" w:hAnsi="Aptos" w:cs="Arial"/>
          <w:kern w:val="2"/>
          <w:sz w:val="22"/>
          <w:szCs w:val="22"/>
          <w14:ligatures w14:val="standardContextual"/>
        </w:rPr>
        <w:t xml:space="preserve"> well </w:t>
      </w:r>
      <w:r w:rsidR="00C41569">
        <w:rPr>
          <w:rFonts w:ascii="Aptos" w:eastAsia="Aptos" w:hAnsi="Aptos" w:cs="Arial"/>
          <w:kern w:val="2"/>
          <w:sz w:val="22"/>
          <w:szCs w:val="22"/>
          <w14:ligatures w14:val="standardContextual"/>
        </w:rPr>
        <w:t xml:space="preserve">above </w:t>
      </w:r>
      <w:r w:rsidR="000B635A">
        <w:rPr>
          <w:rFonts w:ascii="Aptos" w:eastAsia="Aptos" w:hAnsi="Aptos" w:cs="Arial"/>
          <w:kern w:val="2"/>
          <w:sz w:val="22"/>
          <w:szCs w:val="22"/>
          <w14:ligatures w14:val="standardContextual"/>
        </w:rPr>
        <w:t>the global average (1.1 per cent)</w:t>
      </w:r>
      <w:r w:rsidRPr="00563970">
        <w:rPr>
          <w:rFonts w:ascii="Aptos" w:eastAsia="Aptos" w:hAnsi="Aptos" w:cs="Arial"/>
          <w:kern w:val="2"/>
          <w:sz w:val="22"/>
          <w:szCs w:val="22"/>
          <w14:ligatures w14:val="standardContextual"/>
        </w:rPr>
        <w:t xml:space="preserve">. </w:t>
      </w:r>
      <w:r w:rsidR="000B635A">
        <w:rPr>
          <w:rFonts w:ascii="Aptos" w:eastAsia="Aptos" w:hAnsi="Aptos" w:cs="Arial"/>
          <w:kern w:val="2"/>
          <w:sz w:val="22"/>
          <w:szCs w:val="22"/>
          <w14:ligatures w14:val="standardContextual"/>
        </w:rPr>
        <w:t>I</w:t>
      </w:r>
      <w:r w:rsidRPr="00563970">
        <w:rPr>
          <w:rFonts w:ascii="Aptos" w:eastAsia="Aptos" w:hAnsi="Aptos" w:cs="Arial"/>
          <w:kern w:val="2"/>
          <w:sz w:val="22"/>
          <w:szCs w:val="22"/>
          <w14:ligatures w14:val="standardContextual"/>
        </w:rPr>
        <w:t>n</w:t>
      </w:r>
      <w:r w:rsidRPr="00584581">
        <w:rPr>
          <w:rFonts w:ascii="Aptos" w:eastAsia="Aptos" w:hAnsi="Aptos" w:cs="Arial"/>
          <w:kern w:val="2"/>
          <w:sz w:val="22"/>
          <w:szCs w:val="22"/>
          <w14:ligatures w14:val="standardContextual"/>
        </w:rPr>
        <w:t xml:space="preserve"> 16 out of 35 countries, costs still exceed </w:t>
      </w:r>
      <w:r w:rsidR="000B635A">
        <w:rPr>
          <w:rFonts w:ascii="Aptos" w:eastAsia="Aptos" w:hAnsi="Aptos" w:cs="Arial"/>
          <w:kern w:val="2"/>
          <w:sz w:val="22"/>
          <w:szCs w:val="22"/>
          <w14:ligatures w14:val="standardContextual"/>
        </w:rPr>
        <w:t>this</w:t>
      </w:r>
      <w:r w:rsidRPr="00584581">
        <w:rPr>
          <w:rFonts w:ascii="Aptos" w:eastAsia="Aptos" w:hAnsi="Aptos" w:cs="Arial"/>
          <w:kern w:val="2"/>
          <w:sz w:val="22"/>
          <w:szCs w:val="22"/>
          <w14:ligatures w14:val="standardContextual"/>
        </w:rPr>
        <w:t xml:space="preserve"> target. Fixed broadband </w:t>
      </w:r>
      <w:r>
        <w:rPr>
          <w:rFonts w:ascii="Aptos" w:eastAsia="Aptos" w:hAnsi="Aptos" w:cs="Arial"/>
          <w:kern w:val="2"/>
          <w:sz w:val="22"/>
          <w:szCs w:val="22"/>
          <w14:ligatures w14:val="standardContextual"/>
        </w:rPr>
        <w:t xml:space="preserve">is even </w:t>
      </w:r>
      <w:r w:rsidRPr="00584581">
        <w:rPr>
          <w:rFonts w:ascii="Aptos" w:eastAsia="Aptos" w:hAnsi="Aptos" w:cs="Arial"/>
          <w:kern w:val="2"/>
          <w:sz w:val="22"/>
          <w:szCs w:val="22"/>
          <w14:ligatures w14:val="standardContextual"/>
        </w:rPr>
        <w:t>less affordable, with a median price of 3.2</w:t>
      </w:r>
      <w:r>
        <w:rPr>
          <w:rFonts w:ascii="Aptos" w:eastAsia="Aptos" w:hAnsi="Aptos" w:cs="Arial"/>
          <w:kern w:val="2"/>
          <w:sz w:val="22"/>
          <w:szCs w:val="22"/>
          <w14:ligatures w14:val="standardContextual"/>
        </w:rPr>
        <w:t xml:space="preserve"> per cent</w:t>
      </w:r>
      <w:r w:rsidRPr="00584581">
        <w:rPr>
          <w:rFonts w:ascii="Aptos" w:eastAsia="Aptos" w:hAnsi="Aptos" w:cs="Arial"/>
          <w:kern w:val="2"/>
          <w:sz w:val="22"/>
          <w:szCs w:val="22"/>
          <w14:ligatures w14:val="standardContextual"/>
        </w:rPr>
        <w:t xml:space="preserve"> of GNI per capita</w:t>
      </w:r>
      <w:r w:rsidR="00A2446A">
        <w:rPr>
          <w:rFonts w:ascii="Aptos" w:eastAsia="Aptos" w:hAnsi="Aptos" w:cs="Arial"/>
          <w:kern w:val="2"/>
          <w:sz w:val="22"/>
          <w:szCs w:val="22"/>
          <w14:ligatures w14:val="standardContextual"/>
        </w:rPr>
        <w:t>, with o</w:t>
      </w:r>
      <w:r w:rsidRPr="00563970">
        <w:rPr>
          <w:rFonts w:ascii="Aptos" w:eastAsia="Aptos" w:hAnsi="Aptos" w:cs="Arial"/>
          <w:kern w:val="2"/>
          <w:sz w:val="22"/>
          <w:szCs w:val="22"/>
          <w14:ligatures w14:val="standardContextual"/>
        </w:rPr>
        <w:t xml:space="preserve">nly five countries </w:t>
      </w:r>
      <w:r w:rsidR="00A2446A">
        <w:rPr>
          <w:rFonts w:ascii="Aptos" w:eastAsia="Aptos" w:hAnsi="Aptos" w:cs="Arial"/>
          <w:kern w:val="2"/>
          <w:sz w:val="22"/>
          <w:szCs w:val="22"/>
          <w14:ligatures w14:val="standardContextual"/>
        </w:rPr>
        <w:t xml:space="preserve">meeting </w:t>
      </w:r>
      <w:r w:rsidRPr="00563970">
        <w:rPr>
          <w:rFonts w:ascii="Aptos" w:eastAsia="Aptos" w:hAnsi="Aptos" w:cs="Arial"/>
          <w:kern w:val="2"/>
          <w:sz w:val="22"/>
          <w:szCs w:val="22"/>
          <w14:ligatures w14:val="standardContextual"/>
        </w:rPr>
        <w:t xml:space="preserve">the </w:t>
      </w:r>
      <w:r w:rsidR="00A2446A">
        <w:rPr>
          <w:rFonts w:ascii="Aptos" w:eastAsia="Aptos" w:hAnsi="Aptos" w:cs="Arial"/>
          <w:kern w:val="2"/>
          <w:sz w:val="22"/>
          <w:szCs w:val="22"/>
          <w14:ligatures w14:val="standardContextual"/>
        </w:rPr>
        <w:t>target</w:t>
      </w:r>
      <w:r w:rsidRPr="00563970">
        <w:rPr>
          <w:rFonts w:ascii="Aptos" w:eastAsia="Aptos" w:hAnsi="Aptos" w:cs="Arial"/>
          <w:kern w:val="2"/>
          <w:sz w:val="22"/>
          <w:szCs w:val="22"/>
          <w14:ligatures w14:val="standardContextual"/>
        </w:rPr>
        <w:t>.</w:t>
      </w:r>
    </w:p>
    <w:p w14:paraId="69961431" w14:textId="42933E4F" w:rsidR="00B4787F" w:rsidRDefault="00073916" w:rsidP="000011A3">
      <w:pPr>
        <w:rPr>
          <w:rFonts w:ascii="Aptos" w:eastAsia="Aptos" w:hAnsi="Aptos" w:cs="Arial"/>
          <w:kern w:val="2"/>
          <w:sz w:val="22"/>
          <w:szCs w:val="22"/>
          <w14:ligatures w14:val="standardContextual"/>
        </w:rPr>
      </w:pPr>
      <w:r w:rsidRPr="00073916">
        <w:rPr>
          <w:rFonts w:ascii="Aptos" w:eastAsia="Aptos" w:hAnsi="Aptos" w:cs="Arial"/>
          <w:b/>
          <w:bCs/>
          <w:kern w:val="2"/>
          <w:sz w:val="22"/>
          <w:szCs w:val="22"/>
          <w14:ligatures w14:val="standardContextual"/>
        </w:rPr>
        <w:t>Digital skills are essential for ensuring that connectivity translates into opportunit</w:t>
      </w:r>
      <w:r w:rsidR="00233755">
        <w:rPr>
          <w:rFonts w:ascii="Aptos" w:eastAsia="Aptos" w:hAnsi="Aptos" w:cs="Arial"/>
          <w:b/>
          <w:bCs/>
          <w:kern w:val="2"/>
          <w:sz w:val="22"/>
          <w:szCs w:val="22"/>
          <w14:ligatures w14:val="standardContextual"/>
        </w:rPr>
        <w:t>ies</w:t>
      </w:r>
      <w:r w:rsidRPr="00073916">
        <w:rPr>
          <w:rFonts w:ascii="Aptos" w:eastAsia="Aptos" w:hAnsi="Aptos" w:cs="Arial"/>
          <w:b/>
          <w:bCs/>
          <w:kern w:val="2"/>
          <w:sz w:val="22"/>
          <w:szCs w:val="22"/>
          <w14:ligatures w14:val="standardContextual"/>
        </w:rPr>
        <w:t>.</w:t>
      </w:r>
      <w:r w:rsidRPr="00073916">
        <w:rPr>
          <w:rFonts w:ascii="Aptos" w:eastAsia="Aptos" w:hAnsi="Aptos" w:cs="Arial"/>
          <w:kern w:val="2"/>
          <w:sz w:val="22"/>
          <w:szCs w:val="22"/>
          <w14:ligatures w14:val="standardContextual"/>
        </w:rPr>
        <w:t xml:space="preserve"> </w:t>
      </w:r>
      <w:r w:rsidR="00820D85">
        <w:rPr>
          <w:rFonts w:ascii="Aptos" w:eastAsia="Aptos" w:hAnsi="Aptos" w:cs="Arial"/>
          <w:kern w:val="2"/>
          <w:sz w:val="22"/>
          <w:szCs w:val="22"/>
          <w14:ligatures w14:val="standardContextual"/>
        </w:rPr>
        <w:t xml:space="preserve">While </w:t>
      </w:r>
      <w:r w:rsidR="00820D85" w:rsidRPr="00624E7B">
        <w:rPr>
          <w:rFonts w:ascii="Aptos" w:eastAsia="Aptos" w:hAnsi="Aptos" w:cs="Arial"/>
          <w:kern w:val="2"/>
          <w:sz w:val="22"/>
          <w:szCs w:val="22"/>
          <w14:ligatures w14:val="standardContextual"/>
        </w:rPr>
        <w:t>Internet</w:t>
      </w:r>
      <w:r w:rsidR="00820D85">
        <w:rPr>
          <w:rFonts w:ascii="Aptos" w:eastAsia="Aptos" w:hAnsi="Aptos" w:cs="Arial"/>
          <w:kern w:val="2"/>
          <w:sz w:val="22"/>
          <w:szCs w:val="22"/>
          <w14:ligatures w14:val="standardContextual"/>
        </w:rPr>
        <w:t xml:space="preserve"> adoption in the Americas </w:t>
      </w:r>
      <w:r w:rsidR="00820D85" w:rsidRPr="00624E7B">
        <w:rPr>
          <w:rFonts w:ascii="Aptos" w:eastAsia="Aptos" w:hAnsi="Aptos" w:cs="Arial"/>
          <w:kern w:val="2"/>
          <w:sz w:val="22"/>
          <w:szCs w:val="22"/>
          <w14:ligatures w14:val="standardContextual"/>
        </w:rPr>
        <w:t>is high</w:t>
      </w:r>
      <w:r w:rsidR="00820D85">
        <w:rPr>
          <w:rFonts w:ascii="Aptos" w:eastAsia="Aptos" w:hAnsi="Aptos" w:cs="Arial"/>
          <w:kern w:val="2"/>
          <w:sz w:val="22"/>
          <w:szCs w:val="22"/>
          <w14:ligatures w14:val="standardContextual"/>
        </w:rPr>
        <w:t xml:space="preserve">, </w:t>
      </w:r>
      <w:r w:rsidR="00FC0DB8">
        <w:rPr>
          <w:rFonts w:ascii="Aptos" w:eastAsia="Aptos" w:hAnsi="Aptos" w:cs="Arial"/>
          <w:kern w:val="2"/>
          <w:sz w:val="22"/>
          <w:szCs w:val="22"/>
          <w14:ligatures w14:val="standardContextual"/>
        </w:rPr>
        <w:t xml:space="preserve">data </w:t>
      </w:r>
      <w:r w:rsidR="0070329E">
        <w:rPr>
          <w:rFonts w:ascii="Aptos" w:eastAsia="Aptos" w:hAnsi="Aptos" w:cs="Arial"/>
          <w:kern w:val="2"/>
          <w:sz w:val="22"/>
          <w:szCs w:val="22"/>
          <w14:ligatures w14:val="standardContextual"/>
        </w:rPr>
        <w:t xml:space="preserve">covering </w:t>
      </w:r>
      <w:r w:rsidR="008F0D27">
        <w:rPr>
          <w:rFonts w:ascii="Aptos" w:eastAsia="Aptos" w:hAnsi="Aptos" w:cs="Arial"/>
          <w:kern w:val="2"/>
          <w:sz w:val="22"/>
          <w:szCs w:val="22"/>
          <w14:ligatures w14:val="standardContextual"/>
        </w:rPr>
        <w:t xml:space="preserve">six </w:t>
      </w:r>
      <w:r w:rsidR="00D90ED7">
        <w:rPr>
          <w:rFonts w:ascii="Aptos" w:eastAsia="Aptos" w:hAnsi="Aptos" w:cs="Arial"/>
          <w:kern w:val="2"/>
          <w:sz w:val="22"/>
          <w:szCs w:val="22"/>
          <w14:ligatures w14:val="standardContextual"/>
        </w:rPr>
        <w:t>countries</w:t>
      </w:r>
      <w:r w:rsidR="00FC0DB8">
        <w:rPr>
          <w:rFonts w:ascii="Aptos" w:eastAsia="Aptos" w:hAnsi="Aptos" w:cs="Arial"/>
          <w:kern w:val="2"/>
          <w:sz w:val="22"/>
          <w:szCs w:val="22"/>
          <w14:ligatures w14:val="standardContextual"/>
        </w:rPr>
        <w:t xml:space="preserve"> </w:t>
      </w:r>
      <w:r w:rsidR="002D0445">
        <w:rPr>
          <w:rFonts w:ascii="Aptos" w:eastAsia="Aptos" w:hAnsi="Aptos" w:cs="Arial"/>
          <w:kern w:val="2"/>
          <w:sz w:val="22"/>
          <w:szCs w:val="22"/>
          <w14:ligatures w14:val="standardContextual"/>
        </w:rPr>
        <w:t>suggests that</w:t>
      </w:r>
      <w:r w:rsidR="00820D85">
        <w:rPr>
          <w:rFonts w:ascii="Aptos" w:eastAsia="Aptos" w:hAnsi="Aptos" w:cs="Arial"/>
          <w:kern w:val="2"/>
          <w:sz w:val="22"/>
          <w:szCs w:val="22"/>
          <w14:ligatures w14:val="standardContextual"/>
        </w:rPr>
        <w:t xml:space="preserve"> </w:t>
      </w:r>
      <w:r w:rsidR="00624E7B" w:rsidRPr="00624E7B">
        <w:rPr>
          <w:rFonts w:ascii="Aptos" w:eastAsia="Aptos" w:hAnsi="Aptos" w:cs="Arial"/>
          <w:kern w:val="2"/>
          <w:sz w:val="22"/>
          <w:szCs w:val="22"/>
          <w14:ligatures w14:val="standardContextual"/>
        </w:rPr>
        <w:t xml:space="preserve">digital literacy and ICT skills remain </w:t>
      </w:r>
      <w:r w:rsidR="009B64DC">
        <w:rPr>
          <w:rFonts w:ascii="Aptos" w:eastAsia="Aptos" w:hAnsi="Aptos" w:cs="Arial"/>
          <w:kern w:val="2"/>
          <w:sz w:val="22"/>
          <w:szCs w:val="22"/>
          <w14:ligatures w14:val="standardContextual"/>
        </w:rPr>
        <w:t>vary widely</w:t>
      </w:r>
      <w:r w:rsidR="00CA62CA">
        <w:rPr>
          <w:rFonts w:ascii="Aptos" w:eastAsia="Aptos" w:hAnsi="Aptos" w:cs="Arial"/>
          <w:kern w:val="2"/>
          <w:sz w:val="22"/>
          <w:szCs w:val="22"/>
          <w14:ligatures w14:val="standardContextual"/>
        </w:rPr>
        <w:t xml:space="preserve">, </w:t>
      </w:r>
      <w:r w:rsidR="009A6B17" w:rsidRPr="009A6B17">
        <w:rPr>
          <w:rFonts w:ascii="Aptos" w:eastAsia="Aptos" w:hAnsi="Aptos" w:cs="Arial"/>
          <w:kern w:val="2"/>
          <w:sz w:val="22"/>
          <w:szCs w:val="22"/>
          <w14:ligatures w14:val="standardContextual"/>
        </w:rPr>
        <w:t xml:space="preserve">limiting many people's ability to fully participate in </w:t>
      </w:r>
      <w:r w:rsidR="00624E7B" w:rsidRPr="00624E7B">
        <w:rPr>
          <w:rFonts w:ascii="Aptos" w:eastAsia="Aptos" w:hAnsi="Aptos" w:cs="Arial"/>
          <w:kern w:val="2"/>
          <w:sz w:val="22"/>
          <w:szCs w:val="22"/>
          <w14:ligatures w14:val="standardContextual"/>
        </w:rPr>
        <w:t xml:space="preserve">the </w:t>
      </w:r>
      <w:r w:rsidR="009A6B17" w:rsidRPr="009A6B17">
        <w:rPr>
          <w:rFonts w:ascii="Aptos" w:eastAsia="Aptos" w:hAnsi="Aptos" w:cs="Arial"/>
          <w:kern w:val="2"/>
          <w:sz w:val="22"/>
          <w:szCs w:val="22"/>
          <w14:ligatures w14:val="standardContextual"/>
        </w:rPr>
        <w:t>region’s digital transformation</w:t>
      </w:r>
      <w:r w:rsidR="00624E7B" w:rsidRPr="00563970">
        <w:rPr>
          <w:rFonts w:ascii="Aptos" w:eastAsia="Aptos" w:hAnsi="Aptos" w:cs="Arial"/>
          <w:kern w:val="2"/>
          <w:sz w:val="22"/>
          <w:szCs w:val="22"/>
          <w14:ligatures w14:val="standardContextual"/>
        </w:rPr>
        <w:t>.</w:t>
      </w:r>
      <w:r w:rsidR="00624E7B" w:rsidRPr="00624E7B">
        <w:rPr>
          <w:rFonts w:ascii="Aptos" w:eastAsia="Aptos" w:hAnsi="Aptos" w:cs="Arial"/>
          <w:kern w:val="2"/>
          <w:sz w:val="22"/>
          <w:szCs w:val="22"/>
          <w14:ligatures w14:val="standardContextual"/>
        </w:rPr>
        <w:t xml:space="preserve"> </w:t>
      </w:r>
      <w:r w:rsidR="0070329E">
        <w:rPr>
          <w:rFonts w:ascii="Aptos" w:eastAsia="Aptos" w:hAnsi="Aptos" w:cs="Arial"/>
          <w:kern w:val="2"/>
          <w:sz w:val="22"/>
          <w:szCs w:val="22"/>
          <w14:ligatures w14:val="standardContextual"/>
        </w:rPr>
        <w:t>C</w:t>
      </w:r>
      <w:r w:rsidR="0070329E" w:rsidRPr="0070329E">
        <w:rPr>
          <w:rFonts w:ascii="Aptos" w:eastAsia="Aptos" w:hAnsi="Aptos" w:cs="Arial"/>
          <w:kern w:val="2"/>
          <w:sz w:val="22"/>
          <w:szCs w:val="22"/>
          <w14:ligatures w14:val="standardContextual"/>
        </w:rPr>
        <w:t>ommunication and collaboration skill levels are very high among Internet users</w:t>
      </w:r>
      <w:r w:rsidR="00C1396D">
        <w:rPr>
          <w:rFonts w:ascii="Aptos" w:eastAsia="Aptos" w:hAnsi="Aptos" w:cs="Arial"/>
          <w:kern w:val="2"/>
          <w:sz w:val="22"/>
          <w:szCs w:val="22"/>
          <w14:ligatures w14:val="standardContextual"/>
        </w:rPr>
        <w:t xml:space="preserve">. </w:t>
      </w:r>
      <w:r w:rsidR="00635C95">
        <w:rPr>
          <w:rFonts w:ascii="Aptos" w:eastAsia="Aptos" w:hAnsi="Aptos" w:cs="Arial"/>
          <w:kern w:val="2"/>
          <w:sz w:val="22"/>
          <w:szCs w:val="22"/>
          <w14:ligatures w14:val="standardContextual"/>
        </w:rPr>
        <w:t>I</w:t>
      </w:r>
      <w:r w:rsidR="00C10637" w:rsidRPr="00C10637">
        <w:rPr>
          <w:rFonts w:ascii="Aptos" w:eastAsia="Aptos" w:hAnsi="Aptos" w:cs="Arial"/>
          <w:kern w:val="2"/>
          <w:sz w:val="22"/>
          <w:szCs w:val="22"/>
          <w14:ligatures w14:val="standardContextual"/>
        </w:rPr>
        <w:t xml:space="preserve">nformation and data literacy skill levels </w:t>
      </w:r>
      <w:r w:rsidR="00C508A5">
        <w:rPr>
          <w:rFonts w:ascii="Aptos" w:eastAsia="Aptos" w:hAnsi="Aptos" w:cs="Arial"/>
          <w:kern w:val="2"/>
          <w:sz w:val="22"/>
          <w:szCs w:val="22"/>
          <w14:ligatures w14:val="standardContextual"/>
        </w:rPr>
        <w:t xml:space="preserve">also </w:t>
      </w:r>
      <w:r w:rsidR="000854AA">
        <w:rPr>
          <w:rFonts w:ascii="Aptos" w:eastAsia="Aptos" w:hAnsi="Aptos" w:cs="Arial"/>
          <w:kern w:val="2"/>
          <w:sz w:val="22"/>
          <w:szCs w:val="22"/>
          <w14:ligatures w14:val="standardContextual"/>
        </w:rPr>
        <w:t xml:space="preserve">tend </w:t>
      </w:r>
      <w:r w:rsidR="00C508A5">
        <w:rPr>
          <w:rFonts w:ascii="Aptos" w:eastAsia="Aptos" w:hAnsi="Aptos" w:cs="Arial"/>
          <w:kern w:val="2"/>
          <w:sz w:val="22"/>
          <w:szCs w:val="22"/>
          <w14:ligatures w14:val="standardContextual"/>
        </w:rPr>
        <w:t xml:space="preserve">to be </w:t>
      </w:r>
      <w:r w:rsidR="000854AA">
        <w:rPr>
          <w:rFonts w:ascii="Aptos" w:eastAsia="Aptos" w:hAnsi="Aptos" w:cs="Arial"/>
          <w:kern w:val="2"/>
          <w:sz w:val="22"/>
          <w:szCs w:val="22"/>
          <w14:ligatures w14:val="standardContextual"/>
        </w:rPr>
        <w:t>high</w:t>
      </w:r>
      <w:r w:rsidR="0013102A">
        <w:rPr>
          <w:rFonts w:ascii="Aptos" w:eastAsia="Aptos" w:hAnsi="Aptos" w:cs="Arial"/>
          <w:kern w:val="2"/>
          <w:sz w:val="22"/>
          <w:szCs w:val="22"/>
          <w14:ligatures w14:val="standardContextual"/>
        </w:rPr>
        <w:t xml:space="preserve">. </w:t>
      </w:r>
      <w:r w:rsidR="00F4022D">
        <w:rPr>
          <w:rFonts w:ascii="Aptos" w:eastAsia="Aptos" w:hAnsi="Aptos" w:cs="Arial"/>
          <w:kern w:val="2"/>
          <w:sz w:val="22"/>
          <w:szCs w:val="22"/>
          <w14:ligatures w14:val="standardContextual"/>
        </w:rPr>
        <w:t>But m</w:t>
      </w:r>
      <w:r w:rsidRPr="00CA4550">
        <w:rPr>
          <w:rFonts w:ascii="Aptos" w:eastAsia="Aptos" w:hAnsi="Aptos" w:cs="Arial"/>
          <w:kern w:val="2"/>
          <w:sz w:val="22"/>
          <w:szCs w:val="22"/>
          <w14:ligatures w14:val="standardContextual"/>
        </w:rPr>
        <w:t>any users l</w:t>
      </w:r>
      <w:r w:rsidRPr="00073916">
        <w:rPr>
          <w:rFonts w:ascii="Aptos" w:eastAsia="Aptos" w:hAnsi="Aptos" w:cs="Arial"/>
          <w:kern w:val="2"/>
          <w:sz w:val="22"/>
          <w:szCs w:val="22"/>
          <w14:ligatures w14:val="standardContextual"/>
        </w:rPr>
        <w:t>ack the skills to engage safely and productively online, with notable gaps in problem-solving and content creation.</w:t>
      </w:r>
      <w:r w:rsidR="009C275D" w:rsidRPr="009C275D">
        <w:t xml:space="preserve"> </w:t>
      </w:r>
    </w:p>
    <w:p w14:paraId="1E916895" w14:textId="3E5A631B" w:rsidR="00A011B3" w:rsidRPr="00A011B3" w:rsidRDefault="002A56A3" w:rsidP="000011A3">
      <w:pPr>
        <w:rPr>
          <w:rFonts w:ascii="Aptos" w:eastAsia="Aptos" w:hAnsi="Aptos" w:cs="Arial"/>
          <w:kern w:val="2"/>
          <w:sz w:val="22"/>
          <w:szCs w:val="22"/>
          <w14:ligatures w14:val="standardContextual"/>
        </w:rPr>
      </w:pPr>
      <w:r w:rsidRPr="00563970">
        <w:rPr>
          <w:rFonts w:ascii="Aptos" w:eastAsia="Aptos" w:hAnsi="Aptos" w:cs="Arial"/>
          <w:b/>
          <w:bCs/>
          <w:kern w:val="2"/>
          <w:sz w:val="22"/>
          <w:szCs w:val="22"/>
          <w14:ligatures w14:val="standardContextual"/>
        </w:rPr>
        <w:t xml:space="preserve">Bridging these divides requires strong policy and regulatory frameworks. </w:t>
      </w:r>
      <w:r w:rsidRPr="00563970">
        <w:rPr>
          <w:rFonts w:ascii="Aptos" w:eastAsia="Aptos" w:hAnsi="Aptos" w:cs="Arial"/>
          <w:kern w:val="2"/>
          <w:sz w:val="22"/>
          <w:szCs w:val="22"/>
          <w14:ligatures w14:val="standardContextual"/>
        </w:rPr>
        <w:t xml:space="preserve">Effective regulation is a </w:t>
      </w:r>
      <w:r w:rsidRPr="00A011B3">
        <w:rPr>
          <w:rFonts w:ascii="Aptos" w:eastAsia="Aptos" w:hAnsi="Aptos" w:cs="Arial"/>
          <w:kern w:val="2"/>
          <w:sz w:val="22"/>
          <w:szCs w:val="22"/>
          <w14:ligatures w14:val="standardContextual"/>
        </w:rPr>
        <w:t xml:space="preserve">key driver of connectivity, enabling competition, investment, and innovation. </w:t>
      </w:r>
      <w:r w:rsidR="00B2427E">
        <w:rPr>
          <w:rFonts w:ascii="Aptos" w:eastAsia="Aptos" w:hAnsi="Aptos" w:cs="Arial"/>
          <w:kern w:val="2"/>
          <w:sz w:val="22"/>
          <w:szCs w:val="22"/>
          <w14:ligatures w14:val="standardContextual"/>
        </w:rPr>
        <w:t>While t</w:t>
      </w:r>
      <w:r w:rsidRPr="00A011B3">
        <w:rPr>
          <w:rFonts w:ascii="Aptos" w:eastAsia="Aptos" w:hAnsi="Aptos" w:cs="Arial"/>
          <w:kern w:val="2"/>
          <w:sz w:val="22"/>
          <w:szCs w:val="22"/>
          <w14:ligatures w14:val="standardContextual"/>
        </w:rPr>
        <w:t xml:space="preserve">wo-thirds of the region’s countries have reached </w:t>
      </w:r>
      <w:r w:rsidR="008D5986">
        <w:rPr>
          <w:rFonts w:ascii="Aptos" w:eastAsia="Aptos" w:hAnsi="Aptos" w:cs="Arial"/>
          <w:sz w:val="22"/>
          <w:szCs w:val="22"/>
        </w:rPr>
        <w:t>G</w:t>
      </w:r>
      <w:r w:rsidRPr="00A011B3">
        <w:rPr>
          <w:rFonts w:ascii="Aptos" w:eastAsia="Aptos" w:hAnsi="Aptos" w:cs="Arial"/>
          <w:kern w:val="2"/>
          <w:sz w:val="22"/>
          <w:szCs w:val="22"/>
          <w14:ligatures w14:val="standardContextual"/>
        </w:rPr>
        <w:t>eneration</w:t>
      </w:r>
      <w:r w:rsidR="008D5986">
        <w:rPr>
          <w:rFonts w:ascii="Aptos" w:eastAsia="Aptos" w:hAnsi="Aptos" w:cs="Arial"/>
          <w:kern w:val="2"/>
          <w:sz w:val="22"/>
          <w:szCs w:val="22"/>
          <w14:ligatures w14:val="standardContextual"/>
        </w:rPr>
        <w:t xml:space="preserve"> 3</w:t>
      </w:r>
      <w:r w:rsidRPr="00A011B3">
        <w:rPr>
          <w:rFonts w:ascii="Aptos" w:eastAsia="Aptos" w:hAnsi="Aptos" w:cs="Arial"/>
          <w:kern w:val="2"/>
          <w:sz w:val="22"/>
          <w:szCs w:val="22"/>
          <w14:ligatures w14:val="standardContextual"/>
        </w:rPr>
        <w:t xml:space="preserve"> (G3) or</w:t>
      </w:r>
      <w:r w:rsidR="008D5986">
        <w:rPr>
          <w:rFonts w:ascii="Aptos" w:eastAsia="Aptos" w:hAnsi="Aptos" w:cs="Arial"/>
          <w:kern w:val="2"/>
          <w:sz w:val="22"/>
          <w:szCs w:val="22"/>
          <w14:ligatures w14:val="standardContextual"/>
        </w:rPr>
        <w:t xml:space="preserve"> </w:t>
      </w:r>
      <w:r w:rsidR="00703528">
        <w:rPr>
          <w:rFonts w:ascii="Aptos" w:eastAsia="Aptos" w:hAnsi="Aptos" w:cs="Arial"/>
          <w:kern w:val="2"/>
          <w:sz w:val="22"/>
          <w:szCs w:val="22"/>
          <w14:ligatures w14:val="standardContextual"/>
        </w:rPr>
        <w:t>Generation 4 (</w:t>
      </w:r>
      <w:r w:rsidR="008D5986">
        <w:rPr>
          <w:rFonts w:ascii="Aptos" w:eastAsia="Aptos" w:hAnsi="Aptos" w:cs="Arial"/>
          <w:kern w:val="2"/>
          <w:sz w:val="22"/>
          <w:szCs w:val="22"/>
          <w14:ligatures w14:val="standardContextual"/>
        </w:rPr>
        <w:t>G4</w:t>
      </w:r>
      <w:r w:rsidR="00703528">
        <w:rPr>
          <w:rFonts w:ascii="Aptos" w:eastAsia="Aptos" w:hAnsi="Aptos" w:cs="Arial"/>
          <w:kern w:val="2"/>
          <w:sz w:val="22"/>
          <w:szCs w:val="22"/>
          <w14:ligatures w14:val="standardContextual"/>
        </w:rPr>
        <w:t>) of ICT regulation</w:t>
      </w:r>
      <w:r w:rsidR="008D5986">
        <w:rPr>
          <w:rFonts w:ascii="Aptos" w:eastAsia="Aptos" w:hAnsi="Aptos" w:cs="Arial"/>
          <w:kern w:val="2"/>
          <w:sz w:val="22"/>
          <w:szCs w:val="22"/>
          <w14:ligatures w14:val="standardContextual"/>
        </w:rPr>
        <w:t>,</w:t>
      </w:r>
      <w:r w:rsidRPr="00A011B3">
        <w:rPr>
          <w:rFonts w:ascii="Aptos" w:eastAsia="Aptos" w:hAnsi="Aptos" w:cs="Arial"/>
          <w:kern w:val="2"/>
          <w:sz w:val="22"/>
          <w:szCs w:val="22"/>
          <w14:ligatures w14:val="standardContextual"/>
        </w:rPr>
        <w:t xml:space="preserve"> the </w:t>
      </w:r>
      <w:r w:rsidR="00A11D31">
        <w:rPr>
          <w:rFonts w:ascii="Aptos" w:eastAsia="Aptos" w:hAnsi="Aptos" w:cs="Arial"/>
          <w:kern w:val="2"/>
          <w:sz w:val="22"/>
          <w:szCs w:val="22"/>
          <w14:ligatures w14:val="standardContextual"/>
        </w:rPr>
        <w:t xml:space="preserve">highest level </w:t>
      </w:r>
      <w:r w:rsidRPr="00A011B3">
        <w:rPr>
          <w:rFonts w:ascii="Aptos" w:eastAsia="Aptos" w:hAnsi="Aptos" w:cs="Arial"/>
          <w:kern w:val="2"/>
          <w:sz w:val="22"/>
          <w:szCs w:val="22"/>
          <w14:ligatures w14:val="standardContextual"/>
        </w:rPr>
        <w:t xml:space="preserve">of regulatory maturity, progress has slowed. </w:t>
      </w:r>
      <w:r w:rsidR="00A011B3" w:rsidRPr="00A011B3">
        <w:rPr>
          <w:rFonts w:ascii="Aptos" w:eastAsia="Aptos" w:hAnsi="Aptos" w:cs="Arial"/>
          <w:kern w:val="2"/>
          <w:sz w:val="22"/>
          <w:szCs w:val="22"/>
          <w14:ligatures w14:val="standardContextual"/>
        </w:rPr>
        <w:t xml:space="preserve">North America </w:t>
      </w:r>
      <w:r w:rsidR="0093291F">
        <w:rPr>
          <w:rFonts w:ascii="Aptos" w:eastAsia="Aptos" w:hAnsi="Aptos" w:cs="Arial"/>
          <w:kern w:val="2"/>
          <w:sz w:val="22"/>
          <w:szCs w:val="22"/>
          <w14:ligatures w14:val="standardContextual"/>
        </w:rPr>
        <w:t>has</w:t>
      </w:r>
      <w:r w:rsidR="00A011B3" w:rsidRPr="00A011B3">
        <w:rPr>
          <w:rFonts w:ascii="Aptos" w:eastAsia="Aptos" w:hAnsi="Aptos" w:cs="Arial"/>
          <w:kern w:val="2"/>
          <w:sz w:val="22"/>
          <w:szCs w:val="22"/>
          <w14:ligatures w14:val="standardContextual"/>
        </w:rPr>
        <w:t xml:space="preserve"> well-established digital policy frameworks, while Latin America and the Caribbean </w:t>
      </w:r>
      <w:r w:rsidR="0093291F">
        <w:rPr>
          <w:rFonts w:ascii="Aptos" w:eastAsia="Aptos" w:hAnsi="Aptos" w:cs="Arial"/>
          <w:kern w:val="2"/>
          <w:sz w:val="22"/>
          <w:szCs w:val="22"/>
          <w14:ligatures w14:val="standardContextual"/>
        </w:rPr>
        <w:t>show</w:t>
      </w:r>
      <w:r w:rsidR="0093291F" w:rsidRPr="00A011B3">
        <w:rPr>
          <w:rFonts w:ascii="Aptos" w:eastAsia="Aptos" w:hAnsi="Aptos" w:cs="Arial"/>
          <w:kern w:val="2"/>
          <w:sz w:val="22"/>
          <w:szCs w:val="22"/>
          <w14:ligatures w14:val="standardContextual"/>
        </w:rPr>
        <w:t xml:space="preserve"> </w:t>
      </w:r>
      <w:r w:rsidR="00A011B3" w:rsidRPr="00A011B3">
        <w:rPr>
          <w:rFonts w:ascii="Aptos" w:eastAsia="Aptos" w:hAnsi="Aptos" w:cs="Arial"/>
          <w:kern w:val="2"/>
          <w:sz w:val="22"/>
          <w:szCs w:val="22"/>
          <w14:ligatures w14:val="standardContextual"/>
        </w:rPr>
        <w:t xml:space="preserve">considerable variation. Some nations have advanced regulatory environments that promote investment and competition, while others still </w:t>
      </w:r>
      <w:r w:rsidR="00A011B3" w:rsidRPr="00A011B3">
        <w:rPr>
          <w:rFonts w:ascii="Aptos" w:eastAsia="Aptos" w:hAnsi="Aptos" w:cs="Arial"/>
          <w:kern w:val="2"/>
          <w:sz w:val="22"/>
          <w:szCs w:val="22"/>
          <w14:ligatures w14:val="standardContextual"/>
        </w:rPr>
        <w:lastRenderedPageBreak/>
        <w:t>operate under less developed frameworks that hinder digital growth. SIDS and LLDCs often struggle with limited regulatory capacity, further complicating their digital transformation efforts.</w:t>
      </w:r>
    </w:p>
    <w:p w14:paraId="61CB1392" w14:textId="0007D5F6" w:rsidR="000011A3" w:rsidRPr="000011A3" w:rsidRDefault="000011A3" w:rsidP="000011A3">
      <w:pPr>
        <w:rPr>
          <w:rFonts w:ascii="Aptos" w:eastAsia="Aptos" w:hAnsi="Aptos" w:cs="Arial"/>
          <w:kern w:val="2"/>
          <w:sz w:val="22"/>
          <w:szCs w:val="22"/>
          <w14:ligatures w14:val="standardContextual"/>
        </w:rPr>
      </w:pPr>
      <w:r w:rsidRPr="000011A3">
        <w:rPr>
          <w:rFonts w:ascii="Aptos" w:eastAsia="Aptos" w:hAnsi="Aptos" w:cs="Arial"/>
          <w:b/>
          <w:bCs/>
          <w:kern w:val="2"/>
          <w:sz w:val="22"/>
          <w:szCs w:val="22"/>
          <w14:ligatures w14:val="standardContextual"/>
        </w:rPr>
        <w:t>Cybersecurity also varies widely across the region</w:t>
      </w:r>
      <w:r w:rsidRPr="000011A3">
        <w:rPr>
          <w:rFonts w:ascii="Aptos" w:eastAsia="Aptos" w:hAnsi="Aptos" w:cs="Arial"/>
          <w:kern w:val="2"/>
          <w:sz w:val="22"/>
          <w:szCs w:val="22"/>
          <w14:ligatures w14:val="standardContextual"/>
        </w:rPr>
        <w:t xml:space="preserve">. Cybersecurity readiness differs significantly </w:t>
      </w:r>
      <w:r w:rsidR="00E84E07">
        <w:rPr>
          <w:rFonts w:ascii="Aptos" w:eastAsia="Aptos" w:hAnsi="Aptos" w:cs="Arial"/>
          <w:kern w:val="2"/>
          <w:sz w:val="22"/>
          <w:szCs w:val="22"/>
          <w14:ligatures w14:val="standardContextual"/>
        </w:rPr>
        <w:t>across countries</w:t>
      </w:r>
      <w:r w:rsidRPr="000011A3">
        <w:rPr>
          <w:rFonts w:ascii="Aptos" w:eastAsia="Aptos" w:hAnsi="Aptos" w:cs="Arial"/>
          <w:kern w:val="2"/>
          <w:sz w:val="22"/>
          <w:szCs w:val="22"/>
          <w14:ligatures w14:val="standardContextual"/>
        </w:rPr>
        <w:t xml:space="preserve">. The Global Cybersecurity Index </w:t>
      </w:r>
      <w:r w:rsidR="007D2BA9" w:rsidRPr="007D2BA9">
        <w:rPr>
          <w:rFonts w:ascii="Aptos" w:eastAsia="Aptos" w:hAnsi="Aptos" w:cs="Arial"/>
          <w:kern w:val="2"/>
          <w:sz w:val="22"/>
          <w:szCs w:val="22"/>
          <w14:ligatures w14:val="standardContextual"/>
        </w:rPr>
        <w:t xml:space="preserve">(GCI) </w:t>
      </w:r>
      <w:r w:rsidRPr="000011A3">
        <w:rPr>
          <w:rFonts w:ascii="Aptos" w:eastAsia="Aptos" w:hAnsi="Aptos" w:cs="Arial"/>
          <w:kern w:val="2"/>
          <w:sz w:val="22"/>
          <w:szCs w:val="22"/>
          <w14:ligatures w14:val="standardContextual"/>
        </w:rPr>
        <w:t>2024 reveals an 82-point gap between the best</w:t>
      </w:r>
      <w:r w:rsidR="008429F5">
        <w:rPr>
          <w:rFonts w:ascii="Aptos" w:eastAsia="Aptos" w:hAnsi="Aptos" w:cs="Arial"/>
          <w:kern w:val="2"/>
          <w:sz w:val="22"/>
          <w:szCs w:val="22"/>
          <w14:ligatures w14:val="standardContextual"/>
        </w:rPr>
        <w:t xml:space="preserve"> performer (99.9 out of 100)</w:t>
      </w:r>
      <w:r>
        <w:rPr>
          <w:rFonts w:ascii="Aptos" w:eastAsia="Aptos" w:hAnsi="Aptos" w:cs="Arial"/>
          <w:kern w:val="2"/>
          <w:sz w:val="22"/>
          <w:szCs w:val="22"/>
          <w14:ligatures w14:val="standardContextual"/>
        </w:rPr>
        <w:t xml:space="preserve"> and </w:t>
      </w:r>
      <w:r w:rsidR="008429F5">
        <w:rPr>
          <w:rFonts w:ascii="Aptos" w:eastAsia="Aptos" w:hAnsi="Aptos" w:cs="Arial"/>
          <w:kern w:val="2"/>
          <w:sz w:val="22"/>
          <w:szCs w:val="22"/>
          <w14:ligatures w14:val="standardContextual"/>
        </w:rPr>
        <w:t xml:space="preserve">the </w:t>
      </w:r>
      <w:r w:rsidR="007D2BA9" w:rsidRPr="007D2BA9">
        <w:rPr>
          <w:rFonts w:ascii="Aptos" w:eastAsia="Aptos" w:hAnsi="Aptos" w:cs="Arial"/>
          <w:kern w:val="2"/>
          <w:sz w:val="22"/>
          <w:szCs w:val="22"/>
          <w14:ligatures w14:val="standardContextual"/>
        </w:rPr>
        <w:t>lowest-ranked country</w:t>
      </w:r>
      <w:r w:rsidR="008429F5">
        <w:rPr>
          <w:rFonts w:ascii="Aptos" w:eastAsia="Aptos" w:hAnsi="Aptos" w:cs="Arial"/>
          <w:kern w:val="2"/>
          <w:sz w:val="22"/>
          <w:szCs w:val="22"/>
          <w14:ligatures w14:val="standardContextual"/>
        </w:rPr>
        <w:t xml:space="preserve"> </w:t>
      </w:r>
      <w:r w:rsidR="009E6037">
        <w:rPr>
          <w:rFonts w:ascii="Aptos" w:eastAsia="Aptos" w:hAnsi="Aptos" w:cs="Arial"/>
          <w:kern w:val="2"/>
          <w:sz w:val="22"/>
          <w:szCs w:val="22"/>
          <w14:ligatures w14:val="standardContextual"/>
        </w:rPr>
        <w:t>(18.2</w:t>
      </w:r>
      <w:r w:rsidR="007D2BA9" w:rsidRPr="007D2BA9">
        <w:rPr>
          <w:rFonts w:ascii="Aptos" w:eastAsia="Aptos" w:hAnsi="Aptos" w:cs="Arial"/>
          <w:kern w:val="2"/>
          <w:sz w:val="22"/>
          <w:szCs w:val="22"/>
          <w14:ligatures w14:val="standardContextual"/>
        </w:rPr>
        <w:t>), with</w:t>
      </w:r>
      <w:r>
        <w:rPr>
          <w:rFonts w:ascii="Aptos" w:eastAsia="Aptos" w:hAnsi="Aptos" w:cs="Arial"/>
          <w:kern w:val="2"/>
          <w:sz w:val="22"/>
          <w:szCs w:val="22"/>
          <w14:ligatures w14:val="standardContextual"/>
        </w:rPr>
        <w:t xml:space="preserve"> the </w:t>
      </w:r>
      <w:r w:rsidR="007D2BA9" w:rsidRPr="007D2BA9">
        <w:rPr>
          <w:rFonts w:ascii="Aptos" w:eastAsia="Aptos" w:hAnsi="Aptos" w:cs="Arial"/>
          <w:kern w:val="2"/>
          <w:sz w:val="22"/>
          <w:szCs w:val="22"/>
          <w14:ligatures w14:val="standardContextual"/>
        </w:rPr>
        <w:t xml:space="preserve">regional average standing at </w:t>
      </w:r>
      <w:r w:rsidR="00CB6418">
        <w:rPr>
          <w:rFonts w:ascii="Aptos" w:eastAsia="Aptos" w:hAnsi="Aptos" w:cs="Arial"/>
          <w:kern w:val="2"/>
          <w:sz w:val="22"/>
          <w:szCs w:val="22"/>
          <w14:ligatures w14:val="standardContextual"/>
        </w:rPr>
        <w:t>5</w:t>
      </w:r>
      <w:r w:rsidR="001641F6">
        <w:rPr>
          <w:rFonts w:ascii="Aptos" w:eastAsia="Aptos" w:hAnsi="Aptos" w:cs="Arial"/>
          <w:kern w:val="2"/>
          <w:sz w:val="22"/>
          <w:szCs w:val="22"/>
          <w14:ligatures w14:val="standardContextual"/>
        </w:rPr>
        <w:t>3</w:t>
      </w:r>
      <w:r w:rsidR="00CB2AD0">
        <w:rPr>
          <w:rFonts w:ascii="Aptos" w:eastAsia="Aptos" w:hAnsi="Aptos" w:cs="Arial"/>
          <w:kern w:val="2"/>
          <w:sz w:val="22"/>
          <w:szCs w:val="22"/>
          <w14:ligatures w14:val="standardContextual"/>
        </w:rPr>
        <w:t>, well below the global average of 66</w:t>
      </w:r>
      <w:r w:rsidR="007D2BA9" w:rsidRPr="007D2BA9">
        <w:rPr>
          <w:rFonts w:ascii="Aptos" w:eastAsia="Aptos" w:hAnsi="Aptos" w:cs="Arial"/>
          <w:kern w:val="2"/>
          <w:sz w:val="22"/>
          <w:szCs w:val="22"/>
          <w14:ligatures w14:val="standardContextual"/>
        </w:rPr>
        <w:t>.</w:t>
      </w:r>
      <w:r w:rsidR="00E32792">
        <w:rPr>
          <w:rFonts w:ascii="Aptos" w:eastAsia="Aptos" w:hAnsi="Aptos" w:cs="Arial"/>
          <w:kern w:val="2"/>
          <w:sz w:val="22"/>
          <w:szCs w:val="22"/>
          <w14:ligatures w14:val="standardContextual"/>
        </w:rPr>
        <w:t xml:space="preserve"> </w:t>
      </w:r>
      <w:r w:rsidRPr="000011A3">
        <w:rPr>
          <w:rFonts w:ascii="Aptos" w:eastAsia="Aptos" w:hAnsi="Aptos" w:cs="Arial"/>
          <w:kern w:val="2"/>
          <w:sz w:val="22"/>
          <w:szCs w:val="22"/>
          <w14:ligatures w14:val="standardContextual"/>
        </w:rPr>
        <w:t>While 21 countries in the Americas have established national Computer Incident Response Teams</w:t>
      </w:r>
      <w:r w:rsidR="007D2BA9" w:rsidRPr="007D2BA9">
        <w:rPr>
          <w:rFonts w:ascii="Aptos" w:eastAsia="Aptos" w:hAnsi="Aptos" w:cs="Arial"/>
          <w:kern w:val="2"/>
          <w:sz w:val="22"/>
          <w:szCs w:val="22"/>
          <w14:ligatures w14:val="standardContextual"/>
        </w:rPr>
        <w:t>,</w:t>
      </w:r>
      <w:r w:rsidRPr="000011A3">
        <w:rPr>
          <w:rFonts w:ascii="Aptos" w:eastAsia="Aptos" w:hAnsi="Aptos" w:cs="Arial"/>
          <w:kern w:val="2"/>
          <w:sz w:val="22"/>
          <w:szCs w:val="22"/>
          <w14:ligatures w14:val="standardContextual"/>
        </w:rPr>
        <w:t xml:space="preserve"> the need for stronger cybersecurity </w:t>
      </w:r>
      <w:r w:rsidR="00873607">
        <w:rPr>
          <w:rFonts w:ascii="Aptos" w:eastAsia="Aptos" w:hAnsi="Aptos" w:cs="Arial"/>
          <w:kern w:val="2"/>
          <w:sz w:val="22"/>
          <w:szCs w:val="22"/>
          <w14:ligatures w14:val="standardContextual"/>
        </w:rPr>
        <w:t>m</w:t>
      </w:r>
      <w:r w:rsidRPr="000011A3">
        <w:rPr>
          <w:rFonts w:ascii="Aptos" w:eastAsia="Aptos" w:hAnsi="Aptos" w:cs="Arial"/>
          <w:kern w:val="2"/>
          <w:sz w:val="22"/>
          <w:szCs w:val="22"/>
          <w14:ligatures w14:val="standardContextual"/>
        </w:rPr>
        <w:t>easures and coordinated regional efforts remains.</w:t>
      </w:r>
    </w:p>
    <w:p w14:paraId="46BABCC7" w14:textId="2BF6A29D" w:rsidR="000011A3" w:rsidRPr="000011A3" w:rsidRDefault="000011A3" w:rsidP="000011A3">
      <w:pPr>
        <w:rPr>
          <w:rFonts w:ascii="Aptos" w:eastAsia="Aptos" w:hAnsi="Aptos" w:cs="Arial"/>
          <w:kern w:val="2"/>
          <w:sz w:val="22"/>
          <w:szCs w:val="22"/>
          <w14:ligatures w14:val="standardContextual"/>
        </w:rPr>
      </w:pPr>
      <w:r w:rsidRPr="000011A3">
        <w:rPr>
          <w:rFonts w:ascii="Aptos" w:eastAsia="Aptos" w:hAnsi="Aptos" w:cs="Arial"/>
          <w:b/>
          <w:bCs/>
          <w:kern w:val="2"/>
          <w:sz w:val="22"/>
          <w:szCs w:val="22"/>
          <w14:ligatures w14:val="standardContextual"/>
        </w:rPr>
        <w:t xml:space="preserve">Environmental sustainability remains a growing concern. </w:t>
      </w:r>
      <w:r w:rsidRPr="000011A3">
        <w:rPr>
          <w:rFonts w:ascii="Aptos" w:eastAsia="Aptos" w:hAnsi="Aptos" w:cs="Arial"/>
          <w:kern w:val="2"/>
          <w:sz w:val="22"/>
          <w:szCs w:val="22"/>
          <w14:ligatures w14:val="standardContextual"/>
        </w:rPr>
        <w:t xml:space="preserve">The Americas generated approximately 14.3 billion kilograms of electronic waste </w:t>
      </w:r>
      <w:r w:rsidR="001A25AB">
        <w:rPr>
          <w:rFonts w:ascii="Aptos" w:eastAsia="Aptos" w:hAnsi="Aptos" w:cs="Arial"/>
          <w:kern w:val="2"/>
          <w:sz w:val="22"/>
          <w:szCs w:val="22"/>
          <w14:ligatures w14:val="standardContextual"/>
        </w:rPr>
        <w:t xml:space="preserve">(e-waste) </w:t>
      </w:r>
      <w:r w:rsidRPr="000011A3">
        <w:rPr>
          <w:rFonts w:ascii="Aptos" w:eastAsia="Aptos" w:hAnsi="Aptos" w:cs="Arial"/>
          <w:kern w:val="2"/>
          <w:sz w:val="22"/>
          <w:szCs w:val="22"/>
          <w14:ligatures w14:val="standardContextual"/>
        </w:rPr>
        <w:t>in 2022</w:t>
      </w:r>
      <w:r w:rsidR="001A25AB" w:rsidRPr="001A25AB">
        <w:rPr>
          <w:rFonts w:ascii="Aptos" w:eastAsia="Aptos" w:hAnsi="Aptos" w:cs="Arial"/>
          <w:kern w:val="2"/>
          <w:sz w:val="22"/>
          <w:szCs w:val="22"/>
          <w14:ligatures w14:val="standardContextual"/>
        </w:rPr>
        <w:t xml:space="preserve">, </w:t>
      </w:r>
      <w:r w:rsidR="00AD1AA9">
        <w:rPr>
          <w:rFonts w:ascii="Aptos" w:eastAsia="Aptos" w:hAnsi="Aptos" w:cs="Arial"/>
          <w:kern w:val="2"/>
          <w:sz w:val="22"/>
          <w:szCs w:val="22"/>
          <w14:ligatures w14:val="standardContextual"/>
        </w:rPr>
        <w:t>accounting for</w:t>
      </w:r>
      <w:r w:rsidR="001A25AB" w:rsidRPr="00563970">
        <w:rPr>
          <w:rFonts w:ascii="Aptos" w:eastAsia="Aptos" w:hAnsi="Aptos" w:cs="Arial"/>
          <w:kern w:val="2"/>
          <w:sz w:val="22"/>
          <w:szCs w:val="22"/>
          <w14:ligatures w14:val="standardContextual"/>
        </w:rPr>
        <w:t xml:space="preserve"> </w:t>
      </w:r>
      <w:r w:rsidR="001A25AB" w:rsidRPr="001A25AB">
        <w:rPr>
          <w:rFonts w:ascii="Aptos" w:eastAsia="Aptos" w:hAnsi="Aptos" w:cs="Arial"/>
          <w:kern w:val="2"/>
          <w:sz w:val="22"/>
          <w:szCs w:val="22"/>
          <w14:ligatures w14:val="standardContextual"/>
        </w:rPr>
        <w:t>23 per cent of global e-waste generation</w:t>
      </w:r>
      <w:r w:rsidRPr="000011A3">
        <w:rPr>
          <w:rFonts w:ascii="Aptos" w:eastAsia="Aptos" w:hAnsi="Aptos" w:cs="Arial"/>
          <w:kern w:val="2"/>
          <w:sz w:val="22"/>
          <w:szCs w:val="22"/>
          <w14:ligatures w14:val="standardContextual"/>
        </w:rPr>
        <w:t xml:space="preserve">. </w:t>
      </w:r>
      <w:r w:rsidR="001A25AB">
        <w:rPr>
          <w:rFonts w:ascii="Aptos" w:eastAsia="Aptos" w:hAnsi="Aptos" w:cs="Arial"/>
          <w:kern w:val="2"/>
          <w:sz w:val="22"/>
          <w:szCs w:val="22"/>
          <w14:ligatures w14:val="standardContextual"/>
        </w:rPr>
        <w:t>R</w:t>
      </w:r>
      <w:r w:rsidRPr="000011A3">
        <w:rPr>
          <w:rFonts w:ascii="Aptos" w:eastAsia="Aptos" w:hAnsi="Aptos" w:cs="Arial"/>
          <w:kern w:val="2"/>
          <w:sz w:val="22"/>
          <w:szCs w:val="22"/>
          <w14:ligatures w14:val="standardContextual"/>
        </w:rPr>
        <w:t xml:space="preserve">ecycling rates are </w:t>
      </w:r>
      <w:r w:rsidR="0022416E">
        <w:rPr>
          <w:rFonts w:ascii="Aptos" w:eastAsia="Aptos" w:hAnsi="Aptos" w:cs="Arial"/>
          <w:kern w:val="2"/>
          <w:sz w:val="22"/>
          <w:szCs w:val="22"/>
          <w14:ligatures w14:val="standardContextual"/>
        </w:rPr>
        <w:t xml:space="preserve">still low: </w:t>
      </w:r>
      <w:r w:rsidR="000A428A">
        <w:rPr>
          <w:rFonts w:ascii="Aptos" w:eastAsia="Aptos" w:hAnsi="Aptos" w:cs="Arial"/>
          <w:kern w:val="2"/>
          <w:sz w:val="22"/>
          <w:szCs w:val="22"/>
          <w14:ligatures w14:val="standardContextual"/>
        </w:rPr>
        <w:t>30</w:t>
      </w:r>
      <w:r w:rsidR="00C2003F">
        <w:rPr>
          <w:rFonts w:ascii="Aptos" w:eastAsia="Aptos" w:hAnsi="Aptos" w:cs="Arial"/>
          <w:kern w:val="2"/>
          <w:sz w:val="22"/>
          <w:szCs w:val="22"/>
          <w14:ligatures w14:val="standardContextual"/>
        </w:rPr>
        <w:t xml:space="preserve"> per cent</w:t>
      </w:r>
      <w:r w:rsidRPr="000011A3">
        <w:rPr>
          <w:rFonts w:ascii="Aptos" w:eastAsia="Aptos" w:hAnsi="Aptos" w:cs="Arial"/>
          <w:kern w:val="2"/>
          <w:sz w:val="22"/>
          <w:szCs w:val="22"/>
          <w14:ligatures w14:val="standardContextual"/>
        </w:rPr>
        <w:t xml:space="preserve"> of e-waste in the region was properly collected and recycled, with </w:t>
      </w:r>
      <w:r w:rsidR="00BE267E">
        <w:rPr>
          <w:rFonts w:ascii="Aptos" w:eastAsia="Aptos" w:hAnsi="Aptos" w:cs="Arial"/>
          <w:kern w:val="2"/>
          <w:sz w:val="22"/>
          <w:szCs w:val="22"/>
          <w14:ligatures w14:val="standardContextual"/>
        </w:rPr>
        <w:t>o</w:t>
      </w:r>
      <w:r w:rsidR="00B850C1">
        <w:rPr>
          <w:rFonts w:ascii="Aptos" w:eastAsia="Aptos" w:hAnsi="Aptos" w:cs="Arial"/>
          <w:kern w:val="2"/>
          <w:sz w:val="22"/>
          <w:szCs w:val="22"/>
          <w14:ligatures w14:val="standardContextual"/>
        </w:rPr>
        <w:t xml:space="preserve">nly </w:t>
      </w:r>
      <w:r w:rsidR="00B850C1" w:rsidRPr="00563970">
        <w:rPr>
          <w:rFonts w:ascii="Aptos" w:eastAsia="Aptos" w:hAnsi="Aptos" w:cs="Arial"/>
          <w:kern w:val="2"/>
          <w:sz w:val="22"/>
          <w:szCs w:val="22"/>
          <w14:ligatures w14:val="standardContextual"/>
        </w:rPr>
        <w:t>20</w:t>
      </w:r>
      <w:r w:rsidRPr="000011A3">
        <w:rPr>
          <w:rFonts w:ascii="Aptos" w:eastAsia="Aptos" w:hAnsi="Aptos" w:cs="Arial"/>
          <w:kern w:val="2"/>
          <w:sz w:val="22"/>
          <w:szCs w:val="22"/>
          <w14:ligatures w14:val="standardContextual"/>
        </w:rPr>
        <w:t xml:space="preserve"> countries </w:t>
      </w:r>
      <w:r w:rsidR="00B850C1" w:rsidRPr="00563970">
        <w:rPr>
          <w:rFonts w:ascii="Aptos" w:eastAsia="Aptos" w:hAnsi="Aptos" w:cs="Arial"/>
          <w:kern w:val="2"/>
          <w:sz w:val="22"/>
          <w:szCs w:val="22"/>
          <w14:ligatures w14:val="standardContextual"/>
        </w:rPr>
        <w:t>report</w:t>
      </w:r>
      <w:r w:rsidR="00B850C1">
        <w:rPr>
          <w:rFonts w:ascii="Aptos" w:eastAsia="Aptos" w:hAnsi="Aptos" w:cs="Arial"/>
          <w:kern w:val="2"/>
          <w:sz w:val="22"/>
          <w:szCs w:val="22"/>
          <w14:ligatures w14:val="standardContextual"/>
        </w:rPr>
        <w:t>ing</w:t>
      </w:r>
      <w:r w:rsidRPr="000011A3">
        <w:rPr>
          <w:rFonts w:ascii="Aptos" w:eastAsia="Aptos" w:hAnsi="Aptos" w:cs="Arial"/>
          <w:kern w:val="2"/>
          <w:sz w:val="22"/>
          <w:szCs w:val="22"/>
          <w14:ligatures w14:val="standardContextual"/>
        </w:rPr>
        <w:t xml:space="preserve"> formal </w:t>
      </w:r>
      <w:r w:rsidR="00B850C1" w:rsidRPr="00563970">
        <w:rPr>
          <w:rFonts w:ascii="Aptos" w:eastAsia="Aptos" w:hAnsi="Aptos" w:cs="Arial"/>
          <w:kern w:val="2"/>
          <w:sz w:val="22"/>
          <w:szCs w:val="22"/>
          <w14:ligatures w14:val="standardContextual"/>
        </w:rPr>
        <w:t>collection and recycling initiatives</w:t>
      </w:r>
      <w:r w:rsidRPr="00563970">
        <w:rPr>
          <w:rFonts w:ascii="Aptos" w:eastAsia="Aptos" w:hAnsi="Aptos" w:cs="Arial"/>
          <w:kern w:val="2"/>
          <w:sz w:val="22"/>
          <w:szCs w:val="22"/>
          <w14:ligatures w14:val="standardContextual"/>
        </w:rPr>
        <w:t>.</w:t>
      </w:r>
      <w:r w:rsidRPr="000011A3">
        <w:rPr>
          <w:rFonts w:ascii="Aptos" w:eastAsia="Aptos" w:hAnsi="Aptos" w:cs="Arial"/>
          <w:kern w:val="2"/>
          <w:sz w:val="22"/>
          <w:szCs w:val="22"/>
          <w14:ligatures w14:val="standardContextual"/>
        </w:rPr>
        <w:t xml:space="preserve"> This lack of regulatory frameworks poses significant environmental and economic challenges, underscoring the need for improved recycling initiatives and </w:t>
      </w:r>
      <w:r w:rsidR="00774225">
        <w:rPr>
          <w:rFonts w:ascii="Aptos" w:eastAsia="Aptos" w:hAnsi="Aptos" w:cs="Arial"/>
          <w:kern w:val="2"/>
          <w:sz w:val="22"/>
          <w:szCs w:val="22"/>
          <w14:ligatures w14:val="standardContextual"/>
        </w:rPr>
        <w:t xml:space="preserve">extended </w:t>
      </w:r>
      <w:r w:rsidRPr="000011A3">
        <w:rPr>
          <w:rFonts w:ascii="Aptos" w:eastAsia="Aptos" w:hAnsi="Aptos" w:cs="Arial"/>
          <w:kern w:val="2"/>
          <w:sz w:val="22"/>
          <w:szCs w:val="22"/>
          <w14:ligatures w14:val="standardContextual"/>
        </w:rPr>
        <w:t>producer responsibility mechanisms.</w:t>
      </w:r>
    </w:p>
    <w:p w14:paraId="57CFCB2D" w14:textId="47A7FE6E" w:rsidR="00292A11" w:rsidRPr="00292A11" w:rsidRDefault="00710FBF" w:rsidP="00621816">
      <w:pPr>
        <w:rPr>
          <w:rFonts w:ascii="Aptos" w:eastAsia="Aptos" w:hAnsi="Aptos" w:cs="Arial"/>
          <w:kern w:val="2"/>
          <w:sz w:val="22"/>
          <w:szCs w:val="22"/>
          <w14:ligatures w14:val="standardContextual"/>
        </w:rPr>
      </w:pPr>
      <w:r>
        <w:rPr>
          <w:rFonts w:ascii="Aptos" w:eastAsia="Aptos" w:hAnsi="Aptos" w:cs="Arial"/>
          <w:b/>
          <w:bCs/>
          <w:kern w:val="2"/>
          <w:sz w:val="22"/>
          <w:szCs w:val="22"/>
          <w14:ligatures w14:val="standardContextual"/>
        </w:rPr>
        <w:t>Impact stories</w:t>
      </w:r>
      <w:r w:rsidRPr="00292A11">
        <w:rPr>
          <w:rFonts w:ascii="Aptos" w:eastAsia="Aptos" w:hAnsi="Aptos" w:cs="Arial"/>
          <w:b/>
          <w:bCs/>
          <w:kern w:val="2"/>
          <w:sz w:val="22"/>
          <w:szCs w:val="22"/>
          <w14:ligatures w14:val="standardContextual"/>
        </w:rPr>
        <w:t xml:space="preserve"> </w:t>
      </w:r>
      <w:r w:rsidR="00DC25C5">
        <w:rPr>
          <w:rFonts w:ascii="Aptos" w:eastAsia="Aptos" w:hAnsi="Aptos" w:cs="Arial"/>
          <w:b/>
          <w:bCs/>
          <w:kern w:val="2"/>
          <w:sz w:val="22"/>
          <w:szCs w:val="22"/>
          <w14:ligatures w14:val="standardContextual"/>
        </w:rPr>
        <w:t xml:space="preserve">from the region </w:t>
      </w:r>
      <w:r w:rsidR="00292A11" w:rsidRPr="00292A11">
        <w:rPr>
          <w:rFonts w:ascii="Aptos" w:eastAsia="Aptos" w:hAnsi="Aptos" w:cs="Arial"/>
          <w:b/>
          <w:bCs/>
          <w:kern w:val="2"/>
          <w:sz w:val="22"/>
          <w:szCs w:val="22"/>
          <w14:ligatures w14:val="standardContextual"/>
        </w:rPr>
        <w:t>demonstrate the transformative power of digital connectivity.</w:t>
      </w:r>
      <w:r w:rsidR="00292A11" w:rsidRPr="00292A11">
        <w:rPr>
          <w:rFonts w:ascii="Aptos" w:eastAsia="Aptos" w:hAnsi="Aptos" w:cs="Arial"/>
          <w:kern w:val="2"/>
          <w:sz w:val="22"/>
          <w:szCs w:val="22"/>
          <w14:ligatures w14:val="standardContextual"/>
        </w:rPr>
        <w:t xml:space="preserve"> The second part of this document showcases a selection of ITU-supported initiatives that highlight the impact of digital inclusion across the region. The ICT Network Bootcamp in Guatemala trained indigenous and rural leaders to build and manage community networks. The Dominican Republic and Paraguay advanced e-waste regulations to promote sustainable digital development. In the Caribbean, the Smart Seas Project equips small-scale fishers with digital tools for maritime safety. The Americas Girls Can Code initiative in Argentina fosters coding and STEM skills among young women. Uruguay’s broadband mapping project enhances digital infrastructure planning, and ITU’s disaster response efforts, such as after Hurricane Beryl, highlight the role of resilient telecommunications in crises.</w:t>
      </w:r>
    </w:p>
    <w:p w14:paraId="46FC0294" w14:textId="5A0F7FB7" w:rsidR="006C41B5" w:rsidRPr="003D0AEA" w:rsidRDefault="00AD30BE" w:rsidP="00A35ABD">
      <w:pPr>
        <w:rPr>
          <w:rFonts w:ascii="Aptos" w:eastAsia="Aptos" w:hAnsi="Aptos" w:cs="Arial"/>
          <w:kern w:val="2"/>
          <w:sz w:val="22"/>
          <w:szCs w:val="22"/>
          <w14:ligatures w14:val="standardContextual"/>
        </w:rPr>
      </w:pPr>
      <w:r w:rsidRPr="00C6262C">
        <w:rPr>
          <w:rFonts w:ascii="Aptos" w:eastAsia="Aptos" w:hAnsi="Aptos" w:cs="Arial"/>
          <w:b/>
          <w:bCs/>
          <w:kern w:val="2"/>
          <w:sz w:val="22"/>
          <w:szCs w:val="22"/>
          <w14:ligatures w14:val="standardContextual"/>
        </w:rPr>
        <w:t>Achieving universal and meaningful connectivity will require a collective eff</w:t>
      </w:r>
      <w:r w:rsidRPr="00AD30BE">
        <w:rPr>
          <w:rFonts w:ascii="Aptos" w:eastAsia="Aptos" w:hAnsi="Aptos" w:cs="Arial"/>
          <w:b/>
          <w:bCs/>
          <w:kern w:val="2"/>
          <w:sz w:val="22"/>
          <w:szCs w:val="22"/>
          <w14:ligatures w14:val="standardContextual"/>
        </w:rPr>
        <w:t>ort.</w:t>
      </w:r>
      <w:r w:rsidRPr="00235F1C">
        <w:rPr>
          <w:rFonts w:ascii="Aptos" w:eastAsia="Aptos" w:hAnsi="Aptos" w:cs="Arial"/>
          <w:b/>
          <w:bCs/>
          <w:kern w:val="2"/>
          <w:sz w:val="22"/>
          <w:szCs w:val="22"/>
          <w14:ligatures w14:val="standardContextual"/>
        </w:rPr>
        <w:t xml:space="preserve"> </w:t>
      </w:r>
      <w:r w:rsidRPr="00AD30BE">
        <w:rPr>
          <w:rFonts w:ascii="Aptos" w:eastAsia="Aptos" w:hAnsi="Aptos" w:cs="Arial"/>
          <w:kern w:val="2"/>
          <w:sz w:val="22"/>
          <w:szCs w:val="22"/>
          <w14:ligatures w14:val="standardContextual"/>
        </w:rPr>
        <w:t xml:space="preserve">Governments, the private sector, and international organizations must work together to expand infrastructure, improve affordability, and strengthen digital skills. Enhancing regulatory cooperation, addressing cybersecurity risks, and implementing sustainable e-waste policies will be essential. </w:t>
      </w:r>
      <w:r w:rsidR="0038009E" w:rsidRPr="00235F1C">
        <w:rPr>
          <w:rFonts w:ascii="Aptos" w:eastAsia="Aptos" w:hAnsi="Aptos" w:cs="Arial"/>
          <w:kern w:val="2"/>
          <w:sz w:val="22"/>
          <w:szCs w:val="22"/>
          <w14:ligatures w14:val="standardContextual"/>
        </w:rPr>
        <w:t xml:space="preserve">Strategies must be tailored to recognize the vast geographical, demographic, and socio-economic disparities across the region, as well as the differing levels of digital development </w:t>
      </w:r>
      <w:r w:rsidR="0038009E">
        <w:rPr>
          <w:rFonts w:ascii="Aptos" w:eastAsia="Aptos" w:hAnsi="Aptos" w:cs="Arial"/>
          <w:kern w:val="2"/>
          <w:sz w:val="22"/>
          <w:szCs w:val="22"/>
          <w14:ligatures w14:val="standardContextual"/>
        </w:rPr>
        <w:t xml:space="preserve">and </w:t>
      </w:r>
      <w:r w:rsidR="0038009E" w:rsidRPr="00235F1C">
        <w:rPr>
          <w:rFonts w:ascii="Aptos" w:eastAsia="Aptos" w:hAnsi="Aptos" w:cs="Arial"/>
          <w:kern w:val="2"/>
          <w:sz w:val="22"/>
          <w:szCs w:val="22"/>
          <w14:ligatures w14:val="standardContextual"/>
        </w:rPr>
        <w:t>varying national capacitie</w:t>
      </w:r>
      <w:r w:rsidR="0038009E">
        <w:rPr>
          <w:rFonts w:ascii="Aptos" w:eastAsia="Aptos" w:hAnsi="Aptos" w:cs="Arial"/>
          <w:kern w:val="2"/>
          <w:sz w:val="22"/>
          <w:szCs w:val="22"/>
          <w14:ligatures w14:val="standardContextual"/>
        </w:rPr>
        <w:t>s</w:t>
      </w:r>
      <w:r w:rsidR="0038009E" w:rsidRPr="00235F1C">
        <w:rPr>
          <w:rFonts w:ascii="Aptos" w:eastAsia="Aptos" w:hAnsi="Aptos" w:cs="Arial"/>
          <w:kern w:val="2"/>
          <w:sz w:val="22"/>
          <w:szCs w:val="22"/>
          <w14:ligatures w14:val="standardContextual"/>
        </w:rPr>
        <w:t xml:space="preserve">. </w:t>
      </w:r>
      <w:r w:rsidR="0038009E">
        <w:rPr>
          <w:rFonts w:ascii="Aptos" w:eastAsia="Aptos" w:hAnsi="Aptos" w:cs="Arial"/>
          <w:kern w:val="2"/>
          <w:sz w:val="22"/>
          <w:szCs w:val="22"/>
          <w14:ligatures w14:val="standardContextual"/>
        </w:rPr>
        <w:t xml:space="preserve"> </w:t>
      </w:r>
    </w:p>
    <w:p w14:paraId="73EC1CB8" w14:textId="77777777" w:rsidR="00AC0748" w:rsidRDefault="00AC0748">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40"/>
          <w:szCs w:val="40"/>
          <w14:ligatures w14:val="standardContextual"/>
        </w:rPr>
      </w:pPr>
      <w:bookmarkStart w:id="7" w:name="_Toc190883382"/>
      <w:r>
        <w:br w:type="page"/>
      </w:r>
    </w:p>
    <w:p w14:paraId="4CFBC4AD" w14:textId="0484C0FB" w:rsidR="006C41B5" w:rsidRPr="003D0AEA" w:rsidRDefault="006C41B5" w:rsidP="00AF1DE3">
      <w:pPr>
        <w:pStyle w:val="Parttitle0"/>
      </w:pPr>
      <w:r w:rsidRPr="003D0AEA">
        <w:lastRenderedPageBreak/>
        <w:t>Part 1</w:t>
      </w:r>
      <w:r w:rsidR="006731EB" w:rsidRPr="003D0AEA">
        <w:t>.</w:t>
      </w:r>
      <w:r w:rsidRPr="003D0AEA">
        <w:t xml:space="preserve"> The state of digital connectivity in </w:t>
      </w:r>
      <w:r w:rsidR="005A322E">
        <w:t>t</w:t>
      </w:r>
      <w:r w:rsidR="00060A76">
        <w:t>he Americas</w:t>
      </w:r>
      <w:r w:rsidRPr="003D0AEA">
        <w:t xml:space="preserve"> and recent trends</w:t>
      </w:r>
      <w:bookmarkEnd w:id="7"/>
    </w:p>
    <w:p w14:paraId="71B503AD" w14:textId="77777777" w:rsidR="006C41B5" w:rsidRPr="003D0AEA" w:rsidRDefault="006C41B5" w:rsidP="00A217F8">
      <w:pPr>
        <w:pStyle w:val="Section"/>
      </w:pPr>
      <w:bookmarkStart w:id="8" w:name="_Toc190883383"/>
      <w:r w:rsidRPr="003D0AEA">
        <w:t>ICT regulation and digital policy frameworks</w:t>
      </w:r>
      <w:bookmarkEnd w:id="8"/>
    </w:p>
    <w:p w14:paraId="3DCA0AD3" w14:textId="12D8A76B" w:rsidR="009513AD" w:rsidRPr="009513AD" w:rsidRDefault="009513AD" w:rsidP="009513A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9513AD">
        <w:rPr>
          <w:rFonts w:ascii="Aptos" w:eastAsia="Aptos" w:hAnsi="Aptos" w:cs="Arial"/>
          <w:kern w:val="2"/>
          <w:sz w:val="22"/>
          <w:szCs w:val="22"/>
          <w14:ligatures w14:val="standardContextual"/>
        </w:rPr>
        <w:t>The evolving landscape of ICT regulation and digital policy frameworks play a critical role in driving an inclusive and sustainable digital transformation as well as fostering thriving digital economies. To ensure national frameworks remain effective and adaptive, it is crucial to assess progress, identify best practices and address existing gaps.</w:t>
      </w:r>
    </w:p>
    <w:p w14:paraId="6452F417" w14:textId="796E107A" w:rsidR="006C41B5" w:rsidRPr="003D0AEA" w:rsidRDefault="00C16B0B"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C16B0B">
        <w:rPr>
          <w:rFonts w:ascii="Aptos" w:eastAsia="Aptos" w:hAnsi="Aptos" w:cs="Arial"/>
          <w:b/>
          <w:bCs/>
          <w:i/>
          <w:iCs/>
          <w:kern w:val="2"/>
          <w:sz w:val="22"/>
          <w:szCs w:val="22"/>
          <w14:ligatures w14:val="standardContextual"/>
        </w:rPr>
        <w:t xml:space="preserve">ICT </w:t>
      </w:r>
      <w:r>
        <w:rPr>
          <w:rFonts w:ascii="Aptos" w:eastAsia="Aptos" w:hAnsi="Aptos" w:cs="Arial"/>
          <w:b/>
          <w:bCs/>
          <w:i/>
          <w:iCs/>
          <w:kern w:val="2"/>
          <w:sz w:val="22"/>
          <w:szCs w:val="22"/>
          <w14:ligatures w14:val="standardContextual"/>
        </w:rPr>
        <w:t>r</w:t>
      </w:r>
      <w:r w:rsidRPr="00C16B0B">
        <w:rPr>
          <w:rFonts w:ascii="Aptos" w:eastAsia="Aptos" w:hAnsi="Aptos" w:cs="Arial"/>
          <w:b/>
          <w:bCs/>
          <w:i/>
          <w:iCs/>
          <w:kern w:val="2"/>
          <w:sz w:val="22"/>
          <w:szCs w:val="22"/>
          <w14:ligatures w14:val="standardContextual"/>
        </w:rPr>
        <w:t>egulation in the Americas: steady progress, but momentum slowing down</w:t>
      </w:r>
    </w:p>
    <w:p w14:paraId="2B421E36" w14:textId="6C878769" w:rsidR="00ED7819" w:rsidRPr="00ED7819" w:rsidRDefault="00ED7819" w:rsidP="00ED781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ED7819">
        <w:rPr>
          <w:rFonts w:ascii="Aptos" w:eastAsia="Aptos" w:hAnsi="Aptos" w:cs="Arial"/>
          <w:kern w:val="2"/>
          <w:sz w:val="22"/>
          <w:szCs w:val="22"/>
          <w14:ligatures w14:val="standardContextual"/>
        </w:rPr>
        <w:t xml:space="preserve">Over the past 15 years, ICT regulation has reshaped markets across the Americas. Today, two-thirds of countries in the region have adopted advanced regulatory frameworks, classified as Generation 3 (G3) or Generation 4 (G4). Leading the way were Brazil and the United States who became the first in the region to join the group of G4 countries in 2010. </w:t>
      </w:r>
      <w:r w:rsidR="00584346">
        <w:rPr>
          <w:rFonts w:ascii="Aptos" w:eastAsia="Aptos" w:hAnsi="Aptos" w:cs="Arial"/>
          <w:kern w:val="2"/>
          <w:sz w:val="22"/>
          <w:szCs w:val="22"/>
          <w14:ligatures w14:val="standardContextual"/>
        </w:rPr>
        <w:t>At that time, t</w:t>
      </w:r>
      <w:r w:rsidR="00584346" w:rsidRPr="00ED7819">
        <w:rPr>
          <w:rFonts w:ascii="Aptos" w:eastAsia="Aptos" w:hAnsi="Aptos" w:cs="Arial"/>
          <w:kern w:val="2"/>
          <w:sz w:val="22"/>
          <w:szCs w:val="22"/>
          <w14:ligatures w14:val="standardContextual"/>
        </w:rPr>
        <w:t xml:space="preserve">here </w:t>
      </w:r>
      <w:r w:rsidRPr="00ED7819">
        <w:rPr>
          <w:rFonts w:ascii="Aptos" w:eastAsia="Aptos" w:hAnsi="Aptos" w:cs="Arial"/>
          <w:kern w:val="2"/>
          <w:sz w:val="22"/>
          <w:szCs w:val="22"/>
          <w14:ligatures w14:val="standardContextual"/>
        </w:rPr>
        <w:t xml:space="preserve">were </w:t>
      </w:r>
      <w:r w:rsidR="00584346">
        <w:rPr>
          <w:rFonts w:ascii="Aptos" w:eastAsia="Aptos" w:hAnsi="Aptos" w:cs="Arial"/>
          <w:kern w:val="2"/>
          <w:sz w:val="22"/>
          <w:szCs w:val="22"/>
          <w14:ligatures w14:val="standardContextual"/>
        </w:rPr>
        <w:t xml:space="preserve">only </w:t>
      </w:r>
      <w:r w:rsidRPr="00ED7819">
        <w:rPr>
          <w:rFonts w:ascii="Aptos" w:eastAsia="Aptos" w:hAnsi="Aptos" w:cs="Arial"/>
          <w:kern w:val="2"/>
          <w:sz w:val="22"/>
          <w:szCs w:val="22"/>
          <w14:ligatures w14:val="standardContextual"/>
        </w:rPr>
        <w:t xml:space="preserve">24 </w:t>
      </w:r>
      <w:r w:rsidR="00F229C3">
        <w:rPr>
          <w:rFonts w:ascii="Aptos" w:eastAsia="Aptos" w:hAnsi="Aptos" w:cs="Arial"/>
          <w:kern w:val="2"/>
          <w:sz w:val="22"/>
          <w:szCs w:val="22"/>
          <w14:ligatures w14:val="standardContextual"/>
        </w:rPr>
        <w:t xml:space="preserve">countries </w:t>
      </w:r>
      <w:r w:rsidR="006B2124">
        <w:rPr>
          <w:rFonts w:ascii="Aptos" w:eastAsia="Aptos" w:hAnsi="Aptos" w:cs="Arial"/>
          <w:kern w:val="2"/>
          <w:sz w:val="22"/>
          <w:szCs w:val="22"/>
          <w14:ligatures w14:val="standardContextual"/>
        </w:rPr>
        <w:t>in the G4</w:t>
      </w:r>
      <w:r w:rsidR="00DD6DE4">
        <w:rPr>
          <w:rFonts w:ascii="Aptos" w:eastAsia="Aptos" w:hAnsi="Aptos" w:cs="Arial"/>
          <w:kern w:val="2"/>
          <w:sz w:val="22"/>
          <w:szCs w:val="22"/>
          <w14:ligatures w14:val="standardContextual"/>
        </w:rPr>
        <w:t xml:space="preserve"> category </w:t>
      </w:r>
      <w:r w:rsidRPr="00ED7819">
        <w:rPr>
          <w:rFonts w:ascii="Aptos" w:eastAsia="Aptos" w:hAnsi="Aptos" w:cs="Arial"/>
          <w:kern w:val="2"/>
          <w:sz w:val="22"/>
          <w:szCs w:val="22"/>
          <w14:ligatures w14:val="standardContextual"/>
        </w:rPr>
        <w:t xml:space="preserve">worldwide </w:t>
      </w:r>
      <w:r w:rsidR="00993E0B">
        <w:rPr>
          <w:rFonts w:ascii="Aptos" w:eastAsia="Aptos" w:hAnsi="Aptos" w:cs="Arial"/>
          <w:kern w:val="2"/>
          <w:sz w:val="22"/>
          <w:szCs w:val="22"/>
          <w14:ligatures w14:val="standardContextual"/>
        </w:rPr>
        <w:t xml:space="preserve">compared with </w:t>
      </w:r>
      <w:r w:rsidRPr="00ED7819">
        <w:rPr>
          <w:rFonts w:ascii="Aptos" w:eastAsia="Aptos" w:hAnsi="Aptos" w:cs="Arial"/>
          <w:kern w:val="2"/>
          <w:sz w:val="22"/>
          <w:szCs w:val="22"/>
          <w14:ligatures w14:val="standardContextual"/>
        </w:rPr>
        <w:t xml:space="preserve">74 today. </w:t>
      </w:r>
    </w:p>
    <w:p w14:paraId="228DB657" w14:textId="77777777" w:rsidR="00ED7819" w:rsidRPr="00ED7819" w:rsidRDefault="00ED7819" w:rsidP="00ED781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ED7819">
        <w:rPr>
          <w:rFonts w:ascii="Aptos" w:eastAsia="Aptos" w:hAnsi="Aptos" w:cs="Arial"/>
          <w:kern w:val="2"/>
          <w:sz w:val="22"/>
          <w:szCs w:val="22"/>
          <w14:ligatures w14:val="standardContextual"/>
        </w:rPr>
        <w:t>However, since 2015, regulatory evolution in the region has slowed, with few countries graduating to a higher generation. Two countries remain in Generation 1 (G1) today, trailing regional leaders by more than 60 percentage points.</w:t>
      </w:r>
    </w:p>
    <w:p w14:paraId="6BE39072" w14:textId="062F6727"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003D0AEA">
        <w:rPr>
          <w:rFonts w:ascii="AvenirNext LT Pro Light" w:eastAsia="Yu Gothic Light" w:hAnsi="AvenirNext LT Pro Light" w:cs="Calibri"/>
          <w:color w:val="0070C0"/>
          <w:spacing w:val="-10"/>
          <w:kern w:val="28"/>
        </w:rPr>
        <w:t>Evolution of the generations of ICT regulation in</w:t>
      </w:r>
      <w:r w:rsidR="007D5F22" w:rsidRPr="003D0AEA">
        <w:t xml:space="preserve"> </w:t>
      </w:r>
      <w:r w:rsidR="005A322E">
        <w:t>t</w:t>
      </w:r>
      <w:r w:rsidR="00060A76">
        <w:rPr>
          <w:rFonts w:ascii="AvenirNext LT Pro Light" w:eastAsia="Yu Gothic Light" w:hAnsi="AvenirNext LT Pro Light" w:cs="Calibri"/>
          <w:color w:val="0070C0"/>
          <w:spacing w:val="-10"/>
          <w:kern w:val="28"/>
        </w:rPr>
        <w:t>he Americas</w:t>
      </w:r>
    </w:p>
    <w:p w14:paraId="14294720" w14:textId="6A8EAD01" w:rsidR="006C41B5" w:rsidRPr="003D0AEA" w:rsidRDefault="00FB6926"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7E8FFF7D" wp14:editId="442C1BB8">
            <wp:extent cx="6120765" cy="3065145"/>
            <wp:effectExtent l="0" t="0" r="0" b="1905"/>
            <wp:docPr id="1738058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5865"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20765" cy="3065145"/>
                    </a:xfrm>
                    <a:prstGeom prst="rect">
                      <a:avLst/>
                    </a:prstGeom>
                  </pic:spPr>
                </pic:pic>
              </a:graphicData>
            </a:graphic>
          </wp:inline>
        </w:drawing>
      </w:r>
    </w:p>
    <w:p w14:paraId="66B64067" w14:textId="4AF8BB99" w:rsidR="00F77576" w:rsidRPr="003D0AEA" w:rsidRDefault="00F77576" w:rsidP="00EB15E6">
      <w:pPr>
        <w:pStyle w:val="notetext"/>
      </w:pPr>
      <w:r w:rsidRPr="003D0AEA">
        <w:t xml:space="preserve">Note: The ‘Generations of ICT regulation’ provides a high-level conceptual framework for assessing the overall development of national legal instruments, policies and governance for the ICT and digital sectors. Generations 1 through 4 are based on </w:t>
      </w:r>
      <w:hyperlink r:id="rId14" w:history="1">
        <w:r w:rsidRPr="003D0AEA">
          <w:t>ICT Regulatory Tracker</w:t>
        </w:r>
      </w:hyperlink>
      <w:r w:rsidR="002D3677" w:rsidRPr="003D0AEA">
        <w:t xml:space="preserve"> s</w:t>
      </w:r>
      <w:r w:rsidRPr="003D0AEA">
        <w:t>cores:</w:t>
      </w:r>
    </w:p>
    <w:p w14:paraId="78D1ADE5" w14:textId="77777777" w:rsidR="00F77576" w:rsidRPr="003D0AEA" w:rsidRDefault="00F77576" w:rsidP="00EB15E6">
      <w:pPr>
        <w:pStyle w:val="notetext"/>
      </w:pPr>
      <w:r w:rsidRPr="003D0AEA">
        <w:t xml:space="preserve">G1 – Command and control approach: score between 0 and 40 </w:t>
      </w:r>
      <w:r w:rsidRPr="003D0AEA">
        <w:br/>
        <w:t xml:space="preserve">G2 – Early open markets: score between 40 and 70 </w:t>
      </w:r>
      <w:r w:rsidRPr="003D0AEA">
        <w:br/>
        <w:t xml:space="preserve">G3 – Enabling investment and access: score between 70 and 85 </w:t>
      </w:r>
      <w:r w:rsidRPr="003D0AEA">
        <w:br/>
        <w:t>G4 – Integrated telecommunication regulation: score between 85 and 100</w:t>
      </w:r>
    </w:p>
    <w:p w14:paraId="1F091B69" w14:textId="77777777" w:rsidR="00F77576" w:rsidRPr="003D0AEA" w:rsidRDefault="00F77576" w:rsidP="00EB15E6">
      <w:pPr>
        <w:pStyle w:val="notetext"/>
      </w:pPr>
      <w:r w:rsidRPr="003D0AEA">
        <w:t>Data for 2021 is unavailable; 2020 data is used as a proxy for 2021.</w:t>
      </w:r>
    </w:p>
    <w:p w14:paraId="3B6D504E" w14:textId="77777777" w:rsidR="00F77576" w:rsidRPr="003D0AEA" w:rsidRDefault="00F77576" w:rsidP="00EB15E6">
      <w:pPr>
        <w:pStyle w:val="Sourcetext"/>
      </w:pPr>
      <w:r w:rsidRPr="003D0AEA">
        <w:t>Source: ITU</w:t>
      </w:r>
    </w:p>
    <w:p w14:paraId="1C149110" w14:textId="07CE0ADD" w:rsidR="00C51C78" w:rsidRPr="00C51C78" w:rsidRDefault="00C51C78" w:rsidP="00C51C7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51C78">
        <w:rPr>
          <w:rFonts w:ascii="Aptos" w:eastAsia="Aptos" w:hAnsi="Aptos" w:cs="Arial"/>
          <w:kern w:val="2"/>
          <w:sz w:val="22"/>
          <w:szCs w:val="22"/>
          <w14:ligatures w14:val="standardContextual"/>
        </w:rPr>
        <w:lastRenderedPageBreak/>
        <w:t xml:space="preserve">Countries with different geographical profiles have evolved at a different pace. While a slight majority of </w:t>
      </w:r>
      <w:r w:rsidR="00892627">
        <w:rPr>
          <w:rFonts w:ascii="Aptos" w:eastAsia="Aptos" w:hAnsi="Aptos" w:cs="Arial"/>
          <w:kern w:val="2"/>
          <w:sz w:val="22"/>
          <w:szCs w:val="22"/>
          <w14:ligatures w14:val="standardContextual"/>
        </w:rPr>
        <w:t>S</w:t>
      </w:r>
      <w:r w:rsidRPr="00C51C78">
        <w:rPr>
          <w:rFonts w:ascii="Aptos" w:eastAsia="Aptos" w:hAnsi="Aptos" w:cs="Arial"/>
          <w:kern w:val="2"/>
          <w:sz w:val="22"/>
          <w:szCs w:val="22"/>
          <w14:ligatures w14:val="standardContextual"/>
        </w:rPr>
        <w:t xml:space="preserve">mall </w:t>
      </w:r>
      <w:r w:rsidR="00892627">
        <w:rPr>
          <w:rFonts w:ascii="Aptos" w:eastAsia="Aptos" w:hAnsi="Aptos" w:cs="Arial"/>
          <w:kern w:val="2"/>
          <w:sz w:val="22"/>
          <w:szCs w:val="22"/>
          <w14:ligatures w14:val="standardContextual"/>
        </w:rPr>
        <w:t>I</w:t>
      </w:r>
      <w:r w:rsidRPr="00C51C78">
        <w:rPr>
          <w:rFonts w:ascii="Aptos" w:eastAsia="Aptos" w:hAnsi="Aptos" w:cs="Arial"/>
          <w:kern w:val="2"/>
          <w:sz w:val="22"/>
          <w:szCs w:val="22"/>
          <w14:ligatures w14:val="standardContextual"/>
        </w:rPr>
        <w:t xml:space="preserve">sland </w:t>
      </w:r>
      <w:r w:rsidR="00892627">
        <w:rPr>
          <w:rFonts w:ascii="Aptos" w:eastAsia="Aptos" w:hAnsi="Aptos" w:cs="Arial"/>
          <w:kern w:val="2"/>
          <w:sz w:val="22"/>
          <w:szCs w:val="22"/>
          <w14:ligatures w14:val="standardContextual"/>
        </w:rPr>
        <w:t>D</w:t>
      </w:r>
      <w:r w:rsidRPr="00C51C78">
        <w:rPr>
          <w:rFonts w:ascii="Aptos" w:eastAsia="Aptos" w:hAnsi="Aptos" w:cs="Arial"/>
          <w:kern w:val="2"/>
          <w:sz w:val="22"/>
          <w:szCs w:val="22"/>
          <w14:ligatures w14:val="standardContextual"/>
        </w:rPr>
        <w:t xml:space="preserve">eveloping </w:t>
      </w:r>
      <w:r w:rsidR="00892627">
        <w:rPr>
          <w:rFonts w:ascii="Aptos" w:eastAsia="Aptos" w:hAnsi="Aptos" w:cs="Arial"/>
          <w:kern w:val="2"/>
          <w:sz w:val="22"/>
          <w:szCs w:val="22"/>
          <w14:ligatures w14:val="standardContextual"/>
        </w:rPr>
        <w:t>S</w:t>
      </w:r>
      <w:r w:rsidRPr="00C51C78">
        <w:rPr>
          <w:rFonts w:ascii="Aptos" w:eastAsia="Aptos" w:hAnsi="Aptos" w:cs="Arial"/>
          <w:kern w:val="2"/>
          <w:sz w:val="22"/>
          <w:szCs w:val="22"/>
          <w14:ligatures w14:val="standardContextual"/>
        </w:rPr>
        <w:t xml:space="preserve">tates (SIDS) remain in G1 and G2, others have transitioned to more advanced regulatory frameworks. Three SIDS – Bahamas, Dominican Republic and Trinidad and Tobago – have reached G4, in 2022. Meanwhile, the region’s two landlocked developing countries (LLDCs), Bolivia and Paraguay, have progressed to G2. </w:t>
      </w:r>
    </w:p>
    <w:p w14:paraId="5C0DD1E7" w14:textId="77777777" w:rsidR="00C51C78" w:rsidRPr="00C51C78" w:rsidRDefault="00C51C78" w:rsidP="00C51C7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51C78">
        <w:rPr>
          <w:rFonts w:ascii="Aptos" w:eastAsia="Aptos" w:hAnsi="Aptos" w:cs="Arial"/>
          <w:kern w:val="2"/>
          <w:sz w:val="22"/>
          <w:szCs w:val="22"/>
          <w14:ligatures w14:val="standardContextual"/>
        </w:rPr>
        <w:t xml:space="preserve">Despite these advancements, most countries in the region still need to further evolve their regulatory frameworks to align with global trends and ensure a solid foundation for digital transformation. </w:t>
      </w:r>
    </w:p>
    <w:p w14:paraId="193A6283" w14:textId="4299C334" w:rsidR="00C51C78" w:rsidRPr="00C51C78" w:rsidRDefault="00C51C78" w:rsidP="00C51C7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C51C78">
        <w:rPr>
          <w:rFonts w:ascii="Aptos" w:eastAsia="Aptos" w:hAnsi="Aptos" w:cs="Arial"/>
          <w:b/>
          <w:bCs/>
          <w:i/>
          <w:iCs/>
          <w:kern w:val="2"/>
          <w:sz w:val="22"/>
          <w:szCs w:val="22"/>
          <w14:ligatures w14:val="standardContextual"/>
        </w:rPr>
        <w:t>Fragmented development of digital governance</w:t>
      </w:r>
    </w:p>
    <w:p w14:paraId="6FE1FC07" w14:textId="72E50746" w:rsidR="00C51C78" w:rsidRPr="00C51C78" w:rsidRDefault="00C51C78" w:rsidP="00C51C7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51C78">
        <w:rPr>
          <w:rFonts w:ascii="Aptos" w:eastAsia="Aptos" w:hAnsi="Aptos" w:cs="Arial"/>
          <w:kern w:val="2"/>
          <w:sz w:val="22"/>
          <w:szCs w:val="22"/>
          <w14:ligatures w14:val="standardContextual"/>
        </w:rPr>
        <w:t>With regards to digital governance, both Latin America and North America have their champions in G5 – the gold standards for collaborative digital regulation</w:t>
      </w:r>
      <w:r w:rsidR="00F8461C">
        <w:rPr>
          <w:rFonts w:ascii="Aptos" w:eastAsia="Aptos" w:hAnsi="Aptos" w:cs="Arial"/>
          <w:kern w:val="2"/>
          <w:sz w:val="22"/>
          <w:szCs w:val="22"/>
          <w14:ligatures w14:val="standardContextual"/>
        </w:rPr>
        <w:t>.</w:t>
      </w:r>
      <w:r w:rsidRPr="00C51C78">
        <w:rPr>
          <w:rFonts w:ascii="Aptos" w:eastAsia="Aptos" w:hAnsi="Aptos" w:cs="Arial"/>
          <w:kern w:val="2"/>
          <w:sz w:val="22"/>
          <w:szCs w:val="22"/>
          <w14:ligatures w14:val="standardContextual"/>
        </w:rPr>
        <w:t xml:space="preserve"> </w:t>
      </w:r>
      <w:r w:rsidR="00F8461C">
        <w:rPr>
          <w:rFonts w:ascii="Aptos" w:eastAsia="Aptos" w:hAnsi="Aptos" w:cs="Arial"/>
          <w:kern w:val="2"/>
          <w:sz w:val="22"/>
          <w:szCs w:val="22"/>
          <w14:ligatures w14:val="standardContextual"/>
        </w:rPr>
        <w:t>I</w:t>
      </w:r>
      <w:r w:rsidRPr="00C51C78">
        <w:rPr>
          <w:rFonts w:ascii="Aptos" w:eastAsia="Aptos" w:hAnsi="Aptos" w:cs="Arial"/>
          <w:kern w:val="2"/>
          <w:sz w:val="22"/>
          <w:szCs w:val="22"/>
          <w14:ligatures w14:val="standardContextual"/>
        </w:rPr>
        <w:t>n 2023. Canada and Colombia are in the top 10 countries in the world, joining the select group of 19 nations in the Leading tier of the G5 Benchmark.</w:t>
      </w:r>
      <w:r w:rsidR="00F648F8">
        <w:rPr>
          <w:rStyle w:val="FootnoteReference"/>
          <w:rFonts w:eastAsia="Aptos" w:cs="Arial"/>
          <w:kern w:val="2"/>
          <w:szCs w:val="22"/>
          <w14:ligatures w14:val="standardContextual"/>
        </w:rPr>
        <w:footnoteReference w:id="2"/>
      </w:r>
      <w:r w:rsidRPr="00C51C78">
        <w:rPr>
          <w:rFonts w:ascii="Aptos" w:eastAsia="Aptos" w:hAnsi="Aptos" w:cs="Arial"/>
          <w:kern w:val="2"/>
          <w:sz w:val="22"/>
          <w:szCs w:val="22"/>
          <w14:ligatures w14:val="standardContextual"/>
        </w:rPr>
        <w:t xml:space="preserve"> North America, along with Europe, remain the only regions with an average G5 Benchmark at the Advanced threshold or higher, reflecting the prevalence of national formal collaboration mechanisms and institutions, the implementation of well-developed policy design principles, the implementation of digital economy enabling frameworks and a strong national digital agenda.</w:t>
      </w:r>
    </w:p>
    <w:p w14:paraId="4B8E7A79" w14:textId="77777777" w:rsidR="00C51C78" w:rsidRPr="00C51C78" w:rsidRDefault="00C51C78" w:rsidP="00C51C7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51C78">
        <w:rPr>
          <w:rFonts w:ascii="Aptos" w:eastAsia="Aptos" w:hAnsi="Aptos" w:cs="Arial"/>
          <w:kern w:val="2"/>
          <w:sz w:val="22"/>
          <w:szCs w:val="22"/>
          <w14:ligatures w14:val="standardContextual"/>
        </w:rPr>
        <w:t xml:space="preserve">In contrast, two-thirds of countries in the region still linger in either the Limited or Transitioning level in G5 – reflecting significant fragmentation between the most and least advanced. Apart from the Dominican Republic, all SIDS and the two LLDCs in the region fall in this category, signalling systemic challenges and persistent barriers to progress in digital governance. </w:t>
      </w:r>
    </w:p>
    <w:p w14:paraId="33FD5D62" w14:textId="1F9B405B" w:rsidR="00C51C78" w:rsidRPr="00C51C78" w:rsidRDefault="00C51C78" w:rsidP="00C51C7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C51C78">
        <w:rPr>
          <w:rFonts w:ascii="Aptos" w:eastAsia="Aptos" w:hAnsi="Aptos" w:cs="Arial"/>
          <w:b/>
          <w:bCs/>
          <w:i/>
          <w:iCs/>
          <w:kern w:val="2"/>
          <w:sz w:val="22"/>
          <w:szCs w:val="22"/>
          <w14:ligatures w14:val="standardContextual"/>
        </w:rPr>
        <w:t xml:space="preserve">Readiness of national frameworks in the </w:t>
      </w:r>
      <w:r>
        <w:rPr>
          <w:rFonts w:ascii="Aptos" w:eastAsia="Aptos" w:hAnsi="Aptos" w:cs="Arial"/>
          <w:b/>
          <w:bCs/>
          <w:i/>
          <w:iCs/>
          <w:kern w:val="2"/>
          <w:sz w:val="22"/>
          <w:szCs w:val="22"/>
          <w14:ligatures w14:val="standardContextual"/>
        </w:rPr>
        <w:t>A</w:t>
      </w:r>
      <w:r w:rsidRPr="00C51C78">
        <w:rPr>
          <w:rFonts w:ascii="Aptos" w:eastAsia="Aptos" w:hAnsi="Aptos" w:cs="Arial"/>
          <w:b/>
          <w:bCs/>
          <w:i/>
          <w:iCs/>
          <w:kern w:val="2"/>
          <w:sz w:val="22"/>
          <w:szCs w:val="22"/>
          <w14:ligatures w14:val="standardContextual"/>
        </w:rPr>
        <w:t>mericas aligns with world trends, but SIDS fall behind</w:t>
      </w:r>
    </w:p>
    <w:p w14:paraId="19F441E2" w14:textId="5D6E29D6" w:rsidR="00C51C78" w:rsidRPr="00C51C78" w:rsidRDefault="00C51C78" w:rsidP="00C51C7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51C78">
        <w:rPr>
          <w:rFonts w:ascii="Aptos" w:eastAsia="Aptos" w:hAnsi="Aptos" w:cs="Arial"/>
          <w:kern w:val="2"/>
          <w:sz w:val="22"/>
          <w:szCs w:val="22"/>
          <w14:ligatures w14:val="standardContextual"/>
        </w:rPr>
        <w:t xml:space="preserve">Achieving universal and meaningful connectivity and inclusive digital economies require advanced digital readiness of national policy, legal and governance frameworks, supported by strong ICT regulation and adaptable digital governance. Countries must create balanced and coherent national frameworks and successfully implement them </w:t>
      </w:r>
      <w:r w:rsidR="0076582E" w:rsidRPr="00563970">
        <w:rPr>
          <w:rFonts w:ascii="Aptos" w:eastAsia="Aptos" w:hAnsi="Aptos" w:cs="Arial"/>
          <w:kern w:val="2"/>
          <w:sz w:val="22"/>
          <w:szCs w:val="22"/>
          <w14:ligatures w14:val="standardContextual"/>
        </w:rPr>
        <w:t>to</w:t>
      </w:r>
      <w:r w:rsidRPr="00C51C78">
        <w:rPr>
          <w:rFonts w:ascii="Aptos" w:eastAsia="Aptos" w:hAnsi="Aptos" w:cs="Arial"/>
          <w:kern w:val="2"/>
          <w:sz w:val="22"/>
          <w:szCs w:val="22"/>
          <w14:ligatures w14:val="standardContextual"/>
        </w:rPr>
        <w:t xml:space="preserve"> facilitate digital transformation across all sectors. Modern national frameworks aligned with good regulatory practice are also essential for regional harmonization and economic integration, making ICT and digital policies top priorities for both national and regional development agendas.</w:t>
      </w:r>
    </w:p>
    <w:p w14:paraId="13A503AF" w14:textId="77777777" w:rsidR="00487443" w:rsidRPr="003D0AEA" w:rsidRDefault="00487443" w:rsidP="00487443">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lastRenderedPageBreak/>
        <w:t>Legal, policy and governance frameworks for digital transformation, 2023</w:t>
      </w:r>
    </w:p>
    <w:p w14:paraId="3C8B0194" w14:textId="03A87DF1" w:rsidR="00487443" w:rsidRPr="003D0AEA" w:rsidRDefault="0007046D" w:rsidP="0048744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71F42A70" wp14:editId="1ADE7618">
            <wp:extent cx="6120765" cy="2931160"/>
            <wp:effectExtent l="0" t="0" r="0" b="2540"/>
            <wp:docPr id="13389072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07260"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6120765" cy="2931160"/>
                    </a:xfrm>
                    <a:prstGeom prst="rect">
                      <a:avLst/>
                    </a:prstGeom>
                  </pic:spPr>
                </pic:pic>
              </a:graphicData>
            </a:graphic>
          </wp:inline>
        </w:drawing>
      </w:r>
    </w:p>
    <w:p w14:paraId="7BC2CE08" w14:textId="77777777" w:rsidR="00141E2F" w:rsidRPr="004468FB" w:rsidRDefault="00141E2F" w:rsidP="00141E2F">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after="60"/>
        <w:textAlignment w:val="center"/>
        <w:rPr>
          <w:rFonts w:ascii="Aptos" w:eastAsia="Aptos" w:hAnsi="Aptos" w:cs="Arial"/>
          <w:kern w:val="2"/>
          <w:sz w:val="16"/>
          <w:szCs w:val="28"/>
          <w14:ligatures w14:val="standardContextual"/>
        </w:rPr>
      </w:pPr>
      <w:r w:rsidRPr="004468FB">
        <w:rPr>
          <w:rFonts w:ascii="Aptos" w:eastAsia="Aptos" w:hAnsi="Aptos"/>
          <w:kern w:val="2"/>
          <w:sz w:val="16"/>
          <w14:ligatures w14:val="standardContextual"/>
        </w:rPr>
        <w:t xml:space="preserve">Note: </w:t>
      </w:r>
      <w:r w:rsidRPr="004468FB">
        <w:rPr>
          <w:rFonts w:ascii="Aptos" w:eastAsia="Aptos" w:hAnsi="Aptos" w:cs="Arial"/>
          <w:kern w:val="2"/>
          <w:sz w:val="16"/>
          <w:szCs w:val="28"/>
          <w14:ligatures w14:val="standardContextual"/>
        </w:rPr>
        <w:t xml:space="preserve">The nine thematic benchmarks (as in the chart above) each comprise a subset of indicators, as part of the </w:t>
      </w:r>
      <w:hyperlink r:id="rId17" w:history="1">
        <w:r w:rsidRPr="004468FB">
          <w:rPr>
            <w:rFonts w:ascii="Aptos" w:eastAsia="Aptos" w:hAnsi="Aptos" w:cs="Arial"/>
            <w:color w:val="467886"/>
            <w:kern w:val="2"/>
            <w:sz w:val="16"/>
            <w:szCs w:val="16"/>
            <w:u w:val="single"/>
            <w14:ligatures w14:val="standardContextual"/>
          </w:rPr>
          <w:t>ITU Unified Framework for the readiness of national policy, legal and governance frameworks for digital transformation</w:t>
        </w:r>
      </w:hyperlink>
      <w:r w:rsidRPr="004468FB">
        <w:rPr>
          <w:rFonts w:ascii="Aptos" w:eastAsia="Aptos" w:hAnsi="Aptos" w:cs="Arial"/>
          <w:kern w:val="2"/>
          <w:sz w:val="16"/>
          <w:szCs w:val="28"/>
          <w14:ligatures w14:val="standardContextual"/>
        </w:rPr>
        <w:t xml:space="preserve">. </w:t>
      </w:r>
    </w:p>
    <w:p w14:paraId="7B670044" w14:textId="5BD555D8" w:rsidR="00141E2F" w:rsidRPr="005F7253" w:rsidRDefault="00141E2F" w:rsidP="00141E2F">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4468FB">
        <w:rPr>
          <w:rFonts w:ascii="Aptos" w:eastAsia="Aptos" w:hAnsi="Aptos"/>
          <w:kern w:val="2"/>
          <w:sz w:val="16"/>
          <w14:ligatures w14:val="standardContextual"/>
        </w:rPr>
        <w:t xml:space="preserve">The chart shows progress on the nine benchmarks for </w:t>
      </w:r>
      <w:r>
        <w:rPr>
          <w:rFonts w:ascii="Aptos" w:eastAsia="Aptos" w:hAnsi="Aptos"/>
          <w:kern w:val="2"/>
          <w:sz w:val="16"/>
          <w14:ligatures w14:val="standardContextual"/>
        </w:rPr>
        <w:t>the Americas</w:t>
      </w:r>
      <w:r w:rsidRPr="004468FB">
        <w:rPr>
          <w:rFonts w:ascii="Aptos" w:eastAsia="Aptos" w:hAnsi="Aptos"/>
          <w:kern w:val="2"/>
          <w:sz w:val="16"/>
          <w14:ligatures w14:val="standardContextual"/>
        </w:rPr>
        <w:t xml:space="preserve"> region (average for the group) compared to the world average and the average for SIDS (1</w:t>
      </w:r>
      <w:r>
        <w:rPr>
          <w:rFonts w:ascii="Aptos" w:eastAsia="Aptos" w:hAnsi="Aptos"/>
          <w:kern w:val="2"/>
          <w:sz w:val="16"/>
          <w14:ligatures w14:val="standardContextual"/>
        </w:rPr>
        <w:t>6</w:t>
      </w:r>
      <w:r w:rsidRPr="004468FB">
        <w:rPr>
          <w:rFonts w:ascii="Aptos" w:eastAsia="Aptos" w:hAnsi="Aptos"/>
          <w:kern w:val="2"/>
          <w:sz w:val="16"/>
          <w14:ligatures w14:val="standardContextual"/>
        </w:rPr>
        <w:t xml:space="preserve"> countries, including </w:t>
      </w:r>
      <w:r>
        <w:rPr>
          <w:rFonts w:ascii="Aptos" w:eastAsia="Aptos" w:hAnsi="Aptos"/>
          <w:kern w:val="2"/>
          <w:sz w:val="16"/>
          <w14:ligatures w14:val="standardContextual"/>
        </w:rPr>
        <w:t>one</w:t>
      </w:r>
      <w:r w:rsidRPr="004468FB">
        <w:rPr>
          <w:rFonts w:ascii="Aptos" w:eastAsia="Aptos" w:hAnsi="Aptos"/>
          <w:kern w:val="2"/>
          <w:sz w:val="16"/>
          <w14:ligatures w14:val="standardContextual"/>
        </w:rPr>
        <w:t xml:space="preserve"> LDCs)</w:t>
      </w:r>
      <w:r>
        <w:rPr>
          <w:rFonts w:ascii="Aptos" w:eastAsia="Aptos" w:hAnsi="Aptos"/>
          <w:kern w:val="2"/>
          <w:sz w:val="16"/>
          <w14:ligatures w14:val="standardContextual"/>
        </w:rPr>
        <w:t xml:space="preserve"> and LLDCs (2 countries) in the region</w:t>
      </w:r>
      <w:r w:rsidRPr="004468FB">
        <w:rPr>
          <w:rFonts w:ascii="Aptos" w:eastAsia="Aptos" w:hAnsi="Aptos"/>
          <w:kern w:val="2"/>
          <w:sz w:val="16"/>
          <w14:ligatures w14:val="standardContextual"/>
        </w:rPr>
        <w:t>.</w:t>
      </w:r>
      <w:r w:rsidRPr="004468FB">
        <w:rPr>
          <w:rFonts w:ascii="Aptos" w:eastAsia="Aptos" w:hAnsi="Aptos" w:cs="Arial"/>
          <w:kern w:val="2"/>
          <w:sz w:val="16"/>
          <w:szCs w:val="28"/>
          <w14:ligatures w14:val="standardContextual"/>
        </w:rPr>
        <w:t xml:space="preserve"> The percentage of achievement on each benchmark indicates the proportion of met versus unmet targets on indicators in each benchmark.</w:t>
      </w:r>
    </w:p>
    <w:p w14:paraId="1097ADB1" w14:textId="6A1021F2" w:rsidR="00487443" w:rsidRPr="003D0AEA" w:rsidRDefault="00487443" w:rsidP="00AA12FA">
      <w:pPr>
        <w:pStyle w:val="notetext"/>
      </w:pPr>
      <w:r w:rsidRPr="003D0AEA">
        <w:t xml:space="preserve">Note: The nine thematic benchmarks (as in the chart above) each comprise a subset of indicators, as part of the </w:t>
      </w:r>
    </w:p>
    <w:p w14:paraId="25EF212A" w14:textId="77777777" w:rsidR="00487443" w:rsidRPr="003D0AEA" w:rsidRDefault="00487443" w:rsidP="00487443">
      <w:pPr>
        <w:pStyle w:val="Sourcetext"/>
      </w:pPr>
      <w:r w:rsidRPr="003D0AEA">
        <w:t>Source: ITU</w:t>
      </w:r>
    </w:p>
    <w:p w14:paraId="4EF059F9" w14:textId="77777777" w:rsidR="00F13E0E" w:rsidRPr="000F4EAC" w:rsidRDefault="00F13E0E" w:rsidP="000F4EA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0F4EAC">
        <w:rPr>
          <w:rFonts w:ascii="Aptos" w:eastAsia="Aptos" w:hAnsi="Aptos" w:cs="Arial"/>
          <w:kern w:val="2"/>
          <w:sz w:val="22"/>
          <w:szCs w:val="22"/>
          <w14:ligatures w14:val="standardContextual"/>
        </w:rPr>
        <w:t xml:space="preserve">The overall readiness of national frameworks for digital transformation in the Americas of 50 per cent is closely aligned with the world average of 51 per cent, in 2023. Across the nine thematic benchmarks, five are on par with global trends. Notably, the region also performs above the world average in Good Governance (63 per cent) and Market Rules (64 per cent), exceeding global levels by five percentage points. Regional and International Cooperation is however less advanced – registering just 29 per cent, compared to the world average of 36 per cent. </w:t>
      </w:r>
    </w:p>
    <w:p w14:paraId="75B87AB9" w14:textId="6647D779" w:rsidR="00F13E0E" w:rsidRPr="000F4EAC" w:rsidRDefault="00F13E0E" w:rsidP="000F4EA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0F4EAC">
        <w:rPr>
          <w:rFonts w:ascii="Aptos" w:eastAsia="Aptos" w:hAnsi="Aptos" w:cs="Arial"/>
          <w:kern w:val="2"/>
          <w:sz w:val="22"/>
          <w:szCs w:val="22"/>
          <w14:ligatures w14:val="standardContextual"/>
        </w:rPr>
        <w:t xml:space="preserve">SIDS overall readiness of 46 per cent lags the regional average, also behind North and Latin America which stand at 77 and 49 per cent, respectively. While performing in line with the regional average, LLDCs show stronger performance in Good Governance and Collaborative Governance but score significantly lower in Instruments for ICT Markets. Both SIDS and LLDCs outperform the regional average in Regulatory Capacity, likely </w:t>
      </w:r>
      <w:r w:rsidR="0076582E" w:rsidRPr="00563970">
        <w:rPr>
          <w:rFonts w:ascii="Aptos" w:eastAsia="Aptos" w:hAnsi="Aptos" w:cs="Arial"/>
          <w:kern w:val="2"/>
          <w:sz w:val="22"/>
          <w:szCs w:val="22"/>
          <w14:ligatures w14:val="standardContextual"/>
        </w:rPr>
        <w:t>because of</w:t>
      </w:r>
      <w:r w:rsidRPr="000F4EAC">
        <w:rPr>
          <w:rFonts w:ascii="Aptos" w:eastAsia="Aptos" w:hAnsi="Aptos" w:cs="Arial"/>
          <w:kern w:val="2"/>
          <w:sz w:val="22"/>
          <w:szCs w:val="22"/>
          <w14:ligatures w14:val="standardContextual"/>
        </w:rPr>
        <w:t xml:space="preserve"> long-term international development aid and capacity building. This relative advantage can be leveraged to accelerate ICT regulatory reform and digital governance in these countries, as strong institutional arrangements are a necessary foundation for both.  </w:t>
      </w:r>
    </w:p>
    <w:p w14:paraId="4149002C" w14:textId="77777777" w:rsidR="00F13E0E" w:rsidRPr="000F4EAC" w:rsidRDefault="00F13E0E" w:rsidP="000F4EA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0F4EAC">
        <w:rPr>
          <w:rFonts w:ascii="Aptos" w:eastAsia="Aptos" w:hAnsi="Aptos" w:cs="Arial"/>
          <w:kern w:val="2"/>
          <w:sz w:val="22"/>
          <w:szCs w:val="22"/>
          <w14:ligatures w14:val="standardContextual"/>
        </w:rPr>
        <w:t xml:space="preserve">The Americas region performs relatively high in the Collaborative Governance benchmark indicating the development of a whole-of-government culture across the region; in contrast Stakeholder Engagement is achieved at only 30 per cent. Although consistent with the world average of 34 per cent, this area indicates a considerable scope for improvement – particularly given its critical role in the success of digital transformation initiatives. Interestingly, SIDS and LLDCs surpass the Latin America average of 26 per cent in this area, the lowest in the region. </w:t>
      </w:r>
    </w:p>
    <w:p w14:paraId="2898604B" w14:textId="77777777" w:rsidR="00F13E0E" w:rsidRPr="000F4EAC" w:rsidRDefault="00F13E0E" w:rsidP="000F4EA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0F4EAC">
        <w:rPr>
          <w:rFonts w:ascii="Aptos" w:eastAsia="Aptos" w:hAnsi="Aptos" w:cs="Arial"/>
          <w:kern w:val="2"/>
          <w:sz w:val="22"/>
          <w:szCs w:val="22"/>
          <w14:ligatures w14:val="standardContextual"/>
        </w:rPr>
        <w:t xml:space="preserve">National Digital Agendas including universal access policies and strategies for meaningfully connecting targeted groups such as women, youth and persons with disabilities are relatively well </w:t>
      </w:r>
      <w:r w:rsidRPr="000F4EAC">
        <w:rPr>
          <w:rFonts w:ascii="Aptos" w:eastAsia="Aptos" w:hAnsi="Aptos" w:cs="Arial"/>
          <w:kern w:val="2"/>
          <w:sz w:val="22"/>
          <w:szCs w:val="22"/>
          <w14:ligatures w14:val="standardContextual"/>
        </w:rPr>
        <w:lastRenderedPageBreak/>
        <w:t>developed across the Americas, with the regional benchmark standing at 42 per cent. SIDS and LLDC trail at 29 and 31 per cent, respectively – in stark contrast with North America achieving 77 per cent. Further efforts are necessary to ensure adequate policy environment for an inclusive digital development in these countries.</w:t>
      </w:r>
    </w:p>
    <w:p w14:paraId="78B2DB95" w14:textId="14DEF832" w:rsidR="00F13E0E" w:rsidRPr="000F4EAC" w:rsidRDefault="00F13E0E" w:rsidP="000F4EA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0F4EAC">
        <w:rPr>
          <w:rFonts w:ascii="Aptos" w:eastAsia="Aptos" w:hAnsi="Aptos" w:cs="Arial"/>
          <w:kern w:val="2"/>
          <w:sz w:val="22"/>
          <w:szCs w:val="22"/>
          <w14:ligatures w14:val="standardContextual"/>
        </w:rPr>
        <w:t xml:space="preserve">All benchmarks have significant potential for improvement through stronger Regional and International Cooperation. The limited regional economic integration and lack of harmonization in ICT market frameworks constrain opportunities for regionalized innovation, the development of digital ecosystems and economies of scale. SIDS and Latin America are particularly affected, with only 24 per cent and 28 per cent of countries, respectively, participating in regional ICT integration initiatives. Greater collaboration and policy alignment will be key to overcoming the current gaps and ensuring inclusive progress in digital transformation. </w:t>
      </w:r>
    </w:p>
    <w:p w14:paraId="009EE821" w14:textId="29C4C5E4" w:rsidR="00F13E0E" w:rsidRPr="00F13E0E" w:rsidRDefault="00F13E0E" w:rsidP="00F13E0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F13E0E">
        <w:rPr>
          <w:rFonts w:ascii="Aptos" w:eastAsia="Aptos" w:hAnsi="Aptos" w:cs="Arial"/>
          <w:b/>
          <w:bCs/>
          <w:i/>
          <w:iCs/>
          <w:kern w:val="2"/>
          <w:sz w:val="22"/>
          <w:szCs w:val="22"/>
          <w14:ligatures w14:val="standardContextual"/>
        </w:rPr>
        <w:t xml:space="preserve">Disparities </w:t>
      </w:r>
      <w:r w:rsidR="000F4EAC">
        <w:rPr>
          <w:rFonts w:ascii="Aptos" w:eastAsia="Aptos" w:hAnsi="Aptos" w:cs="Arial"/>
          <w:b/>
          <w:bCs/>
          <w:i/>
          <w:iCs/>
          <w:kern w:val="2"/>
          <w:sz w:val="22"/>
          <w:szCs w:val="22"/>
          <w14:ligatures w14:val="standardContextual"/>
        </w:rPr>
        <w:t>b</w:t>
      </w:r>
      <w:r w:rsidRPr="00F13E0E">
        <w:rPr>
          <w:rFonts w:ascii="Aptos" w:eastAsia="Aptos" w:hAnsi="Aptos" w:cs="Arial"/>
          <w:b/>
          <w:bCs/>
          <w:i/>
          <w:iCs/>
          <w:kern w:val="2"/>
          <w:sz w:val="22"/>
          <w:szCs w:val="22"/>
          <w14:ligatures w14:val="standardContextual"/>
        </w:rPr>
        <w:t xml:space="preserve">etween ICT </w:t>
      </w:r>
      <w:r w:rsidR="000F4EAC" w:rsidRPr="00F13E0E">
        <w:rPr>
          <w:rFonts w:ascii="Aptos" w:eastAsia="Aptos" w:hAnsi="Aptos" w:cs="Arial"/>
          <w:b/>
          <w:bCs/>
          <w:i/>
          <w:iCs/>
          <w:kern w:val="2"/>
          <w:sz w:val="22"/>
          <w:szCs w:val="22"/>
          <w14:ligatures w14:val="standardContextual"/>
        </w:rPr>
        <w:t>regulation and digital governance persist</w:t>
      </w:r>
    </w:p>
    <w:p w14:paraId="6B3BFD59" w14:textId="77777777" w:rsidR="00F13E0E" w:rsidRPr="000F4EAC" w:rsidRDefault="00F13E0E" w:rsidP="000F4EA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0F4EAC">
        <w:rPr>
          <w:rFonts w:ascii="Aptos" w:eastAsia="Aptos" w:hAnsi="Aptos" w:cs="Arial"/>
          <w:kern w:val="2"/>
          <w:sz w:val="22"/>
          <w:szCs w:val="22"/>
          <w14:ligatures w14:val="standardContextual"/>
        </w:rPr>
        <w:t xml:space="preserve">Across all regions, ICT regulatory maturity is more advanced than digital governance. While ICT regulation has evolved through successive waves of reforms since the 1990s, digital policies have emerged more recently and remain more fragmented. In many areas, the blueprint for good practice is still being defined. Policymakers and regulators must keep pace with the rapid development of new digital technologies and services, assess their impact on consumers, governments and the economy, and develop adaptive and forward-looking policy and regulatory frameworks, allowing to multiply the benefits of new digital services while mitigating risks.  </w:t>
      </w:r>
    </w:p>
    <w:p w14:paraId="7773247C" w14:textId="6D2229E6" w:rsidR="00F13E0E" w:rsidRPr="000F4EAC" w:rsidRDefault="00F13E0E" w:rsidP="000F4EA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0F4EAC">
        <w:rPr>
          <w:rFonts w:ascii="Aptos" w:eastAsia="Aptos" w:hAnsi="Aptos" w:cs="Arial"/>
          <w:kern w:val="2"/>
          <w:sz w:val="22"/>
          <w:szCs w:val="22"/>
          <w14:ligatures w14:val="standardContextual"/>
        </w:rPr>
        <w:t xml:space="preserve">According to ITU benchmarks, the level of development of ICT regulation globally stands at 59 per cent, whereas digital governance </w:t>
      </w:r>
      <w:r w:rsidR="00DE42A4" w:rsidRPr="00563970">
        <w:rPr>
          <w:rFonts w:ascii="Aptos" w:eastAsia="Aptos" w:hAnsi="Aptos" w:cs="Arial"/>
          <w:kern w:val="2"/>
          <w:sz w:val="22"/>
          <w:szCs w:val="22"/>
          <w14:ligatures w14:val="standardContextual"/>
        </w:rPr>
        <w:t>lags</w:t>
      </w:r>
      <w:r w:rsidRPr="000F4EAC">
        <w:rPr>
          <w:rFonts w:ascii="Aptos" w:eastAsia="Aptos" w:hAnsi="Aptos" w:cs="Arial"/>
          <w:kern w:val="2"/>
          <w:sz w:val="22"/>
          <w:szCs w:val="22"/>
          <w14:ligatures w14:val="standardContextual"/>
        </w:rPr>
        <w:t xml:space="preserve"> at 39 per cent – leaving a persistent 20-percentage-point gap. The disparity is even greater in the Americas region, where the difference reaches 25 percentage points, despite overall benchmarks aligning with global trends. SIDS and LLDCs perform significantly lower on both measures, with SIDS facing a 28-percentage-point gap. Addressing these gaps is crucial to accelerating access, adoption and value creation driven by digital technologies in these countries.</w:t>
      </w:r>
    </w:p>
    <w:p w14:paraId="20B16D94" w14:textId="2D9D8E37" w:rsidR="006C41B5" w:rsidRPr="003D0AEA" w:rsidRDefault="00DD3629"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DD3629">
        <w:rPr>
          <w:rFonts w:ascii="AvenirNext LT Pro Light" w:eastAsia="Yu Gothic Light" w:hAnsi="AvenirNext LT Pro Light" w:cs="Calibri"/>
          <w:color w:val="0070C0"/>
          <w:spacing w:val="-10"/>
          <w:kern w:val="28"/>
          <w:szCs w:val="24"/>
        </w:rPr>
        <w:lastRenderedPageBreak/>
        <w:t>ICT and digital policy instruments in the Americas, 2023</w:t>
      </w:r>
      <w:r w:rsidR="00A408EA" w:rsidRPr="003D0AEA">
        <w:rPr>
          <w:rFonts w:ascii="AvenirNext LT Pro Light" w:eastAsia="Yu Gothic Light" w:hAnsi="AvenirNext LT Pro Light" w:cs="Calibri"/>
          <w:color w:val="0070C0"/>
          <w:spacing w:val="-10"/>
          <w:kern w:val="28"/>
          <w:szCs w:val="24"/>
        </w:rPr>
        <w:t xml:space="preserve"> </w:t>
      </w:r>
    </w:p>
    <w:p w14:paraId="07CC672E" w14:textId="6696D780" w:rsidR="00BB2B5A" w:rsidRPr="00025DF6" w:rsidRDefault="008F5290" w:rsidP="00BB2B5A">
      <w:pPr>
        <w:pStyle w:val="paragraph"/>
        <w:spacing w:before="0" w:beforeAutospacing="0" w:after="120" w:afterAutospacing="0"/>
        <w:textAlignment w:val="baseline"/>
        <w:rPr>
          <w:rStyle w:val="eop"/>
          <w:rFonts w:ascii="Aptos" w:eastAsiaTheme="majorEastAsia" w:hAnsi="Aptos" w:cs="Segoe UI"/>
          <w:sz w:val="16"/>
          <w:szCs w:val="16"/>
        </w:rPr>
      </w:pPr>
      <w:r>
        <w:rPr>
          <w:noProof/>
        </w:rPr>
        <w:drawing>
          <wp:inline distT="0" distB="0" distL="0" distR="0" wp14:anchorId="43D636BF" wp14:editId="5571C38E">
            <wp:extent cx="6120765" cy="4001770"/>
            <wp:effectExtent l="0" t="0" r="0" b="0"/>
            <wp:docPr id="14986421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42106"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120765" cy="4001770"/>
                    </a:xfrm>
                    <a:prstGeom prst="rect">
                      <a:avLst/>
                    </a:prstGeom>
                  </pic:spPr>
                </pic:pic>
              </a:graphicData>
            </a:graphic>
          </wp:inline>
        </w:drawing>
      </w:r>
      <w:r w:rsidR="00BB2B5A" w:rsidRPr="00025DF6">
        <w:rPr>
          <w:rFonts w:ascii="Aptos" w:eastAsia="Aptos" w:hAnsi="Aptos"/>
          <w:kern w:val="2"/>
          <w:sz w:val="16"/>
          <w14:ligatures w14:val="standardContextual"/>
        </w:rPr>
        <w:t xml:space="preserve">Note: </w:t>
      </w:r>
      <w:r w:rsidR="00BB2B5A" w:rsidRPr="00025DF6">
        <w:rPr>
          <w:rStyle w:val="normaltextrun"/>
          <w:rFonts w:ascii="Aptos" w:eastAsiaTheme="majorEastAsia" w:hAnsi="Aptos" w:cs="Segoe UI"/>
          <w:sz w:val="16"/>
          <w:szCs w:val="16"/>
        </w:rPr>
        <w:t>The region’s average scores for key indicators in the Legal Instruments for Telecom/ICT Markets, Legal Instruments for Digital Markets and Market Rules benchmarks under the ITU Unified Framework are compared to the averages for SIDS and LLDCs in the region, and the world average. </w:t>
      </w:r>
      <w:r w:rsidR="00BB2B5A" w:rsidRPr="00025DF6">
        <w:rPr>
          <w:rStyle w:val="eop"/>
          <w:rFonts w:ascii="Aptos" w:eastAsiaTheme="majorEastAsia" w:hAnsi="Aptos" w:cs="Segoe UI"/>
          <w:sz w:val="16"/>
          <w:szCs w:val="16"/>
        </w:rPr>
        <w:t> </w:t>
      </w:r>
    </w:p>
    <w:p w14:paraId="479EF819" w14:textId="77777777" w:rsidR="00BB2B5A" w:rsidRPr="00541831" w:rsidRDefault="00BB2B5A" w:rsidP="00BB2B5A">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kern w:val="2"/>
          <w:sz w:val="16"/>
          <w14:ligatures w14:val="standardContextual"/>
        </w:rPr>
      </w:pPr>
      <w:r w:rsidRPr="00025DF6">
        <w:rPr>
          <w:rFonts w:ascii="Aptos" w:eastAsia="Aptos" w:hAnsi="Aptos"/>
          <w:kern w:val="2"/>
          <w:sz w:val="16"/>
          <w14:ligatures w14:val="standardContextual"/>
        </w:rPr>
        <w:t>Source: ITU</w:t>
      </w:r>
    </w:p>
    <w:p w14:paraId="3A0E80D1" w14:textId="77777777" w:rsidR="003016E0" w:rsidRPr="003016E0" w:rsidRDefault="003016E0" w:rsidP="003016E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016E0">
        <w:rPr>
          <w:rFonts w:ascii="Aptos" w:eastAsia="Aptos" w:hAnsi="Aptos" w:cs="Arial"/>
          <w:kern w:val="2"/>
          <w:sz w:val="22"/>
          <w:szCs w:val="22"/>
          <w14:ligatures w14:val="standardContextual"/>
        </w:rPr>
        <w:t>The Americas region maintains strong regulatory provisions in key ICT market areas, with 83 per cent of countries enforcing market dominance regulations and 77 per cent mandating infrastructure sharing of essential facilities – both surpassing global averages of 71 per cent and 68 per cent. In another cross-cutting regulatory area, unified licensing, the regional average of 46 per cent falls 10 percentage points below the global average. Regulatory disparities also persist across different country groups. While approximately half of SIDS have provisions for market dominance and unified licensing, only a quarter have implemented mobile number portability. No LLDC in the region has introduced unified licensing frameworks.</w:t>
      </w:r>
    </w:p>
    <w:p w14:paraId="5970B0DC" w14:textId="5FA4DA3E" w:rsidR="003016E0" w:rsidRPr="003016E0" w:rsidRDefault="003016E0" w:rsidP="003016E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016E0">
        <w:rPr>
          <w:rFonts w:ascii="Aptos" w:eastAsia="Aptos" w:hAnsi="Aptos" w:cs="Arial"/>
          <w:kern w:val="2"/>
          <w:sz w:val="22"/>
          <w:szCs w:val="22"/>
          <w14:ligatures w14:val="standardContextual"/>
        </w:rPr>
        <w:t>Infrastructure-sharing is a critical area illustrating the same trend. The business practice plays a key role in expanding digital connectivity, particularly in underserved areas. Three-quarters of SIDS have a regulatory obligation for sharing network facilities. However, there are no frameworks in place for cross-sector infrastructure sharing leveraging assets across sectors such as energy, transport and telecommunications in SIDS and LLDCs in the region.</w:t>
      </w:r>
    </w:p>
    <w:p w14:paraId="533DC714" w14:textId="77777777" w:rsidR="003016E0" w:rsidRPr="003016E0" w:rsidRDefault="003016E0" w:rsidP="003016E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016E0">
        <w:rPr>
          <w:rFonts w:ascii="Aptos" w:eastAsia="Aptos" w:hAnsi="Aptos" w:cs="Arial"/>
          <w:kern w:val="2"/>
          <w:sz w:val="22"/>
          <w:szCs w:val="22"/>
          <w14:ligatures w14:val="standardContextual"/>
        </w:rPr>
        <w:t xml:space="preserve">Overall, digital policy and regulatory instruments remain limited across the Americas. Merely 10 per cent of countries in the region have competition policies tailored to digital markets, ensuring a level playing field for traditional and over-the-top market players. </w:t>
      </w:r>
    </w:p>
    <w:p w14:paraId="040B3E55" w14:textId="77777777" w:rsidR="003016E0" w:rsidRPr="003016E0" w:rsidRDefault="003016E0" w:rsidP="003016E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016E0">
        <w:rPr>
          <w:rFonts w:ascii="Aptos" w:eastAsia="Aptos" w:hAnsi="Aptos" w:cs="Arial"/>
          <w:kern w:val="2"/>
          <w:sz w:val="22"/>
          <w:szCs w:val="22"/>
          <w14:ligatures w14:val="standardContextual"/>
        </w:rPr>
        <w:t xml:space="preserve">Stronger digital regulation and continued development of ICT regulatory frameworks are essential for achieving universal and meaningful connectivity across the region. These will also enable SIDS and </w:t>
      </w:r>
      <w:r w:rsidRPr="003016E0">
        <w:rPr>
          <w:rFonts w:ascii="Aptos" w:eastAsia="Aptos" w:hAnsi="Aptos" w:cs="Arial"/>
          <w:kern w:val="2"/>
          <w:sz w:val="22"/>
          <w:szCs w:val="22"/>
          <w14:ligatures w14:val="standardContextual"/>
        </w:rPr>
        <w:lastRenderedPageBreak/>
        <w:t>LLDCs to develop their national digital markets while integrating into broader regional digital ecosystems.</w:t>
      </w:r>
    </w:p>
    <w:p w14:paraId="7FD792F3" w14:textId="2664C4AA" w:rsidR="006C41B5" w:rsidRPr="003D0AEA" w:rsidRDefault="0056591F"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56591F">
        <w:rPr>
          <w:rFonts w:ascii="Aptos" w:eastAsia="Aptos" w:hAnsi="Aptos" w:cs="Arial"/>
          <w:b/>
          <w:bCs/>
          <w:i/>
          <w:iCs/>
          <w:kern w:val="2"/>
          <w:sz w:val="22"/>
          <w:szCs w:val="22"/>
          <w14:ligatures w14:val="standardContextual"/>
        </w:rPr>
        <w:t>SIDS and LLDCs must create a conducive policy environment for emerging technologies</w:t>
      </w:r>
    </w:p>
    <w:p w14:paraId="4D9AAF4A" w14:textId="77777777" w:rsidR="00485310" w:rsidRPr="00485310" w:rsidRDefault="00485310" w:rsidP="0048531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485310">
        <w:rPr>
          <w:rFonts w:ascii="Aptos" w:eastAsia="Aptos" w:hAnsi="Aptos" w:cs="Arial"/>
          <w:kern w:val="2"/>
          <w:sz w:val="22"/>
          <w:szCs w:val="22"/>
          <w14:ligatures w14:val="standardContextual"/>
        </w:rPr>
        <w:t>SIDS and LLDCs across all regions face significant challenges and multi-dimensional vulnerabilities in their overall development and in digital transformation.</w:t>
      </w:r>
    </w:p>
    <w:p w14:paraId="424377BC" w14:textId="72383846" w:rsidR="00485310" w:rsidRPr="00485310" w:rsidRDefault="00485310" w:rsidP="0048531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485310">
        <w:rPr>
          <w:rFonts w:ascii="Aptos" w:eastAsia="Aptos" w:hAnsi="Aptos" w:cs="Arial"/>
          <w:kern w:val="2"/>
          <w:sz w:val="22"/>
          <w:szCs w:val="22"/>
          <w14:ligatures w14:val="standardContextual"/>
        </w:rPr>
        <w:t>At the Fourth International Conference on Small Island Developing States (SIDS4) held in Antigua and Barbuda in May 2024, UN Member States adopted the ‘Antigua and Barbuda Agenda for Small Island Developing States: A Renewed Declaration for Resilient Prosperity’</w:t>
      </w:r>
      <w:r w:rsidR="003422FD">
        <w:rPr>
          <w:rStyle w:val="FootnoteReference"/>
          <w:rFonts w:eastAsia="Aptos" w:cs="Arial"/>
          <w:kern w:val="2"/>
          <w:szCs w:val="22"/>
          <w14:ligatures w14:val="standardContextual"/>
        </w:rPr>
        <w:footnoteReference w:id="3"/>
      </w:r>
      <w:r w:rsidRPr="00485310">
        <w:rPr>
          <w:rFonts w:ascii="Aptos" w:eastAsia="Aptos" w:hAnsi="Aptos" w:cs="Arial"/>
          <w:kern w:val="2"/>
          <w:sz w:val="22"/>
          <w:szCs w:val="22"/>
          <w14:ligatures w14:val="standardContextual"/>
        </w:rPr>
        <w:t xml:space="preserve"> to mobilize international catalytic actions and funding to support SIDS in critical development areas. A key area of action identified was Science, Technology, Innovation (STI) and Digitalization, calling for building the necessary ecosystems, institutions and capacity for promoting and leveraging STI and digital technologies to drive economic growth and sustainable development.</w:t>
      </w:r>
    </w:p>
    <w:p w14:paraId="31553692" w14:textId="77777777" w:rsidR="00485310" w:rsidRPr="00485310" w:rsidRDefault="00485310" w:rsidP="0048531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485310">
        <w:rPr>
          <w:rFonts w:ascii="Aptos" w:eastAsia="Aptos" w:hAnsi="Aptos" w:cs="Arial"/>
          <w:kern w:val="2"/>
          <w:sz w:val="22"/>
          <w:szCs w:val="22"/>
          <w14:ligatures w14:val="standardContextual"/>
        </w:rPr>
        <w:t>The Caribbean is one of the three main regions where SIDS are located. The institutional and policy landscape for digital and emerging technologies in these states remains uneven and, overall, underdeveloped, limiting opportunities for economic diversification and new market development. Fewer than 20 per cent of Caribbean countries have adopted national digital strategies, which are fundamental to accelerating digital transformation, as of 2023. Innovation policies indispensable for scaling STI are in place in only 13 per cent of these countries. However, a positive development is that nearly all Caribbean SIDS have implemented e-commerce strategies, which can support e-trade and foster digital entrepreneurship.</w:t>
      </w:r>
    </w:p>
    <w:p w14:paraId="1D4BFB53" w14:textId="4CC9601E" w:rsidR="006C41B5" w:rsidRPr="003D0AEA" w:rsidRDefault="00C4294A"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C4294A">
        <w:rPr>
          <w:rFonts w:ascii="AvenirNext LT Pro Light" w:eastAsia="Yu Gothic Light" w:hAnsi="AvenirNext LT Pro Light" w:cs="Calibri"/>
          <w:color w:val="0070C0"/>
          <w:spacing w:val="-10"/>
          <w:kern w:val="28"/>
          <w:szCs w:val="24"/>
        </w:rPr>
        <w:t>Selected digital economy policy instruments</w:t>
      </w:r>
      <w:r w:rsidR="007C6F4E" w:rsidRPr="003D0AEA">
        <w:rPr>
          <w:rFonts w:ascii="AvenirNext LT Pro Light" w:eastAsia="Yu Gothic Light" w:hAnsi="AvenirNext LT Pro Light" w:cs="Calibri"/>
          <w:color w:val="0070C0"/>
          <w:spacing w:val="-10"/>
          <w:kern w:val="28"/>
          <w:szCs w:val="24"/>
        </w:rPr>
        <w:t xml:space="preserve">, </w:t>
      </w:r>
      <w:r w:rsidR="005A322E">
        <w:rPr>
          <w:rFonts w:ascii="AvenirNext LT Pro Light" w:eastAsia="Yu Gothic Light" w:hAnsi="AvenirNext LT Pro Light" w:cs="Calibri"/>
          <w:color w:val="0070C0"/>
          <w:spacing w:val="-10"/>
          <w:kern w:val="28"/>
          <w:szCs w:val="24"/>
        </w:rPr>
        <w:t>t</w:t>
      </w:r>
      <w:r w:rsidR="00060A76">
        <w:rPr>
          <w:rFonts w:ascii="AvenirNext LT Pro Light" w:eastAsia="Yu Gothic Light" w:hAnsi="AvenirNext LT Pro Light" w:cs="Calibri"/>
          <w:color w:val="0070C0"/>
          <w:spacing w:val="-10"/>
          <w:kern w:val="28"/>
          <w:szCs w:val="24"/>
        </w:rPr>
        <w:t>he Americas</w:t>
      </w:r>
      <w:r w:rsidR="007C6F4E" w:rsidRPr="003D0AEA">
        <w:rPr>
          <w:rFonts w:ascii="AvenirNext LT Pro Light" w:eastAsia="Yu Gothic Light" w:hAnsi="AvenirNext LT Pro Light" w:cs="Calibri"/>
          <w:color w:val="0070C0"/>
          <w:spacing w:val="-10"/>
          <w:kern w:val="28"/>
          <w:szCs w:val="24"/>
        </w:rPr>
        <w:t>, 2023</w:t>
      </w:r>
    </w:p>
    <w:p w14:paraId="5FF625C2" w14:textId="2E69A98F" w:rsidR="00E77B09" w:rsidRPr="0021733C" w:rsidRDefault="000744A9" w:rsidP="00E77B09">
      <w:pPr>
        <w:pStyle w:val="paragraph"/>
        <w:spacing w:before="0" w:beforeAutospacing="0" w:after="60" w:afterAutospacing="0"/>
        <w:textAlignment w:val="baseline"/>
        <w:rPr>
          <w:rFonts w:ascii="Segoe UI" w:hAnsi="Segoe UI" w:cs="Segoe UI"/>
          <w:sz w:val="18"/>
          <w:szCs w:val="18"/>
        </w:rPr>
      </w:pPr>
      <w:r>
        <w:rPr>
          <w:noProof/>
        </w:rPr>
        <w:drawing>
          <wp:inline distT="0" distB="0" distL="0" distR="0" wp14:anchorId="269A933E" wp14:editId="1CD937F1">
            <wp:extent cx="6120765" cy="3131185"/>
            <wp:effectExtent l="0" t="0" r="0" b="0"/>
            <wp:docPr id="15250421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42158"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120765" cy="3131185"/>
                    </a:xfrm>
                    <a:prstGeom prst="rect">
                      <a:avLst/>
                    </a:prstGeom>
                  </pic:spPr>
                </pic:pic>
              </a:graphicData>
            </a:graphic>
          </wp:inline>
        </w:drawing>
      </w:r>
      <w:r w:rsidR="00E77B09" w:rsidRPr="0021733C">
        <w:rPr>
          <w:rFonts w:ascii="Aptos" w:eastAsia="Aptos" w:hAnsi="Aptos"/>
          <w:kern w:val="2"/>
          <w:sz w:val="16"/>
          <w14:ligatures w14:val="standardContextual"/>
        </w:rPr>
        <w:t xml:space="preserve">Note: </w:t>
      </w:r>
      <w:r w:rsidR="00E77B09" w:rsidRPr="0021733C">
        <w:rPr>
          <w:rStyle w:val="normaltextrun"/>
          <w:rFonts w:ascii="Aptos" w:eastAsiaTheme="majorEastAsia" w:hAnsi="Aptos" w:cs="Segoe UI"/>
          <w:sz w:val="16"/>
          <w:szCs w:val="16"/>
        </w:rPr>
        <w:t>The regions’ average scores for key indicators in the National Digital Agenda, Legal Instruments for Digital Markets, Stakeholder Engagement and Market Rules benchmarks under the ITU Unified Framework are compared to the averages for SIDS and LLDCs in the region, and the world average. </w:t>
      </w:r>
      <w:r w:rsidR="00E77B09" w:rsidRPr="0021733C">
        <w:rPr>
          <w:rStyle w:val="eop"/>
          <w:rFonts w:ascii="Aptos" w:eastAsiaTheme="majorEastAsia" w:hAnsi="Aptos" w:cs="Segoe UI"/>
          <w:sz w:val="16"/>
          <w:szCs w:val="16"/>
        </w:rPr>
        <w:t> </w:t>
      </w:r>
    </w:p>
    <w:p w14:paraId="157071C5" w14:textId="77777777" w:rsidR="006C41B5" w:rsidRPr="003D0AEA" w:rsidRDefault="006C41B5" w:rsidP="00EB15E6">
      <w:pPr>
        <w:pStyle w:val="Sourcetext"/>
      </w:pPr>
      <w:r w:rsidRPr="003D0AEA">
        <w:t>Source: ITU</w:t>
      </w:r>
    </w:p>
    <w:p w14:paraId="11422DD8" w14:textId="77777777" w:rsidR="002F1A75" w:rsidRPr="002F1A75" w:rsidRDefault="002F1A75" w:rsidP="002F1A7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F1A75">
        <w:rPr>
          <w:rFonts w:ascii="Aptos" w:eastAsia="Aptos" w:hAnsi="Aptos" w:cs="Arial"/>
          <w:kern w:val="2"/>
          <w:sz w:val="22"/>
          <w:szCs w:val="22"/>
          <w14:ligatures w14:val="standardContextual"/>
        </w:rPr>
        <w:lastRenderedPageBreak/>
        <w:t>A key priority requiring urgent attention is the adoption of policies for emerging technologies. No Caribbean SIDS has yet introduced an artificial intelligence or cloud policy, Internet of Things regulations or a forward-looking spectrum strategy, in 2023. The absence of these frameworks creates significant barriers to digital innovation and entrepreneurship, potentially hindering broader economic and development objectives. Additionally, mechanisms for regulatory experimentation and targeted incentives for ICT and digital market players – currently present in only 13 per cent and 6 per cent of SIDS in the region, respectively, can be instrumental in stimulating national and Caribbean digital markets, harnessing STI and advancing digital transformation.</w:t>
      </w:r>
    </w:p>
    <w:p w14:paraId="32E561CE" w14:textId="77777777" w:rsidR="002F1A75" w:rsidRPr="002F1A75" w:rsidRDefault="002F1A75" w:rsidP="002F1A7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F1A75">
        <w:rPr>
          <w:rFonts w:ascii="Aptos" w:eastAsia="Aptos" w:hAnsi="Aptos" w:cs="Arial"/>
          <w:kern w:val="2"/>
          <w:sz w:val="22"/>
          <w:szCs w:val="22"/>
          <w14:ligatures w14:val="standardContextual"/>
        </w:rPr>
        <w:t>To support SIDS on this path, ITU has developed the ‘10-Step Plan for SIDS: Accelerating Sustainable and Inclusive Digital Transformation in SIDS’</w:t>
      </w:r>
      <w:r w:rsidRPr="002F1A75">
        <w:rPr>
          <w:rFonts w:ascii="Aptos" w:eastAsia="Aptos" w:hAnsi="Aptos" w:cs="Arial"/>
          <w:kern w:val="2"/>
          <w:sz w:val="22"/>
          <w:szCs w:val="22"/>
          <w:vertAlign w:val="superscript"/>
          <w14:ligatures w14:val="standardContextual"/>
        </w:rPr>
        <w:footnoteReference w:id="4"/>
      </w:r>
      <w:r w:rsidRPr="002F1A75">
        <w:rPr>
          <w:rFonts w:ascii="Aptos" w:eastAsia="Aptos" w:hAnsi="Aptos" w:cs="Arial"/>
          <w:i/>
          <w:iCs/>
          <w:kern w:val="2"/>
          <w:sz w:val="22"/>
          <w:szCs w:val="22"/>
          <w14:ligatures w14:val="standardContextual"/>
        </w:rPr>
        <w:t>,</w:t>
      </w:r>
      <w:r w:rsidRPr="002F1A75">
        <w:rPr>
          <w:rFonts w:ascii="Aptos" w:eastAsia="Aptos" w:hAnsi="Aptos" w:cs="Arial"/>
          <w:kern w:val="2"/>
          <w:sz w:val="22"/>
          <w:szCs w:val="22"/>
          <w14:ligatures w14:val="standardContextual"/>
        </w:rPr>
        <w:t xml:space="preserve"> which outlines the key action areas where the Telecommunication Development Sector can assist SIDS, particularly in strengthening ICT regulation and digital governance in the region.</w:t>
      </w:r>
    </w:p>
    <w:p w14:paraId="24E5E75E" w14:textId="77777777" w:rsidR="002F1A75" w:rsidRPr="002F1A75" w:rsidRDefault="002F1A75" w:rsidP="002F1A7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F1A75">
        <w:rPr>
          <w:rFonts w:ascii="Aptos" w:eastAsia="Aptos" w:hAnsi="Aptos" w:cs="Arial"/>
          <w:kern w:val="2"/>
          <w:sz w:val="22"/>
          <w:szCs w:val="22"/>
          <w14:ligatures w14:val="standardContextual"/>
        </w:rPr>
        <w:t xml:space="preserve">The ‘Programme of Action for LLDCs </w:t>
      </w:r>
      <w:r w:rsidRPr="00563970">
        <w:rPr>
          <w:rFonts w:ascii="Aptos" w:eastAsia="Aptos" w:hAnsi="Aptos" w:cs="Arial"/>
          <w:kern w:val="2"/>
          <w:sz w:val="22"/>
          <w:szCs w:val="22"/>
          <w14:ligatures w14:val="standardContextual"/>
        </w:rPr>
        <w:t>for the Decade 2024-2034’</w:t>
      </w:r>
      <w:r w:rsidRPr="00563970">
        <w:rPr>
          <w:rFonts w:ascii="Aptos" w:eastAsia="Aptos" w:hAnsi="Aptos" w:cs="Arial"/>
          <w:kern w:val="2"/>
          <w:sz w:val="22"/>
          <w:szCs w:val="22"/>
          <w:vertAlign w:val="superscript"/>
          <w14:ligatures w14:val="standardContextual"/>
        </w:rPr>
        <w:footnoteReference w:id="5"/>
      </w:r>
      <w:r w:rsidRPr="00563970">
        <w:rPr>
          <w:rFonts w:ascii="Aptos" w:eastAsia="Aptos" w:hAnsi="Aptos" w:cs="Arial"/>
          <w:kern w:val="2"/>
          <w:sz w:val="22"/>
          <w:szCs w:val="22"/>
          <w14:ligatures w14:val="standardContextual"/>
        </w:rPr>
        <w:t xml:space="preserve"> was adopted by the UN General Assembly </w:t>
      </w:r>
      <w:r w:rsidRPr="002F1A75">
        <w:rPr>
          <w:rFonts w:ascii="Aptos" w:eastAsia="Aptos" w:hAnsi="Aptos" w:cs="Arial"/>
          <w:kern w:val="2"/>
          <w:sz w:val="22"/>
          <w:szCs w:val="22"/>
          <w14:ligatures w14:val="standardContextual"/>
        </w:rPr>
        <w:t>in December 2024. The Programme calls for strengthening policy measures in LLDCs to support sustainable digital infrastructure, enhance financial inclusion, foster digital innovation and enable the private sector to fully leverage opportunities created by e-commerce and the digital economy.</w:t>
      </w:r>
    </w:p>
    <w:p w14:paraId="22E9B839" w14:textId="77777777" w:rsidR="002F1A75" w:rsidRPr="002F1A75" w:rsidRDefault="002F1A75" w:rsidP="002F1A7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F1A75">
        <w:rPr>
          <w:rFonts w:ascii="Aptos" w:eastAsia="Aptos" w:hAnsi="Aptos" w:cs="Arial"/>
          <w:kern w:val="2"/>
          <w:sz w:val="22"/>
          <w:szCs w:val="22"/>
          <w14:ligatures w14:val="standardContextual"/>
        </w:rPr>
        <w:t xml:space="preserve">Like SIDS, the two LLDCs in the region need to intensify effort to establish enabling policy, legal and governance frameworks for digital transformation. Only one of the countries has a national digital strategy and neither has adopted an innovation policy or a framework for emerging technologies. While the countries’ e-commerce strategies can facilitate the regionalization of trade and business development, targeted policy instruments for emerging technologies can foster virtual digital ecosystem dynamics in LLDCs. </w:t>
      </w:r>
    </w:p>
    <w:p w14:paraId="7B4D2996" w14:textId="77777777" w:rsidR="002F1A75" w:rsidRPr="002F1A75" w:rsidRDefault="002F1A75" w:rsidP="002F1A7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F1A75">
        <w:rPr>
          <w:rFonts w:ascii="Aptos" w:eastAsia="Aptos" w:hAnsi="Aptos" w:cs="Arial"/>
          <w:kern w:val="2"/>
          <w:sz w:val="22"/>
          <w:szCs w:val="22"/>
          <w14:ligatures w14:val="standardContextual"/>
        </w:rPr>
        <w:t>Equipping SIDS and LLDCs with the right policy instruments is a key priority for advancing universal and meaningful connectivity in the Americas and supporting the development of robust national and regional digital ecosystems.</w:t>
      </w:r>
    </w:p>
    <w:p w14:paraId="15C94479" w14:textId="3B526B59" w:rsidR="006C41B5" w:rsidRPr="003D0AEA" w:rsidRDefault="006C41B5" w:rsidP="003B7B0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D0AEA">
        <w:rPr>
          <w:rFonts w:ascii="Aptos" w:eastAsia="Aptos" w:hAnsi="Aptos" w:cs="Arial"/>
          <w:kern w:val="2"/>
          <w:sz w:val="22"/>
          <w:szCs w:val="22"/>
          <w14:ligatures w14:val="standardContextual"/>
        </w:rPr>
        <w:br w:type="page"/>
      </w:r>
    </w:p>
    <w:p w14:paraId="65548862" w14:textId="77777777" w:rsidR="006C41B5" w:rsidRPr="003D0AEA" w:rsidRDefault="006C41B5" w:rsidP="00302CE1">
      <w:pPr>
        <w:pStyle w:val="Section"/>
      </w:pPr>
      <w:bookmarkStart w:id="9" w:name="_Toc190883384"/>
      <w:r w:rsidRPr="003D0AEA">
        <w:lastRenderedPageBreak/>
        <w:t>Internet use</w:t>
      </w:r>
      <w:bookmarkEnd w:id="9"/>
    </w:p>
    <w:p w14:paraId="7752F80C" w14:textId="3810F084" w:rsidR="006C1275" w:rsidRPr="00563970" w:rsidRDefault="0088565C"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88565C">
        <w:rPr>
          <w:rFonts w:ascii="Aptos" w:eastAsia="Aptos" w:hAnsi="Aptos" w:cs="Arial"/>
          <w:b/>
          <w:bCs/>
          <w:i/>
          <w:iCs/>
          <w:kern w:val="2"/>
          <w:sz w:val="22"/>
          <w:szCs w:val="22"/>
          <w14:ligatures w14:val="standardContextual"/>
        </w:rPr>
        <w:t>Internet use in the Americas is nearing universality, but disparities persis</w:t>
      </w:r>
      <w:r w:rsidR="004F3EAC">
        <w:rPr>
          <w:rFonts w:ascii="Aptos" w:eastAsia="Aptos" w:hAnsi="Aptos" w:cs="Arial"/>
          <w:b/>
          <w:bCs/>
          <w:i/>
          <w:iCs/>
          <w:kern w:val="2"/>
          <w:sz w:val="22"/>
          <w:szCs w:val="22"/>
          <w14:ligatures w14:val="standardContextual"/>
        </w:rPr>
        <w:t xml:space="preserve">t </w:t>
      </w:r>
    </w:p>
    <w:p w14:paraId="7BA29D8E" w14:textId="77777777"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t>Percentage of individuals using the Internet</w:t>
      </w:r>
    </w:p>
    <w:p w14:paraId="4E3B4419" w14:textId="1677E19F" w:rsidR="006C41B5" w:rsidRPr="003D0AEA" w:rsidRDefault="00FD0CF9" w:rsidP="00EB15E6">
      <w:pPr>
        <w:pStyle w:val="Sourcetext"/>
      </w:pPr>
      <w:r>
        <w:rPr>
          <w:noProof/>
        </w:rPr>
        <w:drawing>
          <wp:inline distT="0" distB="0" distL="0" distR="0" wp14:anchorId="10175B9E" wp14:editId="513ABF16">
            <wp:extent cx="6120765" cy="2480310"/>
            <wp:effectExtent l="0" t="0" r="0" b="0"/>
            <wp:docPr id="13853790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7905"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120765" cy="2480310"/>
                    </a:xfrm>
                    <a:prstGeom prst="rect">
                      <a:avLst/>
                    </a:prstGeom>
                  </pic:spPr>
                </pic:pic>
              </a:graphicData>
            </a:graphic>
          </wp:inline>
        </w:drawing>
      </w:r>
      <w:r w:rsidR="006C41B5" w:rsidRPr="003D0AEA">
        <w:t>Source: ITU</w:t>
      </w:r>
    </w:p>
    <w:p w14:paraId="18F721E3" w14:textId="6C8F3EFF" w:rsidR="008649CA" w:rsidRDefault="008649CA" w:rsidP="008649C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E31489">
        <w:rPr>
          <w:rFonts w:ascii="Aptos" w:eastAsia="Aptos" w:hAnsi="Aptos" w:cs="Arial"/>
          <w:kern w:val="2"/>
          <w:sz w:val="22"/>
          <w:szCs w:val="22"/>
          <w14:ligatures w14:val="standardContextual"/>
        </w:rPr>
        <w:t xml:space="preserve">The proportion of people online in the Americas stood at </w:t>
      </w:r>
      <w:r w:rsidR="000A4A86" w:rsidRPr="00E31489">
        <w:rPr>
          <w:rFonts w:ascii="Aptos" w:eastAsia="Aptos" w:hAnsi="Aptos" w:cs="Arial"/>
          <w:kern w:val="2"/>
          <w:sz w:val="22"/>
          <w:szCs w:val="22"/>
          <w14:ligatures w14:val="standardContextual"/>
        </w:rPr>
        <w:t>87</w:t>
      </w:r>
      <w:r w:rsidRPr="00E31489">
        <w:rPr>
          <w:rFonts w:ascii="Aptos" w:eastAsia="Aptos" w:hAnsi="Aptos" w:cs="Arial"/>
          <w:kern w:val="2"/>
          <w:sz w:val="22"/>
          <w:szCs w:val="22"/>
          <w14:ligatures w14:val="standardContextual"/>
        </w:rPr>
        <w:t xml:space="preserve"> per cent in 2024, </w:t>
      </w:r>
      <w:r w:rsidR="000A4A86" w:rsidRPr="00E31489">
        <w:rPr>
          <w:rFonts w:ascii="Aptos" w:eastAsia="Aptos" w:hAnsi="Aptos" w:cs="Arial"/>
          <w:kern w:val="2"/>
          <w:sz w:val="22"/>
          <w:szCs w:val="22"/>
          <w14:ligatures w14:val="standardContextual"/>
        </w:rPr>
        <w:t xml:space="preserve">significantly above the global average of </w:t>
      </w:r>
      <w:r w:rsidR="00E31489" w:rsidRPr="00E31489">
        <w:rPr>
          <w:rFonts w:ascii="Aptos" w:eastAsia="Aptos" w:hAnsi="Aptos" w:cs="Arial"/>
          <w:kern w:val="2"/>
          <w:sz w:val="22"/>
          <w:szCs w:val="22"/>
          <w14:ligatures w14:val="standardContextual"/>
        </w:rPr>
        <w:t xml:space="preserve">68 per cent, and well advanced on a path to </w:t>
      </w:r>
      <w:r w:rsidR="000A4A86" w:rsidRPr="00E31489">
        <w:rPr>
          <w:rFonts w:ascii="Aptos" w:eastAsia="Aptos" w:hAnsi="Aptos" w:cs="Arial"/>
          <w:kern w:val="2"/>
          <w:sz w:val="22"/>
          <w:szCs w:val="22"/>
          <w14:ligatures w14:val="standardContextual"/>
        </w:rPr>
        <w:t>universal use.</w:t>
      </w:r>
      <w:r w:rsidR="000A4A86" w:rsidRPr="00E31489">
        <w:rPr>
          <w:rStyle w:val="FootnoteReference"/>
          <w:rFonts w:eastAsia="Aptos" w:cs="Arial"/>
          <w:kern w:val="2"/>
          <w14:ligatures w14:val="standardContextual"/>
        </w:rPr>
        <w:footnoteReference w:id="6"/>
      </w:r>
      <w:r w:rsidR="00A8347D">
        <w:rPr>
          <w:rFonts w:ascii="Aptos" w:eastAsia="Aptos" w:hAnsi="Aptos" w:cs="Arial"/>
          <w:kern w:val="2"/>
          <w:sz w:val="22"/>
          <w:szCs w:val="22"/>
          <w14:ligatures w14:val="standardContextual"/>
        </w:rPr>
        <w:t xml:space="preserve"> </w:t>
      </w:r>
      <w:r w:rsidRPr="00A8347D">
        <w:rPr>
          <w:rFonts w:ascii="Aptos" w:eastAsia="Aptos" w:hAnsi="Aptos" w:cs="Arial"/>
          <w:kern w:val="2"/>
          <w:sz w:val="22"/>
          <w:szCs w:val="22"/>
          <w14:ligatures w14:val="standardContextual"/>
        </w:rPr>
        <w:t xml:space="preserve">Since 2005, the average annual growth rate of Internet penetration has been </w:t>
      </w:r>
      <w:r w:rsidR="00D433E4" w:rsidRPr="00A8347D">
        <w:rPr>
          <w:rFonts w:ascii="Aptos" w:eastAsia="Aptos" w:hAnsi="Aptos" w:cs="Arial"/>
          <w:kern w:val="2"/>
          <w:sz w:val="22"/>
          <w:szCs w:val="22"/>
          <w14:ligatures w14:val="standardContextual"/>
        </w:rPr>
        <w:t>4</w:t>
      </w:r>
      <w:r w:rsidRPr="00A8347D">
        <w:rPr>
          <w:rFonts w:ascii="Aptos" w:eastAsia="Aptos" w:hAnsi="Aptos" w:cs="Arial"/>
          <w:kern w:val="2"/>
          <w:sz w:val="22"/>
          <w:szCs w:val="22"/>
          <w14:ligatures w14:val="standardContextual"/>
        </w:rPr>
        <w:t xml:space="preserve">.7 per cent in the region, against 8 per cent globally. Over the last ten years, these percentages were more modest, at </w:t>
      </w:r>
      <w:r w:rsidR="00A8347D" w:rsidRPr="00A8347D">
        <w:rPr>
          <w:rFonts w:ascii="Aptos" w:eastAsia="Aptos" w:hAnsi="Aptos" w:cs="Arial"/>
          <w:kern w:val="2"/>
          <w:sz w:val="22"/>
          <w:szCs w:val="22"/>
          <w14:ligatures w14:val="standardContextual"/>
        </w:rPr>
        <w:t>4</w:t>
      </w:r>
      <w:r w:rsidRPr="00A8347D">
        <w:rPr>
          <w:rFonts w:ascii="Aptos" w:eastAsia="Aptos" w:hAnsi="Aptos" w:cs="Arial"/>
          <w:kern w:val="2"/>
          <w:sz w:val="22"/>
          <w:szCs w:val="22"/>
          <w14:ligatures w14:val="standardContextual"/>
        </w:rPr>
        <w:t xml:space="preserve"> and 6.1 per cent respectively.</w:t>
      </w:r>
    </w:p>
    <w:p w14:paraId="5BDBB5FD" w14:textId="4DD59308" w:rsidR="008649CA" w:rsidRPr="00FE0BDD" w:rsidRDefault="004F79B7" w:rsidP="00EF20F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The Americas are a heterogeneous region</w:t>
      </w:r>
      <w:r w:rsidR="006B3D09">
        <w:rPr>
          <w:rFonts w:ascii="Aptos" w:eastAsia="Aptos" w:hAnsi="Aptos" w:cs="Arial"/>
          <w:kern w:val="2"/>
          <w:sz w:val="22"/>
          <w:szCs w:val="22"/>
          <w14:ligatures w14:val="standardContextual"/>
        </w:rPr>
        <w:t xml:space="preserve">, from relatively poor central American </w:t>
      </w:r>
      <w:r w:rsidR="00114A83">
        <w:rPr>
          <w:rFonts w:ascii="Aptos" w:eastAsia="Aptos" w:hAnsi="Aptos" w:cs="Arial"/>
          <w:kern w:val="2"/>
          <w:sz w:val="22"/>
          <w:szCs w:val="22"/>
          <w14:ligatures w14:val="standardContextual"/>
        </w:rPr>
        <w:t xml:space="preserve">countries to highly </w:t>
      </w:r>
      <w:r w:rsidR="00114A83" w:rsidRPr="00905956">
        <w:rPr>
          <w:rFonts w:ascii="Aptos" w:eastAsia="Aptos" w:hAnsi="Aptos" w:cs="Arial"/>
          <w:kern w:val="2"/>
          <w:sz w:val="22"/>
          <w:szCs w:val="22"/>
          <w14:ligatures w14:val="standardContextual"/>
        </w:rPr>
        <w:t xml:space="preserve">developed North American countries </w:t>
      </w:r>
      <w:r w:rsidR="00D32D67" w:rsidRPr="00905956">
        <w:rPr>
          <w:rFonts w:ascii="Aptos" w:eastAsia="Aptos" w:hAnsi="Aptos" w:cs="Arial"/>
          <w:kern w:val="2"/>
          <w:sz w:val="22"/>
          <w:szCs w:val="22"/>
          <w14:ligatures w14:val="standardContextual"/>
        </w:rPr>
        <w:t xml:space="preserve">but also including </w:t>
      </w:r>
      <w:r w:rsidR="00201BDE" w:rsidRPr="00905956">
        <w:rPr>
          <w:rFonts w:ascii="Aptos" w:eastAsia="Aptos" w:hAnsi="Aptos" w:cs="Arial"/>
          <w:kern w:val="2"/>
          <w:sz w:val="22"/>
          <w:szCs w:val="22"/>
          <w14:ligatures w14:val="standardContextual"/>
        </w:rPr>
        <w:t xml:space="preserve">small Caribbean islands </w:t>
      </w:r>
      <w:r w:rsidR="007D3085" w:rsidRPr="00905956">
        <w:rPr>
          <w:rFonts w:ascii="Aptos" w:eastAsia="Aptos" w:hAnsi="Aptos" w:cs="Arial"/>
          <w:kern w:val="2"/>
          <w:sz w:val="22"/>
          <w:szCs w:val="22"/>
          <w14:ligatures w14:val="standardContextual"/>
        </w:rPr>
        <w:t xml:space="preserve">and large South American countries. </w:t>
      </w:r>
      <w:r w:rsidR="006D7924" w:rsidRPr="00905956">
        <w:rPr>
          <w:rFonts w:ascii="Aptos" w:eastAsia="Aptos" w:hAnsi="Aptos" w:cs="Arial"/>
          <w:kern w:val="2"/>
          <w:sz w:val="22"/>
          <w:szCs w:val="22"/>
          <w14:ligatures w14:val="standardContextual"/>
        </w:rPr>
        <w:t>This hete</w:t>
      </w:r>
      <w:r w:rsidR="00EF20F2" w:rsidRPr="00905956">
        <w:rPr>
          <w:rFonts w:ascii="Aptos" w:eastAsia="Aptos" w:hAnsi="Aptos" w:cs="Arial"/>
          <w:kern w:val="2"/>
          <w:sz w:val="22"/>
          <w:szCs w:val="22"/>
          <w14:ligatures w14:val="standardContextual"/>
        </w:rPr>
        <w:t xml:space="preserve">rogeneity is reflected in </w:t>
      </w:r>
      <w:r w:rsidR="008649CA" w:rsidRPr="00905956">
        <w:rPr>
          <w:rFonts w:ascii="Aptos" w:eastAsia="Aptos" w:hAnsi="Aptos" w:cs="Arial"/>
          <w:kern w:val="2"/>
          <w:sz w:val="22"/>
          <w:szCs w:val="22"/>
          <w14:ligatures w14:val="standardContextual"/>
        </w:rPr>
        <w:t xml:space="preserve">the country level data on Internet use, with penetration levels from </w:t>
      </w:r>
      <w:r w:rsidR="00905956" w:rsidRPr="00905956">
        <w:rPr>
          <w:rFonts w:ascii="Aptos" w:eastAsia="Aptos" w:hAnsi="Aptos" w:cs="Arial"/>
          <w:kern w:val="2"/>
          <w:sz w:val="22"/>
          <w:szCs w:val="22"/>
          <w14:ligatures w14:val="standardContextual"/>
        </w:rPr>
        <w:t>56</w:t>
      </w:r>
      <w:r w:rsidR="008649CA" w:rsidRPr="00905956">
        <w:rPr>
          <w:rFonts w:ascii="Aptos" w:eastAsia="Aptos" w:hAnsi="Aptos" w:cs="Arial"/>
          <w:kern w:val="2"/>
          <w:sz w:val="22"/>
          <w:szCs w:val="22"/>
          <w14:ligatures w14:val="standardContextual"/>
        </w:rPr>
        <w:t xml:space="preserve"> to 9</w:t>
      </w:r>
      <w:r w:rsidR="00905956" w:rsidRPr="00905956">
        <w:rPr>
          <w:rFonts w:ascii="Aptos" w:eastAsia="Aptos" w:hAnsi="Aptos" w:cs="Arial"/>
          <w:kern w:val="2"/>
          <w:sz w:val="22"/>
          <w:szCs w:val="22"/>
          <w14:ligatures w14:val="standardContextual"/>
        </w:rPr>
        <w:t>5</w:t>
      </w:r>
      <w:r w:rsidR="008649CA" w:rsidRPr="00905956">
        <w:rPr>
          <w:rFonts w:ascii="Aptos" w:eastAsia="Aptos" w:hAnsi="Aptos" w:cs="Arial"/>
          <w:kern w:val="2"/>
          <w:sz w:val="22"/>
          <w:szCs w:val="22"/>
          <w14:ligatures w14:val="standardContextual"/>
        </w:rPr>
        <w:t xml:space="preserve"> per cent. </w:t>
      </w:r>
    </w:p>
    <w:p w14:paraId="2DDA6729" w14:textId="6C936EAD"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lastRenderedPageBreak/>
        <w:t xml:space="preserve">Percentage of individuals using the Internet in </w:t>
      </w:r>
      <w:r w:rsidR="00C91518">
        <w:rPr>
          <w:rFonts w:ascii="AvenirNext LT Pro Light" w:eastAsia="Yu Gothic Light" w:hAnsi="AvenirNext LT Pro Light" w:cs="Calibri"/>
          <w:color w:val="0070C0"/>
          <w:spacing w:val="-10"/>
          <w:kern w:val="28"/>
          <w:szCs w:val="24"/>
        </w:rPr>
        <w:t>t</w:t>
      </w:r>
      <w:r w:rsidR="00060A76">
        <w:rPr>
          <w:rFonts w:ascii="AvenirNext LT Pro Light" w:eastAsia="Yu Gothic Light" w:hAnsi="AvenirNext LT Pro Light" w:cs="Calibri"/>
          <w:color w:val="0070C0"/>
          <w:spacing w:val="-10"/>
          <w:kern w:val="28"/>
          <w:szCs w:val="24"/>
        </w:rPr>
        <w:t>he Americas</w:t>
      </w:r>
      <w:r w:rsidRPr="003D0AEA">
        <w:rPr>
          <w:rFonts w:ascii="AvenirNext LT Pro Light" w:eastAsia="Yu Gothic Light" w:hAnsi="AvenirNext LT Pro Light" w:cs="Calibri"/>
          <w:color w:val="0070C0"/>
          <w:spacing w:val="-10"/>
          <w:kern w:val="28"/>
          <w:szCs w:val="24"/>
        </w:rPr>
        <w:t xml:space="preserve">, </w:t>
      </w:r>
      <w:r w:rsidR="00851F73" w:rsidRPr="003D0AEA">
        <w:rPr>
          <w:rFonts w:ascii="AvenirNext LT Pro Light" w:eastAsia="Yu Gothic Light" w:hAnsi="AvenirNext LT Pro Light" w:cs="Calibri"/>
          <w:color w:val="0070C0"/>
          <w:spacing w:val="-10"/>
          <w:kern w:val="28"/>
          <w:szCs w:val="24"/>
        </w:rPr>
        <w:t xml:space="preserve">2023 or </w:t>
      </w:r>
      <w:r w:rsidRPr="003D0AEA">
        <w:rPr>
          <w:rFonts w:ascii="AvenirNext LT Pro Light" w:eastAsia="Yu Gothic Light" w:hAnsi="AvenirNext LT Pro Light" w:cs="Calibri"/>
          <w:color w:val="0070C0"/>
          <w:spacing w:val="-10"/>
          <w:kern w:val="28"/>
          <w:szCs w:val="24"/>
        </w:rPr>
        <w:t>latest year available</w:t>
      </w:r>
      <w:r w:rsidRPr="003D0AEA">
        <w:rPr>
          <w:rFonts w:ascii="AvenirNext LT Pro Light" w:eastAsia="Yu Gothic Light" w:hAnsi="AvenirNext LT Pro Light" w:cs="Calibri"/>
          <w:color w:val="0070C0"/>
          <w:spacing w:val="-10"/>
          <w:kern w:val="28"/>
          <w:szCs w:val="24"/>
          <w:vertAlign w:val="superscript"/>
        </w:rPr>
        <w:footnoteReference w:id="7"/>
      </w:r>
    </w:p>
    <w:p w14:paraId="42E41C71" w14:textId="77777777" w:rsidR="006C2F6F" w:rsidRDefault="0073208B"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bookmarkStart w:id="10" w:name="_Hlk189144283"/>
      <w:r>
        <w:rPr>
          <w:noProof/>
        </w:rPr>
        <w:drawing>
          <wp:inline distT="0" distB="0" distL="0" distR="0" wp14:anchorId="738EAA94" wp14:editId="2B657302">
            <wp:extent cx="6120765" cy="3196590"/>
            <wp:effectExtent l="0" t="0" r="0" b="0"/>
            <wp:docPr id="14036658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65869"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6120765" cy="3196590"/>
                    </a:xfrm>
                    <a:prstGeom prst="rect">
                      <a:avLst/>
                    </a:prstGeom>
                  </pic:spPr>
                </pic:pic>
              </a:graphicData>
            </a:graphic>
          </wp:inline>
        </w:drawing>
      </w:r>
    </w:p>
    <w:p w14:paraId="597A2C47" w14:textId="6CACF947" w:rsidR="006C41B5" w:rsidRPr="003D0AEA"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3D0AEA">
        <w:rPr>
          <w:rFonts w:ascii="Aptos" w:eastAsia="Aptos" w:hAnsi="Aptos" w:cs="Arial"/>
          <w:kern w:val="2"/>
          <w:sz w:val="16"/>
          <w:szCs w:val="28"/>
          <w14:ligatures w14:val="standardContextual"/>
        </w:rPr>
        <w:t xml:space="preserve">Note: </w:t>
      </w:r>
      <w:r w:rsidR="00D12348">
        <w:rPr>
          <w:rFonts w:ascii="Aptos" w:eastAsia="Aptos" w:hAnsi="Aptos" w:cs="Arial"/>
          <w:kern w:val="2"/>
          <w:sz w:val="16"/>
          <w:szCs w:val="28"/>
          <w14:ligatures w14:val="standardContextual"/>
        </w:rPr>
        <w:t>C</w:t>
      </w:r>
      <w:r w:rsidR="00D12348" w:rsidRPr="003D0AEA">
        <w:rPr>
          <w:rFonts w:ascii="Aptos" w:eastAsia="Aptos" w:hAnsi="Aptos" w:cs="Arial"/>
          <w:kern w:val="2"/>
          <w:sz w:val="16"/>
          <w:szCs w:val="28"/>
          <w14:ligatures w14:val="standardContextual"/>
        </w:rPr>
        <w:t xml:space="preserve">ountry submitted </w:t>
      </w:r>
      <w:r w:rsidRPr="003D0AEA">
        <w:rPr>
          <w:rFonts w:ascii="Aptos" w:eastAsia="Aptos" w:hAnsi="Aptos" w:cs="Arial"/>
          <w:kern w:val="2"/>
          <w:sz w:val="16"/>
          <w:szCs w:val="28"/>
          <w14:ligatures w14:val="standardContextual"/>
        </w:rPr>
        <w:t xml:space="preserve">are in a </w:t>
      </w:r>
      <w:r w:rsidR="00D12348">
        <w:rPr>
          <w:rFonts w:ascii="Aptos" w:eastAsia="Aptos" w:hAnsi="Aptos" w:cs="Arial"/>
          <w:kern w:val="2"/>
          <w:sz w:val="16"/>
          <w:szCs w:val="28"/>
          <w14:ligatures w14:val="standardContextual"/>
        </w:rPr>
        <w:t>darker</w:t>
      </w:r>
      <w:r w:rsidRPr="003D0AEA">
        <w:rPr>
          <w:rFonts w:ascii="Aptos" w:eastAsia="Aptos" w:hAnsi="Aptos" w:cs="Arial"/>
          <w:kern w:val="2"/>
          <w:sz w:val="16"/>
          <w:szCs w:val="28"/>
          <w14:ligatures w14:val="standardContextual"/>
        </w:rPr>
        <w:t xml:space="preserve"> shade, </w:t>
      </w:r>
      <w:r w:rsidR="00D12348">
        <w:rPr>
          <w:rFonts w:ascii="Aptos" w:eastAsia="Aptos" w:hAnsi="Aptos" w:cs="Arial"/>
          <w:kern w:val="2"/>
          <w:sz w:val="16"/>
          <w:szCs w:val="28"/>
          <w14:ligatures w14:val="standardContextual"/>
        </w:rPr>
        <w:t>non-</w:t>
      </w:r>
      <w:r w:rsidR="0010721E">
        <w:rPr>
          <w:rFonts w:ascii="Aptos" w:eastAsia="Aptos" w:hAnsi="Aptos" w:cs="Arial"/>
          <w:kern w:val="2"/>
          <w:sz w:val="16"/>
          <w:szCs w:val="28"/>
          <w14:ligatures w14:val="standardContextual"/>
        </w:rPr>
        <w:t xml:space="preserve">official </w:t>
      </w:r>
      <w:r w:rsidRPr="003D0AEA">
        <w:rPr>
          <w:rFonts w:ascii="Aptos" w:eastAsia="Aptos" w:hAnsi="Aptos" w:cs="Arial"/>
          <w:kern w:val="2"/>
          <w:sz w:val="16"/>
          <w:szCs w:val="28"/>
          <w14:ligatures w14:val="standardContextual"/>
        </w:rPr>
        <w:t xml:space="preserve">data in a </w:t>
      </w:r>
      <w:r w:rsidR="0010721E">
        <w:rPr>
          <w:rFonts w:ascii="Aptos" w:eastAsia="Aptos" w:hAnsi="Aptos" w:cs="Arial"/>
          <w:kern w:val="2"/>
          <w:sz w:val="16"/>
          <w:szCs w:val="28"/>
          <w14:ligatures w14:val="standardContextual"/>
        </w:rPr>
        <w:t xml:space="preserve">lighter </w:t>
      </w:r>
      <w:r w:rsidRPr="003D0AEA">
        <w:rPr>
          <w:rFonts w:ascii="Aptos" w:eastAsia="Aptos" w:hAnsi="Aptos" w:cs="Arial"/>
          <w:kern w:val="2"/>
          <w:sz w:val="16"/>
          <w:szCs w:val="28"/>
          <w14:ligatures w14:val="standardContextual"/>
        </w:rPr>
        <w:t>shade.</w:t>
      </w:r>
    </w:p>
    <w:bookmarkEnd w:id="10"/>
    <w:p w14:paraId="3F01955B" w14:textId="77777777" w:rsidR="006C41B5" w:rsidRPr="003D0AEA"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3D0AEA">
        <w:rPr>
          <w:rFonts w:ascii="Aptos" w:eastAsia="Aptos" w:hAnsi="Aptos" w:cs="Arial"/>
          <w:kern w:val="2"/>
          <w:sz w:val="16"/>
          <w:szCs w:val="28"/>
          <w14:ligatures w14:val="standardContextual"/>
        </w:rPr>
        <w:t>Source: ITU</w:t>
      </w:r>
    </w:p>
    <w:p w14:paraId="5E5E65ED" w14:textId="77777777" w:rsidR="00CC6201" w:rsidRDefault="00CC6201">
      <w:pPr>
        <w:tabs>
          <w:tab w:val="clear" w:pos="794"/>
          <w:tab w:val="clear" w:pos="1191"/>
          <w:tab w:val="clear" w:pos="1588"/>
          <w:tab w:val="clear" w:pos="1985"/>
        </w:tabs>
        <w:overflowPunct/>
        <w:autoSpaceDE/>
        <w:autoSpaceDN/>
        <w:adjustRightInd/>
        <w:spacing w:before="0"/>
        <w:textAlignment w:val="auto"/>
        <w:rPr>
          <w:rFonts w:ascii="Aptos" w:eastAsia="Aptos" w:hAnsi="Aptos" w:cs="Arial"/>
          <w:b/>
          <w:i/>
          <w:kern w:val="2"/>
          <w:sz w:val="22"/>
          <w:szCs w:val="22"/>
          <w14:ligatures w14:val="standardContextual"/>
        </w:rPr>
      </w:pPr>
      <w:r>
        <w:rPr>
          <w:rFonts w:ascii="Aptos" w:eastAsia="Aptos" w:hAnsi="Aptos" w:cs="Arial"/>
          <w:b/>
          <w:i/>
          <w:kern w:val="2"/>
          <w:sz w:val="22"/>
          <w:szCs w:val="22"/>
          <w14:ligatures w14:val="standardContextual"/>
        </w:rPr>
        <w:br w:type="page"/>
      </w:r>
    </w:p>
    <w:p w14:paraId="3ACB9DAC" w14:textId="7CE7B6BD" w:rsidR="006C41B5" w:rsidRPr="003D0AEA"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FC52C6">
        <w:rPr>
          <w:rFonts w:ascii="Aptos" w:eastAsia="Aptos" w:hAnsi="Aptos" w:cs="Arial"/>
          <w:b/>
          <w:i/>
          <w:kern w:val="2"/>
          <w:sz w:val="22"/>
          <w:szCs w:val="22"/>
          <w14:ligatures w14:val="standardContextual"/>
        </w:rPr>
        <w:lastRenderedPageBreak/>
        <w:t xml:space="preserve">Gender parity in Internet use </w:t>
      </w:r>
      <w:r w:rsidR="00227D5C" w:rsidRPr="00FC52C6">
        <w:rPr>
          <w:rFonts w:ascii="Aptos" w:eastAsia="Aptos" w:hAnsi="Aptos" w:cs="Arial"/>
          <w:b/>
          <w:bCs/>
          <w:i/>
          <w:iCs/>
          <w:kern w:val="2"/>
          <w:sz w:val="22"/>
          <w:szCs w:val="22"/>
          <w14:ligatures w14:val="standardContextual"/>
        </w:rPr>
        <w:t>has been reached</w:t>
      </w:r>
      <w:r w:rsidR="00FC5D9F">
        <w:rPr>
          <w:rFonts w:ascii="Aptos" w:eastAsia="Aptos" w:hAnsi="Aptos" w:cs="Arial"/>
          <w:b/>
          <w:bCs/>
          <w:i/>
          <w:iCs/>
          <w:kern w:val="2"/>
          <w:sz w:val="22"/>
          <w:szCs w:val="22"/>
          <w14:ligatures w14:val="standardContextual"/>
        </w:rPr>
        <w:t xml:space="preserve">, with higher adoption </w:t>
      </w:r>
      <w:r w:rsidR="00D454F2">
        <w:rPr>
          <w:rFonts w:ascii="Aptos" w:eastAsia="Aptos" w:hAnsi="Aptos" w:cs="Arial"/>
          <w:b/>
          <w:bCs/>
          <w:i/>
          <w:iCs/>
          <w:kern w:val="2"/>
          <w:sz w:val="22"/>
          <w:szCs w:val="22"/>
          <w14:ligatures w14:val="standardContextual"/>
        </w:rPr>
        <w:t xml:space="preserve">rate </w:t>
      </w:r>
      <w:r w:rsidR="00254ADD">
        <w:rPr>
          <w:rFonts w:ascii="Aptos" w:eastAsia="Aptos" w:hAnsi="Aptos" w:cs="Arial"/>
          <w:b/>
          <w:bCs/>
          <w:i/>
          <w:iCs/>
          <w:kern w:val="2"/>
          <w:sz w:val="22"/>
          <w:szCs w:val="22"/>
          <w14:ligatures w14:val="standardContextual"/>
        </w:rPr>
        <w:t>among women</w:t>
      </w:r>
    </w:p>
    <w:p w14:paraId="306CB29E" w14:textId="77777777"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t>Percentage of individuals using the Internet, by gender, 2024</w:t>
      </w:r>
    </w:p>
    <w:p w14:paraId="550D16C9" w14:textId="4D38C737" w:rsidR="006C41B5" w:rsidRPr="003D0AEA" w:rsidRDefault="00FC52C6"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noProof/>
        </w:rPr>
        <w:drawing>
          <wp:inline distT="0" distB="0" distL="0" distR="0" wp14:anchorId="163F722F" wp14:editId="1F386345">
            <wp:extent cx="6120765" cy="2338070"/>
            <wp:effectExtent l="0" t="0" r="0" b="8255"/>
            <wp:docPr id="11365762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76255"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6120765" cy="2338070"/>
                    </a:xfrm>
                    <a:prstGeom prst="rect">
                      <a:avLst/>
                    </a:prstGeom>
                  </pic:spPr>
                </pic:pic>
              </a:graphicData>
            </a:graphic>
          </wp:inline>
        </w:drawing>
      </w:r>
    </w:p>
    <w:p w14:paraId="7230107B" w14:textId="77777777" w:rsidR="006C41B5" w:rsidRPr="003D0AEA" w:rsidRDefault="006C41B5" w:rsidP="00EB15E6">
      <w:pPr>
        <w:pStyle w:val="Sourcetext"/>
      </w:pPr>
      <w:r w:rsidRPr="003D0AEA">
        <w:t>Source: ITU</w:t>
      </w:r>
    </w:p>
    <w:p w14:paraId="56AF663D" w14:textId="1FB30A52" w:rsidR="00E342E4" w:rsidRPr="00EE4375" w:rsidRDefault="00E342E4" w:rsidP="00E342E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EE4375">
        <w:rPr>
          <w:rFonts w:ascii="Aptos" w:eastAsia="Aptos" w:hAnsi="Aptos" w:cs="Arial"/>
          <w:kern w:val="2"/>
          <w:sz w:val="22"/>
          <w:szCs w:val="22"/>
          <w14:ligatures w14:val="standardContextual"/>
        </w:rPr>
        <w:t xml:space="preserve">In 2024, </w:t>
      </w:r>
      <w:r w:rsidR="00120EDA" w:rsidRPr="00EE4375">
        <w:rPr>
          <w:rFonts w:ascii="Aptos" w:eastAsia="Aptos" w:hAnsi="Aptos" w:cs="Arial"/>
          <w:kern w:val="2"/>
          <w:sz w:val="22"/>
          <w:szCs w:val="22"/>
          <w14:ligatures w14:val="standardContextual"/>
        </w:rPr>
        <w:t>87</w:t>
      </w:r>
      <w:r w:rsidRPr="00EE4375">
        <w:rPr>
          <w:rFonts w:ascii="Aptos" w:eastAsia="Aptos" w:hAnsi="Aptos" w:cs="Arial"/>
          <w:kern w:val="2"/>
          <w:sz w:val="22"/>
          <w:szCs w:val="22"/>
          <w14:ligatures w14:val="standardContextual"/>
        </w:rPr>
        <w:t xml:space="preserve"> per cent of women in the </w:t>
      </w:r>
      <w:r w:rsidR="00120EDA" w:rsidRPr="00EE4375">
        <w:rPr>
          <w:rFonts w:ascii="Aptos" w:eastAsia="Aptos" w:hAnsi="Aptos" w:cs="Arial"/>
          <w:kern w:val="2"/>
          <w:sz w:val="22"/>
          <w:szCs w:val="22"/>
          <w14:ligatures w14:val="standardContextual"/>
        </w:rPr>
        <w:t>Americas</w:t>
      </w:r>
      <w:r w:rsidRPr="00EE4375">
        <w:rPr>
          <w:rFonts w:ascii="Aptos" w:eastAsia="Aptos" w:hAnsi="Aptos" w:cs="Arial"/>
          <w:kern w:val="2"/>
          <w:sz w:val="22"/>
          <w:szCs w:val="22"/>
          <w14:ligatures w14:val="standardContextual"/>
        </w:rPr>
        <w:t xml:space="preserve"> were online, compared with </w:t>
      </w:r>
      <w:r w:rsidR="00120EDA" w:rsidRPr="00EE4375">
        <w:rPr>
          <w:rFonts w:ascii="Aptos" w:eastAsia="Aptos" w:hAnsi="Aptos" w:cs="Arial"/>
          <w:kern w:val="2"/>
          <w:sz w:val="22"/>
          <w:szCs w:val="22"/>
          <w14:ligatures w14:val="standardContextual"/>
        </w:rPr>
        <w:t>86</w:t>
      </w:r>
      <w:r w:rsidRPr="00EE4375">
        <w:rPr>
          <w:rFonts w:ascii="Aptos" w:eastAsia="Aptos" w:hAnsi="Aptos" w:cs="Arial"/>
          <w:kern w:val="2"/>
          <w:sz w:val="22"/>
          <w:szCs w:val="22"/>
          <w14:ligatures w14:val="standardContextual"/>
        </w:rPr>
        <w:t xml:space="preserve"> per cent of men. This translates into a gender parity score (GPS) of </w:t>
      </w:r>
      <w:r w:rsidR="00EE433A" w:rsidRPr="00EE4375">
        <w:rPr>
          <w:rFonts w:ascii="Aptos" w:eastAsia="Aptos" w:hAnsi="Aptos" w:cs="Arial"/>
          <w:kern w:val="2"/>
          <w:sz w:val="22"/>
          <w:szCs w:val="22"/>
          <w14:ligatures w14:val="standardContextual"/>
        </w:rPr>
        <w:t>1</w:t>
      </w:r>
      <w:r w:rsidR="00FF2C6D" w:rsidRPr="00EE4375">
        <w:rPr>
          <w:rFonts w:ascii="Aptos" w:eastAsia="Aptos" w:hAnsi="Aptos" w:cs="Arial"/>
          <w:kern w:val="2"/>
          <w:sz w:val="22"/>
          <w:szCs w:val="22"/>
          <w14:ligatures w14:val="standardContextual"/>
        </w:rPr>
        <w:t>.02</w:t>
      </w:r>
      <w:r w:rsidRPr="00EE4375">
        <w:rPr>
          <w:rFonts w:ascii="Aptos" w:eastAsia="Aptos" w:hAnsi="Aptos" w:cs="Arial"/>
          <w:kern w:val="2"/>
          <w:sz w:val="22"/>
          <w:szCs w:val="22"/>
          <w14:ligatures w14:val="standardContextual"/>
        </w:rPr>
        <w:t>, up from 0.9</w:t>
      </w:r>
      <w:r w:rsidR="00FF2C6D" w:rsidRPr="00EE4375">
        <w:rPr>
          <w:rFonts w:ascii="Aptos" w:eastAsia="Aptos" w:hAnsi="Aptos" w:cs="Arial"/>
          <w:kern w:val="2"/>
          <w:sz w:val="22"/>
          <w:szCs w:val="22"/>
          <w14:ligatures w14:val="standardContextual"/>
        </w:rPr>
        <w:t>9</w:t>
      </w:r>
      <w:r w:rsidRPr="00EE4375">
        <w:rPr>
          <w:rFonts w:ascii="Aptos" w:eastAsia="Aptos" w:hAnsi="Aptos" w:cs="Arial"/>
          <w:kern w:val="2"/>
          <w:sz w:val="22"/>
          <w:szCs w:val="22"/>
          <w14:ligatures w14:val="standardContextual"/>
        </w:rPr>
        <w:t xml:space="preserve"> in 2019, indicating that parity has been achieved.</w:t>
      </w:r>
      <w:r w:rsidRPr="00EE4375">
        <w:rPr>
          <w:rFonts w:ascii="Aptos" w:eastAsia="Aptos" w:hAnsi="Aptos" w:cs="Arial"/>
          <w:kern w:val="2"/>
          <w:sz w:val="22"/>
          <w:szCs w:val="22"/>
          <w:vertAlign w:val="superscript"/>
          <w14:ligatures w14:val="standardContextual"/>
        </w:rPr>
        <w:footnoteReference w:id="8"/>
      </w:r>
      <w:r w:rsidRPr="00EE4375">
        <w:rPr>
          <w:rFonts w:ascii="Aptos" w:eastAsia="Aptos" w:hAnsi="Aptos" w:cs="Arial"/>
          <w:kern w:val="2"/>
          <w:sz w:val="22"/>
          <w:szCs w:val="22"/>
          <w14:ligatures w14:val="standardContextual"/>
        </w:rPr>
        <w:t xml:space="preserve"> </w:t>
      </w:r>
      <w:r w:rsidR="00FF2C6D" w:rsidRPr="00EE4375">
        <w:rPr>
          <w:rFonts w:ascii="Aptos" w:eastAsia="Aptos" w:hAnsi="Aptos" w:cs="Arial"/>
          <w:kern w:val="2"/>
          <w:sz w:val="22"/>
          <w:szCs w:val="22"/>
          <w14:ligatures w14:val="standardContextual"/>
        </w:rPr>
        <w:t>The Americas is the only region where more women than men a</w:t>
      </w:r>
      <w:r w:rsidR="00857068" w:rsidRPr="00EE4375">
        <w:rPr>
          <w:rFonts w:ascii="Aptos" w:eastAsia="Aptos" w:hAnsi="Aptos" w:cs="Arial"/>
          <w:kern w:val="2"/>
          <w:sz w:val="22"/>
          <w:szCs w:val="22"/>
          <w14:ligatures w14:val="standardContextual"/>
        </w:rPr>
        <w:t>r</w:t>
      </w:r>
      <w:r w:rsidR="00FF2C6D" w:rsidRPr="00EE4375">
        <w:rPr>
          <w:rFonts w:ascii="Aptos" w:eastAsia="Aptos" w:hAnsi="Aptos" w:cs="Arial"/>
          <w:kern w:val="2"/>
          <w:sz w:val="22"/>
          <w:szCs w:val="22"/>
          <w14:ligatures w14:val="standardContextual"/>
        </w:rPr>
        <w:t>e using the Internet.</w:t>
      </w:r>
    </w:p>
    <w:p w14:paraId="21F22361" w14:textId="73059B63" w:rsidR="00E342E4" w:rsidRPr="00215418" w:rsidRDefault="00E342E4" w:rsidP="00E342E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EE4375">
        <w:rPr>
          <w:rFonts w:ascii="Aptos" w:eastAsia="Aptos" w:hAnsi="Aptos" w:cs="Arial"/>
          <w:kern w:val="2"/>
          <w:sz w:val="22"/>
          <w:szCs w:val="22"/>
          <w14:ligatures w14:val="standardContextual"/>
        </w:rPr>
        <w:t xml:space="preserve">In </w:t>
      </w:r>
      <w:r w:rsidR="00EE4375" w:rsidRPr="00EE4375">
        <w:rPr>
          <w:rFonts w:ascii="Aptos" w:eastAsia="Aptos" w:hAnsi="Aptos" w:cs="Arial"/>
          <w:kern w:val="2"/>
          <w:sz w:val="22"/>
          <w:szCs w:val="22"/>
          <w14:ligatures w14:val="standardContextual"/>
        </w:rPr>
        <w:t>seven</w:t>
      </w:r>
      <w:r w:rsidR="00857068" w:rsidRPr="00EE4375">
        <w:rPr>
          <w:rFonts w:ascii="Aptos" w:eastAsia="Aptos" w:hAnsi="Aptos" w:cs="Arial"/>
          <w:kern w:val="2"/>
          <w:sz w:val="22"/>
          <w:szCs w:val="22"/>
          <w14:ligatures w14:val="standardContextual"/>
        </w:rPr>
        <w:t xml:space="preserve"> of the </w:t>
      </w:r>
      <w:r w:rsidRPr="00EE4375">
        <w:rPr>
          <w:rFonts w:ascii="Aptos" w:eastAsia="Aptos" w:hAnsi="Aptos" w:cs="Arial"/>
          <w:kern w:val="2"/>
          <w:sz w:val="22"/>
          <w:szCs w:val="22"/>
          <w14:ligatures w14:val="standardContextual"/>
        </w:rPr>
        <w:t>countries of the region</w:t>
      </w:r>
      <w:r w:rsidR="006F301C" w:rsidRPr="00EE4375">
        <w:rPr>
          <w:rFonts w:ascii="Aptos" w:eastAsia="Aptos" w:hAnsi="Aptos" w:cs="Arial"/>
          <w:kern w:val="2"/>
          <w:sz w:val="22"/>
          <w:szCs w:val="22"/>
          <w14:ligatures w14:val="standardContextual"/>
        </w:rPr>
        <w:t xml:space="preserve"> for which data is available</w:t>
      </w:r>
      <w:r w:rsidRPr="00EE4375">
        <w:rPr>
          <w:rFonts w:ascii="Aptos" w:eastAsia="Aptos" w:hAnsi="Aptos" w:cs="Arial"/>
          <w:kern w:val="2"/>
          <w:sz w:val="22"/>
          <w:szCs w:val="22"/>
          <w14:ligatures w14:val="standardContextual"/>
        </w:rPr>
        <w:t xml:space="preserve">, gender parity has been reached with a GPS between 0.98 and 1.02. In </w:t>
      </w:r>
      <w:r w:rsidR="006F301C" w:rsidRPr="00EE4375">
        <w:rPr>
          <w:rFonts w:ascii="Aptos" w:eastAsia="Aptos" w:hAnsi="Aptos" w:cs="Arial"/>
          <w:kern w:val="2"/>
          <w:sz w:val="22"/>
          <w:szCs w:val="22"/>
          <w14:ligatures w14:val="standardContextual"/>
        </w:rPr>
        <w:t>four</w:t>
      </w:r>
      <w:r w:rsidRPr="00EE4375">
        <w:rPr>
          <w:rFonts w:ascii="Aptos" w:eastAsia="Aptos" w:hAnsi="Aptos" w:cs="Arial"/>
          <w:kern w:val="2"/>
          <w:sz w:val="22"/>
          <w:szCs w:val="22"/>
          <w14:ligatures w14:val="standardContextual"/>
        </w:rPr>
        <w:t xml:space="preserve"> countries, there is still a bias towards men using the Internet, while in </w:t>
      </w:r>
      <w:r w:rsidR="00EE4375" w:rsidRPr="00EE4375">
        <w:rPr>
          <w:rFonts w:ascii="Aptos" w:eastAsia="Aptos" w:hAnsi="Aptos" w:cs="Arial"/>
          <w:kern w:val="2"/>
          <w:sz w:val="22"/>
          <w:szCs w:val="22"/>
          <w14:ligatures w14:val="standardContextual"/>
        </w:rPr>
        <w:t>six</w:t>
      </w:r>
      <w:r w:rsidRPr="00EE4375">
        <w:rPr>
          <w:rFonts w:ascii="Aptos" w:eastAsia="Aptos" w:hAnsi="Aptos" w:cs="Arial"/>
          <w:kern w:val="2"/>
          <w:sz w:val="22"/>
          <w:szCs w:val="22"/>
          <w14:ligatures w14:val="standardContextual"/>
        </w:rPr>
        <w:t xml:space="preserve"> countries the bias is towards women.</w:t>
      </w:r>
      <w:r w:rsidRPr="00215418">
        <w:rPr>
          <w:rFonts w:ascii="Aptos" w:eastAsia="Aptos" w:hAnsi="Aptos" w:cs="Arial"/>
          <w:kern w:val="2"/>
          <w:sz w:val="22"/>
          <w:szCs w:val="22"/>
          <w14:ligatures w14:val="standardContextual"/>
        </w:rPr>
        <w:t xml:space="preserve"> </w:t>
      </w:r>
    </w:p>
    <w:p w14:paraId="32F34237" w14:textId="18401AF8" w:rsidR="006C41B5" w:rsidRPr="003D0AEA" w:rsidRDefault="006C41B5" w:rsidP="006567DF">
      <w:pPr>
        <w:tabs>
          <w:tab w:val="clear" w:pos="794"/>
          <w:tab w:val="clear" w:pos="1191"/>
          <w:tab w:val="clear" w:pos="1588"/>
          <w:tab w:val="clear" w:pos="1985"/>
        </w:tabs>
        <w:overflowPunct/>
        <w:autoSpaceDE/>
        <w:autoSpaceDN/>
        <w:adjustRightInd/>
        <w:spacing w:before="0" w:after="160" w:line="259" w:lineRule="auto"/>
        <w:textAlignment w:val="auto"/>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t xml:space="preserve">Percentage of individuals using the Internet, by gender, </w:t>
      </w:r>
      <w:r w:rsidR="00BC2EFF" w:rsidRPr="003D0AEA">
        <w:rPr>
          <w:rFonts w:ascii="AvenirNext LT Pro Light" w:eastAsia="Yu Gothic Light" w:hAnsi="AvenirNext LT Pro Light" w:cs="Calibri"/>
          <w:color w:val="0070C0"/>
          <w:spacing w:val="-10"/>
          <w:kern w:val="28"/>
          <w:szCs w:val="24"/>
        </w:rPr>
        <w:t xml:space="preserve">2023 or </w:t>
      </w:r>
      <w:r w:rsidRPr="003D0AEA">
        <w:rPr>
          <w:rFonts w:ascii="AvenirNext LT Pro Light" w:eastAsia="Yu Gothic Light" w:hAnsi="AvenirNext LT Pro Light" w:cs="Calibri"/>
          <w:color w:val="0070C0"/>
          <w:spacing w:val="-10"/>
          <w:kern w:val="28"/>
          <w:szCs w:val="24"/>
        </w:rPr>
        <w:t>latest year available</w:t>
      </w:r>
    </w:p>
    <w:p w14:paraId="3940133E" w14:textId="7065B9A7" w:rsidR="006C41B5" w:rsidRPr="003D0AEA" w:rsidRDefault="009037E6"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09903F05" wp14:editId="7D39AAB2">
            <wp:extent cx="6120765" cy="2835910"/>
            <wp:effectExtent l="0" t="0" r="0" b="2540"/>
            <wp:docPr id="4272677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67716"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6120765" cy="2835910"/>
                    </a:xfrm>
                    <a:prstGeom prst="rect">
                      <a:avLst/>
                    </a:prstGeom>
                  </pic:spPr>
                </pic:pic>
              </a:graphicData>
            </a:graphic>
          </wp:inline>
        </w:drawing>
      </w:r>
    </w:p>
    <w:p w14:paraId="2B3270AE" w14:textId="77777777" w:rsidR="006C41B5" w:rsidRPr="003D0AEA" w:rsidRDefault="006C41B5" w:rsidP="00EB15E6">
      <w:pPr>
        <w:pStyle w:val="Sourcetext"/>
      </w:pPr>
      <w:r w:rsidRPr="003D0AEA">
        <w:t>Source: ITU</w:t>
      </w:r>
    </w:p>
    <w:p w14:paraId="75FE5527" w14:textId="07864C50" w:rsidR="006C41B5" w:rsidRPr="003D0AEA" w:rsidRDefault="00270689"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270689">
        <w:rPr>
          <w:rFonts w:ascii="Aptos" w:eastAsia="Aptos" w:hAnsi="Aptos" w:cs="Arial"/>
          <w:b/>
          <w:bCs/>
          <w:i/>
          <w:iCs/>
          <w:kern w:val="2"/>
          <w:sz w:val="22"/>
          <w:szCs w:val="22"/>
          <w14:ligatures w14:val="standardContextual"/>
        </w:rPr>
        <w:lastRenderedPageBreak/>
        <w:t>Universal use among young people reached</w:t>
      </w:r>
    </w:p>
    <w:p w14:paraId="3915A3A4" w14:textId="77777777"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t>Percentage of individuals aged between 15 and 24 years using the Internet, 2024</w:t>
      </w:r>
    </w:p>
    <w:p w14:paraId="5A76D399" w14:textId="29B26E1C" w:rsidR="000018FC" w:rsidRPr="003D0AEA" w:rsidRDefault="00564FDB"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Pr>
          <w:noProof/>
        </w:rPr>
        <w:drawing>
          <wp:inline distT="0" distB="0" distL="0" distR="0" wp14:anchorId="3D36F25A" wp14:editId="78A63472">
            <wp:extent cx="6120765" cy="2665095"/>
            <wp:effectExtent l="0" t="0" r="2540" b="0"/>
            <wp:docPr id="23389116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891167"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6120765" cy="2665095"/>
                    </a:xfrm>
                    <a:prstGeom prst="rect">
                      <a:avLst/>
                    </a:prstGeom>
                  </pic:spPr>
                </pic:pic>
              </a:graphicData>
            </a:graphic>
          </wp:inline>
        </w:drawing>
      </w:r>
    </w:p>
    <w:p w14:paraId="0E33A8C4" w14:textId="731A7E93" w:rsidR="006C41B5" w:rsidRPr="003D0AEA" w:rsidRDefault="006C41B5" w:rsidP="00EB15E6">
      <w:pPr>
        <w:pStyle w:val="Sourcetext"/>
        <w:rPr>
          <w:rFonts w:eastAsia="Aptos" w:cs="Arial"/>
        </w:rPr>
      </w:pPr>
      <w:r w:rsidRPr="003D0AEA">
        <w:t>Source: ITU</w:t>
      </w:r>
    </w:p>
    <w:p w14:paraId="52F173F3" w14:textId="5107F9FA" w:rsidR="00CF15DE" w:rsidRPr="002C78BB" w:rsidRDefault="00CF15DE" w:rsidP="00CF15D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C78BB">
        <w:rPr>
          <w:rFonts w:ascii="Aptos" w:eastAsia="Aptos" w:hAnsi="Aptos" w:cs="Arial"/>
          <w:kern w:val="2"/>
          <w:sz w:val="22"/>
          <w:szCs w:val="22"/>
          <w14:ligatures w14:val="standardContextual"/>
        </w:rPr>
        <w:t xml:space="preserve">In </w:t>
      </w:r>
      <w:r w:rsidR="004D3D2E" w:rsidRPr="002C78BB">
        <w:rPr>
          <w:rFonts w:ascii="Aptos" w:eastAsia="Aptos" w:hAnsi="Aptos" w:cs="Arial"/>
          <w:kern w:val="2"/>
          <w:sz w:val="22"/>
          <w:szCs w:val="22"/>
          <w14:ligatures w14:val="standardContextual"/>
        </w:rPr>
        <w:t>the Americas</w:t>
      </w:r>
      <w:r w:rsidRPr="002C78BB">
        <w:rPr>
          <w:rFonts w:ascii="Aptos" w:eastAsia="Aptos" w:hAnsi="Aptos" w:cs="Arial"/>
          <w:kern w:val="2"/>
          <w:sz w:val="22"/>
          <w:szCs w:val="22"/>
          <w14:ligatures w14:val="standardContextual"/>
        </w:rPr>
        <w:t xml:space="preserve">, </w:t>
      </w:r>
      <w:r w:rsidR="00E02A11" w:rsidRPr="002C78BB">
        <w:rPr>
          <w:rFonts w:ascii="Aptos" w:eastAsia="Aptos" w:hAnsi="Aptos" w:cs="Arial"/>
          <w:kern w:val="2"/>
          <w:sz w:val="22"/>
          <w:szCs w:val="22"/>
          <w14:ligatures w14:val="standardContextual"/>
        </w:rPr>
        <w:t>95</w:t>
      </w:r>
      <w:r w:rsidRPr="002C78BB">
        <w:rPr>
          <w:rFonts w:ascii="Aptos" w:eastAsia="Aptos" w:hAnsi="Aptos" w:cs="Arial"/>
          <w:kern w:val="2"/>
          <w:sz w:val="22"/>
          <w:szCs w:val="22"/>
          <w14:ligatures w14:val="standardContextual"/>
        </w:rPr>
        <w:t xml:space="preserve"> per cent of young people aged 15 to 24 used the Internet in 2024, compared to </w:t>
      </w:r>
      <w:r w:rsidR="00E02A11" w:rsidRPr="002C78BB">
        <w:rPr>
          <w:rFonts w:ascii="Aptos" w:eastAsia="Aptos" w:hAnsi="Aptos" w:cs="Arial"/>
          <w:kern w:val="2"/>
          <w:sz w:val="22"/>
          <w:szCs w:val="22"/>
          <w14:ligatures w14:val="standardContextual"/>
        </w:rPr>
        <w:t>85</w:t>
      </w:r>
      <w:r w:rsidRPr="002C78BB">
        <w:rPr>
          <w:rFonts w:ascii="Aptos" w:eastAsia="Aptos" w:hAnsi="Aptos" w:cs="Arial"/>
          <w:kern w:val="2"/>
          <w:sz w:val="22"/>
          <w:szCs w:val="22"/>
          <w14:ligatures w14:val="standardContextual"/>
        </w:rPr>
        <w:t xml:space="preserve"> per cent of the rest of the population. The generational gap in this region—measured as the ratio of Internet users between these two groups—is </w:t>
      </w:r>
      <w:r w:rsidR="002C78BB" w:rsidRPr="002C78BB">
        <w:rPr>
          <w:rFonts w:ascii="Aptos" w:eastAsia="Aptos" w:hAnsi="Aptos" w:cs="Arial"/>
          <w:kern w:val="2"/>
          <w:sz w:val="22"/>
          <w:szCs w:val="22"/>
          <w14:ligatures w14:val="standardContextual"/>
        </w:rPr>
        <w:t xml:space="preserve">lower </w:t>
      </w:r>
      <w:r w:rsidRPr="002C78BB">
        <w:rPr>
          <w:rFonts w:ascii="Aptos" w:eastAsia="Aptos" w:hAnsi="Aptos" w:cs="Arial"/>
          <w:kern w:val="2"/>
          <w:sz w:val="22"/>
          <w:szCs w:val="22"/>
          <w14:ligatures w14:val="standardContextual"/>
        </w:rPr>
        <w:t xml:space="preserve">than the global average. Both in the region and globally, the </w:t>
      </w:r>
      <w:r w:rsidRPr="00563970">
        <w:rPr>
          <w:rFonts w:ascii="Aptos" w:eastAsia="Aptos" w:hAnsi="Aptos" w:cs="Arial"/>
          <w:kern w:val="2"/>
          <w:sz w:val="22"/>
          <w:szCs w:val="22"/>
          <w14:ligatures w14:val="standardContextual"/>
        </w:rPr>
        <w:t>ratio</w:t>
      </w:r>
      <w:r w:rsidRPr="002C78BB">
        <w:rPr>
          <w:rFonts w:ascii="Aptos" w:eastAsia="Aptos" w:hAnsi="Aptos" w:cs="Arial"/>
          <w:kern w:val="2"/>
          <w:sz w:val="22"/>
          <w:szCs w:val="22"/>
          <w14:ligatures w14:val="standardContextual"/>
        </w:rPr>
        <w:t xml:space="preserve"> has been shrinking over the last four years. </w:t>
      </w:r>
      <w:r w:rsidR="005E11E8" w:rsidRPr="005E11E8">
        <w:rPr>
          <w:rFonts w:ascii="Aptos" w:eastAsia="Aptos" w:hAnsi="Aptos" w:cs="Arial"/>
          <w:kern w:val="2"/>
          <w:sz w:val="22"/>
          <w:szCs w:val="22"/>
          <w14:ligatures w14:val="standardContextual"/>
        </w:rPr>
        <w:t>This means other age groups are catching up</w:t>
      </w:r>
      <w:r w:rsidR="005E11E8">
        <w:rPr>
          <w:rFonts w:ascii="Aptos" w:eastAsia="Aptos" w:hAnsi="Aptos" w:cs="Arial"/>
          <w:kern w:val="2"/>
          <w:sz w:val="22"/>
          <w:szCs w:val="22"/>
          <w14:ligatures w14:val="standardContextual"/>
        </w:rPr>
        <w:t>, and f</w:t>
      </w:r>
      <w:r w:rsidR="002C78BB">
        <w:rPr>
          <w:rFonts w:ascii="Aptos" w:eastAsia="Aptos" w:hAnsi="Aptos" w:cs="Arial"/>
          <w:kern w:val="2"/>
          <w:sz w:val="22"/>
          <w:szCs w:val="22"/>
          <w14:ligatures w14:val="standardContextual"/>
        </w:rPr>
        <w:t xml:space="preserve">or the Americas this implies that </w:t>
      </w:r>
      <w:r w:rsidR="00A8075A">
        <w:rPr>
          <w:rFonts w:ascii="Aptos" w:eastAsia="Aptos" w:hAnsi="Aptos" w:cs="Arial"/>
          <w:kern w:val="2"/>
          <w:sz w:val="22"/>
          <w:szCs w:val="22"/>
          <w14:ligatures w14:val="standardContextual"/>
        </w:rPr>
        <w:t xml:space="preserve">universal use among the whole population is </w:t>
      </w:r>
      <w:r w:rsidR="005E11E8">
        <w:rPr>
          <w:rFonts w:ascii="Aptos" w:eastAsia="Aptos" w:hAnsi="Aptos" w:cs="Arial"/>
          <w:kern w:val="2"/>
          <w:sz w:val="22"/>
          <w:szCs w:val="22"/>
          <w14:ligatures w14:val="standardContextual"/>
        </w:rPr>
        <w:t>well under way.</w:t>
      </w:r>
    </w:p>
    <w:p w14:paraId="13FA1981" w14:textId="77777777" w:rsidR="00CF15DE" w:rsidRPr="00CC6201" w:rsidRDefault="00CF15DE" w:rsidP="00CF15D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CC6201">
        <w:rPr>
          <w:rFonts w:ascii="Aptos" w:eastAsia="Aptos" w:hAnsi="Aptos" w:cs="Arial"/>
          <w:kern w:val="2"/>
          <w:sz w:val="22"/>
          <w:szCs w:val="22"/>
          <w14:ligatures w14:val="standardContextual"/>
        </w:rPr>
        <w:t>In most countries for which there are data, the percentage of young people online is very high. This stands in sharp contrast with the proportion of the elderly (those 75 years and older) using the Internet, which is low or very low in all countries bar one.</w:t>
      </w:r>
    </w:p>
    <w:p w14:paraId="5B8CA18B" w14:textId="5D2098E9"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t>Percentage of individuals using the Internet by age group,</w:t>
      </w:r>
      <w:r w:rsidR="00402773" w:rsidRPr="003D0AEA">
        <w:rPr>
          <w:rFonts w:ascii="AvenirNext LT Pro Light" w:eastAsia="Yu Gothic Light" w:hAnsi="AvenirNext LT Pro Light" w:cs="Calibri"/>
          <w:color w:val="0070C0"/>
          <w:spacing w:val="-10"/>
          <w:kern w:val="28"/>
          <w:szCs w:val="24"/>
        </w:rPr>
        <w:t xml:space="preserve"> 2023 or </w:t>
      </w:r>
      <w:r w:rsidRPr="003D0AEA">
        <w:rPr>
          <w:rFonts w:ascii="AvenirNext LT Pro Light" w:eastAsia="Yu Gothic Light" w:hAnsi="AvenirNext LT Pro Light" w:cs="Calibri"/>
          <w:color w:val="0070C0"/>
          <w:spacing w:val="-10"/>
          <w:kern w:val="28"/>
          <w:szCs w:val="24"/>
        </w:rPr>
        <w:t>latest year available</w:t>
      </w:r>
    </w:p>
    <w:p w14:paraId="3D1E3587" w14:textId="0A3CA47B" w:rsidR="006C41B5" w:rsidRPr="003D0AEA" w:rsidRDefault="001B665E"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537EAF1D" wp14:editId="6B33B0AF">
            <wp:extent cx="6120765" cy="2699385"/>
            <wp:effectExtent l="0" t="0" r="0" b="0"/>
            <wp:docPr id="17512550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55057"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6120765" cy="2699385"/>
                    </a:xfrm>
                    <a:prstGeom prst="rect">
                      <a:avLst/>
                    </a:prstGeom>
                  </pic:spPr>
                </pic:pic>
              </a:graphicData>
            </a:graphic>
          </wp:inline>
        </w:drawing>
      </w:r>
    </w:p>
    <w:p w14:paraId="31155287" w14:textId="77777777" w:rsidR="006C41B5" w:rsidRPr="003D0AEA" w:rsidRDefault="006C41B5" w:rsidP="00EB15E6">
      <w:pPr>
        <w:pStyle w:val="Sourcetext"/>
        <w:rPr>
          <w:rFonts w:eastAsia="Aptos" w:cs="Arial"/>
        </w:rPr>
      </w:pPr>
      <w:r w:rsidRPr="003D0AEA">
        <w:t>Source: ITU</w:t>
      </w:r>
    </w:p>
    <w:p w14:paraId="51D99826" w14:textId="77777777" w:rsidR="00A43CB7" w:rsidRPr="003D0AEA" w:rsidRDefault="00A43CB7">
      <w:pPr>
        <w:tabs>
          <w:tab w:val="clear" w:pos="794"/>
          <w:tab w:val="clear" w:pos="1191"/>
          <w:tab w:val="clear" w:pos="1588"/>
          <w:tab w:val="clear" w:pos="1985"/>
        </w:tabs>
        <w:overflowPunct/>
        <w:autoSpaceDE/>
        <w:autoSpaceDN/>
        <w:adjustRightInd/>
        <w:spacing w:before="0"/>
        <w:textAlignment w:val="auto"/>
        <w:rPr>
          <w:rFonts w:ascii="Aptos" w:eastAsia="Aptos" w:hAnsi="Aptos" w:cs="Arial"/>
          <w:b/>
          <w:bCs/>
          <w:i/>
          <w:iCs/>
          <w:kern w:val="2"/>
          <w:sz w:val="22"/>
          <w:szCs w:val="22"/>
          <w14:ligatures w14:val="standardContextual"/>
        </w:rPr>
      </w:pPr>
      <w:r w:rsidRPr="003D0AEA">
        <w:rPr>
          <w:rFonts w:ascii="Aptos" w:eastAsia="Aptos" w:hAnsi="Aptos" w:cs="Arial"/>
          <w:b/>
          <w:bCs/>
          <w:i/>
          <w:iCs/>
          <w:kern w:val="2"/>
          <w:sz w:val="22"/>
          <w:szCs w:val="22"/>
          <w14:ligatures w14:val="standardContextual"/>
        </w:rPr>
        <w:br w:type="page"/>
      </w:r>
    </w:p>
    <w:p w14:paraId="5497B417" w14:textId="3E52CEE9" w:rsidR="006C41B5" w:rsidRPr="003D0AEA"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3D0AEA">
        <w:rPr>
          <w:rFonts w:ascii="Aptos" w:eastAsia="Aptos" w:hAnsi="Aptos" w:cs="Arial"/>
          <w:b/>
          <w:i/>
          <w:kern w:val="2"/>
          <w:sz w:val="22"/>
          <w:szCs w:val="22"/>
          <w14:ligatures w14:val="standardContextual"/>
        </w:rPr>
        <w:lastRenderedPageBreak/>
        <w:t>Internet use in rural areas trails behind urban areas</w:t>
      </w:r>
      <w:r w:rsidR="00165665">
        <w:rPr>
          <w:rFonts w:ascii="Aptos" w:eastAsia="Aptos" w:hAnsi="Aptos" w:cs="Arial"/>
          <w:b/>
          <w:i/>
          <w:kern w:val="2"/>
          <w:sz w:val="22"/>
          <w:szCs w:val="22"/>
          <w14:ligatures w14:val="standardContextual"/>
        </w:rPr>
        <w:t>, but less than globally</w:t>
      </w:r>
    </w:p>
    <w:p w14:paraId="5AE4C6E5" w14:textId="77777777"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t>Percentage of individuals using the Internet, by location, 2024</w:t>
      </w:r>
    </w:p>
    <w:p w14:paraId="702FC160" w14:textId="5045A7E1" w:rsidR="000018FC" w:rsidRPr="003D0AEA" w:rsidRDefault="00C52E97"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Pr>
          <w:noProof/>
        </w:rPr>
        <w:drawing>
          <wp:inline distT="0" distB="0" distL="0" distR="0" wp14:anchorId="1B46554E" wp14:editId="723B319F">
            <wp:extent cx="6120765" cy="2636520"/>
            <wp:effectExtent l="0" t="0" r="0" b="0"/>
            <wp:docPr id="17112263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226319"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6120765" cy="2636520"/>
                    </a:xfrm>
                    <a:prstGeom prst="rect">
                      <a:avLst/>
                    </a:prstGeom>
                  </pic:spPr>
                </pic:pic>
              </a:graphicData>
            </a:graphic>
          </wp:inline>
        </w:drawing>
      </w:r>
    </w:p>
    <w:p w14:paraId="15AF38A7" w14:textId="70FE8B37" w:rsidR="006C41B5" w:rsidRPr="003D0AEA" w:rsidRDefault="006C41B5" w:rsidP="00EB15E6">
      <w:pPr>
        <w:pStyle w:val="Sourcetext"/>
        <w:rPr>
          <w:rFonts w:eastAsia="Aptos" w:cs="Arial"/>
        </w:rPr>
      </w:pPr>
      <w:r w:rsidRPr="003D0AEA">
        <w:t>Source: ITU</w:t>
      </w:r>
    </w:p>
    <w:p w14:paraId="29784252" w14:textId="61F28F94" w:rsidR="00F82B7E" w:rsidRDefault="00F82B7E" w:rsidP="00F82B7E">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In urban areas in </w:t>
      </w:r>
      <w:r>
        <w:rPr>
          <w:rFonts w:ascii="Aptos" w:eastAsia="Aptos" w:hAnsi="Aptos" w:cs="Arial"/>
          <w:kern w:val="2"/>
          <w:sz w:val="22"/>
          <w:szCs w:val="22"/>
          <w14:ligatures w14:val="standardContextual"/>
        </w:rPr>
        <w:t>the Americas</w:t>
      </w:r>
      <w:r w:rsidRPr="00215418">
        <w:rPr>
          <w:rFonts w:ascii="Aptos" w:eastAsia="Aptos" w:hAnsi="Aptos" w:cs="Arial"/>
          <w:kern w:val="2"/>
          <w:sz w:val="22"/>
          <w:szCs w:val="22"/>
          <w14:ligatures w14:val="standardContextual"/>
        </w:rPr>
        <w:t>, 9</w:t>
      </w:r>
      <w:r>
        <w:rPr>
          <w:rFonts w:ascii="Aptos" w:eastAsia="Aptos" w:hAnsi="Aptos" w:cs="Arial"/>
          <w:kern w:val="2"/>
          <w:sz w:val="22"/>
          <w:szCs w:val="22"/>
          <w14:ligatures w14:val="standardContextual"/>
        </w:rPr>
        <w:t>0</w:t>
      </w:r>
      <w:r w:rsidRPr="00215418">
        <w:rPr>
          <w:rFonts w:ascii="Aptos" w:eastAsia="Aptos" w:hAnsi="Aptos" w:cs="Arial"/>
          <w:kern w:val="2"/>
          <w:sz w:val="22"/>
          <w:szCs w:val="22"/>
          <w14:ligatures w14:val="standardContextual"/>
        </w:rPr>
        <w:t xml:space="preserve"> per cent of the population was online</w:t>
      </w:r>
      <w:r w:rsidR="00527205">
        <w:rPr>
          <w:rFonts w:ascii="Aptos" w:eastAsia="Aptos" w:hAnsi="Aptos" w:cs="Arial"/>
          <w:kern w:val="2"/>
          <w:sz w:val="22"/>
          <w:szCs w:val="22"/>
          <w14:ligatures w14:val="standardContextual"/>
        </w:rPr>
        <w:t xml:space="preserve"> in 2024</w:t>
      </w:r>
      <w:r w:rsidRPr="00215418">
        <w:rPr>
          <w:rFonts w:ascii="Aptos" w:eastAsia="Aptos" w:hAnsi="Aptos" w:cs="Arial"/>
          <w:kern w:val="2"/>
          <w:sz w:val="22"/>
          <w:szCs w:val="22"/>
          <w14:ligatures w14:val="standardContextual"/>
        </w:rPr>
        <w:t xml:space="preserve">, compared with </w:t>
      </w:r>
      <w:r w:rsidR="008C59E6">
        <w:rPr>
          <w:rFonts w:ascii="Aptos" w:eastAsia="Aptos" w:hAnsi="Aptos" w:cs="Arial"/>
          <w:kern w:val="2"/>
          <w:sz w:val="22"/>
          <w:szCs w:val="22"/>
          <w14:ligatures w14:val="standardContextual"/>
        </w:rPr>
        <w:t>74</w:t>
      </w:r>
      <w:r w:rsidRPr="00215418">
        <w:rPr>
          <w:rFonts w:ascii="Aptos" w:eastAsia="Aptos" w:hAnsi="Aptos" w:cs="Arial"/>
          <w:kern w:val="2"/>
          <w:sz w:val="22"/>
          <w:szCs w:val="22"/>
          <w14:ligatures w14:val="standardContextual"/>
        </w:rPr>
        <w:t xml:space="preserve"> per cent in rural areas. This gap is much smaller than it is globally, with 83 per cent online in urban areas, against only 4</w:t>
      </w:r>
      <w:r w:rsidR="008C59E6">
        <w:rPr>
          <w:rFonts w:ascii="Aptos" w:eastAsia="Aptos" w:hAnsi="Aptos" w:cs="Arial"/>
          <w:kern w:val="2"/>
          <w:sz w:val="22"/>
          <w:szCs w:val="22"/>
          <w14:ligatures w14:val="standardContextual"/>
        </w:rPr>
        <w:t>8</w:t>
      </w:r>
      <w:r w:rsidRPr="00215418">
        <w:rPr>
          <w:rFonts w:ascii="Aptos" w:eastAsia="Aptos" w:hAnsi="Aptos" w:cs="Arial"/>
          <w:kern w:val="2"/>
          <w:sz w:val="22"/>
          <w:szCs w:val="22"/>
          <w14:ligatures w14:val="standardContextual"/>
        </w:rPr>
        <w:t xml:space="preserve"> per cent in rural areas. </w:t>
      </w:r>
    </w:p>
    <w:p w14:paraId="09E33F0E" w14:textId="0EFABB7D" w:rsidR="00A7606F" w:rsidRPr="00FE0BDD" w:rsidRDefault="00A7606F" w:rsidP="00A7606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Generally, i</w:t>
      </w:r>
      <w:r w:rsidRPr="00215418">
        <w:rPr>
          <w:rFonts w:ascii="Aptos" w:eastAsia="Aptos" w:hAnsi="Aptos" w:cs="Arial"/>
          <w:kern w:val="2"/>
          <w:sz w:val="22"/>
          <w:szCs w:val="22"/>
          <w14:ligatures w14:val="standardContextual"/>
        </w:rPr>
        <w:t>n countries with high overall Internet penetration, the urban-rural gap was much smaller than in countries with a lower Internet use percentage</w:t>
      </w:r>
      <w:r w:rsidR="6B27F3D0" w:rsidRPr="00563970">
        <w:rPr>
          <w:rFonts w:ascii="Aptos" w:eastAsia="Aptos" w:hAnsi="Aptos" w:cs="Arial"/>
          <w:kern w:val="2"/>
          <w:sz w:val="22"/>
          <w:szCs w:val="22"/>
          <w14:ligatures w14:val="standardContextual"/>
        </w:rPr>
        <w:t>.</w:t>
      </w:r>
    </w:p>
    <w:p w14:paraId="33D51D0A" w14:textId="0D9C510D" w:rsidR="00495D95" w:rsidRPr="003D0AEA" w:rsidRDefault="00495D95" w:rsidP="00495D9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t>Percentage of individuals using the Internet by location, 2023 or latest year available</w:t>
      </w:r>
    </w:p>
    <w:p w14:paraId="52ADFE7A" w14:textId="77777777" w:rsidR="006C2F6F" w:rsidRDefault="00387486" w:rsidP="00EB15E6">
      <w:pPr>
        <w:pStyle w:val="Sourcetext"/>
      </w:pPr>
      <w:r>
        <w:rPr>
          <w:noProof/>
        </w:rPr>
        <w:drawing>
          <wp:inline distT="0" distB="0" distL="0" distR="0" wp14:anchorId="53330F84" wp14:editId="5F145011">
            <wp:extent cx="6120765" cy="2831465"/>
            <wp:effectExtent l="0" t="0" r="0" b="6985"/>
            <wp:docPr id="11277406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40606"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6120765" cy="2831465"/>
                    </a:xfrm>
                    <a:prstGeom prst="rect">
                      <a:avLst/>
                    </a:prstGeom>
                  </pic:spPr>
                </pic:pic>
              </a:graphicData>
            </a:graphic>
          </wp:inline>
        </w:drawing>
      </w:r>
    </w:p>
    <w:p w14:paraId="3557F1C1" w14:textId="337CB810" w:rsidR="00495D95" w:rsidRPr="003D0AEA" w:rsidRDefault="00495D95" w:rsidP="00EB15E6">
      <w:pPr>
        <w:pStyle w:val="Sourcetext"/>
      </w:pPr>
      <w:r w:rsidRPr="003D0AEA">
        <w:t>Source: ITU</w:t>
      </w:r>
    </w:p>
    <w:p w14:paraId="5B76EF6A" w14:textId="77777777" w:rsidR="00965D6C" w:rsidRPr="003D0AEA" w:rsidRDefault="00965D6C">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3D0AEA">
        <w:rPr>
          <w:rFonts w:ascii="Aptos Display" w:eastAsia="Yu Gothic Light" w:hAnsi="Aptos Display"/>
          <w:color w:val="0F4761"/>
          <w:kern w:val="2"/>
          <w:sz w:val="32"/>
          <w:szCs w:val="32"/>
          <w14:ligatures w14:val="standardContextual"/>
        </w:rPr>
        <w:br w:type="page"/>
      </w:r>
    </w:p>
    <w:p w14:paraId="3ED4AA04" w14:textId="12EE4FC5" w:rsidR="006C41B5" w:rsidRPr="003D0AEA" w:rsidRDefault="006C41B5" w:rsidP="00172FE0">
      <w:pPr>
        <w:pStyle w:val="Section"/>
      </w:pPr>
      <w:bookmarkStart w:id="11" w:name="_Toc190883385"/>
      <w:r w:rsidRPr="003D0AEA">
        <w:lastRenderedPageBreak/>
        <w:t>Broadband subscriptions</w:t>
      </w:r>
      <w:bookmarkEnd w:id="11"/>
    </w:p>
    <w:p w14:paraId="7F8B2E65" w14:textId="1B55F81D" w:rsidR="006C41B5" w:rsidRPr="003D0AEA" w:rsidRDefault="00127D67"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127D67">
        <w:rPr>
          <w:rFonts w:ascii="Aptos" w:eastAsia="Aptos" w:hAnsi="Aptos" w:cs="Arial"/>
          <w:b/>
          <w:bCs/>
          <w:i/>
          <w:iCs/>
          <w:kern w:val="2"/>
          <w:sz w:val="22"/>
          <w:szCs w:val="22"/>
          <w14:ligatures w14:val="standardContextual"/>
        </w:rPr>
        <w:t xml:space="preserve">The Americas lead </w:t>
      </w:r>
      <w:r>
        <w:rPr>
          <w:rFonts w:ascii="Aptos" w:eastAsia="Aptos" w:hAnsi="Aptos" w:cs="Arial"/>
          <w:b/>
          <w:bCs/>
          <w:i/>
          <w:iCs/>
          <w:kern w:val="2"/>
          <w:sz w:val="22"/>
          <w:szCs w:val="22"/>
          <w14:ligatures w14:val="standardContextual"/>
        </w:rPr>
        <w:t xml:space="preserve">the world </w:t>
      </w:r>
      <w:r w:rsidRPr="00127D67">
        <w:rPr>
          <w:rFonts w:ascii="Aptos" w:eastAsia="Aptos" w:hAnsi="Aptos" w:cs="Arial"/>
          <w:b/>
          <w:bCs/>
          <w:i/>
          <w:iCs/>
          <w:kern w:val="2"/>
          <w:sz w:val="22"/>
          <w:szCs w:val="22"/>
          <w14:ligatures w14:val="standardContextual"/>
        </w:rPr>
        <w:t xml:space="preserve">in mobile broadband adoption, </w:t>
      </w:r>
      <w:r w:rsidR="0083768C">
        <w:rPr>
          <w:rFonts w:ascii="Aptos" w:eastAsia="Aptos" w:hAnsi="Aptos" w:cs="Arial"/>
          <w:b/>
          <w:bCs/>
          <w:i/>
          <w:iCs/>
          <w:kern w:val="2"/>
          <w:sz w:val="22"/>
          <w:szCs w:val="22"/>
          <w14:ligatures w14:val="standardContextual"/>
        </w:rPr>
        <w:t>while</w:t>
      </w:r>
      <w:r w:rsidRPr="00127D67">
        <w:rPr>
          <w:rFonts w:ascii="Aptos" w:eastAsia="Aptos" w:hAnsi="Aptos" w:cs="Arial"/>
          <w:b/>
          <w:bCs/>
          <w:i/>
          <w:iCs/>
          <w:kern w:val="2"/>
          <w:sz w:val="22"/>
          <w:szCs w:val="22"/>
          <w14:ligatures w14:val="standardContextual"/>
        </w:rPr>
        <w:t xml:space="preserve"> fixed broadband </w:t>
      </w:r>
      <w:r w:rsidR="00344D56">
        <w:rPr>
          <w:rFonts w:ascii="Aptos" w:eastAsia="Aptos" w:hAnsi="Aptos" w:cs="Arial"/>
          <w:b/>
          <w:bCs/>
          <w:i/>
          <w:iCs/>
          <w:kern w:val="2"/>
          <w:sz w:val="22"/>
          <w:szCs w:val="22"/>
          <w14:ligatures w14:val="standardContextual"/>
        </w:rPr>
        <w:t xml:space="preserve">penetration </w:t>
      </w:r>
      <w:r w:rsidR="00537EBC">
        <w:rPr>
          <w:rFonts w:ascii="Aptos" w:eastAsia="Aptos" w:hAnsi="Aptos" w:cs="Arial"/>
          <w:b/>
          <w:bCs/>
          <w:i/>
          <w:iCs/>
          <w:kern w:val="2"/>
          <w:sz w:val="22"/>
          <w:szCs w:val="22"/>
          <w14:ligatures w14:val="standardContextual"/>
        </w:rPr>
        <w:t>varies wide</w:t>
      </w:r>
      <w:r w:rsidR="006C1275">
        <w:rPr>
          <w:rFonts w:ascii="Aptos" w:eastAsia="Aptos" w:hAnsi="Aptos" w:cs="Arial"/>
          <w:b/>
          <w:bCs/>
          <w:i/>
          <w:iCs/>
          <w:kern w:val="2"/>
          <w:sz w:val="22"/>
          <w:szCs w:val="22"/>
          <w14:ligatures w14:val="standardContextual"/>
        </w:rPr>
        <w:t>ly</w:t>
      </w:r>
    </w:p>
    <w:p w14:paraId="197FDBD2" w14:textId="77777777" w:rsidR="006C41B5" w:rsidRPr="003D0AEA"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D0AEA">
        <w:rPr>
          <w:rFonts w:ascii="Aptos" w:eastAsia="Aptos" w:hAnsi="Aptos" w:cs="Arial"/>
          <w:color w:val="0070C0"/>
          <w:kern w:val="2"/>
          <w:sz w:val="22"/>
          <w:szCs w:val="22"/>
          <w14:ligatures w14:val="standardContextual"/>
        </w:rPr>
        <w:t>Broadband subscriptions per 100 inhabitants</w:t>
      </w:r>
    </w:p>
    <w:tbl>
      <w:tblPr>
        <w:tblStyle w:val="TableGrid1"/>
        <w:tblW w:w="0" w:type="auto"/>
        <w:tblInd w:w="5" w:type="dxa"/>
        <w:tblLook w:val="04A0" w:firstRow="1" w:lastRow="0" w:firstColumn="1" w:lastColumn="0" w:noHBand="0" w:noVBand="1"/>
      </w:tblPr>
      <w:tblGrid>
        <w:gridCol w:w="4440"/>
        <w:gridCol w:w="4576"/>
      </w:tblGrid>
      <w:tr w:rsidR="006C41B5" w:rsidRPr="003D0AEA" w14:paraId="017BCD1A" w14:textId="77777777" w:rsidTr="00361DE3">
        <w:tc>
          <w:tcPr>
            <w:tcW w:w="4440" w:type="dxa"/>
            <w:tcBorders>
              <w:top w:val="nil"/>
              <w:left w:val="nil"/>
              <w:bottom w:val="nil"/>
              <w:right w:val="nil"/>
            </w:tcBorders>
          </w:tcPr>
          <w:p w14:paraId="5920B5F8" w14:textId="7080BEE4" w:rsidR="006C41B5" w:rsidRPr="003D0AEA" w:rsidRDefault="006C41B5" w:rsidP="009A214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3D0AEA">
              <w:rPr>
                <w:rFonts w:ascii="Aptos" w:hAnsi="Aptos"/>
                <w:b/>
                <w:sz w:val="22"/>
              </w:rPr>
              <w:t>Mobile</w:t>
            </w:r>
            <w:r w:rsidR="00A7573C">
              <w:rPr>
                <w:noProof/>
              </w:rPr>
              <w:t xml:space="preserve"> </w:t>
            </w:r>
            <w:r w:rsidR="00A7573C">
              <w:rPr>
                <w:noProof/>
              </w:rPr>
              <w:drawing>
                <wp:inline distT="0" distB="0" distL="0" distR="0" wp14:anchorId="2BAD3407" wp14:editId="2EB1A7D7">
                  <wp:extent cx="2667000" cy="2657475"/>
                  <wp:effectExtent l="0" t="0" r="0" b="9525"/>
                  <wp:docPr id="16962469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46900" name=""/>
                          <pic:cNvPicPr/>
                        </pic:nvPicPr>
                        <pic:blipFill>
                          <a:blip r:embed="rId38">
                            <a:extLst>
                              <a:ext uri="{96DAC541-7B7A-43D3-8B79-37D633B846F1}">
                                <asvg:svgBlip xmlns:asvg="http://schemas.microsoft.com/office/drawing/2016/SVG/main" r:embed="rId39"/>
                              </a:ext>
                            </a:extLst>
                          </a:blip>
                          <a:stretch>
                            <a:fillRect/>
                          </a:stretch>
                        </pic:blipFill>
                        <pic:spPr>
                          <a:xfrm>
                            <a:off x="0" y="0"/>
                            <a:ext cx="2667000" cy="2657475"/>
                          </a:xfrm>
                          <a:prstGeom prst="rect">
                            <a:avLst/>
                          </a:prstGeom>
                        </pic:spPr>
                      </pic:pic>
                    </a:graphicData>
                  </a:graphic>
                </wp:inline>
              </w:drawing>
            </w:r>
          </w:p>
          <w:p w14:paraId="56F1CB27" w14:textId="6D9486B6" w:rsidR="006C41B5" w:rsidRPr="003D0AEA"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sz w:val="22"/>
              </w:rPr>
            </w:pPr>
          </w:p>
        </w:tc>
        <w:tc>
          <w:tcPr>
            <w:tcW w:w="4576" w:type="dxa"/>
            <w:tcBorders>
              <w:top w:val="nil"/>
              <w:left w:val="nil"/>
              <w:bottom w:val="nil"/>
              <w:right w:val="nil"/>
            </w:tcBorders>
          </w:tcPr>
          <w:p w14:paraId="150B6BC4" w14:textId="2ACBF14B" w:rsidR="006C41B5" w:rsidRPr="003D0AEA" w:rsidRDefault="006C41B5" w:rsidP="009A2146">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3D0AEA">
              <w:rPr>
                <w:rFonts w:ascii="Aptos" w:hAnsi="Aptos"/>
                <w:b/>
                <w:sz w:val="22"/>
              </w:rPr>
              <w:t>Fixed</w:t>
            </w:r>
            <w:r w:rsidR="00361DE3">
              <w:rPr>
                <w:noProof/>
              </w:rPr>
              <w:t xml:space="preserve"> </w:t>
            </w:r>
            <w:r w:rsidR="00361DE3">
              <w:rPr>
                <w:noProof/>
              </w:rPr>
              <w:drawing>
                <wp:inline distT="0" distB="0" distL="0" distR="0" wp14:anchorId="26A5CEDA" wp14:editId="41FD3AF7">
                  <wp:extent cx="2676525" cy="2667000"/>
                  <wp:effectExtent l="0" t="0" r="9525" b="0"/>
                  <wp:docPr id="9657461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4613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2676525" cy="2667000"/>
                          </a:xfrm>
                          <a:prstGeom prst="rect">
                            <a:avLst/>
                          </a:prstGeom>
                        </pic:spPr>
                      </pic:pic>
                    </a:graphicData>
                  </a:graphic>
                </wp:inline>
              </w:drawing>
            </w:r>
          </w:p>
          <w:p w14:paraId="7231F473" w14:textId="7600DB5E" w:rsidR="006C41B5" w:rsidRPr="003D0AEA"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textAlignment w:val="center"/>
              <w:rPr>
                <w:rFonts w:ascii="Aptos" w:hAnsi="Aptos"/>
                <w:sz w:val="16"/>
                <w:szCs w:val="28"/>
              </w:rPr>
            </w:pPr>
          </w:p>
        </w:tc>
      </w:tr>
    </w:tbl>
    <w:p w14:paraId="05781286" w14:textId="77777777" w:rsidR="006C41B5" w:rsidRPr="003D0AEA" w:rsidRDefault="006C41B5" w:rsidP="00B1004A">
      <w:pPr>
        <w:pStyle w:val="Sourcetext"/>
      </w:pPr>
      <w:r w:rsidRPr="003D0AEA">
        <w:t>Source: ITU</w:t>
      </w:r>
    </w:p>
    <w:p w14:paraId="00D2B6EB" w14:textId="5E1AA110" w:rsidR="009E7E20" w:rsidRDefault="00D46032" w:rsidP="00D4603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D46032">
        <w:rPr>
          <w:rFonts w:ascii="Aptos" w:eastAsia="Aptos" w:hAnsi="Aptos" w:cs="Arial"/>
          <w:kern w:val="2"/>
          <w:sz w:val="22"/>
          <w:szCs w:val="22"/>
          <w14:ligatures w14:val="standardContextual"/>
        </w:rPr>
        <w:t xml:space="preserve">In 2024, there were </w:t>
      </w:r>
      <w:r>
        <w:rPr>
          <w:rFonts w:ascii="Aptos" w:eastAsia="Aptos" w:hAnsi="Aptos" w:cs="Arial"/>
          <w:kern w:val="2"/>
          <w:sz w:val="22"/>
          <w:szCs w:val="22"/>
          <w14:ligatures w14:val="standardContextual"/>
        </w:rPr>
        <w:t>125</w:t>
      </w:r>
      <w:r w:rsidRPr="00D46032">
        <w:rPr>
          <w:rFonts w:ascii="Aptos" w:eastAsia="Aptos" w:hAnsi="Aptos" w:cs="Arial"/>
          <w:kern w:val="2"/>
          <w:sz w:val="22"/>
          <w:szCs w:val="22"/>
          <w14:ligatures w14:val="standardContextual"/>
        </w:rPr>
        <w:t xml:space="preserve"> mobile broadband subscriptions per 100 inhabitants in </w:t>
      </w:r>
      <w:r>
        <w:rPr>
          <w:rFonts w:ascii="Aptos" w:eastAsia="Aptos" w:hAnsi="Aptos" w:cs="Arial"/>
          <w:kern w:val="2"/>
          <w:sz w:val="22"/>
          <w:szCs w:val="22"/>
          <w14:ligatures w14:val="standardContextual"/>
        </w:rPr>
        <w:t>the Americas</w:t>
      </w:r>
      <w:r w:rsidR="00D34E94">
        <w:rPr>
          <w:rFonts w:ascii="Aptos" w:eastAsia="Aptos" w:hAnsi="Aptos" w:cs="Arial"/>
          <w:kern w:val="2"/>
          <w:sz w:val="22"/>
          <w:szCs w:val="22"/>
          <w14:ligatures w14:val="standardContextual"/>
        </w:rPr>
        <w:t xml:space="preserve">, </w:t>
      </w:r>
      <w:r w:rsidR="00EB0F68">
        <w:rPr>
          <w:rFonts w:ascii="Aptos" w:eastAsia="Aptos" w:hAnsi="Aptos" w:cs="Arial"/>
          <w:kern w:val="2"/>
          <w:sz w:val="22"/>
          <w:szCs w:val="22"/>
          <w14:ligatures w14:val="standardContextual"/>
        </w:rPr>
        <w:t>the highest of all regions</w:t>
      </w:r>
      <w:r w:rsidRPr="00D46032">
        <w:rPr>
          <w:rFonts w:ascii="Aptos" w:eastAsia="Aptos" w:hAnsi="Aptos" w:cs="Arial"/>
          <w:kern w:val="2"/>
          <w:sz w:val="22"/>
          <w:szCs w:val="22"/>
          <w14:ligatures w14:val="standardContextual"/>
        </w:rPr>
        <w:t xml:space="preserve">. </w:t>
      </w:r>
      <w:r w:rsidR="009E7E20">
        <w:rPr>
          <w:rFonts w:ascii="Aptos" w:eastAsia="Aptos" w:hAnsi="Aptos" w:cs="Arial"/>
          <w:kern w:val="2"/>
          <w:sz w:val="22"/>
          <w:szCs w:val="22"/>
          <w14:ligatures w14:val="standardContextual"/>
        </w:rPr>
        <w:t xml:space="preserve">For fixed-broadband </w:t>
      </w:r>
      <w:r w:rsidR="00082DA2">
        <w:rPr>
          <w:rFonts w:ascii="Aptos" w:eastAsia="Aptos" w:hAnsi="Aptos" w:cs="Arial"/>
          <w:kern w:val="2"/>
          <w:sz w:val="22"/>
          <w:szCs w:val="22"/>
          <w14:ligatures w14:val="standardContextual"/>
        </w:rPr>
        <w:t>subscriptions though, the region scores high</w:t>
      </w:r>
      <w:r w:rsidR="007A035D">
        <w:rPr>
          <w:rFonts w:ascii="Aptos" w:eastAsia="Aptos" w:hAnsi="Aptos" w:cs="Arial"/>
          <w:kern w:val="2"/>
          <w:sz w:val="22"/>
          <w:szCs w:val="22"/>
          <w14:ligatures w14:val="standardContextual"/>
        </w:rPr>
        <w:t xml:space="preserve"> – at </w:t>
      </w:r>
      <w:r w:rsidR="002C556D">
        <w:rPr>
          <w:rFonts w:ascii="Aptos" w:eastAsia="Aptos" w:hAnsi="Aptos" w:cs="Arial"/>
          <w:kern w:val="2"/>
          <w:sz w:val="22"/>
          <w:szCs w:val="22"/>
          <w14:ligatures w14:val="standardContextual"/>
        </w:rPr>
        <w:t>27 per 100 inhabitants – but is a dis</w:t>
      </w:r>
      <w:r w:rsidR="00E6287F">
        <w:rPr>
          <w:rFonts w:ascii="Aptos" w:eastAsia="Aptos" w:hAnsi="Aptos" w:cs="Arial"/>
          <w:kern w:val="2"/>
          <w:sz w:val="22"/>
          <w:szCs w:val="22"/>
          <w14:ligatures w14:val="standardContextual"/>
        </w:rPr>
        <w:t>tant second behind the Europe region.</w:t>
      </w:r>
    </w:p>
    <w:p w14:paraId="31258503" w14:textId="3A27A2B7" w:rsidR="006C41B5" w:rsidRPr="003D0AEA" w:rsidRDefault="006C41B5" w:rsidP="003D3634">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t xml:space="preserve">Active mobile-broadband subscriptions per 100 inhabitants, </w:t>
      </w:r>
      <w:r w:rsidR="00AB18FB" w:rsidRPr="003D0AEA">
        <w:rPr>
          <w:rFonts w:ascii="AvenirNext LT Pro Light" w:eastAsia="Yu Gothic Light" w:hAnsi="AvenirNext LT Pro Light" w:cs="Calibri"/>
          <w:color w:val="0070C0"/>
          <w:spacing w:val="-10"/>
          <w:kern w:val="28"/>
          <w:szCs w:val="24"/>
        </w:rPr>
        <w:t xml:space="preserve">2023 or </w:t>
      </w:r>
      <w:r w:rsidRPr="003D0AEA">
        <w:rPr>
          <w:rFonts w:ascii="AvenirNext LT Pro Light" w:eastAsia="Yu Gothic Light" w:hAnsi="AvenirNext LT Pro Light" w:cs="Calibri"/>
          <w:color w:val="0070C0"/>
          <w:spacing w:val="-10"/>
          <w:kern w:val="28"/>
          <w:szCs w:val="24"/>
        </w:rPr>
        <w:t>latest year available</w:t>
      </w:r>
    </w:p>
    <w:p w14:paraId="7E26B294" w14:textId="5C9393C1" w:rsidR="0085635B" w:rsidRPr="003D0AEA" w:rsidRDefault="0085635B"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p>
    <w:p w14:paraId="1DFDDE6F" w14:textId="08A53AD9" w:rsidR="007F754B" w:rsidRPr="003D0AEA" w:rsidRDefault="000D74E3" w:rsidP="007F754B">
      <w:pPr>
        <w:pStyle w:val="notetext"/>
      </w:pPr>
      <w:r>
        <w:rPr>
          <w:noProof/>
        </w:rPr>
        <w:drawing>
          <wp:inline distT="0" distB="0" distL="0" distR="0" wp14:anchorId="590762C1" wp14:editId="5279D2ED">
            <wp:extent cx="6120765" cy="3201670"/>
            <wp:effectExtent l="0" t="0" r="0" b="0"/>
            <wp:docPr id="109515265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52657" name=""/>
                    <pic:cNvPicPr/>
                  </pic:nvPicPr>
                  <pic:blipFill>
                    <a:blip r:embed="rId42">
                      <a:extLst>
                        <a:ext uri="{96DAC541-7B7A-43D3-8B79-37D633B846F1}">
                          <asvg:svgBlip xmlns:asvg="http://schemas.microsoft.com/office/drawing/2016/SVG/main" r:embed="rId43"/>
                        </a:ext>
                      </a:extLst>
                    </a:blip>
                    <a:stretch>
                      <a:fillRect/>
                    </a:stretch>
                  </pic:blipFill>
                  <pic:spPr>
                    <a:xfrm>
                      <a:off x="0" y="0"/>
                      <a:ext cx="6120765" cy="3201670"/>
                    </a:xfrm>
                    <a:prstGeom prst="rect">
                      <a:avLst/>
                    </a:prstGeom>
                  </pic:spPr>
                </pic:pic>
              </a:graphicData>
            </a:graphic>
          </wp:inline>
        </w:drawing>
      </w:r>
      <w:r w:rsidR="007F754B" w:rsidRPr="003D0AEA">
        <w:t>Notes:</w:t>
      </w:r>
      <w:r w:rsidR="007F754B" w:rsidRPr="0010721E">
        <w:t xml:space="preserve"> Country submitted are in a darker shade, non-official data in a lighter shade.</w:t>
      </w:r>
    </w:p>
    <w:p w14:paraId="6CCB46F1" w14:textId="2F4B1A72" w:rsidR="006C41B5" w:rsidRPr="003D0AEA" w:rsidRDefault="006C41B5" w:rsidP="00B1004A">
      <w:pPr>
        <w:pStyle w:val="Sourcetext"/>
      </w:pPr>
      <w:r w:rsidRPr="003D0AEA">
        <w:t>Source: ITU</w:t>
      </w:r>
    </w:p>
    <w:p w14:paraId="7EB8D5BF" w14:textId="3980B03B" w:rsidR="00D87313" w:rsidRPr="003D0AEA" w:rsidRDefault="00D87313" w:rsidP="00D8731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lastRenderedPageBreak/>
        <w:t xml:space="preserve">In most economies of the region, mobile broadband </w:t>
      </w:r>
      <w:r w:rsidRPr="00563970">
        <w:rPr>
          <w:rFonts w:ascii="Aptos" w:eastAsia="Aptos" w:hAnsi="Aptos" w:cs="Arial"/>
          <w:kern w:val="2"/>
          <w:sz w:val="22"/>
          <w:szCs w:val="22"/>
          <w14:ligatures w14:val="standardContextual"/>
        </w:rPr>
        <w:t>subscription</w:t>
      </w:r>
      <w:r w:rsidR="00515FD6">
        <w:rPr>
          <w:rFonts w:ascii="Aptos" w:eastAsia="Aptos" w:hAnsi="Aptos" w:cs="Arial"/>
          <w:kern w:val="2"/>
          <w:sz w:val="22"/>
          <w:szCs w:val="22"/>
          <w14:ligatures w14:val="standardContextual"/>
        </w:rPr>
        <w:t xml:space="preserve"> penetration is high and still growing</w:t>
      </w:r>
      <w:r w:rsidRPr="005F7253">
        <w:rPr>
          <w:rFonts w:ascii="Aptos" w:eastAsia="Aptos" w:hAnsi="Aptos" w:cs="Arial"/>
          <w:kern w:val="2"/>
          <w:sz w:val="22"/>
          <w:szCs w:val="22"/>
          <w14:ligatures w14:val="standardContextual"/>
        </w:rPr>
        <w:t>. However, there is a significant disparity between the lowest (</w:t>
      </w:r>
      <w:r>
        <w:rPr>
          <w:rFonts w:ascii="Aptos" w:eastAsia="Aptos" w:hAnsi="Aptos" w:cs="Arial"/>
          <w:kern w:val="2"/>
          <w:sz w:val="22"/>
          <w:szCs w:val="22"/>
          <w14:ligatures w14:val="standardContextual"/>
        </w:rPr>
        <w:t>17</w:t>
      </w:r>
      <w:r w:rsidRPr="005F7253">
        <w:rPr>
          <w:rFonts w:ascii="Aptos" w:eastAsia="Aptos" w:hAnsi="Aptos" w:cs="Arial"/>
          <w:kern w:val="2"/>
          <w:sz w:val="22"/>
          <w:szCs w:val="22"/>
          <w14:ligatures w14:val="standardContextual"/>
        </w:rPr>
        <w:t xml:space="preserve"> subscriptions per 100 inhabitants) and the highest (</w:t>
      </w:r>
      <w:r>
        <w:rPr>
          <w:rFonts w:ascii="Aptos" w:eastAsia="Aptos" w:hAnsi="Aptos" w:cs="Arial"/>
          <w:kern w:val="2"/>
          <w:sz w:val="22"/>
          <w:szCs w:val="22"/>
          <w14:ligatures w14:val="standardContextual"/>
        </w:rPr>
        <w:t xml:space="preserve">185 </w:t>
      </w:r>
      <w:r w:rsidRPr="005F7253">
        <w:rPr>
          <w:rFonts w:ascii="Aptos" w:eastAsia="Aptos" w:hAnsi="Aptos" w:cs="Arial"/>
          <w:kern w:val="2"/>
          <w:sz w:val="22"/>
          <w:szCs w:val="22"/>
          <w14:ligatures w14:val="standardContextual"/>
        </w:rPr>
        <w:t>subscriptions per 100 inhabitants).</w:t>
      </w:r>
    </w:p>
    <w:p w14:paraId="078E928F" w14:textId="225B4A8D" w:rsidR="00583BF0" w:rsidRPr="00FE0BDD" w:rsidRDefault="00583BF0" w:rsidP="00583BF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D745DF">
        <w:rPr>
          <w:rFonts w:ascii="Aptos" w:eastAsia="Aptos" w:hAnsi="Aptos" w:cs="Arial"/>
          <w:kern w:val="2"/>
          <w:sz w:val="22"/>
          <w:szCs w:val="22"/>
          <w14:ligatures w14:val="standardContextual"/>
        </w:rPr>
        <w:t xml:space="preserve">The heterogeneity of the region is </w:t>
      </w:r>
      <w:r w:rsidR="00254C8F">
        <w:rPr>
          <w:rFonts w:ascii="Aptos" w:eastAsia="Aptos" w:hAnsi="Aptos" w:cs="Arial"/>
          <w:kern w:val="2"/>
          <w:sz w:val="22"/>
          <w:szCs w:val="22"/>
          <w14:ligatures w14:val="standardContextual"/>
        </w:rPr>
        <w:t xml:space="preserve">reflected </w:t>
      </w:r>
      <w:r w:rsidRPr="00D745DF">
        <w:rPr>
          <w:rFonts w:ascii="Aptos" w:eastAsia="Aptos" w:hAnsi="Aptos" w:cs="Arial"/>
          <w:kern w:val="2"/>
          <w:sz w:val="22"/>
          <w:szCs w:val="22"/>
          <w14:ligatures w14:val="standardContextual"/>
        </w:rPr>
        <w:t>in the country-level numbers of fixed broadband subscriptions</w:t>
      </w:r>
      <w:r w:rsidR="00ED1D83" w:rsidRPr="00D745DF">
        <w:rPr>
          <w:rFonts w:ascii="Aptos" w:eastAsia="Aptos" w:hAnsi="Aptos" w:cs="Arial"/>
          <w:kern w:val="2"/>
          <w:sz w:val="22"/>
          <w:szCs w:val="22"/>
          <w14:ligatures w14:val="standardContextual"/>
        </w:rPr>
        <w:t xml:space="preserve">, which ranges from 0.3 to 47 </w:t>
      </w:r>
      <w:r w:rsidR="0086759E" w:rsidRPr="00D745DF">
        <w:rPr>
          <w:rFonts w:ascii="Aptos" w:eastAsia="Aptos" w:hAnsi="Aptos" w:cs="Arial"/>
          <w:kern w:val="2"/>
          <w:sz w:val="22"/>
          <w:szCs w:val="22"/>
          <w14:ligatures w14:val="standardContextual"/>
        </w:rPr>
        <w:t xml:space="preserve">subscriptions per 100 inhabitants. </w:t>
      </w:r>
      <w:r w:rsidR="000040C8" w:rsidRPr="00D745DF">
        <w:rPr>
          <w:rFonts w:ascii="Aptos" w:eastAsia="Aptos" w:hAnsi="Aptos" w:cs="Arial"/>
          <w:kern w:val="2"/>
          <w:sz w:val="22"/>
          <w:szCs w:val="22"/>
          <w14:ligatures w14:val="standardContextual"/>
        </w:rPr>
        <w:t xml:space="preserve">In 16 out of the 28 countries with data, 90 per cent or more of subscriptions </w:t>
      </w:r>
      <w:r w:rsidR="007B599C" w:rsidRPr="00D745DF">
        <w:rPr>
          <w:rFonts w:ascii="Aptos" w:eastAsia="Aptos" w:hAnsi="Aptos" w:cs="Arial"/>
          <w:kern w:val="2"/>
          <w:sz w:val="22"/>
          <w:szCs w:val="22"/>
          <w14:ligatures w14:val="standardContextual"/>
        </w:rPr>
        <w:t>were</w:t>
      </w:r>
      <w:r w:rsidRPr="00D745DF">
        <w:rPr>
          <w:rFonts w:ascii="Aptos" w:eastAsia="Aptos" w:hAnsi="Aptos" w:cs="Arial"/>
          <w:kern w:val="2"/>
          <w:sz w:val="22"/>
          <w:szCs w:val="22"/>
          <w14:ligatures w14:val="standardContextual"/>
        </w:rPr>
        <w:t xml:space="preserve"> with speeds of more than 10 Mbit per second.</w:t>
      </w:r>
    </w:p>
    <w:p w14:paraId="7BABDE7B" w14:textId="39115641"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156082"/>
          <w:spacing w:val="-10"/>
          <w:kern w:val="28"/>
          <w:szCs w:val="24"/>
        </w:rPr>
      </w:pPr>
      <w:r w:rsidRPr="003D0AEA">
        <w:rPr>
          <w:rFonts w:ascii="AvenirNext LT Pro Light" w:eastAsia="Yu Gothic Light" w:hAnsi="AvenirNext LT Pro Light" w:cs="Calibri"/>
          <w:color w:val="0070C0"/>
          <w:spacing w:val="-10"/>
          <w:kern w:val="28"/>
          <w:szCs w:val="24"/>
        </w:rPr>
        <w:t xml:space="preserve">Fixed-broadband subscriptions per 100 inhabitants, </w:t>
      </w:r>
      <w:r w:rsidR="00CB6B39" w:rsidRPr="003D0AEA">
        <w:rPr>
          <w:rFonts w:ascii="AvenirNext LT Pro Light" w:eastAsia="Yu Gothic Light" w:hAnsi="AvenirNext LT Pro Light" w:cs="Calibri"/>
          <w:color w:val="0070C0"/>
          <w:spacing w:val="-10"/>
          <w:kern w:val="28"/>
          <w:szCs w:val="24"/>
        </w:rPr>
        <w:t xml:space="preserve">2023 or </w:t>
      </w:r>
      <w:r w:rsidRPr="003D0AEA">
        <w:rPr>
          <w:rFonts w:ascii="AvenirNext LT Pro Light" w:eastAsia="Yu Gothic Light" w:hAnsi="AvenirNext LT Pro Light" w:cs="Calibri"/>
          <w:color w:val="0070C0"/>
          <w:spacing w:val="-10"/>
          <w:kern w:val="28"/>
          <w:szCs w:val="24"/>
        </w:rPr>
        <w:t>latest year available</w:t>
      </w:r>
    </w:p>
    <w:p w14:paraId="34F50078" w14:textId="5657911A" w:rsidR="00591DB2" w:rsidRPr="00591DB2" w:rsidRDefault="00C425E7" w:rsidP="00591DB2">
      <w:pPr>
        <w:pStyle w:val="notetext"/>
      </w:pPr>
      <w:r>
        <w:rPr>
          <w:noProof/>
        </w:rPr>
        <w:drawing>
          <wp:inline distT="0" distB="0" distL="0" distR="0" wp14:anchorId="79DC1DD3" wp14:editId="75C0D80C">
            <wp:extent cx="6120765" cy="3041650"/>
            <wp:effectExtent l="0" t="0" r="0" b="6350"/>
            <wp:docPr id="11276883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88308" name=""/>
                    <pic:cNvPicPr/>
                  </pic:nvPicPr>
                  <pic:blipFill>
                    <a:blip r:embed="rId44">
                      <a:extLst>
                        <a:ext uri="{96DAC541-7B7A-43D3-8B79-37D633B846F1}">
                          <asvg:svgBlip xmlns:asvg="http://schemas.microsoft.com/office/drawing/2016/SVG/main" r:embed="rId45"/>
                        </a:ext>
                      </a:extLst>
                    </a:blip>
                    <a:stretch>
                      <a:fillRect/>
                    </a:stretch>
                  </pic:blipFill>
                  <pic:spPr>
                    <a:xfrm>
                      <a:off x="0" y="0"/>
                      <a:ext cx="6120765" cy="3041650"/>
                    </a:xfrm>
                    <a:prstGeom prst="rect">
                      <a:avLst/>
                    </a:prstGeom>
                  </pic:spPr>
                </pic:pic>
              </a:graphicData>
            </a:graphic>
          </wp:inline>
        </w:drawing>
      </w:r>
      <w:r w:rsidR="00591DB2" w:rsidRPr="00591DB2">
        <w:t>* Data are ITU estimates</w:t>
      </w:r>
    </w:p>
    <w:p w14:paraId="3F57B3B1" w14:textId="43126D39" w:rsidR="006C41B5" w:rsidRPr="003D0AEA" w:rsidRDefault="006C41B5" w:rsidP="00B1004A">
      <w:pPr>
        <w:pStyle w:val="Sourcetext"/>
      </w:pPr>
      <w:r w:rsidRPr="003D0AEA">
        <w:t>Source: ITU</w:t>
      </w:r>
    </w:p>
    <w:p w14:paraId="57E7CA28" w14:textId="77777777" w:rsidR="006C41B5" w:rsidRPr="003D0AEA"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D0AEA">
        <w:rPr>
          <w:rFonts w:ascii="Aptos" w:eastAsia="Aptos" w:hAnsi="Aptos" w:cs="Arial"/>
          <w:kern w:val="2"/>
          <w:sz w:val="22"/>
          <w:szCs w:val="22"/>
          <w14:ligatures w14:val="standardContextual"/>
        </w:rPr>
        <w:br w:type="page"/>
      </w:r>
    </w:p>
    <w:p w14:paraId="7243393E" w14:textId="77777777" w:rsidR="006C41B5" w:rsidRPr="003D0AEA" w:rsidRDefault="006C41B5" w:rsidP="00172FE0">
      <w:pPr>
        <w:pStyle w:val="Section"/>
      </w:pPr>
      <w:bookmarkStart w:id="12" w:name="_Toc190883386"/>
      <w:r w:rsidRPr="003D0AEA">
        <w:lastRenderedPageBreak/>
        <w:t>Mobile network coverage</w:t>
      </w:r>
      <w:bookmarkEnd w:id="12"/>
    </w:p>
    <w:p w14:paraId="5A0B95BD" w14:textId="30E23A1D" w:rsidR="006C1275" w:rsidRPr="00563970" w:rsidRDefault="00FF67A9"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FF67A9">
        <w:rPr>
          <w:rFonts w:ascii="Aptos" w:eastAsia="Aptos" w:hAnsi="Aptos" w:cs="Arial"/>
          <w:b/>
          <w:i/>
          <w:kern w:val="2"/>
          <w:sz w:val="22"/>
          <w:szCs w:val="22"/>
          <w14:ligatures w14:val="standardContextual"/>
        </w:rPr>
        <w:t>Two-thirds of the population have access to 5G, but rural areas and some countries lag behind</w:t>
      </w:r>
      <w:r w:rsidRPr="00FF67A9" w:rsidDel="00FF67A9">
        <w:rPr>
          <w:rFonts w:ascii="Aptos" w:eastAsia="Aptos" w:hAnsi="Aptos" w:cs="Arial"/>
          <w:b/>
          <w:i/>
          <w:kern w:val="2"/>
          <w:sz w:val="22"/>
          <w:szCs w:val="22"/>
          <w14:ligatures w14:val="standardContextual"/>
        </w:rPr>
        <w:t xml:space="preserve"> </w:t>
      </w:r>
    </w:p>
    <w:p w14:paraId="2076502E" w14:textId="77777777"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t>Percentage of population covered by type of mobile network</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566"/>
      </w:tblGrid>
      <w:tr w:rsidR="006C41B5" w:rsidRPr="003D0AEA" w14:paraId="2FB8D327" w14:textId="77777777" w:rsidTr="001C3C6C">
        <w:tc>
          <w:tcPr>
            <w:tcW w:w="4566" w:type="dxa"/>
          </w:tcPr>
          <w:p w14:paraId="63ECFA9C" w14:textId="00FBFC25" w:rsidR="006C41B5" w:rsidRPr="003D0AEA" w:rsidRDefault="00060A76" w:rsidP="005D7CD3">
            <w:pPr>
              <w:jc w:val="center"/>
              <w:rPr>
                <w:rFonts w:ascii="Aptos" w:hAnsi="Aptos"/>
                <w:sz w:val="22"/>
              </w:rPr>
            </w:pPr>
            <w:r>
              <w:rPr>
                <w:rFonts w:ascii="Aptos" w:hAnsi="Aptos"/>
                <w:b/>
                <w:sz w:val="22"/>
              </w:rPr>
              <w:t>The Americas</w:t>
            </w:r>
            <w:r w:rsidR="001C3C6C">
              <w:rPr>
                <w:noProof/>
              </w:rPr>
              <w:t xml:space="preserve"> </w:t>
            </w:r>
            <w:r w:rsidR="001C3C6C">
              <w:rPr>
                <w:noProof/>
              </w:rPr>
              <w:drawing>
                <wp:inline distT="0" distB="0" distL="0" distR="0" wp14:anchorId="080FE165" wp14:editId="644688D3">
                  <wp:extent cx="2752725" cy="2876550"/>
                  <wp:effectExtent l="0" t="0" r="9525" b="0"/>
                  <wp:docPr id="2000839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3985" name=""/>
                          <pic:cNvPicPr/>
                        </pic:nvPicPr>
                        <pic:blipFill>
                          <a:blip r:embed="rId46">
                            <a:extLst>
                              <a:ext uri="{96DAC541-7B7A-43D3-8B79-37D633B846F1}">
                                <asvg:svgBlip xmlns:asvg="http://schemas.microsoft.com/office/drawing/2016/SVG/main" r:embed="rId47"/>
                              </a:ext>
                            </a:extLst>
                          </a:blip>
                          <a:stretch>
                            <a:fillRect/>
                          </a:stretch>
                        </pic:blipFill>
                        <pic:spPr>
                          <a:xfrm>
                            <a:off x="0" y="0"/>
                            <a:ext cx="2752725" cy="2876550"/>
                          </a:xfrm>
                          <a:prstGeom prst="rect">
                            <a:avLst/>
                          </a:prstGeom>
                        </pic:spPr>
                      </pic:pic>
                    </a:graphicData>
                  </a:graphic>
                </wp:inline>
              </w:drawing>
            </w:r>
          </w:p>
        </w:tc>
        <w:tc>
          <w:tcPr>
            <w:tcW w:w="4566" w:type="dxa"/>
          </w:tcPr>
          <w:p w14:paraId="4B986072" w14:textId="6FD53FA0" w:rsidR="006C41B5" w:rsidRPr="003D0AEA" w:rsidRDefault="006C41B5" w:rsidP="005D7CD3">
            <w:pPr>
              <w:jc w:val="center"/>
              <w:rPr>
                <w:rFonts w:ascii="Aptos" w:hAnsi="Aptos"/>
                <w:sz w:val="22"/>
              </w:rPr>
            </w:pPr>
            <w:r w:rsidRPr="003D0AEA">
              <w:rPr>
                <w:rFonts w:ascii="Aptos" w:hAnsi="Aptos"/>
                <w:b/>
                <w:sz w:val="22"/>
              </w:rPr>
              <w:t>World</w:t>
            </w:r>
            <w:r w:rsidR="001C3C6C">
              <w:rPr>
                <w:noProof/>
              </w:rPr>
              <w:t xml:space="preserve"> </w:t>
            </w:r>
            <w:r w:rsidR="001C3C6C">
              <w:rPr>
                <w:noProof/>
              </w:rPr>
              <w:drawing>
                <wp:inline distT="0" distB="0" distL="0" distR="0" wp14:anchorId="3DFED911" wp14:editId="74DA2548">
                  <wp:extent cx="2752725" cy="2876550"/>
                  <wp:effectExtent l="0" t="0" r="9525" b="0"/>
                  <wp:docPr id="15655998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99821" name=""/>
                          <pic:cNvPicPr/>
                        </pic:nvPicPr>
                        <pic:blipFill>
                          <a:blip r:embed="rId48">
                            <a:extLst>
                              <a:ext uri="{96DAC541-7B7A-43D3-8B79-37D633B846F1}">
                                <asvg:svgBlip xmlns:asvg="http://schemas.microsoft.com/office/drawing/2016/SVG/main" r:embed="rId49"/>
                              </a:ext>
                            </a:extLst>
                          </a:blip>
                          <a:stretch>
                            <a:fillRect/>
                          </a:stretch>
                        </pic:blipFill>
                        <pic:spPr>
                          <a:xfrm>
                            <a:off x="0" y="0"/>
                            <a:ext cx="2752725" cy="2876550"/>
                          </a:xfrm>
                          <a:prstGeom prst="rect">
                            <a:avLst/>
                          </a:prstGeom>
                        </pic:spPr>
                      </pic:pic>
                    </a:graphicData>
                  </a:graphic>
                </wp:inline>
              </w:drawing>
            </w:r>
          </w:p>
        </w:tc>
      </w:tr>
    </w:tbl>
    <w:p w14:paraId="60893B8F" w14:textId="77777777" w:rsidR="006C41B5" w:rsidRPr="003D0AEA" w:rsidRDefault="006C41B5" w:rsidP="00B1004A">
      <w:pPr>
        <w:pStyle w:val="notetext"/>
      </w:pPr>
      <w:r w:rsidRPr="003D0AEA">
        <w:t>Note: The values for 2G, 3G and 4G networks show the incremental percentage of the population that is not covered by a more advanced technology network (e.g. in 2024, 96 per cent of the world population is covered by at least a 3G or above network, that is 4 per cent + 41 per cent + 51 per cent). There are insufficient data to produce estimates for 5G coverage prior to 2020.</w:t>
      </w:r>
    </w:p>
    <w:p w14:paraId="0BBEC63A" w14:textId="77777777" w:rsidR="006C41B5" w:rsidRPr="003D0AEA" w:rsidRDefault="006C41B5" w:rsidP="00B1004A">
      <w:pPr>
        <w:pStyle w:val="Sourcetext"/>
      </w:pPr>
      <w:r w:rsidRPr="003D0AEA">
        <w:t>Source: ITU</w:t>
      </w:r>
    </w:p>
    <w:p w14:paraId="13BA4C71" w14:textId="7415BDE5" w:rsidR="00756F18" w:rsidRDefault="00A71241"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A71241">
        <w:rPr>
          <w:rFonts w:ascii="Aptos" w:eastAsia="Aptos" w:hAnsi="Aptos" w:cs="Arial"/>
          <w:kern w:val="2"/>
          <w:sz w:val="22"/>
          <w:szCs w:val="22"/>
          <w14:ligatures w14:val="standardContextual"/>
        </w:rPr>
        <w:t xml:space="preserve">Between 2020 and 2024, 5G mobile network coverage in the </w:t>
      </w:r>
      <w:r w:rsidR="00D53DCB">
        <w:rPr>
          <w:rFonts w:ascii="Aptos" w:eastAsia="Aptos" w:hAnsi="Aptos" w:cs="Arial"/>
          <w:kern w:val="2"/>
          <w:sz w:val="22"/>
          <w:szCs w:val="22"/>
          <w14:ligatures w14:val="standardContextual"/>
        </w:rPr>
        <w:t xml:space="preserve">Americas </w:t>
      </w:r>
      <w:r w:rsidRPr="00A71241">
        <w:rPr>
          <w:rFonts w:ascii="Aptos" w:eastAsia="Aptos" w:hAnsi="Aptos" w:cs="Arial"/>
          <w:kern w:val="2"/>
          <w:sz w:val="22"/>
          <w:szCs w:val="22"/>
          <w14:ligatures w14:val="standardContextual"/>
        </w:rPr>
        <w:t>increased from 3</w:t>
      </w:r>
      <w:r w:rsidR="00DE0F5B">
        <w:rPr>
          <w:rFonts w:ascii="Aptos" w:eastAsia="Aptos" w:hAnsi="Aptos" w:cs="Arial"/>
          <w:kern w:val="2"/>
          <w:sz w:val="22"/>
          <w:szCs w:val="22"/>
          <w14:ligatures w14:val="standardContextual"/>
        </w:rPr>
        <w:t>5</w:t>
      </w:r>
      <w:r w:rsidRPr="00A71241">
        <w:rPr>
          <w:rFonts w:ascii="Aptos" w:eastAsia="Aptos" w:hAnsi="Aptos" w:cs="Arial"/>
          <w:kern w:val="2"/>
          <w:sz w:val="22"/>
          <w:szCs w:val="22"/>
          <w14:ligatures w14:val="standardContextual"/>
        </w:rPr>
        <w:t xml:space="preserve"> to 6</w:t>
      </w:r>
      <w:r w:rsidR="00DE0F5B">
        <w:rPr>
          <w:rFonts w:ascii="Aptos" w:eastAsia="Aptos" w:hAnsi="Aptos" w:cs="Arial"/>
          <w:kern w:val="2"/>
          <w:sz w:val="22"/>
          <w:szCs w:val="22"/>
          <w14:ligatures w14:val="standardContextual"/>
        </w:rPr>
        <w:t>3</w:t>
      </w:r>
      <w:r w:rsidRPr="00A71241">
        <w:rPr>
          <w:rFonts w:ascii="Aptos" w:eastAsia="Aptos" w:hAnsi="Aptos" w:cs="Arial"/>
          <w:kern w:val="2"/>
          <w:sz w:val="22"/>
          <w:szCs w:val="22"/>
          <w14:ligatures w14:val="standardContextual"/>
        </w:rPr>
        <w:t xml:space="preserve"> per cent of the population.</w:t>
      </w:r>
      <w:r w:rsidR="002669A3">
        <w:rPr>
          <w:rFonts w:ascii="Aptos" w:eastAsia="Aptos" w:hAnsi="Aptos" w:cs="Arial"/>
          <w:kern w:val="2"/>
          <w:sz w:val="22"/>
          <w:szCs w:val="22"/>
          <w14:ligatures w14:val="standardContextual"/>
        </w:rPr>
        <w:t xml:space="preserve"> Over </w:t>
      </w:r>
      <w:r w:rsidR="00DE0F5B">
        <w:rPr>
          <w:rFonts w:ascii="Aptos" w:eastAsia="Aptos" w:hAnsi="Aptos" w:cs="Arial"/>
          <w:kern w:val="2"/>
          <w:sz w:val="22"/>
          <w:szCs w:val="22"/>
          <w14:ligatures w14:val="standardContextual"/>
        </w:rPr>
        <w:t>the same period</w:t>
      </w:r>
      <w:r w:rsidR="002669A3">
        <w:rPr>
          <w:rFonts w:ascii="Aptos" w:eastAsia="Aptos" w:hAnsi="Aptos" w:cs="Arial"/>
          <w:kern w:val="2"/>
          <w:sz w:val="22"/>
          <w:szCs w:val="22"/>
          <w14:ligatures w14:val="standardContextual"/>
        </w:rPr>
        <w:t xml:space="preserve">, </w:t>
      </w:r>
      <w:r w:rsidRPr="00A71241">
        <w:rPr>
          <w:rFonts w:ascii="Aptos" w:eastAsia="Aptos" w:hAnsi="Aptos" w:cs="Arial"/>
          <w:kern w:val="2"/>
          <w:sz w:val="22"/>
          <w:szCs w:val="22"/>
          <w14:ligatures w14:val="standardContextual"/>
        </w:rPr>
        <w:t>global coverage increased from 9 to 51 per cent. In the region, 4G mobile networks covered 9</w:t>
      </w:r>
      <w:r w:rsidR="001854F6">
        <w:rPr>
          <w:rFonts w:ascii="Aptos" w:eastAsia="Aptos" w:hAnsi="Aptos" w:cs="Arial"/>
          <w:kern w:val="2"/>
          <w:sz w:val="22"/>
          <w:szCs w:val="22"/>
          <w14:ligatures w14:val="standardContextual"/>
        </w:rPr>
        <w:t>4</w:t>
      </w:r>
      <w:r w:rsidRPr="00A71241">
        <w:rPr>
          <w:rFonts w:ascii="Aptos" w:eastAsia="Aptos" w:hAnsi="Aptos" w:cs="Arial"/>
          <w:kern w:val="2"/>
          <w:sz w:val="22"/>
          <w:szCs w:val="22"/>
          <w14:ligatures w14:val="standardContextual"/>
        </w:rPr>
        <w:t xml:space="preserve"> per cent of the population in 2024, also above the global average of 92 per cent. Furthermore, 9</w:t>
      </w:r>
      <w:r w:rsidR="0065105A">
        <w:rPr>
          <w:rFonts w:ascii="Aptos" w:eastAsia="Aptos" w:hAnsi="Aptos" w:cs="Arial"/>
          <w:kern w:val="2"/>
          <w:sz w:val="22"/>
          <w:szCs w:val="22"/>
          <w14:ligatures w14:val="standardContextual"/>
        </w:rPr>
        <w:t>6</w:t>
      </w:r>
      <w:r w:rsidRPr="00A71241">
        <w:rPr>
          <w:rFonts w:ascii="Aptos" w:eastAsia="Aptos" w:hAnsi="Aptos" w:cs="Arial"/>
          <w:kern w:val="2"/>
          <w:sz w:val="22"/>
          <w:szCs w:val="22"/>
          <w14:ligatures w14:val="standardContextual"/>
        </w:rPr>
        <w:t xml:space="preserve"> per cent of the population in </w:t>
      </w:r>
      <w:r w:rsidR="00D53DCB">
        <w:rPr>
          <w:rFonts w:ascii="Aptos" w:eastAsia="Aptos" w:hAnsi="Aptos" w:cs="Arial"/>
          <w:kern w:val="2"/>
          <w:sz w:val="22"/>
          <w:szCs w:val="22"/>
          <w14:ligatures w14:val="standardContextual"/>
        </w:rPr>
        <w:t>the Americas</w:t>
      </w:r>
      <w:r w:rsidRPr="00A71241">
        <w:rPr>
          <w:rFonts w:ascii="Aptos" w:eastAsia="Aptos" w:hAnsi="Aptos" w:cs="Arial"/>
          <w:kern w:val="2"/>
          <w:sz w:val="22"/>
          <w:szCs w:val="22"/>
          <w14:ligatures w14:val="standardContextual"/>
        </w:rPr>
        <w:t xml:space="preserve"> had access to at least a 3G mobile broadband network, leaving </w:t>
      </w:r>
      <w:r w:rsidR="0065105A">
        <w:rPr>
          <w:rFonts w:ascii="Aptos" w:eastAsia="Aptos" w:hAnsi="Aptos" w:cs="Arial"/>
          <w:kern w:val="2"/>
          <w:sz w:val="22"/>
          <w:szCs w:val="22"/>
          <w14:ligatures w14:val="standardContextual"/>
        </w:rPr>
        <w:t>4</w:t>
      </w:r>
      <w:r w:rsidRPr="00A71241">
        <w:rPr>
          <w:rFonts w:ascii="Aptos" w:eastAsia="Aptos" w:hAnsi="Aptos" w:cs="Arial"/>
          <w:kern w:val="2"/>
          <w:sz w:val="22"/>
          <w:szCs w:val="22"/>
          <w14:ligatures w14:val="standardContextual"/>
        </w:rPr>
        <w:t xml:space="preserve"> per cent without access to a mobile broadband network and therefore without any possibility of accessing the Internet. This coverage gap was </w:t>
      </w:r>
      <w:r w:rsidR="003830EF">
        <w:rPr>
          <w:rFonts w:ascii="Aptos" w:eastAsia="Aptos" w:hAnsi="Aptos" w:cs="Arial"/>
          <w:kern w:val="2"/>
          <w:sz w:val="22"/>
          <w:szCs w:val="22"/>
          <w14:ligatures w14:val="standardContextual"/>
        </w:rPr>
        <w:t xml:space="preserve">the same as </w:t>
      </w:r>
      <w:r w:rsidRPr="00A71241">
        <w:rPr>
          <w:rFonts w:ascii="Aptos" w:eastAsia="Aptos" w:hAnsi="Aptos" w:cs="Arial"/>
          <w:kern w:val="2"/>
          <w:sz w:val="22"/>
          <w:szCs w:val="22"/>
          <w14:ligatures w14:val="standardContextual"/>
        </w:rPr>
        <w:t>the global average.</w:t>
      </w:r>
    </w:p>
    <w:p w14:paraId="6AE468F3" w14:textId="0CED1A8A"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lastRenderedPageBreak/>
        <w:t xml:space="preserve">Percentage of population covered by type of mobile network, </w:t>
      </w:r>
      <w:r w:rsidR="008D4391" w:rsidRPr="003D0AEA">
        <w:rPr>
          <w:rFonts w:ascii="AvenirNext LT Pro Light" w:eastAsia="Yu Gothic Light" w:hAnsi="AvenirNext LT Pro Light" w:cs="Calibri"/>
          <w:color w:val="0070C0"/>
          <w:spacing w:val="-10"/>
          <w:kern w:val="28"/>
          <w:szCs w:val="24"/>
        </w:rPr>
        <w:t>2023</w:t>
      </w:r>
    </w:p>
    <w:p w14:paraId="106B8DB7" w14:textId="79A9094E" w:rsidR="00262386" w:rsidRPr="00591DB2" w:rsidRDefault="005A61E4" w:rsidP="00262386">
      <w:pPr>
        <w:pStyle w:val="notetext"/>
      </w:pPr>
      <w:r>
        <w:rPr>
          <w:noProof/>
        </w:rPr>
        <w:drawing>
          <wp:inline distT="0" distB="0" distL="0" distR="0" wp14:anchorId="0D094B56" wp14:editId="64D6E221">
            <wp:extent cx="6105525" cy="3486150"/>
            <wp:effectExtent l="0" t="0" r="9525" b="0"/>
            <wp:docPr id="4883938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93885" name=""/>
                    <pic:cNvPicPr/>
                  </pic:nvPicPr>
                  <pic:blipFill>
                    <a:blip r:embed="rId50">
                      <a:extLst>
                        <a:ext uri="{96DAC541-7B7A-43D3-8B79-37D633B846F1}">
                          <asvg:svgBlip xmlns:asvg="http://schemas.microsoft.com/office/drawing/2016/SVG/main" r:embed="rId51"/>
                        </a:ext>
                      </a:extLst>
                    </a:blip>
                    <a:stretch>
                      <a:fillRect/>
                    </a:stretch>
                  </pic:blipFill>
                  <pic:spPr>
                    <a:xfrm>
                      <a:off x="0" y="0"/>
                      <a:ext cx="6105525" cy="3486150"/>
                    </a:xfrm>
                    <a:prstGeom prst="rect">
                      <a:avLst/>
                    </a:prstGeom>
                  </pic:spPr>
                </pic:pic>
              </a:graphicData>
            </a:graphic>
          </wp:inline>
        </w:drawing>
      </w:r>
      <w:r w:rsidR="00262386" w:rsidRPr="00591DB2">
        <w:t>* Data are ITU estimates</w:t>
      </w:r>
    </w:p>
    <w:p w14:paraId="14C31C7C" w14:textId="09285344" w:rsidR="006C41B5" w:rsidRPr="003D0AEA" w:rsidRDefault="006C41B5" w:rsidP="00B1004A">
      <w:pPr>
        <w:pStyle w:val="notetext"/>
      </w:pPr>
      <w:r w:rsidRPr="003D0AEA">
        <w:t xml:space="preserve">Note: The values for 2G, 3G and 4G networks show the incremental percentage of the population that is not covered by a more advanced </w:t>
      </w:r>
      <w:r w:rsidRPr="00D56B99">
        <w:t xml:space="preserve">technology network (e.g. in 2023, </w:t>
      </w:r>
      <w:r w:rsidR="00CE4665" w:rsidRPr="00D56B99">
        <w:t>9</w:t>
      </w:r>
      <w:r w:rsidR="00D56B99" w:rsidRPr="00D56B99">
        <w:t>3</w:t>
      </w:r>
      <w:r w:rsidRPr="00D56B99">
        <w:t xml:space="preserve"> per cent of the population in </w:t>
      </w:r>
      <w:r w:rsidR="00D56B99" w:rsidRPr="00D56B99">
        <w:t xml:space="preserve">Brazil </w:t>
      </w:r>
      <w:r w:rsidRPr="00D56B99">
        <w:t xml:space="preserve">is covered by at least a </w:t>
      </w:r>
      <w:r w:rsidR="00AF357D" w:rsidRPr="00D56B99">
        <w:t>4</w:t>
      </w:r>
      <w:r w:rsidRPr="00D56B99">
        <w:t xml:space="preserve">G or above network, that is </w:t>
      </w:r>
      <w:r w:rsidR="00E034BD" w:rsidRPr="00D56B99">
        <w:t>63</w:t>
      </w:r>
      <w:r w:rsidRPr="00D56B99">
        <w:t xml:space="preserve"> per cent + </w:t>
      </w:r>
      <w:r w:rsidR="00E034BD" w:rsidRPr="00D56B99">
        <w:t>3</w:t>
      </w:r>
      <w:r w:rsidR="00D56B99" w:rsidRPr="00D56B99">
        <w:t>0</w:t>
      </w:r>
      <w:r w:rsidRPr="003D0AEA">
        <w:t xml:space="preserve"> per cent). </w:t>
      </w:r>
    </w:p>
    <w:p w14:paraId="1C2875B9" w14:textId="77777777" w:rsidR="006C41B5" w:rsidRPr="003D0AEA" w:rsidRDefault="006C41B5" w:rsidP="00B1004A">
      <w:pPr>
        <w:pStyle w:val="Sourcetext"/>
      </w:pPr>
      <w:r w:rsidRPr="003D0AEA">
        <w:t>Source: ITU</w:t>
      </w:r>
    </w:p>
    <w:p w14:paraId="69C22E73" w14:textId="77777777" w:rsidR="00A92118" w:rsidRDefault="00A92118" w:rsidP="00A9211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However, looking at country level data provides a different perspective. In 26 out of the 35 countries in the region, 5G was not available at all, while in only five countries 5G covered more than 50 per cent of the population.</w:t>
      </w:r>
    </w:p>
    <w:p w14:paraId="0A0B8633" w14:textId="77777777" w:rsidR="00A92118" w:rsidRDefault="00A92118">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Pr>
          <w:rFonts w:ascii="AvenirNext LT Pro Light" w:eastAsia="Yu Gothic Light" w:hAnsi="AvenirNext LT Pro Light" w:cs="Calibri"/>
          <w:color w:val="0070C0"/>
          <w:spacing w:val="-10"/>
          <w:kern w:val="28"/>
          <w:szCs w:val="24"/>
        </w:rPr>
        <w:br w:type="page"/>
      </w:r>
    </w:p>
    <w:p w14:paraId="41FF9656" w14:textId="281A0A57"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lastRenderedPageBreak/>
        <w:t>Population coverage by type of mobile network and location, 2024</w:t>
      </w:r>
    </w:p>
    <w:p w14:paraId="4CFB12EA" w14:textId="64DBEDD6" w:rsidR="00EF6D10" w:rsidRPr="003D0AEA" w:rsidRDefault="005B5134"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644013A4" wp14:editId="093E5FCF">
            <wp:extent cx="5762625" cy="2876550"/>
            <wp:effectExtent l="0" t="0" r="9525" b="0"/>
            <wp:docPr id="17177306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30601" name=""/>
                    <pic:cNvPicPr/>
                  </pic:nvPicPr>
                  <pic:blipFill>
                    <a:blip r:embed="rId52">
                      <a:extLst>
                        <a:ext uri="{96DAC541-7B7A-43D3-8B79-37D633B846F1}">
                          <asvg:svgBlip xmlns:asvg="http://schemas.microsoft.com/office/drawing/2016/SVG/main" r:embed="rId53"/>
                        </a:ext>
                      </a:extLst>
                    </a:blip>
                    <a:stretch>
                      <a:fillRect/>
                    </a:stretch>
                  </pic:blipFill>
                  <pic:spPr>
                    <a:xfrm>
                      <a:off x="0" y="0"/>
                      <a:ext cx="5762625" cy="2876550"/>
                    </a:xfrm>
                    <a:prstGeom prst="rect">
                      <a:avLst/>
                    </a:prstGeom>
                  </pic:spPr>
                </pic:pic>
              </a:graphicData>
            </a:graphic>
          </wp:inline>
        </w:drawing>
      </w:r>
    </w:p>
    <w:p w14:paraId="05373577" w14:textId="49A4A92E" w:rsidR="006C41B5" w:rsidRPr="003D0AEA" w:rsidRDefault="006C41B5" w:rsidP="00B1004A">
      <w:pPr>
        <w:pStyle w:val="notetext"/>
      </w:pPr>
      <w:r w:rsidRPr="003D0AEA">
        <w:t>Note: The values for 2G, 3G and 4G networks show the incremental percentage of the population that is not covered by a more advanced technology network (e.g. 90 per cent of the world's rural population is covered by at least a 3G or above network, that is 29 per cent + 53 per cent + 8 per cent).</w:t>
      </w:r>
    </w:p>
    <w:p w14:paraId="723128D2" w14:textId="77777777" w:rsidR="00A92118" w:rsidRDefault="006C41B5" w:rsidP="009D2EAD">
      <w:pPr>
        <w:pStyle w:val="Sourcetext"/>
      </w:pPr>
      <w:r w:rsidRPr="003D0AEA">
        <w:t>Source: ITU</w:t>
      </w:r>
    </w:p>
    <w:p w14:paraId="62F7EBEC" w14:textId="011377AD" w:rsidR="00A92118" w:rsidRPr="0057477B" w:rsidRDefault="00A92118" w:rsidP="00A9211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As with Internet use, there is a significant gap in network availability between rural and urban areas. In 2024, 5G covered </w:t>
      </w:r>
      <w:r w:rsidR="00634D50">
        <w:rPr>
          <w:rFonts w:ascii="Aptos" w:eastAsia="Aptos" w:hAnsi="Aptos" w:cs="Arial"/>
          <w:kern w:val="2"/>
          <w:sz w:val="22"/>
          <w:szCs w:val="22"/>
          <w14:ligatures w14:val="standardContextual"/>
        </w:rPr>
        <w:t>70</w:t>
      </w:r>
      <w:r w:rsidRPr="005F7253">
        <w:rPr>
          <w:rFonts w:ascii="Aptos" w:eastAsia="Aptos" w:hAnsi="Aptos" w:cs="Arial"/>
          <w:kern w:val="2"/>
          <w:sz w:val="22"/>
          <w:szCs w:val="22"/>
          <w14:ligatures w14:val="standardContextual"/>
        </w:rPr>
        <w:t xml:space="preserve"> per cent of the </w:t>
      </w:r>
      <w:r w:rsidR="00127109">
        <w:rPr>
          <w:rFonts w:ascii="Aptos" w:eastAsia="Aptos" w:hAnsi="Aptos" w:cs="Arial"/>
          <w:kern w:val="2"/>
          <w:sz w:val="22"/>
          <w:szCs w:val="22"/>
          <w14:ligatures w14:val="standardContextual"/>
        </w:rPr>
        <w:t>urban</w:t>
      </w:r>
      <w:r w:rsidRPr="005F7253">
        <w:rPr>
          <w:rFonts w:ascii="Aptos" w:eastAsia="Aptos" w:hAnsi="Aptos" w:cs="Arial"/>
          <w:kern w:val="2"/>
          <w:sz w:val="22"/>
          <w:szCs w:val="22"/>
          <w14:ligatures w14:val="standardContextual"/>
        </w:rPr>
        <w:t xml:space="preserve"> population </w:t>
      </w:r>
      <w:r>
        <w:rPr>
          <w:rFonts w:ascii="Aptos" w:eastAsia="Aptos" w:hAnsi="Aptos" w:cs="Arial"/>
          <w:kern w:val="2"/>
          <w:sz w:val="22"/>
          <w:szCs w:val="22"/>
          <w14:ligatures w14:val="standardContextual"/>
        </w:rPr>
        <w:t>the Americas</w:t>
      </w:r>
      <w:r w:rsidRPr="005F7253">
        <w:rPr>
          <w:rFonts w:ascii="Aptos" w:eastAsia="Aptos" w:hAnsi="Aptos" w:cs="Arial"/>
          <w:kern w:val="2"/>
          <w:sz w:val="22"/>
          <w:szCs w:val="22"/>
          <w14:ligatures w14:val="standardContextual"/>
        </w:rPr>
        <w:t xml:space="preserve">, but only </w:t>
      </w:r>
      <w:r w:rsidR="006B1B96">
        <w:rPr>
          <w:rFonts w:ascii="Aptos" w:eastAsia="Aptos" w:hAnsi="Aptos" w:cs="Arial"/>
          <w:kern w:val="2"/>
          <w:sz w:val="22"/>
          <w:szCs w:val="22"/>
          <w14:ligatures w14:val="standardContextual"/>
        </w:rPr>
        <w:t>3</w:t>
      </w:r>
      <w:r w:rsidRPr="005F7253">
        <w:rPr>
          <w:rFonts w:ascii="Aptos" w:eastAsia="Aptos" w:hAnsi="Aptos" w:cs="Arial"/>
          <w:kern w:val="2"/>
          <w:sz w:val="22"/>
          <w:szCs w:val="22"/>
          <w14:ligatures w14:val="standardContextual"/>
        </w:rPr>
        <w:t xml:space="preserve">1 per cent in rural areas. The disparity also </w:t>
      </w:r>
      <w:r>
        <w:rPr>
          <w:rFonts w:ascii="Aptos" w:eastAsia="Aptos" w:hAnsi="Aptos" w:cs="Arial"/>
          <w:kern w:val="2"/>
          <w:sz w:val="22"/>
          <w:szCs w:val="22"/>
          <w14:ligatures w14:val="standardContextual"/>
        </w:rPr>
        <w:t xml:space="preserve">existed </w:t>
      </w:r>
      <w:r w:rsidRPr="005F7253">
        <w:rPr>
          <w:rFonts w:ascii="Aptos" w:eastAsia="Aptos" w:hAnsi="Aptos" w:cs="Arial"/>
          <w:kern w:val="2"/>
          <w:sz w:val="22"/>
          <w:szCs w:val="22"/>
          <w14:ligatures w14:val="standardContextual"/>
        </w:rPr>
        <w:t>for 4G networks, with 9</w:t>
      </w:r>
      <w:r w:rsidR="006B1B96">
        <w:rPr>
          <w:rFonts w:ascii="Aptos" w:eastAsia="Aptos" w:hAnsi="Aptos" w:cs="Arial"/>
          <w:kern w:val="2"/>
          <w:sz w:val="22"/>
          <w:szCs w:val="22"/>
          <w14:ligatures w14:val="standardContextual"/>
        </w:rPr>
        <w:t>8</w:t>
      </w:r>
      <w:r w:rsidRPr="005F7253">
        <w:rPr>
          <w:rFonts w:ascii="Aptos" w:eastAsia="Aptos" w:hAnsi="Aptos" w:cs="Arial"/>
          <w:kern w:val="2"/>
          <w:sz w:val="22"/>
          <w:szCs w:val="22"/>
          <w14:ligatures w14:val="standardContextual"/>
        </w:rPr>
        <w:t xml:space="preserve"> per cent of the urban population covered compared with </w:t>
      </w:r>
      <w:r w:rsidR="006B1B96">
        <w:rPr>
          <w:rFonts w:ascii="Aptos" w:eastAsia="Aptos" w:hAnsi="Aptos" w:cs="Arial"/>
          <w:kern w:val="2"/>
          <w:sz w:val="22"/>
          <w:szCs w:val="22"/>
          <w14:ligatures w14:val="standardContextual"/>
        </w:rPr>
        <w:t>72</w:t>
      </w:r>
      <w:r w:rsidRPr="005F7253">
        <w:rPr>
          <w:rFonts w:ascii="Aptos" w:eastAsia="Aptos" w:hAnsi="Aptos" w:cs="Arial"/>
          <w:kern w:val="2"/>
          <w:sz w:val="22"/>
          <w:szCs w:val="22"/>
          <w14:ligatures w14:val="standardContextual"/>
        </w:rPr>
        <w:t xml:space="preserve"> per cent in rural areas. When including 3G networks, coverage reached 100 per cent in urban areas but only </w:t>
      </w:r>
      <w:r w:rsidR="00B87DF5">
        <w:rPr>
          <w:rFonts w:ascii="Aptos" w:eastAsia="Aptos" w:hAnsi="Aptos" w:cs="Arial"/>
          <w:kern w:val="2"/>
          <w:sz w:val="22"/>
          <w:szCs w:val="22"/>
          <w14:ligatures w14:val="standardContextual"/>
        </w:rPr>
        <w:t>76</w:t>
      </w:r>
      <w:r w:rsidRPr="005F7253">
        <w:rPr>
          <w:rFonts w:ascii="Aptos" w:eastAsia="Aptos" w:hAnsi="Aptos" w:cs="Arial"/>
          <w:kern w:val="2"/>
          <w:sz w:val="22"/>
          <w:szCs w:val="22"/>
          <w14:ligatures w14:val="standardContextual"/>
        </w:rPr>
        <w:t xml:space="preserve"> per cent in rural regions. This means that while every urban resident had access to a mobile broadband network, </w:t>
      </w:r>
      <w:r w:rsidR="00B87DF5">
        <w:rPr>
          <w:rFonts w:ascii="Aptos" w:eastAsia="Aptos" w:hAnsi="Aptos" w:cs="Arial"/>
          <w:kern w:val="2"/>
          <w:sz w:val="22"/>
          <w:szCs w:val="22"/>
          <w14:ligatures w14:val="standardContextual"/>
        </w:rPr>
        <w:t>24</w:t>
      </w:r>
      <w:r w:rsidRPr="005F7253">
        <w:rPr>
          <w:rFonts w:ascii="Aptos" w:eastAsia="Aptos" w:hAnsi="Aptos" w:cs="Arial"/>
          <w:kern w:val="2"/>
          <w:sz w:val="22"/>
          <w:szCs w:val="22"/>
          <w14:ligatures w14:val="standardContextual"/>
        </w:rPr>
        <w:t xml:space="preserve"> per cent of the rural population in </w:t>
      </w:r>
      <w:r w:rsidR="00B87DF5">
        <w:rPr>
          <w:rFonts w:ascii="Aptos" w:eastAsia="Aptos" w:hAnsi="Aptos" w:cs="Arial"/>
          <w:kern w:val="2"/>
          <w:sz w:val="22"/>
          <w:szCs w:val="22"/>
          <w14:ligatures w14:val="standardContextual"/>
        </w:rPr>
        <w:t xml:space="preserve">the Americas </w:t>
      </w:r>
      <w:r w:rsidRPr="005F7253">
        <w:rPr>
          <w:rFonts w:ascii="Aptos" w:eastAsia="Aptos" w:hAnsi="Aptos" w:cs="Arial"/>
          <w:kern w:val="2"/>
          <w:sz w:val="22"/>
          <w:szCs w:val="22"/>
          <w14:ligatures w14:val="standardContextual"/>
        </w:rPr>
        <w:t xml:space="preserve">remained off the grid, </w:t>
      </w:r>
      <w:r w:rsidR="008A35D5">
        <w:rPr>
          <w:rFonts w:ascii="Aptos" w:eastAsia="Aptos" w:hAnsi="Aptos" w:cs="Arial"/>
          <w:kern w:val="2"/>
          <w:sz w:val="22"/>
          <w:szCs w:val="22"/>
          <w14:ligatures w14:val="standardContextual"/>
        </w:rPr>
        <w:t xml:space="preserve">much more </w:t>
      </w:r>
      <w:r>
        <w:rPr>
          <w:rFonts w:ascii="Aptos" w:eastAsia="Aptos" w:hAnsi="Aptos" w:cs="Arial"/>
          <w:kern w:val="2"/>
          <w:sz w:val="22"/>
          <w:szCs w:val="22"/>
          <w14:ligatures w14:val="standardContextual"/>
        </w:rPr>
        <w:t xml:space="preserve">than </w:t>
      </w:r>
      <w:r w:rsidRPr="005F7253">
        <w:rPr>
          <w:rFonts w:ascii="Aptos" w:eastAsia="Aptos" w:hAnsi="Aptos" w:cs="Arial"/>
          <w:kern w:val="2"/>
          <w:sz w:val="22"/>
          <w:szCs w:val="22"/>
          <w14:ligatures w14:val="standardContextual"/>
        </w:rPr>
        <w:t>the global average (10 per cent).</w:t>
      </w:r>
    </w:p>
    <w:p w14:paraId="4D5D4BCD" w14:textId="0C27E963" w:rsidR="006C41B5" w:rsidRPr="003D0AEA" w:rsidRDefault="006C41B5" w:rsidP="009D2EAD">
      <w:pPr>
        <w:pStyle w:val="Sourcetext"/>
        <w:rPr>
          <w:rFonts w:eastAsia="Aptos" w:cs="Arial"/>
          <w:sz w:val="22"/>
          <w:szCs w:val="22"/>
        </w:rPr>
      </w:pPr>
      <w:r w:rsidRPr="003D0AEA">
        <w:rPr>
          <w:rFonts w:eastAsia="Aptos" w:cs="Arial"/>
          <w:sz w:val="22"/>
          <w:szCs w:val="22"/>
        </w:rPr>
        <w:br w:type="page"/>
      </w:r>
    </w:p>
    <w:p w14:paraId="0F31E52C" w14:textId="77777777" w:rsidR="006C41B5" w:rsidRPr="003D0AEA" w:rsidRDefault="006C41B5" w:rsidP="000C3666">
      <w:pPr>
        <w:pStyle w:val="Section"/>
      </w:pPr>
      <w:bookmarkStart w:id="13" w:name="_Toc190883387"/>
      <w:r w:rsidRPr="003D0AEA">
        <w:lastRenderedPageBreak/>
        <w:t>Availability of fixed-broadband infrastructure</w:t>
      </w:r>
      <w:bookmarkEnd w:id="13"/>
    </w:p>
    <w:p w14:paraId="3C6C9843" w14:textId="1D3E6F61" w:rsidR="00342A75" w:rsidRPr="00563970" w:rsidRDefault="00611FF6" w:rsidP="006D07C7">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611FF6">
        <w:rPr>
          <w:rFonts w:ascii="Aptos" w:eastAsia="Aptos" w:hAnsi="Aptos" w:cs="Arial"/>
          <w:b/>
          <w:i/>
          <w:kern w:val="2"/>
          <w:sz w:val="22"/>
          <w:szCs w:val="22"/>
          <w14:ligatures w14:val="standardContextual"/>
        </w:rPr>
        <w:t xml:space="preserve">Less than half of the population lives within 10 km of an optical </w:t>
      </w:r>
      <w:proofErr w:type="spellStart"/>
      <w:r w:rsidRPr="00611FF6">
        <w:rPr>
          <w:rFonts w:ascii="Aptos" w:eastAsia="Aptos" w:hAnsi="Aptos" w:cs="Arial"/>
          <w:b/>
          <w:i/>
          <w:kern w:val="2"/>
          <w:sz w:val="22"/>
          <w:szCs w:val="22"/>
          <w14:ligatures w14:val="standardContextual"/>
        </w:rPr>
        <w:t>fiber</w:t>
      </w:r>
      <w:proofErr w:type="spellEnd"/>
      <w:r w:rsidRPr="00611FF6">
        <w:rPr>
          <w:rFonts w:ascii="Aptos" w:eastAsia="Aptos" w:hAnsi="Aptos" w:cs="Arial"/>
          <w:b/>
          <w:i/>
          <w:kern w:val="2"/>
          <w:sz w:val="22"/>
          <w:szCs w:val="22"/>
          <w14:ligatures w14:val="standardContextual"/>
        </w:rPr>
        <w:t xml:space="preserve"> node, limiting high-speed acces</w:t>
      </w:r>
      <w:r w:rsidR="00DA7E4E">
        <w:rPr>
          <w:rFonts w:ascii="Aptos" w:eastAsia="Aptos" w:hAnsi="Aptos" w:cs="Arial"/>
          <w:b/>
          <w:i/>
          <w:kern w:val="2"/>
          <w:sz w:val="22"/>
          <w:szCs w:val="22"/>
          <w14:ligatures w14:val="standardContextual"/>
        </w:rPr>
        <w:t>s</w:t>
      </w:r>
    </w:p>
    <w:p w14:paraId="02252DD0" w14:textId="77777777" w:rsidR="006D07C7" w:rsidRPr="00215418" w:rsidRDefault="006D07C7" w:rsidP="006D07C7">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Fixed</w:t>
      </w:r>
      <w:r>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broadband infrastructure forms the backbone of the Internet and is a cornerstone of digital transformation efforts. As part of ongoing research at ITU, the broadband map initiative provides an overview of fixed</w:t>
      </w:r>
      <w:r>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broadband infrastructure placement. Overlaying this data with demographic data makes it possible to infer the availability and proximity of fixed broadband to populations. This is essential for planning – costly – infrastructure projects and helps to ensure that networks have the necessary capacity and reach. </w:t>
      </w:r>
    </w:p>
    <w:p w14:paraId="3C9BD7E5" w14:textId="21047A0F"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t xml:space="preserve">Map of transmission networks and submarine cables for </w:t>
      </w:r>
      <w:r w:rsidR="00DB473E" w:rsidRPr="003D0AEA">
        <w:rPr>
          <w:rFonts w:ascii="AvenirNext LT Pro Light" w:eastAsia="Yu Gothic Light" w:hAnsi="AvenirNext LT Pro Light" w:cs="Calibri"/>
          <w:color w:val="0070C0"/>
          <w:spacing w:val="-10"/>
          <w:kern w:val="28"/>
          <w:szCs w:val="24"/>
        </w:rPr>
        <w:t>the</w:t>
      </w:r>
      <w:r w:rsidRPr="003D0AEA">
        <w:rPr>
          <w:rFonts w:ascii="AvenirNext LT Pro Light" w:eastAsia="Yu Gothic Light" w:hAnsi="AvenirNext LT Pro Light" w:cs="Calibri"/>
          <w:color w:val="0070C0"/>
          <w:spacing w:val="-10"/>
          <w:kern w:val="28"/>
          <w:szCs w:val="24"/>
        </w:rPr>
        <w:t xml:space="preserve"> </w:t>
      </w:r>
      <w:r w:rsidR="00060A76">
        <w:rPr>
          <w:rFonts w:ascii="AvenirNext LT Pro Light" w:eastAsia="Yu Gothic Light" w:hAnsi="AvenirNext LT Pro Light" w:cs="Calibri"/>
          <w:color w:val="0070C0"/>
          <w:spacing w:val="-10"/>
          <w:kern w:val="28"/>
          <w:szCs w:val="24"/>
        </w:rPr>
        <w:t>Americas</w:t>
      </w:r>
      <w:r w:rsidRPr="003D0AEA">
        <w:rPr>
          <w:rFonts w:ascii="AvenirNext LT Pro Light" w:eastAsia="Yu Gothic Light" w:hAnsi="AvenirNext LT Pro Light" w:cs="Calibri"/>
          <w:color w:val="0070C0"/>
          <w:spacing w:val="-10"/>
          <w:kern w:val="28"/>
          <w:szCs w:val="24"/>
        </w:rPr>
        <w:t xml:space="preserve"> region</w:t>
      </w:r>
    </w:p>
    <w:p w14:paraId="18BC9E57" w14:textId="0E906EA1" w:rsidR="001B282C" w:rsidRPr="003D0AEA" w:rsidRDefault="000C4C62" w:rsidP="0004147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noProof/>
          <w:kern w:val="2"/>
          <w:sz w:val="22"/>
          <w:szCs w:val="22"/>
          <w14:ligatures w14:val="standardContextual"/>
        </w:rPr>
        <w:drawing>
          <wp:inline distT="0" distB="0" distL="0" distR="0" wp14:anchorId="4AE0D4BD" wp14:editId="38A741E0">
            <wp:extent cx="5429250" cy="6549740"/>
            <wp:effectExtent l="0" t="0" r="0" b="3810"/>
            <wp:docPr id="2081893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0846" cy="6551665"/>
                    </a:xfrm>
                    <a:prstGeom prst="rect">
                      <a:avLst/>
                    </a:prstGeom>
                    <a:noFill/>
                  </pic:spPr>
                </pic:pic>
              </a:graphicData>
            </a:graphic>
          </wp:inline>
        </w:drawing>
      </w:r>
    </w:p>
    <w:p w14:paraId="79B25A78" w14:textId="74FEEA03" w:rsidR="00217F9C" w:rsidRPr="003D0AEA" w:rsidRDefault="00217F9C" w:rsidP="00B1004A">
      <w:pPr>
        <w:pStyle w:val="notetext"/>
      </w:pPr>
      <w:r w:rsidRPr="003D0AEA">
        <w:lastRenderedPageBreak/>
        <w:t xml:space="preserve">Note: The image </w:t>
      </w:r>
      <w:r w:rsidR="009714B1">
        <w:t xml:space="preserve">shows </w:t>
      </w:r>
      <w:r w:rsidRPr="003D0AEA">
        <w:t xml:space="preserve">active and planned submarine cables, and operational, planned and under-construction transmission networks (fibre-optic cable and microwave). </w:t>
      </w:r>
    </w:p>
    <w:p w14:paraId="4A459512" w14:textId="77777777" w:rsidR="00217F9C" w:rsidRPr="003D0AEA" w:rsidRDefault="00217F9C" w:rsidP="00B1004A">
      <w:pPr>
        <w:pStyle w:val="notetext"/>
      </w:pPr>
      <w:r w:rsidRPr="003D0AEA">
        <w:t>The designations employed and the presentation of material on the map do not imply the expression of any opinion whatsoever on the part of ITU or its secretariat concerning the legal status of the country, territory, city or area or its authorities, or concerning the delimitation of its frontiers or boundaries.</w:t>
      </w:r>
    </w:p>
    <w:p w14:paraId="6A74A788" w14:textId="3F528410" w:rsidR="00217F9C" w:rsidRPr="004442A8" w:rsidRDefault="00217F9C" w:rsidP="00B1004A">
      <w:pPr>
        <w:pStyle w:val="Sourcetext"/>
      </w:pPr>
      <w:r w:rsidRPr="004442A8">
        <w:t xml:space="preserve">Source: ITU, </w:t>
      </w:r>
      <w:hyperlink r:id="rId55" w:history="1">
        <w:r w:rsidRPr="004442A8">
          <w:rPr>
            <w:color w:val="467886"/>
            <w:u w:val="single"/>
          </w:rPr>
          <w:t>https://bbmaps.itu.int/app</w:t>
        </w:r>
      </w:hyperlink>
    </w:p>
    <w:p w14:paraId="7357870E" w14:textId="7AAB15E2" w:rsidR="00AD1DFA" w:rsidRPr="00215418" w:rsidRDefault="00AD1DFA" w:rsidP="00AD1DF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Proximity to a</w:t>
      </w:r>
      <w:r>
        <w:rPr>
          <w:rFonts w:ascii="Aptos" w:eastAsia="Aptos" w:hAnsi="Aptos" w:cs="Arial"/>
          <w:kern w:val="2"/>
          <w:sz w:val="22"/>
          <w:szCs w:val="22"/>
          <w14:ligatures w14:val="standardContextual"/>
        </w:rPr>
        <w:t>n optical</w:t>
      </w:r>
      <w:r w:rsidRPr="00215418">
        <w:rPr>
          <w:rFonts w:ascii="Aptos" w:eastAsia="Aptos" w:hAnsi="Aptos" w:cs="Arial"/>
          <w:kern w:val="2"/>
          <w:sz w:val="22"/>
          <w:szCs w:val="22"/>
          <w14:ligatures w14:val="standardContextual"/>
        </w:rPr>
        <w:t xml:space="preserve"> fibre node is a crucial metric for transformative connectivity as it directly impacts network performance, reliability and scalability. It reduces latency, improves connection stability and lowers deployment costs, making broadband access more affordable and efficient. Additionally, it enables easier upgrades to support growing bandwidth demands, ensuring networks remain future</w:t>
      </w:r>
      <w:r w:rsidR="008D6D4B" w:rsidRPr="00563970">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 xml:space="preserve">proof. </w:t>
      </w:r>
    </w:p>
    <w:p w14:paraId="7FE51825" w14:textId="30E50B11" w:rsidR="00AD1DFA" w:rsidRPr="00215418" w:rsidRDefault="00AD1DFA" w:rsidP="00AD1DF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As of 2023, </w:t>
      </w:r>
      <w:r>
        <w:rPr>
          <w:rFonts w:ascii="Aptos" w:eastAsia="Aptos" w:hAnsi="Aptos" w:cs="Arial"/>
          <w:kern w:val="2"/>
          <w:sz w:val="22"/>
          <w:szCs w:val="22"/>
          <w14:ligatures w14:val="standardContextual"/>
        </w:rPr>
        <w:t>45</w:t>
      </w:r>
      <w:r w:rsidRPr="00215418">
        <w:rPr>
          <w:rFonts w:ascii="Aptos" w:eastAsia="Aptos" w:hAnsi="Aptos" w:cs="Arial"/>
          <w:kern w:val="2"/>
          <w:sz w:val="22"/>
          <w:szCs w:val="22"/>
          <w14:ligatures w14:val="standardContextual"/>
        </w:rPr>
        <w:t xml:space="preserve"> per cent of the population of the </w:t>
      </w:r>
      <w:r>
        <w:rPr>
          <w:rFonts w:ascii="Aptos" w:eastAsia="Aptos" w:hAnsi="Aptos" w:cs="Arial"/>
          <w:kern w:val="2"/>
          <w:sz w:val="22"/>
          <w:szCs w:val="22"/>
          <w14:ligatures w14:val="standardContextual"/>
        </w:rPr>
        <w:t xml:space="preserve">Americas </w:t>
      </w:r>
      <w:r w:rsidRPr="00215418">
        <w:rPr>
          <w:rFonts w:ascii="Aptos" w:eastAsia="Aptos" w:hAnsi="Aptos" w:cs="Arial"/>
          <w:kern w:val="2"/>
          <w:sz w:val="22"/>
          <w:szCs w:val="22"/>
          <w14:ligatures w14:val="standardContextual"/>
        </w:rPr>
        <w:t>region lived within 10 km of a</w:t>
      </w:r>
      <w:r>
        <w:rPr>
          <w:rFonts w:ascii="Aptos" w:eastAsia="Aptos" w:hAnsi="Aptos" w:cs="Arial"/>
          <w:kern w:val="2"/>
          <w:sz w:val="22"/>
          <w:szCs w:val="22"/>
          <w14:ligatures w14:val="standardContextual"/>
        </w:rPr>
        <w:t>n optical</w:t>
      </w:r>
      <w:r w:rsidRPr="00215418">
        <w:rPr>
          <w:rFonts w:ascii="Aptos" w:eastAsia="Aptos" w:hAnsi="Aptos" w:cs="Arial"/>
          <w:kern w:val="2"/>
          <w:sz w:val="22"/>
          <w:szCs w:val="22"/>
          <w14:ligatures w14:val="standardContextual"/>
        </w:rPr>
        <w:t xml:space="preserve"> fibre node. </w:t>
      </w:r>
      <w:r w:rsidR="00A835D7">
        <w:rPr>
          <w:rFonts w:ascii="Aptos" w:eastAsia="Aptos" w:hAnsi="Aptos" w:cs="Arial"/>
          <w:kern w:val="2"/>
          <w:sz w:val="22"/>
          <w:szCs w:val="22"/>
          <w14:ligatures w14:val="standardContextual"/>
        </w:rPr>
        <w:t xml:space="preserve">Four out of every five </w:t>
      </w:r>
      <w:r w:rsidRPr="00215418">
        <w:rPr>
          <w:rFonts w:ascii="Aptos" w:eastAsia="Aptos" w:hAnsi="Aptos" w:cs="Arial"/>
          <w:kern w:val="2"/>
          <w:sz w:val="22"/>
          <w:szCs w:val="22"/>
          <w14:ligatures w14:val="standardContextual"/>
        </w:rPr>
        <w:t>people (8</w:t>
      </w:r>
      <w:r w:rsidR="00A835D7">
        <w:rPr>
          <w:rFonts w:ascii="Aptos" w:eastAsia="Aptos" w:hAnsi="Aptos" w:cs="Arial"/>
          <w:kern w:val="2"/>
          <w:sz w:val="22"/>
          <w:szCs w:val="22"/>
          <w14:ligatures w14:val="standardContextual"/>
        </w:rPr>
        <w:t>1</w:t>
      </w:r>
      <w:r w:rsidRPr="00215418">
        <w:rPr>
          <w:rFonts w:ascii="Aptos" w:eastAsia="Aptos" w:hAnsi="Aptos" w:cs="Arial"/>
          <w:kern w:val="2"/>
          <w:sz w:val="22"/>
          <w:szCs w:val="22"/>
          <w14:ligatures w14:val="standardContextual"/>
        </w:rPr>
        <w:t xml:space="preserve"> per cent) lived within </w:t>
      </w:r>
      <w:r w:rsidR="001B5BEC">
        <w:rPr>
          <w:rFonts w:ascii="Aptos" w:eastAsia="Aptos" w:hAnsi="Aptos" w:cs="Arial"/>
          <w:kern w:val="2"/>
          <w:sz w:val="22"/>
          <w:szCs w:val="22"/>
          <w14:ligatures w14:val="standardContextual"/>
        </w:rPr>
        <w:t>2</w:t>
      </w:r>
      <w:r w:rsidRPr="00215418">
        <w:rPr>
          <w:rFonts w:ascii="Aptos" w:eastAsia="Aptos" w:hAnsi="Aptos" w:cs="Arial"/>
          <w:kern w:val="2"/>
          <w:sz w:val="22"/>
          <w:szCs w:val="22"/>
          <w14:ligatures w14:val="standardContextual"/>
        </w:rPr>
        <w:t>5 km, 9</w:t>
      </w:r>
      <w:r w:rsidR="00173437">
        <w:rPr>
          <w:rFonts w:ascii="Aptos" w:eastAsia="Aptos" w:hAnsi="Aptos" w:cs="Arial"/>
          <w:kern w:val="2"/>
          <w:sz w:val="22"/>
          <w:szCs w:val="22"/>
          <w14:ligatures w14:val="standardContextual"/>
        </w:rPr>
        <w:t>4</w:t>
      </w:r>
      <w:r w:rsidRPr="00215418">
        <w:rPr>
          <w:rFonts w:ascii="Aptos" w:eastAsia="Aptos" w:hAnsi="Aptos" w:cs="Arial"/>
          <w:kern w:val="2"/>
          <w:sz w:val="22"/>
          <w:szCs w:val="22"/>
          <w14:ligatures w14:val="standardContextual"/>
        </w:rPr>
        <w:t xml:space="preserve"> per cent within 50 km and almost everyone </w:t>
      </w:r>
      <w:r w:rsidR="00173437">
        <w:rPr>
          <w:rFonts w:ascii="Aptos" w:eastAsia="Aptos" w:hAnsi="Aptos" w:cs="Arial"/>
          <w:kern w:val="2"/>
          <w:sz w:val="22"/>
          <w:szCs w:val="22"/>
          <w14:ligatures w14:val="standardContextual"/>
        </w:rPr>
        <w:t xml:space="preserve">(98 per cent) </w:t>
      </w:r>
      <w:r w:rsidRPr="00215418">
        <w:rPr>
          <w:rFonts w:ascii="Aptos" w:eastAsia="Aptos" w:hAnsi="Aptos" w:cs="Arial"/>
          <w:kern w:val="2"/>
          <w:sz w:val="22"/>
          <w:szCs w:val="22"/>
          <w14:ligatures w14:val="standardContextual"/>
        </w:rPr>
        <w:t>within 100 km</w:t>
      </w:r>
      <w:r>
        <w:rPr>
          <w:rFonts w:ascii="Aptos" w:eastAsia="Aptos" w:hAnsi="Aptos" w:cs="Arial"/>
          <w:kern w:val="2"/>
          <w:sz w:val="22"/>
          <w:szCs w:val="22"/>
          <w14:ligatures w14:val="standardContextual"/>
        </w:rPr>
        <w:t xml:space="preserve"> of a node</w:t>
      </w:r>
      <w:r w:rsidRPr="00215418">
        <w:rPr>
          <w:rFonts w:ascii="Aptos" w:eastAsia="Aptos" w:hAnsi="Aptos" w:cs="Arial"/>
          <w:kern w:val="2"/>
          <w:sz w:val="22"/>
          <w:szCs w:val="22"/>
          <w14:ligatures w14:val="standardContextual"/>
        </w:rPr>
        <w:t>.</w:t>
      </w:r>
    </w:p>
    <w:p w14:paraId="4509CB36" w14:textId="77777777" w:rsidR="006C41B5" w:rsidRPr="003D0AEA"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color w:val="0070C0"/>
          <w:kern w:val="2"/>
          <w:sz w:val="22"/>
          <w:szCs w:val="22"/>
          <w14:ligatures w14:val="standardContextual"/>
        </w:rPr>
      </w:pPr>
      <w:r w:rsidRPr="003D0AEA">
        <w:rPr>
          <w:rFonts w:ascii="Aptos" w:eastAsia="Aptos" w:hAnsi="Aptos" w:cs="Arial"/>
          <w:color w:val="0070C0"/>
          <w:kern w:val="2"/>
          <w:sz w:val="22"/>
          <w:szCs w:val="22"/>
          <w14:ligatures w14:val="standardContextual"/>
        </w:rPr>
        <w:t>Percentage of population within reach of a fibre node, 2023</w:t>
      </w:r>
    </w:p>
    <w:p w14:paraId="007FFF84" w14:textId="3B57AB7D" w:rsidR="006C41B5" w:rsidRPr="003D0AEA" w:rsidRDefault="00090427" w:rsidP="00B1004A">
      <w:pPr>
        <w:pStyle w:val="notetext"/>
      </w:pPr>
      <w:r>
        <w:rPr>
          <w:noProof/>
        </w:rPr>
        <w:drawing>
          <wp:inline distT="0" distB="0" distL="0" distR="0" wp14:anchorId="15BC754E" wp14:editId="2408FAE8">
            <wp:extent cx="6120765" cy="3493770"/>
            <wp:effectExtent l="0" t="0" r="0" b="0"/>
            <wp:docPr id="381791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9125"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6120765" cy="3493770"/>
                    </a:xfrm>
                    <a:prstGeom prst="rect">
                      <a:avLst/>
                    </a:prstGeom>
                  </pic:spPr>
                </pic:pic>
              </a:graphicData>
            </a:graphic>
          </wp:inline>
        </w:drawing>
      </w:r>
      <w:r w:rsidR="006C41B5" w:rsidRPr="003D0AEA">
        <w:t xml:space="preserve">Note: The percentage of population within reach of transmission networks refers to the percentage of people that are within physical reach of nodes on core terrestrial transmission networks for a given distance (see </w:t>
      </w:r>
      <w:hyperlink r:id="rId58" w:history="1">
        <w:r w:rsidR="006C41B5" w:rsidRPr="003D0AEA">
          <w:rPr>
            <w:color w:val="467886"/>
            <w:u w:val="single"/>
          </w:rPr>
          <w:t>https://bbmaps.itu.int/indicators-bbmaps</w:t>
        </w:r>
      </w:hyperlink>
      <w:r w:rsidR="006C41B5" w:rsidRPr="003D0AEA">
        <w:t>).</w:t>
      </w:r>
    </w:p>
    <w:p w14:paraId="497A0B8C" w14:textId="77777777" w:rsidR="006C41B5" w:rsidRPr="003D0AEA" w:rsidRDefault="006C41B5" w:rsidP="00B1004A">
      <w:pPr>
        <w:pStyle w:val="Sourcetext"/>
      </w:pPr>
      <w:r w:rsidRPr="003D0AEA">
        <w:t>Source: ITU</w:t>
      </w:r>
    </w:p>
    <w:p w14:paraId="6A19D439" w14:textId="77777777" w:rsidR="006C41B5" w:rsidRPr="003D0AEA"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D0AEA">
        <w:rPr>
          <w:rFonts w:ascii="Aptos" w:eastAsia="Aptos" w:hAnsi="Aptos" w:cs="Arial"/>
          <w:kern w:val="2"/>
          <w:sz w:val="22"/>
          <w:szCs w:val="22"/>
          <w14:ligatures w14:val="standardContextual"/>
        </w:rPr>
        <w:br w:type="page"/>
      </w:r>
    </w:p>
    <w:p w14:paraId="7BEF7641" w14:textId="25555F80" w:rsidR="006C41B5" w:rsidRPr="003D0AEA" w:rsidRDefault="006C41B5" w:rsidP="000C3666">
      <w:pPr>
        <w:pStyle w:val="Section"/>
      </w:pPr>
      <w:bookmarkStart w:id="14" w:name="_Toc190883388"/>
      <w:r w:rsidRPr="003D0AEA">
        <w:lastRenderedPageBreak/>
        <w:t>Internet traffic</w:t>
      </w:r>
      <w:r w:rsidR="004575FD" w:rsidRPr="003D0AEA">
        <w:t xml:space="preserve"> and international bandwidth</w:t>
      </w:r>
      <w:bookmarkEnd w:id="14"/>
    </w:p>
    <w:p w14:paraId="254DA5F9" w14:textId="62A14C56" w:rsidR="00DA7E4E" w:rsidRPr="00563970" w:rsidRDefault="00AF61C9"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AF61C9">
        <w:rPr>
          <w:rFonts w:ascii="Aptos" w:eastAsia="Aptos" w:hAnsi="Aptos" w:cs="Arial"/>
          <w:b/>
          <w:i/>
          <w:kern w:val="2"/>
          <w:sz w:val="22"/>
          <w:szCs w:val="22"/>
          <w14:ligatures w14:val="standardContextual"/>
        </w:rPr>
        <w:t xml:space="preserve">Mobile data usage is below the global average, while fixed broadband traffic exceeds </w:t>
      </w:r>
      <w:r w:rsidR="00DA7E4E">
        <w:rPr>
          <w:rFonts w:ascii="Aptos" w:eastAsia="Aptos" w:hAnsi="Aptos" w:cs="Arial"/>
          <w:b/>
          <w:i/>
          <w:kern w:val="2"/>
          <w:sz w:val="22"/>
          <w:szCs w:val="22"/>
          <w14:ligatures w14:val="standardContextual"/>
        </w:rPr>
        <w:t>it</w:t>
      </w:r>
    </w:p>
    <w:p w14:paraId="75C6B0DC" w14:textId="77777777"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t>Broadband Internet traffic per subscription per month (GB)</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450"/>
      </w:tblGrid>
      <w:tr w:rsidR="006C41B5" w:rsidRPr="003D0AEA" w14:paraId="0871D4BA" w14:textId="77777777" w:rsidTr="00431D0C">
        <w:tc>
          <w:tcPr>
            <w:tcW w:w="4566" w:type="dxa"/>
          </w:tcPr>
          <w:p w14:paraId="44995B69" w14:textId="4FF77DCA" w:rsidR="006C41B5" w:rsidRPr="003D0AEA" w:rsidRDefault="006C41B5" w:rsidP="006A0D3F">
            <w:pPr>
              <w:jc w:val="center"/>
              <w:rPr>
                <w:rFonts w:ascii="Aptos" w:hAnsi="Aptos"/>
                <w:sz w:val="22"/>
              </w:rPr>
            </w:pPr>
            <w:r w:rsidRPr="003D0AEA">
              <w:rPr>
                <w:rFonts w:ascii="Aptos" w:hAnsi="Aptos"/>
                <w:b/>
                <w:sz w:val="22"/>
              </w:rPr>
              <w:t>Mobile</w:t>
            </w:r>
            <w:r w:rsidR="00052CCC">
              <w:rPr>
                <w:noProof/>
              </w:rPr>
              <w:t xml:space="preserve"> </w:t>
            </w:r>
            <w:r w:rsidR="00052CCC">
              <w:rPr>
                <w:noProof/>
              </w:rPr>
              <w:drawing>
                <wp:inline distT="0" distB="0" distL="0" distR="0" wp14:anchorId="7BC36055" wp14:editId="11539E95">
                  <wp:extent cx="2667000" cy="2667000"/>
                  <wp:effectExtent l="0" t="0" r="0" b="0"/>
                  <wp:docPr id="13853001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300117"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2667000" cy="2667000"/>
                          </a:xfrm>
                          <a:prstGeom prst="rect">
                            <a:avLst/>
                          </a:prstGeom>
                        </pic:spPr>
                      </pic:pic>
                    </a:graphicData>
                  </a:graphic>
                </wp:inline>
              </w:drawing>
            </w:r>
          </w:p>
        </w:tc>
        <w:tc>
          <w:tcPr>
            <w:tcW w:w="4450" w:type="dxa"/>
          </w:tcPr>
          <w:p w14:paraId="2E58318E" w14:textId="2061803D" w:rsidR="006C41B5" w:rsidRPr="003D0AEA" w:rsidRDefault="006C41B5" w:rsidP="006A0D3F">
            <w:pPr>
              <w:jc w:val="center"/>
              <w:rPr>
                <w:rFonts w:ascii="Aptos" w:hAnsi="Aptos"/>
                <w:sz w:val="22"/>
              </w:rPr>
            </w:pPr>
            <w:r w:rsidRPr="003D0AEA">
              <w:rPr>
                <w:rFonts w:ascii="Aptos" w:hAnsi="Aptos"/>
                <w:b/>
                <w:sz w:val="22"/>
              </w:rPr>
              <w:t>Fixed</w:t>
            </w:r>
            <w:r w:rsidR="00431D0C">
              <w:rPr>
                <w:noProof/>
              </w:rPr>
              <w:t xml:space="preserve"> </w:t>
            </w:r>
            <w:r w:rsidR="00431D0C">
              <w:rPr>
                <w:noProof/>
              </w:rPr>
              <w:drawing>
                <wp:inline distT="0" distB="0" distL="0" distR="0" wp14:anchorId="666AB545" wp14:editId="26B8F37B">
                  <wp:extent cx="2667000" cy="2667000"/>
                  <wp:effectExtent l="0" t="0" r="0" b="0"/>
                  <wp:docPr id="10823872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87287"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2667000" cy="2667000"/>
                          </a:xfrm>
                          <a:prstGeom prst="rect">
                            <a:avLst/>
                          </a:prstGeom>
                        </pic:spPr>
                      </pic:pic>
                    </a:graphicData>
                  </a:graphic>
                </wp:inline>
              </w:drawing>
            </w:r>
          </w:p>
        </w:tc>
      </w:tr>
    </w:tbl>
    <w:p w14:paraId="11FAA9A2" w14:textId="77777777" w:rsidR="006C41B5" w:rsidRPr="003D0AEA" w:rsidRDefault="006C41B5" w:rsidP="00B1004A">
      <w:pPr>
        <w:pStyle w:val="Sourcetext"/>
      </w:pPr>
      <w:r w:rsidRPr="003D0AEA">
        <w:t>Source: ITU</w:t>
      </w:r>
    </w:p>
    <w:p w14:paraId="28978899" w14:textId="77777777" w:rsidR="00353505" w:rsidRPr="00215418" w:rsidRDefault="00353505" w:rsidP="0035350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Internet traffic measures the total volume of data downloaded and upload by the end users in a country over a given period. For ease of interpretation, figures presented refer to the average monthly traffic per </w:t>
      </w:r>
      <w:r>
        <w:rPr>
          <w:rFonts w:ascii="Aptos" w:eastAsia="Aptos" w:hAnsi="Aptos" w:cs="Arial"/>
          <w:kern w:val="2"/>
          <w:sz w:val="22"/>
          <w:szCs w:val="22"/>
          <w14:ligatures w14:val="standardContextual"/>
        </w:rPr>
        <w:t xml:space="preserve">both </w:t>
      </w:r>
      <w:r w:rsidRPr="00215418">
        <w:rPr>
          <w:rFonts w:ascii="Aptos" w:eastAsia="Aptos" w:hAnsi="Aptos" w:cs="Arial"/>
          <w:kern w:val="2"/>
          <w:sz w:val="22"/>
          <w:szCs w:val="22"/>
          <w14:ligatures w14:val="standardContextual"/>
        </w:rPr>
        <w:t>fixed</w:t>
      </w:r>
      <w:r>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 </w:t>
      </w:r>
      <w:r>
        <w:rPr>
          <w:rFonts w:ascii="Aptos" w:eastAsia="Aptos" w:hAnsi="Aptos" w:cs="Arial"/>
          <w:kern w:val="2"/>
          <w:sz w:val="22"/>
          <w:szCs w:val="22"/>
          <w14:ligatures w14:val="standardContextual"/>
        </w:rPr>
        <w:t>and</w:t>
      </w:r>
      <w:r w:rsidRPr="00215418">
        <w:rPr>
          <w:rFonts w:ascii="Aptos" w:eastAsia="Aptos" w:hAnsi="Aptos" w:cs="Arial"/>
          <w:kern w:val="2"/>
          <w:sz w:val="22"/>
          <w:szCs w:val="22"/>
          <w14:ligatures w14:val="standardContextual"/>
        </w:rPr>
        <w:t xml:space="preserve"> mobile</w:t>
      </w:r>
      <w:r>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broadband subscription. Traffic levels are typically higher for fixed than mobile broadband, not only because subscriptions are shared by multiple users (e.g. in households), but also because </w:t>
      </w:r>
      <w:r>
        <w:rPr>
          <w:rFonts w:ascii="Aptos" w:eastAsia="Aptos" w:hAnsi="Aptos" w:cs="Arial"/>
          <w:kern w:val="2"/>
          <w:sz w:val="22"/>
          <w:szCs w:val="22"/>
          <w14:ligatures w14:val="standardContextual"/>
        </w:rPr>
        <w:t>they</w:t>
      </w:r>
      <w:r w:rsidRPr="00215418">
        <w:rPr>
          <w:rFonts w:ascii="Aptos" w:eastAsia="Aptos" w:hAnsi="Aptos" w:cs="Arial"/>
          <w:kern w:val="2"/>
          <w:sz w:val="22"/>
          <w:szCs w:val="22"/>
          <w14:ligatures w14:val="standardContextual"/>
        </w:rPr>
        <w:t xml:space="preserve"> include mobile traffic routed over Wi-Fi when available.</w:t>
      </w:r>
    </w:p>
    <w:p w14:paraId="60C5806D" w14:textId="7E87F94A" w:rsidR="00F70972" w:rsidRPr="00FE0BDD" w:rsidRDefault="00353505" w:rsidP="00F7097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Between 2019 and 2024 monthly mobile</w:t>
      </w:r>
      <w:r>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broadband traffic in the </w:t>
      </w:r>
      <w:r w:rsidR="00E565A3">
        <w:rPr>
          <w:rFonts w:ascii="Aptos" w:eastAsia="Aptos" w:hAnsi="Aptos" w:cs="Arial"/>
          <w:kern w:val="2"/>
          <w:sz w:val="22"/>
          <w:szCs w:val="22"/>
          <w14:ligatures w14:val="standardContextual"/>
        </w:rPr>
        <w:t xml:space="preserve">Americas increased </w:t>
      </w:r>
      <w:r w:rsidRPr="00215418">
        <w:rPr>
          <w:rFonts w:ascii="Aptos" w:eastAsia="Aptos" w:hAnsi="Aptos" w:cs="Arial"/>
          <w:kern w:val="2"/>
          <w:sz w:val="22"/>
          <w:szCs w:val="22"/>
          <w14:ligatures w14:val="standardContextual"/>
        </w:rPr>
        <w:t>from 5 to 1</w:t>
      </w:r>
      <w:r w:rsidR="0090025B">
        <w:rPr>
          <w:rFonts w:ascii="Aptos" w:eastAsia="Aptos" w:hAnsi="Aptos" w:cs="Arial"/>
          <w:kern w:val="2"/>
          <w:sz w:val="22"/>
          <w:szCs w:val="22"/>
          <w14:ligatures w14:val="standardContextual"/>
        </w:rPr>
        <w:t>1</w:t>
      </w:r>
      <w:r>
        <w:rPr>
          <w:rFonts w:ascii="Aptos" w:eastAsia="Aptos" w:hAnsi="Aptos" w:cs="Arial"/>
          <w:kern w:val="2"/>
          <w:sz w:val="22"/>
          <w:szCs w:val="22"/>
          <w14:ligatures w14:val="standardContextual"/>
        </w:rPr>
        <w:t> </w:t>
      </w:r>
      <w:r w:rsidRPr="00215418">
        <w:rPr>
          <w:rFonts w:ascii="Aptos" w:eastAsia="Aptos" w:hAnsi="Aptos" w:cs="Arial"/>
          <w:kern w:val="2"/>
          <w:sz w:val="22"/>
          <w:szCs w:val="22"/>
          <w14:ligatures w14:val="standardContextual"/>
        </w:rPr>
        <w:t>GB per mobile</w:t>
      </w:r>
      <w:r>
        <w:rPr>
          <w:rFonts w:ascii="Aptos" w:eastAsia="Aptos" w:hAnsi="Aptos" w:cs="Arial"/>
          <w:kern w:val="2"/>
          <w:sz w:val="22"/>
          <w:szCs w:val="22"/>
          <w14:ligatures w14:val="standardContextual"/>
        </w:rPr>
        <w:t>-</w:t>
      </w:r>
      <w:r w:rsidRPr="00215418">
        <w:rPr>
          <w:rFonts w:ascii="Aptos" w:eastAsia="Aptos" w:hAnsi="Aptos" w:cs="Arial"/>
          <w:kern w:val="2"/>
          <w:sz w:val="22"/>
          <w:szCs w:val="22"/>
          <w14:ligatures w14:val="standardContextual"/>
        </w:rPr>
        <w:t xml:space="preserve">broadband subscription, </w:t>
      </w:r>
      <w:r w:rsidR="0090025B">
        <w:rPr>
          <w:rFonts w:ascii="Aptos" w:eastAsia="Aptos" w:hAnsi="Aptos" w:cs="Arial"/>
          <w:kern w:val="2"/>
          <w:sz w:val="22"/>
          <w:szCs w:val="22"/>
          <w14:ligatures w14:val="standardContextual"/>
        </w:rPr>
        <w:t xml:space="preserve">below the </w:t>
      </w:r>
      <w:r w:rsidRPr="00215418">
        <w:rPr>
          <w:rFonts w:ascii="Aptos" w:eastAsia="Aptos" w:hAnsi="Aptos" w:cs="Arial"/>
          <w:kern w:val="2"/>
          <w:sz w:val="22"/>
          <w:szCs w:val="22"/>
          <w14:ligatures w14:val="standardContextual"/>
        </w:rPr>
        <w:t xml:space="preserve">global average, which increased from 6 to 14 GB per month during the same period. </w:t>
      </w:r>
      <w:r w:rsidR="00F70972">
        <w:rPr>
          <w:rFonts w:ascii="Aptos" w:eastAsia="Aptos" w:hAnsi="Aptos" w:cs="Arial"/>
          <w:kern w:val="2"/>
          <w:sz w:val="22"/>
          <w:szCs w:val="22"/>
          <w14:ligatures w14:val="standardContextual"/>
        </w:rPr>
        <w:t xml:space="preserve">The situation was reversed for fixed broadband traffic, which in </w:t>
      </w:r>
      <w:r w:rsidR="00F3247B">
        <w:rPr>
          <w:rFonts w:ascii="Aptos" w:eastAsia="Aptos" w:hAnsi="Aptos" w:cs="Arial"/>
          <w:kern w:val="2"/>
          <w:sz w:val="22"/>
          <w:szCs w:val="22"/>
          <w14:ligatures w14:val="standardContextual"/>
        </w:rPr>
        <w:t xml:space="preserve">the Americas </w:t>
      </w:r>
      <w:r w:rsidR="00F70972">
        <w:rPr>
          <w:rFonts w:ascii="Aptos" w:eastAsia="Aptos" w:hAnsi="Aptos" w:cs="Arial"/>
          <w:kern w:val="2"/>
          <w:sz w:val="22"/>
          <w:szCs w:val="22"/>
          <w14:ligatures w14:val="standardContextual"/>
        </w:rPr>
        <w:t>increased from a monthly 1</w:t>
      </w:r>
      <w:r w:rsidR="002A6A2D">
        <w:rPr>
          <w:rFonts w:ascii="Aptos" w:eastAsia="Aptos" w:hAnsi="Aptos" w:cs="Arial"/>
          <w:kern w:val="2"/>
          <w:sz w:val="22"/>
          <w:szCs w:val="22"/>
          <w14:ligatures w14:val="standardContextual"/>
        </w:rPr>
        <w:t>88</w:t>
      </w:r>
      <w:r w:rsidR="00F70972">
        <w:rPr>
          <w:rFonts w:ascii="Aptos" w:eastAsia="Aptos" w:hAnsi="Aptos" w:cs="Arial"/>
          <w:kern w:val="2"/>
          <w:sz w:val="22"/>
          <w:szCs w:val="22"/>
          <w14:ligatures w14:val="standardContextual"/>
        </w:rPr>
        <w:t xml:space="preserve"> GB to </w:t>
      </w:r>
      <w:r w:rsidR="002A6A2D">
        <w:rPr>
          <w:rFonts w:ascii="Aptos" w:eastAsia="Aptos" w:hAnsi="Aptos" w:cs="Arial"/>
          <w:kern w:val="2"/>
          <w:sz w:val="22"/>
          <w:szCs w:val="22"/>
          <w14:ligatures w14:val="standardContextual"/>
        </w:rPr>
        <w:t>402</w:t>
      </w:r>
      <w:r w:rsidR="00F70972">
        <w:rPr>
          <w:rFonts w:ascii="Aptos" w:eastAsia="Aptos" w:hAnsi="Aptos" w:cs="Arial"/>
          <w:kern w:val="2"/>
          <w:sz w:val="22"/>
          <w:szCs w:val="22"/>
          <w14:ligatures w14:val="standardContextual"/>
        </w:rPr>
        <w:t xml:space="preserve"> </w:t>
      </w:r>
      <w:r w:rsidR="00F70972" w:rsidRPr="005F7253">
        <w:rPr>
          <w:rFonts w:ascii="Aptos" w:eastAsia="Aptos" w:hAnsi="Aptos" w:cs="Arial"/>
          <w:kern w:val="2"/>
          <w:sz w:val="22"/>
          <w:szCs w:val="22"/>
          <w14:ligatures w14:val="standardContextual"/>
        </w:rPr>
        <w:t xml:space="preserve">GB per subscription, </w:t>
      </w:r>
      <w:r w:rsidR="002A6A2D">
        <w:rPr>
          <w:rFonts w:ascii="Aptos" w:eastAsia="Aptos" w:hAnsi="Aptos" w:cs="Arial"/>
          <w:kern w:val="2"/>
          <w:sz w:val="22"/>
          <w:szCs w:val="22"/>
          <w14:ligatures w14:val="standardContextual"/>
        </w:rPr>
        <w:t xml:space="preserve">above the global average, which </w:t>
      </w:r>
      <w:r w:rsidR="00F70972" w:rsidRPr="005F7253">
        <w:rPr>
          <w:rFonts w:ascii="Aptos" w:eastAsia="Aptos" w:hAnsi="Aptos" w:cs="Arial"/>
          <w:kern w:val="2"/>
          <w:sz w:val="22"/>
          <w:szCs w:val="22"/>
          <w14:ligatures w14:val="standardContextual"/>
        </w:rPr>
        <w:t>increased from 141 to 311 GB.</w:t>
      </w:r>
    </w:p>
    <w:p w14:paraId="14001702" w14:textId="7BCD029A"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 w:val="22"/>
          <w:szCs w:val="22"/>
        </w:rPr>
      </w:pPr>
      <w:r w:rsidRPr="003D0AEA">
        <w:rPr>
          <w:rFonts w:ascii="AvenirNext LT Pro Light" w:eastAsia="Yu Gothic Light" w:hAnsi="AvenirNext LT Pro Light" w:cs="Calibri"/>
          <w:color w:val="0070C0"/>
          <w:spacing w:val="-10"/>
          <w:kern w:val="28"/>
          <w:sz w:val="22"/>
          <w:szCs w:val="22"/>
        </w:rPr>
        <w:lastRenderedPageBreak/>
        <w:t xml:space="preserve">Mobile-broadband Internet traffic (GB) per subscription per month, </w:t>
      </w:r>
      <w:r w:rsidR="008D4391" w:rsidRPr="003D0AEA">
        <w:rPr>
          <w:rFonts w:ascii="AvenirNext LT Pro Light" w:eastAsia="Yu Gothic Light" w:hAnsi="AvenirNext LT Pro Light" w:cs="Calibri"/>
          <w:color w:val="0070C0"/>
          <w:spacing w:val="-10"/>
          <w:kern w:val="28"/>
          <w:sz w:val="22"/>
          <w:szCs w:val="22"/>
        </w:rPr>
        <w:t xml:space="preserve">2023 or </w:t>
      </w:r>
      <w:r w:rsidRPr="003D0AEA">
        <w:rPr>
          <w:rFonts w:ascii="AvenirNext LT Pro Light" w:eastAsia="Yu Gothic Light" w:hAnsi="AvenirNext LT Pro Light" w:cs="Calibri"/>
          <w:color w:val="0070C0"/>
          <w:spacing w:val="-10"/>
          <w:kern w:val="28"/>
          <w:sz w:val="22"/>
          <w:szCs w:val="22"/>
        </w:rPr>
        <w:t>latest year available</w:t>
      </w:r>
    </w:p>
    <w:p w14:paraId="4D5BAEB9" w14:textId="737B259D" w:rsidR="006C41B5" w:rsidRPr="003D0AEA" w:rsidRDefault="002A18AB" w:rsidP="00B1004A">
      <w:pPr>
        <w:pStyle w:val="notetext"/>
      </w:pPr>
      <w:r>
        <w:rPr>
          <w:noProof/>
        </w:rPr>
        <w:drawing>
          <wp:inline distT="0" distB="0" distL="0" distR="0" wp14:anchorId="52682634" wp14:editId="008E7069">
            <wp:extent cx="6120765" cy="2865755"/>
            <wp:effectExtent l="0" t="0" r="0" b="0"/>
            <wp:docPr id="10448940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94031"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6120765" cy="2865755"/>
                    </a:xfrm>
                    <a:prstGeom prst="rect">
                      <a:avLst/>
                    </a:prstGeom>
                  </pic:spPr>
                </pic:pic>
              </a:graphicData>
            </a:graphic>
          </wp:inline>
        </w:drawing>
      </w:r>
      <w:r w:rsidRPr="003D0AEA">
        <w:t xml:space="preserve"> </w:t>
      </w:r>
      <w:r w:rsidR="006C41B5" w:rsidRPr="003D0AEA">
        <w:t xml:space="preserve">Note: Internet traffic originating within country. </w:t>
      </w:r>
    </w:p>
    <w:p w14:paraId="514ACA52" w14:textId="77777777" w:rsidR="006C41B5" w:rsidRPr="003D0AEA" w:rsidRDefault="006C41B5" w:rsidP="00B1004A">
      <w:pPr>
        <w:pStyle w:val="Sourcetext"/>
      </w:pPr>
      <w:r w:rsidRPr="003D0AEA">
        <w:t>Source: ITU</w:t>
      </w:r>
    </w:p>
    <w:p w14:paraId="50EBDF55" w14:textId="53CD5140" w:rsidR="006345D3" w:rsidRPr="00FE0BDD" w:rsidRDefault="006345D3" w:rsidP="006345D3">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 xml:space="preserve">The region also exhibits a large variety when it comes to traffic indicators. Mobile broadband traffic ranged from less than 1 </w:t>
      </w:r>
      <w:r w:rsidRPr="00B5163E">
        <w:rPr>
          <w:rFonts w:ascii="Aptos" w:eastAsia="Aptos" w:hAnsi="Aptos" w:cs="Arial"/>
          <w:kern w:val="2"/>
          <w:sz w:val="22"/>
          <w:szCs w:val="22"/>
          <w14:ligatures w14:val="standardContextual"/>
        </w:rPr>
        <w:t xml:space="preserve">GB per subscription per month to </w:t>
      </w:r>
      <w:r>
        <w:rPr>
          <w:rFonts w:ascii="Aptos" w:eastAsia="Aptos" w:hAnsi="Aptos" w:cs="Arial"/>
          <w:kern w:val="2"/>
          <w:sz w:val="22"/>
          <w:szCs w:val="22"/>
          <w14:ligatures w14:val="standardContextual"/>
        </w:rPr>
        <w:t>2</w:t>
      </w:r>
      <w:r w:rsidR="003C78D6">
        <w:rPr>
          <w:rFonts w:ascii="Aptos" w:eastAsia="Aptos" w:hAnsi="Aptos" w:cs="Arial"/>
          <w:kern w:val="2"/>
          <w:sz w:val="22"/>
          <w:szCs w:val="22"/>
          <w14:ligatures w14:val="standardContextual"/>
        </w:rPr>
        <w:t>3</w:t>
      </w:r>
      <w:r>
        <w:rPr>
          <w:rFonts w:ascii="Aptos" w:eastAsia="Aptos" w:hAnsi="Aptos" w:cs="Arial"/>
          <w:kern w:val="2"/>
          <w:sz w:val="22"/>
          <w:szCs w:val="22"/>
          <w14:ligatures w14:val="standardContextual"/>
        </w:rPr>
        <w:t>.</w:t>
      </w:r>
      <w:r w:rsidRPr="00CD7449">
        <w:rPr>
          <w:rFonts w:ascii="Aptos" w:eastAsia="Aptos" w:hAnsi="Aptos" w:cs="Arial"/>
          <w:kern w:val="2"/>
          <w:sz w:val="22"/>
          <w:szCs w:val="22"/>
          <w14:ligatures w14:val="standardContextual"/>
        </w:rPr>
        <w:t xml:space="preserve"> </w:t>
      </w:r>
      <w:r w:rsidRPr="00B5163E">
        <w:rPr>
          <w:rFonts w:ascii="Aptos" w:eastAsia="Aptos" w:hAnsi="Aptos" w:cs="Arial"/>
          <w:kern w:val="2"/>
          <w:sz w:val="22"/>
          <w:szCs w:val="22"/>
          <w14:ligatures w14:val="standardContextual"/>
        </w:rPr>
        <w:t>For fixed broadband traffic, the spread was from</w:t>
      </w:r>
      <w:r w:rsidR="00255AA0">
        <w:rPr>
          <w:rFonts w:ascii="Aptos" w:eastAsia="Aptos" w:hAnsi="Aptos" w:cs="Arial"/>
          <w:kern w:val="2"/>
          <w:sz w:val="22"/>
          <w:szCs w:val="22"/>
          <w14:ligatures w14:val="standardContextual"/>
        </w:rPr>
        <w:t xml:space="preserve"> almost zero in Suriname to </w:t>
      </w:r>
      <w:r w:rsidR="00656CB2">
        <w:rPr>
          <w:rFonts w:ascii="Aptos" w:eastAsia="Aptos" w:hAnsi="Aptos" w:cs="Arial"/>
          <w:kern w:val="2"/>
          <w:sz w:val="22"/>
          <w:szCs w:val="22"/>
          <w14:ligatures w14:val="standardContextual"/>
        </w:rPr>
        <w:t>553</w:t>
      </w:r>
      <w:r w:rsidRPr="00B5163E">
        <w:rPr>
          <w:rFonts w:ascii="Aptos" w:eastAsia="Aptos" w:hAnsi="Aptos" w:cs="Arial"/>
          <w:kern w:val="2"/>
          <w:sz w:val="22"/>
          <w:szCs w:val="22"/>
          <w14:ligatures w14:val="standardContextual"/>
        </w:rPr>
        <w:t xml:space="preserve"> GB per subscription per month</w:t>
      </w:r>
      <w:r w:rsidR="00656CB2">
        <w:rPr>
          <w:rFonts w:ascii="Aptos" w:eastAsia="Aptos" w:hAnsi="Aptos" w:cs="Arial"/>
          <w:kern w:val="2"/>
          <w:sz w:val="22"/>
          <w:szCs w:val="22"/>
          <w14:ligatures w14:val="standardContextual"/>
        </w:rPr>
        <w:t xml:space="preserve"> in Chile</w:t>
      </w:r>
      <w:r w:rsidRPr="00B5163E">
        <w:rPr>
          <w:rFonts w:ascii="Aptos" w:eastAsia="Aptos" w:hAnsi="Aptos" w:cs="Arial"/>
          <w:kern w:val="2"/>
          <w:sz w:val="22"/>
          <w:szCs w:val="22"/>
          <w14:ligatures w14:val="standardContextual"/>
        </w:rPr>
        <w:t>.</w:t>
      </w:r>
      <w:r>
        <w:rPr>
          <w:rFonts w:ascii="Aptos" w:eastAsia="Aptos" w:hAnsi="Aptos" w:cs="Arial"/>
          <w:kern w:val="2"/>
          <w:sz w:val="22"/>
          <w:szCs w:val="22"/>
          <w14:ligatures w14:val="standardContextual"/>
        </w:rPr>
        <w:t xml:space="preserve"> Of note is that some countries with high mobile broadband traffic have only average fixed broadband traffic and vice-versa. </w:t>
      </w:r>
    </w:p>
    <w:p w14:paraId="6E9B4B6F" w14:textId="4BE6A543"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t xml:space="preserve">Fixed-broadband Internet traffic per subscription per month (GB), </w:t>
      </w:r>
      <w:r w:rsidR="008D4391" w:rsidRPr="003D0AEA">
        <w:rPr>
          <w:rFonts w:ascii="AvenirNext LT Pro Light" w:eastAsia="Yu Gothic Light" w:hAnsi="AvenirNext LT Pro Light" w:cs="Calibri"/>
          <w:color w:val="0070C0"/>
          <w:spacing w:val="-10"/>
          <w:kern w:val="28"/>
          <w:szCs w:val="24"/>
        </w:rPr>
        <w:t xml:space="preserve">2023 or </w:t>
      </w:r>
      <w:r w:rsidRPr="003D0AEA">
        <w:rPr>
          <w:rFonts w:ascii="AvenirNext LT Pro Light" w:eastAsia="Yu Gothic Light" w:hAnsi="AvenirNext LT Pro Light" w:cs="Calibri"/>
          <w:color w:val="0070C0"/>
          <w:spacing w:val="-10"/>
          <w:kern w:val="28"/>
          <w:szCs w:val="24"/>
        </w:rPr>
        <w:t>latest year available</w:t>
      </w:r>
    </w:p>
    <w:p w14:paraId="4D7492D8" w14:textId="773CAD71" w:rsidR="006C41B5" w:rsidRPr="003D0AEA" w:rsidRDefault="00656E22" w:rsidP="00B1004A">
      <w:pPr>
        <w:pStyle w:val="Sourcetext"/>
      </w:pPr>
      <w:r>
        <w:rPr>
          <w:noProof/>
        </w:rPr>
        <w:drawing>
          <wp:inline distT="0" distB="0" distL="0" distR="0" wp14:anchorId="4831A91F" wp14:editId="3431D81D">
            <wp:extent cx="6120765" cy="2867025"/>
            <wp:effectExtent l="0" t="0" r="0" b="9525"/>
            <wp:docPr id="18966628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62891"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6120765" cy="2867025"/>
                    </a:xfrm>
                    <a:prstGeom prst="rect">
                      <a:avLst/>
                    </a:prstGeom>
                  </pic:spPr>
                </pic:pic>
              </a:graphicData>
            </a:graphic>
          </wp:inline>
        </w:drawing>
      </w:r>
      <w:r w:rsidRPr="003D0AEA">
        <w:t xml:space="preserve"> </w:t>
      </w:r>
      <w:r w:rsidR="006C41B5" w:rsidRPr="003D0AEA">
        <w:t>Source: ITU</w:t>
      </w:r>
    </w:p>
    <w:p w14:paraId="06B96AE3" w14:textId="77777777" w:rsidR="00D77C3E" w:rsidRDefault="00D77C3E">
      <w:pPr>
        <w:tabs>
          <w:tab w:val="clear" w:pos="794"/>
          <w:tab w:val="clear" w:pos="1191"/>
          <w:tab w:val="clear" w:pos="1588"/>
          <w:tab w:val="clear" w:pos="1985"/>
        </w:tabs>
        <w:overflowPunct/>
        <w:autoSpaceDE/>
        <w:autoSpaceDN/>
        <w:adjustRightInd/>
        <w:spacing w:before="0"/>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br w:type="page"/>
      </w:r>
    </w:p>
    <w:p w14:paraId="6BDBBF30" w14:textId="77777777" w:rsidR="00BD4E56" w:rsidRPr="003D0AEA" w:rsidRDefault="00BD4E56" w:rsidP="00BD4E5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lastRenderedPageBreak/>
        <w:t>International bandwidth per Internet user (kbit/s)</w:t>
      </w:r>
    </w:p>
    <w:p w14:paraId="6842826E" w14:textId="37A3210F" w:rsidR="00BD4E56" w:rsidRPr="003D0AEA" w:rsidRDefault="00905067" w:rsidP="00BD4E5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Pr>
          <w:noProof/>
        </w:rPr>
        <w:drawing>
          <wp:inline distT="0" distB="0" distL="0" distR="0" wp14:anchorId="08381FF5" wp14:editId="7E94AE2A">
            <wp:extent cx="6120765" cy="2495550"/>
            <wp:effectExtent l="0" t="0" r="0" b="0"/>
            <wp:docPr id="3501880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88055"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6120765" cy="2495550"/>
                    </a:xfrm>
                    <a:prstGeom prst="rect">
                      <a:avLst/>
                    </a:prstGeom>
                  </pic:spPr>
                </pic:pic>
              </a:graphicData>
            </a:graphic>
          </wp:inline>
        </w:drawing>
      </w:r>
    </w:p>
    <w:p w14:paraId="5A92A8AD" w14:textId="77777777" w:rsidR="00BD4E56" w:rsidRPr="003D0AEA" w:rsidRDefault="00BD4E56" w:rsidP="00BD4E5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3D0AEA">
        <w:rPr>
          <w:rFonts w:ascii="Aptos" w:eastAsia="Aptos" w:hAnsi="Aptos" w:cs="Arial"/>
          <w:kern w:val="2"/>
          <w:sz w:val="16"/>
          <w:szCs w:val="28"/>
          <w14:ligatures w14:val="standardContextual"/>
        </w:rPr>
        <w:t>Source: ITU</w:t>
      </w:r>
    </w:p>
    <w:p w14:paraId="177016D0" w14:textId="77777777" w:rsidR="00CB248F" w:rsidRPr="003D0AEA" w:rsidRDefault="00CB248F" w:rsidP="00CB248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D0AEA">
        <w:rPr>
          <w:rFonts w:ascii="Aptos" w:eastAsia="Aptos" w:hAnsi="Aptos" w:cs="Arial"/>
          <w:kern w:val="2"/>
          <w:sz w:val="22"/>
          <w:szCs w:val="22"/>
          <w14:ligatures w14:val="standardContextual"/>
        </w:rPr>
        <w:t xml:space="preserve">Unlike the end-user Internet traffic measured above, international bandwidth usage is a throughput measure that refers to the annual average used capacity of international connections, typically carried over submarine or terrestrial fibre-optic cables or microwave links. It does not sum up all traffic, incoming and outgoing, but captures the larger of the two. For comparability, the figure for bandwidth is divided by the number of Internet users in the country. </w:t>
      </w:r>
      <w:r w:rsidRPr="005F7253">
        <w:rPr>
          <w:rFonts w:ascii="Aptos" w:eastAsia="Aptos" w:hAnsi="Aptos" w:cs="Arial"/>
          <w:kern w:val="2"/>
          <w:sz w:val="22"/>
          <w:szCs w:val="22"/>
          <w14:ligatures w14:val="standardContextual"/>
        </w:rPr>
        <w:t>International bandwidth usage in</w:t>
      </w:r>
      <w:r>
        <w:rPr>
          <w:rFonts w:ascii="Aptos" w:eastAsia="Aptos" w:hAnsi="Aptos" w:cs="Arial"/>
          <w:kern w:val="2"/>
          <w:sz w:val="22"/>
          <w:szCs w:val="22"/>
          <w14:ligatures w14:val="standardContextual"/>
        </w:rPr>
        <w:t xml:space="preserve"> the Americas stood at 357 kbit/s in 2024, just above the global average of 323 kbit/s. </w:t>
      </w:r>
    </w:p>
    <w:p w14:paraId="05F39450" w14:textId="77777777" w:rsidR="00CB248F" w:rsidRDefault="00CB248F">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Pr>
          <w:rFonts w:ascii="AvenirNext LT Pro Light" w:eastAsia="Yu Gothic Light" w:hAnsi="AvenirNext LT Pro Light" w:cs="Calibri"/>
          <w:color w:val="0070C0"/>
          <w:spacing w:val="-10"/>
          <w:kern w:val="28"/>
          <w:szCs w:val="24"/>
        </w:rPr>
        <w:br w:type="page"/>
      </w:r>
    </w:p>
    <w:p w14:paraId="75562187" w14:textId="24D4775B" w:rsidR="00BD4E56" w:rsidRPr="00563970" w:rsidRDefault="00BD4E56" w:rsidP="00BD4E5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rPr>
      </w:pPr>
      <w:r w:rsidRPr="6EC2E105">
        <w:rPr>
          <w:rFonts w:ascii="AvenirNext LT Pro Light" w:eastAsia="Yu Gothic Light" w:hAnsi="AvenirNext LT Pro Light" w:cs="Calibri"/>
          <w:color w:val="0070C0"/>
          <w:spacing w:val="-10"/>
          <w:kern w:val="28"/>
        </w:rPr>
        <w:lastRenderedPageBreak/>
        <w:t>International bandwidth per Internet user (kbit/s), latest year available</w:t>
      </w:r>
    </w:p>
    <w:p w14:paraId="079A66BB" w14:textId="6305859C" w:rsidR="00BD4E56" w:rsidRPr="003D0AEA" w:rsidRDefault="00473E1B" w:rsidP="00BD4E5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Pr>
          <w:noProof/>
        </w:rPr>
        <w:drawing>
          <wp:inline distT="0" distB="0" distL="0" distR="0" wp14:anchorId="65E39699" wp14:editId="3577CA48">
            <wp:extent cx="6120765" cy="3206750"/>
            <wp:effectExtent l="0" t="0" r="0" b="0"/>
            <wp:docPr id="2082448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4896"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6120765" cy="3206750"/>
                    </a:xfrm>
                    <a:prstGeom prst="rect">
                      <a:avLst/>
                    </a:prstGeom>
                  </pic:spPr>
                </pic:pic>
              </a:graphicData>
            </a:graphic>
          </wp:inline>
        </w:drawing>
      </w:r>
      <w:r w:rsidR="00BD4E56" w:rsidRPr="003D0AEA">
        <w:rPr>
          <w:rFonts w:ascii="Aptos" w:eastAsia="Aptos" w:hAnsi="Aptos" w:cs="Arial"/>
          <w:kern w:val="2"/>
          <w:sz w:val="16"/>
          <w:szCs w:val="28"/>
          <w14:ligatures w14:val="standardContextual"/>
        </w:rPr>
        <w:t>Source: ITU</w:t>
      </w:r>
    </w:p>
    <w:p w14:paraId="5D4550F4" w14:textId="04333C2C" w:rsidR="00CB248F" w:rsidRPr="005F7253" w:rsidRDefault="00CB248F" w:rsidP="00CB248F">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International bandwidth usage reflects the state of international connectivity infrastructure (presence of submarine and overland cables, including redundancies) and the degree to which a country is connected to international data flows. Demand for international bandwidth depends on many country-specific factors, such as geographical location or the size and development of domestic middle-mile connectivity infrastructure (e.g., small islands are dependent on international linkages, while a high density of data centres and Internet exchange points can somewhat reduce the demand for international data exchange for larger countries). While data are only available for less than half of the countries in the region, there are variations</w:t>
      </w:r>
      <w:r w:rsidRPr="007740C0">
        <w:rPr>
          <w:rFonts w:ascii="Aptos" w:eastAsia="Aptos" w:hAnsi="Aptos" w:cs="Arial"/>
          <w:kern w:val="2"/>
          <w:sz w:val="22"/>
          <w:szCs w:val="22"/>
          <w14:ligatures w14:val="standardContextual"/>
        </w:rPr>
        <w:t xml:space="preserve">. </w:t>
      </w:r>
      <w:r w:rsidR="00C4595B" w:rsidRPr="007740C0">
        <w:rPr>
          <w:rFonts w:ascii="Aptos" w:eastAsia="Aptos" w:hAnsi="Aptos" w:cs="Arial"/>
          <w:kern w:val="2"/>
          <w:sz w:val="22"/>
          <w:szCs w:val="22"/>
          <w14:ligatures w14:val="standardContextual"/>
        </w:rPr>
        <w:t>In the Bahamas,</w:t>
      </w:r>
      <w:r w:rsidR="00C4595B">
        <w:rPr>
          <w:rFonts w:ascii="Aptos" w:eastAsia="Aptos" w:hAnsi="Aptos" w:cs="Arial"/>
          <w:kern w:val="2"/>
          <w:sz w:val="22"/>
          <w:szCs w:val="22"/>
          <w14:ligatures w14:val="standardContextual"/>
        </w:rPr>
        <w:t xml:space="preserve"> </w:t>
      </w:r>
      <w:r>
        <w:rPr>
          <w:rFonts w:ascii="Aptos" w:eastAsia="Aptos" w:hAnsi="Aptos" w:cs="Arial"/>
          <w:kern w:val="2"/>
          <w:sz w:val="22"/>
          <w:szCs w:val="22"/>
          <w14:ligatures w14:val="standardContextual"/>
        </w:rPr>
        <w:t>bandwidth usage exceed</w:t>
      </w:r>
      <w:r w:rsidR="000314AF">
        <w:rPr>
          <w:rFonts w:ascii="Aptos" w:eastAsia="Aptos" w:hAnsi="Aptos" w:cs="Arial"/>
          <w:kern w:val="2"/>
          <w:sz w:val="22"/>
          <w:szCs w:val="22"/>
          <w14:ligatures w14:val="standardContextual"/>
        </w:rPr>
        <w:t>ed 1 M</w:t>
      </w:r>
      <w:r>
        <w:rPr>
          <w:rFonts w:ascii="Aptos" w:eastAsia="Aptos" w:hAnsi="Aptos" w:cs="Arial"/>
          <w:kern w:val="2"/>
          <w:sz w:val="22"/>
          <w:szCs w:val="22"/>
          <w14:ligatures w14:val="standardContextual"/>
        </w:rPr>
        <w:t xml:space="preserve">bit/s, </w:t>
      </w:r>
      <w:r w:rsidR="00FD7920">
        <w:rPr>
          <w:rFonts w:ascii="Aptos" w:eastAsia="Aptos" w:hAnsi="Aptos" w:cs="Arial"/>
          <w:kern w:val="2"/>
          <w:sz w:val="22"/>
          <w:szCs w:val="22"/>
          <w14:ligatures w14:val="standardContextual"/>
        </w:rPr>
        <w:t xml:space="preserve">far </w:t>
      </w:r>
      <w:r>
        <w:rPr>
          <w:rFonts w:ascii="Aptos" w:eastAsia="Aptos" w:hAnsi="Aptos" w:cs="Arial"/>
          <w:kern w:val="2"/>
          <w:sz w:val="22"/>
          <w:szCs w:val="22"/>
          <w14:ligatures w14:val="standardContextual"/>
        </w:rPr>
        <w:t xml:space="preserve">above the world average, while </w:t>
      </w:r>
      <w:r w:rsidR="00C4595B">
        <w:rPr>
          <w:rFonts w:ascii="Aptos" w:eastAsia="Aptos" w:hAnsi="Aptos" w:cs="Arial"/>
          <w:kern w:val="2"/>
          <w:sz w:val="22"/>
          <w:szCs w:val="22"/>
          <w14:ligatures w14:val="standardContextual"/>
        </w:rPr>
        <w:t>seven</w:t>
      </w:r>
      <w:r>
        <w:rPr>
          <w:rFonts w:ascii="Aptos" w:eastAsia="Aptos" w:hAnsi="Aptos" w:cs="Arial"/>
          <w:kern w:val="2"/>
          <w:sz w:val="22"/>
          <w:szCs w:val="22"/>
          <w14:ligatures w14:val="standardContextual"/>
        </w:rPr>
        <w:t xml:space="preserve"> countries reported bandwidth usage levels below 100 kbit/s, suggesting that international linkages may hamper </w:t>
      </w:r>
      <w:r w:rsidRPr="00793B46">
        <w:rPr>
          <w:rFonts w:ascii="Aptos" w:eastAsia="Aptos" w:hAnsi="Aptos" w:cs="Arial"/>
          <w:kern w:val="2"/>
          <w:sz w:val="22"/>
          <w:szCs w:val="22"/>
          <w14:ligatures w14:val="standardContextual"/>
        </w:rPr>
        <w:t>universal and meaningful connectivity.</w:t>
      </w:r>
    </w:p>
    <w:p w14:paraId="718FDFEA" w14:textId="5FD09427" w:rsidR="006C41B5" w:rsidRPr="003D0AEA" w:rsidRDefault="006C41B5" w:rsidP="00BD4E5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D0AEA">
        <w:rPr>
          <w:rFonts w:ascii="Aptos" w:eastAsia="Aptos" w:hAnsi="Aptos" w:cs="Arial"/>
          <w:kern w:val="2"/>
          <w:sz w:val="22"/>
          <w:szCs w:val="22"/>
          <w14:ligatures w14:val="standardContextual"/>
        </w:rPr>
        <w:br w:type="page"/>
      </w:r>
    </w:p>
    <w:p w14:paraId="378E1ABB" w14:textId="77777777" w:rsidR="006C41B5" w:rsidRPr="003D0AEA" w:rsidRDefault="006C41B5" w:rsidP="000C3666">
      <w:pPr>
        <w:pStyle w:val="Section"/>
      </w:pPr>
      <w:bookmarkStart w:id="15" w:name="_Toc190883389"/>
      <w:r w:rsidRPr="003D0AEA">
        <w:lastRenderedPageBreak/>
        <w:t>Affordability of ICT services</w:t>
      </w:r>
      <w:bookmarkEnd w:id="15"/>
      <w:r w:rsidRPr="003D0AEA">
        <w:tab/>
      </w:r>
    </w:p>
    <w:p w14:paraId="15B35ABF" w14:textId="0D1EDFCF" w:rsidR="00342A75" w:rsidRPr="00563970" w:rsidRDefault="00342A7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342A75">
        <w:rPr>
          <w:rFonts w:ascii="Aptos" w:eastAsia="Aptos" w:hAnsi="Aptos" w:cs="Arial"/>
          <w:b/>
          <w:bCs/>
          <w:i/>
          <w:iCs/>
          <w:kern w:val="2"/>
          <w:sz w:val="22"/>
          <w:szCs w:val="22"/>
          <w14:ligatures w14:val="standardContextual"/>
        </w:rPr>
        <w:t>Mobile broadband is becoming more affordable, but fixed broadband remains costly</w:t>
      </w:r>
    </w:p>
    <w:p w14:paraId="758C0580" w14:textId="420B3BDC"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t xml:space="preserve">Broadband basket prices as % of gross national income per capita, </w:t>
      </w:r>
      <w:r w:rsidR="00BB28A8" w:rsidRPr="003D0AEA">
        <w:rPr>
          <w:rFonts w:ascii="AvenirNext LT Pro Light" w:eastAsia="Yu Gothic Light" w:hAnsi="AvenirNext LT Pro Light" w:cs="Calibri"/>
          <w:color w:val="0070C0"/>
          <w:spacing w:val="-10"/>
          <w:kern w:val="28"/>
          <w:szCs w:val="24"/>
        </w:rPr>
        <w:t>2018-</w:t>
      </w:r>
      <w:r w:rsidRPr="003D0AEA">
        <w:rPr>
          <w:rFonts w:ascii="AvenirNext LT Pro Light" w:eastAsia="Yu Gothic Light" w:hAnsi="AvenirNext LT Pro Light" w:cs="Calibri"/>
          <w:color w:val="0070C0"/>
          <w:spacing w:val="-10"/>
          <w:kern w:val="28"/>
          <w:szCs w:val="24"/>
        </w:rPr>
        <w:t>2024</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C41B5" w:rsidRPr="003D0AEA" w14:paraId="7D9E14A7" w14:textId="77777777" w:rsidTr="003659A7">
        <w:tc>
          <w:tcPr>
            <w:tcW w:w="4508" w:type="dxa"/>
          </w:tcPr>
          <w:p w14:paraId="1E765A5F" w14:textId="65FBF05C" w:rsidR="006C41B5" w:rsidRPr="003D0AEA" w:rsidRDefault="006C41B5" w:rsidP="00D2440F">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3D0AEA">
              <w:rPr>
                <w:rFonts w:ascii="Aptos" w:hAnsi="Aptos"/>
                <w:b/>
                <w:bCs/>
                <w:sz w:val="22"/>
              </w:rPr>
              <w:t>Mobile</w:t>
            </w:r>
            <w:r w:rsidRPr="003D0AEA">
              <w:rPr>
                <w:rFonts w:ascii="Aptos" w:hAnsi="Aptos"/>
                <w:b/>
                <w:bCs/>
                <w:noProof/>
                <w:sz w:val="22"/>
              </w:rPr>
              <w:t xml:space="preserve"> (2GB)</w:t>
            </w:r>
            <w:r w:rsidR="003659A7">
              <w:rPr>
                <w:noProof/>
              </w:rPr>
              <w:t xml:space="preserve"> </w:t>
            </w:r>
            <w:r w:rsidR="003659A7">
              <w:rPr>
                <w:noProof/>
              </w:rPr>
              <w:drawing>
                <wp:inline distT="0" distB="0" distL="0" distR="0" wp14:anchorId="06C05710" wp14:editId="1BD8C4A0">
                  <wp:extent cx="2600325" cy="2466975"/>
                  <wp:effectExtent l="0" t="0" r="9525" b="9525"/>
                  <wp:docPr id="10035845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84513"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2600325" cy="2466975"/>
                          </a:xfrm>
                          <a:prstGeom prst="rect">
                            <a:avLst/>
                          </a:prstGeom>
                        </pic:spPr>
                      </pic:pic>
                    </a:graphicData>
                  </a:graphic>
                </wp:inline>
              </w:drawing>
            </w:r>
          </w:p>
        </w:tc>
        <w:tc>
          <w:tcPr>
            <w:tcW w:w="4508" w:type="dxa"/>
          </w:tcPr>
          <w:p w14:paraId="644D1EA9" w14:textId="2BAB0B90" w:rsidR="006C41B5" w:rsidRPr="003D0AEA" w:rsidRDefault="006C41B5" w:rsidP="006B3D0F">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3D0AEA">
              <w:rPr>
                <w:rFonts w:ascii="Aptos" w:hAnsi="Aptos"/>
                <w:b/>
                <w:bCs/>
                <w:sz w:val="22"/>
              </w:rPr>
              <w:t>Fixed (5GB)</w:t>
            </w:r>
            <w:r w:rsidR="003659A7">
              <w:rPr>
                <w:noProof/>
              </w:rPr>
              <w:t xml:space="preserve"> </w:t>
            </w:r>
            <w:r w:rsidR="003659A7">
              <w:rPr>
                <w:noProof/>
              </w:rPr>
              <w:drawing>
                <wp:inline distT="0" distB="0" distL="0" distR="0" wp14:anchorId="230B9853" wp14:editId="0EDF6825">
                  <wp:extent cx="2609850" cy="2466975"/>
                  <wp:effectExtent l="0" t="0" r="0" b="9525"/>
                  <wp:docPr id="197317949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79493" name=""/>
                          <pic:cNvPicPr/>
                        </pic:nvPicPr>
                        <pic:blipFill>
                          <a:blip r:embed="rId73">
                            <a:extLst>
                              <a:ext uri="{96DAC541-7B7A-43D3-8B79-37D633B846F1}">
                                <asvg:svgBlip xmlns:asvg="http://schemas.microsoft.com/office/drawing/2016/SVG/main" r:embed="rId74"/>
                              </a:ext>
                            </a:extLst>
                          </a:blip>
                          <a:stretch>
                            <a:fillRect/>
                          </a:stretch>
                        </pic:blipFill>
                        <pic:spPr>
                          <a:xfrm>
                            <a:off x="0" y="0"/>
                            <a:ext cx="2609850" cy="2466975"/>
                          </a:xfrm>
                          <a:prstGeom prst="rect">
                            <a:avLst/>
                          </a:prstGeom>
                        </pic:spPr>
                      </pic:pic>
                    </a:graphicData>
                  </a:graphic>
                </wp:inline>
              </w:drawing>
            </w:r>
          </w:p>
        </w:tc>
      </w:tr>
      <w:tr w:rsidR="00A84229" w:rsidRPr="003D0AEA" w14:paraId="51556A05" w14:textId="77777777" w:rsidTr="00132A10">
        <w:tc>
          <w:tcPr>
            <w:tcW w:w="4508" w:type="dxa"/>
          </w:tcPr>
          <w:p w14:paraId="5BC03F16" w14:textId="56FB9C44" w:rsidR="00A84229" w:rsidRPr="003D0AEA" w:rsidRDefault="00A84229" w:rsidP="00D2440F">
            <w:pPr>
              <w:tabs>
                <w:tab w:val="clear" w:pos="794"/>
                <w:tab w:val="clear" w:pos="1191"/>
                <w:tab w:val="clear" w:pos="1588"/>
                <w:tab w:val="clear" w:pos="1985"/>
              </w:tabs>
              <w:overflowPunct/>
              <w:autoSpaceDE/>
              <w:autoSpaceDN/>
              <w:adjustRightInd/>
              <w:spacing w:before="0"/>
              <w:jc w:val="center"/>
              <w:textAlignment w:val="auto"/>
              <w:rPr>
                <w:rFonts w:ascii="Aptos" w:hAnsi="Aptos"/>
                <w:b/>
                <w:bCs/>
                <w:sz w:val="22"/>
              </w:rPr>
            </w:pPr>
          </w:p>
        </w:tc>
        <w:tc>
          <w:tcPr>
            <w:tcW w:w="4508" w:type="dxa"/>
          </w:tcPr>
          <w:p w14:paraId="7941187D" w14:textId="1E809D18" w:rsidR="00A84229" w:rsidRPr="003D0AEA" w:rsidRDefault="00A84229" w:rsidP="006B3D0F">
            <w:pPr>
              <w:tabs>
                <w:tab w:val="clear" w:pos="794"/>
                <w:tab w:val="clear" w:pos="1191"/>
                <w:tab w:val="clear" w:pos="1588"/>
                <w:tab w:val="clear" w:pos="1985"/>
              </w:tabs>
              <w:overflowPunct/>
              <w:autoSpaceDE/>
              <w:autoSpaceDN/>
              <w:adjustRightInd/>
              <w:spacing w:before="0"/>
              <w:jc w:val="center"/>
              <w:textAlignment w:val="auto"/>
              <w:rPr>
                <w:rFonts w:ascii="Aptos" w:hAnsi="Aptos"/>
                <w:b/>
                <w:bCs/>
                <w:sz w:val="22"/>
              </w:rPr>
            </w:pPr>
          </w:p>
        </w:tc>
      </w:tr>
    </w:tbl>
    <w:p w14:paraId="348B5403" w14:textId="6EF2B28C" w:rsidR="006C41B5" w:rsidRPr="003D0AEA" w:rsidRDefault="006C41B5" w:rsidP="00B1004A">
      <w:pPr>
        <w:pStyle w:val="notetext"/>
      </w:pPr>
      <w:r w:rsidRPr="003D0AEA">
        <w:t>Note: Median values shown in the chart are calculated as a percentage of GNI per capita for the set of economies for which data was available for all years from 2018 to 2024 for a given basket to adjust the effect of changing data availability.</w:t>
      </w:r>
    </w:p>
    <w:p w14:paraId="6022CEFB" w14:textId="77777777" w:rsidR="006C41B5" w:rsidRPr="003D0AEA" w:rsidRDefault="006C41B5" w:rsidP="00B1004A">
      <w:pPr>
        <w:pStyle w:val="Sourcetext"/>
      </w:pPr>
      <w:r w:rsidRPr="003D0AEA">
        <w:t>Source: ITU</w:t>
      </w:r>
    </w:p>
    <w:p w14:paraId="6C929D15" w14:textId="01D9BA22" w:rsidR="00BB28A8" w:rsidRPr="003D0AEA"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D0AEA">
        <w:rPr>
          <w:rFonts w:ascii="Aptos" w:eastAsia="Aptos" w:hAnsi="Aptos" w:cs="Arial"/>
          <w:kern w:val="2"/>
          <w:sz w:val="22"/>
          <w:szCs w:val="22"/>
          <w14:ligatures w14:val="standardContextual"/>
        </w:rPr>
        <w:t>Internet cost is a barrier to Internet use and to meaningful connectivity. The United Nations</w:t>
      </w:r>
      <w:r w:rsidR="00A94082" w:rsidRPr="003D0AEA">
        <w:rPr>
          <w:rFonts w:ascii="Aptos" w:eastAsia="Aptos" w:hAnsi="Aptos" w:cs="Arial"/>
          <w:kern w:val="2"/>
          <w:sz w:val="22"/>
          <w:szCs w:val="22"/>
          <w14:ligatures w14:val="standardContextual"/>
        </w:rPr>
        <w:t xml:space="preserve"> </w:t>
      </w:r>
      <w:hyperlink r:id="rId75" w:tgtFrame="_blank" w:history="1">
        <w:r w:rsidRPr="003D0AEA">
          <w:rPr>
            <w:rFonts w:ascii="Aptos" w:eastAsia="Aptos" w:hAnsi="Aptos" w:cs="Arial"/>
            <w:color w:val="467886"/>
            <w:kern w:val="2"/>
            <w:sz w:val="22"/>
            <w:szCs w:val="22"/>
            <w:u w:val="single"/>
            <w14:ligatures w14:val="standardContextual"/>
          </w:rPr>
          <w:t>Broadband Commission for Sustainable Development</w:t>
        </w:r>
      </w:hyperlink>
      <w:r w:rsidR="00A94082" w:rsidRPr="003D0AEA">
        <w:rPr>
          <w:rFonts w:ascii="Aptos" w:eastAsia="Aptos" w:hAnsi="Aptos" w:cs="Arial"/>
          <w:kern w:val="2"/>
          <w:sz w:val="22"/>
          <w:szCs w:val="22"/>
          <w14:ligatures w14:val="standardContextual"/>
        </w:rPr>
        <w:t xml:space="preserve"> </w:t>
      </w:r>
      <w:r w:rsidRPr="003D0AEA">
        <w:rPr>
          <w:rFonts w:ascii="Aptos" w:eastAsia="Aptos" w:hAnsi="Aptos" w:cs="Arial"/>
          <w:kern w:val="2"/>
          <w:sz w:val="22"/>
          <w:szCs w:val="22"/>
          <w14:ligatures w14:val="standardContextual"/>
        </w:rPr>
        <w:t>set itself the goal of making broadband in developing countries affordable by 2025, affordability being defined as the availability of broadband access at a price that is less than 2 per cent of monthly GNI per capita.</w:t>
      </w:r>
    </w:p>
    <w:p w14:paraId="11BA196C" w14:textId="77777777" w:rsidR="00312539" w:rsidRDefault="00145DC2" w:rsidP="00145DC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E</w:t>
      </w:r>
      <w:r w:rsidRPr="00B5163E">
        <w:rPr>
          <w:rFonts w:ascii="Aptos" w:eastAsia="Aptos" w:hAnsi="Aptos" w:cs="Arial"/>
          <w:kern w:val="2"/>
          <w:sz w:val="22"/>
          <w:szCs w:val="22"/>
          <w14:ligatures w14:val="standardContextual"/>
        </w:rPr>
        <w:t xml:space="preserve">ntry-level data-only </w:t>
      </w:r>
      <w:r>
        <w:rPr>
          <w:rFonts w:ascii="Aptos" w:eastAsia="Aptos" w:hAnsi="Aptos" w:cs="Arial"/>
          <w:kern w:val="2"/>
          <w:sz w:val="22"/>
          <w:szCs w:val="22"/>
          <w14:ligatures w14:val="standardContextual"/>
        </w:rPr>
        <w:t xml:space="preserve">mobile broadband prices have gone done significantly in the region, from </w:t>
      </w:r>
      <w:r w:rsidR="002208D7">
        <w:rPr>
          <w:rFonts w:ascii="Aptos" w:eastAsia="Aptos" w:hAnsi="Aptos" w:cs="Arial"/>
          <w:kern w:val="2"/>
          <w:sz w:val="22"/>
          <w:szCs w:val="22"/>
          <w14:ligatures w14:val="standardContextual"/>
        </w:rPr>
        <w:t>2.6</w:t>
      </w:r>
      <w:r>
        <w:rPr>
          <w:rFonts w:ascii="Aptos" w:eastAsia="Aptos" w:hAnsi="Aptos" w:cs="Arial"/>
          <w:kern w:val="2"/>
          <w:sz w:val="22"/>
          <w:szCs w:val="22"/>
          <w14:ligatures w14:val="standardContextual"/>
        </w:rPr>
        <w:t xml:space="preserve"> per cent of GNI per capita in 2018 to </w:t>
      </w:r>
      <w:r w:rsidR="002208D7">
        <w:rPr>
          <w:rFonts w:ascii="Aptos" w:eastAsia="Aptos" w:hAnsi="Aptos" w:cs="Arial"/>
          <w:kern w:val="2"/>
          <w:sz w:val="22"/>
          <w:szCs w:val="22"/>
          <w14:ligatures w14:val="standardContextual"/>
        </w:rPr>
        <w:t>1.8</w:t>
      </w:r>
      <w:r>
        <w:rPr>
          <w:rFonts w:ascii="Aptos" w:eastAsia="Aptos" w:hAnsi="Aptos" w:cs="Arial"/>
          <w:kern w:val="2"/>
          <w:sz w:val="22"/>
          <w:szCs w:val="22"/>
          <w14:ligatures w14:val="standardContextual"/>
        </w:rPr>
        <w:t xml:space="preserve"> in 2024, </w:t>
      </w:r>
      <w:r w:rsidR="0067107F">
        <w:rPr>
          <w:rFonts w:ascii="Aptos" w:eastAsia="Aptos" w:hAnsi="Aptos" w:cs="Arial"/>
          <w:kern w:val="2"/>
          <w:sz w:val="22"/>
          <w:szCs w:val="22"/>
          <w14:ligatures w14:val="standardContextual"/>
        </w:rPr>
        <w:t xml:space="preserve">for the first time below </w:t>
      </w:r>
      <w:r>
        <w:rPr>
          <w:rFonts w:ascii="Aptos" w:eastAsia="Aptos" w:hAnsi="Aptos" w:cs="Arial"/>
          <w:kern w:val="2"/>
          <w:sz w:val="22"/>
          <w:szCs w:val="22"/>
          <w14:ligatures w14:val="standardContextual"/>
        </w:rPr>
        <w:t xml:space="preserve">the </w:t>
      </w:r>
      <w:r w:rsidRPr="00B5163E">
        <w:rPr>
          <w:rFonts w:ascii="Aptos" w:eastAsia="Aptos" w:hAnsi="Aptos" w:cs="Arial"/>
          <w:kern w:val="2"/>
          <w:sz w:val="22"/>
          <w:szCs w:val="22"/>
          <w14:ligatures w14:val="standardContextual"/>
        </w:rPr>
        <w:t>2 per cent target of the Broadband Commission</w:t>
      </w:r>
      <w:r>
        <w:rPr>
          <w:rFonts w:ascii="Aptos" w:eastAsia="Aptos" w:hAnsi="Aptos" w:cs="Arial"/>
          <w:kern w:val="2"/>
          <w:sz w:val="22"/>
          <w:szCs w:val="22"/>
          <w14:ligatures w14:val="standardContextual"/>
        </w:rPr>
        <w:t>.</w:t>
      </w:r>
      <w:r>
        <w:rPr>
          <w:rStyle w:val="FootnoteReference"/>
          <w:rFonts w:eastAsia="Aptos" w:cs="Arial"/>
          <w:kern w:val="2"/>
          <w:szCs w:val="22"/>
          <w14:ligatures w14:val="standardContextual"/>
        </w:rPr>
        <w:footnoteReference w:id="9"/>
      </w:r>
      <w:r>
        <w:rPr>
          <w:rFonts w:ascii="Aptos" w:eastAsia="Aptos" w:hAnsi="Aptos" w:cs="Arial"/>
          <w:kern w:val="2"/>
          <w:sz w:val="22"/>
          <w:szCs w:val="22"/>
          <w14:ligatures w14:val="standardContextual"/>
        </w:rPr>
        <w:t xml:space="preserve"> </w:t>
      </w:r>
      <w:r w:rsidR="00312539">
        <w:rPr>
          <w:rFonts w:ascii="Aptos" w:eastAsia="Aptos" w:hAnsi="Aptos" w:cs="Arial"/>
          <w:kern w:val="2"/>
          <w:sz w:val="22"/>
          <w:szCs w:val="22"/>
          <w14:ligatures w14:val="standardContextual"/>
        </w:rPr>
        <w:t xml:space="preserve">The cost is still higher though than the global median. </w:t>
      </w:r>
    </w:p>
    <w:p w14:paraId="18C36E05" w14:textId="1933A6F6" w:rsidR="007E72EA" w:rsidRPr="003D0AEA" w:rsidRDefault="00145DC2" w:rsidP="007E72EA">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 xml:space="preserve">For an entry-level fixed broadband service, the median price in 2024 was </w:t>
      </w:r>
      <w:r w:rsidR="00644747">
        <w:rPr>
          <w:rFonts w:ascii="Aptos" w:eastAsia="Aptos" w:hAnsi="Aptos" w:cs="Arial"/>
          <w:kern w:val="2"/>
          <w:sz w:val="22"/>
          <w:szCs w:val="22"/>
          <w14:ligatures w14:val="standardContextual"/>
        </w:rPr>
        <w:t>3</w:t>
      </w:r>
      <w:r>
        <w:rPr>
          <w:rFonts w:ascii="Aptos" w:eastAsia="Aptos" w:hAnsi="Aptos" w:cs="Arial"/>
          <w:kern w:val="2"/>
          <w:sz w:val="22"/>
          <w:szCs w:val="22"/>
          <w14:ligatures w14:val="standardContextual"/>
        </w:rPr>
        <w:t>.2 per cent of GNI per capita</w:t>
      </w:r>
      <w:r w:rsidR="00644747">
        <w:rPr>
          <w:rFonts w:ascii="Aptos" w:eastAsia="Aptos" w:hAnsi="Aptos" w:cs="Arial"/>
          <w:kern w:val="2"/>
          <w:sz w:val="22"/>
          <w:szCs w:val="22"/>
          <w14:ligatures w14:val="standardContextual"/>
        </w:rPr>
        <w:t xml:space="preserve">, down from </w:t>
      </w:r>
      <w:r w:rsidR="007E72EA">
        <w:rPr>
          <w:rFonts w:ascii="Aptos" w:eastAsia="Aptos" w:hAnsi="Aptos" w:cs="Arial"/>
          <w:kern w:val="2"/>
          <w:sz w:val="22"/>
          <w:szCs w:val="22"/>
          <w14:ligatures w14:val="standardContextual"/>
        </w:rPr>
        <w:t>4.2</w:t>
      </w:r>
      <w:r w:rsidR="00100672">
        <w:rPr>
          <w:rFonts w:ascii="Aptos" w:eastAsia="Aptos" w:hAnsi="Aptos" w:cs="Arial"/>
          <w:kern w:val="2"/>
          <w:sz w:val="22"/>
          <w:szCs w:val="22"/>
          <w14:ligatures w14:val="standardContextual"/>
        </w:rPr>
        <w:t xml:space="preserve"> </w:t>
      </w:r>
      <w:r w:rsidR="00644747">
        <w:rPr>
          <w:rFonts w:ascii="Aptos" w:eastAsia="Aptos" w:hAnsi="Aptos" w:cs="Arial"/>
          <w:kern w:val="2"/>
          <w:sz w:val="22"/>
          <w:szCs w:val="22"/>
          <w14:ligatures w14:val="standardContextual"/>
        </w:rPr>
        <w:t>in 201</w:t>
      </w:r>
      <w:r w:rsidR="004B02E0">
        <w:rPr>
          <w:rFonts w:ascii="Aptos" w:eastAsia="Aptos" w:hAnsi="Aptos" w:cs="Arial"/>
          <w:kern w:val="2"/>
          <w:sz w:val="22"/>
          <w:szCs w:val="22"/>
          <w14:ligatures w14:val="standardContextual"/>
        </w:rPr>
        <w:t>8</w:t>
      </w:r>
      <w:r>
        <w:rPr>
          <w:rFonts w:ascii="Aptos" w:eastAsia="Aptos" w:hAnsi="Aptos" w:cs="Arial"/>
          <w:kern w:val="2"/>
          <w:sz w:val="22"/>
          <w:szCs w:val="22"/>
          <w14:ligatures w14:val="standardContextual"/>
        </w:rPr>
        <w:t xml:space="preserve">. This was still </w:t>
      </w:r>
      <w:r w:rsidR="007E72EA">
        <w:rPr>
          <w:rFonts w:ascii="Aptos" w:eastAsia="Aptos" w:hAnsi="Aptos" w:cs="Arial"/>
          <w:kern w:val="2"/>
          <w:sz w:val="22"/>
          <w:szCs w:val="22"/>
          <w14:ligatures w14:val="standardContextual"/>
        </w:rPr>
        <w:t xml:space="preserve">significantly </w:t>
      </w:r>
      <w:r>
        <w:rPr>
          <w:rFonts w:ascii="Aptos" w:eastAsia="Aptos" w:hAnsi="Aptos" w:cs="Arial"/>
          <w:kern w:val="2"/>
          <w:sz w:val="22"/>
          <w:szCs w:val="22"/>
          <w14:ligatures w14:val="standardContextual"/>
        </w:rPr>
        <w:t>above the Broadband Commission target</w:t>
      </w:r>
      <w:r w:rsidR="007E72EA">
        <w:rPr>
          <w:rFonts w:ascii="Aptos" w:eastAsia="Aptos" w:hAnsi="Aptos" w:cs="Arial"/>
          <w:kern w:val="2"/>
          <w:sz w:val="22"/>
          <w:szCs w:val="22"/>
          <w14:ligatures w14:val="standardContextual"/>
        </w:rPr>
        <w:t xml:space="preserve"> and above the global median.</w:t>
      </w:r>
    </w:p>
    <w:p w14:paraId="26B65015" w14:textId="2D92D17E" w:rsidR="003407FA" w:rsidRPr="003D0AEA" w:rsidRDefault="003407FA"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highlight w:val="yellow"/>
          <w14:ligatures w14:val="standardContextual"/>
        </w:rPr>
      </w:pPr>
    </w:p>
    <w:p w14:paraId="5EF39CD1" w14:textId="77777777"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lastRenderedPageBreak/>
        <w:t>Broadband basket prices as % of gross national income per capita, 2024</w:t>
      </w:r>
    </w:p>
    <w:p w14:paraId="5833BBE5" w14:textId="1F43F6C5" w:rsidR="006C41B5" w:rsidRPr="003D0AEA" w:rsidRDefault="001561E7" w:rsidP="00B1004A">
      <w:pPr>
        <w:pStyle w:val="Sourcetext"/>
      </w:pPr>
      <w:r>
        <w:rPr>
          <w:noProof/>
        </w:rPr>
        <w:drawing>
          <wp:inline distT="0" distB="0" distL="0" distR="0" wp14:anchorId="5EF0E197" wp14:editId="0F5EAC2B">
            <wp:extent cx="6120765" cy="2813050"/>
            <wp:effectExtent l="0" t="0" r="0" b="6350"/>
            <wp:docPr id="1136119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1901" name=""/>
                    <pic:cNvPicPr/>
                  </pic:nvPicPr>
                  <pic:blipFill>
                    <a:blip r:embed="rId76">
                      <a:extLst>
                        <a:ext uri="{96DAC541-7B7A-43D3-8B79-37D633B846F1}">
                          <asvg:svgBlip xmlns:asvg="http://schemas.microsoft.com/office/drawing/2016/SVG/main" r:embed="rId77"/>
                        </a:ext>
                      </a:extLst>
                    </a:blip>
                    <a:stretch>
                      <a:fillRect/>
                    </a:stretch>
                  </pic:blipFill>
                  <pic:spPr>
                    <a:xfrm>
                      <a:off x="0" y="0"/>
                      <a:ext cx="6120765" cy="2813050"/>
                    </a:xfrm>
                    <a:prstGeom prst="rect">
                      <a:avLst/>
                    </a:prstGeom>
                  </pic:spPr>
                </pic:pic>
              </a:graphicData>
            </a:graphic>
          </wp:inline>
        </w:drawing>
      </w:r>
      <w:r w:rsidR="006C41B5" w:rsidRPr="003D0AEA">
        <w:t>Source: ITU</w:t>
      </w:r>
    </w:p>
    <w:p w14:paraId="7FAA64FA" w14:textId="48326E5F" w:rsidR="00C22FA4" w:rsidRPr="00FE0BDD" w:rsidRDefault="00C22FA4" w:rsidP="00C22FA4">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highlight w:val="yellow"/>
          <w14:ligatures w14:val="standardContextual"/>
        </w:rPr>
      </w:pPr>
      <w:r>
        <w:rPr>
          <w:rFonts w:ascii="Aptos" w:eastAsia="Aptos" w:hAnsi="Aptos" w:cs="Arial"/>
          <w:kern w:val="2"/>
          <w:sz w:val="22"/>
          <w:szCs w:val="22"/>
          <w14:ligatures w14:val="standardContextual"/>
        </w:rPr>
        <w:t>In 1</w:t>
      </w:r>
      <w:r w:rsidR="001F5E52">
        <w:rPr>
          <w:rFonts w:ascii="Aptos" w:eastAsia="Aptos" w:hAnsi="Aptos" w:cs="Arial"/>
          <w:kern w:val="2"/>
          <w:sz w:val="22"/>
          <w:szCs w:val="22"/>
          <w14:ligatures w14:val="standardContextual"/>
        </w:rPr>
        <w:t>6</w:t>
      </w:r>
      <w:r>
        <w:rPr>
          <w:rFonts w:ascii="Aptos" w:eastAsia="Aptos" w:hAnsi="Aptos" w:cs="Arial"/>
          <w:kern w:val="2"/>
          <w:sz w:val="22"/>
          <w:szCs w:val="22"/>
          <w14:ligatures w14:val="standardContextual"/>
        </w:rPr>
        <w:t xml:space="preserve"> of </w:t>
      </w:r>
      <w:r w:rsidR="001F5E52">
        <w:rPr>
          <w:rFonts w:ascii="Aptos" w:eastAsia="Aptos" w:hAnsi="Aptos" w:cs="Arial"/>
          <w:kern w:val="2"/>
          <w:sz w:val="22"/>
          <w:szCs w:val="22"/>
          <w14:ligatures w14:val="standardContextual"/>
        </w:rPr>
        <w:t xml:space="preserve">35 </w:t>
      </w:r>
      <w:r>
        <w:rPr>
          <w:rFonts w:ascii="Aptos" w:eastAsia="Aptos" w:hAnsi="Aptos" w:cs="Arial"/>
          <w:kern w:val="2"/>
          <w:sz w:val="22"/>
          <w:szCs w:val="22"/>
          <w14:ligatures w14:val="standardContextual"/>
        </w:rPr>
        <w:t xml:space="preserve">countries, the mobile broadband price was above the 2 per cent Broadband Commission target. Ten of these countries are small Pacific islands. For fixed broadband, </w:t>
      </w:r>
      <w:r w:rsidR="00BF2254">
        <w:rPr>
          <w:rFonts w:ascii="Aptos" w:eastAsia="Aptos" w:hAnsi="Aptos" w:cs="Arial"/>
          <w:kern w:val="2"/>
          <w:sz w:val="22"/>
          <w:szCs w:val="22"/>
          <w14:ligatures w14:val="standardContextual"/>
        </w:rPr>
        <w:t xml:space="preserve">only in five </w:t>
      </w:r>
      <w:r w:rsidR="00115E80">
        <w:rPr>
          <w:rFonts w:ascii="Aptos" w:eastAsia="Aptos" w:hAnsi="Aptos" w:cs="Arial"/>
          <w:kern w:val="2"/>
          <w:sz w:val="22"/>
          <w:szCs w:val="22"/>
          <w14:ligatures w14:val="standardContextual"/>
        </w:rPr>
        <w:t xml:space="preserve">out </w:t>
      </w:r>
      <w:r w:rsidR="00BF2254">
        <w:rPr>
          <w:rFonts w:ascii="Aptos" w:eastAsia="Aptos" w:hAnsi="Aptos" w:cs="Arial"/>
          <w:kern w:val="2"/>
          <w:sz w:val="22"/>
          <w:szCs w:val="22"/>
          <w14:ligatures w14:val="standardContextual"/>
        </w:rPr>
        <w:t xml:space="preserve">of </w:t>
      </w:r>
      <w:r w:rsidR="00115E80">
        <w:rPr>
          <w:rFonts w:ascii="Aptos" w:eastAsia="Aptos" w:hAnsi="Aptos" w:cs="Arial"/>
          <w:kern w:val="2"/>
          <w:sz w:val="22"/>
          <w:szCs w:val="22"/>
          <w14:ligatures w14:val="standardContextual"/>
        </w:rPr>
        <w:t xml:space="preserve">35 </w:t>
      </w:r>
      <w:r>
        <w:rPr>
          <w:rFonts w:ascii="Aptos" w:eastAsia="Aptos" w:hAnsi="Aptos" w:cs="Arial"/>
          <w:kern w:val="2"/>
          <w:sz w:val="22"/>
          <w:szCs w:val="22"/>
          <w14:ligatures w14:val="standardContextual"/>
        </w:rPr>
        <w:t xml:space="preserve">countries </w:t>
      </w:r>
      <w:r w:rsidR="00115E80">
        <w:rPr>
          <w:rFonts w:ascii="Aptos" w:eastAsia="Aptos" w:hAnsi="Aptos" w:cs="Arial"/>
          <w:kern w:val="2"/>
          <w:sz w:val="22"/>
          <w:szCs w:val="22"/>
          <w14:ligatures w14:val="standardContextual"/>
        </w:rPr>
        <w:t xml:space="preserve">prices </w:t>
      </w:r>
      <w:r>
        <w:rPr>
          <w:rFonts w:ascii="Aptos" w:eastAsia="Aptos" w:hAnsi="Aptos" w:cs="Arial"/>
          <w:kern w:val="2"/>
          <w:sz w:val="22"/>
          <w:szCs w:val="22"/>
          <w14:ligatures w14:val="standardContextual"/>
        </w:rPr>
        <w:t xml:space="preserve">were </w:t>
      </w:r>
      <w:r w:rsidR="00115E80">
        <w:rPr>
          <w:rFonts w:ascii="Aptos" w:eastAsia="Aptos" w:hAnsi="Aptos" w:cs="Arial"/>
          <w:kern w:val="2"/>
          <w:sz w:val="22"/>
          <w:szCs w:val="22"/>
          <w14:ligatures w14:val="standardContextual"/>
        </w:rPr>
        <w:t xml:space="preserve">below </w:t>
      </w:r>
      <w:r>
        <w:rPr>
          <w:rFonts w:ascii="Aptos" w:eastAsia="Aptos" w:hAnsi="Aptos" w:cs="Arial"/>
          <w:kern w:val="2"/>
          <w:sz w:val="22"/>
          <w:szCs w:val="22"/>
          <w14:ligatures w14:val="standardContextual"/>
        </w:rPr>
        <w:t xml:space="preserve">the 2 per cent target. </w:t>
      </w:r>
    </w:p>
    <w:p w14:paraId="7305CDA7" w14:textId="77777777" w:rsidR="006C41B5" w:rsidRPr="003D0AEA"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D0AEA">
        <w:rPr>
          <w:rFonts w:ascii="Aptos" w:eastAsia="Aptos" w:hAnsi="Aptos" w:cs="Arial"/>
          <w:kern w:val="2"/>
          <w:sz w:val="22"/>
          <w:szCs w:val="22"/>
          <w14:ligatures w14:val="standardContextual"/>
        </w:rPr>
        <w:br w:type="page"/>
      </w:r>
    </w:p>
    <w:p w14:paraId="40AF6F9C" w14:textId="77777777" w:rsidR="006C41B5" w:rsidRPr="003D0AEA" w:rsidRDefault="006C41B5" w:rsidP="000C3666">
      <w:pPr>
        <w:pStyle w:val="Section"/>
      </w:pPr>
      <w:bookmarkStart w:id="16" w:name="_Toc190883390"/>
      <w:r w:rsidRPr="003D0AEA">
        <w:lastRenderedPageBreak/>
        <w:t>Mobile phone ownership and subscriptions</w:t>
      </w:r>
      <w:bookmarkEnd w:id="16"/>
    </w:p>
    <w:p w14:paraId="25599BE6" w14:textId="07C568AB" w:rsidR="006C41B5" w:rsidRPr="003D0AEA"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052FAE">
        <w:rPr>
          <w:rFonts w:ascii="Aptos" w:eastAsia="Aptos" w:hAnsi="Aptos" w:cs="Arial"/>
          <w:b/>
          <w:bCs/>
          <w:i/>
          <w:iCs/>
          <w:kern w:val="2"/>
          <w:sz w:val="22"/>
          <w:szCs w:val="22"/>
          <w14:ligatures w14:val="standardContextual"/>
        </w:rPr>
        <w:t xml:space="preserve">Mobile phone ownership </w:t>
      </w:r>
      <w:r w:rsidR="005D4573" w:rsidRPr="00052FAE">
        <w:rPr>
          <w:rFonts w:ascii="Aptos" w:eastAsia="Aptos" w:hAnsi="Aptos" w:cs="Arial"/>
          <w:b/>
          <w:bCs/>
          <w:i/>
          <w:iCs/>
          <w:kern w:val="2"/>
          <w:sz w:val="22"/>
          <w:szCs w:val="22"/>
          <w14:ligatures w14:val="standardContextual"/>
        </w:rPr>
        <w:t>is</w:t>
      </w:r>
      <w:r w:rsidRPr="00052FAE">
        <w:rPr>
          <w:rFonts w:ascii="Aptos" w:eastAsia="Aptos" w:hAnsi="Aptos" w:cs="Arial"/>
          <w:b/>
          <w:bCs/>
          <w:i/>
          <w:iCs/>
          <w:kern w:val="2"/>
          <w:sz w:val="22"/>
          <w:szCs w:val="22"/>
          <w14:ligatures w14:val="standardContextual"/>
        </w:rPr>
        <w:t xml:space="preserve"> </w:t>
      </w:r>
      <w:r w:rsidR="00255602" w:rsidRPr="00052FAE">
        <w:rPr>
          <w:rFonts w:ascii="Aptos" w:eastAsia="Aptos" w:hAnsi="Aptos" w:cs="Arial"/>
          <w:b/>
          <w:bCs/>
          <w:i/>
          <w:iCs/>
          <w:kern w:val="2"/>
          <w:sz w:val="22"/>
          <w:szCs w:val="22"/>
          <w14:ligatures w14:val="standardContextual"/>
        </w:rPr>
        <w:t xml:space="preserve">approaching </w:t>
      </w:r>
      <w:r w:rsidRPr="00052FAE">
        <w:rPr>
          <w:rFonts w:ascii="Aptos" w:eastAsia="Aptos" w:hAnsi="Aptos" w:cs="Arial"/>
          <w:b/>
          <w:bCs/>
          <w:i/>
          <w:iCs/>
          <w:kern w:val="2"/>
          <w:sz w:val="22"/>
          <w:szCs w:val="22"/>
          <w14:ligatures w14:val="standardContextual"/>
        </w:rPr>
        <w:t>universal</w:t>
      </w:r>
      <w:r w:rsidR="00255602" w:rsidRPr="00052FAE">
        <w:rPr>
          <w:rFonts w:ascii="Aptos" w:eastAsia="Aptos" w:hAnsi="Aptos" w:cs="Arial"/>
          <w:b/>
          <w:bCs/>
          <w:i/>
          <w:iCs/>
          <w:kern w:val="2"/>
          <w:sz w:val="22"/>
          <w:szCs w:val="22"/>
          <w14:ligatures w14:val="standardContextual"/>
        </w:rPr>
        <w:t>ity</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66"/>
      </w:tblGrid>
      <w:tr w:rsidR="006C41B5" w:rsidRPr="003D0AEA" w14:paraId="6232C335" w14:textId="77777777" w:rsidTr="001B5D0D">
        <w:tc>
          <w:tcPr>
            <w:tcW w:w="4490" w:type="dxa"/>
          </w:tcPr>
          <w:p w14:paraId="1F2ACABD" w14:textId="65BC3C11" w:rsidR="006C41B5" w:rsidRPr="003D0AEA" w:rsidRDefault="006C41B5" w:rsidP="0061096C">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hAnsi="Aptos"/>
                <w:sz w:val="22"/>
              </w:rPr>
            </w:pPr>
            <w:r w:rsidRPr="003D0AEA">
              <w:rPr>
                <w:rFonts w:ascii="AvenirNext LT Pro Light" w:eastAsia="Yu Gothic Light" w:hAnsi="AvenirNext LT Pro Light" w:cs="Calibri"/>
                <w:color w:val="0070C0"/>
                <w:spacing w:val="-10"/>
                <w:kern w:val="28"/>
                <w:szCs w:val="24"/>
              </w:rPr>
              <w:t>Percentage of individuals owning a mobile phone</w:t>
            </w:r>
            <w:r w:rsidR="00E34B56">
              <w:rPr>
                <w:noProof/>
              </w:rPr>
              <w:t xml:space="preserve"> </w:t>
            </w:r>
            <w:r w:rsidR="00E34B56">
              <w:rPr>
                <w:noProof/>
              </w:rPr>
              <w:drawing>
                <wp:inline distT="0" distB="0" distL="0" distR="0" wp14:anchorId="0BED599F" wp14:editId="2B93F21E">
                  <wp:extent cx="2667000" cy="2447925"/>
                  <wp:effectExtent l="0" t="0" r="0" b="9525"/>
                  <wp:docPr id="53769821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698219" name=""/>
                          <pic:cNvPicPr/>
                        </pic:nvPicPr>
                        <pic:blipFill>
                          <a:blip r:embed="rId78">
                            <a:extLst>
                              <a:ext uri="{96DAC541-7B7A-43D3-8B79-37D633B846F1}">
                                <asvg:svgBlip xmlns:asvg="http://schemas.microsoft.com/office/drawing/2016/SVG/main" r:embed="rId79"/>
                              </a:ext>
                            </a:extLst>
                          </a:blip>
                          <a:stretch>
                            <a:fillRect/>
                          </a:stretch>
                        </pic:blipFill>
                        <pic:spPr>
                          <a:xfrm>
                            <a:off x="0" y="0"/>
                            <a:ext cx="2667000" cy="2447925"/>
                          </a:xfrm>
                          <a:prstGeom prst="rect">
                            <a:avLst/>
                          </a:prstGeom>
                        </pic:spPr>
                      </pic:pic>
                    </a:graphicData>
                  </a:graphic>
                </wp:inline>
              </w:drawing>
            </w:r>
          </w:p>
        </w:tc>
        <w:tc>
          <w:tcPr>
            <w:tcW w:w="4566" w:type="dxa"/>
          </w:tcPr>
          <w:p w14:paraId="58E4F25D" w14:textId="3700F38F" w:rsidR="006C41B5" w:rsidRPr="003D0AEA" w:rsidRDefault="006C41B5" w:rsidP="00BC56F0">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ptos" w:hAnsi="Aptos"/>
                <w:sz w:val="22"/>
              </w:rPr>
            </w:pPr>
            <w:r w:rsidRPr="003D0AEA">
              <w:rPr>
                <w:rFonts w:ascii="AvenirNext LT Pro Light" w:eastAsia="Yu Gothic Light" w:hAnsi="AvenirNext LT Pro Light" w:cs="Calibri"/>
                <w:color w:val="0070C0"/>
                <w:spacing w:val="-10"/>
                <w:kern w:val="28"/>
                <w:szCs w:val="24"/>
              </w:rPr>
              <w:t>Percentage of individuals owning a mobile phone by gender, 2024</w:t>
            </w:r>
            <w:r w:rsidR="00E96EDE">
              <w:rPr>
                <w:noProof/>
              </w:rPr>
              <w:t xml:space="preserve"> </w:t>
            </w:r>
            <w:r w:rsidR="001B5D0D">
              <w:rPr>
                <w:noProof/>
              </w:rPr>
              <w:drawing>
                <wp:inline distT="0" distB="0" distL="0" distR="0" wp14:anchorId="3A8C8187" wp14:editId="3B51E3F2">
                  <wp:extent cx="2752725" cy="2695575"/>
                  <wp:effectExtent l="0" t="0" r="9525" b="9525"/>
                  <wp:docPr id="9300455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45512" name=""/>
                          <pic:cNvPicPr/>
                        </pic:nvPicPr>
                        <pic:blipFill>
                          <a:blip r:embed="rId80">
                            <a:extLst>
                              <a:ext uri="{96DAC541-7B7A-43D3-8B79-37D633B846F1}">
                                <asvg:svgBlip xmlns:asvg="http://schemas.microsoft.com/office/drawing/2016/SVG/main" r:embed="rId81"/>
                              </a:ext>
                            </a:extLst>
                          </a:blip>
                          <a:stretch>
                            <a:fillRect/>
                          </a:stretch>
                        </pic:blipFill>
                        <pic:spPr>
                          <a:xfrm>
                            <a:off x="0" y="0"/>
                            <a:ext cx="2752725" cy="2695575"/>
                          </a:xfrm>
                          <a:prstGeom prst="rect">
                            <a:avLst/>
                          </a:prstGeom>
                        </pic:spPr>
                      </pic:pic>
                    </a:graphicData>
                  </a:graphic>
                </wp:inline>
              </w:drawing>
            </w:r>
          </w:p>
        </w:tc>
      </w:tr>
    </w:tbl>
    <w:p w14:paraId="5077B7E5" w14:textId="77777777" w:rsidR="006C41B5" w:rsidRPr="003D0AEA" w:rsidRDefault="006C41B5" w:rsidP="00B1004A">
      <w:pPr>
        <w:pStyle w:val="notetext"/>
      </w:pPr>
      <w:r w:rsidRPr="003D0AEA">
        <w:t>Note: Individuals aged 10 and older.</w:t>
      </w:r>
    </w:p>
    <w:p w14:paraId="1BD6BEC2" w14:textId="77777777" w:rsidR="006C41B5" w:rsidRPr="003D0AEA" w:rsidRDefault="006C41B5" w:rsidP="00B1004A">
      <w:pPr>
        <w:pStyle w:val="Sourcetext"/>
      </w:pPr>
      <w:r w:rsidRPr="003D0AEA">
        <w:t>Source: ITU</w:t>
      </w:r>
    </w:p>
    <w:p w14:paraId="144C5C87" w14:textId="6C0872F7" w:rsidR="00CF1A16" w:rsidRPr="005F7253" w:rsidRDefault="00CF1A16" w:rsidP="00CF1A1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In 2024, </w:t>
      </w:r>
      <w:r w:rsidR="00157D49">
        <w:rPr>
          <w:rFonts w:ascii="Aptos" w:eastAsia="Aptos" w:hAnsi="Aptos" w:cs="Arial"/>
          <w:kern w:val="2"/>
          <w:sz w:val="22"/>
          <w:szCs w:val="22"/>
          <w14:ligatures w14:val="standardContextual"/>
        </w:rPr>
        <w:t>89</w:t>
      </w:r>
      <w:r w:rsidRPr="005F7253">
        <w:rPr>
          <w:rFonts w:ascii="Aptos" w:eastAsia="Aptos" w:hAnsi="Aptos" w:cs="Arial"/>
          <w:kern w:val="2"/>
          <w:sz w:val="22"/>
          <w:szCs w:val="22"/>
          <w14:ligatures w14:val="standardContextual"/>
        </w:rPr>
        <w:t xml:space="preserve"> per cent of individuals in </w:t>
      </w:r>
      <w:r w:rsidR="00157D49">
        <w:rPr>
          <w:rFonts w:ascii="Aptos" w:eastAsia="Aptos" w:hAnsi="Aptos" w:cs="Arial"/>
          <w:kern w:val="2"/>
          <w:sz w:val="22"/>
          <w:szCs w:val="22"/>
          <w14:ligatures w14:val="standardContextual"/>
        </w:rPr>
        <w:t>the Americas</w:t>
      </w:r>
      <w:r w:rsidRPr="005F7253">
        <w:rPr>
          <w:rFonts w:ascii="Aptos" w:eastAsia="Aptos" w:hAnsi="Aptos" w:cs="Arial"/>
          <w:kern w:val="2"/>
          <w:sz w:val="22"/>
          <w:szCs w:val="22"/>
          <w14:ligatures w14:val="standardContextual"/>
        </w:rPr>
        <w:t xml:space="preserve"> aged 10 and older owned a mobile phone, </w:t>
      </w:r>
      <w:r w:rsidR="00157D49">
        <w:rPr>
          <w:rFonts w:ascii="Aptos" w:eastAsia="Aptos" w:hAnsi="Aptos" w:cs="Arial"/>
          <w:kern w:val="2"/>
          <w:sz w:val="22"/>
          <w:szCs w:val="22"/>
          <w14:ligatures w14:val="standardContextual"/>
        </w:rPr>
        <w:t xml:space="preserve">nine </w:t>
      </w:r>
      <w:r w:rsidRPr="005F7253">
        <w:rPr>
          <w:rFonts w:ascii="Aptos" w:eastAsia="Aptos" w:hAnsi="Aptos" w:cs="Arial"/>
          <w:kern w:val="2"/>
          <w:sz w:val="22"/>
          <w:szCs w:val="22"/>
          <w14:ligatures w14:val="standardContextual"/>
        </w:rPr>
        <w:t xml:space="preserve">percentage points </w:t>
      </w:r>
      <w:r w:rsidR="00157D49">
        <w:rPr>
          <w:rFonts w:ascii="Aptos" w:eastAsia="Aptos" w:hAnsi="Aptos" w:cs="Arial"/>
          <w:kern w:val="2"/>
          <w:sz w:val="22"/>
          <w:szCs w:val="22"/>
          <w14:ligatures w14:val="standardContextual"/>
        </w:rPr>
        <w:t xml:space="preserve">more </w:t>
      </w:r>
      <w:r w:rsidRPr="005F7253">
        <w:rPr>
          <w:rFonts w:ascii="Aptos" w:eastAsia="Aptos" w:hAnsi="Aptos" w:cs="Arial"/>
          <w:kern w:val="2"/>
          <w:sz w:val="22"/>
          <w:szCs w:val="22"/>
          <w14:ligatures w14:val="standardContextual"/>
        </w:rPr>
        <w:t xml:space="preserve">than the global average. Growth over the last five years has been modest, which is not surprising considering the level is already high. </w:t>
      </w:r>
    </w:p>
    <w:p w14:paraId="2AD2F781" w14:textId="0C4CAC70" w:rsidR="0027560D" w:rsidRPr="003D0AEA" w:rsidRDefault="00B732E8"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As for Internet use, there were more women than men owning a pho</w:t>
      </w:r>
      <w:r w:rsidR="004045B2">
        <w:rPr>
          <w:rFonts w:ascii="Aptos" w:eastAsia="Aptos" w:hAnsi="Aptos" w:cs="Arial"/>
          <w:kern w:val="2"/>
          <w:sz w:val="22"/>
          <w:szCs w:val="22"/>
          <w14:ligatures w14:val="standardContextual"/>
        </w:rPr>
        <w:t>ne</w:t>
      </w:r>
      <w:r>
        <w:rPr>
          <w:rFonts w:ascii="Aptos" w:eastAsia="Aptos" w:hAnsi="Aptos" w:cs="Arial"/>
          <w:kern w:val="2"/>
          <w:sz w:val="22"/>
          <w:szCs w:val="22"/>
          <w14:ligatures w14:val="standardContextual"/>
        </w:rPr>
        <w:t xml:space="preserve"> in the region, leading to a </w:t>
      </w:r>
      <w:r w:rsidR="004045B2">
        <w:rPr>
          <w:rFonts w:ascii="Aptos" w:eastAsia="Aptos" w:hAnsi="Aptos" w:cs="Arial"/>
          <w:kern w:val="2"/>
          <w:sz w:val="22"/>
          <w:szCs w:val="22"/>
          <w14:ligatures w14:val="standardContextual"/>
        </w:rPr>
        <w:t xml:space="preserve">gender parity score of </w:t>
      </w:r>
      <w:r w:rsidR="00DF39C7">
        <w:rPr>
          <w:rFonts w:ascii="Aptos" w:eastAsia="Aptos" w:hAnsi="Aptos" w:cs="Arial"/>
          <w:kern w:val="2"/>
          <w:sz w:val="22"/>
          <w:szCs w:val="22"/>
          <w14:ligatures w14:val="standardContextual"/>
        </w:rPr>
        <w:t>1.01</w:t>
      </w:r>
      <w:r w:rsidR="00320252">
        <w:rPr>
          <w:rFonts w:ascii="Aptos" w:eastAsia="Aptos" w:hAnsi="Aptos" w:cs="Arial"/>
          <w:kern w:val="2"/>
          <w:sz w:val="22"/>
          <w:szCs w:val="22"/>
          <w14:ligatures w14:val="standardContextual"/>
        </w:rPr>
        <w:t xml:space="preserve">, up from 0.99 in 2021. </w:t>
      </w:r>
      <w:r w:rsidRPr="005F7253">
        <w:rPr>
          <w:rFonts w:ascii="Aptos" w:eastAsia="Aptos" w:hAnsi="Aptos" w:cs="Arial"/>
          <w:kern w:val="2"/>
          <w:sz w:val="22"/>
          <w:szCs w:val="22"/>
          <w14:ligatures w14:val="standardContextual"/>
        </w:rPr>
        <w:t xml:space="preserve">During the same period, the global GPS </w:t>
      </w:r>
      <w:r>
        <w:rPr>
          <w:rFonts w:ascii="Aptos" w:eastAsia="Aptos" w:hAnsi="Aptos" w:cs="Arial"/>
          <w:kern w:val="2"/>
          <w:sz w:val="22"/>
          <w:szCs w:val="22"/>
          <w14:ligatures w14:val="standardContextual"/>
        </w:rPr>
        <w:t xml:space="preserve">also </w:t>
      </w:r>
      <w:r w:rsidRPr="005F7253">
        <w:rPr>
          <w:rFonts w:ascii="Aptos" w:eastAsia="Aptos" w:hAnsi="Aptos" w:cs="Arial"/>
          <w:kern w:val="2"/>
          <w:sz w:val="22"/>
          <w:szCs w:val="22"/>
          <w14:ligatures w14:val="standardContextual"/>
        </w:rPr>
        <w:t>improved slightly, from 0.91 to 0.93.</w:t>
      </w:r>
    </w:p>
    <w:p w14:paraId="58AD5113" w14:textId="1A9AE8C2"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lastRenderedPageBreak/>
        <w:t xml:space="preserve">Percentage of individuals owning a mobile phone, </w:t>
      </w:r>
      <w:r w:rsidR="00CD1E50" w:rsidRPr="003D0AEA">
        <w:rPr>
          <w:rFonts w:ascii="AvenirNext LT Pro Light" w:eastAsia="Yu Gothic Light" w:hAnsi="AvenirNext LT Pro Light" w:cs="Calibri"/>
          <w:color w:val="0070C0"/>
          <w:spacing w:val="-10"/>
          <w:kern w:val="28"/>
          <w:szCs w:val="24"/>
        </w:rPr>
        <w:t xml:space="preserve">2023 or </w:t>
      </w:r>
      <w:r w:rsidRPr="003D0AEA">
        <w:rPr>
          <w:rFonts w:ascii="AvenirNext LT Pro Light" w:eastAsia="Yu Gothic Light" w:hAnsi="AvenirNext LT Pro Light" w:cs="Calibri"/>
          <w:color w:val="0070C0"/>
          <w:spacing w:val="-10"/>
          <w:kern w:val="28"/>
          <w:szCs w:val="24"/>
        </w:rPr>
        <w:t>latest year available</w:t>
      </w:r>
    </w:p>
    <w:p w14:paraId="7A43C988" w14:textId="499195DB" w:rsidR="006C41B5" w:rsidRPr="003D0AEA" w:rsidRDefault="00C85A96" w:rsidP="00B1004A">
      <w:pPr>
        <w:pStyle w:val="notetext"/>
      </w:pPr>
      <w:r>
        <w:rPr>
          <w:noProof/>
        </w:rPr>
        <w:drawing>
          <wp:inline distT="0" distB="0" distL="0" distR="0" wp14:anchorId="2A5750F8" wp14:editId="72C9FA3B">
            <wp:extent cx="6120765" cy="3216275"/>
            <wp:effectExtent l="0" t="0" r="0" b="3175"/>
            <wp:docPr id="3989619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61965" name=""/>
                    <pic:cNvPicPr/>
                  </pic:nvPicPr>
                  <pic:blipFill>
                    <a:blip r:embed="rId82">
                      <a:extLst>
                        <a:ext uri="{96DAC541-7B7A-43D3-8B79-37D633B846F1}">
                          <asvg:svgBlip xmlns:asvg="http://schemas.microsoft.com/office/drawing/2016/SVG/main" r:embed="rId83"/>
                        </a:ext>
                      </a:extLst>
                    </a:blip>
                    <a:stretch>
                      <a:fillRect/>
                    </a:stretch>
                  </pic:blipFill>
                  <pic:spPr>
                    <a:xfrm>
                      <a:off x="0" y="0"/>
                      <a:ext cx="6120765" cy="3216275"/>
                    </a:xfrm>
                    <a:prstGeom prst="rect">
                      <a:avLst/>
                    </a:prstGeom>
                  </pic:spPr>
                </pic:pic>
              </a:graphicData>
            </a:graphic>
          </wp:inline>
        </w:drawing>
      </w:r>
      <w:r w:rsidRPr="003D0AEA">
        <w:t xml:space="preserve"> </w:t>
      </w:r>
      <w:r w:rsidR="006C41B5" w:rsidRPr="003D0AEA">
        <w:t>Notes: Individuals aged 10 and older.</w:t>
      </w:r>
      <w:r w:rsidR="0010721E" w:rsidRPr="0010721E">
        <w:t xml:space="preserve"> Country submitted are in a darker shade, non-official data in a lighter shade.</w:t>
      </w:r>
    </w:p>
    <w:p w14:paraId="15977200" w14:textId="77777777" w:rsidR="006C41B5" w:rsidRPr="00F17A53" w:rsidRDefault="006C41B5" w:rsidP="00B1004A">
      <w:pPr>
        <w:pStyle w:val="Sourcetext"/>
      </w:pPr>
      <w:r w:rsidRPr="00F17A53">
        <w:t>Source: ITU</w:t>
      </w:r>
    </w:p>
    <w:p w14:paraId="4448EB4C" w14:textId="668731F9" w:rsidR="00F05E1F" w:rsidRPr="00DA5AB0" w:rsidRDefault="00CA6130"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DA5AB0">
        <w:rPr>
          <w:rFonts w:ascii="Aptos" w:eastAsia="Aptos" w:hAnsi="Aptos" w:cs="Arial"/>
          <w:kern w:val="2"/>
          <w:sz w:val="22"/>
          <w:szCs w:val="22"/>
          <w14:ligatures w14:val="standardContextual"/>
        </w:rPr>
        <w:t>In 25 out of 33 countries</w:t>
      </w:r>
      <w:r w:rsidR="00DA5AB0" w:rsidRPr="00DA5AB0">
        <w:rPr>
          <w:rFonts w:ascii="Aptos" w:eastAsia="Aptos" w:hAnsi="Aptos" w:cs="Arial"/>
          <w:kern w:val="2"/>
          <w:sz w:val="22"/>
          <w:szCs w:val="22"/>
          <w14:ligatures w14:val="standardContextual"/>
        </w:rPr>
        <w:t>,</w:t>
      </w:r>
      <w:r w:rsidR="00DA5AB0">
        <w:rPr>
          <w:rFonts w:ascii="Aptos" w:eastAsia="Aptos" w:hAnsi="Aptos" w:cs="Arial"/>
          <w:kern w:val="2"/>
          <w:sz w:val="22"/>
          <w:szCs w:val="22"/>
          <w14:ligatures w14:val="standardContextual"/>
        </w:rPr>
        <w:t xml:space="preserve"> mobile phone ownership was above 80 per cent of the population</w:t>
      </w:r>
    </w:p>
    <w:p w14:paraId="759B6A12" w14:textId="77777777" w:rsidR="006C55CB" w:rsidRPr="00F17A53" w:rsidRDefault="006C55CB">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F17A53">
        <w:rPr>
          <w:rFonts w:ascii="AvenirNext LT Pro Light" w:eastAsia="Yu Gothic Light" w:hAnsi="AvenirNext LT Pro Light" w:cs="Calibri"/>
          <w:color w:val="0070C0"/>
          <w:spacing w:val="-10"/>
          <w:kern w:val="28"/>
          <w:szCs w:val="24"/>
        </w:rPr>
        <w:br w:type="page"/>
      </w:r>
    </w:p>
    <w:p w14:paraId="3BAAD768" w14:textId="56F44F84" w:rsidR="006C41B5" w:rsidRPr="00563970" w:rsidRDefault="006C41B5" w:rsidP="00D45A74">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63970">
        <w:rPr>
          <w:rFonts w:ascii="AvenirNext LT Pro Light" w:eastAsia="Yu Gothic Light" w:hAnsi="AvenirNext LT Pro Light" w:cs="Calibri"/>
          <w:color w:val="0070C0"/>
          <w:spacing w:val="-10"/>
          <w:kern w:val="28"/>
          <w:szCs w:val="24"/>
        </w:rPr>
        <w:lastRenderedPageBreak/>
        <w:t>Mobile-cellular subscriptions per 100 inhabitants</w:t>
      </w:r>
    </w:p>
    <w:p w14:paraId="73CB7473" w14:textId="4058F630" w:rsidR="000018FC" w:rsidRPr="00563970" w:rsidRDefault="00903DC0"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Pr>
          <w:noProof/>
        </w:rPr>
        <w:drawing>
          <wp:inline distT="0" distB="0" distL="0" distR="0" wp14:anchorId="2FE964A2" wp14:editId="0A2AB15E">
            <wp:extent cx="6120765" cy="2702560"/>
            <wp:effectExtent l="0" t="0" r="0" b="2540"/>
            <wp:docPr id="295276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7684" name=""/>
                    <pic:cNvPicPr/>
                  </pic:nvPicPr>
                  <pic:blipFill>
                    <a:blip r:embed="rId84">
                      <a:extLst>
                        <a:ext uri="{96DAC541-7B7A-43D3-8B79-37D633B846F1}">
                          <asvg:svgBlip xmlns:asvg="http://schemas.microsoft.com/office/drawing/2016/SVG/main" r:embed="rId85"/>
                        </a:ext>
                      </a:extLst>
                    </a:blip>
                    <a:stretch>
                      <a:fillRect/>
                    </a:stretch>
                  </pic:blipFill>
                  <pic:spPr>
                    <a:xfrm>
                      <a:off x="0" y="0"/>
                      <a:ext cx="6120765" cy="2702560"/>
                    </a:xfrm>
                    <a:prstGeom prst="rect">
                      <a:avLst/>
                    </a:prstGeom>
                  </pic:spPr>
                </pic:pic>
              </a:graphicData>
            </a:graphic>
          </wp:inline>
        </w:drawing>
      </w:r>
    </w:p>
    <w:p w14:paraId="2416908B" w14:textId="23C32D28" w:rsidR="006C41B5" w:rsidRPr="003D0AEA" w:rsidRDefault="006C41B5" w:rsidP="00B1004A">
      <w:pPr>
        <w:pStyle w:val="Sourcetext"/>
      </w:pPr>
      <w:r w:rsidRPr="003D0AEA">
        <w:t>Source: ITU</w:t>
      </w:r>
    </w:p>
    <w:p w14:paraId="66411CB0" w14:textId="6E8D6E45" w:rsidR="006C55CB" w:rsidRDefault="006C55CB" w:rsidP="006C55C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B5163E">
        <w:rPr>
          <w:rFonts w:ascii="Aptos" w:eastAsia="Aptos" w:hAnsi="Aptos" w:cs="Arial"/>
          <w:kern w:val="2"/>
          <w:sz w:val="22"/>
          <w:szCs w:val="22"/>
          <w14:ligatures w14:val="standardContextual"/>
        </w:rPr>
        <w:t xml:space="preserve">To use a mobile phone, a mobile-cellular or mobile broadband subscription is needed. In </w:t>
      </w:r>
      <w:r>
        <w:rPr>
          <w:rFonts w:ascii="Aptos" w:eastAsia="Aptos" w:hAnsi="Aptos" w:cs="Arial"/>
          <w:kern w:val="2"/>
          <w:sz w:val="22"/>
          <w:szCs w:val="22"/>
          <w14:ligatures w14:val="standardContextual"/>
        </w:rPr>
        <w:t>the Americas</w:t>
      </w:r>
      <w:r w:rsidRPr="00B5163E">
        <w:rPr>
          <w:rFonts w:ascii="Aptos" w:eastAsia="Aptos" w:hAnsi="Aptos" w:cs="Arial"/>
          <w:kern w:val="2"/>
          <w:sz w:val="22"/>
          <w:szCs w:val="22"/>
          <w14:ligatures w14:val="standardContextual"/>
        </w:rPr>
        <w:t>, there were 1</w:t>
      </w:r>
      <w:r>
        <w:rPr>
          <w:rFonts w:ascii="Aptos" w:eastAsia="Aptos" w:hAnsi="Aptos" w:cs="Arial"/>
          <w:kern w:val="2"/>
          <w:sz w:val="22"/>
          <w:szCs w:val="22"/>
          <w14:ligatures w14:val="standardContextual"/>
        </w:rPr>
        <w:t>1</w:t>
      </w:r>
      <w:r w:rsidR="00A3353E">
        <w:rPr>
          <w:rFonts w:ascii="Aptos" w:eastAsia="Aptos" w:hAnsi="Aptos" w:cs="Arial"/>
          <w:kern w:val="2"/>
          <w:sz w:val="22"/>
          <w:szCs w:val="22"/>
          <w14:ligatures w14:val="standardContextual"/>
        </w:rPr>
        <w:t>4</w:t>
      </w:r>
      <w:r w:rsidRPr="00B5163E">
        <w:rPr>
          <w:rFonts w:ascii="Aptos" w:eastAsia="Aptos" w:hAnsi="Aptos" w:cs="Arial"/>
          <w:kern w:val="2"/>
          <w:sz w:val="22"/>
          <w:szCs w:val="22"/>
          <w14:ligatures w14:val="standardContextual"/>
        </w:rPr>
        <w:t xml:space="preserve"> subscriptions per 100 inhabitants in 2024, </w:t>
      </w:r>
      <w:r w:rsidR="00A3353E">
        <w:rPr>
          <w:rFonts w:ascii="Aptos" w:eastAsia="Aptos" w:hAnsi="Aptos" w:cs="Arial"/>
          <w:kern w:val="2"/>
          <w:sz w:val="22"/>
          <w:szCs w:val="22"/>
          <w14:ligatures w14:val="standardContextual"/>
        </w:rPr>
        <w:t xml:space="preserve">two more than </w:t>
      </w:r>
      <w:r>
        <w:rPr>
          <w:rFonts w:ascii="Aptos" w:eastAsia="Aptos" w:hAnsi="Aptos" w:cs="Arial"/>
          <w:kern w:val="2"/>
          <w:sz w:val="22"/>
          <w:szCs w:val="22"/>
          <w14:ligatures w14:val="standardContextual"/>
        </w:rPr>
        <w:t xml:space="preserve">the </w:t>
      </w:r>
      <w:r w:rsidRPr="00B5163E">
        <w:rPr>
          <w:rFonts w:ascii="Aptos" w:eastAsia="Aptos" w:hAnsi="Aptos" w:cs="Arial"/>
          <w:kern w:val="2"/>
          <w:sz w:val="22"/>
          <w:szCs w:val="22"/>
          <w14:ligatures w14:val="standardContextual"/>
        </w:rPr>
        <w:t>global average. This indicator is</w:t>
      </w:r>
      <w:r>
        <w:rPr>
          <w:rFonts w:ascii="Aptos" w:eastAsia="Aptos" w:hAnsi="Aptos" w:cs="Arial"/>
          <w:kern w:val="2"/>
          <w:sz w:val="22"/>
          <w:szCs w:val="22"/>
          <w14:ligatures w14:val="standardContextual"/>
        </w:rPr>
        <w:t xml:space="preserve"> starting to</w:t>
      </w:r>
      <w:r w:rsidRPr="00B5163E">
        <w:rPr>
          <w:rFonts w:ascii="Aptos" w:eastAsia="Aptos" w:hAnsi="Aptos" w:cs="Arial"/>
          <w:kern w:val="2"/>
          <w:sz w:val="22"/>
          <w:szCs w:val="22"/>
          <w14:ligatures w14:val="standardContextual"/>
        </w:rPr>
        <w:t xml:space="preserve"> plateau, as it has </w:t>
      </w:r>
      <w:r w:rsidR="00372B1E">
        <w:rPr>
          <w:rFonts w:ascii="Aptos" w:eastAsia="Aptos" w:hAnsi="Aptos" w:cs="Arial"/>
          <w:kern w:val="2"/>
          <w:sz w:val="22"/>
          <w:szCs w:val="22"/>
          <w14:ligatures w14:val="standardContextual"/>
        </w:rPr>
        <w:t>hardly moved in the last ten years</w:t>
      </w:r>
      <w:r w:rsidR="00283D07">
        <w:rPr>
          <w:rFonts w:ascii="Aptos" w:eastAsia="Aptos" w:hAnsi="Aptos" w:cs="Arial"/>
          <w:kern w:val="2"/>
          <w:sz w:val="22"/>
          <w:szCs w:val="22"/>
          <w14:ligatures w14:val="standardContextual"/>
        </w:rPr>
        <w:t>.</w:t>
      </w:r>
    </w:p>
    <w:p w14:paraId="6AF6785B" w14:textId="00F885E4" w:rsidR="006C55CB" w:rsidRDefault="006C55CB" w:rsidP="006C55CB">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 xml:space="preserve">At the country level though, there was still a significant gap between the economies with least and most subscriptions per 100 inhabitants, at </w:t>
      </w:r>
      <w:r w:rsidR="00931455">
        <w:rPr>
          <w:rFonts w:ascii="Aptos" w:eastAsia="Aptos" w:hAnsi="Aptos" w:cs="Arial"/>
          <w:kern w:val="2"/>
          <w:sz w:val="22"/>
          <w:szCs w:val="22"/>
          <w14:ligatures w14:val="standardContextual"/>
        </w:rPr>
        <w:t>65</w:t>
      </w:r>
      <w:r>
        <w:rPr>
          <w:rFonts w:ascii="Aptos" w:eastAsia="Aptos" w:hAnsi="Aptos" w:cs="Arial"/>
          <w:kern w:val="2"/>
          <w:sz w:val="22"/>
          <w:szCs w:val="22"/>
          <w14:ligatures w14:val="standardContextual"/>
        </w:rPr>
        <w:t xml:space="preserve"> and </w:t>
      </w:r>
      <w:r w:rsidR="00931455">
        <w:rPr>
          <w:rFonts w:ascii="Aptos" w:eastAsia="Aptos" w:hAnsi="Aptos" w:cs="Arial"/>
          <w:kern w:val="2"/>
          <w:sz w:val="22"/>
          <w:szCs w:val="22"/>
          <w14:ligatures w14:val="standardContextual"/>
        </w:rPr>
        <w:t xml:space="preserve">201 </w:t>
      </w:r>
      <w:r>
        <w:rPr>
          <w:rFonts w:ascii="Aptos" w:eastAsia="Aptos" w:hAnsi="Aptos" w:cs="Arial"/>
          <w:kern w:val="2"/>
          <w:sz w:val="22"/>
          <w:szCs w:val="22"/>
          <w14:ligatures w14:val="standardContextual"/>
        </w:rPr>
        <w:t xml:space="preserve">respectively. </w:t>
      </w:r>
    </w:p>
    <w:p w14:paraId="5F3A7413" w14:textId="3CEE446D"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t xml:space="preserve">Mobile-cellular subscriptions per 100 inhabitants, </w:t>
      </w:r>
      <w:r w:rsidR="007B7825" w:rsidRPr="003D0AEA">
        <w:rPr>
          <w:rFonts w:ascii="AvenirNext LT Pro Light" w:eastAsia="Yu Gothic Light" w:hAnsi="AvenirNext LT Pro Light" w:cs="Calibri"/>
          <w:color w:val="0070C0"/>
          <w:spacing w:val="-10"/>
          <w:kern w:val="28"/>
          <w:szCs w:val="24"/>
        </w:rPr>
        <w:t xml:space="preserve">2023 or </w:t>
      </w:r>
      <w:r w:rsidRPr="003D0AEA">
        <w:rPr>
          <w:rFonts w:ascii="AvenirNext LT Pro Light" w:eastAsia="Yu Gothic Light" w:hAnsi="AvenirNext LT Pro Light" w:cs="Calibri"/>
          <w:color w:val="0070C0"/>
          <w:spacing w:val="-10"/>
          <w:kern w:val="28"/>
          <w:szCs w:val="24"/>
        </w:rPr>
        <w:t>latest year available</w:t>
      </w:r>
    </w:p>
    <w:p w14:paraId="46B425CA" w14:textId="24581DE1" w:rsidR="00B44534" w:rsidRPr="003D0AEA" w:rsidRDefault="00B44534" w:rsidP="00B44534">
      <w:pPr>
        <w:pStyle w:val="notetext"/>
      </w:pPr>
      <w:r>
        <w:rPr>
          <w:noProof/>
        </w:rPr>
        <w:drawing>
          <wp:inline distT="0" distB="0" distL="0" distR="0" wp14:anchorId="7694C568" wp14:editId="08B8ABB8">
            <wp:extent cx="6120765" cy="3022600"/>
            <wp:effectExtent l="0" t="0" r="0" b="6350"/>
            <wp:docPr id="15146323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2390" name=""/>
                    <pic:cNvPicPr/>
                  </pic:nvPicPr>
                  <pic:blipFill>
                    <a:blip r:embed="rId86">
                      <a:extLst>
                        <a:ext uri="{96DAC541-7B7A-43D3-8B79-37D633B846F1}">
                          <asvg:svgBlip xmlns:asvg="http://schemas.microsoft.com/office/drawing/2016/SVG/main" r:embed="rId87"/>
                        </a:ext>
                      </a:extLst>
                    </a:blip>
                    <a:stretch>
                      <a:fillRect/>
                    </a:stretch>
                  </pic:blipFill>
                  <pic:spPr>
                    <a:xfrm>
                      <a:off x="0" y="0"/>
                      <a:ext cx="6120765" cy="3022600"/>
                    </a:xfrm>
                    <a:prstGeom prst="rect">
                      <a:avLst/>
                    </a:prstGeom>
                  </pic:spPr>
                </pic:pic>
              </a:graphicData>
            </a:graphic>
          </wp:inline>
        </w:drawing>
      </w:r>
      <w:r w:rsidRPr="00B44534">
        <w:t xml:space="preserve"> </w:t>
      </w:r>
      <w:r w:rsidRPr="003D0AEA">
        <w:t>Notes:</w:t>
      </w:r>
      <w:r w:rsidRPr="0010721E">
        <w:t xml:space="preserve"> Country submitted are in a darker shade, non-official data in a lighter shade.</w:t>
      </w:r>
    </w:p>
    <w:p w14:paraId="3F83E9A8" w14:textId="081A93AC" w:rsidR="006C41B5" w:rsidRPr="003D0AEA" w:rsidRDefault="006C41B5" w:rsidP="00B1004A">
      <w:pPr>
        <w:pStyle w:val="Sourcetext"/>
      </w:pPr>
      <w:r w:rsidRPr="003D0AEA">
        <w:t>Source: ITU</w:t>
      </w:r>
    </w:p>
    <w:p w14:paraId="36AA0DFA" w14:textId="77777777" w:rsidR="006C41B5" w:rsidRPr="003D0AEA" w:rsidRDefault="006C41B5"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3D0AEA">
        <w:rPr>
          <w:rFonts w:ascii="Aptos" w:eastAsia="Aptos" w:hAnsi="Aptos" w:cs="Arial"/>
          <w:kern w:val="2"/>
          <w:sz w:val="16"/>
          <w:szCs w:val="28"/>
          <w14:ligatures w14:val="standardContextual"/>
        </w:rPr>
        <w:br w:type="page"/>
      </w:r>
    </w:p>
    <w:p w14:paraId="34E6FA60" w14:textId="77777777" w:rsidR="006C41B5" w:rsidRPr="003D0AEA" w:rsidRDefault="006C41B5" w:rsidP="00DA1CD8">
      <w:pPr>
        <w:pStyle w:val="Section"/>
      </w:pPr>
      <w:bookmarkStart w:id="17" w:name="_Toc190883391"/>
      <w:r w:rsidRPr="003D0AEA">
        <w:lastRenderedPageBreak/>
        <w:t>ICT skills</w:t>
      </w:r>
      <w:bookmarkEnd w:id="17"/>
    </w:p>
    <w:p w14:paraId="4801E242" w14:textId="37A3B2D9" w:rsidR="00EC69A2" w:rsidRDefault="007B10E6"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7B10E6">
        <w:rPr>
          <w:rFonts w:ascii="Aptos" w:eastAsia="Aptos" w:hAnsi="Aptos" w:cs="Arial"/>
          <w:b/>
          <w:bCs/>
          <w:i/>
          <w:iCs/>
          <w:kern w:val="2"/>
          <w:sz w:val="22"/>
          <w:szCs w:val="22"/>
          <w14:ligatures w14:val="standardContextual"/>
        </w:rPr>
        <w:t>A wide gap in ICT skills leaves many users unable to fully benefit from digital opportunities</w:t>
      </w:r>
    </w:p>
    <w:p w14:paraId="15E5C6D1" w14:textId="77777777" w:rsidR="00D50388" w:rsidRPr="00FE0BDD"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FE0BDD">
        <w:rPr>
          <w:rFonts w:ascii="Aptos" w:eastAsia="Aptos" w:hAnsi="Aptos" w:cs="Arial"/>
          <w:kern w:val="2"/>
          <w:sz w:val="22"/>
          <w:szCs w:val="22"/>
          <w14:ligatures w14:val="standardContextual"/>
        </w:rPr>
        <w:t>Because self-reporting of individuals’ ICT skills is subjective, ICT skills are measured based on household surveys asking whether an individual has recently performed certain activities. Performing these activities presupposes a degree of proficiency in relevant digital skills. The activities are grouped into five areas: information and data literacy; communication and collaboration; digital content creation; safety; and problem solving.</w:t>
      </w:r>
    </w:p>
    <w:p w14:paraId="2B09060F" w14:textId="1825D0F3" w:rsidR="00D50388" w:rsidRPr="00FE0BDD"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82829">
        <w:rPr>
          <w:rFonts w:ascii="Aptos" w:eastAsia="Aptos" w:hAnsi="Aptos" w:cs="Arial"/>
          <w:kern w:val="2"/>
          <w:sz w:val="22"/>
          <w:szCs w:val="22"/>
          <w14:ligatures w14:val="standardContextual"/>
        </w:rPr>
        <w:t xml:space="preserve">While the importance of digital skills in leveraging ICTs for economic prosperity and social well-being is well-documented, data remain very scant, with only 13 countries in </w:t>
      </w:r>
      <w:r w:rsidR="002B7ACD">
        <w:rPr>
          <w:rFonts w:ascii="Aptos" w:eastAsia="Aptos" w:hAnsi="Aptos" w:cs="Arial"/>
          <w:kern w:val="2"/>
          <w:sz w:val="22"/>
          <w:szCs w:val="22"/>
          <w14:ligatures w14:val="standardContextual"/>
        </w:rPr>
        <w:t>the Americas</w:t>
      </w:r>
      <w:r w:rsidRPr="00282829">
        <w:rPr>
          <w:rFonts w:ascii="Aptos" w:eastAsia="Aptos" w:hAnsi="Aptos" w:cs="Arial"/>
          <w:kern w:val="2"/>
          <w:sz w:val="22"/>
          <w:szCs w:val="22"/>
          <w14:ligatures w14:val="standardContextual"/>
        </w:rPr>
        <w:t xml:space="preserve"> having submitted data since 2020. Even fewer – just 6 countries – provided (at least some) comparable data on ICT skill levels (see box for details on the methodology for calculating ICT skill levels).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9016"/>
      </w:tblGrid>
      <w:tr w:rsidR="00D50388" w:rsidRPr="00FE0BDD" w14:paraId="614B8AA4" w14:textId="77777777">
        <w:tc>
          <w:tcPr>
            <w:tcW w:w="9016" w:type="dxa"/>
            <w:shd w:val="clear" w:color="auto" w:fill="F2F2F2"/>
          </w:tcPr>
          <w:p w14:paraId="1AE4B286" w14:textId="77777777" w:rsidR="00D50388" w:rsidRPr="00FE0BDD" w:rsidRDefault="00D50388">
            <w:pPr>
              <w:tabs>
                <w:tab w:val="clear" w:pos="794"/>
                <w:tab w:val="clear" w:pos="1191"/>
                <w:tab w:val="clear" w:pos="1588"/>
                <w:tab w:val="clear" w:pos="1985"/>
              </w:tabs>
              <w:overflowPunct/>
              <w:autoSpaceDE/>
              <w:autoSpaceDN/>
              <w:adjustRightInd/>
              <w:spacing w:before="0"/>
              <w:textAlignment w:val="auto"/>
              <w:rPr>
                <w:rFonts w:ascii="Aptos" w:hAnsi="Aptos"/>
                <w:b/>
                <w:sz w:val="22"/>
              </w:rPr>
            </w:pPr>
            <w:r w:rsidRPr="00FE0BDD">
              <w:rPr>
                <w:rFonts w:ascii="Aptos" w:hAnsi="Aptos"/>
                <w:b/>
                <w:sz w:val="22"/>
              </w:rPr>
              <w:t>Methodology for calculating ICT skill levels</w:t>
            </w:r>
          </w:p>
          <w:p w14:paraId="52A1771A" w14:textId="77777777" w:rsidR="00D50388" w:rsidRPr="00FE0BDD" w:rsidRDefault="00D50388">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FE0BDD">
              <w:rPr>
                <w:rFonts w:ascii="Aptos" w:hAnsi="Aptos"/>
                <w:sz w:val="22"/>
              </w:rPr>
              <w:t>At its 11</w:t>
            </w:r>
            <w:r w:rsidRPr="00FE0BDD">
              <w:rPr>
                <w:rFonts w:ascii="Aptos" w:hAnsi="Aptos"/>
                <w:sz w:val="22"/>
                <w:vertAlign w:val="superscript"/>
              </w:rPr>
              <w:t>th</w:t>
            </w:r>
            <w:r w:rsidRPr="00FE0BDD">
              <w:rPr>
                <w:rFonts w:ascii="Aptos" w:hAnsi="Aptos"/>
                <w:sz w:val="22"/>
              </w:rPr>
              <w:t xml:space="preserve"> meeting in September 2023, ITU’s Expert Group on ICT Household Indicators (EGH) </w:t>
            </w:r>
            <w:hyperlink r:id="rId88">
              <w:r w:rsidRPr="00FE0BDD">
                <w:rPr>
                  <w:rFonts w:ascii="Aptos" w:hAnsi="Aptos"/>
                  <w:color w:val="467886"/>
                  <w:sz w:val="22"/>
                  <w:u w:val="single"/>
                </w:rPr>
                <w:t>recommended changes</w:t>
              </w:r>
            </w:hyperlink>
            <w:r w:rsidRPr="00FE0BDD">
              <w:rPr>
                <w:rFonts w:ascii="Aptos" w:hAnsi="Aptos"/>
                <w:sz w:val="22"/>
              </w:rPr>
              <w:t xml:space="preserve"> in how data on ICT skill levels are reported – most importantly, that skill levels of individuals should be assessed for different areas. </w:t>
            </w:r>
          </w:p>
          <w:p w14:paraId="1762F1AC" w14:textId="77777777" w:rsidR="00D50388" w:rsidRPr="00FE0BDD" w:rsidRDefault="00D50388">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49DE0310" w14:textId="77777777" w:rsidR="00D50388" w:rsidRPr="00FE0BDD" w:rsidRDefault="00D50388">
            <w:pPr>
              <w:tabs>
                <w:tab w:val="clear" w:pos="794"/>
                <w:tab w:val="clear" w:pos="1191"/>
                <w:tab w:val="clear" w:pos="1588"/>
                <w:tab w:val="clear" w:pos="1985"/>
              </w:tabs>
              <w:overflowPunct/>
              <w:autoSpaceDE/>
              <w:autoSpaceDN/>
              <w:adjustRightInd/>
              <w:spacing w:before="0"/>
              <w:ind w:left="284"/>
              <w:textAlignment w:val="auto"/>
              <w:rPr>
                <w:rFonts w:ascii="Aptos" w:hAnsi="Aptos"/>
                <w:i/>
                <w:sz w:val="22"/>
              </w:rPr>
            </w:pPr>
            <w:r w:rsidRPr="00FE0BDD">
              <w:rPr>
                <w:rFonts w:ascii="Aptos" w:hAnsi="Aptos"/>
                <w:i/>
                <w:sz w:val="22"/>
              </w:rPr>
              <w:t>Individuals should be assessed on the number of activities within a skill area they report having done in the last three months using the following progression:</w:t>
            </w:r>
          </w:p>
          <w:p w14:paraId="652863C3" w14:textId="77777777" w:rsidR="00D50388" w:rsidRPr="00FE0BDD" w:rsidRDefault="00D50388">
            <w:pPr>
              <w:tabs>
                <w:tab w:val="clear" w:pos="794"/>
                <w:tab w:val="clear" w:pos="1191"/>
                <w:tab w:val="clear" w:pos="1588"/>
                <w:tab w:val="clear" w:pos="1985"/>
              </w:tabs>
              <w:overflowPunct/>
              <w:autoSpaceDE/>
              <w:autoSpaceDN/>
              <w:adjustRightInd/>
              <w:spacing w:before="0"/>
              <w:textAlignment w:val="auto"/>
              <w:rPr>
                <w:rFonts w:ascii="Aptos" w:hAnsi="Aptos"/>
                <w:i/>
                <w:sz w:val="22"/>
              </w:rPr>
            </w:pPr>
          </w:p>
          <w:tbl>
            <w:tblPr>
              <w:tblStyle w:val="GridTable2-Accent11"/>
              <w:tblW w:w="0" w:type="auto"/>
              <w:tblInd w:w="612" w:type="dxa"/>
              <w:tblLook w:val="04A0" w:firstRow="1" w:lastRow="0" w:firstColumn="1" w:lastColumn="0" w:noHBand="0" w:noVBand="1"/>
            </w:tblPr>
            <w:tblGrid>
              <w:gridCol w:w="1587"/>
              <w:gridCol w:w="1531"/>
              <w:gridCol w:w="2268"/>
            </w:tblGrid>
            <w:tr w:rsidR="00D50388" w:rsidRPr="00FE0BDD" w14:paraId="4973779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59881FB5" w14:textId="77777777" w:rsidR="00D50388" w:rsidRPr="00FE0BDD" w:rsidRDefault="00D50388">
                  <w:pPr>
                    <w:tabs>
                      <w:tab w:val="clear" w:pos="794"/>
                      <w:tab w:val="clear" w:pos="1191"/>
                      <w:tab w:val="clear" w:pos="1588"/>
                      <w:tab w:val="clear" w:pos="1985"/>
                    </w:tabs>
                    <w:overflowPunct/>
                    <w:autoSpaceDE/>
                    <w:autoSpaceDN/>
                    <w:adjustRightInd/>
                    <w:spacing w:before="0"/>
                    <w:contextualSpacing/>
                    <w:textAlignment w:val="auto"/>
                    <w:rPr>
                      <w:rFonts w:ascii="Aptos" w:hAnsi="Aptos"/>
                      <w:sz w:val="18"/>
                      <w:szCs w:val="18"/>
                    </w:rPr>
                  </w:pPr>
                  <w:r w:rsidRPr="00FE0BDD">
                    <w:rPr>
                      <w:rFonts w:ascii="Aptos" w:hAnsi="Aptos"/>
                      <w:sz w:val="18"/>
                      <w:szCs w:val="18"/>
                    </w:rPr>
                    <w:t>None</w:t>
                  </w:r>
                </w:p>
              </w:tc>
              <w:tc>
                <w:tcPr>
                  <w:tcW w:w="1531" w:type="dxa"/>
                </w:tcPr>
                <w:p w14:paraId="563543DC" w14:textId="77777777" w:rsidR="00D50388" w:rsidRPr="00FE0BDD" w:rsidRDefault="00D50388">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FE0BDD">
                    <w:rPr>
                      <w:rFonts w:ascii="Aptos" w:hAnsi="Aptos"/>
                      <w:sz w:val="18"/>
                      <w:szCs w:val="18"/>
                    </w:rPr>
                    <w:t>Basic</w:t>
                  </w:r>
                </w:p>
              </w:tc>
              <w:tc>
                <w:tcPr>
                  <w:tcW w:w="2268" w:type="dxa"/>
                </w:tcPr>
                <w:p w14:paraId="54793858" w14:textId="77777777" w:rsidR="00D50388" w:rsidRPr="00FE0BDD" w:rsidRDefault="00D50388">
                  <w:pPr>
                    <w:tabs>
                      <w:tab w:val="clear" w:pos="794"/>
                      <w:tab w:val="clear" w:pos="1191"/>
                      <w:tab w:val="clear" w:pos="1588"/>
                      <w:tab w:val="clear" w:pos="1985"/>
                    </w:tabs>
                    <w:overflowPunct/>
                    <w:autoSpaceDE/>
                    <w:autoSpaceDN/>
                    <w:adjustRightInd/>
                    <w:spacing w:before="0"/>
                    <w:contextualSpacing/>
                    <w:textAlignment w:val="auto"/>
                    <w:cnfStyle w:val="100000000000" w:firstRow="1" w:lastRow="0" w:firstColumn="0" w:lastColumn="0" w:oddVBand="0" w:evenVBand="0" w:oddHBand="0" w:evenHBand="0" w:firstRowFirstColumn="0" w:firstRowLastColumn="0" w:lastRowFirstColumn="0" w:lastRowLastColumn="0"/>
                    <w:rPr>
                      <w:rFonts w:ascii="Aptos" w:hAnsi="Aptos"/>
                      <w:sz w:val="18"/>
                      <w:szCs w:val="18"/>
                    </w:rPr>
                  </w:pPr>
                  <w:r w:rsidRPr="00FE0BDD">
                    <w:rPr>
                      <w:rFonts w:ascii="Aptos" w:hAnsi="Aptos"/>
                      <w:sz w:val="18"/>
                      <w:szCs w:val="18"/>
                    </w:rPr>
                    <w:t>Above basic</w:t>
                  </w:r>
                </w:p>
              </w:tc>
            </w:tr>
            <w:tr w:rsidR="00D50388" w:rsidRPr="00FE0BDD" w14:paraId="161642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7" w:type="dxa"/>
                </w:tcPr>
                <w:p w14:paraId="6DC08E3C" w14:textId="77777777" w:rsidR="00D50388" w:rsidRPr="00FE0BDD" w:rsidRDefault="00D50388">
                  <w:pPr>
                    <w:tabs>
                      <w:tab w:val="clear" w:pos="794"/>
                      <w:tab w:val="clear" w:pos="1191"/>
                      <w:tab w:val="clear" w:pos="1588"/>
                      <w:tab w:val="clear" w:pos="1985"/>
                    </w:tabs>
                    <w:overflowPunct/>
                    <w:autoSpaceDE/>
                    <w:autoSpaceDN/>
                    <w:adjustRightInd/>
                    <w:spacing w:before="0"/>
                    <w:contextualSpacing/>
                    <w:textAlignment w:val="auto"/>
                    <w:rPr>
                      <w:rFonts w:ascii="Aptos" w:hAnsi="Aptos"/>
                      <w:b w:val="0"/>
                      <w:bCs w:val="0"/>
                      <w:sz w:val="18"/>
                      <w:szCs w:val="18"/>
                    </w:rPr>
                  </w:pPr>
                  <w:r w:rsidRPr="00FE0BDD">
                    <w:rPr>
                      <w:rFonts w:ascii="Aptos" w:hAnsi="Aptos"/>
                      <w:b w:val="0"/>
                      <w:bCs w:val="0"/>
                      <w:sz w:val="18"/>
                      <w:szCs w:val="18"/>
                    </w:rPr>
                    <w:t>0 activities</w:t>
                  </w:r>
                </w:p>
              </w:tc>
              <w:tc>
                <w:tcPr>
                  <w:tcW w:w="1531" w:type="dxa"/>
                </w:tcPr>
                <w:p w14:paraId="0F1D8996" w14:textId="77777777" w:rsidR="00D50388" w:rsidRPr="00FE0BDD" w:rsidRDefault="00D50388">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FE0BDD">
                    <w:rPr>
                      <w:rFonts w:ascii="Aptos" w:hAnsi="Aptos"/>
                      <w:sz w:val="18"/>
                      <w:szCs w:val="18"/>
                    </w:rPr>
                    <w:t>1 activity</w:t>
                  </w:r>
                </w:p>
              </w:tc>
              <w:tc>
                <w:tcPr>
                  <w:tcW w:w="2268" w:type="dxa"/>
                </w:tcPr>
                <w:p w14:paraId="7B3407A5" w14:textId="77777777" w:rsidR="00D50388" w:rsidRPr="00FE0BDD" w:rsidRDefault="00D50388">
                  <w:pPr>
                    <w:tabs>
                      <w:tab w:val="clear" w:pos="794"/>
                      <w:tab w:val="clear" w:pos="1191"/>
                      <w:tab w:val="clear" w:pos="1588"/>
                      <w:tab w:val="clear" w:pos="1985"/>
                    </w:tabs>
                    <w:overflowPunct/>
                    <w:autoSpaceDE/>
                    <w:autoSpaceDN/>
                    <w:adjustRightInd/>
                    <w:spacing w:before="0"/>
                    <w:contextualSpacing/>
                    <w:textAlignment w:val="auto"/>
                    <w:cnfStyle w:val="000000100000" w:firstRow="0" w:lastRow="0" w:firstColumn="0" w:lastColumn="0" w:oddVBand="0" w:evenVBand="0" w:oddHBand="1" w:evenHBand="0" w:firstRowFirstColumn="0" w:firstRowLastColumn="0" w:lastRowFirstColumn="0" w:lastRowLastColumn="0"/>
                    <w:rPr>
                      <w:rFonts w:ascii="Aptos" w:hAnsi="Aptos"/>
                      <w:sz w:val="18"/>
                      <w:szCs w:val="18"/>
                    </w:rPr>
                  </w:pPr>
                  <w:r w:rsidRPr="00FE0BDD">
                    <w:rPr>
                      <w:rFonts w:ascii="Aptos" w:hAnsi="Aptos"/>
                      <w:sz w:val="18"/>
                      <w:szCs w:val="18"/>
                    </w:rPr>
                    <w:t>More than 1 activity</w:t>
                  </w:r>
                </w:p>
              </w:tc>
            </w:tr>
          </w:tbl>
          <w:p w14:paraId="6EF19390" w14:textId="77777777" w:rsidR="00D50388" w:rsidRPr="00FE0BDD" w:rsidRDefault="00D50388">
            <w:pPr>
              <w:tabs>
                <w:tab w:val="clear" w:pos="794"/>
                <w:tab w:val="clear" w:pos="1191"/>
                <w:tab w:val="clear" w:pos="1588"/>
                <w:tab w:val="clear" w:pos="1985"/>
              </w:tabs>
              <w:overflowPunct/>
              <w:autoSpaceDE/>
              <w:autoSpaceDN/>
              <w:adjustRightInd/>
              <w:spacing w:before="0"/>
              <w:ind w:left="1440"/>
              <w:contextualSpacing/>
              <w:textAlignment w:val="auto"/>
              <w:rPr>
                <w:rFonts w:ascii="Aptos" w:hAnsi="Aptos"/>
                <w:i/>
                <w:sz w:val="22"/>
              </w:rPr>
            </w:pPr>
          </w:p>
          <w:p w14:paraId="44B6F226" w14:textId="77777777" w:rsidR="00D50388" w:rsidRPr="00FE0BDD" w:rsidRDefault="00D50388">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FE0BDD">
              <w:rPr>
                <w:rFonts w:ascii="Aptos" w:hAnsi="Aptos"/>
                <w:i/>
                <w:sz w:val="22"/>
              </w:rPr>
              <w:t>Skill levels should not be assessed in skill areas where fewer than two indicators are collected.</w:t>
            </w:r>
          </w:p>
          <w:p w14:paraId="397478F1" w14:textId="77777777" w:rsidR="00D50388" w:rsidRPr="00FE0BDD" w:rsidRDefault="00D50388">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FE0BDD">
              <w:rPr>
                <w:rFonts w:ascii="Aptos" w:hAnsi="Aptos"/>
                <w:i/>
                <w:sz w:val="22"/>
              </w:rPr>
              <w:t>Indicators should be weighted equally within each skill area.</w:t>
            </w:r>
          </w:p>
          <w:p w14:paraId="445086EC" w14:textId="77777777" w:rsidR="00D50388" w:rsidRPr="00FE0BDD" w:rsidRDefault="00D50388">
            <w:pPr>
              <w:numPr>
                <w:ilvl w:val="0"/>
                <w:numId w:val="9"/>
              </w:numPr>
              <w:tabs>
                <w:tab w:val="clear" w:pos="794"/>
                <w:tab w:val="clear" w:pos="1191"/>
                <w:tab w:val="clear" w:pos="1588"/>
                <w:tab w:val="clear" w:pos="1985"/>
              </w:tabs>
              <w:overflowPunct/>
              <w:autoSpaceDE/>
              <w:autoSpaceDN/>
              <w:adjustRightInd/>
              <w:spacing w:before="0"/>
              <w:contextualSpacing/>
              <w:textAlignment w:val="auto"/>
              <w:rPr>
                <w:rFonts w:ascii="Aptos" w:hAnsi="Aptos"/>
                <w:i/>
                <w:sz w:val="22"/>
              </w:rPr>
            </w:pPr>
            <w:r w:rsidRPr="00FE0BDD">
              <w:rPr>
                <w:rFonts w:ascii="Aptos" w:hAnsi="Aptos"/>
                <w:i/>
                <w:sz w:val="22"/>
              </w:rPr>
              <w:t>Skill areas with different numbers of components should be treated equally.</w:t>
            </w:r>
          </w:p>
          <w:p w14:paraId="6054EF9D" w14:textId="77777777" w:rsidR="00D50388" w:rsidRPr="00FE0BDD" w:rsidRDefault="00D50388">
            <w:pPr>
              <w:tabs>
                <w:tab w:val="clear" w:pos="794"/>
                <w:tab w:val="clear" w:pos="1191"/>
                <w:tab w:val="clear" w:pos="1588"/>
                <w:tab w:val="clear" w:pos="1985"/>
              </w:tabs>
              <w:overflowPunct/>
              <w:autoSpaceDE/>
              <w:autoSpaceDN/>
              <w:adjustRightInd/>
              <w:spacing w:before="0"/>
              <w:textAlignment w:val="auto"/>
              <w:rPr>
                <w:rFonts w:ascii="Aptos" w:hAnsi="Aptos"/>
                <w:sz w:val="22"/>
              </w:rPr>
            </w:pPr>
          </w:p>
          <w:p w14:paraId="0682C1A5" w14:textId="2C6A64A3" w:rsidR="00D50388" w:rsidRPr="00FE0BDD" w:rsidRDefault="00D50388">
            <w:pPr>
              <w:tabs>
                <w:tab w:val="clear" w:pos="794"/>
                <w:tab w:val="clear" w:pos="1191"/>
                <w:tab w:val="clear" w:pos="1588"/>
                <w:tab w:val="clear" w:pos="1985"/>
              </w:tabs>
              <w:overflowPunct/>
              <w:autoSpaceDE/>
              <w:autoSpaceDN/>
              <w:adjustRightInd/>
              <w:spacing w:before="0"/>
              <w:textAlignment w:val="auto"/>
              <w:rPr>
                <w:rFonts w:ascii="Aptos" w:hAnsi="Aptos"/>
                <w:sz w:val="22"/>
              </w:rPr>
            </w:pPr>
            <w:r w:rsidRPr="00FE0BDD">
              <w:rPr>
                <w:rFonts w:ascii="Aptos" w:hAnsi="Aptos"/>
                <w:sz w:val="22"/>
              </w:rPr>
              <w:t xml:space="preserve">While this recommendation does not require any additional data collection, it does require that countries perform additional analysis on existing survey microdata. ITU requested data on ICT skills for the first time in its April 2024 data collection, and received data from 40 </w:t>
            </w:r>
            <w:r w:rsidRPr="00D26D39">
              <w:rPr>
                <w:rFonts w:ascii="Aptos" w:hAnsi="Aptos"/>
                <w:sz w:val="22"/>
              </w:rPr>
              <w:t xml:space="preserve">countries, including 6 countries in </w:t>
            </w:r>
            <w:r w:rsidR="00E96AF0">
              <w:rPr>
                <w:rFonts w:ascii="Aptos" w:hAnsi="Aptos"/>
                <w:sz w:val="22"/>
              </w:rPr>
              <w:t>the Americas</w:t>
            </w:r>
            <w:r w:rsidRPr="00D26D39">
              <w:rPr>
                <w:rFonts w:ascii="Aptos" w:hAnsi="Aptos"/>
                <w:sz w:val="22"/>
              </w:rPr>
              <w:t>. However</w:t>
            </w:r>
            <w:r w:rsidRPr="00FE0BDD">
              <w:rPr>
                <w:rFonts w:ascii="Aptos" w:hAnsi="Aptos"/>
                <w:sz w:val="22"/>
              </w:rPr>
              <w:t>, other countries were unable to provide data, even though in many cases data on the underlying activities had been collected. It is expected that data availability will improve as familiarity with these new recommendations increases.</w:t>
            </w:r>
          </w:p>
        </w:tc>
      </w:tr>
    </w:tbl>
    <w:p w14:paraId="58A8E7C4" w14:textId="77777777" w:rsidR="00D50388"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26FD778F" w14:textId="5746F81A" w:rsidR="00D50388"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142765">
        <w:rPr>
          <w:rFonts w:ascii="Aptos" w:eastAsia="Aptos" w:hAnsi="Aptos" w:cs="Arial"/>
          <w:kern w:val="2"/>
          <w:sz w:val="22"/>
          <w:szCs w:val="22"/>
          <w14:ligatures w14:val="standardContextual"/>
        </w:rPr>
        <w:t xml:space="preserve">ICT skills data goes beyond simple access and use of ICTs to provide a view of the capabilities of ICT users. Data on individuals in </w:t>
      </w:r>
      <w:r w:rsidR="00E96AF0">
        <w:rPr>
          <w:rFonts w:ascii="Aptos" w:eastAsia="Aptos" w:hAnsi="Aptos" w:cs="Arial"/>
          <w:kern w:val="2"/>
          <w:sz w:val="22"/>
          <w:szCs w:val="22"/>
          <w14:ligatures w14:val="standardContextual"/>
        </w:rPr>
        <w:t>the Americas</w:t>
      </w:r>
      <w:r w:rsidRPr="00142765">
        <w:rPr>
          <w:rFonts w:ascii="Aptos" w:eastAsia="Aptos" w:hAnsi="Aptos" w:cs="Arial"/>
          <w:kern w:val="2"/>
          <w:sz w:val="22"/>
          <w:szCs w:val="22"/>
          <w14:ligatures w14:val="standardContextual"/>
        </w:rPr>
        <w:t xml:space="preserve"> with different levels of ICT skills are shown below as a share of Internet users. These data demonstrate the substantial variation between countries in the level of ICT skills of those already using the Internet. They also show the areas where attention is needed to increase ICT skills.</w:t>
      </w:r>
    </w:p>
    <w:p w14:paraId="64E0784C" w14:textId="77777777" w:rsidR="00D50388"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p>
    <w:p w14:paraId="1273E32A" w14:textId="25C0BAC6" w:rsidR="00D50388" w:rsidRPr="005F7253" w:rsidRDefault="00D50388" w:rsidP="00D5038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lastRenderedPageBreak/>
        <w:t xml:space="preserve">Percentage of Internet users with ICT skills in </w:t>
      </w:r>
      <w:r w:rsidR="003E5BC4">
        <w:rPr>
          <w:rFonts w:ascii="AvenirNext LT Pro Light" w:eastAsia="Yu Gothic Light" w:hAnsi="AvenirNext LT Pro Light" w:cs="Calibri"/>
          <w:color w:val="0070C0"/>
          <w:spacing w:val="-10"/>
          <w:kern w:val="28"/>
          <w:szCs w:val="24"/>
        </w:rPr>
        <w:t>the Americas</w:t>
      </w:r>
      <w:r w:rsidRPr="005F7253">
        <w:rPr>
          <w:rFonts w:ascii="AvenirNext LT Pro Light" w:eastAsia="Yu Gothic Light" w:hAnsi="AvenirNext LT Pro Light" w:cs="Calibri"/>
          <w:color w:val="0070C0"/>
          <w:spacing w:val="-10"/>
          <w:kern w:val="28"/>
          <w:szCs w:val="24"/>
        </w:rPr>
        <w:t>, by skill level, 2023</w:t>
      </w:r>
      <w:r>
        <w:rPr>
          <w:rFonts w:ascii="AvenirNext LT Pro Light" w:eastAsia="Yu Gothic Light" w:hAnsi="AvenirNext LT Pro Light" w:cs="Calibri"/>
          <w:color w:val="0070C0"/>
          <w:spacing w:val="-10"/>
          <w:kern w:val="28"/>
          <w:szCs w:val="24"/>
        </w:rPr>
        <w:t xml:space="preserve"> or latest year available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50388" w:rsidRPr="005F7253" w14:paraId="38A0E21D" w14:textId="77777777" w:rsidTr="00E60040">
        <w:tc>
          <w:tcPr>
            <w:tcW w:w="4508" w:type="dxa"/>
          </w:tcPr>
          <w:p w14:paraId="02DE76C9" w14:textId="1855CB73" w:rsidR="00D50388" w:rsidRPr="005F7253" w:rsidRDefault="00D50388">
            <w:pPr>
              <w:tabs>
                <w:tab w:val="clear" w:pos="794"/>
                <w:tab w:val="clear" w:pos="1191"/>
                <w:tab w:val="clear" w:pos="1588"/>
                <w:tab w:val="clear" w:pos="1985"/>
              </w:tabs>
              <w:overflowPunct/>
              <w:autoSpaceDE/>
              <w:autoSpaceDN/>
              <w:adjustRightInd/>
              <w:spacing w:before="0"/>
              <w:jc w:val="center"/>
              <w:textAlignment w:val="auto"/>
              <w:rPr>
                <w:rFonts w:ascii="Aptos" w:hAnsi="Aptos"/>
                <w:sz w:val="22"/>
              </w:rPr>
            </w:pPr>
            <w:r w:rsidRPr="00FE534B">
              <w:rPr>
                <w:rFonts w:ascii="Aptos" w:hAnsi="Aptos"/>
                <w:b/>
                <w:sz w:val="22"/>
              </w:rPr>
              <w:t>Br</w:t>
            </w:r>
            <w:r w:rsidR="00775528">
              <w:rPr>
                <w:rFonts w:ascii="Aptos" w:hAnsi="Aptos"/>
                <w:b/>
                <w:sz w:val="22"/>
              </w:rPr>
              <w:t>azil</w:t>
            </w:r>
            <w:r>
              <w:rPr>
                <w:noProof/>
              </w:rPr>
              <w:t xml:space="preserve"> </w:t>
            </w:r>
            <w:r w:rsidR="00775528">
              <w:rPr>
                <w:noProof/>
              </w:rPr>
              <w:drawing>
                <wp:inline distT="0" distB="0" distL="0" distR="0" wp14:anchorId="4A9A54F6" wp14:editId="1DBA2CAC">
                  <wp:extent cx="2695575" cy="2733675"/>
                  <wp:effectExtent l="0" t="0" r="9525" b="9525"/>
                  <wp:docPr id="8098659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65914" name=""/>
                          <pic:cNvPicPr/>
                        </pic:nvPicPr>
                        <pic:blipFill>
                          <a:blip r:embed="rId89">
                            <a:extLst>
                              <a:ext uri="{96DAC541-7B7A-43D3-8B79-37D633B846F1}">
                                <asvg:svgBlip xmlns:asvg="http://schemas.microsoft.com/office/drawing/2016/SVG/main" r:embed="rId90"/>
                              </a:ext>
                            </a:extLst>
                          </a:blip>
                          <a:stretch>
                            <a:fillRect/>
                          </a:stretch>
                        </pic:blipFill>
                        <pic:spPr>
                          <a:xfrm>
                            <a:off x="0" y="0"/>
                            <a:ext cx="2695575" cy="2733675"/>
                          </a:xfrm>
                          <a:prstGeom prst="rect">
                            <a:avLst/>
                          </a:prstGeom>
                        </pic:spPr>
                      </pic:pic>
                    </a:graphicData>
                  </a:graphic>
                </wp:inline>
              </w:drawing>
            </w:r>
          </w:p>
        </w:tc>
        <w:tc>
          <w:tcPr>
            <w:tcW w:w="4508" w:type="dxa"/>
          </w:tcPr>
          <w:p w14:paraId="2B7FBD29" w14:textId="7873DE09" w:rsidR="00D50388" w:rsidRPr="005F7253" w:rsidRDefault="00E60040">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Pr>
                <w:rFonts w:ascii="Aptos" w:hAnsi="Aptos"/>
                <w:b/>
                <w:sz w:val="22"/>
              </w:rPr>
              <w:t>Canada (2022)</w:t>
            </w:r>
            <w:r>
              <w:rPr>
                <w:noProof/>
              </w:rPr>
              <w:t xml:space="preserve"> </w:t>
            </w:r>
            <w:r>
              <w:rPr>
                <w:noProof/>
              </w:rPr>
              <w:drawing>
                <wp:inline distT="0" distB="0" distL="0" distR="0" wp14:anchorId="26529716" wp14:editId="497AE4BC">
                  <wp:extent cx="2695575" cy="2733675"/>
                  <wp:effectExtent l="0" t="0" r="9525" b="9525"/>
                  <wp:docPr id="14628252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2523" name=""/>
                          <pic:cNvPicPr/>
                        </pic:nvPicPr>
                        <pic:blipFill>
                          <a:blip r:embed="rId91">
                            <a:extLst>
                              <a:ext uri="{96DAC541-7B7A-43D3-8B79-37D633B846F1}">
                                <asvg:svgBlip xmlns:asvg="http://schemas.microsoft.com/office/drawing/2016/SVG/main" r:embed="rId92"/>
                              </a:ext>
                            </a:extLst>
                          </a:blip>
                          <a:stretch>
                            <a:fillRect/>
                          </a:stretch>
                        </pic:blipFill>
                        <pic:spPr>
                          <a:xfrm>
                            <a:off x="0" y="0"/>
                            <a:ext cx="2695575" cy="2733675"/>
                          </a:xfrm>
                          <a:prstGeom prst="rect">
                            <a:avLst/>
                          </a:prstGeom>
                        </pic:spPr>
                      </pic:pic>
                    </a:graphicData>
                  </a:graphic>
                </wp:inline>
              </w:drawing>
            </w:r>
          </w:p>
          <w:p w14:paraId="5E8893F4" w14:textId="77777777" w:rsidR="00D50388" w:rsidRPr="005F7253" w:rsidRDefault="00D50388">
            <w:pPr>
              <w:tabs>
                <w:tab w:val="clear" w:pos="794"/>
                <w:tab w:val="clear" w:pos="1191"/>
                <w:tab w:val="clear" w:pos="1588"/>
                <w:tab w:val="clear" w:pos="1985"/>
              </w:tabs>
              <w:overflowPunct/>
              <w:autoSpaceDE/>
              <w:autoSpaceDN/>
              <w:adjustRightInd/>
              <w:spacing w:before="0"/>
              <w:textAlignment w:val="auto"/>
              <w:rPr>
                <w:rFonts w:ascii="Aptos" w:hAnsi="Aptos"/>
                <w:sz w:val="22"/>
              </w:rPr>
            </w:pPr>
          </w:p>
        </w:tc>
      </w:tr>
      <w:tr w:rsidR="00D50388" w:rsidRPr="005F7253" w14:paraId="5D87F804" w14:textId="77777777" w:rsidTr="00FB4DE2">
        <w:tc>
          <w:tcPr>
            <w:tcW w:w="4508" w:type="dxa"/>
          </w:tcPr>
          <w:p w14:paraId="0F0F50A6" w14:textId="5DD25FB6" w:rsidR="00D50388" w:rsidRPr="005F7253" w:rsidRDefault="00E60040">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Pr>
                <w:rFonts w:ascii="Aptos" w:hAnsi="Aptos"/>
                <w:b/>
                <w:sz w:val="22"/>
              </w:rPr>
              <w:t>Chile</w:t>
            </w:r>
            <w:r>
              <w:rPr>
                <w:noProof/>
              </w:rPr>
              <w:t xml:space="preserve"> </w:t>
            </w:r>
            <w:r>
              <w:rPr>
                <w:noProof/>
              </w:rPr>
              <w:drawing>
                <wp:inline distT="0" distB="0" distL="0" distR="0" wp14:anchorId="7CE63A8E" wp14:editId="276160FC">
                  <wp:extent cx="2695575" cy="2733675"/>
                  <wp:effectExtent l="0" t="0" r="9525" b="9525"/>
                  <wp:docPr id="20346081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08155" name=""/>
                          <pic:cNvPicPr/>
                        </pic:nvPicPr>
                        <pic:blipFill>
                          <a:blip r:embed="rId93">
                            <a:extLst>
                              <a:ext uri="{96DAC541-7B7A-43D3-8B79-37D633B846F1}">
                                <asvg:svgBlip xmlns:asvg="http://schemas.microsoft.com/office/drawing/2016/SVG/main" r:embed="rId94"/>
                              </a:ext>
                            </a:extLst>
                          </a:blip>
                          <a:stretch>
                            <a:fillRect/>
                          </a:stretch>
                        </pic:blipFill>
                        <pic:spPr>
                          <a:xfrm>
                            <a:off x="0" y="0"/>
                            <a:ext cx="2695575" cy="2733675"/>
                          </a:xfrm>
                          <a:prstGeom prst="rect">
                            <a:avLst/>
                          </a:prstGeom>
                        </pic:spPr>
                      </pic:pic>
                    </a:graphicData>
                  </a:graphic>
                </wp:inline>
              </w:drawing>
            </w:r>
          </w:p>
        </w:tc>
        <w:tc>
          <w:tcPr>
            <w:tcW w:w="4508" w:type="dxa"/>
          </w:tcPr>
          <w:p w14:paraId="5995A92D" w14:textId="413A1E51" w:rsidR="00D50388" w:rsidRPr="005F7253" w:rsidRDefault="00FB4DE2">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Pr>
                <w:rFonts w:ascii="Aptos" w:hAnsi="Aptos"/>
                <w:b/>
                <w:sz w:val="22"/>
              </w:rPr>
              <w:t>Dominican Republic (2022)</w:t>
            </w:r>
            <w:r>
              <w:rPr>
                <w:noProof/>
              </w:rPr>
              <w:t xml:space="preserve"> </w:t>
            </w:r>
            <w:r>
              <w:rPr>
                <w:noProof/>
              </w:rPr>
              <w:drawing>
                <wp:inline distT="0" distB="0" distL="0" distR="0" wp14:anchorId="0AEA93E3" wp14:editId="64382096">
                  <wp:extent cx="2695575" cy="2733675"/>
                  <wp:effectExtent l="0" t="0" r="9525" b="9525"/>
                  <wp:docPr id="4160849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84990" name=""/>
                          <pic:cNvPicPr/>
                        </pic:nvPicPr>
                        <pic:blipFill>
                          <a:blip r:embed="rId95">
                            <a:extLst>
                              <a:ext uri="{96DAC541-7B7A-43D3-8B79-37D633B846F1}">
                                <asvg:svgBlip xmlns:asvg="http://schemas.microsoft.com/office/drawing/2016/SVG/main" r:embed="rId96"/>
                              </a:ext>
                            </a:extLst>
                          </a:blip>
                          <a:stretch>
                            <a:fillRect/>
                          </a:stretch>
                        </pic:blipFill>
                        <pic:spPr>
                          <a:xfrm>
                            <a:off x="0" y="0"/>
                            <a:ext cx="2695575" cy="2733675"/>
                          </a:xfrm>
                          <a:prstGeom prst="rect">
                            <a:avLst/>
                          </a:prstGeom>
                        </pic:spPr>
                      </pic:pic>
                    </a:graphicData>
                  </a:graphic>
                </wp:inline>
              </w:drawing>
            </w:r>
          </w:p>
        </w:tc>
      </w:tr>
      <w:tr w:rsidR="00D50388" w:rsidRPr="005F7253" w14:paraId="72A10F8B" w14:textId="77777777" w:rsidTr="00691AF1">
        <w:tc>
          <w:tcPr>
            <w:tcW w:w="4508" w:type="dxa"/>
          </w:tcPr>
          <w:p w14:paraId="44429508" w14:textId="2BAB706E" w:rsidR="00D50388" w:rsidRPr="005F7253" w:rsidRDefault="00D50388">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sidRPr="00342EE8">
              <w:rPr>
                <w:rFonts w:ascii="Aptos" w:hAnsi="Aptos"/>
                <w:b/>
                <w:sz w:val="22"/>
              </w:rPr>
              <w:lastRenderedPageBreak/>
              <w:t>M</w:t>
            </w:r>
            <w:r w:rsidR="006365EB">
              <w:rPr>
                <w:rFonts w:ascii="Aptos" w:hAnsi="Aptos"/>
                <w:b/>
                <w:sz w:val="22"/>
              </w:rPr>
              <w:t>exico</w:t>
            </w:r>
            <w:r w:rsidR="00691AF1">
              <w:rPr>
                <w:noProof/>
              </w:rPr>
              <w:t xml:space="preserve"> </w:t>
            </w:r>
            <w:r w:rsidR="00691AF1">
              <w:rPr>
                <w:noProof/>
              </w:rPr>
              <w:drawing>
                <wp:inline distT="0" distB="0" distL="0" distR="0" wp14:anchorId="236163D6" wp14:editId="6A3FC668">
                  <wp:extent cx="2695575" cy="2733675"/>
                  <wp:effectExtent l="0" t="0" r="9525" b="9525"/>
                  <wp:docPr id="4111985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98554" name=""/>
                          <pic:cNvPicPr/>
                        </pic:nvPicPr>
                        <pic:blipFill>
                          <a:blip r:embed="rId97">
                            <a:extLst>
                              <a:ext uri="{96DAC541-7B7A-43D3-8B79-37D633B846F1}">
                                <asvg:svgBlip xmlns:asvg="http://schemas.microsoft.com/office/drawing/2016/SVG/main" r:embed="rId98"/>
                              </a:ext>
                            </a:extLst>
                          </a:blip>
                          <a:stretch>
                            <a:fillRect/>
                          </a:stretch>
                        </pic:blipFill>
                        <pic:spPr>
                          <a:xfrm>
                            <a:off x="0" y="0"/>
                            <a:ext cx="2695575" cy="2733675"/>
                          </a:xfrm>
                          <a:prstGeom prst="rect">
                            <a:avLst/>
                          </a:prstGeom>
                        </pic:spPr>
                      </pic:pic>
                    </a:graphicData>
                  </a:graphic>
                </wp:inline>
              </w:drawing>
            </w:r>
            <w:r w:rsidR="006365EB">
              <w:rPr>
                <w:noProof/>
              </w:rPr>
              <w:t xml:space="preserve"> </w:t>
            </w:r>
          </w:p>
        </w:tc>
        <w:tc>
          <w:tcPr>
            <w:tcW w:w="4508" w:type="dxa"/>
          </w:tcPr>
          <w:p w14:paraId="495C3D1B" w14:textId="63473215" w:rsidR="00D50388" w:rsidRPr="005F7253" w:rsidRDefault="006365EB">
            <w:pPr>
              <w:tabs>
                <w:tab w:val="clear" w:pos="794"/>
                <w:tab w:val="clear" w:pos="1191"/>
                <w:tab w:val="clear" w:pos="1588"/>
                <w:tab w:val="clear" w:pos="1985"/>
              </w:tabs>
              <w:overflowPunct/>
              <w:autoSpaceDE/>
              <w:autoSpaceDN/>
              <w:adjustRightInd/>
              <w:spacing w:before="0"/>
              <w:jc w:val="center"/>
              <w:textAlignment w:val="auto"/>
              <w:rPr>
                <w:rFonts w:ascii="Aptos" w:hAnsi="Aptos"/>
                <w:b/>
                <w:sz w:val="22"/>
              </w:rPr>
            </w:pPr>
            <w:r>
              <w:rPr>
                <w:rFonts w:ascii="Aptos" w:hAnsi="Aptos"/>
                <w:b/>
                <w:sz w:val="22"/>
              </w:rPr>
              <w:t>Uruguay (2022)</w:t>
            </w:r>
            <w:r w:rsidR="005C4D80">
              <w:rPr>
                <w:noProof/>
              </w:rPr>
              <w:t xml:space="preserve"> </w:t>
            </w:r>
            <w:r w:rsidR="005C4D80">
              <w:rPr>
                <w:noProof/>
              </w:rPr>
              <w:drawing>
                <wp:inline distT="0" distB="0" distL="0" distR="0" wp14:anchorId="415D353D" wp14:editId="2FD04080">
                  <wp:extent cx="2695575" cy="2733675"/>
                  <wp:effectExtent l="0" t="0" r="9525" b="9525"/>
                  <wp:docPr id="2256832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83216" name=""/>
                          <pic:cNvPicPr/>
                        </pic:nvPicPr>
                        <pic:blipFill>
                          <a:blip r:embed="rId99">
                            <a:extLst>
                              <a:ext uri="{96DAC541-7B7A-43D3-8B79-37D633B846F1}">
                                <asvg:svgBlip xmlns:asvg="http://schemas.microsoft.com/office/drawing/2016/SVG/main" r:embed="rId100"/>
                              </a:ext>
                            </a:extLst>
                          </a:blip>
                          <a:stretch>
                            <a:fillRect/>
                          </a:stretch>
                        </pic:blipFill>
                        <pic:spPr>
                          <a:xfrm>
                            <a:off x="0" y="0"/>
                            <a:ext cx="2695575" cy="2733675"/>
                          </a:xfrm>
                          <a:prstGeom prst="rect">
                            <a:avLst/>
                          </a:prstGeom>
                        </pic:spPr>
                      </pic:pic>
                    </a:graphicData>
                  </a:graphic>
                </wp:inline>
              </w:drawing>
            </w:r>
          </w:p>
        </w:tc>
      </w:tr>
    </w:tbl>
    <w:p w14:paraId="27DE466D" w14:textId="4AE1CF92" w:rsidR="00D50388" w:rsidRPr="005F7253" w:rsidRDefault="00D50388"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sidRPr="0061272E">
        <w:rPr>
          <w:rFonts w:ascii="Aptos" w:eastAsia="Aptos" w:hAnsi="Aptos" w:cs="Arial"/>
          <w:kern w:val="2"/>
          <w:sz w:val="16"/>
          <w:szCs w:val="28"/>
          <w14:ligatures w14:val="standardContextual"/>
        </w:rPr>
        <w:t xml:space="preserve">Note: Data for </w:t>
      </w:r>
      <w:r w:rsidR="00D27126" w:rsidRPr="0061272E">
        <w:rPr>
          <w:rFonts w:ascii="Aptos" w:eastAsia="Aptos" w:hAnsi="Aptos" w:cs="Arial"/>
          <w:kern w:val="2"/>
          <w:sz w:val="16"/>
          <w:szCs w:val="28"/>
          <w14:ligatures w14:val="standardContextual"/>
        </w:rPr>
        <w:t>Mexico</w:t>
      </w:r>
      <w:r w:rsidRPr="0061272E">
        <w:rPr>
          <w:rFonts w:ascii="Aptos" w:eastAsia="Aptos" w:hAnsi="Aptos" w:cs="Arial"/>
          <w:kern w:val="2"/>
          <w:sz w:val="16"/>
          <w:szCs w:val="28"/>
          <w14:ligatures w14:val="standardContextual"/>
        </w:rPr>
        <w:t xml:space="preserve"> refer to individuals aged 6 and older. Data for </w:t>
      </w:r>
      <w:r w:rsidR="00FB6A67" w:rsidRPr="0061272E">
        <w:rPr>
          <w:rFonts w:ascii="Aptos" w:eastAsia="Aptos" w:hAnsi="Aptos" w:cs="Arial"/>
          <w:kern w:val="2"/>
          <w:sz w:val="16"/>
          <w:szCs w:val="28"/>
          <w14:ligatures w14:val="standardContextual"/>
        </w:rPr>
        <w:t>Brazil</w:t>
      </w:r>
      <w:r w:rsidRPr="0061272E">
        <w:rPr>
          <w:rFonts w:ascii="Aptos" w:eastAsia="Aptos" w:hAnsi="Aptos" w:cs="Arial"/>
          <w:kern w:val="2"/>
          <w:sz w:val="16"/>
          <w:szCs w:val="28"/>
          <w14:ligatures w14:val="standardContextual"/>
        </w:rPr>
        <w:t xml:space="preserve"> </w:t>
      </w:r>
      <w:r w:rsidR="00D27126" w:rsidRPr="0061272E">
        <w:rPr>
          <w:rFonts w:ascii="Aptos" w:eastAsia="Aptos" w:hAnsi="Aptos" w:cs="Arial"/>
          <w:kern w:val="2"/>
          <w:sz w:val="16"/>
          <w:szCs w:val="28"/>
          <w14:ligatures w14:val="standardContextual"/>
        </w:rPr>
        <w:t xml:space="preserve">and Dominican Republic </w:t>
      </w:r>
      <w:r w:rsidRPr="0061272E">
        <w:rPr>
          <w:rFonts w:ascii="Aptos" w:eastAsia="Aptos" w:hAnsi="Aptos" w:cs="Arial"/>
          <w:kern w:val="2"/>
          <w:sz w:val="16"/>
          <w:szCs w:val="28"/>
          <w14:ligatures w14:val="standardContextual"/>
        </w:rPr>
        <w:t xml:space="preserve">refer to individuals aged 10 and older. </w:t>
      </w:r>
      <w:r w:rsidR="00331E89" w:rsidRPr="0061272E">
        <w:rPr>
          <w:rFonts w:ascii="Aptos" w:eastAsia="Aptos" w:hAnsi="Aptos" w:cs="Arial"/>
          <w:kern w:val="2"/>
          <w:sz w:val="16"/>
          <w:szCs w:val="28"/>
          <w14:ligatures w14:val="standardContextual"/>
        </w:rPr>
        <w:t xml:space="preserve">Data for Uruguay refer to individuals aged 14 and older. </w:t>
      </w:r>
      <w:r w:rsidRPr="0061272E">
        <w:rPr>
          <w:rFonts w:ascii="Aptos" w:eastAsia="Aptos" w:hAnsi="Aptos" w:cs="Arial"/>
          <w:kern w:val="2"/>
          <w:sz w:val="16"/>
          <w:szCs w:val="28"/>
          <w14:ligatures w14:val="standardContextual"/>
        </w:rPr>
        <w:t xml:space="preserve">Data for </w:t>
      </w:r>
      <w:r w:rsidR="00FB6A67" w:rsidRPr="0061272E">
        <w:rPr>
          <w:rFonts w:ascii="Aptos" w:eastAsia="Aptos" w:hAnsi="Aptos" w:cs="Arial"/>
          <w:kern w:val="2"/>
          <w:sz w:val="16"/>
          <w:szCs w:val="28"/>
          <w14:ligatures w14:val="standardContextual"/>
        </w:rPr>
        <w:t>Canada</w:t>
      </w:r>
      <w:r w:rsidRPr="0061272E">
        <w:rPr>
          <w:rFonts w:ascii="Aptos" w:eastAsia="Aptos" w:hAnsi="Aptos" w:cs="Arial"/>
          <w:kern w:val="2"/>
          <w:sz w:val="16"/>
          <w:szCs w:val="28"/>
          <w14:ligatures w14:val="standardContextual"/>
        </w:rPr>
        <w:t xml:space="preserve"> </w:t>
      </w:r>
      <w:r w:rsidR="0061272E" w:rsidRPr="0061272E">
        <w:rPr>
          <w:rFonts w:ascii="Aptos" w:eastAsia="Aptos" w:hAnsi="Aptos" w:cs="Arial"/>
          <w:kern w:val="2"/>
          <w:sz w:val="16"/>
          <w:szCs w:val="28"/>
          <w14:ligatures w14:val="standardContextual"/>
        </w:rPr>
        <w:t>and Chile</w:t>
      </w:r>
      <w:r w:rsidRPr="0061272E">
        <w:rPr>
          <w:rFonts w:ascii="Aptos" w:eastAsia="Aptos" w:hAnsi="Aptos" w:cs="Arial"/>
          <w:kern w:val="2"/>
          <w:sz w:val="16"/>
          <w:szCs w:val="28"/>
          <w14:ligatures w14:val="standardContextual"/>
        </w:rPr>
        <w:t xml:space="preserve"> refer to individuals aged 15 and older</w:t>
      </w:r>
      <w:r>
        <w:rPr>
          <w:rFonts w:ascii="Aptos" w:eastAsia="Aptos" w:hAnsi="Aptos" w:cs="Arial"/>
          <w:kern w:val="2"/>
          <w:sz w:val="16"/>
          <w:szCs w:val="28"/>
          <w14:ligatures w14:val="standardContextual"/>
        </w:rPr>
        <w:t>.</w:t>
      </w:r>
    </w:p>
    <w:p w14:paraId="1540920D" w14:textId="77777777" w:rsidR="00D50388" w:rsidRPr="005F7253" w:rsidRDefault="00D50388"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7130447B" w14:textId="150FEC13" w:rsidR="00AA421A" w:rsidRPr="003E7FB3"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E7FB3">
        <w:rPr>
          <w:rFonts w:ascii="Aptos" w:eastAsia="Aptos" w:hAnsi="Aptos" w:cs="Arial"/>
          <w:kern w:val="2"/>
          <w:sz w:val="22"/>
          <w:szCs w:val="22"/>
          <w14:ligatures w14:val="standardContextual"/>
        </w:rPr>
        <w:t xml:space="preserve">In general, communication and collaboration skill levels are very high </w:t>
      </w:r>
      <w:r w:rsidR="009C15FB">
        <w:rPr>
          <w:rFonts w:ascii="Aptos" w:eastAsia="Aptos" w:hAnsi="Aptos" w:cs="Arial"/>
          <w:kern w:val="2"/>
          <w:sz w:val="22"/>
          <w:szCs w:val="22"/>
          <w14:ligatures w14:val="standardContextual"/>
        </w:rPr>
        <w:t xml:space="preserve">among Internet users </w:t>
      </w:r>
      <w:r w:rsidRPr="003E7FB3">
        <w:rPr>
          <w:rFonts w:ascii="Aptos" w:eastAsia="Aptos" w:hAnsi="Aptos" w:cs="Arial"/>
          <w:kern w:val="2"/>
          <w:sz w:val="22"/>
          <w:szCs w:val="22"/>
          <w14:ligatures w14:val="standardContextual"/>
        </w:rPr>
        <w:t xml:space="preserve">in the </w:t>
      </w:r>
      <w:r w:rsidR="00F16F77" w:rsidRPr="003E7FB3">
        <w:rPr>
          <w:rFonts w:ascii="Aptos" w:eastAsia="Aptos" w:hAnsi="Aptos" w:cs="Arial"/>
          <w:kern w:val="2"/>
          <w:sz w:val="22"/>
          <w:szCs w:val="22"/>
          <w14:ligatures w14:val="standardContextual"/>
        </w:rPr>
        <w:t>six</w:t>
      </w:r>
      <w:r w:rsidRPr="003E7FB3">
        <w:rPr>
          <w:rFonts w:ascii="Aptos" w:eastAsia="Aptos" w:hAnsi="Aptos" w:cs="Arial"/>
          <w:kern w:val="2"/>
          <w:sz w:val="22"/>
          <w:szCs w:val="22"/>
          <w14:ligatures w14:val="standardContextual"/>
        </w:rPr>
        <w:t xml:space="preserve"> countries with available data</w:t>
      </w:r>
      <w:r w:rsidR="00791914">
        <w:rPr>
          <w:rFonts w:ascii="Aptos" w:eastAsia="Aptos" w:hAnsi="Aptos" w:cs="Arial"/>
          <w:kern w:val="2"/>
          <w:sz w:val="22"/>
          <w:szCs w:val="22"/>
          <w14:ligatures w14:val="standardContextual"/>
        </w:rPr>
        <w:t xml:space="preserve"> </w:t>
      </w:r>
      <w:r w:rsidR="005A57C3">
        <w:rPr>
          <w:rFonts w:ascii="Aptos" w:eastAsia="Aptos" w:hAnsi="Aptos" w:cs="Arial"/>
          <w:kern w:val="2"/>
          <w:sz w:val="22"/>
          <w:szCs w:val="22"/>
          <w14:ligatures w14:val="standardContextual"/>
        </w:rPr>
        <w:t>–</w:t>
      </w:r>
      <w:r w:rsidR="00791914">
        <w:rPr>
          <w:rFonts w:ascii="Aptos" w:eastAsia="Aptos" w:hAnsi="Aptos" w:cs="Arial"/>
          <w:kern w:val="2"/>
          <w:sz w:val="22"/>
          <w:szCs w:val="22"/>
          <w14:ligatures w14:val="standardContextual"/>
        </w:rPr>
        <w:t xml:space="preserve"> </w:t>
      </w:r>
      <w:r w:rsidR="005A57C3">
        <w:rPr>
          <w:rFonts w:ascii="Aptos" w:eastAsia="Aptos" w:hAnsi="Aptos" w:cs="Arial"/>
          <w:kern w:val="2"/>
          <w:sz w:val="22"/>
          <w:szCs w:val="22"/>
          <w14:ligatures w14:val="standardContextual"/>
        </w:rPr>
        <w:t xml:space="preserve">all report </w:t>
      </w:r>
      <w:r w:rsidR="004157D9">
        <w:rPr>
          <w:rFonts w:ascii="Aptos" w:eastAsia="Aptos" w:hAnsi="Aptos" w:cs="Arial"/>
          <w:kern w:val="2"/>
          <w:sz w:val="22"/>
          <w:szCs w:val="22"/>
          <w14:ligatures w14:val="standardContextual"/>
        </w:rPr>
        <w:t xml:space="preserve">that </w:t>
      </w:r>
      <w:r w:rsidR="009D4831">
        <w:rPr>
          <w:rFonts w:ascii="Aptos" w:eastAsia="Aptos" w:hAnsi="Aptos" w:cs="Arial"/>
          <w:kern w:val="2"/>
          <w:sz w:val="22"/>
          <w:szCs w:val="22"/>
          <w14:ligatures w14:val="standardContextual"/>
        </w:rPr>
        <w:t xml:space="preserve">nearly 90 </w:t>
      </w:r>
      <w:r w:rsidR="00C012C5">
        <w:rPr>
          <w:rFonts w:ascii="Aptos" w:eastAsia="Aptos" w:hAnsi="Aptos" w:cs="Arial"/>
          <w:kern w:val="2"/>
          <w:sz w:val="22"/>
          <w:szCs w:val="22"/>
          <w14:ligatures w14:val="standardContextual"/>
        </w:rPr>
        <w:t>per cent</w:t>
      </w:r>
      <w:r w:rsidR="009D4831">
        <w:rPr>
          <w:rFonts w:ascii="Aptos" w:eastAsia="Aptos" w:hAnsi="Aptos" w:cs="Arial"/>
          <w:kern w:val="2"/>
          <w:sz w:val="22"/>
          <w:szCs w:val="22"/>
          <w14:ligatures w14:val="standardContextual"/>
        </w:rPr>
        <w:t xml:space="preserve"> or </w:t>
      </w:r>
      <w:r w:rsidR="004157D9">
        <w:rPr>
          <w:rFonts w:ascii="Aptos" w:eastAsia="Aptos" w:hAnsi="Aptos" w:cs="Arial"/>
          <w:kern w:val="2"/>
          <w:sz w:val="22"/>
          <w:szCs w:val="22"/>
          <w14:ligatures w14:val="standardContextual"/>
        </w:rPr>
        <w:t>more</w:t>
      </w:r>
      <w:r w:rsidR="009D4831">
        <w:rPr>
          <w:rFonts w:ascii="Aptos" w:eastAsia="Aptos" w:hAnsi="Aptos" w:cs="Arial"/>
          <w:kern w:val="2"/>
          <w:sz w:val="22"/>
          <w:szCs w:val="22"/>
          <w14:ligatures w14:val="standardContextual"/>
        </w:rPr>
        <w:t xml:space="preserve"> </w:t>
      </w:r>
      <w:r w:rsidR="00C9705E">
        <w:rPr>
          <w:rFonts w:ascii="Aptos" w:eastAsia="Aptos" w:hAnsi="Aptos" w:cs="Arial"/>
          <w:kern w:val="2"/>
          <w:sz w:val="22"/>
          <w:szCs w:val="22"/>
          <w14:ligatures w14:val="standardContextual"/>
        </w:rPr>
        <w:t>Internet users</w:t>
      </w:r>
      <w:r w:rsidR="004157D9">
        <w:rPr>
          <w:rFonts w:ascii="Aptos" w:eastAsia="Aptos" w:hAnsi="Aptos" w:cs="Arial"/>
          <w:kern w:val="2"/>
          <w:sz w:val="22"/>
          <w:szCs w:val="22"/>
          <w14:ligatures w14:val="standardContextual"/>
        </w:rPr>
        <w:t xml:space="preserve"> have at least basic skills</w:t>
      </w:r>
      <w:r w:rsidR="00A4424A">
        <w:rPr>
          <w:rFonts w:ascii="Aptos" w:eastAsia="Aptos" w:hAnsi="Aptos" w:cs="Arial"/>
          <w:kern w:val="2"/>
          <w:sz w:val="22"/>
          <w:szCs w:val="22"/>
          <w14:ligatures w14:val="standardContextual"/>
        </w:rPr>
        <w:t xml:space="preserve"> in this area</w:t>
      </w:r>
      <w:r w:rsidRPr="003E7FB3">
        <w:rPr>
          <w:rFonts w:ascii="Aptos" w:eastAsia="Aptos" w:hAnsi="Aptos" w:cs="Arial"/>
          <w:kern w:val="2"/>
          <w:sz w:val="22"/>
          <w:szCs w:val="22"/>
          <w14:ligatures w14:val="standardContextual"/>
        </w:rPr>
        <w:t xml:space="preserve">. </w:t>
      </w:r>
    </w:p>
    <w:p w14:paraId="34F9E191" w14:textId="33990357" w:rsidR="00AA421A" w:rsidRPr="003E7FB3" w:rsidRDefault="008D3A3B"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E7FB3">
        <w:rPr>
          <w:rFonts w:ascii="Aptos" w:eastAsia="Aptos" w:hAnsi="Aptos" w:cs="Arial"/>
          <w:kern w:val="2"/>
          <w:sz w:val="22"/>
          <w:szCs w:val="22"/>
          <w14:ligatures w14:val="standardContextual"/>
        </w:rPr>
        <w:t xml:space="preserve">In </w:t>
      </w:r>
      <w:r w:rsidR="00894435">
        <w:rPr>
          <w:rFonts w:ascii="Aptos" w:eastAsia="Aptos" w:hAnsi="Aptos" w:cs="Arial"/>
          <w:kern w:val="2"/>
          <w:sz w:val="22"/>
          <w:szCs w:val="22"/>
          <w14:ligatures w14:val="standardContextual"/>
        </w:rPr>
        <w:t>five</w:t>
      </w:r>
      <w:r w:rsidRPr="003E7FB3">
        <w:rPr>
          <w:rFonts w:ascii="Aptos" w:eastAsia="Aptos" w:hAnsi="Aptos" w:cs="Arial"/>
          <w:kern w:val="2"/>
          <w:sz w:val="22"/>
          <w:szCs w:val="22"/>
          <w14:ligatures w14:val="standardContextual"/>
        </w:rPr>
        <w:t xml:space="preserve"> of the six countries, information and data literacy </w:t>
      </w:r>
      <w:r w:rsidR="0087655C" w:rsidRPr="003E7FB3">
        <w:rPr>
          <w:rFonts w:ascii="Aptos" w:eastAsia="Aptos" w:hAnsi="Aptos" w:cs="Arial"/>
          <w:kern w:val="2"/>
          <w:sz w:val="22"/>
          <w:szCs w:val="22"/>
          <w14:ligatures w14:val="standardContextual"/>
        </w:rPr>
        <w:t>skill levels are also high</w:t>
      </w:r>
      <w:r w:rsidR="00EB4B6D">
        <w:rPr>
          <w:rFonts w:ascii="Aptos" w:eastAsia="Aptos" w:hAnsi="Aptos" w:cs="Arial"/>
          <w:kern w:val="2"/>
          <w:sz w:val="22"/>
          <w:szCs w:val="22"/>
          <w14:ligatures w14:val="standardContextual"/>
        </w:rPr>
        <w:t xml:space="preserve"> among Internet users</w:t>
      </w:r>
      <w:r w:rsidR="00C2185F">
        <w:rPr>
          <w:rFonts w:ascii="Aptos" w:eastAsia="Aptos" w:hAnsi="Aptos" w:cs="Arial"/>
          <w:kern w:val="2"/>
          <w:sz w:val="22"/>
          <w:szCs w:val="22"/>
          <w14:ligatures w14:val="standardContextual"/>
        </w:rPr>
        <w:t xml:space="preserve"> (over 70 </w:t>
      </w:r>
      <w:r w:rsidR="00C012C5">
        <w:rPr>
          <w:rFonts w:ascii="Aptos" w:eastAsia="Aptos" w:hAnsi="Aptos" w:cs="Arial"/>
          <w:kern w:val="2"/>
          <w:sz w:val="22"/>
          <w:szCs w:val="22"/>
          <w14:ligatures w14:val="standardContextual"/>
        </w:rPr>
        <w:t>per cent</w:t>
      </w:r>
      <w:r w:rsidR="00C2185F">
        <w:rPr>
          <w:rFonts w:ascii="Aptos" w:eastAsia="Aptos" w:hAnsi="Aptos" w:cs="Arial"/>
          <w:kern w:val="2"/>
          <w:sz w:val="22"/>
          <w:szCs w:val="22"/>
          <w14:ligatures w14:val="standardContextual"/>
        </w:rPr>
        <w:t xml:space="preserve"> </w:t>
      </w:r>
      <w:r w:rsidR="00955B1A">
        <w:rPr>
          <w:rFonts w:ascii="Aptos" w:eastAsia="Aptos" w:hAnsi="Aptos" w:cs="Arial"/>
          <w:kern w:val="2"/>
          <w:sz w:val="22"/>
          <w:szCs w:val="22"/>
          <w14:ligatures w14:val="standardContextual"/>
        </w:rPr>
        <w:t>with at least basic skills)</w:t>
      </w:r>
      <w:r w:rsidR="0087655C" w:rsidRPr="003E7FB3">
        <w:rPr>
          <w:rFonts w:ascii="Aptos" w:eastAsia="Aptos" w:hAnsi="Aptos" w:cs="Arial"/>
          <w:kern w:val="2"/>
          <w:sz w:val="22"/>
          <w:szCs w:val="22"/>
          <w14:ligatures w14:val="standardContextual"/>
        </w:rPr>
        <w:t xml:space="preserve">, although not as high as </w:t>
      </w:r>
      <w:r w:rsidR="002F172D" w:rsidRPr="003E7FB3">
        <w:rPr>
          <w:rFonts w:ascii="Aptos" w:eastAsia="Aptos" w:hAnsi="Aptos" w:cs="Arial"/>
          <w:kern w:val="2"/>
          <w:sz w:val="22"/>
          <w:szCs w:val="22"/>
          <w14:ligatures w14:val="standardContextual"/>
        </w:rPr>
        <w:t xml:space="preserve">communication and collaboration skill levels. </w:t>
      </w:r>
      <w:r w:rsidR="00955B1A">
        <w:rPr>
          <w:rFonts w:ascii="Aptos" w:eastAsia="Aptos" w:hAnsi="Aptos" w:cs="Arial"/>
          <w:kern w:val="2"/>
          <w:sz w:val="22"/>
          <w:szCs w:val="22"/>
          <w14:ligatures w14:val="standardContextual"/>
        </w:rPr>
        <w:t>I</w:t>
      </w:r>
      <w:r w:rsidR="00771B23" w:rsidRPr="003E7FB3">
        <w:rPr>
          <w:rFonts w:ascii="Aptos" w:eastAsia="Aptos" w:hAnsi="Aptos" w:cs="Arial"/>
          <w:kern w:val="2"/>
          <w:sz w:val="22"/>
          <w:szCs w:val="22"/>
          <w14:ligatures w14:val="standardContextual"/>
        </w:rPr>
        <w:t xml:space="preserve">n the Dominican Republic, </w:t>
      </w:r>
      <w:r w:rsidR="002F172D" w:rsidRPr="003E7FB3">
        <w:rPr>
          <w:rFonts w:ascii="Aptos" w:eastAsia="Aptos" w:hAnsi="Aptos" w:cs="Arial"/>
          <w:kern w:val="2"/>
          <w:sz w:val="22"/>
          <w:szCs w:val="22"/>
          <w14:ligatures w14:val="standardContextual"/>
        </w:rPr>
        <w:t xml:space="preserve">information and data literacy skill levels are </w:t>
      </w:r>
      <w:r w:rsidR="00A17169" w:rsidRPr="003E7FB3">
        <w:rPr>
          <w:rFonts w:ascii="Aptos" w:eastAsia="Aptos" w:hAnsi="Aptos" w:cs="Arial"/>
          <w:kern w:val="2"/>
          <w:sz w:val="22"/>
          <w:szCs w:val="22"/>
          <w14:ligatures w14:val="standardContextual"/>
        </w:rPr>
        <w:t>substantially lower</w:t>
      </w:r>
      <w:r w:rsidR="00955B1A">
        <w:rPr>
          <w:rFonts w:ascii="Aptos" w:eastAsia="Aptos" w:hAnsi="Aptos" w:cs="Arial"/>
          <w:kern w:val="2"/>
          <w:sz w:val="22"/>
          <w:szCs w:val="22"/>
          <w14:ligatures w14:val="standardContextual"/>
        </w:rPr>
        <w:t xml:space="preserve"> with </w:t>
      </w:r>
      <w:r w:rsidR="00015AFF">
        <w:rPr>
          <w:rFonts w:ascii="Aptos" w:eastAsia="Aptos" w:hAnsi="Aptos" w:cs="Arial"/>
          <w:kern w:val="2"/>
          <w:sz w:val="22"/>
          <w:szCs w:val="22"/>
          <w14:ligatures w14:val="standardContextual"/>
        </w:rPr>
        <w:t xml:space="preserve">less than 50 </w:t>
      </w:r>
      <w:r w:rsidR="00C012C5">
        <w:rPr>
          <w:rFonts w:ascii="Aptos" w:eastAsia="Aptos" w:hAnsi="Aptos" w:cs="Arial"/>
          <w:kern w:val="2"/>
          <w:sz w:val="22"/>
          <w:szCs w:val="22"/>
          <w14:ligatures w14:val="standardContextual"/>
        </w:rPr>
        <w:t>per cent</w:t>
      </w:r>
      <w:r w:rsidR="00015AFF">
        <w:rPr>
          <w:rFonts w:ascii="Aptos" w:eastAsia="Aptos" w:hAnsi="Aptos" w:cs="Arial"/>
          <w:kern w:val="2"/>
          <w:sz w:val="22"/>
          <w:szCs w:val="22"/>
          <w14:ligatures w14:val="standardContextual"/>
        </w:rPr>
        <w:t xml:space="preserve"> of </w:t>
      </w:r>
      <w:r w:rsidR="008C1B62">
        <w:rPr>
          <w:rFonts w:ascii="Aptos" w:eastAsia="Aptos" w:hAnsi="Aptos" w:cs="Arial"/>
          <w:kern w:val="2"/>
          <w:sz w:val="22"/>
          <w:szCs w:val="22"/>
          <w14:ligatures w14:val="standardContextual"/>
        </w:rPr>
        <w:t>Internet users</w:t>
      </w:r>
      <w:r w:rsidR="00955B1A">
        <w:rPr>
          <w:rFonts w:ascii="Aptos" w:eastAsia="Aptos" w:hAnsi="Aptos" w:cs="Arial"/>
          <w:kern w:val="2"/>
          <w:sz w:val="22"/>
          <w:szCs w:val="22"/>
          <w14:ligatures w14:val="standardContextual"/>
        </w:rPr>
        <w:t xml:space="preserve"> </w:t>
      </w:r>
      <w:r w:rsidR="00A021F2">
        <w:rPr>
          <w:rFonts w:ascii="Aptos" w:eastAsia="Aptos" w:hAnsi="Aptos" w:cs="Arial"/>
          <w:kern w:val="2"/>
          <w:sz w:val="22"/>
          <w:szCs w:val="22"/>
          <w14:ligatures w14:val="standardContextual"/>
        </w:rPr>
        <w:t>having at least basic skills</w:t>
      </w:r>
      <w:r w:rsidR="00A17169" w:rsidRPr="003E7FB3">
        <w:rPr>
          <w:rFonts w:ascii="Aptos" w:eastAsia="Aptos" w:hAnsi="Aptos" w:cs="Arial"/>
          <w:kern w:val="2"/>
          <w:sz w:val="22"/>
          <w:szCs w:val="22"/>
          <w14:ligatures w14:val="standardContextual"/>
        </w:rPr>
        <w:t xml:space="preserve">. </w:t>
      </w:r>
    </w:p>
    <w:p w14:paraId="0A618D5B" w14:textId="40AFBDEB" w:rsidR="00AA421A" w:rsidRPr="003E7FB3" w:rsidRDefault="00FB595A"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E7FB3">
        <w:rPr>
          <w:rFonts w:ascii="Aptos" w:eastAsia="Aptos" w:hAnsi="Aptos" w:cs="Arial"/>
          <w:kern w:val="2"/>
          <w:sz w:val="22"/>
          <w:szCs w:val="22"/>
          <w14:ligatures w14:val="standardContextual"/>
        </w:rPr>
        <w:t xml:space="preserve">Less than 50 per cent of Internet </w:t>
      </w:r>
      <w:r w:rsidR="003E7FB3" w:rsidRPr="003E7FB3">
        <w:rPr>
          <w:rFonts w:ascii="Aptos" w:eastAsia="Aptos" w:hAnsi="Aptos" w:cs="Arial"/>
          <w:kern w:val="2"/>
          <w:sz w:val="22"/>
          <w:szCs w:val="22"/>
          <w14:ligatures w14:val="standardContextual"/>
        </w:rPr>
        <w:t>users have at least basic d</w:t>
      </w:r>
      <w:r w:rsidR="001C7D44" w:rsidRPr="003E7FB3">
        <w:rPr>
          <w:rFonts w:ascii="Aptos" w:eastAsia="Aptos" w:hAnsi="Aptos" w:cs="Arial"/>
          <w:kern w:val="2"/>
          <w:sz w:val="22"/>
          <w:szCs w:val="22"/>
          <w14:ligatures w14:val="standardContextual"/>
        </w:rPr>
        <w:t xml:space="preserve">igital content creation skills </w:t>
      </w:r>
      <w:r w:rsidR="003E7FB3" w:rsidRPr="003E7FB3">
        <w:rPr>
          <w:rFonts w:ascii="Aptos" w:eastAsia="Aptos" w:hAnsi="Aptos" w:cs="Arial"/>
          <w:kern w:val="2"/>
          <w:sz w:val="22"/>
          <w:szCs w:val="22"/>
          <w14:ligatures w14:val="standardContextual"/>
        </w:rPr>
        <w:t xml:space="preserve">in the Dominican Republic and Mexico. </w:t>
      </w:r>
      <w:r w:rsidR="002347C8">
        <w:rPr>
          <w:rFonts w:ascii="Aptos" w:eastAsia="Aptos" w:hAnsi="Aptos" w:cs="Arial"/>
          <w:kern w:val="2"/>
          <w:sz w:val="22"/>
          <w:szCs w:val="22"/>
          <w14:ligatures w14:val="standardContextual"/>
        </w:rPr>
        <w:t>In the other countries, more than half of Internet users had such skills.</w:t>
      </w:r>
    </w:p>
    <w:p w14:paraId="49702FF8" w14:textId="78B4FF96" w:rsidR="00D50388" w:rsidRDefault="00552F35"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52F35">
        <w:rPr>
          <w:rFonts w:ascii="Aptos" w:eastAsia="Aptos" w:hAnsi="Aptos" w:cs="Arial"/>
          <w:kern w:val="2"/>
          <w:sz w:val="22"/>
          <w:szCs w:val="22"/>
          <w14:ligatures w14:val="standardContextual"/>
        </w:rPr>
        <w:t>S</w:t>
      </w:r>
      <w:r w:rsidR="00D50388" w:rsidRPr="00552F35">
        <w:rPr>
          <w:rFonts w:ascii="Aptos" w:eastAsia="Aptos" w:hAnsi="Aptos" w:cs="Arial"/>
          <w:kern w:val="2"/>
          <w:sz w:val="22"/>
          <w:szCs w:val="22"/>
          <w14:ligatures w14:val="standardContextual"/>
        </w:rPr>
        <w:t>afety skill levels are</w:t>
      </w:r>
      <w:r w:rsidR="00850889" w:rsidRPr="00552F35">
        <w:rPr>
          <w:rFonts w:ascii="Aptos" w:eastAsia="Aptos" w:hAnsi="Aptos" w:cs="Arial"/>
          <w:kern w:val="2"/>
          <w:sz w:val="22"/>
          <w:szCs w:val="22"/>
          <w14:ligatures w14:val="standardContextual"/>
        </w:rPr>
        <w:t xml:space="preserve"> very low in the Dominican Republic</w:t>
      </w:r>
      <w:r w:rsidR="00522B4D">
        <w:rPr>
          <w:rFonts w:ascii="Aptos" w:eastAsia="Aptos" w:hAnsi="Aptos" w:cs="Arial"/>
          <w:kern w:val="2"/>
          <w:sz w:val="22"/>
          <w:szCs w:val="22"/>
          <w14:ligatures w14:val="standardContextual"/>
        </w:rPr>
        <w:t xml:space="preserve"> – less than 20 </w:t>
      </w:r>
      <w:r w:rsidR="00C012C5">
        <w:rPr>
          <w:rFonts w:ascii="Aptos" w:eastAsia="Aptos" w:hAnsi="Aptos" w:cs="Arial"/>
          <w:kern w:val="2"/>
          <w:sz w:val="22"/>
          <w:szCs w:val="22"/>
          <w14:ligatures w14:val="standardContextual"/>
        </w:rPr>
        <w:t>per cent</w:t>
      </w:r>
      <w:r w:rsidR="00522B4D">
        <w:rPr>
          <w:rFonts w:ascii="Aptos" w:eastAsia="Aptos" w:hAnsi="Aptos" w:cs="Arial"/>
          <w:kern w:val="2"/>
          <w:sz w:val="22"/>
          <w:szCs w:val="22"/>
          <w14:ligatures w14:val="standardContextual"/>
        </w:rPr>
        <w:t xml:space="preserve"> of Internet users </w:t>
      </w:r>
      <w:r w:rsidR="00624616">
        <w:rPr>
          <w:rFonts w:ascii="Aptos" w:eastAsia="Aptos" w:hAnsi="Aptos" w:cs="Arial"/>
          <w:kern w:val="2"/>
          <w:sz w:val="22"/>
          <w:szCs w:val="22"/>
          <w14:ligatures w14:val="standardContextual"/>
        </w:rPr>
        <w:t>had</w:t>
      </w:r>
      <w:r w:rsidR="005820B1">
        <w:rPr>
          <w:rFonts w:ascii="Aptos" w:eastAsia="Aptos" w:hAnsi="Aptos" w:cs="Arial"/>
          <w:kern w:val="2"/>
          <w:sz w:val="22"/>
          <w:szCs w:val="22"/>
          <w14:ligatures w14:val="standardContextual"/>
        </w:rPr>
        <w:t xml:space="preserve"> </w:t>
      </w:r>
      <w:r w:rsidR="00401285">
        <w:rPr>
          <w:rFonts w:ascii="Aptos" w:eastAsia="Aptos" w:hAnsi="Aptos" w:cs="Arial"/>
          <w:kern w:val="2"/>
          <w:sz w:val="22"/>
          <w:szCs w:val="22"/>
          <w14:ligatures w14:val="standardContextual"/>
        </w:rPr>
        <w:t>at least basic skills in this area</w:t>
      </w:r>
      <w:r w:rsidR="00624C1F">
        <w:rPr>
          <w:rFonts w:ascii="Aptos" w:eastAsia="Aptos" w:hAnsi="Aptos" w:cs="Arial"/>
          <w:kern w:val="2"/>
          <w:sz w:val="22"/>
          <w:szCs w:val="22"/>
          <w14:ligatures w14:val="standardContextual"/>
        </w:rPr>
        <w:t xml:space="preserve">. </w:t>
      </w:r>
      <w:r w:rsidR="001F119C">
        <w:rPr>
          <w:rFonts w:ascii="Aptos" w:eastAsia="Aptos" w:hAnsi="Aptos" w:cs="Arial"/>
          <w:kern w:val="2"/>
          <w:sz w:val="22"/>
          <w:szCs w:val="22"/>
          <w14:ligatures w14:val="standardContextual"/>
        </w:rPr>
        <w:t>In Brazil,</w:t>
      </w:r>
      <w:r w:rsidR="00401285">
        <w:rPr>
          <w:rFonts w:ascii="Aptos" w:eastAsia="Aptos" w:hAnsi="Aptos" w:cs="Arial"/>
          <w:kern w:val="2"/>
          <w:sz w:val="22"/>
          <w:szCs w:val="22"/>
          <w14:ligatures w14:val="standardContextual"/>
        </w:rPr>
        <w:t xml:space="preserve"> </w:t>
      </w:r>
      <w:r w:rsidR="00E60BE0">
        <w:rPr>
          <w:rFonts w:ascii="Aptos" w:eastAsia="Aptos" w:hAnsi="Aptos" w:cs="Arial"/>
          <w:kern w:val="2"/>
          <w:sz w:val="22"/>
          <w:szCs w:val="22"/>
          <w14:ligatures w14:val="standardContextual"/>
        </w:rPr>
        <w:t xml:space="preserve">over 50 </w:t>
      </w:r>
      <w:r w:rsidR="00C012C5">
        <w:rPr>
          <w:rFonts w:ascii="Aptos" w:eastAsia="Aptos" w:hAnsi="Aptos" w:cs="Arial"/>
          <w:kern w:val="2"/>
          <w:sz w:val="22"/>
          <w:szCs w:val="22"/>
          <w14:ligatures w14:val="standardContextual"/>
        </w:rPr>
        <w:t>per cent</w:t>
      </w:r>
      <w:r w:rsidR="00E60BE0">
        <w:rPr>
          <w:rFonts w:ascii="Aptos" w:eastAsia="Aptos" w:hAnsi="Aptos" w:cs="Arial"/>
          <w:kern w:val="2"/>
          <w:sz w:val="22"/>
          <w:szCs w:val="22"/>
          <w14:ligatures w14:val="standardContextual"/>
        </w:rPr>
        <w:t xml:space="preserve"> </w:t>
      </w:r>
      <w:r w:rsidR="001F119C">
        <w:rPr>
          <w:rFonts w:ascii="Aptos" w:eastAsia="Aptos" w:hAnsi="Aptos" w:cs="Arial"/>
          <w:kern w:val="2"/>
          <w:sz w:val="22"/>
          <w:szCs w:val="22"/>
          <w14:ligatures w14:val="standardContextual"/>
        </w:rPr>
        <w:t xml:space="preserve">of Internet users </w:t>
      </w:r>
      <w:r w:rsidR="00624616">
        <w:rPr>
          <w:rFonts w:ascii="Aptos" w:eastAsia="Aptos" w:hAnsi="Aptos" w:cs="Arial"/>
          <w:kern w:val="2"/>
          <w:sz w:val="22"/>
          <w:szCs w:val="22"/>
          <w14:ligatures w14:val="standardContextual"/>
        </w:rPr>
        <w:t xml:space="preserve">had at least basic </w:t>
      </w:r>
      <w:r w:rsidR="00E723CA">
        <w:rPr>
          <w:rFonts w:ascii="Aptos" w:eastAsia="Aptos" w:hAnsi="Aptos" w:cs="Arial"/>
          <w:kern w:val="2"/>
          <w:sz w:val="22"/>
          <w:szCs w:val="22"/>
          <w14:ligatures w14:val="standardContextual"/>
        </w:rPr>
        <w:t>safety</w:t>
      </w:r>
      <w:r w:rsidR="00624616">
        <w:rPr>
          <w:rFonts w:ascii="Aptos" w:eastAsia="Aptos" w:hAnsi="Aptos" w:cs="Arial"/>
          <w:kern w:val="2"/>
          <w:sz w:val="22"/>
          <w:szCs w:val="22"/>
          <w14:ligatures w14:val="standardContextual"/>
        </w:rPr>
        <w:t xml:space="preserve"> skills </w:t>
      </w:r>
      <w:r w:rsidR="0054701D">
        <w:rPr>
          <w:rFonts w:ascii="Aptos" w:eastAsia="Aptos" w:hAnsi="Aptos" w:cs="Arial"/>
          <w:kern w:val="2"/>
          <w:sz w:val="22"/>
          <w:szCs w:val="22"/>
          <w14:ligatures w14:val="standardContextual"/>
        </w:rPr>
        <w:t>while</w:t>
      </w:r>
      <w:r w:rsidR="00E818F2">
        <w:rPr>
          <w:rFonts w:ascii="Aptos" w:eastAsia="Aptos" w:hAnsi="Aptos" w:cs="Arial"/>
          <w:kern w:val="2"/>
          <w:sz w:val="22"/>
          <w:szCs w:val="22"/>
          <w14:ligatures w14:val="standardContextual"/>
        </w:rPr>
        <w:t xml:space="preserve"> Internet users in Canada and Uruguay </w:t>
      </w:r>
      <w:r w:rsidR="00D56B8D">
        <w:rPr>
          <w:rFonts w:ascii="Aptos" w:eastAsia="Aptos" w:hAnsi="Aptos" w:cs="Arial"/>
          <w:kern w:val="2"/>
          <w:sz w:val="22"/>
          <w:szCs w:val="22"/>
          <w14:ligatures w14:val="standardContextual"/>
        </w:rPr>
        <w:t xml:space="preserve">had </w:t>
      </w:r>
      <w:r w:rsidR="00E723CA">
        <w:rPr>
          <w:rFonts w:ascii="Aptos" w:eastAsia="Aptos" w:hAnsi="Aptos" w:cs="Arial"/>
          <w:kern w:val="2"/>
          <w:sz w:val="22"/>
          <w:szCs w:val="22"/>
          <w14:ligatures w14:val="standardContextual"/>
        </w:rPr>
        <w:t>higher levels of skills in this area</w:t>
      </w:r>
      <w:r w:rsidRPr="00552F35">
        <w:rPr>
          <w:rFonts w:ascii="Aptos" w:eastAsia="Aptos" w:hAnsi="Aptos" w:cs="Arial"/>
          <w:kern w:val="2"/>
          <w:sz w:val="22"/>
          <w:szCs w:val="22"/>
          <w14:ligatures w14:val="standardContextual"/>
        </w:rPr>
        <w:t xml:space="preserve">. </w:t>
      </w:r>
    </w:p>
    <w:p w14:paraId="2CE43A9D" w14:textId="318E2D6A" w:rsidR="009674DD" w:rsidRDefault="00590379"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Finally, in all countries except the Dominican Republic, more than half of Internet users had at least basic problem-solving skills</w:t>
      </w:r>
      <w:r w:rsidR="00E723CA">
        <w:rPr>
          <w:rFonts w:ascii="Aptos" w:eastAsia="Aptos" w:hAnsi="Aptos" w:cs="Arial"/>
          <w:kern w:val="2"/>
          <w:sz w:val="22"/>
          <w:szCs w:val="22"/>
          <w14:ligatures w14:val="standardContextual"/>
        </w:rPr>
        <w:t xml:space="preserve">. </w:t>
      </w:r>
      <w:r w:rsidR="009750E2">
        <w:rPr>
          <w:rFonts w:ascii="Aptos" w:eastAsia="Aptos" w:hAnsi="Aptos" w:cs="Arial"/>
          <w:kern w:val="2"/>
          <w:sz w:val="22"/>
          <w:szCs w:val="22"/>
          <w14:ligatures w14:val="standardContextual"/>
        </w:rPr>
        <w:t xml:space="preserve">In general countries reported similar </w:t>
      </w:r>
      <w:r w:rsidR="003429E1">
        <w:rPr>
          <w:rFonts w:ascii="Aptos" w:eastAsia="Aptos" w:hAnsi="Aptos" w:cs="Arial"/>
          <w:kern w:val="2"/>
          <w:sz w:val="22"/>
          <w:szCs w:val="22"/>
          <w14:ligatures w14:val="standardContextual"/>
        </w:rPr>
        <w:t xml:space="preserve">skill </w:t>
      </w:r>
      <w:r w:rsidR="009750E2">
        <w:rPr>
          <w:rFonts w:ascii="Aptos" w:eastAsia="Aptos" w:hAnsi="Aptos" w:cs="Arial"/>
          <w:kern w:val="2"/>
          <w:sz w:val="22"/>
          <w:szCs w:val="22"/>
          <w14:ligatures w14:val="standardContextual"/>
        </w:rPr>
        <w:t xml:space="preserve">levels </w:t>
      </w:r>
      <w:r w:rsidR="003429E1">
        <w:rPr>
          <w:rFonts w:ascii="Aptos" w:eastAsia="Aptos" w:hAnsi="Aptos" w:cs="Arial"/>
          <w:kern w:val="2"/>
          <w:sz w:val="22"/>
          <w:szCs w:val="22"/>
          <w14:ligatures w14:val="standardContextual"/>
        </w:rPr>
        <w:t>for problem solving and digital content creation.</w:t>
      </w:r>
    </w:p>
    <w:p w14:paraId="73343BE9" w14:textId="77777777" w:rsidR="00D50388" w:rsidRPr="005F7253"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A different way to analyse these data is by comparing the distribution of country values for the activities that comprise each of the five skill areas. This provides a view of the prevalence of each activity among Internet users relative to others in the same area. It also shows the wide range of variation in ICT skills in countries in the region even when focusing only on those using the Internet.</w:t>
      </w:r>
    </w:p>
    <w:p w14:paraId="35EB50DB" w14:textId="77777777" w:rsidR="00D50388" w:rsidRPr="005F7253" w:rsidRDefault="00D50388" w:rsidP="00D5038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lastRenderedPageBreak/>
        <w:t>Percentage of Internet users with information and data literacy skills, latest year available</w:t>
      </w:r>
    </w:p>
    <w:p w14:paraId="1F89BB1A" w14:textId="31AD9D60" w:rsidR="00D50388" w:rsidRPr="00771C58" w:rsidRDefault="003113A7"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3EC05E5B" wp14:editId="15E64A31">
            <wp:extent cx="6120765" cy="3998595"/>
            <wp:effectExtent l="0" t="0" r="0" b="1905"/>
            <wp:docPr id="184082287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822876" name=""/>
                    <pic:cNvPicPr/>
                  </pic:nvPicPr>
                  <pic:blipFill>
                    <a:blip r:embed="rId101">
                      <a:extLst>
                        <a:ext uri="{96DAC541-7B7A-43D3-8B79-37D633B846F1}">
                          <asvg:svgBlip xmlns:asvg="http://schemas.microsoft.com/office/drawing/2016/SVG/main" r:embed="rId102"/>
                        </a:ext>
                      </a:extLst>
                    </a:blip>
                    <a:stretch>
                      <a:fillRect/>
                    </a:stretch>
                  </pic:blipFill>
                  <pic:spPr>
                    <a:xfrm>
                      <a:off x="0" y="0"/>
                      <a:ext cx="6120765" cy="3998595"/>
                    </a:xfrm>
                    <a:prstGeom prst="rect">
                      <a:avLst/>
                    </a:prstGeom>
                  </pic:spPr>
                </pic:pic>
              </a:graphicData>
            </a:graphic>
          </wp:inline>
        </w:drawing>
      </w:r>
      <w:r w:rsidR="00D50388" w:rsidRPr="00771C58">
        <w:rPr>
          <w:rFonts w:ascii="Aptos" w:eastAsia="Aptos" w:hAnsi="Aptos" w:cs="Arial"/>
          <w:kern w:val="2"/>
          <w:sz w:val="16"/>
          <w:szCs w:val="28"/>
          <w14:ligatures w14:val="standardContextual"/>
        </w:rPr>
        <w:t xml:space="preserve">Note: Bars indicate the 25th, median and 75th percentile of all country values. The whiskers (bottom and top lines) indicate individual minimum and maximum values. In-scope age varies between countries. Country data are for 2023 where available but no earlier than 2020. Data availability varies between indicators, ranging from six countries for </w:t>
      </w:r>
      <w:r w:rsidR="00D50388" w:rsidRPr="00771C58">
        <w:rPr>
          <w:rFonts w:ascii="Aptos" w:eastAsia="Aptos" w:hAnsi="Aptos" w:cs="Arial"/>
          <w:i/>
          <w:kern w:val="2"/>
          <w:sz w:val="16"/>
          <w:szCs w:val="28"/>
          <w14:ligatures w14:val="standardContextual"/>
        </w:rPr>
        <w:t>Verifying the reliability of information found online to</w:t>
      </w:r>
      <w:r w:rsidR="00D50388" w:rsidRPr="00771C58">
        <w:rPr>
          <w:rFonts w:ascii="Aptos" w:eastAsia="Aptos" w:hAnsi="Aptos" w:cs="Arial"/>
          <w:kern w:val="2"/>
          <w:sz w:val="16"/>
          <w:szCs w:val="28"/>
          <w14:ligatures w14:val="standardContextual"/>
        </w:rPr>
        <w:t xml:space="preserve"> </w:t>
      </w:r>
      <w:r w:rsidR="00246486" w:rsidRPr="00771C58">
        <w:rPr>
          <w:rFonts w:ascii="Aptos" w:eastAsia="Aptos" w:hAnsi="Aptos" w:cs="Arial"/>
          <w:kern w:val="2"/>
          <w:sz w:val="16"/>
          <w:szCs w:val="28"/>
          <w14:ligatures w14:val="standardContextual"/>
        </w:rPr>
        <w:t>eleven</w:t>
      </w:r>
      <w:r w:rsidR="00D50388" w:rsidRPr="00771C58">
        <w:rPr>
          <w:rFonts w:ascii="Aptos" w:eastAsia="Aptos" w:hAnsi="Aptos" w:cs="Arial"/>
          <w:kern w:val="2"/>
          <w:sz w:val="16"/>
          <w:szCs w:val="28"/>
          <w14:ligatures w14:val="standardContextual"/>
        </w:rPr>
        <w:t xml:space="preserve"> countries for </w:t>
      </w:r>
      <w:r w:rsidR="00D50388" w:rsidRPr="00771C58">
        <w:rPr>
          <w:rFonts w:ascii="Aptos" w:eastAsia="Aptos" w:hAnsi="Aptos" w:cs="Arial"/>
          <w:i/>
          <w:iCs/>
          <w:kern w:val="2"/>
          <w:sz w:val="16"/>
          <w:szCs w:val="28"/>
          <w14:ligatures w14:val="standardContextual"/>
        </w:rPr>
        <w:t>Getting</w:t>
      </w:r>
      <w:r w:rsidR="00D50388" w:rsidRPr="00771C58">
        <w:rPr>
          <w:rFonts w:ascii="Aptos" w:eastAsia="Aptos" w:hAnsi="Aptos" w:cs="Arial"/>
          <w:i/>
          <w:kern w:val="2"/>
          <w:sz w:val="16"/>
          <w:szCs w:val="28"/>
          <w14:ligatures w14:val="standardContextual"/>
        </w:rPr>
        <w:t xml:space="preserve"> information</w:t>
      </w:r>
      <w:r w:rsidR="00D50388" w:rsidRPr="00771C58">
        <w:rPr>
          <w:rFonts w:ascii="Aptos" w:eastAsia="Aptos" w:hAnsi="Aptos" w:cs="Arial"/>
          <w:i/>
          <w:iCs/>
          <w:kern w:val="2"/>
          <w:sz w:val="16"/>
          <w:szCs w:val="28"/>
          <w14:ligatures w14:val="standardContextual"/>
        </w:rPr>
        <w:t xml:space="preserve"> about goods or services. </w:t>
      </w:r>
      <w:r w:rsidR="00D50388" w:rsidRPr="00771C58">
        <w:rPr>
          <w:rFonts w:ascii="Aptos" w:eastAsia="Aptos" w:hAnsi="Aptos" w:cs="Arial"/>
          <w:kern w:val="2"/>
          <w:sz w:val="16"/>
          <w:szCs w:val="28"/>
          <w14:ligatures w14:val="standardContextual"/>
        </w:rPr>
        <w:t xml:space="preserve">Detailed information – including complete indicator names – is available </w:t>
      </w:r>
      <w:hyperlink r:id="rId103" w:history="1">
        <w:r w:rsidR="00D50388" w:rsidRPr="00771C58">
          <w:rPr>
            <w:rFonts w:ascii="Aptos" w:eastAsia="Aptos" w:hAnsi="Aptos" w:cs="Arial"/>
            <w:color w:val="467886"/>
            <w:kern w:val="2"/>
            <w:sz w:val="16"/>
            <w:szCs w:val="28"/>
            <w:u w:val="single"/>
            <w14:ligatures w14:val="standardContextual"/>
          </w:rPr>
          <w:t>here</w:t>
        </w:r>
      </w:hyperlink>
      <w:r w:rsidR="00D50388" w:rsidRPr="00771C58">
        <w:rPr>
          <w:rFonts w:ascii="Aptos" w:eastAsia="Aptos" w:hAnsi="Aptos" w:cs="Arial"/>
          <w:kern w:val="2"/>
          <w:sz w:val="16"/>
          <w:szCs w:val="28"/>
          <w14:ligatures w14:val="standardContextual"/>
        </w:rPr>
        <w:t>.</w:t>
      </w:r>
    </w:p>
    <w:p w14:paraId="01DB8A3F" w14:textId="77777777" w:rsidR="00D50388" w:rsidRPr="005F7253" w:rsidRDefault="00D50388"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771C58">
        <w:rPr>
          <w:rFonts w:ascii="Aptos" w:eastAsia="Aptos" w:hAnsi="Aptos" w:cs="Arial"/>
          <w:kern w:val="2"/>
          <w:sz w:val="16"/>
          <w:szCs w:val="28"/>
          <w14:ligatures w14:val="standardContextual"/>
        </w:rPr>
        <w:t>Source: ITU</w:t>
      </w:r>
    </w:p>
    <w:p w14:paraId="5E535665" w14:textId="5EEE30CB" w:rsidR="00D50388" w:rsidRPr="005F7253"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456A9E">
        <w:rPr>
          <w:rFonts w:ascii="Aptos" w:eastAsia="Aptos" w:hAnsi="Aptos" w:cs="Arial"/>
          <w:kern w:val="2"/>
          <w:sz w:val="22"/>
          <w:szCs w:val="22"/>
          <w14:ligatures w14:val="standardContextual"/>
        </w:rPr>
        <w:t>For information and data literacy, getting information about goods or services had the highest median (</w:t>
      </w:r>
      <w:r w:rsidR="00F35D19" w:rsidRPr="00456A9E">
        <w:rPr>
          <w:rFonts w:ascii="Aptos" w:eastAsia="Aptos" w:hAnsi="Aptos" w:cs="Arial"/>
          <w:kern w:val="2"/>
          <w:sz w:val="22"/>
          <w:szCs w:val="22"/>
          <w14:ligatures w14:val="standardContextual"/>
        </w:rPr>
        <w:t>52</w:t>
      </w:r>
      <w:r w:rsidRPr="00456A9E">
        <w:rPr>
          <w:rFonts w:ascii="Aptos" w:eastAsia="Aptos" w:hAnsi="Aptos" w:cs="Arial"/>
          <w:kern w:val="2"/>
          <w:sz w:val="22"/>
          <w:szCs w:val="22"/>
          <w14:ligatures w14:val="standardContextual"/>
        </w:rPr>
        <w:t xml:space="preserve"> per cent) of the four activities that make up this skill category. </w:t>
      </w:r>
      <w:r w:rsidR="00B8461A" w:rsidRPr="00456A9E">
        <w:rPr>
          <w:rFonts w:ascii="Aptos" w:eastAsia="Aptos" w:hAnsi="Aptos" w:cs="Arial"/>
          <w:kern w:val="2"/>
          <w:sz w:val="22"/>
          <w:szCs w:val="22"/>
          <w14:ligatures w14:val="standardContextual"/>
        </w:rPr>
        <w:t xml:space="preserve">Seeking health information (median of </w:t>
      </w:r>
      <w:r w:rsidR="00F53809" w:rsidRPr="00456A9E">
        <w:rPr>
          <w:rFonts w:ascii="Aptos" w:eastAsia="Aptos" w:hAnsi="Aptos" w:cs="Arial"/>
          <w:kern w:val="2"/>
          <w:sz w:val="22"/>
          <w:szCs w:val="22"/>
          <w14:ligatures w14:val="standardContextual"/>
        </w:rPr>
        <w:t xml:space="preserve">45 </w:t>
      </w:r>
      <w:r w:rsidR="00C012C5">
        <w:rPr>
          <w:rFonts w:ascii="Aptos" w:eastAsia="Aptos" w:hAnsi="Aptos" w:cs="Arial"/>
          <w:kern w:val="2"/>
          <w:sz w:val="22"/>
          <w:szCs w:val="22"/>
          <w14:ligatures w14:val="standardContextual"/>
        </w:rPr>
        <w:t>per cent</w:t>
      </w:r>
      <w:r w:rsidR="00F53809" w:rsidRPr="00456A9E">
        <w:rPr>
          <w:rFonts w:ascii="Aptos" w:eastAsia="Aptos" w:hAnsi="Aptos" w:cs="Arial"/>
          <w:kern w:val="2"/>
          <w:sz w:val="22"/>
          <w:szCs w:val="22"/>
          <w14:ligatures w14:val="standardContextual"/>
        </w:rPr>
        <w:t xml:space="preserve">) and verifying the reliability of information found online (median of 41 per cent) </w:t>
      </w:r>
      <w:r w:rsidRPr="00456A9E">
        <w:rPr>
          <w:rFonts w:ascii="Aptos" w:eastAsia="Aptos" w:hAnsi="Aptos" w:cs="Arial"/>
          <w:kern w:val="2"/>
          <w:sz w:val="22"/>
          <w:szCs w:val="22"/>
          <w14:ligatures w14:val="standardContextual"/>
        </w:rPr>
        <w:t>had similar distributions of country shares.</w:t>
      </w:r>
      <w:r w:rsidRPr="00456A9E" w:rsidDel="004317D7">
        <w:rPr>
          <w:rFonts w:ascii="Aptos" w:eastAsia="Aptos" w:hAnsi="Aptos" w:cs="Arial"/>
          <w:kern w:val="2"/>
          <w:sz w:val="22"/>
          <w:szCs w:val="22"/>
          <w14:ligatures w14:val="standardContextual"/>
        </w:rPr>
        <w:t xml:space="preserve"> </w:t>
      </w:r>
      <w:r w:rsidRPr="00456A9E">
        <w:rPr>
          <w:rFonts w:ascii="Aptos" w:eastAsia="Aptos" w:hAnsi="Aptos" w:cs="Arial"/>
          <w:kern w:val="2"/>
          <w:sz w:val="22"/>
          <w:szCs w:val="22"/>
          <w14:ligatures w14:val="standardContextual"/>
        </w:rPr>
        <w:t xml:space="preserve">Conversely, </w:t>
      </w:r>
      <w:r w:rsidR="00F53809" w:rsidRPr="00456A9E">
        <w:rPr>
          <w:rFonts w:ascii="Aptos" w:eastAsia="Aptos" w:hAnsi="Aptos" w:cs="Arial"/>
          <w:kern w:val="2"/>
          <w:sz w:val="22"/>
          <w:szCs w:val="22"/>
          <w14:ligatures w14:val="standardContextual"/>
        </w:rPr>
        <w:t xml:space="preserve">using the Internet to read or download newspapers, magazines or books </w:t>
      </w:r>
      <w:r w:rsidRPr="00456A9E">
        <w:rPr>
          <w:rFonts w:ascii="Aptos" w:eastAsia="Aptos" w:hAnsi="Aptos" w:cs="Arial"/>
          <w:kern w:val="2"/>
          <w:sz w:val="22"/>
          <w:szCs w:val="22"/>
          <w14:ligatures w14:val="standardContextual"/>
        </w:rPr>
        <w:t xml:space="preserve">was less frequently reported (median of </w:t>
      </w:r>
      <w:r w:rsidR="00456A9E" w:rsidRPr="00456A9E">
        <w:rPr>
          <w:rFonts w:ascii="Aptos" w:eastAsia="Aptos" w:hAnsi="Aptos" w:cs="Arial"/>
          <w:kern w:val="2"/>
          <w:sz w:val="22"/>
          <w:szCs w:val="22"/>
          <w14:ligatures w14:val="standardContextual"/>
        </w:rPr>
        <w:t>30</w:t>
      </w:r>
      <w:r w:rsidRPr="00456A9E">
        <w:rPr>
          <w:rFonts w:ascii="Aptos" w:eastAsia="Aptos" w:hAnsi="Aptos" w:cs="Arial"/>
          <w:kern w:val="2"/>
          <w:sz w:val="22"/>
          <w:szCs w:val="22"/>
          <w14:ligatures w14:val="standardContextual"/>
        </w:rPr>
        <w:t xml:space="preserve"> per cent) by individuals across the region.</w:t>
      </w:r>
    </w:p>
    <w:p w14:paraId="3E2653C9" w14:textId="77777777" w:rsidR="00D50388" w:rsidRPr="005F7253" w:rsidRDefault="00D50388" w:rsidP="00D5038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lastRenderedPageBreak/>
        <w:t>Percentage of Internet users with communication and collaboration skills, latest year available</w:t>
      </w:r>
    </w:p>
    <w:p w14:paraId="5F69107F" w14:textId="5F184092" w:rsidR="00D50388" w:rsidRPr="005F7253" w:rsidRDefault="000971EA"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442A4F48" wp14:editId="5755A77A">
            <wp:extent cx="6120765" cy="2649855"/>
            <wp:effectExtent l="0" t="0" r="0" b="0"/>
            <wp:docPr id="6733193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319333" name=""/>
                    <pic:cNvPicPr/>
                  </pic:nvPicPr>
                  <pic:blipFill>
                    <a:blip r:embed="rId104">
                      <a:extLst>
                        <a:ext uri="{96DAC541-7B7A-43D3-8B79-37D633B846F1}">
                          <asvg:svgBlip xmlns:asvg="http://schemas.microsoft.com/office/drawing/2016/SVG/main" r:embed="rId105"/>
                        </a:ext>
                      </a:extLst>
                    </a:blip>
                    <a:stretch>
                      <a:fillRect/>
                    </a:stretch>
                  </pic:blipFill>
                  <pic:spPr>
                    <a:xfrm>
                      <a:off x="0" y="0"/>
                      <a:ext cx="6120765" cy="2649855"/>
                    </a:xfrm>
                    <a:prstGeom prst="rect">
                      <a:avLst/>
                    </a:prstGeom>
                  </pic:spPr>
                </pic:pic>
              </a:graphicData>
            </a:graphic>
          </wp:inline>
        </w:drawing>
      </w:r>
      <w:r w:rsidR="00D50388" w:rsidRPr="005F7253">
        <w:rPr>
          <w:rFonts w:ascii="Aptos" w:eastAsia="Aptos" w:hAnsi="Aptos" w:cs="Arial"/>
          <w:kern w:val="2"/>
          <w:sz w:val="16"/>
          <w:szCs w:val="28"/>
          <w14:ligatures w14:val="standardContextual"/>
        </w:rPr>
        <w:t xml:space="preserve">Note: Bars indicate the 25th, median and 75th percentile of all country values. </w:t>
      </w:r>
      <w:r w:rsidR="00D50388" w:rsidRPr="00B76258">
        <w:rPr>
          <w:rFonts w:ascii="Aptos" w:eastAsia="Aptos" w:hAnsi="Aptos" w:cs="Arial"/>
          <w:kern w:val="2"/>
          <w:sz w:val="16"/>
          <w:szCs w:val="28"/>
          <w14:ligatures w14:val="standardContextual"/>
        </w:rPr>
        <w:t xml:space="preserve">The whiskers (bottom and top lines) indicate individual </w:t>
      </w:r>
      <w:r w:rsidR="00D50388" w:rsidRPr="003C3241">
        <w:rPr>
          <w:rFonts w:ascii="Aptos" w:eastAsia="Aptos" w:hAnsi="Aptos" w:cs="Arial"/>
          <w:kern w:val="2"/>
          <w:sz w:val="16"/>
          <w:szCs w:val="28"/>
          <w14:ligatures w14:val="standardContextual"/>
        </w:rPr>
        <w:t xml:space="preserve">minimum and maximum values. In-scope age varies between countries. Country data are for 2023 where available but no earlier than 2020. Data availability varies between indicators, ranging from </w:t>
      </w:r>
      <w:r w:rsidR="004F7C5E" w:rsidRPr="003C3241">
        <w:rPr>
          <w:rFonts w:ascii="Aptos" w:eastAsia="Aptos" w:hAnsi="Aptos" w:cs="Arial"/>
          <w:kern w:val="2"/>
          <w:sz w:val="16"/>
          <w:szCs w:val="28"/>
          <w14:ligatures w14:val="standardContextual"/>
        </w:rPr>
        <w:t>three</w:t>
      </w:r>
      <w:r w:rsidR="00D50388" w:rsidRPr="003C3241">
        <w:rPr>
          <w:rFonts w:ascii="Aptos" w:eastAsia="Aptos" w:hAnsi="Aptos" w:cs="Arial"/>
          <w:kern w:val="2"/>
          <w:sz w:val="16"/>
          <w:szCs w:val="28"/>
          <w14:ligatures w14:val="standardContextual"/>
        </w:rPr>
        <w:t xml:space="preserve"> countries for </w:t>
      </w:r>
      <w:r w:rsidR="00D50388" w:rsidRPr="003C3241">
        <w:rPr>
          <w:rFonts w:ascii="Aptos" w:eastAsia="Aptos" w:hAnsi="Aptos" w:cs="Arial"/>
          <w:i/>
          <w:kern w:val="2"/>
          <w:sz w:val="16"/>
          <w:szCs w:val="28"/>
          <w14:ligatures w14:val="standardContextual"/>
        </w:rPr>
        <w:t xml:space="preserve">Taking part in online consultation or voting to define civic or political issues </w:t>
      </w:r>
      <w:r w:rsidR="004F7C5E" w:rsidRPr="003C3241">
        <w:rPr>
          <w:rFonts w:ascii="Aptos" w:eastAsia="Aptos" w:hAnsi="Aptos" w:cs="Arial"/>
          <w:kern w:val="2"/>
          <w:sz w:val="16"/>
          <w:szCs w:val="28"/>
          <w14:ligatures w14:val="standardContextual"/>
        </w:rPr>
        <w:t xml:space="preserve">to </w:t>
      </w:r>
      <w:r w:rsidR="004473F2" w:rsidRPr="003C3241">
        <w:rPr>
          <w:rFonts w:ascii="Aptos" w:eastAsia="Aptos" w:hAnsi="Aptos" w:cs="Arial"/>
          <w:kern w:val="2"/>
          <w:sz w:val="16"/>
          <w:szCs w:val="28"/>
          <w14:ligatures w14:val="standardContextual"/>
        </w:rPr>
        <w:t>eleven</w:t>
      </w:r>
      <w:r w:rsidR="004F7C5E" w:rsidRPr="003C3241">
        <w:rPr>
          <w:rFonts w:ascii="Aptos" w:eastAsia="Aptos" w:hAnsi="Aptos" w:cs="Arial"/>
          <w:kern w:val="2"/>
          <w:sz w:val="16"/>
          <w:szCs w:val="28"/>
          <w14:ligatures w14:val="standardContextual"/>
        </w:rPr>
        <w:t xml:space="preserve"> </w:t>
      </w:r>
      <w:r w:rsidR="004473F2" w:rsidRPr="003C3241">
        <w:rPr>
          <w:rFonts w:ascii="Aptos" w:eastAsia="Aptos" w:hAnsi="Aptos" w:cs="Arial"/>
          <w:kern w:val="2"/>
          <w:sz w:val="16"/>
          <w:szCs w:val="28"/>
          <w14:ligatures w14:val="standardContextual"/>
        </w:rPr>
        <w:t>c</w:t>
      </w:r>
      <w:r w:rsidR="00D50388" w:rsidRPr="003C3241">
        <w:rPr>
          <w:rFonts w:ascii="Aptos" w:eastAsia="Aptos" w:hAnsi="Aptos" w:cs="Arial"/>
          <w:kern w:val="2"/>
          <w:sz w:val="16"/>
          <w:szCs w:val="28"/>
          <w14:ligatures w14:val="standardContextual"/>
        </w:rPr>
        <w:t xml:space="preserve">ountries for </w:t>
      </w:r>
      <w:r w:rsidR="004473F2" w:rsidRPr="003C3241">
        <w:rPr>
          <w:rFonts w:ascii="Aptos" w:eastAsia="Aptos" w:hAnsi="Aptos" w:cs="Arial"/>
          <w:i/>
          <w:iCs/>
          <w:kern w:val="2"/>
          <w:sz w:val="16"/>
          <w:szCs w:val="28"/>
          <w14:ligatures w14:val="standardContextual"/>
        </w:rPr>
        <w:t>Making calls using VoIP or messaging app</w:t>
      </w:r>
      <w:r w:rsidR="00D50388" w:rsidRPr="003C3241">
        <w:rPr>
          <w:rFonts w:ascii="Aptos" w:eastAsia="Aptos" w:hAnsi="Aptos" w:cs="Arial"/>
          <w:i/>
          <w:kern w:val="2"/>
          <w:sz w:val="16"/>
          <w:szCs w:val="28"/>
          <w14:ligatures w14:val="standardContextual"/>
        </w:rPr>
        <w:t xml:space="preserve">. </w:t>
      </w:r>
      <w:r w:rsidR="00D50388" w:rsidRPr="003C3241">
        <w:rPr>
          <w:rFonts w:ascii="Aptos" w:eastAsia="Aptos" w:hAnsi="Aptos" w:cs="Arial"/>
          <w:kern w:val="2"/>
          <w:sz w:val="16"/>
          <w:szCs w:val="28"/>
          <w14:ligatures w14:val="standardContextual"/>
        </w:rPr>
        <w:t xml:space="preserve">Detailed information – including complete indicator names – </w:t>
      </w:r>
      <w:r w:rsidR="00FF3651" w:rsidRPr="003C3241">
        <w:rPr>
          <w:rFonts w:ascii="Aptos" w:eastAsia="Aptos" w:hAnsi="Aptos" w:cs="Arial"/>
          <w:kern w:val="2"/>
          <w:sz w:val="16"/>
          <w:szCs w:val="28"/>
          <w14:ligatures w14:val="standardContextual"/>
        </w:rPr>
        <w:t xml:space="preserve">is available </w:t>
      </w:r>
      <w:hyperlink r:id="rId106" w:history="1">
        <w:r w:rsidR="00FF3651" w:rsidRPr="003C3241">
          <w:rPr>
            <w:rFonts w:ascii="Aptos" w:eastAsia="Aptos" w:hAnsi="Aptos" w:cs="Arial"/>
            <w:color w:val="467886"/>
            <w:kern w:val="2"/>
            <w:sz w:val="16"/>
            <w:szCs w:val="28"/>
            <w:u w:val="single"/>
            <w14:ligatures w14:val="standardContextual"/>
          </w:rPr>
          <w:t>here</w:t>
        </w:r>
      </w:hyperlink>
      <w:r w:rsidR="00D50388" w:rsidRPr="003C3241">
        <w:rPr>
          <w:rFonts w:ascii="Aptos" w:eastAsia="Aptos" w:hAnsi="Aptos" w:cs="Arial"/>
          <w:kern w:val="2"/>
          <w:sz w:val="16"/>
          <w:szCs w:val="28"/>
          <w14:ligatures w14:val="standardContextual"/>
        </w:rPr>
        <w:t>.</w:t>
      </w:r>
    </w:p>
    <w:p w14:paraId="5CAAC71B" w14:textId="77777777" w:rsidR="00D50388" w:rsidRPr="005F7253" w:rsidRDefault="00D50388"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1EA53106" w14:textId="0E532CC9" w:rsidR="00D50388" w:rsidRPr="005F7253"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9A3AA5">
        <w:rPr>
          <w:rFonts w:ascii="Aptos" w:eastAsia="Aptos" w:hAnsi="Aptos" w:cs="Arial"/>
          <w:kern w:val="2"/>
          <w:sz w:val="22"/>
          <w:szCs w:val="22"/>
          <w14:ligatures w14:val="standardContextual"/>
        </w:rPr>
        <w:t xml:space="preserve">The medians for communication and collaboration were much higher than for information and data literacy, </w:t>
      </w:r>
      <w:r w:rsidR="00456A9E" w:rsidRPr="009A3AA5">
        <w:rPr>
          <w:rFonts w:ascii="Aptos" w:eastAsia="Aptos" w:hAnsi="Aptos" w:cs="Arial"/>
          <w:kern w:val="2"/>
          <w:sz w:val="22"/>
          <w:szCs w:val="22"/>
          <w14:ligatures w14:val="standardContextual"/>
        </w:rPr>
        <w:t xml:space="preserve">especially for </w:t>
      </w:r>
      <w:r w:rsidR="003A2CC5" w:rsidRPr="009A3AA5">
        <w:rPr>
          <w:rFonts w:ascii="Aptos" w:eastAsia="Aptos" w:hAnsi="Aptos" w:cs="Arial"/>
          <w:kern w:val="2"/>
          <w:sz w:val="22"/>
          <w:szCs w:val="22"/>
          <w14:ligatures w14:val="standardContextual"/>
        </w:rPr>
        <w:t xml:space="preserve">making calls using VoIP or messaging app (median of </w:t>
      </w:r>
      <w:r w:rsidR="003C3988" w:rsidRPr="009A3AA5">
        <w:rPr>
          <w:rFonts w:ascii="Aptos" w:eastAsia="Aptos" w:hAnsi="Aptos" w:cs="Arial"/>
          <w:kern w:val="2"/>
          <w:sz w:val="22"/>
          <w:szCs w:val="22"/>
          <w14:ligatures w14:val="standardContextual"/>
        </w:rPr>
        <w:t xml:space="preserve">84 </w:t>
      </w:r>
      <w:r w:rsidR="003A2CC5" w:rsidRPr="009A3AA5">
        <w:rPr>
          <w:rFonts w:ascii="Aptos" w:eastAsia="Aptos" w:hAnsi="Aptos" w:cs="Arial"/>
          <w:kern w:val="2"/>
          <w:sz w:val="22"/>
          <w:szCs w:val="22"/>
          <w14:ligatures w14:val="standardContextual"/>
        </w:rPr>
        <w:t xml:space="preserve">per cent) and participating in social networks (median of </w:t>
      </w:r>
      <w:r w:rsidR="003C3988" w:rsidRPr="009A3AA5">
        <w:rPr>
          <w:rFonts w:ascii="Aptos" w:eastAsia="Aptos" w:hAnsi="Aptos" w:cs="Arial"/>
          <w:kern w:val="2"/>
          <w:sz w:val="22"/>
          <w:szCs w:val="22"/>
          <w14:ligatures w14:val="standardContextual"/>
        </w:rPr>
        <w:t>80 per cent)</w:t>
      </w:r>
      <w:r w:rsidRPr="009A3AA5">
        <w:rPr>
          <w:rFonts w:ascii="Aptos" w:eastAsia="Aptos" w:hAnsi="Aptos" w:cs="Arial"/>
          <w:kern w:val="2"/>
          <w:sz w:val="22"/>
          <w:szCs w:val="22"/>
          <w14:ligatures w14:val="standardContextual"/>
        </w:rPr>
        <w:t xml:space="preserve">. The one exception was taking part in online consultations or voting to define civic or political issues, which had a median of only </w:t>
      </w:r>
      <w:r w:rsidR="009A3AA5" w:rsidRPr="009A3AA5">
        <w:rPr>
          <w:rFonts w:ascii="Aptos" w:eastAsia="Aptos" w:hAnsi="Aptos" w:cs="Arial"/>
          <w:kern w:val="2"/>
          <w:sz w:val="22"/>
          <w:szCs w:val="22"/>
          <w14:ligatures w14:val="standardContextual"/>
        </w:rPr>
        <w:t>9</w:t>
      </w:r>
      <w:r w:rsidRPr="009A3AA5">
        <w:rPr>
          <w:rFonts w:ascii="Aptos" w:eastAsia="Aptos" w:hAnsi="Aptos" w:cs="Arial"/>
          <w:kern w:val="2"/>
          <w:sz w:val="22"/>
          <w:szCs w:val="22"/>
          <w14:ligatures w14:val="standardContextual"/>
        </w:rPr>
        <w:t xml:space="preserve"> per cent</w:t>
      </w:r>
      <w:r w:rsidR="00C027B9">
        <w:rPr>
          <w:rFonts w:ascii="Aptos" w:eastAsia="Aptos" w:hAnsi="Aptos" w:cs="Arial"/>
          <w:kern w:val="2"/>
          <w:sz w:val="22"/>
          <w:szCs w:val="22"/>
          <w14:ligatures w14:val="standardContextual"/>
        </w:rPr>
        <w:t xml:space="preserve"> and </w:t>
      </w:r>
      <w:r w:rsidR="00136E8E">
        <w:rPr>
          <w:rFonts w:ascii="Aptos" w:eastAsia="Aptos" w:hAnsi="Aptos" w:cs="Arial"/>
          <w:kern w:val="2"/>
          <w:sz w:val="22"/>
          <w:szCs w:val="22"/>
          <w14:ligatures w14:val="standardContextual"/>
        </w:rPr>
        <w:t>where data were collected in only three countries</w:t>
      </w:r>
      <w:r w:rsidRPr="009A3AA5">
        <w:rPr>
          <w:rFonts w:ascii="Aptos" w:eastAsia="Aptos" w:hAnsi="Aptos" w:cs="Arial"/>
          <w:kern w:val="2"/>
          <w:sz w:val="22"/>
          <w:szCs w:val="22"/>
          <w14:ligatures w14:val="standardContextual"/>
        </w:rPr>
        <w:t>.</w:t>
      </w:r>
    </w:p>
    <w:p w14:paraId="42568155" w14:textId="77777777" w:rsidR="00D50388" w:rsidRPr="005F7253" w:rsidRDefault="00D50388" w:rsidP="00D5038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Internet users with digital content creation skills, latest year available</w:t>
      </w:r>
    </w:p>
    <w:p w14:paraId="0BAC5EAB" w14:textId="7080EF7E" w:rsidR="00D50388" w:rsidRPr="005F7253" w:rsidRDefault="000971EA"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2BAD57BB" wp14:editId="0EAF03B4">
            <wp:extent cx="6120765" cy="3220720"/>
            <wp:effectExtent l="0" t="0" r="0" b="0"/>
            <wp:docPr id="7240810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81020" name=""/>
                    <pic:cNvPicPr/>
                  </pic:nvPicPr>
                  <pic:blipFill>
                    <a:blip r:embed="rId107">
                      <a:extLst>
                        <a:ext uri="{96DAC541-7B7A-43D3-8B79-37D633B846F1}">
                          <asvg:svgBlip xmlns:asvg="http://schemas.microsoft.com/office/drawing/2016/SVG/main" r:embed="rId108"/>
                        </a:ext>
                      </a:extLst>
                    </a:blip>
                    <a:stretch>
                      <a:fillRect/>
                    </a:stretch>
                  </pic:blipFill>
                  <pic:spPr>
                    <a:xfrm>
                      <a:off x="0" y="0"/>
                      <a:ext cx="6120765" cy="3220720"/>
                    </a:xfrm>
                    <a:prstGeom prst="rect">
                      <a:avLst/>
                    </a:prstGeom>
                  </pic:spPr>
                </pic:pic>
              </a:graphicData>
            </a:graphic>
          </wp:inline>
        </w:drawing>
      </w:r>
      <w:r w:rsidR="00D50388" w:rsidRPr="00DE010D">
        <w:rPr>
          <w:rFonts w:ascii="Aptos" w:eastAsia="Aptos" w:hAnsi="Aptos" w:cs="Arial"/>
          <w:kern w:val="2"/>
          <w:sz w:val="16"/>
          <w:szCs w:val="28"/>
          <w14:ligatures w14:val="standardContextual"/>
        </w:rPr>
        <w:t xml:space="preserve">Note: Bars indicate the 25th, median and 75th percentile of all country values. The whiskers (bottom and top lines) indicate individual minimum and maximum values. In-scope age varies between countries. Country data are for 2023 where available but no earlier than 2020. Data availability varies among indicators, ranging from </w:t>
      </w:r>
      <w:r w:rsidR="006D1754" w:rsidRPr="00DE010D">
        <w:rPr>
          <w:rFonts w:ascii="Aptos" w:eastAsia="Aptos" w:hAnsi="Aptos" w:cs="Arial"/>
          <w:kern w:val="2"/>
          <w:sz w:val="16"/>
          <w:szCs w:val="28"/>
          <w14:ligatures w14:val="standardContextual"/>
        </w:rPr>
        <w:t>six</w:t>
      </w:r>
      <w:r w:rsidR="00D50388" w:rsidRPr="00DE010D">
        <w:rPr>
          <w:rFonts w:ascii="Aptos" w:eastAsia="Aptos" w:hAnsi="Aptos" w:cs="Arial"/>
          <w:kern w:val="2"/>
          <w:sz w:val="16"/>
          <w:szCs w:val="28"/>
          <w14:ligatures w14:val="standardContextual"/>
        </w:rPr>
        <w:t xml:space="preserve"> countries for </w:t>
      </w:r>
      <w:r w:rsidR="00D50388" w:rsidRPr="00DE010D">
        <w:rPr>
          <w:rFonts w:ascii="Aptos" w:eastAsia="Aptos" w:hAnsi="Aptos" w:cs="Arial"/>
          <w:i/>
          <w:kern w:val="2"/>
          <w:sz w:val="16"/>
          <w:szCs w:val="28"/>
          <w14:ligatures w14:val="standardContextual"/>
        </w:rPr>
        <w:t xml:space="preserve">Using software run over the Internet for editing text documents, spreadsheets or presentations </w:t>
      </w:r>
      <w:r w:rsidR="00D50388" w:rsidRPr="00DE010D">
        <w:rPr>
          <w:rFonts w:ascii="Aptos" w:eastAsia="Aptos" w:hAnsi="Aptos" w:cs="Arial"/>
          <w:kern w:val="2"/>
          <w:sz w:val="16"/>
          <w:szCs w:val="28"/>
          <w14:ligatures w14:val="standardContextual"/>
        </w:rPr>
        <w:t xml:space="preserve">to </w:t>
      </w:r>
      <w:r w:rsidR="00660E6D" w:rsidRPr="00DE010D">
        <w:rPr>
          <w:rFonts w:ascii="Aptos" w:eastAsia="Aptos" w:hAnsi="Aptos" w:cs="Arial"/>
          <w:kern w:val="2"/>
          <w:sz w:val="16"/>
          <w:szCs w:val="28"/>
          <w14:ligatures w14:val="standardContextual"/>
        </w:rPr>
        <w:t>ten</w:t>
      </w:r>
      <w:r w:rsidR="00D50388" w:rsidRPr="00DE010D">
        <w:rPr>
          <w:rFonts w:ascii="Aptos" w:eastAsia="Aptos" w:hAnsi="Aptos" w:cs="Arial"/>
          <w:kern w:val="2"/>
          <w:sz w:val="16"/>
          <w:szCs w:val="28"/>
          <w14:ligatures w14:val="standardContextual"/>
        </w:rPr>
        <w:t xml:space="preserve"> countries for </w:t>
      </w:r>
      <w:r w:rsidR="00660E6D" w:rsidRPr="00DE010D">
        <w:rPr>
          <w:rFonts w:ascii="Aptos" w:eastAsia="Aptos" w:hAnsi="Aptos" w:cs="Arial"/>
          <w:i/>
          <w:iCs/>
          <w:kern w:val="2"/>
          <w:sz w:val="16"/>
          <w:szCs w:val="28"/>
          <w14:ligatures w14:val="standardContextual"/>
        </w:rPr>
        <w:t>Writing a computer program using a programming language</w:t>
      </w:r>
      <w:r w:rsidR="00660E6D" w:rsidRPr="00DE010D">
        <w:rPr>
          <w:rFonts w:ascii="Aptos" w:eastAsia="Aptos" w:hAnsi="Aptos" w:cs="Arial"/>
          <w:kern w:val="2"/>
          <w:sz w:val="16"/>
          <w:szCs w:val="28"/>
          <w14:ligatures w14:val="standardContextual"/>
        </w:rPr>
        <w:t xml:space="preserve"> and for </w:t>
      </w:r>
      <w:r w:rsidR="00DE010D" w:rsidRPr="00DE010D">
        <w:rPr>
          <w:rFonts w:ascii="Aptos" w:eastAsia="Aptos" w:hAnsi="Aptos" w:cs="Arial"/>
          <w:i/>
          <w:iCs/>
          <w:kern w:val="2"/>
          <w:sz w:val="16"/>
          <w:szCs w:val="28"/>
          <w14:ligatures w14:val="standardContextual"/>
        </w:rPr>
        <w:t xml:space="preserve">Using basic arithmetic </w:t>
      </w:r>
      <w:r w:rsidR="00DE010D" w:rsidRPr="00DE010D">
        <w:rPr>
          <w:rFonts w:ascii="Aptos" w:eastAsia="Aptos" w:hAnsi="Aptos" w:cs="Arial"/>
          <w:i/>
          <w:iCs/>
          <w:kern w:val="2"/>
          <w:sz w:val="16"/>
          <w:szCs w:val="28"/>
          <w14:ligatures w14:val="standardContextual"/>
        </w:rPr>
        <w:lastRenderedPageBreak/>
        <w:t>formula in a spreadsheet</w:t>
      </w:r>
      <w:r w:rsidR="00D50388" w:rsidRPr="00DE010D">
        <w:rPr>
          <w:rFonts w:ascii="Aptos" w:eastAsia="Aptos" w:hAnsi="Aptos" w:cs="Arial"/>
          <w:i/>
          <w:iCs/>
          <w:kern w:val="2"/>
          <w:sz w:val="16"/>
          <w:szCs w:val="28"/>
          <w14:ligatures w14:val="standardContextual"/>
        </w:rPr>
        <w:t xml:space="preserve">. </w:t>
      </w:r>
      <w:r w:rsidR="00D50388" w:rsidRPr="00DE010D">
        <w:rPr>
          <w:rFonts w:ascii="Aptos" w:eastAsia="Aptos" w:hAnsi="Aptos" w:cs="Arial"/>
          <w:kern w:val="2"/>
          <w:sz w:val="16"/>
          <w:szCs w:val="28"/>
          <w14:ligatures w14:val="standardContextual"/>
        </w:rPr>
        <w:t xml:space="preserve">Detailed information – including complete indicator names – </w:t>
      </w:r>
      <w:r w:rsidR="00FF3651" w:rsidRPr="00DE010D">
        <w:rPr>
          <w:rFonts w:ascii="Aptos" w:eastAsia="Aptos" w:hAnsi="Aptos" w:cs="Arial"/>
          <w:kern w:val="2"/>
          <w:sz w:val="16"/>
          <w:szCs w:val="28"/>
          <w14:ligatures w14:val="standardContextual"/>
        </w:rPr>
        <w:t xml:space="preserve">is available </w:t>
      </w:r>
      <w:hyperlink r:id="rId109" w:history="1">
        <w:r w:rsidR="00FF3651" w:rsidRPr="00DE010D">
          <w:rPr>
            <w:rFonts w:ascii="Aptos" w:eastAsia="Aptos" w:hAnsi="Aptos" w:cs="Arial"/>
            <w:color w:val="467886"/>
            <w:kern w:val="2"/>
            <w:sz w:val="16"/>
            <w:szCs w:val="28"/>
            <w:u w:val="single"/>
            <w14:ligatures w14:val="standardContextual"/>
          </w:rPr>
          <w:t>here</w:t>
        </w:r>
      </w:hyperlink>
      <w:r w:rsidR="00D50388" w:rsidRPr="00DE010D">
        <w:rPr>
          <w:rFonts w:ascii="Aptos" w:eastAsia="Aptos" w:hAnsi="Aptos" w:cs="Arial"/>
          <w:kern w:val="2"/>
          <w:sz w:val="16"/>
          <w:szCs w:val="28"/>
          <w14:ligatures w14:val="standardContextual"/>
        </w:rPr>
        <w:t>.</w:t>
      </w:r>
    </w:p>
    <w:p w14:paraId="6EB86FDB" w14:textId="77777777" w:rsidR="00D50388" w:rsidRPr="005F7253" w:rsidRDefault="00D50388"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t>Source: ITU</w:t>
      </w:r>
    </w:p>
    <w:p w14:paraId="34A80511" w14:textId="1DF0238F" w:rsidR="00D50388" w:rsidRPr="005F7253"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7660E5">
        <w:rPr>
          <w:rFonts w:ascii="Aptos" w:eastAsia="Aptos" w:hAnsi="Aptos" w:cs="Arial"/>
          <w:kern w:val="2"/>
          <w:sz w:val="22"/>
          <w:szCs w:val="22"/>
          <w14:ligatures w14:val="standardContextual"/>
        </w:rPr>
        <w:t xml:space="preserve">The digital content creation skill area generally shows relatively low medians for the six activities, ranging from </w:t>
      </w:r>
      <w:r w:rsidR="007660E5" w:rsidRPr="007660E5">
        <w:rPr>
          <w:rFonts w:ascii="Aptos" w:eastAsia="Aptos" w:hAnsi="Aptos" w:cs="Arial"/>
          <w:kern w:val="2"/>
          <w:sz w:val="22"/>
          <w:szCs w:val="22"/>
          <w14:ligatures w14:val="standardContextual"/>
        </w:rPr>
        <w:t>9</w:t>
      </w:r>
      <w:r w:rsidRPr="007660E5">
        <w:rPr>
          <w:rFonts w:ascii="Aptos" w:eastAsia="Aptos" w:hAnsi="Aptos" w:cs="Arial"/>
          <w:kern w:val="2"/>
          <w:sz w:val="22"/>
          <w:szCs w:val="22"/>
          <w14:ligatures w14:val="standardContextual"/>
        </w:rPr>
        <w:t xml:space="preserve"> to </w:t>
      </w:r>
      <w:r w:rsidR="007660E5" w:rsidRPr="007660E5">
        <w:rPr>
          <w:rFonts w:ascii="Aptos" w:eastAsia="Aptos" w:hAnsi="Aptos" w:cs="Arial"/>
          <w:kern w:val="2"/>
          <w:sz w:val="22"/>
          <w:szCs w:val="22"/>
          <w14:ligatures w14:val="standardContextual"/>
        </w:rPr>
        <w:t xml:space="preserve">37 </w:t>
      </w:r>
      <w:r w:rsidRPr="007660E5">
        <w:rPr>
          <w:rFonts w:ascii="Aptos" w:eastAsia="Aptos" w:hAnsi="Aptos" w:cs="Arial"/>
          <w:kern w:val="2"/>
          <w:sz w:val="22"/>
          <w:szCs w:val="22"/>
          <w14:ligatures w14:val="standardContextual"/>
        </w:rPr>
        <w:t>per cent.</w:t>
      </w:r>
    </w:p>
    <w:p w14:paraId="2CD73538" w14:textId="77777777" w:rsidR="00D50388" w:rsidRPr="005F7253" w:rsidRDefault="00D50388" w:rsidP="00D5038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Internet users with safety skills, latest year available</w:t>
      </w:r>
    </w:p>
    <w:p w14:paraId="5721693A" w14:textId="5FA32A59" w:rsidR="00D50388" w:rsidRPr="00566C6A" w:rsidRDefault="0088250B"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2EDC403A" wp14:editId="0135FF2F">
            <wp:extent cx="6120765" cy="2550795"/>
            <wp:effectExtent l="0" t="0" r="0" b="1905"/>
            <wp:docPr id="21303300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30086" name=""/>
                    <pic:cNvPicPr/>
                  </pic:nvPicPr>
                  <pic:blipFill>
                    <a:blip r:embed="rId110">
                      <a:extLst>
                        <a:ext uri="{96DAC541-7B7A-43D3-8B79-37D633B846F1}">
                          <asvg:svgBlip xmlns:asvg="http://schemas.microsoft.com/office/drawing/2016/SVG/main" r:embed="rId111"/>
                        </a:ext>
                      </a:extLst>
                    </a:blip>
                    <a:stretch>
                      <a:fillRect/>
                    </a:stretch>
                  </pic:blipFill>
                  <pic:spPr>
                    <a:xfrm>
                      <a:off x="0" y="0"/>
                      <a:ext cx="6120765" cy="2550795"/>
                    </a:xfrm>
                    <a:prstGeom prst="rect">
                      <a:avLst/>
                    </a:prstGeom>
                  </pic:spPr>
                </pic:pic>
              </a:graphicData>
            </a:graphic>
          </wp:inline>
        </w:drawing>
      </w:r>
      <w:r w:rsidR="00D50388" w:rsidRPr="005F7253">
        <w:rPr>
          <w:rFonts w:ascii="Aptos" w:eastAsia="Aptos" w:hAnsi="Aptos" w:cs="Arial"/>
          <w:kern w:val="2"/>
          <w:sz w:val="16"/>
          <w:szCs w:val="28"/>
          <w14:ligatures w14:val="standardContextual"/>
        </w:rPr>
        <w:t>Note: Bars indicate the 25th, median and 75th percentile of all country values. The whiskers (bottom and top lines) indicate individual minimum and maximum values. In-</w:t>
      </w:r>
      <w:r w:rsidR="00D50388" w:rsidRPr="00FE4AA1">
        <w:rPr>
          <w:rFonts w:ascii="Aptos" w:eastAsia="Aptos" w:hAnsi="Aptos" w:cs="Arial"/>
          <w:kern w:val="2"/>
          <w:sz w:val="16"/>
          <w:szCs w:val="28"/>
          <w14:ligatures w14:val="standardContextual"/>
        </w:rPr>
        <w:t xml:space="preserve">scope age varies between countries. Country data are for 2023 where available but no earlier than 2020. </w:t>
      </w:r>
      <w:r w:rsidR="009151EC" w:rsidRPr="009151EC">
        <w:rPr>
          <w:rFonts w:ascii="Aptos" w:eastAsia="Aptos" w:hAnsi="Aptos" w:cs="Arial"/>
          <w:kern w:val="2"/>
          <w:sz w:val="16"/>
          <w:szCs w:val="28"/>
          <w14:ligatures w14:val="standardContextual"/>
        </w:rPr>
        <w:t>Five</w:t>
      </w:r>
      <w:r w:rsidR="00D50388" w:rsidRPr="009151EC">
        <w:rPr>
          <w:rFonts w:ascii="Aptos" w:eastAsia="Aptos" w:hAnsi="Aptos" w:cs="Arial"/>
          <w:kern w:val="2"/>
          <w:sz w:val="16"/>
          <w:szCs w:val="28"/>
          <w14:ligatures w14:val="standardContextual"/>
        </w:rPr>
        <w:t xml:space="preserve"> countries provided data for each indicator</w:t>
      </w:r>
      <w:r w:rsidR="00D50388" w:rsidRPr="009151EC">
        <w:rPr>
          <w:rFonts w:ascii="Aptos" w:eastAsia="Aptos" w:hAnsi="Aptos" w:cs="Arial"/>
          <w:i/>
          <w:kern w:val="2"/>
          <w:sz w:val="16"/>
          <w:szCs w:val="28"/>
          <w14:ligatures w14:val="standardContextual"/>
        </w:rPr>
        <w:t xml:space="preserve">. </w:t>
      </w:r>
      <w:r w:rsidR="00D50388" w:rsidRPr="009151EC">
        <w:rPr>
          <w:rFonts w:ascii="Aptos" w:eastAsia="Aptos" w:hAnsi="Aptos" w:cs="Arial"/>
          <w:kern w:val="2"/>
          <w:sz w:val="16"/>
          <w:szCs w:val="28"/>
          <w14:ligatures w14:val="standardContextual"/>
        </w:rPr>
        <w:t xml:space="preserve">Detailed information – including complete indicator names – </w:t>
      </w:r>
      <w:r w:rsidR="00FF3651" w:rsidRPr="009151EC">
        <w:rPr>
          <w:rFonts w:ascii="Aptos" w:eastAsia="Aptos" w:hAnsi="Aptos" w:cs="Arial"/>
          <w:kern w:val="2"/>
          <w:sz w:val="16"/>
          <w:szCs w:val="28"/>
          <w14:ligatures w14:val="standardContextual"/>
        </w:rPr>
        <w:t xml:space="preserve">is available </w:t>
      </w:r>
      <w:hyperlink r:id="rId112" w:history="1">
        <w:r w:rsidR="00FF3651" w:rsidRPr="009151EC">
          <w:rPr>
            <w:rFonts w:ascii="Aptos" w:eastAsia="Aptos" w:hAnsi="Aptos" w:cs="Arial"/>
            <w:color w:val="467886"/>
            <w:kern w:val="2"/>
            <w:sz w:val="16"/>
            <w:szCs w:val="28"/>
            <w:u w:val="single"/>
            <w14:ligatures w14:val="standardContextual"/>
          </w:rPr>
          <w:t>here</w:t>
        </w:r>
      </w:hyperlink>
      <w:r w:rsidR="00D50388" w:rsidRPr="009151EC">
        <w:rPr>
          <w:rFonts w:ascii="Aptos" w:eastAsia="Aptos" w:hAnsi="Aptos" w:cs="Arial"/>
          <w:kern w:val="2"/>
          <w:sz w:val="16"/>
          <w:szCs w:val="28"/>
          <w14:ligatures w14:val="standardContextual"/>
        </w:rPr>
        <w:t>.</w:t>
      </w:r>
    </w:p>
    <w:p w14:paraId="37CEC5A4" w14:textId="77777777" w:rsidR="00D50388" w:rsidRPr="005F7253" w:rsidRDefault="00D50388"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66C6A">
        <w:rPr>
          <w:rFonts w:ascii="Aptos" w:eastAsia="Aptos" w:hAnsi="Aptos" w:cs="Arial"/>
          <w:kern w:val="2"/>
          <w:sz w:val="16"/>
          <w:szCs w:val="28"/>
          <w14:ligatures w14:val="standardContextual"/>
        </w:rPr>
        <w:t>Source: ITU</w:t>
      </w:r>
    </w:p>
    <w:p w14:paraId="1280E9D1" w14:textId="16A07C29" w:rsidR="00D50388" w:rsidRPr="005F7253"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AA4AB8">
        <w:rPr>
          <w:rFonts w:ascii="Aptos" w:eastAsia="Aptos" w:hAnsi="Aptos" w:cs="Arial"/>
          <w:kern w:val="2"/>
          <w:sz w:val="22"/>
          <w:szCs w:val="22"/>
          <w14:ligatures w14:val="standardContextual"/>
        </w:rPr>
        <w:t xml:space="preserve">The two activities in the safety category showed </w:t>
      </w:r>
      <w:r w:rsidR="00AD3863" w:rsidRPr="00AA4AB8">
        <w:rPr>
          <w:rFonts w:ascii="Aptos" w:eastAsia="Aptos" w:hAnsi="Aptos" w:cs="Arial"/>
          <w:kern w:val="2"/>
          <w:sz w:val="22"/>
          <w:szCs w:val="22"/>
          <w14:ligatures w14:val="standardContextual"/>
        </w:rPr>
        <w:t>slightly different</w:t>
      </w:r>
      <w:r w:rsidRPr="00AA4AB8">
        <w:rPr>
          <w:rFonts w:ascii="Aptos" w:eastAsia="Aptos" w:hAnsi="Aptos" w:cs="Arial"/>
          <w:kern w:val="2"/>
          <w:sz w:val="22"/>
          <w:szCs w:val="22"/>
          <w14:ligatures w14:val="standardContextual"/>
        </w:rPr>
        <w:t xml:space="preserve"> prevalence</w:t>
      </w:r>
      <w:r w:rsidR="00AD3863" w:rsidRPr="00AA4AB8">
        <w:rPr>
          <w:rFonts w:ascii="Aptos" w:eastAsia="Aptos" w:hAnsi="Aptos" w:cs="Arial"/>
          <w:kern w:val="2"/>
          <w:sz w:val="22"/>
          <w:szCs w:val="22"/>
          <w14:ligatures w14:val="standardContextual"/>
        </w:rPr>
        <w:t>s</w:t>
      </w:r>
      <w:r w:rsidRPr="00AA4AB8">
        <w:rPr>
          <w:rFonts w:ascii="Aptos" w:eastAsia="Aptos" w:hAnsi="Aptos" w:cs="Arial"/>
          <w:kern w:val="2"/>
          <w:sz w:val="22"/>
          <w:szCs w:val="22"/>
          <w14:ligatures w14:val="standardContextual"/>
        </w:rPr>
        <w:t xml:space="preserve"> for countries in the region. The median shares were 3</w:t>
      </w:r>
      <w:r w:rsidR="00895D0D" w:rsidRPr="00AA4AB8">
        <w:rPr>
          <w:rFonts w:ascii="Aptos" w:eastAsia="Aptos" w:hAnsi="Aptos" w:cs="Arial"/>
          <w:kern w:val="2"/>
          <w:sz w:val="22"/>
          <w:szCs w:val="22"/>
          <w14:ligatures w14:val="standardContextual"/>
        </w:rPr>
        <w:t>9</w:t>
      </w:r>
      <w:r w:rsidRPr="00AA4AB8">
        <w:rPr>
          <w:rFonts w:ascii="Aptos" w:eastAsia="Aptos" w:hAnsi="Aptos" w:cs="Arial"/>
          <w:kern w:val="2"/>
          <w:sz w:val="22"/>
          <w:szCs w:val="22"/>
          <w14:ligatures w14:val="standardContextual"/>
        </w:rPr>
        <w:t xml:space="preserve"> and </w:t>
      </w:r>
      <w:r w:rsidR="00895D0D" w:rsidRPr="00AA4AB8">
        <w:rPr>
          <w:rFonts w:ascii="Aptos" w:eastAsia="Aptos" w:hAnsi="Aptos" w:cs="Arial"/>
          <w:kern w:val="2"/>
          <w:sz w:val="22"/>
          <w:szCs w:val="22"/>
          <w14:ligatures w14:val="standardContextual"/>
        </w:rPr>
        <w:t>50</w:t>
      </w:r>
      <w:r w:rsidRPr="00AA4AB8">
        <w:rPr>
          <w:rFonts w:ascii="Aptos" w:eastAsia="Aptos" w:hAnsi="Aptos" w:cs="Arial"/>
          <w:kern w:val="2"/>
          <w:sz w:val="22"/>
          <w:szCs w:val="22"/>
          <w14:ligatures w14:val="standardContextual"/>
        </w:rPr>
        <w:t xml:space="preserve"> per cent for changing privacy settings on one’s device, account or app and setting up effective security measures to protect devices and accounts, respectively. However, the share of individuals doing these activities varied widely between countries in the region.</w:t>
      </w:r>
    </w:p>
    <w:p w14:paraId="7696A41B" w14:textId="77777777" w:rsidR="00D50388" w:rsidRPr="005F7253" w:rsidRDefault="00D50388" w:rsidP="00D50388">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5F7253">
        <w:rPr>
          <w:rFonts w:ascii="AvenirNext LT Pro Light" w:eastAsia="Yu Gothic Light" w:hAnsi="AvenirNext LT Pro Light" w:cs="Calibri"/>
          <w:color w:val="0070C0"/>
          <w:spacing w:val="-10"/>
          <w:kern w:val="28"/>
          <w:szCs w:val="24"/>
        </w:rPr>
        <w:t>Percentage of Internet users with problem solving skills, latest year available</w:t>
      </w:r>
    </w:p>
    <w:p w14:paraId="0C228DF5" w14:textId="5AB12515" w:rsidR="00D50388" w:rsidRPr="005F7253" w:rsidRDefault="0088250B"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60"/>
        <w:textAlignment w:val="center"/>
        <w:rPr>
          <w:rFonts w:ascii="Aptos" w:eastAsia="Aptos" w:hAnsi="Aptos" w:cs="Arial"/>
          <w:kern w:val="2"/>
          <w:sz w:val="16"/>
          <w:szCs w:val="28"/>
          <w14:ligatures w14:val="standardContextual"/>
        </w:rPr>
      </w:pPr>
      <w:r>
        <w:rPr>
          <w:noProof/>
        </w:rPr>
        <w:drawing>
          <wp:inline distT="0" distB="0" distL="0" distR="0" wp14:anchorId="425F2BD9" wp14:editId="7031D2C9">
            <wp:extent cx="6120765" cy="2691765"/>
            <wp:effectExtent l="0" t="0" r="0" b="0"/>
            <wp:docPr id="3146578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57817" name=""/>
                    <pic:cNvPicPr/>
                  </pic:nvPicPr>
                  <pic:blipFill>
                    <a:blip r:embed="rId113">
                      <a:extLst>
                        <a:ext uri="{96DAC541-7B7A-43D3-8B79-37D633B846F1}">
                          <asvg:svgBlip xmlns:asvg="http://schemas.microsoft.com/office/drawing/2016/SVG/main" r:embed="rId114"/>
                        </a:ext>
                      </a:extLst>
                    </a:blip>
                    <a:stretch>
                      <a:fillRect/>
                    </a:stretch>
                  </pic:blipFill>
                  <pic:spPr>
                    <a:xfrm>
                      <a:off x="0" y="0"/>
                      <a:ext cx="6120765" cy="2691765"/>
                    </a:xfrm>
                    <a:prstGeom prst="rect">
                      <a:avLst/>
                    </a:prstGeom>
                  </pic:spPr>
                </pic:pic>
              </a:graphicData>
            </a:graphic>
          </wp:inline>
        </w:drawing>
      </w:r>
      <w:r w:rsidR="00D50388" w:rsidRPr="005F7253">
        <w:rPr>
          <w:rFonts w:ascii="Aptos" w:eastAsia="Aptos" w:hAnsi="Aptos" w:cs="Arial"/>
          <w:kern w:val="2"/>
          <w:sz w:val="16"/>
          <w:szCs w:val="28"/>
          <w14:ligatures w14:val="standardContextual"/>
        </w:rPr>
        <w:t xml:space="preserve">Note: Bars indicate the 25th, median and 75th percentile of all country values. </w:t>
      </w:r>
      <w:r w:rsidR="00D50388" w:rsidRPr="00B76258">
        <w:rPr>
          <w:rFonts w:ascii="Aptos" w:eastAsia="Aptos" w:hAnsi="Aptos" w:cs="Arial"/>
          <w:kern w:val="2"/>
          <w:sz w:val="16"/>
          <w:szCs w:val="28"/>
          <w14:ligatures w14:val="standardContextual"/>
        </w:rPr>
        <w:t>The whiskers (bottom and top lines) indicate individual minimum and maximum values. In-scope age varies between countries. Country data are for 2023 where available but no earlier than 2020.</w:t>
      </w:r>
      <w:r w:rsidR="00D50388" w:rsidRPr="00FE4AA1">
        <w:rPr>
          <w:rFonts w:ascii="Aptos" w:eastAsia="Aptos" w:hAnsi="Aptos" w:cs="Arial"/>
          <w:kern w:val="2"/>
          <w:sz w:val="16"/>
          <w:szCs w:val="28"/>
          <w14:ligatures w14:val="standardContextual"/>
        </w:rPr>
        <w:t xml:space="preserve"> </w:t>
      </w:r>
      <w:r w:rsidR="00D50388" w:rsidRPr="00E320BB">
        <w:rPr>
          <w:rFonts w:ascii="Aptos" w:eastAsia="Aptos" w:hAnsi="Aptos" w:cs="Arial"/>
          <w:kern w:val="2"/>
          <w:sz w:val="16"/>
          <w:szCs w:val="28"/>
          <w14:ligatures w14:val="standardContextual"/>
        </w:rPr>
        <w:t xml:space="preserve">Data availability varies between </w:t>
      </w:r>
      <w:r w:rsidR="00E320BB" w:rsidRPr="00E320BB">
        <w:rPr>
          <w:rFonts w:ascii="Aptos" w:eastAsia="Aptos" w:hAnsi="Aptos" w:cs="Arial"/>
          <w:kern w:val="2"/>
          <w:sz w:val="16"/>
          <w:szCs w:val="28"/>
          <w14:ligatures w14:val="standardContextual"/>
        </w:rPr>
        <w:t>nine</w:t>
      </w:r>
      <w:r w:rsidR="00D50388" w:rsidRPr="00E320BB">
        <w:rPr>
          <w:rFonts w:ascii="Aptos" w:eastAsia="Aptos" w:hAnsi="Aptos" w:cs="Arial"/>
          <w:kern w:val="2"/>
          <w:sz w:val="16"/>
          <w:szCs w:val="28"/>
          <w14:ligatures w14:val="standardContextual"/>
        </w:rPr>
        <w:t xml:space="preserve"> and </w:t>
      </w:r>
      <w:r w:rsidR="00E320BB" w:rsidRPr="00E320BB">
        <w:rPr>
          <w:rFonts w:ascii="Aptos" w:eastAsia="Aptos" w:hAnsi="Aptos" w:cs="Arial"/>
          <w:kern w:val="2"/>
          <w:sz w:val="16"/>
          <w:szCs w:val="28"/>
          <w14:ligatures w14:val="standardContextual"/>
        </w:rPr>
        <w:t xml:space="preserve">thirteen </w:t>
      </w:r>
      <w:r w:rsidR="00D50388" w:rsidRPr="00E320BB">
        <w:rPr>
          <w:rFonts w:ascii="Aptos" w:eastAsia="Aptos" w:hAnsi="Aptos" w:cs="Arial"/>
          <w:kern w:val="2"/>
          <w:sz w:val="16"/>
          <w:szCs w:val="28"/>
          <w14:ligatures w14:val="standardContextual"/>
        </w:rPr>
        <w:t>countries for each indicator</w:t>
      </w:r>
      <w:r w:rsidR="00D50388" w:rsidRPr="00E320BB">
        <w:rPr>
          <w:rFonts w:ascii="Aptos" w:eastAsia="Aptos" w:hAnsi="Aptos" w:cs="Arial"/>
          <w:i/>
          <w:kern w:val="2"/>
          <w:sz w:val="16"/>
          <w:szCs w:val="28"/>
          <w14:ligatures w14:val="standardContextual"/>
        </w:rPr>
        <w:t xml:space="preserve">. </w:t>
      </w:r>
      <w:r w:rsidR="00D50388" w:rsidRPr="00E320BB">
        <w:rPr>
          <w:rFonts w:ascii="Aptos" w:eastAsia="Aptos" w:hAnsi="Aptos" w:cs="Arial"/>
          <w:kern w:val="2"/>
          <w:sz w:val="16"/>
          <w:szCs w:val="28"/>
          <w14:ligatures w14:val="standardContextual"/>
        </w:rPr>
        <w:t>Detailed information – including complete indicator names –</w:t>
      </w:r>
      <w:r w:rsidR="00D50388" w:rsidRPr="005F7253">
        <w:rPr>
          <w:rFonts w:ascii="Aptos" w:eastAsia="Aptos" w:hAnsi="Aptos" w:cs="Arial"/>
          <w:kern w:val="2"/>
          <w:sz w:val="16"/>
          <w:szCs w:val="28"/>
          <w14:ligatures w14:val="standardContextual"/>
        </w:rPr>
        <w:t xml:space="preserve"> </w:t>
      </w:r>
      <w:r w:rsidR="00FF3651">
        <w:rPr>
          <w:rFonts w:ascii="Aptos" w:eastAsia="Aptos" w:hAnsi="Aptos" w:cs="Arial"/>
          <w:kern w:val="2"/>
          <w:sz w:val="16"/>
          <w:szCs w:val="28"/>
          <w14:ligatures w14:val="standardContextual"/>
        </w:rPr>
        <w:t>is</w:t>
      </w:r>
      <w:r w:rsidR="00FF3651" w:rsidRPr="005F7253">
        <w:rPr>
          <w:rFonts w:ascii="Aptos" w:eastAsia="Aptos" w:hAnsi="Aptos" w:cs="Arial"/>
          <w:kern w:val="2"/>
          <w:sz w:val="16"/>
          <w:szCs w:val="28"/>
          <w14:ligatures w14:val="standardContextual"/>
        </w:rPr>
        <w:t xml:space="preserve"> available </w:t>
      </w:r>
      <w:hyperlink r:id="rId115" w:history="1">
        <w:r w:rsidR="00FF3651" w:rsidRPr="005F7253">
          <w:rPr>
            <w:rFonts w:ascii="Aptos" w:eastAsia="Aptos" w:hAnsi="Aptos" w:cs="Arial"/>
            <w:color w:val="467886"/>
            <w:kern w:val="2"/>
            <w:sz w:val="16"/>
            <w:szCs w:val="28"/>
            <w:u w:val="single"/>
            <w14:ligatures w14:val="standardContextual"/>
          </w:rPr>
          <w:t>here</w:t>
        </w:r>
      </w:hyperlink>
      <w:r w:rsidR="00D50388" w:rsidRPr="005F7253">
        <w:rPr>
          <w:rFonts w:ascii="Aptos" w:eastAsia="Aptos" w:hAnsi="Aptos" w:cs="Arial"/>
          <w:kern w:val="2"/>
          <w:sz w:val="16"/>
          <w:szCs w:val="28"/>
          <w14:ligatures w14:val="standardContextual"/>
        </w:rPr>
        <w:t>.</w:t>
      </w:r>
    </w:p>
    <w:p w14:paraId="24ACA415" w14:textId="77777777" w:rsidR="00D50388" w:rsidRPr="005F7253" w:rsidRDefault="00D50388" w:rsidP="00D50388">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60"/>
        <w:textAlignment w:val="center"/>
        <w:rPr>
          <w:rFonts w:ascii="Aptos" w:eastAsia="Aptos" w:hAnsi="Aptos" w:cs="Arial"/>
          <w:kern w:val="2"/>
          <w:sz w:val="16"/>
          <w:szCs w:val="28"/>
          <w14:ligatures w14:val="standardContextual"/>
        </w:rPr>
      </w:pPr>
      <w:r w:rsidRPr="005F7253">
        <w:rPr>
          <w:rFonts w:ascii="Aptos" w:eastAsia="Aptos" w:hAnsi="Aptos" w:cs="Arial"/>
          <w:kern w:val="2"/>
          <w:sz w:val="16"/>
          <w:szCs w:val="28"/>
          <w14:ligatures w14:val="standardContextual"/>
        </w:rPr>
        <w:lastRenderedPageBreak/>
        <w:t>Source: ITU</w:t>
      </w:r>
    </w:p>
    <w:p w14:paraId="0E1F7653" w14:textId="3D0907D6" w:rsidR="00D50388" w:rsidRPr="005F7253" w:rsidRDefault="00D50388" w:rsidP="00D5038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F705B">
        <w:rPr>
          <w:rFonts w:ascii="Aptos" w:eastAsia="Aptos" w:hAnsi="Aptos" w:cs="Arial"/>
          <w:kern w:val="2"/>
          <w:sz w:val="22"/>
          <w:szCs w:val="22"/>
          <w14:ligatures w14:val="standardContextual"/>
        </w:rPr>
        <w:t xml:space="preserve">Finally, the medians for activities in the problem-solving skill area </w:t>
      </w:r>
      <w:r w:rsidR="00352342" w:rsidRPr="002F705B">
        <w:rPr>
          <w:rFonts w:ascii="Aptos" w:eastAsia="Aptos" w:hAnsi="Aptos" w:cs="Arial"/>
          <w:kern w:val="2"/>
          <w:sz w:val="22"/>
          <w:szCs w:val="22"/>
          <w14:ligatures w14:val="standardContextual"/>
        </w:rPr>
        <w:t>were quite close</w:t>
      </w:r>
      <w:r w:rsidRPr="002F705B">
        <w:rPr>
          <w:rFonts w:ascii="Aptos" w:eastAsia="Aptos" w:hAnsi="Aptos" w:cs="Arial"/>
          <w:kern w:val="2"/>
          <w:sz w:val="22"/>
          <w:szCs w:val="22"/>
          <w14:ligatures w14:val="standardContextual"/>
        </w:rPr>
        <w:t xml:space="preserve">, from </w:t>
      </w:r>
      <w:r w:rsidR="00352342" w:rsidRPr="002F705B">
        <w:rPr>
          <w:rFonts w:ascii="Aptos" w:eastAsia="Aptos" w:hAnsi="Aptos" w:cs="Arial"/>
          <w:kern w:val="2"/>
          <w:sz w:val="22"/>
          <w:szCs w:val="22"/>
          <w14:ligatures w14:val="standardContextual"/>
        </w:rPr>
        <w:t>19</w:t>
      </w:r>
      <w:r w:rsidRPr="002F705B">
        <w:rPr>
          <w:rFonts w:ascii="Aptos" w:eastAsia="Aptos" w:hAnsi="Aptos" w:cs="Arial"/>
          <w:kern w:val="2"/>
          <w:sz w:val="22"/>
          <w:szCs w:val="22"/>
          <w14:ligatures w14:val="standardContextual"/>
        </w:rPr>
        <w:t xml:space="preserve"> per cent for </w:t>
      </w:r>
      <w:r w:rsidR="00044D1D" w:rsidRPr="002F705B">
        <w:rPr>
          <w:rFonts w:ascii="Aptos" w:eastAsia="Aptos" w:hAnsi="Aptos" w:cs="Arial"/>
          <w:kern w:val="2"/>
          <w:sz w:val="22"/>
          <w:szCs w:val="22"/>
          <w14:ligatures w14:val="standardContextual"/>
        </w:rPr>
        <w:t xml:space="preserve">connecting and installing new devices </w:t>
      </w:r>
      <w:r w:rsidRPr="002F705B">
        <w:rPr>
          <w:rFonts w:ascii="Aptos" w:eastAsia="Aptos" w:hAnsi="Aptos" w:cs="Arial"/>
          <w:kern w:val="2"/>
          <w:sz w:val="22"/>
          <w:szCs w:val="22"/>
          <w14:ligatures w14:val="standardContextual"/>
        </w:rPr>
        <w:t xml:space="preserve">to </w:t>
      </w:r>
      <w:r w:rsidR="00352342" w:rsidRPr="002F705B">
        <w:rPr>
          <w:rFonts w:ascii="Aptos" w:eastAsia="Aptos" w:hAnsi="Aptos" w:cs="Arial"/>
          <w:kern w:val="2"/>
          <w:sz w:val="22"/>
          <w:szCs w:val="22"/>
          <w14:ligatures w14:val="standardContextual"/>
        </w:rPr>
        <w:t>26</w:t>
      </w:r>
      <w:r w:rsidRPr="002F705B">
        <w:rPr>
          <w:rFonts w:ascii="Aptos" w:eastAsia="Aptos" w:hAnsi="Aptos" w:cs="Arial"/>
          <w:kern w:val="2"/>
          <w:sz w:val="22"/>
          <w:szCs w:val="22"/>
          <w14:ligatures w14:val="standardContextual"/>
        </w:rPr>
        <w:t xml:space="preserve"> per cent </w:t>
      </w:r>
      <w:r w:rsidR="002F705B" w:rsidRPr="002F705B">
        <w:rPr>
          <w:rFonts w:ascii="Aptos" w:eastAsia="Aptos" w:hAnsi="Aptos" w:cs="Arial"/>
          <w:kern w:val="2"/>
          <w:sz w:val="22"/>
          <w:szCs w:val="22"/>
          <w14:ligatures w14:val="standardContextual"/>
        </w:rPr>
        <w:t>for transferring files between a computer and other devices</w:t>
      </w:r>
      <w:r w:rsidRPr="002F705B">
        <w:rPr>
          <w:rFonts w:ascii="Aptos" w:eastAsia="Aptos" w:hAnsi="Aptos" w:cs="Arial"/>
          <w:kern w:val="2"/>
          <w:sz w:val="22"/>
          <w:szCs w:val="22"/>
          <w14:ligatures w14:val="standardContextual"/>
        </w:rPr>
        <w:t>.</w:t>
      </w:r>
      <w:r w:rsidR="002F705B" w:rsidRPr="002F705B">
        <w:rPr>
          <w:rFonts w:ascii="Aptos" w:eastAsia="Aptos" w:hAnsi="Aptos" w:cs="Arial"/>
          <w:kern w:val="2"/>
          <w:sz w:val="22"/>
          <w:szCs w:val="22"/>
          <w14:ligatures w14:val="standardContextual"/>
        </w:rPr>
        <w:t xml:space="preserve"> Here as well, the share of individuals doing these activities varied widely between countries in the region</w:t>
      </w:r>
      <w:r w:rsidR="00026D7A">
        <w:rPr>
          <w:rFonts w:ascii="Aptos" w:eastAsia="Aptos" w:hAnsi="Aptos" w:cs="Arial"/>
          <w:kern w:val="2"/>
          <w:sz w:val="22"/>
          <w:szCs w:val="22"/>
          <w14:ligatures w14:val="standardContextual"/>
        </w:rPr>
        <w:t>.</w:t>
      </w:r>
    </w:p>
    <w:p w14:paraId="34EDF1BB" w14:textId="77777777" w:rsidR="006C41B5" w:rsidRPr="003D0AEA"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D0AEA">
        <w:rPr>
          <w:rFonts w:ascii="Aptos" w:eastAsia="Aptos" w:hAnsi="Aptos" w:cs="Arial"/>
          <w:kern w:val="2"/>
          <w:sz w:val="22"/>
          <w:szCs w:val="22"/>
          <w14:ligatures w14:val="standardContextual"/>
        </w:rPr>
        <w:br w:type="page"/>
      </w:r>
    </w:p>
    <w:p w14:paraId="275F64C2" w14:textId="4A49A076" w:rsidR="006C41B5" w:rsidRPr="003D0AEA" w:rsidRDefault="006C41B5" w:rsidP="000C3666">
      <w:pPr>
        <w:pStyle w:val="Section"/>
      </w:pPr>
      <w:bookmarkStart w:id="18" w:name="_Toc190883392"/>
      <w:r w:rsidRPr="003D0AEA">
        <w:lastRenderedPageBreak/>
        <w:t>Revenue and investment</w:t>
      </w:r>
      <w:bookmarkEnd w:id="18"/>
      <w:r w:rsidRPr="003D0AEA">
        <w:t xml:space="preserve"> </w:t>
      </w:r>
    </w:p>
    <w:p w14:paraId="37CF7549" w14:textId="4ADF954F" w:rsidR="00524D65" w:rsidRPr="003D0AEA" w:rsidRDefault="00FB4D16"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noProof/>
          <w:kern w:val="2"/>
          <w:sz w:val="22"/>
          <w:szCs w:val="22"/>
          <w14:ligatures w14:val="standardContextual"/>
        </w:rPr>
      </w:pPr>
      <w:r w:rsidRPr="00FB4D16">
        <w:t xml:space="preserve"> </w:t>
      </w:r>
      <w:r w:rsidRPr="00FB4D16">
        <w:rPr>
          <w:rFonts w:ascii="Aptos" w:eastAsia="Aptos" w:hAnsi="Aptos" w:cs="Arial"/>
          <w:b/>
          <w:bCs/>
          <w:i/>
          <w:iCs/>
          <w:kern w:val="2"/>
          <w:sz w:val="22"/>
          <w:szCs w:val="22"/>
          <w14:ligatures w14:val="standardContextual"/>
        </w:rPr>
        <w:t>Telecommunications remains a key economic driver, but investment levels vary widely</w:t>
      </w:r>
    </w:p>
    <w:p w14:paraId="11A92771" w14:textId="1A4BE77F" w:rsidR="006C41B5" w:rsidRPr="003D0AEA" w:rsidRDefault="00B21754"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noProof/>
          <w:kern w:val="2"/>
          <w:sz w:val="22"/>
          <w:szCs w:val="22"/>
          <w14:ligatures w14:val="standardContextual"/>
        </w:rPr>
      </w:pPr>
      <w:r w:rsidRPr="00B21754">
        <w:rPr>
          <w:rFonts w:ascii="Aptos" w:eastAsia="Aptos" w:hAnsi="Aptos" w:cs="Arial"/>
          <w:noProof/>
          <w:kern w:val="2"/>
          <w:sz w:val="22"/>
          <w:szCs w:val="22"/>
          <w14:ligatures w14:val="standardContextual"/>
        </w:rPr>
        <w:t>The telecommunication sector is an important enabler of economic development, with both direct and indirect impacts. While it is harder to capture the indirect impact, recent data on revenue and investment reveals the significance of the sector’s direct impact on development but also the considerable gaps between countries.</w:t>
      </w:r>
    </w:p>
    <w:p w14:paraId="215AE009" w14:textId="21D03A7C" w:rsidR="006C41B5" w:rsidRPr="003D0AEA" w:rsidRDefault="006C41B5" w:rsidP="006C41B5">
      <w:pP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t xml:space="preserve">Revenue from all telecommunication services, in USD </w:t>
      </w:r>
      <w:r w:rsidR="00F52337" w:rsidRPr="003D0AEA">
        <w:rPr>
          <w:rFonts w:ascii="AvenirNext LT Pro Light" w:eastAsia="Yu Gothic Light" w:hAnsi="AvenirNext LT Pro Light" w:cs="Calibri"/>
          <w:color w:val="0070C0"/>
          <w:spacing w:val="-10"/>
          <w:kern w:val="28"/>
          <w:szCs w:val="24"/>
        </w:rPr>
        <w:t>b</w:t>
      </w:r>
      <w:r w:rsidRPr="003D0AEA">
        <w:rPr>
          <w:rFonts w:ascii="AvenirNext LT Pro Light" w:eastAsia="Yu Gothic Light" w:hAnsi="AvenirNext LT Pro Light" w:cs="Calibri"/>
          <w:color w:val="0070C0"/>
          <w:spacing w:val="-10"/>
          <w:kern w:val="28"/>
          <w:szCs w:val="24"/>
        </w:rPr>
        <w:t xml:space="preserve">illion and as a % of GDP, </w:t>
      </w:r>
      <w:r w:rsidR="00F7068F" w:rsidRPr="003D0AEA">
        <w:rPr>
          <w:rFonts w:ascii="AvenirNext LT Pro Light" w:eastAsia="Yu Gothic Light" w:hAnsi="AvenirNext LT Pro Light" w:cs="Calibri"/>
          <w:color w:val="0070C0"/>
          <w:spacing w:val="-10"/>
          <w:kern w:val="28"/>
          <w:szCs w:val="24"/>
        </w:rPr>
        <w:t xml:space="preserve">2023 or </w:t>
      </w:r>
      <w:r w:rsidRPr="003D0AEA">
        <w:rPr>
          <w:rFonts w:ascii="AvenirNext LT Pro Light" w:eastAsia="Yu Gothic Light" w:hAnsi="AvenirNext LT Pro Light" w:cs="Calibri"/>
          <w:color w:val="0070C0"/>
          <w:spacing w:val="-10"/>
          <w:kern w:val="28"/>
          <w:szCs w:val="24"/>
        </w:rPr>
        <w:t>latest available year</w:t>
      </w:r>
    </w:p>
    <w:p w14:paraId="38D4CC11" w14:textId="1FF5E69D" w:rsidR="00816318" w:rsidRPr="003D0AEA" w:rsidRDefault="00362793" w:rsidP="00B1004A">
      <w:pPr>
        <w:pStyle w:val="notetext"/>
      </w:pPr>
      <w:r>
        <w:rPr>
          <w:noProof/>
        </w:rPr>
        <w:drawing>
          <wp:inline distT="0" distB="0" distL="0" distR="0" wp14:anchorId="730452D9" wp14:editId="5FA939C9">
            <wp:extent cx="6120765" cy="3681730"/>
            <wp:effectExtent l="0" t="0" r="0" b="0"/>
            <wp:docPr id="185565552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655521" name=""/>
                    <pic:cNvPicPr/>
                  </pic:nvPicPr>
                  <pic:blipFill>
                    <a:blip r:embed="rId116">
                      <a:extLst>
                        <a:ext uri="{96DAC541-7B7A-43D3-8B79-37D633B846F1}">
                          <asvg:svgBlip xmlns:asvg="http://schemas.microsoft.com/office/drawing/2016/SVG/main" r:embed="rId117"/>
                        </a:ext>
                      </a:extLst>
                    </a:blip>
                    <a:stretch>
                      <a:fillRect/>
                    </a:stretch>
                  </pic:blipFill>
                  <pic:spPr>
                    <a:xfrm>
                      <a:off x="0" y="0"/>
                      <a:ext cx="6120765" cy="3681730"/>
                    </a:xfrm>
                    <a:prstGeom prst="rect">
                      <a:avLst/>
                    </a:prstGeom>
                  </pic:spPr>
                </pic:pic>
              </a:graphicData>
            </a:graphic>
          </wp:inline>
        </w:drawing>
      </w:r>
      <w:r w:rsidR="00816318" w:rsidRPr="003D0AEA">
        <w:t>Note: Annual average exchange rates applied, last available year values at constant 2023 prices.</w:t>
      </w:r>
    </w:p>
    <w:p w14:paraId="566B1952" w14:textId="77777777" w:rsidR="006C41B5" w:rsidRPr="003D0AEA" w:rsidRDefault="006C41B5" w:rsidP="00B1004A">
      <w:pPr>
        <w:pStyle w:val="Sourcetext"/>
        <w:rPr>
          <w:noProof/>
        </w:rPr>
      </w:pPr>
      <w:r w:rsidRPr="003D0AEA">
        <w:rPr>
          <w:noProof/>
        </w:rPr>
        <w:t>Source: ITU, World Bank World Development Indicators</w:t>
      </w:r>
    </w:p>
    <w:p w14:paraId="4AEEBEF4" w14:textId="7E6FCD1D" w:rsidR="007D369D" w:rsidRDefault="007D369D" w:rsidP="007D369D">
      <w:pPr>
        <w:overflowPunct/>
        <w:autoSpaceDE/>
        <w:autoSpaceDN/>
        <w:adjustRightInd/>
        <w:spacing w:before="0" w:after="160" w:line="259" w:lineRule="auto"/>
        <w:textAlignment w:val="auto"/>
        <w:rPr>
          <w:rFonts w:ascii="Aptos" w:eastAsia="Aptos" w:hAnsi="Aptos" w:cs="Arial"/>
          <w:noProof/>
          <w:kern w:val="2"/>
          <w:sz w:val="22"/>
          <w:szCs w:val="22"/>
          <w14:ligatures w14:val="standardContextual"/>
        </w:rPr>
      </w:pPr>
      <w:r w:rsidRPr="005F7253">
        <w:rPr>
          <w:rFonts w:ascii="Aptos" w:eastAsia="Aptos" w:hAnsi="Aptos" w:cs="Arial"/>
          <w:kern w:val="2"/>
          <w:sz w:val="22"/>
          <w:szCs w:val="22"/>
          <w14:ligatures w14:val="standardContextual"/>
        </w:rPr>
        <w:t>The ICT services sector includes activities providing telecommunications and related service activities, i.e. transmitting voice, data, text, sound and video, over wired, wireless, satellite or other networks</w:t>
      </w:r>
      <w:r>
        <w:rPr>
          <w:rFonts w:ascii="Aptos" w:eastAsia="Aptos" w:hAnsi="Aptos" w:cs="Arial"/>
          <w:noProof/>
          <w:kern w:val="2"/>
          <w:sz w:val="22"/>
          <w:szCs w:val="22"/>
          <w14:ligatures w14:val="standardContextual"/>
        </w:rPr>
        <w:t>.</w:t>
      </w:r>
      <w:r w:rsidRPr="006C41B5">
        <w:rPr>
          <w:rFonts w:ascii="Aptos" w:eastAsia="Aptos" w:hAnsi="Aptos" w:cs="Arial"/>
          <w:noProof/>
          <w:kern w:val="2"/>
          <w:sz w:val="22"/>
          <w:szCs w:val="22"/>
          <w:vertAlign w:val="superscript"/>
          <w14:ligatures w14:val="standardContextual"/>
        </w:rPr>
        <w:footnoteReference w:id="10"/>
      </w:r>
      <w:r w:rsidRPr="005F7253">
        <w:rPr>
          <w:rFonts w:ascii="Aptos" w:eastAsia="Aptos" w:hAnsi="Aptos" w:cs="Arial"/>
          <w:kern w:val="2"/>
          <w:sz w:val="22"/>
          <w:szCs w:val="22"/>
          <w14:ligatures w14:val="standardContextual"/>
        </w:rPr>
        <w:t xml:space="preserve"> The total </w:t>
      </w:r>
      <w:r w:rsidR="00A60362">
        <w:rPr>
          <w:rFonts w:ascii="Aptos" w:eastAsia="Aptos" w:hAnsi="Aptos" w:cs="Arial"/>
          <w:kern w:val="2"/>
          <w:sz w:val="22"/>
          <w:szCs w:val="22"/>
          <w14:ligatures w14:val="standardContextual"/>
        </w:rPr>
        <w:t xml:space="preserve">annual </w:t>
      </w:r>
      <w:r w:rsidRPr="005F7253">
        <w:rPr>
          <w:rFonts w:ascii="Aptos" w:eastAsia="Aptos" w:hAnsi="Aptos" w:cs="Arial"/>
          <w:kern w:val="2"/>
          <w:sz w:val="22"/>
          <w:szCs w:val="22"/>
          <w14:ligatures w14:val="standardContextual"/>
        </w:rPr>
        <w:t xml:space="preserve">retail revenue for the sector in the </w:t>
      </w:r>
      <w:r w:rsidR="008F7015">
        <w:rPr>
          <w:rFonts w:ascii="Aptos" w:eastAsia="Aptos" w:hAnsi="Aptos" w:cs="Arial"/>
          <w:kern w:val="2"/>
          <w:sz w:val="22"/>
          <w:szCs w:val="22"/>
          <w14:ligatures w14:val="standardContextual"/>
        </w:rPr>
        <w:t>Americas</w:t>
      </w:r>
      <w:r w:rsidRPr="005F7253">
        <w:rPr>
          <w:rFonts w:ascii="Aptos" w:eastAsia="Aptos" w:hAnsi="Aptos" w:cs="Arial"/>
          <w:kern w:val="2"/>
          <w:sz w:val="22"/>
          <w:szCs w:val="22"/>
          <w14:ligatures w14:val="standardContextual"/>
        </w:rPr>
        <w:t xml:space="preserve"> region, for the </w:t>
      </w:r>
      <w:r>
        <w:rPr>
          <w:rFonts w:ascii="Aptos" w:eastAsia="Aptos" w:hAnsi="Aptos" w:cs="Arial"/>
          <w:kern w:val="2"/>
          <w:sz w:val="22"/>
          <w:szCs w:val="22"/>
          <w14:ligatures w14:val="standardContextual"/>
        </w:rPr>
        <w:t>2</w:t>
      </w:r>
      <w:r w:rsidR="007126DA">
        <w:rPr>
          <w:rFonts w:ascii="Aptos" w:eastAsia="Aptos" w:hAnsi="Aptos" w:cs="Arial"/>
          <w:kern w:val="2"/>
          <w:sz w:val="22"/>
          <w:szCs w:val="22"/>
          <w14:ligatures w14:val="standardContextual"/>
        </w:rPr>
        <w:t>0</w:t>
      </w:r>
      <w:r w:rsidRPr="005F7253">
        <w:rPr>
          <w:rFonts w:ascii="Aptos" w:eastAsia="Aptos" w:hAnsi="Aptos" w:cs="Arial"/>
          <w:kern w:val="2"/>
          <w:sz w:val="22"/>
          <w:szCs w:val="22"/>
          <w14:ligatures w14:val="standardContextual"/>
        </w:rPr>
        <w:t xml:space="preserve"> countries that provided data in the last available year since 2021, is estimated at around USD </w:t>
      </w:r>
      <w:r w:rsidR="007126DA">
        <w:rPr>
          <w:rFonts w:ascii="Aptos" w:eastAsia="Aptos" w:hAnsi="Aptos" w:cs="Arial"/>
          <w:kern w:val="2"/>
          <w:sz w:val="22"/>
          <w:szCs w:val="22"/>
          <w14:ligatures w14:val="standardContextual"/>
        </w:rPr>
        <w:t>834</w:t>
      </w:r>
      <w:r w:rsidRPr="005F7253">
        <w:rPr>
          <w:rFonts w:ascii="Aptos" w:eastAsia="Aptos" w:hAnsi="Aptos" w:cs="Arial"/>
          <w:kern w:val="2"/>
          <w:sz w:val="22"/>
          <w:szCs w:val="22"/>
          <w14:ligatures w14:val="standardContextual"/>
        </w:rPr>
        <w:t xml:space="preserve"> billion</w:t>
      </w:r>
      <w:r>
        <w:rPr>
          <w:rFonts w:ascii="Aptos" w:eastAsia="Aptos" w:hAnsi="Aptos" w:cs="Arial"/>
          <w:kern w:val="2"/>
          <w:sz w:val="22"/>
          <w:szCs w:val="22"/>
          <w14:ligatures w14:val="standardContextual"/>
        </w:rPr>
        <w:t>. However, t</w:t>
      </w:r>
      <w:r w:rsidRPr="00215418">
        <w:rPr>
          <w:rFonts w:ascii="Aptos" w:eastAsia="Aptos" w:hAnsi="Aptos" w:cs="Arial"/>
          <w:noProof/>
          <w:kern w:val="2"/>
          <w:sz w:val="22"/>
          <w:szCs w:val="22"/>
          <w14:ligatures w14:val="standardContextual"/>
        </w:rPr>
        <w:t>he size of the telecom</w:t>
      </w:r>
      <w:r>
        <w:rPr>
          <w:rFonts w:ascii="Aptos" w:eastAsia="Aptos" w:hAnsi="Aptos" w:cs="Arial"/>
          <w:noProof/>
          <w:kern w:val="2"/>
          <w:sz w:val="22"/>
          <w:szCs w:val="22"/>
          <w14:ligatures w14:val="standardContextual"/>
        </w:rPr>
        <w:t>munication</w:t>
      </w:r>
      <w:r w:rsidRPr="00215418">
        <w:rPr>
          <w:rFonts w:ascii="Aptos" w:eastAsia="Aptos" w:hAnsi="Aptos" w:cs="Arial"/>
          <w:noProof/>
          <w:kern w:val="2"/>
          <w:sz w:val="22"/>
          <w:szCs w:val="22"/>
          <w14:ligatures w14:val="standardContextual"/>
        </w:rPr>
        <w:t xml:space="preserve"> market varies significantly across countries, with </w:t>
      </w:r>
      <w:r w:rsidR="00C34FAA">
        <w:rPr>
          <w:rFonts w:ascii="Aptos" w:eastAsia="Aptos" w:hAnsi="Aptos" w:cs="Arial"/>
          <w:noProof/>
          <w:kern w:val="2"/>
          <w:sz w:val="22"/>
          <w:szCs w:val="22"/>
          <w14:ligatures w14:val="standardContextual"/>
        </w:rPr>
        <w:t>six</w:t>
      </w:r>
      <w:r>
        <w:rPr>
          <w:rFonts w:ascii="Aptos" w:eastAsia="Aptos" w:hAnsi="Aptos" w:cs="Arial"/>
          <w:noProof/>
          <w:kern w:val="2"/>
          <w:sz w:val="22"/>
          <w:szCs w:val="22"/>
          <w14:ligatures w14:val="standardContextual"/>
        </w:rPr>
        <w:t xml:space="preserve"> </w:t>
      </w:r>
      <w:r w:rsidRPr="00215418">
        <w:rPr>
          <w:rFonts w:ascii="Aptos" w:eastAsia="Aptos" w:hAnsi="Aptos" w:cs="Arial"/>
          <w:noProof/>
          <w:kern w:val="2"/>
          <w:sz w:val="22"/>
          <w:szCs w:val="22"/>
          <w14:ligatures w14:val="standardContextual"/>
        </w:rPr>
        <w:t>countries reporting revenue</w:t>
      </w:r>
      <w:r>
        <w:rPr>
          <w:rFonts w:ascii="Aptos" w:eastAsia="Aptos" w:hAnsi="Aptos" w:cs="Arial"/>
          <w:noProof/>
          <w:kern w:val="2"/>
          <w:sz w:val="22"/>
          <w:szCs w:val="22"/>
          <w14:ligatures w14:val="standardContextual"/>
        </w:rPr>
        <w:t xml:space="preserve"> </w:t>
      </w:r>
      <w:r w:rsidR="00C34FAA">
        <w:rPr>
          <w:rFonts w:ascii="Aptos" w:eastAsia="Aptos" w:hAnsi="Aptos" w:cs="Arial"/>
          <w:noProof/>
          <w:kern w:val="2"/>
          <w:sz w:val="22"/>
          <w:szCs w:val="22"/>
          <w14:ligatures w14:val="standardContextual"/>
        </w:rPr>
        <w:t xml:space="preserve">below </w:t>
      </w:r>
      <w:r>
        <w:rPr>
          <w:rFonts w:ascii="Aptos" w:eastAsia="Aptos" w:hAnsi="Aptos" w:cs="Arial"/>
          <w:noProof/>
          <w:kern w:val="2"/>
          <w:sz w:val="22"/>
          <w:szCs w:val="22"/>
          <w14:ligatures w14:val="standardContextual"/>
        </w:rPr>
        <w:t xml:space="preserve">USD </w:t>
      </w:r>
      <w:r w:rsidR="00C34FAA">
        <w:rPr>
          <w:rFonts w:ascii="Aptos" w:eastAsia="Aptos" w:hAnsi="Aptos" w:cs="Arial"/>
          <w:noProof/>
          <w:kern w:val="2"/>
          <w:sz w:val="22"/>
          <w:szCs w:val="22"/>
          <w14:ligatures w14:val="standardContextual"/>
        </w:rPr>
        <w:t>1</w:t>
      </w:r>
      <w:r w:rsidRPr="00215418">
        <w:rPr>
          <w:rFonts w:ascii="Aptos" w:eastAsia="Aptos" w:hAnsi="Aptos" w:cs="Arial"/>
          <w:noProof/>
          <w:kern w:val="2"/>
          <w:sz w:val="22"/>
          <w:szCs w:val="22"/>
          <w14:ligatures w14:val="standardContextual"/>
        </w:rPr>
        <w:t xml:space="preserve"> </w:t>
      </w:r>
      <w:r w:rsidR="00C34FAA">
        <w:rPr>
          <w:rFonts w:ascii="Aptos" w:eastAsia="Aptos" w:hAnsi="Aptos" w:cs="Arial"/>
          <w:noProof/>
          <w:kern w:val="2"/>
          <w:sz w:val="22"/>
          <w:szCs w:val="22"/>
          <w14:ligatures w14:val="standardContextual"/>
        </w:rPr>
        <w:t>b</w:t>
      </w:r>
      <w:r w:rsidRPr="00215418">
        <w:rPr>
          <w:rFonts w:ascii="Aptos" w:eastAsia="Aptos" w:hAnsi="Aptos" w:cs="Arial"/>
          <w:noProof/>
          <w:kern w:val="2"/>
          <w:sz w:val="22"/>
          <w:szCs w:val="22"/>
          <w14:ligatures w14:val="standardContextual"/>
        </w:rPr>
        <w:t xml:space="preserve">illion, while </w:t>
      </w:r>
      <w:r w:rsidR="00C34FAA">
        <w:rPr>
          <w:rFonts w:ascii="Aptos" w:eastAsia="Aptos" w:hAnsi="Aptos" w:cs="Arial"/>
          <w:noProof/>
          <w:kern w:val="2"/>
          <w:sz w:val="22"/>
          <w:szCs w:val="22"/>
          <w14:ligatures w14:val="standardContextual"/>
        </w:rPr>
        <w:t>the United States</w:t>
      </w:r>
      <w:r w:rsidRPr="00215418">
        <w:rPr>
          <w:rFonts w:ascii="Aptos" w:eastAsia="Aptos" w:hAnsi="Aptos" w:cs="Arial"/>
          <w:noProof/>
          <w:kern w:val="2"/>
          <w:sz w:val="22"/>
          <w:szCs w:val="22"/>
          <w14:ligatures w14:val="standardContextual"/>
        </w:rPr>
        <w:t xml:space="preserve">, the largest market, </w:t>
      </w:r>
      <w:r w:rsidR="00A66562" w:rsidRPr="00563970">
        <w:rPr>
          <w:rFonts w:ascii="Aptos" w:eastAsia="Aptos" w:hAnsi="Aptos" w:cs="Arial"/>
          <w:kern w:val="2"/>
          <w:sz w:val="22"/>
          <w:szCs w:val="22"/>
          <w14:ligatures w14:val="standardContextual"/>
        </w:rPr>
        <w:t>totalled</w:t>
      </w:r>
      <w:r w:rsidRPr="00215418">
        <w:rPr>
          <w:rFonts w:ascii="Aptos" w:eastAsia="Aptos" w:hAnsi="Aptos" w:cs="Arial"/>
          <w:noProof/>
          <w:kern w:val="2"/>
          <w:sz w:val="22"/>
          <w:szCs w:val="22"/>
          <w14:ligatures w14:val="standardContextual"/>
        </w:rPr>
        <w:t xml:space="preserve"> </w:t>
      </w:r>
      <w:r>
        <w:rPr>
          <w:rFonts w:ascii="Aptos" w:eastAsia="Aptos" w:hAnsi="Aptos" w:cs="Arial"/>
          <w:noProof/>
          <w:kern w:val="2"/>
          <w:sz w:val="22"/>
          <w:szCs w:val="22"/>
          <w14:ligatures w14:val="standardContextual"/>
        </w:rPr>
        <w:t>USD </w:t>
      </w:r>
      <w:r w:rsidR="0059625C">
        <w:rPr>
          <w:rFonts w:ascii="Aptos" w:eastAsia="Aptos" w:hAnsi="Aptos" w:cs="Arial"/>
          <w:noProof/>
          <w:kern w:val="2"/>
          <w:sz w:val="22"/>
          <w:szCs w:val="22"/>
          <w14:ligatures w14:val="standardContextual"/>
        </w:rPr>
        <w:t>693</w:t>
      </w:r>
      <w:r w:rsidRPr="00215418">
        <w:rPr>
          <w:rFonts w:ascii="Aptos" w:eastAsia="Aptos" w:hAnsi="Aptos" w:cs="Arial"/>
          <w:noProof/>
          <w:kern w:val="2"/>
          <w:sz w:val="22"/>
          <w:szCs w:val="22"/>
          <w14:ligatures w14:val="standardContextual"/>
        </w:rPr>
        <w:t xml:space="preserve"> billion</w:t>
      </w:r>
      <w:r w:rsidR="0047601D">
        <w:rPr>
          <w:rFonts w:ascii="Aptos" w:eastAsia="Aptos" w:hAnsi="Aptos" w:cs="Arial"/>
          <w:noProof/>
          <w:kern w:val="2"/>
          <w:sz w:val="22"/>
          <w:szCs w:val="22"/>
          <w14:ligatures w14:val="standardContextual"/>
        </w:rPr>
        <w:t xml:space="preserve"> </w:t>
      </w:r>
      <w:r w:rsidR="007C05A3">
        <w:rPr>
          <w:rFonts w:ascii="Aptos" w:eastAsia="Aptos" w:hAnsi="Aptos" w:cs="Arial"/>
          <w:noProof/>
          <w:kern w:val="2"/>
          <w:sz w:val="22"/>
          <w:szCs w:val="22"/>
          <w14:ligatures w14:val="standardContextual"/>
        </w:rPr>
        <w:t xml:space="preserve">in </w:t>
      </w:r>
      <w:r w:rsidR="0047601D">
        <w:rPr>
          <w:rFonts w:ascii="Aptos" w:eastAsia="Aptos" w:hAnsi="Aptos" w:cs="Arial"/>
          <w:noProof/>
          <w:kern w:val="2"/>
          <w:sz w:val="22"/>
          <w:szCs w:val="22"/>
          <w14:ligatures w14:val="standardContextual"/>
        </w:rPr>
        <w:t>revenue</w:t>
      </w:r>
      <w:r w:rsidR="0059625C">
        <w:rPr>
          <w:rFonts w:ascii="Aptos" w:eastAsia="Aptos" w:hAnsi="Aptos" w:cs="Arial"/>
          <w:noProof/>
          <w:kern w:val="2"/>
          <w:sz w:val="22"/>
          <w:szCs w:val="22"/>
          <w14:ligatures w14:val="standardContextual"/>
        </w:rPr>
        <w:t xml:space="preserve">. Canada </w:t>
      </w:r>
      <w:r w:rsidR="007C05A3">
        <w:rPr>
          <w:rFonts w:ascii="Aptos" w:eastAsia="Aptos" w:hAnsi="Aptos" w:cs="Arial"/>
          <w:noProof/>
          <w:kern w:val="2"/>
          <w:sz w:val="22"/>
          <w:szCs w:val="22"/>
          <w14:ligatures w14:val="standardContextual"/>
        </w:rPr>
        <w:t>was</w:t>
      </w:r>
      <w:r w:rsidR="0059625C">
        <w:rPr>
          <w:rFonts w:ascii="Aptos" w:eastAsia="Aptos" w:hAnsi="Aptos" w:cs="Arial"/>
          <w:noProof/>
          <w:kern w:val="2"/>
          <w:sz w:val="22"/>
          <w:szCs w:val="22"/>
          <w14:ligatures w14:val="standardContextual"/>
        </w:rPr>
        <w:t xml:space="preserve"> a </w:t>
      </w:r>
      <w:r w:rsidR="009820F1">
        <w:rPr>
          <w:rFonts w:ascii="Aptos" w:eastAsia="Aptos" w:hAnsi="Aptos" w:cs="Arial"/>
          <w:noProof/>
          <w:kern w:val="2"/>
          <w:sz w:val="22"/>
          <w:szCs w:val="22"/>
          <w14:ligatures w14:val="standardContextual"/>
        </w:rPr>
        <w:t>distant second with</w:t>
      </w:r>
      <w:r w:rsidR="0059625C">
        <w:rPr>
          <w:rFonts w:ascii="Aptos" w:eastAsia="Aptos" w:hAnsi="Aptos" w:cs="Arial"/>
          <w:noProof/>
          <w:kern w:val="2"/>
          <w:sz w:val="22"/>
          <w:szCs w:val="22"/>
          <w14:ligatures w14:val="standardContextual"/>
        </w:rPr>
        <w:t xml:space="preserve"> </w:t>
      </w:r>
      <w:r>
        <w:rPr>
          <w:rFonts w:ascii="Aptos" w:eastAsia="Aptos" w:hAnsi="Aptos" w:cs="Arial"/>
          <w:noProof/>
          <w:kern w:val="2"/>
          <w:sz w:val="22"/>
          <w:szCs w:val="22"/>
          <w14:ligatures w14:val="standardContextual"/>
        </w:rPr>
        <w:t xml:space="preserve">USD </w:t>
      </w:r>
      <w:r w:rsidR="00174E0E">
        <w:rPr>
          <w:rFonts w:ascii="Aptos" w:eastAsia="Aptos" w:hAnsi="Aptos" w:cs="Arial"/>
          <w:noProof/>
          <w:kern w:val="2"/>
          <w:sz w:val="22"/>
          <w:szCs w:val="22"/>
          <w14:ligatures w14:val="standardContextual"/>
        </w:rPr>
        <w:t>44</w:t>
      </w:r>
      <w:r>
        <w:rPr>
          <w:rFonts w:ascii="Aptos" w:eastAsia="Aptos" w:hAnsi="Aptos" w:cs="Arial"/>
          <w:noProof/>
          <w:kern w:val="2"/>
          <w:sz w:val="22"/>
          <w:szCs w:val="22"/>
          <w14:ligatures w14:val="standardContextual"/>
        </w:rPr>
        <w:t xml:space="preserve"> billion</w:t>
      </w:r>
      <w:r w:rsidRPr="00215418">
        <w:rPr>
          <w:rFonts w:ascii="Aptos" w:eastAsia="Aptos" w:hAnsi="Aptos" w:cs="Arial"/>
          <w:noProof/>
          <w:kern w:val="2"/>
          <w:sz w:val="22"/>
          <w:szCs w:val="22"/>
          <w14:ligatures w14:val="standardContextual"/>
        </w:rPr>
        <w:t xml:space="preserve">. </w:t>
      </w:r>
    </w:p>
    <w:p w14:paraId="74B6F1A2" w14:textId="25375491" w:rsidR="002B11D5" w:rsidRPr="003D0AEA" w:rsidRDefault="007D369D" w:rsidP="002B11D5">
      <w:pPr>
        <w:overflowPunct/>
        <w:autoSpaceDE/>
        <w:autoSpaceDN/>
        <w:adjustRightInd/>
        <w:spacing w:before="0" w:after="160" w:line="259" w:lineRule="auto"/>
        <w:textAlignment w:val="auto"/>
        <w:rPr>
          <w:rFonts w:ascii="Aptos" w:eastAsia="Aptos" w:hAnsi="Aptos" w:cs="Arial"/>
          <w:noProof/>
          <w:kern w:val="2"/>
          <w:sz w:val="22"/>
          <w:szCs w:val="22"/>
          <w14:ligatures w14:val="standardContextual"/>
        </w:rPr>
      </w:pPr>
      <w:r w:rsidRPr="00215418">
        <w:rPr>
          <w:rFonts w:ascii="Aptos" w:eastAsia="Aptos" w:hAnsi="Aptos" w:cs="Arial"/>
          <w:noProof/>
          <w:kern w:val="2"/>
          <w:sz w:val="22"/>
          <w:szCs w:val="22"/>
          <w14:ligatures w14:val="standardContextual"/>
        </w:rPr>
        <w:t xml:space="preserve">This sector contributed an average of </w:t>
      </w:r>
      <w:r w:rsidR="00EB7BC0">
        <w:rPr>
          <w:rFonts w:ascii="Aptos" w:eastAsia="Aptos" w:hAnsi="Aptos" w:cs="Arial"/>
          <w:noProof/>
          <w:kern w:val="2"/>
          <w:sz w:val="22"/>
          <w:szCs w:val="22"/>
          <w14:ligatures w14:val="standardContextual"/>
        </w:rPr>
        <w:t>2.2</w:t>
      </w:r>
      <w:r w:rsidRPr="00215418">
        <w:rPr>
          <w:rFonts w:ascii="Aptos" w:eastAsia="Aptos" w:hAnsi="Aptos" w:cs="Arial"/>
          <w:noProof/>
          <w:kern w:val="2"/>
          <w:sz w:val="22"/>
          <w:szCs w:val="22"/>
          <w14:ligatures w14:val="standardContextual"/>
        </w:rPr>
        <w:t xml:space="preserve"> per cent to the region's GDP. </w:t>
      </w:r>
      <w:r>
        <w:rPr>
          <w:rFonts w:ascii="Aptos" w:eastAsia="Aptos" w:hAnsi="Aptos" w:cs="Arial"/>
          <w:noProof/>
          <w:kern w:val="2"/>
          <w:sz w:val="22"/>
          <w:szCs w:val="22"/>
          <w14:ligatures w14:val="standardContextual"/>
        </w:rPr>
        <w:t>T</w:t>
      </w:r>
      <w:r w:rsidRPr="00215418">
        <w:rPr>
          <w:rFonts w:ascii="Aptos" w:eastAsia="Aptos" w:hAnsi="Aptos" w:cs="Arial"/>
          <w:noProof/>
          <w:kern w:val="2"/>
          <w:sz w:val="22"/>
          <w:szCs w:val="22"/>
          <w14:ligatures w14:val="standardContextual"/>
        </w:rPr>
        <w:t xml:space="preserve">his proportion fluctuates, ranging from </w:t>
      </w:r>
      <w:r w:rsidR="00FE20C8">
        <w:rPr>
          <w:rFonts w:ascii="Aptos" w:eastAsia="Aptos" w:hAnsi="Aptos" w:cs="Arial"/>
          <w:noProof/>
          <w:kern w:val="2"/>
          <w:sz w:val="22"/>
          <w:szCs w:val="22"/>
          <w14:ligatures w14:val="standardContextual"/>
        </w:rPr>
        <w:t>around 1</w:t>
      </w:r>
      <w:r w:rsidR="00196966">
        <w:rPr>
          <w:rFonts w:ascii="Aptos" w:eastAsia="Aptos" w:hAnsi="Aptos" w:cs="Arial"/>
          <w:noProof/>
          <w:kern w:val="2"/>
          <w:sz w:val="22"/>
          <w:szCs w:val="22"/>
          <w14:ligatures w14:val="standardContextual"/>
        </w:rPr>
        <w:t xml:space="preserve"> </w:t>
      </w:r>
      <w:r w:rsidRPr="00215418">
        <w:rPr>
          <w:rFonts w:ascii="Aptos" w:eastAsia="Aptos" w:hAnsi="Aptos" w:cs="Arial"/>
          <w:noProof/>
          <w:kern w:val="2"/>
          <w:sz w:val="22"/>
          <w:szCs w:val="22"/>
          <w14:ligatures w14:val="standardContextual"/>
        </w:rPr>
        <w:t xml:space="preserve">per cent to over </w:t>
      </w:r>
      <w:r w:rsidR="008D554D">
        <w:rPr>
          <w:rFonts w:ascii="Aptos" w:eastAsia="Aptos" w:hAnsi="Aptos" w:cs="Arial"/>
          <w:noProof/>
          <w:kern w:val="2"/>
          <w:sz w:val="22"/>
          <w:szCs w:val="22"/>
          <w14:ligatures w14:val="standardContextual"/>
        </w:rPr>
        <w:t>4</w:t>
      </w:r>
      <w:r w:rsidRPr="00215418">
        <w:rPr>
          <w:rFonts w:ascii="Aptos" w:eastAsia="Aptos" w:hAnsi="Aptos" w:cs="Arial"/>
          <w:noProof/>
          <w:kern w:val="2"/>
          <w:sz w:val="22"/>
          <w:szCs w:val="22"/>
          <w14:ligatures w14:val="standardContextual"/>
        </w:rPr>
        <w:t xml:space="preserve"> per cent in </w:t>
      </w:r>
      <w:r w:rsidR="008D554D">
        <w:rPr>
          <w:rFonts w:ascii="Aptos" w:eastAsia="Aptos" w:hAnsi="Aptos" w:cs="Arial"/>
          <w:noProof/>
          <w:kern w:val="2"/>
          <w:sz w:val="22"/>
          <w:szCs w:val="22"/>
          <w14:ligatures w14:val="standardContextual"/>
        </w:rPr>
        <w:t>two</w:t>
      </w:r>
      <w:r w:rsidRPr="00215418">
        <w:rPr>
          <w:rFonts w:ascii="Aptos" w:eastAsia="Aptos" w:hAnsi="Aptos" w:cs="Arial"/>
          <w:noProof/>
          <w:kern w:val="2"/>
          <w:sz w:val="22"/>
          <w:szCs w:val="22"/>
          <w14:ligatures w14:val="standardContextual"/>
        </w:rPr>
        <w:t xml:space="preserve"> countries.</w:t>
      </w:r>
      <w:r w:rsidRPr="005F7253">
        <w:rPr>
          <w:rFonts w:ascii="Aptos" w:eastAsia="Aptos" w:hAnsi="Aptos" w:cs="Arial"/>
          <w:kern w:val="2"/>
          <w:sz w:val="22"/>
          <w:szCs w:val="22"/>
          <w14:ligatures w14:val="standardContextual"/>
        </w:rPr>
        <w:t xml:space="preserve"> </w:t>
      </w:r>
    </w:p>
    <w:p w14:paraId="13F098A6" w14:textId="4011894B" w:rsidR="0047619F" w:rsidRPr="003D0AEA" w:rsidRDefault="0047619F" w:rsidP="00080535">
      <w:pPr>
        <w:keepNext/>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lastRenderedPageBreak/>
        <w:t xml:space="preserve">Annual investment in telecommunication services, in USD </w:t>
      </w:r>
      <w:r w:rsidR="00D470D7" w:rsidRPr="003D0AEA">
        <w:rPr>
          <w:rFonts w:ascii="AvenirNext LT Pro Light" w:eastAsia="Yu Gothic Light" w:hAnsi="AvenirNext LT Pro Light" w:cs="Calibri"/>
          <w:color w:val="0070C0"/>
          <w:spacing w:val="-10"/>
          <w:kern w:val="28"/>
          <w:szCs w:val="24"/>
        </w:rPr>
        <w:t>b</w:t>
      </w:r>
      <w:r w:rsidRPr="003D0AEA">
        <w:rPr>
          <w:rFonts w:ascii="AvenirNext LT Pro Light" w:eastAsia="Yu Gothic Light" w:hAnsi="AvenirNext LT Pro Light" w:cs="Calibri"/>
          <w:color w:val="0070C0"/>
          <w:spacing w:val="-10"/>
          <w:kern w:val="28"/>
          <w:szCs w:val="24"/>
        </w:rPr>
        <w:t>illion and as % of GDP</w:t>
      </w:r>
    </w:p>
    <w:p w14:paraId="3F79FE86" w14:textId="7035A76E" w:rsidR="0047619F" w:rsidRPr="003D0AEA" w:rsidRDefault="003243A3" w:rsidP="00B1004A">
      <w:pPr>
        <w:pStyle w:val="notetext"/>
      </w:pPr>
      <w:r>
        <w:rPr>
          <w:noProof/>
        </w:rPr>
        <w:drawing>
          <wp:inline distT="0" distB="0" distL="0" distR="0" wp14:anchorId="74180F4A" wp14:editId="0CE81384">
            <wp:extent cx="6120765" cy="3438525"/>
            <wp:effectExtent l="0" t="0" r="0" b="9525"/>
            <wp:docPr id="210410211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02113" name=""/>
                    <pic:cNvPicPr/>
                  </pic:nvPicPr>
                  <pic:blipFill>
                    <a:blip r:embed="rId118">
                      <a:extLst>
                        <a:ext uri="{96DAC541-7B7A-43D3-8B79-37D633B846F1}">
                          <asvg:svgBlip xmlns:asvg="http://schemas.microsoft.com/office/drawing/2016/SVG/main" r:embed="rId119"/>
                        </a:ext>
                      </a:extLst>
                    </a:blip>
                    <a:stretch>
                      <a:fillRect/>
                    </a:stretch>
                  </pic:blipFill>
                  <pic:spPr>
                    <a:xfrm>
                      <a:off x="0" y="0"/>
                      <a:ext cx="6120765" cy="3438525"/>
                    </a:xfrm>
                    <a:prstGeom prst="rect">
                      <a:avLst/>
                    </a:prstGeom>
                  </pic:spPr>
                </pic:pic>
              </a:graphicData>
            </a:graphic>
          </wp:inline>
        </w:drawing>
      </w:r>
      <w:r w:rsidR="0047619F" w:rsidRPr="003D0AEA">
        <w:t>Note: Data are a three-year (2021-2023) average of available data points to correct for annual fluctuations and gaps. Investment figures are in constant 2023 US dollars.</w:t>
      </w:r>
    </w:p>
    <w:p w14:paraId="46261EB7" w14:textId="77777777" w:rsidR="0047619F" w:rsidRPr="003D0AEA" w:rsidRDefault="0047619F" w:rsidP="00B1004A">
      <w:pPr>
        <w:pStyle w:val="Sourcetext"/>
      </w:pPr>
      <w:r w:rsidRPr="003D0AEA">
        <w:t>Source: ITU, World Bank World Development Indicators</w:t>
      </w:r>
    </w:p>
    <w:p w14:paraId="294B94FC" w14:textId="77777777" w:rsidR="006A7B4E" w:rsidRDefault="004B1D02" w:rsidP="004B1D0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The deployment of new network technologies and the upgrading of existing ones are highly capital-intensive activities. Investment projects often span multiple years and values fluctuate</w:t>
      </w:r>
      <w:r>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which is why statistics are presented as the period average for 2021-2023.</w:t>
      </w:r>
      <w:r>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Those countries in </w:t>
      </w:r>
      <w:r>
        <w:rPr>
          <w:rFonts w:ascii="Aptos" w:eastAsia="Aptos" w:hAnsi="Aptos" w:cs="Arial"/>
          <w:kern w:val="2"/>
          <w:sz w:val="22"/>
          <w:szCs w:val="22"/>
          <w14:ligatures w14:val="standardContextual"/>
        </w:rPr>
        <w:t xml:space="preserve">Americas </w:t>
      </w:r>
      <w:r w:rsidRPr="005F7253">
        <w:rPr>
          <w:rFonts w:ascii="Aptos" w:eastAsia="Aptos" w:hAnsi="Aptos" w:cs="Arial"/>
          <w:kern w:val="2"/>
          <w:sz w:val="22"/>
          <w:szCs w:val="22"/>
          <w14:ligatures w14:val="standardContextual"/>
        </w:rPr>
        <w:t>region for which data was available made annual investments</w:t>
      </w:r>
      <w:r>
        <w:rPr>
          <w:rFonts w:ascii="Aptos" w:eastAsia="Aptos" w:hAnsi="Aptos" w:cs="Arial"/>
          <w:kern w:val="2"/>
          <w:sz w:val="22"/>
          <w:szCs w:val="22"/>
          <w14:ligatures w14:val="standardContextual"/>
        </w:rPr>
        <w:t xml:space="preserve"> ranging from less than USD 1 billion in </w:t>
      </w:r>
      <w:r w:rsidR="00071EC5">
        <w:rPr>
          <w:rFonts w:ascii="Aptos" w:eastAsia="Aptos" w:hAnsi="Aptos" w:cs="Arial"/>
          <w:kern w:val="2"/>
          <w:sz w:val="22"/>
          <w:szCs w:val="22"/>
          <w14:ligatures w14:val="standardContextual"/>
        </w:rPr>
        <w:t>eleven</w:t>
      </w:r>
      <w:r>
        <w:rPr>
          <w:rFonts w:ascii="Aptos" w:eastAsia="Aptos" w:hAnsi="Aptos" w:cs="Arial"/>
          <w:kern w:val="2"/>
          <w:sz w:val="22"/>
          <w:szCs w:val="22"/>
          <w14:ligatures w14:val="standardContextual"/>
        </w:rPr>
        <w:t xml:space="preserve"> countries, to USD </w:t>
      </w:r>
      <w:r w:rsidR="00A449E6">
        <w:rPr>
          <w:rFonts w:ascii="Aptos" w:eastAsia="Aptos" w:hAnsi="Aptos" w:cs="Arial"/>
          <w:kern w:val="2"/>
          <w:sz w:val="22"/>
          <w:szCs w:val="22"/>
          <w14:ligatures w14:val="standardContextual"/>
        </w:rPr>
        <w:t>11</w:t>
      </w:r>
      <w:r>
        <w:rPr>
          <w:rFonts w:ascii="Aptos" w:eastAsia="Aptos" w:hAnsi="Aptos" w:cs="Arial"/>
          <w:kern w:val="2"/>
          <w:sz w:val="22"/>
          <w:szCs w:val="22"/>
          <w14:ligatures w14:val="standardContextual"/>
        </w:rPr>
        <w:t xml:space="preserve"> billion in </w:t>
      </w:r>
      <w:r w:rsidR="00A449E6">
        <w:rPr>
          <w:rFonts w:ascii="Aptos" w:eastAsia="Aptos" w:hAnsi="Aptos" w:cs="Arial"/>
          <w:kern w:val="2"/>
          <w:sz w:val="22"/>
          <w:szCs w:val="22"/>
          <w14:ligatures w14:val="standardContextual"/>
        </w:rPr>
        <w:t>Canada</w:t>
      </w:r>
      <w:r>
        <w:rPr>
          <w:rFonts w:ascii="Aptos" w:eastAsia="Aptos" w:hAnsi="Aptos" w:cs="Arial"/>
          <w:kern w:val="2"/>
          <w:sz w:val="22"/>
          <w:szCs w:val="22"/>
          <w14:ligatures w14:val="standardContextual"/>
        </w:rPr>
        <w:t xml:space="preserve"> and USD </w:t>
      </w:r>
      <w:r w:rsidR="00A449E6">
        <w:rPr>
          <w:rFonts w:ascii="Aptos" w:eastAsia="Aptos" w:hAnsi="Aptos" w:cs="Arial"/>
          <w:kern w:val="2"/>
          <w:sz w:val="22"/>
          <w:szCs w:val="22"/>
          <w14:ligatures w14:val="standardContextual"/>
        </w:rPr>
        <w:t>104</w:t>
      </w:r>
      <w:r>
        <w:rPr>
          <w:rFonts w:ascii="Aptos" w:eastAsia="Aptos" w:hAnsi="Aptos" w:cs="Arial"/>
          <w:kern w:val="2"/>
          <w:sz w:val="22"/>
          <w:szCs w:val="22"/>
          <w14:ligatures w14:val="standardContextual"/>
        </w:rPr>
        <w:t xml:space="preserve"> billion in </w:t>
      </w:r>
      <w:r w:rsidR="00A449E6">
        <w:rPr>
          <w:rFonts w:ascii="Aptos" w:eastAsia="Aptos" w:hAnsi="Aptos" w:cs="Arial"/>
          <w:kern w:val="2"/>
          <w:sz w:val="22"/>
          <w:szCs w:val="22"/>
          <w14:ligatures w14:val="standardContextual"/>
        </w:rPr>
        <w:t>the United States</w:t>
      </w:r>
      <w:r>
        <w:rPr>
          <w:rFonts w:ascii="Aptos" w:eastAsia="Aptos" w:hAnsi="Aptos" w:cs="Arial"/>
          <w:kern w:val="2"/>
          <w:sz w:val="22"/>
          <w:szCs w:val="22"/>
          <w14:ligatures w14:val="standardContextual"/>
        </w:rPr>
        <w:t xml:space="preserve">. This </w:t>
      </w:r>
      <w:r w:rsidRPr="005F7253">
        <w:rPr>
          <w:rFonts w:ascii="Aptos" w:eastAsia="Aptos" w:hAnsi="Aptos" w:cs="Arial"/>
          <w:kern w:val="2"/>
          <w:sz w:val="22"/>
          <w:szCs w:val="22"/>
          <w14:ligatures w14:val="standardContextual"/>
        </w:rPr>
        <w:t>correspond</w:t>
      </w:r>
      <w:r>
        <w:rPr>
          <w:rFonts w:ascii="Aptos" w:eastAsia="Aptos" w:hAnsi="Aptos" w:cs="Arial"/>
          <w:kern w:val="2"/>
          <w:sz w:val="22"/>
          <w:szCs w:val="22"/>
          <w14:ligatures w14:val="standardContextual"/>
        </w:rPr>
        <w:t>ed</w:t>
      </w:r>
      <w:r w:rsidRPr="005F7253">
        <w:rPr>
          <w:rFonts w:ascii="Aptos" w:eastAsia="Aptos" w:hAnsi="Aptos" w:cs="Arial"/>
          <w:kern w:val="2"/>
          <w:sz w:val="22"/>
          <w:szCs w:val="22"/>
          <w14:ligatures w14:val="standardContextual"/>
        </w:rPr>
        <w:t xml:space="preserve"> to a median value of 0.4 per cent of GDP over the 2021-2023 period.</w:t>
      </w:r>
      <w:r w:rsidRPr="005F7253">
        <w:rPr>
          <w:rFonts w:ascii="Aptos" w:eastAsia="Aptos" w:hAnsi="Aptos" w:cs="Arial"/>
          <w:kern w:val="2"/>
          <w:sz w:val="22"/>
          <w:szCs w:val="22"/>
          <w:vertAlign w:val="superscript"/>
          <w14:ligatures w14:val="standardContextual"/>
        </w:rPr>
        <w:footnoteReference w:id="11"/>
      </w:r>
      <w:r w:rsidRPr="005F7253">
        <w:rPr>
          <w:rFonts w:ascii="Aptos" w:eastAsia="Aptos" w:hAnsi="Aptos" w:cs="Arial"/>
          <w:kern w:val="2"/>
          <w:sz w:val="22"/>
          <w:szCs w:val="22"/>
          <w14:ligatures w14:val="standardContextual"/>
        </w:rPr>
        <w:t xml:space="preserve"> </w:t>
      </w:r>
    </w:p>
    <w:p w14:paraId="1DCBB9FA" w14:textId="2D4B0A0D" w:rsidR="00310C45" w:rsidRDefault="009D3FEF" w:rsidP="00C218F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 xml:space="preserve">Ensuring </w:t>
      </w:r>
      <w:r w:rsidR="00706732">
        <w:rPr>
          <w:rFonts w:ascii="Aptos" w:eastAsia="Aptos" w:hAnsi="Aptos" w:cs="Arial"/>
          <w:kern w:val="2"/>
          <w:sz w:val="22"/>
          <w:szCs w:val="22"/>
          <w14:ligatures w14:val="standardContextual"/>
        </w:rPr>
        <w:t xml:space="preserve">the </w:t>
      </w:r>
      <w:r w:rsidR="00CC4993">
        <w:rPr>
          <w:rFonts w:ascii="Aptos" w:eastAsia="Aptos" w:hAnsi="Aptos" w:cs="Arial"/>
          <w:kern w:val="2"/>
          <w:sz w:val="22"/>
          <w:szCs w:val="22"/>
          <w14:ligatures w14:val="standardContextual"/>
        </w:rPr>
        <w:t>infrastructur</w:t>
      </w:r>
      <w:r w:rsidR="00706732">
        <w:rPr>
          <w:rFonts w:ascii="Aptos" w:eastAsia="Aptos" w:hAnsi="Aptos" w:cs="Arial"/>
          <w:kern w:val="2"/>
          <w:sz w:val="22"/>
          <w:szCs w:val="22"/>
          <w14:ligatures w14:val="standardContextual"/>
        </w:rPr>
        <w:t xml:space="preserve">al requirements </w:t>
      </w:r>
      <w:r w:rsidR="002C4CD6">
        <w:rPr>
          <w:rFonts w:ascii="Aptos" w:eastAsia="Aptos" w:hAnsi="Aptos" w:cs="Arial"/>
          <w:kern w:val="2"/>
          <w:sz w:val="22"/>
          <w:szCs w:val="22"/>
          <w14:ligatures w14:val="standardContextual"/>
        </w:rPr>
        <w:t xml:space="preserve">for universal and meaningful connectivity </w:t>
      </w:r>
      <w:r w:rsidR="00867C3A">
        <w:rPr>
          <w:rFonts w:ascii="Aptos" w:eastAsia="Aptos" w:hAnsi="Aptos" w:cs="Arial"/>
          <w:kern w:val="2"/>
          <w:sz w:val="22"/>
          <w:szCs w:val="22"/>
          <w14:ligatures w14:val="standardContextual"/>
        </w:rPr>
        <w:t xml:space="preserve">requires </w:t>
      </w:r>
      <w:r w:rsidR="00EA2ACF">
        <w:rPr>
          <w:rFonts w:ascii="Aptos" w:eastAsia="Aptos" w:hAnsi="Aptos" w:cs="Arial"/>
          <w:kern w:val="2"/>
          <w:sz w:val="22"/>
          <w:szCs w:val="22"/>
          <w14:ligatures w14:val="standardContextual"/>
        </w:rPr>
        <w:t xml:space="preserve">significant, </w:t>
      </w:r>
      <w:r w:rsidR="002C4CD6">
        <w:rPr>
          <w:rFonts w:ascii="Aptos" w:eastAsia="Aptos" w:hAnsi="Aptos" w:cs="Arial"/>
          <w:kern w:val="2"/>
          <w:sz w:val="22"/>
          <w:szCs w:val="22"/>
          <w14:ligatures w14:val="standardContextual"/>
        </w:rPr>
        <w:t>continuous investment</w:t>
      </w:r>
      <w:r w:rsidR="00EA2ACF">
        <w:rPr>
          <w:rFonts w:ascii="Aptos" w:eastAsia="Aptos" w:hAnsi="Aptos" w:cs="Arial"/>
          <w:kern w:val="2"/>
          <w:sz w:val="22"/>
          <w:szCs w:val="22"/>
          <w14:ligatures w14:val="standardContextual"/>
        </w:rPr>
        <w:t xml:space="preserve"> efforts</w:t>
      </w:r>
      <w:r w:rsidR="002C4CD6">
        <w:rPr>
          <w:rFonts w:ascii="Aptos" w:eastAsia="Aptos" w:hAnsi="Aptos" w:cs="Arial"/>
          <w:kern w:val="2"/>
          <w:sz w:val="22"/>
          <w:szCs w:val="22"/>
          <w14:ligatures w14:val="standardContextual"/>
        </w:rPr>
        <w:t>.</w:t>
      </w:r>
      <w:r w:rsidR="00CC4993">
        <w:rPr>
          <w:rFonts w:ascii="Aptos" w:eastAsia="Aptos" w:hAnsi="Aptos" w:cs="Arial"/>
          <w:kern w:val="2"/>
          <w:sz w:val="22"/>
          <w:szCs w:val="22"/>
          <w14:ligatures w14:val="standardContextual"/>
        </w:rPr>
        <w:t xml:space="preserve"> </w:t>
      </w:r>
      <w:r w:rsidR="00D46E69">
        <w:rPr>
          <w:rFonts w:ascii="Aptos" w:eastAsia="Aptos" w:hAnsi="Aptos" w:cs="Arial"/>
          <w:kern w:val="2"/>
          <w:sz w:val="22"/>
          <w:szCs w:val="22"/>
          <w14:ligatures w14:val="standardContextual"/>
        </w:rPr>
        <w:t xml:space="preserve">On average, </w:t>
      </w:r>
      <w:r w:rsidR="00B512C0">
        <w:rPr>
          <w:rFonts w:ascii="Aptos" w:eastAsia="Aptos" w:hAnsi="Aptos" w:cs="Arial"/>
          <w:kern w:val="2"/>
          <w:sz w:val="22"/>
          <w:szCs w:val="22"/>
          <w14:ligatures w14:val="standardContextual"/>
        </w:rPr>
        <w:t xml:space="preserve">the </w:t>
      </w:r>
      <w:r w:rsidR="008E4FC5">
        <w:rPr>
          <w:rFonts w:ascii="Aptos" w:eastAsia="Aptos" w:hAnsi="Aptos" w:cs="Arial"/>
          <w:kern w:val="2"/>
          <w:sz w:val="22"/>
          <w:szCs w:val="22"/>
          <w14:ligatures w14:val="standardContextual"/>
        </w:rPr>
        <w:t xml:space="preserve">ICT </w:t>
      </w:r>
      <w:r w:rsidR="00B512C0">
        <w:rPr>
          <w:rFonts w:ascii="Aptos" w:eastAsia="Aptos" w:hAnsi="Aptos" w:cs="Arial"/>
          <w:kern w:val="2"/>
          <w:sz w:val="22"/>
          <w:szCs w:val="22"/>
          <w14:ligatures w14:val="standardContextual"/>
        </w:rPr>
        <w:t xml:space="preserve">sector </w:t>
      </w:r>
      <w:r w:rsidR="008E4FC5">
        <w:rPr>
          <w:rFonts w:ascii="Aptos" w:eastAsia="Aptos" w:hAnsi="Aptos" w:cs="Arial"/>
          <w:kern w:val="2"/>
          <w:sz w:val="22"/>
          <w:szCs w:val="22"/>
          <w14:ligatures w14:val="standardContextual"/>
        </w:rPr>
        <w:t xml:space="preserve">in the region </w:t>
      </w:r>
      <w:r w:rsidR="005E2896">
        <w:rPr>
          <w:rFonts w:ascii="Aptos" w:eastAsia="Aptos" w:hAnsi="Aptos" w:cs="Arial"/>
          <w:kern w:val="2"/>
          <w:sz w:val="22"/>
          <w:szCs w:val="22"/>
          <w14:ligatures w14:val="standardContextual"/>
        </w:rPr>
        <w:t>invest</w:t>
      </w:r>
      <w:r w:rsidR="00B512C0">
        <w:rPr>
          <w:rFonts w:ascii="Aptos" w:eastAsia="Aptos" w:hAnsi="Aptos" w:cs="Arial"/>
          <w:kern w:val="2"/>
          <w:sz w:val="22"/>
          <w:szCs w:val="22"/>
          <w14:ligatures w14:val="standardContextual"/>
        </w:rPr>
        <w:t>s</w:t>
      </w:r>
      <w:r w:rsidR="00C770AD">
        <w:rPr>
          <w:rFonts w:ascii="Aptos" w:eastAsia="Aptos" w:hAnsi="Aptos" w:cs="Arial"/>
          <w:kern w:val="2"/>
          <w:sz w:val="22"/>
          <w:szCs w:val="22"/>
          <w14:ligatures w14:val="standardContextual"/>
        </w:rPr>
        <w:t xml:space="preserve"> </w:t>
      </w:r>
      <w:r w:rsidR="005E2896">
        <w:rPr>
          <w:rFonts w:ascii="Aptos" w:eastAsia="Aptos" w:hAnsi="Aptos" w:cs="Arial"/>
          <w:kern w:val="2"/>
          <w:sz w:val="22"/>
          <w:szCs w:val="22"/>
          <w14:ligatures w14:val="standardContextual"/>
        </w:rPr>
        <w:t>around 18 per cent of the</w:t>
      </w:r>
      <w:r w:rsidR="008E4FC5">
        <w:rPr>
          <w:rFonts w:ascii="Aptos" w:eastAsia="Aptos" w:hAnsi="Aptos" w:cs="Arial"/>
          <w:kern w:val="2"/>
          <w:sz w:val="22"/>
          <w:szCs w:val="22"/>
          <w14:ligatures w14:val="standardContextual"/>
        </w:rPr>
        <w:t xml:space="preserve"> </w:t>
      </w:r>
      <w:r w:rsidR="005E2896">
        <w:rPr>
          <w:rFonts w:ascii="Aptos" w:eastAsia="Aptos" w:hAnsi="Aptos" w:cs="Arial"/>
          <w:kern w:val="2"/>
          <w:sz w:val="22"/>
          <w:szCs w:val="22"/>
          <w14:ligatures w14:val="standardContextual"/>
        </w:rPr>
        <w:t>revenue</w:t>
      </w:r>
      <w:r w:rsidR="008E4FC5">
        <w:rPr>
          <w:rFonts w:ascii="Aptos" w:eastAsia="Aptos" w:hAnsi="Aptos" w:cs="Arial"/>
          <w:kern w:val="2"/>
          <w:sz w:val="22"/>
          <w:szCs w:val="22"/>
          <w14:ligatures w14:val="standardContextual"/>
        </w:rPr>
        <w:t xml:space="preserve">, but </w:t>
      </w:r>
      <w:r w:rsidR="006A7B4E">
        <w:rPr>
          <w:rFonts w:ascii="Aptos" w:eastAsia="Aptos" w:hAnsi="Aptos" w:cs="Arial"/>
          <w:kern w:val="2"/>
          <w:sz w:val="22"/>
          <w:szCs w:val="22"/>
          <w14:ligatures w14:val="standardContextual"/>
        </w:rPr>
        <w:t>this ratio changes from country to country</w:t>
      </w:r>
      <w:r w:rsidR="00C770AD">
        <w:rPr>
          <w:rFonts w:ascii="Aptos" w:eastAsia="Aptos" w:hAnsi="Aptos" w:cs="Arial"/>
          <w:kern w:val="2"/>
          <w:sz w:val="22"/>
          <w:szCs w:val="22"/>
          <w14:ligatures w14:val="standardContextual"/>
        </w:rPr>
        <w:t>.</w:t>
      </w:r>
      <w:r w:rsidR="006A7B4E">
        <w:rPr>
          <w:rFonts w:ascii="Aptos" w:eastAsia="Aptos" w:hAnsi="Aptos" w:cs="Arial"/>
          <w:kern w:val="2"/>
          <w:sz w:val="22"/>
          <w:szCs w:val="22"/>
          <w14:ligatures w14:val="standardContextual"/>
        </w:rPr>
        <w:t xml:space="preserve"> </w:t>
      </w:r>
      <w:r w:rsidR="00E66530">
        <w:rPr>
          <w:rFonts w:ascii="Aptos" w:eastAsia="Aptos" w:hAnsi="Aptos" w:cs="Arial"/>
          <w:kern w:val="2"/>
          <w:sz w:val="22"/>
          <w:szCs w:val="22"/>
          <w14:ligatures w14:val="standardContextual"/>
        </w:rPr>
        <w:t>Investment levels in t</w:t>
      </w:r>
      <w:r w:rsidR="000446AC">
        <w:rPr>
          <w:rFonts w:ascii="Aptos" w:eastAsia="Aptos" w:hAnsi="Aptos" w:cs="Arial"/>
          <w:kern w:val="2"/>
          <w:sz w:val="22"/>
          <w:szCs w:val="22"/>
          <w14:ligatures w14:val="standardContextual"/>
        </w:rPr>
        <w:t xml:space="preserve">hree countries </w:t>
      </w:r>
      <w:r w:rsidR="00E66530">
        <w:rPr>
          <w:rFonts w:ascii="Aptos" w:eastAsia="Aptos" w:hAnsi="Aptos" w:cs="Arial"/>
          <w:kern w:val="2"/>
          <w:sz w:val="22"/>
          <w:szCs w:val="22"/>
          <w14:ligatures w14:val="standardContextual"/>
        </w:rPr>
        <w:t xml:space="preserve">of </w:t>
      </w:r>
      <w:r w:rsidR="000446AC">
        <w:rPr>
          <w:rFonts w:ascii="Aptos" w:eastAsia="Aptos" w:hAnsi="Aptos" w:cs="Arial"/>
          <w:kern w:val="2"/>
          <w:sz w:val="22"/>
          <w:szCs w:val="22"/>
          <w14:ligatures w14:val="standardContextual"/>
        </w:rPr>
        <w:t xml:space="preserve">the region </w:t>
      </w:r>
      <w:r w:rsidR="00E66530">
        <w:rPr>
          <w:rFonts w:ascii="Aptos" w:eastAsia="Aptos" w:hAnsi="Aptos" w:cs="Arial"/>
          <w:kern w:val="2"/>
          <w:sz w:val="22"/>
          <w:szCs w:val="22"/>
          <w14:ligatures w14:val="standardContextual"/>
        </w:rPr>
        <w:t xml:space="preserve">amount to </w:t>
      </w:r>
      <w:r w:rsidR="0039455C">
        <w:rPr>
          <w:rFonts w:ascii="Aptos" w:eastAsia="Aptos" w:hAnsi="Aptos" w:cs="Arial"/>
          <w:kern w:val="2"/>
          <w:sz w:val="22"/>
          <w:szCs w:val="22"/>
          <w14:ligatures w14:val="standardContextual"/>
        </w:rPr>
        <w:t xml:space="preserve">around a quarter of the </w:t>
      </w:r>
      <w:r w:rsidR="00C218FD">
        <w:rPr>
          <w:rFonts w:ascii="Aptos" w:eastAsia="Aptos" w:hAnsi="Aptos" w:cs="Arial"/>
          <w:kern w:val="2"/>
          <w:sz w:val="22"/>
          <w:szCs w:val="22"/>
          <w14:ligatures w14:val="standardContextual"/>
        </w:rPr>
        <w:t xml:space="preserve">sectoral </w:t>
      </w:r>
      <w:r w:rsidR="0039455C">
        <w:rPr>
          <w:rFonts w:ascii="Aptos" w:eastAsia="Aptos" w:hAnsi="Aptos" w:cs="Arial"/>
          <w:kern w:val="2"/>
          <w:sz w:val="22"/>
          <w:szCs w:val="22"/>
          <w14:ligatures w14:val="standardContextual"/>
        </w:rPr>
        <w:t>revenues</w:t>
      </w:r>
      <w:r w:rsidR="00E66530">
        <w:rPr>
          <w:rFonts w:ascii="Aptos" w:eastAsia="Aptos" w:hAnsi="Aptos" w:cs="Arial"/>
          <w:kern w:val="2"/>
          <w:sz w:val="22"/>
          <w:szCs w:val="22"/>
          <w14:ligatures w14:val="standardContextual"/>
        </w:rPr>
        <w:t xml:space="preserve">, </w:t>
      </w:r>
      <w:r w:rsidR="0039455C">
        <w:rPr>
          <w:rFonts w:ascii="Aptos" w:eastAsia="Aptos" w:hAnsi="Aptos" w:cs="Arial"/>
          <w:kern w:val="2"/>
          <w:sz w:val="22"/>
          <w:szCs w:val="22"/>
          <w14:ligatures w14:val="standardContextual"/>
        </w:rPr>
        <w:t xml:space="preserve">but </w:t>
      </w:r>
      <w:r w:rsidR="00D14549">
        <w:rPr>
          <w:rFonts w:ascii="Aptos" w:eastAsia="Aptos" w:hAnsi="Aptos" w:cs="Arial"/>
          <w:kern w:val="2"/>
          <w:sz w:val="22"/>
          <w:szCs w:val="22"/>
          <w14:ligatures w14:val="standardContextual"/>
        </w:rPr>
        <w:t xml:space="preserve">in two of the countries </w:t>
      </w:r>
      <w:r w:rsidR="00EA2ACF">
        <w:rPr>
          <w:rFonts w:ascii="Aptos" w:eastAsia="Aptos" w:hAnsi="Aptos" w:cs="Arial"/>
          <w:kern w:val="2"/>
          <w:sz w:val="22"/>
          <w:szCs w:val="22"/>
          <w14:ligatures w14:val="standardContextual"/>
        </w:rPr>
        <w:t xml:space="preserve">this ratio </w:t>
      </w:r>
      <w:r w:rsidR="00F310FD">
        <w:rPr>
          <w:rFonts w:ascii="Aptos" w:eastAsia="Aptos" w:hAnsi="Aptos" w:cs="Arial"/>
          <w:kern w:val="2"/>
          <w:sz w:val="22"/>
          <w:szCs w:val="22"/>
          <w14:ligatures w14:val="standardContextual"/>
        </w:rPr>
        <w:t xml:space="preserve">does not reach </w:t>
      </w:r>
      <w:r w:rsidR="00EA385F">
        <w:rPr>
          <w:rFonts w:ascii="Aptos" w:eastAsia="Aptos" w:hAnsi="Aptos" w:cs="Arial"/>
          <w:kern w:val="2"/>
          <w:sz w:val="22"/>
          <w:szCs w:val="22"/>
          <w14:ligatures w14:val="standardContextual"/>
        </w:rPr>
        <w:t xml:space="preserve">10 </w:t>
      </w:r>
      <w:r w:rsidR="003B0B50">
        <w:rPr>
          <w:rFonts w:ascii="Aptos" w:eastAsia="Aptos" w:hAnsi="Aptos" w:cs="Arial"/>
          <w:kern w:val="2"/>
          <w:sz w:val="22"/>
          <w:szCs w:val="22"/>
          <w14:ligatures w14:val="standardContextual"/>
        </w:rPr>
        <w:t>per cent</w:t>
      </w:r>
      <w:r w:rsidR="00781545">
        <w:rPr>
          <w:rFonts w:ascii="Aptos" w:eastAsia="Aptos" w:hAnsi="Aptos" w:cs="Arial"/>
          <w:kern w:val="2"/>
          <w:sz w:val="22"/>
          <w:szCs w:val="22"/>
          <w14:ligatures w14:val="standardContextual"/>
        </w:rPr>
        <w:t>.</w:t>
      </w:r>
    </w:p>
    <w:p w14:paraId="66FE690A" w14:textId="67861475" w:rsidR="006C41B5" w:rsidRPr="003D0AEA" w:rsidRDefault="006C41B5" w:rsidP="00C218F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D0AEA">
        <w:rPr>
          <w:rFonts w:ascii="Aptos" w:eastAsia="Aptos" w:hAnsi="Aptos" w:cs="Arial"/>
          <w:kern w:val="2"/>
          <w:sz w:val="22"/>
          <w:szCs w:val="22"/>
          <w14:ligatures w14:val="standardContextual"/>
        </w:rPr>
        <w:br w:type="page"/>
      </w:r>
    </w:p>
    <w:p w14:paraId="491095ED" w14:textId="77777777" w:rsidR="006C41B5" w:rsidRPr="003D0AEA" w:rsidRDefault="006C41B5" w:rsidP="000C3666">
      <w:pPr>
        <w:pStyle w:val="Section"/>
      </w:pPr>
      <w:bookmarkStart w:id="19" w:name="_Toc190883393"/>
      <w:r w:rsidRPr="003D0AEA">
        <w:lastRenderedPageBreak/>
        <w:t>Cybersecurity</w:t>
      </w:r>
      <w:bookmarkEnd w:id="19"/>
    </w:p>
    <w:p w14:paraId="1C547127" w14:textId="5C892CFA" w:rsidR="006C41B5" w:rsidRPr="003D0AEA" w:rsidRDefault="009C26A2"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9C26A2">
        <w:rPr>
          <w:b/>
          <w:bCs/>
          <w:i/>
          <w:iCs/>
        </w:rPr>
        <w:t>The Americas show stark contrasts in cybersecurity readiness and resilience</w:t>
      </w:r>
      <w:r w:rsidRPr="009C26A2" w:rsidDel="009C26A2">
        <w:rPr>
          <w:b/>
          <w:bCs/>
          <w:i/>
          <w:iCs/>
        </w:rPr>
        <w:t xml:space="preserve"> </w:t>
      </w:r>
    </w:p>
    <w:p w14:paraId="53F8C889" w14:textId="54E2E968" w:rsidR="00D85B5D" w:rsidRPr="00D85B5D" w:rsidRDefault="00EA19DE" w:rsidP="00D85B5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D0AEA">
        <w:rPr>
          <w:rFonts w:ascii="Aptos" w:eastAsia="Aptos" w:hAnsi="Aptos" w:cs="Arial"/>
          <w:kern w:val="2"/>
          <w:sz w:val="22"/>
          <w:szCs w:val="22"/>
          <w14:ligatures w14:val="standardContextual"/>
        </w:rPr>
        <w:t xml:space="preserve">Meaningful connectivity requires trustworthy and secure communications. With </w:t>
      </w:r>
      <w:r w:rsidR="008F7CB1">
        <w:rPr>
          <w:rFonts w:ascii="Aptos" w:eastAsia="Aptos" w:hAnsi="Aptos" w:cs="Arial"/>
          <w:kern w:val="2"/>
          <w:sz w:val="22"/>
          <w:szCs w:val="22"/>
          <w14:ligatures w14:val="standardContextual"/>
        </w:rPr>
        <w:t xml:space="preserve">nine in </w:t>
      </w:r>
      <w:r w:rsidR="002646BC">
        <w:rPr>
          <w:rFonts w:ascii="Aptos" w:eastAsia="Aptos" w:hAnsi="Aptos" w:cs="Arial"/>
          <w:kern w:val="2"/>
          <w:sz w:val="22"/>
          <w:szCs w:val="22"/>
          <w14:ligatures w14:val="standardContextual"/>
        </w:rPr>
        <w:t>ten</w:t>
      </w:r>
      <w:r w:rsidRPr="003D0AEA">
        <w:rPr>
          <w:rFonts w:ascii="Aptos" w:eastAsia="Aptos" w:hAnsi="Aptos" w:cs="Arial"/>
          <w:kern w:val="2"/>
          <w:sz w:val="22"/>
          <w:szCs w:val="22"/>
          <w14:ligatures w14:val="standardContextual"/>
        </w:rPr>
        <w:t xml:space="preserve"> people </w:t>
      </w:r>
      <w:r w:rsidR="002646BC">
        <w:rPr>
          <w:rFonts w:ascii="Aptos" w:eastAsia="Aptos" w:hAnsi="Aptos" w:cs="Arial"/>
          <w:kern w:val="2"/>
          <w:sz w:val="22"/>
          <w:szCs w:val="22"/>
          <w14:ligatures w14:val="standardContextual"/>
        </w:rPr>
        <w:t>using the Internet</w:t>
      </w:r>
      <w:r w:rsidRPr="003D0AEA">
        <w:rPr>
          <w:rFonts w:ascii="Aptos" w:eastAsia="Aptos" w:hAnsi="Aptos" w:cs="Arial"/>
          <w:kern w:val="2"/>
          <w:sz w:val="22"/>
          <w:szCs w:val="22"/>
          <w14:ligatures w14:val="standardContextual"/>
        </w:rPr>
        <w:t xml:space="preserve">, cybersecurity </w:t>
      </w:r>
      <w:r w:rsidR="00AF6DF9">
        <w:rPr>
          <w:rFonts w:ascii="Aptos" w:eastAsia="Aptos" w:hAnsi="Aptos" w:cs="Arial"/>
          <w:kern w:val="2"/>
          <w:sz w:val="22"/>
          <w:szCs w:val="22"/>
          <w14:ligatures w14:val="standardContextual"/>
        </w:rPr>
        <w:t>cannot be</w:t>
      </w:r>
      <w:r w:rsidRPr="003D0AEA">
        <w:rPr>
          <w:rFonts w:ascii="Aptos" w:eastAsia="Aptos" w:hAnsi="Aptos" w:cs="Arial"/>
          <w:kern w:val="2"/>
          <w:sz w:val="22"/>
          <w:szCs w:val="22"/>
          <w14:ligatures w14:val="standardContextual"/>
        </w:rPr>
        <w:t xml:space="preserve"> an afterthought. Addressing cybersecurity requires a holistic approach encompassing legal, technical, organizational, capacity development, and cooperation issues. </w:t>
      </w:r>
    </w:p>
    <w:p w14:paraId="18574B6F" w14:textId="0290DA65"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t>Global Cybersecurity Index scores, 2017-2024</w:t>
      </w:r>
    </w:p>
    <w:p w14:paraId="67F5910D" w14:textId="7941B397" w:rsidR="006C41B5" w:rsidRPr="003D0AEA" w:rsidRDefault="00F17A53" w:rsidP="006C41B5">
      <w:pPr>
        <w:rPr>
          <w:rFonts w:ascii="Aptos" w:eastAsia="Aptos" w:hAnsi="Aptos" w:cs="Arial"/>
          <w:kern w:val="2"/>
          <w:sz w:val="22"/>
          <w:szCs w:val="22"/>
          <w14:ligatures w14:val="standardContextual"/>
        </w:rPr>
      </w:pPr>
      <w:r>
        <w:rPr>
          <w:noProof/>
        </w:rPr>
        <w:drawing>
          <wp:inline distT="0" distB="0" distL="0" distR="0" wp14:anchorId="68939BFE" wp14:editId="7D4B59E5">
            <wp:extent cx="5971736" cy="1999872"/>
            <wp:effectExtent l="0" t="0" r="0" b="635"/>
            <wp:docPr id="5368143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814379" name=""/>
                    <pic:cNvPicPr/>
                  </pic:nvPicPr>
                  <pic:blipFill>
                    <a:blip r:embed="rId120">
                      <a:extLst>
                        <a:ext uri="{96DAC541-7B7A-43D3-8B79-37D633B846F1}">
                          <asvg:svgBlip xmlns:asvg="http://schemas.microsoft.com/office/drawing/2016/SVG/main" r:embed="rId121"/>
                        </a:ext>
                      </a:extLst>
                    </a:blip>
                    <a:stretch>
                      <a:fillRect/>
                    </a:stretch>
                  </pic:blipFill>
                  <pic:spPr>
                    <a:xfrm>
                      <a:off x="0" y="0"/>
                      <a:ext cx="5976410" cy="2001437"/>
                    </a:xfrm>
                    <a:prstGeom prst="rect">
                      <a:avLst/>
                    </a:prstGeom>
                  </pic:spPr>
                </pic:pic>
              </a:graphicData>
            </a:graphic>
          </wp:inline>
        </w:drawing>
      </w:r>
    </w:p>
    <w:p w14:paraId="52CA949C" w14:textId="77777777" w:rsidR="006C41B5" w:rsidRPr="003D0AEA" w:rsidRDefault="006C41B5" w:rsidP="00B1004A">
      <w:pPr>
        <w:pStyle w:val="notetext"/>
      </w:pPr>
      <w:r w:rsidRPr="003D0AEA">
        <w:t xml:space="preserve">Note: Questions and weightings have been updated between editions, in collaboration with the GCI Expert Group, to better measure cybersecurity commitments by countries. </w:t>
      </w:r>
    </w:p>
    <w:p w14:paraId="40B40C4C" w14:textId="77777777" w:rsidR="006C41B5" w:rsidRPr="003D0AEA" w:rsidRDefault="006C41B5" w:rsidP="00B1004A">
      <w:pPr>
        <w:pStyle w:val="Sourcetext"/>
      </w:pPr>
      <w:r w:rsidRPr="003D0AEA">
        <w:t>Source: ITU</w:t>
      </w:r>
    </w:p>
    <w:p w14:paraId="06CB0732" w14:textId="27AC1252" w:rsidR="002009FC" w:rsidRPr="00D85B5D" w:rsidRDefault="002009FC" w:rsidP="002009F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D0AEA">
        <w:rPr>
          <w:rFonts w:ascii="Aptos" w:eastAsia="Aptos" w:hAnsi="Aptos" w:cs="Arial"/>
          <w:kern w:val="2"/>
          <w:sz w:val="22"/>
          <w:szCs w:val="22"/>
          <w14:ligatures w14:val="standardContextual"/>
        </w:rPr>
        <w:t xml:space="preserve">Since 2015, the Global Cybersecurity Index (GCI) has tracked countries' performance on these issues, each represented by a pillar of the index, with an aggregate GCI score on a 0-100 scale. The 2024 edition revealed a notable improvement in countries’ commitment to cybersecurity: the average GCI score reached 66, up 14 points from the 2021 edition. </w:t>
      </w:r>
      <w:r w:rsidR="009306C9">
        <w:rPr>
          <w:rFonts w:ascii="Aptos" w:eastAsia="Aptos" w:hAnsi="Aptos" w:cs="Arial"/>
          <w:kern w:val="2"/>
          <w:sz w:val="22"/>
          <w:szCs w:val="22"/>
          <w14:ligatures w14:val="standardContextual"/>
        </w:rPr>
        <w:t>C</w:t>
      </w:r>
      <w:r w:rsidRPr="00D85B5D">
        <w:rPr>
          <w:rFonts w:ascii="Aptos" w:eastAsia="Aptos" w:hAnsi="Aptos" w:cs="Arial"/>
          <w:kern w:val="2"/>
          <w:sz w:val="22"/>
          <w:szCs w:val="22"/>
          <w14:ligatures w14:val="standardContextual"/>
        </w:rPr>
        <w:t xml:space="preserve">ountries in the Americas have continued to expand their commitments with </w:t>
      </w:r>
      <w:r>
        <w:rPr>
          <w:rFonts w:ascii="Aptos" w:eastAsia="Aptos" w:hAnsi="Aptos" w:cs="Arial"/>
          <w:kern w:val="2"/>
          <w:sz w:val="22"/>
          <w:szCs w:val="22"/>
          <w14:ligatures w14:val="standardContextual"/>
        </w:rPr>
        <w:t xml:space="preserve">an </w:t>
      </w:r>
      <w:r w:rsidRPr="00D85B5D">
        <w:rPr>
          <w:rFonts w:ascii="Aptos" w:eastAsia="Aptos" w:hAnsi="Aptos" w:cs="Arial"/>
          <w:kern w:val="2"/>
          <w:sz w:val="22"/>
          <w:szCs w:val="22"/>
          <w14:ligatures w14:val="standardContextual"/>
        </w:rPr>
        <w:t>average score of 54</w:t>
      </w:r>
      <w:r>
        <w:rPr>
          <w:rFonts w:ascii="Aptos" w:eastAsia="Aptos" w:hAnsi="Aptos" w:cs="Arial"/>
          <w:kern w:val="2"/>
          <w:sz w:val="22"/>
          <w:szCs w:val="22"/>
          <w14:ligatures w14:val="standardContextual"/>
        </w:rPr>
        <w:t xml:space="preserve">, </w:t>
      </w:r>
      <w:r w:rsidRPr="00D85B5D">
        <w:rPr>
          <w:rFonts w:ascii="Aptos" w:eastAsia="Aptos" w:hAnsi="Aptos" w:cs="Arial"/>
          <w:kern w:val="2"/>
          <w:sz w:val="22"/>
          <w:szCs w:val="22"/>
          <w14:ligatures w14:val="standardContextual"/>
        </w:rPr>
        <w:t xml:space="preserve">a gain of 16 points from the previous edition. </w:t>
      </w:r>
    </w:p>
    <w:p w14:paraId="3B67349D" w14:textId="77777777"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t>Global Cybersecurity Index scores, by pillar and overall, 2024</w:t>
      </w:r>
    </w:p>
    <w:p w14:paraId="7C28988A" w14:textId="2F9B6BCC" w:rsidR="006C41B5" w:rsidRPr="003D0AEA" w:rsidRDefault="004B3EF9" w:rsidP="00B1004A">
      <w:pPr>
        <w:pStyle w:val="notetext"/>
      </w:pPr>
      <w:r>
        <w:rPr>
          <w:noProof/>
        </w:rPr>
        <w:drawing>
          <wp:inline distT="0" distB="0" distL="0" distR="0" wp14:anchorId="7883349E" wp14:editId="371E12F8">
            <wp:extent cx="6120765" cy="2687320"/>
            <wp:effectExtent l="0" t="0" r="0" b="0"/>
            <wp:docPr id="12712796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79660" name=""/>
                    <pic:cNvPicPr/>
                  </pic:nvPicPr>
                  <pic:blipFill>
                    <a:blip r:embed="rId122">
                      <a:extLst>
                        <a:ext uri="{96DAC541-7B7A-43D3-8B79-37D633B846F1}">
                          <asvg:svgBlip xmlns:asvg="http://schemas.microsoft.com/office/drawing/2016/SVG/main" r:embed="rId123"/>
                        </a:ext>
                      </a:extLst>
                    </a:blip>
                    <a:stretch>
                      <a:fillRect/>
                    </a:stretch>
                  </pic:blipFill>
                  <pic:spPr>
                    <a:xfrm>
                      <a:off x="0" y="0"/>
                      <a:ext cx="6120765" cy="2687320"/>
                    </a:xfrm>
                    <a:prstGeom prst="rect">
                      <a:avLst/>
                    </a:prstGeom>
                  </pic:spPr>
                </pic:pic>
              </a:graphicData>
            </a:graphic>
          </wp:inline>
        </w:drawing>
      </w:r>
      <w:r w:rsidR="006C41B5" w:rsidRPr="003D0AEA">
        <w:t>Note: The overall G</w:t>
      </w:r>
      <w:r w:rsidR="001419F1">
        <w:t>C</w:t>
      </w:r>
      <w:r w:rsidR="006C41B5" w:rsidRPr="003D0AEA">
        <w:t>I score shown is the sum of the score of the five pillars</w:t>
      </w:r>
    </w:p>
    <w:p w14:paraId="3C70DF12" w14:textId="77777777" w:rsidR="006C41B5" w:rsidRPr="003D0AEA" w:rsidRDefault="006C41B5" w:rsidP="00B1004A">
      <w:pPr>
        <w:pStyle w:val="Sourcetext"/>
      </w:pPr>
      <w:r w:rsidRPr="003D0AEA">
        <w:t>Source: ITU</w:t>
      </w:r>
    </w:p>
    <w:p w14:paraId="3DF5AEF6" w14:textId="31268966" w:rsidR="00FA7AD8" w:rsidRPr="00FA7AD8" w:rsidRDefault="00FA7AD8" w:rsidP="00FA7AD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FA7AD8">
        <w:rPr>
          <w:rFonts w:ascii="Aptos" w:eastAsia="Aptos" w:hAnsi="Aptos" w:cs="Arial"/>
          <w:kern w:val="2"/>
          <w:sz w:val="22"/>
          <w:szCs w:val="22"/>
          <w14:ligatures w14:val="standardContextual"/>
        </w:rPr>
        <w:lastRenderedPageBreak/>
        <w:t xml:space="preserve">The performance in the GCI of the </w:t>
      </w:r>
      <w:r w:rsidR="001A5045" w:rsidRPr="00FA7AD8">
        <w:rPr>
          <w:rFonts w:ascii="Aptos" w:eastAsia="Aptos" w:hAnsi="Aptos" w:cs="Arial"/>
          <w:kern w:val="2"/>
          <w:sz w:val="22"/>
          <w:szCs w:val="22"/>
          <w14:ligatures w14:val="standardContextual"/>
        </w:rPr>
        <w:t>countries i</w:t>
      </w:r>
      <w:r w:rsidR="001A5045">
        <w:rPr>
          <w:rFonts w:ascii="Aptos" w:eastAsia="Aptos" w:hAnsi="Aptos" w:cs="Arial"/>
          <w:kern w:val="2"/>
          <w:sz w:val="22"/>
          <w:szCs w:val="22"/>
          <w14:ligatures w14:val="standardContextual"/>
        </w:rPr>
        <w:t xml:space="preserve">n the </w:t>
      </w:r>
      <w:r w:rsidRPr="00FA7AD8">
        <w:rPr>
          <w:rFonts w:ascii="Aptos" w:eastAsia="Aptos" w:hAnsi="Aptos" w:cs="Arial"/>
          <w:kern w:val="2"/>
          <w:sz w:val="22"/>
          <w:szCs w:val="22"/>
          <w14:ligatures w14:val="standardContextual"/>
        </w:rPr>
        <w:t>Americas region various greatly, with an 82-point</w:t>
      </w:r>
      <w:r w:rsidR="001A5045">
        <w:rPr>
          <w:rFonts w:ascii="Aptos" w:eastAsia="Aptos" w:hAnsi="Aptos" w:cs="Arial"/>
          <w:kern w:val="2"/>
          <w:sz w:val="22"/>
          <w:szCs w:val="22"/>
          <w14:ligatures w14:val="standardContextual"/>
        </w:rPr>
        <w:t xml:space="preserve"> gap</w:t>
      </w:r>
      <w:r w:rsidRPr="00FA7AD8">
        <w:rPr>
          <w:rFonts w:ascii="Aptos" w:eastAsia="Aptos" w:hAnsi="Aptos" w:cs="Arial"/>
          <w:kern w:val="2"/>
          <w:sz w:val="22"/>
          <w:szCs w:val="22"/>
          <w14:ligatures w14:val="standardContextual"/>
        </w:rPr>
        <w:t xml:space="preserve"> between the region’s best performer, the United States scoring 99.9, and the region’s worst performer, Antigua and Barbuda, with a score of 18.2. The next lowest scoring country is Nicaragua, scoring 20.6, follow</w:t>
      </w:r>
      <w:r w:rsidR="00EB2BB4">
        <w:rPr>
          <w:rFonts w:ascii="Aptos" w:eastAsia="Aptos" w:hAnsi="Aptos" w:cs="Arial"/>
          <w:kern w:val="2"/>
          <w:sz w:val="22"/>
          <w:szCs w:val="22"/>
          <w14:ligatures w14:val="standardContextual"/>
        </w:rPr>
        <w:t>ed</w:t>
      </w:r>
      <w:r w:rsidRPr="00FA7AD8">
        <w:rPr>
          <w:rFonts w:ascii="Aptos" w:eastAsia="Aptos" w:hAnsi="Aptos" w:cs="Arial"/>
          <w:kern w:val="2"/>
          <w:sz w:val="22"/>
          <w:szCs w:val="22"/>
          <w14:ligatures w14:val="standardContextual"/>
        </w:rPr>
        <w:t xml:space="preserve"> by other Small Island Developing States.</w:t>
      </w:r>
    </w:p>
    <w:p w14:paraId="1545F66D" w14:textId="77777777" w:rsidR="00FA7AD8" w:rsidRPr="00FA7AD8" w:rsidRDefault="00FA7AD8" w:rsidP="00FA7AD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FA7AD8">
        <w:rPr>
          <w:rFonts w:ascii="Aptos" w:eastAsia="Aptos" w:hAnsi="Aptos" w:cs="Arial"/>
          <w:kern w:val="2"/>
          <w:sz w:val="22"/>
          <w:szCs w:val="22"/>
          <w14:ligatures w14:val="standardContextual"/>
        </w:rPr>
        <w:t xml:space="preserve">While Small Island Developing States are the among the lowest performers in the Americas, many SIDSs have shown significant improvement in the past years. Across the rest of the Americas Ecuador, Panama, Trinidad and Tobago have also made significant improvements. </w:t>
      </w:r>
    </w:p>
    <w:p w14:paraId="380B6C05" w14:textId="3BD7A9E5" w:rsidR="00FA7AD8" w:rsidRPr="00FA7AD8" w:rsidRDefault="00FA7AD8" w:rsidP="00FA7AD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FA7AD8">
        <w:rPr>
          <w:rFonts w:ascii="Aptos" w:eastAsia="Aptos" w:hAnsi="Aptos" w:cs="Arial"/>
          <w:kern w:val="2"/>
          <w:sz w:val="22"/>
          <w:szCs w:val="22"/>
          <w14:ligatures w14:val="standardContextual"/>
        </w:rPr>
        <w:t>The Technical Pillar of the GCI assesses the effectiveness of national mechanisms and institutional structures in detecting, preventing, responding to, and mitigating cyber threats and incidents. Computer Incident Response Teams (CIRTs) are responsible for the protection against, detection of, and response to cybersecurity incidents, and can enhance a country’s ability to manage cybersecurity incidents. 60</w:t>
      </w:r>
      <w:r w:rsidR="008707B9">
        <w:rPr>
          <w:rFonts w:ascii="Aptos" w:eastAsia="Aptos" w:hAnsi="Aptos" w:cs="Arial"/>
          <w:kern w:val="2"/>
          <w:sz w:val="22"/>
          <w:szCs w:val="22"/>
          <w14:ligatures w14:val="standardContextual"/>
        </w:rPr>
        <w:t xml:space="preserve"> per cent</w:t>
      </w:r>
      <w:r w:rsidRPr="00FA7AD8">
        <w:rPr>
          <w:rFonts w:ascii="Aptos" w:eastAsia="Aptos" w:hAnsi="Aptos" w:cs="Arial"/>
          <w:kern w:val="2"/>
          <w:sz w:val="22"/>
          <w:szCs w:val="22"/>
          <w14:ligatures w14:val="standardContextual"/>
        </w:rPr>
        <w:t xml:space="preserve"> (21) countries in Americas have established their national CIRTs, and many are participating in regional cyber exercises. Still, there is need for further development of these CIRTS, particularly among SIDS, and expanding efforts around the protection of critical information infrastructure.</w:t>
      </w:r>
    </w:p>
    <w:p w14:paraId="293BCD0A" w14:textId="4BB95DF0" w:rsidR="00FA7AD8" w:rsidRPr="00FA7AD8" w:rsidRDefault="00FA7AD8" w:rsidP="00FA7AD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FA7AD8">
        <w:rPr>
          <w:rFonts w:ascii="Aptos" w:eastAsia="Aptos" w:hAnsi="Aptos" w:cs="Arial"/>
          <w:kern w:val="2"/>
          <w:sz w:val="22"/>
          <w:szCs w:val="22"/>
          <w14:ligatures w14:val="standardContextual"/>
        </w:rPr>
        <w:t>Child Online Protection (COP) encompasses strategies and initiatives designed to protect children from harm or exploitation online. This includes ensuring children are using age-appropriate software and filtering tools and educating parents and children about staying safe online. Child Online Protection is tracked through questions under the Legal, Organizational, and Capacity Development pillars. A total of 164 countries reported having legal measures on Child Online Protection in the GCI 2024, compared to 130 countries in the previous edition. These measures were sometimes part of other rules, regulations, and substantive law, such as on online crime or sexual exploitation. 34</w:t>
      </w:r>
      <w:r w:rsidR="00681F68">
        <w:rPr>
          <w:rFonts w:ascii="Aptos" w:eastAsia="Aptos" w:hAnsi="Aptos" w:cs="Arial"/>
          <w:kern w:val="2"/>
          <w:sz w:val="22"/>
          <w:szCs w:val="22"/>
          <w14:ligatures w14:val="standardContextual"/>
        </w:rPr>
        <w:t xml:space="preserve"> per cent</w:t>
      </w:r>
      <w:r w:rsidRPr="00FA7AD8">
        <w:rPr>
          <w:rFonts w:ascii="Aptos" w:eastAsia="Aptos" w:hAnsi="Aptos" w:cs="Arial"/>
          <w:kern w:val="2"/>
          <w:sz w:val="22"/>
          <w:szCs w:val="22"/>
          <w14:ligatures w14:val="standardContextual"/>
        </w:rPr>
        <w:t xml:space="preserve"> (12) of countries in the Americas have some form of a Child Online Protection strategy with associated actions. Linking these efforts to educational efforts for educators, parents, and policy makers is key for long term impact. </w:t>
      </w:r>
    </w:p>
    <w:p w14:paraId="7635CE93" w14:textId="4D0CF518" w:rsidR="00FA7AD8" w:rsidRPr="00FA7AD8" w:rsidRDefault="00FA7AD8" w:rsidP="00FA7AD8">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FA7AD8">
        <w:rPr>
          <w:rFonts w:ascii="Aptos" w:eastAsia="Aptos" w:hAnsi="Aptos" w:cs="Arial"/>
          <w:kern w:val="2"/>
          <w:sz w:val="22"/>
          <w:szCs w:val="22"/>
          <w14:ligatures w14:val="standardContextual"/>
        </w:rPr>
        <w:t>Finally, to meet the demand for cybersecurity professionals, countries are increasingly developing cybersecurity skills within their populations. While 60</w:t>
      </w:r>
      <w:r w:rsidR="00681F68">
        <w:rPr>
          <w:rFonts w:ascii="Aptos" w:eastAsia="Aptos" w:hAnsi="Aptos" w:cs="Arial"/>
          <w:kern w:val="2"/>
          <w:sz w:val="22"/>
          <w:szCs w:val="22"/>
          <w14:ligatures w14:val="standardContextual"/>
        </w:rPr>
        <w:t xml:space="preserve"> per cent</w:t>
      </w:r>
      <w:r w:rsidRPr="00FA7AD8">
        <w:rPr>
          <w:rFonts w:ascii="Aptos" w:eastAsia="Aptos" w:hAnsi="Aptos" w:cs="Arial"/>
          <w:kern w:val="2"/>
          <w:sz w:val="22"/>
          <w:szCs w:val="22"/>
          <w14:ligatures w14:val="standardContextual"/>
        </w:rPr>
        <w:t xml:space="preserve"> (21) countries in the Americas have cybersecurity-focused university courses, countries still need to work to ensure that there are multiple pathways towards building cybersecurity competency to meet ongoing cyber needs. </w:t>
      </w:r>
    </w:p>
    <w:p w14:paraId="25F0EDAF" w14:textId="77777777" w:rsidR="00500CF9" w:rsidRPr="003D0AEA" w:rsidRDefault="00500CF9">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3D0AEA">
        <w:rPr>
          <w:rFonts w:ascii="Aptos Display" w:eastAsia="Yu Gothic Light" w:hAnsi="Aptos Display"/>
          <w:color w:val="0F4761"/>
          <w:kern w:val="2"/>
          <w:sz w:val="32"/>
          <w:szCs w:val="32"/>
          <w14:ligatures w14:val="standardContextual"/>
        </w:rPr>
        <w:br w:type="page"/>
      </w:r>
    </w:p>
    <w:p w14:paraId="2D7E8F86" w14:textId="6A85B155" w:rsidR="006C41B5" w:rsidRPr="00563970" w:rsidRDefault="006C41B5" w:rsidP="000C3666">
      <w:pPr>
        <w:pStyle w:val="Section"/>
      </w:pPr>
      <w:bookmarkStart w:id="20" w:name="_Toc190883394"/>
      <w:r w:rsidRPr="00563970">
        <w:lastRenderedPageBreak/>
        <w:t>E-waste management</w:t>
      </w:r>
      <w:bookmarkEnd w:id="20"/>
    </w:p>
    <w:p w14:paraId="54F1BB89" w14:textId="7FD8090D" w:rsidR="004908E2" w:rsidRPr="00CB4C19" w:rsidRDefault="009528E2" w:rsidP="004908E2">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i/>
          <w:kern w:val="2"/>
          <w:sz w:val="22"/>
          <w:szCs w:val="22"/>
          <w14:ligatures w14:val="standardContextual"/>
        </w:rPr>
      </w:pPr>
      <w:r>
        <w:rPr>
          <w:rFonts w:ascii="Aptos" w:eastAsia="Aptos" w:hAnsi="Aptos" w:cs="Arial"/>
          <w:b/>
          <w:i/>
          <w:kern w:val="2"/>
          <w:sz w:val="22"/>
          <w:szCs w:val="22"/>
          <w14:ligatures w14:val="standardContextual"/>
        </w:rPr>
        <w:t xml:space="preserve">The Americas generate </w:t>
      </w:r>
      <w:r w:rsidR="008F5198" w:rsidRPr="008F5198">
        <w:rPr>
          <w:rFonts w:ascii="Aptos" w:eastAsia="Aptos" w:hAnsi="Aptos" w:cs="Arial"/>
          <w:b/>
          <w:i/>
          <w:kern w:val="2"/>
          <w:sz w:val="22"/>
          <w:szCs w:val="22"/>
          <w14:ligatures w14:val="standardContextual"/>
        </w:rPr>
        <w:t>nearly</w:t>
      </w:r>
      <w:r>
        <w:rPr>
          <w:rFonts w:ascii="Aptos" w:eastAsia="Aptos" w:hAnsi="Aptos" w:cs="Arial"/>
          <w:b/>
          <w:i/>
          <w:kern w:val="2"/>
          <w:sz w:val="22"/>
          <w:szCs w:val="22"/>
          <w14:ligatures w14:val="standardContextual"/>
        </w:rPr>
        <w:t xml:space="preserve"> </w:t>
      </w:r>
      <w:r w:rsidR="00EA2EFE">
        <w:rPr>
          <w:rFonts w:ascii="Aptos" w:eastAsia="Aptos" w:hAnsi="Aptos" w:cs="Arial"/>
          <w:b/>
          <w:i/>
          <w:kern w:val="2"/>
          <w:sz w:val="22"/>
          <w:szCs w:val="22"/>
          <w14:ligatures w14:val="standardContextual"/>
        </w:rPr>
        <w:t xml:space="preserve">a quarter of </w:t>
      </w:r>
      <w:r w:rsidR="00810BC6">
        <w:rPr>
          <w:rFonts w:ascii="Aptos" w:eastAsia="Aptos" w:hAnsi="Aptos" w:cs="Arial"/>
          <w:b/>
          <w:i/>
          <w:kern w:val="2"/>
          <w:sz w:val="22"/>
          <w:szCs w:val="22"/>
          <w14:ligatures w14:val="standardContextual"/>
        </w:rPr>
        <w:t>global e-</w:t>
      </w:r>
      <w:r w:rsidR="00116207">
        <w:rPr>
          <w:rFonts w:ascii="Aptos" w:eastAsia="Aptos" w:hAnsi="Aptos" w:cs="Arial"/>
          <w:b/>
          <w:i/>
          <w:kern w:val="2"/>
          <w:sz w:val="22"/>
          <w:szCs w:val="22"/>
          <w14:ligatures w14:val="standardContextual"/>
        </w:rPr>
        <w:t>w</w:t>
      </w:r>
      <w:r w:rsidR="00810BC6">
        <w:rPr>
          <w:rFonts w:ascii="Aptos" w:eastAsia="Aptos" w:hAnsi="Aptos" w:cs="Arial"/>
          <w:b/>
          <w:i/>
          <w:kern w:val="2"/>
          <w:sz w:val="22"/>
          <w:szCs w:val="22"/>
          <w14:ligatures w14:val="standardContextual"/>
        </w:rPr>
        <w:t xml:space="preserve">aste, </w:t>
      </w:r>
      <w:r w:rsidR="008F5198" w:rsidRPr="008F5198">
        <w:rPr>
          <w:rFonts w:ascii="Aptos" w:eastAsia="Aptos" w:hAnsi="Aptos" w:cs="Arial"/>
          <w:b/>
          <w:i/>
          <w:kern w:val="2"/>
          <w:sz w:val="22"/>
          <w:szCs w:val="22"/>
          <w14:ligatures w14:val="standardContextual"/>
        </w:rPr>
        <w:t>but</w:t>
      </w:r>
      <w:r w:rsidR="00810BC6">
        <w:rPr>
          <w:rFonts w:ascii="Aptos" w:eastAsia="Aptos" w:hAnsi="Aptos" w:cs="Arial"/>
          <w:b/>
          <w:i/>
          <w:kern w:val="2"/>
          <w:sz w:val="22"/>
          <w:szCs w:val="22"/>
          <w14:ligatures w14:val="standardContextual"/>
        </w:rPr>
        <w:t xml:space="preserve"> only </w:t>
      </w:r>
      <w:r w:rsidR="00C41B75">
        <w:rPr>
          <w:rFonts w:ascii="Aptos" w:eastAsia="Aptos" w:hAnsi="Aptos" w:cs="Arial"/>
          <w:b/>
          <w:i/>
          <w:kern w:val="2"/>
          <w:sz w:val="22"/>
          <w:szCs w:val="22"/>
          <w14:ligatures w14:val="standardContextual"/>
        </w:rPr>
        <w:t xml:space="preserve">30 </w:t>
      </w:r>
      <w:r w:rsidR="00832003">
        <w:rPr>
          <w:rFonts w:ascii="Aptos" w:eastAsia="Aptos" w:hAnsi="Aptos" w:cs="Arial"/>
          <w:b/>
          <w:i/>
          <w:kern w:val="2"/>
          <w:sz w:val="22"/>
          <w:szCs w:val="22"/>
          <w14:ligatures w14:val="standardContextual"/>
        </w:rPr>
        <w:t xml:space="preserve">per cent of it </w:t>
      </w:r>
      <w:r w:rsidR="008F5198">
        <w:rPr>
          <w:rFonts w:ascii="Aptos" w:eastAsia="Aptos" w:hAnsi="Aptos" w:cs="Arial"/>
          <w:b/>
          <w:i/>
          <w:kern w:val="2"/>
          <w:sz w:val="22"/>
          <w:szCs w:val="22"/>
          <w14:ligatures w14:val="standardContextual"/>
        </w:rPr>
        <w:t>is recycled</w:t>
      </w:r>
    </w:p>
    <w:p w14:paraId="0CBBF4F0" w14:textId="77777777" w:rsidR="00F57571" w:rsidRPr="003D0AEA" w:rsidRDefault="00F57571" w:rsidP="00F57571">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kern w:val="2"/>
          <w:sz w:val="22"/>
          <w14:ligatures w14:val="standardContextual"/>
        </w:rPr>
      </w:pPr>
      <w:r w:rsidRPr="003D0AEA">
        <w:rPr>
          <w:rFonts w:ascii="Aptos" w:eastAsia="Aptos" w:hAnsi="Aptos"/>
          <w:kern w:val="2"/>
          <w:sz w:val="22"/>
          <w14:ligatures w14:val="standardContextual"/>
        </w:rPr>
        <w:t>As countries strive to harness the benefits of technology to drive economic growth and achieve their national development priorities, the challenge of managing electronic waste has become increasingly urgent. Strengthened e-waste policy and regulatory e-waste management are pivotal for ensuring environmental sustainability, supporting circular economy practices, and advancing progress towards the sustainable development goals (SDGs).</w:t>
      </w:r>
    </w:p>
    <w:p w14:paraId="21B04CF1" w14:textId="7BC11F28" w:rsidR="00F57571" w:rsidRPr="003D0AEA" w:rsidRDefault="00F57571" w:rsidP="00F57571">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t xml:space="preserve">E-waste generated, in millions of </w:t>
      </w:r>
      <w:r w:rsidR="00723598" w:rsidRPr="003D0AEA">
        <w:rPr>
          <w:rFonts w:ascii="AvenirNext LT Pro Light" w:eastAsia="Yu Gothic Light" w:hAnsi="AvenirNext LT Pro Light" w:cs="Calibri"/>
          <w:color w:val="0070C0"/>
          <w:spacing w:val="-10"/>
          <w:kern w:val="28"/>
          <w:szCs w:val="24"/>
        </w:rPr>
        <w:t>kilograms</w:t>
      </w:r>
      <w:r w:rsidRPr="003D0AEA">
        <w:rPr>
          <w:rFonts w:ascii="AvenirNext LT Pro Light" w:eastAsia="Yu Gothic Light" w:hAnsi="AvenirNext LT Pro Light" w:cs="Calibri"/>
          <w:color w:val="0070C0"/>
          <w:spacing w:val="-10"/>
          <w:kern w:val="28"/>
          <w:szCs w:val="24"/>
        </w:rPr>
        <w:t xml:space="preserve">, 2022 </w:t>
      </w:r>
    </w:p>
    <w:p w14:paraId="34B0179E" w14:textId="186642CE" w:rsidR="006C41B5" w:rsidRPr="003D0AEA" w:rsidRDefault="006464B9" w:rsidP="00B1004A">
      <w:pPr>
        <w:pStyle w:val="Sourcetext"/>
        <w:rPr>
          <w:rFonts w:eastAsia="Aptos" w:cs="Arial"/>
        </w:rPr>
      </w:pPr>
      <w:r>
        <w:rPr>
          <w:noProof/>
        </w:rPr>
        <w:drawing>
          <wp:inline distT="0" distB="0" distL="0" distR="0" wp14:anchorId="068ABB35" wp14:editId="133CA3D8">
            <wp:extent cx="6120765" cy="3069590"/>
            <wp:effectExtent l="0" t="0" r="0" b="0"/>
            <wp:docPr id="111635143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51431" name=""/>
                    <pic:cNvPicPr/>
                  </pic:nvPicPr>
                  <pic:blipFill>
                    <a:blip r:embed="rId124">
                      <a:extLst>
                        <a:ext uri="{96DAC541-7B7A-43D3-8B79-37D633B846F1}">
                          <asvg:svgBlip xmlns:asvg="http://schemas.microsoft.com/office/drawing/2016/SVG/main" r:embed="rId125"/>
                        </a:ext>
                      </a:extLst>
                    </a:blip>
                    <a:stretch>
                      <a:fillRect/>
                    </a:stretch>
                  </pic:blipFill>
                  <pic:spPr>
                    <a:xfrm>
                      <a:off x="0" y="0"/>
                      <a:ext cx="6120765" cy="3069590"/>
                    </a:xfrm>
                    <a:prstGeom prst="rect">
                      <a:avLst/>
                    </a:prstGeom>
                  </pic:spPr>
                </pic:pic>
              </a:graphicData>
            </a:graphic>
          </wp:inline>
        </w:drawing>
      </w:r>
      <w:r w:rsidRPr="003D0AEA">
        <w:rPr>
          <w:rFonts w:eastAsia="Aptos" w:cs="Arial"/>
        </w:rPr>
        <w:t xml:space="preserve"> </w:t>
      </w:r>
      <w:r w:rsidR="006C41B5" w:rsidRPr="003D0AEA">
        <w:rPr>
          <w:rFonts w:eastAsia="Aptos" w:cs="Arial"/>
        </w:rPr>
        <w:t xml:space="preserve">Source: ITU and UNITAR, </w:t>
      </w:r>
      <w:hyperlink r:id="rId126" w:history="1">
        <w:r w:rsidR="006C41B5" w:rsidRPr="003D0AEA">
          <w:rPr>
            <w:rFonts w:eastAsia="Aptos" w:cs="Arial"/>
            <w:color w:val="467886"/>
            <w:u w:val="single"/>
          </w:rPr>
          <w:t>Global E-waste Monitor, 2024</w:t>
        </w:r>
      </w:hyperlink>
    </w:p>
    <w:p w14:paraId="59139DF1" w14:textId="29FF6A2E" w:rsidR="00B5674F" w:rsidRPr="00B5674F" w:rsidRDefault="00B5674F" w:rsidP="00D406C1">
      <w:pPr>
        <w:spacing w:after="120" w:line="259" w:lineRule="auto"/>
        <w:rPr>
          <w:rFonts w:ascii="Aptos" w:eastAsia="Aptos" w:hAnsi="Aptos"/>
          <w:sz w:val="22"/>
          <w:szCs w:val="22"/>
        </w:rPr>
      </w:pPr>
      <w:r w:rsidRPr="00563970">
        <w:rPr>
          <w:rFonts w:ascii="Aptos" w:eastAsia="Aptos" w:hAnsi="Aptos"/>
          <w:sz w:val="22"/>
          <w:szCs w:val="22"/>
        </w:rPr>
        <w:t xml:space="preserve">The </w:t>
      </w:r>
      <w:hyperlink r:id="rId127">
        <w:r w:rsidRPr="00563970">
          <w:rPr>
            <w:rStyle w:val="Hyperlink"/>
            <w:rFonts w:ascii="Aptos" w:eastAsia="Aptos" w:hAnsi="Aptos"/>
            <w:sz w:val="22"/>
            <w:szCs w:val="22"/>
          </w:rPr>
          <w:t>Global E-waste Monitor 2024</w:t>
        </w:r>
      </w:hyperlink>
      <w:r w:rsidRPr="00563970">
        <w:rPr>
          <w:rFonts w:ascii="Aptos" w:eastAsia="Aptos" w:hAnsi="Aptos"/>
          <w:sz w:val="22"/>
          <w:szCs w:val="22"/>
        </w:rPr>
        <w:t xml:space="preserve"> finds that in 2022, the Americas generated approximately 14</w:t>
      </w:r>
      <w:r w:rsidR="008A0B5F" w:rsidRPr="00563970">
        <w:rPr>
          <w:rFonts w:ascii="Aptos" w:eastAsia="Aptos" w:hAnsi="Aptos"/>
          <w:sz w:val="22"/>
          <w:szCs w:val="22"/>
        </w:rPr>
        <w:t>.3</w:t>
      </w:r>
      <w:r w:rsidRPr="00563970">
        <w:rPr>
          <w:rFonts w:ascii="Aptos" w:eastAsia="Aptos" w:hAnsi="Aptos"/>
          <w:sz w:val="22"/>
          <w:szCs w:val="22"/>
        </w:rPr>
        <w:t xml:space="preserve"> </w:t>
      </w:r>
      <w:r w:rsidR="008034FB" w:rsidRPr="00563970">
        <w:rPr>
          <w:rFonts w:ascii="Aptos" w:eastAsia="Aptos" w:hAnsi="Aptos"/>
          <w:sz w:val="22"/>
          <w:szCs w:val="22"/>
        </w:rPr>
        <w:t>bi</w:t>
      </w:r>
      <w:r w:rsidRPr="00563970">
        <w:rPr>
          <w:rFonts w:ascii="Aptos" w:eastAsia="Aptos" w:hAnsi="Aptos"/>
          <w:sz w:val="22"/>
          <w:szCs w:val="22"/>
        </w:rPr>
        <w:t xml:space="preserve">llion kg of e-waste, representing nearly 23 </w:t>
      </w:r>
      <w:r w:rsidR="00C012C5" w:rsidRPr="00563970">
        <w:rPr>
          <w:rFonts w:ascii="Aptos" w:eastAsia="Aptos" w:hAnsi="Aptos"/>
          <w:sz w:val="22"/>
          <w:szCs w:val="22"/>
        </w:rPr>
        <w:t>per cent</w:t>
      </w:r>
      <w:r w:rsidRPr="00563970">
        <w:rPr>
          <w:rFonts w:ascii="Aptos" w:eastAsia="Aptos" w:hAnsi="Aptos"/>
          <w:sz w:val="22"/>
          <w:szCs w:val="22"/>
        </w:rPr>
        <w:t xml:space="preserve"> of the global e-waste generation (62 billion kg). However, significant disparities exist across the region. The United States is the largest contributor, producing 7</w:t>
      </w:r>
      <w:r w:rsidR="00D24ADF" w:rsidRPr="00563970">
        <w:rPr>
          <w:rFonts w:ascii="Aptos" w:eastAsia="Aptos" w:hAnsi="Aptos"/>
          <w:sz w:val="22"/>
          <w:szCs w:val="22"/>
        </w:rPr>
        <w:t>.</w:t>
      </w:r>
      <w:r w:rsidR="008A0B5F" w:rsidRPr="00563970">
        <w:rPr>
          <w:rFonts w:ascii="Aptos" w:eastAsia="Aptos" w:hAnsi="Aptos"/>
          <w:sz w:val="22"/>
          <w:szCs w:val="22"/>
        </w:rPr>
        <w:t>2</w:t>
      </w:r>
      <w:r w:rsidRPr="00563970">
        <w:rPr>
          <w:rFonts w:ascii="Aptos" w:eastAsia="Aptos" w:hAnsi="Aptos"/>
          <w:sz w:val="22"/>
          <w:szCs w:val="22"/>
        </w:rPr>
        <w:t xml:space="preserve"> </w:t>
      </w:r>
      <w:r w:rsidR="008A0B5F" w:rsidRPr="00563970">
        <w:rPr>
          <w:rFonts w:ascii="Aptos" w:eastAsia="Aptos" w:hAnsi="Aptos"/>
          <w:sz w:val="22"/>
          <w:szCs w:val="22"/>
        </w:rPr>
        <w:t>b</w:t>
      </w:r>
      <w:r w:rsidRPr="00563970">
        <w:rPr>
          <w:rFonts w:ascii="Aptos" w:eastAsia="Aptos" w:hAnsi="Aptos"/>
          <w:sz w:val="22"/>
          <w:szCs w:val="22"/>
        </w:rPr>
        <w:t xml:space="preserve">illion kg, and accounting for over 50 </w:t>
      </w:r>
      <w:r w:rsidR="00C012C5" w:rsidRPr="00563970">
        <w:rPr>
          <w:rFonts w:ascii="Aptos" w:eastAsia="Aptos" w:hAnsi="Aptos"/>
          <w:sz w:val="22"/>
          <w:szCs w:val="22"/>
        </w:rPr>
        <w:t>per cent</w:t>
      </w:r>
      <w:r w:rsidRPr="00563970">
        <w:rPr>
          <w:rFonts w:ascii="Aptos" w:eastAsia="Aptos" w:hAnsi="Aptos"/>
          <w:sz w:val="22"/>
          <w:szCs w:val="22"/>
        </w:rPr>
        <w:t xml:space="preserve"> of the region’s total e-waste. Brazil and Mexico follow as significant contributors, generating 2</w:t>
      </w:r>
      <w:r w:rsidR="00D24ADF" w:rsidRPr="00563970">
        <w:rPr>
          <w:rFonts w:ascii="Aptos" w:eastAsia="Aptos" w:hAnsi="Aptos"/>
          <w:sz w:val="22"/>
          <w:szCs w:val="22"/>
        </w:rPr>
        <w:t>.</w:t>
      </w:r>
      <w:r w:rsidRPr="00563970">
        <w:rPr>
          <w:rFonts w:ascii="Aptos" w:eastAsia="Aptos" w:hAnsi="Aptos"/>
          <w:sz w:val="22"/>
          <w:szCs w:val="22"/>
        </w:rPr>
        <w:t xml:space="preserve">4 </w:t>
      </w:r>
      <w:r w:rsidR="00D24ADF" w:rsidRPr="00563970">
        <w:rPr>
          <w:rFonts w:ascii="Aptos" w:eastAsia="Aptos" w:hAnsi="Aptos"/>
          <w:sz w:val="22"/>
          <w:szCs w:val="22"/>
        </w:rPr>
        <w:t>b</w:t>
      </w:r>
      <w:r w:rsidRPr="00563970">
        <w:rPr>
          <w:rFonts w:ascii="Aptos" w:eastAsia="Aptos" w:hAnsi="Aptos"/>
          <w:sz w:val="22"/>
          <w:szCs w:val="22"/>
        </w:rPr>
        <w:t>illion kg and 1</w:t>
      </w:r>
      <w:r w:rsidR="00D24ADF" w:rsidRPr="00563970">
        <w:rPr>
          <w:rFonts w:ascii="Aptos" w:eastAsia="Aptos" w:hAnsi="Aptos"/>
          <w:sz w:val="22"/>
          <w:szCs w:val="22"/>
        </w:rPr>
        <w:t>.</w:t>
      </w:r>
      <w:r w:rsidRPr="00563970">
        <w:rPr>
          <w:rFonts w:ascii="Aptos" w:eastAsia="Aptos" w:hAnsi="Aptos"/>
          <w:sz w:val="22"/>
          <w:szCs w:val="22"/>
        </w:rPr>
        <w:t xml:space="preserve">4 </w:t>
      </w:r>
      <w:r w:rsidR="00D24ADF" w:rsidRPr="00563970">
        <w:rPr>
          <w:rFonts w:ascii="Aptos" w:eastAsia="Aptos" w:hAnsi="Aptos"/>
          <w:sz w:val="22"/>
          <w:szCs w:val="22"/>
        </w:rPr>
        <w:t>b</w:t>
      </w:r>
      <w:r w:rsidRPr="00563970">
        <w:rPr>
          <w:rFonts w:ascii="Aptos" w:eastAsia="Aptos" w:hAnsi="Aptos"/>
          <w:sz w:val="22"/>
          <w:szCs w:val="22"/>
        </w:rPr>
        <w:t xml:space="preserve">illion kg, respectively. In contrast, smaller countries like Dominica, Grenada, and Saint Kitts and Nevis generated 3 million kg of e-waste combined, representing less than 0.1 </w:t>
      </w:r>
      <w:r w:rsidR="00C012C5" w:rsidRPr="00563970">
        <w:rPr>
          <w:rFonts w:ascii="Aptos" w:eastAsia="Aptos" w:hAnsi="Aptos"/>
          <w:sz w:val="22"/>
          <w:szCs w:val="22"/>
        </w:rPr>
        <w:t>per cent</w:t>
      </w:r>
      <w:r w:rsidRPr="00563970">
        <w:rPr>
          <w:rFonts w:ascii="Aptos" w:eastAsia="Aptos" w:hAnsi="Aptos"/>
          <w:sz w:val="22"/>
          <w:szCs w:val="22"/>
        </w:rPr>
        <w:t xml:space="preserve"> of the total. This significant variation reflects differences in population size, economic development, and technological adoption across the region.</w:t>
      </w:r>
    </w:p>
    <w:p w14:paraId="09D81F29" w14:textId="77777777" w:rsidR="00B5674F" w:rsidRPr="00B5674F" w:rsidRDefault="00B5674F" w:rsidP="00D406C1">
      <w:pPr>
        <w:spacing w:after="120" w:line="259" w:lineRule="auto"/>
        <w:rPr>
          <w:rFonts w:ascii="Aptos" w:eastAsia="Aptos" w:hAnsi="Aptos"/>
          <w:sz w:val="22"/>
          <w:szCs w:val="22"/>
        </w:rPr>
      </w:pPr>
    </w:p>
    <w:p w14:paraId="6CF82071" w14:textId="77777777" w:rsidR="006C41B5" w:rsidRPr="008D6B77"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lang w:val="it-IT"/>
        </w:rPr>
      </w:pPr>
      <w:r w:rsidRPr="008D6B77">
        <w:rPr>
          <w:rFonts w:ascii="AvenirNext LT Pro Light" w:eastAsia="Yu Gothic Light" w:hAnsi="AvenirNext LT Pro Light" w:cs="Calibri"/>
          <w:color w:val="0070C0"/>
          <w:spacing w:val="-10"/>
          <w:kern w:val="28"/>
          <w:szCs w:val="24"/>
          <w:lang w:val="it-IT"/>
        </w:rPr>
        <w:lastRenderedPageBreak/>
        <w:t>E-waste per capita generated in kg, 2022</w:t>
      </w:r>
    </w:p>
    <w:p w14:paraId="085DAA6A" w14:textId="01F7336D" w:rsidR="006C41B5" w:rsidRPr="003D0AEA" w:rsidRDefault="00F773ED" w:rsidP="00B1004A">
      <w:pPr>
        <w:pStyle w:val="Sourcetext"/>
        <w:rPr>
          <w:rFonts w:eastAsia="Aptos" w:cs="Arial"/>
        </w:rPr>
      </w:pPr>
      <w:r>
        <w:rPr>
          <w:noProof/>
        </w:rPr>
        <w:drawing>
          <wp:inline distT="0" distB="0" distL="0" distR="0" wp14:anchorId="19BDB1D9" wp14:editId="1D5C88C2">
            <wp:extent cx="6120765" cy="3022600"/>
            <wp:effectExtent l="0" t="0" r="0" b="6350"/>
            <wp:docPr id="138635162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51629" name=""/>
                    <pic:cNvPicPr/>
                  </pic:nvPicPr>
                  <pic:blipFill>
                    <a:blip r:embed="rId128">
                      <a:extLst>
                        <a:ext uri="{96DAC541-7B7A-43D3-8B79-37D633B846F1}">
                          <asvg:svgBlip xmlns:asvg="http://schemas.microsoft.com/office/drawing/2016/SVG/main" r:embed="rId129"/>
                        </a:ext>
                      </a:extLst>
                    </a:blip>
                    <a:stretch>
                      <a:fillRect/>
                    </a:stretch>
                  </pic:blipFill>
                  <pic:spPr>
                    <a:xfrm>
                      <a:off x="0" y="0"/>
                      <a:ext cx="6120765" cy="3022600"/>
                    </a:xfrm>
                    <a:prstGeom prst="rect">
                      <a:avLst/>
                    </a:prstGeom>
                  </pic:spPr>
                </pic:pic>
              </a:graphicData>
            </a:graphic>
          </wp:inline>
        </w:drawing>
      </w:r>
      <w:r w:rsidRPr="003D0AEA">
        <w:rPr>
          <w:rFonts w:eastAsia="Aptos" w:cs="Arial"/>
        </w:rPr>
        <w:t xml:space="preserve"> </w:t>
      </w:r>
      <w:r w:rsidR="006C41B5" w:rsidRPr="003D0AEA">
        <w:rPr>
          <w:rFonts w:eastAsia="Aptos" w:cs="Arial"/>
        </w:rPr>
        <w:t xml:space="preserve">Source: ITU and UNITAR, </w:t>
      </w:r>
      <w:hyperlink r:id="rId130" w:history="1">
        <w:r w:rsidR="006C41B5" w:rsidRPr="003D0AEA">
          <w:rPr>
            <w:rFonts w:eastAsia="Aptos" w:cs="Arial"/>
            <w:color w:val="467886"/>
            <w:u w:val="single"/>
          </w:rPr>
          <w:t>Global E-waste Monitor, 2024</w:t>
        </w:r>
      </w:hyperlink>
    </w:p>
    <w:p w14:paraId="779BE765" w14:textId="22067263" w:rsidR="005A177D" w:rsidRPr="00563970" w:rsidRDefault="005A177D" w:rsidP="005A177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63970">
        <w:rPr>
          <w:rFonts w:ascii="Aptos" w:eastAsia="Aptos" w:hAnsi="Aptos" w:cs="Arial"/>
          <w:kern w:val="2"/>
          <w:sz w:val="22"/>
          <w:szCs w:val="22"/>
          <w14:ligatures w14:val="standardContextual"/>
        </w:rPr>
        <w:t>The analysis of e-waste trends in the Americas can be further deepened by examining e-waste generation</w:t>
      </w:r>
      <w:r w:rsidR="00487A9C" w:rsidRPr="00563970">
        <w:rPr>
          <w:rFonts w:ascii="Aptos" w:eastAsia="Aptos" w:hAnsi="Aptos" w:cs="Arial"/>
          <w:kern w:val="2"/>
          <w:sz w:val="22"/>
          <w:szCs w:val="22"/>
          <w14:ligatures w14:val="standardContextual"/>
        </w:rPr>
        <w:t xml:space="preserve"> per capita</w:t>
      </w:r>
      <w:r w:rsidRPr="00563970">
        <w:rPr>
          <w:rFonts w:ascii="Aptos" w:eastAsia="Aptos" w:hAnsi="Aptos" w:cs="Arial"/>
          <w:kern w:val="2"/>
          <w:sz w:val="22"/>
          <w:szCs w:val="22"/>
          <w14:ligatures w14:val="standardContextual"/>
        </w:rPr>
        <w:t xml:space="preserve">. While the regional average of </w:t>
      </w:r>
      <w:r w:rsidR="007A70B9" w:rsidRPr="00563970">
        <w:rPr>
          <w:rFonts w:ascii="Aptos" w:eastAsia="Aptos" w:hAnsi="Aptos" w:cs="Arial"/>
          <w:kern w:val="2"/>
          <w:sz w:val="22"/>
          <w:szCs w:val="22"/>
          <w14:ligatures w14:val="standardContextual"/>
        </w:rPr>
        <w:t>14</w:t>
      </w:r>
      <w:r w:rsidRPr="00563970">
        <w:rPr>
          <w:rFonts w:ascii="Aptos" w:eastAsia="Aptos" w:hAnsi="Aptos" w:cs="Arial"/>
          <w:kern w:val="2"/>
          <w:sz w:val="22"/>
          <w:szCs w:val="22"/>
          <w14:ligatures w14:val="standardContextual"/>
        </w:rPr>
        <w:t>.</w:t>
      </w:r>
      <w:r w:rsidR="007A70B9" w:rsidRPr="00563970">
        <w:rPr>
          <w:rFonts w:ascii="Aptos" w:eastAsia="Aptos" w:hAnsi="Aptos" w:cs="Arial"/>
          <w:kern w:val="2"/>
          <w:sz w:val="22"/>
          <w:szCs w:val="22"/>
          <w14:ligatures w14:val="standardContextual"/>
        </w:rPr>
        <w:t>1</w:t>
      </w:r>
      <w:r w:rsidRPr="00563970">
        <w:rPr>
          <w:rFonts w:ascii="Aptos" w:eastAsia="Aptos" w:hAnsi="Aptos" w:cs="Arial"/>
          <w:kern w:val="2"/>
          <w:sz w:val="22"/>
          <w:szCs w:val="22"/>
          <w14:ligatures w14:val="standardContextual"/>
        </w:rPr>
        <w:t xml:space="preserve"> kg per capita is higher than the global average of 7.8 kg, it reflects a diverse landscape. High-income countries like Canada and the United States lead with 20.2 kg and. 21.3 kg per capita, respectively, more than </w:t>
      </w:r>
      <w:r w:rsidR="00C0495D" w:rsidRPr="00563970">
        <w:rPr>
          <w:rFonts w:ascii="Aptos" w:eastAsia="Aptos" w:hAnsi="Aptos" w:cs="Arial"/>
          <w:kern w:val="2"/>
          <w:sz w:val="22"/>
          <w:szCs w:val="22"/>
          <w14:ligatures w14:val="standardContextual"/>
        </w:rPr>
        <w:t xml:space="preserve">2.5 times </w:t>
      </w:r>
      <w:r w:rsidRPr="00563970">
        <w:rPr>
          <w:rFonts w:ascii="Aptos" w:eastAsia="Aptos" w:hAnsi="Aptos" w:cs="Arial"/>
          <w:kern w:val="2"/>
          <w:sz w:val="22"/>
          <w:szCs w:val="22"/>
          <w14:ligatures w14:val="standardContextual"/>
        </w:rPr>
        <w:t>the global average. Countries such as Brazil and Mexico generate 11.4 kg and 11.8 kg per capita, surpassing the global average</w:t>
      </w:r>
      <w:r w:rsidR="00F20D07" w:rsidRPr="00563970">
        <w:rPr>
          <w:rFonts w:ascii="Aptos" w:eastAsia="Aptos" w:hAnsi="Aptos" w:cs="Arial"/>
          <w:kern w:val="2"/>
          <w:sz w:val="22"/>
          <w:szCs w:val="22"/>
          <w14:ligatures w14:val="standardContextual"/>
        </w:rPr>
        <w:t>.</w:t>
      </w:r>
      <w:r w:rsidRPr="00563970">
        <w:rPr>
          <w:rFonts w:ascii="Aptos" w:eastAsia="Aptos" w:hAnsi="Aptos" w:cs="Arial"/>
          <w:kern w:val="2"/>
          <w:sz w:val="22"/>
          <w:szCs w:val="22"/>
          <w14:ligatures w14:val="standardContextual"/>
        </w:rPr>
        <w:t xml:space="preserve"> In contrast, lower-income countries such as Haiti and Nicaragua, with per capita e-waste generation of just 1.1 kg and 3 kg, respectively, generate significantly less.</w:t>
      </w:r>
    </w:p>
    <w:p w14:paraId="2FC34304" w14:textId="7ED883B4" w:rsidR="004F6195" w:rsidRPr="00563970" w:rsidRDefault="005A177D" w:rsidP="005A177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63970">
        <w:rPr>
          <w:rFonts w:ascii="Aptos" w:eastAsia="Aptos" w:hAnsi="Aptos" w:cs="Arial"/>
          <w:kern w:val="2"/>
          <w:sz w:val="22"/>
          <w:szCs w:val="22"/>
          <w14:ligatures w14:val="standardContextual"/>
        </w:rPr>
        <w:t xml:space="preserve">Despite the region’s significant e-waste generation, only 30 </w:t>
      </w:r>
      <w:r w:rsidR="00C012C5" w:rsidRPr="00563970">
        <w:rPr>
          <w:rFonts w:ascii="Aptos" w:eastAsia="Aptos" w:hAnsi="Aptos" w:cs="Arial"/>
          <w:kern w:val="2"/>
          <w:sz w:val="22"/>
          <w:szCs w:val="22"/>
          <w14:ligatures w14:val="standardContextual"/>
        </w:rPr>
        <w:t>per cent</w:t>
      </w:r>
      <w:r w:rsidRPr="00563970">
        <w:rPr>
          <w:rFonts w:ascii="Aptos" w:eastAsia="Aptos" w:hAnsi="Aptos" w:cs="Arial"/>
          <w:kern w:val="2"/>
          <w:sz w:val="22"/>
          <w:szCs w:val="22"/>
          <w14:ligatures w14:val="standardContextual"/>
        </w:rPr>
        <w:t xml:space="preserve"> (4</w:t>
      </w:r>
      <w:r w:rsidR="00F20D07" w:rsidRPr="00563970">
        <w:rPr>
          <w:rFonts w:ascii="Aptos" w:eastAsia="Aptos" w:hAnsi="Aptos" w:cs="Arial"/>
          <w:kern w:val="2"/>
          <w:sz w:val="22"/>
          <w:szCs w:val="22"/>
          <w14:ligatures w14:val="standardContextual"/>
        </w:rPr>
        <w:t>.</w:t>
      </w:r>
      <w:r w:rsidRPr="00563970">
        <w:rPr>
          <w:rFonts w:ascii="Aptos" w:eastAsia="Aptos" w:hAnsi="Aptos" w:cs="Arial"/>
          <w:kern w:val="2"/>
          <w:sz w:val="22"/>
          <w:szCs w:val="22"/>
          <w14:ligatures w14:val="standardContextual"/>
        </w:rPr>
        <w:t xml:space="preserve">3 </w:t>
      </w:r>
      <w:r w:rsidR="00F20D07" w:rsidRPr="00563970">
        <w:rPr>
          <w:rFonts w:ascii="Aptos" w:eastAsia="Aptos" w:hAnsi="Aptos" w:cs="Arial"/>
          <w:kern w:val="2"/>
          <w:sz w:val="22"/>
          <w:szCs w:val="22"/>
          <w14:ligatures w14:val="standardContextual"/>
        </w:rPr>
        <w:t>b</w:t>
      </w:r>
      <w:r w:rsidRPr="00563970">
        <w:rPr>
          <w:rFonts w:ascii="Aptos" w:eastAsia="Aptos" w:hAnsi="Aptos" w:cs="Arial"/>
          <w:kern w:val="2"/>
          <w:sz w:val="22"/>
          <w:szCs w:val="22"/>
          <w14:ligatures w14:val="standardContextual"/>
        </w:rPr>
        <w:t xml:space="preserve">illion kg) of e-waste was documented as properly collected and recycled. Just 20 countries in the Americas report formal collection and recycling initiatives, while 15 countries lack such formal recycling activity.  The United States leads the region with 4 </w:t>
      </w:r>
      <w:r w:rsidR="0064733C" w:rsidRPr="00563970">
        <w:rPr>
          <w:rFonts w:ascii="Aptos" w:eastAsia="Aptos" w:hAnsi="Aptos" w:cs="Arial"/>
          <w:kern w:val="2"/>
          <w:sz w:val="22"/>
          <w:szCs w:val="22"/>
          <w14:ligatures w14:val="standardContextual"/>
        </w:rPr>
        <w:t>b</w:t>
      </w:r>
      <w:r w:rsidRPr="00563970">
        <w:rPr>
          <w:rFonts w:ascii="Aptos" w:eastAsia="Aptos" w:hAnsi="Aptos" w:cs="Arial"/>
          <w:kern w:val="2"/>
          <w:sz w:val="22"/>
          <w:szCs w:val="22"/>
          <w14:ligatures w14:val="standardContextual"/>
        </w:rPr>
        <w:t>illion kg, accounting for most of the recycled e-waste, followed by Canada with 98 million kg and Brazil with 79 million kg.</w:t>
      </w:r>
    </w:p>
    <w:p w14:paraId="2530B2A4" w14:textId="7517AEE7" w:rsidR="00FC5A01" w:rsidRPr="00563970" w:rsidRDefault="00FC5A01" w:rsidP="005A177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63970">
        <w:rPr>
          <w:rFonts w:ascii="Aptos" w:eastAsia="Aptos" w:hAnsi="Aptos" w:cs="Arial"/>
          <w:kern w:val="2"/>
          <w:sz w:val="22"/>
          <w:szCs w:val="22"/>
          <w14:ligatures w14:val="standardContextual"/>
        </w:rPr>
        <w:t xml:space="preserve">The absence of robust e-waste management policies presents a major challenge in the Americas, as only a limited number of countries have enacted comprehensive frameworks. While 42 per cent of countries globally (81 out of 193) have established national e-waste policies, legislation, or regulations, just 12 countries in the Americas have such measures in place, accounting for 35 per cent of the region. </w:t>
      </w:r>
    </w:p>
    <w:p w14:paraId="26A873C9" w14:textId="77777777" w:rsidR="00795D13" w:rsidRPr="003D0AEA" w:rsidRDefault="00795D13">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br w:type="page"/>
      </w:r>
    </w:p>
    <w:p w14:paraId="382CF483" w14:textId="6FFBB700"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lastRenderedPageBreak/>
        <w:t>E-waste policies and regulations in place, 2022</w:t>
      </w:r>
    </w:p>
    <w:tbl>
      <w:tblPr>
        <w:tblW w:w="5000" w:type="pct"/>
        <w:tblLook w:val="04A0" w:firstRow="1" w:lastRow="0" w:firstColumn="1" w:lastColumn="0" w:noHBand="0" w:noVBand="1"/>
      </w:tblPr>
      <w:tblGrid>
        <w:gridCol w:w="2263"/>
        <w:gridCol w:w="2020"/>
        <w:gridCol w:w="2141"/>
        <w:gridCol w:w="1639"/>
        <w:gridCol w:w="1566"/>
      </w:tblGrid>
      <w:tr w:rsidR="006C41B5" w:rsidRPr="00620EBE" w14:paraId="43D5D3B1" w14:textId="77777777" w:rsidTr="0063119E">
        <w:trPr>
          <w:trHeight w:val="20"/>
        </w:trPr>
        <w:tc>
          <w:tcPr>
            <w:tcW w:w="1175" w:type="pct"/>
            <w:tcBorders>
              <w:top w:val="single" w:sz="4" w:space="0" w:color="auto"/>
              <w:left w:val="single" w:sz="4" w:space="0" w:color="auto"/>
              <w:bottom w:val="single" w:sz="4" w:space="0" w:color="auto"/>
              <w:right w:val="single" w:sz="4" w:space="0" w:color="auto"/>
            </w:tcBorders>
            <w:shd w:val="clear" w:color="000000" w:fill="CAEDFB"/>
            <w:vAlign w:val="center"/>
          </w:tcPr>
          <w:p w14:paraId="2FAD09ED" w14:textId="77777777" w:rsidR="006C41B5" w:rsidRPr="00620EBE" w:rsidRDefault="006C41B5" w:rsidP="006C41B5">
            <w:pPr>
              <w:tabs>
                <w:tab w:val="clear" w:pos="794"/>
                <w:tab w:val="clear" w:pos="1191"/>
                <w:tab w:val="clear" w:pos="1588"/>
                <w:tab w:val="clear" w:pos="1985"/>
              </w:tabs>
              <w:overflowPunct/>
              <w:autoSpaceDE/>
              <w:autoSpaceDN/>
              <w:adjustRightInd/>
              <w:spacing w:before="0"/>
              <w:textAlignment w:val="auto"/>
              <w:rPr>
                <w:rFonts w:ascii="Aptos" w:hAnsi="Aptos"/>
                <w:b/>
                <w:color w:val="404040"/>
                <w:sz w:val="18"/>
                <w:szCs w:val="18"/>
                <w:lang w:eastAsia="en-GB"/>
              </w:rPr>
            </w:pPr>
          </w:p>
        </w:tc>
        <w:tc>
          <w:tcPr>
            <w:tcW w:w="1049" w:type="pct"/>
            <w:tcBorders>
              <w:top w:val="single" w:sz="4" w:space="0" w:color="auto"/>
              <w:left w:val="nil"/>
              <w:bottom w:val="single" w:sz="4" w:space="0" w:color="auto"/>
              <w:right w:val="single" w:sz="4" w:space="0" w:color="auto"/>
            </w:tcBorders>
            <w:shd w:val="clear" w:color="000000" w:fill="CAEDFB"/>
            <w:vAlign w:val="center"/>
            <w:hideMark/>
          </w:tcPr>
          <w:p w14:paraId="1C6295C0" w14:textId="77777777" w:rsidR="006C41B5" w:rsidRPr="00620EBE"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620EBE">
              <w:rPr>
                <w:rFonts w:ascii="Aptos" w:hAnsi="Aptos"/>
                <w:b/>
                <w:color w:val="404040"/>
                <w:sz w:val="18"/>
                <w:szCs w:val="18"/>
                <w:lang w:eastAsia="en-GB"/>
              </w:rPr>
              <w:t xml:space="preserve">National e-waste legislation/policy or regulation </w:t>
            </w:r>
          </w:p>
        </w:tc>
        <w:tc>
          <w:tcPr>
            <w:tcW w:w="1112" w:type="pct"/>
            <w:tcBorders>
              <w:top w:val="single" w:sz="4" w:space="0" w:color="auto"/>
              <w:left w:val="nil"/>
              <w:bottom w:val="single" w:sz="4" w:space="0" w:color="auto"/>
              <w:right w:val="single" w:sz="4" w:space="0" w:color="auto"/>
            </w:tcBorders>
            <w:shd w:val="clear" w:color="000000" w:fill="CAEDFB"/>
            <w:vAlign w:val="center"/>
            <w:hideMark/>
          </w:tcPr>
          <w:p w14:paraId="0D17B9A0" w14:textId="0A3E8F12" w:rsidR="006C41B5" w:rsidRPr="00620EBE"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620EBE">
              <w:rPr>
                <w:rFonts w:ascii="Aptos" w:hAnsi="Aptos"/>
                <w:b/>
                <w:color w:val="404040"/>
                <w:sz w:val="18"/>
                <w:szCs w:val="18"/>
                <w:lang w:eastAsia="en-GB"/>
              </w:rPr>
              <w:t xml:space="preserve">Extended </w:t>
            </w:r>
            <w:r w:rsidR="0090627A" w:rsidRPr="00620EBE">
              <w:rPr>
                <w:rFonts w:ascii="Aptos" w:hAnsi="Aptos"/>
                <w:b/>
                <w:color w:val="404040"/>
                <w:sz w:val="18"/>
                <w:szCs w:val="18"/>
                <w:lang w:eastAsia="en-GB"/>
              </w:rPr>
              <w:t>p</w:t>
            </w:r>
            <w:r w:rsidRPr="00620EBE">
              <w:rPr>
                <w:rFonts w:ascii="Aptos" w:hAnsi="Aptos"/>
                <w:b/>
                <w:color w:val="404040"/>
                <w:sz w:val="18"/>
                <w:szCs w:val="18"/>
                <w:lang w:eastAsia="en-GB"/>
              </w:rPr>
              <w:t xml:space="preserve">roducer </w:t>
            </w:r>
            <w:r w:rsidR="008C00E1" w:rsidRPr="00620EBE">
              <w:rPr>
                <w:rFonts w:ascii="Aptos" w:hAnsi="Aptos"/>
                <w:b/>
                <w:color w:val="404040"/>
                <w:sz w:val="18"/>
                <w:szCs w:val="18"/>
                <w:lang w:eastAsia="en-GB"/>
              </w:rPr>
              <w:t>r</w:t>
            </w:r>
            <w:r w:rsidRPr="00620EBE">
              <w:rPr>
                <w:rFonts w:ascii="Aptos" w:hAnsi="Aptos"/>
                <w:b/>
                <w:color w:val="404040"/>
                <w:sz w:val="18"/>
                <w:szCs w:val="18"/>
                <w:lang w:eastAsia="en-GB"/>
              </w:rPr>
              <w:t>esponsibility (EPR) framework for e-waste</w:t>
            </w:r>
          </w:p>
        </w:tc>
        <w:tc>
          <w:tcPr>
            <w:tcW w:w="851" w:type="pct"/>
            <w:tcBorders>
              <w:top w:val="single" w:sz="4" w:space="0" w:color="auto"/>
              <w:left w:val="nil"/>
              <w:bottom w:val="single" w:sz="4" w:space="0" w:color="auto"/>
              <w:right w:val="single" w:sz="4" w:space="0" w:color="auto"/>
            </w:tcBorders>
            <w:shd w:val="clear" w:color="000000" w:fill="CAEDFB"/>
            <w:vAlign w:val="center"/>
            <w:hideMark/>
          </w:tcPr>
          <w:p w14:paraId="6238DE8E" w14:textId="77777777" w:rsidR="006C41B5" w:rsidRPr="00620EBE"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620EBE">
              <w:rPr>
                <w:rFonts w:ascii="Aptos" w:hAnsi="Aptos"/>
                <w:b/>
                <w:color w:val="404040"/>
                <w:sz w:val="18"/>
                <w:szCs w:val="18"/>
                <w:lang w:eastAsia="en-GB"/>
              </w:rPr>
              <w:t>Collection targets</w:t>
            </w:r>
          </w:p>
        </w:tc>
        <w:tc>
          <w:tcPr>
            <w:tcW w:w="813" w:type="pct"/>
            <w:tcBorders>
              <w:top w:val="single" w:sz="4" w:space="0" w:color="auto"/>
              <w:left w:val="nil"/>
              <w:bottom w:val="single" w:sz="4" w:space="0" w:color="auto"/>
              <w:right w:val="single" w:sz="4" w:space="0" w:color="auto"/>
            </w:tcBorders>
            <w:shd w:val="clear" w:color="000000" w:fill="CAEDFB"/>
            <w:vAlign w:val="center"/>
            <w:hideMark/>
          </w:tcPr>
          <w:p w14:paraId="3ABEC69A" w14:textId="77777777" w:rsidR="006C41B5" w:rsidRPr="00620EBE" w:rsidRDefault="006C41B5" w:rsidP="006C41B5">
            <w:pPr>
              <w:tabs>
                <w:tab w:val="clear" w:pos="794"/>
                <w:tab w:val="clear" w:pos="1191"/>
                <w:tab w:val="clear" w:pos="1588"/>
                <w:tab w:val="clear" w:pos="1985"/>
              </w:tabs>
              <w:overflowPunct/>
              <w:autoSpaceDE/>
              <w:autoSpaceDN/>
              <w:adjustRightInd/>
              <w:spacing w:before="0"/>
              <w:jc w:val="center"/>
              <w:textAlignment w:val="auto"/>
              <w:rPr>
                <w:rFonts w:ascii="Aptos" w:hAnsi="Aptos"/>
                <w:b/>
                <w:color w:val="404040"/>
                <w:sz w:val="18"/>
                <w:szCs w:val="18"/>
                <w:lang w:eastAsia="en-GB"/>
              </w:rPr>
            </w:pPr>
            <w:r w:rsidRPr="00620EBE">
              <w:rPr>
                <w:rFonts w:ascii="Aptos" w:hAnsi="Aptos"/>
                <w:b/>
                <w:color w:val="404040"/>
                <w:sz w:val="18"/>
                <w:szCs w:val="18"/>
                <w:lang w:eastAsia="en-GB"/>
              </w:rPr>
              <w:t>Recycling targets</w:t>
            </w:r>
          </w:p>
        </w:tc>
      </w:tr>
      <w:tr w:rsidR="00620EBE" w:rsidRPr="00620EBE" w14:paraId="501CEA4D"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3BE7D28" w14:textId="503ECA06"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Antigua and Barbuda</w:t>
            </w:r>
          </w:p>
        </w:tc>
        <w:tc>
          <w:tcPr>
            <w:tcW w:w="10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D46542" w14:textId="7EFA4983"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single" w:sz="4" w:space="0" w:color="auto"/>
              <w:left w:val="nil"/>
              <w:bottom w:val="single" w:sz="4" w:space="0" w:color="auto"/>
              <w:right w:val="single" w:sz="4" w:space="0" w:color="auto"/>
            </w:tcBorders>
            <w:shd w:val="clear" w:color="auto" w:fill="auto"/>
            <w:noWrap/>
            <w:vAlign w:val="bottom"/>
          </w:tcPr>
          <w:p w14:paraId="083D8D64" w14:textId="40C3FAF0"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single" w:sz="4" w:space="0" w:color="auto"/>
              <w:left w:val="nil"/>
              <w:bottom w:val="single" w:sz="4" w:space="0" w:color="auto"/>
              <w:right w:val="single" w:sz="4" w:space="0" w:color="auto"/>
            </w:tcBorders>
            <w:shd w:val="clear" w:color="auto" w:fill="auto"/>
            <w:noWrap/>
            <w:vAlign w:val="bottom"/>
          </w:tcPr>
          <w:p w14:paraId="3C65E4E8" w14:textId="4CAB1969"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single" w:sz="4" w:space="0" w:color="auto"/>
              <w:left w:val="nil"/>
              <w:bottom w:val="single" w:sz="4" w:space="0" w:color="auto"/>
              <w:right w:val="single" w:sz="4" w:space="0" w:color="auto"/>
            </w:tcBorders>
            <w:shd w:val="clear" w:color="auto" w:fill="auto"/>
            <w:noWrap/>
            <w:vAlign w:val="bottom"/>
          </w:tcPr>
          <w:p w14:paraId="2C0B7F3C" w14:textId="5CE03E55"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0A219B73"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00556D15" w14:textId="0EACCC74"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Argentina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684681B0" w14:textId="7AF6375E"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73EA2C94" w14:textId="524CF072"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851" w:type="pct"/>
            <w:tcBorders>
              <w:top w:val="nil"/>
              <w:left w:val="nil"/>
              <w:bottom w:val="single" w:sz="4" w:space="0" w:color="auto"/>
              <w:right w:val="single" w:sz="4" w:space="0" w:color="auto"/>
            </w:tcBorders>
            <w:shd w:val="clear" w:color="auto" w:fill="auto"/>
            <w:noWrap/>
            <w:vAlign w:val="bottom"/>
          </w:tcPr>
          <w:p w14:paraId="79BD2AB7" w14:textId="64E5D14E"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691C9F8C" w14:textId="6DA76371"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7268D072"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4655393C" w14:textId="39A8FE5D"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Bahamas</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4E817DF3" w14:textId="70A09599"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58C9B43C" w14:textId="71E6B913"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4D143D49" w14:textId="12E234DF"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1C7FEB0B" w14:textId="7316E9CC"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17FE3C3B"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3A11A23F" w14:textId="76A0D92D"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Barbados</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518A160A" w14:textId="0B425BC9"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397C5E97" w14:textId="115B91B2"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7345A257" w14:textId="3B7AC546"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5171DB7D" w14:textId="3CF80931"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3048C3EC"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0F59538A" w14:textId="2A71A070"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Belize</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70E6A022" w14:textId="2519C3C5"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5A9A31BC" w14:textId="63736BFE"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6872DD06" w14:textId="2BEA2F35"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19962651" w14:textId="7840D12A"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37C4E2F4"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2910E0C" w14:textId="6EA4051B"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Bolivia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41D4CFFB" w14:textId="005770EE"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1C3BA022" w14:textId="0E0109AE"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851" w:type="pct"/>
            <w:tcBorders>
              <w:top w:val="nil"/>
              <w:left w:val="nil"/>
              <w:bottom w:val="single" w:sz="4" w:space="0" w:color="auto"/>
              <w:right w:val="single" w:sz="4" w:space="0" w:color="auto"/>
            </w:tcBorders>
            <w:shd w:val="clear" w:color="auto" w:fill="auto"/>
            <w:noWrap/>
            <w:vAlign w:val="bottom"/>
          </w:tcPr>
          <w:p w14:paraId="367B0AEC" w14:textId="34AB7E60"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295EE005" w14:textId="76B822A0"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0FA07ADB"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17437AE4" w14:textId="2515E0BD"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Brazil</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12CE44EA" w14:textId="7887E0BF"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0E366E72" w14:textId="3A4FB127"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851" w:type="pct"/>
            <w:tcBorders>
              <w:top w:val="nil"/>
              <w:left w:val="nil"/>
              <w:bottom w:val="single" w:sz="4" w:space="0" w:color="auto"/>
              <w:right w:val="single" w:sz="4" w:space="0" w:color="auto"/>
            </w:tcBorders>
            <w:shd w:val="clear" w:color="auto" w:fill="auto"/>
            <w:noWrap/>
            <w:vAlign w:val="bottom"/>
          </w:tcPr>
          <w:p w14:paraId="5937D00C" w14:textId="6229FC6D"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813" w:type="pct"/>
            <w:tcBorders>
              <w:top w:val="nil"/>
              <w:left w:val="nil"/>
              <w:bottom w:val="single" w:sz="4" w:space="0" w:color="auto"/>
              <w:right w:val="single" w:sz="4" w:space="0" w:color="auto"/>
            </w:tcBorders>
            <w:shd w:val="clear" w:color="auto" w:fill="auto"/>
            <w:noWrap/>
            <w:vAlign w:val="bottom"/>
          </w:tcPr>
          <w:p w14:paraId="4D3544E2" w14:textId="623B4C42"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593F8DBB"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1A95D47D" w14:textId="77AE98C0"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Canada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01058A58" w14:textId="72DEC247"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4C98F7A8" w14:textId="585DD9EB"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2361CFE3" w14:textId="3173C617"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7A70ECF6" w14:textId="60A4959F"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02415202"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62D1C37" w14:textId="7159BD49"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Chile</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3BA06FA7" w14:textId="79CE7F8D"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14E8354F" w14:textId="5D7390C2"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851" w:type="pct"/>
            <w:tcBorders>
              <w:top w:val="nil"/>
              <w:left w:val="nil"/>
              <w:bottom w:val="single" w:sz="4" w:space="0" w:color="auto"/>
              <w:right w:val="single" w:sz="4" w:space="0" w:color="auto"/>
            </w:tcBorders>
            <w:shd w:val="clear" w:color="auto" w:fill="auto"/>
            <w:noWrap/>
            <w:vAlign w:val="bottom"/>
          </w:tcPr>
          <w:p w14:paraId="2B51D0CC" w14:textId="53D7F30E"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7CC3E551" w14:textId="3ABAE586"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5D4A04CF"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1EF3DAB0" w14:textId="43035391"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Colombia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0C19621E" w14:textId="4C84BFA0"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44D5CAA7" w14:textId="0640E679"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851" w:type="pct"/>
            <w:tcBorders>
              <w:top w:val="nil"/>
              <w:left w:val="nil"/>
              <w:bottom w:val="single" w:sz="4" w:space="0" w:color="auto"/>
              <w:right w:val="single" w:sz="4" w:space="0" w:color="auto"/>
            </w:tcBorders>
            <w:shd w:val="clear" w:color="auto" w:fill="auto"/>
            <w:noWrap/>
            <w:vAlign w:val="bottom"/>
          </w:tcPr>
          <w:p w14:paraId="58CC3385" w14:textId="771B9AB3"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813" w:type="pct"/>
            <w:tcBorders>
              <w:top w:val="nil"/>
              <w:left w:val="nil"/>
              <w:bottom w:val="single" w:sz="4" w:space="0" w:color="auto"/>
              <w:right w:val="single" w:sz="4" w:space="0" w:color="auto"/>
            </w:tcBorders>
            <w:shd w:val="clear" w:color="auto" w:fill="auto"/>
            <w:noWrap/>
            <w:vAlign w:val="bottom"/>
          </w:tcPr>
          <w:p w14:paraId="2CE160C4" w14:textId="2A187552"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768910D1"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BA76F95" w14:textId="191556E9"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Costa Rica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6170A708" w14:textId="14165149"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39C4BA25" w14:textId="249B494F"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851" w:type="pct"/>
            <w:tcBorders>
              <w:top w:val="nil"/>
              <w:left w:val="nil"/>
              <w:bottom w:val="single" w:sz="4" w:space="0" w:color="auto"/>
              <w:right w:val="single" w:sz="4" w:space="0" w:color="auto"/>
            </w:tcBorders>
            <w:shd w:val="clear" w:color="auto" w:fill="auto"/>
            <w:noWrap/>
            <w:vAlign w:val="bottom"/>
          </w:tcPr>
          <w:p w14:paraId="4B25E7EB" w14:textId="74532019"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083F1158" w14:textId="0054464E"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6DD4DB84"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03571671" w14:textId="2AA2D0D4"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Cuba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3F04B1E9" w14:textId="3A75F241"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000000"/>
                <w:sz w:val="18"/>
                <w:szCs w:val="18"/>
              </w:rPr>
            </w:pPr>
            <w:r w:rsidRPr="00620EBE">
              <w:rPr>
                <w:rFonts w:ascii="Aptos" w:hAnsi="Aptos"/>
                <w:color w:val="000000"/>
                <w:sz w:val="18"/>
                <w:szCs w:val="18"/>
              </w:rPr>
              <w:t> </w:t>
            </w:r>
            <w:r>
              <w:rPr>
                <w:rFonts w:ascii="Aptos" w:hAnsi="Aptos"/>
                <w:color w:val="000000"/>
                <w:sz w:val="18"/>
                <w:szCs w:val="18"/>
              </w:rPr>
              <w:t>N/A</w:t>
            </w:r>
          </w:p>
        </w:tc>
        <w:tc>
          <w:tcPr>
            <w:tcW w:w="1112" w:type="pct"/>
            <w:tcBorders>
              <w:top w:val="nil"/>
              <w:left w:val="nil"/>
              <w:bottom w:val="single" w:sz="4" w:space="0" w:color="auto"/>
              <w:right w:val="single" w:sz="4" w:space="0" w:color="auto"/>
            </w:tcBorders>
            <w:shd w:val="clear" w:color="auto" w:fill="auto"/>
            <w:noWrap/>
          </w:tcPr>
          <w:p w14:paraId="322A0EB6" w14:textId="748AF229"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0640B2">
              <w:rPr>
                <w:rFonts w:ascii="Aptos" w:hAnsi="Aptos"/>
                <w:color w:val="000000"/>
                <w:sz w:val="18"/>
                <w:szCs w:val="18"/>
              </w:rPr>
              <w:t>N/A</w:t>
            </w:r>
          </w:p>
        </w:tc>
        <w:tc>
          <w:tcPr>
            <w:tcW w:w="851" w:type="pct"/>
            <w:tcBorders>
              <w:top w:val="nil"/>
              <w:left w:val="nil"/>
              <w:bottom w:val="single" w:sz="4" w:space="0" w:color="auto"/>
              <w:right w:val="single" w:sz="4" w:space="0" w:color="auto"/>
            </w:tcBorders>
            <w:shd w:val="clear" w:color="auto" w:fill="auto"/>
            <w:noWrap/>
          </w:tcPr>
          <w:p w14:paraId="12833882" w14:textId="6B538EB1"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0640B2">
              <w:rPr>
                <w:rFonts w:ascii="Aptos" w:hAnsi="Aptos"/>
                <w:color w:val="000000"/>
                <w:sz w:val="18"/>
                <w:szCs w:val="18"/>
              </w:rPr>
              <w:t>N/A</w:t>
            </w:r>
          </w:p>
        </w:tc>
        <w:tc>
          <w:tcPr>
            <w:tcW w:w="813" w:type="pct"/>
            <w:tcBorders>
              <w:top w:val="nil"/>
              <w:left w:val="nil"/>
              <w:bottom w:val="single" w:sz="4" w:space="0" w:color="auto"/>
              <w:right w:val="single" w:sz="4" w:space="0" w:color="auto"/>
            </w:tcBorders>
            <w:shd w:val="clear" w:color="auto" w:fill="auto"/>
            <w:noWrap/>
          </w:tcPr>
          <w:p w14:paraId="4F1B8547" w14:textId="382D2819"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0640B2">
              <w:rPr>
                <w:rFonts w:ascii="Aptos" w:hAnsi="Aptos"/>
                <w:color w:val="000000"/>
                <w:sz w:val="18"/>
                <w:szCs w:val="18"/>
              </w:rPr>
              <w:t>N/A</w:t>
            </w:r>
          </w:p>
        </w:tc>
      </w:tr>
      <w:tr w:rsidR="00620EBE" w:rsidRPr="00620EBE" w14:paraId="7EDB9F5E"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19F65848" w14:textId="76F19C97"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Dominica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1AA5896A" w14:textId="70E2D379"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5B957761" w14:textId="186CC5BB"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1011B635" w14:textId="7D5D2B79"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1287CD4C" w14:textId="5F31C0C7"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798EC8A3"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4A7DD348" w14:textId="678418AE"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Dominican Rep.</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581F4DFE" w14:textId="09151894"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43FFE523" w14:textId="3F617D5A"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851" w:type="pct"/>
            <w:tcBorders>
              <w:top w:val="nil"/>
              <w:left w:val="nil"/>
              <w:bottom w:val="single" w:sz="4" w:space="0" w:color="auto"/>
              <w:right w:val="single" w:sz="4" w:space="0" w:color="auto"/>
            </w:tcBorders>
            <w:shd w:val="clear" w:color="auto" w:fill="auto"/>
            <w:noWrap/>
            <w:vAlign w:val="bottom"/>
          </w:tcPr>
          <w:p w14:paraId="4B063DB7" w14:textId="5CC936C0"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497A72B1" w14:textId="5936CA32"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36A5019D"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5B41B55" w14:textId="74F7C812"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Ecuador</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1989917B" w14:textId="2F1162B9"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4D9ECA10" w14:textId="62C6E342"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851" w:type="pct"/>
            <w:tcBorders>
              <w:top w:val="nil"/>
              <w:left w:val="nil"/>
              <w:bottom w:val="single" w:sz="4" w:space="0" w:color="auto"/>
              <w:right w:val="single" w:sz="4" w:space="0" w:color="auto"/>
            </w:tcBorders>
            <w:shd w:val="clear" w:color="auto" w:fill="auto"/>
            <w:noWrap/>
            <w:vAlign w:val="bottom"/>
          </w:tcPr>
          <w:p w14:paraId="5FBAB25C" w14:textId="1769577E"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813" w:type="pct"/>
            <w:tcBorders>
              <w:top w:val="nil"/>
              <w:left w:val="nil"/>
              <w:bottom w:val="single" w:sz="4" w:space="0" w:color="auto"/>
              <w:right w:val="single" w:sz="4" w:space="0" w:color="auto"/>
            </w:tcBorders>
            <w:shd w:val="clear" w:color="auto" w:fill="auto"/>
            <w:noWrap/>
            <w:vAlign w:val="bottom"/>
          </w:tcPr>
          <w:p w14:paraId="18595881" w14:textId="35C62E1D"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466323D9"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33BB913" w14:textId="410CE1BD"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El Salvador</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55381453" w14:textId="59C38C1F"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637088E5" w14:textId="58278F3A"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6F40A3BD" w14:textId="40FBC6FF"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1DD66EBE" w14:textId="341EB1FB"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2B7EE987"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646317D8" w14:textId="0ADC3968"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Grenada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48969568" w14:textId="1B9F8534"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53EE8BC0" w14:textId="2CF057FA"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01741DD8" w14:textId="14149CE6"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5EA999D2" w14:textId="5E73B6F8"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0EDD6C19"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3ED1B5FC" w14:textId="4C6A4D8D"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Guatemala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0E3F6B80" w14:textId="4A810E6D"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320BD701" w14:textId="0141F80A"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0B442279" w14:textId="40E662EB"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4FEB3F04" w14:textId="46E3AD13"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77209241"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5F88C748" w14:textId="7093E8FD"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Guyana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1D520AF2" w14:textId="168E2C28"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6F7AAE11" w14:textId="378B7276"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5074BF4E" w14:textId="1780E4AF"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29DBFA5D" w14:textId="79635052"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14133F16"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3797CAF7" w14:textId="37904CE9"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Haiti</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5552293D" w14:textId="042883B3"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4C04FC40" w14:textId="3E2B0374"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764DFD16" w14:textId="3D3A57E5"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28F32D07" w14:textId="0848C1D8"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5ECAD859"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4167E4CA" w14:textId="6C24E74E"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Honduras</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49C10342" w14:textId="5FC478D2"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0CA6C7B5" w14:textId="58F76EB2"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75481E3A" w14:textId="70C6BC6B"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6ABC8F1A" w14:textId="4A9704CB"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2796EFC9"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26DAAA7F" w14:textId="1E140B01"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Jamaica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2DCB8DA6" w14:textId="7040A56E"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7505E607" w14:textId="4A14B4D7"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7E569ABE" w14:textId="684D2CD4"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5B7B6322" w14:textId="4E96B673"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289EABA0"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6479C317" w14:textId="759BE544"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Mexico</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2E3E37BA" w14:textId="314FEA23"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23ECA367" w14:textId="6C89597B"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48456F2C" w14:textId="245A3A25"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2AC6D323" w14:textId="18EF5C85"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717DB705"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3294D48E" w14:textId="2D901167"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Nicaragua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12AB1744" w14:textId="40E30716"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48A850B6" w14:textId="1B10C2C8"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7C2D3B1E" w14:textId="2CB075B2"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6E41E867" w14:textId="7E9D2DE9"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79939003"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EE3218A" w14:textId="7933CFC4"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Panama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6A8AAC88" w14:textId="1ED5EEE0"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6509D1EB" w14:textId="132C3E93"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44C70F85" w14:textId="1A85AB69"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23AB316B" w14:textId="4486F709"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02EB46ED"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2D08C17F" w14:textId="1CC2810D"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Paraguay</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43F3E919" w14:textId="480CE399"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7F423440" w14:textId="3C4CA506"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29DB8917" w14:textId="01A4E8D7"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66270B59" w14:textId="44B1887A"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7A3082E7"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170CB3AA" w14:textId="09582932"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Peru</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5D5531C3" w14:textId="0ED0D64F"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2862EEBE" w14:textId="10BD800A"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851" w:type="pct"/>
            <w:tcBorders>
              <w:top w:val="nil"/>
              <w:left w:val="nil"/>
              <w:bottom w:val="single" w:sz="4" w:space="0" w:color="auto"/>
              <w:right w:val="single" w:sz="4" w:space="0" w:color="auto"/>
            </w:tcBorders>
            <w:shd w:val="clear" w:color="auto" w:fill="auto"/>
            <w:noWrap/>
            <w:vAlign w:val="bottom"/>
          </w:tcPr>
          <w:p w14:paraId="766DADE3" w14:textId="1ACF5FE9"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813" w:type="pct"/>
            <w:tcBorders>
              <w:top w:val="nil"/>
              <w:left w:val="nil"/>
              <w:bottom w:val="single" w:sz="4" w:space="0" w:color="auto"/>
              <w:right w:val="single" w:sz="4" w:space="0" w:color="auto"/>
            </w:tcBorders>
            <w:shd w:val="clear" w:color="auto" w:fill="auto"/>
            <w:noWrap/>
            <w:vAlign w:val="bottom"/>
          </w:tcPr>
          <w:p w14:paraId="68B4C683" w14:textId="15A39E78"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6330771C"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321AC6AA" w14:textId="724A39C0"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Saint Kitts and Nevis</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48442D37" w14:textId="2F321ADE"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7A877F6D" w14:textId="4161C52C"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3B3080BE" w14:textId="54E0972F"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4EC7D483" w14:textId="02977FBC"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2F88D29B"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55565EFD" w14:textId="3A204999"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Saint Lucia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6D86E660" w14:textId="2D183480"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6B40E23D" w14:textId="495F9AA8"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3334379F" w14:textId="3391A590"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7546932B" w14:textId="30D23B53"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62405808"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2F04530F" w14:textId="35AB4B01"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Saint Vincent &amp; Gren.</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53F33C9E" w14:textId="43FA3865"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35694EE5" w14:textId="7CC70AFE"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24046456" w14:textId="6F02E31A"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5789F31C" w14:textId="19DD2128"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42909DA1"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597E0318" w14:textId="69ECF39B"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Suriname</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5249A7E7" w14:textId="6A8C9FDD"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6EBB303E" w14:textId="6D3D344C"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1E36A6DF" w14:textId="4F268B2C"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31AC85AA" w14:textId="2451AFE7"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6AA29CE5"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40FBFF48" w14:textId="3D438830"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Trinidad and Tobago</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1E7D462C" w14:textId="66A49178"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46F9D7BB" w14:textId="53CEED55"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79D6014A" w14:textId="26C12527"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21FC645A" w14:textId="56B3E6FC"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07FDB3B8"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7B69F2FA" w14:textId="57A325A5"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United States</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2A9B4F57" w14:textId="0149DF11"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Yes</w:t>
            </w:r>
          </w:p>
        </w:tc>
        <w:tc>
          <w:tcPr>
            <w:tcW w:w="1112" w:type="pct"/>
            <w:tcBorders>
              <w:top w:val="nil"/>
              <w:left w:val="nil"/>
              <w:bottom w:val="single" w:sz="4" w:space="0" w:color="auto"/>
              <w:right w:val="single" w:sz="4" w:space="0" w:color="auto"/>
            </w:tcBorders>
            <w:shd w:val="clear" w:color="auto" w:fill="auto"/>
            <w:noWrap/>
            <w:vAlign w:val="bottom"/>
          </w:tcPr>
          <w:p w14:paraId="233F9373" w14:textId="21594A95"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59086A42" w14:textId="7F7D092C"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32E14AC2" w14:textId="7A5C8321"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398C8753"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2AE45903" w14:textId="6B95B597"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Uruguay</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1537804A" w14:textId="34DF4592"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0D415334" w14:textId="6E92D75A"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1E21ADD6" w14:textId="05252557"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0D16AA36" w14:textId="571DCB5C"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r w:rsidR="00620EBE" w:rsidRPr="00620EBE" w14:paraId="656A83B2" w14:textId="77777777">
        <w:trPr>
          <w:trHeight w:val="20"/>
        </w:trPr>
        <w:tc>
          <w:tcPr>
            <w:tcW w:w="1175" w:type="pct"/>
            <w:tcBorders>
              <w:top w:val="nil"/>
              <w:left w:val="single" w:sz="4" w:space="0" w:color="auto"/>
              <w:bottom w:val="single" w:sz="4" w:space="0" w:color="auto"/>
              <w:right w:val="single" w:sz="4" w:space="0" w:color="auto"/>
            </w:tcBorders>
            <w:shd w:val="clear" w:color="auto" w:fill="auto"/>
          </w:tcPr>
          <w:p w14:paraId="5F304D59" w14:textId="46304361" w:rsidR="00620EBE" w:rsidRPr="00620EBE" w:rsidRDefault="00620EBE" w:rsidP="00620EBE">
            <w:pPr>
              <w:tabs>
                <w:tab w:val="clear" w:pos="794"/>
                <w:tab w:val="clear" w:pos="1191"/>
                <w:tab w:val="clear" w:pos="1588"/>
                <w:tab w:val="clear" w:pos="1985"/>
              </w:tabs>
              <w:overflowPunct/>
              <w:autoSpaceDE/>
              <w:autoSpaceDN/>
              <w:adjustRightInd/>
              <w:spacing w:before="0"/>
              <w:textAlignment w:val="auto"/>
              <w:rPr>
                <w:rFonts w:ascii="Aptos" w:hAnsi="Aptos"/>
                <w:color w:val="404040"/>
                <w:sz w:val="18"/>
                <w:szCs w:val="18"/>
                <w:highlight w:val="yellow"/>
                <w:lang w:eastAsia="en-GB"/>
              </w:rPr>
            </w:pPr>
            <w:r w:rsidRPr="00620EBE">
              <w:rPr>
                <w:rFonts w:ascii="Aptos" w:hAnsi="Aptos"/>
                <w:sz w:val="18"/>
                <w:szCs w:val="18"/>
              </w:rPr>
              <w:t>Venezuela</w:t>
            </w:r>
          </w:p>
        </w:tc>
        <w:tc>
          <w:tcPr>
            <w:tcW w:w="1049" w:type="pct"/>
            <w:tcBorders>
              <w:top w:val="nil"/>
              <w:left w:val="single" w:sz="4" w:space="0" w:color="auto"/>
              <w:bottom w:val="single" w:sz="4" w:space="0" w:color="auto"/>
              <w:right w:val="single" w:sz="4" w:space="0" w:color="auto"/>
            </w:tcBorders>
            <w:shd w:val="clear" w:color="auto" w:fill="auto"/>
            <w:noWrap/>
            <w:vAlign w:val="bottom"/>
          </w:tcPr>
          <w:p w14:paraId="5B143323" w14:textId="44671CEC"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1112" w:type="pct"/>
            <w:tcBorders>
              <w:top w:val="nil"/>
              <w:left w:val="nil"/>
              <w:bottom w:val="single" w:sz="4" w:space="0" w:color="auto"/>
              <w:right w:val="single" w:sz="4" w:space="0" w:color="auto"/>
            </w:tcBorders>
            <w:shd w:val="clear" w:color="auto" w:fill="auto"/>
            <w:noWrap/>
            <w:vAlign w:val="bottom"/>
          </w:tcPr>
          <w:p w14:paraId="30FA9D75" w14:textId="5D4C463E"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51" w:type="pct"/>
            <w:tcBorders>
              <w:top w:val="nil"/>
              <w:left w:val="nil"/>
              <w:bottom w:val="single" w:sz="4" w:space="0" w:color="auto"/>
              <w:right w:val="single" w:sz="4" w:space="0" w:color="auto"/>
            </w:tcBorders>
            <w:shd w:val="clear" w:color="auto" w:fill="auto"/>
            <w:noWrap/>
            <w:vAlign w:val="bottom"/>
          </w:tcPr>
          <w:p w14:paraId="19775FE2" w14:textId="0ACBD4E3"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c>
          <w:tcPr>
            <w:tcW w:w="813" w:type="pct"/>
            <w:tcBorders>
              <w:top w:val="nil"/>
              <w:left w:val="nil"/>
              <w:bottom w:val="single" w:sz="4" w:space="0" w:color="auto"/>
              <w:right w:val="single" w:sz="4" w:space="0" w:color="auto"/>
            </w:tcBorders>
            <w:shd w:val="clear" w:color="auto" w:fill="auto"/>
            <w:noWrap/>
            <w:vAlign w:val="bottom"/>
          </w:tcPr>
          <w:p w14:paraId="13A6146E" w14:textId="09E6F4FD" w:rsidR="00620EBE" w:rsidRPr="00620EBE" w:rsidRDefault="00620EBE" w:rsidP="00620EBE">
            <w:pPr>
              <w:tabs>
                <w:tab w:val="clear" w:pos="794"/>
                <w:tab w:val="clear" w:pos="1191"/>
                <w:tab w:val="clear" w:pos="1588"/>
                <w:tab w:val="clear" w:pos="1985"/>
              </w:tabs>
              <w:overflowPunct/>
              <w:autoSpaceDE/>
              <w:autoSpaceDN/>
              <w:adjustRightInd/>
              <w:spacing w:before="0"/>
              <w:jc w:val="center"/>
              <w:textAlignment w:val="auto"/>
              <w:rPr>
                <w:rFonts w:ascii="Aptos" w:hAnsi="Aptos"/>
                <w:color w:val="404040"/>
                <w:sz w:val="18"/>
                <w:szCs w:val="18"/>
                <w:highlight w:val="yellow"/>
                <w:lang w:eastAsia="en-GB"/>
              </w:rPr>
            </w:pPr>
            <w:r w:rsidRPr="00620EBE">
              <w:rPr>
                <w:rFonts w:ascii="Aptos" w:hAnsi="Aptos"/>
                <w:color w:val="000000"/>
                <w:sz w:val="18"/>
                <w:szCs w:val="18"/>
              </w:rPr>
              <w:t>No</w:t>
            </w:r>
          </w:p>
        </w:tc>
      </w:tr>
    </w:tbl>
    <w:p w14:paraId="60BA3804" w14:textId="77777777" w:rsidR="006C41B5" w:rsidRPr="003D0AEA" w:rsidRDefault="006C41B5" w:rsidP="00B1004A">
      <w:pPr>
        <w:pStyle w:val="Sourcetext"/>
        <w:rPr>
          <w:rFonts w:eastAsia="Aptos" w:cs="Arial"/>
        </w:rPr>
      </w:pPr>
      <w:r w:rsidRPr="003D0AEA">
        <w:rPr>
          <w:rFonts w:eastAsia="Aptos" w:cs="Arial"/>
        </w:rPr>
        <w:t xml:space="preserve">Source: ITU and UNITAR, </w:t>
      </w:r>
      <w:hyperlink r:id="rId131" w:history="1">
        <w:r w:rsidRPr="003D0AEA">
          <w:rPr>
            <w:rFonts w:eastAsia="Aptos" w:cs="Arial"/>
          </w:rPr>
          <w:t>Global E-waste Monitor, 2024</w:t>
        </w:r>
      </w:hyperlink>
    </w:p>
    <w:p w14:paraId="0A0BA83B" w14:textId="77777777" w:rsidR="00CA7869" w:rsidRPr="00563970" w:rsidRDefault="00CA7869" w:rsidP="00CA786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63970">
        <w:rPr>
          <w:rFonts w:ascii="Aptos" w:eastAsia="Aptos" w:hAnsi="Aptos" w:cs="Arial"/>
          <w:kern w:val="2"/>
          <w:sz w:val="22"/>
          <w:szCs w:val="22"/>
          <w14:ligatures w14:val="standardContextual"/>
        </w:rPr>
        <w:t>The adoption of extended producer responsibility (EPR) frameworks, which are essential for holding producers accountable for the entire lifecycle of their products, is also limited. Only 9 countries have enacted EPR frameworks for e-waste. The absence of these frameworks across most of the Americas exacerbates the region’s e-waste challenges, contributing to the continued reliance on unregulated waste management practices that are harmful to both the environment and public health.</w:t>
      </w:r>
    </w:p>
    <w:p w14:paraId="5D7BFAB0" w14:textId="7C41984D" w:rsidR="00CA7869" w:rsidRPr="003D0AEA" w:rsidRDefault="00CA7869" w:rsidP="00CA7869">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63970">
        <w:rPr>
          <w:rFonts w:ascii="Aptos" w:eastAsia="Aptos" w:hAnsi="Aptos" w:cs="Arial"/>
          <w:kern w:val="2"/>
          <w:sz w:val="22"/>
          <w:szCs w:val="22"/>
          <w14:ligatures w14:val="standardContextual"/>
        </w:rPr>
        <w:t>Additionally, formal collection and recycling targets remain scarce. While globally, countries with a policy or legal instrument that includes collection targets have a collection rate of 25 per cent on average, higher than the global average of 22 per cent, only 4 countries in the Americas have established collection targets. None has established recycling targets. Without such policies, the region risks missing key opportunities to advance towards a circular economy and reduce its environmental footprint.</w:t>
      </w:r>
    </w:p>
    <w:p w14:paraId="37A261FC" w14:textId="77777777" w:rsidR="006C41B5" w:rsidRPr="003D0AEA"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D0AEA">
        <w:rPr>
          <w:rFonts w:ascii="Aptos" w:eastAsia="Aptos" w:hAnsi="Aptos" w:cs="Arial"/>
          <w:kern w:val="2"/>
          <w:sz w:val="22"/>
          <w:szCs w:val="22"/>
          <w14:ligatures w14:val="standardContextual"/>
        </w:rPr>
        <w:br w:type="page"/>
      </w:r>
    </w:p>
    <w:p w14:paraId="6B95C5EE" w14:textId="14DAD658" w:rsidR="006C41B5" w:rsidRPr="003D0AEA" w:rsidRDefault="006C41B5" w:rsidP="000C3666">
      <w:pPr>
        <w:pStyle w:val="Section"/>
      </w:pPr>
      <w:bookmarkStart w:id="21" w:name="_Toc190883395"/>
      <w:r w:rsidRPr="003D0AEA">
        <w:lastRenderedPageBreak/>
        <w:t>Disparit</w:t>
      </w:r>
      <w:r w:rsidR="005B2B24" w:rsidRPr="003D0AEA">
        <w:t>ies</w:t>
      </w:r>
      <w:r w:rsidRPr="003D0AEA">
        <w:t xml:space="preserve"> within the region</w:t>
      </w:r>
      <w:bookmarkEnd w:id="21"/>
    </w:p>
    <w:p w14:paraId="62F6DE69" w14:textId="78453839" w:rsidR="00C41370" w:rsidRPr="00563970" w:rsidRDefault="00C41370"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bCs/>
          <w:i/>
          <w:iCs/>
          <w:kern w:val="2"/>
          <w:sz w:val="22"/>
          <w:szCs w:val="22"/>
          <w14:ligatures w14:val="standardContextual"/>
        </w:rPr>
      </w:pPr>
      <w:r w:rsidRPr="00C41370">
        <w:rPr>
          <w:rFonts w:ascii="Aptos" w:eastAsia="Aptos" w:hAnsi="Aptos" w:cs="Arial"/>
          <w:b/>
          <w:bCs/>
          <w:i/>
          <w:iCs/>
          <w:kern w:val="2"/>
          <w:sz w:val="22"/>
          <w:szCs w:val="22"/>
          <w14:ligatures w14:val="standardContextual"/>
        </w:rPr>
        <w:t>Regional averages mask deep inequalities in connectivity and digital access</w:t>
      </w:r>
    </w:p>
    <w:p w14:paraId="5AAB0B3F" w14:textId="6C05496E" w:rsidR="00783C56" w:rsidRPr="00215418" w:rsidRDefault="00783C56" w:rsidP="00783C5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 xml:space="preserve">The </w:t>
      </w:r>
      <w:r w:rsidR="00841D51">
        <w:rPr>
          <w:rFonts w:ascii="Aptos" w:eastAsia="Aptos" w:hAnsi="Aptos" w:cs="Arial"/>
          <w:kern w:val="2"/>
          <w:sz w:val="22"/>
          <w:szCs w:val="22"/>
          <w14:ligatures w14:val="standardContextual"/>
        </w:rPr>
        <w:t>Americas</w:t>
      </w:r>
      <w:r>
        <w:rPr>
          <w:rFonts w:ascii="Aptos" w:eastAsia="Aptos" w:hAnsi="Aptos" w:cs="Arial"/>
          <w:kern w:val="2"/>
          <w:sz w:val="22"/>
          <w:szCs w:val="22"/>
          <w14:ligatures w14:val="standardContextual"/>
        </w:rPr>
        <w:t xml:space="preserve"> region</w:t>
      </w:r>
      <w:r w:rsidRPr="00215418">
        <w:rPr>
          <w:rFonts w:ascii="Aptos" w:eastAsia="Aptos" w:hAnsi="Aptos" w:cs="Arial"/>
          <w:kern w:val="2"/>
          <w:sz w:val="22"/>
          <w:szCs w:val="22"/>
          <w14:ligatures w14:val="standardContextual"/>
        </w:rPr>
        <w:t xml:space="preserve"> is diverse in many respects: income level, with the wealthiest country’s GNI per capita </w:t>
      </w:r>
      <w:r>
        <w:rPr>
          <w:rFonts w:ascii="Aptos" w:eastAsia="Aptos" w:hAnsi="Aptos" w:cs="Arial"/>
          <w:kern w:val="2"/>
          <w:sz w:val="22"/>
          <w:szCs w:val="22"/>
          <w14:ligatures w14:val="standardContextual"/>
        </w:rPr>
        <w:t>more than</w:t>
      </w:r>
      <w:r w:rsidRPr="00215418">
        <w:rPr>
          <w:rFonts w:ascii="Aptos" w:eastAsia="Aptos" w:hAnsi="Aptos" w:cs="Arial"/>
          <w:kern w:val="2"/>
          <w:sz w:val="22"/>
          <w:szCs w:val="22"/>
          <w14:ligatures w14:val="standardContextual"/>
        </w:rPr>
        <w:t xml:space="preserve"> </w:t>
      </w:r>
      <w:r>
        <w:rPr>
          <w:rFonts w:ascii="Aptos" w:eastAsia="Aptos" w:hAnsi="Aptos" w:cs="Arial"/>
          <w:kern w:val="2"/>
          <w:sz w:val="22"/>
          <w:szCs w:val="22"/>
          <w14:ligatures w14:val="standardContextual"/>
        </w:rPr>
        <w:t>6</w:t>
      </w:r>
      <w:r w:rsidRPr="00215418">
        <w:rPr>
          <w:rFonts w:ascii="Aptos" w:eastAsia="Aptos" w:hAnsi="Aptos" w:cs="Arial"/>
          <w:kern w:val="2"/>
          <w:sz w:val="22"/>
          <w:szCs w:val="22"/>
          <w14:ligatures w14:val="standardContextual"/>
        </w:rPr>
        <w:t xml:space="preserve">0 times larger than the poorest; urbanization rate, which ranges from less than </w:t>
      </w:r>
      <w:r>
        <w:rPr>
          <w:rFonts w:ascii="Aptos" w:eastAsia="Aptos" w:hAnsi="Aptos" w:cs="Arial"/>
          <w:kern w:val="2"/>
          <w:sz w:val="22"/>
          <w:szCs w:val="22"/>
          <w14:ligatures w14:val="standardContextual"/>
        </w:rPr>
        <w:t>20</w:t>
      </w:r>
      <w:r w:rsidRPr="00215418">
        <w:rPr>
          <w:rFonts w:ascii="Aptos" w:eastAsia="Aptos" w:hAnsi="Aptos" w:cs="Arial"/>
          <w:kern w:val="2"/>
          <w:sz w:val="22"/>
          <w:szCs w:val="22"/>
          <w14:ligatures w14:val="standardContextual"/>
        </w:rPr>
        <w:t xml:space="preserve"> per cent to </w:t>
      </w:r>
      <w:r w:rsidR="00BB4415">
        <w:rPr>
          <w:rFonts w:ascii="Aptos" w:eastAsia="Aptos" w:hAnsi="Aptos" w:cs="Arial"/>
          <w:kern w:val="2"/>
          <w:sz w:val="22"/>
          <w:szCs w:val="22"/>
          <w14:ligatures w14:val="standardContextual"/>
        </w:rPr>
        <w:t>over 90</w:t>
      </w:r>
      <w:r w:rsidRPr="00215418">
        <w:rPr>
          <w:rFonts w:ascii="Aptos" w:eastAsia="Aptos" w:hAnsi="Aptos" w:cs="Arial"/>
          <w:kern w:val="2"/>
          <w:sz w:val="22"/>
          <w:szCs w:val="22"/>
          <w14:ligatures w14:val="standardContextual"/>
        </w:rPr>
        <w:t xml:space="preserve"> per cent; and population, which ranges from</w:t>
      </w:r>
      <w:r>
        <w:rPr>
          <w:rFonts w:ascii="Aptos" w:eastAsia="Aptos" w:hAnsi="Aptos" w:cs="Arial"/>
          <w:kern w:val="2"/>
          <w:sz w:val="22"/>
          <w:szCs w:val="22"/>
          <w14:ligatures w14:val="standardContextual"/>
        </w:rPr>
        <w:t xml:space="preserve"> Small Island Developing States (SIDS)</w:t>
      </w:r>
      <w:r w:rsidRPr="00215418">
        <w:rPr>
          <w:rFonts w:ascii="Aptos" w:eastAsia="Aptos" w:hAnsi="Aptos" w:cs="Arial"/>
          <w:kern w:val="2"/>
          <w:sz w:val="22"/>
          <w:szCs w:val="22"/>
          <w14:ligatures w14:val="standardContextual"/>
        </w:rPr>
        <w:t xml:space="preserve"> with less than </w:t>
      </w:r>
      <w:r>
        <w:rPr>
          <w:rFonts w:ascii="Aptos" w:eastAsia="Aptos" w:hAnsi="Aptos" w:cs="Arial"/>
          <w:kern w:val="2"/>
          <w:sz w:val="22"/>
          <w:szCs w:val="22"/>
          <w14:ligatures w14:val="standardContextual"/>
        </w:rPr>
        <w:t>50</w:t>
      </w:r>
      <w:r w:rsidRPr="00215418">
        <w:rPr>
          <w:rFonts w:ascii="Aptos" w:eastAsia="Aptos" w:hAnsi="Aptos" w:cs="Arial"/>
          <w:kern w:val="2"/>
          <w:sz w:val="22"/>
          <w:szCs w:val="22"/>
          <w14:ligatures w14:val="standardContextual"/>
        </w:rPr>
        <w:t>,000 residents to</w:t>
      </w:r>
      <w:r>
        <w:rPr>
          <w:rFonts w:ascii="Aptos" w:eastAsia="Aptos" w:hAnsi="Aptos" w:cs="Arial"/>
          <w:kern w:val="2"/>
          <w:sz w:val="22"/>
          <w:szCs w:val="22"/>
          <w14:ligatures w14:val="standardContextual"/>
        </w:rPr>
        <w:t xml:space="preserve"> </w:t>
      </w:r>
      <w:r w:rsidR="00587762">
        <w:rPr>
          <w:rFonts w:ascii="Aptos" w:eastAsia="Aptos" w:hAnsi="Aptos" w:cs="Arial"/>
          <w:kern w:val="2"/>
          <w:sz w:val="22"/>
          <w:szCs w:val="22"/>
          <w14:ligatures w14:val="standardContextual"/>
        </w:rPr>
        <w:t xml:space="preserve">large </w:t>
      </w:r>
      <w:r w:rsidRPr="00215418">
        <w:rPr>
          <w:rFonts w:ascii="Aptos" w:eastAsia="Aptos" w:hAnsi="Aptos" w:cs="Arial"/>
          <w:kern w:val="2"/>
          <w:sz w:val="22"/>
          <w:szCs w:val="22"/>
          <w14:ligatures w14:val="standardContextual"/>
        </w:rPr>
        <w:t>countries w</w:t>
      </w:r>
      <w:r>
        <w:rPr>
          <w:rFonts w:ascii="Aptos" w:eastAsia="Aptos" w:hAnsi="Aptos" w:cs="Arial"/>
          <w:kern w:val="2"/>
          <w:sz w:val="22"/>
          <w:szCs w:val="22"/>
          <w14:ligatures w14:val="standardContextual"/>
        </w:rPr>
        <w:t>ith</w:t>
      </w:r>
      <w:r w:rsidRPr="00215418">
        <w:rPr>
          <w:rFonts w:ascii="Aptos" w:eastAsia="Aptos" w:hAnsi="Aptos" w:cs="Arial"/>
          <w:kern w:val="2"/>
          <w:sz w:val="22"/>
          <w:szCs w:val="22"/>
          <w14:ligatures w14:val="standardContextual"/>
        </w:rPr>
        <w:t xml:space="preserve"> more than </w:t>
      </w:r>
      <w:r w:rsidR="00587762">
        <w:rPr>
          <w:rFonts w:ascii="Aptos" w:eastAsia="Aptos" w:hAnsi="Aptos" w:cs="Arial"/>
          <w:kern w:val="2"/>
          <w:sz w:val="22"/>
          <w:szCs w:val="22"/>
          <w14:ligatures w14:val="standardContextual"/>
        </w:rPr>
        <w:t>100 m</w:t>
      </w:r>
      <w:r>
        <w:rPr>
          <w:rFonts w:ascii="Aptos" w:eastAsia="Aptos" w:hAnsi="Aptos" w:cs="Arial"/>
          <w:kern w:val="2"/>
          <w:sz w:val="22"/>
          <w:szCs w:val="22"/>
          <w14:ligatures w14:val="standardContextual"/>
        </w:rPr>
        <w:t>illion</w:t>
      </w:r>
      <w:r w:rsidRPr="00215418">
        <w:rPr>
          <w:rFonts w:ascii="Aptos" w:eastAsia="Aptos" w:hAnsi="Aptos" w:cs="Arial"/>
          <w:kern w:val="2"/>
          <w:sz w:val="22"/>
          <w:szCs w:val="22"/>
          <w14:ligatures w14:val="standardContextual"/>
        </w:rPr>
        <w:t xml:space="preserve"> residents. </w:t>
      </w:r>
    </w:p>
    <w:p w14:paraId="6EDB53FD" w14:textId="140BDAF0" w:rsidR="00783C56" w:rsidRPr="00215418" w:rsidRDefault="00783C56" w:rsidP="00783C5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Given these differences, it can be useful to group countries </w:t>
      </w:r>
      <w:r>
        <w:rPr>
          <w:rFonts w:ascii="Aptos" w:eastAsia="Aptos" w:hAnsi="Aptos" w:cs="Arial"/>
          <w:kern w:val="2"/>
          <w:sz w:val="22"/>
          <w:szCs w:val="22"/>
          <w14:ligatures w14:val="standardContextual"/>
        </w:rPr>
        <w:t xml:space="preserve">in </w:t>
      </w:r>
      <w:r w:rsidR="00755454">
        <w:rPr>
          <w:rFonts w:ascii="Aptos" w:eastAsia="Aptos" w:hAnsi="Aptos" w:cs="Arial"/>
          <w:kern w:val="2"/>
          <w:sz w:val="22"/>
          <w:szCs w:val="22"/>
          <w14:ligatures w14:val="standardContextual"/>
        </w:rPr>
        <w:t>the Americas</w:t>
      </w:r>
      <w:r>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 xml:space="preserve">into clusters, according to their scores on indicators of Internet use, mobile phone ownership, mobile broadband and fixed broadband subscription rates, affordability of entry-level mobile and fixed broadband, and gender equality. This ‘cluster analysis’ yields </w:t>
      </w:r>
      <w:r>
        <w:rPr>
          <w:rFonts w:ascii="Aptos" w:eastAsia="Aptos" w:hAnsi="Aptos" w:cs="Arial"/>
          <w:kern w:val="2"/>
          <w:sz w:val="22"/>
          <w:szCs w:val="22"/>
          <w14:ligatures w14:val="standardContextual"/>
        </w:rPr>
        <w:t>three</w:t>
      </w:r>
      <w:r w:rsidRPr="00215418">
        <w:rPr>
          <w:rFonts w:ascii="Aptos" w:eastAsia="Aptos" w:hAnsi="Aptos" w:cs="Arial"/>
          <w:kern w:val="2"/>
          <w:sz w:val="22"/>
          <w:szCs w:val="22"/>
          <w14:ligatures w14:val="standardContextual"/>
        </w:rPr>
        <w:t xml:space="preserve"> distinct groups</w:t>
      </w:r>
      <w:r w:rsidRPr="005F7253">
        <w:rPr>
          <w:rFonts w:ascii="Aptos" w:eastAsia="Aptos" w:hAnsi="Aptos" w:cs="Arial"/>
          <w:kern w:val="2"/>
          <w:sz w:val="22"/>
          <w:szCs w:val="22"/>
          <w:vertAlign w:val="superscript"/>
          <w14:ligatures w14:val="standardContextual"/>
        </w:rPr>
        <w:footnoteReference w:id="12"/>
      </w:r>
      <w:r w:rsidRPr="00215418">
        <w:rPr>
          <w:rFonts w:ascii="Aptos" w:eastAsia="Aptos" w:hAnsi="Aptos" w:cs="Arial"/>
          <w:kern w:val="2"/>
          <w:sz w:val="22"/>
          <w:szCs w:val="22"/>
          <w14:ligatures w14:val="standardContextual"/>
        </w:rPr>
        <w:t>, whose respective members share similar ICT profiles.</w:t>
      </w:r>
    </w:p>
    <w:p w14:paraId="6F320486" w14:textId="1E1F5B87" w:rsidR="00783C56" w:rsidRPr="00215418" w:rsidRDefault="00783C56" w:rsidP="00AC200C">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The first group, consisting of </w:t>
      </w:r>
      <w:r w:rsidR="00AC200C" w:rsidRPr="00AC200C">
        <w:rPr>
          <w:rFonts w:ascii="Aptos" w:eastAsia="Aptos" w:hAnsi="Aptos" w:cs="Arial"/>
          <w:kern w:val="2"/>
          <w:sz w:val="22"/>
          <w:szCs w:val="22"/>
          <w14:ligatures w14:val="standardContextual"/>
        </w:rPr>
        <w:t>Argentina</w:t>
      </w:r>
      <w:r w:rsidR="00AC200C">
        <w:rPr>
          <w:rFonts w:ascii="Aptos" w:eastAsia="Aptos" w:hAnsi="Aptos" w:cs="Arial"/>
          <w:kern w:val="2"/>
          <w:sz w:val="22"/>
          <w:szCs w:val="22"/>
          <w14:ligatures w14:val="standardContextual"/>
        </w:rPr>
        <w:t xml:space="preserve">, </w:t>
      </w:r>
      <w:r w:rsidR="00AC200C" w:rsidRPr="00AC200C">
        <w:rPr>
          <w:rFonts w:ascii="Aptos" w:eastAsia="Aptos" w:hAnsi="Aptos" w:cs="Arial"/>
          <w:kern w:val="2"/>
          <w:sz w:val="22"/>
          <w:szCs w:val="22"/>
          <w14:ligatures w14:val="standardContextual"/>
        </w:rPr>
        <w:t>Bahamas, Brazil, Canada, Costa Rica, Jamaica, United States</w:t>
      </w:r>
      <w:r w:rsidR="00AC200C">
        <w:rPr>
          <w:rFonts w:ascii="Aptos" w:eastAsia="Aptos" w:hAnsi="Aptos" w:cs="Arial"/>
          <w:kern w:val="2"/>
          <w:sz w:val="22"/>
          <w:szCs w:val="22"/>
          <w14:ligatures w14:val="standardContextual"/>
        </w:rPr>
        <w:t xml:space="preserve">, and </w:t>
      </w:r>
      <w:r w:rsidR="00AC200C" w:rsidRPr="00AC200C">
        <w:rPr>
          <w:rFonts w:ascii="Aptos" w:eastAsia="Aptos" w:hAnsi="Aptos" w:cs="Arial"/>
          <w:kern w:val="2"/>
          <w:sz w:val="22"/>
          <w:szCs w:val="22"/>
          <w14:ligatures w14:val="standardContextual"/>
        </w:rPr>
        <w:t>Uruguay</w:t>
      </w:r>
      <w:r>
        <w:rPr>
          <w:rFonts w:ascii="Aptos" w:eastAsia="Aptos" w:hAnsi="Aptos" w:cs="Arial"/>
          <w:kern w:val="2"/>
          <w:sz w:val="22"/>
          <w:szCs w:val="22"/>
          <w14:ligatures w14:val="standardContextual"/>
        </w:rPr>
        <w:t>,</w:t>
      </w:r>
      <w:r w:rsidRPr="00215418">
        <w:rPr>
          <w:rFonts w:ascii="Aptos" w:eastAsia="Aptos" w:hAnsi="Aptos"/>
          <w:kern w:val="2"/>
          <w:sz w:val="22"/>
          <w14:ligatures w14:val="standardContextual"/>
        </w:rPr>
        <w:t xml:space="preserve"> </w:t>
      </w:r>
      <w:r w:rsidRPr="00215418">
        <w:rPr>
          <w:rFonts w:ascii="Aptos" w:eastAsia="Aptos" w:hAnsi="Aptos" w:cs="Arial"/>
          <w:kern w:val="2"/>
          <w:sz w:val="22"/>
          <w:szCs w:val="22"/>
          <w14:ligatures w14:val="standardContextual"/>
        </w:rPr>
        <w:t xml:space="preserve">is characterized by rates of ICT usage and ownership that are well above the world average. </w:t>
      </w:r>
      <w:r w:rsidR="00B15C24">
        <w:rPr>
          <w:rFonts w:ascii="Aptos" w:eastAsia="Aptos" w:hAnsi="Aptos" w:cs="Arial"/>
          <w:kern w:val="2"/>
          <w:sz w:val="22"/>
          <w:szCs w:val="22"/>
          <w14:ligatures w14:val="standardContextual"/>
        </w:rPr>
        <w:t>D</w:t>
      </w:r>
      <w:r w:rsidRPr="00215418">
        <w:rPr>
          <w:rFonts w:ascii="Aptos" w:eastAsia="Aptos" w:hAnsi="Aptos" w:cs="Arial"/>
          <w:kern w:val="2"/>
          <w:sz w:val="22"/>
          <w:szCs w:val="22"/>
          <w14:ligatures w14:val="standardContextual"/>
        </w:rPr>
        <w:t xml:space="preserve">ata-only mobile broadband </w:t>
      </w:r>
      <w:r w:rsidR="00551E0C">
        <w:rPr>
          <w:rFonts w:ascii="Aptos" w:eastAsia="Aptos" w:hAnsi="Aptos" w:cs="Arial"/>
          <w:kern w:val="2"/>
          <w:sz w:val="22"/>
          <w:szCs w:val="22"/>
          <w14:ligatures w14:val="standardContextual"/>
        </w:rPr>
        <w:t xml:space="preserve">is </w:t>
      </w:r>
      <w:r w:rsidRPr="00215418">
        <w:rPr>
          <w:rFonts w:ascii="Aptos" w:eastAsia="Aptos" w:hAnsi="Aptos" w:cs="Arial"/>
          <w:kern w:val="2"/>
          <w:sz w:val="22"/>
          <w:szCs w:val="22"/>
          <w14:ligatures w14:val="standardContextual"/>
        </w:rPr>
        <w:t>affordable relative to the world average, with median entry-level prices as a share of monthly GNI per capita below the Broadband Commission target of 2 per cent of monthly GNI per capita or lower</w:t>
      </w:r>
      <w:r w:rsidR="00B422FF">
        <w:rPr>
          <w:rFonts w:ascii="Aptos" w:eastAsia="Aptos" w:hAnsi="Aptos" w:cs="Arial"/>
          <w:kern w:val="2"/>
          <w:sz w:val="22"/>
          <w:szCs w:val="22"/>
          <w14:ligatures w14:val="standardContextual"/>
        </w:rPr>
        <w:t xml:space="preserve"> for mobile broadband</w:t>
      </w:r>
      <w:r w:rsidR="00B15C24">
        <w:rPr>
          <w:rFonts w:ascii="Aptos" w:eastAsia="Aptos" w:hAnsi="Aptos" w:cs="Arial"/>
          <w:kern w:val="2"/>
          <w:sz w:val="22"/>
          <w:szCs w:val="22"/>
          <w14:ligatures w14:val="standardContextual"/>
        </w:rPr>
        <w:t xml:space="preserve">. However, </w:t>
      </w:r>
      <w:r w:rsidR="00CE2BF5">
        <w:rPr>
          <w:rFonts w:ascii="Aptos" w:eastAsia="Aptos" w:hAnsi="Aptos" w:cs="Arial"/>
          <w:kern w:val="2"/>
          <w:sz w:val="22"/>
          <w:szCs w:val="22"/>
          <w14:ligatures w14:val="standardContextual"/>
        </w:rPr>
        <w:t>the median affordability of fixed broadband is</w:t>
      </w:r>
      <w:r w:rsidR="00B137C3">
        <w:rPr>
          <w:rFonts w:ascii="Aptos" w:eastAsia="Aptos" w:hAnsi="Aptos" w:cs="Arial"/>
          <w:kern w:val="2"/>
          <w:sz w:val="22"/>
          <w:szCs w:val="22"/>
          <w14:ligatures w14:val="standardContextual"/>
        </w:rPr>
        <w:t xml:space="preserve"> </w:t>
      </w:r>
      <w:r w:rsidR="00252D4B">
        <w:rPr>
          <w:rFonts w:ascii="Aptos" w:eastAsia="Aptos" w:hAnsi="Aptos" w:cs="Arial"/>
          <w:kern w:val="2"/>
          <w:sz w:val="22"/>
          <w:szCs w:val="22"/>
          <w14:ligatures w14:val="standardContextual"/>
        </w:rPr>
        <w:t>slightly above th</w:t>
      </w:r>
      <w:r w:rsidR="00CE2BF5">
        <w:rPr>
          <w:rFonts w:ascii="Aptos" w:eastAsia="Aptos" w:hAnsi="Aptos" w:cs="Arial"/>
          <w:kern w:val="2"/>
          <w:sz w:val="22"/>
          <w:szCs w:val="22"/>
          <w14:ligatures w14:val="standardContextual"/>
        </w:rPr>
        <w:t xml:space="preserve">is </w:t>
      </w:r>
      <w:r w:rsidR="00252D4B">
        <w:rPr>
          <w:rFonts w:ascii="Aptos" w:eastAsia="Aptos" w:hAnsi="Aptos" w:cs="Arial"/>
          <w:kern w:val="2"/>
          <w:sz w:val="22"/>
          <w:szCs w:val="22"/>
          <w14:ligatures w14:val="standardContextual"/>
        </w:rPr>
        <w:t>target</w:t>
      </w:r>
      <w:r w:rsidRPr="00215418">
        <w:rPr>
          <w:rFonts w:ascii="Aptos" w:eastAsia="Aptos" w:hAnsi="Aptos" w:cs="Arial"/>
          <w:kern w:val="2"/>
          <w:sz w:val="22"/>
          <w:szCs w:val="22"/>
          <w14:ligatures w14:val="standardContextual"/>
        </w:rPr>
        <w:t>. There is also a</w:t>
      </w:r>
      <w:r>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high level of gender parity in terms of Internet use in this group.</w:t>
      </w:r>
    </w:p>
    <w:p w14:paraId="6CE46D02" w14:textId="0730ECA2" w:rsidR="00783C56" w:rsidRPr="00215418" w:rsidRDefault="00783C56" w:rsidP="00783C5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215418">
        <w:rPr>
          <w:rFonts w:ascii="Aptos" w:eastAsia="Aptos" w:hAnsi="Aptos" w:cs="Arial"/>
          <w:kern w:val="2"/>
          <w:sz w:val="22"/>
          <w:szCs w:val="22"/>
          <w14:ligatures w14:val="standardContextual"/>
        </w:rPr>
        <w:t xml:space="preserve">The second group, consisting of </w:t>
      </w:r>
      <w:r w:rsidR="00EA0725">
        <w:rPr>
          <w:rFonts w:ascii="Aptos" w:eastAsia="Aptos" w:hAnsi="Aptos" w:cs="Arial"/>
          <w:kern w:val="2"/>
          <w:sz w:val="22"/>
          <w:szCs w:val="22"/>
          <w14:ligatures w14:val="standardContextual"/>
        </w:rPr>
        <w:t>more than half</w:t>
      </w:r>
      <w:r w:rsidR="00EA0725" w:rsidRPr="00215418">
        <w:rPr>
          <w:rFonts w:ascii="Aptos" w:eastAsia="Aptos" w:hAnsi="Aptos" w:cs="Arial"/>
          <w:kern w:val="2"/>
          <w:sz w:val="22"/>
          <w:szCs w:val="22"/>
          <w14:ligatures w14:val="standardContextual"/>
        </w:rPr>
        <w:t xml:space="preserve"> of countries</w:t>
      </w:r>
      <w:r w:rsidR="00EA0725">
        <w:rPr>
          <w:rFonts w:ascii="Aptos" w:eastAsia="Aptos" w:hAnsi="Aptos" w:cs="Arial"/>
          <w:kern w:val="2"/>
          <w:sz w:val="22"/>
          <w:szCs w:val="22"/>
          <w14:ligatures w14:val="standardContextual"/>
        </w:rPr>
        <w:t xml:space="preserve"> in the Americas</w:t>
      </w:r>
      <w:r w:rsidR="00EA0725" w:rsidRPr="00215418">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 xml:space="preserve">is </w:t>
      </w:r>
      <w:r>
        <w:rPr>
          <w:rFonts w:ascii="Aptos" w:eastAsia="Aptos" w:hAnsi="Aptos" w:cs="Arial"/>
          <w:kern w:val="2"/>
          <w:sz w:val="22"/>
          <w:szCs w:val="22"/>
          <w14:ligatures w14:val="standardContextual"/>
        </w:rPr>
        <w:t>closer to world averages for most indicators</w:t>
      </w:r>
      <w:r w:rsidRPr="00215418">
        <w:rPr>
          <w:rFonts w:ascii="Aptos" w:eastAsia="Aptos" w:hAnsi="Aptos" w:cs="Arial"/>
          <w:kern w:val="2"/>
          <w:sz w:val="22"/>
          <w:szCs w:val="22"/>
          <w14:ligatures w14:val="standardContextual"/>
        </w:rPr>
        <w:t>. The</w:t>
      </w:r>
      <w:r>
        <w:rPr>
          <w:rFonts w:ascii="Aptos" w:eastAsia="Aptos" w:hAnsi="Aptos" w:cs="Arial"/>
          <w:kern w:val="2"/>
          <w:sz w:val="22"/>
          <w:szCs w:val="22"/>
          <w14:ligatures w14:val="standardContextual"/>
        </w:rPr>
        <w:t xml:space="preserve">ir average level of Internet use and mobile phone ownership are </w:t>
      </w:r>
      <w:r w:rsidR="0068702F">
        <w:rPr>
          <w:rFonts w:ascii="Aptos" w:eastAsia="Aptos" w:hAnsi="Aptos" w:cs="Arial"/>
          <w:kern w:val="2"/>
          <w:sz w:val="22"/>
          <w:szCs w:val="22"/>
          <w14:ligatures w14:val="standardContextual"/>
        </w:rPr>
        <w:t>above</w:t>
      </w:r>
      <w:r>
        <w:rPr>
          <w:rFonts w:ascii="Aptos" w:eastAsia="Aptos" w:hAnsi="Aptos" w:cs="Arial"/>
          <w:kern w:val="2"/>
          <w:sz w:val="22"/>
          <w:szCs w:val="22"/>
          <w14:ligatures w14:val="standardContextual"/>
        </w:rPr>
        <w:t xml:space="preserve"> the world average</w:t>
      </w:r>
      <w:r w:rsidR="0068702F">
        <w:rPr>
          <w:rFonts w:ascii="Aptos" w:eastAsia="Aptos" w:hAnsi="Aptos" w:cs="Arial"/>
          <w:kern w:val="2"/>
          <w:sz w:val="22"/>
          <w:szCs w:val="22"/>
          <w14:ligatures w14:val="standardContextual"/>
        </w:rPr>
        <w:t xml:space="preserve"> while subscription rates are slightly below the average</w:t>
      </w:r>
      <w:r>
        <w:rPr>
          <w:rFonts w:ascii="Aptos" w:eastAsia="Aptos" w:hAnsi="Aptos" w:cs="Arial"/>
          <w:kern w:val="2"/>
          <w:sz w:val="22"/>
          <w:szCs w:val="22"/>
          <w14:ligatures w14:val="standardContextual"/>
        </w:rPr>
        <w:t xml:space="preserve">. Gender parity for Internet use is </w:t>
      </w:r>
      <w:r w:rsidR="0068702F">
        <w:rPr>
          <w:rFonts w:ascii="Aptos" w:eastAsia="Aptos" w:hAnsi="Aptos" w:cs="Arial"/>
          <w:kern w:val="2"/>
          <w:sz w:val="22"/>
          <w:szCs w:val="22"/>
          <w14:ligatures w14:val="standardContextual"/>
        </w:rPr>
        <w:t>in line with</w:t>
      </w:r>
      <w:r>
        <w:rPr>
          <w:rFonts w:ascii="Aptos" w:eastAsia="Aptos" w:hAnsi="Aptos" w:cs="Arial"/>
          <w:kern w:val="2"/>
          <w:sz w:val="22"/>
          <w:szCs w:val="22"/>
          <w14:ligatures w14:val="standardContextual"/>
        </w:rPr>
        <w:t xml:space="preserve"> the world average and prices for both fixed and mobile broadband services are above the 2 per cent of monthly GNI per capita target.</w:t>
      </w:r>
    </w:p>
    <w:p w14:paraId="1236C7F6" w14:textId="19EC556D" w:rsidR="00783C56" w:rsidRPr="00215418" w:rsidRDefault="00783C56" w:rsidP="00E02F1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highlight w:val="yellow"/>
          <w14:ligatures w14:val="standardContextual"/>
        </w:rPr>
      </w:pPr>
      <w:r>
        <w:rPr>
          <w:rFonts w:ascii="Aptos" w:eastAsia="Aptos" w:hAnsi="Aptos" w:cs="Arial"/>
          <w:kern w:val="2"/>
          <w:sz w:val="22"/>
          <w:szCs w:val="22"/>
          <w14:ligatures w14:val="standardContextual"/>
        </w:rPr>
        <w:t>The final group</w:t>
      </w:r>
      <w:r w:rsidRPr="00215418">
        <w:rPr>
          <w:rFonts w:ascii="Aptos" w:eastAsia="Aptos" w:hAnsi="Aptos" w:cs="Arial"/>
          <w:kern w:val="2"/>
          <w:sz w:val="22"/>
          <w:szCs w:val="22"/>
          <w14:ligatures w14:val="standardContextual"/>
        </w:rPr>
        <w:t xml:space="preserve">, consisting of </w:t>
      </w:r>
      <w:r w:rsidR="00E02F15" w:rsidRPr="00E02F15">
        <w:rPr>
          <w:rFonts w:ascii="Aptos" w:eastAsia="Aptos" w:hAnsi="Aptos" w:cs="Arial"/>
          <w:kern w:val="2"/>
          <w:sz w:val="22"/>
          <w:szCs w:val="22"/>
          <w14:ligatures w14:val="standardContextual"/>
        </w:rPr>
        <w:t>Cuba</w:t>
      </w:r>
      <w:r w:rsidR="00E02F15">
        <w:rPr>
          <w:rFonts w:ascii="Aptos" w:eastAsia="Aptos" w:hAnsi="Aptos" w:cs="Arial"/>
          <w:kern w:val="2"/>
          <w:sz w:val="22"/>
          <w:szCs w:val="22"/>
          <w14:ligatures w14:val="standardContextual"/>
        </w:rPr>
        <w:t xml:space="preserve">, </w:t>
      </w:r>
      <w:r w:rsidR="00E02F15" w:rsidRPr="00E02F15">
        <w:rPr>
          <w:rFonts w:ascii="Aptos" w:eastAsia="Aptos" w:hAnsi="Aptos" w:cs="Arial"/>
          <w:kern w:val="2"/>
          <w:sz w:val="22"/>
          <w:szCs w:val="22"/>
          <w14:ligatures w14:val="standardContextual"/>
        </w:rPr>
        <w:t>Ecuador</w:t>
      </w:r>
      <w:r w:rsidR="00E02F15">
        <w:rPr>
          <w:rFonts w:ascii="Aptos" w:eastAsia="Aptos" w:hAnsi="Aptos" w:cs="Arial"/>
          <w:kern w:val="2"/>
          <w:sz w:val="22"/>
          <w:szCs w:val="22"/>
          <w14:ligatures w14:val="standardContextual"/>
        </w:rPr>
        <w:t xml:space="preserve">, </w:t>
      </w:r>
      <w:r w:rsidR="00E02F15" w:rsidRPr="00E02F15">
        <w:rPr>
          <w:rFonts w:ascii="Aptos" w:eastAsia="Aptos" w:hAnsi="Aptos" w:cs="Arial"/>
          <w:kern w:val="2"/>
          <w:sz w:val="22"/>
          <w:szCs w:val="22"/>
          <w14:ligatures w14:val="standardContextual"/>
        </w:rPr>
        <w:t>Guatemala</w:t>
      </w:r>
      <w:r w:rsidR="00E02F15">
        <w:rPr>
          <w:rFonts w:ascii="Aptos" w:eastAsia="Aptos" w:hAnsi="Aptos" w:cs="Arial"/>
          <w:kern w:val="2"/>
          <w:sz w:val="22"/>
          <w:szCs w:val="22"/>
          <w14:ligatures w14:val="standardContextual"/>
        </w:rPr>
        <w:t xml:space="preserve">, </w:t>
      </w:r>
      <w:r w:rsidR="00E02F15" w:rsidRPr="00E02F15">
        <w:rPr>
          <w:rFonts w:ascii="Aptos" w:eastAsia="Aptos" w:hAnsi="Aptos" w:cs="Arial"/>
          <w:kern w:val="2"/>
          <w:sz w:val="22"/>
          <w:szCs w:val="22"/>
          <w14:ligatures w14:val="standardContextual"/>
        </w:rPr>
        <w:t>Haiti</w:t>
      </w:r>
      <w:r w:rsidR="00E02F15">
        <w:rPr>
          <w:rFonts w:ascii="Aptos" w:eastAsia="Aptos" w:hAnsi="Aptos" w:cs="Arial"/>
          <w:kern w:val="2"/>
          <w:sz w:val="22"/>
          <w:szCs w:val="22"/>
          <w14:ligatures w14:val="standardContextual"/>
        </w:rPr>
        <w:t xml:space="preserve">, </w:t>
      </w:r>
      <w:r w:rsidR="00E02F15" w:rsidRPr="00E02F15">
        <w:rPr>
          <w:rFonts w:ascii="Aptos" w:eastAsia="Aptos" w:hAnsi="Aptos" w:cs="Arial"/>
          <w:kern w:val="2"/>
          <w:sz w:val="22"/>
          <w:szCs w:val="22"/>
          <w14:ligatures w14:val="standardContextual"/>
        </w:rPr>
        <w:t>Honduras</w:t>
      </w:r>
      <w:r w:rsidR="00E02F15">
        <w:rPr>
          <w:rFonts w:ascii="Aptos" w:eastAsia="Aptos" w:hAnsi="Aptos" w:cs="Arial"/>
          <w:kern w:val="2"/>
          <w:sz w:val="22"/>
          <w:szCs w:val="22"/>
          <w14:ligatures w14:val="standardContextual"/>
        </w:rPr>
        <w:t xml:space="preserve">, and </w:t>
      </w:r>
      <w:r w:rsidR="00E02F15" w:rsidRPr="00E02F15">
        <w:rPr>
          <w:rFonts w:ascii="Aptos" w:eastAsia="Aptos" w:hAnsi="Aptos" w:cs="Arial"/>
          <w:kern w:val="2"/>
          <w:sz w:val="22"/>
          <w:szCs w:val="22"/>
          <w14:ligatures w14:val="standardContextual"/>
        </w:rPr>
        <w:t>Nicaragua</w:t>
      </w:r>
      <w:r w:rsidRPr="00215418">
        <w:rPr>
          <w:rFonts w:ascii="Aptos" w:eastAsia="Aptos" w:hAnsi="Aptos" w:cs="Arial"/>
          <w:kern w:val="2"/>
          <w:sz w:val="22"/>
          <w:szCs w:val="22"/>
          <w14:ligatures w14:val="standardContextual"/>
        </w:rPr>
        <w:t xml:space="preserve">, has </w:t>
      </w:r>
      <w:r>
        <w:rPr>
          <w:rFonts w:ascii="Aptos" w:eastAsia="Aptos" w:hAnsi="Aptos" w:cs="Arial"/>
          <w:kern w:val="2"/>
          <w:sz w:val="22"/>
          <w:szCs w:val="22"/>
          <w14:ligatures w14:val="standardContextual"/>
        </w:rPr>
        <w:t>the</w:t>
      </w:r>
      <w:r w:rsidRPr="00215418">
        <w:rPr>
          <w:rFonts w:ascii="Aptos" w:eastAsia="Aptos" w:hAnsi="Aptos" w:cs="Arial"/>
          <w:kern w:val="2"/>
          <w:sz w:val="22"/>
          <w:szCs w:val="22"/>
          <w14:ligatures w14:val="standardContextual"/>
        </w:rPr>
        <w:t xml:space="preserve"> lowe</w:t>
      </w:r>
      <w:r>
        <w:rPr>
          <w:rFonts w:ascii="Aptos" w:eastAsia="Aptos" w:hAnsi="Aptos" w:cs="Arial"/>
          <w:kern w:val="2"/>
          <w:sz w:val="22"/>
          <w:szCs w:val="22"/>
          <w14:ligatures w14:val="standardContextual"/>
        </w:rPr>
        <w:t>st</w:t>
      </w:r>
      <w:r w:rsidRPr="00215418">
        <w:rPr>
          <w:rFonts w:ascii="Aptos" w:eastAsia="Aptos" w:hAnsi="Aptos" w:cs="Arial"/>
          <w:kern w:val="2"/>
          <w:sz w:val="22"/>
          <w:szCs w:val="22"/>
          <w14:ligatures w14:val="standardContextual"/>
        </w:rPr>
        <w:t xml:space="preserve"> rates of </w:t>
      </w:r>
      <w:r w:rsidR="00503A23">
        <w:rPr>
          <w:rFonts w:ascii="Aptos" w:eastAsia="Aptos" w:hAnsi="Aptos" w:cs="Arial"/>
          <w:kern w:val="2"/>
          <w:sz w:val="22"/>
          <w:szCs w:val="22"/>
          <w14:ligatures w14:val="standardContextual"/>
        </w:rPr>
        <w:t>connectivity</w:t>
      </w:r>
      <w:r w:rsidRPr="00215418">
        <w:rPr>
          <w:rFonts w:ascii="Aptos" w:eastAsia="Aptos" w:hAnsi="Aptos" w:cs="Arial"/>
          <w:kern w:val="2"/>
          <w:sz w:val="22"/>
          <w:szCs w:val="22"/>
          <w14:ligatures w14:val="standardContextual"/>
        </w:rPr>
        <w:t xml:space="preserve">. </w:t>
      </w:r>
      <w:r w:rsidR="00503A23">
        <w:rPr>
          <w:rFonts w:ascii="Aptos" w:eastAsia="Aptos" w:hAnsi="Aptos" w:cs="Arial"/>
          <w:kern w:val="2"/>
          <w:sz w:val="22"/>
          <w:szCs w:val="22"/>
          <w14:ligatures w14:val="standardContextual"/>
        </w:rPr>
        <w:t xml:space="preserve">While </w:t>
      </w:r>
      <w:r w:rsidR="00793768">
        <w:rPr>
          <w:rFonts w:ascii="Aptos" w:eastAsia="Aptos" w:hAnsi="Aptos" w:cs="Arial"/>
          <w:kern w:val="2"/>
          <w:sz w:val="22"/>
          <w:szCs w:val="22"/>
          <w14:ligatures w14:val="standardContextual"/>
        </w:rPr>
        <w:t xml:space="preserve">Internet use and mobile phone ownership are only slight below the world average, the group has much lower </w:t>
      </w:r>
      <w:r w:rsidRPr="00215418">
        <w:rPr>
          <w:rFonts w:ascii="Aptos" w:eastAsia="Aptos" w:hAnsi="Aptos" w:cs="Arial"/>
          <w:kern w:val="2"/>
          <w:sz w:val="22"/>
          <w:szCs w:val="22"/>
          <w14:ligatures w14:val="standardContextual"/>
        </w:rPr>
        <w:t xml:space="preserve">subscription rates and </w:t>
      </w:r>
      <w:r>
        <w:rPr>
          <w:rFonts w:ascii="Aptos" w:eastAsia="Aptos" w:hAnsi="Aptos" w:cs="Arial"/>
          <w:kern w:val="2"/>
          <w:sz w:val="22"/>
          <w:szCs w:val="22"/>
          <w14:ligatures w14:val="standardContextual"/>
        </w:rPr>
        <w:t>much</w:t>
      </w:r>
      <w:r w:rsidRPr="00215418">
        <w:rPr>
          <w:rFonts w:ascii="Aptos" w:eastAsia="Aptos" w:hAnsi="Aptos" w:cs="Arial"/>
          <w:kern w:val="2"/>
          <w:sz w:val="22"/>
          <w:szCs w:val="22"/>
          <w14:ligatures w14:val="standardContextual"/>
        </w:rPr>
        <w:t xml:space="preserve"> worse affordability scores</w:t>
      </w:r>
      <w:r w:rsidR="00793768">
        <w:rPr>
          <w:rFonts w:ascii="Aptos" w:eastAsia="Aptos" w:hAnsi="Aptos" w:cs="Arial"/>
          <w:kern w:val="2"/>
          <w:sz w:val="22"/>
          <w:szCs w:val="22"/>
          <w14:ligatures w14:val="standardContextual"/>
        </w:rPr>
        <w:t xml:space="preserve"> compared to the world</w:t>
      </w:r>
      <w:r w:rsidRPr="00215418">
        <w:rPr>
          <w:rFonts w:ascii="Aptos" w:eastAsia="Aptos" w:hAnsi="Aptos" w:cs="Arial"/>
          <w:kern w:val="2"/>
          <w:sz w:val="22"/>
          <w:szCs w:val="22"/>
          <w14:ligatures w14:val="standardContextual"/>
        </w:rPr>
        <w:t xml:space="preserve">. </w:t>
      </w:r>
      <w:r w:rsidR="00303B76">
        <w:rPr>
          <w:rFonts w:ascii="Aptos" w:eastAsia="Aptos" w:hAnsi="Aptos" w:cs="Arial"/>
          <w:kern w:val="2"/>
          <w:sz w:val="22"/>
          <w:szCs w:val="22"/>
          <w14:ligatures w14:val="standardContextual"/>
        </w:rPr>
        <w:t xml:space="preserve">In contrast, </w:t>
      </w:r>
      <w:r w:rsidRPr="00215418">
        <w:rPr>
          <w:rFonts w:ascii="Aptos" w:eastAsia="Aptos" w:hAnsi="Aptos" w:cs="Arial"/>
          <w:kern w:val="2"/>
          <w:sz w:val="22"/>
          <w:szCs w:val="22"/>
          <w14:ligatures w14:val="standardContextual"/>
        </w:rPr>
        <w:t xml:space="preserve">Internet use gender parity </w:t>
      </w:r>
      <w:r w:rsidR="00303B76">
        <w:rPr>
          <w:rFonts w:ascii="Aptos" w:eastAsia="Aptos" w:hAnsi="Aptos" w:cs="Arial"/>
          <w:kern w:val="2"/>
          <w:sz w:val="22"/>
          <w:szCs w:val="22"/>
          <w14:ligatures w14:val="standardContextual"/>
        </w:rPr>
        <w:t>is better than that</w:t>
      </w:r>
      <w:r w:rsidRPr="00215418">
        <w:rPr>
          <w:rFonts w:ascii="Aptos" w:eastAsia="Aptos" w:hAnsi="Aptos" w:cs="Arial"/>
          <w:kern w:val="2"/>
          <w:sz w:val="22"/>
          <w:szCs w:val="22"/>
          <w14:ligatures w14:val="standardContextual"/>
        </w:rPr>
        <w:t xml:space="preserve"> for the world. </w:t>
      </w:r>
      <w:r w:rsidR="00303B76">
        <w:rPr>
          <w:rFonts w:ascii="Aptos" w:eastAsia="Aptos" w:hAnsi="Aptos" w:cs="Arial"/>
          <w:kern w:val="2"/>
          <w:sz w:val="22"/>
          <w:szCs w:val="22"/>
          <w14:ligatures w14:val="standardContextual"/>
        </w:rPr>
        <w:t>Nevertheless, t</w:t>
      </w:r>
      <w:r w:rsidRPr="005F7253">
        <w:rPr>
          <w:rFonts w:ascii="Aptos" w:eastAsia="Aptos" w:hAnsi="Aptos" w:cs="Arial"/>
          <w:kern w:val="2"/>
          <w:sz w:val="22"/>
          <w:szCs w:val="22"/>
          <w14:ligatures w14:val="standardContextual"/>
        </w:rPr>
        <w:t xml:space="preserve">he </w:t>
      </w:r>
      <w:r w:rsidR="004E4DDD">
        <w:rPr>
          <w:rFonts w:ascii="Aptos" w:eastAsia="Aptos" w:hAnsi="Aptos" w:cs="Arial"/>
          <w:kern w:val="2"/>
          <w:sz w:val="22"/>
          <w:szCs w:val="22"/>
          <w14:ligatures w14:val="standardContextual"/>
        </w:rPr>
        <w:t xml:space="preserve">overall </w:t>
      </w:r>
      <w:r w:rsidRPr="005F7253">
        <w:rPr>
          <w:rFonts w:ascii="Aptos" w:eastAsia="Aptos" w:hAnsi="Aptos" w:cs="Arial"/>
          <w:kern w:val="2"/>
          <w:sz w:val="22"/>
          <w:szCs w:val="22"/>
          <w14:ligatures w14:val="standardContextual"/>
        </w:rPr>
        <w:t xml:space="preserve">low results for these indicators reflect the development challenges </w:t>
      </w:r>
      <w:r>
        <w:rPr>
          <w:rFonts w:ascii="Aptos" w:eastAsia="Aptos" w:hAnsi="Aptos" w:cs="Arial"/>
          <w:kern w:val="2"/>
          <w:sz w:val="22"/>
          <w:szCs w:val="22"/>
          <w14:ligatures w14:val="standardContextual"/>
        </w:rPr>
        <w:t xml:space="preserve">faced by </w:t>
      </w:r>
      <w:r w:rsidRPr="005F7253">
        <w:rPr>
          <w:rFonts w:ascii="Aptos" w:eastAsia="Aptos" w:hAnsi="Aptos" w:cs="Arial"/>
          <w:kern w:val="2"/>
          <w:sz w:val="22"/>
          <w:szCs w:val="22"/>
          <w14:ligatures w14:val="standardContextual"/>
        </w:rPr>
        <w:t xml:space="preserve">these countries, </w:t>
      </w:r>
      <w:r w:rsidR="004E4DDD">
        <w:rPr>
          <w:rFonts w:ascii="Aptos" w:eastAsia="Aptos" w:hAnsi="Aptos" w:cs="Arial"/>
          <w:kern w:val="2"/>
          <w:sz w:val="22"/>
          <w:szCs w:val="22"/>
          <w14:ligatures w14:val="standardContextual"/>
        </w:rPr>
        <w:t xml:space="preserve">particularly Haiti which is </w:t>
      </w:r>
      <w:r w:rsidRPr="005F7253">
        <w:rPr>
          <w:rFonts w:ascii="Aptos" w:eastAsia="Aptos" w:hAnsi="Aptos" w:cs="Arial"/>
          <w:kern w:val="2"/>
          <w:sz w:val="22"/>
          <w:szCs w:val="22"/>
          <w14:ligatures w14:val="standardContextual"/>
        </w:rPr>
        <w:t xml:space="preserve">classified as </w:t>
      </w:r>
      <w:r w:rsidR="004E4DDD">
        <w:rPr>
          <w:rFonts w:ascii="Aptos" w:eastAsia="Aptos" w:hAnsi="Aptos" w:cs="Arial"/>
          <w:kern w:val="2"/>
          <w:sz w:val="22"/>
          <w:szCs w:val="22"/>
          <w14:ligatures w14:val="standardContextual"/>
        </w:rPr>
        <w:t xml:space="preserve">an </w:t>
      </w:r>
      <w:r w:rsidRPr="005F7253">
        <w:rPr>
          <w:rFonts w:ascii="Aptos" w:eastAsia="Aptos" w:hAnsi="Aptos" w:cs="Arial"/>
          <w:kern w:val="2"/>
          <w:sz w:val="22"/>
          <w:szCs w:val="22"/>
          <w14:ligatures w14:val="standardContextual"/>
        </w:rPr>
        <w:t>LDC.</w:t>
      </w:r>
    </w:p>
    <w:p w14:paraId="5AA1E0F0" w14:textId="0130D219" w:rsidR="00783C56" w:rsidRPr="005F7253" w:rsidRDefault="00783C56" w:rsidP="00783C56">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Finally, </w:t>
      </w:r>
      <w:r w:rsidR="004E4DDD">
        <w:rPr>
          <w:rFonts w:ascii="Aptos" w:eastAsia="Aptos" w:hAnsi="Aptos" w:cs="Arial"/>
          <w:kern w:val="2"/>
          <w:sz w:val="22"/>
          <w:szCs w:val="22"/>
          <w14:ligatures w14:val="standardContextual"/>
        </w:rPr>
        <w:t>Venezuela</w:t>
      </w:r>
      <w:r w:rsidRPr="005F7253">
        <w:rPr>
          <w:rFonts w:ascii="Aptos" w:eastAsia="Aptos" w:hAnsi="Aptos" w:cs="Arial"/>
          <w:kern w:val="2"/>
          <w:sz w:val="22"/>
          <w:szCs w:val="22"/>
          <w14:ligatures w14:val="standardContextual"/>
        </w:rPr>
        <w:t xml:space="preserve"> </w:t>
      </w:r>
      <w:r>
        <w:rPr>
          <w:rFonts w:ascii="Aptos" w:eastAsia="Aptos" w:hAnsi="Aptos" w:cs="Arial"/>
          <w:kern w:val="2"/>
          <w:sz w:val="22"/>
          <w:szCs w:val="22"/>
          <w14:ligatures w14:val="standardContextual"/>
        </w:rPr>
        <w:t xml:space="preserve">does not fall into any of the three groups, </w:t>
      </w:r>
      <w:r w:rsidRPr="005F7253">
        <w:rPr>
          <w:rFonts w:ascii="Aptos" w:eastAsia="Aptos" w:hAnsi="Aptos" w:cs="Arial"/>
          <w:kern w:val="2"/>
          <w:sz w:val="22"/>
          <w:szCs w:val="22"/>
          <w14:ligatures w14:val="standardContextual"/>
        </w:rPr>
        <w:t xml:space="preserve">due </w:t>
      </w:r>
      <w:r w:rsidR="002A2A2E">
        <w:rPr>
          <w:rFonts w:ascii="Aptos" w:eastAsia="Aptos" w:hAnsi="Aptos" w:cs="Arial"/>
          <w:kern w:val="2"/>
          <w:sz w:val="22"/>
          <w:szCs w:val="22"/>
          <w14:ligatures w14:val="standardContextual"/>
        </w:rPr>
        <w:t>in large part to its severe</w:t>
      </w:r>
      <w:r w:rsidRPr="005F7253">
        <w:rPr>
          <w:rFonts w:ascii="Aptos" w:eastAsia="Aptos" w:hAnsi="Aptos" w:cs="Arial"/>
          <w:kern w:val="2"/>
          <w:sz w:val="22"/>
          <w:szCs w:val="22"/>
          <w14:ligatures w14:val="standardContextual"/>
        </w:rPr>
        <w:t xml:space="preserve"> lack of affordability of broadband services.</w:t>
      </w:r>
    </w:p>
    <w:p w14:paraId="311FA299" w14:textId="0F3F365A" w:rsidR="0092371A" w:rsidRPr="003D0AEA" w:rsidRDefault="00783C56" w:rsidP="00783C56">
      <w:pPr>
        <w:tabs>
          <w:tab w:val="clear" w:pos="794"/>
          <w:tab w:val="clear" w:pos="1191"/>
          <w:tab w:val="clear" w:pos="1588"/>
          <w:tab w:val="clear" w:pos="1985"/>
        </w:tabs>
        <w:overflowPunct/>
        <w:autoSpaceDE/>
        <w:autoSpaceDN/>
        <w:adjustRightInd/>
        <w:spacing w:before="0"/>
        <w:textAlignment w:val="auto"/>
        <w:rPr>
          <w:rFonts w:ascii="AvenirNext LT Pro Light" w:eastAsia="Yu Gothic Light" w:hAnsi="AvenirNext LT Pro Light" w:cs="Calibri"/>
          <w:color w:val="0070C0"/>
          <w:spacing w:val="-10"/>
          <w:kern w:val="28"/>
          <w:szCs w:val="24"/>
        </w:rPr>
      </w:pPr>
      <w:r w:rsidRPr="00215418">
        <w:rPr>
          <w:rFonts w:ascii="Aptos" w:eastAsia="Aptos" w:hAnsi="Aptos" w:cs="Arial"/>
          <w:kern w:val="2"/>
          <w:sz w:val="22"/>
          <w:szCs w:val="22"/>
          <w14:ligatures w14:val="standardContextual"/>
        </w:rPr>
        <w:t>The diversity of these groups of countries underlines the need to design tailored approaches to</w:t>
      </w:r>
      <w:r w:rsidRPr="00215418" w:rsidDel="00D14485">
        <w:rPr>
          <w:rFonts w:ascii="Aptos" w:eastAsia="Aptos" w:hAnsi="Aptos" w:cs="Arial"/>
          <w:kern w:val="2"/>
          <w:sz w:val="22"/>
          <w:szCs w:val="22"/>
          <w14:ligatures w14:val="standardContextual"/>
        </w:rPr>
        <w:t xml:space="preserve"> </w:t>
      </w:r>
      <w:r w:rsidRPr="00215418">
        <w:rPr>
          <w:rFonts w:ascii="Aptos" w:eastAsia="Aptos" w:hAnsi="Aptos" w:cs="Arial"/>
          <w:kern w:val="2"/>
          <w:sz w:val="22"/>
          <w:szCs w:val="22"/>
          <w14:ligatures w14:val="standardContextual"/>
        </w:rPr>
        <w:t>achieve universal and meaningful connectivity.</w:t>
      </w:r>
      <w:r w:rsidR="0092371A" w:rsidRPr="003D0AEA">
        <w:rPr>
          <w:rFonts w:ascii="AvenirNext LT Pro Light" w:eastAsia="Yu Gothic Light" w:hAnsi="AvenirNext LT Pro Light" w:cs="Calibri"/>
          <w:color w:val="0070C0"/>
          <w:spacing w:val="-10"/>
          <w:kern w:val="28"/>
          <w:szCs w:val="24"/>
        </w:rPr>
        <w:br w:type="page"/>
      </w:r>
    </w:p>
    <w:p w14:paraId="70351E4E" w14:textId="3658B9E6"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lastRenderedPageBreak/>
        <w:t xml:space="preserve">Average of key ICT indicators by groups of similar </w:t>
      </w:r>
      <w:r w:rsidR="0031482C" w:rsidRPr="003D0AEA">
        <w:rPr>
          <w:rFonts w:ascii="AvenirNext LT Pro Light" w:eastAsia="Yu Gothic Light" w:hAnsi="AvenirNext LT Pro Light" w:cs="Calibri"/>
          <w:color w:val="0070C0"/>
          <w:spacing w:val="-10"/>
          <w:kern w:val="28"/>
          <w:szCs w:val="24"/>
        </w:rPr>
        <w:t xml:space="preserve">countries in </w:t>
      </w:r>
      <w:r w:rsidR="00BD3A9D">
        <w:rPr>
          <w:rFonts w:ascii="AvenirNext LT Pro Light" w:eastAsia="Yu Gothic Light" w:hAnsi="AvenirNext LT Pro Light" w:cs="Calibri"/>
          <w:color w:val="0070C0"/>
          <w:spacing w:val="-10"/>
          <w:kern w:val="28"/>
          <w:szCs w:val="24"/>
        </w:rPr>
        <w:t>t</w:t>
      </w:r>
      <w:r w:rsidR="00060A76">
        <w:rPr>
          <w:rFonts w:ascii="AvenirNext LT Pro Light" w:eastAsia="Yu Gothic Light" w:hAnsi="AvenirNext LT Pro Light" w:cs="Calibri"/>
          <w:color w:val="0070C0"/>
          <w:spacing w:val="-10"/>
          <w:kern w:val="28"/>
          <w:szCs w:val="24"/>
        </w:rPr>
        <w:t>he Americas</w:t>
      </w:r>
      <w:r w:rsidRPr="003D0AEA">
        <w:rPr>
          <w:rFonts w:ascii="AvenirNext LT Pro Light" w:eastAsia="Yu Gothic Light" w:hAnsi="AvenirNext LT Pro Light" w:cs="Calibri"/>
          <w:color w:val="0070C0"/>
          <w:spacing w:val="-10"/>
          <w:kern w:val="28"/>
          <w:szCs w:val="24"/>
        </w:rPr>
        <w:t>, 202</w:t>
      </w:r>
      <w:r w:rsidR="005E05D1" w:rsidRPr="003D0AEA">
        <w:rPr>
          <w:rFonts w:ascii="AvenirNext LT Pro Light" w:eastAsia="Yu Gothic Light" w:hAnsi="AvenirNext LT Pro Light" w:cs="Calibri"/>
          <w:color w:val="0070C0"/>
          <w:spacing w:val="-10"/>
          <w:kern w:val="28"/>
          <w:szCs w:val="24"/>
        </w:rPr>
        <w:t>3</w:t>
      </w:r>
    </w:p>
    <w:tbl>
      <w:tblPr>
        <w:tblW w:w="38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1179"/>
        <w:gridCol w:w="1227"/>
        <w:gridCol w:w="1232"/>
        <w:gridCol w:w="1363"/>
        <w:gridCol w:w="7"/>
      </w:tblGrid>
      <w:tr w:rsidR="00841D51" w:rsidRPr="003D0AEA" w14:paraId="159E3EFE" w14:textId="77777777" w:rsidTr="00841D51">
        <w:trPr>
          <w:trHeight w:val="315"/>
        </w:trPr>
        <w:tc>
          <w:tcPr>
            <w:tcW w:w="1601" w:type="pct"/>
            <w:shd w:val="clear" w:color="auto" w:fill="C1E4F5"/>
            <w:noWrap/>
            <w:vAlign w:val="bottom"/>
            <w:hideMark/>
          </w:tcPr>
          <w:p w14:paraId="40D87E7D" w14:textId="77777777" w:rsidR="00841D51" w:rsidRPr="003D0AEA"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3D0AEA">
              <w:rPr>
                <w:rFonts w:ascii="Aptos" w:hAnsi="Aptos" w:cs="Calibri"/>
                <w:color w:val="000000"/>
                <w:spacing w:val="-10"/>
                <w:kern w:val="28"/>
                <w:sz w:val="16"/>
                <w:szCs w:val="16"/>
                <w:lang w:eastAsia="en-GB"/>
              </w:rPr>
              <w:t> </w:t>
            </w:r>
          </w:p>
        </w:tc>
        <w:tc>
          <w:tcPr>
            <w:tcW w:w="2469" w:type="pct"/>
            <w:gridSpan w:val="3"/>
            <w:shd w:val="clear" w:color="auto" w:fill="C1E4F5"/>
          </w:tcPr>
          <w:p w14:paraId="2397BF22" w14:textId="6E0A5708" w:rsidR="00841D51" w:rsidRPr="003D0AEA"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Pr>
                <w:rFonts w:ascii="Aptos" w:hAnsi="Aptos" w:cs="Calibri"/>
                <w:color w:val="000000"/>
                <w:spacing w:val="-10"/>
                <w:kern w:val="28"/>
                <w:sz w:val="16"/>
                <w:szCs w:val="16"/>
                <w:lang w:eastAsia="en-GB"/>
              </w:rPr>
              <w:t>Group</w:t>
            </w:r>
          </w:p>
        </w:tc>
        <w:tc>
          <w:tcPr>
            <w:tcW w:w="931" w:type="pct"/>
            <w:gridSpan w:val="2"/>
            <w:shd w:val="clear" w:color="auto" w:fill="C1E4F5"/>
            <w:noWrap/>
            <w:vAlign w:val="bottom"/>
            <w:hideMark/>
          </w:tcPr>
          <w:p w14:paraId="63B79A10" w14:textId="1DB9B60F" w:rsidR="00841D51" w:rsidRPr="003D0AEA"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p>
        </w:tc>
      </w:tr>
      <w:tr w:rsidR="00841D51" w:rsidRPr="003D0AEA" w14:paraId="222DA800" w14:textId="77777777" w:rsidTr="00841D51">
        <w:trPr>
          <w:gridAfter w:val="1"/>
          <w:wAfter w:w="6" w:type="pct"/>
          <w:trHeight w:val="315"/>
        </w:trPr>
        <w:tc>
          <w:tcPr>
            <w:tcW w:w="1601" w:type="pct"/>
            <w:shd w:val="clear" w:color="auto" w:fill="C1E4F5"/>
            <w:vAlign w:val="bottom"/>
            <w:hideMark/>
          </w:tcPr>
          <w:p w14:paraId="72E34E51" w14:textId="77777777" w:rsidR="00841D51" w:rsidRPr="003D0AEA"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eastAsia="Yu Gothic Light" w:hAnsi="Aptos" w:cs="Calibri"/>
                <w:b/>
                <w:color w:val="000000"/>
                <w:spacing w:val="-10"/>
                <w:kern w:val="28"/>
                <w:sz w:val="16"/>
                <w:szCs w:val="16"/>
              </w:rPr>
            </w:pPr>
            <w:r w:rsidRPr="003D0AEA">
              <w:rPr>
                <w:rFonts w:ascii="Aptos" w:hAnsi="Aptos" w:cs="Calibri"/>
                <w:b/>
                <w:color w:val="000000"/>
                <w:spacing w:val="-10"/>
                <w:kern w:val="28"/>
                <w:sz w:val="16"/>
                <w:szCs w:val="16"/>
                <w:lang w:eastAsia="en-GB"/>
              </w:rPr>
              <w:t> </w:t>
            </w:r>
            <w:r w:rsidRPr="003D0AEA">
              <w:rPr>
                <w:rFonts w:ascii="Aptos" w:eastAsia="Yu Gothic Light" w:hAnsi="Aptos" w:cs="Calibri"/>
                <w:b/>
                <w:color w:val="000000"/>
                <w:spacing w:val="-10"/>
                <w:kern w:val="28"/>
                <w:sz w:val="16"/>
                <w:szCs w:val="16"/>
              </w:rPr>
              <w:t>Indicator (units)</w:t>
            </w:r>
          </w:p>
        </w:tc>
        <w:tc>
          <w:tcPr>
            <w:tcW w:w="800" w:type="pct"/>
            <w:tcBorders>
              <w:bottom w:val="single" w:sz="4" w:space="0" w:color="auto"/>
            </w:tcBorders>
            <w:shd w:val="clear" w:color="auto" w:fill="C1E4F5"/>
            <w:noWrap/>
            <w:vAlign w:val="bottom"/>
            <w:hideMark/>
          </w:tcPr>
          <w:p w14:paraId="15407489" w14:textId="77777777" w:rsidR="00841D51" w:rsidRPr="009E104A"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9E104A">
              <w:rPr>
                <w:rFonts w:ascii="Aptos" w:hAnsi="Aptos" w:cs="Calibri"/>
                <w:color w:val="000000"/>
                <w:spacing w:val="-10"/>
                <w:kern w:val="28"/>
                <w:sz w:val="16"/>
                <w:szCs w:val="16"/>
                <w:lang w:eastAsia="en-GB"/>
              </w:rPr>
              <w:t xml:space="preserve">1 </w:t>
            </w:r>
          </w:p>
          <w:p w14:paraId="64C37007" w14:textId="370EF260" w:rsidR="00841D51" w:rsidRPr="009E104A"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9E104A">
              <w:rPr>
                <w:rFonts w:ascii="Aptos" w:hAnsi="Aptos" w:cs="Calibri"/>
                <w:color w:val="000000"/>
                <w:spacing w:val="-10"/>
                <w:kern w:val="28"/>
                <w:sz w:val="16"/>
                <w:szCs w:val="16"/>
                <w:lang w:eastAsia="en-GB"/>
              </w:rPr>
              <w:t>(</w:t>
            </w:r>
            <w:r w:rsidR="009E104A" w:rsidRPr="009E104A">
              <w:rPr>
                <w:rFonts w:ascii="Aptos" w:hAnsi="Aptos" w:cs="Calibri"/>
                <w:color w:val="000000"/>
                <w:spacing w:val="-10"/>
                <w:kern w:val="28"/>
                <w:sz w:val="16"/>
                <w:szCs w:val="16"/>
                <w:lang w:eastAsia="en-GB"/>
              </w:rPr>
              <w:t>8</w:t>
            </w:r>
            <w:r w:rsidRPr="009E104A">
              <w:rPr>
                <w:rFonts w:ascii="Aptos" w:hAnsi="Aptos" w:cs="Calibri"/>
                <w:color w:val="000000"/>
                <w:spacing w:val="-10"/>
                <w:kern w:val="28"/>
                <w:sz w:val="16"/>
                <w:szCs w:val="16"/>
                <w:lang w:eastAsia="en-GB"/>
              </w:rPr>
              <w:t xml:space="preserve"> American countries)</w:t>
            </w:r>
          </w:p>
        </w:tc>
        <w:tc>
          <w:tcPr>
            <w:tcW w:w="833" w:type="pct"/>
            <w:tcBorders>
              <w:bottom w:val="single" w:sz="4" w:space="0" w:color="auto"/>
            </w:tcBorders>
            <w:shd w:val="clear" w:color="auto" w:fill="C1E4F5"/>
            <w:noWrap/>
            <w:vAlign w:val="bottom"/>
            <w:hideMark/>
          </w:tcPr>
          <w:p w14:paraId="38ADA897" w14:textId="77777777" w:rsidR="00841D51" w:rsidRPr="009E104A"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9E104A">
              <w:rPr>
                <w:rFonts w:ascii="Aptos" w:hAnsi="Aptos" w:cs="Calibri"/>
                <w:color w:val="000000"/>
                <w:spacing w:val="-10"/>
                <w:kern w:val="28"/>
                <w:sz w:val="16"/>
                <w:szCs w:val="16"/>
                <w:lang w:eastAsia="en-GB"/>
              </w:rPr>
              <w:t xml:space="preserve">2 </w:t>
            </w:r>
          </w:p>
          <w:p w14:paraId="79297FD8" w14:textId="53752ECE" w:rsidR="00841D51" w:rsidRPr="009E104A"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9E104A">
              <w:rPr>
                <w:rFonts w:ascii="Aptos" w:hAnsi="Aptos" w:cs="Calibri"/>
                <w:color w:val="000000"/>
                <w:spacing w:val="-10"/>
                <w:kern w:val="28"/>
                <w:sz w:val="16"/>
                <w:szCs w:val="16"/>
                <w:lang w:eastAsia="en-GB"/>
              </w:rPr>
              <w:t>(2</w:t>
            </w:r>
            <w:r w:rsidR="009E104A" w:rsidRPr="009E104A">
              <w:rPr>
                <w:rFonts w:ascii="Aptos" w:hAnsi="Aptos" w:cs="Calibri"/>
                <w:color w:val="000000"/>
                <w:spacing w:val="-10"/>
                <w:kern w:val="28"/>
                <w:sz w:val="16"/>
                <w:szCs w:val="16"/>
                <w:lang w:eastAsia="en-GB"/>
              </w:rPr>
              <w:t>0</w:t>
            </w:r>
            <w:r w:rsidRPr="009E104A">
              <w:rPr>
                <w:rFonts w:ascii="Aptos" w:hAnsi="Aptos" w:cs="Calibri"/>
                <w:color w:val="000000"/>
                <w:spacing w:val="-10"/>
                <w:kern w:val="28"/>
                <w:sz w:val="16"/>
                <w:szCs w:val="16"/>
                <w:lang w:eastAsia="en-GB"/>
              </w:rPr>
              <w:t xml:space="preserve"> American countries)</w:t>
            </w:r>
          </w:p>
        </w:tc>
        <w:tc>
          <w:tcPr>
            <w:tcW w:w="836" w:type="pct"/>
            <w:tcBorders>
              <w:bottom w:val="single" w:sz="4" w:space="0" w:color="auto"/>
            </w:tcBorders>
            <w:shd w:val="clear" w:color="auto" w:fill="C1E4F5"/>
            <w:noWrap/>
            <w:vAlign w:val="bottom"/>
            <w:hideMark/>
          </w:tcPr>
          <w:p w14:paraId="481A7D40" w14:textId="77777777" w:rsidR="00841D51" w:rsidRPr="009E104A"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9E104A">
              <w:rPr>
                <w:rFonts w:ascii="Aptos" w:hAnsi="Aptos" w:cs="Calibri"/>
                <w:color w:val="000000"/>
                <w:spacing w:val="-10"/>
                <w:kern w:val="28"/>
                <w:sz w:val="16"/>
                <w:szCs w:val="16"/>
                <w:lang w:eastAsia="en-GB"/>
              </w:rPr>
              <w:t xml:space="preserve">3 </w:t>
            </w:r>
          </w:p>
          <w:p w14:paraId="3B43DCC9" w14:textId="5F8C90CC" w:rsidR="00841D51" w:rsidRPr="009E104A"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color w:val="000000"/>
                <w:spacing w:val="-10"/>
                <w:kern w:val="28"/>
                <w:sz w:val="16"/>
                <w:szCs w:val="16"/>
                <w:lang w:eastAsia="en-GB"/>
              </w:rPr>
            </w:pPr>
            <w:r w:rsidRPr="009E104A">
              <w:rPr>
                <w:rFonts w:ascii="Aptos" w:hAnsi="Aptos" w:cs="Calibri"/>
                <w:color w:val="000000"/>
                <w:spacing w:val="-10"/>
                <w:kern w:val="28"/>
                <w:sz w:val="16"/>
                <w:szCs w:val="16"/>
                <w:lang w:eastAsia="en-GB"/>
              </w:rPr>
              <w:t>(</w:t>
            </w:r>
            <w:r w:rsidR="009E104A" w:rsidRPr="009E104A">
              <w:rPr>
                <w:rFonts w:ascii="Aptos" w:hAnsi="Aptos" w:cs="Calibri"/>
                <w:color w:val="000000"/>
                <w:spacing w:val="-10"/>
                <w:kern w:val="28"/>
                <w:sz w:val="16"/>
                <w:szCs w:val="16"/>
                <w:lang w:eastAsia="en-GB"/>
              </w:rPr>
              <w:t xml:space="preserve">6 </w:t>
            </w:r>
            <w:r w:rsidRPr="009E104A">
              <w:rPr>
                <w:rFonts w:ascii="Aptos" w:hAnsi="Aptos" w:cs="Calibri"/>
                <w:color w:val="000000"/>
                <w:spacing w:val="-10"/>
                <w:kern w:val="28"/>
                <w:sz w:val="16"/>
                <w:szCs w:val="16"/>
                <w:lang w:eastAsia="en-GB"/>
              </w:rPr>
              <w:t>American countries)</w:t>
            </w:r>
          </w:p>
        </w:tc>
        <w:tc>
          <w:tcPr>
            <w:tcW w:w="925" w:type="pct"/>
            <w:shd w:val="clear" w:color="auto" w:fill="C1E4F5"/>
            <w:noWrap/>
            <w:vAlign w:val="bottom"/>
            <w:hideMark/>
          </w:tcPr>
          <w:p w14:paraId="3579F15F" w14:textId="3F5EE56E" w:rsidR="00841D51" w:rsidRPr="003D0AEA" w:rsidRDefault="00841D51" w:rsidP="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rPr>
                <w:rFonts w:ascii="Aptos" w:hAnsi="Aptos" w:cs="Calibri"/>
                <w:b/>
                <w:color w:val="000000"/>
                <w:spacing w:val="-10"/>
                <w:kern w:val="28"/>
                <w:sz w:val="16"/>
                <w:szCs w:val="16"/>
                <w:lang w:eastAsia="en-GB"/>
              </w:rPr>
            </w:pPr>
            <w:r w:rsidRPr="003D0AEA">
              <w:rPr>
                <w:rFonts w:ascii="Aptos" w:hAnsi="Aptos" w:cs="Calibri"/>
                <w:b/>
                <w:color w:val="000000"/>
                <w:spacing w:val="-10"/>
                <w:kern w:val="28"/>
                <w:sz w:val="16"/>
                <w:szCs w:val="16"/>
                <w:lang w:eastAsia="en-GB"/>
              </w:rPr>
              <w:t>World average</w:t>
            </w:r>
          </w:p>
        </w:tc>
      </w:tr>
      <w:tr w:rsidR="00841D51" w:rsidRPr="003D0AEA" w14:paraId="7BC9A59C" w14:textId="77777777" w:rsidTr="1CC1E1D2">
        <w:trPr>
          <w:gridAfter w:val="1"/>
          <w:wAfter w:w="6" w:type="pct"/>
          <w:trHeight w:val="510"/>
        </w:trPr>
        <w:tc>
          <w:tcPr>
            <w:tcW w:w="1601" w:type="pct"/>
            <w:shd w:val="clear" w:color="auto" w:fill="FFFFFF" w:themeFill="background1"/>
            <w:vAlign w:val="center"/>
            <w:hideMark/>
          </w:tcPr>
          <w:p w14:paraId="4C92BD59" w14:textId="77777777" w:rsidR="00841D51" w:rsidRPr="003D0AEA"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3D0AEA">
              <w:rPr>
                <w:rFonts w:ascii="Aptos" w:hAnsi="Aptos" w:cs="Calibri"/>
                <w:color w:val="000000"/>
                <w:kern w:val="28"/>
                <w:sz w:val="16"/>
                <w:szCs w:val="16"/>
                <w:lang w:eastAsia="en-GB"/>
              </w:rPr>
              <w:t>Share of individuals using</w:t>
            </w:r>
            <w:r w:rsidRPr="003D0AEA">
              <w:rPr>
                <w:rFonts w:ascii="Aptos" w:hAnsi="Aptos" w:cs="Calibri"/>
                <w:color w:val="000000"/>
                <w:kern w:val="28"/>
                <w:sz w:val="16"/>
                <w:szCs w:val="16"/>
                <w:lang w:eastAsia="en-GB"/>
              </w:rPr>
              <w:br/>
              <w:t>the Internet</w:t>
            </w:r>
            <w:r w:rsidRPr="003D0AEA">
              <w:rPr>
                <w:rFonts w:ascii="Aptos" w:hAnsi="Aptos" w:cs="Calibri"/>
                <w:color w:val="A6A6A6"/>
                <w:kern w:val="28"/>
                <w:sz w:val="16"/>
                <w:szCs w:val="16"/>
                <w:lang w:eastAsia="en-GB"/>
              </w:rPr>
              <w:t xml:space="preserve"> (%)</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476E5C3" w14:textId="28749011" w:rsidR="00841D51" w:rsidRPr="00841D51"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41D51">
              <w:rPr>
                <w:rFonts w:ascii="Aptos" w:hAnsi="Aptos" w:cs="Calibri"/>
                <w:color w:val="000000"/>
                <w:sz w:val="16"/>
                <w:szCs w:val="16"/>
              </w:rPr>
              <w:t>89.2</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05928EE" w14:textId="1AC7968C" w:rsidR="00841D51" w:rsidRPr="00841D51"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41D51">
              <w:rPr>
                <w:rFonts w:ascii="Aptos" w:hAnsi="Aptos" w:cs="Calibri"/>
                <w:color w:val="000000"/>
                <w:sz w:val="16"/>
                <w:szCs w:val="16"/>
              </w:rPr>
              <w:t>78.3</w:t>
            </w:r>
          </w:p>
        </w:tc>
        <w:tc>
          <w:tcPr>
            <w:tcW w:w="836" w:type="pct"/>
            <w:tcBorders>
              <w:top w:val="single" w:sz="4" w:space="0" w:color="auto"/>
              <w:left w:val="single" w:sz="4" w:space="0" w:color="auto"/>
              <w:bottom w:val="single" w:sz="4" w:space="0" w:color="auto"/>
              <w:right w:val="single" w:sz="4" w:space="0" w:color="D9D9D9" w:themeColor="background1" w:themeShade="D9"/>
            </w:tcBorders>
            <w:shd w:val="clear" w:color="auto" w:fill="FFFFFF" w:themeFill="background1"/>
            <w:noWrap/>
            <w:vAlign w:val="bottom"/>
          </w:tcPr>
          <w:p w14:paraId="07840A0E" w14:textId="75E73F70" w:rsidR="00841D51" w:rsidRPr="00841D51"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41D51">
              <w:rPr>
                <w:rFonts w:ascii="Aptos" w:hAnsi="Aptos" w:cs="Calibri"/>
                <w:color w:val="000000"/>
                <w:sz w:val="16"/>
                <w:szCs w:val="16"/>
              </w:rPr>
              <w:t>61.2</w:t>
            </w:r>
          </w:p>
        </w:tc>
        <w:tc>
          <w:tcPr>
            <w:tcW w:w="925" w:type="pct"/>
            <w:shd w:val="clear" w:color="auto" w:fill="FFFFFF" w:themeFill="background1"/>
            <w:noWrap/>
            <w:vAlign w:val="bottom"/>
          </w:tcPr>
          <w:p w14:paraId="6F827B86" w14:textId="104A5F64" w:rsidR="00841D51" w:rsidRPr="003D0AEA"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3D0AEA">
              <w:rPr>
                <w:rFonts w:ascii="Aptos" w:hAnsi="Aptos" w:cs="Calibri"/>
                <w:b/>
                <w:bCs/>
                <w:color w:val="000000"/>
                <w:sz w:val="16"/>
                <w:szCs w:val="16"/>
              </w:rPr>
              <w:t>65.4</w:t>
            </w:r>
          </w:p>
        </w:tc>
      </w:tr>
      <w:tr w:rsidR="00841D51" w:rsidRPr="003D0AEA" w14:paraId="51093069" w14:textId="77777777" w:rsidTr="56B2E306">
        <w:trPr>
          <w:gridAfter w:val="1"/>
          <w:wAfter w:w="6" w:type="pct"/>
          <w:trHeight w:val="510"/>
        </w:trPr>
        <w:tc>
          <w:tcPr>
            <w:tcW w:w="1601" w:type="pct"/>
            <w:shd w:val="clear" w:color="auto" w:fill="FFFFFF" w:themeFill="background1"/>
            <w:vAlign w:val="center"/>
            <w:hideMark/>
          </w:tcPr>
          <w:p w14:paraId="01E33B1A" w14:textId="1ECF5A82" w:rsidR="00841D51" w:rsidRPr="003D0AEA"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3D0AEA">
              <w:rPr>
                <w:rFonts w:ascii="Aptos" w:hAnsi="Aptos" w:cs="Calibri"/>
                <w:color w:val="000000"/>
                <w:kern w:val="28"/>
                <w:sz w:val="16"/>
                <w:szCs w:val="16"/>
                <w:lang w:eastAsia="en-GB"/>
              </w:rPr>
              <w:t xml:space="preserve">Gender equality - Internet use </w:t>
            </w:r>
            <w:r w:rsidRPr="003D0AEA">
              <w:rPr>
                <w:rFonts w:ascii="Aptos" w:hAnsi="Aptos" w:cs="Calibri"/>
                <w:color w:val="000000"/>
                <w:kern w:val="28"/>
                <w:sz w:val="16"/>
                <w:szCs w:val="16"/>
                <w:lang w:eastAsia="en-GB"/>
              </w:rPr>
              <w:br/>
            </w:r>
            <w:r w:rsidRPr="003D0AEA">
              <w:rPr>
                <w:rFonts w:ascii="Aptos" w:hAnsi="Aptos" w:cs="Calibri"/>
                <w:color w:val="A6A6A6"/>
                <w:kern w:val="28"/>
                <w:sz w:val="16"/>
                <w:szCs w:val="16"/>
                <w:lang w:eastAsia="en-GB"/>
              </w:rPr>
              <w:t>(</w:t>
            </w:r>
            <w:r w:rsidR="00B422FF">
              <w:rPr>
                <w:rFonts w:ascii="Aptos" w:hAnsi="Aptos" w:cs="Calibri"/>
                <w:color w:val="A6A6A6"/>
                <w:kern w:val="28"/>
                <w:sz w:val="16"/>
                <w:szCs w:val="16"/>
                <w:lang w:eastAsia="en-GB"/>
              </w:rPr>
              <w:t xml:space="preserve">relative </w:t>
            </w:r>
            <w:r w:rsidRPr="003D0AEA">
              <w:rPr>
                <w:rFonts w:ascii="Aptos" w:hAnsi="Aptos" w:cs="Calibri"/>
                <w:color w:val="A6A6A6"/>
                <w:kern w:val="28"/>
                <w:sz w:val="16"/>
                <w:szCs w:val="16"/>
                <w:lang w:eastAsia="en-GB"/>
              </w:rPr>
              <w:t>gender parity)</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5EF771" w14:textId="4379AFF0" w:rsidR="00841D51" w:rsidRPr="00841D51"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41D51">
              <w:rPr>
                <w:rFonts w:ascii="Aptos" w:hAnsi="Aptos" w:cs="Calibri"/>
                <w:color w:val="000000"/>
                <w:sz w:val="16"/>
                <w:szCs w:val="16"/>
              </w:rPr>
              <w:t>1.13</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74756DD" w14:textId="2E5F5498" w:rsidR="00841D51" w:rsidRPr="00841D51"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41D51">
              <w:rPr>
                <w:rFonts w:ascii="Aptos" w:hAnsi="Aptos" w:cs="Calibri"/>
                <w:color w:val="000000"/>
                <w:sz w:val="16"/>
                <w:szCs w:val="16"/>
              </w:rPr>
              <w:t>0.94</w:t>
            </w:r>
          </w:p>
        </w:tc>
        <w:tc>
          <w:tcPr>
            <w:tcW w:w="836" w:type="pct"/>
            <w:tcBorders>
              <w:top w:val="single" w:sz="4" w:space="0" w:color="auto"/>
              <w:left w:val="single" w:sz="4" w:space="0" w:color="auto"/>
              <w:bottom w:val="single" w:sz="4" w:space="0" w:color="auto"/>
              <w:right w:val="single" w:sz="4" w:space="0" w:color="D9D9D9" w:themeColor="background1" w:themeShade="D9"/>
            </w:tcBorders>
            <w:shd w:val="clear" w:color="auto" w:fill="FFFFFF" w:themeFill="background1"/>
            <w:noWrap/>
            <w:vAlign w:val="bottom"/>
          </w:tcPr>
          <w:p w14:paraId="76DC1837" w14:textId="1A3D0CDC" w:rsidR="00841D51" w:rsidRPr="00841D51"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41D51">
              <w:rPr>
                <w:rFonts w:ascii="Aptos" w:hAnsi="Aptos" w:cs="Calibri"/>
                <w:color w:val="000000"/>
                <w:sz w:val="16"/>
                <w:szCs w:val="16"/>
              </w:rPr>
              <w:t>1.00</w:t>
            </w:r>
          </w:p>
        </w:tc>
        <w:tc>
          <w:tcPr>
            <w:tcW w:w="925" w:type="pct"/>
            <w:noWrap/>
            <w:vAlign w:val="bottom"/>
          </w:tcPr>
          <w:p w14:paraId="7499F2EC" w14:textId="21539821" w:rsidR="00841D51" w:rsidRPr="00CE2BF5"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color w:val="000000"/>
                <w:kern w:val="28"/>
                <w:sz w:val="16"/>
                <w:szCs w:val="16"/>
                <w:lang w:eastAsia="en-GB"/>
              </w:rPr>
            </w:pPr>
            <w:r w:rsidRPr="56B2E306">
              <w:rPr>
                <w:rFonts w:ascii="Aptos" w:hAnsi="Aptos" w:cs="Calibri"/>
                <w:b/>
                <w:color w:val="000000" w:themeColor="text1"/>
                <w:sz w:val="16"/>
                <w:szCs w:val="16"/>
              </w:rPr>
              <w:t>0.9</w:t>
            </w:r>
            <w:r w:rsidR="0B660E35" w:rsidRPr="56B2E306">
              <w:rPr>
                <w:rFonts w:ascii="Aptos" w:hAnsi="Aptos" w:cs="Calibri"/>
                <w:b/>
                <w:color w:val="000000" w:themeColor="text1"/>
                <w:sz w:val="16"/>
                <w:szCs w:val="16"/>
              </w:rPr>
              <w:t>0</w:t>
            </w:r>
          </w:p>
        </w:tc>
      </w:tr>
      <w:tr w:rsidR="00841D51" w:rsidRPr="003D0AEA" w14:paraId="10D0A118" w14:textId="77777777" w:rsidTr="1CC1E1D2">
        <w:trPr>
          <w:gridAfter w:val="1"/>
          <w:wAfter w:w="6" w:type="pct"/>
          <w:trHeight w:val="510"/>
        </w:trPr>
        <w:tc>
          <w:tcPr>
            <w:tcW w:w="1601" w:type="pct"/>
            <w:shd w:val="clear" w:color="auto" w:fill="FFFFFF" w:themeFill="background1"/>
            <w:vAlign w:val="center"/>
            <w:hideMark/>
          </w:tcPr>
          <w:p w14:paraId="6892FC8A" w14:textId="77777777" w:rsidR="00841D51" w:rsidRPr="003D0AEA"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3D0AEA">
              <w:rPr>
                <w:rFonts w:ascii="Aptos" w:hAnsi="Aptos" w:cs="Calibri"/>
                <w:color w:val="000000"/>
                <w:kern w:val="28"/>
                <w:sz w:val="16"/>
                <w:szCs w:val="16"/>
                <w:lang w:eastAsia="en-GB"/>
              </w:rPr>
              <w:t>Share of individuals owning mobile phones</w:t>
            </w:r>
            <w:r w:rsidRPr="003D0AEA">
              <w:rPr>
                <w:rFonts w:ascii="Aptos" w:hAnsi="Aptos" w:cs="Calibri"/>
                <w:color w:val="A6A6A6"/>
                <w:kern w:val="28"/>
                <w:sz w:val="16"/>
                <w:szCs w:val="16"/>
                <w:lang w:eastAsia="en-GB"/>
              </w:rPr>
              <w:t xml:space="preserve"> (%)</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9EF3683" w14:textId="33230BE5" w:rsidR="00841D51" w:rsidRPr="00841D51"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41D51">
              <w:rPr>
                <w:rFonts w:ascii="Aptos" w:hAnsi="Aptos" w:cs="Calibri"/>
                <w:color w:val="000000"/>
                <w:sz w:val="16"/>
                <w:szCs w:val="16"/>
              </w:rPr>
              <w:t>92.4</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0B2D83" w14:textId="628C1DF7" w:rsidR="00841D51" w:rsidRPr="00841D51"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41D51">
              <w:rPr>
                <w:rFonts w:ascii="Aptos" w:hAnsi="Aptos" w:cs="Calibri"/>
                <w:color w:val="000000"/>
                <w:sz w:val="16"/>
                <w:szCs w:val="16"/>
              </w:rPr>
              <w:t>85.2</w:t>
            </w:r>
          </w:p>
        </w:tc>
        <w:tc>
          <w:tcPr>
            <w:tcW w:w="836" w:type="pct"/>
            <w:tcBorders>
              <w:top w:val="single" w:sz="4" w:space="0" w:color="auto"/>
              <w:left w:val="single" w:sz="4" w:space="0" w:color="auto"/>
              <w:bottom w:val="single" w:sz="4" w:space="0" w:color="auto"/>
              <w:right w:val="single" w:sz="4" w:space="0" w:color="D9D9D9" w:themeColor="background1" w:themeShade="D9"/>
            </w:tcBorders>
            <w:shd w:val="clear" w:color="auto" w:fill="FFFFFF" w:themeFill="background1"/>
            <w:noWrap/>
            <w:vAlign w:val="bottom"/>
          </w:tcPr>
          <w:p w14:paraId="5CDDBFF9" w14:textId="34667B67" w:rsidR="00841D51" w:rsidRPr="00841D51"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41D51">
              <w:rPr>
                <w:rFonts w:ascii="Aptos" w:hAnsi="Aptos" w:cs="Calibri"/>
                <w:color w:val="000000"/>
                <w:sz w:val="16"/>
                <w:szCs w:val="16"/>
              </w:rPr>
              <w:t>69.2</w:t>
            </w:r>
          </w:p>
        </w:tc>
        <w:tc>
          <w:tcPr>
            <w:tcW w:w="925" w:type="pct"/>
            <w:shd w:val="clear" w:color="auto" w:fill="FFFFFF" w:themeFill="background1"/>
            <w:noWrap/>
            <w:vAlign w:val="bottom"/>
          </w:tcPr>
          <w:p w14:paraId="421A94F0" w14:textId="1A4DB3E9" w:rsidR="00841D51" w:rsidRPr="003D0AEA"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3D0AEA">
              <w:rPr>
                <w:rFonts w:ascii="Aptos" w:hAnsi="Aptos" w:cs="Calibri"/>
                <w:b/>
                <w:bCs/>
                <w:color w:val="000000"/>
                <w:sz w:val="16"/>
                <w:szCs w:val="16"/>
              </w:rPr>
              <w:t>78.6</w:t>
            </w:r>
          </w:p>
        </w:tc>
      </w:tr>
      <w:tr w:rsidR="00841D51" w:rsidRPr="003D0AEA" w14:paraId="31F71ECC" w14:textId="77777777" w:rsidTr="1CC1E1D2">
        <w:trPr>
          <w:gridAfter w:val="1"/>
          <w:wAfter w:w="6" w:type="pct"/>
          <w:trHeight w:val="510"/>
        </w:trPr>
        <w:tc>
          <w:tcPr>
            <w:tcW w:w="1601" w:type="pct"/>
            <w:shd w:val="clear" w:color="auto" w:fill="FFFFFF" w:themeFill="background1"/>
            <w:vAlign w:val="center"/>
            <w:hideMark/>
          </w:tcPr>
          <w:p w14:paraId="2EC0CA65" w14:textId="77777777" w:rsidR="00841D51" w:rsidRPr="003D0AEA"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3D0AEA">
              <w:rPr>
                <w:rFonts w:ascii="Aptos" w:hAnsi="Aptos" w:cs="Calibri"/>
                <w:color w:val="000000"/>
                <w:kern w:val="28"/>
                <w:sz w:val="16"/>
                <w:szCs w:val="16"/>
                <w:lang w:eastAsia="en-GB"/>
              </w:rPr>
              <w:t xml:space="preserve">Mobile-broadband subscriptions </w:t>
            </w:r>
            <w:r w:rsidRPr="003D0AEA">
              <w:rPr>
                <w:rFonts w:ascii="Aptos" w:hAnsi="Aptos" w:cs="Calibri"/>
                <w:color w:val="000000"/>
                <w:kern w:val="28"/>
                <w:sz w:val="16"/>
                <w:szCs w:val="16"/>
                <w:lang w:eastAsia="en-GB"/>
              </w:rPr>
              <w:br/>
            </w:r>
            <w:r w:rsidRPr="003D0AEA">
              <w:rPr>
                <w:rFonts w:ascii="Aptos" w:hAnsi="Aptos" w:cs="Calibri"/>
                <w:color w:val="A6A6A6"/>
                <w:kern w:val="28"/>
                <w:sz w:val="16"/>
                <w:szCs w:val="16"/>
                <w:lang w:eastAsia="en-GB"/>
              </w:rPr>
              <w:t>(per 100 inhabitants)</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52152C5" w14:textId="5A98DCC2" w:rsidR="00841D51" w:rsidRPr="00841D51"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41D51">
              <w:rPr>
                <w:rFonts w:ascii="Aptos" w:hAnsi="Aptos" w:cs="Calibri"/>
                <w:color w:val="000000"/>
                <w:sz w:val="16"/>
                <w:szCs w:val="16"/>
              </w:rPr>
              <w:t>103.4</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710D62" w14:textId="3559DD1D" w:rsidR="00841D51" w:rsidRPr="00841D51"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41D51">
              <w:rPr>
                <w:rFonts w:ascii="Aptos" w:hAnsi="Aptos" w:cs="Calibri"/>
                <w:color w:val="000000"/>
                <w:sz w:val="16"/>
                <w:szCs w:val="16"/>
              </w:rPr>
              <w:t>79.3</w:t>
            </w:r>
          </w:p>
        </w:tc>
        <w:tc>
          <w:tcPr>
            <w:tcW w:w="836" w:type="pct"/>
            <w:tcBorders>
              <w:top w:val="single" w:sz="4" w:space="0" w:color="auto"/>
              <w:left w:val="single" w:sz="4" w:space="0" w:color="auto"/>
              <w:bottom w:val="single" w:sz="4" w:space="0" w:color="auto"/>
              <w:right w:val="single" w:sz="4" w:space="0" w:color="D9D9D9" w:themeColor="background1" w:themeShade="D9"/>
            </w:tcBorders>
            <w:shd w:val="clear" w:color="auto" w:fill="FFFFFF" w:themeFill="background1"/>
            <w:noWrap/>
            <w:vAlign w:val="bottom"/>
          </w:tcPr>
          <w:p w14:paraId="3E1B3CD2" w14:textId="538464D2" w:rsidR="00841D51" w:rsidRPr="00841D51"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41D51">
              <w:rPr>
                <w:rFonts w:ascii="Aptos" w:hAnsi="Aptos" w:cs="Calibri"/>
                <w:color w:val="000000"/>
                <w:sz w:val="16"/>
                <w:szCs w:val="16"/>
              </w:rPr>
              <w:t>46.3</w:t>
            </w:r>
          </w:p>
        </w:tc>
        <w:tc>
          <w:tcPr>
            <w:tcW w:w="925" w:type="pct"/>
            <w:shd w:val="clear" w:color="auto" w:fill="FFFFFF" w:themeFill="background1"/>
            <w:noWrap/>
            <w:vAlign w:val="bottom"/>
          </w:tcPr>
          <w:p w14:paraId="35F9246C" w14:textId="59581422" w:rsidR="00841D51" w:rsidRPr="003D0AEA"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3D0AEA">
              <w:rPr>
                <w:rFonts w:ascii="Aptos" w:hAnsi="Aptos" w:cs="Calibri"/>
                <w:b/>
                <w:bCs/>
                <w:color w:val="000000"/>
                <w:sz w:val="16"/>
                <w:szCs w:val="16"/>
              </w:rPr>
              <w:t>89.9</w:t>
            </w:r>
          </w:p>
        </w:tc>
      </w:tr>
      <w:tr w:rsidR="00841D51" w:rsidRPr="003D0AEA" w14:paraId="1096FC8C" w14:textId="77777777" w:rsidTr="1CC1E1D2">
        <w:trPr>
          <w:gridAfter w:val="1"/>
          <w:wAfter w:w="6" w:type="pct"/>
          <w:trHeight w:val="510"/>
        </w:trPr>
        <w:tc>
          <w:tcPr>
            <w:tcW w:w="1601" w:type="pct"/>
            <w:shd w:val="clear" w:color="auto" w:fill="FFFFFF" w:themeFill="background1"/>
            <w:vAlign w:val="center"/>
            <w:hideMark/>
          </w:tcPr>
          <w:p w14:paraId="70655099" w14:textId="77777777" w:rsidR="00841D51" w:rsidRPr="003D0AEA"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3D0AEA">
              <w:rPr>
                <w:rFonts w:ascii="Aptos" w:hAnsi="Aptos" w:cs="Calibri"/>
                <w:color w:val="000000"/>
                <w:kern w:val="28"/>
                <w:sz w:val="16"/>
                <w:szCs w:val="16"/>
                <w:lang w:eastAsia="en-GB"/>
              </w:rPr>
              <w:t xml:space="preserve">Fixed-broadband subscriptions </w:t>
            </w:r>
            <w:r w:rsidRPr="003D0AEA">
              <w:rPr>
                <w:rFonts w:ascii="Aptos" w:hAnsi="Aptos" w:cs="Calibri"/>
                <w:color w:val="000000"/>
                <w:kern w:val="28"/>
                <w:sz w:val="16"/>
                <w:szCs w:val="16"/>
                <w:lang w:eastAsia="en-GB"/>
              </w:rPr>
              <w:br/>
            </w:r>
            <w:r w:rsidRPr="003D0AEA">
              <w:rPr>
                <w:rFonts w:ascii="Aptos" w:hAnsi="Aptos" w:cs="Calibri"/>
                <w:color w:val="A6A6A6"/>
                <w:kern w:val="28"/>
                <w:sz w:val="16"/>
                <w:szCs w:val="16"/>
                <w:lang w:eastAsia="en-GB"/>
              </w:rPr>
              <w:t>(per 100 inhabitants)</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9D1EB46" w14:textId="191CAA7A" w:rsidR="00841D51" w:rsidRPr="00841D51"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41D51">
              <w:rPr>
                <w:rFonts w:ascii="Aptos" w:hAnsi="Aptos" w:cs="Calibri"/>
                <w:color w:val="000000"/>
                <w:sz w:val="16"/>
                <w:szCs w:val="16"/>
              </w:rPr>
              <w:t>27.9</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3BD9A4" w14:textId="7BC4CA28" w:rsidR="00841D51" w:rsidRPr="00841D51"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41D51">
              <w:rPr>
                <w:rFonts w:ascii="Aptos" w:hAnsi="Aptos" w:cs="Calibri"/>
                <w:color w:val="000000"/>
                <w:sz w:val="16"/>
                <w:szCs w:val="16"/>
              </w:rPr>
              <w:t>13.8</w:t>
            </w:r>
          </w:p>
        </w:tc>
        <w:tc>
          <w:tcPr>
            <w:tcW w:w="836" w:type="pct"/>
            <w:tcBorders>
              <w:top w:val="single" w:sz="4" w:space="0" w:color="auto"/>
              <w:left w:val="single" w:sz="4" w:space="0" w:color="auto"/>
              <w:bottom w:val="single" w:sz="4" w:space="0" w:color="auto"/>
              <w:right w:val="single" w:sz="4" w:space="0" w:color="D9D9D9" w:themeColor="background1" w:themeShade="D9"/>
            </w:tcBorders>
            <w:shd w:val="clear" w:color="auto" w:fill="FFFFFF" w:themeFill="background1"/>
            <w:noWrap/>
            <w:vAlign w:val="bottom"/>
          </w:tcPr>
          <w:p w14:paraId="641909C5" w14:textId="478C5771" w:rsidR="00841D51" w:rsidRPr="00841D51"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41D51">
              <w:rPr>
                <w:rFonts w:ascii="Aptos" w:hAnsi="Aptos" w:cs="Calibri"/>
                <w:color w:val="000000"/>
                <w:sz w:val="16"/>
                <w:szCs w:val="16"/>
              </w:rPr>
              <w:t>6.1</w:t>
            </w:r>
          </w:p>
        </w:tc>
        <w:tc>
          <w:tcPr>
            <w:tcW w:w="925" w:type="pct"/>
            <w:shd w:val="clear" w:color="auto" w:fill="FFFFFF" w:themeFill="background1"/>
            <w:noWrap/>
            <w:vAlign w:val="bottom"/>
          </w:tcPr>
          <w:p w14:paraId="2F98B651" w14:textId="14D11C4F" w:rsidR="00841D51" w:rsidRPr="003D0AEA"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3D0AEA">
              <w:rPr>
                <w:rFonts w:ascii="Aptos" w:hAnsi="Aptos" w:cs="Calibri"/>
                <w:b/>
                <w:bCs/>
                <w:color w:val="000000"/>
                <w:sz w:val="16"/>
                <w:szCs w:val="16"/>
              </w:rPr>
              <w:t>18.6</w:t>
            </w:r>
          </w:p>
        </w:tc>
      </w:tr>
      <w:tr w:rsidR="00841D51" w:rsidRPr="003D0AEA" w14:paraId="28610658" w14:textId="77777777" w:rsidTr="1CC1E1D2">
        <w:trPr>
          <w:gridAfter w:val="1"/>
          <w:wAfter w:w="6" w:type="pct"/>
          <w:trHeight w:val="479"/>
        </w:trPr>
        <w:tc>
          <w:tcPr>
            <w:tcW w:w="1601" w:type="pct"/>
            <w:shd w:val="clear" w:color="auto" w:fill="FFFFFF" w:themeFill="background1"/>
            <w:vAlign w:val="center"/>
            <w:hideMark/>
          </w:tcPr>
          <w:p w14:paraId="0B634667" w14:textId="77777777" w:rsidR="00841D51" w:rsidRPr="003D0AEA"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A6A6A6"/>
                <w:kern w:val="28"/>
                <w:sz w:val="16"/>
                <w:szCs w:val="16"/>
                <w:lang w:eastAsia="en-GB"/>
              </w:rPr>
            </w:pPr>
            <w:r w:rsidRPr="003D0AEA">
              <w:rPr>
                <w:rFonts w:ascii="Aptos" w:hAnsi="Aptos" w:cs="Calibri"/>
                <w:color w:val="000000"/>
                <w:kern w:val="28"/>
                <w:sz w:val="16"/>
                <w:szCs w:val="16"/>
                <w:lang w:eastAsia="en-GB"/>
              </w:rPr>
              <w:t xml:space="preserve">Data-only mobile broadband prices </w:t>
            </w:r>
            <w:r w:rsidRPr="003D0AEA">
              <w:rPr>
                <w:rFonts w:ascii="Aptos" w:hAnsi="Aptos" w:cs="Calibri"/>
                <w:color w:val="A6A6A6"/>
                <w:kern w:val="28"/>
                <w:sz w:val="16"/>
                <w:szCs w:val="16"/>
                <w:lang w:eastAsia="en-GB"/>
              </w:rPr>
              <w:br/>
              <w:t>(as a % of GNI per capita)</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A909217" w14:textId="6E036E14" w:rsidR="00841D51" w:rsidRPr="00841D51"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41D51">
              <w:rPr>
                <w:rFonts w:ascii="Aptos" w:hAnsi="Aptos" w:cs="Calibri"/>
                <w:color w:val="000000"/>
                <w:sz w:val="16"/>
                <w:szCs w:val="16"/>
              </w:rPr>
              <w:t>0.8</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4170CC" w14:textId="14A2E1EA" w:rsidR="00841D51" w:rsidRPr="00841D51"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41D51">
              <w:rPr>
                <w:rFonts w:ascii="Aptos" w:hAnsi="Aptos" w:cs="Calibri"/>
                <w:color w:val="000000"/>
                <w:sz w:val="16"/>
                <w:szCs w:val="16"/>
              </w:rPr>
              <w:t>2.3</w:t>
            </w:r>
          </w:p>
        </w:tc>
        <w:tc>
          <w:tcPr>
            <w:tcW w:w="836" w:type="pct"/>
            <w:tcBorders>
              <w:top w:val="single" w:sz="4" w:space="0" w:color="auto"/>
              <w:left w:val="single" w:sz="4" w:space="0" w:color="auto"/>
              <w:bottom w:val="single" w:sz="4" w:space="0" w:color="auto"/>
              <w:right w:val="single" w:sz="4" w:space="0" w:color="D9D9D9" w:themeColor="background1" w:themeShade="D9"/>
            </w:tcBorders>
            <w:shd w:val="clear" w:color="auto" w:fill="FFFFFF" w:themeFill="background1"/>
            <w:noWrap/>
            <w:vAlign w:val="bottom"/>
          </w:tcPr>
          <w:p w14:paraId="44910013" w14:textId="47C1902B" w:rsidR="00841D51" w:rsidRPr="00841D51"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41D51">
              <w:rPr>
                <w:rFonts w:ascii="Aptos" w:hAnsi="Aptos" w:cs="Calibri"/>
                <w:color w:val="000000"/>
                <w:sz w:val="16"/>
                <w:szCs w:val="16"/>
              </w:rPr>
              <w:t>4.5</w:t>
            </w:r>
          </w:p>
        </w:tc>
        <w:tc>
          <w:tcPr>
            <w:tcW w:w="925" w:type="pct"/>
            <w:shd w:val="clear" w:color="auto" w:fill="FFFFFF" w:themeFill="background1"/>
            <w:noWrap/>
            <w:vAlign w:val="bottom"/>
          </w:tcPr>
          <w:p w14:paraId="09BCBB10" w14:textId="66F648D4" w:rsidR="00841D51" w:rsidRPr="003D0AEA"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3D0AEA">
              <w:rPr>
                <w:rFonts w:ascii="Aptos" w:hAnsi="Aptos" w:cs="Calibri"/>
                <w:b/>
                <w:bCs/>
                <w:color w:val="000000"/>
                <w:sz w:val="16"/>
                <w:szCs w:val="16"/>
              </w:rPr>
              <w:t>2.8</w:t>
            </w:r>
          </w:p>
        </w:tc>
      </w:tr>
      <w:tr w:rsidR="00841D51" w:rsidRPr="003D0AEA" w14:paraId="3A5F7375" w14:textId="77777777" w:rsidTr="1CC1E1D2">
        <w:trPr>
          <w:gridAfter w:val="1"/>
          <w:wAfter w:w="6" w:type="pct"/>
          <w:trHeight w:val="510"/>
        </w:trPr>
        <w:tc>
          <w:tcPr>
            <w:tcW w:w="1601" w:type="pct"/>
            <w:shd w:val="clear" w:color="auto" w:fill="FFFFFF" w:themeFill="background1"/>
            <w:vAlign w:val="center"/>
            <w:hideMark/>
          </w:tcPr>
          <w:p w14:paraId="2D3D13EB" w14:textId="77777777" w:rsidR="00841D51" w:rsidRPr="003D0AEA"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rPr>
                <w:rFonts w:ascii="Aptos" w:hAnsi="Aptos" w:cs="Calibri"/>
                <w:color w:val="000000"/>
                <w:kern w:val="28"/>
                <w:sz w:val="16"/>
                <w:szCs w:val="16"/>
                <w:lang w:eastAsia="en-GB"/>
              </w:rPr>
            </w:pPr>
            <w:r w:rsidRPr="003D0AEA">
              <w:rPr>
                <w:rFonts w:ascii="Aptos" w:hAnsi="Aptos" w:cs="Calibri"/>
                <w:color w:val="000000"/>
                <w:kern w:val="28"/>
                <w:sz w:val="16"/>
                <w:szCs w:val="16"/>
                <w:lang w:eastAsia="en-GB"/>
              </w:rPr>
              <w:t>Fixed broadband prices</w:t>
            </w:r>
            <w:r w:rsidRPr="003D0AEA">
              <w:rPr>
                <w:rFonts w:ascii="Aptos" w:hAnsi="Aptos" w:cs="Calibri"/>
                <w:color w:val="000000"/>
                <w:kern w:val="28"/>
                <w:sz w:val="16"/>
                <w:szCs w:val="16"/>
                <w:lang w:eastAsia="en-GB"/>
              </w:rPr>
              <w:br/>
            </w:r>
            <w:r w:rsidRPr="003D0AEA">
              <w:rPr>
                <w:rFonts w:ascii="Aptos" w:hAnsi="Aptos" w:cs="Calibri"/>
                <w:color w:val="A6A6A6"/>
                <w:kern w:val="28"/>
                <w:sz w:val="16"/>
                <w:szCs w:val="16"/>
                <w:lang w:eastAsia="en-GB"/>
              </w:rPr>
              <w:t>(as a % of GNI per capita)</w:t>
            </w:r>
          </w:p>
        </w:tc>
        <w:tc>
          <w:tcPr>
            <w:tcW w:w="80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31EFD2" w14:textId="67C4AA5E" w:rsidR="00841D51" w:rsidRPr="00841D51"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41D51">
              <w:rPr>
                <w:rFonts w:ascii="Aptos" w:hAnsi="Aptos" w:cs="Calibri"/>
                <w:color w:val="000000"/>
                <w:sz w:val="16"/>
                <w:szCs w:val="16"/>
              </w:rPr>
              <w:t>2.1</w:t>
            </w:r>
          </w:p>
        </w:tc>
        <w:tc>
          <w:tcPr>
            <w:tcW w:w="83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5CA0FC6" w14:textId="7EC8D5CD" w:rsidR="00841D51" w:rsidRPr="00841D51"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41D51">
              <w:rPr>
                <w:rFonts w:ascii="Aptos" w:hAnsi="Aptos" w:cs="Calibri"/>
                <w:color w:val="000000"/>
                <w:sz w:val="16"/>
                <w:szCs w:val="16"/>
              </w:rPr>
              <w:t>3.7</w:t>
            </w:r>
          </w:p>
        </w:tc>
        <w:tc>
          <w:tcPr>
            <w:tcW w:w="836" w:type="pct"/>
            <w:tcBorders>
              <w:top w:val="single" w:sz="4" w:space="0" w:color="auto"/>
              <w:left w:val="single" w:sz="4" w:space="0" w:color="auto"/>
              <w:bottom w:val="single" w:sz="4" w:space="0" w:color="auto"/>
              <w:right w:val="single" w:sz="4" w:space="0" w:color="D9D9D9" w:themeColor="background1" w:themeShade="D9"/>
            </w:tcBorders>
            <w:shd w:val="clear" w:color="auto" w:fill="FFFFFF" w:themeFill="background1"/>
            <w:noWrap/>
            <w:vAlign w:val="bottom"/>
          </w:tcPr>
          <w:p w14:paraId="13CBF985" w14:textId="79BF0AC3" w:rsidR="00841D51" w:rsidRPr="00841D51"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color w:val="000000"/>
                <w:kern w:val="28"/>
                <w:sz w:val="16"/>
                <w:szCs w:val="16"/>
                <w:lang w:eastAsia="en-GB"/>
              </w:rPr>
            </w:pPr>
            <w:r w:rsidRPr="00841D51">
              <w:rPr>
                <w:rFonts w:ascii="Aptos" w:hAnsi="Aptos" w:cs="Calibri"/>
                <w:color w:val="000000"/>
                <w:sz w:val="16"/>
                <w:szCs w:val="16"/>
              </w:rPr>
              <w:t>15.4</w:t>
            </w:r>
          </w:p>
        </w:tc>
        <w:tc>
          <w:tcPr>
            <w:tcW w:w="925" w:type="pct"/>
            <w:shd w:val="clear" w:color="auto" w:fill="FFFFFF" w:themeFill="background1"/>
            <w:noWrap/>
            <w:vAlign w:val="bottom"/>
          </w:tcPr>
          <w:p w14:paraId="13302DF3" w14:textId="6B891AC0" w:rsidR="00841D51" w:rsidRPr="003D0AEA" w:rsidRDefault="00841D51" w:rsidP="002B1D64">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jc w:val="center"/>
              <w:textAlignment w:val="center"/>
              <w:rPr>
                <w:rFonts w:ascii="Aptos" w:hAnsi="Aptos" w:cs="Calibri"/>
                <w:b/>
                <w:bCs/>
                <w:color w:val="000000"/>
                <w:kern w:val="28"/>
                <w:sz w:val="16"/>
                <w:szCs w:val="16"/>
                <w:lang w:eastAsia="en-GB"/>
              </w:rPr>
            </w:pPr>
            <w:r w:rsidRPr="003D0AEA">
              <w:rPr>
                <w:rFonts w:ascii="Aptos" w:hAnsi="Aptos" w:cs="Calibri"/>
                <w:b/>
                <w:bCs/>
                <w:color w:val="000000"/>
                <w:sz w:val="16"/>
                <w:szCs w:val="16"/>
              </w:rPr>
              <w:t>1.3</w:t>
            </w:r>
          </w:p>
        </w:tc>
      </w:tr>
    </w:tbl>
    <w:p w14:paraId="7ADD2179" w14:textId="25C81CF9" w:rsidR="006C41B5" w:rsidRPr="003D0AEA" w:rsidRDefault="006C41B5" w:rsidP="00B1004A">
      <w:pPr>
        <w:pStyle w:val="notetext"/>
      </w:pPr>
      <w:r w:rsidRPr="003D0AEA">
        <w:t>Note: Group medians shown for data-only mobile broadband and fixed broadband prices as a % of GNI per capita.</w:t>
      </w:r>
    </w:p>
    <w:p w14:paraId="105A1439" w14:textId="77777777" w:rsidR="006C41B5" w:rsidRPr="003D0AEA" w:rsidRDefault="006C41B5" w:rsidP="00B1004A">
      <w:pPr>
        <w:pStyle w:val="Sourcetext"/>
        <w:rPr>
          <w:highlight w:val="cyan"/>
        </w:rPr>
      </w:pPr>
      <w:r w:rsidRPr="003D0AEA">
        <w:t>Source: ITU</w:t>
      </w:r>
    </w:p>
    <w:p w14:paraId="5E66AB54" w14:textId="77777777" w:rsidR="00C775FD" w:rsidRPr="003D0AEA" w:rsidRDefault="00C775FD">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32"/>
          <w:szCs w:val="32"/>
          <w14:ligatures w14:val="standardContextual"/>
        </w:rPr>
      </w:pPr>
      <w:r w:rsidRPr="003D0AEA">
        <w:rPr>
          <w:rFonts w:ascii="Aptos Display" w:eastAsia="Yu Gothic Light" w:hAnsi="Aptos Display"/>
          <w:color w:val="0F4761"/>
          <w:kern w:val="2"/>
          <w:sz w:val="32"/>
          <w:szCs w:val="32"/>
          <w14:ligatures w14:val="standardContextual"/>
        </w:rPr>
        <w:br w:type="page"/>
      </w:r>
    </w:p>
    <w:p w14:paraId="5E09C4E6" w14:textId="45B322CC" w:rsidR="006C41B5" w:rsidRPr="003D0AEA" w:rsidRDefault="006C41B5" w:rsidP="000C3666">
      <w:pPr>
        <w:pStyle w:val="Section"/>
      </w:pPr>
      <w:bookmarkStart w:id="22" w:name="_Toc190883396"/>
      <w:r w:rsidRPr="003D0AEA">
        <w:lastRenderedPageBreak/>
        <w:t xml:space="preserve">Overview of data availability in </w:t>
      </w:r>
      <w:r w:rsidR="004C3CCC">
        <w:t>t</w:t>
      </w:r>
      <w:r w:rsidR="00060A76">
        <w:t>he Americas</w:t>
      </w:r>
      <w:bookmarkEnd w:id="22"/>
    </w:p>
    <w:p w14:paraId="2C03C362" w14:textId="128AD533" w:rsidR="00EF594B" w:rsidRPr="006F6B1D" w:rsidRDefault="00465FE1"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b/>
          <w:i/>
          <w:kern w:val="2"/>
          <w:sz w:val="22"/>
          <w:szCs w:val="22"/>
          <w14:ligatures w14:val="standardContextual"/>
        </w:rPr>
      </w:pPr>
      <w:r w:rsidRPr="00465FE1">
        <w:rPr>
          <w:rFonts w:ascii="Aptos" w:eastAsia="Aptos" w:hAnsi="Aptos" w:cs="Arial"/>
          <w:b/>
          <w:i/>
          <w:kern w:val="2"/>
          <w:sz w:val="22"/>
          <w:szCs w:val="22"/>
          <w14:ligatures w14:val="standardContextual"/>
        </w:rPr>
        <w:t>More</w:t>
      </w:r>
      <w:r w:rsidR="005B110D">
        <w:rPr>
          <w:rFonts w:ascii="Aptos" w:eastAsia="Aptos" w:hAnsi="Aptos" w:cs="Arial"/>
          <w:b/>
          <w:i/>
          <w:kern w:val="2"/>
          <w:sz w:val="22"/>
          <w:szCs w:val="22"/>
          <w14:ligatures w14:val="standardContextual"/>
        </w:rPr>
        <w:t xml:space="preserve"> survey-based </w:t>
      </w:r>
      <w:r w:rsidR="00C60D64">
        <w:rPr>
          <w:rFonts w:ascii="Aptos" w:eastAsia="Aptos" w:hAnsi="Aptos" w:cs="Arial"/>
          <w:b/>
          <w:i/>
          <w:kern w:val="2"/>
          <w:sz w:val="22"/>
          <w:szCs w:val="22"/>
          <w14:ligatures w14:val="standardContextual"/>
        </w:rPr>
        <w:t xml:space="preserve">ICT indicators, </w:t>
      </w:r>
      <w:r w:rsidRPr="00465FE1">
        <w:rPr>
          <w:rFonts w:ascii="Aptos" w:eastAsia="Aptos" w:hAnsi="Aptos" w:cs="Arial"/>
          <w:b/>
          <w:i/>
          <w:kern w:val="2"/>
          <w:sz w:val="22"/>
          <w:szCs w:val="22"/>
          <w14:ligatures w14:val="standardContextual"/>
        </w:rPr>
        <w:t xml:space="preserve">better quality, </w:t>
      </w:r>
      <w:r w:rsidR="00CE1353">
        <w:rPr>
          <w:rFonts w:ascii="Aptos" w:eastAsia="Aptos" w:hAnsi="Aptos" w:cs="Arial"/>
          <w:b/>
          <w:i/>
          <w:kern w:val="2"/>
          <w:sz w:val="22"/>
          <w:szCs w:val="22"/>
          <w14:ligatures w14:val="standardContextual"/>
        </w:rPr>
        <w:t xml:space="preserve">and </w:t>
      </w:r>
      <w:r w:rsidRPr="00465FE1">
        <w:rPr>
          <w:rFonts w:ascii="Aptos" w:eastAsia="Aptos" w:hAnsi="Aptos" w:cs="Arial"/>
          <w:b/>
          <w:i/>
          <w:kern w:val="2"/>
          <w:sz w:val="22"/>
          <w:szCs w:val="22"/>
          <w14:ligatures w14:val="standardContextual"/>
        </w:rPr>
        <w:t xml:space="preserve">greater granularity </w:t>
      </w:r>
      <w:r>
        <w:rPr>
          <w:rFonts w:ascii="Aptos" w:eastAsia="Aptos" w:hAnsi="Aptos" w:cs="Arial"/>
          <w:b/>
          <w:i/>
          <w:kern w:val="2"/>
          <w:sz w:val="22"/>
          <w:szCs w:val="22"/>
          <w14:ligatures w14:val="standardContextual"/>
        </w:rPr>
        <w:t>are needed</w:t>
      </w:r>
      <w:r w:rsidR="00C2455E">
        <w:rPr>
          <w:rFonts w:ascii="Aptos" w:eastAsia="Aptos" w:hAnsi="Aptos" w:cs="Arial"/>
          <w:b/>
          <w:i/>
          <w:kern w:val="2"/>
          <w:sz w:val="22"/>
          <w:szCs w:val="22"/>
          <w14:ligatures w14:val="standardContextual"/>
        </w:rPr>
        <w:t xml:space="preserve"> </w:t>
      </w:r>
    </w:p>
    <w:p w14:paraId="37D38BB0" w14:textId="731C9EC4" w:rsidR="006C41B5" w:rsidRPr="003D0AEA" w:rsidRDefault="006C41B5" w:rsidP="006C41B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3D0AEA">
        <w:rPr>
          <w:rFonts w:ascii="Aptos" w:eastAsia="Aptos" w:hAnsi="Aptos" w:cs="Arial"/>
          <w:kern w:val="2"/>
          <w:sz w:val="22"/>
          <w:szCs w:val="22"/>
          <w14:ligatures w14:val="standardContextual"/>
        </w:rPr>
        <w:t>Data plays a key role in achieving universal and meaningful connectivity. Reliable and timely data equips policymakers to identify needs, set priorities, design effective interventions, track progress, and measure impact. Investing in data yields substantial returns by enabling better decision-making and more efficient interventions.</w:t>
      </w:r>
    </w:p>
    <w:p w14:paraId="49A2BA80" w14:textId="77777777" w:rsidR="006C41B5" w:rsidRPr="003D0AEA" w:rsidRDefault="006C41B5" w:rsidP="006C41B5">
      <w:pPr>
        <w:tabs>
          <w:tab w:val="clear" w:pos="794"/>
          <w:tab w:val="clear" w:pos="1191"/>
          <w:tab w:val="clear" w:pos="1588"/>
          <w:tab w:val="clear" w:pos="1985"/>
        </w:tabs>
        <w:overflowPunct/>
        <w:autoSpaceDE/>
        <w:autoSpaceDN/>
        <w:adjustRightInd/>
        <w:spacing w:before="0" w:after="120"/>
        <w:textAlignment w:val="auto"/>
        <w:rPr>
          <w:rFonts w:ascii="Aptos" w:eastAsia="Aptos" w:hAnsi="Aptos" w:cs="Arial"/>
          <w:kern w:val="2"/>
          <w:sz w:val="22"/>
          <w:szCs w:val="22"/>
          <w14:ligatures w14:val="standardContextual"/>
        </w:rPr>
      </w:pPr>
      <w:r w:rsidRPr="003D0AEA">
        <w:rPr>
          <w:rFonts w:ascii="Aptos" w:eastAsia="Aptos" w:hAnsi="Aptos" w:cs="Arial"/>
          <w:kern w:val="2"/>
          <w:sz w:val="22"/>
          <w:szCs w:val="22"/>
          <w14:ligatures w14:val="standardContextual"/>
        </w:rPr>
        <w:t>The importance of data for the delivery of the Kigali Action Plan was acknowledged by the BDT’s Telecommunication Development Advisory Group, which adopted five key performance indicators (KPIs) tracking the extent to which Member States submit timely ICT data to ITU, including KPIs related to the submission of ICT skills data and data on Internet use disaggregated by location and gender.</w:t>
      </w:r>
    </w:p>
    <w:p w14:paraId="6DBBE7C7" w14:textId="0F2D1748" w:rsidR="0047301F" w:rsidRPr="00746C0D" w:rsidRDefault="006C41B5" w:rsidP="002F5190">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746C0D">
        <w:rPr>
          <w:rFonts w:ascii="Aptos" w:eastAsia="Aptos" w:hAnsi="Aptos" w:cs="Arial"/>
          <w:kern w:val="2"/>
          <w:sz w:val="22"/>
          <w:szCs w:val="22"/>
          <w14:ligatures w14:val="standardContextual"/>
        </w:rPr>
        <w:t>Availability for a core set of 1</w:t>
      </w:r>
      <w:r w:rsidR="00050E9A" w:rsidRPr="00746C0D">
        <w:rPr>
          <w:rFonts w:ascii="Aptos" w:eastAsia="Aptos" w:hAnsi="Aptos" w:cs="Arial"/>
          <w:kern w:val="2"/>
          <w:sz w:val="22"/>
          <w:szCs w:val="22"/>
          <w14:ligatures w14:val="standardContextual"/>
        </w:rPr>
        <w:t>4</w:t>
      </w:r>
      <w:r w:rsidRPr="00746C0D">
        <w:rPr>
          <w:rFonts w:ascii="Aptos" w:eastAsia="Aptos" w:hAnsi="Aptos" w:cs="Arial"/>
          <w:kern w:val="2"/>
          <w:sz w:val="22"/>
          <w:szCs w:val="22"/>
          <w14:ligatures w14:val="standardContextual"/>
        </w:rPr>
        <w:t xml:space="preserve"> core administrative ICT indicators, typically collected by national regulatory authorities or ministries, is </w:t>
      </w:r>
      <w:r w:rsidR="00996D7B" w:rsidRPr="00746C0D">
        <w:rPr>
          <w:rFonts w:ascii="Aptos" w:eastAsia="Aptos" w:hAnsi="Aptos" w:cs="Arial"/>
          <w:kern w:val="2"/>
          <w:sz w:val="22"/>
          <w:szCs w:val="22"/>
          <w14:ligatures w14:val="standardContextual"/>
        </w:rPr>
        <w:t xml:space="preserve">on average </w:t>
      </w:r>
      <w:r w:rsidR="004F175E" w:rsidRPr="00746C0D">
        <w:rPr>
          <w:rFonts w:ascii="Aptos" w:eastAsia="Aptos" w:hAnsi="Aptos" w:cs="Arial"/>
          <w:kern w:val="2"/>
          <w:sz w:val="22"/>
          <w:szCs w:val="22"/>
          <w14:ligatures w14:val="standardContextual"/>
        </w:rPr>
        <w:t>6</w:t>
      </w:r>
      <w:r w:rsidR="00D8430B" w:rsidRPr="00746C0D">
        <w:rPr>
          <w:rFonts w:ascii="Aptos" w:eastAsia="Aptos" w:hAnsi="Aptos" w:cs="Arial"/>
          <w:kern w:val="2"/>
          <w:sz w:val="22"/>
          <w:szCs w:val="22"/>
          <w14:ligatures w14:val="standardContextual"/>
        </w:rPr>
        <w:t>9 per cent in the region</w:t>
      </w:r>
      <w:r w:rsidR="00C7145A" w:rsidRPr="00746C0D">
        <w:rPr>
          <w:rFonts w:ascii="Aptos" w:eastAsia="Aptos" w:hAnsi="Aptos" w:cs="Arial"/>
          <w:kern w:val="2"/>
          <w:sz w:val="22"/>
          <w:szCs w:val="22"/>
          <w14:ligatures w14:val="standardContextual"/>
        </w:rPr>
        <w:t xml:space="preserve"> (see</w:t>
      </w:r>
      <w:r w:rsidR="0081086E" w:rsidRPr="00746C0D">
        <w:rPr>
          <w:rFonts w:ascii="Aptos" w:eastAsia="Aptos" w:hAnsi="Aptos" w:cs="Arial"/>
          <w:kern w:val="2"/>
          <w:sz w:val="22"/>
          <w:szCs w:val="22"/>
          <w14:ligatures w14:val="standardContextual"/>
        </w:rPr>
        <w:t xml:space="preserve"> indicator</w:t>
      </w:r>
      <w:r w:rsidR="00C7145A" w:rsidRPr="00746C0D">
        <w:rPr>
          <w:rFonts w:ascii="Aptos" w:eastAsia="Aptos" w:hAnsi="Aptos" w:cs="Arial"/>
          <w:kern w:val="2"/>
          <w:sz w:val="22"/>
          <w:szCs w:val="22"/>
          <w14:ligatures w14:val="standardContextual"/>
        </w:rPr>
        <w:t xml:space="preserve"> list in the note of the figure</w:t>
      </w:r>
      <w:r w:rsidR="00B02247" w:rsidRPr="00746C0D">
        <w:rPr>
          <w:rFonts w:ascii="Aptos" w:eastAsia="Aptos" w:hAnsi="Aptos" w:cs="Arial"/>
          <w:kern w:val="2"/>
          <w:sz w:val="22"/>
          <w:szCs w:val="22"/>
          <w14:ligatures w14:val="standardContextual"/>
        </w:rPr>
        <w:t xml:space="preserve"> below</w:t>
      </w:r>
      <w:r w:rsidR="00C7145A" w:rsidRPr="00746C0D">
        <w:rPr>
          <w:rFonts w:ascii="Aptos" w:eastAsia="Aptos" w:hAnsi="Aptos" w:cs="Arial"/>
          <w:kern w:val="2"/>
          <w:sz w:val="22"/>
          <w:szCs w:val="22"/>
          <w14:ligatures w14:val="standardContextual"/>
        </w:rPr>
        <w:t>)</w:t>
      </w:r>
      <w:r w:rsidR="00600367" w:rsidRPr="00746C0D">
        <w:rPr>
          <w:rFonts w:ascii="Aptos" w:eastAsia="Aptos" w:hAnsi="Aptos" w:cs="Arial"/>
          <w:kern w:val="2"/>
          <w:sz w:val="22"/>
          <w:szCs w:val="22"/>
          <w14:ligatures w14:val="standardContextual"/>
        </w:rPr>
        <w:t xml:space="preserve">. </w:t>
      </w:r>
      <w:r w:rsidR="008F08FC" w:rsidRPr="00746C0D">
        <w:rPr>
          <w:rFonts w:ascii="Aptos" w:eastAsia="Aptos" w:hAnsi="Aptos" w:cs="Arial"/>
          <w:kern w:val="2"/>
          <w:sz w:val="22"/>
          <w:szCs w:val="22"/>
          <w14:ligatures w14:val="standardContextual"/>
        </w:rPr>
        <w:t>Tw</w:t>
      </w:r>
      <w:r w:rsidR="004F175E" w:rsidRPr="00746C0D">
        <w:rPr>
          <w:rFonts w:ascii="Aptos" w:eastAsia="Aptos" w:hAnsi="Aptos" w:cs="Arial"/>
          <w:kern w:val="2"/>
          <w:sz w:val="22"/>
          <w:szCs w:val="22"/>
          <w14:ligatures w14:val="standardContextual"/>
        </w:rPr>
        <w:t xml:space="preserve">o </w:t>
      </w:r>
      <w:r w:rsidR="00753DB3" w:rsidRPr="00746C0D">
        <w:rPr>
          <w:rFonts w:ascii="Aptos" w:eastAsia="Aptos" w:hAnsi="Aptos" w:cs="Arial"/>
          <w:kern w:val="2"/>
          <w:sz w:val="22"/>
          <w:szCs w:val="22"/>
          <w14:ligatures w14:val="standardContextual"/>
        </w:rPr>
        <w:t>countries</w:t>
      </w:r>
      <w:r w:rsidR="008F08FC" w:rsidRPr="00746C0D">
        <w:rPr>
          <w:rFonts w:ascii="Aptos" w:eastAsia="Aptos" w:hAnsi="Aptos" w:cs="Arial"/>
          <w:kern w:val="2"/>
          <w:sz w:val="22"/>
          <w:szCs w:val="22"/>
          <w14:ligatures w14:val="standardContextual"/>
        </w:rPr>
        <w:t xml:space="preserve"> </w:t>
      </w:r>
      <w:r w:rsidR="004D6FF4" w:rsidRPr="00746C0D">
        <w:rPr>
          <w:rFonts w:ascii="Aptos" w:eastAsia="Aptos" w:hAnsi="Aptos" w:cs="Arial"/>
          <w:kern w:val="2"/>
          <w:sz w:val="22"/>
          <w:szCs w:val="22"/>
          <w14:ligatures w14:val="standardContextual"/>
        </w:rPr>
        <w:t xml:space="preserve">report </w:t>
      </w:r>
      <w:r w:rsidR="008F08FC" w:rsidRPr="00746C0D">
        <w:rPr>
          <w:rFonts w:ascii="Aptos" w:eastAsia="Aptos" w:hAnsi="Aptos" w:cs="Arial"/>
          <w:kern w:val="2"/>
          <w:sz w:val="22"/>
          <w:szCs w:val="22"/>
          <w14:ligatures w14:val="standardContextual"/>
        </w:rPr>
        <w:t>full availability</w:t>
      </w:r>
      <w:r w:rsidR="00753DB3" w:rsidRPr="00746C0D">
        <w:rPr>
          <w:rFonts w:ascii="Aptos" w:eastAsia="Aptos" w:hAnsi="Aptos" w:cs="Arial"/>
          <w:kern w:val="2"/>
          <w:sz w:val="22"/>
          <w:szCs w:val="22"/>
          <w14:ligatures w14:val="standardContextual"/>
        </w:rPr>
        <w:t xml:space="preserve">, </w:t>
      </w:r>
      <w:r w:rsidR="00B02247" w:rsidRPr="00746C0D">
        <w:rPr>
          <w:rFonts w:ascii="Aptos" w:eastAsia="Aptos" w:hAnsi="Aptos" w:cs="Arial"/>
          <w:kern w:val="2"/>
          <w:sz w:val="22"/>
          <w:szCs w:val="22"/>
          <w14:ligatures w14:val="standardContextual"/>
        </w:rPr>
        <w:t xml:space="preserve">while </w:t>
      </w:r>
      <w:r w:rsidR="0047301F" w:rsidRPr="00746C0D">
        <w:rPr>
          <w:rFonts w:ascii="Aptos" w:eastAsia="Aptos" w:hAnsi="Aptos" w:cs="Arial"/>
          <w:kern w:val="2"/>
          <w:sz w:val="22"/>
          <w:szCs w:val="22"/>
          <w14:ligatures w14:val="standardContextual"/>
        </w:rPr>
        <w:t xml:space="preserve">ten </w:t>
      </w:r>
      <w:r w:rsidR="008F08FC" w:rsidRPr="00746C0D">
        <w:rPr>
          <w:rFonts w:ascii="Aptos" w:eastAsia="Aptos" w:hAnsi="Aptos" w:cs="Arial"/>
          <w:kern w:val="2"/>
          <w:sz w:val="22"/>
          <w:szCs w:val="22"/>
          <w14:ligatures w14:val="standardContextual"/>
        </w:rPr>
        <w:t xml:space="preserve">countries </w:t>
      </w:r>
      <w:r w:rsidR="00B02247" w:rsidRPr="00746C0D">
        <w:rPr>
          <w:rFonts w:ascii="Aptos" w:eastAsia="Aptos" w:hAnsi="Aptos" w:cs="Arial"/>
          <w:kern w:val="2"/>
          <w:sz w:val="22"/>
          <w:szCs w:val="22"/>
          <w14:ligatures w14:val="standardContextual"/>
        </w:rPr>
        <w:t xml:space="preserve">are missing </w:t>
      </w:r>
      <w:r w:rsidR="00C57D32" w:rsidRPr="00746C0D">
        <w:rPr>
          <w:rFonts w:ascii="Aptos" w:eastAsia="Aptos" w:hAnsi="Aptos" w:cs="Arial"/>
          <w:kern w:val="2"/>
          <w:sz w:val="22"/>
          <w:szCs w:val="22"/>
          <w14:ligatures w14:val="standardContextual"/>
        </w:rPr>
        <w:t xml:space="preserve">only </w:t>
      </w:r>
      <w:r w:rsidR="008F08FC" w:rsidRPr="00746C0D">
        <w:rPr>
          <w:rFonts w:ascii="Aptos" w:eastAsia="Aptos" w:hAnsi="Aptos" w:cs="Arial"/>
          <w:kern w:val="2"/>
          <w:sz w:val="22"/>
          <w:szCs w:val="22"/>
          <w14:ligatures w14:val="standardContextual"/>
        </w:rPr>
        <w:t xml:space="preserve">one </w:t>
      </w:r>
      <w:r w:rsidR="00C57D32" w:rsidRPr="00746C0D">
        <w:rPr>
          <w:rFonts w:ascii="Aptos" w:eastAsia="Aptos" w:hAnsi="Aptos" w:cs="Arial"/>
          <w:kern w:val="2"/>
          <w:sz w:val="22"/>
          <w:szCs w:val="22"/>
          <w14:ligatures w14:val="standardContextual"/>
        </w:rPr>
        <w:t>indicator</w:t>
      </w:r>
      <w:r w:rsidR="008F08FC" w:rsidRPr="00746C0D">
        <w:rPr>
          <w:rFonts w:ascii="Aptos" w:eastAsia="Aptos" w:hAnsi="Aptos" w:cs="Arial"/>
          <w:kern w:val="2"/>
          <w:sz w:val="22"/>
          <w:szCs w:val="22"/>
          <w14:ligatures w14:val="standardContextual"/>
        </w:rPr>
        <w:t xml:space="preserve">. </w:t>
      </w:r>
      <w:r w:rsidR="0047301F" w:rsidRPr="00746C0D">
        <w:rPr>
          <w:rFonts w:ascii="Aptos" w:eastAsia="Aptos" w:hAnsi="Aptos" w:cs="Arial"/>
          <w:kern w:val="2"/>
          <w:sz w:val="22"/>
          <w:szCs w:val="22"/>
          <w14:ligatures w14:val="standardContextual"/>
        </w:rPr>
        <w:t xml:space="preserve">Five countries in the region do not have any recent data </w:t>
      </w:r>
      <w:r w:rsidR="00CC3621" w:rsidRPr="00746C0D">
        <w:rPr>
          <w:rFonts w:ascii="Aptos" w:eastAsia="Aptos" w:hAnsi="Aptos" w:cs="Arial"/>
          <w:kern w:val="2"/>
          <w:sz w:val="22"/>
          <w:szCs w:val="22"/>
          <w14:ligatures w14:val="standardContextual"/>
        </w:rPr>
        <w:t>available for the selected indicators.</w:t>
      </w:r>
    </w:p>
    <w:p w14:paraId="02D998FF" w14:textId="7321CDFB" w:rsidR="006C41B5" w:rsidRPr="003D0AEA" w:rsidRDefault="00BA0A77" w:rsidP="00764BC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Pr>
          <w:rFonts w:ascii="Aptos" w:eastAsia="Aptos" w:hAnsi="Aptos" w:cs="Arial"/>
          <w:kern w:val="2"/>
          <w:sz w:val="22"/>
          <w:szCs w:val="22"/>
          <w14:ligatures w14:val="standardContextual"/>
        </w:rPr>
        <w:t>Some of the indicators are more readily available</w:t>
      </w:r>
      <w:r w:rsidR="00D46990">
        <w:rPr>
          <w:rFonts w:ascii="Aptos" w:eastAsia="Aptos" w:hAnsi="Aptos" w:cs="Arial"/>
          <w:kern w:val="2"/>
          <w:sz w:val="22"/>
          <w:szCs w:val="22"/>
          <w14:ligatures w14:val="standardContextual"/>
        </w:rPr>
        <w:t xml:space="preserve">. </w:t>
      </w:r>
      <w:r w:rsidR="00032B1B">
        <w:rPr>
          <w:rFonts w:ascii="Aptos" w:eastAsia="Aptos" w:hAnsi="Aptos" w:cs="Arial"/>
          <w:kern w:val="2"/>
          <w:sz w:val="22"/>
          <w:szCs w:val="22"/>
          <w14:ligatures w14:val="standardContextual"/>
        </w:rPr>
        <w:t>S</w:t>
      </w:r>
      <w:r w:rsidR="0027216E" w:rsidRPr="009D5D49">
        <w:rPr>
          <w:rFonts w:ascii="Aptos" w:eastAsia="Aptos" w:hAnsi="Aptos" w:cs="Arial"/>
          <w:kern w:val="2"/>
          <w:sz w:val="22"/>
          <w:szCs w:val="22"/>
          <w14:ligatures w14:val="standardContextual"/>
        </w:rPr>
        <w:t xml:space="preserve">ubscription and </w:t>
      </w:r>
      <w:r w:rsidR="00032B1B">
        <w:rPr>
          <w:rFonts w:ascii="Aptos" w:eastAsia="Aptos" w:hAnsi="Aptos" w:cs="Arial"/>
          <w:kern w:val="2"/>
          <w:sz w:val="22"/>
          <w:szCs w:val="22"/>
          <w14:ligatures w14:val="standardContextual"/>
        </w:rPr>
        <w:t xml:space="preserve">mobile network </w:t>
      </w:r>
      <w:r w:rsidR="0027216E" w:rsidRPr="009D5D49">
        <w:rPr>
          <w:rFonts w:ascii="Aptos" w:eastAsia="Aptos" w:hAnsi="Aptos" w:cs="Arial"/>
          <w:kern w:val="2"/>
          <w:sz w:val="22"/>
          <w:szCs w:val="22"/>
          <w14:ligatures w14:val="standardContextual"/>
        </w:rPr>
        <w:t xml:space="preserve">coverage </w:t>
      </w:r>
      <w:r w:rsidR="004C677F" w:rsidRPr="009D5D49">
        <w:rPr>
          <w:rFonts w:ascii="Aptos" w:eastAsia="Aptos" w:hAnsi="Aptos" w:cs="Arial"/>
          <w:kern w:val="2"/>
          <w:sz w:val="22"/>
          <w:szCs w:val="22"/>
          <w14:ligatures w14:val="standardContextual"/>
        </w:rPr>
        <w:t xml:space="preserve">indicators, </w:t>
      </w:r>
      <w:r w:rsidR="00D46990">
        <w:rPr>
          <w:rFonts w:ascii="Aptos" w:eastAsia="Aptos" w:hAnsi="Aptos" w:cs="Arial"/>
          <w:kern w:val="2"/>
          <w:sz w:val="22"/>
          <w:szCs w:val="22"/>
          <w14:ligatures w14:val="standardContextual"/>
        </w:rPr>
        <w:t xml:space="preserve">for instance, </w:t>
      </w:r>
      <w:r w:rsidR="00937966">
        <w:rPr>
          <w:rFonts w:ascii="Aptos" w:eastAsia="Aptos" w:hAnsi="Aptos" w:cs="Arial"/>
          <w:kern w:val="2"/>
          <w:sz w:val="22"/>
          <w:szCs w:val="22"/>
          <w14:ligatures w14:val="standardContextual"/>
        </w:rPr>
        <w:t>are available in all but five countries</w:t>
      </w:r>
      <w:r w:rsidR="00A14D00">
        <w:rPr>
          <w:rFonts w:ascii="Aptos" w:eastAsia="Aptos" w:hAnsi="Aptos" w:cs="Arial"/>
          <w:kern w:val="2"/>
          <w:sz w:val="22"/>
          <w:szCs w:val="22"/>
          <w14:ligatures w14:val="standardContextual"/>
        </w:rPr>
        <w:t xml:space="preserve"> of the region</w:t>
      </w:r>
      <w:r w:rsidR="00937966">
        <w:rPr>
          <w:rFonts w:ascii="Aptos" w:eastAsia="Aptos" w:hAnsi="Aptos" w:cs="Arial"/>
          <w:kern w:val="2"/>
          <w:sz w:val="22"/>
          <w:szCs w:val="22"/>
          <w14:ligatures w14:val="standardContextual"/>
        </w:rPr>
        <w:t>. H</w:t>
      </w:r>
      <w:r w:rsidR="004C677F" w:rsidRPr="009D5D49">
        <w:rPr>
          <w:rFonts w:ascii="Aptos" w:eastAsia="Aptos" w:hAnsi="Aptos" w:cs="Arial"/>
          <w:kern w:val="2"/>
          <w:sz w:val="22"/>
          <w:szCs w:val="22"/>
          <w14:ligatures w14:val="standardContextual"/>
        </w:rPr>
        <w:t xml:space="preserve">owever, </w:t>
      </w:r>
      <w:r w:rsidR="00A14D00">
        <w:rPr>
          <w:rFonts w:ascii="Aptos" w:eastAsia="Aptos" w:hAnsi="Aptos" w:cs="Arial"/>
          <w:kern w:val="2"/>
          <w:sz w:val="22"/>
          <w:szCs w:val="22"/>
          <w14:ligatures w14:val="standardContextual"/>
        </w:rPr>
        <w:t xml:space="preserve">additional efforts are needed to improve statistics on </w:t>
      </w:r>
      <w:r w:rsidR="009C4138" w:rsidRPr="009D5D49">
        <w:rPr>
          <w:rFonts w:ascii="Aptos" w:eastAsia="Aptos" w:hAnsi="Aptos" w:cs="Arial"/>
          <w:kern w:val="2"/>
          <w:sz w:val="22"/>
          <w:szCs w:val="22"/>
          <w14:ligatures w14:val="standardContextual"/>
        </w:rPr>
        <w:t xml:space="preserve">international bandwidth usage, </w:t>
      </w:r>
      <w:r w:rsidR="000C383F" w:rsidRPr="009D5D49">
        <w:rPr>
          <w:rFonts w:ascii="Aptos" w:eastAsia="Aptos" w:hAnsi="Aptos" w:cs="Arial"/>
          <w:kern w:val="2"/>
          <w:sz w:val="22"/>
          <w:szCs w:val="22"/>
          <w14:ligatures w14:val="standardContextual"/>
        </w:rPr>
        <w:t>fixed broadband Internet traffic</w:t>
      </w:r>
      <w:r w:rsidR="00676642" w:rsidRPr="009D5D49">
        <w:rPr>
          <w:rFonts w:ascii="Aptos" w:eastAsia="Aptos" w:hAnsi="Aptos" w:cs="Arial"/>
          <w:kern w:val="2"/>
          <w:sz w:val="22"/>
          <w:szCs w:val="22"/>
          <w14:ligatures w14:val="standardContextual"/>
        </w:rPr>
        <w:t xml:space="preserve"> as well as revenue and investments</w:t>
      </w:r>
      <w:r w:rsidR="00577C3C">
        <w:rPr>
          <w:rFonts w:ascii="Aptos" w:eastAsia="Aptos" w:hAnsi="Aptos" w:cs="Arial"/>
          <w:kern w:val="2"/>
          <w:sz w:val="22"/>
          <w:szCs w:val="22"/>
          <w14:ligatures w14:val="standardContextual"/>
        </w:rPr>
        <w:t xml:space="preserve">. </w:t>
      </w:r>
      <w:r w:rsidR="005916B0">
        <w:rPr>
          <w:rFonts w:ascii="Aptos" w:eastAsia="Aptos" w:hAnsi="Aptos" w:cs="Arial"/>
          <w:kern w:val="2"/>
          <w:sz w:val="22"/>
          <w:szCs w:val="22"/>
          <w14:ligatures w14:val="standardContextual"/>
        </w:rPr>
        <w:t>T</w:t>
      </w:r>
      <w:r w:rsidR="00577C3C">
        <w:rPr>
          <w:rFonts w:ascii="Aptos" w:eastAsia="Aptos" w:hAnsi="Aptos" w:cs="Arial"/>
          <w:kern w:val="2"/>
          <w:sz w:val="22"/>
          <w:szCs w:val="22"/>
          <w14:ligatures w14:val="standardContextual"/>
        </w:rPr>
        <w:t>hese indicators</w:t>
      </w:r>
      <w:r w:rsidR="00676642" w:rsidRPr="009D5D49">
        <w:rPr>
          <w:rFonts w:ascii="Aptos" w:eastAsia="Aptos" w:hAnsi="Aptos" w:cs="Arial"/>
          <w:kern w:val="2"/>
          <w:sz w:val="22"/>
          <w:szCs w:val="22"/>
          <w14:ligatures w14:val="standardContextual"/>
        </w:rPr>
        <w:t xml:space="preserve"> are </w:t>
      </w:r>
      <w:r w:rsidR="000C383F" w:rsidRPr="009D5D49">
        <w:rPr>
          <w:rFonts w:ascii="Aptos" w:eastAsia="Aptos" w:hAnsi="Aptos" w:cs="Arial"/>
          <w:kern w:val="2"/>
          <w:sz w:val="22"/>
          <w:szCs w:val="22"/>
          <w14:ligatures w14:val="standardContextual"/>
        </w:rPr>
        <w:t>only available in</w:t>
      </w:r>
      <w:r w:rsidR="009D5D49" w:rsidRPr="009D5D49">
        <w:rPr>
          <w:rFonts w:ascii="Aptos" w:eastAsia="Aptos" w:hAnsi="Aptos" w:cs="Arial"/>
          <w:kern w:val="2"/>
          <w:sz w:val="22"/>
          <w:szCs w:val="22"/>
          <w14:ligatures w14:val="standardContextual"/>
        </w:rPr>
        <w:t xml:space="preserve"> at most </w:t>
      </w:r>
      <w:r w:rsidR="00E70911" w:rsidRPr="009D5D49">
        <w:rPr>
          <w:rFonts w:ascii="Aptos" w:eastAsia="Aptos" w:hAnsi="Aptos" w:cs="Arial"/>
          <w:kern w:val="2"/>
          <w:sz w:val="22"/>
          <w:szCs w:val="22"/>
          <w14:ligatures w14:val="standardContextual"/>
        </w:rPr>
        <w:t>18</w:t>
      </w:r>
      <w:r w:rsidR="000F5C1F" w:rsidRPr="009D5D49">
        <w:rPr>
          <w:rFonts w:ascii="Aptos" w:eastAsia="Aptos" w:hAnsi="Aptos" w:cs="Arial"/>
          <w:kern w:val="2"/>
          <w:sz w:val="22"/>
          <w:szCs w:val="22"/>
          <w14:ligatures w14:val="standardContextual"/>
        </w:rPr>
        <w:t xml:space="preserve"> </w:t>
      </w:r>
      <w:r w:rsidR="001C6085" w:rsidRPr="009D5D49">
        <w:rPr>
          <w:rFonts w:ascii="Aptos" w:eastAsia="Aptos" w:hAnsi="Aptos" w:cs="Arial"/>
          <w:kern w:val="2"/>
          <w:sz w:val="22"/>
          <w:szCs w:val="22"/>
          <w14:ligatures w14:val="standardContextual"/>
        </w:rPr>
        <w:t xml:space="preserve">of the </w:t>
      </w:r>
      <w:r w:rsidR="00764BCD" w:rsidRPr="009D5D49">
        <w:rPr>
          <w:rFonts w:ascii="Aptos" w:eastAsia="Aptos" w:hAnsi="Aptos" w:cs="Arial"/>
          <w:kern w:val="2"/>
          <w:sz w:val="22"/>
          <w:szCs w:val="22"/>
          <w14:ligatures w14:val="standardContextual"/>
        </w:rPr>
        <w:t>3</w:t>
      </w:r>
      <w:r w:rsidR="001C6085" w:rsidRPr="009D5D49">
        <w:rPr>
          <w:rFonts w:ascii="Aptos" w:eastAsia="Aptos" w:hAnsi="Aptos" w:cs="Arial"/>
          <w:kern w:val="2"/>
          <w:sz w:val="22"/>
          <w:szCs w:val="22"/>
          <w14:ligatures w14:val="standardContextual"/>
        </w:rPr>
        <w:t xml:space="preserve">5 </w:t>
      </w:r>
      <w:r w:rsidR="00764BCD" w:rsidRPr="009D5D49">
        <w:rPr>
          <w:rFonts w:ascii="Aptos" w:eastAsia="Aptos" w:hAnsi="Aptos" w:cs="Arial"/>
          <w:kern w:val="2"/>
          <w:sz w:val="22"/>
          <w:szCs w:val="22"/>
          <w14:ligatures w14:val="standardContextual"/>
        </w:rPr>
        <w:t>countries studied in t</w:t>
      </w:r>
      <w:r w:rsidR="00060A76" w:rsidRPr="009D5D49">
        <w:rPr>
          <w:rFonts w:ascii="Aptos" w:eastAsia="Aptos" w:hAnsi="Aptos" w:cs="Arial"/>
          <w:kern w:val="2"/>
          <w:sz w:val="22"/>
          <w:szCs w:val="22"/>
          <w14:ligatures w14:val="standardContextual"/>
        </w:rPr>
        <w:t>he Americas</w:t>
      </w:r>
      <w:r w:rsidR="005916B0">
        <w:rPr>
          <w:rFonts w:ascii="Aptos" w:eastAsia="Aptos" w:hAnsi="Aptos" w:cs="Arial"/>
          <w:kern w:val="2"/>
          <w:sz w:val="22"/>
          <w:szCs w:val="22"/>
          <w14:ligatures w14:val="standardContextual"/>
        </w:rPr>
        <w:t xml:space="preserve">, and their </w:t>
      </w:r>
      <w:r w:rsidR="005916B0" w:rsidRPr="009D5D49">
        <w:rPr>
          <w:rFonts w:ascii="Aptos" w:eastAsia="Aptos" w:hAnsi="Aptos" w:cs="Arial"/>
          <w:kern w:val="2"/>
          <w:sz w:val="22"/>
          <w:szCs w:val="22"/>
          <w14:ligatures w14:val="standardContextual"/>
        </w:rPr>
        <w:t xml:space="preserve">quality </w:t>
      </w:r>
      <w:r w:rsidR="005916B0">
        <w:rPr>
          <w:rFonts w:ascii="Aptos" w:eastAsia="Aptos" w:hAnsi="Aptos" w:cs="Arial"/>
          <w:kern w:val="2"/>
          <w:sz w:val="22"/>
          <w:szCs w:val="22"/>
          <w14:ligatures w14:val="standardContextual"/>
        </w:rPr>
        <w:t>also tends to vary</w:t>
      </w:r>
      <w:r w:rsidR="005E3A18">
        <w:rPr>
          <w:rFonts w:ascii="Aptos" w:eastAsia="Aptos" w:hAnsi="Aptos" w:cs="Arial"/>
          <w:kern w:val="2"/>
          <w:sz w:val="22"/>
          <w:szCs w:val="22"/>
          <w14:ligatures w14:val="standardContextual"/>
        </w:rPr>
        <w:t xml:space="preserve"> over time</w:t>
      </w:r>
      <w:r w:rsidR="001C6085" w:rsidRPr="009D5D49">
        <w:rPr>
          <w:rFonts w:ascii="Aptos" w:eastAsia="Aptos" w:hAnsi="Aptos" w:cs="Arial"/>
          <w:kern w:val="2"/>
          <w:sz w:val="22"/>
          <w:szCs w:val="22"/>
          <w14:ligatures w14:val="standardContextual"/>
        </w:rPr>
        <w:t>.</w:t>
      </w:r>
      <w:r w:rsidR="00577C3C">
        <w:rPr>
          <w:rFonts w:ascii="Aptos" w:eastAsia="Aptos" w:hAnsi="Aptos" w:cs="Arial"/>
          <w:kern w:val="2"/>
          <w:sz w:val="22"/>
          <w:szCs w:val="22"/>
          <w14:ligatures w14:val="standardContextual"/>
        </w:rPr>
        <w:t xml:space="preserve"> </w:t>
      </w:r>
    </w:p>
    <w:p w14:paraId="70CF0F9A" w14:textId="77777777" w:rsidR="006C41B5" w:rsidRPr="003D0AEA" w:rsidRDefault="006C41B5" w:rsidP="006C41B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bCs/>
          <w:color w:val="0070C0"/>
          <w:spacing w:val="-10"/>
          <w:kern w:val="28"/>
          <w:szCs w:val="24"/>
        </w:rPr>
      </w:pPr>
      <w:r w:rsidRPr="003D0AEA">
        <w:rPr>
          <w:rFonts w:ascii="AvenirNext LT Pro Light" w:eastAsia="Yu Gothic Light" w:hAnsi="AvenirNext LT Pro Light" w:cs="Calibri"/>
          <w:bCs/>
          <w:color w:val="0070C0"/>
          <w:spacing w:val="-10"/>
          <w:kern w:val="28"/>
          <w:szCs w:val="24"/>
        </w:rPr>
        <w:t>Percentage availability of selected administrative ICT indicators, 2022-2023</w:t>
      </w:r>
    </w:p>
    <w:p w14:paraId="08C58707" w14:textId="793B4ABB" w:rsidR="001E5B86" w:rsidRPr="003D0AEA" w:rsidRDefault="00B1453C" w:rsidP="00B1004A">
      <w:pPr>
        <w:pStyle w:val="notetext"/>
      </w:pPr>
      <w:r>
        <w:rPr>
          <w:noProof/>
        </w:rPr>
        <w:drawing>
          <wp:inline distT="0" distB="0" distL="0" distR="0" wp14:anchorId="72AEE3DD" wp14:editId="2EE62719">
            <wp:extent cx="6120765" cy="2766060"/>
            <wp:effectExtent l="0" t="0" r="0" b="0"/>
            <wp:docPr id="18252955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95542" name=""/>
                    <pic:cNvPicPr/>
                  </pic:nvPicPr>
                  <pic:blipFill>
                    <a:blip r:embed="rId132">
                      <a:extLst>
                        <a:ext uri="{96DAC541-7B7A-43D3-8B79-37D633B846F1}">
                          <asvg:svgBlip xmlns:asvg="http://schemas.microsoft.com/office/drawing/2016/SVG/main" r:embed="rId133"/>
                        </a:ext>
                      </a:extLst>
                    </a:blip>
                    <a:stretch>
                      <a:fillRect/>
                    </a:stretch>
                  </pic:blipFill>
                  <pic:spPr>
                    <a:xfrm>
                      <a:off x="0" y="0"/>
                      <a:ext cx="6120765" cy="2766060"/>
                    </a:xfrm>
                    <a:prstGeom prst="rect">
                      <a:avLst/>
                    </a:prstGeom>
                  </pic:spPr>
                </pic:pic>
              </a:graphicData>
            </a:graphic>
          </wp:inline>
        </w:drawing>
      </w:r>
      <w:r w:rsidR="001E5B86" w:rsidRPr="003D0AEA">
        <w:t xml:space="preserve">Note: An indicator is considered available if at least one value is available for the period in question. Assessment based on the following set: active mobile broadband subscriptions, fixed broadband subscriptions (total, as well as by speed-tiers: 256 Kbit/s to 2 Mbit/s, 2 Mbit/s to 10 Mbit/s, and above 10 Mbit/s), mobile network coverage indicators by technology (at least 2G, 3G, LTE/WiMAX, 5G), total fixed broadband Internet traffic, mobile broadband Internet traffic within the country, </w:t>
      </w:r>
      <w:r w:rsidR="00480A9A" w:rsidRPr="003D0AEA">
        <w:t xml:space="preserve">international bandwidth usage, </w:t>
      </w:r>
      <w:r w:rsidR="001E5B86" w:rsidRPr="003D0AEA">
        <w:t xml:space="preserve">total telecommunication revenues and investment in telecommunication services. </w:t>
      </w:r>
    </w:p>
    <w:p w14:paraId="738A03AA" w14:textId="77777777" w:rsidR="006C41B5" w:rsidRPr="003D0AEA" w:rsidRDefault="006C41B5" w:rsidP="00B1004A">
      <w:pPr>
        <w:pStyle w:val="Sourcetext"/>
        <w:rPr>
          <w:highlight w:val="cyan"/>
        </w:rPr>
      </w:pPr>
      <w:r w:rsidRPr="003D0AEA">
        <w:t>Source: ITU</w:t>
      </w:r>
    </w:p>
    <w:p w14:paraId="456165C6" w14:textId="7E80C9BA" w:rsidR="001D4455" w:rsidRPr="005F7253" w:rsidRDefault="001D4455" w:rsidP="001D445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In contrast, data on ICT access and usage by households and individuals, usually derived from household surveys, </w:t>
      </w:r>
      <w:r>
        <w:rPr>
          <w:rFonts w:ascii="Aptos" w:eastAsia="Aptos" w:hAnsi="Aptos" w:cs="Arial"/>
          <w:kern w:val="2"/>
          <w:sz w:val="22"/>
          <w:szCs w:val="22"/>
          <w14:ligatures w14:val="standardContextual"/>
        </w:rPr>
        <w:t>varies widely between countries in the region</w:t>
      </w:r>
      <w:r w:rsidRPr="005F7253">
        <w:rPr>
          <w:rFonts w:ascii="Aptos" w:eastAsia="Aptos" w:hAnsi="Aptos" w:cs="Arial"/>
          <w:kern w:val="2"/>
          <w:sz w:val="22"/>
          <w:szCs w:val="22"/>
          <w14:ligatures w14:val="standardContextual"/>
        </w:rPr>
        <w:t xml:space="preserve">. Only </w:t>
      </w:r>
      <w:r w:rsidR="00A618EB">
        <w:rPr>
          <w:rFonts w:ascii="Aptos" w:eastAsia="Aptos" w:hAnsi="Aptos" w:cs="Arial"/>
          <w:kern w:val="2"/>
          <w:sz w:val="22"/>
          <w:szCs w:val="22"/>
          <w14:ligatures w14:val="standardContextual"/>
        </w:rPr>
        <w:t>16</w:t>
      </w:r>
      <w:r>
        <w:rPr>
          <w:rFonts w:ascii="Aptos" w:eastAsia="Aptos" w:hAnsi="Aptos" w:cs="Arial"/>
          <w:kern w:val="2"/>
          <w:sz w:val="22"/>
          <w:szCs w:val="22"/>
          <w14:ligatures w14:val="standardContextual"/>
        </w:rPr>
        <w:t xml:space="preserve"> countries in </w:t>
      </w:r>
      <w:r w:rsidR="00A618EB">
        <w:rPr>
          <w:rFonts w:ascii="Aptos" w:eastAsia="Aptos" w:hAnsi="Aptos" w:cs="Arial"/>
          <w:kern w:val="2"/>
          <w:sz w:val="22"/>
          <w:szCs w:val="22"/>
          <w14:ligatures w14:val="standardContextual"/>
        </w:rPr>
        <w:t>the Americas</w:t>
      </w:r>
      <w:r>
        <w:rPr>
          <w:rFonts w:ascii="Aptos" w:eastAsia="Aptos" w:hAnsi="Aptos" w:cs="Arial"/>
          <w:kern w:val="2"/>
          <w:sz w:val="22"/>
          <w:szCs w:val="22"/>
          <w14:ligatures w14:val="standardContextual"/>
        </w:rPr>
        <w:t xml:space="preserve"> </w:t>
      </w:r>
      <w:r w:rsidRPr="005F7253">
        <w:rPr>
          <w:rFonts w:ascii="Aptos" w:eastAsia="Aptos" w:hAnsi="Aptos" w:cs="Arial"/>
          <w:kern w:val="2"/>
          <w:sz w:val="22"/>
          <w:szCs w:val="22"/>
          <w14:ligatures w14:val="standardContextual"/>
        </w:rPr>
        <w:t xml:space="preserve">have provided </w:t>
      </w:r>
      <w:r>
        <w:rPr>
          <w:rFonts w:ascii="Aptos" w:eastAsia="Aptos" w:hAnsi="Aptos" w:cs="Arial"/>
          <w:kern w:val="2"/>
          <w:sz w:val="22"/>
          <w:szCs w:val="22"/>
          <w14:ligatures w14:val="standardContextual"/>
        </w:rPr>
        <w:t xml:space="preserve">at least partial </w:t>
      </w:r>
      <w:r w:rsidRPr="005F7253">
        <w:rPr>
          <w:rFonts w:ascii="Aptos" w:eastAsia="Aptos" w:hAnsi="Aptos" w:cs="Arial"/>
          <w:kern w:val="2"/>
          <w:sz w:val="22"/>
          <w:szCs w:val="22"/>
          <w14:ligatures w14:val="standardContextual"/>
        </w:rPr>
        <w:t>data on ICT household indicators for the period 2022-202</w:t>
      </w:r>
      <w:r w:rsidR="00F168A1">
        <w:rPr>
          <w:rFonts w:ascii="Aptos" w:eastAsia="Aptos" w:hAnsi="Aptos" w:cs="Arial"/>
          <w:kern w:val="2"/>
          <w:sz w:val="22"/>
          <w:szCs w:val="22"/>
          <w14:ligatures w14:val="standardContextual"/>
        </w:rPr>
        <w:t>4</w:t>
      </w:r>
      <w:r w:rsidRPr="005F7253">
        <w:rPr>
          <w:rFonts w:ascii="Aptos" w:eastAsia="Aptos" w:hAnsi="Aptos" w:cs="Arial"/>
          <w:kern w:val="2"/>
          <w:sz w:val="22"/>
          <w:szCs w:val="22"/>
          <w14:ligatures w14:val="standardContextual"/>
        </w:rPr>
        <w:t xml:space="preserve">. </w:t>
      </w:r>
      <w:r w:rsidR="00F168A1">
        <w:rPr>
          <w:rFonts w:ascii="Aptos" w:eastAsia="Aptos" w:hAnsi="Aptos" w:cs="Arial"/>
          <w:kern w:val="2"/>
          <w:sz w:val="22"/>
          <w:szCs w:val="22"/>
          <w14:ligatures w14:val="standardContextual"/>
        </w:rPr>
        <w:t>Nine</w:t>
      </w:r>
      <w:r>
        <w:rPr>
          <w:rFonts w:ascii="Aptos" w:eastAsia="Aptos" w:hAnsi="Aptos" w:cs="Arial"/>
          <w:kern w:val="2"/>
          <w:sz w:val="22"/>
          <w:szCs w:val="22"/>
          <w14:ligatures w14:val="standardContextual"/>
        </w:rPr>
        <w:t xml:space="preserve"> countries haven’t provided any data in the last ten years.</w:t>
      </w:r>
      <w:r w:rsidRPr="005F7253">
        <w:rPr>
          <w:rFonts w:ascii="Aptos" w:eastAsia="Aptos" w:hAnsi="Aptos" w:cs="Arial"/>
          <w:kern w:val="2"/>
          <w:sz w:val="22"/>
          <w:szCs w:val="22"/>
          <w14:ligatures w14:val="standardContextual"/>
        </w:rPr>
        <w:t xml:space="preserve"> </w:t>
      </w:r>
    </w:p>
    <w:p w14:paraId="448A35B8" w14:textId="6C6E5658" w:rsidR="001D4455" w:rsidRPr="005F7253" w:rsidRDefault="001D4455" w:rsidP="001D4455">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lastRenderedPageBreak/>
        <w:t xml:space="preserve">The issue is even more acute </w:t>
      </w:r>
      <w:r>
        <w:rPr>
          <w:rFonts w:ascii="Aptos" w:eastAsia="Aptos" w:hAnsi="Aptos" w:cs="Arial"/>
          <w:kern w:val="2"/>
          <w:sz w:val="22"/>
          <w:szCs w:val="22"/>
          <w14:ligatures w14:val="standardContextual"/>
        </w:rPr>
        <w:t xml:space="preserve">for </w:t>
      </w:r>
      <w:r w:rsidRPr="005F7253">
        <w:rPr>
          <w:rFonts w:ascii="Aptos" w:eastAsia="Aptos" w:hAnsi="Aptos" w:cs="Arial"/>
          <w:kern w:val="2"/>
          <w:sz w:val="22"/>
          <w:szCs w:val="22"/>
          <w14:ligatures w14:val="standardContextual"/>
        </w:rPr>
        <w:t>data disaggregated by socio-economic attributes</w:t>
      </w:r>
      <w:r>
        <w:rPr>
          <w:rFonts w:ascii="Aptos" w:eastAsia="Aptos" w:hAnsi="Aptos" w:cs="Arial"/>
          <w:kern w:val="2"/>
          <w:sz w:val="22"/>
          <w:szCs w:val="22"/>
          <w14:ligatures w14:val="standardContextual"/>
        </w:rPr>
        <w:t>, which</w:t>
      </w:r>
      <w:r w:rsidRPr="005F7253">
        <w:rPr>
          <w:rFonts w:ascii="Aptos" w:eastAsia="Aptos" w:hAnsi="Aptos" w:cs="Arial"/>
          <w:kern w:val="2"/>
          <w:sz w:val="22"/>
          <w:szCs w:val="22"/>
          <w14:ligatures w14:val="standardContextual"/>
        </w:rPr>
        <w:t xml:space="preserve"> is often not available. </w:t>
      </w:r>
      <w:r w:rsidR="00B6002D">
        <w:rPr>
          <w:rFonts w:ascii="Aptos" w:eastAsia="Aptos" w:hAnsi="Aptos" w:cs="Arial"/>
          <w:kern w:val="2"/>
          <w:sz w:val="22"/>
          <w:szCs w:val="22"/>
          <w14:ligatures w14:val="standardContextual"/>
        </w:rPr>
        <w:t>Seven</w:t>
      </w:r>
      <w:r>
        <w:rPr>
          <w:rFonts w:ascii="Aptos" w:eastAsia="Aptos" w:hAnsi="Aptos" w:cs="Arial"/>
          <w:kern w:val="2"/>
          <w:sz w:val="22"/>
          <w:szCs w:val="22"/>
          <w14:ligatures w14:val="standardContextual"/>
        </w:rPr>
        <w:t xml:space="preserve"> countries have </w:t>
      </w:r>
      <w:r w:rsidRPr="005F7253">
        <w:rPr>
          <w:rFonts w:ascii="Aptos" w:eastAsia="Aptos" w:hAnsi="Aptos" w:cs="Arial"/>
          <w:kern w:val="2"/>
          <w:sz w:val="22"/>
          <w:szCs w:val="22"/>
          <w14:ligatures w14:val="standardContextual"/>
        </w:rPr>
        <w:t xml:space="preserve">submitted recent data (2022 or more recent) for all six attributes of interest. </w:t>
      </w:r>
      <w:r w:rsidR="00C530E5">
        <w:rPr>
          <w:rFonts w:ascii="Aptos" w:eastAsia="Aptos" w:hAnsi="Aptos" w:cs="Arial"/>
          <w:kern w:val="2"/>
          <w:sz w:val="22"/>
          <w:szCs w:val="22"/>
          <w14:ligatures w14:val="standardContextual"/>
        </w:rPr>
        <w:t>Seven</w:t>
      </w:r>
      <w:r w:rsidRPr="005F7253">
        <w:rPr>
          <w:rFonts w:ascii="Aptos" w:eastAsia="Aptos" w:hAnsi="Aptos" w:cs="Arial"/>
          <w:kern w:val="2"/>
          <w:sz w:val="22"/>
          <w:szCs w:val="22"/>
          <w14:ligatures w14:val="standardContextual"/>
        </w:rPr>
        <w:t xml:space="preserve"> </w:t>
      </w:r>
      <w:r>
        <w:rPr>
          <w:rFonts w:ascii="Aptos" w:eastAsia="Aptos" w:hAnsi="Aptos" w:cs="Arial"/>
          <w:kern w:val="2"/>
          <w:sz w:val="22"/>
          <w:szCs w:val="22"/>
          <w14:ligatures w14:val="standardContextual"/>
        </w:rPr>
        <w:t xml:space="preserve">other </w:t>
      </w:r>
      <w:r w:rsidRPr="005F7253">
        <w:rPr>
          <w:rFonts w:ascii="Aptos" w:eastAsia="Aptos" w:hAnsi="Aptos" w:cs="Arial"/>
          <w:kern w:val="2"/>
          <w:sz w:val="22"/>
          <w:szCs w:val="22"/>
          <w14:ligatures w14:val="standardContextual"/>
        </w:rPr>
        <w:t xml:space="preserve">countries </w:t>
      </w:r>
      <w:r>
        <w:rPr>
          <w:rFonts w:ascii="Aptos" w:eastAsia="Aptos" w:hAnsi="Aptos" w:cs="Arial"/>
          <w:kern w:val="2"/>
          <w:sz w:val="22"/>
          <w:szCs w:val="22"/>
          <w14:ligatures w14:val="standardContextual"/>
        </w:rPr>
        <w:t xml:space="preserve">have </w:t>
      </w:r>
      <w:r w:rsidRPr="005F7253">
        <w:rPr>
          <w:rFonts w:ascii="Aptos" w:eastAsia="Aptos" w:hAnsi="Aptos" w:cs="Arial"/>
          <w:kern w:val="2"/>
          <w:sz w:val="22"/>
          <w:szCs w:val="22"/>
          <w14:ligatures w14:val="standardContextual"/>
        </w:rPr>
        <w:t xml:space="preserve">submitted recent data for at least one attribute. </w:t>
      </w:r>
    </w:p>
    <w:p w14:paraId="41944C2D" w14:textId="77777777" w:rsidR="004E7B22" w:rsidRDefault="001D4455" w:rsidP="003435ED">
      <w:pPr>
        <w:tabs>
          <w:tab w:val="clear" w:pos="794"/>
          <w:tab w:val="clear" w:pos="1191"/>
          <w:tab w:val="clear" w:pos="1588"/>
          <w:tab w:val="clear" w:pos="1985"/>
        </w:tabs>
        <w:overflowPunct/>
        <w:autoSpaceDE/>
        <w:autoSpaceDN/>
        <w:adjustRightInd/>
        <w:spacing w:before="0" w:after="160" w:line="259" w:lineRule="auto"/>
        <w:textAlignment w:val="auto"/>
        <w:rPr>
          <w:rFonts w:ascii="Aptos" w:eastAsia="Aptos" w:hAnsi="Aptos" w:cs="Arial"/>
          <w:kern w:val="2"/>
          <w:sz w:val="22"/>
          <w:szCs w:val="22"/>
          <w14:ligatures w14:val="standardContextual"/>
        </w:rPr>
      </w:pPr>
      <w:r w:rsidRPr="005F7253">
        <w:rPr>
          <w:rFonts w:ascii="Aptos" w:eastAsia="Aptos" w:hAnsi="Aptos" w:cs="Arial"/>
          <w:kern w:val="2"/>
          <w:sz w:val="22"/>
          <w:szCs w:val="22"/>
          <w14:ligatures w14:val="standardContextual"/>
        </w:rPr>
        <w:t xml:space="preserve">Even when data is available, it may suffer from poor sample design, inadequate collection methods, or low response rates. Such shortcomings are likely to yield misleading results </w:t>
      </w:r>
      <w:r>
        <w:rPr>
          <w:rFonts w:ascii="Aptos" w:eastAsia="Aptos" w:hAnsi="Aptos" w:cs="Arial"/>
          <w:kern w:val="2"/>
          <w:sz w:val="22"/>
          <w:szCs w:val="22"/>
          <w14:ligatures w14:val="standardContextual"/>
        </w:rPr>
        <w:t xml:space="preserve">and </w:t>
      </w:r>
      <w:r w:rsidRPr="005F7253">
        <w:rPr>
          <w:rFonts w:ascii="Aptos" w:eastAsia="Aptos" w:hAnsi="Aptos" w:cs="Arial"/>
          <w:kern w:val="2"/>
          <w:sz w:val="22"/>
          <w:szCs w:val="22"/>
          <w14:ligatures w14:val="standardContextual"/>
        </w:rPr>
        <w:t xml:space="preserve">may result in misguided policies. </w:t>
      </w:r>
      <w:r>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For example, overestimation of ICT skills could lead policymakers to shift focus away from supporting populations that need training in this area.</w:t>
      </w:r>
      <w:r>
        <w:rPr>
          <w:rFonts w:ascii="Aptos" w:eastAsia="Aptos" w:hAnsi="Aptos" w:cs="Arial"/>
          <w:kern w:val="2"/>
          <w:sz w:val="22"/>
          <w:szCs w:val="22"/>
          <w14:ligatures w14:val="standardContextual"/>
        </w:rPr>
        <w:t>)</w:t>
      </w:r>
      <w:r w:rsidRPr="005F7253">
        <w:rPr>
          <w:rFonts w:ascii="Aptos" w:eastAsia="Aptos" w:hAnsi="Aptos" w:cs="Arial"/>
          <w:kern w:val="2"/>
          <w:sz w:val="22"/>
          <w:szCs w:val="22"/>
          <w14:ligatures w14:val="standardContextual"/>
        </w:rPr>
        <w:t xml:space="preserve"> Addressing these challenges requires a dual approach targeting both the producers and users of data. Through continuous efforts in capacity building, technical assistance, and advocacy, ITU aims to enhance the availability and quality of ICT data globally.</w:t>
      </w:r>
    </w:p>
    <w:p w14:paraId="78FA3BCC" w14:textId="2042E693" w:rsidR="006C41B5" w:rsidRPr="003D0AEA" w:rsidRDefault="006C41B5" w:rsidP="001D4455">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rPr>
          <w:rFonts w:ascii="AvenirNext LT Pro Light" w:eastAsia="Yu Gothic Light" w:hAnsi="AvenirNext LT Pro Light" w:cs="Calibri"/>
          <w:color w:val="0070C0"/>
          <w:spacing w:val="-10"/>
          <w:kern w:val="28"/>
          <w:szCs w:val="24"/>
        </w:rPr>
      </w:pPr>
      <w:r w:rsidRPr="003D0AEA">
        <w:rPr>
          <w:rFonts w:ascii="AvenirNext LT Pro Light" w:eastAsia="Yu Gothic Light" w:hAnsi="AvenirNext LT Pro Light" w:cs="Calibri"/>
          <w:color w:val="0070C0"/>
          <w:spacing w:val="-10"/>
          <w:kern w:val="28"/>
          <w:szCs w:val="24"/>
        </w:rPr>
        <w:t>Latest year of submission of ICT household survey data, by socio-economic attribute</w:t>
      </w:r>
    </w:p>
    <w:p w14:paraId="6A4DB3E4" w14:textId="77777777" w:rsidR="001505A7" w:rsidRPr="003D0AEA" w:rsidRDefault="001D62BC" w:rsidP="00756C9C">
      <w:pPr>
        <w:pStyle w:val="Sourcetext"/>
      </w:pPr>
      <w:r w:rsidRPr="001D62BC">
        <w:rPr>
          <w:noProof/>
        </w:rPr>
        <w:drawing>
          <wp:inline distT="0" distB="0" distL="0" distR="0" wp14:anchorId="22A1C61C" wp14:editId="5B99EF6A">
            <wp:extent cx="6120000" cy="6277460"/>
            <wp:effectExtent l="0" t="0" r="0" b="0"/>
            <wp:docPr id="1018728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20000" cy="6277460"/>
                    </a:xfrm>
                    <a:prstGeom prst="rect">
                      <a:avLst/>
                    </a:prstGeom>
                    <a:noFill/>
                    <a:ln>
                      <a:noFill/>
                    </a:ln>
                  </pic:spPr>
                </pic:pic>
              </a:graphicData>
            </a:graphic>
          </wp:inline>
        </w:drawing>
      </w:r>
    </w:p>
    <w:p w14:paraId="644FD988" w14:textId="6665A198" w:rsidR="006C41B5" w:rsidRPr="003D0AEA" w:rsidRDefault="006C41B5" w:rsidP="00B1004A">
      <w:pPr>
        <w:pStyle w:val="Sourcetext"/>
      </w:pPr>
      <w:r>
        <w:t>Source: ITU</w:t>
      </w:r>
    </w:p>
    <w:p w14:paraId="281D8CDA" w14:textId="3F4A2C9A" w:rsidR="00A2497B" w:rsidRDefault="00A2497B">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40"/>
          <w:szCs w:val="40"/>
          <w14:ligatures w14:val="standardContextual"/>
        </w:rPr>
      </w:pPr>
      <w:bookmarkStart w:id="23" w:name="_Toc190883397"/>
      <w:r>
        <w:lastRenderedPageBreak/>
        <w:br w:type="page"/>
      </w:r>
    </w:p>
    <w:p w14:paraId="31D9AECE" w14:textId="29407036" w:rsidR="006C41B5" w:rsidRPr="003D0AEA" w:rsidRDefault="006C41B5" w:rsidP="000C3666">
      <w:pPr>
        <w:pStyle w:val="Parttitle0"/>
      </w:pPr>
      <w:r w:rsidRPr="003D0AEA">
        <w:lastRenderedPageBreak/>
        <w:t>Part 2</w:t>
      </w:r>
      <w:r w:rsidR="006731EB" w:rsidRPr="003D0AEA">
        <w:t>.</w:t>
      </w:r>
      <w:r w:rsidRPr="003D0AEA">
        <w:t xml:space="preserve"> BDT4Impact: Selected case studies from </w:t>
      </w:r>
      <w:r w:rsidR="004C3CCC">
        <w:t>t</w:t>
      </w:r>
      <w:r w:rsidR="00060A76">
        <w:t>he Americas</w:t>
      </w:r>
      <w:bookmarkEnd w:id="23"/>
    </w:p>
    <w:p w14:paraId="7554BADB" w14:textId="178ED472" w:rsidR="00080CC2" w:rsidRPr="00563970" w:rsidRDefault="00080CC2" w:rsidP="00E44A55">
      <w:pPr>
        <w:spacing w:before="0" w:after="160" w:line="259" w:lineRule="auto"/>
        <w:rPr>
          <w:rFonts w:ascii="Aptos" w:hAnsi="Aptos" w:cs="Calibri"/>
          <w:color w:val="2F2F2F"/>
          <w:sz w:val="22"/>
          <w:szCs w:val="22"/>
        </w:rPr>
      </w:pPr>
      <w:r w:rsidRPr="00563970">
        <w:rPr>
          <w:rFonts w:ascii="Aptos" w:hAnsi="Aptos" w:cs="Calibri"/>
          <w:color w:val="2F2F2F"/>
          <w:sz w:val="22"/>
          <w:szCs w:val="22"/>
        </w:rPr>
        <w:t xml:space="preserve">The second part of this document presents a selection of projects and initiatives supported by the ITU Telecommunication Development Bureau (BDT) in the Americas region. For more BDT impact stories, visit </w:t>
      </w:r>
      <w:hyperlink r:id="rId135" w:history="1">
        <w:r w:rsidRPr="00563970">
          <w:rPr>
            <w:rStyle w:val="Hyperlink"/>
            <w:rFonts w:ascii="Aptos" w:hAnsi="Aptos" w:cs="Calibri"/>
            <w:sz w:val="22"/>
            <w:szCs w:val="22"/>
          </w:rPr>
          <w:t>https://www.itu.int/itu-d/sites/digital-impact-unlocked/all-stories/list/</w:t>
        </w:r>
      </w:hyperlink>
      <w:r w:rsidRPr="00563970">
        <w:rPr>
          <w:rFonts w:ascii="Aptos" w:hAnsi="Aptos" w:cs="Calibri"/>
          <w:color w:val="2F2F2F"/>
          <w:sz w:val="22"/>
          <w:szCs w:val="22"/>
        </w:rPr>
        <w:t xml:space="preserve">. </w:t>
      </w:r>
    </w:p>
    <w:p w14:paraId="3A07E111" w14:textId="77777777" w:rsidR="0087685B" w:rsidRPr="0087685B" w:rsidRDefault="0087685B" w:rsidP="004729F3">
      <w:pPr>
        <w:pStyle w:val="Section"/>
      </w:pPr>
      <w:bookmarkStart w:id="24" w:name="_Toc190883398"/>
      <w:r w:rsidRPr="0087685B">
        <w:t>Bridging the digital divide in indigenous and rural communities in the Americas</w:t>
      </w:r>
      <w:bookmarkEnd w:id="24"/>
    </w:p>
    <w:p w14:paraId="5B5229E8" w14:textId="77777777" w:rsidR="0087685B" w:rsidRPr="00563970" w:rsidRDefault="0087685B" w:rsidP="00E44A55">
      <w:pPr>
        <w:spacing w:before="0" w:after="160" w:line="259" w:lineRule="auto"/>
        <w:rPr>
          <w:rFonts w:ascii="Aptos" w:hAnsi="Aptos" w:cs="Calibri"/>
          <w:color w:val="2F2F2F"/>
          <w:sz w:val="22"/>
          <w:szCs w:val="22"/>
        </w:rPr>
      </w:pPr>
      <w:r w:rsidRPr="00563970">
        <w:rPr>
          <w:rFonts w:ascii="Aptos" w:hAnsi="Aptos" w:cs="Calibri"/>
          <w:color w:val="2F2F2F"/>
          <w:sz w:val="22"/>
          <w:szCs w:val="22"/>
        </w:rPr>
        <w:t xml:space="preserve">The </w:t>
      </w:r>
      <w:hyperlink r:id="rId136" w:history="1">
        <w:r w:rsidRPr="00563970">
          <w:rPr>
            <w:rStyle w:val="Hyperlink"/>
            <w:rFonts w:ascii="Aptos" w:hAnsi="Aptos" w:cs="Calibri"/>
            <w:sz w:val="22"/>
            <w:szCs w:val="22"/>
          </w:rPr>
          <w:t>2024 ICT Network Bootcamp in Guatemala</w:t>
        </w:r>
      </w:hyperlink>
      <w:r w:rsidRPr="00563970">
        <w:rPr>
          <w:rFonts w:ascii="Aptos" w:hAnsi="Aptos" w:cs="Calibri"/>
          <w:color w:val="2F2F2F"/>
          <w:sz w:val="22"/>
          <w:szCs w:val="22"/>
        </w:rPr>
        <w:t xml:space="preserve"> equipped leaders from indigenous and rural communities in Latin America with skills to build, sustain, and manage ICT networks. </w:t>
      </w:r>
    </w:p>
    <w:p w14:paraId="7A1E9639" w14:textId="77777777" w:rsidR="0087685B" w:rsidRPr="00563970" w:rsidRDefault="0087685B" w:rsidP="00E44A55">
      <w:pPr>
        <w:spacing w:before="0" w:after="160" w:line="259" w:lineRule="auto"/>
        <w:rPr>
          <w:rFonts w:ascii="Aptos" w:hAnsi="Aptos" w:cs="Calibri"/>
          <w:color w:val="2F2F2F"/>
          <w:sz w:val="22"/>
          <w:szCs w:val="22"/>
        </w:rPr>
      </w:pPr>
      <w:r w:rsidRPr="00563970">
        <w:rPr>
          <w:rFonts w:ascii="Aptos" w:hAnsi="Aptos" w:cs="Calibri"/>
          <w:color w:val="2F2F2F"/>
          <w:sz w:val="22"/>
          <w:szCs w:val="22"/>
        </w:rPr>
        <w:t>The event also explored how technology can connect people, preserve cultural identities, and serve as a tool for education, healthcare, and economic opportunity.</w:t>
      </w:r>
    </w:p>
    <w:p w14:paraId="02760CF6" w14:textId="77777777" w:rsidR="0087685B" w:rsidRPr="00563970" w:rsidRDefault="0087685B" w:rsidP="00E44A55">
      <w:pPr>
        <w:spacing w:before="0" w:after="160" w:line="259" w:lineRule="auto"/>
        <w:rPr>
          <w:rFonts w:ascii="Aptos" w:hAnsi="Aptos" w:cs="Calibri"/>
          <w:color w:val="2F2F2F"/>
          <w:sz w:val="22"/>
          <w:szCs w:val="22"/>
        </w:rPr>
      </w:pPr>
      <w:r w:rsidRPr="00563970">
        <w:rPr>
          <w:rFonts w:ascii="Aptos" w:hAnsi="Aptos" w:cs="Calibri"/>
          <w:b/>
          <w:bCs/>
          <w:color w:val="2F2F2F"/>
          <w:sz w:val="22"/>
          <w:szCs w:val="22"/>
        </w:rPr>
        <w:t>“</w:t>
      </w:r>
      <w:r w:rsidRPr="00563970">
        <w:rPr>
          <w:rFonts w:ascii="Aptos" w:hAnsi="Aptos" w:cs="Calibri"/>
          <w:color w:val="2F2F2F"/>
          <w:sz w:val="22"/>
          <w:szCs w:val="22"/>
        </w:rPr>
        <w:t>This training was not just about learning new skills; it was about understanding our communities’ identities and how technology can be a tool to enhance and preserve them,” said Jean Pierre Orozco Ruiz, an audiovisual creator who participated in the event.</w:t>
      </w:r>
    </w:p>
    <w:p w14:paraId="05DBDD69" w14:textId="77777777" w:rsidR="0087685B" w:rsidRPr="00563970" w:rsidRDefault="0087685B" w:rsidP="00E44A55">
      <w:pPr>
        <w:spacing w:before="0" w:after="160" w:line="259" w:lineRule="auto"/>
        <w:rPr>
          <w:rFonts w:ascii="Aptos" w:hAnsi="Aptos" w:cs="Calibri"/>
          <w:color w:val="2F2F2F"/>
          <w:sz w:val="22"/>
          <w:szCs w:val="22"/>
        </w:rPr>
      </w:pPr>
      <w:r w:rsidRPr="00563970">
        <w:rPr>
          <w:rFonts w:ascii="Aptos" w:hAnsi="Aptos" w:cs="Calibri"/>
          <w:color w:val="2F2F2F"/>
          <w:sz w:val="22"/>
          <w:szCs w:val="22"/>
        </w:rPr>
        <w:t xml:space="preserve">The bootcamp was organized in collaboration with the Association for Progressive Communication, </w:t>
      </w:r>
      <w:proofErr w:type="spellStart"/>
      <w:r w:rsidRPr="00563970">
        <w:rPr>
          <w:rFonts w:ascii="Aptos" w:hAnsi="Aptos" w:cs="Calibri"/>
          <w:color w:val="2F2F2F"/>
          <w:sz w:val="22"/>
          <w:szCs w:val="22"/>
        </w:rPr>
        <w:t>Rhizomatica</w:t>
      </w:r>
      <w:proofErr w:type="spellEnd"/>
      <w:r w:rsidRPr="00563970">
        <w:rPr>
          <w:rFonts w:ascii="Aptos" w:hAnsi="Aptos" w:cs="Calibri"/>
          <w:color w:val="2F2F2F"/>
          <w:sz w:val="22"/>
          <w:szCs w:val="22"/>
        </w:rPr>
        <w:t xml:space="preserve">, and Redes Por la </w:t>
      </w:r>
      <w:proofErr w:type="spellStart"/>
      <w:r w:rsidRPr="00563970">
        <w:rPr>
          <w:rFonts w:ascii="Aptos" w:hAnsi="Aptos" w:cs="Calibri"/>
          <w:color w:val="2F2F2F"/>
          <w:sz w:val="22"/>
          <w:szCs w:val="22"/>
        </w:rPr>
        <w:t>Diversidad</w:t>
      </w:r>
      <w:proofErr w:type="spellEnd"/>
      <w:r w:rsidRPr="00563970">
        <w:rPr>
          <w:rFonts w:ascii="Aptos" w:hAnsi="Aptos" w:cs="Calibri"/>
          <w:color w:val="2F2F2F"/>
          <w:sz w:val="22"/>
          <w:szCs w:val="22"/>
        </w:rPr>
        <w:t xml:space="preserve">, </w:t>
      </w:r>
      <w:proofErr w:type="spellStart"/>
      <w:r w:rsidRPr="00563970">
        <w:rPr>
          <w:rFonts w:ascii="Aptos" w:hAnsi="Aptos" w:cs="Calibri"/>
          <w:color w:val="2F2F2F"/>
          <w:sz w:val="22"/>
          <w:szCs w:val="22"/>
        </w:rPr>
        <w:t>Equidad</w:t>
      </w:r>
      <w:proofErr w:type="spellEnd"/>
      <w:r w:rsidRPr="00563970">
        <w:rPr>
          <w:rFonts w:ascii="Aptos" w:hAnsi="Aptos" w:cs="Calibri"/>
          <w:color w:val="2F2F2F"/>
          <w:sz w:val="22"/>
          <w:szCs w:val="22"/>
        </w:rPr>
        <w:t xml:space="preserve"> y </w:t>
      </w:r>
      <w:proofErr w:type="spellStart"/>
      <w:r w:rsidRPr="00563970">
        <w:rPr>
          <w:rFonts w:ascii="Aptos" w:hAnsi="Aptos" w:cs="Calibri"/>
          <w:color w:val="2F2F2F"/>
          <w:sz w:val="22"/>
          <w:szCs w:val="22"/>
        </w:rPr>
        <w:t>Sustentabilidad</w:t>
      </w:r>
      <w:proofErr w:type="spellEnd"/>
      <w:r w:rsidRPr="00563970">
        <w:rPr>
          <w:rFonts w:ascii="Aptos" w:hAnsi="Aptos" w:cs="Calibri"/>
          <w:color w:val="2F2F2F"/>
          <w:sz w:val="22"/>
          <w:szCs w:val="22"/>
        </w:rPr>
        <w:t xml:space="preserve"> A.C.</w:t>
      </w:r>
    </w:p>
    <w:p w14:paraId="5EC9C6C8" w14:textId="77777777" w:rsidR="0087685B" w:rsidRPr="0087685B" w:rsidRDefault="0087685B" w:rsidP="004729F3">
      <w:pPr>
        <w:pStyle w:val="Section"/>
      </w:pPr>
      <w:bookmarkStart w:id="25" w:name="_Toc190883399"/>
      <w:r w:rsidRPr="0087685B">
        <w:t>Countries work to regulate e-waste to protect health, environment and resources</w:t>
      </w:r>
      <w:bookmarkEnd w:id="25"/>
    </w:p>
    <w:p w14:paraId="7DDBDBFB" w14:textId="37AE2748" w:rsidR="0087685B" w:rsidRPr="00563970" w:rsidRDefault="0087685B" w:rsidP="00E44A55">
      <w:pPr>
        <w:spacing w:before="0" w:after="160" w:line="259" w:lineRule="auto"/>
        <w:rPr>
          <w:rFonts w:ascii="Aptos" w:hAnsi="Aptos" w:cs="Calibri"/>
          <w:color w:val="2F2F2F"/>
          <w:sz w:val="22"/>
          <w:szCs w:val="22"/>
        </w:rPr>
      </w:pPr>
      <w:r w:rsidRPr="00563970">
        <w:rPr>
          <w:rFonts w:ascii="Aptos" w:hAnsi="Aptos" w:cs="Calibri"/>
          <w:color w:val="2F2F2F"/>
          <w:sz w:val="22"/>
          <w:szCs w:val="22"/>
        </w:rPr>
        <w:t>The Dominican Republic and Paraguay are building regulatory frameworks for the responsible management of e-waste, an important step towards creating a circular economy for electric and electronic devices.</w:t>
      </w:r>
    </w:p>
    <w:p w14:paraId="76932E55" w14:textId="77777777" w:rsidR="0087685B" w:rsidRPr="00563970" w:rsidRDefault="0087685B" w:rsidP="00E44A55">
      <w:pPr>
        <w:spacing w:before="0" w:after="160" w:line="259" w:lineRule="auto"/>
        <w:rPr>
          <w:rFonts w:ascii="Aptos" w:hAnsi="Aptos" w:cs="Calibri"/>
          <w:color w:val="2F2F2F"/>
          <w:sz w:val="22"/>
          <w:szCs w:val="22"/>
        </w:rPr>
      </w:pPr>
      <w:r w:rsidRPr="00563970">
        <w:rPr>
          <w:rFonts w:ascii="Aptos" w:hAnsi="Aptos" w:cs="Calibri"/>
          <w:color w:val="2F2F2F"/>
          <w:sz w:val="22"/>
          <w:szCs w:val="22"/>
        </w:rPr>
        <w:t xml:space="preserve">So far, 12 countries in the Americas have established policy, legislation, or regulation governing the management of this complex and growing waste stream. </w:t>
      </w:r>
    </w:p>
    <w:p w14:paraId="0765605A" w14:textId="77777777" w:rsidR="0087685B" w:rsidRPr="00563970" w:rsidRDefault="0087685B" w:rsidP="00E44A55">
      <w:pPr>
        <w:spacing w:before="0" w:after="160" w:line="259" w:lineRule="auto"/>
        <w:rPr>
          <w:rFonts w:ascii="Aptos" w:hAnsi="Aptos" w:cs="Calibri"/>
          <w:color w:val="2F2F2F"/>
          <w:sz w:val="22"/>
          <w:szCs w:val="22"/>
        </w:rPr>
      </w:pPr>
      <w:r w:rsidRPr="00563970">
        <w:rPr>
          <w:rFonts w:ascii="Aptos" w:hAnsi="Aptos" w:cs="Calibri"/>
          <w:color w:val="2F2F2F"/>
          <w:sz w:val="22"/>
          <w:szCs w:val="22"/>
        </w:rPr>
        <w:t xml:space="preserve">The Dominican Republic, which generates 100,000 tons of e-waste per year, recently approved new e-waste regulations, serving as a role model for nations facing similar challenges. </w:t>
      </w:r>
    </w:p>
    <w:p w14:paraId="572E1EB5" w14:textId="77777777" w:rsidR="0087685B" w:rsidRPr="00563970" w:rsidRDefault="0087685B" w:rsidP="00E44A55">
      <w:pPr>
        <w:spacing w:before="0" w:after="160" w:line="259" w:lineRule="auto"/>
        <w:rPr>
          <w:rFonts w:ascii="Aptos" w:hAnsi="Aptos" w:cs="Calibri"/>
          <w:color w:val="2F2F2F"/>
          <w:sz w:val="22"/>
          <w:szCs w:val="22"/>
        </w:rPr>
      </w:pPr>
      <w:r w:rsidRPr="00563970">
        <w:rPr>
          <w:rFonts w:ascii="Aptos" w:hAnsi="Aptos" w:cs="Calibri"/>
          <w:color w:val="2F2F2F"/>
          <w:sz w:val="22"/>
          <w:szCs w:val="22"/>
        </w:rPr>
        <w:t>The new regulations were developed over two years with ITU support, in collaboration with the Dominican Republic’s Ministry of Environment and Natural Resources; INDOTEL, the country’s telecommunications regulatory entity; the United Nations Environment Programme; and private actors.</w:t>
      </w:r>
    </w:p>
    <w:p w14:paraId="1F5CE092" w14:textId="77777777" w:rsidR="0087685B" w:rsidRPr="0087685B" w:rsidRDefault="0087685B" w:rsidP="00E44A55">
      <w:pPr>
        <w:spacing w:before="0" w:after="160" w:line="259" w:lineRule="auto"/>
        <w:rPr>
          <w:rFonts w:ascii="Aptos" w:hAnsi="Aptos" w:cs="Calibri"/>
          <w:color w:val="2F2F2F"/>
          <w:sz w:val="22"/>
          <w:szCs w:val="22"/>
        </w:rPr>
      </w:pPr>
      <w:r w:rsidRPr="00563970">
        <w:rPr>
          <w:rFonts w:ascii="Aptos" w:hAnsi="Aptos" w:cs="Calibri"/>
          <w:color w:val="2F2F2F"/>
          <w:sz w:val="22"/>
          <w:szCs w:val="22"/>
        </w:rPr>
        <w:t xml:space="preserve">The Government of Paraguay aims to draft national regulations on e-waste in 2025 as part of a project sponsored by Saudi Arabia’s </w:t>
      </w:r>
      <w:r w:rsidRPr="0087685B">
        <w:rPr>
          <w:rFonts w:ascii="Aptos" w:hAnsi="Aptos" w:cs="Calibri"/>
          <w:color w:val="2F2F2F"/>
          <w:sz w:val="22"/>
          <w:szCs w:val="22"/>
        </w:rPr>
        <w:t xml:space="preserve">Communications, Space and Technology Commission. The project is supporting the country as it develops an e-waste regulatory framework. </w:t>
      </w:r>
    </w:p>
    <w:p w14:paraId="491FFA36" w14:textId="77777777" w:rsidR="0087685B" w:rsidRPr="0087685B" w:rsidRDefault="0087685B" w:rsidP="00E44A55">
      <w:pPr>
        <w:spacing w:before="0" w:after="160" w:line="259" w:lineRule="auto"/>
        <w:rPr>
          <w:rFonts w:ascii="Aptos" w:hAnsi="Aptos" w:cs="Calibri"/>
          <w:color w:val="2F2F2F"/>
          <w:sz w:val="22"/>
          <w:szCs w:val="22"/>
        </w:rPr>
      </w:pPr>
      <w:r w:rsidRPr="0087685B">
        <w:rPr>
          <w:rFonts w:ascii="Aptos" w:hAnsi="Aptos" w:cs="Calibri"/>
          <w:color w:val="2F2F2F"/>
          <w:sz w:val="22"/>
          <w:szCs w:val="22"/>
        </w:rPr>
        <w:t>The project is being implemented in cooperation with Paraguay’s Ministry of Environment and Sustainable Development and its National Telecommunications Commission (CONATEL). It began in December 2023 and will run through at least the end of 2025.</w:t>
      </w:r>
    </w:p>
    <w:p w14:paraId="16D46C35" w14:textId="77777777" w:rsidR="0087685B" w:rsidRPr="0087685B" w:rsidRDefault="0087685B" w:rsidP="004729F3">
      <w:pPr>
        <w:pStyle w:val="Section"/>
      </w:pPr>
      <w:bookmarkStart w:id="26" w:name="_Toc190883400"/>
      <w:r w:rsidRPr="0087685B">
        <w:lastRenderedPageBreak/>
        <w:t>The Smart Seas Project builds disaster resilience among small-scale Caribbean fishers</w:t>
      </w:r>
      <w:bookmarkEnd w:id="26"/>
      <w:r w:rsidRPr="0087685B">
        <w:t xml:space="preserve">  </w:t>
      </w:r>
    </w:p>
    <w:p w14:paraId="6E47F1A9" w14:textId="77777777" w:rsidR="0087685B" w:rsidRPr="0087685B" w:rsidRDefault="0087685B" w:rsidP="00E44A55">
      <w:pPr>
        <w:spacing w:before="0" w:after="160" w:line="259" w:lineRule="auto"/>
        <w:rPr>
          <w:rFonts w:ascii="Aptos" w:hAnsi="Aptos" w:cs="Calibri"/>
          <w:color w:val="2F2F2F"/>
          <w:sz w:val="22"/>
          <w:szCs w:val="22"/>
        </w:rPr>
      </w:pPr>
      <w:r w:rsidRPr="0087685B">
        <w:rPr>
          <w:rFonts w:ascii="Aptos" w:hAnsi="Aptos" w:cs="Calibri"/>
          <w:color w:val="2F2F2F"/>
          <w:sz w:val="22"/>
          <w:szCs w:val="22"/>
        </w:rPr>
        <w:t xml:space="preserve">The </w:t>
      </w:r>
      <w:hyperlink r:id="rId137" w:history="1">
        <w:r w:rsidRPr="0087685B">
          <w:rPr>
            <w:rStyle w:val="Hyperlink"/>
            <w:rFonts w:ascii="Aptos" w:hAnsi="Aptos" w:cs="Calibri"/>
            <w:sz w:val="22"/>
            <w:szCs w:val="22"/>
          </w:rPr>
          <w:t>Smart Seas Project</w:t>
        </w:r>
      </w:hyperlink>
      <w:r w:rsidRPr="0087685B">
        <w:rPr>
          <w:rFonts w:ascii="Aptos" w:hAnsi="Aptos" w:cs="Calibri"/>
          <w:color w:val="2F2F2F"/>
          <w:sz w:val="22"/>
          <w:szCs w:val="22"/>
        </w:rPr>
        <w:t>, a collaboration between the ITU Telecommunication Development Bureau, the Caribbean Telecommunication Union and the Telecommunications Authority of Trinidad and Tobago, provides digital tools and connectivity to improve maritime communications and help small-scale fishers stay safe at sea in Barbados, Grenada, St. Vincent and the Grenadines, and Trinidad and Tobago.</w:t>
      </w:r>
    </w:p>
    <w:p w14:paraId="590EDA60" w14:textId="77777777" w:rsidR="0087685B" w:rsidRPr="0087685B" w:rsidRDefault="0087685B" w:rsidP="00E44A55">
      <w:pPr>
        <w:spacing w:before="0" w:after="160" w:line="259" w:lineRule="auto"/>
        <w:rPr>
          <w:rFonts w:ascii="Aptos" w:hAnsi="Aptos" w:cs="Calibri"/>
          <w:color w:val="2F2F2F"/>
          <w:sz w:val="22"/>
          <w:szCs w:val="22"/>
        </w:rPr>
      </w:pPr>
      <w:r w:rsidRPr="0087685B">
        <w:rPr>
          <w:rFonts w:ascii="Aptos" w:hAnsi="Aptos" w:cs="Calibri"/>
          <w:color w:val="2F2F2F"/>
          <w:sz w:val="22"/>
          <w:szCs w:val="22"/>
        </w:rPr>
        <w:t>The project is also helping communities use ICTs for social and economic development.</w:t>
      </w:r>
    </w:p>
    <w:p w14:paraId="29DC89FD" w14:textId="6D8BB461" w:rsidR="0087685B" w:rsidRPr="0087685B" w:rsidRDefault="0087685B" w:rsidP="00E44A55">
      <w:pPr>
        <w:spacing w:before="0" w:after="160" w:line="259" w:lineRule="auto"/>
        <w:rPr>
          <w:rFonts w:ascii="Aptos" w:hAnsi="Aptos" w:cs="Calibri"/>
          <w:color w:val="2F2F2F"/>
          <w:sz w:val="22"/>
          <w:szCs w:val="22"/>
        </w:rPr>
      </w:pPr>
      <w:r w:rsidRPr="0087685B">
        <w:rPr>
          <w:rFonts w:ascii="Aptos" w:hAnsi="Aptos" w:cs="Calibri"/>
          <w:color w:val="2F2F2F"/>
          <w:sz w:val="22"/>
          <w:szCs w:val="22"/>
        </w:rPr>
        <w:t>Small-scale fishers, who comprise over 90</w:t>
      </w:r>
      <w:r w:rsidR="00C2003F">
        <w:rPr>
          <w:rFonts w:ascii="Aptos" w:hAnsi="Aptos" w:cs="Calibri"/>
          <w:color w:val="2F2F2F"/>
          <w:sz w:val="22"/>
          <w:szCs w:val="22"/>
        </w:rPr>
        <w:t xml:space="preserve"> per cent</w:t>
      </w:r>
      <w:r w:rsidRPr="0087685B">
        <w:rPr>
          <w:rFonts w:ascii="Aptos" w:hAnsi="Aptos" w:cs="Calibri"/>
          <w:color w:val="2F2F2F"/>
          <w:sz w:val="22"/>
          <w:szCs w:val="22"/>
        </w:rPr>
        <w:t xml:space="preserve"> of the world’s capture fisheries fleet, are highly vulnerable to disasters at sea, ranging from robbery and piracy to climate change-related disasters. These fishers provide about 40</w:t>
      </w:r>
      <w:r w:rsidR="00C2003F">
        <w:rPr>
          <w:rFonts w:ascii="Aptos" w:hAnsi="Aptos" w:cs="Calibri"/>
          <w:color w:val="2F2F2F"/>
          <w:sz w:val="22"/>
          <w:szCs w:val="22"/>
        </w:rPr>
        <w:t xml:space="preserve"> per cent</w:t>
      </w:r>
      <w:r w:rsidRPr="0087685B">
        <w:rPr>
          <w:rFonts w:ascii="Aptos" w:hAnsi="Aptos" w:cs="Calibri"/>
          <w:color w:val="2F2F2F"/>
          <w:sz w:val="22"/>
          <w:szCs w:val="22"/>
        </w:rPr>
        <w:t xml:space="preserve"> of the fish consumed daily, making them essential to economic and food security.</w:t>
      </w:r>
    </w:p>
    <w:p w14:paraId="0CA68515" w14:textId="77777777" w:rsidR="0087685B" w:rsidRPr="0087685B" w:rsidRDefault="0087685B" w:rsidP="00E44A55">
      <w:pPr>
        <w:spacing w:before="0" w:after="160" w:line="259" w:lineRule="auto"/>
        <w:rPr>
          <w:rFonts w:ascii="Aptos" w:hAnsi="Aptos" w:cs="Calibri"/>
          <w:color w:val="2F2F2F"/>
          <w:sz w:val="22"/>
          <w:szCs w:val="22"/>
        </w:rPr>
      </w:pPr>
      <w:r w:rsidRPr="0087685B">
        <w:rPr>
          <w:rFonts w:ascii="Aptos" w:hAnsi="Aptos" w:cs="Calibri"/>
          <w:color w:val="2F2F2F"/>
          <w:sz w:val="22"/>
          <w:szCs w:val="22"/>
        </w:rPr>
        <w:t>The Smart Seas Project demonstrates ITU’s commitment to using technology for social impact. As part of the project, workshops have been supporting the enabling environment and providing free tools for key agencies involved in maritime communications, such as regulators and rescue coordinators.</w:t>
      </w:r>
    </w:p>
    <w:p w14:paraId="6B4C25C2" w14:textId="77777777" w:rsidR="0087685B" w:rsidRPr="0087685B" w:rsidRDefault="0087685B" w:rsidP="00E44A55">
      <w:pPr>
        <w:spacing w:before="0" w:after="160" w:line="259" w:lineRule="auto"/>
        <w:rPr>
          <w:rFonts w:ascii="Aptos" w:hAnsi="Aptos" w:cs="Calibri"/>
          <w:color w:val="2F2F2F"/>
          <w:sz w:val="22"/>
          <w:szCs w:val="22"/>
        </w:rPr>
      </w:pPr>
      <w:r w:rsidRPr="0087685B">
        <w:rPr>
          <w:rFonts w:ascii="Aptos" w:hAnsi="Aptos" w:cs="Calibri"/>
          <w:color w:val="2F2F2F"/>
          <w:sz w:val="22"/>
          <w:szCs w:val="22"/>
        </w:rPr>
        <w:t xml:space="preserve">The free workshops include VHF-DSC radio training for fisherfolk, rescue coordinators, disaster management agencies, and regulators. </w:t>
      </w:r>
    </w:p>
    <w:p w14:paraId="635166FB" w14:textId="77777777" w:rsidR="0087685B" w:rsidRPr="0087685B" w:rsidRDefault="0087685B" w:rsidP="00E44A55">
      <w:pPr>
        <w:spacing w:before="0" w:after="160" w:line="259" w:lineRule="auto"/>
        <w:rPr>
          <w:rFonts w:ascii="Aptos" w:hAnsi="Aptos" w:cs="Calibri"/>
          <w:color w:val="2F2F2F"/>
          <w:sz w:val="22"/>
          <w:szCs w:val="22"/>
        </w:rPr>
      </w:pPr>
      <w:r w:rsidRPr="0087685B">
        <w:rPr>
          <w:rFonts w:ascii="Aptos" w:hAnsi="Aptos" w:cs="Calibri"/>
          <w:color w:val="2F2F2F"/>
          <w:sz w:val="22"/>
          <w:szCs w:val="22"/>
        </w:rPr>
        <w:t>The work done is essential in saving lives, connecting vulnerable communities, and securing food and economic development in the Caribbean.</w:t>
      </w:r>
    </w:p>
    <w:p w14:paraId="44E88D6A" w14:textId="77777777" w:rsidR="0087685B" w:rsidRPr="0087685B" w:rsidRDefault="0087685B" w:rsidP="004729F3">
      <w:pPr>
        <w:pStyle w:val="Section"/>
      </w:pPr>
      <w:bookmarkStart w:id="27" w:name="_Toc190883401"/>
      <w:r w:rsidRPr="0087685B">
        <w:t>Crisis response: Hurricane Beryl</w:t>
      </w:r>
      <w:bookmarkEnd w:id="27"/>
      <w:r w:rsidRPr="0087685B">
        <w:t xml:space="preserve"> </w:t>
      </w:r>
    </w:p>
    <w:p w14:paraId="2885FA5E" w14:textId="77777777" w:rsidR="0087685B" w:rsidRPr="00563970" w:rsidRDefault="0087685B" w:rsidP="00E44A55">
      <w:pPr>
        <w:spacing w:before="0" w:after="160" w:line="259" w:lineRule="auto"/>
        <w:rPr>
          <w:rFonts w:ascii="Aptos" w:hAnsi="Aptos" w:cs="Calibri"/>
          <w:color w:val="2F2F2F"/>
          <w:sz w:val="22"/>
          <w:szCs w:val="22"/>
        </w:rPr>
      </w:pPr>
      <w:r w:rsidRPr="00563970">
        <w:rPr>
          <w:rFonts w:ascii="Aptos" w:hAnsi="Aptos" w:cs="Calibri"/>
          <w:color w:val="2F2F2F"/>
          <w:sz w:val="22"/>
          <w:szCs w:val="22"/>
        </w:rPr>
        <w:t xml:space="preserve">When Hurricane Beryl struck in June and July of 2024, spreading damage across the Caribbean and beyond, the </w:t>
      </w:r>
      <w:hyperlink r:id="rId138" w:history="1">
        <w:r w:rsidRPr="00563970">
          <w:rPr>
            <w:rStyle w:val="Hyperlink"/>
            <w:rFonts w:ascii="Aptos" w:hAnsi="Aptos" w:cs="Calibri"/>
            <w:sz w:val="22"/>
            <w:szCs w:val="22"/>
          </w:rPr>
          <w:t>ITU Telecommunication Development Bureau responded in the immediate aftermath</w:t>
        </w:r>
      </w:hyperlink>
      <w:r w:rsidRPr="00563970">
        <w:rPr>
          <w:rFonts w:ascii="Aptos" w:hAnsi="Aptos" w:cs="Calibri"/>
          <w:color w:val="2F2F2F"/>
          <w:sz w:val="22"/>
          <w:szCs w:val="22"/>
        </w:rPr>
        <w:t xml:space="preserve"> by providing satellite phones and accessories, and broadband global-area network devices.</w:t>
      </w:r>
    </w:p>
    <w:p w14:paraId="36E2C057" w14:textId="77777777" w:rsidR="0087685B" w:rsidRPr="00563970" w:rsidRDefault="0087685B" w:rsidP="00E44A55">
      <w:pPr>
        <w:spacing w:before="0" w:after="160" w:line="259" w:lineRule="auto"/>
        <w:rPr>
          <w:rFonts w:ascii="Aptos" w:hAnsi="Aptos" w:cs="Calibri"/>
          <w:color w:val="2F2F2F"/>
          <w:sz w:val="22"/>
          <w:szCs w:val="22"/>
        </w:rPr>
      </w:pPr>
      <w:r w:rsidRPr="00563970">
        <w:rPr>
          <w:rFonts w:ascii="Aptos" w:hAnsi="Aptos" w:cs="Calibri"/>
          <w:color w:val="2F2F2F"/>
          <w:sz w:val="22"/>
          <w:szCs w:val="22"/>
        </w:rPr>
        <w:t>In Grenada, Jamaica, and St. Vincent and the Grenadines, three of the worst-affected countries and home to more than 900,000 people, telephone and radio communication had been severely damaged or knocked out in the storm.</w:t>
      </w:r>
    </w:p>
    <w:p w14:paraId="33F99B6E" w14:textId="77777777" w:rsidR="0087685B" w:rsidRPr="00563970" w:rsidRDefault="0087685B" w:rsidP="00E44A55">
      <w:pPr>
        <w:spacing w:before="0" w:after="160" w:line="259" w:lineRule="auto"/>
        <w:rPr>
          <w:rFonts w:ascii="Aptos" w:hAnsi="Aptos" w:cs="Calibri"/>
          <w:color w:val="2F2F2F"/>
          <w:sz w:val="22"/>
          <w:szCs w:val="22"/>
        </w:rPr>
      </w:pPr>
      <w:r w:rsidRPr="00563970">
        <w:rPr>
          <w:rFonts w:ascii="Aptos" w:hAnsi="Aptos" w:cs="Calibri"/>
          <w:color w:val="2F2F2F"/>
          <w:sz w:val="22"/>
          <w:szCs w:val="22"/>
        </w:rPr>
        <w:t xml:space="preserve">The ITU-led Disaster Connectivity Map was activated as well, to support responders with near real-time information on telecommunications connectivity. </w:t>
      </w:r>
    </w:p>
    <w:p w14:paraId="09CC8BED" w14:textId="77777777" w:rsidR="0087685B" w:rsidRPr="00563970" w:rsidRDefault="0087685B" w:rsidP="00E44A55">
      <w:pPr>
        <w:spacing w:before="0" w:after="160" w:line="259" w:lineRule="auto"/>
        <w:rPr>
          <w:rFonts w:ascii="Aptos" w:hAnsi="Aptos" w:cs="Calibri"/>
          <w:color w:val="2F2F2F"/>
          <w:sz w:val="22"/>
          <w:szCs w:val="22"/>
        </w:rPr>
      </w:pPr>
      <w:r w:rsidRPr="00563970">
        <w:rPr>
          <w:rFonts w:ascii="Aptos" w:hAnsi="Aptos" w:cs="Calibri"/>
          <w:color w:val="2F2F2F"/>
          <w:sz w:val="22"/>
          <w:szCs w:val="22"/>
        </w:rPr>
        <w:t>Since it was launched in 2020, the Map has been activated in more than 30 countries/disasters to detect communications infrastructure outages. First responders, governments and UN agencies have used it extensively.</w:t>
      </w:r>
    </w:p>
    <w:p w14:paraId="0720C916" w14:textId="77777777" w:rsidR="0087685B" w:rsidRPr="00563970" w:rsidRDefault="0087685B" w:rsidP="00E44A55">
      <w:pPr>
        <w:spacing w:before="0" w:after="160" w:line="259" w:lineRule="auto"/>
        <w:rPr>
          <w:rFonts w:ascii="Aptos" w:hAnsi="Aptos" w:cs="Calibri"/>
          <w:color w:val="2F2F2F"/>
          <w:sz w:val="22"/>
          <w:szCs w:val="22"/>
        </w:rPr>
      </w:pPr>
      <w:r w:rsidRPr="0087685B">
        <w:rPr>
          <w:rFonts w:ascii="Aptos" w:hAnsi="Aptos" w:cs="Calibri"/>
          <w:color w:val="2F2F2F"/>
          <w:sz w:val="22"/>
          <w:szCs w:val="22"/>
        </w:rPr>
        <w:t xml:space="preserve">ITU is helping </w:t>
      </w:r>
      <w:r w:rsidRPr="00563970">
        <w:rPr>
          <w:rFonts w:ascii="Aptos" w:hAnsi="Aptos" w:cs="Calibri"/>
          <w:color w:val="2F2F2F"/>
          <w:sz w:val="22"/>
          <w:szCs w:val="22"/>
        </w:rPr>
        <w:t>countries be better prepared for hazards. The work entails developing national</w:t>
      </w:r>
      <w:r w:rsidRPr="0087685B">
        <w:rPr>
          <w:rFonts w:ascii="Aptos" w:hAnsi="Aptos" w:cs="Calibri"/>
          <w:color w:val="2F2F2F"/>
          <w:sz w:val="22"/>
          <w:szCs w:val="22"/>
        </w:rPr>
        <w:t xml:space="preserve"> </w:t>
      </w:r>
      <w:r w:rsidRPr="00563970">
        <w:rPr>
          <w:rFonts w:ascii="Aptos" w:hAnsi="Aptos" w:cs="Calibri"/>
          <w:color w:val="2F2F2F"/>
          <w:sz w:val="22"/>
          <w:szCs w:val="22"/>
        </w:rPr>
        <w:t>emergency telecommunications plans,</w:t>
      </w:r>
      <w:r w:rsidRPr="0087685B">
        <w:rPr>
          <w:rFonts w:ascii="Aptos" w:hAnsi="Aptos" w:cs="Calibri"/>
          <w:color w:val="2F2F2F"/>
          <w:sz w:val="22"/>
          <w:szCs w:val="22"/>
        </w:rPr>
        <w:t xml:space="preserve"> </w:t>
      </w:r>
      <w:r w:rsidRPr="00563970">
        <w:rPr>
          <w:rFonts w:ascii="Aptos" w:hAnsi="Aptos" w:cs="Calibri"/>
          <w:color w:val="2F2F2F"/>
          <w:sz w:val="22"/>
          <w:szCs w:val="22"/>
        </w:rPr>
        <w:t>providing technical support, crafting policies and regulations that support sustainable, resilient ICT infrastructure, and more.</w:t>
      </w:r>
    </w:p>
    <w:p w14:paraId="0FCEF722" w14:textId="77777777" w:rsidR="0087685B" w:rsidRPr="00563970" w:rsidRDefault="0087685B" w:rsidP="00E44A55">
      <w:pPr>
        <w:spacing w:before="0" w:after="160" w:line="259" w:lineRule="auto"/>
        <w:rPr>
          <w:rFonts w:ascii="Aptos" w:hAnsi="Aptos" w:cs="Calibri"/>
          <w:color w:val="2F2F2F"/>
          <w:sz w:val="22"/>
          <w:szCs w:val="22"/>
        </w:rPr>
      </w:pPr>
      <w:r w:rsidRPr="00563970">
        <w:rPr>
          <w:rFonts w:ascii="Aptos" w:hAnsi="Aptos" w:cs="Calibri"/>
          <w:color w:val="2F2F2F"/>
          <w:sz w:val="22"/>
          <w:szCs w:val="22"/>
        </w:rPr>
        <w:t>To ensure that communication networks can be quickly restored and maintained during emergencies, satellite equipment has been strategically placed in ITU regions, including in Bridgetown, Dubai, Geneva, and Harare.</w:t>
      </w:r>
    </w:p>
    <w:p w14:paraId="11EB984A" w14:textId="77777777" w:rsidR="0087685B" w:rsidRPr="00563970" w:rsidRDefault="0087685B" w:rsidP="00E44A55">
      <w:pPr>
        <w:spacing w:before="0" w:after="160" w:line="259" w:lineRule="auto"/>
        <w:rPr>
          <w:rFonts w:ascii="Aptos" w:hAnsi="Aptos" w:cs="Calibri"/>
          <w:color w:val="2F2F2F"/>
          <w:sz w:val="22"/>
          <w:szCs w:val="22"/>
        </w:rPr>
      </w:pPr>
      <w:r w:rsidRPr="0087685B">
        <w:rPr>
          <w:rFonts w:ascii="Aptos" w:hAnsi="Aptos" w:cs="Calibri"/>
          <w:color w:val="2F2F2F"/>
          <w:sz w:val="22"/>
          <w:szCs w:val="22"/>
        </w:rPr>
        <w:lastRenderedPageBreak/>
        <w:t xml:space="preserve">Additionally, Intelsat, a </w:t>
      </w:r>
      <w:r w:rsidRPr="00563970">
        <w:rPr>
          <w:rFonts w:ascii="Aptos" w:hAnsi="Aptos" w:cs="Calibri"/>
          <w:color w:val="2F2F2F"/>
          <w:sz w:val="22"/>
          <w:szCs w:val="22"/>
        </w:rPr>
        <w:t xml:space="preserve">multinational satellite services provider, is partnering with ITU to </w:t>
      </w:r>
      <w:r w:rsidRPr="0087685B">
        <w:rPr>
          <w:rFonts w:ascii="Aptos" w:hAnsi="Aptos" w:cs="Calibri"/>
          <w:color w:val="2F2F2F"/>
          <w:sz w:val="22"/>
          <w:szCs w:val="22"/>
        </w:rPr>
        <w:t xml:space="preserve">supply satellite equipment and services in disasters. Intelsat is part of the ITU's Partner2Connect Digital Coalition, which aims to improve digital inclusion and connectivity. </w:t>
      </w:r>
    </w:p>
    <w:p w14:paraId="648E4DD9" w14:textId="77777777" w:rsidR="0087685B" w:rsidRPr="0087685B" w:rsidRDefault="0087685B" w:rsidP="004729F3">
      <w:pPr>
        <w:pStyle w:val="Section"/>
      </w:pPr>
      <w:bookmarkStart w:id="28" w:name="_Toc190883402"/>
      <w:r w:rsidRPr="0087685B">
        <w:t>Special event in Argentina builds girls’ technology skills and knowledge about careers</w:t>
      </w:r>
      <w:bookmarkEnd w:id="28"/>
      <w:r w:rsidRPr="0087685B">
        <w:t xml:space="preserve"> </w:t>
      </w:r>
    </w:p>
    <w:p w14:paraId="424D7CFC" w14:textId="77777777" w:rsidR="0087685B" w:rsidRPr="00563970" w:rsidRDefault="0087685B" w:rsidP="00E44A55">
      <w:pPr>
        <w:spacing w:before="0" w:after="160" w:line="259" w:lineRule="auto"/>
        <w:rPr>
          <w:rFonts w:ascii="Aptos" w:hAnsi="Aptos" w:cs="Calibri"/>
          <w:color w:val="2F2F2F"/>
          <w:sz w:val="22"/>
          <w:szCs w:val="22"/>
        </w:rPr>
      </w:pPr>
      <w:r w:rsidRPr="00563970">
        <w:rPr>
          <w:rFonts w:ascii="Aptos" w:hAnsi="Aptos" w:cs="Calibri"/>
          <w:color w:val="2F2F2F"/>
          <w:sz w:val="22"/>
          <w:szCs w:val="22"/>
        </w:rPr>
        <w:t xml:space="preserve">An </w:t>
      </w:r>
      <w:hyperlink r:id="rId139" w:history="1">
        <w:r w:rsidRPr="00563970">
          <w:rPr>
            <w:rStyle w:val="Hyperlink"/>
            <w:rFonts w:ascii="Aptos" w:hAnsi="Aptos" w:cs="Calibri"/>
            <w:sz w:val="22"/>
            <w:szCs w:val="22"/>
          </w:rPr>
          <w:t>Americas Girls Can Code event in Quilmes, Argentina</w:t>
        </w:r>
      </w:hyperlink>
      <w:r w:rsidRPr="00563970">
        <w:rPr>
          <w:rFonts w:ascii="Aptos" w:hAnsi="Aptos" w:cs="Calibri"/>
          <w:color w:val="2F2F2F"/>
          <w:sz w:val="22"/>
          <w:szCs w:val="22"/>
        </w:rPr>
        <w:t xml:space="preserve"> provided a forum for girls to learn computer programming and other tech-related skills and find out about careers in information and communication technology.</w:t>
      </w:r>
    </w:p>
    <w:p w14:paraId="31C0B2C1" w14:textId="77777777" w:rsidR="0087685B" w:rsidRPr="00563970" w:rsidRDefault="0087685B" w:rsidP="00E44A55">
      <w:pPr>
        <w:spacing w:before="0" w:after="160" w:line="259" w:lineRule="auto"/>
        <w:rPr>
          <w:rFonts w:ascii="Aptos" w:hAnsi="Aptos" w:cs="Calibri"/>
          <w:color w:val="2F2F2F"/>
          <w:sz w:val="22"/>
          <w:szCs w:val="22"/>
        </w:rPr>
      </w:pPr>
      <w:proofErr w:type="spellStart"/>
      <w:r w:rsidRPr="00563970">
        <w:rPr>
          <w:rFonts w:ascii="Aptos" w:hAnsi="Aptos" w:cs="Calibri"/>
          <w:color w:val="2F2F2F"/>
          <w:sz w:val="22"/>
          <w:szCs w:val="22"/>
        </w:rPr>
        <w:t>Yasmín</w:t>
      </w:r>
      <w:proofErr w:type="spellEnd"/>
      <w:r w:rsidRPr="00563970">
        <w:rPr>
          <w:rFonts w:ascii="Aptos" w:hAnsi="Aptos" w:cs="Calibri"/>
          <w:color w:val="2F2F2F"/>
          <w:sz w:val="22"/>
          <w:szCs w:val="22"/>
        </w:rPr>
        <w:t>, a professor of history from the National University of Quilmes, celebrated the event as a great opportunity for girls to meet, exchange ideas, and to build capacity to become the “women of the future.”</w:t>
      </w:r>
    </w:p>
    <w:p w14:paraId="48965C79" w14:textId="77777777" w:rsidR="0087685B" w:rsidRPr="00563970" w:rsidRDefault="0087685B" w:rsidP="00E44A55">
      <w:pPr>
        <w:spacing w:before="0" w:after="160" w:line="259" w:lineRule="auto"/>
        <w:rPr>
          <w:rFonts w:ascii="Aptos" w:hAnsi="Aptos" w:cs="Calibri"/>
          <w:color w:val="2F2F2F"/>
          <w:sz w:val="22"/>
          <w:szCs w:val="22"/>
        </w:rPr>
      </w:pPr>
      <w:r w:rsidRPr="00563970">
        <w:rPr>
          <w:rFonts w:ascii="Aptos" w:hAnsi="Aptos" w:cs="Calibri"/>
          <w:color w:val="2F2F2F"/>
          <w:sz w:val="22"/>
          <w:szCs w:val="22"/>
        </w:rPr>
        <w:t xml:space="preserve">The event was part of the Americas Girls Can Code initiative, which is improving girls’ digital skills by promoting coding, robotics, and other science, technology, engineering and mathematics activities, while raising awareness about careers in information and communication technology. </w:t>
      </w:r>
    </w:p>
    <w:p w14:paraId="4B6656F0" w14:textId="77777777" w:rsidR="0087685B" w:rsidRPr="0087685B" w:rsidRDefault="0087685B" w:rsidP="00E44A55">
      <w:pPr>
        <w:spacing w:before="0" w:after="160" w:line="259" w:lineRule="auto"/>
        <w:rPr>
          <w:rFonts w:ascii="Aptos" w:hAnsi="Aptos" w:cs="Calibri"/>
          <w:color w:val="2F2F2F"/>
          <w:sz w:val="22"/>
          <w:szCs w:val="22"/>
        </w:rPr>
      </w:pPr>
      <w:r w:rsidRPr="0087685B">
        <w:rPr>
          <w:rFonts w:ascii="Aptos" w:hAnsi="Aptos" w:cs="Calibri"/>
          <w:color w:val="2F2F2F"/>
          <w:sz w:val="22"/>
          <w:szCs w:val="22"/>
        </w:rPr>
        <w:t>The event was organised by the ITU Regional Office for the Americas with the support of the Subsecretary of Technologies and Information of Argentina, and the City of Quilmes.</w:t>
      </w:r>
    </w:p>
    <w:p w14:paraId="30220BE1" w14:textId="77777777" w:rsidR="0087685B" w:rsidRPr="0087685B" w:rsidRDefault="0087685B" w:rsidP="004729F3">
      <w:pPr>
        <w:pStyle w:val="Section"/>
      </w:pPr>
      <w:bookmarkStart w:id="29" w:name="_Toc190883403"/>
      <w:r w:rsidRPr="0087685B">
        <w:t>Developing national telecommunications mapping system in Uruguay</w:t>
      </w:r>
      <w:bookmarkEnd w:id="29"/>
    </w:p>
    <w:p w14:paraId="252E96A6" w14:textId="18866B1C" w:rsidR="0087685B" w:rsidRPr="0087685B" w:rsidRDefault="0087685B" w:rsidP="00E44A55">
      <w:pPr>
        <w:spacing w:before="0" w:after="160" w:line="259" w:lineRule="auto"/>
        <w:rPr>
          <w:rFonts w:ascii="Aptos" w:hAnsi="Aptos" w:cs="Calibri"/>
          <w:color w:val="2F2F2F"/>
          <w:sz w:val="22"/>
          <w:szCs w:val="22"/>
        </w:rPr>
      </w:pPr>
      <w:r w:rsidRPr="0087685B">
        <w:rPr>
          <w:rFonts w:ascii="Aptos" w:hAnsi="Aptos" w:cs="Calibri"/>
          <w:color w:val="2F2F2F"/>
          <w:sz w:val="22"/>
          <w:szCs w:val="22"/>
        </w:rPr>
        <w:t xml:space="preserve">A four-day mission in Montevideo, Uruguay, was undertaken to assist DINATEL, </w:t>
      </w:r>
      <w:r w:rsidRPr="00563970">
        <w:rPr>
          <w:rFonts w:ascii="Aptos" w:hAnsi="Aptos" w:cs="Calibri"/>
          <w:color w:val="2F2F2F"/>
          <w:sz w:val="22"/>
          <w:szCs w:val="22"/>
        </w:rPr>
        <w:t xml:space="preserve">Uruguay’s National Directorate of Telecommunications and Audiovisual Communications Services, </w:t>
      </w:r>
      <w:r w:rsidRPr="0087685B">
        <w:rPr>
          <w:rFonts w:ascii="Aptos" w:hAnsi="Aptos" w:cs="Calibri"/>
          <w:color w:val="2F2F2F"/>
          <w:sz w:val="22"/>
          <w:szCs w:val="22"/>
        </w:rPr>
        <w:t xml:space="preserve">in organizing the first practical workshop on ICT infrastructure mapping, analysis, and planning. </w:t>
      </w:r>
    </w:p>
    <w:p w14:paraId="075624F7" w14:textId="77777777" w:rsidR="0087685B" w:rsidRPr="00563970" w:rsidRDefault="0087685B" w:rsidP="00E44A55">
      <w:pPr>
        <w:spacing w:before="0" w:after="160" w:line="259" w:lineRule="auto"/>
        <w:rPr>
          <w:rFonts w:ascii="Aptos" w:hAnsi="Aptos" w:cs="Calibri"/>
          <w:color w:val="2F2F2F"/>
          <w:sz w:val="22"/>
          <w:szCs w:val="22"/>
        </w:rPr>
      </w:pPr>
      <w:r w:rsidRPr="00563970">
        <w:rPr>
          <w:rFonts w:ascii="Aptos" w:hAnsi="Aptos" w:cs="Calibri"/>
          <w:color w:val="2F2F2F"/>
          <w:sz w:val="22"/>
          <w:szCs w:val="22"/>
        </w:rPr>
        <w:t>The ITU Telecommunication Development Bureau is working with Uruguay to develop and implement a broadband mapping system to enhance the country's digital infrastructure and connectivity.</w:t>
      </w:r>
    </w:p>
    <w:p w14:paraId="0ED4D639" w14:textId="77777777" w:rsidR="0087685B" w:rsidRPr="00563970" w:rsidRDefault="0087685B" w:rsidP="00E44A55">
      <w:pPr>
        <w:spacing w:before="0" w:after="160" w:line="259" w:lineRule="auto"/>
        <w:rPr>
          <w:rFonts w:ascii="Aptos" w:hAnsi="Aptos" w:cs="Calibri"/>
          <w:color w:val="2F2F2F"/>
          <w:sz w:val="22"/>
          <w:szCs w:val="22"/>
        </w:rPr>
      </w:pPr>
      <w:r w:rsidRPr="00563970">
        <w:rPr>
          <w:rFonts w:ascii="Aptos" w:hAnsi="Aptos" w:cs="Calibri"/>
          <w:color w:val="2F2F2F"/>
          <w:sz w:val="22"/>
          <w:szCs w:val="22"/>
        </w:rPr>
        <w:t>A telecommunications mapping system is a digital tool that collects and shows data about the coverage and quality of telecom networks in a specific area. Its main purpose is to help improve broadband networks by identifying gaps in coverage, quality, and affordability. This information supports decision-making for government officials, regulators, service providers, businesses, and citizens.</w:t>
      </w:r>
    </w:p>
    <w:p w14:paraId="162B0EEB" w14:textId="77777777" w:rsidR="0087685B" w:rsidRPr="00563970" w:rsidRDefault="0087685B" w:rsidP="00E44A55">
      <w:pPr>
        <w:spacing w:before="0" w:after="160" w:line="259" w:lineRule="auto"/>
        <w:rPr>
          <w:rFonts w:ascii="Aptos" w:hAnsi="Aptos" w:cs="Calibri"/>
          <w:color w:val="2F2F2F"/>
          <w:sz w:val="22"/>
          <w:szCs w:val="22"/>
        </w:rPr>
      </w:pPr>
      <w:r w:rsidRPr="0087685B">
        <w:rPr>
          <w:rFonts w:ascii="Aptos" w:hAnsi="Aptos" w:cs="Calibri"/>
          <w:color w:val="2F2F2F"/>
          <w:sz w:val="22"/>
          <w:szCs w:val="22"/>
        </w:rPr>
        <w:t>DINATEL has faced challenges due to a lack of centralized, up-to-date data on network deployment and service quality. The new system aims to provide comprehensive data, facilitating better coordination between public and private sectors.</w:t>
      </w:r>
    </w:p>
    <w:p w14:paraId="0CE8086B" w14:textId="77777777" w:rsidR="0087685B" w:rsidRPr="0087685B" w:rsidRDefault="0087685B" w:rsidP="00E44A55">
      <w:pPr>
        <w:spacing w:before="0" w:after="160" w:line="259" w:lineRule="auto"/>
        <w:rPr>
          <w:rFonts w:ascii="Aptos" w:hAnsi="Aptos" w:cs="Calibri"/>
          <w:color w:val="2F2F2F"/>
          <w:sz w:val="22"/>
          <w:szCs w:val="22"/>
        </w:rPr>
      </w:pPr>
      <w:r w:rsidRPr="0087685B">
        <w:rPr>
          <w:rFonts w:ascii="Aptos" w:hAnsi="Aptos" w:cs="Calibri"/>
          <w:color w:val="2F2F2F"/>
          <w:sz w:val="22"/>
          <w:szCs w:val="22"/>
        </w:rPr>
        <w:t>The workshop took place during October 2024 and included sectoral meetings and site visits to key connectivity initiatives. The activities provided valuable insights into the state of telecommunications infrastructure.</w:t>
      </w:r>
    </w:p>
    <w:p w14:paraId="525C2B5C" w14:textId="77777777" w:rsidR="00FE47A7" w:rsidRDefault="00FE47A7">
      <w:pPr>
        <w:tabs>
          <w:tab w:val="clear" w:pos="794"/>
          <w:tab w:val="clear" w:pos="1191"/>
          <w:tab w:val="clear" w:pos="1588"/>
          <w:tab w:val="clear" w:pos="1985"/>
        </w:tabs>
        <w:overflowPunct/>
        <w:autoSpaceDE/>
        <w:autoSpaceDN/>
        <w:adjustRightInd/>
        <w:spacing w:before="0"/>
        <w:textAlignment w:val="auto"/>
        <w:rPr>
          <w:rFonts w:ascii="Aptos Display" w:eastAsia="Yu Gothic Light" w:hAnsi="Aptos Display"/>
          <w:color w:val="0F4761"/>
          <w:kern w:val="2"/>
          <w:sz w:val="40"/>
          <w:szCs w:val="40"/>
          <w14:ligatures w14:val="standardContextual"/>
        </w:rPr>
      </w:pPr>
      <w:r>
        <w:br w:type="page"/>
      </w:r>
    </w:p>
    <w:p w14:paraId="3EEF5D22" w14:textId="4D8A6BF3" w:rsidR="006C41B5" w:rsidRPr="003D0AEA" w:rsidRDefault="006C41B5" w:rsidP="000C3666">
      <w:pPr>
        <w:pStyle w:val="Parttitle0"/>
      </w:pPr>
      <w:bookmarkStart w:id="30" w:name="_Toc190883404"/>
      <w:r w:rsidRPr="003D0AEA">
        <w:lastRenderedPageBreak/>
        <w:t>Annex</w:t>
      </w:r>
      <w:r w:rsidR="00DC4955" w:rsidRPr="003D0AEA">
        <w:t>:</w:t>
      </w:r>
      <w:r w:rsidRPr="003D0AEA">
        <w:t xml:space="preserve"> Data resources</w:t>
      </w:r>
      <w:bookmarkEnd w:id="30"/>
      <w:r w:rsidRPr="003D0AEA">
        <w:t xml:space="preserve"> </w:t>
      </w:r>
    </w:p>
    <w:p w14:paraId="3D47BD5C" w14:textId="77777777" w:rsidR="00F85156" w:rsidRPr="00F85156" w:rsidRDefault="00F85156" w:rsidP="00F85156">
      <w:pPr>
        <w:autoSpaceDE/>
        <w:autoSpaceDN/>
        <w:adjustRightInd/>
        <w:spacing w:after="160" w:line="259" w:lineRule="auto"/>
        <w:textAlignment w:val="auto"/>
        <w:rPr>
          <w:rFonts w:ascii="Aptos" w:eastAsia="Aptos" w:hAnsi="Aptos" w:cs="Arial"/>
          <w:kern w:val="2"/>
          <w:sz w:val="22"/>
          <w:szCs w:val="22"/>
          <w14:ligatures w14:val="standardContextual"/>
        </w:rPr>
      </w:pPr>
      <w:r w:rsidRPr="00F85156">
        <w:rPr>
          <w:rFonts w:ascii="Aptos" w:eastAsia="Aptos" w:hAnsi="Aptos" w:cs="Arial"/>
          <w:kern w:val="2"/>
          <w:sz w:val="22"/>
          <w:szCs w:val="22"/>
          <w14:ligatures w14:val="standardContextual"/>
        </w:rPr>
        <w:t>To ensure up-to-date information, and enhance readability, all data presented in this document are available for download as Excel files:</w:t>
      </w:r>
    </w:p>
    <w:p w14:paraId="67232335" w14:textId="3040B815" w:rsidR="005430F0" w:rsidRPr="003D0AEA" w:rsidRDefault="005430F0" w:rsidP="003F2687">
      <w:pPr>
        <w:pStyle w:val="ListParagraph"/>
        <w:numPr>
          <w:ilvl w:val="0"/>
          <w:numId w:val="27"/>
        </w:numPr>
        <w:rPr>
          <w:rFonts w:ascii="Aptos" w:hAnsi="Aptos"/>
          <w:sz w:val="22"/>
          <w:szCs w:val="22"/>
        </w:rPr>
      </w:pPr>
      <w:hyperlink r:id="rId140" w:history="1">
        <w:r w:rsidRPr="003D0AEA">
          <w:rPr>
            <w:rStyle w:val="Hyperlink"/>
            <w:rFonts w:ascii="Aptos" w:hAnsi="Aptos"/>
            <w:sz w:val="22"/>
            <w:szCs w:val="22"/>
          </w:rPr>
          <w:t>Country-level data</w:t>
        </w:r>
      </w:hyperlink>
      <w:r w:rsidRPr="003D0AEA">
        <w:rPr>
          <w:rFonts w:ascii="Aptos" w:hAnsi="Aptos"/>
          <w:sz w:val="22"/>
          <w:szCs w:val="22"/>
        </w:rPr>
        <w:t xml:space="preserve"> organized by tabs corresponding to the sections of this </w:t>
      </w:r>
      <w:r w:rsidR="00202F61" w:rsidRPr="003D0AEA">
        <w:rPr>
          <w:rFonts w:ascii="Aptos" w:hAnsi="Aptos"/>
          <w:sz w:val="22"/>
          <w:szCs w:val="22"/>
        </w:rPr>
        <w:t>document</w:t>
      </w:r>
      <w:r w:rsidRPr="003D0AEA">
        <w:rPr>
          <w:rFonts w:ascii="Aptos" w:hAnsi="Aptos"/>
          <w:sz w:val="22"/>
          <w:szCs w:val="22"/>
        </w:rPr>
        <w:t xml:space="preserve"> (URL: </w:t>
      </w:r>
      <w:hyperlink r:id="rId141" w:history="1">
        <w:r w:rsidR="004C3CCC">
          <w:rPr>
            <w:rStyle w:val="Hyperlink"/>
            <w:rFonts w:ascii="Aptos" w:eastAsia="Aptos" w:hAnsi="Aptos"/>
            <w:sz w:val="22"/>
            <w:szCs w:val="22"/>
          </w:rPr>
          <w:t>https://www.itu.int/en/ITU-D/Statistics/Documents/facts/rpm_ams_pub_2025_data.xlsx</w:t>
        </w:r>
      </w:hyperlink>
      <w:r w:rsidR="00326380" w:rsidRPr="003D0AEA">
        <w:rPr>
          <w:rFonts w:ascii="Aptos" w:hAnsi="Aptos"/>
          <w:sz w:val="22"/>
          <w:szCs w:val="22"/>
        </w:rPr>
        <w:t>).</w:t>
      </w:r>
      <w:r w:rsidRPr="003D0AEA">
        <w:rPr>
          <w:rFonts w:ascii="Aptos" w:hAnsi="Aptos"/>
          <w:sz w:val="22"/>
          <w:szCs w:val="22"/>
        </w:rPr>
        <w:t xml:space="preserve"> Country level data were extracted from the </w:t>
      </w:r>
      <w:hyperlink r:id="rId142" w:history="1">
        <w:r w:rsidRPr="003D0AEA">
          <w:rPr>
            <w:rStyle w:val="Hyperlink"/>
            <w:rFonts w:ascii="Aptos" w:hAnsi="Aptos"/>
            <w:sz w:val="22"/>
            <w:szCs w:val="22"/>
          </w:rPr>
          <w:t>ITU DataHub</w:t>
        </w:r>
      </w:hyperlink>
      <w:r w:rsidRPr="003D0AEA">
        <w:rPr>
          <w:rFonts w:ascii="Aptos" w:hAnsi="Aptos"/>
          <w:sz w:val="22"/>
          <w:szCs w:val="22"/>
        </w:rPr>
        <w:t xml:space="preserve">, reflecting </w:t>
      </w:r>
      <w:r w:rsidRPr="00582DDC">
        <w:rPr>
          <w:rFonts w:ascii="Aptos" w:hAnsi="Aptos"/>
          <w:sz w:val="22"/>
          <w:szCs w:val="22"/>
        </w:rPr>
        <w:t xml:space="preserve">the </w:t>
      </w:r>
      <w:r w:rsidR="00ED6F1D" w:rsidRPr="00582DDC">
        <w:rPr>
          <w:rFonts w:ascii="Aptos" w:hAnsi="Aptos"/>
          <w:sz w:val="22"/>
          <w:szCs w:val="22"/>
        </w:rPr>
        <w:t>February</w:t>
      </w:r>
      <w:r w:rsidRPr="00582DDC">
        <w:rPr>
          <w:rFonts w:ascii="Aptos" w:hAnsi="Aptos"/>
          <w:sz w:val="22"/>
          <w:szCs w:val="22"/>
        </w:rPr>
        <w:t xml:space="preserve"> 2025 data</w:t>
      </w:r>
      <w:r w:rsidRPr="003D0AEA">
        <w:rPr>
          <w:rFonts w:ascii="Aptos" w:hAnsi="Aptos"/>
          <w:sz w:val="22"/>
          <w:szCs w:val="22"/>
        </w:rPr>
        <w:t xml:space="preserve"> release.</w:t>
      </w:r>
    </w:p>
    <w:p w14:paraId="6F649C85" w14:textId="02B6EDD3" w:rsidR="00923CF1" w:rsidRPr="003D0AEA" w:rsidRDefault="005430F0" w:rsidP="006F6050">
      <w:pPr>
        <w:pStyle w:val="ListParagraph"/>
        <w:numPr>
          <w:ilvl w:val="0"/>
          <w:numId w:val="27"/>
        </w:numPr>
        <w:rPr>
          <w:rFonts w:ascii="Aptos" w:hAnsi="Aptos"/>
          <w:sz w:val="22"/>
          <w:szCs w:val="22"/>
        </w:rPr>
      </w:pPr>
      <w:hyperlink r:id="rId143" w:history="1">
        <w:r w:rsidRPr="003D0AEA">
          <w:rPr>
            <w:rStyle w:val="Hyperlink"/>
            <w:rFonts w:ascii="Aptos" w:hAnsi="Aptos"/>
            <w:sz w:val="22"/>
            <w:szCs w:val="22"/>
          </w:rPr>
          <w:t>Regional and global estimates</w:t>
        </w:r>
      </w:hyperlink>
      <w:r w:rsidRPr="003D0AEA">
        <w:rPr>
          <w:rFonts w:ascii="Aptos" w:hAnsi="Aptos"/>
          <w:sz w:val="22"/>
          <w:szCs w:val="22"/>
        </w:rPr>
        <w:t xml:space="preserve">, as compiled for </w:t>
      </w:r>
      <w:hyperlink r:id="rId144" w:history="1">
        <w:r w:rsidRPr="003D0AEA">
          <w:rPr>
            <w:rStyle w:val="Hyperlink"/>
            <w:rFonts w:ascii="Aptos" w:hAnsi="Aptos"/>
            <w:sz w:val="22"/>
            <w:szCs w:val="22"/>
          </w:rPr>
          <w:t>Facts and Figures 2024</w:t>
        </w:r>
      </w:hyperlink>
      <w:r w:rsidR="00065473" w:rsidRPr="003D0AEA">
        <w:t xml:space="preserve"> </w:t>
      </w:r>
      <w:r w:rsidRPr="003D0AEA">
        <w:rPr>
          <w:rFonts w:ascii="Aptos" w:hAnsi="Aptos"/>
          <w:sz w:val="22"/>
          <w:szCs w:val="22"/>
        </w:rPr>
        <w:t>(URL:</w:t>
      </w:r>
      <w:r w:rsidR="003F2687" w:rsidRPr="003D0AEA">
        <w:rPr>
          <w:rFonts w:ascii="Aptos" w:hAnsi="Aptos"/>
          <w:sz w:val="22"/>
          <w:szCs w:val="22"/>
        </w:rPr>
        <w:t xml:space="preserve"> </w:t>
      </w:r>
      <w:hyperlink r:id="rId145" w:history="1">
        <w:r w:rsidR="003F2687" w:rsidRPr="003D0AEA">
          <w:rPr>
            <w:rStyle w:val="Hyperlink"/>
            <w:rFonts w:ascii="Aptos" w:hAnsi="Aptos"/>
            <w:sz w:val="22"/>
            <w:szCs w:val="22"/>
          </w:rPr>
          <w:t>https://www.itu.int/en/ITUD/Statistics/Documents/facts/ITU_regional_global_Key_ICT_indicator_aggregates_Nov_2024.xlsx</w:t>
        </w:r>
      </w:hyperlink>
      <w:r w:rsidRPr="003D0AEA">
        <w:rPr>
          <w:rFonts w:ascii="Aptos" w:hAnsi="Aptos"/>
          <w:sz w:val="22"/>
          <w:szCs w:val="22"/>
        </w:rPr>
        <w:t>).</w:t>
      </w:r>
    </w:p>
    <w:sectPr w:rsidR="00923CF1" w:rsidRPr="003D0AEA" w:rsidSect="008C7A35">
      <w:headerReference w:type="even" r:id="rId146"/>
      <w:headerReference w:type="default" r:id="rId147"/>
      <w:footerReference w:type="even" r:id="rId148"/>
      <w:footerReference w:type="default" r:id="rId149"/>
      <w:headerReference w:type="first" r:id="rId150"/>
      <w:footerReference w:type="first" r:id="rId151"/>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3CD5D" w14:textId="77777777" w:rsidR="0029232D" w:rsidRDefault="0029232D">
      <w:r>
        <w:separator/>
      </w:r>
    </w:p>
  </w:endnote>
  <w:endnote w:type="continuationSeparator" w:id="0">
    <w:p w14:paraId="3B6F2B5C" w14:textId="77777777" w:rsidR="0029232D" w:rsidRDefault="0029232D">
      <w:r>
        <w:continuationSeparator/>
      </w:r>
    </w:p>
  </w:endnote>
  <w:endnote w:type="continuationNotice" w:id="1">
    <w:p w14:paraId="37BC1E65" w14:textId="77777777" w:rsidR="0029232D" w:rsidRDefault="0029232D">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venir Next W1G">
    <w:altName w:val="Calibri"/>
    <w:panose1 w:val="00000000000000000000"/>
    <w:charset w:val="00"/>
    <w:family w:val="swiss"/>
    <w:notTrueType/>
    <w:pitch w:val="variable"/>
    <w:sig w:usb0="A00002EF" w:usb1="00000003" w:usb2="00000000" w:usb3="00000000" w:csb0="0000019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AvenirNext LT Pro Light">
    <w:altName w:val="Calibri"/>
    <w:panose1 w:val="00000000000000000000"/>
    <w:charset w:val="4D"/>
    <w:family w:val="swiss"/>
    <w:notTrueType/>
    <w:pitch w:val="variable"/>
    <w:sig w:usb0="A00000AF" w:usb1="5000204B"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AvenirNext LT Pro Medium">
    <w:altName w:val="Calibri"/>
    <w:charset w:val="4D"/>
    <w:family w:val="swiss"/>
    <w:pitch w:val="variable"/>
    <w:sig w:usb0="800000AF" w:usb1="5000204A"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Helvetica Neue">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C7B1F" w14:textId="77777777" w:rsidR="008A0F2A" w:rsidRDefault="008A0F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1715F" w14:textId="77777777" w:rsidR="008A0F2A" w:rsidRDefault="008A0F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923" w:type="dxa"/>
      <w:tblLayout w:type="fixed"/>
      <w:tblLook w:val="04A0" w:firstRow="1" w:lastRow="0" w:firstColumn="1" w:lastColumn="0" w:noHBand="0" w:noVBand="1"/>
    </w:tblPr>
    <w:tblGrid>
      <w:gridCol w:w="1526"/>
      <w:gridCol w:w="2410"/>
      <w:gridCol w:w="5987"/>
    </w:tblGrid>
    <w:tr w:rsidR="00EA2854" w:rsidRPr="00B6699B" w14:paraId="695D1810" w14:textId="77777777" w:rsidTr="00F44F26">
      <w:tc>
        <w:tcPr>
          <w:tcW w:w="1526" w:type="dxa"/>
          <w:tcBorders>
            <w:top w:val="single" w:sz="4" w:space="0" w:color="000000"/>
          </w:tcBorders>
          <w:shd w:val="clear" w:color="auto" w:fill="auto"/>
        </w:tcPr>
        <w:p w14:paraId="746E5A61" w14:textId="4D568A12" w:rsidR="00EA2854" w:rsidRPr="00B6699B" w:rsidRDefault="00EA2854" w:rsidP="00EA2854">
          <w:pPr>
            <w:pStyle w:val="FirstFooter"/>
            <w:tabs>
              <w:tab w:val="left" w:pos="1559"/>
              <w:tab w:val="left" w:pos="3828"/>
            </w:tabs>
            <w:rPr>
              <w:sz w:val="18"/>
              <w:szCs w:val="18"/>
              <w:lang w:val="en-GB"/>
            </w:rPr>
          </w:pPr>
          <w:r w:rsidRPr="00B6699B">
            <w:rPr>
              <w:sz w:val="18"/>
              <w:szCs w:val="18"/>
              <w:lang w:val="en-GB"/>
            </w:rPr>
            <w:t>Contact:</w:t>
          </w:r>
        </w:p>
      </w:tc>
      <w:tc>
        <w:tcPr>
          <w:tcW w:w="2410" w:type="dxa"/>
          <w:tcBorders>
            <w:top w:val="single" w:sz="4" w:space="0" w:color="000000"/>
          </w:tcBorders>
          <w:shd w:val="clear" w:color="auto" w:fill="auto"/>
        </w:tcPr>
        <w:p w14:paraId="488E41E2" w14:textId="5351BA68" w:rsidR="00EA2854" w:rsidRPr="00B6699B" w:rsidRDefault="00EA2854" w:rsidP="00EA2854">
          <w:pPr>
            <w:pStyle w:val="FirstFooter"/>
            <w:tabs>
              <w:tab w:val="left" w:pos="2302"/>
            </w:tabs>
            <w:ind w:left="2302" w:hanging="2302"/>
            <w:rPr>
              <w:sz w:val="18"/>
              <w:szCs w:val="18"/>
              <w:lang w:val="en-GB"/>
            </w:rPr>
          </w:pPr>
          <w:r w:rsidRPr="00B6699B">
            <w:rPr>
              <w:sz w:val="18"/>
              <w:szCs w:val="18"/>
              <w:lang w:val="en-GB"/>
            </w:rPr>
            <w:t>Name/Organization/Entity:</w:t>
          </w:r>
        </w:p>
      </w:tc>
      <w:tc>
        <w:tcPr>
          <w:tcW w:w="5987" w:type="dxa"/>
          <w:tcBorders>
            <w:top w:val="single" w:sz="4" w:space="0" w:color="000000"/>
          </w:tcBorders>
        </w:tcPr>
        <w:p w14:paraId="148264AE" w14:textId="01690D03" w:rsidR="00EA2854" w:rsidRPr="00B6699B" w:rsidRDefault="00EA2854" w:rsidP="00EA2854">
          <w:pPr>
            <w:pStyle w:val="FirstFooter"/>
            <w:tabs>
              <w:tab w:val="left" w:pos="2302"/>
            </w:tabs>
            <w:rPr>
              <w:sz w:val="18"/>
              <w:szCs w:val="18"/>
              <w:lang w:val="en-GB"/>
            </w:rPr>
          </w:pPr>
          <w:r w:rsidRPr="00B6699B">
            <w:rPr>
              <w:sz w:val="18"/>
              <w:szCs w:val="18"/>
              <w:lang w:val="en-GB"/>
            </w:rPr>
            <w:t>Mr Thierry Geiger, ITU/BDT/DKS/IDA</w:t>
          </w:r>
        </w:p>
      </w:tc>
      <w:bookmarkStart w:id="33" w:name="OrgName"/>
      <w:bookmarkEnd w:id="33"/>
    </w:tr>
    <w:tr w:rsidR="00EA2854" w:rsidRPr="00B6699B" w14:paraId="61167678" w14:textId="77777777" w:rsidTr="00F44F26">
      <w:tc>
        <w:tcPr>
          <w:tcW w:w="1526" w:type="dxa"/>
          <w:shd w:val="clear" w:color="auto" w:fill="auto"/>
        </w:tcPr>
        <w:p w14:paraId="33710823" w14:textId="77777777" w:rsidR="00EA2854" w:rsidRPr="00B6699B" w:rsidRDefault="00EA2854" w:rsidP="00EA2854">
          <w:pPr>
            <w:pStyle w:val="FirstFooter"/>
            <w:tabs>
              <w:tab w:val="left" w:pos="1559"/>
              <w:tab w:val="left" w:pos="3828"/>
            </w:tabs>
            <w:rPr>
              <w:sz w:val="18"/>
              <w:szCs w:val="18"/>
              <w:lang w:val="en-GB"/>
            </w:rPr>
          </w:pPr>
        </w:p>
      </w:tc>
      <w:tc>
        <w:tcPr>
          <w:tcW w:w="2410" w:type="dxa"/>
          <w:shd w:val="clear" w:color="auto" w:fill="auto"/>
        </w:tcPr>
        <w:p w14:paraId="1251F6E4" w14:textId="41E91519" w:rsidR="00EA2854" w:rsidRPr="00B6699B" w:rsidRDefault="00EA2854" w:rsidP="00EA2854">
          <w:pPr>
            <w:pStyle w:val="FirstFooter"/>
            <w:tabs>
              <w:tab w:val="left" w:pos="2302"/>
            </w:tabs>
            <w:rPr>
              <w:sz w:val="18"/>
              <w:szCs w:val="18"/>
              <w:lang w:val="en-GB"/>
            </w:rPr>
          </w:pPr>
          <w:r w:rsidRPr="00B6699B">
            <w:rPr>
              <w:sz w:val="18"/>
              <w:szCs w:val="18"/>
              <w:lang w:val="en-GB"/>
            </w:rPr>
            <w:t>Phone number:</w:t>
          </w:r>
        </w:p>
      </w:tc>
      <w:tc>
        <w:tcPr>
          <w:tcW w:w="5987" w:type="dxa"/>
        </w:tcPr>
        <w:p w14:paraId="6D7949F0" w14:textId="25DB25FE" w:rsidR="00EA2854" w:rsidRPr="00B6699B" w:rsidRDefault="00EA2854" w:rsidP="00EA2854">
          <w:pPr>
            <w:pStyle w:val="FirstFooter"/>
            <w:tabs>
              <w:tab w:val="left" w:pos="2302"/>
            </w:tabs>
            <w:rPr>
              <w:sz w:val="18"/>
              <w:szCs w:val="18"/>
              <w:lang w:val="en-GB"/>
            </w:rPr>
          </w:pPr>
          <w:r w:rsidRPr="00B6699B">
            <w:rPr>
              <w:sz w:val="18"/>
              <w:szCs w:val="18"/>
              <w:lang w:val="en-GB"/>
            </w:rPr>
            <w:t>+41 22 730 5094</w:t>
          </w:r>
        </w:p>
      </w:tc>
      <w:bookmarkStart w:id="34" w:name="PhoneNo"/>
      <w:bookmarkEnd w:id="34"/>
    </w:tr>
    <w:tr w:rsidR="00EA2854" w:rsidRPr="00B6699B" w14:paraId="0299A231" w14:textId="77777777" w:rsidTr="00F44F26">
      <w:tc>
        <w:tcPr>
          <w:tcW w:w="1526" w:type="dxa"/>
          <w:shd w:val="clear" w:color="auto" w:fill="auto"/>
        </w:tcPr>
        <w:p w14:paraId="35CBC438" w14:textId="77777777" w:rsidR="00EA2854" w:rsidRPr="00B6699B" w:rsidRDefault="00EA2854" w:rsidP="00EA2854">
          <w:pPr>
            <w:pStyle w:val="FirstFooter"/>
            <w:tabs>
              <w:tab w:val="left" w:pos="1559"/>
              <w:tab w:val="left" w:pos="3828"/>
            </w:tabs>
            <w:rPr>
              <w:sz w:val="18"/>
              <w:szCs w:val="18"/>
              <w:lang w:val="en-GB"/>
            </w:rPr>
          </w:pPr>
        </w:p>
      </w:tc>
      <w:tc>
        <w:tcPr>
          <w:tcW w:w="2410" w:type="dxa"/>
          <w:shd w:val="clear" w:color="auto" w:fill="auto"/>
        </w:tcPr>
        <w:p w14:paraId="65335E06" w14:textId="26A23C42" w:rsidR="00EA2854" w:rsidRPr="00B6699B" w:rsidRDefault="00EA2854" w:rsidP="00EA2854">
          <w:pPr>
            <w:pStyle w:val="FirstFooter"/>
            <w:tabs>
              <w:tab w:val="left" w:pos="2302"/>
            </w:tabs>
            <w:rPr>
              <w:sz w:val="18"/>
              <w:szCs w:val="18"/>
              <w:lang w:val="en-GB"/>
            </w:rPr>
          </w:pPr>
          <w:r w:rsidRPr="00B6699B">
            <w:rPr>
              <w:sz w:val="18"/>
              <w:szCs w:val="18"/>
              <w:lang w:val="en-GB"/>
            </w:rPr>
            <w:t>E-mail:</w:t>
          </w:r>
        </w:p>
      </w:tc>
      <w:tc>
        <w:tcPr>
          <w:tcW w:w="5987" w:type="dxa"/>
        </w:tcPr>
        <w:p w14:paraId="7EAB0988" w14:textId="38EE6746" w:rsidR="00EA2854" w:rsidRPr="00B6699B" w:rsidRDefault="00EA2854" w:rsidP="00EA2854">
          <w:pPr>
            <w:pStyle w:val="FirstFooter"/>
            <w:tabs>
              <w:tab w:val="left" w:pos="2302"/>
            </w:tabs>
            <w:rPr>
              <w:sz w:val="18"/>
              <w:szCs w:val="18"/>
              <w:lang w:val="en-GB"/>
            </w:rPr>
          </w:pPr>
          <w:hyperlink r:id="rId1" w:history="1">
            <w:r w:rsidRPr="00B6699B">
              <w:rPr>
                <w:rStyle w:val="Hyperlink"/>
                <w:sz w:val="18"/>
                <w:szCs w:val="18"/>
                <w:lang w:val="en-GB"/>
              </w:rPr>
              <w:t>thierry.geiger@itu.int</w:t>
            </w:r>
          </w:hyperlink>
          <w:r w:rsidRPr="00B6699B">
            <w:rPr>
              <w:sz w:val="18"/>
              <w:szCs w:val="18"/>
              <w:lang w:val="en-GB"/>
            </w:rPr>
            <w:t xml:space="preserve"> </w:t>
          </w:r>
        </w:p>
      </w:tc>
      <w:bookmarkStart w:id="35" w:name="Email"/>
      <w:bookmarkEnd w:id="35"/>
    </w:tr>
  </w:tbl>
  <w:p w14:paraId="40A321D0" w14:textId="1C276101" w:rsidR="00721657" w:rsidRPr="00B6699B" w:rsidRDefault="00721657" w:rsidP="00030397">
    <w:pPr>
      <w:pStyle w:val="Footer"/>
      <w:jc w:val="center"/>
      <w:rPr>
        <w:sz w:val="18"/>
        <w:szCs w:val="1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F37B4" w14:textId="77777777" w:rsidR="0029232D" w:rsidRDefault="0029232D">
      <w:r>
        <w:t>____________________</w:t>
      </w:r>
    </w:p>
  </w:footnote>
  <w:footnote w:type="continuationSeparator" w:id="0">
    <w:p w14:paraId="7B7D1230" w14:textId="77777777" w:rsidR="0029232D" w:rsidRDefault="0029232D">
      <w:r>
        <w:continuationSeparator/>
      </w:r>
    </w:p>
  </w:footnote>
  <w:footnote w:type="continuationNotice" w:id="1">
    <w:p w14:paraId="26E89AD0" w14:textId="77777777" w:rsidR="0029232D" w:rsidRDefault="0029232D">
      <w:pPr>
        <w:spacing w:before="0"/>
      </w:pPr>
    </w:p>
  </w:footnote>
  <w:footnote w:id="2">
    <w:p w14:paraId="2F5F67D5" w14:textId="6E4616F8" w:rsidR="00F648F8" w:rsidRPr="00426281" w:rsidRDefault="00F648F8">
      <w:pPr>
        <w:pStyle w:val="FootnoteText"/>
        <w:rPr>
          <w:lang w:val="de-CH"/>
        </w:rPr>
      </w:pPr>
      <w:r>
        <w:rPr>
          <w:rStyle w:val="FootnoteReference"/>
        </w:rPr>
        <w:footnoteRef/>
      </w:r>
      <w:r>
        <w:t xml:space="preserve"> </w:t>
      </w:r>
      <w:r w:rsidRPr="002E42CD">
        <w:rPr>
          <w:sz w:val="18"/>
          <w:szCs w:val="18"/>
        </w:rPr>
        <w:t>The tiers of the G5 Benchmark reflect a country's level of digital governance. The four levels, from least to most advanced, are: Limited, Transitioning, Advanced and Leading.</w:t>
      </w:r>
      <w:r>
        <w:rPr>
          <w:sz w:val="18"/>
          <w:szCs w:val="18"/>
        </w:rPr>
        <w:t xml:space="preserve"> </w:t>
      </w:r>
      <w:r w:rsidRPr="00426281">
        <w:rPr>
          <w:sz w:val="18"/>
          <w:szCs w:val="18"/>
          <w:lang w:val="de-CH"/>
        </w:rPr>
        <w:t xml:space="preserve">See </w:t>
      </w:r>
      <w:hyperlink r:id="rId1" w:history="1">
        <w:r w:rsidRPr="00426281">
          <w:rPr>
            <w:rStyle w:val="Hyperlink"/>
            <w:sz w:val="18"/>
            <w:szCs w:val="18"/>
            <w:lang w:val="de-CH"/>
          </w:rPr>
          <w:t>gen5.digital/benchmark</w:t>
        </w:r>
      </w:hyperlink>
      <w:r w:rsidRPr="00426281">
        <w:rPr>
          <w:sz w:val="18"/>
          <w:szCs w:val="18"/>
          <w:lang w:val="de-CH"/>
        </w:rPr>
        <w:t xml:space="preserve"> </w:t>
      </w:r>
    </w:p>
  </w:footnote>
  <w:footnote w:id="3">
    <w:p w14:paraId="4C1E4B03" w14:textId="301BEB6C" w:rsidR="003422FD" w:rsidRPr="00426281" w:rsidRDefault="003422FD">
      <w:pPr>
        <w:pStyle w:val="FootnoteText"/>
        <w:rPr>
          <w:lang w:val="de-CH"/>
        </w:rPr>
      </w:pPr>
      <w:r>
        <w:rPr>
          <w:rStyle w:val="FootnoteReference"/>
        </w:rPr>
        <w:footnoteRef/>
      </w:r>
      <w:r w:rsidRPr="00426281">
        <w:rPr>
          <w:lang w:val="de-CH"/>
        </w:rPr>
        <w:t xml:space="preserve"> </w:t>
      </w:r>
      <w:hyperlink r:id="rId2" w:history="1">
        <w:r w:rsidRPr="00426281">
          <w:rPr>
            <w:rStyle w:val="Hyperlink"/>
            <w:lang w:val="de-CH"/>
          </w:rPr>
          <w:t>https://digitallibrary.un.org/record/4054465?ln=en</w:t>
        </w:r>
      </w:hyperlink>
      <w:r w:rsidRPr="00426281">
        <w:rPr>
          <w:lang w:val="de-CH"/>
        </w:rPr>
        <w:t xml:space="preserve"> </w:t>
      </w:r>
    </w:p>
  </w:footnote>
  <w:footnote w:id="4">
    <w:p w14:paraId="5A415940" w14:textId="44FC082E" w:rsidR="002F1A75" w:rsidRPr="007D0851" w:rsidRDefault="002F1A75" w:rsidP="002F1A75">
      <w:pPr>
        <w:pStyle w:val="FootnoteText"/>
      </w:pPr>
      <w:r>
        <w:rPr>
          <w:rStyle w:val="FootnoteReference"/>
        </w:rPr>
        <w:footnoteRef/>
      </w:r>
      <w:r>
        <w:t xml:space="preserve"> ITU, </w:t>
      </w:r>
      <w:hyperlink r:id="rId3" w:anchor="p=1" w:history="1">
        <w:r w:rsidRPr="007D0851">
          <w:rPr>
            <w:rStyle w:val="Hyperlink"/>
          </w:rPr>
          <w:t>Accelerating Sustainable and Inclusive Digital Transformation in SIDS: A 10-Step Plan for SIDS</w:t>
        </w:r>
      </w:hyperlink>
    </w:p>
  </w:footnote>
  <w:footnote w:id="5">
    <w:p w14:paraId="1809CC89" w14:textId="77777777" w:rsidR="002F1A75" w:rsidRPr="00563970" w:rsidRDefault="002F1A75" w:rsidP="002F1A75">
      <w:pPr>
        <w:pStyle w:val="FootnoteText"/>
      </w:pPr>
      <w:r>
        <w:rPr>
          <w:rStyle w:val="FootnoteReference"/>
        </w:rPr>
        <w:footnoteRef/>
      </w:r>
      <w:r>
        <w:t xml:space="preserve"> </w:t>
      </w:r>
      <w:hyperlink r:id="rId4" w:history="1">
        <w:r w:rsidRPr="00563970">
          <w:rPr>
            <w:rStyle w:val="Hyperlink"/>
          </w:rPr>
          <w:t>https://docs.un.org/A/RES/79/233</w:t>
        </w:r>
      </w:hyperlink>
    </w:p>
  </w:footnote>
  <w:footnote w:id="6">
    <w:p w14:paraId="0F07F756" w14:textId="77777777" w:rsidR="000A4A86" w:rsidRPr="009848E5" w:rsidRDefault="000A4A86" w:rsidP="000A4A86">
      <w:pPr>
        <w:pStyle w:val="FootnoteText"/>
      </w:pPr>
      <w:r>
        <w:rPr>
          <w:rStyle w:val="FootnoteReference"/>
        </w:rPr>
        <w:footnoteRef/>
      </w:r>
      <w:r>
        <w:t xml:space="preserve"> </w:t>
      </w:r>
      <w:r w:rsidRPr="009848E5">
        <w:t>Considering that some people may never want to connect, as a matter of convention universality is taken to mean an Internet penetration rate of at least 95 per cent.</w:t>
      </w:r>
    </w:p>
  </w:footnote>
  <w:footnote w:id="7">
    <w:p w14:paraId="76ABA8D9" w14:textId="7B44179A" w:rsidR="006C41B5" w:rsidRPr="004B35BA" w:rsidRDefault="006C41B5" w:rsidP="006C41B5">
      <w:pPr>
        <w:pStyle w:val="FootnoteText"/>
      </w:pPr>
      <w:r w:rsidRPr="00613DB6">
        <w:rPr>
          <w:rStyle w:val="FootnoteReference"/>
        </w:rPr>
        <w:footnoteRef/>
      </w:r>
      <w:r w:rsidRPr="00613DB6">
        <w:t xml:space="preserve"> In this document, for </w:t>
      </w:r>
      <w:r w:rsidR="00F84005" w:rsidRPr="00613DB6">
        <w:t>f</w:t>
      </w:r>
      <w:r w:rsidRPr="00613DB6">
        <w:t>igures reporting economy-level data, all economies are shown</w:t>
      </w:r>
      <w:r w:rsidR="006B3CD4" w:rsidRPr="00613DB6">
        <w:t xml:space="preserve">. Countries are sorted </w:t>
      </w:r>
      <w:r w:rsidR="00950342" w:rsidRPr="00613DB6">
        <w:t>by value</w:t>
      </w:r>
      <w:r w:rsidR="006B3CD4" w:rsidRPr="00613DB6">
        <w:t xml:space="preserve"> of the indicator</w:t>
      </w:r>
      <w:r w:rsidRPr="00613DB6">
        <w:t>. A data point is only shown if it is for the year 2020 or later, otherwise it is marked as not available (N/A)</w:t>
      </w:r>
      <w:r w:rsidR="00C25642" w:rsidRPr="00613DB6">
        <w:t>, or excluded altogether</w:t>
      </w:r>
      <w:r w:rsidR="00DB0377" w:rsidRPr="00613DB6">
        <w:t xml:space="preserve"> (</w:t>
      </w:r>
      <w:r w:rsidR="007863F9" w:rsidRPr="00613DB6">
        <w:t xml:space="preserve">when </w:t>
      </w:r>
      <w:r w:rsidR="00DB0D63" w:rsidRPr="00613DB6">
        <w:t>data are not available for many countries</w:t>
      </w:r>
      <w:r w:rsidR="00DB0377" w:rsidRPr="00613DB6">
        <w:t>)</w:t>
      </w:r>
      <w:r w:rsidRPr="00613DB6">
        <w:t xml:space="preserve">. In addition, a marker shows the data point for the year 2018, if available. Data are extracted from the </w:t>
      </w:r>
      <w:hyperlink r:id="rId5" w:history="1">
        <w:r w:rsidRPr="00613DB6">
          <w:rPr>
            <w:rStyle w:val="Hyperlink"/>
          </w:rPr>
          <w:t>ITU DataHub</w:t>
        </w:r>
      </w:hyperlink>
      <w:r w:rsidR="00293F8B" w:rsidRPr="00613DB6">
        <w:t>,</w:t>
      </w:r>
      <w:r w:rsidRPr="00613DB6">
        <w:t xml:space="preserve"> based on the data release </w:t>
      </w:r>
      <w:r w:rsidR="00A27A11" w:rsidRPr="00613DB6">
        <w:t>of February</w:t>
      </w:r>
      <w:r w:rsidR="00B5694F" w:rsidRPr="00613DB6">
        <w:t xml:space="preserve"> 2025</w:t>
      </w:r>
      <w:r w:rsidRPr="00613DB6">
        <w:t xml:space="preserve">. Since country-level data are available for the year 2023 at best, for comparison purposes, the regional average for the year 2023 is reported as well, as published in </w:t>
      </w:r>
      <w:hyperlink r:id="rId6" w:history="1">
        <w:r w:rsidRPr="00613DB6">
          <w:rPr>
            <w:rStyle w:val="Hyperlink"/>
          </w:rPr>
          <w:t>Facts and Figures 2024</w:t>
        </w:r>
      </w:hyperlink>
      <w:r w:rsidRPr="00613DB6">
        <w:t xml:space="preserve">. To save space in these </w:t>
      </w:r>
      <w:r w:rsidR="00F84005" w:rsidRPr="00613DB6">
        <w:t>f</w:t>
      </w:r>
      <w:r w:rsidRPr="00613DB6">
        <w:t xml:space="preserve">igures, </w:t>
      </w:r>
      <w:r w:rsidR="0054775F" w:rsidRPr="00613DB6">
        <w:t>“</w:t>
      </w:r>
      <w:r w:rsidR="00184493" w:rsidRPr="00613DB6">
        <w:t>Saint Vincent &amp; Gren.</w:t>
      </w:r>
      <w:r w:rsidR="00B32911" w:rsidRPr="00613DB6">
        <w:t>”</w:t>
      </w:r>
      <w:r w:rsidR="00184493" w:rsidRPr="00613DB6">
        <w:t xml:space="preserve"> </w:t>
      </w:r>
      <w:r w:rsidR="00B32911" w:rsidRPr="00613DB6">
        <w:t>i</w:t>
      </w:r>
      <w:r w:rsidR="00184493" w:rsidRPr="00613DB6">
        <w:t xml:space="preserve">s used instead </w:t>
      </w:r>
      <w:r w:rsidR="00B32911" w:rsidRPr="00613DB6">
        <w:t>of</w:t>
      </w:r>
      <w:r w:rsidR="00F84005" w:rsidRPr="00613DB6">
        <w:t xml:space="preserve"> </w:t>
      </w:r>
      <w:r w:rsidR="0054775F" w:rsidRPr="00613DB6">
        <w:t>“</w:t>
      </w:r>
      <w:r w:rsidR="00B32911" w:rsidRPr="00613DB6">
        <w:t>Saint Vincent and the Grenadines</w:t>
      </w:r>
      <w:r w:rsidR="0054775F" w:rsidRPr="00613DB6">
        <w:t>”</w:t>
      </w:r>
      <w:r w:rsidR="00B32911" w:rsidRPr="00613DB6">
        <w:t>, and “Bolivia” is used instead of “Bolivia (Plurinational State of)”</w:t>
      </w:r>
      <w:r w:rsidRPr="00613DB6">
        <w:t>.</w:t>
      </w:r>
    </w:p>
  </w:footnote>
  <w:footnote w:id="8">
    <w:p w14:paraId="61440552" w14:textId="77777777" w:rsidR="00E342E4" w:rsidRPr="005B254D" w:rsidRDefault="00E342E4" w:rsidP="00E342E4">
      <w:pPr>
        <w:pStyle w:val="FootnoteText"/>
      </w:pPr>
      <w:r w:rsidRPr="008648EC">
        <w:rPr>
          <w:rStyle w:val="FootnoteReference"/>
        </w:rPr>
        <w:footnoteRef/>
      </w:r>
      <w:r w:rsidRPr="008648EC">
        <w:t xml:space="preserve"> The gender parity score is calculated as the proportion of women who use the Internet divided by the proportion of men who use the Internet. A value less than one indicates that men are more likely to use the Internet than women, while a value greater than one indicates the opposite. Gender parity is considered achieved if the value lies between 0.98 and 1.02.</w:t>
      </w:r>
    </w:p>
  </w:footnote>
  <w:footnote w:id="9">
    <w:p w14:paraId="1C607F66" w14:textId="77777777" w:rsidR="00145DC2" w:rsidRPr="00E9428B" w:rsidRDefault="00145DC2" w:rsidP="00145DC2">
      <w:pPr>
        <w:pStyle w:val="FootnoteText"/>
      </w:pPr>
      <w:r>
        <w:rPr>
          <w:rStyle w:val="FootnoteReference"/>
        </w:rPr>
        <w:footnoteRef/>
      </w:r>
      <w:r>
        <w:t xml:space="preserve"> </w:t>
      </w:r>
      <w:r w:rsidRPr="0009059A">
        <w:t>Considering only those countries for which data was available for all years from 2018 to 2024</w:t>
      </w:r>
      <w:r>
        <w:t>.</w:t>
      </w:r>
    </w:p>
  </w:footnote>
  <w:footnote w:id="10">
    <w:p w14:paraId="2B3773FA" w14:textId="77777777" w:rsidR="007D369D" w:rsidRPr="005E14BE" w:rsidRDefault="007D369D" w:rsidP="007D369D">
      <w:pPr>
        <w:pStyle w:val="FootnoteText"/>
      </w:pPr>
      <w:r>
        <w:rPr>
          <w:rStyle w:val="FootnoteReference"/>
        </w:rPr>
        <w:footnoteRef/>
      </w:r>
      <w:r>
        <w:t xml:space="preserve"> For a complete definition, see ISIC Rev. 4 class 61.</w:t>
      </w:r>
    </w:p>
  </w:footnote>
  <w:footnote w:id="11">
    <w:p w14:paraId="4A900D60" w14:textId="77777777" w:rsidR="004B1D02" w:rsidRPr="008648EC" w:rsidRDefault="004B1D02" w:rsidP="004B1D02">
      <w:pPr>
        <w:pStyle w:val="FootnoteText"/>
      </w:pPr>
      <w:r w:rsidRPr="008648EC">
        <w:rPr>
          <w:rStyle w:val="FootnoteReference"/>
        </w:rPr>
        <w:footnoteRef/>
      </w:r>
      <w:r w:rsidRPr="008648EC">
        <w:t xml:space="preserve"> Investment statistics collected by ITU refer to acquiring or upgrading property (including tangible assets such as plants and non-tangible assets such as computer software) and networks. Expenditure on research and development, annual fees for operating licences and the use of radio spectrum, and investment in telecommunication software or equipment for internal use are excluded.</w:t>
      </w:r>
    </w:p>
  </w:footnote>
  <w:footnote w:id="12">
    <w:p w14:paraId="0714C209" w14:textId="189DC0EE" w:rsidR="00783C56" w:rsidRPr="007F6AD2" w:rsidRDefault="00783C56" w:rsidP="00783C56">
      <w:pPr>
        <w:pStyle w:val="FootnoteText"/>
      </w:pPr>
      <w:r w:rsidRPr="008648EC">
        <w:rPr>
          <w:rStyle w:val="FootnoteReference"/>
        </w:rPr>
        <w:footnoteRef/>
      </w:r>
      <w:r w:rsidRPr="008648EC">
        <w:rPr>
          <w:sz w:val="16"/>
          <w:szCs w:val="16"/>
        </w:rPr>
        <w:t xml:space="preserve"> </w:t>
      </w:r>
      <w:r>
        <w:t>Venezuela</w:t>
      </w:r>
      <w:r w:rsidRPr="00853BEA">
        <w:t xml:space="preserve"> is not included in the three groups due to substantial differences in connectivity with others in the region.</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7A1BE" w14:textId="77777777" w:rsidR="008A0F2A" w:rsidRDefault="008A0F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4FE77" w14:textId="6FBEE64D" w:rsidR="00721657" w:rsidRPr="00426281" w:rsidRDefault="001D31BA" w:rsidP="001D31BA">
    <w:pPr>
      <w:tabs>
        <w:tab w:val="clear" w:pos="794"/>
        <w:tab w:val="clear" w:pos="1191"/>
        <w:tab w:val="clear" w:pos="1588"/>
        <w:tab w:val="clear" w:pos="1985"/>
        <w:tab w:val="center" w:pos="4820"/>
        <w:tab w:val="right" w:pos="10206"/>
      </w:tabs>
      <w:ind w:right="1"/>
      <w:rPr>
        <w:rStyle w:val="PageNumber"/>
        <w:smallCaps/>
        <w:spacing w:val="24"/>
        <w:sz w:val="22"/>
        <w:szCs w:val="22"/>
        <w:lang w:val="pt-PT"/>
      </w:rPr>
    </w:pPr>
    <w:r w:rsidRPr="004D495C">
      <w:rPr>
        <w:sz w:val="22"/>
        <w:szCs w:val="22"/>
      </w:rPr>
      <w:tab/>
    </w:r>
    <w:r w:rsidRPr="00426281">
      <w:rPr>
        <w:sz w:val="22"/>
        <w:szCs w:val="22"/>
        <w:lang w:val="pt-PT"/>
      </w:rPr>
      <w:t>ITU-D/</w:t>
    </w:r>
    <w:bookmarkStart w:id="31" w:name="DocRef2"/>
    <w:bookmarkEnd w:id="31"/>
    <w:r w:rsidRPr="00426281">
      <w:rPr>
        <w:sz w:val="22"/>
        <w:szCs w:val="22"/>
        <w:lang w:val="pt-PT"/>
      </w:rPr>
      <w:t>RPM-</w:t>
    </w:r>
    <w:r w:rsidR="00670782" w:rsidRPr="00426281">
      <w:rPr>
        <w:sz w:val="22"/>
        <w:szCs w:val="22"/>
        <w:lang w:val="pt-PT"/>
      </w:rPr>
      <w:t>A</w:t>
    </w:r>
    <w:r w:rsidR="00AB777E" w:rsidRPr="00426281">
      <w:rPr>
        <w:sz w:val="22"/>
        <w:szCs w:val="22"/>
        <w:lang w:val="pt-PT"/>
      </w:rPr>
      <w:t>MS</w:t>
    </w:r>
    <w:r w:rsidRPr="00426281">
      <w:rPr>
        <w:sz w:val="22"/>
        <w:szCs w:val="22"/>
        <w:lang w:val="pt-PT"/>
      </w:rPr>
      <w:t>25/</w:t>
    </w:r>
    <w:bookmarkStart w:id="32" w:name="DocNo2"/>
    <w:bookmarkEnd w:id="32"/>
    <w:r w:rsidR="0004506C" w:rsidRPr="00426281">
      <w:rPr>
        <w:sz w:val="22"/>
        <w:szCs w:val="22"/>
        <w:lang w:val="pt-PT"/>
      </w:rPr>
      <w:t>3</w:t>
    </w:r>
    <w:r w:rsidRPr="00426281">
      <w:rPr>
        <w:sz w:val="22"/>
        <w:szCs w:val="22"/>
        <w:lang w:val="pt-PT"/>
      </w:rPr>
      <w:t>-E</w:t>
    </w:r>
    <w:r w:rsidRPr="00426281">
      <w:rPr>
        <w:sz w:val="22"/>
        <w:szCs w:val="22"/>
        <w:lang w:val="pt-PT"/>
      </w:rPr>
      <w:tab/>
      <w:t xml:space="preserve">Page </w:t>
    </w:r>
    <w:r w:rsidRPr="004D495C">
      <w:rPr>
        <w:sz w:val="22"/>
        <w:szCs w:val="22"/>
      </w:rPr>
      <w:fldChar w:fldCharType="begin"/>
    </w:r>
    <w:r w:rsidRPr="00426281">
      <w:rPr>
        <w:sz w:val="22"/>
        <w:szCs w:val="22"/>
        <w:lang w:val="pt-PT"/>
      </w:rPr>
      <w:instrText xml:space="preserve"> PAGE </w:instrText>
    </w:r>
    <w:r w:rsidRPr="004D495C">
      <w:rPr>
        <w:sz w:val="22"/>
        <w:szCs w:val="22"/>
      </w:rPr>
      <w:fldChar w:fldCharType="separate"/>
    </w:r>
    <w:r w:rsidRPr="00426281">
      <w:rPr>
        <w:sz w:val="22"/>
        <w:szCs w:val="22"/>
        <w:lang w:val="pt-PT"/>
      </w:rPr>
      <w:t>2</w:t>
    </w:r>
    <w:r w:rsidRPr="004D495C">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52FC9" w14:textId="77777777" w:rsidR="008A0F2A" w:rsidRDefault="008A0F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5907"/>
    <w:multiLevelType w:val="multilevel"/>
    <w:tmpl w:val="7A2ED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496D4E"/>
    <w:multiLevelType w:val="hybridMultilevel"/>
    <w:tmpl w:val="3374359A"/>
    <w:lvl w:ilvl="0" w:tplc="C610FBF4">
      <w:start w:val="1"/>
      <w:numFmt w:val="bullet"/>
      <w:lvlText w:val=""/>
      <w:lvlJc w:val="left"/>
      <w:pPr>
        <w:ind w:left="1020" w:hanging="360"/>
      </w:pPr>
      <w:rPr>
        <w:rFonts w:ascii="Symbol" w:hAnsi="Symbol"/>
      </w:rPr>
    </w:lvl>
    <w:lvl w:ilvl="1" w:tplc="691CAD06">
      <w:start w:val="1"/>
      <w:numFmt w:val="bullet"/>
      <w:lvlText w:val=""/>
      <w:lvlJc w:val="left"/>
      <w:pPr>
        <w:ind w:left="1020" w:hanging="360"/>
      </w:pPr>
      <w:rPr>
        <w:rFonts w:ascii="Symbol" w:hAnsi="Symbol"/>
      </w:rPr>
    </w:lvl>
    <w:lvl w:ilvl="2" w:tplc="6868E694">
      <w:start w:val="1"/>
      <w:numFmt w:val="bullet"/>
      <w:lvlText w:val=""/>
      <w:lvlJc w:val="left"/>
      <w:pPr>
        <w:ind w:left="1020" w:hanging="360"/>
      </w:pPr>
      <w:rPr>
        <w:rFonts w:ascii="Symbol" w:hAnsi="Symbol"/>
      </w:rPr>
    </w:lvl>
    <w:lvl w:ilvl="3" w:tplc="6D6A1ECA">
      <w:start w:val="1"/>
      <w:numFmt w:val="bullet"/>
      <w:lvlText w:val=""/>
      <w:lvlJc w:val="left"/>
      <w:pPr>
        <w:ind w:left="1020" w:hanging="360"/>
      </w:pPr>
      <w:rPr>
        <w:rFonts w:ascii="Symbol" w:hAnsi="Symbol"/>
      </w:rPr>
    </w:lvl>
    <w:lvl w:ilvl="4" w:tplc="6C5EB502">
      <w:start w:val="1"/>
      <w:numFmt w:val="bullet"/>
      <w:lvlText w:val=""/>
      <w:lvlJc w:val="left"/>
      <w:pPr>
        <w:ind w:left="1020" w:hanging="360"/>
      </w:pPr>
      <w:rPr>
        <w:rFonts w:ascii="Symbol" w:hAnsi="Symbol"/>
      </w:rPr>
    </w:lvl>
    <w:lvl w:ilvl="5" w:tplc="8A5E985A">
      <w:start w:val="1"/>
      <w:numFmt w:val="bullet"/>
      <w:lvlText w:val=""/>
      <w:lvlJc w:val="left"/>
      <w:pPr>
        <w:ind w:left="1020" w:hanging="360"/>
      </w:pPr>
      <w:rPr>
        <w:rFonts w:ascii="Symbol" w:hAnsi="Symbol"/>
      </w:rPr>
    </w:lvl>
    <w:lvl w:ilvl="6" w:tplc="39BC6026">
      <w:start w:val="1"/>
      <w:numFmt w:val="bullet"/>
      <w:lvlText w:val=""/>
      <w:lvlJc w:val="left"/>
      <w:pPr>
        <w:ind w:left="1020" w:hanging="360"/>
      </w:pPr>
      <w:rPr>
        <w:rFonts w:ascii="Symbol" w:hAnsi="Symbol"/>
      </w:rPr>
    </w:lvl>
    <w:lvl w:ilvl="7" w:tplc="F95A8A26">
      <w:start w:val="1"/>
      <w:numFmt w:val="bullet"/>
      <w:lvlText w:val=""/>
      <w:lvlJc w:val="left"/>
      <w:pPr>
        <w:ind w:left="1020" w:hanging="360"/>
      </w:pPr>
      <w:rPr>
        <w:rFonts w:ascii="Symbol" w:hAnsi="Symbol"/>
      </w:rPr>
    </w:lvl>
    <w:lvl w:ilvl="8" w:tplc="7938B9F2">
      <w:start w:val="1"/>
      <w:numFmt w:val="bullet"/>
      <w:lvlText w:val=""/>
      <w:lvlJc w:val="left"/>
      <w:pPr>
        <w:ind w:left="1020" w:hanging="360"/>
      </w:pPr>
      <w:rPr>
        <w:rFonts w:ascii="Symbol" w:hAnsi="Symbol"/>
      </w:rPr>
    </w:lvl>
  </w:abstractNum>
  <w:abstractNum w:abstractNumId="2" w15:restartNumberingAfterBreak="0">
    <w:nsid w:val="0AEC2226"/>
    <w:multiLevelType w:val="hybridMultilevel"/>
    <w:tmpl w:val="8104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A33113"/>
    <w:multiLevelType w:val="hybridMultilevel"/>
    <w:tmpl w:val="ABA8D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B4EEA"/>
    <w:multiLevelType w:val="hybridMultilevel"/>
    <w:tmpl w:val="F5EE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55DF2"/>
    <w:multiLevelType w:val="hybridMultilevel"/>
    <w:tmpl w:val="CC0C8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65749C"/>
    <w:multiLevelType w:val="hybridMultilevel"/>
    <w:tmpl w:val="A0881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B73CB2"/>
    <w:multiLevelType w:val="multilevel"/>
    <w:tmpl w:val="8490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D3087"/>
    <w:multiLevelType w:val="hybridMultilevel"/>
    <w:tmpl w:val="C6705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E204F"/>
    <w:multiLevelType w:val="multilevel"/>
    <w:tmpl w:val="82661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73D1A11"/>
    <w:multiLevelType w:val="hybridMultilevel"/>
    <w:tmpl w:val="812C18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8F90A0A"/>
    <w:multiLevelType w:val="hybridMultilevel"/>
    <w:tmpl w:val="A304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002390"/>
    <w:multiLevelType w:val="hybridMultilevel"/>
    <w:tmpl w:val="FEA83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184A05"/>
    <w:multiLevelType w:val="multilevel"/>
    <w:tmpl w:val="A74C7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0C44FD"/>
    <w:multiLevelType w:val="hybridMultilevel"/>
    <w:tmpl w:val="9C667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BD6800"/>
    <w:multiLevelType w:val="hybridMultilevel"/>
    <w:tmpl w:val="31D8B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383A04"/>
    <w:multiLevelType w:val="multilevel"/>
    <w:tmpl w:val="B8B23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3366C0"/>
    <w:multiLevelType w:val="hybridMultilevel"/>
    <w:tmpl w:val="58FE7E0C"/>
    <w:lvl w:ilvl="0" w:tplc="3694506A">
      <w:start w:val="1"/>
      <w:numFmt w:val="bullet"/>
      <w:lvlText w:val=""/>
      <w:lvlJc w:val="left"/>
      <w:pPr>
        <w:ind w:left="1020" w:hanging="360"/>
      </w:pPr>
      <w:rPr>
        <w:rFonts w:ascii="Symbol" w:hAnsi="Symbol"/>
      </w:rPr>
    </w:lvl>
    <w:lvl w:ilvl="1" w:tplc="40ECF334">
      <w:start w:val="1"/>
      <w:numFmt w:val="bullet"/>
      <w:lvlText w:val=""/>
      <w:lvlJc w:val="left"/>
      <w:pPr>
        <w:ind w:left="1020" w:hanging="360"/>
      </w:pPr>
      <w:rPr>
        <w:rFonts w:ascii="Symbol" w:hAnsi="Symbol"/>
      </w:rPr>
    </w:lvl>
    <w:lvl w:ilvl="2" w:tplc="CD12AE32">
      <w:start w:val="1"/>
      <w:numFmt w:val="bullet"/>
      <w:lvlText w:val=""/>
      <w:lvlJc w:val="left"/>
      <w:pPr>
        <w:ind w:left="1020" w:hanging="360"/>
      </w:pPr>
      <w:rPr>
        <w:rFonts w:ascii="Symbol" w:hAnsi="Symbol"/>
      </w:rPr>
    </w:lvl>
    <w:lvl w:ilvl="3" w:tplc="435ECFC4">
      <w:start w:val="1"/>
      <w:numFmt w:val="bullet"/>
      <w:lvlText w:val=""/>
      <w:lvlJc w:val="left"/>
      <w:pPr>
        <w:ind w:left="1020" w:hanging="360"/>
      </w:pPr>
      <w:rPr>
        <w:rFonts w:ascii="Symbol" w:hAnsi="Symbol"/>
      </w:rPr>
    </w:lvl>
    <w:lvl w:ilvl="4" w:tplc="28F47298">
      <w:start w:val="1"/>
      <w:numFmt w:val="bullet"/>
      <w:lvlText w:val=""/>
      <w:lvlJc w:val="left"/>
      <w:pPr>
        <w:ind w:left="1020" w:hanging="360"/>
      </w:pPr>
      <w:rPr>
        <w:rFonts w:ascii="Symbol" w:hAnsi="Symbol"/>
      </w:rPr>
    </w:lvl>
    <w:lvl w:ilvl="5" w:tplc="ABD8FEA8">
      <w:start w:val="1"/>
      <w:numFmt w:val="bullet"/>
      <w:lvlText w:val=""/>
      <w:lvlJc w:val="left"/>
      <w:pPr>
        <w:ind w:left="1020" w:hanging="360"/>
      </w:pPr>
      <w:rPr>
        <w:rFonts w:ascii="Symbol" w:hAnsi="Symbol"/>
      </w:rPr>
    </w:lvl>
    <w:lvl w:ilvl="6" w:tplc="1038B760">
      <w:start w:val="1"/>
      <w:numFmt w:val="bullet"/>
      <w:lvlText w:val=""/>
      <w:lvlJc w:val="left"/>
      <w:pPr>
        <w:ind w:left="1020" w:hanging="360"/>
      </w:pPr>
      <w:rPr>
        <w:rFonts w:ascii="Symbol" w:hAnsi="Symbol"/>
      </w:rPr>
    </w:lvl>
    <w:lvl w:ilvl="7" w:tplc="73CCBBD0">
      <w:start w:val="1"/>
      <w:numFmt w:val="bullet"/>
      <w:lvlText w:val=""/>
      <w:lvlJc w:val="left"/>
      <w:pPr>
        <w:ind w:left="1020" w:hanging="360"/>
      </w:pPr>
      <w:rPr>
        <w:rFonts w:ascii="Symbol" w:hAnsi="Symbol"/>
      </w:rPr>
    </w:lvl>
    <w:lvl w:ilvl="8" w:tplc="95DA569E">
      <w:start w:val="1"/>
      <w:numFmt w:val="bullet"/>
      <w:lvlText w:val=""/>
      <w:lvlJc w:val="left"/>
      <w:pPr>
        <w:ind w:left="1020" w:hanging="360"/>
      </w:pPr>
      <w:rPr>
        <w:rFonts w:ascii="Symbol" w:hAnsi="Symbol"/>
      </w:rPr>
    </w:lvl>
  </w:abstractNum>
  <w:abstractNum w:abstractNumId="18" w15:restartNumberingAfterBreak="0">
    <w:nsid w:val="4E3B68E1"/>
    <w:multiLevelType w:val="hybridMultilevel"/>
    <w:tmpl w:val="C2BC21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4F2E6BE8"/>
    <w:multiLevelType w:val="multilevel"/>
    <w:tmpl w:val="E83A9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21" w15:restartNumberingAfterBreak="0">
    <w:nsid w:val="5C382357"/>
    <w:multiLevelType w:val="hybridMultilevel"/>
    <w:tmpl w:val="4538FC12"/>
    <w:lvl w:ilvl="0" w:tplc="F766AB0A">
      <w:numFmt w:val="bullet"/>
      <w:lvlText w:val="•"/>
      <w:lvlJc w:val="left"/>
      <w:pPr>
        <w:ind w:left="1080" w:hanging="72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5B5972"/>
    <w:multiLevelType w:val="hybridMultilevel"/>
    <w:tmpl w:val="44504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BC1D1B"/>
    <w:multiLevelType w:val="hybridMultilevel"/>
    <w:tmpl w:val="8F6EE0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60167203"/>
    <w:multiLevelType w:val="multilevel"/>
    <w:tmpl w:val="6A640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55107F6"/>
    <w:multiLevelType w:val="hybridMultilevel"/>
    <w:tmpl w:val="0DFCF666"/>
    <w:lvl w:ilvl="0" w:tplc="1C38D086">
      <w:start w:val="1"/>
      <w:numFmt w:val="bullet"/>
      <w:lvlRestart w:val="0"/>
      <w:lvlText w:val="•"/>
      <w:lvlJc w:val="left"/>
      <w:pPr>
        <w:ind w:left="363" w:hanging="363"/>
      </w:pPr>
      <w:rPr>
        <w:rFonts w:ascii="Avenir Next W1G" w:hAnsi="Avenir Next W1G"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6" w15:restartNumberingAfterBreak="0">
    <w:nsid w:val="7BFD6E94"/>
    <w:multiLevelType w:val="hybridMultilevel"/>
    <w:tmpl w:val="EB803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3808767">
    <w:abstractNumId w:val="20"/>
  </w:num>
  <w:num w:numId="2" w16cid:durableId="1011488485">
    <w:abstractNumId w:val="3"/>
  </w:num>
  <w:num w:numId="3" w16cid:durableId="379672316">
    <w:abstractNumId w:val="24"/>
  </w:num>
  <w:num w:numId="4" w16cid:durableId="916474732">
    <w:abstractNumId w:val="14"/>
  </w:num>
  <w:num w:numId="5" w16cid:durableId="2130976733">
    <w:abstractNumId w:val="5"/>
  </w:num>
  <w:num w:numId="6" w16cid:durableId="2086758874">
    <w:abstractNumId w:val="7"/>
  </w:num>
  <w:num w:numId="7" w16cid:durableId="77137904">
    <w:abstractNumId w:val="1"/>
  </w:num>
  <w:num w:numId="8" w16cid:durableId="716323517">
    <w:abstractNumId w:val="17"/>
  </w:num>
  <w:num w:numId="9" w16cid:durableId="1225752095">
    <w:abstractNumId w:val="12"/>
  </w:num>
  <w:num w:numId="10" w16cid:durableId="883297556">
    <w:abstractNumId w:val="16"/>
  </w:num>
  <w:num w:numId="11" w16cid:durableId="442192808">
    <w:abstractNumId w:val="0"/>
  </w:num>
  <w:num w:numId="12" w16cid:durableId="1424957440">
    <w:abstractNumId w:val="23"/>
  </w:num>
  <w:num w:numId="13" w16cid:durableId="701516163">
    <w:abstractNumId w:val="9"/>
  </w:num>
  <w:num w:numId="14" w16cid:durableId="2094156602">
    <w:abstractNumId w:val="11"/>
  </w:num>
  <w:num w:numId="15" w16cid:durableId="1488085533">
    <w:abstractNumId w:val="18"/>
  </w:num>
  <w:num w:numId="16" w16cid:durableId="279066685">
    <w:abstractNumId w:val="15"/>
  </w:num>
  <w:num w:numId="17" w16cid:durableId="1044404833">
    <w:abstractNumId w:val="21"/>
  </w:num>
  <w:num w:numId="18" w16cid:durableId="742020862">
    <w:abstractNumId w:val="4"/>
  </w:num>
  <w:num w:numId="19" w16cid:durableId="1496990626">
    <w:abstractNumId w:val="19"/>
  </w:num>
  <w:num w:numId="20" w16cid:durableId="1870334765">
    <w:abstractNumId w:val="26"/>
  </w:num>
  <w:num w:numId="21" w16cid:durableId="623275208">
    <w:abstractNumId w:val="2"/>
  </w:num>
  <w:num w:numId="22" w16cid:durableId="1001547698">
    <w:abstractNumId w:val="22"/>
  </w:num>
  <w:num w:numId="23" w16cid:durableId="626356522">
    <w:abstractNumId w:val="8"/>
  </w:num>
  <w:num w:numId="24" w16cid:durableId="1719889230">
    <w:abstractNumId w:val="10"/>
  </w:num>
  <w:num w:numId="25" w16cid:durableId="136803954">
    <w:abstractNumId w:val="13"/>
  </w:num>
  <w:num w:numId="26" w16cid:durableId="926767242">
    <w:abstractNumId w:val="25"/>
  </w:num>
  <w:num w:numId="27" w16cid:durableId="116910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C43"/>
    <w:rsid w:val="000011A3"/>
    <w:rsid w:val="0000125E"/>
    <w:rsid w:val="00001612"/>
    <w:rsid w:val="00001648"/>
    <w:rsid w:val="000018FC"/>
    <w:rsid w:val="00001B79"/>
    <w:rsid w:val="00002716"/>
    <w:rsid w:val="00002870"/>
    <w:rsid w:val="00002987"/>
    <w:rsid w:val="00003100"/>
    <w:rsid w:val="0000318F"/>
    <w:rsid w:val="00003C43"/>
    <w:rsid w:val="000040C8"/>
    <w:rsid w:val="000049A0"/>
    <w:rsid w:val="0000508A"/>
    <w:rsid w:val="00005332"/>
    <w:rsid w:val="00005791"/>
    <w:rsid w:val="0000730D"/>
    <w:rsid w:val="00007A31"/>
    <w:rsid w:val="00010827"/>
    <w:rsid w:val="00010A46"/>
    <w:rsid w:val="00010E3C"/>
    <w:rsid w:val="0001159D"/>
    <w:rsid w:val="000118D6"/>
    <w:rsid w:val="00012F29"/>
    <w:rsid w:val="0001449F"/>
    <w:rsid w:val="00014843"/>
    <w:rsid w:val="00014930"/>
    <w:rsid w:val="00014E01"/>
    <w:rsid w:val="00015089"/>
    <w:rsid w:val="0001558B"/>
    <w:rsid w:val="00015AFF"/>
    <w:rsid w:val="00016612"/>
    <w:rsid w:val="00020340"/>
    <w:rsid w:val="00021196"/>
    <w:rsid w:val="00021991"/>
    <w:rsid w:val="000222B9"/>
    <w:rsid w:val="000224D4"/>
    <w:rsid w:val="000230E8"/>
    <w:rsid w:val="000234C8"/>
    <w:rsid w:val="000240A4"/>
    <w:rsid w:val="00024DC0"/>
    <w:rsid w:val="0002520B"/>
    <w:rsid w:val="00025BAC"/>
    <w:rsid w:val="00026D13"/>
    <w:rsid w:val="00026D7A"/>
    <w:rsid w:val="0002708B"/>
    <w:rsid w:val="000279A5"/>
    <w:rsid w:val="00027A16"/>
    <w:rsid w:val="000302FE"/>
    <w:rsid w:val="00030397"/>
    <w:rsid w:val="00030F9E"/>
    <w:rsid w:val="000314AF"/>
    <w:rsid w:val="000314C1"/>
    <w:rsid w:val="000318F3"/>
    <w:rsid w:val="000319A0"/>
    <w:rsid w:val="00031C8E"/>
    <w:rsid w:val="00031F8E"/>
    <w:rsid w:val="00031FB1"/>
    <w:rsid w:val="0003226C"/>
    <w:rsid w:val="00032399"/>
    <w:rsid w:val="00032486"/>
    <w:rsid w:val="00032A2F"/>
    <w:rsid w:val="00032B1B"/>
    <w:rsid w:val="00032F52"/>
    <w:rsid w:val="00035936"/>
    <w:rsid w:val="00035AB1"/>
    <w:rsid w:val="00035EC1"/>
    <w:rsid w:val="000366BD"/>
    <w:rsid w:val="00036B28"/>
    <w:rsid w:val="00037A9E"/>
    <w:rsid w:val="00037A9F"/>
    <w:rsid w:val="00037BAD"/>
    <w:rsid w:val="00037F91"/>
    <w:rsid w:val="000406D0"/>
    <w:rsid w:val="00041089"/>
    <w:rsid w:val="0004147F"/>
    <w:rsid w:val="00041EBB"/>
    <w:rsid w:val="00041EC3"/>
    <w:rsid w:val="0004203B"/>
    <w:rsid w:val="0004218D"/>
    <w:rsid w:val="0004241F"/>
    <w:rsid w:val="0004287F"/>
    <w:rsid w:val="00042A29"/>
    <w:rsid w:val="000439E1"/>
    <w:rsid w:val="00043A23"/>
    <w:rsid w:val="00043A75"/>
    <w:rsid w:val="00043E74"/>
    <w:rsid w:val="000446AC"/>
    <w:rsid w:val="00044952"/>
    <w:rsid w:val="00044970"/>
    <w:rsid w:val="00044B88"/>
    <w:rsid w:val="00044D1D"/>
    <w:rsid w:val="0004506C"/>
    <w:rsid w:val="00045A22"/>
    <w:rsid w:val="00045FA2"/>
    <w:rsid w:val="000462B6"/>
    <w:rsid w:val="00046D33"/>
    <w:rsid w:val="00047C94"/>
    <w:rsid w:val="000502C1"/>
    <w:rsid w:val="00050E9A"/>
    <w:rsid w:val="00051C91"/>
    <w:rsid w:val="00051E39"/>
    <w:rsid w:val="000520CB"/>
    <w:rsid w:val="0005225A"/>
    <w:rsid w:val="00052391"/>
    <w:rsid w:val="000529F1"/>
    <w:rsid w:val="00052CCC"/>
    <w:rsid w:val="00052FAE"/>
    <w:rsid w:val="00053671"/>
    <w:rsid w:val="000539F1"/>
    <w:rsid w:val="00054747"/>
    <w:rsid w:val="00054A91"/>
    <w:rsid w:val="00054EC6"/>
    <w:rsid w:val="0005592D"/>
    <w:rsid w:val="00055A2A"/>
    <w:rsid w:val="00057015"/>
    <w:rsid w:val="000578CF"/>
    <w:rsid w:val="00060029"/>
    <w:rsid w:val="0006095E"/>
    <w:rsid w:val="00060A76"/>
    <w:rsid w:val="00060C15"/>
    <w:rsid w:val="000610FB"/>
    <w:rsid w:val="000614A8"/>
    <w:rsid w:val="000615C1"/>
    <w:rsid w:val="00061675"/>
    <w:rsid w:val="00061EC6"/>
    <w:rsid w:val="00062054"/>
    <w:rsid w:val="00063125"/>
    <w:rsid w:val="00063ADB"/>
    <w:rsid w:val="00064508"/>
    <w:rsid w:val="00065473"/>
    <w:rsid w:val="00066C91"/>
    <w:rsid w:val="000673A9"/>
    <w:rsid w:val="00067D7C"/>
    <w:rsid w:val="0007046D"/>
    <w:rsid w:val="00071E79"/>
    <w:rsid w:val="00071EC5"/>
    <w:rsid w:val="0007231A"/>
    <w:rsid w:val="000726F1"/>
    <w:rsid w:val="00072857"/>
    <w:rsid w:val="00072DF0"/>
    <w:rsid w:val="0007363A"/>
    <w:rsid w:val="000737EF"/>
    <w:rsid w:val="00073887"/>
    <w:rsid w:val="00073916"/>
    <w:rsid w:val="000743AA"/>
    <w:rsid w:val="000744A9"/>
    <w:rsid w:val="000749C3"/>
    <w:rsid w:val="0007525C"/>
    <w:rsid w:val="00075889"/>
    <w:rsid w:val="00075C45"/>
    <w:rsid w:val="000764E7"/>
    <w:rsid w:val="00076AE6"/>
    <w:rsid w:val="00076DC2"/>
    <w:rsid w:val="0007732F"/>
    <w:rsid w:val="000774A9"/>
    <w:rsid w:val="0007752F"/>
    <w:rsid w:val="00077BCE"/>
    <w:rsid w:val="00077EA7"/>
    <w:rsid w:val="00080535"/>
    <w:rsid w:val="00080736"/>
    <w:rsid w:val="000808E9"/>
    <w:rsid w:val="00080C96"/>
    <w:rsid w:val="00080CC2"/>
    <w:rsid w:val="00081BCA"/>
    <w:rsid w:val="00081C5B"/>
    <w:rsid w:val="0008215E"/>
    <w:rsid w:val="000821D6"/>
    <w:rsid w:val="00082420"/>
    <w:rsid w:val="00082D7B"/>
    <w:rsid w:val="00082DA2"/>
    <w:rsid w:val="00083B4E"/>
    <w:rsid w:val="00084378"/>
    <w:rsid w:val="00084621"/>
    <w:rsid w:val="00085060"/>
    <w:rsid w:val="000854AA"/>
    <w:rsid w:val="00085697"/>
    <w:rsid w:val="00086E65"/>
    <w:rsid w:val="000870E0"/>
    <w:rsid w:val="000872B6"/>
    <w:rsid w:val="00087452"/>
    <w:rsid w:val="000879BB"/>
    <w:rsid w:val="00087FC4"/>
    <w:rsid w:val="00090427"/>
    <w:rsid w:val="00090555"/>
    <w:rsid w:val="0009076F"/>
    <w:rsid w:val="00091171"/>
    <w:rsid w:val="00091616"/>
    <w:rsid w:val="00091762"/>
    <w:rsid w:val="00091A71"/>
    <w:rsid w:val="00091B1D"/>
    <w:rsid w:val="00092172"/>
    <w:rsid w:val="0009225C"/>
    <w:rsid w:val="00093C9A"/>
    <w:rsid w:val="00094033"/>
    <w:rsid w:val="00094392"/>
    <w:rsid w:val="000943CD"/>
    <w:rsid w:val="00094477"/>
    <w:rsid w:val="00094547"/>
    <w:rsid w:val="0009500A"/>
    <w:rsid w:val="000951EC"/>
    <w:rsid w:val="00096051"/>
    <w:rsid w:val="00096E66"/>
    <w:rsid w:val="000971EA"/>
    <w:rsid w:val="000971F9"/>
    <w:rsid w:val="00097BB9"/>
    <w:rsid w:val="00097E3A"/>
    <w:rsid w:val="000A01C8"/>
    <w:rsid w:val="000A0400"/>
    <w:rsid w:val="000A1721"/>
    <w:rsid w:val="000A17C4"/>
    <w:rsid w:val="000A18C8"/>
    <w:rsid w:val="000A237B"/>
    <w:rsid w:val="000A32B1"/>
    <w:rsid w:val="000A34CE"/>
    <w:rsid w:val="000A36A4"/>
    <w:rsid w:val="000A3ED7"/>
    <w:rsid w:val="000A3F4B"/>
    <w:rsid w:val="000A428A"/>
    <w:rsid w:val="000A4643"/>
    <w:rsid w:val="000A4A86"/>
    <w:rsid w:val="000A4AC2"/>
    <w:rsid w:val="000A536D"/>
    <w:rsid w:val="000A787C"/>
    <w:rsid w:val="000B068B"/>
    <w:rsid w:val="000B1146"/>
    <w:rsid w:val="000B16CA"/>
    <w:rsid w:val="000B2133"/>
    <w:rsid w:val="000B2352"/>
    <w:rsid w:val="000B2C18"/>
    <w:rsid w:val="000B3D87"/>
    <w:rsid w:val="000B3D94"/>
    <w:rsid w:val="000B4A6D"/>
    <w:rsid w:val="000B5321"/>
    <w:rsid w:val="000B57C7"/>
    <w:rsid w:val="000B635A"/>
    <w:rsid w:val="000C062F"/>
    <w:rsid w:val="000C2347"/>
    <w:rsid w:val="000C2549"/>
    <w:rsid w:val="000C351A"/>
    <w:rsid w:val="000C3666"/>
    <w:rsid w:val="000C383F"/>
    <w:rsid w:val="000C3CA9"/>
    <w:rsid w:val="000C41E8"/>
    <w:rsid w:val="000C4537"/>
    <w:rsid w:val="000C4C62"/>
    <w:rsid w:val="000C5DDD"/>
    <w:rsid w:val="000C5E4B"/>
    <w:rsid w:val="000C697C"/>
    <w:rsid w:val="000C6ABE"/>
    <w:rsid w:val="000C6BEE"/>
    <w:rsid w:val="000C6E9E"/>
    <w:rsid w:val="000C7B84"/>
    <w:rsid w:val="000D0E8C"/>
    <w:rsid w:val="000D175D"/>
    <w:rsid w:val="000D1BEC"/>
    <w:rsid w:val="000D261B"/>
    <w:rsid w:val="000D3699"/>
    <w:rsid w:val="000D3808"/>
    <w:rsid w:val="000D40F6"/>
    <w:rsid w:val="000D468F"/>
    <w:rsid w:val="000D4830"/>
    <w:rsid w:val="000D500E"/>
    <w:rsid w:val="000D50C4"/>
    <w:rsid w:val="000D50FC"/>
    <w:rsid w:val="000D58A3"/>
    <w:rsid w:val="000D5CA9"/>
    <w:rsid w:val="000D5E12"/>
    <w:rsid w:val="000D61B5"/>
    <w:rsid w:val="000D68F9"/>
    <w:rsid w:val="000D69FD"/>
    <w:rsid w:val="000D6A7C"/>
    <w:rsid w:val="000D6BFC"/>
    <w:rsid w:val="000D74E3"/>
    <w:rsid w:val="000E068E"/>
    <w:rsid w:val="000E1547"/>
    <w:rsid w:val="000E174E"/>
    <w:rsid w:val="000E18B6"/>
    <w:rsid w:val="000E252E"/>
    <w:rsid w:val="000E2B6F"/>
    <w:rsid w:val="000E3079"/>
    <w:rsid w:val="000E3508"/>
    <w:rsid w:val="000E35C1"/>
    <w:rsid w:val="000E3740"/>
    <w:rsid w:val="000E3AA8"/>
    <w:rsid w:val="000E3ABF"/>
    <w:rsid w:val="000E3ED4"/>
    <w:rsid w:val="000E3F9C"/>
    <w:rsid w:val="000E5238"/>
    <w:rsid w:val="000E5E08"/>
    <w:rsid w:val="000E5EF7"/>
    <w:rsid w:val="000E65EE"/>
    <w:rsid w:val="000E67EC"/>
    <w:rsid w:val="000E6C63"/>
    <w:rsid w:val="000E6FE0"/>
    <w:rsid w:val="000E7493"/>
    <w:rsid w:val="000F06A2"/>
    <w:rsid w:val="000F115F"/>
    <w:rsid w:val="000F1550"/>
    <w:rsid w:val="000F2190"/>
    <w:rsid w:val="000F24F7"/>
    <w:rsid w:val="000F251B"/>
    <w:rsid w:val="000F26FB"/>
    <w:rsid w:val="000F2AC7"/>
    <w:rsid w:val="000F33B3"/>
    <w:rsid w:val="000F3DBC"/>
    <w:rsid w:val="000F4329"/>
    <w:rsid w:val="000F4DF2"/>
    <w:rsid w:val="000F4EAC"/>
    <w:rsid w:val="000F55AD"/>
    <w:rsid w:val="000F55F2"/>
    <w:rsid w:val="000F5C1F"/>
    <w:rsid w:val="000F5E46"/>
    <w:rsid w:val="000F5FE8"/>
    <w:rsid w:val="000F652F"/>
    <w:rsid w:val="000F6644"/>
    <w:rsid w:val="000F7260"/>
    <w:rsid w:val="001000B5"/>
    <w:rsid w:val="001005BA"/>
    <w:rsid w:val="00100672"/>
    <w:rsid w:val="00100833"/>
    <w:rsid w:val="00100945"/>
    <w:rsid w:val="00100B58"/>
    <w:rsid w:val="00100C20"/>
    <w:rsid w:val="0010124E"/>
    <w:rsid w:val="00101360"/>
    <w:rsid w:val="001016E9"/>
    <w:rsid w:val="00101DD2"/>
    <w:rsid w:val="001026E5"/>
    <w:rsid w:val="00102F40"/>
    <w:rsid w:val="00102F72"/>
    <w:rsid w:val="00102F9D"/>
    <w:rsid w:val="00103209"/>
    <w:rsid w:val="001035CE"/>
    <w:rsid w:val="00103EAB"/>
    <w:rsid w:val="001042B1"/>
    <w:rsid w:val="0010444F"/>
    <w:rsid w:val="001053E6"/>
    <w:rsid w:val="00106F19"/>
    <w:rsid w:val="0010721E"/>
    <w:rsid w:val="001074F8"/>
    <w:rsid w:val="00107E85"/>
    <w:rsid w:val="00110640"/>
    <w:rsid w:val="00110914"/>
    <w:rsid w:val="00110B67"/>
    <w:rsid w:val="00110ECF"/>
    <w:rsid w:val="00110F23"/>
    <w:rsid w:val="001119E5"/>
    <w:rsid w:val="00111E7D"/>
    <w:rsid w:val="0011253B"/>
    <w:rsid w:val="0011260F"/>
    <w:rsid w:val="00113562"/>
    <w:rsid w:val="00113EE8"/>
    <w:rsid w:val="0011455A"/>
    <w:rsid w:val="00114834"/>
    <w:rsid w:val="00114A65"/>
    <w:rsid w:val="00114A83"/>
    <w:rsid w:val="00114F3A"/>
    <w:rsid w:val="00115E80"/>
    <w:rsid w:val="00116207"/>
    <w:rsid w:val="001179CA"/>
    <w:rsid w:val="00117A6A"/>
    <w:rsid w:val="00117BA0"/>
    <w:rsid w:val="00120EDA"/>
    <w:rsid w:val="001212EE"/>
    <w:rsid w:val="00121846"/>
    <w:rsid w:val="0012289D"/>
    <w:rsid w:val="0012294F"/>
    <w:rsid w:val="00122C86"/>
    <w:rsid w:val="001236B2"/>
    <w:rsid w:val="0012381C"/>
    <w:rsid w:val="0012436C"/>
    <w:rsid w:val="00124A18"/>
    <w:rsid w:val="0012502F"/>
    <w:rsid w:val="001269EE"/>
    <w:rsid w:val="001270AE"/>
    <w:rsid w:val="00127109"/>
    <w:rsid w:val="0012721C"/>
    <w:rsid w:val="00127D67"/>
    <w:rsid w:val="00127E12"/>
    <w:rsid w:val="001308AD"/>
    <w:rsid w:val="0013102A"/>
    <w:rsid w:val="00131607"/>
    <w:rsid w:val="00131968"/>
    <w:rsid w:val="00131A79"/>
    <w:rsid w:val="001327DD"/>
    <w:rsid w:val="00132A10"/>
    <w:rsid w:val="00132A4D"/>
    <w:rsid w:val="00133061"/>
    <w:rsid w:val="00133300"/>
    <w:rsid w:val="001335E3"/>
    <w:rsid w:val="00133984"/>
    <w:rsid w:val="00133DCA"/>
    <w:rsid w:val="00134891"/>
    <w:rsid w:val="00134A03"/>
    <w:rsid w:val="00134A65"/>
    <w:rsid w:val="00134BFA"/>
    <w:rsid w:val="001350D7"/>
    <w:rsid w:val="0013591E"/>
    <w:rsid w:val="00135A14"/>
    <w:rsid w:val="00135F19"/>
    <w:rsid w:val="00136818"/>
    <w:rsid w:val="00136B1E"/>
    <w:rsid w:val="00136CA3"/>
    <w:rsid w:val="00136DEA"/>
    <w:rsid w:val="00136E8E"/>
    <w:rsid w:val="00137B41"/>
    <w:rsid w:val="00140FDB"/>
    <w:rsid w:val="00141699"/>
    <w:rsid w:val="001417D8"/>
    <w:rsid w:val="001419F1"/>
    <w:rsid w:val="00141E2F"/>
    <w:rsid w:val="001423E1"/>
    <w:rsid w:val="0014265F"/>
    <w:rsid w:val="00142E4E"/>
    <w:rsid w:val="00142F27"/>
    <w:rsid w:val="00143527"/>
    <w:rsid w:val="00143DF3"/>
    <w:rsid w:val="00144D06"/>
    <w:rsid w:val="00145277"/>
    <w:rsid w:val="00145DC2"/>
    <w:rsid w:val="00147000"/>
    <w:rsid w:val="0014735B"/>
    <w:rsid w:val="00147E80"/>
    <w:rsid w:val="0015045F"/>
    <w:rsid w:val="001505A7"/>
    <w:rsid w:val="00151571"/>
    <w:rsid w:val="001520A6"/>
    <w:rsid w:val="0015272F"/>
    <w:rsid w:val="00152929"/>
    <w:rsid w:val="0015329F"/>
    <w:rsid w:val="00153952"/>
    <w:rsid w:val="001539C5"/>
    <w:rsid w:val="00153FEF"/>
    <w:rsid w:val="00154673"/>
    <w:rsid w:val="0015568B"/>
    <w:rsid w:val="001561E7"/>
    <w:rsid w:val="00156E88"/>
    <w:rsid w:val="00157AD3"/>
    <w:rsid w:val="00157D49"/>
    <w:rsid w:val="00160752"/>
    <w:rsid w:val="00160BFB"/>
    <w:rsid w:val="00160CC2"/>
    <w:rsid w:val="0016124B"/>
    <w:rsid w:val="00161F2D"/>
    <w:rsid w:val="001625E7"/>
    <w:rsid w:val="00162636"/>
    <w:rsid w:val="00162711"/>
    <w:rsid w:val="00162734"/>
    <w:rsid w:val="00162A26"/>
    <w:rsid w:val="00162A3B"/>
    <w:rsid w:val="00163091"/>
    <w:rsid w:val="00163665"/>
    <w:rsid w:val="00163FEF"/>
    <w:rsid w:val="001641F6"/>
    <w:rsid w:val="001645CB"/>
    <w:rsid w:val="0016499C"/>
    <w:rsid w:val="00165665"/>
    <w:rsid w:val="00165769"/>
    <w:rsid w:val="00165B3D"/>
    <w:rsid w:val="00165FD1"/>
    <w:rsid w:val="00166305"/>
    <w:rsid w:val="0016669A"/>
    <w:rsid w:val="00167218"/>
    <w:rsid w:val="00167288"/>
    <w:rsid w:val="0016741D"/>
    <w:rsid w:val="00167545"/>
    <w:rsid w:val="00170013"/>
    <w:rsid w:val="001703C6"/>
    <w:rsid w:val="001707CC"/>
    <w:rsid w:val="00171534"/>
    <w:rsid w:val="001717BC"/>
    <w:rsid w:val="0017190E"/>
    <w:rsid w:val="00171EFC"/>
    <w:rsid w:val="001723B1"/>
    <w:rsid w:val="001729A9"/>
    <w:rsid w:val="00172FE0"/>
    <w:rsid w:val="00173285"/>
    <w:rsid w:val="00173437"/>
    <w:rsid w:val="0017347A"/>
    <w:rsid w:val="00173781"/>
    <w:rsid w:val="001741CB"/>
    <w:rsid w:val="00174588"/>
    <w:rsid w:val="00174A1A"/>
    <w:rsid w:val="00174A70"/>
    <w:rsid w:val="00174E0E"/>
    <w:rsid w:val="001753F5"/>
    <w:rsid w:val="00175ADF"/>
    <w:rsid w:val="00175CAE"/>
    <w:rsid w:val="00176762"/>
    <w:rsid w:val="00177236"/>
    <w:rsid w:val="001803A3"/>
    <w:rsid w:val="00180F48"/>
    <w:rsid w:val="00181339"/>
    <w:rsid w:val="001828DB"/>
    <w:rsid w:val="00182E6C"/>
    <w:rsid w:val="00182EAD"/>
    <w:rsid w:val="00183A69"/>
    <w:rsid w:val="00183F7F"/>
    <w:rsid w:val="00183FDB"/>
    <w:rsid w:val="00184493"/>
    <w:rsid w:val="00184719"/>
    <w:rsid w:val="00184DA4"/>
    <w:rsid w:val="001850FE"/>
    <w:rsid w:val="00185135"/>
    <w:rsid w:val="001854F6"/>
    <w:rsid w:val="001867C4"/>
    <w:rsid w:val="0018742A"/>
    <w:rsid w:val="00187724"/>
    <w:rsid w:val="001879FE"/>
    <w:rsid w:val="0019037C"/>
    <w:rsid w:val="001905A9"/>
    <w:rsid w:val="001905FA"/>
    <w:rsid w:val="00191273"/>
    <w:rsid w:val="00191403"/>
    <w:rsid w:val="001916BC"/>
    <w:rsid w:val="00192063"/>
    <w:rsid w:val="00192169"/>
    <w:rsid w:val="00192257"/>
    <w:rsid w:val="0019226A"/>
    <w:rsid w:val="001922BF"/>
    <w:rsid w:val="001924AB"/>
    <w:rsid w:val="0019287E"/>
    <w:rsid w:val="0019303F"/>
    <w:rsid w:val="00193115"/>
    <w:rsid w:val="001942A7"/>
    <w:rsid w:val="00194A8F"/>
    <w:rsid w:val="0019574B"/>
    <w:rsid w:val="0019587B"/>
    <w:rsid w:val="00196049"/>
    <w:rsid w:val="001963CB"/>
    <w:rsid w:val="00196966"/>
    <w:rsid w:val="00196E2F"/>
    <w:rsid w:val="00197B05"/>
    <w:rsid w:val="00197D88"/>
    <w:rsid w:val="001A06A4"/>
    <w:rsid w:val="001A0B52"/>
    <w:rsid w:val="001A0CF3"/>
    <w:rsid w:val="001A15F2"/>
    <w:rsid w:val="001A163D"/>
    <w:rsid w:val="001A1E1E"/>
    <w:rsid w:val="001A210D"/>
    <w:rsid w:val="001A21CE"/>
    <w:rsid w:val="001A25AB"/>
    <w:rsid w:val="001A2919"/>
    <w:rsid w:val="001A2995"/>
    <w:rsid w:val="001A38D5"/>
    <w:rsid w:val="001A41B9"/>
    <w:rsid w:val="001A441E"/>
    <w:rsid w:val="001A4859"/>
    <w:rsid w:val="001A4FF6"/>
    <w:rsid w:val="001A5045"/>
    <w:rsid w:val="001A5AE3"/>
    <w:rsid w:val="001A6121"/>
    <w:rsid w:val="001A6733"/>
    <w:rsid w:val="001A6910"/>
    <w:rsid w:val="001A6FA2"/>
    <w:rsid w:val="001B0AD4"/>
    <w:rsid w:val="001B1FD2"/>
    <w:rsid w:val="001B255E"/>
    <w:rsid w:val="001B282C"/>
    <w:rsid w:val="001B2A1A"/>
    <w:rsid w:val="001B341E"/>
    <w:rsid w:val="001B357F"/>
    <w:rsid w:val="001B3B90"/>
    <w:rsid w:val="001B4016"/>
    <w:rsid w:val="001B4187"/>
    <w:rsid w:val="001B46EC"/>
    <w:rsid w:val="001B5BEC"/>
    <w:rsid w:val="001B5D0D"/>
    <w:rsid w:val="001B5F9F"/>
    <w:rsid w:val="001B665E"/>
    <w:rsid w:val="001B6A21"/>
    <w:rsid w:val="001B734E"/>
    <w:rsid w:val="001B73CC"/>
    <w:rsid w:val="001B75B8"/>
    <w:rsid w:val="001B7621"/>
    <w:rsid w:val="001B7795"/>
    <w:rsid w:val="001C1083"/>
    <w:rsid w:val="001C11D1"/>
    <w:rsid w:val="001C12BC"/>
    <w:rsid w:val="001C17DE"/>
    <w:rsid w:val="001C2610"/>
    <w:rsid w:val="001C3444"/>
    <w:rsid w:val="001C3702"/>
    <w:rsid w:val="001C38F4"/>
    <w:rsid w:val="001C3C6C"/>
    <w:rsid w:val="001C4656"/>
    <w:rsid w:val="001C46BC"/>
    <w:rsid w:val="001C5782"/>
    <w:rsid w:val="001C57B9"/>
    <w:rsid w:val="001C6085"/>
    <w:rsid w:val="001C6270"/>
    <w:rsid w:val="001C749B"/>
    <w:rsid w:val="001C7D44"/>
    <w:rsid w:val="001D00E8"/>
    <w:rsid w:val="001D018C"/>
    <w:rsid w:val="001D037E"/>
    <w:rsid w:val="001D04A7"/>
    <w:rsid w:val="001D08C3"/>
    <w:rsid w:val="001D0DC6"/>
    <w:rsid w:val="001D161B"/>
    <w:rsid w:val="001D1BC1"/>
    <w:rsid w:val="001D1E06"/>
    <w:rsid w:val="001D31BA"/>
    <w:rsid w:val="001D3653"/>
    <w:rsid w:val="001D3D40"/>
    <w:rsid w:val="001D4053"/>
    <w:rsid w:val="001D4455"/>
    <w:rsid w:val="001D51DF"/>
    <w:rsid w:val="001D5B5A"/>
    <w:rsid w:val="001D5F05"/>
    <w:rsid w:val="001D62BC"/>
    <w:rsid w:val="001D719A"/>
    <w:rsid w:val="001D7865"/>
    <w:rsid w:val="001D7896"/>
    <w:rsid w:val="001D78E3"/>
    <w:rsid w:val="001D7CF6"/>
    <w:rsid w:val="001E01E0"/>
    <w:rsid w:val="001E0979"/>
    <w:rsid w:val="001E0A46"/>
    <w:rsid w:val="001E31C6"/>
    <w:rsid w:val="001E4066"/>
    <w:rsid w:val="001E47B2"/>
    <w:rsid w:val="001E486F"/>
    <w:rsid w:val="001E5829"/>
    <w:rsid w:val="001E5B86"/>
    <w:rsid w:val="001E5D41"/>
    <w:rsid w:val="001E69F1"/>
    <w:rsid w:val="001E751F"/>
    <w:rsid w:val="001E771F"/>
    <w:rsid w:val="001E77A4"/>
    <w:rsid w:val="001F119C"/>
    <w:rsid w:val="001F1A7B"/>
    <w:rsid w:val="001F238D"/>
    <w:rsid w:val="001F23E6"/>
    <w:rsid w:val="001F28D1"/>
    <w:rsid w:val="001F2CD1"/>
    <w:rsid w:val="001F300F"/>
    <w:rsid w:val="001F4238"/>
    <w:rsid w:val="001F4988"/>
    <w:rsid w:val="001F5B1E"/>
    <w:rsid w:val="001F5E52"/>
    <w:rsid w:val="001F6D9D"/>
    <w:rsid w:val="001F798A"/>
    <w:rsid w:val="001F7CC8"/>
    <w:rsid w:val="001F7D35"/>
    <w:rsid w:val="00200356"/>
    <w:rsid w:val="002005DA"/>
    <w:rsid w:val="002009FC"/>
    <w:rsid w:val="00200A38"/>
    <w:rsid w:val="00200A46"/>
    <w:rsid w:val="00200F0F"/>
    <w:rsid w:val="00201A0A"/>
    <w:rsid w:val="00201BDE"/>
    <w:rsid w:val="002020EF"/>
    <w:rsid w:val="00202A2E"/>
    <w:rsid w:val="00202ADD"/>
    <w:rsid w:val="00202F61"/>
    <w:rsid w:val="00203A56"/>
    <w:rsid w:val="00204B8E"/>
    <w:rsid w:val="00204DEE"/>
    <w:rsid w:val="00205459"/>
    <w:rsid w:val="00205836"/>
    <w:rsid w:val="0020591A"/>
    <w:rsid w:val="00205D4A"/>
    <w:rsid w:val="00205F62"/>
    <w:rsid w:val="002062F8"/>
    <w:rsid w:val="00206956"/>
    <w:rsid w:val="00206CE5"/>
    <w:rsid w:val="00207CED"/>
    <w:rsid w:val="00207F0B"/>
    <w:rsid w:val="00207FC0"/>
    <w:rsid w:val="002104C7"/>
    <w:rsid w:val="002106E9"/>
    <w:rsid w:val="00210AFB"/>
    <w:rsid w:val="00210E9E"/>
    <w:rsid w:val="00211AA5"/>
    <w:rsid w:val="00211B6F"/>
    <w:rsid w:val="0021250C"/>
    <w:rsid w:val="00213821"/>
    <w:rsid w:val="0021440D"/>
    <w:rsid w:val="00214F4E"/>
    <w:rsid w:val="00215A5B"/>
    <w:rsid w:val="00215C23"/>
    <w:rsid w:val="00215DEB"/>
    <w:rsid w:val="002160EF"/>
    <w:rsid w:val="00216392"/>
    <w:rsid w:val="0021692A"/>
    <w:rsid w:val="00217CC3"/>
    <w:rsid w:val="00217F9C"/>
    <w:rsid w:val="00220108"/>
    <w:rsid w:val="00220199"/>
    <w:rsid w:val="0022019A"/>
    <w:rsid w:val="002204D3"/>
    <w:rsid w:val="002206AD"/>
    <w:rsid w:val="002208C3"/>
    <w:rsid w:val="002208D7"/>
    <w:rsid w:val="00220AB6"/>
    <w:rsid w:val="00220CC3"/>
    <w:rsid w:val="00220D80"/>
    <w:rsid w:val="0022120F"/>
    <w:rsid w:val="002216B0"/>
    <w:rsid w:val="002226D5"/>
    <w:rsid w:val="00222749"/>
    <w:rsid w:val="00222C48"/>
    <w:rsid w:val="00222D80"/>
    <w:rsid w:val="002230A7"/>
    <w:rsid w:val="0022331E"/>
    <w:rsid w:val="0022351F"/>
    <w:rsid w:val="00223CDD"/>
    <w:rsid w:val="0022416E"/>
    <w:rsid w:val="002252F0"/>
    <w:rsid w:val="00225675"/>
    <w:rsid w:val="002256F4"/>
    <w:rsid w:val="002265A3"/>
    <w:rsid w:val="002272D2"/>
    <w:rsid w:val="0022751F"/>
    <w:rsid w:val="0022754A"/>
    <w:rsid w:val="00227D5C"/>
    <w:rsid w:val="0023155A"/>
    <w:rsid w:val="002315C6"/>
    <w:rsid w:val="0023179C"/>
    <w:rsid w:val="002317CB"/>
    <w:rsid w:val="00231E3E"/>
    <w:rsid w:val="00232368"/>
    <w:rsid w:val="00232DEE"/>
    <w:rsid w:val="00233755"/>
    <w:rsid w:val="002341E4"/>
    <w:rsid w:val="002347C8"/>
    <w:rsid w:val="00234C96"/>
    <w:rsid w:val="00235BA4"/>
    <w:rsid w:val="00235E6F"/>
    <w:rsid w:val="00235F1C"/>
    <w:rsid w:val="00236560"/>
    <w:rsid w:val="0023662E"/>
    <w:rsid w:val="00236B56"/>
    <w:rsid w:val="00237013"/>
    <w:rsid w:val="002374FF"/>
    <w:rsid w:val="00237A88"/>
    <w:rsid w:val="00237C8D"/>
    <w:rsid w:val="00237E37"/>
    <w:rsid w:val="00240660"/>
    <w:rsid w:val="002410D5"/>
    <w:rsid w:val="002411A4"/>
    <w:rsid w:val="002415ED"/>
    <w:rsid w:val="0024165B"/>
    <w:rsid w:val="00244234"/>
    <w:rsid w:val="002443A3"/>
    <w:rsid w:val="00245D0F"/>
    <w:rsid w:val="00246390"/>
    <w:rsid w:val="00246486"/>
    <w:rsid w:val="00246F60"/>
    <w:rsid w:val="00247E55"/>
    <w:rsid w:val="00251ACD"/>
    <w:rsid w:val="00251EDE"/>
    <w:rsid w:val="00252043"/>
    <w:rsid w:val="002525D6"/>
    <w:rsid w:val="002525FE"/>
    <w:rsid w:val="0025281E"/>
    <w:rsid w:val="00252BCE"/>
    <w:rsid w:val="00252D4B"/>
    <w:rsid w:val="00253463"/>
    <w:rsid w:val="00253917"/>
    <w:rsid w:val="002548C3"/>
    <w:rsid w:val="00254ADD"/>
    <w:rsid w:val="00254C8F"/>
    <w:rsid w:val="00254F7D"/>
    <w:rsid w:val="0025548E"/>
    <w:rsid w:val="00255602"/>
    <w:rsid w:val="00255AA0"/>
    <w:rsid w:val="00257645"/>
    <w:rsid w:val="0025785F"/>
    <w:rsid w:val="00257879"/>
    <w:rsid w:val="00257AC9"/>
    <w:rsid w:val="00257ACD"/>
    <w:rsid w:val="00257AFD"/>
    <w:rsid w:val="00257C6E"/>
    <w:rsid w:val="00257F8E"/>
    <w:rsid w:val="0026006E"/>
    <w:rsid w:val="002606AC"/>
    <w:rsid w:val="0026079B"/>
    <w:rsid w:val="00260FCF"/>
    <w:rsid w:val="0026141C"/>
    <w:rsid w:val="00261783"/>
    <w:rsid w:val="002617A4"/>
    <w:rsid w:val="00261DD7"/>
    <w:rsid w:val="00262386"/>
    <w:rsid w:val="00262908"/>
    <w:rsid w:val="00263DFE"/>
    <w:rsid w:val="002645C2"/>
    <w:rsid w:val="002646BC"/>
    <w:rsid w:val="002649CD"/>
    <w:rsid w:val="002650F4"/>
    <w:rsid w:val="00265A2E"/>
    <w:rsid w:val="002669A3"/>
    <w:rsid w:val="00266E82"/>
    <w:rsid w:val="00267CB6"/>
    <w:rsid w:val="00267F33"/>
    <w:rsid w:val="0027024B"/>
    <w:rsid w:val="00270263"/>
    <w:rsid w:val="00270351"/>
    <w:rsid w:val="00270689"/>
    <w:rsid w:val="00270E8F"/>
    <w:rsid w:val="00270F21"/>
    <w:rsid w:val="002712E0"/>
    <w:rsid w:val="002715FD"/>
    <w:rsid w:val="0027216E"/>
    <w:rsid w:val="00274A1E"/>
    <w:rsid w:val="00274FAB"/>
    <w:rsid w:val="00275163"/>
    <w:rsid w:val="00275365"/>
    <w:rsid w:val="0027560D"/>
    <w:rsid w:val="00275C4B"/>
    <w:rsid w:val="0027645B"/>
    <w:rsid w:val="002767CC"/>
    <w:rsid w:val="00276C93"/>
    <w:rsid w:val="002770B1"/>
    <w:rsid w:val="00277591"/>
    <w:rsid w:val="002814C2"/>
    <w:rsid w:val="00282756"/>
    <w:rsid w:val="00282F64"/>
    <w:rsid w:val="00282FFC"/>
    <w:rsid w:val="002835F8"/>
    <w:rsid w:val="00283958"/>
    <w:rsid w:val="00283D07"/>
    <w:rsid w:val="00284C62"/>
    <w:rsid w:val="0028506D"/>
    <w:rsid w:val="002850C0"/>
    <w:rsid w:val="002859B2"/>
    <w:rsid w:val="00285B33"/>
    <w:rsid w:val="00286AFD"/>
    <w:rsid w:val="00286C50"/>
    <w:rsid w:val="00287667"/>
    <w:rsid w:val="00287A3C"/>
    <w:rsid w:val="00290538"/>
    <w:rsid w:val="00290F23"/>
    <w:rsid w:val="0029117D"/>
    <w:rsid w:val="00291229"/>
    <w:rsid w:val="0029135D"/>
    <w:rsid w:val="0029138F"/>
    <w:rsid w:val="00291E17"/>
    <w:rsid w:val="0029232D"/>
    <w:rsid w:val="00292A11"/>
    <w:rsid w:val="00293F8B"/>
    <w:rsid w:val="00293FCE"/>
    <w:rsid w:val="0029524C"/>
    <w:rsid w:val="00295618"/>
    <w:rsid w:val="0029573A"/>
    <w:rsid w:val="002958F6"/>
    <w:rsid w:val="00296CB4"/>
    <w:rsid w:val="002A0F3B"/>
    <w:rsid w:val="002A18AB"/>
    <w:rsid w:val="002A215F"/>
    <w:rsid w:val="002A2515"/>
    <w:rsid w:val="002A2A2E"/>
    <w:rsid w:val="002A2D74"/>
    <w:rsid w:val="002A2FC6"/>
    <w:rsid w:val="002A3BB7"/>
    <w:rsid w:val="002A3F25"/>
    <w:rsid w:val="002A3F28"/>
    <w:rsid w:val="002A3FE5"/>
    <w:rsid w:val="002A497F"/>
    <w:rsid w:val="002A4D1B"/>
    <w:rsid w:val="002A4EE5"/>
    <w:rsid w:val="002A56A3"/>
    <w:rsid w:val="002A6911"/>
    <w:rsid w:val="002A6A2D"/>
    <w:rsid w:val="002A7257"/>
    <w:rsid w:val="002A7B79"/>
    <w:rsid w:val="002B0F72"/>
    <w:rsid w:val="002B0FA0"/>
    <w:rsid w:val="002B103F"/>
    <w:rsid w:val="002B1149"/>
    <w:rsid w:val="002B11D5"/>
    <w:rsid w:val="002B198C"/>
    <w:rsid w:val="002B1C44"/>
    <w:rsid w:val="002B1D64"/>
    <w:rsid w:val="002B2B05"/>
    <w:rsid w:val="002B439A"/>
    <w:rsid w:val="002B4B2C"/>
    <w:rsid w:val="002B528A"/>
    <w:rsid w:val="002B5836"/>
    <w:rsid w:val="002B5CBA"/>
    <w:rsid w:val="002B5F5A"/>
    <w:rsid w:val="002B5F6F"/>
    <w:rsid w:val="002B6738"/>
    <w:rsid w:val="002B7ACD"/>
    <w:rsid w:val="002C0D84"/>
    <w:rsid w:val="002C0FC5"/>
    <w:rsid w:val="002C0FF5"/>
    <w:rsid w:val="002C18AC"/>
    <w:rsid w:val="002C1A95"/>
    <w:rsid w:val="002C1EC7"/>
    <w:rsid w:val="002C3015"/>
    <w:rsid w:val="002C4342"/>
    <w:rsid w:val="002C4ABA"/>
    <w:rsid w:val="002C4CD6"/>
    <w:rsid w:val="002C4E6D"/>
    <w:rsid w:val="002C556D"/>
    <w:rsid w:val="002C5CF8"/>
    <w:rsid w:val="002C653E"/>
    <w:rsid w:val="002C65F0"/>
    <w:rsid w:val="002C78BB"/>
    <w:rsid w:val="002C7B02"/>
    <w:rsid w:val="002C7EA3"/>
    <w:rsid w:val="002D0346"/>
    <w:rsid w:val="002D0445"/>
    <w:rsid w:val="002D0A03"/>
    <w:rsid w:val="002D0E84"/>
    <w:rsid w:val="002D1A20"/>
    <w:rsid w:val="002D20AE"/>
    <w:rsid w:val="002D223D"/>
    <w:rsid w:val="002D3677"/>
    <w:rsid w:val="002D3727"/>
    <w:rsid w:val="002D3B50"/>
    <w:rsid w:val="002D415D"/>
    <w:rsid w:val="002D498E"/>
    <w:rsid w:val="002D5DD5"/>
    <w:rsid w:val="002D6C61"/>
    <w:rsid w:val="002D7744"/>
    <w:rsid w:val="002E0AAB"/>
    <w:rsid w:val="002E1B97"/>
    <w:rsid w:val="002E2104"/>
    <w:rsid w:val="002E22C6"/>
    <w:rsid w:val="002E2496"/>
    <w:rsid w:val="002E2B17"/>
    <w:rsid w:val="002E2CFD"/>
    <w:rsid w:val="002E2DAC"/>
    <w:rsid w:val="002E2E1D"/>
    <w:rsid w:val="002E3117"/>
    <w:rsid w:val="002E360E"/>
    <w:rsid w:val="002E56D0"/>
    <w:rsid w:val="002E586C"/>
    <w:rsid w:val="002E5F29"/>
    <w:rsid w:val="002E6963"/>
    <w:rsid w:val="002E6A4A"/>
    <w:rsid w:val="002E6B2D"/>
    <w:rsid w:val="002E6F8F"/>
    <w:rsid w:val="002E7EEF"/>
    <w:rsid w:val="002F00E5"/>
    <w:rsid w:val="002F05D8"/>
    <w:rsid w:val="002F172D"/>
    <w:rsid w:val="002F1A75"/>
    <w:rsid w:val="002F1BEB"/>
    <w:rsid w:val="002F1F20"/>
    <w:rsid w:val="002F24FE"/>
    <w:rsid w:val="002F2D05"/>
    <w:rsid w:val="002F2DE0"/>
    <w:rsid w:val="002F3B72"/>
    <w:rsid w:val="002F3BB1"/>
    <w:rsid w:val="002F3CEE"/>
    <w:rsid w:val="002F5190"/>
    <w:rsid w:val="002F54EE"/>
    <w:rsid w:val="002F5E25"/>
    <w:rsid w:val="002F609A"/>
    <w:rsid w:val="002F6F1E"/>
    <w:rsid w:val="002F705B"/>
    <w:rsid w:val="002F7306"/>
    <w:rsid w:val="002F739E"/>
    <w:rsid w:val="00300307"/>
    <w:rsid w:val="00300796"/>
    <w:rsid w:val="00300870"/>
    <w:rsid w:val="00301206"/>
    <w:rsid w:val="003016E0"/>
    <w:rsid w:val="00301AE4"/>
    <w:rsid w:val="00301B41"/>
    <w:rsid w:val="003020F5"/>
    <w:rsid w:val="00302143"/>
    <w:rsid w:val="00302CE1"/>
    <w:rsid w:val="0030353C"/>
    <w:rsid w:val="00303B76"/>
    <w:rsid w:val="003042BF"/>
    <w:rsid w:val="003046DD"/>
    <w:rsid w:val="00304BA3"/>
    <w:rsid w:val="00304CC2"/>
    <w:rsid w:val="003050E9"/>
    <w:rsid w:val="00306724"/>
    <w:rsid w:val="00306B5F"/>
    <w:rsid w:val="00306BE9"/>
    <w:rsid w:val="00307082"/>
    <w:rsid w:val="00307769"/>
    <w:rsid w:val="003079AC"/>
    <w:rsid w:val="00307F07"/>
    <w:rsid w:val="003108C1"/>
    <w:rsid w:val="003108F5"/>
    <w:rsid w:val="00310C45"/>
    <w:rsid w:val="003113A7"/>
    <w:rsid w:val="00311E9F"/>
    <w:rsid w:val="003123DF"/>
    <w:rsid w:val="00312539"/>
    <w:rsid w:val="003125C3"/>
    <w:rsid w:val="003128B8"/>
    <w:rsid w:val="00312AE6"/>
    <w:rsid w:val="003135C8"/>
    <w:rsid w:val="0031473D"/>
    <w:rsid w:val="0031482C"/>
    <w:rsid w:val="00314A98"/>
    <w:rsid w:val="00314C02"/>
    <w:rsid w:val="00315155"/>
    <w:rsid w:val="00316164"/>
    <w:rsid w:val="00316F8E"/>
    <w:rsid w:val="00317D1A"/>
    <w:rsid w:val="003201D1"/>
    <w:rsid w:val="00320252"/>
    <w:rsid w:val="00320FDD"/>
    <w:rsid w:val="003211FF"/>
    <w:rsid w:val="003212E7"/>
    <w:rsid w:val="0032235D"/>
    <w:rsid w:val="00322D20"/>
    <w:rsid w:val="00322F3B"/>
    <w:rsid w:val="00323693"/>
    <w:rsid w:val="00323FE8"/>
    <w:rsid w:val="003242AB"/>
    <w:rsid w:val="003243A3"/>
    <w:rsid w:val="0032579F"/>
    <w:rsid w:val="00325868"/>
    <w:rsid w:val="00326380"/>
    <w:rsid w:val="0032670F"/>
    <w:rsid w:val="0032683E"/>
    <w:rsid w:val="00326B38"/>
    <w:rsid w:val="00326BD8"/>
    <w:rsid w:val="00327247"/>
    <w:rsid w:val="0032742F"/>
    <w:rsid w:val="0032774B"/>
    <w:rsid w:val="003278A9"/>
    <w:rsid w:val="00327A9D"/>
    <w:rsid w:val="00330382"/>
    <w:rsid w:val="00330E20"/>
    <w:rsid w:val="00330FE0"/>
    <w:rsid w:val="00331009"/>
    <w:rsid w:val="0033104B"/>
    <w:rsid w:val="0033130E"/>
    <w:rsid w:val="00331670"/>
    <w:rsid w:val="003318E7"/>
    <w:rsid w:val="00331AB3"/>
    <w:rsid w:val="00331E89"/>
    <w:rsid w:val="0033269C"/>
    <w:rsid w:val="00332D8C"/>
    <w:rsid w:val="00333131"/>
    <w:rsid w:val="003340A1"/>
    <w:rsid w:val="00334384"/>
    <w:rsid w:val="00334E15"/>
    <w:rsid w:val="00335931"/>
    <w:rsid w:val="00335DB1"/>
    <w:rsid w:val="00336D91"/>
    <w:rsid w:val="00337735"/>
    <w:rsid w:val="00337DAC"/>
    <w:rsid w:val="00340769"/>
    <w:rsid w:val="003407FA"/>
    <w:rsid w:val="00341401"/>
    <w:rsid w:val="003422E9"/>
    <w:rsid w:val="003422FD"/>
    <w:rsid w:val="003429E1"/>
    <w:rsid w:val="00342A75"/>
    <w:rsid w:val="00342B40"/>
    <w:rsid w:val="003435ED"/>
    <w:rsid w:val="00343696"/>
    <w:rsid w:val="0034404A"/>
    <w:rsid w:val="003445DF"/>
    <w:rsid w:val="00344764"/>
    <w:rsid w:val="00344D56"/>
    <w:rsid w:val="00345114"/>
    <w:rsid w:val="0034525C"/>
    <w:rsid w:val="00346555"/>
    <w:rsid w:val="00346BEB"/>
    <w:rsid w:val="00346D10"/>
    <w:rsid w:val="003470D2"/>
    <w:rsid w:val="0034751C"/>
    <w:rsid w:val="00350394"/>
    <w:rsid w:val="00350950"/>
    <w:rsid w:val="00350A8D"/>
    <w:rsid w:val="00351543"/>
    <w:rsid w:val="00351577"/>
    <w:rsid w:val="003517BA"/>
    <w:rsid w:val="00351C79"/>
    <w:rsid w:val="00351FE2"/>
    <w:rsid w:val="00352228"/>
    <w:rsid w:val="003522A9"/>
    <w:rsid w:val="00352342"/>
    <w:rsid w:val="00352D9A"/>
    <w:rsid w:val="00353505"/>
    <w:rsid w:val="0035383E"/>
    <w:rsid w:val="0035516C"/>
    <w:rsid w:val="0035530A"/>
    <w:rsid w:val="00355673"/>
    <w:rsid w:val="00355A0D"/>
    <w:rsid w:val="00355A4C"/>
    <w:rsid w:val="003563C3"/>
    <w:rsid w:val="00356F96"/>
    <w:rsid w:val="0035752E"/>
    <w:rsid w:val="003604FB"/>
    <w:rsid w:val="00360B73"/>
    <w:rsid w:val="003619CC"/>
    <w:rsid w:val="00361C84"/>
    <w:rsid w:val="00361C8C"/>
    <w:rsid w:val="00361DE3"/>
    <w:rsid w:val="003626B1"/>
    <w:rsid w:val="003626D3"/>
    <w:rsid w:val="00362793"/>
    <w:rsid w:val="003627C3"/>
    <w:rsid w:val="00362FCA"/>
    <w:rsid w:val="00363113"/>
    <w:rsid w:val="00364161"/>
    <w:rsid w:val="00364607"/>
    <w:rsid w:val="00364F91"/>
    <w:rsid w:val="0036531C"/>
    <w:rsid w:val="00365536"/>
    <w:rsid w:val="003659A7"/>
    <w:rsid w:val="003673F2"/>
    <w:rsid w:val="003674F9"/>
    <w:rsid w:val="00367B06"/>
    <w:rsid w:val="00372B11"/>
    <w:rsid w:val="00372B1E"/>
    <w:rsid w:val="00374B19"/>
    <w:rsid w:val="00374DD4"/>
    <w:rsid w:val="0037700B"/>
    <w:rsid w:val="00377217"/>
    <w:rsid w:val="003777F8"/>
    <w:rsid w:val="0038009E"/>
    <w:rsid w:val="003806B8"/>
    <w:rsid w:val="00380B71"/>
    <w:rsid w:val="003830EF"/>
    <w:rsid w:val="0038365A"/>
    <w:rsid w:val="003837E3"/>
    <w:rsid w:val="003848B4"/>
    <w:rsid w:val="00385D51"/>
    <w:rsid w:val="00386408"/>
    <w:rsid w:val="003867E6"/>
    <w:rsid w:val="00386936"/>
    <w:rsid w:val="003869C2"/>
    <w:rsid w:val="00386A89"/>
    <w:rsid w:val="00387486"/>
    <w:rsid w:val="0038760B"/>
    <w:rsid w:val="0039060B"/>
    <w:rsid w:val="0039181D"/>
    <w:rsid w:val="00391B26"/>
    <w:rsid w:val="00391B98"/>
    <w:rsid w:val="00392A29"/>
    <w:rsid w:val="003939D4"/>
    <w:rsid w:val="0039455C"/>
    <w:rsid w:val="0039468D"/>
    <w:rsid w:val="00394925"/>
    <w:rsid w:val="00394A30"/>
    <w:rsid w:val="00395AC8"/>
    <w:rsid w:val="00395C8A"/>
    <w:rsid w:val="00396362"/>
    <w:rsid w:val="0039648E"/>
    <w:rsid w:val="0039673E"/>
    <w:rsid w:val="00396AD2"/>
    <w:rsid w:val="003975E4"/>
    <w:rsid w:val="003A0468"/>
    <w:rsid w:val="003A0C71"/>
    <w:rsid w:val="003A1D83"/>
    <w:rsid w:val="003A2702"/>
    <w:rsid w:val="003A27BF"/>
    <w:rsid w:val="003A27E3"/>
    <w:rsid w:val="003A2CC5"/>
    <w:rsid w:val="003A32F6"/>
    <w:rsid w:val="003A46A4"/>
    <w:rsid w:val="003A4E67"/>
    <w:rsid w:val="003A5AFE"/>
    <w:rsid w:val="003A5D5F"/>
    <w:rsid w:val="003A607F"/>
    <w:rsid w:val="003A6A12"/>
    <w:rsid w:val="003A6D81"/>
    <w:rsid w:val="003A6DAA"/>
    <w:rsid w:val="003A7FFE"/>
    <w:rsid w:val="003B0A63"/>
    <w:rsid w:val="003B0B50"/>
    <w:rsid w:val="003B107F"/>
    <w:rsid w:val="003B2B98"/>
    <w:rsid w:val="003B2F06"/>
    <w:rsid w:val="003B3448"/>
    <w:rsid w:val="003B3E19"/>
    <w:rsid w:val="003B3FE1"/>
    <w:rsid w:val="003B40A4"/>
    <w:rsid w:val="003B4E79"/>
    <w:rsid w:val="003B50E1"/>
    <w:rsid w:val="003B51CB"/>
    <w:rsid w:val="003B5454"/>
    <w:rsid w:val="003B585C"/>
    <w:rsid w:val="003B65AB"/>
    <w:rsid w:val="003B7362"/>
    <w:rsid w:val="003B7585"/>
    <w:rsid w:val="003B7653"/>
    <w:rsid w:val="003B78DD"/>
    <w:rsid w:val="003B7A09"/>
    <w:rsid w:val="003B7B0A"/>
    <w:rsid w:val="003C0210"/>
    <w:rsid w:val="003C04B9"/>
    <w:rsid w:val="003C0CBB"/>
    <w:rsid w:val="003C1278"/>
    <w:rsid w:val="003C1746"/>
    <w:rsid w:val="003C2AA9"/>
    <w:rsid w:val="003C3241"/>
    <w:rsid w:val="003C3988"/>
    <w:rsid w:val="003C4729"/>
    <w:rsid w:val="003C4DAC"/>
    <w:rsid w:val="003C58BF"/>
    <w:rsid w:val="003C6255"/>
    <w:rsid w:val="003C648F"/>
    <w:rsid w:val="003C743C"/>
    <w:rsid w:val="003C78D6"/>
    <w:rsid w:val="003C7EF3"/>
    <w:rsid w:val="003D03C4"/>
    <w:rsid w:val="003D04A7"/>
    <w:rsid w:val="003D0AEA"/>
    <w:rsid w:val="003D0F1F"/>
    <w:rsid w:val="003D1432"/>
    <w:rsid w:val="003D280E"/>
    <w:rsid w:val="003D292B"/>
    <w:rsid w:val="003D2EE4"/>
    <w:rsid w:val="003D3132"/>
    <w:rsid w:val="003D3634"/>
    <w:rsid w:val="003D3CEE"/>
    <w:rsid w:val="003D3E09"/>
    <w:rsid w:val="003D451D"/>
    <w:rsid w:val="003D4CCA"/>
    <w:rsid w:val="003D589C"/>
    <w:rsid w:val="003D59CA"/>
    <w:rsid w:val="003D6261"/>
    <w:rsid w:val="003D675C"/>
    <w:rsid w:val="003D6AC0"/>
    <w:rsid w:val="003D741E"/>
    <w:rsid w:val="003E06B1"/>
    <w:rsid w:val="003E0849"/>
    <w:rsid w:val="003E187D"/>
    <w:rsid w:val="003E272F"/>
    <w:rsid w:val="003E2BE1"/>
    <w:rsid w:val="003E2D6B"/>
    <w:rsid w:val="003E3C22"/>
    <w:rsid w:val="003E3D3C"/>
    <w:rsid w:val="003E5436"/>
    <w:rsid w:val="003E5B0B"/>
    <w:rsid w:val="003E5BC4"/>
    <w:rsid w:val="003E754B"/>
    <w:rsid w:val="003E79F4"/>
    <w:rsid w:val="003E7FB3"/>
    <w:rsid w:val="003F0277"/>
    <w:rsid w:val="003F0545"/>
    <w:rsid w:val="003F1344"/>
    <w:rsid w:val="003F2687"/>
    <w:rsid w:val="003F2BAD"/>
    <w:rsid w:val="003F2DD8"/>
    <w:rsid w:val="003F34CE"/>
    <w:rsid w:val="003F3F2D"/>
    <w:rsid w:val="003F4534"/>
    <w:rsid w:val="003F4BE7"/>
    <w:rsid w:val="003F4E3D"/>
    <w:rsid w:val="003F4F61"/>
    <w:rsid w:val="003F50B2"/>
    <w:rsid w:val="003F5C35"/>
    <w:rsid w:val="003F5C50"/>
    <w:rsid w:val="003F6838"/>
    <w:rsid w:val="003F73E1"/>
    <w:rsid w:val="003F77F3"/>
    <w:rsid w:val="003F785E"/>
    <w:rsid w:val="0040050B"/>
    <w:rsid w:val="004008AD"/>
    <w:rsid w:val="00400CA3"/>
    <w:rsid w:val="00400CCF"/>
    <w:rsid w:val="00401285"/>
    <w:rsid w:val="004012FF"/>
    <w:rsid w:val="004015ED"/>
    <w:rsid w:val="00401711"/>
    <w:rsid w:val="00401BFF"/>
    <w:rsid w:val="00402773"/>
    <w:rsid w:val="00402AEE"/>
    <w:rsid w:val="004032B8"/>
    <w:rsid w:val="0040334F"/>
    <w:rsid w:val="00403ECA"/>
    <w:rsid w:val="00404179"/>
    <w:rsid w:val="004042F9"/>
    <w:rsid w:val="00404424"/>
    <w:rsid w:val="00404450"/>
    <w:rsid w:val="004045B2"/>
    <w:rsid w:val="00404AAE"/>
    <w:rsid w:val="00404BAC"/>
    <w:rsid w:val="00404C03"/>
    <w:rsid w:val="004050B6"/>
    <w:rsid w:val="004064D6"/>
    <w:rsid w:val="00406C27"/>
    <w:rsid w:val="00407156"/>
    <w:rsid w:val="004071A8"/>
    <w:rsid w:val="0040729B"/>
    <w:rsid w:val="004076EE"/>
    <w:rsid w:val="00410613"/>
    <w:rsid w:val="0041156B"/>
    <w:rsid w:val="004118F6"/>
    <w:rsid w:val="00412207"/>
    <w:rsid w:val="0041224E"/>
    <w:rsid w:val="004122C5"/>
    <w:rsid w:val="00412760"/>
    <w:rsid w:val="00412BC3"/>
    <w:rsid w:val="00412E8A"/>
    <w:rsid w:val="004132EF"/>
    <w:rsid w:val="00413B78"/>
    <w:rsid w:val="004145C9"/>
    <w:rsid w:val="004146FD"/>
    <w:rsid w:val="004157D9"/>
    <w:rsid w:val="00415F11"/>
    <w:rsid w:val="0041652E"/>
    <w:rsid w:val="00416DDE"/>
    <w:rsid w:val="00417828"/>
    <w:rsid w:val="00417AB5"/>
    <w:rsid w:val="00417BC1"/>
    <w:rsid w:val="00420720"/>
    <w:rsid w:val="00420E3C"/>
    <w:rsid w:val="00420F29"/>
    <w:rsid w:val="004210D2"/>
    <w:rsid w:val="00421175"/>
    <w:rsid w:val="004212F2"/>
    <w:rsid w:val="004212FD"/>
    <w:rsid w:val="004213E1"/>
    <w:rsid w:val="00422F75"/>
    <w:rsid w:val="004244E2"/>
    <w:rsid w:val="00425089"/>
    <w:rsid w:val="004253FD"/>
    <w:rsid w:val="00425455"/>
    <w:rsid w:val="00425A38"/>
    <w:rsid w:val="004261F8"/>
    <w:rsid w:val="00426281"/>
    <w:rsid w:val="004268F1"/>
    <w:rsid w:val="00426C11"/>
    <w:rsid w:val="004318B7"/>
    <w:rsid w:val="00431D0C"/>
    <w:rsid w:val="00431DCB"/>
    <w:rsid w:val="00432329"/>
    <w:rsid w:val="00432BA2"/>
    <w:rsid w:val="00432F0D"/>
    <w:rsid w:val="00432FBE"/>
    <w:rsid w:val="00433F81"/>
    <w:rsid w:val="004344E7"/>
    <w:rsid w:val="00434C39"/>
    <w:rsid w:val="0043564C"/>
    <w:rsid w:val="0043619E"/>
    <w:rsid w:val="004361C2"/>
    <w:rsid w:val="00436C1D"/>
    <w:rsid w:val="0043740B"/>
    <w:rsid w:val="00437D71"/>
    <w:rsid w:val="00440053"/>
    <w:rsid w:val="00440257"/>
    <w:rsid w:val="0044042B"/>
    <w:rsid w:val="004408EA"/>
    <w:rsid w:val="00440E43"/>
    <w:rsid w:val="004411AA"/>
    <w:rsid w:val="004412A3"/>
    <w:rsid w:val="0044158E"/>
    <w:rsid w:val="00441601"/>
    <w:rsid w:val="00441716"/>
    <w:rsid w:val="00441B49"/>
    <w:rsid w:val="0044233B"/>
    <w:rsid w:val="0044255E"/>
    <w:rsid w:val="004435ED"/>
    <w:rsid w:val="00443CD8"/>
    <w:rsid w:val="0044411E"/>
    <w:rsid w:val="004442A8"/>
    <w:rsid w:val="0044447C"/>
    <w:rsid w:val="004459DF"/>
    <w:rsid w:val="004470E3"/>
    <w:rsid w:val="004473F2"/>
    <w:rsid w:val="00447C49"/>
    <w:rsid w:val="00447E6E"/>
    <w:rsid w:val="00450BD2"/>
    <w:rsid w:val="004532EA"/>
    <w:rsid w:val="00453435"/>
    <w:rsid w:val="00453BDA"/>
    <w:rsid w:val="00453D8A"/>
    <w:rsid w:val="00455170"/>
    <w:rsid w:val="0045541F"/>
    <w:rsid w:val="00456765"/>
    <w:rsid w:val="00456A9E"/>
    <w:rsid w:val="00457475"/>
    <w:rsid w:val="004575C8"/>
    <w:rsid w:val="004575FD"/>
    <w:rsid w:val="00460089"/>
    <w:rsid w:val="00460B1C"/>
    <w:rsid w:val="00460F76"/>
    <w:rsid w:val="0046141C"/>
    <w:rsid w:val="00461BD9"/>
    <w:rsid w:val="00461F9D"/>
    <w:rsid w:val="00462208"/>
    <w:rsid w:val="0046246C"/>
    <w:rsid w:val="00463089"/>
    <w:rsid w:val="00463B96"/>
    <w:rsid w:val="00463E95"/>
    <w:rsid w:val="00464383"/>
    <w:rsid w:val="004644F6"/>
    <w:rsid w:val="004646A7"/>
    <w:rsid w:val="00464FA5"/>
    <w:rsid w:val="00464FDA"/>
    <w:rsid w:val="00465FE1"/>
    <w:rsid w:val="00466398"/>
    <w:rsid w:val="00466C83"/>
    <w:rsid w:val="00467F68"/>
    <w:rsid w:val="004710FD"/>
    <w:rsid w:val="004712A4"/>
    <w:rsid w:val="004729F3"/>
    <w:rsid w:val="00472B16"/>
    <w:rsid w:val="0047301F"/>
    <w:rsid w:val="0047306D"/>
    <w:rsid w:val="00473107"/>
    <w:rsid w:val="0047347E"/>
    <w:rsid w:val="00473791"/>
    <w:rsid w:val="00473E1B"/>
    <w:rsid w:val="0047483C"/>
    <w:rsid w:val="00474FB1"/>
    <w:rsid w:val="00475305"/>
    <w:rsid w:val="0047545F"/>
    <w:rsid w:val="00475529"/>
    <w:rsid w:val="00475959"/>
    <w:rsid w:val="0047601D"/>
    <w:rsid w:val="0047619F"/>
    <w:rsid w:val="00476559"/>
    <w:rsid w:val="004765C0"/>
    <w:rsid w:val="00476E48"/>
    <w:rsid w:val="004771A7"/>
    <w:rsid w:val="00480259"/>
    <w:rsid w:val="00480870"/>
    <w:rsid w:val="00480A9A"/>
    <w:rsid w:val="00480C7C"/>
    <w:rsid w:val="004818ED"/>
    <w:rsid w:val="00481DE9"/>
    <w:rsid w:val="00482C12"/>
    <w:rsid w:val="00482F54"/>
    <w:rsid w:val="0048380F"/>
    <w:rsid w:val="00483818"/>
    <w:rsid w:val="00483C5E"/>
    <w:rsid w:val="00484B2D"/>
    <w:rsid w:val="00484CEF"/>
    <w:rsid w:val="004851FF"/>
    <w:rsid w:val="00485310"/>
    <w:rsid w:val="0048691C"/>
    <w:rsid w:val="00487121"/>
    <w:rsid w:val="00487443"/>
    <w:rsid w:val="00487A9C"/>
    <w:rsid w:val="004901D6"/>
    <w:rsid w:val="004902C0"/>
    <w:rsid w:val="004908A7"/>
    <w:rsid w:val="004908E2"/>
    <w:rsid w:val="00490C57"/>
    <w:rsid w:val="00490C76"/>
    <w:rsid w:val="0049128B"/>
    <w:rsid w:val="00491391"/>
    <w:rsid w:val="0049151B"/>
    <w:rsid w:val="00491705"/>
    <w:rsid w:val="0049289A"/>
    <w:rsid w:val="00493388"/>
    <w:rsid w:val="00493B31"/>
    <w:rsid w:val="00493B49"/>
    <w:rsid w:val="00493DC7"/>
    <w:rsid w:val="00493E1D"/>
    <w:rsid w:val="00494808"/>
    <w:rsid w:val="00495501"/>
    <w:rsid w:val="004956A3"/>
    <w:rsid w:val="00495BBA"/>
    <w:rsid w:val="00495D95"/>
    <w:rsid w:val="004969FE"/>
    <w:rsid w:val="00496E74"/>
    <w:rsid w:val="0049748F"/>
    <w:rsid w:val="00497CE0"/>
    <w:rsid w:val="004A070A"/>
    <w:rsid w:val="004A076E"/>
    <w:rsid w:val="004A1F72"/>
    <w:rsid w:val="004A21C4"/>
    <w:rsid w:val="004A2336"/>
    <w:rsid w:val="004A301E"/>
    <w:rsid w:val="004A3096"/>
    <w:rsid w:val="004A320E"/>
    <w:rsid w:val="004A331C"/>
    <w:rsid w:val="004A353B"/>
    <w:rsid w:val="004A385A"/>
    <w:rsid w:val="004A4E9C"/>
    <w:rsid w:val="004A51BF"/>
    <w:rsid w:val="004A6867"/>
    <w:rsid w:val="004A7857"/>
    <w:rsid w:val="004B02E0"/>
    <w:rsid w:val="004B0A21"/>
    <w:rsid w:val="004B1045"/>
    <w:rsid w:val="004B11BE"/>
    <w:rsid w:val="004B18A9"/>
    <w:rsid w:val="004B1A3C"/>
    <w:rsid w:val="004B1D02"/>
    <w:rsid w:val="004B2A6D"/>
    <w:rsid w:val="004B3805"/>
    <w:rsid w:val="004B3EF9"/>
    <w:rsid w:val="004B441D"/>
    <w:rsid w:val="004B465A"/>
    <w:rsid w:val="004B58B4"/>
    <w:rsid w:val="004B5AB8"/>
    <w:rsid w:val="004B616B"/>
    <w:rsid w:val="004B6A0D"/>
    <w:rsid w:val="004B6E3C"/>
    <w:rsid w:val="004B79C3"/>
    <w:rsid w:val="004B7C25"/>
    <w:rsid w:val="004B7DEF"/>
    <w:rsid w:val="004C0402"/>
    <w:rsid w:val="004C0C19"/>
    <w:rsid w:val="004C0E53"/>
    <w:rsid w:val="004C15CC"/>
    <w:rsid w:val="004C2666"/>
    <w:rsid w:val="004C3540"/>
    <w:rsid w:val="004C3CCC"/>
    <w:rsid w:val="004C4830"/>
    <w:rsid w:val="004C4A3E"/>
    <w:rsid w:val="004C4F47"/>
    <w:rsid w:val="004C618A"/>
    <w:rsid w:val="004C62B8"/>
    <w:rsid w:val="004C677F"/>
    <w:rsid w:val="004C6E7D"/>
    <w:rsid w:val="004C7016"/>
    <w:rsid w:val="004C79E9"/>
    <w:rsid w:val="004D0F79"/>
    <w:rsid w:val="004D2058"/>
    <w:rsid w:val="004D232E"/>
    <w:rsid w:val="004D2373"/>
    <w:rsid w:val="004D25F7"/>
    <w:rsid w:val="004D276A"/>
    <w:rsid w:val="004D29FD"/>
    <w:rsid w:val="004D2CC3"/>
    <w:rsid w:val="004D35CB"/>
    <w:rsid w:val="004D3A06"/>
    <w:rsid w:val="004D3D2E"/>
    <w:rsid w:val="004D3F4A"/>
    <w:rsid w:val="004D3F56"/>
    <w:rsid w:val="004D444E"/>
    <w:rsid w:val="004D45E8"/>
    <w:rsid w:val="004D4FE9"/>
    <w:rsid w:val="004D52EF"/>
    <w:rsid w:val="004D5D5A"/>
    <w:rsid w:val="004D6FF4"/>
    <w:rsid w:val="004D7DAB"/>
    <w:rsid w:val="004E0393"/>
    <w:rsid w:val="004E0437"/>
    <w:rsid w:val="004E0481"/>
    <w:rsid w:val="004E04A5"/>
    <w:rsid w:val="004E13AD"/>
    <w:rsid w:val="004E168B"/>
    <w:rsid w:val="004E17EB"/>
    <w:rsid w:val="004E1B41"/>
    <w:rsid w:val="004E1E29"/>
    <w:rsid w:val="004E20E5"/>
    <w:rsid w:val="004E2836"/>
    <w:rsid w:val="004E2B62"/>
    <w:rsid w:val="004E2BE6"/>
    <w:rsid w:val="004E4579"/>
    <w:rsid w:val="004E4CE0"/>
    <w:rsid w:val="004E4DDD"/>
    <w:rsid w:val="004E5473"/>
    <w:rsid w:val="004E54DE"/>
    <w:rsid w:val="004E5839"/>
    <w:rsid w:val="004E64EA"/>
    <w:rsid w:val="004E6E27"/>
    <w:rsid w:val="004E7828"/>
    <w:rsid w:val="004E7B22"/>
    <w:rsid w:val="004F0BA8"/>
    <w:rsid w:val="004F1193"/>
    <w:rsid w:val="004F175E"/>
    <w:rsid w:val="004F18EC"/>
    <w:rsid w:val="004F1BCF"/>
    <w:rsid w:val="004F1FC9"/>
    <w:rsid w:val="004F2262"/>
    <w:rsid w:val="004F2361"/>
    <w:rsid w:val="004F2C53"/>
    <w:rsid w:val="004F3EAC"/>
    <w:rsid w:val="004F46AA"/>
    <w:rsid w:val="004F4F8E"/>
    <w:rsid w:val="004F568E"/>
    <w:rsid w:val="004F573E"/>
    <w:rsid w:val="004F57E2"/>
    <w:rsid w:val="004F58E2"/>
    <w:rsid w:val="004F6056"/>
    <w:rsid w:val="004F6195"/>
    <w:rsid w:val="004F6A70"/>
    <w:rsid w:val="004F6F9A"/>
    <w:rsid w:val="004F79B7"/>
    <w:rsid w:val="004F7C5E"/>
    <w:rsid w:val="004F7D61"/>
    <w:rsid w:val="00500642"/>
    <w:rsid w:val="00500AD7"/>
    <w:rsid w:val="00500CF9"/>
    <w:rsid w:val="00501030"/>
    <w:rsid w:val="00501B50"/>
    <w:rsid w:val="0050289C"/>
    <w:rsid w:val="005028B3"/>
    <w:rsid w:val="005028BA"/>
    <w:rsid w:val="00502ABF"/>
    <w:rsid w:val="00503436"/>
    <w:rsid w:val="0050387B"/>
    <w:rsid w:val="00503A23"/>
    <w:rsid w:val="005040F1"/>
    <w:rsid w:val="00504D00"/>
    <w:rsid w:val="00504DB0"/>
    <w:rsid w:val="005050C3"/>
    <w:rsid w:val="00506138"/>
    <w:rsid w:val="005061E6"/>
    <w:rsid w:val="005064EC"/>
    <w:rsid w:val="00506B1D"/>
    <w:rsid w:val="005078A4"/>
    <w:rsid w:val="00507C35"/>
    <w:rsid w:val="00507FFC"/>
    <w:rsid w:val="00510125"/>
    <w:rsid w:val="00510714"/>
    <w:rsid w:val="00510735"/>
    <w:rsid w:val="00510A33"/>
    <w:rsid w:val="00511FF3"/>
    <w:rsid w:val="005123B3"/>
    <w:rsid w:val="0051391D"/>
    <w:rsid w:val="00513E86"/>
    <w:rsid w:val="00514811"/>
    <w:rsid w:val="00514D2F"/>
    <w:rsid w:val="00515FD6"/>
    <w:rsid w:val="005167F4"/>
    <w:rsid w:val="00516A9C"/>
    <w:rsid w:val="005173A6"/>
    <w:rsid w:val="005175DF"/>
    <w:rsid w:val="00517AD9"/>
    <w:rsid w:val="005202CB"/>
    <w:rsid w:val="005204C0"/>
    <w:rsid w:val="005206EB"/>
    <w:rsid w:val="00521776"/>
    <w:rsid w:val="00522B4D"/>
    <w:rsid w:val="00522B64"/>
    <w:rsid w:val="005239C0"/>
    <w:rsid w:val="00523C86"/>
    <w:rsid w:val="00524D65"/>
    <w:rsid w:val="00525539"/>
    <w:rsid w:val="005258C8"/>
    <w:rsid w:val="005262AD"/>
    <w:rsid w:val="00526AF8"/>
    <w:rsid w:val="00526B35"/>
    <w:rsid w:val="00526E18"/>
    <w:rsid w:val="00526FCF"/>
    <w:rsid w:val="005270BE"/>
    <w:rsid w:val="005271CC"/>
    <w:rsid w:val="00527205"/>
    <w:rsid w:val="0052764B"/>
    <w:rsid w:val="00527CE9"/>
    <w:rsid w:val="00527D3F"/>
    <w:rsid w:val="00530526"/>
    <w:rsid w:val="00532695"/>
    <w:rsid w:val="005346F7"/>
    <w:rsid w:val="00534B86"/>
    <w:rsid w:val="005353DB"/>
    <w:rsid w:val="00536130"/>
    <w:rsid w:val="00537260"/>
    <w:rsid w:val="0053727A"/>
    <w:rsid w:val="005374A1"/>
    <w:rsid w:val="005374E0"/>
    <w:rsid w:val="00537EBC"/>
    <w:rsid w:val="00542207"/>
    <w:rsid w:val="005430C3"/>
    <w:rsid w:val="005430F0"/>
    <w:rsid w:val="00543A8D"/>
    <w:rsid w:val="0054410B"/>
    <w:rsid w:val="0054420E"/>
    <w:rsid w:val="00544212"/>
    <w:rsid w:val="005445B3"/>
    <w:rsid w:val="0054499A"/>
    <w:rsid w:val="00544D1B"/>
    <w:rsid w:val="00545828"/>
    <w:rsid w:val="00545AC3"/>
    <w:rsid w:val="00545DC0"/>
    <w:rsid w:val="00545F6C"/>
    <w:rsid w:val="005460D4"/>
    <w:rsid w:val="00546862"/>
    <w:rsid w:val="00546A15"/>
    <w:rsid w:val="0054701D"/>
    <w:rsid w:val="005470D9"/>
    <w:rsid w:val="0054775F"/>
    <w:rsid w:val="005477D9"/>
    <w:rsid w:val="00547A01"/>
    <w:rsid w:val="00547F19"/>
    <w:rsid w:val="005505EB"/>
    <w:rsid w:val="00550C16"/>
    <w:rsid w:val="00550C3B"/>
    <w:rsid w:val="00550FBA"/>
    <w:rsid w:val="00551E0C"/>
    <w:rsid w:val="00552F35"/>
    <w:rsid w:val="005544FF"/>
    <w:rsid w:val="00554ABD"/>
    <w:rsid w:val="00554E41"/>
    <w:rsid w:val="00555323"/>
    <w:rsid w:val="005553E8"/>
    <w:rsid w:val="005562D2"/>
    <w:rsid w:val="0055630A"/>
    <w:rsid w:val="005569C6"/>
    <w:rsid w:val="00557006"/>
    <w:rsid w:val="0055720C"/>
    <w:rsid w:val="005572CE"/>
    <w:rsid w:val="00557C24"/>
    <w:rsid w:val="005601C4"/>
    <w:rsid w:val="00561503"/>
    <w:rsid w:val="00561796"/>
    <w:rsid w:val="00562098"/>
    <w:rsid w:val="005627B4"/>
    <w:rsid w:val="00562BED"/>
    <w:rsid w:val="00562D7D"/>
    <w:rsid w:val="00563230"/>
    <w:rsid w:val="005632DD"/>
    <w:rsid w:val="00563970"/>
    <w:rsid w:val="00563F4A"/>
    <w:rsid w:val="0056423B"/>
    <w:rsid w:val="005649D4"/>
    <w:rsid w:val="00564C39"/>
    <w:rsid w:val="00564FDB"/>
    <w:rsid w:val="005658D0"/>
    <w:rsid w:val="0056591F"/>
    <w:rsid w:val="0056644E"/>
    <w:rsid w:val="0056689E"/>
    <w:rsid w:val="00566BDC"/>
    <w:rsid w:val="00566CA6"/>
    <w:rsid w:val="00567CCA"/>
    <w:rsid w:val="0057027C"/>
    <w:rsid w:val="005708DE"/>
    <w:rsid w:val="0057164A"/>
    <w:rsid w:val="0057279A"/>
    <w:rsid w:val="00573424"/>
    <w:rsid w:val="005737E7"/>
    <w:rsid w:val="00573D09"/>
    <w:rsid w:val="0057402F"/>
    <w:rsid w:val="00574C5A"/>
    <w:rsid w:val="00574F49"/>
    <w:rsid w:val="00575CF9"/>
    <w:rsid w:val="005761B7"/>
    <w:rsid w:val="005764B8"/>
    <w:rsid w:val="005766ED"/>
    <w:rsid w:val="00577331"/>
    <w:rsid w:val="0057799E"/>
    <w:rsid w:val="00577C3C"/>
    <w:rsid w:val="00580E10"/>
    <w:rsid w:val="00581064"/>
    <w:rsid w:val="00581252"/>
    <w:rsid w:val="00581653"/>
    <w:rsid w:val="00581DDE"/>
    <w:rsid w:val="00582029"/>
    <w:rsid w:val="005820B1"/>
    <w:rsid w:val="00582ADF"/>
    <w:rsid w:val="00582D05"/>
    <w:rsid w:val="00582DDC"/>
    <w:rsid w:val="0058350E"/>
    <w:rsid w:val="00583BF0"/>
    <w:rsid w:val="00584346"/>
    <w:rsid w:val="00584581"/>
    <w:rsid w:val="00584836"/>
    <w:rsid w:val="005849D6"/>
    <w:rsid w:val="005849FD"/>
    <w:rsid w:val="00585149"/>
    <w:rsid w:val="00585367"/>
    <w:rsid w:val="005855E4"/>
    <w:rsid w:val="0058571E"/>
    <w:rsid w:val="00585810"/>
    <w:rsid w:val="005858FD"/>
    <w:rsid w:val="005867B4"/>
    <w:rsid w:val="00586DD6"/>
    <w:rsid w:val="005871A1"/>
    <w:rsid w:val="0058737E"/>
    <w:rsid w:val="00587762"/>
    <w:rsid w:val="005878EB"/>
    <w:rsid w:val="00590023"/>
    <w:rsid w:val="00590379"/>
    <w:rsid w:val="005915AC"/>
    <w:rsid w:val="005916B0"/>
    <w:rsid w:val="00591DB2"/>
    <w:rsid w:val="005920D2"/>
    <w:rsid w:val="0059217C"/>
    <w:rsid w:val="00592348"/>
    <w:rsid w:val="00592518"/>
    <w:rsid w:val="00592E87"/>
    <w:rsid w:val="0059363C"/>
    <w:rsid w:val="0059420B"/>
    <w:rsid w:val="00594A96"/>
    <w:rsid w:val="00594C4D"/>
    <w:rsid w:val="00595DB9"/>
    <w:rsid w:val="00595F8D"/>
    <w:rsid w:val="0059625C"/>
    <w:rsid w:val="00596360"/>
    <w:rsid w:val="00597665"/>
    <w:rsid w:val="005976F8"/>
    <w:rsid w:val="005A0518"/>
    <w:rsid w:val="005A0ACB"/>
    <w:rsid w:val="005A0C11"/>
    <w:rsid w:val="005A13AC"/>
    <w:rsid w:val="005A177D"/>
    <w:rsid w:val="005A1A03"/>
    <w:rsid w:val="005A2453"/>
    <w:rsid w:val="005A2505"/>
    <w:rsid w:val="005A322E"/>
    <w:rsid w:val="005A3271"/>
    <w:rsid w:val="005A33B0"/>
    <w:rsid w:val="005A33B7"/>
    <w:rsid w:val="005A3FDC"/>
    <w:rsid w:val="005A406D"/>
    <w:rsid w:val="005A4481"/>
    <w:rsid w:val="005A4AB8"/>
    <w:rsid w:val="005A4F5C"/>
    <w:rsid w:val="005A57C3"/>
    <w:rsid w:val="005A58A6"/>
    <w:rsid w:val="005A5E1B"/>
    <w:rsid w:val="005A61E4"/>
    <w:rsid w:val="005A727C"/>
    <w:rsid w:val="005A76A0"/>
    <w:rsid w:val="005B0061"/>
    <w:rsid w:val="005B05C5"/>
    <w:rsid w:val="005B0C9B"/>
    <w:rsid w:val="005B0DDF"/>
    <w:rsid w:val="005B0E74"/>
    <w:rsid w:val="005B110D"/>
    <w:rsid w:val="005B11E3"/>
    <w:rsid w:val="005B15A4"/>
    <w:rsid w:val="005B1ACC"/>
    <w:rsid w:val="005B21F1"/>
    <w:rsid w:val="005B2295"/>
    <w:rsid w:val="005B2A45"/>
    <w:rsid w:val="005B2B24"/>
    <w:rsid w:val="005B2E46"/>
    <w:rsid w:val="005B339C"/>
    <w:rsid w:val="005B37A8"/>
    <w:rsid w:val="005B3BEF"/>
    <w:rsid w:val="005B4D80"/>
    <w:rsid w:val="005B5074"/>
    <w:rsid w:val="005B5134"/>
    <w:rsid w:val="005B5BAC"/>
    <w:rsid w:val="005B5D10"/>
    <w:rsid w:val="005B5F0F"/>
    <w:rsid w:val="005B6435"/>
    <w:rsid w:val="005B65E9"/>
    <w:rsid w:val="005B664B"/>
    <w:rsid w:val="005B71EA"/>
    <w:rsid w:val="005B7930"/>
    <w:rsid w:val="005B7AF5"/>
    <w:rsid w:val="005B7BDA"/>
    <w:rsid w:val="005C04DE"/>
    <w:rsid w:val="005C0CDA"/>
    <w:rsid w:val="005C139C"/>
    <w:rsid w:val="005C203F"/>
    <w:rsid w:val="005C2DC2"/>
    <w:rsid w:val="005C304A"/>
    <w:rsid w:val="005C3080"/>
    <w:rsid w:val="005C3D69"/>
    <w:rsid w:val="005C4361"/>
    <w:rsid w:val="005C4D80"/>
    <w:rsid w:val="005C5FEB"/>
    <w:rsid w:val="005C6A28"/>
    <w:rsid w:val="005C6CD0"/>
    <w:rsid w:val="005C6FC4"/>
    <w:rsid w:val="005C750E"/>
    <w:rsid w:val="005C78E9"/>
    <w:rsid w:val="005C7C98"/>
    <w:rsid w:val="005D0ABC"/>
    <w:rsid w:val="005D0CE9"/>
    <w:rsid w:val="005D0F9C"/>
    <w:rsid w:val="005D12D3"/>
    <w:rsid w:val="005D1E6D"/>
    <w:rsid w:val="005D2605"/>
    <w:rsid w:val="005D2C3A"/>
    <w:rsid w:val="005D37FB"/>
    <w:rsid w:val="005D4061"/>
    <w:rsid w:val="005D4573"/>
    <w:rsid w:val="005D4FF2"/>
    <w:rsid w:val="005D5023"/>
    <w:rsid w:val="005D527B"/>
    <w:rsid w:val="005D55A4"/>
    <w:rsid w:val="005D57C8"/>
    <w:rsid w:val="005D5E93"/>
    <w:rsid w:val="005D63D1"/>
    <w:rsid w:val="005D70BA"/>
    <w:rsid w:val="005D7309"/>
    <w:rsid w:val="005D7761"/>
    <w:rsid w:val="005D7B5C"/>
    <w:rsid w:val="005D7CD3"/>
    <w:rsid w:val="005E0278"/>
    <w:rsid w:val="005E05D1"/>
    <w:rsid w:val="005E090D"/>
    <w:rsid w:val="005E0C5B"/>
    <w:rsid w:val="005E11E8"/>
    <w:rsid w:val="005E18A9"/>
    <w:rsid w:val="005E1F81"/>
    <w:rsid w:val="005E2896"/>
    <w:rsid w:val="005E2D6F"/>
    <w:rsid w:val="005E2EBF"/>
    <w:rsid w:val="005E2FFB"/>
    <w:rsid w:val="005E38FF"/>
    <w:rsid w:val="005E3A18"/>
    <w:rsid w:val="005E3CA0"/>
    <w:rsid w:val="005E44B1"/>
    <w:rsid w:val="005E50BC"/>
    <w:rsid w:val="005E538D"/>
    <w:rsid w:val="005E6077"/>
    <w:rsid w:val="005E63FF"/>
    <w:rsid w:val="005E661D"/>
    <w:rsid w:val="005E67B0"/>
    <w:rsid w:val="005E687F"/>
    <w:rsid w:val="005E6E59"/>
    <w:rsid w:val="005E6F46"/>
    <w:rsid w:val="005E7047"/>
    <w:rsid w:val="005E71B9"/>
    <w:rsid w:val="005E777F"/>
    <w:rsid w:val="005E7A0A"/>
    <w:rsid w:val="005E7B5E"/>
    <w:rsid w:val="005F00DB"/>
    <w:rsid w:val="005F020F"/>
    <w:rsid w:val="005F127B"/>
    <w:rsid w:val="005F1CA7"/>
    <w:rsid w:val="005F1ECF"/>
    <w:rsid w:val="005F229F"/>
    <w:rsid w:val="005F2309"/>
    <w:rsid w:val="005F23E3"/>
    <w:rsid w:val="005F249C"/>
    <w:rsid w:val="005F305B"/>
    <w:rsid w:val="005F4015"/>
    <w:rsid w:val="005F417C"/>
    <w:rsid w:val="005F43DD"/>
    <w:rsid w:val="005F469E"/>
    <w:rsid w:val="005F4969"/>
    <w:rsid w:val="005F4F84"/>
    <w:rsid w:val="005F51A9"/>
    <w:rsid w:val="005F5B35"/>
    <w:rsid w:val="005F5EDF"/>
    <w:rsid w:val="005F6399"/>
    <w:rsid w:val="005F6567"/>
    <w:rsid w:val="005F6BE1"/>
    <w:rsid w:val="005F6F7D"/>
    <w:rsid w:val="005F735A"/>
    <w:rsid w:val="005F7416"/>
    <w:rsid w:val="005F74ED"/>
    <w:rsid w:val="005F7A3C"/>
    <w:rsid w:val="005F7C55"/>
    <w:rsid w:val="00600367"/>
    <w:rsid w:val="00600485"/>
    <w:rsid w:val="00600C11"/>
    <w:rsid w:val="00600FFD"/>
    <w:rsid w:val="0060111E"/>
    <w:rsid w:val="00601582"/>
    <w:rsid w:val="00601946"/>
    <w:rsid w:val="006022D1"/>
    <w:rsid w:val="00604B41"/>
    <w:rsid w:val="00605EBE"/>
    <w:rsid w:val="006067EB"/>
    <w:rsid w:val="00606B89"/>
    <w:rsid w:val="006079B5"/>
    <w:rsid w:val="00607AD1"/>
    <w:rsid w:val="00610765"/>
    <w:rsid w:val="0061096C"/>
    <w:rsid w:val="006110C5"/>
    <w:rsid w:val="00611225"/>
    <w:rsid w:val="00611EAF"/>
    <w:rsid w:val="00611FF6"/>
    <w:rsid w:val="0061272E"/>
    <w:rsid w:val="00612B5B"/>
    <w:rsid w:val="00613DB6"/>
    <w:rsid w:val="00614114"/>
    <w:rsid w:val="006143F5"/>
    <w:rsid w:val="006144BF"/>
    <w:rsid w:val="006147BC"/>
    <w:rsid w:val="006147F5"/>
    <w:rsid w:val="00614C35"/>
    <w:rsid w:val="00614DC0"/>
    <w:rsid w:val="00614DDA"/>
    <w:rsid w:val="00615AEA"/>
    <w:rsid w:val="00615F28"/>
    <w:rsid w:val="006170EC"/>
    <w:rsid w:val="00617735"/>
    <w:rsid w:val="00620294"/>
    <w:rsid w:val="00620573"/>
    <w:rsid w:val="00620EBE"/>
    <w:rsid w:val="00621816"/>
    <w:rsid w:val="006237BE"/>
    <w:rsid w:val="00623F30"/>
    <w:rsid w:val="00624616"/>
    <w:rsid w:val="00624B02"/>
    <w:rsid w:val="00624B44"/>
    <w:rsid w:val="00624C1F"/>
    <w:rsid w:val="00624E7B"/>
    <w:rsid w:val="00625B6E"/>
    <w:rsid w:val="00625FB8"/>
    <w:rsid w:val="006261BD"/>
    <w:rsid w:val="00627225"/>
    <w:rsid w:val="006274C3"/>
    <w:rsid w:val="00630417"/>
    <w:rsid w:val="00630D20"/>
    <w:rsid w:val="0063119E"/>
    <w:rsid w:val="006326CC"/>
    <w:rsid w:val="006345D3"/>
    <w:rsid w:val="0063473E"/>
    <w:rsid w:val="00634D50"/>
    <w:rsid w:val="00635C95"/>
    <w:rsid w:val="00635EDB"/>
    <w:rsid w:val="00635EE9"/>
    <w:rsid w:val="00635EED"/>
    <w:rsid w:val="0063648F"/>
    <w:rsid w:val="006365EB"/>
    <w:rsid w:val="006408A1"/>
    <w:rsid w:val="00640B8E"/>
    <w:rsid w:val="006420D1"/>
    <w:rsid w:val="006420F2"/>
    <w:rsid w:val="0064262C"/>
    <w:rsid w:val="00642704"/>
    <w:rsid w:val="00642BAE"/>
    <w:rsid w:val="00642C3C"/>
    <w:rsid w:val="006433FD"/>
    <w:rsid w:val="00643A03"/>
    <w:rsid w:val="00643A45"/>
    <w:rsid w:val="00643A79"/>
    <w:rsid w:val="00644747"/>
    <w:rsid w:val="00644785"/>
    <w:rsid w:val="00644EF4"/>
    <w:rsid w:val="00645BEA"/>
    <w:rsid w:val="00645F8C"/>
    <w:rsid w:val="006464B9"/>
    <w:rsid w:val="00646DD5"/>
    <w:rsid w:val="00646E11"/>
    <w:rsid w:val="0064733C"/>
    <w:rsid w:val="0064734E"/>
    <w:rsid w:val="00650137"/>
    <w:rsid w:val="006509D7"/>
    <w:rsid w:val="0065105A"/>
    <w:rsid w:val="00651CE8"/>
    <w:rsid w:val="006523CE"/>
    <w:rsid w:val="00652EA5"/>
    <w:rsid w:val="0065322F"/>
    <w:rsid w:val="0065342D"/>
    <w:rsid w:val="00653462"/>
    <w:rsid w:val="00653664"/>
    <w:rsid w:val="0065521B"/>
    <w:rsid w:val="00655869"/>
    <w:rsid w:val="006567DF"/>
    <w:rsid w:val="00656CB2"/>
    <w:rsid w:val="00656E22"/>
    <w:rsid w:val="00657464"/>
    <w:rsid w:val="00657589"/>
    <w:rsid w:val="00660195"/>
    <w:rsid w:val="00660E6D"/>
    <w:rsid w:val="00661CFA"/>
    <w:rsid w:val="0066299B"/>
    <w:rsid w:val="006635A3"/>
    <w:rsid w:val="006636D8"/>
    <w:rsid w:val="00663E78"/>
    <w:rsid w:val="00664451"/>
    <w:rsid w:val="006653D6"/>
    <w:rsid w:val="00665973"/>
    <w:rsid w:val="00665A20"/>
    <w:rsid w:val="00665C96"/>
    <w:rsid w:val="0066654A"/>
    <w:rsid w:val="00667B1B"/>
    <w:rsid w:val="00667D2D"/>
    <w:rsid w:val="00670411"/>
    <w:rsid w:val="00670782"/>
    <w:rsid w:val="0067107F"/>
    <w:rsid w:val="006711E3"/>
    <w:rsid w:val="00671314"/>
    <w:rsid w:val="0067161F"/>
    <w:rsid w:val="00671EF6"/>
    <w:rsid w:val="0067205B"/>
    <w:rsid w:val="00672592"/>
    <w:rsid w:val="00672D28"/>
    <w:rsid w:val="00672EB5"/>
    <w:rsid w:val="006731EB"/>
    <w:rsid w:val="00673F7C"/>
    <w:rsid w:val="006744A9"/>
    <w:rsid w:val="006748F8"/>
    <w:rsid w:val="006749F5"/>
    <w:rsid w:val="00674F34"/>
    <w:rsid w:val="006751FC"/>
    <w:rsid w:val="00675F7D"/>
    <w:rsid w:val="00675FF6"/>
    <w:rsid w:val="00676041"/>
    <w:rsid w:val="00676642"/>
    <w:rsid w:val="00676BCC"/>
    <w:rsid w:val="0067788F"/>
    <w:rsid w:val="00677BBF"/>
    <w:rsid w:val="00680489"/>
    <w:rsid w:val="00680533"/>
    <w:rsid w:val="00681A17"/>
    <w:rsid w:val="00681D0E"/>
    <w:rsid w:val="00681F68"/>
    <w:rsid w:val="00683856"/>
    <w:rsid w:val="00683950"/>
    <w:rsid w:val="00683C32"/>
    <w:rsid w:val="00683EB2"/>
    <w:rsid w:val="00684156"/>
    <w:rsid w:val="006843F6"/>
    <w:rsid w:val="00684C3D"/>
    <w:rsid w:val="00684DBC"/>
    <w:rsid w:val="006852DD"/>
    <w:rsid w:val="00685FDE"/>
    <w:rsid w:val="006860C4"/>
    <w:rsid w:val="0068702F"/>
    <w:rsid w:val="00687086"/>
    <w:rsid w:val="006909A7"/>
    <w:rsid w:val="00690BB2"/>
    <w:rsid w:val="006916B1"/>
    <w:rsid w:val="00691AF1"/>
    <w:rsid w:val="00691AF7"/>
    <w:rsid w:val="00691C35"/>
    <w:rsid w:val="00692A8F"/>
    <w:rsid w:val="00692B82"/>
    <w:rsid w:val="0069351D"/>
    <w:rsid w:val="0069390E"/>
    <w:rsid w:val="00693C87"/>
    <w:rsid w:val="00693D09"/>
    <w:rsid w:val="0069443E"/>
    <w:rsid w:val="006947F9"/>
    <w:rsid w:val="00694CFD"/>
    <w:rsid w:val="00694E3F"/>
    <w:rsid w:val="00694EC1"/>
    <w:rsid w:val="00694FD2"/>
    <w:rsid w:val="00695116"/>
    <w:rsid w:val="0069537D"/>
    <w:rsid w:val="00695F0C"/>
    <w:rsid w:val="00696B44"/>
    <w:rsid w:val="006971B8"/>
    <w:rsid w:val="00697471"/>
    <w:rsid w:val="006975EE"/>
    <w:rsid w:val="006A0197"/>
    <w:rsid w:val="006A09E8"/>
    <w:rsid w:val="006A0C66"/>
    <w:rsid w:val="006A0D3F"/>
    <w:rsid w:val="006A14E8"/>
    <w:rsid w:val="006A1DE0"/>
    <w:rsid w:val="006A23EC"/>
    <w:rsid w:val="006A27F6"/>
    <w:rsid w:val="006A35F5"/>
    <w:rsid w:val="006A37CE"/>
    <w:rsid w:val="006A4882"/>
    <w:rsid w:val="006A4A56"/>
    <w:rsid w:val="006A4A79"/>
    <w:rsid w:val="006A4E26"/>
    <w:rsid w:val="006A541B"/>
    <w:rsid w:val="006A64BC"/>
    <w:rsid w:val="006A6549"/>
    <w:rsid w:val="006A75A2"/>
    <w:rsid w:val="006A7710"/>
    <w:rsid w:val="006A77FA"/>
    <w:rsid w:val="006A7A61"/>
    <w:rsid w:val="006A7B4B"/>
    <w:rsid w:val="006A7B4E"/>
    <w:rsid w:val="006A7BAC"/>
    <w:rsid w:val="006A7BF7"/>
    <w:rsid w:val="006B07DB"/>
    <w:rsid w:val="006B1174"/>
    <w:rsid w:val="006B11E4"/>
    <w:rsid w:val="006B18F8"/>
    <w:rsid w:val="006B1B96"/>
    <w:rsid w:val="006B1C15"/>
    <w:rsid w:val="006B1E59"/>
    <w:rsid w:val="006B206D"/>
    <w:rsid w:val="006B2124"/>
    <w:rsid w:val="006B226F"/>
    <w:rsid w:val="006B2FFB"/>
    <w:rsid w:val="006B305D"/>
    <w:rsid w:val="006B3996"/>
    <w:rsid w:val="006B3B8D"/>
    <w:rsid w:val="006B3C28"/>
    <w:rsid w:val="006B3CD4"/>
    <w:rsid w:val="006B3D09"/>
    <w:rsid w:val="006B3D0F"/>
    <w:rsid w:val="006B3E64"/>
    <w:rsid w:val="006B4FB3"/>
    <w:rsid w:val="006B503E"/>
    <w:rsid w:val="006B521A"/>
    <w:rsid w:val="006B5A64"/>
    <w:rsid w:val="006B5EFF"/>
    <w:rsid w:val="006B665F"/>
    <w:rsid w:val="006B67F9"/>
    <w:rsid w:val="006B7C65"/>
    <w:rsid w:val="006C075B"/>
    <w:rsid w:val="006C0D6E"/>
    <w:rsid w:val="006C106A"/>
    <w:rsid w:val="006C10A2"/>
    <w:rsid w:val="006C1275"/>
    <w:rsid w:val="006C1A79"/>
    <w:rsid w:val="006C1F18"/>
    <w:rsid w:val="006C2373"/>
    <w:rsid w:val="006C26B5"/>
    <w:rsid w:val="006C2704"/>
    <w:rsid w:val="006C2F6F"/>
    <w:rsid w:val="006C3AA7"/>
    <w:rsid w:val="006C41B5"/>
    <w:rsid w:val="006C4653"/>
    <w:rsid w:val="006C55CB"/>
    <w:rsid w:val="006C6139"/>
    <w:rsid w:val="006C6951"/>
    <w:rsid w:val="006C6E02"/>
    <w:rsid w:val="006C6F2B"/>
    <w:rsid w:val="006C772C"/>
    <w:rsid w:val="006C79C2"/>
    <w:rsid w:val="006D00F9"/>
    <w:rsid w:val="006D02BE"/>
    <w:rsid w:val="006D07C7"/>
    <w:rsid w:val="006D089D"/>
    <w:rsid w:val="006D121B"/>
    <w:rsid w:val="006D1754"/>
    <w:rsid w:val="006D1BEE"/>
    <w:rsid w:val="006D21B9"/>
    <w:rsid w:val="006D3F12"/>
    <w:rsid w:val="006D40D5"/>
    <w:rsid w:val="006D449E"/>
    <w:rsid w:val="006D49D9"/>
    <w:rsid w:val="006D4EA0"/>
    <w:rsid w:val="006D506C"/>
    <w:rsid w:val="006D5E18"/>
    <w:rsid w:val="006D64B1"/>
    <w:rsid w:val="006D6BF2"/>
    <w:rsid w:val="006D7087"/>
    <w:rsid w:val="006D7924"/>
    <w:rsid w:val="006D7A54"/>
    <w:rsid w:val="006E0006"/>
    <w:rsid w:val="006E12EB"/>
    <w:rsid w:val="006E1AE5"/>
    <w:rsid w:val="006E226E"/>
    <w:rsid w:val="006E2988"/>
    <w:rsid w:val="006E37A2"/>
    <w:rsid w:val="006E38D3"/>
    <w:rsid w:val="006E39BC"/>
    <w:rsid w:val="006E40AD"/>
    <w:rsid w:val="006E54BB"/>
    <w:rsid w:val="006E5561"/>
    <w:rsid w:val="006E558E"/>
    <w:rsid w:val="006E5D26"/>
    <w:rsid w:val="006E671F"/>
    <w:rsid w:val="006E69EC"/>
    <w:rsid w:val="006E6AAF"/>
    <w:rsid w:val="006E72D0"/>
    <w:rsid w:val="006F009A"/>
    <w:rsid w:val="006F04BD"/>
    <w:rsid w:val="006F0751"/>
    <w:rsid w:val="006F0883"/>
    <w:rsid w:val="006F0B00"/>
    <w:rsid w:val="006F0C9E"/>
    <w:rsid w:val="006F0D1B"/>
    <w:rsid w:val="006F117F"/>
    <w:rsid w:val="006F209E"/>
    <w:rsid w:val="006F24AF"/>
    <w:rsid w:val="006F301C"/>
    <w:rsid w:val="006F33D2"/>
    <w:rsid w:val="006F3D93"/>
    <w:rsid w:val="006F4263"/>
    <w:rsid w:val="006F4B5B"/>
    <w:rsid w:val="006F4BDC"/>
    <w:rsid w:val="006F4BE3"/>
    <w:rsid w:val="006F4E28"/>
    <w:rsid w:val="006F50B2"/>
    <w:rsid w:val="006F6050"/>
    <w:rsid w:val="006F63BE"/>
    <w:rsid w:val="006F6B1D"/>
    <w:rsid w:val="006F71DF"/>
    <w:rsid w:val="00700A3B"/>
    <w:rsid w:val="00700E65"/>
    <w:rsid w:val="0070114D"/>
    <w:rsid w:val="00701966"/>
    <w:rsid w:val="007019B1"/>
    <w:rsid w:val="00702358"/>
    <w:rsid w:val="00702571"/>
    <w:rsid w:val="0070285F"/>
    <w:rsid w:val="00703131"/>
    <w:rsid w:val="0070329E"/>
    <w:rsid w:val="00703528"/>
    <w:rsid w:val="007036DC"/>
    <w:rsid w:val="007038DC"/>
    <w:rsid w:val="0070445F"/>
    <w:rsid w:val="0070464E"/>
    <w:rsid w:val="00705478"/>
    <w:rsid w:val="00706440"/>
    <w:rsid w:val="00706620"/>
    <w:rsid w:val="00706732"/>
    <w:rsid w:val="0070687B"/>
    <w:rsid w:val="00706D6A"/>
    <w:rsid w:val="00706EAE"/>
    <w:rsid w:val="00707484"/>
    <w:rsid w:val="007079DA"/>
    <w:rsid w:val="00707A2A"/>
    <w:rsid w:val="007103FD"/>
    <w:rsid w:val="0071041C"/>
    <w:rsid w:val="00710757"/>
    <w:rsid w:val="00710CFE"/>
    <w:rsid w:val="00710FBF"/>
    <w:rsid w:val="00712266"/>
    <w:rsid w:val="007126DA"/>
    <w:rsid w:val="007138D5"/>
    <w:rsid w:val="007142DD"/>
    <w:rsid w:val="00714A9A"/>
    <w:rsid w:val="00715C14"/>
    <w:rsid w:val="0071703D"/>
    <w:rsid w:val="007170B7"/>
    <w:rsid w:val="00717363"/>
    <w:rsid w:val="007173C1"/>
    <w:rsid w:val="00717E13"/>
    <w:rsid w:val="00721657"/>
    <w:rsid w:val="00722C10"/>
    <w:rsid w:val="00722F24"/>
    <w:rsid w:val="0072302F"/>
    <w:rsid w:val="00723598"/>
    <w:rsid w:val="00724418"/>
    <w:rsid w:val="00724CA5"/>
    <w:rsid w:val="00724DC9"/>
    <w:rsid w:val="00724F6B"/>
    <w:rsid w:val="00725319"/>
    <w:rsid w:val="00726E7F"/>
    <w:rsid w:val="0072774E"/>
    <w:rsid w:val="007279A8"/>
    <w:rsid w:val="00727B1A"/>
    <w:rsid w:val="00727CC0"/>
    <w:rsid w:val="00731615"/>
    <w:rsid w:val="00731632"/>
    <w:rsid w:val="0073208B"/>
    <w:rsid w:val="0073354B"/>
    <w:rsid w:val="00733A9F"/>
    <w:rsid w:val="00734226"/>
    <w:rsid w:val="00734BAB"/>
    <w:rsid w:val="00736BBB"/>
    <w:rsid w:val="00736D0A"/>
    <w:rsid w:val="00737014"/>
    <w:rsid w:val="0073798F"/>
    <w:rsid w:val="007404B6"/>
    <w:rsid w:val="00740A2F"/>
    <w:rsid w:val="00740D83"/>
    <w:rsid w:val="00740F6B"/>
    <w:rsid w:val="00741337"/>
    <w:rsid w:val="007416AD"/>
    <w:rsid w:val="00741D36"/>
    <w:rsid w:val="0074240F"/>
    <w:rsid w:val="00744277"/>
    <w:rsid w:val="007444A7"/>
    <w:rsid w:val="00744EF2"/>
    <w:rsid w:val="007458E3"/>
    <w:rsid w:val="00746785"/>
    <w:rsid w:val="00746B9B"/>
    <w:rsid w:val="00746C0D"/>
    <w:rsid w:val="007470BE"/>
    <w:rsid w:val="007475B3"/>
    <w:rsid w:val="007501E0"/>
    <w:rsid w:val="00750DEE"/>
    <w:rsid w:val="00751197"/>
    <w:rsid w:val="007516E1"/>
    <w:rsid w:val="007519F5"/>
    <w:rsid w:val="00751CE1"/>
    <w:rsid w:val="00751CEC"/>
    <w:rsid w:val="00752258"/>
    <w:rsid w:val="007523BF"/>
    <w:rsid w:val="007529E1"/>
    <w:rsid w:val="00752A7B"/>
    <w:rsid w:val="00753089"/>
    <w:rsid w:val="007532C5"/>
    <w:rsid w:val="00753C3A"/>
    <w:rsid w:val="00753D79"/>
    <w:rsid w:val="00753DB3"/>
    <w:rsid w:val="00753FAE"/>
    <w:rsid w:val="007543EA"/>
    <w:rsid w:val="00754D41"/>
    <w:rsid w:val="00755454"/>
    <w:rsid w:val="00756954"/>
    <w:rsid w:val="00756AF6"/>
    <w:rsid w:val="00756C8F"/>
    <w:rsid w:val="00756C9C"/>
    <w:rsid w:val="00756F18"/>
    <w:rsid w:val="00757979"/>
    <w:rsid w:val="00757CB6"/>
    <w:rsid w:val="00760E48"/>
    <w:rsid w:val="007616C9"/>
    <w:rsid w:val="00761A93"/>
    <w:rsid w:val="00761F14"/>
    <w:rsid w:val="0076272A"/>
    <w:rsid w:val="00762880"/>
    <w:rsid w:val="007628A9"/>
    <w:rsid w:val="00762AD6"/>
    <w:rsid w:val="00762E02"/>
    <w:rsid w:val="007630BB"/>
    <w:rsid w:val="00763584"/>
    <w:rsid w:val="007648AE"/>
    <w:rsid w:val="00764BCD"/>
    <w:rsid w:val="0076582E"/>
    <w:rsid w:val="007660E5"/>
    <w:rsid w:val="00766356"/>
    <w:rsid w:val="00766C13"/>
    <w:rsid w:val="007703E2"/>
    <w:rsid w:val="00770CC3"/>
    <w:rsid w:val="00771316"/>
    <w:rsid w:val="00771B23"/>
    <w:rsid w:val="00771B44"/>
    <w:rsid w:val="00771C58"/>
    <w:rsid w:val="00772025"/>
    <w:rsid w:val="00772290"/>
    <w:rsid w:val="00772B5D"/>
    <w:rsid w:val="00772ED9"/>
    <w:rsid w:val="007739E5"/>
    <w:rsid w:val="007740C0"/>
    <w:rsid w:val="00774225"/>
    <w:rsid w:val="00774E29"/>
    <w:rsid w:val="00775195"/>
    <w:rsid w:val="007753D3"/>
    <w:rsid w:val="00775528"/>
    <w:rsid w:val="007756DA"/>
    <w:rsid w:val="00775F26"/>
    <w:rsid w:val="00775FA3"/>
    <w:rsid w:val="00777265"/>
    <w:rsid w:val="00780521"/>
    <w:rsid w:val="007805E7"/>
    <w:rsid w:val="00781079"/>
    <w:rsid w:val="007810AF"/>
    <w:rsid w:val="00781433"/>
    <w:rsid w:val="007814AC"/>
    <w:rsid w:val="00781545"/>
    <w:rsid w:val="00781583"/>
    <w:rsid w:val="007816FB"/>
    <w:rsid w:val="0078222A"/>
    <w:rsid w:val="00782B29"/>
    <w:rsid w:val="007834CA"/>
    <w:rsid w:val="00783C56"/>
    <w:rsid w:val="00784594"/>
    <w:rsid w:val="00784700"/>
    <w:rsid w:val="00784AB3"/>
    <w:rsid w:val="00785352"/>
    <w:rsid w:val="007858DA"/>
    <w:rsid w:val="0078595C"/>
    <w:rsid w:val="00785E0C"/>
    <w:rsid w:val="007862C6"/>
    <w:rsid w:val="007863F9"/>
    <w:rsid w:val="007867ED"/>
    <w:rsid w:val="00787181"/>
    <w:rsid w:val="00787D48"/>
    <w:rsid w:val="007901A3"/>
    <w:rsid w:val="0079092F"/>
    <w:rsid w:val="00791005"/>
    <w:rsid w:val="00791074"/>
    <w:rsid w:val="0079158B"/>
    <w:rsid w:val="00791914"/>
    <w:rsid w:val="00792112"/>
    <w:rsid w:val="00792168"/>
    <w:rsid w:val="00792920"/>
    <w:rsid w:val="0079299D"/>
    <w:rsid w:val="00792B1E"/>
    <w:rsid w:val="00793768"/>
    <w:rsid w:val="00793795"/>
    <w:rsid w:val="00794692"/>
    <w:rsid w:val="00795294"/>
    <w:rsid w:val="00795716"/>
    <w:rsid w:val="0079595C"/>
    <w:rsid w:val="00795A13"/>
    <w:rsid w:val="00795D13"/>
    <w:rsid w:val="0079624F"/>
    <w:rsid w:val="00796822"/>
    <w:rsid w:val="00796A5A"/>
    <w:rsid w:val="0079728E"/>
    <w:rsid w:val="00797BA8"/>
    <w:rsid w:val="007A035D"/>
    <w:rsid w:val="007A0BD3"/>
    <w:rsid w:val="007A0E15"/>
    <w:rsid w:val="007A1B82"/>
    <w:rsid w:val="007A1F36"/>
    <w:rsid w:val="007A243E"/>
    <w:rsid w:val="007A28E5"/>
    <w:rsid w:val="007A2D72"/>
    <w:rsid w:val="007A2FD9"/>
    <w:rsid w:val="007A30C9"/>
    <w:rsid w:val="007A3335"/>
    <w:rsid w:val="007A3743"/>
    <w:rsid w:val="007A38F4"/>
    <w:rsid w:val="007A3B49"/>
    <w:rsid w:val="007A43E0"/>
    <w:rsid w:val="007A48F7"/>
    <w:rsid w:val="007A4E50"/>
    <w:rsid w:val="007A605A"/>
    <w:rsid w:val="007A615D"/>
    <w:rsid w:val="007A665A"/>
    <w:rsid w:val="007A6901"/>
    <w:rsid w:val="007A6B4E"/>
    <w:rsid w:val="007A706E"/>
    <w:rsid w:val="007A70B9"/>
    <w:rsid w:val="007A7A66"/>
    <w:rsid w:val="007A7D13"/>
    <w:rsid w:val="007A7EB6"/>
    <w:rsid w:val="007B0A61"/>
    <w:rsid w:val="007B10E6"/>
    <w:rsid w:val="007B18A7"/>
    <w:rsid w:val="007B1D98"/>
    <w:rsid w:val="007B1E2B"/>
    <w:rsid w:val="007B250E"/>
    <w:rsid w:val="007B3F03"/>
    <w:rsid w:val="007B4003"/>
    <w:rsid w:val="007B4802"/>
    <w:rsid w:val="007B5109"/>
    <w:rsid w:val="007B599C"/>
    <w:rsid w:val="007B5B7D"/>
    <w:rsid w:val="007B5DFF"/>
    <w:rsid w:val="007B60F1"/>
    <w:rsid w:val="007B64A5"/>
    <w:rsid w:val="007B6CAF"/>
    <w:rsid w:val="007B7825"/>
    <w:rsid w:val="007C0513"/>
    <w:rsid w:val="007C05A3"/>
    <w:rsid w:val="007C07B7"/>
    <w:rsid w:val="007C1CF3"/>
    <w:rsid w:val="007C2380"/>
    <w:rsid w:val="007C27FC"/>
    <w:rsid w:val="007C2D80"/>
    <w:rsid w:val="007C3572"/>
    <w:rsid w:val="007C3BC0"/>
    <w:rsid w:val="007C4297"/>
    <w:rsid w:val="007C51FF"/>
    <w:rsid w:val="007C525E"/>
    <w:rsid w:val="007C6C08"/>
    <w:rsid w:val="007C6F4E"/>
    <w:rsid w:val="007D0278"/>
    <w:rsid w:val="007D0453"/>
    <w:rsid w:val="007D09F5"/>
    <w:rsid w:val="007D0B85"/>
    <w:rsid w:val="007D0BDC"/>
    <w:rsid w:val="007D0D16"/>
    <w:rsid w:val="007D14A1"/>
    <w:rsid w:val="007D1C46"/>
    <w:rsid w:val="007D2319"/>
    <w:rsid w:val="007D2BA9"/>
    <w:rsid w:val="007D3085"/>
    <w:rsid w:val="007D3136"/>
    <w:rsid w:val="007D319E"/>
    <w:rsid w:val="007D369D"/>
    <w:rsid w:val="007D3E4D"/>
    <w:rsid w:val="007D410E"/>
    <w:rsid w:val="007D50E4"/>
    <w:rsid w:val="007D510C"/>
    <w:rsid w:val="007D5278"/>
    <w:rsid w:val="007D5C93"/>
    <w:rsid w:val="007D5F22"/>
    <w:rsid w:val="007D6039"/>
    <w:rsid w:val="007D714E"/>
    <w:rsid w:val="007D7438"/>
    <w:rsid w:val="007E0F81"/>
    <w:rsid w:val="007E10D3"/>
    <w:rsid w:val="007E1802"/>
    <w:rsid w:val="007E1C40"/>
    <w:rsid w:val="007E2083"/>
    <w:rsid w:val="007E2D11"/>
    <w:rsid w:val="007E2DC5"/>
    <w:rsid w:val="007E2EF2"/>
    <w:rsid w:val="007E33F9"/>
    <w:rsid w:val="007E4EAC"/>
    <w:rsid w:val="007E5161"/>
    <w:rsid w:val="007E53C2"/>
    <w:rsid w:val="007E54EA"/>
    <w:rsid w:val="007E560A"/>
    <w:rsid w:val="007E5CB5"/>
    <w:rsid w:val="007E6A5F"/>
    <w:rsid w:val="007E6E2D"/>
    <w:rsid w:val="007E72EA"/>
    <w:rsid w:val="007E72EC"/>
    <w:rsid w:val="007E7A40"/>
    <w:rsid w:val="007E7A5E"/>
    <w:rsid w:val="007F1063"/>
    <w:rsid w:val="007F1CC7"/>
    <w:rsid w:val="007F1FA4"/>
    <w:rsid w:val="007F20EF"/>
    <w:rsid w:val="007F284C"/>
    <w:rsid w:val="007F29D0"/>
    <w:rsid w:val="007F29D7"/>
    <w:rsid w:val="007F3377"/>
    <w:rsid w:val="007F3949"/>
    <w:rsid w:val="007F4233"/>
    <w:rsid w:val="007F4329"/>
    <w:rsid w:val="007F4587"/>
    <w:rsid w:val="007F4C85"/>
    <w:rsid w:val="007F4DE4"/>
    <w:rsid w:val="007F5D0C"/>
    <w:rsid w:val="007F754B"/>
    <w:rsid w:val="007F7822"/>
    <w:rsid w:val="008000C2"/>
    <w:rsid w:val="008006E0"/>
    <w:rsid w:val="00800C3A"/>
    <w:rsid w:val="0080201C"/>
    <w:rsid w:val="00802617"/>
    <w:rsid w:val="008027AC"/>
    <w:rsid w:val="008028CE"/>
    <w:rsid w:val="0080332E"/>
    <w:rsid w:val="008034AE"/>
    <w:rsid w:val="008034FB"/>
    <w:rsid w:val="008059F7"/>
    <w:rsid w:val="00805AF9"/>
    <w:rsid w:val="008074CA"/>
    <w:rsid w:val="00807582"/>
    <w:rsid w:val="008078D5"/>
    <w:rsid w:val="00807960"/>
    <w:rsid w:val="00807CA4"/>
    <w:rsid w:val="00807CE9"/>
    <w:rsid w:val="0081086E"/>
    <w:rsid w:val="008109C3"/>
    <w:rsid w:val="00810BC6"/>
    <w:rsid w:val="008113BE"/>
    <w:rsid w:val="008120A3"/>
    <w:rsid w:val="0081268F"/>
    <w:rsid w:val="00812D3B"/>
    <w:rsid w:val="00813125"/>
    <w:rsid w:val="00813203"/>
    <w:rsid w:val="008136E9"/>
    <w:rsid w:val="008141E0"/>
    <w:rsid w:val="00814CC3"/>
    <w:rsid w:val="00814D5F"/>
    <w:rsid w:val="00815007"/>
    <w:rsid w:val="0081529C"/>
    <w:rsid w:val="008152D7"/>
    <w:rsid w:val="0081548F"/>
    <w:rsid w:val="00815F3E"/>
    <w:rsid w:val="00816318"/>
    <w:rsid w:val="00816718"/>
    <w:rsid w:val="00816D54"/>
    <w:rsid w:val="00816EE1"/>
    <w:rsid w:val="00816F88"/>
    <w:rsid w:val="0082065B"/>
    <w:rsid w:val="008209C9"/>
    <w:rsid w:val="00820BCA"/>
    <w:rsid w:val="00820C3B"/>
    <w:rsid w:val="00820CF5"/>
    <w:rsid w:val="00820D85"/>
    <w:rsid w:val="00821164"/>
    <w:rsid w:val="0082168F"/>
    <w:rsid w:val="00821996"/>
    <w:rsid w:val="00821CF6"/>
    <w:rsid w:val="00822323"/>
    <w:rsid w:val="008223A5"/>
    <w:rsid w:val="00822444"/>
    <w:rsid w:val="00823D33"/>
    <w:rsid w:val="00823ED5"/>
    <w:rsid w:val="00823FDA"/>
    <w:rsid w:val="00824425"/>
    <w:rsid w:val="00824656"/>
    <w:rsid w:val="00826A3E"/>
    <w:rsid w:val="00826F68"/>
    <w:rsid w:val="00827BC6"/>
    <w:rsid w:val="008300AD"/>
    <w:rsid w:val="00831F1F"/>
    <w:rsid w:val="00832003"/>
    <w:rsid w:val="00832DFB"/>
    <w:rsid w:val="00833024"/>
    <w:rsid w:val="008335E5"/>
    <w:rsid w:val="00835154"/>
    <w:rsid w:val="00835A7B"/>
    <w:rsid w:val="00835B79"/>
    <w:rsid w:val="00835CCF"/>
    <w:rsid w:val="0083684D"/>
    <w:rsid w:val="00837254"/>
    <w:rsid w:val="0083727D"/>
    <w:rsid w:val="0083768C"/>
    <w:rsid w:val="00837DEA"/>
    <w:rsid w:val="00841702"/>
    <w:rsid w:val="008419B1"/>
    <w:rsid w:val="00841A58"/>
    <w:rsid w:val="00841D51"/>
    <w:rsid w:val="0084274F"/>
    <w:rsid w:val="008429F5"/>
    <w:rsid w:val="00842CD4"/>
    <w:rsid w:val="00843C3A"/>
    <w:rsid w:val="00844519"/>
    <w:rsid w:val="00844781"/>
    <w:rsid w:val="00844A56"/>
    <w:rsid w:val="00844DC5"/>
    <w:rsid w:val="00845458"/>
    <w:rsid w:val="00845B11"/>
    <w:rsid w:val="00845DA7"/>
    <w:rsid w:val="0084618D"/>
    <w:rsid w:val="00846200"/>
    <w:rsid w:val="00846280"/>
    <w:rsid w:val="00847469"/>
    <w:rsid w:val="00847812"/>
    <w:rsid w:val="00850314"/>
    <w:rsid w:val="00850319"/>
    <w:rsid w:val="00850524"/>
    <w:rsid w:val="00850889"/>
    <w:rsid w:val="00850943"/>
    <w:rsid w:val="00850AC7"/>
    <w:rsid w:val="00850EDE"/>
    <w:rsid w:val="008511EA"/>
    <w:rsid w:val="00851F73"/>
    <w:rsid w:val="00852081"/>
    <w:rsid w:val="00852304"/>
    <w:rsid w:val="0085251D"/>
    <w:rsid w:val="008526DC"/>
    <w:rsid w:val="00852734"/>
    <w:rsid w:val="0085290A"/>
    <w:rsid w:val="008529A8"/>
    <w:rsid w:val="00853995"/>
    <w:rsid w:val="008539DA"/>
    <w:rsid w:val="00853A3C"/>
    <w:rsid w:val="00853C8A"/>
    <w:rsid w:val="00854BC4"/>
    <w:rsid w:val="00854DE7"/>
    <w:rsid w:val="00855EE6"/>
    <w:rsid w:val="0085635B"/>
    <w:rsid w:val="0085646B"/>
    <w:rsid w:val="008567DE"/>
    <w:rsid w:val="00856ABE"/>
    <w:rsid w:val="00857068"/>
    <w:rsid w:val="00857098"/>
    <w:rsid w:val="008572F7"/>
    <w:rsid w:val="008608B7"/>
    <w:rsid w:val="00861FA7"/>
    <w:rsid w:val="0086265F"/>
    <w:rsid w:val="00863C81"/>
    <w:rsid w:val="008649CA"/>
    <w:rsid w:val="00864EF9"/>
    <w:rsid w:val="008657D6"/>
    <w:rsid w:val="00866291"/>
    <w:rsid w:val="0086759E"/>
    <w:rsid w:val="008675CA"/>
    <w:rsid w:val="00867822"/>
    <w:rsid w:val="00867C3A"/>
    <w:rsid w:val="00867F58"/>
    <w:rsid w:val="00870000"/>
    <w:rsid w:val="008703BE"/>
    <w:rsid w:val="008707B9"/>
    <w:rsid w:val="00870947"/>
    <w:rsid w:val="00872703"/>
    <w:rsid w:val="00872B6E"/>
    <w:rsid w:val="00872DF9"/>
    <w:rsid w:val="00873330"/>
    <w:rsid w:val="00873607"/>
    <w:rsid w:val="00874278"/>
    <w:rsid w:val="0087443C"/>
    <w:rsid w:val="00874C0D"/>
    <w:rsid w:val="00874DFD"/>
    <w:rsid w:val="00875447"/>
    <w:rsid w:val="0087655C"/>
    <w:rsid w:val="00876704"/>
    <w:rsid w:val="00876843"/>
    <w:rsid w:val="0087685B"/>
    <w:rsid w:val="0087698A"/>
    <w:rsid w:val="00877042"/>
    <w:rsid w:val="008774BA"/>
    <w:rsid w:val="0088009B"/>
    <w:rsid w:val="008802F9"/>
    <w:rsid w:val="0088080C"/>
    <w:rsid w:val="00881B9C"/>
    <w:rsid w:val="0088223B"/>
    <w:rsid w:val="0088250B"/>
    <w:rsid w:val="00883086"/>
    <w:rsid w:val="0088345D"/>
    <w:rsid w:val="00883501"/>
    <w:rsid w:val="00884180"/>
    <w:rsid w:val="00884B86"/>
    <w:rsid w:val="0088565C"/>
    <w:rsid w:val="008862F0"/>
    <w:rsid w:val="00886E85"/>
    <w:rsid w:val="00887532"/>
    <w:rsid w:val="0088778B"/>
    <w:rsid w:val="008879FD"/>
    <w:rsid w:val="00887B33"/>
    <w:rsid w:val="00887E66"/>
    <w:rsid w:val="0089050E"/>
    <w:rsid w:val="00890813"/>
    <w:rsid w:val="00890B50"/>
    <w:rsid w:val="0089146F"/>
    <w:rsid w:val="0089167D"/>
    <w:rsid w:val="00891755"/>
    <w:rsid w:val="00892007"/>
    <w:rsid w:val="00892620"/>
    <w:rsid w:val="00892627"/>
    <w:rsid w:val="0089288C"/>
    <w:rsid w:val="00894435"/>
    <w:rsid w:val="0089475E"/>
    <w:rsid w:val="00894A67"/>
    <w:rsid w:val="00894B94"/>
    <w:rsid w:val="00894B9D"/>
    <w:rsid w:val="00894C37"/>
    <w:rsid w:val="00894F5A"/>
    <w:rsid w:val="00895245"/>
    <w:rsid w:val="008953A8"/>
    <w:rsid w:val="00895D0D"/>
    <w:rsid w:val="00896216"/>
    <w:rsid w:val="0089703F"/>
    <w:rsid w:val="008978C0"/>
    <w:rsid w:val="00897A5F"/>
    <w:rsid w:val="00897AFF"/>
    <w:rsid w:val="00897DA1"/>
    <w:rsid w:val="008A00EA"/>
    <w:rsid w:val="008A0319"/>
    <w:rsid w:val="008A042D"/>
    <w:rsid w:val="008A0B5F"/>
    <w:rsid w:val="008A0F2A"/>
    <w:rsid w:val="008A1815"/>
    <w:rsid w:val="008A1F08"/>
    <w:rsid w:val="008A2EBE"/>
    <w:rsid w:val="008A35D5"/>
    <w:rsid w:val="008A3A89"/>
    <w:rsid w:val="008A3F93"/>
    <w:rsid w:val="008A6236"/>
    <w:rsid w:val="008A6BA0"/>
    <w:rsid w:val="008A6CBB"/>
    <w:rsid w:val="008A6DE6"/>
    <w:rsid w:val="008A6E1C"/>
    <w:rsid w:val="008A723C"/>
    <w:rsid w:val="008A72FD"/>
    <w:rsid w:val="008A73A0"/>
    <w:rsid w:val="008A73FB"/>
    <w:rsid w:val="008A7A2E"/>
    <w:rsid w:val="008B06E7"/>
    <w:rsid w:val="008B1168"/>
    <w:rsid w:val="008B2EDF"/>
    <w:rsid w:val="008B41AB"/>
    <w:rsid w:val="008B47C7"/>
    <w:rsid w:val="008B54CB"/>
    <w:rsid w:val="008B5A3D"/>
    <w:rsid w:val="008B5D48"/>
    <w:rsid w:val="008B64A0"/>
    <w:rsid w:val="008B78E4"/>
    <w:rsid w:val="008C00E1"/>
    <w:rsid w:val="008C0452"/>
    <w:rsid w:val="008C0C83"/>
    <w:rsid w:val="008C1243"/>
    <w:rsid w:val="008C14DD"/>
    <w:rsid w:val="008C1B62"/>
    <w:rsid w:val="008C2499"/>
    <w:rsid w:val="008C2C40"/>
    <w:rsid w:val="008C33A8"/>
    <w:rsid w:val="008C3664"/>
    <w:rsid w:val="008C390F"/>
    <w:rsid w:val="008C39AD"/>
    <w:rsid w:val="008C4010"/>
    <w:rsid w:val="008C4317"/>
    <w:rsid w:val="008C4FDF"/>
    <w:rsid w:val="008C504E"/>
    <w:rsid w:val="008C59E6"/>
    <w:rsid w:val="008C5C56"/>
    <w:rsid w:val="008C5DCF"/>
    <w:rsid w:val="008C60A3"/>
    <w:rsid w:val="008C6597"/>
    <w:rsid w:val="008C685B"/>
    <w:rsid w:val="008C6B1F"/>
    <w:rsid w:val="008C6D74"/>
    <w:rsid w:val="008C7A35"/>
    <w:rsid w:val="008D027B"/>
    <w:rsid w:val="008D057F"/>
    <w:rsid w:val="008D1244"/>
    <w:rsid w:val="008D1CCB"/>
    <w:rsid w:val="008D2099"/>
    <w:rsid w:val="008D2C10"/>
    <w:rsid w:val="008D2F95"/>
    <w:rsid w:val="008D38FC"/>
    <w:rsid w:val="008D3A3B"/>
    <w:rsid w:val="008D4391"/>
    <w:rsid w:val="008D44CD"/>
    <w:rsid w:val="008D4B44"/>
    <w:rsid w:val="008D4DAE"/>
    <w:rsid w:val="008D4EB9"/>
    <w:rsid w:val="008D554D"/>
    <w:rsid w:val="008D5986"/>
    <w:rsid w:val="008D5BDA"/>
    <w:rsid w:val="008D5E4F"/>
    <w:rsid w:val="008D6B77"/>
    <w:rsid w:val="008D6D21"/>
    <w:rsid w:val="008D6D4B"/>
    <w:rsid w:val="008D7D3E"/>
    <w:rsid w:val="008E00F0"/>
    <w:rsid w:val="008E0C54"/>
    <w:rsid w:val="008E0DEE"/>
    <w:rsid w:val="008E1604"/>
    <w:rsid w:val="008E1C64"/>
    <w:rsid w:val="008E1D69"/>
    <w:rsid w:val="008E2872"/>
    <w:rsid w:val="008E298A"/>
    <w:rsid w:val="008E2C10"/>
    <w:rsid w:val="008E34F0"/>
    <w:rsid w:val="008E405D"/>
    <w:rsid w:val="008E45E4"/>
    <w:rsid w:val="008E4C62"/>
    <w:rsid w:val="008E4FC5"/>
    <w:rsid w:val="008E52F4"/>
    <w:rsid w:val="008E56C6"/>
    <w:rsid w:val="008E6DFB"/>
    <w:rsid w:val="008E705B"/>
    <w:rsid w:val="008E714E"/>
    <w:rsid w:val="008E71C9"/>
    <w:rsid w:val="008E743A"/>
    <w:rsid w:val="008E7696"/>
    <w:rsid w:val="008F0172"/>
    <w:rsid w:val="008F08FC"/>
    <w:rsid w:val="008F0AE8"/>
    <w:rsid w:val="008F0D27"/>
    <w:rsid w:val="008F106D"/>
    <w:rsid w:val="008F14F5"/>
    <w:rsid w:val="008F1C84"/>
    <w:rsid w:val="008F2FC9"/>
    <w:rsid w:val="008F3F5F"/>
    <w:rsid w:val="008F5198"/>
    <w:rsid w:val="008F5290"/>
    <w:rsid w:val="008F7015"/>
    <w:rsid w:val="008F71C1"/>
    <w:rsid w:val="008F7311"/>
    <w:rsid w:val="008F7CB1"/>
    <w:rsid w:val="008F7F1C"/>
    <w:rsid w:val="0090025B"/>
    <w:rsid w:val="00901F76"/>
    <w:rsid w:val="0090284E"/>
    <w:rsid w:val="00902D34"/>
    <w:rsid w:val="00902D41"/>
    <w:rsid w:val="00902F49"/>
    <w:rsid w:val="00903320"/>
    <w:rsid w:val="009037E6"/>
    <w:rsid w:val="00903DC0"/>
    <w:rsid w:val="00904000"/>
    <w:rsid w:val="00904230"/>
    <w:rsid w:val="00904F17"/>
    <w:rsid w:val="00905067"/>
    <w:rsid w:val="00905956"/>
    <w:rsid w:val="0090627A"/>
    <w:rsid w:val="00906371"/>
    <w:rsid w:val="00907022"/>
    <w:rsid w:val="009103A6"/>
    <w:rsid w:val="00910ED1"/>
    <w:rsid w:val="00911C5F"/>
    <w:rsid w:val="00911F6F"/>
    <w:rsid w:val="00911F78"/>
    <w:rsid w:val="009120A3"/>
    <w:rsid w:val="00913241"/>
    <w:rsid w:val="00913F7B"/>
    <w:rsid w:val="00914004"/>
    <w:rsid w:val="00914076"/>
    <w:rsid w:val="0091485D"/>
    <w:rsid w:val="009151EC"/>
    <w:rsid w:val="00915238"/>
    <w:rsid w:val="009152EE"/>
    <w:rsid w:val="009165DD"/>
    <w:rsid w:val="0091685C"/>
    <w:rsid w:val="009168EA"/>
    <w:rsid w:val="00916D5D"/>
    <w:rsid w:val="009209F6"/>
    <w:rsid w:val="0092169D"/>
    <w:rsid w:val="009216B1"/>
    <w:rsid w:val="00921B29"/>
    <w:rsid w:val="00921DCC"/>
    <w:rsid w:val="00922462"/>
    <w:rsid w:val="00922EC1"/>
    <w:rsid w:val="0092331E"/>
    <w:rsid w:val="0092371A"/>
    <w:rsid w:val="00923CF1"/>
    <w:rsid w:val="009255E4"/>
    <w:rsid w:val="009301F1"/>
    <w:rsid w:val="009306C9"/>
    <w:rsid w:val="009307AA"/>
    <w:rsid w:val="009307DF"/>
    <w:rsid w:val="009309DC"/>
    <w:rsid w:val="00931455"/>
    <w:rsid w:val="0093170F"/>
    <w:rsid w:val="0093291F"/>
    <w:rsid w:val="00932BE3"/>
    <w:rsid w:val="00934375"/>
    <w:rsid w:val="00934557"/>
    <w:rsid w:val="00934690"/>
    <w:rsid w:val="009349FF"/>
    <w:rsid w:val="00934B67"/>
    <w:rsid w:val="00935113"/>
    <w:rsid w:val="009359B8"/>
    <w:rsid w:val="00935FF0"/>
    <w:rsid w:val="009361E3"/>
    <w:rsid w:val="009370F7"/>
    <w:rsid w:val="0093781D"/>
    <w:rsid w:val="00937966"/>
    <w:rsid w:val="009400B9"/>
    <w:rsid w:val="009400E3"/>
    <w:rsid w:val="00940AE3"/>
    <w:rsid w:val="00942D8E"/>
    <w:rsid w:val="009431F8"/>
    <w:rsid w:val="00943C20"/>
    <w:rsid w:val="00943D8A"/>
    <w:rsid w:val="00944A8E"/>
    <w:rsid w:val="00944EBF"/>
    <w:rsid w:val="00945876"/>
    <w:rsid w:val="0094685F"/>
    <w:rsid w:val="0094699F"/>
    <w:rsid w:val="00947408"/>
    <w:rsid w:val="00947A35"/>
    <w:rsid w:val="00947E81"/>
    <w:rsid w:val="00947FE6"/>
    <w:rsid w:val="00950342"/>
    <w:rsid w:val="009504D2"/>
    <w:rsid w:val="009513AD"/>
    <w:rsid w:val="00951822"/>
    <w:rsid w:val="00951834"/>
    <w:rsid w:val="00951D26"/>
    <w:rsid w:val="00952667"/>
    <w:rsid w:val="0095270B"/>
    <w:rsid w:val="009528E2"/>
    <w:rsid w:val="00952C8A"/>
    <w:rsid w:val="009531C6"/>
    <w:rsid w:val="0095396B"/>
    <w:rsid w:val="0095412A"/>
    <w:rsid w:val="00955316"/>
    <w:rsid w:val="00955992"/>
    <w:rsid w:val="00955B1A"/>
    <w:rsid w:val="009563AF"/>
    <w:rsid w:val="009564F3"/>
    <w:rsid w:val="00957261"/>
    <w:rsid w:val="0096047D"/>
    <w:rsid w:val="00960FED"/>
    <w:rsid w:val="00961797"/>
    <w:rsid w:val="00961E29"/>
    <w:rsid w:val="0096201B"/>
    <w:rsid w:val="00962081"/>
    <w:rsid w:val="00962AB8"/>
    <w:rsid w:val="00962B29"/>
    <w:rsid w:val="00962B89"/>
    <w:rsid w:val="00962E80"/>
    <w:rsid w:val="009631F5"/>
    <w:rsid w:val="009641EA"/>
    <w:rsid w:val="009644D0"/>
    <w:rsid w:val="00964E18"/>
    <w:rsid w:val="00965327"/>
    <w:rsid w:val="00965D6C"/>
    <w:rsid w:val="009660F0"/>
    <w:rsid w:val="00966675"/>
    <w:rsid w:val="00966CB5"/>
    <w:rsid w:val="009674DD"/>
    <w:rsid w:val="009674E4"/>
    <w:rsid w:val="00971077"/>
    <w:rsid w:val="009714B1"/>
    <w:rsid w:val="00971E28"/>
    <w:rsid w:val="009731E1"/>
    <w:rsid w:val="009736F1"/>
    <w:rsid w:val="00974587"/>
    <w:rsid w:val="00974B73"/>
    <w:rsid w:val="00974F5F"/>
    <w:rsid w:val="009750E2"/>
    <w:rsid w:val="0097542A"/>
    <w:rsid w:val="0097576B"/>
    <w:rsid w:val="00975786"/>
    <w:rsid w:val="00975F85"/>
    <w:rsid w:val="009762A8"/>
    <w:rsid w:val="0097650C"/>
    <w:rsid w:val="009766DF"/>
    <w:rsid w:val="00976B8A"/>
    <w:rsid w:val="00977160"/>
    <w:rsid w:val="00977F4D"/>
    <w:rsid w:val="0098045F"/>
    <w:rsid w:val="009813B7"/>
    <w:rsid w:val="00981422"/>
    <w:rsid w:val="00981CB7"/>
    <w:rsid w:val="009820F1"/>
    <w:rsid w:val="00982360"/>
    <w:rsid w:val="00982A3D"/>
    <w:rsid w:val="00983E1F"/>
    <w:rsid w:val="00983FFA"/>
    <w:rsid w:val="00984264"/>
    <w:rsid w:val="009842AD"/>
    <w:rsid w:val="00984691"/>
    <w:rsid w:val="009848E5"/>
    <w:rsid w:val="00984962"/>
    <w:rsid w:val="00985911"/>
    <w:rsid w:val="009869B0"/>
    <w:rsid w:val="00986A6C"/>
    <w:rsid w:val="0098756A"/>
    <w:rsid w:val="00987787"/>
    <w:rsid w:val="00987805"/>
    <w:rsid w:val="0099013D"/>
    <w:rsid w:val="009901F5"/>
    <w:rsid w:val="009914C3"/>
    <w:rsid w:val="009916AB"/>
    <w:rsid w:val="00991D4A"/>
    <w:rsid w:val="00992B28"/>
    <w:rsid w:val="00992BE6"/>
    <w:rsid w:val="009935BE"/>
    <w:rsid w:val="00993632"/>
    <w:rsid w:val="009936FC"/>
    <w:rsid w:val="0099398A"/>
    <w:rsid w:val="00993D8D"/>
    <w:rsid w:val="00993E0B"/>
    <w:rsid w:val="00993F46"/>
    <w:rsid w:val="00994223"/>
    <w:rsid w:val="0099432F"/>
    <w:rsid w:val="00994A64"/>
    <w:rsid w:val="00994D99"/>
    <w:rsid w:val="00995508"/>
    <w:rsid w:val="00995713"/>
    <w:rsid w:val="00996D7B"/>
    <w:rsid w:val="00997358"/>
    <w:rsid w:val="00997E84"/>
    <w:rsid w:val="009A00E5"/>
    <w:rsid w:val="009A1660"/>
    <w:rsid w:val="009A1905"/>
    <w:rsid w:val="009A2146"/>
    <w:rsid w:val="009A2602"/>
    <w:rsid w:val="009A2887"/>
    <w:rsid w:val="009A303D"/>
    <w:rsid w:val="009A377F"/>
    <w:rsid w:val="009A3AA5"/>
    <w:rsid w:val="009A42C3"/>
    <w:rsid w:val="009A452B"/>
    <w:rsid w:val="009A46A9"/>
    <w:rsid w:val="009A4B7C"/>
    <w:rsid w:val="009A4FCB"/>
    <w:rsid w:val="009A537D"/>
    <w:rsid w:val="009A554B"/>
    <w:rsid w:val="009A57D4"/>
    <w:rsid w:val="009A67B5"/>
    <w:rsid w:val="009A6B17"/>
    <w:rsid w:val="009A78EC"/>
    <w:rsid w:val="009B050C"/>
    <w:rsid w:val="009B087F"/>
    <w:rsid w:val="009B0906"/>
    <w:rsid w:val="009B0D74"/>
    <w:rsid w:val="009B10E2"/>
    <w:rsid w:val="009B1C54"/>
    <w:rsid w:val="009B1D10"/>
    <w:rsid w:val="009B21FD"/>
    <w:rsid w:val="009B22FA"/>
    <w:rsid w:val="009B24B5"/>
    <w:rsid w:val="009B2AF4"/>
    <w:rsid w:val="009B344A"/>
    <w:rsid w:val="009B3675"/>
    <w:rsid w:val="009B4138"/>
    <w:rsid w:val="009B5E57"/>
    <w:rsid w:val="009B5F3E"/>
    <w:rsid w:val="009B64DC"/>
    <w:rsid w:val="009B695D"/>
    <w:rsid w:val="009B70BA"/>
    <w:rsid w:val="009C08E3"/>
    <w:rsid w:val="009C110B"/>
    <w:rsid w:val="009C1250"/>
    <w:rsid w:val="009C15FB"/>
    <w:rsid w:val="009C191A"/>
    <w:rsid w:val="009C1B12"/>
    <w:rsid w:val="009C26A2"/>
    <w:rsid w:val="009C275D"/>
    <w:rsid w:val="009C29BA"/>
    <w:rsid w:val="009C2EEB"/>
    <w:rsid w:val="009C305D"/>
    <w:rsid w:val="009C35F8"/>
    <w:rsid w:val="009C4138"/>
    <w:rsid w:val="009C4593"/>
    <w:rsid w:val="009C45E0"/>
    <w:rsid w:val="009C4700"/>
    <w:rsid w:val="009C4C4E"/>
    <w:rsid w:val="009C5441"/>
    <w:rsid w:val="009C6266"/>
    <w:rsid w:val="009C6846"/>
    <w:rsid w:val="009C6AB8"/>
    <w:rsid w:val="009C6E11"/>
    <w:rsid w:val="009C6F15"/>
    <w:rsid w:val="009C73AB"/>
    <w:rsid w:val="009C76F0"/>
    <w:rsid w:val="009C7713"/>
    <w:rsid w:val="009C7B69"/>
    <w:rsid w:val="009C7D65"/>
    <w:rsid w:val="009C7E57"/>
    <w:rsid w:val="009D0D44"/>
    <w:rsid w:val="009D0D66"/>
    <w:rsid w:val="009D119F"/>
    <w:rsid w:val="009D1368"/>
    <w:rsid w:val="009D1DD1"/>
    <w:rsid w:val="009D2EAD"/>
    <w:rsid w:val="009D3434"/>
    <w:rsid w:val="009D3718"/>
    <w:rsid w:val="009D3B85"/>
    <w:rsid w:val="009D3C7F"/>
    <w:rsid w:val="009D3D59"/>
    <w:rsid w:val="009D3DC3"/>
    <w:rsid w:val="009D3F87"/>
    <w:rsid w:val="009D3FEF"/>
    <w:rsid w:val="009D4254"/>
    <w:rsid w:val="009D4831"/>
    <w:rsid w:val="009D49A2"/>
    <w:rsid w:val="009D54A1"/>
    <w:rsid w:val="009D5691"/>
    <w:rsid w:val="009D5A12"/>
    <w:rsid w:val="009D5A85"/>
    <w:rsid w:val="009D5D49"/>
    <w:rsid w:val="009D660C"/>
    <w:rsid w:val="009D6BAA"/>
    <w:rsid w:val="009D72C7"/>
    <w:rsid w:val="009E104A"/>
    <w:rsid w:val="009E1DFD"/>
    <w:rsid w:val="009E219F"/>
    <w:rsid w:val="009E2222"/>
    <w:rsid w:val="009E26B3"/>
    <w:rsid w:val="009E29A8"/>
    <w:rsid w:val="009E31F3"/>
    <w:rsid w:val="009E338A"/>
    <w:rsid w:val="009E36C4"/>
    <w:rsid w:val="009E5050"/>
    <w:rsid w:val="009E519E"/>
    <w:rsid w:val="009E6037"/>
    <w:rsid w:val="009E635F"/>
    <w:rsid w:val="009E6997"/>
    <w:rsid w:val="009E6C5F"/>
    <w:rsid w:val="009E79C0"/>
    <w:rsid w:val="009E7A0D"/>
    <w:rsid w:val="009E7E20"/>
    <w:rsid w:val="009E7F54"/>
    <w:rsid w:val="009F0160"/>
    <w:rsid w:val="009F0F3D"/>
    <w:rsid w:val="009F1A7F"/>
    <w:rsid w:val="009F1CDD"/>
    <w:rsid w:val="009F1F7F"/>
    <w:rsid w:val="009F26CA"/>
    <w:rsid w:val="009F27A9"/>
    <w:rsid w:val="009F37CB"/>
    <w:rsid w:val="009F3940"/>
    <w:rsid w:val="009F3B02"/>
    <w:rsid w:val="009F3EB2"/>
    <w:rsid w:val="009F4B93"/>
    <w:rsid w:val="009F55FC"/>
    <w:rsid w:val="009F5BEC"/>
    <w:rsid w:val="009F6142"/>
    <w:rsid w:val="009F61FB"/>
    <w:rsid w:val="009F660F"/>
    <w:rsid w:val="009F6AA8"/>
    <w:rsid w:val="009F6E9F"/>
    <w:rsid w:val="009F6EB1"/>
    <w:rsid w:val="009F73B1"/>
    <w:rsid w:val="009F75FC"/>
    <w:rsid w:val="009F78A3"/>
    <w:rsid w:val="00A00AC7"/>
    <w:rsid w:val="00A00E88"/>
    <w:rsid w:val="00A00F02"/>
    <w:rsid w:val="00A011B3"/>
    <w:rsid w:val="00A01576"/>
    <w:rsid w:val="00A021F2"/>
    <w:rsid w:val="00A02269"/>
    <w:rsid w:val="00A03139"/>
    <w:rsid w:val="00A039D8"/>
    <w:rsid w:val="00A03B2A"/>
    <w:rsid w:val="00A04854"/>
    <w:rsid w:val="00A04E75"/>
    <w:rsid w:val="00A06179"/>
    <w:rsid w:val="00A066F6"/>
    <w:rsid w:val="00A06742"/>
    <w:rsid w:val="00A06C93"/>
    <w:rsid w:val="00A06EE3"/>
    <w:rsid w:val="00A0741F"/>
    <w:rsid w:val="00A103D2"/>
    <w:rsid w:val="00A10498"/>
    <w:rsid w:val="00A10714"/>
    <w:rsid w:val="00A11CF1"/>
    <w:rsid w:val="00A11D05"/>
    <w:rsid w:val="00A11D31"/>
    <w:rsid w:val="00A121C5"/>
    <w:rsid w:val="00A12970"/>
    <w:rsid w:val="00A130EC"/>
    <w:rsid w:val="00A13162"/>
    <w:rsid w:val="00A14269"/>
    <w:rsid w:val="00A14AD1"/>
    <w:rsid w:val="00A14D00"/>
    <w:rsid w:val="00A16B4F"/>
    <w:rsid w:val="00A16CC9"/>
    <w:rsid w:val="00A17169"/>
    <w:rsid w:val="00A1771B"/>
    <w:rsid w:val="00A17DBB"/>
    <w:rsid w:val="00A20267"/>
    <w:rsid w:val="00A20868"/>
    <w:rsid w:val="00A20BF3"/>
    <w:rsid w:val="00A217F8"/>
    <w:rsid w:val="00A2213B"/>
    <w:rsid w:val="00A221D2"/>
    <w:rsid w:val="00A225C6"/>
    <w:rsid w:val="00A22778"/>
    <w:rsid w:val="00A233A3"/>
    <w:rsid w:val="00A2426F"/>
    <w:rsid w:val="00A2446A"/>
    <w:rsid w:val="00A244A9"/>
    <w:rsid w:val="00A2497B"/>
    <w:rsid w:val="00A24A1B"/>
    <w:rsid w:val="00A253A5"/>
    <w:rsid w:val="00A25F41"/>
    <w:rsid w:val="00A2613A"/>
    <w:rsid w:val="00A26975"/>
    <w:rsid w:val="00A269DE"/>
    <w:rsid w:val="00A27A11"/>
    <w:rsid w:val="00A27BE0"/>
    <w:rsid w:val="00A27D41"/>
    <w:rsid w:val="00A30B7D"/>
    <w:rsid w:val="00A3158C"/>
    <w:rsid w:val="00A32DF3"/>
    <w:rsid w:val="00A3353E"/>
    <w:rsid w:val="00A3395A"/>
    <w:rsid w:val="00A33E32"/>
    <w:rsid w:val="00A34584"/>
    <w:rsid w:val="00A34875"/>
    <w:rsid w:val="00A34C71"/>
    <w:rsid w:val="00A35770"/>
    <w:rsid w:val="00A358D5"/>
    <w:rsid w:val="00A3592E"/>
    <w:rsid w:val="00A35ABD"/>
    <w:rsid w:val="00A35CD1"/>
    <w:rsid w:val="00A35E20"/>
    <w:rsid w:val="00A36226"/>
    <w:rsid w:val="00A366E9"/>
    <w:rsid w:val="00A36F6D"/>
    <w:rsid w:val="00A3784B"/>
    <w:rsid w:val="00A37C4E"/>
    <w:rsid w:val="00A37F12"/>
    <w:rsid w:val="00A4048B"/>
    <w:rsid w:val="00A408EA"/>
    <w:rsid w:val="00A40A79"/>
    <w:rsid w:val="00A40B3B"/>
    <w:rsid w:val="00A40C7C"/>
    <w:rsid w:val="00A40ED3"/>
    <w:rsid w:val="00A418C6"/>
    <w:rsid w:val="00A41C3D"/>
    <w:rsid w:val="00A42E90"/>
    <w:rsid w:val="00A43CB7"/>
    <w:rsid w:val="00A4424A"/>
    <w:rsid w:val="00A449E6"/>
    <w:rsid w:val="00A4521A"/>
    <w:rsid w:val="00A45930"/>
    <w:rsid w:val="00A459EB"/>
    <w:rsid w:val="00A46F48"/>
    <w:rsid w:val="00A47C0D"/>
    <w:rsid w:val="00A50272"/>
    <w:rsid w:val="00A50701"/>
    <w:rsid w:val="00A507A3"/>
    <w:rsid w:val="00A50CA0"/>
    <w:rsid w:val="00A50DA8"/>
    <w:rsid w:val="00A525CC"/>
    <w:rsid w:val="00A525E8"/>
    <w:rsid w:val="00A52677"/>
    <w:rsid w:val="00A526DD"/>
    <w:rsid w:val="00A52A60"/>
    <w:rsid w:val="00A531A7"/>
    <w:rsid w:val="00A5333B"/>
    <w:rsid w:val="00A535A3"/>
    <w:rsid w:val="00A53621"/>
    <w:rsid w:val="00A539FC"/>
    <w:rsid w:val="00A53C79"/>
    <w:rsid w:val="00A53E7C"/>
    <w:rsid w:val="00A54292"/>
    <w:rsid w:val="00A55377"/>
    <w:rsid w:val="00A5558A"/>
    <w:rsid w:val="00A55609"/>
    <w:rsid w:val="00A55803"/>
    <w:rsid w:val="00A559D5"/>
    <w:rsid w:val="00A56078"/>
    <w:rsid w:val="00A56B5D"/>
    <w:rsid w:val="00A60087"/>
    <w:rsid w:val="00A60362"/>
    <w:rsid w:val="00A6050A"/>
    <w:rsid w:val="00A60F6A"/>
    <w:rsid w:val="00A616EC"/>
    <w:rsid w:val="00A617B3"/>
    <w:rsid w:val="00A618CD"/>
    <w:rsid w:val="00A618EB"/>
    <w:rsid w:val="00A61CB2"/>
    <w:rsid w:val="00A62642"/>
    <w:rsid w:val="00A627FC"/>
    <w:rsid w:val="00A63469"/>
    <w:rsid w:val="00A63859"/>
    <w:rsid w:val="00A639EB"/>
    <w:rsid w:val="00A66562"/>
    <w:rsid w:val="00A66891"/>
    <w:rsid w:val="00A6778B"/>
    <w:rsid w:val="00A67981"/>
    <w:rsid w:val="00A702B0"/>
    <w:rsid w:val="00A705E8"/>
    <w:rsid w:val="00A70DFE"/>
    <w:rsid w:val="00A71241"/>
    <w:rsid w:val="00A71404"/>
    <w:rsid w:val="00A71DF5"/>
    <w:rsid w:val="00A72013"/>
    <w:rsid w:val="00A72149"/>
    <w:rsid w:val="00A721F4"/>
    <w:rsid w:val="00A72C9B"/>
    <w:rsid w:val="00A73605"/>
    <w:rsid w:val="00A74EAB"/>
    <w:rsid w:val="00A75651"/>
    <w:rsid w:val="00A7573C"/>
    <w:rsid w:val="00A7606F"/>
    <w:rsid w:val="00A76161"/>
    <w:rsid w:val="00A7656C"/>
    <w:rsid w:val="00A768EC"/>
    <w:rsid w:val="00A77B50"/>
    <w:rsid w:val="00A77F1A"/>
    <w:rsid w:val="00A8075A"/>
    <w:rsid w:val="00A80C4A"/>
    <w:rsid w:val="00A8113B"/>
    <w:rsid w:val="00A81328"/>
    <w:rsid w:val="00A81464"/>
    <w:rsid w:val="00A81DD6"/>
    <w:rsid w:val="00A82187"/>
    <w:rsid w:val="00A8347D"/>
    <w:rsid w:val="00A834F7"/>
    <w:rsid w:val="00A83508"/>
    <w:rsid w:val="00A835D7"/>
    <w:rsid w:val="00A837AC"/>
    <w:rsid w:val="00A84067"/>
    <w:rsid w:val="00A84229"/>
    <w:rsid w:val="00A84C68"/>
    <w:rsid w:val="00A857FC"/>
    <w:rsid w:val="00A85CBA"/>
    <w:rsid w:val="00A87810"/>
    <w:rsid w:val="00A90B1C"/>
    <w:rsid w:val="00A91146"/>
    <w:rsid w:val="00A91BC9"/>
    <w:rsid w:val="00A92118"/>
    <w:rsid w:val="00A92880"/>
    <w:rsid w:val="00A929DF"/>
    <w:rsid w:val="00A9392C"/>
    <w:rsid w:val="00A94082"/>
    <w:rsid w:val="00A94250"/>
    <w:rsid w:val="00A9462B"/>
    <w:rsid w:val="00A94965"/>
    <w:rsid w:val="00A953BE"/>
    <w:rsid w:val="00A95501"/>
    <w:rsid w:val="00A959EF"/>
    <w:rsid w:val="00A95C33"/>
    <w:rsid w:val="00A96C66"/>
    <w:rsid w:val="00A96FC9"/>
    <w:rsid w:val="00A977D3"/>
    <w:rsid w:val="00A97952"/>
    <w:rsid w:val="00A97C25"/>
    <w:rsid w:val="00A97D59"/>
    <w:rsid w:val="00AA0214"/>
    <w:rsid w:val="00AA03A3"/>
    <w:rsid w:val="00AA0648"/>
    <w:rsid w:val="00AA0963"/>
    <w:rsid w:val="00AA0E8B"/>
    <w:rsid w:val="00AA0EAD"/>
    <w:rsid w:val="00AA12D4"/>
    <w:rsid w:val="00AA12FA"/>
    <w:rsid w:val="00AA1700"/>
    <w:rsid w:val="00AA26F5"/>
    <w:rsid w:val="00AA3C30"/>
    <w:rsid w:val="00AA3E09"/>
    <w:rsid w:val="00AA41EA"/>
    <w:rsid w:val="00AA421A"/>
    <w:rsid w:val="00AA4AB8"/>
    <w:rsid w:val="00AA4BEF"/>
    <w:rsid w:val="00AA4F9C"/>
    <w:rsid w:val="00AA5197"/>
    <w:rsid w:val="00AA611D"/>
    <w:rsid w:val="00AA6C3C"/>
    <w:rsid w:val="00AA6CE3"/>
    <w:rsid w:val="00AB03B0"/>
    <w:rsid w:val="00AB12ED"/>
    <w:rsid w:val="00AB1659"/>
    <w:rsid w:val="00AB18FB"/>
    <w:rsid w:val="00AB1C24"/>
    <w:rsid w:val="00AB1C5A"/>
    <w:rsid w:val="00AB1D00"/>
    <w:rsid w:val="00AB3912"/>
    <w:rsid w:val="00AB39F4"/>
    <w:rsid w:val="00AB3E4D"/>
    <w:rsid w:val="00AB4962"/>
    <w:rsid w:val="00AB4F48"/>
    <w:rsid w:val="00AB5187"/>
    <w:rsid w:val="00AB56CB"/>
    <w:rsid w:val="00AB5A4B"/>
    <w:rsid w:val="00AB640D"/>
    <w:rsid w:val="00AB64AC"/>
    <w:rsid w:val="00AB6513"/>
    <w:rsid w:val="00AB6D42"/>
    <w:rsid w:val="00AB734E"/>
    <w:rsid w:val="00AB740F"/>
    <w:rsid w:val="00AB777E"/>
    <w:rsid w:val="00AB78CB"/>
    <w:rsid w:val="00AC0748"/>
    <w:rsid w:val="00AC091C"/>
    <w:rsid w:val="00AC200C"/>
    <w:rsid w:val="00AC200F"/>
    <w:rsid w:val="00AC207B"/>
    <w:rsid w:val="00AC239D"/>
    <w:rsid w:val="00AC2FCB"/>
    <w:rsid w:val="00AC35E6"/>
    <w:rsid w:val="00AC3BB3"/>
    <w:rsid w:val="00AC3D13"/>
    <w:rsid w:val="00AC4287"/>
    <w:rsid w:val="00AC46DF"/>
    <w:rsid w:val="00AC493D"/>
    <w:rsid w:val="00AC5555"/>
    <w:rsid w:val="00AC5FCD"/>
    <w:rsid w:val="00AC6668"/>
    <w:rsid w:val="00AC6F14"/>
    <w:rsid w:val="00AC7221"/>
    <w:rsid w:val="00AC7C16"/>
    <w:rsid w:val="00AC7C4C"/>
    <w:rsid w:val="00AC7D65"/>
    <w:rsid w:val="00AD0490"/>
    <w:rsid w:val="00AD089B"/>
    <w:rsid w:val="00AD09AE"/>
    <w:rsid w:val="00AD15E4"/>
    <w:rsid w:val="00AD1AA9"/>
    <w:rsid w:val="00AD1C66"/>
    <w:rsid w:val="00AD1DFA"/>
    <w:rsid w:val="00AD2D79"/>
    <w:rsid w:val="00AD30BE"/>
    <w:rsid w:val="00AD3611"/>
    <w:rsid w:val="00AD3863"/>
    <w:rsid w:val="00AD3FDD"/>
    <w:rsid w:val="00AD4677"/>
    <w:rsid w:val="00AD4B7B"/>
    <w:rsid w:val="00AD4D3C"/>
    <w:rsid w:val="00AD5081"/>
    <w:rsid w:val="00AD50AC"/>
    <w:rsid w:val="00AD5103"/>
    <w:rsid w:val="00AD64D2"/>
    <w:rsid w:val="00AD70B8"/>
    <w:rsid w:val="00AD751A"/>
    <w:rsid w:val="00AD7B83"/>
    <w:rsid w:val="00AE0487"/>
    <w:rsid w:val="00AE07FB"/>
    <w:rsid w:val="00AE0DDC"/>
    <w:rsid w:val="00AE2338"/>
    <w:rsid w:val="00AE2994"/>
    <w:rsid w:val="00AE2BDC"/>
    <w:rsid w:val="00AE3775"/>
    <w:rsid w:val="00AE3A56"/>
    <w:rsid w:val="00AE42A0"/>
    <w:rsid w:val="00AE4502"/>
    <w:rsid w:val="00AE450A"/>
    <w:rsid w:val="00AE4C37"/>
    <w:rsid w:val="00AE524B"/>
    <w:rsid w:val="00AE5961"/>
    <w:rsid w:val="00AE5B82"/>
    <w:rsid w:val="00AE5D37"/>
    <w:rsid w:val="00AE7AB1"/>
    <w:rsid w:val="00AE7EA7"/>
    <w:rsid w:val="00AF045A"/>
    <w:rsid w:val="00AF0745"/>
    <w:rsid w:val="00AF143B"/>
    <w:rsid w:val="00AF1DE3"/>
    <w:rsid w:val="00AF20A7"/>
    <w:rsid w:val="00AF2DE1"/>
    <w:rsid w:val="00AF357D"/>
    <w:rsid w:val="00AF390E"/>
    <w:rsid w:val="00AF443A"/>
    <w:rsid w:val="00AF4971"/>
    <w:rsid w:val="00AF4991"/>
    <w:rsid w:val="00AF5276"/>
    <w:rsid w:val="00AF55C4"/>
    <w:rsid w:val="00AF5909"/>
    <w:rsid w:val="00AF5B3D"/>
    <w:rsid w:val="00AF5D2E"/>
    <w:rsid w:val="00AF61C9"/>
    <w:rsid w:val="00AF6DF9"/>
    <w:rsid w:val="00AF71E2"/>
    <w:rsid w:val="00AF7C86"/>
    <w:rsid w:val="00B01046"/>
    <w:rsid w:val="00B01293"/>
    <w:rsid w:val="00B013AF"/>
    <w:rsid w:val="00B016E1"/>
    <w:rsid w:val="00B02247"/>
    <w:rsid w:val="00B0299A"/>
    <w:rsid w:val="00B02F23"/>
    <w:rsid w:val="00B03564"/>
    <w:rsid w:val="00B03D77"/>
    <w:rsid w:val="00B03E28"/>
    <w:rsid w:val="00B04CB3"/>
    <w:rsid w:val="00B0563D"/>
    <w:rsid w:val="00B06CBF"/>
    <w:rsid w:val="00B06E0D"/>
    <w:rsid w:val="00B075CB"/>
    <w:rsid w:val="00B1004A"/>
    <w:rsid w:val="00B10E5B"/>
    <w:rsid w:val="00B125B9"/>
    <w:rsid w:val="00B126AA"/>
    <w:rsid w:val="00B12DCC"/>
    <w:rsid w:val="00B13200"/>
    <w:rsid w:val="00B13462"/>
    <w:rsid w:val="00B135DC"/>
    <w:rsid w:val="00B1379A"/>
    <w:rsid w:val="00B137C3"/>
    <w:rsid w:val="00B137C4"/>
    <w:rsid w:val="00B13C78"/>
    <w:rsid w:val="00B13E02"/>
    <w:rsid w:val="00B13EDB"/>
    <w:rsid w:val="00B143A4"/>
    <w:rsid w:val="00B1453C"/>
    <w:rsid w:val="00B14E62"/>
    <w:rsid w:val="00B152FF"/>
    <w:rsid w:val="00B15C24"/>
    <w:rsid w:val="00B16621"/>
    <w:rsid w:val="00B16EAF"/>
    <w:rsid w:val="00B170A5"/>
    <w:rsid w:val="00B17347"/>
    <w:rsid w:val="00B17A23"/>
    <w:rsid w:val="00B17B39"/>
    <w:rsid w:val="00B201C6"/>
    <w:rsid w:val="00B21476"/>
    <w:rsid w:val="00B21754"/>
    <w:rsid w:val="00B21CAE"/>
    <w:rsid w:val="00B2427E"/>
    <w:rsid w:val="00B25001"/>
    <w:rsid w:val="00B25339"/>
    <w:rsid w:val="00B25407"/>
    <w:rsid w:val="00B258CD"/>
    <w:rsid w:val="00B25F10"/>
    <w:rsid w:val="00B26558"/>
    <w:rsid w:val="00B27233"/>
    <w:rsid w:val="00B27C8D"/>
    <w:rsid w:val="00B30D5E"/>
    <w:rsid w:val="00B310A4"/>
    <w:rsid w:val="00B310A8"/>
    <w:rsid w:val="00B310F9"/>
    <w:rsid w:val="00B31171"/>
    <w:rsid w:val="00B31875"/>
    <w:rsid w:val="00B31D36"/>
    <w:rsid w:val="00B32097"/>
    <w:rsid w:val="00B32374"/>
    <w:rsid w:val="00B32768"/>
    <w:rsid w:val="00B32911"/>
    <w:rsid w:val="00B32C4B"/>
    <w:rsid w:val="00B34008"/>
    <w:rsid w:val="00B34696"/>
    <w:rsid w:val="00B34E71"/>
    <w:rsid w:val="00B35685"/>
    <w:rsid w:val="00B35C0D"/>
    <w:rsid w:val="00B37866"/>
    <w:rsid w:val="00B37B02"/>
    <w:rsid w:val="00B37B24"/>
    <w:rsid w:val="00B4054D"/>
    <w:rsid w:val="00B4072D"/>
    <w:rsid w:val="00B40B54"/>
    <w:rsid w:val="00B40BF9"/>
    <w:rsid w:val="00B412FB"/>
    <w:rsid w:val="00B416B1"/>
    <w:rsid w:val="00B41F47"/>
    <w:rsid w:val="00B4215D"/>
    <w:rsid w:val="00B422FF"/>
    <w:rsid w:val="00B42539"/>
    <w:rsid w:val="00B43204"/>
    <w:rsid w:val="00B436DE"/>
    <w:rsid w:val="00B43C2F"/>
    <w:rsid w:val="00B43E7D"/>
    <w:rsid w:val="00B43EE5"/>
    <w:rsid w:val="00B44534"/>
    <w:rsid w:val="00B44733"/>
    <w:rsid w:val="00B44BBE"/>
    <w:rsid w:val="00B44E72"/>
    <w:rsid w:val="00B45016"/>
    <w:rsid w:val="00B4576B"/>
    <w:rsid w:val="00B46350"/>
    <w:rsid w:val="00B46394"/>
    <w:rsid w:val="00B46949"/>
    <w:rsid w:val="00B46DF3"/>
    <w:rsid w:val="00B46FBE"/>
    <w:rsid w:val="00B47582"/>
    <w:rsid w:val="00B4787F"/>
    <w:rsid w:val="00B506C1"/>
    <w:rsid w:val="00B512C0"/>
    <w:rsid w:val="00B5163E"/>
    <w:rsid w:val="00B51B01"/>
    <w:rsid w:val="00B52892"/>
    <w:rsid w:val="00B52E6C"/>
    <w:rsid w:val="00B531CB"/>
    <w:rsid w:val="00B53A3D"/>
    <w:rsid w:val="00B53C3F"/>
    <w:rsid w:val="00B5407C"/>
    <w:rsid w:val="00B542A7"/>
    <w:rsid w:val="00B54C2A"/>
    <w:rsid w:val="00B54C2D"/>
    <w:rsid w:val="00B55619"/>
    <w:rsid w:val="00B55889"/>
    <w:rsid w:val="00B5654A"/>
    <w:rsid w:val="00B5674F"/>
    <w:rsid w:val="00B5694F"/>
    <w:rsid w:val="00B56D6F"/>
    <w:rsid w:val="00B57050"/>
    <w:rsid w:val="00B57118"/>
    <w:rsid w:val="00B57897"/>
    <w:rsid w:val="00B5794F"/>
    <w:rsid w:val="00B6002D"/>
    <w:rsid w:val="00B609F9"/>
    <w:rsid w:val="00B60D48"/>
    <w:rsid w:val="00B60F31"/>
    <w:rsid w:val="00B618AF"/>
    <w:rsid w:val="00B61DFA"/>
    <w:rsid w:val="00B62CD5"/>
    <w:rsid w:val="00B6365E"/>
    <w:rsid w:val="00B6393D"/>
    <w:rsid w:val="00B64269"/>
    <w:rsid w:val="00B648C7"/>
    <w:rsid w:val="00B64EF9"/>
    <w:rsid w:val="00B64FEE"/>
    <w:rsid w:val="00B6592D"/>
    <w:rsid w:val="00B666D9"/>
    <w:rsid w:val="00B6699B"/>
    <w:rsid w:val="00B66DD1"/>
    <w:rsid w:val="00B66E8F"/>
    <w:rsid w:val="00B67035"/>
    <w:rsid w:val="00B67ABC"/>
    <w:rsid w:val="00B67EE8"/>
    <w:rsid w:val="00B67F4D"/>
    <w:rsid w:val="00B7017E"/>
    <w:rsid w:val="00B716F7"/>
    <w:rsid w:val="00B71FD8"/>
    <w:rsid w:val="00B727CE"/>
    <w:rsid w:val="00B72D36"/>
    <w:rsid w:val="00B72F01"/>
    <w:rsid w:val="00B732E8"/>
    <w:rsid w:val="00B736C8"/>
    <w:rsid w:val="00B7437E"/>
    <w:rsid w:val="00B75206"/>
    <w:rsid w:val="00B76012"/>
    <w:rsid w:val="00B761F2"/>
    <w:rsid w:val="00B7731F"/>
    <w:rsid w:val="00B77395"/>
    <w:rsid w:val="00B778D1"/>
    <w:rsid w:val="00B80157"/>
    <w:rsid w:val="00B80490"/>
    <w:rsid w:val="00B81167"/>
    <w:rsid w:val="00B821EA"/>
    <w:rsid w:val="00B824C1"/>
    <w:rsid w:val="00B83B18"/>
    <w:rsid w:val="00B83D5E"/>
    <w:rsid w:val="00B84084"/>
    <w:rsid w:val="00B8418D"/>
    <w:rsid w:val="00B845D1"/>
    <w:rsid w:val="00B8460A"/>
    <w:rsid w:val="00B8461A"/>
    <w:rsid w:val="00B84BB0"/>
    <w:rsid w:val="00B850C1"/>
    <w:rsid w:val="00B854B2"/>
    <w:rsid w:val="00B86289"/>
    <w:rsid w:val="00B86466"/>
    <w:rsid w:val="00B8650D"/>
    <w:rsid w:val="00B8706B"/>
    <w:rsid w:val="00B87151"/>
    <w:rsid w:val="00B8751D"/>
    <w:rsid w:val="00B879B4"/>
    <w:rsid w:val="00B87DF5"/>
    <w:rsid w:val="00B90A72"/>
    <w:rsid w:val="00B90B87"/>
    <w:rsid w:val="00B90CB7"/>
    <w:rsid w:val="00B90CF8"/>
    <w:rsid w:val="00B90F07"/>
    <w:rsid w:val="00B91B52"/>
    <w:rsid w:val="00B92095"/>
    <w:rsid w:val="00B92613"/>
    <w:rsid w:val="00B92C43"/>
    <w:rsid w:val="00B9343F"/>
    <w:rsid w:val="00B936FB"/>
    <w:rsid w:val="00B93ACE"/>
    <w:rsid w:val="00B94561"/>
    <w:rsid w:val="00B94F0D"/>
    <w:rsid w:val="00B95308"/>
    <w:rsid w:val="00B959C6"/>
    <w:rsid w:val="00B95E99"/>
    <w:rsid w:val="00B96346"/>
    <w:rsid w:val="00B970D0"/>
    <w:rsid w:val="00B97912"/>
    <w:rsid w:val="00B9796A"/>
    <w:rsid w:val="00B97BB9"/>
    <w:rsid w:val="00BA0009"/>
    <w:rsid w:val="00BA01EC"/>
    <w:rsid w:val="00BA0A77"/>
    <w:rsid w:val="00BA0ABA"/>
    <w:rsid w:val="00BA0BB3"/>
    <w:rsid w:val="00BA0C34"/>
    <w:rsid w:val="00BA11AD"/>
    <w:rsid w:val="00BA1848"/>
    <w:rsid w:val="00BA263A"/>
    <w:rsid w:val="00BA299C"/>
    <w:rsid w:val="00BA3298"/>
    <w:rsid w:val="00BA43D3"/>
    <w:rsid w:val="00BA4467"/>
    <w:rsid w:val="00BA4B2D"/>
    <w:rsid w:val="00BA683E"/>
    <w:rsid w:val="00BA7854"/>
    <w:rsid w:val="00BA7C82"/>
    <w:rsid w:val="00BB02B5"/>
    <w:rsid w:val="00BB1863"/>
    <w:rsid w:val="00BB1BAE"/>
    <w:rsid w:val="00BB25EE"/>
    <w:rsid w:val="00BB28A8"/>
    <w:rsid w:val="00BB2B5A"/>
    <w:rsid w:val="00BB363A"/>
    <w:rsid w:val="00BB4415"/>
    <w:rsid w:val="00BB486E"/>
    <w:rsid w:val="00BB4873"/>
    <w:rsid w:val="00BB4D13"/>
    <w:rsid w:val="00BB4DDD"/>
    <w:rsid w:val="00BB4ECA"/>
    <w:rsid w:val="00BB6365"/>
    <w:rsid w:val="00BB7369"/>
    <w:rsid w:val="00BB7546"/>
    <w:rsid w:val="00BC00B1"/>
    <w:rsid w:val="00BC0BB8"/>
    <w:rsid w:val="00BC10A0"/>
    <w:rsid w:val="00BC219B"/>
    <w:rsid w:val="00BC22A5"/>
    <w:rsid w:val="00BC2579"/>
    <w:rsid w:val="00BC2CDE"/>
    <w:rsid w:val="00BC2EFF"/>
    <w:rsid w:val="00BC2FF7"/>
    <w:rsid w:val="00BC3D79"/>
    <w:rsid w:val="00BC4D07"/>
    <w:rsid w:val="00BC56F0"/>
    <w:rsid w:val="00BC5F6C"/>
    <w:rsid w:val="00BC6C31"/>
    <w:rsid w:val="00BC6C4B"/>
    <w:rsid w:val="00BC7BA2"/>
    <w:rsid w:val="00BD0369"/>
    <w:rsid w:val="00BD08B9"/>
    <w:rsid w:val="00BD0981"/>
    <w:rsid w:val="00BD0B2E"/>
    <w:rsid w:val="00BD186F"/>
    <w:rsid w:val="00BD1AD7"/>
    <w:rsid w:val="00BD1C21"/>
    <w:rsid w:val="00BD2572"/>
    <w:rsid w:val="00BD2EC1"/>
    <w:rsid w:val="00BD3A9D"/>
    <w:rsid w:val="00BD426B"/>
    <w:rsid w:val="00BD4434"/>
    <w:rsid w:val="00BD4A8E"/>
    <w:rsid w:val="00BD4E56"/>
    <w:rsid w:val="00BD5CF8"/>
    <w:rsid w:val="00BD7619"/>
    <w:rsid w:val="00BD79F0"/>
    <w:rsid w:val="00BD7AED"/>
    <w:rsid w:val="00BE0D27"/>
    <w:rsid w:val="00BE0F37"/>
    <w:rsid w:val="00BE199F"/>
    <w:rsid w:val="00BE1F41"/>
    <w:rsid w:val="00BE1FB9"/>
    <w:rsid w:val="00BE209B"/>
    <w:rsid w:val="00BE2125"/>
    <w:rsid w:val="00BE22D7"/>
    <w:rsid w:val="00BE24E7"/>
    <w:rsid w:val="00BE24FC"/>
    <w:rsid w:val="00BE267E"/>
    <w:rsid w:val="00BE2B4D"/>
    <w:rsid w:val="00BE30D6"/>
    <w:rsid w:val="00BE3FD2"/>
    <w:rsid w:val="00BE4A2D"/>
    <w:rsid w:val="00BE55BE"/>
    <w:rsid w:val="00BE562A"/>
    <w:rsid w:val="00BE610F"/>
    <w:rsid w:val="00BE6258"/>
    <w:rsid w:val="00BE69E0"/>
    <w:rsid w:val="00BE6A8E"/>
    <w:rsid w:val="00BF0E18"/>
    <w:rsid w:val="00BF1493"/>
    <w:rsid w:val="00BF2254"/>
    <w:rsid w:val="00BF22A0"/>
    <w:rsid w:val="00BF2347"/>
    <w:rsid w:val="00BF263E"/>
    <w:rsid w:val="00BF2B96"/>
    <w:rsid w:val="00BF61B3"/>
    <w:rsid w:val="00BF6582"/>
    <w:rsid w:val="00BF7AFB"/>
    <w:rsid w:val="00BF7F79"/>
    <w:rsid w:val="00C00808"/>
    <w:rsid w:val="00C00934"/>
    <w:rsid w:val="00C00CAB"/>
    <w:rsid w:val="00C00F45"/>
    <w:rsid w:val="00C012C5"/>
    <w:rsid w:val="00C015F8"/>
    <w:rsid w:val="00C01D01"/>
    <w:rsid w:val="00C027B9"/>
    <w:rsid w:val="00C02C2A"/>
    <w:rsid w:val="00C0495D"/>
    <w:rsid w:val="00C05AED"/>
    <w:rsid w:val="00C06CF9"/>
    <w:rsid w:val="00C07294"/>
    <w:rsid w:val="00C077DA"/>
    <w:rsid w:val="00C07B90"/>
    <w:rsid w:val="00C07E26"/>
    <w:rsid w:val="00C10010"/>
    <w:rsid w:val="00C10017"/>
    <w:rsid w:val="00C1011C"/>
    <w:rsid w:val="00C10637"/>
    <w:rsid w:val="00C10D11"/>
    <w:rsid w:val="00C11759"/>
    <w:rsid w:val="00C11DB1"/>
    <w:rsid w:val="00C12117"/>
    <w:rsid w:val="00C12F94"/>
    <w:rsid w:val="00C13661"/>
    <w:rsid w:val="00C13691"/>
    <w:rsid w:val="00C13763"/>
    <w:rsid w:val="00C1396D"/>
    <w:rsid w:val="00C13D65"/>
    <w:rsid w:val="00C15027"/>
    <w:rsid w:val="00C15C59"/>
    <w:rsid w:val="00C160EB"/>
    <w:rsid w:val="00C16B0B"/>
    <w:rsid w:val="00C17306"/>
    <w:rsid w:val="00C173AE"/>
    <w:rsid w:val="00C17492"/>
    <w:rsid w:val="00C177C5"/>
    <w:rsid w:val="00C17B3C"/>
    <w:rsid w:val="00C2003F"/>
    <w:rsid w:val="00C2040B"/>
    <w:rsid w:val="00C2185F"/>
    <w:rsid w:val="00C218FD"/>
    <w:rsid w:val="00C21E25"/>
    <w:rsid w:val="00C21FD4"/>
    <w:rsid w:val="00C221AB"/>
    <w:rsid w:val="00C2234A"/>
    <w:rsid w:val="00C226F3"/>
    <w:rsid w:val="00C22FA4"/>
    <w:rsid w:val="00C2306D"/>
    <w:rsid w:val="00C23121"/>
    <w:rsid w:val="00C23312"/>
    <w:rsid w:val="00C23E35"/>
    <w:rsid w:val="00C2455E"/>
    <w:rsid w:val="00C24AF7"/>
    <w:rsid w:val="00C24D96"/>
    <w:rsid w:val="00C25642"/>
    <w:rsid w:val="00C2648F"/>
    <w:rsid w:val="00C26BF9"/>
    <w:rsid w:val="00C26F4D"/>
    <w:rsid w:val="00C3047D"/>
    <w:rsid w:val="00C308CF"/>
    <w:rsid w:val="00C3155A"/>
    <w:rsid w:val="00C31925"/>
    <w:rsid w:val="00C31C72"/>
    <w:rsid w:val="00C32925"/>
    <w:rsid w:val="00C33248"/>
    <w:rsid w:val="00C33F2B"/>
    <w:rsid w:val="00C3440C"/>
    <w:rsid w:val="00C34EC3"/>
    <w:rsid w:val="00C34F7F"/>
    <w:rsid w:val="00C34FAA"/>
    <w:rsid w:val="00C356AD"/>
    <w:rsid w:val="00C37B9E"/>
    <w:rsid w:val="00C37BDA"/>
    <w:rsid w:val="00C37F40"/>
    <w:rsid w:val="00C4026B"/>
    <w:rsid w:val="00C4038C"/>
    <w:rsid w:val="00C4042D"/>
    <w:rsid w:val="00C409DA"/>
    <w:rsid w:val="00C41370"/>
    <w:rsid w:val="00C41569"/>
    <w:rsid w:val="00C41618"/>
    <w:rsid w:val="00C41B75"/>
    <w:rsid w:val="00C42189"/>
    <w:rsid w:val="00C42292"/>
    <w:rsid w:val="00C425C3"/>
    <w:rsid w:val="00C425E2"/>
    <w:rsid w:val="00C425E7"/>
    <w:rsid w:val="00C4294A"/>
    <w:rsid w:val="00C42BA2"/>
    <w:rsid w:val="00C43767"/>
    <w:rsid w:val="00C43EC6"/>
    <w:rsid w:val="00C43FC9"/>
    <w:rsid w:val="00C44066"/>
    <w:rsid w:val="00C44DD7"/>
    <w:rsid w:val="00C44E13"/>
    <w:rsid w:val="00C44E66"/>
    <w:rsid w:val="00C45663"/>
    <w:rsid w:val="00C45666"/>
    <w:rsid w:val="00C45744"/>
    <w:rsid w:val="00C4595B"/>
    <w:rsid w:val="00C45AEF"/>
    <w:rsid w:val="00C45B9D"/>
    <w:rsid w:val="00C46E79"/>
    <w:rsid w:val="00C47395"/>
    <w:rsid w:val="00C4747A"/>
    <w:rsid w:val="00C47509"/>
    <w:rsid w:val="00C500AA"/>
    <w:rsid w:val="00C50751"/>
    <w:rsid w:val="00C508A5"/>
    <w:rsid w:val="00C517EC"/>
    <w:rsid w:val="00C51C78"/>
    <w:rsid w:val="00C522C7"/>
    <w:rsid w:val="00C52E97"/>
    <w:rsid w:val="00C530E5"/>
    <w:rsid w:val="00C53118"/>
    <w:rsid w:val="00C53288"/>
    <w:rsid w:val="00C535C4"/>
    <w:rsid w:val="00C5424F"/>
    <w:rsid w:val="00C54A3A"/>
    <w:rsid w:val="00C55083"/>
    <w:rsid w:val="00C55100"/>
    <w:rsid w:val="00C555D8"/>
    <w:rsid w:val="00C55AE9"/>
    <w:rsid w:val="00C568EE"/>
    <w:rsid w:val="00C56CA9"/>
    <w:rsid w:val="00C56D04"/>
    <w:rsid w:val="00C57355"/>
    <w:rsid w:val="00C57D32"/>
    <w:rsid w:val="00C60303"/>
    <w:rsid w:val="00C60A41"/>
    <w:rsid w:val="00C60D3A"/>
    <w:rsid w:val="00C60D64"/>
    <w:rsid w:val="00C61087"/>
    <w:rsid w:val="00C61B80"/>
    <w:rsid w:val="00C61D14"/>
    <w:rsid w:val="00C6227D"/>
    <w:rsid w:val="00C6262C"/>
    <w:rsid w:val="00C6282D"/>
    <w:rsid w:val="00C62CB8"/>
    <w:rsid w:val="00C62DE8"/>
    <w:rsid w:val="00C62DFB"/>
    <w:rsid w:val="00C630E6"/>
    <w:rsid w:val="00C63812"/>
    <w:rsid w:val="00C6382A"/>
    <w:rsid w:val="00C63A08"/>
    <w:rsid w:val="00C63C9F"/>
    <w:rsid w:val="00C63F07"/>
    <w:rsid w:val="00C641F5"/>
    <w:rsid w:val="00C6490C"/>
    <w:rsid w:val="00C64AF3"/>
    <w:rsid w:val="00C64B01"/>
    <w:rsid w:val="00C64BA1"/>
    <w:rsid w:val="00C64BE0"/>
    <w:rsid w:val="00C64E0F"/>
    <w:rsid w:val="00C64E9F"/>
    <w:rsid w:val="00C65D47"/>
    <w:rsid w:val="00C665EC"/>
    <w:rsid w:val="00C66F4D"/>
    <w:rsid w:val="00C672E7"/>
    <w:rsid w:val="00C678C9"/>
    <w:rsid w:val="00C67988"/>
    <w:rsid w:val="00C67BB5"/>
    <w:rsid w:val="00C70381"/>
    <w:rsid w:val="00C7145A"/>
    <w:rsid w:val="00C72713"/>
    <w:rsid w:val="00C73881"/>
    <w:rsid w:val="00C738AC"/>
    <w:rsid w:val="00C73A80"/>
    <w:rsid w:val="00C74E79"/>
    <w:rsid w:val="00C7502F"/>
    <w:rsid w:val="00C75297"/>
    <w:rsid w:val="00C7634B"/>
    <w:rsid w:val="00C76427"/>
    <w:rsid w:val="00C76F1D"/>
    <w:rsid w:val="00C770AD"/>
    <w:rsid w:val="00C77317"/>
    <w:rsid w:val="00C775FD"/>
    <w:rsid w:val="00C80548"/>
    <w:rsid w:val="00C81D24"/>
    <w:rsid w:val="00C832FD"/>
    <w:rsid w:val="00C8374C"/>
    <w:rsid w:val="00C83CE6"/>
    <w:rsid w:val="00C848EF"/>
    <w:rsid w:val="00C8569C"/>
    <w:rsid w:val="00C85A96"/>
    <w:rsid w:val="00C85B92"/>
    <w:rsid w:val="00C860DB"/>
    <w:rsid w:val="00C86600"/>
    <w:rsid w:val="00C87BCA"/>
    <w:rsid w:val="00C87EED"/>
    <w:rsid w:val="00C91518"/>
    <w:rsid w:val="00C915D4"/>
    <w:rsid w:val="00C919EC"/>
    <w:rsid w:val="00C91EF8"/>
    <w:rsid w:val="00C92927"/>
    <w:rsid w:val="00C92E8E"/>
    <w:rsid w:val="00C92F11"/>
    <w:rsid w:val="00C930F4"/>
    <w:rsid w:val="00C9378D"/>
    <w:rsid w:val="00C94506"/>
    <w:rsid w:val="00C94B51"/>
    <w:rsid w:val="00C94F07"/>
    <w:rsid w:val="00C952E1"/>
    <w:rsid w:val="00C954BC"/>
    <w:rsid w:val="00C95D34"/>
    <w:rsid w:val="00C9705E"/>
    <w:rsid w:val="00C97ED1"/>
    <w:rsid w:val="00CA0478"/>
    <w:rsid w:val="00CA04B7"/>
    <w:rsid w:val="00CA0C4A"/>
    <w:rsid w:val="00CA0CC5"/>
    <w:rsid w:val="00CA0ECF"/>
    <w:rsid w:val="00CA12D7"/>
    <w:rsid w:val="00CA188E"/>
    <w:rsid w:val="00CA19C3"/>
    <w:rsid w:val="00CA1EB7"/>
    <w:rsid w:val="00CA1F0B"/>
    <w:rsid w:val="00CA255C"/>
    <w:rsid w:val="00CA2D91"/>
    <w:rsid w:val="00CA367D"/>
    <w:rsid w:val="00CA3919"/>
    <w:rsid w:val="00CA42EC"/>
    <w:rsid w:val="00CA44CF"/>
    <w:rsid w:val="00CA4550"/>
    <w:rsid w:val="00CA50FE"/>
    <w:rsid w:val="00CA5299"/>
    <w:rsid w:val="00CA5807"/>
    <w:rsid w:val="00CA5E6F"/>
    <w:rsid w:val="00CA6130"/>
    <w:rsid w:val="00CA62CA"/>
    <w:rsid w:val="00CA661D"/>
    <w:rsid w:val="00CA66EB"/>
    <w:rsid w:val="00CA6FBA"/>
    <w:rsid w:val="00CA76B6"/>
    <w:rsid w:val="00CA7869"/>
    <w:rsid w:val="00CA7B98"/>
    <w:rsid w:val="00CB0534"/>
    <w:rsid w:val="00CB1026"/>
    <w:rsid w:val="00CB110F"/>
    <w:rsid w:val="00CB248F"/>
    <w:rsid w:val="00CB2939"/>
    <w:rsid w:val="00CB2A2E"/>
    <w:rsid w:val="00CB2AD0"/>
    <w:rsid w:val="00CB2C4A"/>
    <w:rsid w:val="00CB2E07"/>
    <w:rsid w:val="00CB3037"/>
    <w:rsid w:val="00CB338A"/>
    <w:rsid w:val="00CB3649"/>
    <w:rsid w:val="00CB376F"/>
    <w:rsid w:val="00CB44F5"/>
    <w:rsid w:val="00CB4C19"/>
    <w:rsid w:val="00CB4F26"/>
    <w:rsid w:val="00CB535E"/>
    <w:rsid w:val="00CB5736"/>
    <w:rsid w:val="00CB59E5"/>
    <w:rsid w:val="00CB60EC"/>
    <w:rsid w:val="00CB6418"/>
    <w:rsid w:val="00CB64F3"/>
    <w:rsid w:val="00CB6572"/>
    <w:rsid w:val="00CB695B"/>
    <w:rsid w:val="00CB6B39"/>
    <w:rsid w:val="00CB6E6B"/>
    <w:rsid w:val="00CB751B"/>
    <w:rsid w:val="00CB76CB"/>
    <w:rsid w:val="00CB796E"/>
    <w:rsid w:val="00CB79C5"/>
    <w:rsid w:val="00CC0729"/>
    <w:rsid w:val="00CC0A5C"/>
    <w:rsid w:val="00CC0AEB"/>
    <w:rsid w:val="00CC2438"/>
    <w:rsid w:val="00CC3621"/>
    <w:rsid w:val="00CC411F"/>
    <w:rsid w:val="00CC4731"/>
    <w:rsid w:val="00CC4993"/>
    <w:rsid w:val="00CC4AE4"/>
    <w:rsid w:val="00CC4B75"/>
    <w:rsid w:val="00CC6201"/>
    <w:rsid w:val="00CC68F6"/>
    <w:rsid w:val="00CC6C70"/>
    <w:rsid w:val="00CC6ED1"/>
    <w:rsid w:val="00CC72D4"/>
    <w:rsid w:val="00CC732E"/>
    <w:rsid w:val="00CC75CE"/>
    <w:rsid w:val="00CC7E89"/>
    <w:rsid w:val="00CD084C"/>
    <w:rsid w:val="00CD147A"/>
    <w:rsid w:val="00CD18D3"/>
    <w:rsid w:val="00CD1B8B"/>
    <w:rsid w:val="00CD1E50"/>
    <w:rsid w:val="00CD2A91"/>
    <w:rsid w:val="00CD2A98"/>
    <w:rsid w:val="00CD2FCD"/>
    <w:rsid w:val="00CD30DE"/>
    <w:rsid w:val="00CD32C4"/>
    <w:rsid w:val="00CD35E5"/>
    <w:rsid w:val="00CD384A"/>
    <w:rsid w:val="00CD3B13"/>
    <w:rsid w:val="00CD4AC3"/>
    <w:rsid w:val="00CD4B25"/>
    <w:rsid w:val="00CD4C37"/>
    <w:rsid w:val="00CD50C5"/>
    <w:rsid w:val="00CD5361"/>
    <w:rsid w:val="00CD53EA"/>
    <w:rsid w:val="00CD566C"/>
    <w:rsid w:val="00CD5D42"/>
    <w:rsid w:val="00CD618A"/>
    <w:rsid w:val="00CD7207"/>
    <w:rsid w:val="00CE021A"/>
    <w:rsid w:val="00CE0422"/>
    <w:rsid w:val="00CE0739"/>
    <w:rsid w:val="00CE0A71"/>
    <w:rsid w:val="00CE0DBE"/>
    <w:rsid w:val="00CE1231"/>
    <w:rsid w:val="00CE1353"/>
    <w:rsid w:val="00CE2BF5"/>
    <w:rsid w:val="00CE3CF8"/>
    <w:rsid w:val="00CE4665"/>
    <w:rsid w:val="00CE4BD6"/>
    <w:rsid w:val="00CE4D95"/>
    <w:rsid w:val="00CE5342"/>
    <w:rsid w:val="00CE5E4D"/>
    <w:rsid w:val="00CE6522"/>
    <w:rsid w:val="00CE6E90"/>
    <w:rsid w:val="00CE71FC"/>
    <w:rsid w:val="00CE7A9F"/>
    <w:rsid w:val="00CF02C4"/>
    <w:rsid w:val="00CF06BE"/>
    <w:rsid w:val="00CF15DE"/>
    <w:rsid w:val="00CF167F"/>
    <w:rsid w:val="00CF1A16"/>
    <w:rsid w:val="00CF21B0"/>
    <w:rsid w:val="00CF25A1"/>
    <w:rsid w:val="00CF3105"/>
    <w:rsid w:val="00CF313B"/>
    <w:rsid w:val="00CF3288"/>
    <w:rsid w:val="00CF374F"/>
    <w:rsid w:val="00CF39F7"/>
    <w:rsid w:val="00CF47A8"/>
    <w:rsid w:val="00CF5103"/>
    <w:rsid w:val="00CF5231"/>
    <w:rsid w:val="00CF5634"/>
    <w:rsid w:val="00CF5E92"/>
    <w:rsid w:val="00CF67EA"/>
    <w:rsid w:val="00CF680A"/>
    <w:rsid w:val="00CF6D86"/>
    <w:rsid w:val="00CF72E5"/>
    <w:rsid w:val="00CF7319"/>
    <w:rsid w:val="00CF7D03"/>
    <w:rsid w:val="00D00923"/>
    <w:rsid w:val="00D00AFA"/>
    <w:rsid w:val="00D00CE4"/>
    <w:rsid w:val="00D01020"/>
    <w:rsid w:val="00D013EE"/>
    <w:rsid w:val="00D01653"/>
    <w:rsid w:val="00D01792"/>
    <w:rsid w:val="00D01F38"/>
    <w:rsid w:val="00D01F54"/>
    <w:rsid w:val="00D03186"/>
    <w:rsid w:val="00D03239"/>
    <w:rsid w:val="00D03414"/>
    <w:rsid w:val="00D040F7"/>
    <w:rsid w:val="00D0485D"/>
    <w:rsid w:val="00D048FC"/>
    <w:rsid w:val="00D04A76"/>
    <w:rsid w:val="00D04C6F"/>
    <w:rsid w:val="00D04E83"/>
    <w:rsid w:val="00D05C7B"/>
    <w:rsid w:val="00D068BF"/>
    <w:rsid w:val="00D06B6B"/>
    <w:rsid w:val="00D07E2B"/>
    <w:rsid w:val="00D10FC7"/>
    <w:rsid w:val="00D112EC"/>
    <w:rsid w:val="00D1194D"/>
    <w:rsid w:val="00D12348"/>
    <w:rsid w:val="00D126A8"/>
    <w:rsid w:val="00D14549"/>
    <w:rsid w:val="00D14A0F"/>
    <w:rsid w:val="00D14D4B"/>
    <w:rsid w:val="00D14DC2"/>
    <w:rsid w:val="00D1514C"/>
    <w:rsid w:val="00D1519F"/>
    <w:rsid w:val="00D157A9"/>
    <w:rsid w:val="00D15C90"/>
    <w:rsid w:val="00D1703C"/>
    <w:rsid w:val="00D171D1"/>
    <w:rsid w:val="00D17453"/>
    <w:rsid w:val="00D17C13"/>
    <w:rsid w:val="00D20811"/>
    <w:rsid w:val="00D20E99"/>
    <w:rsid w:val="00D212A3"/>
    <w:rsid w:val="00D21C83"/>
    <w:rsid w:val="00D2274C"/>
    <w:rsid w:val="00D22789"/>
    <w:rsid w:val="00D23162"/>
    <w:rsid w:val="00D23E3B"/>
    <w:rsid w:val="00D23E50"/>
    <w:rsid w:val="00D2440F"/>
    <w:rsid w:val="00D24ADF"/>
    <w:rsid w:val="00D254DC"/>
    <w:rsid w:val="00D260F8"/>
    <w:rsid w:val="00D26125"/>
    <w:rsid w:val="00D26A82"/>
    <w:rsid w:val="00D2700E"/>
    <w:rsid w:val="00D27126"/>
    <w:rsid w:val="00D2751E"/>
    <w:rsid w:val="00D27AC5"/>
    <w:rsid w:val="00D30B95"/>
    <w:rsid w:val="00D312C2"/>
    <w:rsid w:val="00D3194D"/>
    <w:rsid w:val="00D31981"/>
    <w:rsid w:val="00D31F2A"/>
    <w:rsid w:val="00D32D67"/>
    <w:rsid w:val="00D331A1"/>
    <w:rsid w:val="00D33CBC"/>
    <w:rsid w:val="00D33E48"/>
    <w:rsid w:val="00D3419C"/>
    <w:rsid w:val="00D34469"/>
    <w:rsid w:val="00D346FD"/>
    <w:rsid w:val="00D34B19"/>
    <w:rsid w:val="00D34E94"/>
    <w:rsid w:val="00D35355"/>
    <w:rsid w:val="00D353E7"/>
    <w:rsid w:val="00D35799"/>
    <w:rsid w:val="00D35BDD"/>
    <w:rsid w:val="00D35E31"/>
    <w:rsid w:val="00D37A15"/>
    <w:rsid w:val="00D37DAF"/>
    <w:rsid w:val="00D37E49"/>
    <w:rsid w:val="00D406C1"/>
    <w:rsid w:val="00D4082D"/>
    <w:rsid w:val="00D411B0"/>
    <w:rsid w:val="00D4150B"/>
    <w:rsid w:val="00D4257F"/>
    <w:rsid w:val="00D425A3"/>
    <w:rsid w:val="00D42935"/>
    <w:rsid w:val="00D42C8F"/>
    <w:rsid w:val="00D433E4"/>
    <w:rsid w:val="00D434FF"/>
    <w:rsid w:val="00D43CA1"/>
    <w:rsid w:val="00D43D6B"/>
    <w:rsid w:val="00D43DE1"/>
    <w:rsid w:val="00D44623"/>
    <w:rsid w:val="00D446A4"/>
    <w:rsid w:val="00D44C01"/>
    <w:rsid w:val="00D44DEF"/>
    <w:rsid w:val="00D44F86"/>
    <w:rsid w:val="00D454F2"/>
    <w:rsid w:val="00D45A74"/>
    <w:rsid w:val="00D46032"/>
    <w:rsid w:val="00D46990"/>
    <w:rsid w:val="00D46E69"/>
    <w:rsid w:val="00D470D7"/>
    <w:rsid w:val="00D478E3"/>
    <w:rsid w:val="00D47F02"/>
    <w:rsid w:val="00D5032F"/>
    <w:rsid w:val="00D50388"/>
    <w:rsid w:val="00D507A7"/>
    <w:rsid w:val="00D50DE6"/>
    <w:rsid w:val="00D50F32"/>
    <w:rsid w:val="00D51163"/>
    <w:rsid w:val="00D5116F"/>
    <w:rsid w:val="00D51353"/>
    <w:rsid w:val="00D51BB2"/>
    <w:rsid w:val="00D51ED7"/>
    <w:rsid w:val="00D52505"/>
    <w:rsid w:val="00D526D1"/>
    <w:rsid w:val="00D529CF"/>
    <w:rsid w:val="00D5391D"/>
    <w:rsid w:val="00D53DCB"/>
    <w:rsid w:val="00D540C0"/>
    <w:rsid w:val="00D54D90"/>
    <w:rsid w:val="00D54F85"/>
    <w:rsid w:val="00D552C1"/>
    <w:rsid w:val="00D55BEC"/>
    <w:rsid w:val="00D55E66"/>
    <w:rsid w:val="00D5686B"/>
    <w:rsid w:val="00D56B8D"/>
    <w:rsid w:val="00D56B99"/>
    <w:rsid w:val="00D57181"/>
    <w:rsid w:val="00D57654"/>
    <w:rsid w:val="00D57976"/>
    <w:rsid w:val="00D57B66"/>
    <w:rsid w:val="00D601C8"/>
    <w:rsid w:val="00D609A9"/>
    <w:rsid w:val="00D60F82"/>
    <w:rsid w:val="00D6130C"/>
    <w:rsid w:val="00D614C4"/>
    <w:rsid w:val="00D62121"/>
    <w:rsid w:val="00D622B6"/>
    <w:rsid w:val="00D6295B"/>
    <w:rsid w:val="00D63006"/>
    <w:rsid w:val="00D63982"/>
    <w:rsid w:val="00D63B81"/>
    <w:rsid w:val="00D6496D"/>
    <w:rsid w:val="00D64D42"/>
    <w:rsid w:val="00D65878"/>
    <w:rsid w:val="00D661B8"/>
    <w:rsid w:val="00D66EE8"/>
    <w:rsid w:val="00D67797"/>
    <w:rsid w:val="00D67937"/>
    <w:rsid w:val="00D70995"/>
    <w:rsid w:val="00D711D8"/>
    <w:rsid w:val="00D71344"/>
    <w:rsid w:val="00D71677"/>
    <w:rsid w:val="00D71C0F"/>
    <w:rsid w:val="00D71C59"/>
    <w:rsid w:val="00D72301"/>
    <w:rsid w:val="00D727E4"/>
    <w:rsid w:val="00D73160"/>
    <w:rsid w:val="00D73233"/>
    <w:rsid w:val="00D74317"/>
    <w:rsid w:val="00D745DF"/>
    <w:rsid w:val="00D7538E"/>
    <w:rsid w:val="00D75695"/>
    <w:rsid w:val="00D76077"/>
    <w:rsid w:val="00D76415"/>
    <w:rsid w:val="00D76426"/>
    <w:rsid w:val="00D764F5"/>
    <w:rsid w:val="00D7722D"/>
    <w:rsid w:val="00D77C3E"/>
    <w:rsid w:val="00D8016F"/>
    <w:rsid w:val="00D80741"/>
    <w:rsid w:val="00D80776"/>
    <w:rsid w:val="00D81459"/>
    <w:rsid w:val="00D81B83"/>
    <w:rsid w:val="00D81C35"/>
    <w:rsid w:val="00D81D06"/>
    <w:rsid w:val="00D82C2C"/>
    <w:rsid w:val="00D82DE7"/>
    <w:rsid w:val="00D82DE8"/>
    <w:rsid w:val="00D830DD"/>
    <w:rsid w:val="00D8430B"/>
    <w:rsid w:val="00D8528E"/>
    <w:rsid w:val="00D85B5D"/>
    <w:rsid w:val="00D85F75"/>
    <w:rsid w:val="00D87313"/>
    <w:rsid w:val="00D87643"/>
    <w:rsid w:val="00D90201"/>
    <w:rsid w:val="00D902A9"/>
    <w:rsid w:val="00D9087E"/>
    <w:rsid w:val="00D90ED7"/>
    <w:rsid w:val="00D911DE"/>
    <w:rsid w:val="00D91548"/>
    <w:rsid w:val="00D91B97"/>
    <w:rsid w:val="00D91F0F"/>
    <w:rsid w:val="00D92455"/>
    <w:rsid w:val="00D92494"/>
    <w:rsid w:val="00D92667"/>
    <w:rsid w:val="00D92D18"/>
    <w:rsid w:val="00D9355C"/>
    <w:rsid w:val="00D936A8"/>
    <w:rsid w:val="00D93980"/>
    <w:rsid w:val="00D93ACC"/>
    <w:rsid w:val="00D93C08"/>
    <w:rsid w:val="00D93E4E"/>
    <w:rsid w:val="00D94D66"/>
    <w:rsid w:val="00D95765"/>
    <w:rsid w:val="00D95806"/>
    <w:rsid w:val="00D95A59"/>
    <w:rsid w:val="00D95DAC"/>
    <w:rsid w:val="00D962C6"/>
    <w:rsid w:val="00D96CEB"/>
    <w:rsid w:val="00D9796F"/>
    <w:rsid w:val="00D97B5A"/>
    <w:rsid w:val="00DA05D3"/>
    <w:rsid w:val="00DA0B53"/>
    <w:rsid w:val="00DA11DD"/>
    <w:rsid w:val="00DA1685"/>
    <w:rsid w:val="00DA1CD8"/>
    <w:rsid w:val="00DA32A9"/>
    <w:rsid w:val="00DA36D2"/>
    <w:rsid w:val="00DA3D09"/>
    <w:rsid w:val="00DA3FF5"/>
    <w:rsid w:val="00DA4AAE"/>
    <w:rsid w:val="00DA503D"/>
    <w:rsid w:val="00DA505A"/>
    <w:rsid w:val="00DA5AB0"/>
    <w:rsid w:val="00DA6740"/>
    <w:rsid w:val="00DA767D"/>
    <w:rsid w:val="00DA7E15"/>
    <w:rsid w:val="00DA7E4E"/>
    <w:rsid w:val="00DA7F5D"/>
    <w:rsid w:val="00DA7F69"/>
    <w:rsid w:val="00DB0377"/>
    <w:rsid w:val="00DB098C"/>
    <w:rsid w:val="00DB0D63"/>
    <w:rsid w:val="00DB1171"/>
    <w:rsid w:val="00DB1519"/>
    <w:rsid w:val="00DB1D90"/>
    <w:rsid w:val="00DB2840"/>
    <w:rsid w:val="00DB2B6C"/>
    <w:rsid w:val="00DB2C48"/>
    <w:rsid w:val="00DB2FA0"/>
    <w:rsid w:val="00DB3AB5"/>
    <w:rsid w:val="00DB473E"/>
    <w:rsid w:val="00DB478B"/>
    <w:rsid w:val="00DB4C97"/>
    <w:rsid w:val="00DB5214"/>
    <w:rsid w:val="00DB5579"/>
    <w:rsid w:val="00DB5EA0"/>
    <w:rsid w:val="00DB5F68"/>
    <w:rsid w:val="00DB6566"/>
    <w:rsid w:val="00DB6A2F"/>
    <w:rsid w:val="00DB7A69"/>
    <w:rsid w:val="00DC027B"/>
    <w:rsid w:val="00DC0C6E"/>
    <w:rsid w:val="00DC1BD3"/>
    <w:rsid w:val="00DC2418"/>
    <w:rsid w:val="00DC25C5"/>
    <w:rsid w:val="00DC2B69"/>
    <w:rsid w:val="00DC2C1A"/>
    <w:rsid w:val="00DC3C27"/>
    <w:rsid w:val="00DC432A"/>
    <w:rsid w:val="00DC4955"/>
    <w:rsid w:val="00DC6B29"/>
    <w:rsid w:val="00DC6CD1"/>
    <w:rsid w:val="00DC7CCB"/>
    <w:rsid w:val="00DD0545"/>
    <w:rsid w:val="00DD0E1D"/>
    <w:rsid w:val="00DD0F20"/>
    <w:rsid w:val="00DD1CB0"/>
    <w:rsid w:val="00DD3629"/>
    <w:rsid w:val="00DD3904"/>
    <w:rsid w:val="00DD3BD9"/>
    <w:rsid w:val="00DD4362"/>
    <w:rsid w:val="00DD43BA"/>
    <w:rsid w:val="00DD4803"/>
    <w:rsid w:val="00DD4E76"/>
    <w:rsid w:val="00DD58BB"/>
    <w:rsid w:val="00DD602A"/>
    <w:rsid w:val="00DD64C6"/>
    <w:rsid w:val="00DD66B4"/>
    <w:rsid w:val="00DD6CA4"/>
    <w:rsid w:val="00DD6DE4"/>
    <w:rsid w:val="00DD70FB"/>
    <w:rsid w:val="00DD73CE"/>
    <w:rsid w:val="00DE010D"/>
    <w:rsid w:val="00DE032F"/>
    <w:rsid w:val="00DE048C"/>
    <w:rsid w:val="00DE0771"/>
    <w:rsid w:val="00DE08AE"/>
    <w:rsid w:val="00DE0DD4"/>
    <w:rsid w:val="00DE0F5B"/>
    <w:rsid w:val="00DE110C"/>
    <w:rsid w:val="00DE1972"/>
    <w:rsid w:val="00DE1E82"/>
    <w:rsid w:val="00DE2090"/>
    <w:rsid w:val="00DE27AB"/>
    <w:rsid w:val="00DE317B"/>
    <w:rsid w:val="00DE3427"/>
    <w:rsid w:val="00DE3F0C"/>
    <w:rsid w:val="00DE42A4"/>
    <w:rsid w:val="00DE450C"/>
    <w:rsid w:val="00DE58A0"/>
    <w:rsid w:val="00DE6EDA"/>
    <w:rsid w:val="00DE7056"/>
    <w:rsid w:val="00DF0056"/>
    <w:rsid w:val="00DF006A"/>
    <w:rsid w:val="00DF035C"/>
    <w:rsid w:val="00DF1457"/>
    <w:rsid w:val="00DF1568"/>
    <w:rsid w:val="00DF17AF"/>
    <w:rsid w:val="00DF1B23"/>
    <w:rsid w:val="00DF1FAF"/>
    <w:rsid w:val="00DF21CB"/>
    <w:rsid w:val="00DF225B"/>
    <w:rsid w:val="00DF268F"/>
    <w:rsid w:val="00DF2AB3"/>
    <w:rsid w:val="00DF3251"/>
    <w:rsid w:val="00DF39C7"/>
    <w:rsid w:val="00DF39DE"/>
    <w:rsid w:val="00DF3AD4"/>
    <w:rsid w:val="00DF445C"/>
    <w:rsid w:val="00DF4C69"/>
    <w:rsid w:val="00DF4F59"/>
    <w:rsid w:val="00DF633F"/>
    <w:rsid w:val="00DF6553"/>
    <w:rsid w:val="00DF6617"/>
    <w:rsid w:val="00DF6734"/>
    <w:rsid w:val="00DF6C3F"/>
    <w:rsid w:val="00DF70E6"/>
    <w:rsid w:val="00DF7250"/>
    <w:rsid w:val="00DF7D16"/>
    <w:rsid w:val="00E00587"/>
    <w:rsid w:val="00E00996"/>
    <w:rsid w:val="00E00CAA"/>
    <w:rsid w:val="00E01B32"/>
    <w:rsid w:val="00E0239C"/>
    <w:rsid w:val="00E02853"/>
    <w:rsid w:val="00E02A11"/>
    <w:rsid w:val="00E02B0B"/>
    <w:rsid w:val="00E02F15"/>
    <w:rsid w:val="00E03063"/>
    <w:rsid w:val="00E033A3"/>
    <w:rsid w:val="00E034BD"/>
    <w:rsid w:val="00E035CA"/>
    <w:rsid w:val="00E03647"/>
    <w:rsid w:val="00E039E5"/>
    <w:rsid w:val="00E03D3C"/>
    <w:rsid w:val="00E03EBF"/>
    <w:rsid w:val="00E04C28"/>
    <w:rsid w:val="00E04E92"/>
    <w:rsid w:val="00E05209"/>
    <w:rsid w:val="00E05AC1"/>
    <w:rsid w:val="00E05CA4"/>
    <w:rsid w:val="00E06057"/>
    <w:rsid w:val="00E060C9"/>
    <w:rsid w:val="00E06F02"/>
    <w:rsid w:val="00E10252"/>
    <w:rsid w:val="00E1128D"/>
    <w:rsid w:val="00E11451"/>
    <w:rsid w:val="00E11BCF"/>
    <w:rsid w:val="00E1368A"/>
    <w:rsid w:val="00E137A6"/>
    <w:rsid w:val="00E137B5"/>
    <w:rsid w:val="00E13ECA"/>
    <w:rsid w:val="00E1416A"/>
    <w:rsid w:val="00E15EE4"/>
    <w:rsid w:val="00E1696B"/>
    <w:rsid w:val="00E17502"/>
    <w:rsid w:val="00E1777F"/>
    <w:rsid w:val="00E179B8"/>
    <w:rsid w:val="00E17A1D"/>
    <w:rsid w:val="00E17B19"/>
    <w:rsid w:val="00E20227"/>
    <w:rsid w:val="00E21292"/>
    <w:rsid w:val="00E212FB"/>
    <w:rsid w:val="00E21887"/>
    <w:rsid w:val="00E2258E"/>
    <w:rsid w:val="00E22593"/>
    <w:rsid w:val="00E22649"/>
    <w:rsid w:val="00E22751"/>
    <w:rsid w:val="00E22AE5"/>
    <w:rsid w:val="00E231F8"/>
    <w:rsid w:val="00E23569"/>
    <w:rsid w:val="00E239A1"/>
    <w:rsid w:val="00E23A28"/>
    <w:rsid w:val="00E23A9D"/>
    <w:rsid w:val="00E24806"/>
    <w:rsid w:val="00E24A90"/>
    <w:rsid w:val="00E24C94"/>
    <w:rsid w:val="00E25D1E"/>
    <w:rsid w:val="00E25D62"/>
    <w:rsid w:val="00E25DA3"/>
    <w:rsid w:val="00E260C2"/>
    <w:rsid w:val="00E264D5"/>
    <w:rsid w:val="00E264E3"/>
    <w:rsid w:val="00E267B6"/>
    <w:rsid w:val="00E2682D"/>
    <w:rsid w:val="00E305EB"/>
    <w:rsid w:val="00E31489"/>
    <w:rsid w:val="00E320BB"/>
    <w:rsid w:val="00E324A0"/>
    <w:rsid w:val="00E32596"/>
    <w:rsid w:val="00E32792"/>
    <w:rsid w:val="00E32E04"/>
    <w:rsid w:val="00E32E61"/>
    <w:rsid w:val="00E33CE3"/>
    <w:rsid w:val="00E342B2"/>
    <w:rsid w:val="00E342E4"/>
    <w:rsid w:val="00E34B56"/>
    <w:rsid w:val="00E34C30"/>
    <w:rsid w:val="00E34C7B"/>
    <w:rsid w:val="00E355B6"/>
    <w:rsid w:val="00E35E66"/>
    <w:rsid w:val="00E3622D"/>
    <w:rsid w:val="00E364D6"/>
    <w:rsid w:val="00E368F7"/>
    <w:rsid w:val="00E36EB8"/>
    <w:rsid w:val="00E3763F"/>
    <w:rsid w:val="00E37FB8"/>
    <w:rsid w:val="00E4070E"/>
    <w:rsid w:val="00E40B07"/>
    <w:rsid w:val="00E4134B"/>
    <w:rsid w:val="00E415AE"/>
    <w:rsid w:val="00E41708"/>
    <w:rsid w:val="00E41BE1"/>
    <w:rsid w:val="00E42326"/>
    <w:rsid w:val="00E42551"/>
    <w:rsid w:val="00E42998"/>
    <w:rsid w:val="00E43544"/>
    <w:rsid w:val="00E43F4F"/>
    <w:rsid w:val="00E44A55"/>
    <w:rsid w:val="00E44D89"/>
    <w:rsid w:val="00E45296"/>
    <w:rsid w:val="00E45392"/>
    <w:rsid w:val="00E46401"/>
    <w:rsid w:val="00E469A8"/>
    <w:rsid w:val="00E46D9C"/>
    <w:rsid w:val="00E46DE3"/>
    <w:rsid w:val="00E477EA"/>
    <w:rsid w:val="00E502E5"/>
    <w:rsid w:val="00E50699"/>
    <w:rsid w:val="00E51368"/>
    <w:rsid w:val="00E51684"/>
    <w:rsid w:val="00E51A5D"/>
    <w:rsid w:val="00E5217A"/>
    <w:rsid w:val="00E5223B"/>
    <w:rsid w:val="00E5270A"/>
    <w:rsid w:val="00E52D2C"/>
    <w:rsid w:val="00E52E79"/>
    <w:rsid w:val="00E5348C"/>
    <w:rsid w:val="00E5492D"/>
    <w:rsid w:val="00E5516B"/>
    <w:rsid w:val="00E5536B"/>
    <w:rsid w:val="00E5568D"/>
    <w:rsid w:val="00E55807"/>
    <w:rsid w:val="00E56352"/>
    <w:rsid w:val="00E565A3"/>
    <w:rsid w:val="00E56C8E"/>
    <w:rsid w:val="00E571D1"/>
    <w:rsid w:val="00E60040"/>
    <w:rsid w:val="00E60794"/>
    <w:rsid w:val="00E60BE0"/>
    <w:rsid w:val="00E621AD"/>
    <w:rsid w:val="00E624B0"/>
    <w:rsid w:val="00E6287F"/>
    <w:rsid w:val="00E62893"/>
    <w:rsid w:val="00E6324B"/>
    <w:rsid w:val="00E63B14"/>
    <w:rsid w:val="00E64531"/>
    <w:rsid w:val="00E64ED3"/>
    <w:rsid w:val="00E650CB"/>
    <w:rsid w:val="00E6513C"/>
    <w:rsid w:val="00E6535E"/>
    <w:rsid w:val="00E6536A"/>
    <w:rsid w:val="00E65CA0"/>
    <w:rsid w:val="00E65D27"/>
    <w:rsid w:val="00E6614A"/>
    <w:rsid w:val="00E66530"/>
    <w:rsid w:val="00E67311"/>
    <w:rsid w:val="00E674BE"/>
    <w:rsid w:val="00E67E7F"/>
    <w:rsid w:val="00E700BF"/>
    <w:rsid w:val="00E70235"/>
    <w:rsid w:val="00E702CC"/>
    <w:rsid w:val="00E70911"/>
    <w:rsid w:val="00E70D9F"/>
    <w:rsid w:val="00E71477"/>
    <w:rsid w:val="00E719DF"/>
    <w:rsid w:val="00E71C3D"/>
    <w:rsid w:val="00E723CA"/>
    <w:rsid w:val="00E72D54"/>
    <w:rsid w:val="00E72E2B"/>
    <w:rsid w:val="00E730D6"/>
    <w:rsid w:val="00E730FF"/>
    <w:rsid w:val="00E734B2"/>
    <w:rsid w:val="00E737EF"/>
    <w:rsid w:val="00E741A1"/>
    <w:rsid w:val="00E74C4B"/>
    <w:rsid w:val="00E7538E"/>
    <w:rsid w:val="00E7741B"/>
    <w:rsid w:val="00E7789D"/>
    <w:rsid w:val="00E778E4"/>
    <w:rsid w:val="00E77B09"/>
    <w:rsid w:val="00E77FDC"/>
    <w:rsid w:val="00E80AC5"/>
    <w:rsid w:val="00E818F2"/>
    <w:rsid w:val="00E81A12"/>
    <w:rsid w:val="00E81C3D"/>
    <w:rsid w:val="00E832AE"/>
    <w:rsid w:val="00E836D9"/>
    <w:rsid w:val="00E83810"/>
    <w:rsid w:val="00E83D2A"/>
    <w:rsid w:val="00E84C32"/>
    <w:rsid w:val="00E84E07"/>
    <w:rsid w:val="00E86703"/>
    <w:rsid w:val="00E86933"/>
    <w:rsid w:val="00E86A02"/>
    <w:rsid w:val="00E875CD"/>
    <w:rsid w:val="00E90237"/>
    <w:rsid w:val="00E904EE"/>
    <w:rsid w:val="00E9104C"/>
    <w:rsid w:val="00E91319"/>
    <w:rsid w:val="00E9192A"/>
    <w:rsid w:val="00E9264E"/>
    <w:rsid w:val="00E92B6B"/>
    <w:rsid w:val="00E93F06"/>
    <w:rsid w:val="00E94016"/>
    <w:rsid w:val="00E940A3"/>
    <w:rsid w:val="00E94198"/>
    <w:rsid w:val="00E94227"/>
    <w:rsid w:val="00E95AAF"/>
    <w:rsid w:val="00E9605B"/>
    <w:rsid w:val="00E96367"/>
    <w:rsid w:val="00E96AF0"/>
    <w:rsid w:val="00E96EDE"/>
    <w:rsid w:val="00E970C5"/>
    <w:rsid w:val="00E97298"/>
    <w:rsid w:val="00E97753"/>
    <w:rsid w:val="00E97990"/>
    <w:rsid w:val="00EA0725"/>
    <w:rsid w:val="00EA0BB9"/>
    <w:rsid w:val="00EA0C51"/>
    <w:rsid w:val="00EA0EEC"/>
    <w:rsid w:val="00EA19DE"/>
    <w:rsid w:val="00EA207B"/>
    <w:rsid w:val="00EA243D"/>
    <w:rsid w:val="00EA266C"/>
    <w:rsid w:val="00EA2854"/>
    <w:rsid w:val="00EA2ACF"/>
    <w:rsid w:val="00EA2C8D"/>
    <w:rsid w:val="00EA2D9B"/>
    <w:rsid w:val="00EA2EBB"/>
    <w:rsid w:val="00EA2EFE"/>
    <w:rsid w:val="00EA3140"/>
    <w:rsid w:val="00EA34A6"/>
    <w:rsid w:val="00EA385F"/>
    <w:rsid w:val="00EA3E0C"/>
    <w:rsid w:val="00EA4BA9"/>
    <w:rsid w:val="00EA6BD6"/>
    <w:rsid w:val="00EA74D4"/>
    <w:rsid w:val="00EA7DE7"/>
    <w:rsid w:val="00EA7FAD"/>
    <w:rsid w:val="00EB05CD"/>
    <w:rsid w:val="00EB0805"/>
    <w:rsid w:val="00EB0F68"/>
    <w:rsid w:val="00EB13F6"/>
    <w:rsid w:val="00EB15E6"/>
    <w:rsid w:val="00EB1FC7"/>
    <w:rsid w:val="00EB29E2"/>
    <w:rsid w:val="00EB2BB4"/>
    <w:rsid w:val="00EB2C49"/>
    <w:rsid w:val="00EB2EBE"/>
    <w:rsid w:val="00EB2EE7"/>
    <w:rsid w:val="00EB2F7A"/>
    <w:rsid w:val="00EB3673"/>
    <w:rsid w:val="00EB4674"/>
    <w:rsid w:val="00EB4B3C"/>
    <w:rsid w:val="00EB4B6D"/>
    <w:rsid w:val="00EB4F8F"/>
    <w:rsid w:val="00EB5958"/>
    <w:rsid w:val="00EB5B67"/>
    <w:rsid w:val="00EB6248"/>
    <w:rsid w:val="00EB64BE"/>
    <w:rsid w:val="00EB7A8A"/>
    <w:rsid w:val="00EB7BC0"/>
    <w:rsid w:val="00EB7FAC"/>
    <w:rsid w:val="00EC0634"/>
    <w:rsid w:val="00EC106A"/>
    <w:rsid w:val="00EC1EEA"/>
    <w:rsid w:val="00EC37EB"/>
    <w:rsid w:val="00EC41D8"/>
    <w:rsid w:val="00EC4E64"/>
    <w:rsid w:val="00EC5186"/>
    <w:rsid w:val="00EC58CC"/>
    <w:rsid w:val="00EC5DA9"/>
    <w:rsid w:val="00EC69A2"/>
    <w:rsid w:val="00EC6B88"/>
    <w:rsid w:val="00EC6FED"/>
    <w:rsid w:val="00EC70AA"/>
    <w:rsid w:val="00EC79BD"/>
    <w:rsid w:val="00EC7AAE"/>
    <w:rsid w:val="00EC7F3B"/>
    <w:rsid w:val="00ED0A23"/>
    <w:rsid w:val="00ED0E5A"/>
    <w:rsid w:val="00ED1103"/>
    <w:rsid w:val="00ED1188"/>
    <w:rsid w:val="00ED12E5"/>
    <w:rsid w:val="00ED1653"/>
    <w:rsid w:val="00ED1BD1"/>
    <w:rsid w:val="00ED1D83"/>
    <w:rsid w:val="00ED280E"/>
    <w:rsid w:val="00ED4390"/>
    <w:rsid w:val="00ED5299"/>
    <w:rsid w:val="00ED5A10"/>
    <w:rsid w:val="00ED6F1D"/>
    <w:rsid w:val="00ED7203"/>
    <w:rsid w:val="00ED7716"/>
    <w:rsid w:val="00ED7819"/>
    <w:rsid w:val="00EE03EB"/>
    <w:rsid w:val="00EE0E00"/>
    <w:rsid w:val="00EE0F0B"/>
    <w:rsid w:val="00EE1232"/>
    <w:rsid w:val="00EE148C"/>
    <w:rsid w:val="00EE151E"/>
    <w:rsid w:val="00EE15A9"/>
    <w:rsid w:val="00EE18B8"/>
    <w:rsid w:val="00EE2989"/>
    <w:rsid w:val="00EE35CE"/>
    <w:rsid w:val="00EE3A64"/>
    <w:rsid w:val="00EE3F90"/>
    <w:rsid w:val="00EE433A"/>
    <w:rsid w:val="00EE4375"/>
    <w:rsid w:val="00EE4F60"/>
    <w:rsid w:val="00EE4FC9"/>
    <w:rsid w:val="00EE50E5"/>
    <w:rsid w:val="00EE541E"/>
    <w:rsid w:val="00EE6A2A"/>
    <w:rsid w:val="00EE6C9A"/>
    <w:rsid w:val="00EF01CF"/>
    <w:rsid w:val="00EF0227"/>
    <w:rsid w:val="00EF03D2"/>
    <w:rsid w:val="00EF1243"/>
    <w:rsid w:val="00EF1930"/>
    <w:rsid w:val="00EF1EF8"/>
    <w:rsid w:val="00EF20F2"/>
    <w:rsid w:val="00EF36CD"/>
    <w:rsid w:val="00EF399A"/>
    <w:rsid w:val="00EF4347"/>
    <w:rsid w:val="00EF594B"/>
    <w:rsid w:val="00EF5E0D"/>
    <w:rsid w:val="00EF6027"/>
    <w:rsid w:val="00EF6D10"/>
    <w:rsid w:val="00EF6D24"/>
    <w:rsid w:val="00EF7439"/>
    <w:rsid w:val="00EF7824"/>
    <w:rsid w:val="00EF7CB9"/>
    <w:rsid w:val="00F003B6"/>
    <w:rsid w:val="00F00E65"/>
    <w:rsid w:val="00F0273C"/>
    <w:rsid w:val="00F03057"/>
    <w:rsid w:val="00F030AC"/>
    <w:rsid w:val="00F03590"/>
    <w:rsid w:val="00F03622"/>
    <w:rsid w:val="00F0403D"/>
    <w:rsid w:val="00F048DE"/>
    <w:rsid w:val="00F049AC"/>
    <w:rsid w:val="00F04EC8"/>
    <w:rsid w:val="00F05E1F"/>
    <w:rsid w:val="00F06128"/>
    <w:rsid w:val="00F062D7"/>
    <w:rsid w:val="00F07048"/>
    <w:rsid w:val="00F077D9"/>
    <w:rsid w:val="00F077FD"/>
    <w:rsid w:val="00F07DDD"/>
    <w:rsid w:val="00F07E34"/>
    <w:rsid w:val="00F07F5C"/>
    <w:rsid w:val="00F103C5"/>
    <w:rsid w:val="00F10BBF"/>
    <w:rsid w:val="00F10F14"/>
    <w:rsid w:val="00F10FAD"/>
    <w:rsid w:val="00F11093"/>
    <w:rsid w:val="00F13992"/>
    <w:rsid w:val="00F13B40"/>
    <w:rsid w:val="00F13E0E"/>
    <w:rsid w:val="00F14239"/>
    <w:rsid w:val="00F14E8A"/>
    <w:rsid w:val="00F152D0"/>
    <w:rsid w:val="00F1554E"/>
    <w:rsid w:val="00F160C4"/>
    <w:rsid w:val="00F166B2"/>
    <w:rsid w:val="00F168A1"/>
    <w:rsid w:val="00F1690E"/>
    <w:rsid w:val="00F16F77"/>
    <w:rsid w:val="00F17A53"/>
    <w:rsid w:val="00F20430"/>
    <w:rsid w:val="00F204F3"/>
    <w:rsid w:val="00F20C55"/>
    <w:rsid w:val="00F20D07"/>
    <w:rsid w:val="00F20F09"/>
    <w:rsid w:val="00F210F1"/>
    <w:rsid w:val="00F218AB"/>
    <w:rsid w:val="00F229C3"/>
    <w:rsid w:val="00F229D3"/>
    <w:rsid w:val="00F22E91"/>
    <w:rsid w:val="00F23549"/>
    <w:rsid w:val="00F238B3"/>
    <w:rsid w:val="00F23C61"/>
    <w:rsid w:val="00F23F11"/>
    <w:rsid w:val="00F24A6E"/>
    <w:rsid w:val="00F24DE9"/>
    <w:rsid w:val="00F24FED"/>
    <w:rsid w:val="00F25032"/>
    <w:rsid w:val="00F25586"/>
    <w:rsid w:val="00F25BC7"/>
    <w:rsid w:val="00F2651D"/>
    <w:rsid w:val="00F266C8"/>
    <w:rsid w:val="00F26C98"/>
    <w:rsid w:val="00F26E14"/>
    <w:rsid w:val="00F26E2D"/>
    <w:rsid w:val="00F27362"/>
    <w:rsid w:val="00F275D3"/>
    <w:rsid w:val="00F276CA"/>
    <w:rsid w:val="00F278E3"/>
    <w:rsid w:val="00F27A93"/>
    <w:rsid w:val="00F27F3C"/>
    <w:rsid w:val="00F30578"/>
    <w:rsid w:val="00F30DF6"/>
    <w:rsid w:val="00F310FD"/>
    <w:rsid w:val="00F31230"/>
    <w:rsid w:val="00F31242"/>
    <w:rsid w:val="00F31498"/>
    <w:rsid w:val="00F3247B"/>
    <w:rsid w:val="00F32AA4"/>
    <w:rsid w:val="00F32E0A"/>
    <w:rsid w:val="00F32FEF"/>
    <w:rsid w:val="00F34319"/>
    <w:rsid w:val="00F345C5"/>
    <w:rsid w:val="00F357F2"/>
    <w:rsid w:val="00F35D19"/>
    <w:rsid w:val="00F36A10"/>
    <w:rsid w:val="00F374BD"/>
    <w:rsid w:val="00F37AD5"/>
    <w:rsid w:val="00F4022D"/>
    <w:rsid w:val="00F41B1C"/>
    <w:rsid w:val="00F41E15"/>
    <w:rsid w:val="00F427DC"/>
    <w:rsid w:val="00F42E13"/>
    <w:rsid w:val="00F42E5E"/>
    <w:rsid w:val="00F42EA6"/>
    <w:rsid w:val="00F42F1C"/>
    <w:rsid w:val="00F43065"/>
    <w:rsid w:val="00F43B44"/>
    <w:rsid w:val="00F440E5"/>
    <w:rsid w:val="00F448F6"/>
    <w:rsid w:val="00F44C5A"/>
    <w:rsid w:val="00F44E00"/>
    <w:rsid w:val="00F44E70"/>
    <w:rsid w:val="00F44F26"/>
    <w:rsid w:val="00F4532A"/>
    <w:rsid w:val="00F4580E"/>
    <w:rsid w:val="00F45EC8"/>
    <w:rsid w:val="00F461E9"/>
    <w:rsid w:val="00F468ED"/>
    <w:rsid w:val="00F475FE"/>
    <w:rsid w:val="00F47E81"/>
    <w:rsid w:val="00F506C7"/>
    <w:rsid w:val="00F50E9F"/>
    <w:rsid w:val="00F521F1"/>
    <w:rsid w:val="00F52337"/>
    <w:rsid w:val="00F52741"/>
    <w:rsid w:val="00F528D2"/>
    <w:rsid w:val="00F537BD"/>
    <w:rsid w:val="00F53809"/>
    <w:rsid w:val="00F53880"/>
    <w:rsid w:val="00F53D8A"/>
    <w:rsid w:val="00F54F1F"/>
    <w:rsid w:val="00F54F35"/>
    <w:rsid w:val="00F550BD"/>
    <w:rsid w:val="00F5559B"/>
    <w:rsid w:val="00F555EE"/>
    <w:rsid w:val="00F55740"/>
    <w:rsid w:val="00F55AF9"/>
    <w:rsid w:val="00F56B44"/>
    <w:rsid w:val="00F56DBC"/>
    <w:rsid w:val="00F5750F"/>
    <w:rsid w:val="00F57571"/>
    <w:rsid w:val="00F578CC"/>
    <w:rsid w:val="00F57958"/>
    <w:rsid w:val="00F60135"/>
    <w:rsid w:val="00F60619"/>
    <w:rsid w:val="00F6067A"/>
    <w:rsid w:val="00F60BD1"/>
    <w:rsid w:val="00F6155D"/>
    <w:rsid w:val="00F61BDA"/>
    <w:rsid w:val="00F61F0D"/>
    <w:rsid w:val="00F626F7"/>
    <w:rsid w:val="00F63007"/>
    <w:rsid w:val="00F648E9"/>
    <w:rsid w:val="00F648F8"/>
    <w:rsid w:val="00F65278"/>
    <w:rsid w:val="00F65880"/>
    <w:rsid w:val="00F65CFD"/>
    <w:rsid w:val="00F6601F"/>
    <w:rsid w:val="00F6747F"/>
    <w:rsid w:val="00F67D45"/>
    <w:rsid w:val="00F70177"/>
    <w:rsid w:val="00F7068F"/>
    <w:rsid w:val="00F70972"/>
    <w:rsid w:val="00F7111D"/>
    <w:rsid w:val="00F7171B"/>
    <w:rsid w:val="00F71CF9"/>
    <w:rsid w:val="00F72361"/>
    <w:rsid w:val="00F72C87"/>
    <w:rsid w:val="00F736F9"/>
    <w:rsid w:val="00F73833"/>
    <w:rsid w:val="00F74A0E"/>
    <w:rsid w:val="00F758CE"/>
    <w:rsid w:val="00F75943"/>
    <w:rsid w:val="00F75FA1"/>
    <w:rsid w:val="00F76913"/>
    <w:rsid w:val="00F773ED"/>
    <w:rsid w:val="00F77576"/>
    <w:rsid w:val="00F779AF"/>
    <w:rsid w:val="00F77A4F"/>
    <w:rsid w:val="00F77C9C"/>
    <w:rsid w:val="00F80936"/>
    <w:rsid w:val="00F80BB9"/>
    <w:rsid w:val="00F81EF7"/>
    <w:rsid w:val="00F82328"/>
    <w:rsid w:val="00F828BA"/>
    <w:rsid w:val="00F82B7E"/>
    <w:rsid w:val="00F83A21"/>
    <w:rsid w:val="00F83EC6"/>
    <w:rsid w:val="00F84005"/>
    <w:rsid w:val="00F8432A"/>
    <w:rsid w:val="00F8461C"/>
    <w:rsid w:val="00F84DD8"/>
    <w:rsid w:val="00F85156"/>
    <w:rsid w:val="00F85BCD"/>
    <w:rsid w:val="00F85E2E"/>
    <w:rsid w:val="00F864A3"/>
    <w:rsid w:val="00F8719B"/>
    <w:rsid w:val="00F9040E"/>
    <w:rsid w:val="00F9052E"/>
    <w:rsid w:val="00F90634"/>
    <w:rsid w:val="00F90835"/>
    <w:rsid w:val="00F9112D"/>
    <w:rsid w:val="00F916D9"/>
    <w:rsid w:val="00F9211C"/>
    <w:rsid w:val="00F92963"/>
    <w:rsid w:val="00F93062"/>
    <w:rsid w:val="00F93AAB"/>
    <w:rsid w:val="00F94800"/>
    <w:rsid w:val="00F95709"/>
    <w:rsid w:val="00F96991"/>
    <w:rsid w:val="00F96D75"/>
    <w:rsid w:val="00F97229"/>
    <w:rsid w:val="00FA0619"/>
    <w:rsid w:val="00FA079E"/>
    <w:rsid w:val="00FA095D"/>
    <w:rsid w:val="00FA0EEB"/>
    <w:rsid w:val="00FA350D"/>
    <w:rsid w:val="00FA3A66"/>
    <w:rsid w:val="00FA3D1C"/>
    <w:rsid w:val="00FA4ACB"/>
    <w:rsid w:val="00FA5125"/>
    <w:rsid w:val="00FA67C6"/>
    <w:rsid w:val="00FA6C8B"/>
    <w:rsid w:val="00FA6CDA"/>
    <w:rsid w:val="00FA6F4D"/>
    <w:rsid w:val="00FA74B7"/>
    <w:rsid w:val="00FA7AD8"/>
    <w:rsid w:val="00FA7C89"/>
    <w:rsid w:val="00FB1130"/>
    <w:rsid w:val="00FB1135"/>
    <w:rsid w:val="00FB1153"/>
    <w:rsid w:val="00FB12F9"/>
    <w:rsid w:val="00FB1FA1"/>
    <w:rsid w:val="00FB2284"/>
    <w:rsid w:val="00FB2369"/>
    <w:rsid w:val="00FB32F5"/>
    <w:rsid w:val="00FB3E40"/>
    <w:rsid w:val="00FB4139"/>
    <w:rsid w:val="00FB476E"/>
    <w:rsid w:val="00FB4D16"/>
    <w:rsid w:val="00FB4DE2"/>
    <w:rsid w:val="00FB57AF"/>
    <w:rsid w:val="00FB595A"/>
    <w:rsid w:val="00FB6926"/>
    <w:rsid w:val="00FB6A67"/>
    <w:rsid w:val="00FB6F3A"/>
    <w:rsid w:val="00FB742A"/>
    <w:rsid w:val="00FB7AE5"/>
    <w:rsid w:val="00FB7F00"/>
    <w:rsid w:val="00FC0AD9"/>
    <w:rsid w:val="00FC0D90"/>
    <w:rsid w:val="00FC0DB8"/>
    <w:rsid w:val="00FC16FE"/>
    <w:rsid w:val="00FC1758"/>
    <w:rsid w:val="00FC22F4"/>
    <w:rsid w:val="00FC27C5"/>
    <w:rsid w:val="00FC2C01"/>
    <w:rsid w:val="00FC46C2"/>
    <w:rsid w:val="00FC494B"/>
    <w:rsid w:val="00FC4A7F"/>
    <w:rsid w:val="00FC4C1B"/>
    <w:rsid w:val="00FC4C2C"/>
    <w:rsid w:val="00FC4C31"/>
    <w:rsid w:val="00FC501E"/>
    <w:rsid w:val="00FC50E4"/>
    <w:rsid w:val="00FC52C6"/>
    <w:rsid w:val="00FC5394"/>
    <w:rsid w:val="00FC53F9"/>
    <w:rsid w:val="00FC5A01"/>
    <w:rsid w:val="00FC5D9F"/>
    <w:rsid w:val="00FC6F2E"/>
    <w:rsid w:val="00FC6F7E"/>
    <w:rsid w:val="00FC7D8C"/>
    <w:rsid w:val="00FD0542"/>
    <w:rsid w:val="00FD0CF9"/>
    <w:rsid w:val="00FD0FBA"/>
    <w:rsid w:val="00FD15B5"/>
    <w:rsid w:val="00FD15E9"/>
    <w:rsid w:val="00FD1C75"/>
    <w:rsid w:val="00FD2040"/>
    <w:rsid w:val="00FD2620"/>
    <w:rsid w:val="00FD3980"/>
    <w:rsid w:val="00FD40B4"/>
    <w:rsid w:val="00FD431E"/>
    <w:rsid w:val="00FD44BF"/>
    <w:rsid w:val="00FD4C32"/>
    <w:rsid w:val="00FD4EE6"/>
    <w:rsid w:val="00FD5234"/>
    <w:rsid w:val="00FD54F1"/>
    <w:rsid w:val="00FD58C7"/>
    <w:rsid w:val="00FD5A2C"/>
    <w:rsid w:val="00FD5C7D"/>
    <w:rsid w:val="00FD5C96"/>
    <w:rsid w:val="00FD6040"/>
    <w:rsid w:val="00FD62A2"/>
    <w:rsid w:val="00FD64D7"/>
    <w:rsid w:val="00FD730E"/>
    <w:rsid w:val="00FD73AF"/>
    <w:rsid w:val="00FD7861"/>
    <w:rsid w:val="00FD7920"/>
    <w:rsid w:val="00FD7C31"/>
    <w:rsid w:val="00FE0D47"/>
    <w:rsid w:val="00FE1D5C"/>
    <w:rsid w:val="00FE20C8"/>
    <w:rsid w:val="00FE2B34"/>
    <w:rsid w:val="00FE2D52"/>
    <w:rsid w:val="00FE2F8B"/>
    <w:rsid w:val="00FE3669"/>
    <w:rsid w:val="00FE3AB5"/>
    <w:rsid w:val="00FE4468"/>
    <w:rsid w:val="00FE455C"/>
    <w:rsid w:val="00FE47A7"/>
    <w:rsid w:val="00FE493F"/>
    <w:rsid w:val="00FE4FD8"/>
    <w:rsid w:val="00FE517B"/>
    <w:rsid w:val="00FE5204"/>
    <w:rsid w:val="00FE5DE9"/>
    <w:rsid w:val="00FE6EF6"/>
    <w:rsid w:val="00FE7CD3"/>
    <w:rsid w:val="00FF03A6"/>
    <w:rsid w:val="00FF10E6"/>
    <w:rsid w:val="00FF1198"/>
    <w:rsid w:val="00FF1E44"/>
    <w:rsid w:val="00FF21E6"/>
    <w:rsid w:val="00FF27A3"/>
    <w:rsid w:val="00FF287F"/>
    <w:rsid w:val="00FF2C6D"/>
    <w:rsid w:val="00FF3651"/>
    <w:rsid w:val="00FF37DC"/>
    <w:rsid w:val="00FF3CB4"/>
    <w:rsid w:val="00FF499C"/>
    <w:rsid w:val="00FF4CE1"/>
    <w:rsid w:val="00FF5465"/>
    <w:rsid w:val="00FF5808"/>
    <w:rsid w:val="00FF642A"/>
    <w:rsid w:val="00FF6574"/>
    <w:rsid w:val="00FF67A9"/>
    <w:rsid w:val="00FF6958"/>
    <w:rsid w:val="00FF6C4C"/>
    <w:rsid w:val="00FF6E99"/>
    <w:rsid w:val="00FF74A8"/>
    <w:rsid w:val="00FF7873"/>
    <w:rsid w:val="00FF7DA5"/>
    <w:rsid w:val="030F3267"/>
    <w:rsid w:val="09DFB2B9"/>
    <w:rsid w:val="0AB26E0D"/>
    <w:rsid w:val="0B660E35"/>
    <w:rsid w:val="0B92D65D"/>
    <w:rsid w:val="0B962AE2"/>
    <w:rsid w:val="0D0D50C3"/>
    <w:rsid w:val="0D54DA37"/>
    <w:rsid w:val="0EC19762"/>
    <w:rsid w:val="106BC097"/>
    <w:rsid w:val="11BBAD3A"/>
    <w:rsid w:val="12FB7A4B"/>
    <w:rsid w:val="155AB4B9"/>
    <w:rsid w:val="16A321C4"/>
    <w:rsid w:val="17E20DDE"/>
    <w:rsid w:val="18284236"/>
    <w:rsid w:val="19F8A062"/>
    <w:rsid w:val="1AA3960E"/>
    <w:rsid w:val="1AE6FDBC"/>
    <w:rsid w:val="1B91E55D"/>
    <w:rsid w:val="1CC1E1D2"/>
    <w:rsid w:val="1D4E57F8"/>
    <w:rsid w:val="1E4DD283"/>
    <w:rsid w:val="1F1BBE28"/>
    <w:rsid w:val="1FB62B7F"/>
    <w:rsid w:val="218BCA65"/>
    <w:rsid w:val="2309AC90"/>
    <w:rsid w:val="234F4458"/>
    <w:rsid w:val="24AC3F25"/>
    <w:rsid w:val="25A19CF7"/>
    <w:rsid w:val="26430BE3"/>
    <w:rsid w:val="264CA0B2"/>
    <w:rsid w:val="2714BE94"/>
    <w:rsid w:val="2954280A"/>
    <w:rsid w:val="29A58481"/>
    <w:rsid w:val="2A00FC19"/>
    <w:rsid w:val="2DB8DF56"/>
    <w:rsid w:val="2DC87D96"/>
    <w:rsid w:val="2EE043C5"/>
    <w:rsid w:val="2FE21756"/>
    <w:rsid w:val="336BD28E"/>
    <w:rsid w:val="3A30A0FC"/>
    <w:rsid w:val="3A4CB9E0"/>
    <w:rsid w:val="417C0F23"/>
    <w:rsid w:val="43D0A10F"/>
    <w:rsid w:val="44755D96"/>
    <w:rsid w:val="46C209FD"/>
    <w:rsid w:val="474CE408"/>
    <w:rsid w:val="4BA13D5E"/>
    <w:rsid w:val="4F832905"/>
    <w:rsid w:val="53A65DD1"/>
    <w:rsid w:val="54679C45"/>
    <w:rsid w:val="546F10B9"/>
    <w:rsid w:val="55EA000E"/>
    <w:rsid w:val="56B2E306"/>
    <w:rsid w:val="57F0979E"/>
    <w:rsid w:val="5984799F"/>
    <w:rsid w:val="5B9D268D"/>
    <w:rsid w:val="5BA1DC4F"/>
    <w:rsid w:val="60F24F58"/>
    <w:rsid w:val="621A9677"/>
    <w:rsid w:val="67F64C8F"/>
    <w:rsid w:val="69541F49"/>
    <w:rsid w:val="6A36237C"/>
    <w:rsid w:val="6AC9763B"/>
    <w:rsid w:val="6B08FC2A"/>
    <w:rsid w:val="6B27F3D0"/>
    <w:rsid w:val="6B7D1B7F"/>
    <w:rsid w:val="6B8EE2ED"/>
    <w:rsid w:val="6D3414DC"/>
    <w:rsid w:val="6EC2E105"/>
    <w:rsid w:val="70435E37"/>
    <w:rsid w:val="70C42331"/>
    <w:rsid w:val="71466AD9"/>
    <w:rsid w:val="73269AA3"/>
    <w:rsid w:val="777A3A10"/>
    <w:rsid w:val="7780F65B"/>
    <w:rsid w:val="77932B40"/>
    <w:rsid w:val="789D8804"/>
    <w:rsid w:val="7B0C27DC"/>
    <w:rsid w:val="7B6B99E4"/>
    <w:rsid w:val="7B96E9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AF29E"/>
  <w15:docId w15:val="{C2FEDD48-8BD3-425A-B5A8-09DBE04F1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basedOn w:val="Heading1"/>
    <w:next w:val="Normal"/>
    <w:link w:val="Heading2Char"/>
    <w:uiPriority w:val="9"/>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uiPriority w:val="9"/>
    <w:qFormat/>
    <w:rsid w:val="00B37866"/>
    <w:pPr>
      <w:tabs>
        <w:tab w:val="clear" w:pos="794"/>
        <w:tab w:val="left" w:pos="992"/>
      </w:tabs>
      <w:ind w:left="992" w:hanging="992"/>
      <w:outlineLvl w:val="3"/>
    </w:pPr>
  </w:style>
  <w:style w:type="paragraph" w:styleId="Heading5">
    <w:name w:val="heading 5"/>
    <w:basedOn w:val="Heading4"/>
    <w:next w:val="Normal"/>
    <w:link w:val="Heading5Char"/>
    <w:uiPriority w:val="9"/>
    <w:qFormat/>
    <w:rsid w:val="00B37866"/>
    <w:pPr>
      <w:outlineLvl w:val="4"/>
    </w:pPr>
  </w:style>
  <w:style w:type="paragraph" w:styleId="Heading6">
    <w:name w:val="heading 6"/>
    <w:basedOn w:val="Heading4"/>
    <w:next w:val="Normal"/>
    <w:link w:val="Heading6Char"/>
    <w:uiPriority w:val="9"/>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
    <w:qFormat/>
    <w:rsid w:val="00B37866"/>
    <w:pPr>
      <w:outlineLvl w:val="6"/>
    </w:pPr>
  </w:style>
  <w:style w:type="paragraph" w:styleId="Heading8">
    <w:name w:val="heading 8"/>
    <w:basedOn w:val="Heading6"/>
    <w:next w:val="Normal"/>
    <w:link w:val="Heading8Char"/>
    <w:uiPriority w:val="9"/>
    <w:qFormat/>
    <w:rsid w:val="00B37866"/>
    <w:pPr>
      <w:outlineLvl w:val="7"/>
    </w:pPr>
  </w:style>
  <w:style w:type="paragraph" w:styleId="Heading9">
    <w:name w:val="heading 9"/>
    <w:basedOn w:val="Heading6"/>
    <w:next w:val="Normal"/>
    <w:link w:val="Heading9Char"/>
    <w:uiPriority w:val="9"/>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B37866"/>
    <w:pPr>
      <w:ind w:left="1680"/>
    </w:pPr>
    <w:rPr>
      <w:i/>
      <w:iCs/>
    </w:rPr>
  </w:style>
  <w:style w:type="paragraph" w:styleId="TOC4">
    <w:name w:val="toc 4"/>
    <w:basedOn w:val="TOC3"/>
    <w:semiHidden/>
    <w:rsid w:val="00B37866"/>
    <w:pPr>
      <w:ind w:left="720"/>
    </w:pPr>
    <w:rPr>
      <w:b/>
      <w:bCs/>
    </w:rPr>
  </w:style>
  <w:style w:type="paragraph" w:styleId="TOC3">
    <w:name w:val="toc 3"/>
    <w:basedOn w:val="TOC2"/>
    <w:rsid w:val="00B37866"/>
    <w:pPr>
      <w:spacing w:before="0"/>
      <w:ind w:left="480"/>
    </w:pPr>
    <w:rPr>
      <w:i w:val="0"/>
      <w:iCs w:val="0"/>
    </w:rPr>
  </w:style>
  <w:style w:type="paragraph" w:styleId="TOC2">
    <w:name w:val="toc 2"/>
    <w:basedOn w:val="TOC1"/>
    <w:uiPriority w:val="39"/>
    <w:rsid w:val="00B37866"/>
    <w:pPr>
      <w:spacing w:before="120" w:after="0"/>
      <w:ind w:left="240"/>
    </w:pPr>
    <w:rPr>
      <w:b w:val="0"/>
      <w:bCs w:val="0"/>
      <w:i/>
      <w:iCs/>
    </w:rPr>
  </w:style>
  <w:style w:type="paragraph" w:styleId="TOC1">
    <w:name w:val="toc 1"/>
    <w:basedOn w:val="Normal"/>
    <w:uiPriority w:val="39"/>
    <w:rsid w:val="00B37866"/>
    <w:pPr>
      <w:tabs>
        <w:tab w:val="clear" w:pos="794"/>
        <w:tab w:val="clear" w:pos="1191"/>
        <w:tab w:val="clear" w:pos="1588"/>
        <w:tab w:val="clear" w:pos="1985"/>
      </w:tabs>
      <w:spacing w:before="240" w:after="120"/>
    </w:pPr>
    <w:rPr>
      <w:rFonts w:cstheme="minorHAnsi"/>
      <w:b/>
      <w:bCs/>
      <w:sz w:val="20"/>
    </w:rPr>
  </w:style>
  <w:style w:type="paragraph" w:styleId="TOC7">
    <w:name w:val="toc 7"/>
    <w:basedOn w:val="TOC4"/>
    <w:semiHidden/>
    <w:rsid w:val="00B37866"/>
    <w:pPr>
      <w:ind w:left="1440"/>
    </w:pPr>
    <w:rPr>
      <w:b w:val="0"/>
      <w:bCs w:val="0"/>
    </w:rPr>
  </w:style>
  <w:style w:type="paragraph" w:styleId="TOC6">
    <w:name w:val="toc 6"/>
    <w:basedOn w:val="TOC4"/>
    <w:semiHidden/>
    <w:rsid w:val="00B37866"/>
    <w:pPr>
      <w:ind w:left="1200"/>
    </w:pPr>
    <w:rPr>
      <w:b w:val="0"/>
      <w:bCs w:val="0"/>
    </w:rPr>
  </w:style>
  <w:style w:type="paragraph" w:styleId="TOC5">
    <w:name w:val="toc 5"/>
    <w:basedOn w:val="TOC4"/>
    <w:semiHidden/>
    <w:rsid w:val="00B37866"/>
    <w:pPr>
      <w:ind w:left="960"/>
    </w:pPr>
    <w:rPr>
      <w:b w:val="0"/>
      <w:bCs w:val="0"/>
    </w:rPr>
  </w:style>
  <w:style w:type="paragraph" w:styleId="Index7">
    <w:name w:val="index 7"/>
    <w:basedOn w:val="Normal"/>
    <w:next w:val="Normal"/>
    <w:semiHidden/>
    <w:rsid w:val="00B37866"/>
    <w:pPr>
      <w:ind w:left="1698"/>
    </w:pPr>
  </w:style>
  <w:style w:type="paragraph" w:styleId="Index6">
    <w:name w:val="index 6"/>
    <w:basedOn w:val="Normal"/>
    <w:next w:val="Normal"/>
    <w:semiHidden/>
    <w:rsid w:val="00B37866"/>
    <w:pPr>
      <w:ind w:left="1415"/>
    </w:pPr>
  </w:style>
  <w:style w:type="paragraph" w:styleId="Index5">
    <w:name w:val="index 5"/>
    <w:basedOn w:val="Normal"/>
    <w:next w:val="Normal"/>
    <w:semiHidden/>
    <w:rsid w:val="00B37866"/>
    <w:pPr>
      <w:ind w:left="1132"/>
    </w:pPr>
  </w:style>
  <w:style w:type="paragraph" w:styleId="Index4">
    <w:name w:val="index 4"/>
    <w:basedOn w:val="Normal"/>
    <w:next w:val="Normal"/>
    <w:semiHidden/>
    <w:rsid w:val="00B37866"/>
    <w:pPr>
      <w:ind w:left="849"/>
    </w:pPr>
  </w:style>
  <w:style w:type="paragraph" w:styleId="Index3">
    <w:name w:val="index 3"/>
    <w:basedOn w:val="Normal"/>
    <w:next w:val="Normal"/>
    <w:semiHidden/>
    <w:rsid w:val="00B37866"/>
    <w:pPr>
      <w:ind w:left="566"/>
    </w:pPr>
  </w:style>
  <w:style w:type="paragraph" w:styleId="Index2">
    <w:name w:val="index 2"/>
    <w:basedOn w:val="Normal"/>
    <w:next w:val="Normal"/>
    <w:semiHidden/>
    <w:rsid w:val="00B37866"/>
    <w:pPr>
      <w:ind w:left="283"/>
    </w:pPr>
  </w:style>
  <w:style w:type="paragraph" w:styleId="Index1">
    <w:name w:val="index 1"/>
    <w:basedOn w:val="Normal"/>
    <w:next w:val="Normal"/>
    <w:semiHidden/>
    <w:rsid w:val="00B37866"/>
  </w:style>
  <w:style w:type="character" w:styleId="LineNumber">
    <w:name w:val="line number"/>
    <w:basedOn w:val="DefaultParagraphFont"/>
    <w:rsid w:val="00B37866"/>
  </w:style>
  <w:style w:type="paragraph" w:styleId="IndexHeading">
    <w:name w:val="index heading"/>
    <w:basedOn w:val="Normal"/>
    <w:next w:val="Index1"/>
    <w:semiHidden/>
    <w:rsid w:val="00B37866"/>
  </w:style>
  <w:style w:type="paragraph" w:styleId="Footer">
    <w:name w:val="footer"/>
    <w:basedOn w:val="Normal"/>
    <w:link w:val="FooterChar"/>
    <w:uiPriority w:val="99"/>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link w:val="HeaderChar"/>
    <w:uiPriority w:val="99"/>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uiPriority w:val="99"/>
    <w:rsid w:val="006A4882"/>
    <w:rPr>
      <w:rFonts w:ascii="Aptos" w:hAnsi="Aptos"/>
      <w:position w:val="6"/>
      <w:sz w:val="16"/>
    </w:rPr>
  </w:style>
  <w:style w:type="paragraph" w:styleId="FootnoteText">
    <w:name w:val="footnote text"/>
    <w:basedOn w:val="Normal"/>
    <w:link w:val="FootnoteTextChar"/>
    <w:uiPriority w:val="99"/>
    <w:rsid w:val="00391B26"/>
    <w:pPr>
      <w:keepLines/>
      <w:tabs>
        <w:tab w:val="left" w:pos="255"/>
      </w:tabs>
      <w:spacing w:before="0"/>
    </w:pPr>
    <w:rPr>
      <w:rFonts w:ascii="Aptos" w:hAnsi="Aptos"/>
      <w:sz w:val="20"/>
    </w:rPr>
  </w:style>
  <w:style w:type="paragraph" w:styleId="NormalIndent">
    <w:name w:val="Normal Indent"/>
    <w:basedOn w:val="Normal"/>
    <w:rsid w:val="00B37866"/>
    <w:pPr>
      <w:ind w:left="794"/>
    </w:pPr>
  </w:style>
  <w:style w:type="paragraph" w:customStyle="1" w:styleId="enumlev1">
    <w:name w:val="enumlev1"/>
    <w:basedOn w:val="Normal"/>
    <w:rsid w:val="00B37866"/>
    <w:pPr>
      <w:spacing w:before="80"/>
      <w:ind w:left="794" w:hanging="794"/>
    </w:pPr>
  </w:style>
  <w:style w:type="paragraph" w:customStyle="1" w:styleId="enumlev2">
    <w:name w:val="enumlev2"/>
    <w:basedOn w:val="enumlev1"/>
    <w:rsid w:val="00B37866"/>
    <w:pPr>
      <w:ind w:left="1191" w:hanging="397"/>
    </w:pPr>
  </w:style>
  <w:style w:type="paragraph" w:customStyle="1" w:styleId="enumlev3">
    <w:name w:val="enumlev3"/>
    <w:basedOn w:val="enumlev2"/>
    <w:rsid w:val="00B37866"/>
    <w:pPr>
      <w:ind w:left="1588"/>
    </w:pPr>
  </w:style>
  <w:style w:type="paragraph" w:customStyle="1" w:styleId="Normalaftertitle">
    <w:name w:val="Normal after title"/>
    <w:basedOn w:val="Normal"/>
    <w:next w:val="Normal"/>
    <w:rsid w:val="00B37866"/>
    <w:pPr>
      <w:spacing w:before="280"/>
    </w:pPr>
  </w:style>
  <w:style w:type="paragraph" w:customStyle="1" w:styleId="Equation">
    <w:name w:val="Equation"/>
    <w:basedOn w:val="Normal"/>
    <w:rsid w:val="00B37866"/>
    <w:pPr>
      <w:tabs>
        <w:tab w:val="clear" w:pos="1191"/>
        <w:tab w:val="clear" w:pos="1588"/>
        <w:tab w:val="clear" w:pos="1985"/>
        <w:tab w:val="center" w:pos="4820"/>
        <w:tab w:val="right" w:pos="9639"/>
      </w:tabs>
    </w:pPr>
  </w:style>
  <w:style w:type="paragraph" w:customStyle="1" w:styleId="toc0">
    <w:name w:val="toc 0"/>
    <w:basedOn w:val="Normal"/>
    <w:next w:val="TOC1"/>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rsid w:val="00B37866"/>
    <w:pPr>
      <w:keepNext/>
      <w:keepLines/>
      <w:spacing w:before="480" w:after="80"/>
      <w:jc w:val="center"/>
    </w:pPr>
    <w:rPr>
      <w:caps/>
      <w:sz w:val="28"/>
    </w:rPr>
  </w:style>
  <w:style w:type="paragraph" w:customStyle="1" w:styleId="ASN1">
    <w:name w:val="ASN.1"/>
    <w:basedOn w:val="Normal"/>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rsid w:val="00B37866"/>
    <w:pPr>
      <w:spacing w:before="80"/>
    </w:pPr>
  </w:style>
  <w:style w:type="paragraph" w:styleId="TOC9">
    <w:name w:val="toc 9"/>
    <w:basedOn w:val="TOC3"/>
    <w:next w:val="Normal"/>
    <w:semiHidden/>
    <w:rsid w:val="00B37866"/>
    <w:pPr>
      <w:ind w:left="1920"/>
    </w:pPr>
  </w:style>
  <w:style w:type="paragraph" w:customStyle="1" w:styleId="Source">
    <w:name w:val="Source"/>
    <w:basedOn w:val="Normal"/>
    <w:next w:val="Normalaftertitle"/>
    <w:rsid w:val="00EC6FED"/>
    <w:pPr>
      <w:spacing w:before="240" w:after="240"/>
      <w:jc w:val="center"/>
    </w:pPr>
    <w:rPr>
      <w:b/>
      <w:sz w:val="28"/>
    </w:rPr>
  </w:style>
  <w:style w:type="paragraph" w:customStyle="1" w:styleId="Title1">
    <w:name w:val="Title 1"/>
    <w:basedOn w:val="Source"/>
    <w:next w:val="Title2"/>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rsid w:val="00B37866"/>
  </w:style>
  <w:style w:type="paragraph" w:customStyle="1" w:styleId="Title3">
    <w:name w:val="Title 3"/>
    <w:basedOn w:val="Title2"/>
    <w:next w:val="Title4"/>
    <w:rsid w:val="00B37866"/>
  </w:style>
  <w:style w:type="paragraph" w:customStyle="1" w:styleId="Title4">
    <w:name w:val="Title 4"/>
    <w:basedOn w:val="Title3"/>
    <w:next w:val="Heading1"/>
    <w:rsid w:val="00B37866"/>
  </w:style>
  <w:style w:type="paragraph" w:customStyle="1" w:styleId="FirstFooter">
    <w:name w:val="FirstFooter"/>
    <w:basedOn w:val="Footer"/>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rsid w:val="00B37866"/>
    <w:pPr>
      <w:keepNext/>
      <w:keepLines/>
      <w:spacing w:after="280"/>
      <w:jc w:val="center"/>
    </w:pPr>
  </w:style>
  <w:style w:type="paragraph" w:customStyle="1" w:styleId="Annextitle">
    <w:name w:val="Annex_title"/>
    <w:basedOn w:val="Normal"/>
    <w:next w:val="Normalaftertitle"/>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rsid w:val="00F52741"/>
    <w:rPr>
      <w:rFonts w:asciiTheme="minorHAnsi" w:hAnsiTheme="minorHAnsi"/>
    </w:rPr>
  </w:style>
  <w:style w:type="paragraph" w:customStyle="1" w:styleId="AppendixNo">
    <w:name w:val="Appendix_No"/>
    <w:basedOn w:val="AnnexNo"/>
    <w:next w:val="Annexref"/>
    <w:rsid w:val="00B37866"/>
  </w:style>
  <w:style w:type="paragraph" w:customStyle="1" w:styleId="Appendixref">
    <w:name w:val="Appendix_ref"/>
    <w:basedOn w:val="Annexref"/>
    <w:next w:val="Annextitle"/>
    <w:rsid w:val="00B37866"/>
  </w:style>
  <w:style w:type="paragraph" w:customStyle="1" w:styleId="Appendixtitle">
    <w:name w:val="Appendix_title"/>
    <w:basedOn w:val="Annextitle"/>
    <w:next w:val="Normalaftertitle"/>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rsid w:val="00F52741"/>
    <w:pPr>
      <w:spacing w:before="480"/>
      <w:jc w:val="center"/>
    </w:pPr>
    <w:rPr>
      <w:b/>
      <w:sz w:val="28"/>
    </w:rPr>
  </w:style>
  <w:style w:type="paragraph" w:customStyle="1" w:styleId="ArtNo">
    <w:name w:val="Art_No"/>
    <w:basedOn w:val="Normal"/>
    <w:next w:val="Arttitle"/>
    <w:rsid w:val="00B37866"/>
    <w:pPr>
      <w:keepNext/>
      <w:keepLines/>
      <w:spacing w:before="480"/>
      <w:jc w:val="center"/>
    </w:pPr>
    <w:rPr>
      <w:caps/>
      <w:sz w:val="28"/>
    </w:rPr>
  </w:style>
  <w:style w:type="paragraph" w:customStyle="1" w:styleId="Arttitle">
    <w:name w:val="Art_title"/>
    <w:basedOn w:val="Normal"/>
    <w:next w:val="Normalaftertitle"/>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rsid w:val="00B37866"/>
    <w:pPr>
      <w:keepNext/>
      <w:keepLines/>
      <w:spacing w:before="160"/>
      <w:ind w:left="794"/>
    </w:pPr>
    <w:rPr>
      <w:i/>
    </w:rPr>
  </w:style>
  <w:style w:type="paragraph" w:customStyle="1" w:styleId="ChapNo">
    <w:name w:val="Chap_No"/>
    <w:basedOn w:val="ArtNo"/>
    <w:next w:val="Chaptitle"/>
    <w:rsid w:val="00F52741"/>
    <w:rPr>
      <w:b/>
    </w:rPr>
  </w:style>
  <w:style w:type="paragraph" w:customStyle="1" w:styleId="Chaptitle">
    <w:name w:val="Chap_title"/>
    <w:basedOn w:val="Arttitle"/>
    <w:next w:val="Normalaftertitle"/>
    <w:rsid w:val="00B37866"/>
  </w:style>
  <w:style w:type="paragraph" w:customStyle="1" w:styleId="ddate">
    <w:name w:val="ddate"/>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uiPriority w:val="99"/>
    <w:semiHidden/>
    <w:rsid w:val="00B37866"/>
    <w:rPr>
      <w:vertAlign w:val="superscript"/>
    </w:rPr>
  </w:style>
  <w:style w:type="paragraph" w:customStyle="1" w:styleId="Equationlegend">
    <w:name w:val="Equation_legend"/>
    <w:basedOn w:val="Normal"/>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37866"/>
    <w:pPr>
      <w:keepNext/>
      <w:keepLines/>
      <w:spacing w:before="480" w:after="120"/>
      <w:jc w:val="center"/>
    </w:pPr>
    <w:rPr>
      <w:caps/>
    </w:rPr>
  </w:style>
  <w:style w:type="paragraph" w:customStyle="1" w:styleId="Figuretitle">
    <w:name w:val="Figure_title"/>
    <w:basedOn w:val="Tabletitle"/>
    <w:next w:val="Normal"/>
    <w:rsid w:val="00F52741"/>
    <w:pPr>
      <w:keepNext w:val="0"/>
      <w:spacing w:after="480"/>
    </w:pPr>
  </w:style>
  <w:style w:type="paragraph" w:customStyle="1" w:styleId="Tabletitle">
    <w:name w:val="Table_title"/>
    <w:basedOn w:val="Normal"/>
    <w:next w:val="Tabletext"/>
    <w:rsid w:val="00F52741"/>
    <w:pPr>
      <w:keepNext/>
      <w:keepLines/>
      <w:spacing w:before="0" w:after="120"/>
      <w:jc w:val="center"/>
    </w:pPr>
    <w:rPr>
      <w:b/>
    </w:rPr>
  </w:style>
  <w:style w:type="paragraph" w:customStyle="1" w:styleId="Tabletext">
    <w:name w:val="Table_text"/>
    <w:basedOn w:val="Normal"/>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B37866"/>
    <w:pPr>
      <w:keepNext w:val="0"/>
    </w:pPr>
  </w:style>
  <w:style w:type="paragraph" w:customStyle="1" w:styleId="Headingb">
    <w:name w:val="Heading_b"/>
    <w:basedOn w:val="Normal"/>
    <w:next w:val="Normal"/>
    <w:rsid w:val="00F52741"/>
    <w:pPr>
      <w:keepNext/>
      <w:spacing w:before="160"/>
    </w:pPr>
    <w:rPr>
      <w:b/>
    </w:rPr>
  </w:style>
  <w:style w:type="paragraph" w:customStyle="1" w:styleId="Headingi">
    <w:name w:val="Heading_i"/>
    <w:basedOn w:val="Normal"/>
    <w:next w:val="Normal"/>
    <w:rsid w:val="00F52741"/>
    <w:pPr>
      <w:keepNext/>
      <w:spacing w:before="160"/>
    </w:pPr>
    <w:rPr>
      <w:i/>
    </w:rPr>
  </w:style>
  <w:style w:type="paragraph" w:customStyle="1" w:styleId="PartNo">
    <w:name w:val="Part_No"/>
    <w:basedOn w:val="AnnexNo"/>
    <w:next w:val="Partref"/>
    <w:rsid w:val="00B37866"/>
  </w:style>
  <w:style w:type="paragraph" w:customStyle="1" w:styleId="Partref">
    <w:name w:val="Part_ref"/>
    <w:basedOn w:val="Annexref"/>
    <w:next w:val="Parttitle"/>
    <w:rsid w:val="00B37866"/>
  </w:style>
  <w:style w:type="paragraph" w:customStyle="1" w:styleId="Parttitle">
    <w:name w:val="Part_title"/>
    <w:basedOn w:val="Annextitle"/>
    <w:next w:val="Normalaftertitle"/>
    <w:rsid w:val="00B37866"/>
  </w:style>
  <w:style w:type="paragraph" w:customStyle="1" w:styleId="RecNo">
    <w:name w:val="Rec_No"/>
    <w:basedOn w:val="Normal"/>
    <w:next w:val="Rectitle"/>
    <w:rsid w:val="00B37866"/>
    <w:pPr>
      <w:keepNext/>
      <w:keepLines/>
      <w:spacing w:before="480"/>
      <w:jc w:val="center"/>
    </w:pPr>
    <w:rPr>
      <w:caps/>
      <w:sz w:val="28"/>
    </w:rPr>
  </w:style>
  <w:style w:type="paragraph" w:customStyle="1" w:styleId="Rectitle">
    <w:name w:val="Rec_title"/>
    <w:basedOn w:val="RecNo"/>
    <w:next w:val="Recref"/>
    <w:rsid w:val="00F52741"/>
    <w:pPr>
      <w:spacing w:before="240"/>
    </w:pPr>
    <w:rPr>
      <w:b/>
      <w:caps w:val="0"/>
    </w:rPr>
  </w:style>
  <w:style w:type="paragraph" w:customStyle="1" w:styleId="Recref">
    <w:name w:val="Rec_ref"/>
    <w:basedOn w:val="Rectitle"/>
    <w:next w:val="Recdate"/>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rsid w:val="00B37866"/>
    <w:pPr>
      <w:jc w:val="right"/>
    </w:pPr>
    <w:rPr>
      <w:sz w:val="22"/>
    </w:rPr>
  </w:style>
  <w:style w:type="paragraph" w:customStyle="1" w:styleId="Questiondate">
    <w:name w:val="Question_date"/>
    <w:basedOn w:val="Recdate"/>
    <w:next w:val="Normalaftertitle"/>
    <w:rsid w:val="00F52741"/>
  </w:style>
  <w:style w:type="paragraph" w:customStyle="1" w:styleId="QuestionNo">
    <w:name w:val="Question_No"/>
    <w:basedOn w:val="RecNo"/>
    <w:next w:val="Questiontitle"/>
    <w:rsid w:val="00B37866"/>
  </w:style>
  <w:style w:type="paragraph" w:customStyle="1" w:styleId="Questiontitle">
    <w:name w:val="Question_title"/>
    <w:basedOn w:val="Rectitle"/>
    <w:next w:val="Questionref"/>
    <w:rsid w:val="00F52741"/>
  </w:style>
  <w:style w:type="paragraph" w:customStyle="1" w:styleId="Questionref">
    <w:name w:val="Question_ref"/>
    <w:basedOn w:val="Recref"/>
    <w:next w:val="Questiondate"/>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rsid w:val="00B37866"/>
    <w:pPr>
      <w:ind w:left="794" w:hanging="794"/>
    </w:pPr>
  </w:style>
  <w:style w:type="paragraph" w:customStyle="1" w:styleId="Reftitle">
    <w:name w:val="Ref_title"/>
    <w:basedOn w:val="Normal"/>
    <w:next w:val="Reftext"/>
    <w:rsid w:val="00B37866"/>
    <w:pPr>
      <w:spacing w:before="480"/>
      <w:jc w:val="center"/>
    </w:pPr>
    <w:rPr>
      <w:caps/>
    </w:rPr>
  </w:style>
  <w:style w:type="paragraph" w:customStyle="1" w:styleId="Repdate">
    <w:name w:val="Rep_date"/>
    <w:basedOn w:val="Recdate"/>
    <w:next w:val="Normalaftertitle"/>
    <w:rsid w:val="00B37866"/>
  </w:style>
  <w:style w:type="paragraph" w:customStyle="1" w:styleId="RepNo">
    <w:name w:val="Rep_No"/>
    <w:basedOn w:val="RecNo"/>
    <w:next w:val="Reptitle"/>
    <w:rsid w:val="00B37866"/>
  </w:style>
  <w:style w:type="paragraph" w:customStyle="1" w:styleId="Reptitle">
    <w:name w:val="Rep_title"/>
    <w:basedOn w:val="Rectitle"/>
    <w:next w:val="Repref"/>
    <w:rsid w:val="00B37866"/>
  </w:style>
  <w:style w:type="paragraph" w:customStyle="1" w:styleId="Repref">
    <w:name w:val="Rep_ref"/>
    <w:basedOn w:val="Recref"/>
    <w:next w:val="Repdate"/>
    <w:rsid w:val="00B37866"/>
  </w:style>
  <w:style w:type="paragraph" w:customStyle="1" w:styleId="Resdate">
    <w:name w:val="Res_date"/>
    <w:basedOn w:val="Recdate"/>
    <w:next w:val="Normalaftertitle"/>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rsid w:val="00B37866"/>
  </w:style>
  <w:style w:type="paragraph" w:customStyle="1" w:styleId="Restitle">
    <w:name w:val="Res_title"/>
    <w:basedOn w:val="Rectitle"/>
    <w:next w:val="Resref"/>
    <w:rsid w:val="00B37866"/>
  </w:style>
  <w:style w:type="paragraph" w:customStyle="1" w:styleId="Resref">
    <w:name w:val="Res_ref"/>
    <w:basedOn w:val="Recref"/>
    <w:next w:val="Resdate"/>
    <w:rsid w:val="00B37866"/>
  </w:style>
  <w:style w:type="paragraph" w:customStyle="1" w:styleId="SectionNo">
    <w:name w:val="Section_No"/>
    <w:basedOn w:val="AnnexNo"/>
    <w:next w:val="Sectiontitle"/>
    <w:rsid w:val="00B37866"/>
  </w:style>
  <w:style w:type="paragraph" w:customStyle="1" w:styleId="Sectiontitle">
    <w:name w:val="Section_title"/>
    <w:basedOn w:val="Annextitle"/>
    <w:next w:val="Normalaftertitle"/>
    <w:rsid w:val="00B37866"/>
  </w:style>
  <w:style w:type="paragraph" w:customStyle="1" w:styleId="SpecialFooter">
    <w:name w:val="Special Footer"/>
    <w:basedOn w:val="Footer"/>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rsid w:val="00B37866"/>
    <w:pPr>
      <w:keepNext/>
      <w:spacing w:before="80" w:after="80"/>
      <w:jc w:val="center"/>
    </w:pPr>
    <w:rPr>
      <w:b/>
    </w:rPr>
  </w:style>
  <w:style w:type="paragraph" w:customStyle="1" w:styleId="Tablelegend">
    <w:name w:val="Table_legend"/>
    <w:basedOn w:val="Tabletext"/>
    <w:rsid w:val="00B37866"/>
    <w:pPr>
      <w:spacing w:before="120"/>
    </w:pPr>
  </w:style>
  <w:style w:type="paragraph" w:customStyle="1" w:styleId="TableNo">
    <w:name w:val="Table_No"/>
    <w:basedOn w:val="Normal"/>
    <w:next w:val="Tabletitle"/>
    <w:rsid w:val="00B37866"/>
    <w:pPr>
      <w:keepNext/>
      <w:spacing w:before="560" w:after="120"/>
      <w:jc w:val="center"/>
    </w:pPr>
    <w:rPr>
      <w:caps/>
    </w:rPr>
  </w:style>
  <w:style w:type="paragraph" w:customStyle="1" w:styleId="Tableref">
    <w:name w:val="Table_ref"/>
    <w:basedOn w:val="Normal"/>
    <w:next w:val="Tabletitle"/>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basedOn w:val="DefaultParagraphFont"/>
    <w:link w:val="Header"/>
    <w:uiPriority w:val="99"/>
    <w:rsid w:val="00005791"/>
    <w:rPr>
      <w:rFonts w:ascii="Times New Roman" w:hAnsi="Times New Roman"/>
      <w:sz w:val="18"/>
      <w:lang w:val="fr-FR" w:eastAsia="en-US"/>
    </w:rPr>
  </w:style>
  <w:style w:type="character" w:customStyle="1" w:styleId="FooterChar">
    <w:name w:val="Footer Char"/>
    <w:basedOn w:val="DefaultParagraphFont"/>
    <w:link w:val="Footer"/>
    <w:uiPriority w:val="99"/>
    <w:rsid w:val="0056423B"/>
    <w:rPr>
      <w:rFonts w:ascii="Times New Roman" w:hAnsi="Times New Roman"/>
      <w:caps/>
      <w:noProof/>
      <w:sz w:val="16"/>
      <w:lang w:val="fr-FR" w:eastAsia="en-US"/>
    </w:rPr>
  </w:style>
  <w:style w:type="table" w:styleId="TableGrid">
    <w:name w:val="Table Grid"/>
    <w:basedOn w:val="TableNormal"/>
    <w:uiPriority w:val="5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qFormat/>
    <w:rsid w:val="001A163D"/>
    <w:rPr>
      <w:rFonts w:cs="Times New Roman Bold"/>
      <w:b/>
      <w:caps/>
    </w:rPr>
  </w:style>
  <w:style w:type="character" w:styleId="Hyperlink">
    <w:name w:val="Hyperlink"/>
    <w:aliases w:val="CEO_Hyperlink"/>
    <w:basedOn w:val="DefaultParagraphFont"/>
    <w:uiPriority w:val="99"/>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basedOn w:val="Normal"/>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rsid w:val="005D2C3A"/>
    <w:pPr>
      <w:tabs>
        <w:tab w:val="clear" w:pos="794"/>
        <w:tab w:val="clear" w:pos="1191"/>
        <w:tab w:val="left" w:pos="1134"/>
        <w:tab w:val="left" w:pos="1871"/>
      </w:tabs>
    </w:pPr>
  </w:style>
  <w:style w:type="character" w:styleId="FollowedHyperlink">
    <w:name w:val="FollowedHyperlink"/>
    <w:basedOn w:val="DefaultParagraphFont"/>
    <w:uiPriority w:val="99"/>
    <w:semiHidden/>
    <w:unhideWhenUsed/>
    <w:rsid w:val="00AD4677"/>
    <w:rPr>
      <w:color w:val="800080" w:themeColor="followedHyperlink"/>
      <w:u w:val="single"/>
    </w:rPr>
  </w:style>
  <w:style w:type="character" w:customStyle="1" w:styleId="Heading2Char">
    <w:name w:val="Heading 2 Char"/>
    <w:basedOn w:val="DefaultParagraphFont"/>
    <w:link w:val="Heading2"/>
    <w:uiPriority w:val="9"/>
    <w:rsid w:val="00513E86"/>
    <w:rPr>
      <w:rFonts w:asciiTheme="minorHAnsi" w:hAnsiTheme="minorHAnsi"/>
      <w:b/>
      <w:sz w:val="24"/>
      <w:lang w:val="en-GB" w:eastAsia="en-US"/>
    </w:rPr>
  </w:style>
  <w:style w:type="character" w:styleId="CommentReference">
    <w:name w:val="annotation reference"/>
    <w:basedOn w:val="DefaultParagraphFont"/>
    <w:uiPriority w:val="99"/>
    <w:semiHidden/>
    <w:unhideWhenUsed/>
    <w:rsid w:val="00513E86"/>
    <w:rPr>
      <w:sz w:val="16"/>
      <w:szCs w:val="16"/>
    </w:rPr>
  </w:style>
  <w:style w:type="paragraph" w:styleId="CommentText">
    <w:name w:val="annotation text"/>
    <w:basedOn w:val="Normal"/>
    <w:link w:val="CommentTextChar"/>
    <w:uiPriority w:val="99"/>
    <w:unhideWhenUsed/>
    <w:rsid w:val="00513E86"/>
    <w:pPr>
      <w:tabs>
        <w:tab w:val="clear" w:pos="794"/>
        <w:tab w:val="clear" w:pos="1191"/>
        <w:tab w:val="clear" w:pos="1588"/>
        <w:tab w:val="clear" w:pos="1985"/>
      </w:tabs>
      <w:overflowPunct/>
      <w:autoSpaceDE/>
      <w:autoSpaceDN/>
      <w:adjustRightInd/>
      <w:spacing w:before="0" w:after="160"/>
      <w:textAlignment w:val="auto"/>
    </w:pPr>
    <w:rPr>
      <w:rFonts w:eastAsiaTheme="minorHAnsi" w:cstheme="minorBidi"/>
      <w:kern w:val="2"/>
      <w:sz w:val="20"/>
      <w14:ligatures w14:val="standardContextual"/>
    </w:rPr>
  </w:style>
  <w:style w:type="character" w:customStyle="1" w:styleId="CommentTextChar">
    <w:name w:val="Comment Text Char"/>
    <w:basedOn w:val="DefaultParagraphFont"/>
    <w:link w:val="CommentText"/>
    <w:uiPriority w:val="99"/>
    <w:rsid w:val="00513E86"/>
    <w:rPr>
      <w:rFonts w:asciiTheme="minorHAnsi" w:eastAsiaTheme="minorHAnsi" w:hAnsiTheme="minorHAnsi" w:cstheme="minorBidi"/>
      <w:kern w:val="2"/>
      <w:lang w:val="en-GB" w:eastAsia="en-US"/>
      <w14:ligatures w14:val="standardContextual"/>
    </w:rPr>
  </w:style>
  <w:style w:type="character" w:customStyle="1" w:styleId="Colored-Normal">
    <w:name w:val="Colored - Normal"/>
    <w:rsid w:val="00513E86"/>
    <w:rPr>
      <w:color w:val="0070C0"/>
    </w:rPr>
  </w:style>
  <w:style w:type="paragraph" w:customStyle="1" w:styleId="Figuretitle0">
    <w:name w:val="Figure title"/>
    <w:basedOn w:val="Normal"/>
    <w:link w:val="FiguretitleChar"/>
    <w:rsid w:val="00513E86"/>
    <w:pPr>
      <w:keepNext/>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textAlignment w:val="center"/>
    </w:pPr>
    <w:rPr>
      <w:rFonts w:ascii="AvenirNext LT Pro Light" w:eastAsiaTheme="majorEastAsia" w:hAnsi="AvenirNext LT Pro Light" w:cs="Calibri"/>
      <w:color w:val="4F81BD" w:themeColor="accent1"/>
      <w:spacing w:val="-10"/>
      <w:kern w:val="28"/>
      <w:szCs w:val="24"/>
      <w:lang w:val="en-US"/>
    </w:rPr>
  </w:style>
  <w:style w:type="character" w:customStyle="1" w:styleId="FiguretitleChar">
    <w:name w:val="Figure title Char"/>
    <w:basedOn w:val="DefaultParagraphFont"/>
    <w:link w:val="Figuretitle0"/>
    <w:locked/>
    <w:rsid w:val="00513E86"/>
    <w:rPr>
      <w:rFonts w:ascii="AvenirNext LT Pro Light" w:eastAsiaTheme="majorEastAsia" w:hAnsi="AvenirNext LT Pro Light" w:cs="Calibri"/>
      <w:color w:val="4F81BD" w:themeColor="accent1"/>
      <w:spacing w:val="-10"/>
      <w:kern w:val="28"/>
      <w:sz w:val="24"/>
      <w:szCs w:val="24"/>
      <w:lang w:eastAsia="en-US"/>
    </w:rPr>
  </w:style>
  <w:style w:type="paragraph" w:customStyle="1" w:styleId="Sourcetext">
    <w:name w:val="Source text"/>
    <w:basedOn w:val="Normal"/>
    <w:autoRedefine/>
    <w:qFormat/>
    <w:rsid w:val="00EB15E6"/>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after="120"/>
      <w:textAlignment w:val="center"/>
    </w:pPr>
    <w:rPr>
      <w:rFonts w:ascii="Aptos" w:eastAsiaTheme="minorHAnsi" w:hAnsi="Aptos" w:cstheme="minorBidi"/>
      <w:kern w:val="2"/>
      <w:sz w:val="16"/>
      <w:szCs w:val="28"/>
      <w14:ligatures w14:val="standardContextual"/>
    </w:rPr>
  </w:style>
  <w:style w:type="character" w:customStyle="1" w:styleId="FootnoteTextChar">
    <w:name w:val="Footnote Text Char"/>
    <w:basedOn w:val="DefaultParagraphFont"/>
    <w:link w:val="FootnoteText"/>
    <w:uiPriority w:val="99"/>
    <w:rsid w:val="00391B26"/>
    <w:rPr>
      <w:rFonts w:ascii="Aptos" w:hAnsi="Aptos"/>
      <w:lang w:val="en-GB" w:eastAsia="en-US"/>
    </w:rPr>
  </w:style>
  <w:style w:type="character" w:styleId="Mention">
    <w:name w:val="Mention"/>
    <w:basedOn w:val="DefaultParagraphFont"/>
    <w:uiPriority w:val="99"/>
    <w:unhideWhenUsed/>
    <w:rsid w:val="00513E86"/>
    <w:rPr>
      <w:color w:val="2B579A"/>
      <w:shd w:val="clear" w:color="auto" w:fill="E1DFDD"/>
    </w:rPr>
  </w:style>
  <w:style w:type="paragraph" w:styleId="CommentSubject">
    <w:name w:val="annotation subject"/>
    <w:basedOn w:val="CommentText"/>
    <w:next w:val="CommentText"/>
    <w:link w:val="CommentSubjectChar"/>
    <w:uiPriority w:val="99"/>
    <w:semiHidden/>
    <w:unhideWhenUsed/>
    <w:rsid w:val="008136E9"/>
    <w:pPr>
      <w:tabs>
        <w:tab w:val="left" w:pos="794"/>
        <w:tab w:val="left" w:pos="1191"/>
        <w:tab w:val="left" w:pos="1588"/>
        <w:tab w:val="left" w:pos="1985"/>
      </w:tabs>
      <w:overflowPunct w:val="0"/>
      <w:autoSpaceDE w:val="0"/>
      <w:autoSpaceDN w:val="0"/>
      <w:adjustRightInd w:val="0"/>
      <w:spacing w:before="120" w:after="0"/>
      <w:textAlignment w:val="baseline"/>
    </w:pPr>
    <w:rPr>
      <w:rFonts w:eastAsia="Times New Roman" w:cs="Times New Roman"/>
      <w:b/>
      <w:bCs/>
      <w:kern w:val="0"/>
      <w14:ligatures w14:val="none"/>
    </w:rPr>
  </w:style>
  <w:style w:type="character" w:customStyle="1" w:styleId="CommentSubjectChar">
    <w:name w:val="Comment Subject Char"/>
    <w:basedOn w:val="CommentTextChar"/>
    <w:link w:val="CommentSubject"/>
    <w:uiPriority w:val="99"/>
    <w:semiHidden/>
    <w:rsid w:val="008136E9"/>
    <w:rPr>
      <w:rFonts w:asciiTheme="minorHAnsi" w:eastAsiaTheme="minorHAnsi" w:hAnsiTheme="minorHAnsi" w:cstheme="minorBidi"/>
      <w:b/>
      <w:bCs/>
      <w:kern w:val="2"/>
      <w:lang w:val="en-GB" w:eastAsia="en-US"/>
      <w14:ligatures w14:val="standardContextual"/>
    </w:rPr>
  </w:style>
  <w:style w:type="paragraph" w:styleId="Title">
    <w:name w:val="Title"/>
    <w:basedOn w:val="Normal"/>
    <w:next w:val="Normal"/>
    <w:link w:val="TitleChar"/>
    <w:uiPriority w:val="10"/>
    <w:qFormat/>
    <w:rsid w:val="006C41B5"/>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1B5"/>
    <w:rPr>
      <w:rFonts w:asciiTheme="majorHAnsi" w:eastAsiaTheme="majorEastAsia" w:hAnsiTheme="majorHAnsi" w:cstheme="majorBidi"/>
      <w:spacing w:val="-10"/>
      <w:kern w:val="28"/>
      <w:sz w:val="56"/>
      <w:szCs w:val="56"/>
      <w:lang w:val="en-GB" w:eastAsia="en-US"/>
    </w:rPr>
  </w:style>
  <w:style w:type="numbering" w:customStyle="1" w:styleId="NoList1">
    <w:name w:val="No List1"/>
    <w:next w:val="NoList"/>
    <w:uiPriority w:val="99"/>
    <w:semiHidden/>
    <w:unhideWhenUsed/>
    <w:rsid w:val="006C41B5"/>
  </w:style>
  <w:style w:type="character" w:customStyle="1" w:styleId="Heading1Char">
    <w:name w:val="Heading 1 Char"/>
    <w:basedOn w:val="DefaultParagraphFont"/>
    <w:link w:val="Heading1"/>
    <w:uiPriority w:val="9"/>
    <w:rsid w:val="006C41B5"/>
    <w:rPr>
      <w:rFonts w:asciiTheme="minorHAnsi" w:hAnsiTheme="minorHAnsi"/>
      <w:b/>
      <w:sz w:val="28"/>
      <w:lang w:val="en-GB" w:eastAsia="en-US"/>
    </w:rPr>
  </w:style>
  <w:style w:type="character" w:customStyle="1" w:styleId="Heading3Char">
    <w:name w:val="Heading 3 Char"/>
    <w:basedOn w:val="DefaultParagraphFont"/>
    <w:link w:val="Heading3"/>
    <w:uiPriority w:val="9"/>
    <w:rsid w:val="006C41B5"/>
    <w:rPr>
      <w:rFonts w:asciiTheme="minorHAnsi" w:hAnsiTheme="minorHAnsi"/>
      <w:b/>
      <w:sz w:val="24"/>
      <w:lang w:val="en-GB" w:eastAsia="en-US"/>
    </w:rPr>
  </w:style>
  <w:style w:type="character" w:customStyle="1" w:styleId="Heading4Char">
    <w:name w:val="Heading 4 Char"/>
    <w:basedOn w:val="DefaultParagraphFont"/>
    <w:link w:val="Heading4"/>
    <w:uiPriority w:val="9"/>
    <w:rsid w:val="006C41B5"/>
    <w:rPr>
      <w:rFonts w:asciiTheme="minorHAnsi" w:hAnsiTheme="minorHAnsi"/>
      <w:b/>
      <w:sz w:val="24"/>
      <w:lang w:val="en-GB" w:eastAsia="en-US"/>
    </w:rPr>
  </w:style>
  <w:style w:type="character" w:customStyle="1" w:styleId="Heading5Char">
    <w:name w:val="Heading 5 Char"/>
    <w:basedOn w:val="DefaultParagraphFont"/>
    <w:link w:val="Heading5"/>
    <w:uiPriority w:val="9"/>
    <w:rsid w:val="006C41B5"/>
    <w:rPr>
      <w:rFonts w:asciiTheme="minorHAnsi" w:hAnsiTheme="minorHAnsi"/>
      <w:b/>
      <w:sz w:val="24"/>
      <w:lang w:val="en-GB" w:eastAsia="en-US"/>
    </w:rPr>
  </w:style>
  <w:style w:type="character" w:customStyle="1" w:styleId="Heading6Char">
    <w:name w:val="Heading 6 Char"/>
    <w:basedOn w:val="DefaultParagraphFont"/>
    <w:link w:val="Heading6"/>
    <w:uiPriority w:val="9"/>
    <w:rsid w:val="006C41B5"/>
    <w:rPr>
      <w:rFonts w:asciiTheme="minorHAnsi" w:hAnsiTheme="minorHAnsi"/>
      <w:b/>
      <w:sz w:val="24"/>
      <w:lang w:val="en-GB" w:eastAsia="en-US"/>
    </w:rPr>
  </w:style>
  <w:style w:type="character" w:customStyle="1" w:styleId="Heading7Char">
    <w:name w:val="Heading 7 Char"/>
    <w:basedOn w:val="DefaultParagraphFont"/>
    <w:link w:val="Heading7"/>
    <w:uiPriority w:val="9"/>
    <w:rsid w:val="006C41B5"/>
    <w:rPr>
      <w:rFonts w:asciiTheme="minorHAnsi" w:hAnsiTheme="minorHAnsi"/>
      <w:b/>
      <w:sz w:val="24"/>
      <w:lang w:val="en-GB" w:eastAsia="en-US"/>
    </w:rPr>
  </w:style>
  <w:style w:type="character" w:customStyle="1" w:styleId="Heading8Char">
    <w:name w:val="Heading 8 Char"/>
    <w:basedOn w:val="DefaultParagraphFont"/>
    <w:link w:val="Heading8"/>
    <w:uiPriority w:val="9"/>
    <w:rsid w:val="006C41B5"/>
    <w:rPr>
      <w:rFonts w:asciiTheme="minorHAnsi" w:hAnsiTheme="minorHAnsi"/>
      <w:b/>
      <w:sz w:val="24"/>
      <w:lang w:val="en-GB" w:eastAsia="en-US"/>
    </w:rPr>
  </w:style>
  <w:style w:type="character" w:customStyle="1" w:styleId="Heading9Char">
    <w:name w:val="Heading 9 Char"/>
    <w:basedOn w:val="DefaultParagraphFont"/>
    <w:link w:val="Heading9"/>
    <w:uiPriority w:val="9"/>
    <w:rsid w:val="006C41B5"/>
    <w:rPr>
      <w:rFonts w:asciiTheme="minorHAnsi" w:hAnsiTheme="minorHAnsi"/>
      <w:b/>
      <w:sz w:val="24"/>
      <w:lang w:val="en-GB" w:eastAsia="en-US"/>
    </w:rPr>
  </w:style>
  <w:style w:type="paragraph" w:customStyle="1" w:styleId="Subtitle1">
    <w:name w:val="Subtitle1"/>
    <w:basedOn w:val="Normal"/>
    <w:next w:val="Normal"/>
    <w:uiPriority w:val="11"/>
    <w:qFormat/>
    <w:rsid w:val="006C41B5"/>
    <w:pPr>
      <w:numPr>
        <w:ilvl w:val="1"/>
      </w:numPr>
      <w:tabs>
        <w:tab w:val="clear" w:pos="794"/>
        <w:tab w:val="clear" w:pos="1191"/>
        <w:tab w:val="clear" w:pos="1588"/>
        <w:tab w:val="clear" w:pos="1985"/>
      </w:tabs>
      <w:overflowPunct/>
      <w:autoSpaceDE/>
      <w:autoSpaceDN/>
      <w:adjustRightInd/>
      <w:spacing w:before="0" w:after="160" w:line="259" w:lineRule="auto"/>
      <w:textAlignment w:val="auto"/>
    </w:pPr>
    <w:rPr>
      <w:rFonts w:eastAsia="Yu Gothic Light"/>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6C41B5"/>
    <w:rPr>
      <w:rFonts w:eastAsia="Yu Gothic Light" w:cs="Times New Roman"/>
      <w:color w:val="595959"/>
      <w:spacing w:val="15"/>
      <w:sz w:val="28"/>
      <w:szCs w:val="28"/>
    </w:rPr>
  </w:style>
  <w:style w:type="paragraph" w:customStyle="1" w:styleId="Quote1">
    <w:name w:val="Quote1"/>
    <w:basedOn w:val="Normal"/>
    <w:next w:val="Normal"/>
    <w:uiPriority w:val="29"/>
    <w:qFormat/>
    <w:rsid w:val="006C41B5"/>
    <w:pPr>
      <w:tabs>
        <w:tab w:val="clear" w:pos="794"/>
        <w:tab w:val="clear" w:pos="1191"/>
        <w:tab w:val="clear" w:pos="1588"/>
        <w:tab w:val="clear" w:pos="1985"/>
      </w:tabs>
      <w:overflowPunct/>
      <w:autoSpaceDE/>
      <w:autoSpaceDN/>
      <w:adjustRightInd/>
      <w:spacing w:before="160" w:after="160" w:line="259" w:lineRule="auto"/>
      <w:jc w:val="center"/>
      <w:textAlignment w:val="auto"/>
    </w:pPr>
    <w:rPr>
      <w:rFonts w:eastAsia="Aptos" w:cs="Arial"/>
      <w:i/>
      <w:iCs/>
      <w:color w:val="404040"/>
      <w:kern w:val="2"/>
      <w:sz w:val="22"/>
      <w:szCs w:val="22"/>
      <w14:ligatures w14:val="standardContextual"/>
    </w:rPr>
  </w:style>
  <w:style w:type="character" w:customStyle="1" w:styleId="QuoteChar">
    <w:name w:val="Quote Char"/>
    <w:basedOn w:val="DefaultParagraphFont"/>
    <w:link w:val="Quote"/>
    <w:uiPriority w:val="29"/>
    <w:rsid w:val="006C41B5"/>
    <w:rPr>
      <w:i/>
      <w:iCs/>
      <w:color w:val="404040"/>
    </w:rPr>
  </w:style>
  <w:style w:type="character" w:customStyle="1" w:styleId="IntenseEmphasis1">
    <w:name w:val="Intense Emphasis1"/>
    <w:basedOn w:val="DefaultParagraphFont"/>
    <w:uiPriority w:val="21"/>
    <w:qFormat/>
    <w:rsid w:val="006C41B5"/>
    <w:rPr>
      <w:i/>
      <w:iCs/>
      <w:color w:val="0F4761"/>
    </w:rPr>
  </w:style>
  <w:style w:type="paragraph" w:customStyle="1" w:styleId="IntenseQuote1">
    <w:name w:val="Intense Quote1"/>
    <w:basedOn w:val="Normal"/>
    <w:next w:val="Normal"/>
    <w:uiPriority w:val="30"/>
    <w:qFormat/>
    <w:rsid w:val="006C41B5"/>
    <w:pPr>
      <w:pBdr>
        <w:top w:val="single" w:sz="4" w:space="10" w:color="0F4761"/>
        <w:bottom w:val="single" w:sz="4" w:space="10" w:color="0F4761"/>
      </w:pBdr>
      <w:tabs>
        <w:tab w:val="clear" w:pos="794"/>
        <w:tab w:val="clear" w:pos="1191"/>
        <w:tab w:val="clear" w:pos="1588"/>
        <w:tab w:val="clear" w:pos="1985"/>
      </w:tabs>
      <w:overflowPunct/>
      <w:autoSpaceDE/>
      <w:autoSpaceDN/>
      <w:adjustRightInd/>
      <w:spacing w:before="360" w:after="360" w:line="259" w:lineRule="auto"/>
      <w:ind w:left="864" w:right="864"/>
      <w:jc w:val="center"/>
      <w:textAlignment w:val="auto"/>
    </w:pPr>
    <w:rPr>
      <w:rFonts w:eastAsia="Aptos" w:cs="Arial"/>
      <w:i/>
      <w:iCs/>
      <w:color w:val="0F4761"/>
      <w:kern w:val="2"/>
      <w:sz w:val="22"/>
      <w:szCs w:val="22"/>
      <w14:ligatures w14:val="standardContextual"/>
    </w:rPr>
  </w:style>
  <w:style w:type="character" w:customStyle="1" w:styleId="IntenseQuoteChar">
    <w:name w:val="Intense Quote Char"/>
    <w:basedOn w:val="DefaultParagraphFont"/>
    <w:link w:val="IntenseQuote"/>
    <w:uiPriority w:val="30"/>
    <w:rsid w:val="006C41B5"/>
    <w:rPr>
      <w:i/>
      <w:iCs/>
      <w:color w:val="0F4761"/>
    </w:rPr>
  </w:style>
  <w:style w:type="character" w:customStyle="1" w:styleId="IntenseReference1">
    <w:name w:val="Intense Reference1"/>
    <w:basedOn w:val="DefaultParagraphFont"/>
    <w:uiPriority w:val="32"/>
    <w:qFormat/>
    <w:rsid w:val="006C41B5"/>
    <w:rPr>
      <w:b/>
      <w:bCs/>
      <w:smallCaps/>
      <w:color w:val="0F4761"/>
      <w:spacing w:val="5"/>
    </w:rPr>
  </w:style>
  <w:style w:type="table" w:customStyle="1" w:styleId="TableGrid1">
    <w:name w:val="Table Grid1"/>
    <w:basedOn w:val="TableNormal"/>
    <w:next w:val="TableGrid"/>
    <w:uiPriority w:val="39"/>
    <w:rsid w:val="006C41B5"/>
    <w:rPr>
      <w:rFonts w:ascii="Aptos" w:eastAsia="Aptos" w:hAnsi="Aptos" w:cs="Arial"/>
      <w:kern w:val="2"/>
      <w:sz w:val="22"/>
      <w:szCs w:val="22"/>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C41B5"/>
    <w:rPr>
      <w:color w:val="605E5C"/>
      <w:shd w:val="clear" w:color="auto" w:fill="E1DFDD"/>
    </w:rPr>
  </w:style>
  <w:style w:type="paragraph" w:styleId="Revision">
    <w:name w:val="Revision"/>
    <w:hidden/>
    <w:uiPriority w:val="99"/>
    <w:semiHidden/>
    <w:rsid w:val="006C41B5"/>
    <w:rPr>
      <w:rFonts w:ascii="Aptos" w:eastAsia="Aptos" w:hAnsi="Aptos" w:cs="Arial"/>
      <w:kern w:val="2"/>
      <w:sz w:val="22"/>
      <w:szCs w:val="22"/>
      <w:lang w:val="en-GB" w:eastAsia="en-US"/>
      <w14:ligatures w14:val="standardContextual"/>
    </w:rPr>
  </w:style>
  <w:style w:type="table" w:customStyle="1" w:styleId="GridTable2-Accent11">
    <w:name w:val="Grid Table 2 - Accent 11"/>
    <w:basedOn w:val="TableNormal"/>
    <w:next w:val="GridTable2-Accent1"/>
    <w:uiPriority w:val="47"/>
    <w:rsid w:val="006C41B5"/>
    <w:rPr>
      <w:rFonts w:ascii="Aptos" w:eastAsia="Aptos" w:hAnsi="Aptos" w:cs="Arial"/>
      <w:sz w:val="22"/>
      <w:szCs w:val="22"/>
      <w:lang w:val="en-GB" w:eastAsia="en-US"/>
    </w:rPr>
    <w:tblPr>
      <w:tblStyleRowBandSize w:val="1"/>
      <w:tblStyleColBandSize w:val="1"/>
      <w:tblBorders>
        <w:top w:val="single" w:sz="2" w:space="0" w:color="45B0E1"/>
        <w:bottom w:val="single" w:sz="2" w:space="0" w:color="45B0E1"/>
        <w:insideH w:val="single" w:sz="2" w:space="0" w:color="45B0E1"/>
        <w:insideV w:val="single" w:sz="2" w:space="0" w:color="45B0E1"/>
      </w:tblBorders>
    </w:tblPr>
    <w:tblStylePr w:type="firstRow">
      <w:rPr>
        <w:b/>
        <w:bCs/>
      </w:rPr>
      <w:tblPr/>
      <w:tcPr>
        <w:tcBorders>
          <w:top w:val="nil"/>
          <w:bottom w:val="single" w:sz="12" w:space="0" w:color="45B0E1"/>
          <w:insideH w:val="nil"/>
          <w:insideV w:val="nil"/>
        </w:tcBorders>
        <w:shd w:val="clear" w:color="auto" w:fill="FFFFFF"/>
      </w:tcPr>
    </w:tblStylePr>
    <w:tblStylePr w:type="lastRow">
      <w:rPr>
        <w:b/>
        <w:bCs/>
      </w:rPr>
      <w:tblPr/>
      <w:tcPr>
        <w:tcBorders>
          <w:top w:val="double" w:sz="2" w:space="0" w:color="45B0E1"/>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1E4F5"/>
      </w:tcPr>
    </w:tblStylePr>
    <w:tblStylePr w:type="band1Horz">
      <w:tblPr/>
      <w:tcPr>
        <w:shd w:val="clear" w:color="auto" w:fill="C1E4F5"/>
      </w:tcPr>
    </w:tblStylePr>
  </w:style>
  <w:style w:type="paragraph" w:customStyle="1" w:styleId="Tabletext0">
    <w:name w:val="Table text"/>
    <w:basedOn w:val="Normal"/>
    <w:link w:val="TabletextChar"/>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60"/>
      <w:textAlignment w:val="center"/>
    </w:pPr>
    <w:rPr>
      <w:rFonts w:ascii="AvenirNext LT Pro Light" w:eastAsia="Yu Gothic Light" w:hAnsi="AvenirNext LT Pro Light" w:cs="Calibri"/>
      <w:color w:val="000000"/>
      <w:kern w:val="28"/>
      <w:sz w:val="19"/>
      <w:lang w:val="en-US"/>
    </w:rPr>
  </w:style>
  <w:style w:type="character" w:customStyle="1" w:styleId="TabletextChar">
    <w:name w:val="Table text Char"/>
    <w:basedOn w:val="DefaultParagraphFont"/>
    <w:link w:val="Tabletext0"/>
    <w:rsid w:val="006C41B5"/>
    <w:rPr>
      <w:rFonts w:ascii="AvenirNext LT Pro Light" w:eastAsia="Yu Gothic Light" w:hAnsi="AvenirNext LT Pro Light" w:cs="Calibri"/>
      <w:color w:val="000000"/>
      <w:kern w:val="28"/>
      <w:sz w:val="19"/>
      <w:lang w:eastAsia="en-US"/>
    </w:rPr>
  </w:style>
  <w:style w:type="paragraph" w:customStyle="1" w:styleId="Tableheadwhitecentred">
    <w:name w:val="Table head white centred"/>
    <w:basedOn w:val="Normal"/>
    <w:rsid w:val="006C41B5"/>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0" w:after="190" w:line="284" w:lineRule="atLeast"/>
      <w:jc w:val="center"/>
      <w:textAlignment w:val="center"/>
    </w:pPr>
    <w:rPr>
      <w:rFonts w:ascii="AvenirNext LT Pro Medium" w:eastAsia="Yu Gothic Light" w:hAnsi="AvenirNext LT Pro Medium" w:cs="Calibri"/>
      <w:color w:val="000000"/>
      <w:spacing w:val="-10"/>
      <w:kern w:val="28"/>
      <w:sz w:val="20"/>
      <w:szCs w:val="24"/>
      <w:lang w:val="en-US"/>
    </w:rPr>
  </w:style>
  <w:style w:type="paragraph" w:customStyle="1" w:styleId="Tabletextcentred">
    <w:name w:val="Table text centred"/>
    <w:basedOn w:val="Tabletext0"/>
    <w:rsid w:val="006C41B5"/>
    <w:pPr>
      <w:jc w:val="center"/>
    </w:pPr>
  </w:style>
  <w:style w:type="paragraph" w:styleId="NoSpacing">
    <w:name w:val="No Spacing"/>
    <w:uiPriority w:val="1"/>
    <w:qFormat/>
    <w:rsid w:val="006C41B5"/>
    <w:rPr>
      <w:rFonts w:ascii="Aptos" w:eastAsia="Aptos" w:hAnsi="Aptos" w:cs="Arial"/>
      <w:kern w:val="2"/>
      <w:sz w:val="22"/>
      <w:szCs w:val="22"/>
      <w:lang w:val="en-GB" w:eastAsia="en-US"/>
      <w14:ligatures w14:val="standardContextual"/>
    </w:rPr>
  </w:style>
  <w:style w:type="paragraph" w:customStyle="1" w:styleId="FigureTabletitle">
    <w:name w:val="Figure Table title"/>
    <w:basedOn w:val="Figuretitle0"/>
    <w:link w:val="FigureTabletitleChar"/>
    <w:qFormat/>
    <w:rsid w:val="006C41B5"/>
    <w:rPr>
      <w:color w:val="0070C0"/>
      <w:lang w:val="en-GB"/>
    </w:rPr>
  </w:style>
  <w:style w:type="character" w:customStyle="1" w:styleId="FigureTabletitleChar">
    <w:name w:val="Figure Table title Char"/>
    <w:basedOn w:val="FiguretitleChar"/>
    <w:link w:val="FigureTabletitle"/>
    <w:rsid w:val="006C41B5"/>
    <w:rPr>
      <w:rFonts w:ascii="AvenirNext LT Pro Light" w:eastAsiaTheme="majorEastAsia" w:hAnsi="AvenirNext LT Pro Light" w:cs="Calibri"/>
      <w:color w:val="0070C0"/>
      <w:spacing w:val="-10"/>
      <w:kern w:val="28"/>
      <w:sz w:val="24"/>
      <w:szCs w:val="24"/>
      <w:lang w:val="en-GB" w:eastAsia="en-US"/>
    </w:rPr>
  </w:style>
  <w:style w:type="paragraph" w:customStyle="1" w:styleId="notetext">
    <w:name w:val="note text"/>
    <w:basedOn w:val="Sourcetext"/>
    <w:qFormat/>
    <w:rsid w:val="006C41B5"/>
  </w:style>
  <w:style w:type="character" w:styleId="Strong">
    <w:name w:val="Strong"/>
    <w:basedOn w:val="DefaultParagraphFont"/>
    <w:uiPriority w:val="22"/>
    <w:qFormat/>
    <w:rsid w:val="006C41B5"/>
    <w:rPr>
      <w:b/>
      <w:bCs/>
    </w:rPr>
  </w:style>
  <w:style w:type="paragraph" w:customStyle="1" w:styleId="Caption1">
    <w:name w:val="Caption1"/>
    <w:basedOn w:val="Normal"/>
    <w:next w:val="Normal"/>
    <w:uiPriority w:val="35"/>
    <w:unhideWhenUsed/>
    <w:qFormat/>
    <w:rsid w:val="006C41B5"/>
    <w:pPr>
      <w:tabs>
        <w:tab w:val="clear" w:pos="794"/>
        <w:tab w:val="clear" w:pos="1191"/>
        <w:tab w:val="clear" w:pos="1588"/>
        <w:tab w:val="clear" w:pos="1985"/>
      </w:tabs>
      <w:overflowPunct/>
      <w:autoSpaceDE/>
      <w:autoSpaceDN/>
      <w:adjustRightInd/>
      <w:spacing w:before="0" w:after="200"/>
      <w:textAlignment w:val="auto"/>
    </w:pPr>
    <w:rPr>
      <w:rFonts w:eastAsia="Aptos" w:cs="Arial"/>
      <w:i/>
      <w:iCs/>
      <w:color w:val="0E2841"/>
      <w:kern w:val="2"/>
      <w:sz w:val="18"/>
      <w:szCs w:val="18"/>
      <w14:ligatures w14:val="standardContextual"/>
    </w:rPr>
  </w:style>
  <w:style w:type="paragraph" w:styleId="NormalWeb">
    <w:name w:val="Normal (Web)"/>
    <w:basedOn w:val="Normal"/>
    <w:uiPriority w:val="99"/>
    <w:semiHidden/>
    <w:unhideWhenUsed/>
    <w:rsid w:val="006C41B5"/>
    <w:pPr>
      <w:tabs>
        <w:tab w:val="clear" w:pos="794"/>
        <w:tab w:val="clear" w:pos="1191"/>
        <w:tab w:val="clear" w:pos="1588"/>
        <w:tab w:val="clear" w:pos="1985"/>
      </w:tabs>
      <w:overflowPunct/>
      <w:autoSpaceDE/>
      <w:autoSpaceDN/>
      <w:adjustRightInd/>
      <w:spacing w:before="0" w:after="160" w:line="259" w:lineRule="auto"/>
      <w:textAlignment w:val="auto"/>
    </w:pPr>
    <w:rPr>
      <w:rFonts w:ascii="Times New Roman" w:eastAsia="Aptos" w:hAnsi="Times New Roman"/>
      <w:kern w:val="2"/>
      <w:szCs w:val="24"/>
      <w14:ligatures w14:val="standardContextual"/>
    </w:rPr>
  </w:style>
  <w:style w:type="paragraph" w:styleId="EndnoteText">
    <w:name w:val="endnote text"/>
    <w:basedOn w:val="Normal"/>
    <w:link w:val="EndnoteTextChar"/>
    <w:uiPriority w:val="99"/>
    <w:semiHidden/>
    <w:unhideWhenUsed/>
    <w:rsid w:val="006C41B5"/>
    <w:pPr>
      <w:tabs>
        <w:tab w:val="clear" w:pos="794"/>
        <w:tab w:val="clear" w:pos="1191"/>
        <w:tab w:val="clear" w:pos="1588"/>
        <w:tab w:val="clear" w:pos="1985"/>
      </w:tabs>
      <w:overflowPunct/>
      <w:autoSpaceDE/>
      <w:autoSpaceDN/>
      <w:adjustRightInd/>
      <w:spacing w:before="0"/>
      <w:textAlignment w:val="auto"/>
    </w:pPr>
    <w:rPr>
      <w:rFonts w:ascii="Aptos" w:eastAsia="Aptos" w:hAnsi="Aptos" w:cs="Aptos"/>
      <w:sz w:val="20"/>
      <w14:ligatures w14:val="standardContextual"/>
    </w:rPr>
  </w:style>
  <w:style w:type="character" w:customStyle="1" w:styleId="EndnoteTextChar">
    <w:name w:val="Endnote Text Char"/>
    <w:basedOn w:val="DefaultParagraphFont"/>
    <w:link w:val="EndnoteText"/>
    <w:uiPriority w:val="99"/>
    <w:semiHidden/>
    <w:rsid w:val="006C41B5"/>
    <w:rPr>
      <w:rFonts w:ascii="Aptos" w:eastAsia="Aptos" w:hAnsi="Aptos" w:cs="Aptos"/>
      <w:lang w:val="en-GB" w:eastAsia="en-US"/>
      <w14:ligatures w14:val="standardContextual"/>
    </w:rPr>
  </w:style>
  <w:style w:type="paragraph" w:styleId="Subtitle">
    <w:name w:val="Subtitle"/>
    <w:basedOn w:val="Normal"/>
    <w:next w:val="Normal"/>
    <w:link w:val="SubtitleChar"/>
    <w:uiPriority w:val="11"/>
    <w:qFormat/>
    <w:rsid w:val="006C41B5"/>
    <w:pPr>
      <w:numPr>
        <w:ilvl w:val="1"/>
      </w:numPr>
      <w:spacing w:after="160"/>
    </w:pPr>
    <w:rPr>
      <w:rFonts w:ascii="CG Times" w:eastAsia="Yu Gothic Light" w:hAnsi="CG Times"/>
      <w:color w:val="595959"/>
      <w:spacing w:val="15"/>
      <w:sz w:val="28"/>
      <w:szCs w:val="28"/>
      <w:lang w:val="en-US" w:eastAsia="zh-CN"/>
    </w:rPr>
  </w:style>
  <w:style w:type="character" w:customStyle="1" w:styleId="SubtitleChar1">
    <w:name w:val="Subtitle Char1"/>
    <w:basedOn w:val="DefaultParagraphFont"/>
    <w:rsid w:val="006C41B5"/>
    <w:rPr>
      <w:rFonts w:asciiTheme="minorHAnsi" w:eastAsiaTheme="minorEastAsia" w:hAnsiTheme="minorHAnsi" w:cstheme="minorBidi"/>
      <w:color w:val="5A5A5A" w:themeColor="text1" w:themeTint="A5"/>
      <w:spacing w:val="15"/>
      <w:sz w:val="22"/>
      <w:szCs w:val="22"/>
      <w:lang w:val="en-GB" w:eastAsia="en-US"/>
    </w:rPr>
  </w:style>
  <w:style w:type="paragraph" w:styleId="Quote">
    <w:name w:val="Quote"/>
    <w:basedOn w:val="Normal"/>
    <w:next w:val="Normal"/>
    <w:link w:val="QuoteChar"/>
    <w:uiPriority w:val="29"/>
    <w:qFormat/>
    <w:rsid w:val="006C41B5"/>
    <w:pPr>
      <w:spacing w:before="200" w:after="160"/>
      <w:ind w:left="864" w:right="864"/>
      <w:jc w:val="center"/>
    </w:pPr>
    <w:rPr>
      <w:rFonts w:ascii="CG Times" w:hAnsi="CG Times"/>
      <w:i/>
      <w:iCs/>
      <w:color w:val="404040"/>
      <w:sz w:val="20"/>
      <w:lang w:val="en-US" w:eastAsia="zh-CN"/>
    </w:rPr>
  </w:style>
  <w:style w:type="character" w:customStyle="1" w:styleId="QuoteChar1">
    <w:name w:val="Quote Char1"/>
    <w:basedOn w:val="DefaultParagraphFont"/>
    <w:uiPriority w:val="29"/>
    <w:rsid w:val="006C41B5"/>
    <w:rPr>
      <w:rFonts w:asciiTheme="minorHAnsi" w:hAnsiTheme="minorHAnsi"/>
      <w:i/>
      <w:iCs/>
      <w:color w:val="404040" w:themeColor="text1" w:themeTint="BF"/>
      <w:sz w:val="24"/>
      <w:lang w:val="en-GB" w:eastAsia="en-US"/>
    </w:rPr>
  </w:style>
  <w:style w:type="character" w:styleId="IntenseEmphasis">
    <w:name w:val="Intense Emphasis"/>
    <w:basedOn w:val="DefaultParagraphFont"/>
    <w:uiPriority w:val="21"/>
    <w:qFormat/>
    <w:rsid w:val="006C41B5"/>
    <w:rPr>
      <w:i/>
      <w:iCs/>
      <w:color w:val="4F81BD" w:themeColor="accent1"/>
    </w:rPr>
  </w:style>
  <w:style w:type="paragraph" w:styleId="IntenseQuote">
    <w:name w:val="Intense Quote"/>
    <w:basedOn w:val="Normal"/>
    <w:next w:val="Normal"/>
    <w:link w:val="IntenseQuoteChar"/>
    <w:uiPriority w:val="30"/>
    <w:qFormat/>
    <w:rsid w:val="006C41B5"/>
    <w:pPr>
      <w:pBdr>
        <w:top w:val="single" w:sz="4" w:space="10" w:color="4F81BD" w:themeColor="accent1"/>
        <w:bottom w:val="single" w:sz="4" w:space="10" w:color="4F81BD" w:themeColor="accent1"/>
      </w:pBdr>
      <w:spacing w:before="360" w:after="360"/>
      <w:ind w:left="864" w:right="864"/>
      <w:jc w:val="center"/>
    </w:pPr>
    <w:rPr>
      <w:rFonts w:ascii="CG Times" w:hAnsi="CG Times"/>
      <w:i/>
      <w:iCs/>
      <w:color w:val="0F4761"/>
      <w:sz w:val="20"/>
      <w:lang w:val="en-US" w:eastAsia="zh-CN"/>
    </w:rPr>
  </w:style>
  <w:style w:type="character" w:customStyle="1" w:styleId="IntenseQuoteChar1">
    <w:name w:val="Intense Quote Char1"/>
    <w:basedOn w:val="DefaultParagraphFont"/>
    <w:uiPriority w:val="30"/>
    <w:rsid w:val="006C41B5"/>
    <w:rPr>
      <w:rFonts w:asciiTheme="minorHAnsi" w:hAnsiTheme="minorHAnsi"/>
      <w:i/>
      <w:iCs/>
      <w:color w:val="4F81BD" w:themeColor="accent1"/>
      <w:sz w:val="24"/>
      <w:lang w:val="en-GB" w:eastAsia="en-US"/>
    </w:rPr>
  </w:style>
  <w:style w:type="character" w:styleId="IntenseReference">
    <w:name w:val="Intense Reference"/>
    <w:basedOn w:val="DefaultParagraphFont"/>
    <w:uiPriority w:val="32"/>
    <w:qFormat/>
    <w:rsid w:val="006C41B5"/>
    <w:rPr>
      <w:b/>
      <w:bCs/>
      <w:smallCaps/>
      <w:color w:val="4F81BD" w:themeColor="accent1"/>
      <w:spacing w:val="5"/>
    </w:rPr>
  </w:style>
  <w:style w:type="table" w:styleId="GridTable2-Accent1">
    <w:name w:val="Grid Table 2 Accent 1"/>
    <w:basedOn w:val="TableNormal"/>
    <w:uiPriority w:val="47"/>
    <w:rsid w:val="006C41B5"/>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761F14"/>
    <w:pPr>
      <w:tabs>
        <w:tab w:val="clear" w:pos="794"/>
        <w:tab w:val="clear" w:pos="1191"/>
        <w:tab w:val="clear" w:pos="1588"/>
        <w:tab w:val="clear" w:pos="1985"/>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Body">
    <w:name w:val="Body"/>
    <w:rsid w:val="00B727CE"/>
    <w:pPr>
      <w:pBdr>
        <w:top w:val="nil"/>
        <w:left w:val="nil"/>
        <w:bottom w:val="nil"/>
        <w:right w:val="nil"/>
        <w:between w:val="nil"/>
        <w:bar w:val="nil"/>
      </w:pBdr>
      <w:spacing w:line="276" w:lineRule="auto"/>
    </w:pPr>
    <w:rPr>
      <w:rFonts w:ascii="Arial" w:eastAsia="Arial Unicode MS" w:hAnsi="Arial" w:cs="Arial Unicode MS"/>
      <w:color w:val="000000"/>
      <w:sz w:val="22"/>
      <w:szCs w:val="22"/>
      <w:u w:color="000000"/>
      <w:bdr w:val="nil"/>
      <w:lang w:eastAsia="en-GB"/>
      <w14:textOutline w14:w="0" w14:cap="flat" w14:cmpd="sng" w14:algn="ctr">
        <w14:noFill/>
        <w14:prstDash w14:val="solid"/>
        <w14:bevel/>
      </w14:textOutline>
    </w:rPr>
  </w:style>
  <w:style w:type="paragraph" w:customStyle="1" w:styleId="Heading2Aptos">
    <w:name w:val="Heading 2 Aptos"/>
    <w:basedOn w:val="Normal"/>
    <w:link w:val="Heading2AptosChar"/>
    <w:qFormat/>
    <w:rsid w:val="008E298A"/>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14:ligatures w14:val="standardContextual"/>
    </w:rPr>
  </w:style>
  <w:style w:type="character" w:customStyle="1" w:styleId="Heading2AptosChar">
    <w:name w:val="Heading 2 Aptos Char"/>
    <w:basedOn w:val="DefaultParagraphFont"/>
    <w:link w:val="Heading2Aptos"/>
    <w:rsid w:val="008E298A"/>
    <w:rPr>
      <w:rFonts w:ascii="Aptos Display" w:eastAsia="Yu Gothic Light" w:hAnsi="Aptos Display"/>
      <w:color w:val="0F4761"/>
      <w:kern w:val="2"/>
      <w:sz w:val="32"/>
      <w:szCs w:val="32"/>
      <w:lang w:val="en-GB" w:eastAsia="en-US"/>
      <w14:ligatures w14:val="standardContextual"/>
    </w:rPr>
  </w:style>
  <w:style w:type="paragraph" w:customStyle="1" w:styleId="Parttitle0">
    <w:name w:val="Part title"/>
    <w:basedOn w:val="Normal"/>
    <w:link w:val="ParttitleChar"/>
    <w:qFormat/>
    <w:rsid w:val="009D660C"/>
    <w:pPr>
      <w:keepNext/>
      <w:keepLines/>
      <w:tabs>
        <w:tab w:val="clear" w:pos="794"/>
        <w:tab w:val="clear" w:pos="1191"/>
        <w:tab w:val="clear" w:pos="1588"/>
        <w:tab w:val="clear" w:pos="1985"/>
      </w:tabs>
      <w:overflowPunct/>
      <w:autoSpaceDE/>
      <w:autoSpaceDN/>
      <w:adjustRightInd/>
      <w:spacing w:before="360" w:after="80" w:line="259" w:lineRule="auto"/>
      <w:textAlignment w:val="auto"/>
      <w:outlineLvl w:val="0"/>
    </w:pPr>
    <w:rPr>
      <w:rFonts w:ascii="Aptos Display" w:eastAsia="Yu Gothic Light" w:hAnsi="Aptos Display"/>
      <w:color w:val="0F4761"/>
      <w:kern w:val="2"/>
      <w:sz w:val="40"/>
      <w:szCs w:val="40"/>
      <w14:ligatures w14:val="standardContextual"/>
    </w:rPr>
  </w:style>
  <w:style w:type="character" w:customStyle="1" w:styleId="ParttitleChar">
    <w:name w:val="Part title Char"/>
    <w:basedOn w:val="DefaultParagraphFont"/>
    <w:link w:val="Parttitle0"/>
    <w:rsid w:val="009D660C"/>
    <w:rPr>
      <w:rFonts w:ascii="Aptos Display" w:eastAsia="Yu Gothic Light" w:hAnsi="Aptos Display"/>
      <w:color w:val="0F4761"/>
      <w:kern w:val="2"/>
      <w:sz w:val="40"/>
      <w:szCs w:val="40"/>
      <w:lang w:val="en-GB" w:eastAsia="en-US"/>
      <w14:ligatures w14:val="standardContextual"/>
    </w:rPr>
  </w:style>
  <w:style w:type="character" w:customStyle="1" w:styleId="normaltextrun">
    <w:name w:val="normaltextrun"/>
    <w:basedOn w:val="DefaultParagraphFont"/>
    <w:rsid w:val="002411A4"/>
  </w:style>
  <w:style w:type="character" w:customStyle="1" w:styleId="eop">
    <w:name w:val="eop"/>
    <w:basedOn w:val="DefaultParagraphFont"/>
    <w:rsid w:val="00300307"/>
  </w:style>
  <w:style w:type="paragraph" w:customStyle="1" w:styleId="Section">
    <w:name w:val="Section"/>
    <w:basedOn w:val="Normal"/>
    <w:link w:val="SectionChar"/>
    <w:qFormat/>
    <w:rsid w:val="00A217F8"/>
    <w:pPr>
      <w:keepNext/>
      <w:keepLines/>
      <w:tabs>
        <w:tab w:val="clear" w:pos="794"/>
        <w:tab w:val="clear" w:pos="1191"/>
        <w:tab w:val="clear" w:pos="1588"/>
        <w:tab w:val="clear" w:pos="1985"/>
      </w:tabs>
      <w:overflowPunct/>
      <w:autoSpaceDE/>
      <w:autoSpaceDN/>
      <w:adjustRightInd/>
      <w:spacing w:before="160" w:after="80" w:line="259" w:lineRule="auto"/>
      <w:textAlignment w:val="auto"/>
      <w:outlineLvl w:val="1"/>
    </w:pPr>
    <w:rPr>
      <w:rFonts w:ascii="Aptos Display" w:eastAsia="Yu Gothic Light" w:hAnsi="Aptos Display"/>
      <w:color w:val="0F4761"/>
      <w:kern w:val="2"/>
      <w:sz w:val="32"/>
      <w:szCs w:val="32"/>
      <w14:ligatures w14:val="standardContextual"/>
    </w:rPr>
  </w:style>
  <w:style w:type="character" w:customStyle="1" w:styleId="SectionChar">
    <w:name w:val="Section Char"/>
    <w:basedOn w:val="DefaultParagraphFont"/>
    <w:link w:val="Section"/>
    <w:rsid w:val="00A217F8"/>
    <w:rPr>
      <w:rFonts w:ascii="Aptos Display" w:eastAsia="Yu Gothic Light" w:hAnsi="Aptos Display"/>
      <w:color w:val="0F4761"/>
      <w:kern w:val="2"/>
      <w:sz w:val="32"/>
      <w:szCs w:val="32"/>
      <w:lang w:val="en-GB" w:eastAsia="en-US"/>
      <w14:ligatures w14:val="standardContextual"/>
    </w:rPr>
  </w:style>
  <w:style w:type="paragraph" w:customStyle="1" w:styleId="Bulletlist1">
    <w:name w:val="Bullet list 1"/>
    <w:basedOn w:val="Normal"/>
    <w:rsid w:val="00253463"/>
    <w:pPr>
      <w:widowControl w:val="0"/>
      <w:tabs>
        <w:tab w:val="clear" w:pos="794"/>
        <w:tab w:val="clear" w:pos="1191"/>
        <w:tab w:val="clear" w:pos="1588"/>
        <w:tab w:val="clear" w:pos="1985"/>
        <w:tab w:val="left" w:pos="567"/>
        <w:tab w:val="left" w:pos="1134"/>
        <w:tab w:val="left" w:pos="1701"/>
        <w:tab w:val="left" w:pos="2268"/>
        <w:tab w:val="left" w:pos="2835"/>
        <w:tab w:val="left" w:pos="3402"/>
        <w:tab w:val="left" w:pos="3969"/>
      </w:tabs>
      <w:suppressAutoHyphens/>
      <w:overflowPunct/>
      <w:spacing w:before="40" w:after="40" w:line="284" w:lineRule="atLeast"/>
      <w:ind w:left="567" w:hanging="567"/>
      <w:jc w:val="both"/>
      <w:textAlignment w:val="center"/>
    </w:pPr>
    <w:rPr>
      <w:rFonts w:ascii="Avenir Next W1G" w:eastAsiaTheme="minorEastAsia" w:hAnsi="Avenir Next W1G" w:cstheme="minorBidi"/>
      <w:color w:val="000000"/>
      <w:sz w:val="20"/>
      <w:lang w:val="en-US" w:eastAsia="zh-CN"/>
    </w:rPr>
  </w:style>
  <w:style w:type="paragraph" w:customStyle="1" w:styleId="paragraph">
    <w:name w:val="paragraph"/>
    <w:basedOn w:val="Normal"/>
    <w:rsid w:val="00BB2B5A"/>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hAnsi="Times New Roman"/>
      <w:szCs w:val="24"/>
      <w:lang w:eastAsia="en-GB"/>
    </w:rPr>
  </w:style>
  <w:style w:type="paragraph" w:customStyle="1" w:styleId="Default">
    <w:name w:val="Default"/>
    <w:rsid w:val="00582ADF"/>
    <w:pPr>
      <w:pBdr>
        <w:top w:val="nil"/>
        <w:left w:val="nil"/>
        <w:bottom w:val="nil"/>
        <w:right w:val="nil"/>
        <w:between w:val="nil"/>
        <w:bar w:val="nil"/>
      </w:pBdr>
      <w:spacing w:before="160"/>
    </w:pPr>
    <w:rPr>
      <w:rFonts w:ascii="Helvetica Neue" w:eastAsia="Arial Unicode MS" w:hAnsi="Helvetica Neue" w:cs="Arial Unicode MS"/>
      <w:color w:val="000000"/>
      <w:sz w:val="24"/>
      <w:szCs w:val="24"/>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249780">
      <w:bodyDiv w:val="1"/>
      <w:marLeft w:val="0"/>
      <w:marRight w:val="0"/>
      <w:marTop w:val="0"/>
      <w:marBottom w:val="0"/>
      <w:divBdr>
        <w:top w:val="none" w:sz="0" w:space="0" w:color="auto"/>
        <w:left w:val="none" w:sz="0" w:space="0" w:color="auto"/>
        <w:bottom w:val="none" w:sz="0" w:space="0" w:color="auto"/>
        <w:right w:val="none" w:sz="0" w:space="0" w:color="auto"/>
      </w:divBdr>
    </w:div>
    <w:div w:id="138424915">
      <w:bodyDiv w:val="1"/>
      <w:marLeft w:val="0"/>
      <w:marRight w:val="0"/>
      <w:marTop w:val="0"/>
      <w:marBottom w:val="0"/>
      <w:divBdr>
        <w:top w:val="none" w:sz="0" w:space="0" w:color="auto"/>
        <w:left w:val="none" w:sz="0" w:space="0" w:color="auto"/>
        <w:bottom w:val="none" w:sz="0" w:space="0" w:color="auto"/>
        <w:right w:val="none" w:sz="0" w:space="0" w:color="auto"/>
      </w:divBdr>
    </w:div>
    <w:div w:id="146897608">
      <w:bodyDiv w:val="1"/>
      <w:marLeft w:val="0"/>
      <w:marRight w:val="0"/>
      <w:marTop w:val="0"/>
      <w:marBottom w:val="0"/>
      <w:divBdr>
        <w:top w:val="none" w:sz="0" w:space="0" w:color="auto"/>
        <w:left w:val="none" w:sz="0" w:space="0" w:color="auto"/>
        <w:bottom w:val="none" w:sz="0" w:space="0" w:color="auto"/>
        <w:right w:val="none" w:sz="0" w:space="0" w:color="auto"/>
      </w:divBdr>
    </w:div>
    <w:div w:id="173615908">
      <w:bodyDiv w:val="1"/>
      <w:marLeft w:val="0"/>
      <w:marRight w:val="0"/>
      <w:marTop w:val="0"/>
      <w:marBottom w:val="0"/>
      <w:divBdr>
        <w:top w:val="none" w:sz="0" w:space="0" w:color="auto"/>
        <w:left w:val="none" w:sz="0" w:space="0" w:color="auto"/>
        <w:bottom w:val="none" w:sz="0" w:space="0" w:color="auto"/>
        <w:right w:val="none" w:sz="0" w:space="0" w:color="auto"/>
      </w:divBdr>
    </w:div>
    <w:div w:id="192771772">
      <w:bodyDiv w:val="1"/>
      <w:marLeft w:val="0"/>
      <w:marRight w:val="0"/>
      <w:marTop w:val="0"/>
      <w:marBottom w:val="0"/>
      <w:divBdr>
        <w:top w:val="none" w:sz="0" w:space="0" w:color="auto"/>
        <w:left w:val="none" w:sz="0" w:space="0" w:color="auto"/>
        <w:bottom w:val="none" w:sz="0" w:space="0" w:color="auto"/>
        <w:right w:val="none" w:sz="0" w:space="0" w:color="auto"/>
      </w:divBdr>
    </w:div>
    <w:div w:id="237130155">
      <w:bodyDiv w:val="1"/>
      <w:marLeft w:val="0"/>
      <w:marRight w:val="0"/>
      <w:marTop w:val="0"/>
      <w:marBottom w:val="0"/>
      <w:divBdr>
        <w:top w:val="none" w:sz="0" w:space="0" w:color="auto"/>
        <w:left w:val="none" w:sz="0" w:space="0" w:color="auto"/>
        <w:bottom w:val="none" w:sz="0" w:space="0" w:color="auto"/>
        <w:right w:val="none" w:sz="0" w:space="0" w:color="auto"/>
      </w:divBdr>
    </w:div>
    <w:div w:id="238560725">
      <w:bodyDiv w:val="1"/>
      <w:marLeft w:val="0"/>
      <w:marRight w:val="0"/>
      <w:marTop w:val="0"/>
      <w:marBottom w:val="0"/>
      <w:divBdr>
        <w:top w:val="none" w:sz="0" w:space="0" w:color="auto"/>
        <w:left w:val="none" w:sz="0" w:space="0" w:color="auto"/>
        <w:bottom w:val="none" w:sz="0" w:space="0" w:color="auto"/>
        <w:right w:val="none" w:sz="0" w:space="0" w:color="auto"/>
      </w:divBdr>
    </w:div>
    <w:div w:id="334768446">
      <w:bodyDiv w:val="1"/>
      <w:marLeft w:val="0"/>
      <w:marRight w:val="0"/>
      <w:marTop w:val="0"/>
      <w:marBottom w:val="0"/>
      <w:divBdr>
        <w:top w:val="none" w:sz="0" w:space="0" w:color="auto"/>
        <w:left w:val="none" w:sz="0" w:space="0" w:color="auto"/>
        <w:bottom w:val="none" w:sz="0" w:space="0" w:color="auto"/>
        <w:right w:val="none" w:sz="0" w:space="0" w:color="auto"/>
      </w:divBdr>
    </w:div>
    <w:div w:id="391927088">
      <w:bodyDiv w:val="1"/>
      <w:marLeft w:val="0"/>
      <w:marRight w:val="0"/>
      <w:marTop w:val="0"/>
      <w:marBottom w:val="0"/>
      <w:divBdr>
        <w:top w:val="none" w:sz="0" w:space="0" w:color="auto"/>
        <w:left w:val="none" w:sz="0" w:space="0" w:color="auto"/>
        <w:bottom w:val="none" w:sz="0" w:space="0" w:color="auto"/>
        <w:right w:val="none" w:sz="0" w:space="0" w:color="auto"/>
      </w:divBdr>
    </w:div>
    <w:div w:id="493572749">
      <w:bodyDiv w:val="1"/>
      <w:marLeft w:val="0"/>
      <w:marRight w:val="0"/>
      <w:marTop w:val="0"/>
      <w:marBottom w:val="0"/>
      <w:divBdr>
        <w:top w:val="none" w:sz="0" w:space="0" w:color="auto"/>
        <w:left w:val="none" w:sz="0" w:space="0" w:color="auto"/>
        <w:bottom w:val="none" w:sz="0" w:space="0" w:color="auto"/>
        <w:right w:val="none" w:sz="0" w:space="0" w:color="auto"/>
      </w:divBdr>
    </w:div>
    <w:div w:id="531502494">
      <w:bodyDiv w:val="1"/>
      <w:marLeft w:val="0"/>
      <w:marRight w:val="0"/>
      <w:marTop w:val="0"/>
      <w:marBottom w:val="0"/>
      <w:divBdr>
        <w:top w:val="none" w:sz="0" w:space="0" w:color="auto"/>
        <w:left w:val="none" w:sz="0" w:space="0" w:color="auto"/>
        <w:bottom w:val="none" w:sz="0" w:space="0" w:color="auto"/>
        <w:right w:val="none" w:sz="0" w:space="0" w:color="auto"/>
      </w:divBdr>
    </w:div>
    <w:div w:id="604533245">
      <w:bodyDiv w:val="1"/>
      <w:marLeft w:val="0"/>
      <w:marRight w:val="0"/>
      <w:marTop w:val="0"/>
      <w:marBottom w:val="0"/>
      <w:divBdr>
        <w:top w:val="none" w:sz="0" w:space="0" w:color="auto"/>
        <w:left w:val="none" w:sz="0" w:space="0" w:color="auto"/>
        <w:bottom w:val="none" w:sz="0" w:space="0" w:color="auto"/>
        <w:right w:val="none" w:sz="0" w:space="0" w:color="auto"/>
      </w:divBdr>
    </w:div>
    <w:div w:id="613100848">
      <w:bodyDiv w:val="1"/>
      <w:marLeft w:val="0"/>
      <w:marRight w:val="0"/>
      <w:marTop w:val="0"/>
      <w:marBottom w:val="0"/>
      <w:divBdr>
        <w:top w:val="none" w:sz="0" w:space="0" w:color="auto"/>
        <w:left w:val="none" w:sz="0" w:space="0" w:color="auto"/>
        <w:bottom w:val="none" w:sz="0" w:space="0" w:color="auto"/>
        <w:right w:val="none" w:sz="0" w:space="0" w:color="auto"/>
      </w:divBdr>
    </w:div>
    <w:div w:id="672269273">
      <w:bodyDiv w:val="1"/>
      <w:marLeft w:val="0"/>
      <w:marRight w:val="0"/>
      <w:marTop w:val="0"/>
      <w:marBottom w:val="0"/>
      <w:divBdr>
        <w:top w:val="none" w:sz="0" w:space="0" w:color="auto"/>
        <w:left w:val="none" w:sz="0" w:space="0" w:color="auto"/>
        <w:bottom w:val="none" w:sz="0" w:space="0" w:color="auto"/>
        <w:right w:val="none" w:sz="0" w:space="0" w:color="auto"/>
      </w:divBdr>
    </w:div>
    <w:div w:id="701899014">
      <w:bodyDiv w:val="1"/>
      <w:marLeft w:val="0"/>
      <w:marRight w:val="0"/>
      <w:marTop w:val="0"/>
      <w:marBottom w:val="0"/>
      <w:divBdr>
        <w:top w:val="none" w:sz="0" w:space="0" w:color="auto"/>
        <w:left w:val="none" w:sz="0" w:space="0" w:color="auto"/>
        <w:bottom w:val="none" w:sz="0" w:space="0" w:color="auto"/>
        <w:right w:val="none" w:sz="0" w:space="0" w:color="auto"/>
      </w:divBdr>
    </w:div>
    <w:div w:id="718090386">
      <w:bodyDiv w:val="1"/>
      <w:marLeft w:val="0"/>
      <w:marRight w:val="0"/>
      <w:marTop w:val="0"/>
      <w:marBottom w:val="0"/>
      <w:divBdr>
        <w:top w:val="none" w:sz="0" w:space="0" w:color="auto"/>
        <w:left w:val="none" w:sz="0" w:space="0" w:color="auto"/>
        <w:bottom w:val="none" w:sz="0" w:space="0" w:color="auto"/>
        <w:right w:val="none" w:sz="0" w:space="0" w:color="auto"/>
      </w:divBdr>
    </w:div>
    <w:div w:id="872890350">
      <w:bodyDiv w:val="1"/>
      <w:marLeft w:val="0"/>
      <w:marRight w:val="0"/>
      <w:marTop w:val="0"/>
      <w:marBottom w:val="0"/>
      <w:divBdr>
        <w:top w:val="none" w:sz="0" w:space="0" w:color="auto"/>
        <w:left w:val="none" w:sz="0" w:space="0" w:color="auto"/>
        <w:bottom w:val="none" w:sz="0" w:space="0" w:color="auto"/>
        <w:right w:val="none" w:sz="0" w:space="0" w:color="auto"/>
      </w:divBdr>
    </w:div>
    <w:div w:id="873228548">
      <w:bodyDiv w:val="1"/>
      <w:marLeft w:val="0"/>
      <w:marRight w:val="0"/>
      <w:marTop w:val="0"/>
      <w:marBottom w:val="0"/>
      <w:divBdr>
        <w:top w:val="none" w:sz="0" w:space="0" w:color="auto"/>
        <w:left w:val="none" w:sz="0" w:space="0" w:color="auto"/>
        <w:bottom w:val="none" w:sz="0" w:space="0" w:color="auto"/>
        <w:right w:val="none" w:sz="0" w:space="0" w:color="auto"/>
      </w:divBdr>
    </w:div>
    <w:div w:id="878859544">
      <w:bodyDiv w:val="1"/>
      <w:marLeft w:val="0"/>
      <w:marRight w:val="0"/>
      <w:marTop w:val="0"/>
      <w:marBottom w:val="0"/>
      <w:divBdr>
        <w:top w:val="none" w:sz="0" w:space="0" w:color="auto"/>
        <w:left w:val="none" w:sz="0" w:space="0" w:color="auto"/>
        <w:bottom w:val="none" w:sz="0" w:space="0" w:color="auto"/>
        <w:right w:val="none" w:sz="0" w:space="0" w:color="auto"/>
      </w:divBdr>
    </w:div>
    <w:div w:id="900680185">
      <w:bodyDiv w:val="1"/>
      <w:marLeft w:val="0"/>
      <w:marRight w:val="0"/>
      <w:marTop w:val="0"/>
      <w:marBottom w:val="0"/>
      <w:divBdr>
        <w:top w:val="none" w:sz="0" w:space="0" w:color="auto"/>
        <w:left w:val="none" w:sz="0" w:space="0" w:color="auto"/>
        <w:bottom w:val="none" w:sz="0" w:space="0" w:color="auto"/>
        <w:right w:val="none" w:sz="0" w:space="0" w:color="auto"/>
      </w:divBdr>
    </w:div>
    <w:div w:id="906887751">
      <w:bodyDiv w:val="1"/>
      <w:marLeft w:val="0"/>
      <w:marRight w:val="0"/>
      <w:marTop w:val="0"/>
      <w:marBottom w:val="0"/>
      <w:divBdr>
        <w:top w:val="none" w:sz="0" w:space="0" w:color="auto"/>
        <w:left w:val="none" w:sz="0" w:space="0" w:color="auto"/>
        <w:bottom w:val="none" w:sz="0" w:space="0" w:color="auto"/>
        <w:right w:val="none" w:sz="0" w:space="0" w:color="auto"/>
      </w:divBdr>
    </w:div>
    <w:div w:id="993605278">
      <w:bodyDiv w:val="1"/>
      <w:marLeft w:val="0"/>
      <w:marRight w:val="0"/>
      <w:marTop w:val="0"/>
      <w:marBottom w:val="0"/>
      <w:divBdr>
        <w:top w:val="none" w:sz="0" w:space="0" w:color="auto"/>
        <w:left w:val="none" w:sz="0" w:space="0" w:color="auto"/>
        <w:bottom w:val="none" w:sz="0" w:space="0" w:color="auto"/>
        <w:right w:val="none" w:sz="0" w:space="0" w:color="auto"/>
      </w:divBdr>
    </w:div>
    <w:div w:id="1040203964">
      <w:bodyDiv w:val="1"/>
      <w:marLeft w:val="0"/>
      <w:marRight w:val="0"/>
      <w:marTop w:val="0"/>
      <w:marBottom w:val="0"/>
      <w:divBdr>
        <w:top w:val="none" w:sz="0" w:space="0" w:color="auto"/>
        <w:left w:val="none" w:sz="0" w:space="0" w:color="auto"/>
        <w:bottom w:val="none" w:sz="0" w:space="0" w:color="auto"/>
        <w:right w:val="none" w:sz="0" w:space="0" w:color="auto"/>
      </w:divBdr>
    </w:div>
    <w:div w:id="1042365684">
      <w:bodyDiv w:val="1"/>
      <w:marLeft w:val="0"/>
      <w:marRight w:val="0"/>
      <w:marTop w:val="0"/>
      <w:marBottom w:val="0"/>
      <w:divBdr>
        <w:top w:val="none" w:sz="0" w:space="0" w:color="auto"/>
        <w:left w:val="none" w:sz="0" w:space="0" w:color="auto"/>
        <w:bottom w:val="none" w:sz="0" w:space="0" w:color="auto"/>
        <w:right w:val="none" w:sz="0" w:space="0" w:color="auto"/>
      </w:divBdr>
    </w:div>
    <w:div w:id="1063286050">
      <w:bodyDiv w:val="1"/>
      <w:marLeft w:val="0"/>
      <w:marRight w:val="0"/>
      <w:marTop w:val="0"/>
      <w:marBottom w:val="0"/>
      <w:divBdr>
        <w:top w:val="none" w:sz="0" w:space="0" w:color="auto"/>
        <w:left w:val="none" w:sz="0" w:space="0" w:color="auto"/>
        <w:bottom w:val="none" w:sz="0" w:space="0" w:color="auto"/>
        <w:right w:val="none" w:sz="0" w:space="0" w:color="auto"/>
      </w:divBdr>
    </w:div>
    <w:div w:id="1087268535">
      <w:bodyDiv w:val="1"/>
      <w:marLeft w:val="0"/>
      <w:marRight w:val="0"/>
      <w:marTop w:val="0"/>
      <w:marBottom w:val="0"/>
      <w:divBdr>
        <w:top w:val="none" w:sz="0" w:space="0" w:color="auto"/>
        <w:left w:val="none" w:sz="0" w:space="0" w:color="auto"/>
        <w:bottom w:val="none" w:sz="0" w:space="0" w:color="auto"/>
        <w:right w:val="none" w:sz="0" w:space="0" w:color="auto"/>
      </w:divBdr>
    </w:div>
    <w:div w:id="1111242636">
      <w:bodyDiv w:val="1"/>
      <w:marLeft w:val="0"/>
      <w:marRight w:val="0"/>
      <w:marTop w:val="0"/>
      <w:marBottom w:val="0"/>
      <w:divBdr>
        <w:top w:val="none" w:sz="0" w:space="0" w:color="auto"/>
        <w:left w:val="none" w:sz="0" w:space="0" w:color="auto"/>
        <w:bottom w:val="none" w:sz="0" w:space="0" w:color="auto"/>
        <w:right w:val="none" w:sz="0" w:space="0" w:color="auto"/>
      </w:divBdr>
    </w:div>
    <w:div w:id="1152722139">
      <w:bodyDiv w:val="1"/>
      <w:marLeft w:val="0"/>
      <w:marRight w:val="0"/>
      <w:marTop w:val="0"/>
      <w:marBottom w:val="0"/>
      <w:divBdr>
        <w:top w:val="none" w:sz="0" w:space="0" w:color="auto"/>
        <w:left w:val="none" w:sz="0" w:space="0" w:color="auto"/>
        <w:bottom w:val="none" w:sz="0" w:space="0" w:color="auto"/>
        <w:right w:val="none" w:sz="0" w:space="0" w:color="auto"/>
      </w:divBdr>
    </w:div>
    <w:div w:id="1189223727">
      <w:bodyDiv w:val="1"/>
      <w:marLeft w:val="0"/>
      <w:marRight w:val="0"/>
      <w:marTop w:val="0"/>
      <w:marBottom w:val="0"/>
      <w:divBdr>
        <w:top w:val="none" w:sz="0" w:space="0" w:color="auto"/>
        <w:left w:val="none" w:sz="0" w:space="0" w:color="auto"/>
        <w:bottom w:val="none" w:sz="0" w:space="0" w:color="auto"/>
        <w:right w:val="none" w:sz="0" w:space="0" w:color="auto"/>
      </w:divBdr>
    </w:div>
    <w:div w:id="1220241432">
      <w:bodyDiv w:val="1"/>
      <w:marLeft w:val="0"/>
      <w:marRight w:val="0"/>
      <w:marTop w:val="0"/>
      <w:marBottom w:val="0"/>
      <w:divBdr>
        <w:top w:val="none" w:sz="0" w:space="0" w:color="auto"/>
        <w:left w:val="none" w:sz="0" w:space="0" w:color="auto"/>
        <w:bottom w:val="none" w:sz="0" w:space="0" w:color="auto"/>
        <w:right w:val="none" w:sz="0" w:space="0" w:color="auto"/>
      </w:divBdr>
    </w:div>
    <w:div w:id="1325358637">
      <w:bodyDiv w:val="1"/>
      <w:marLeft w:val="0"/>
      <w:marRight w:val="0"/>
      <w:marTop w:val="0"/>
      <w:marBottom w:val="0"/>
      <w:divBdr>
        <w:top w:val="none" w:sz="0" w:space="0" w:color="auto"/>
        <w:left w:val="none" w:sz="0" w:space="0" w:color="auto"/>
        <w:bottom w:val="none" w:sz="0" w:space="0" w:color="auto"/>
        <w:right w:val="none" w:sz="0" w:space="0" w:color="auto"/>
      </w:divBdr>
    </w:div>
    <w:div w:id="1332103637">
      <w:bodyDiv w:val="1"/>
      <w:marLeft w:val="0"/>
      <w:marRight w:val="0"/>
      <w:marTop w:val="0"/>
      <w:marBottom w:val="0"/>
      <w:divBdr>
        <w:top w:val="none" w:sz="0" w:space="0" w:color="auto"/>
        <w:left w:val="none" w:sz="0" w:space="0" w:color="auto"/>
        <w:bottom w:val="none" w:sz="0" w:space="0" w:color="auto"/>
        <w:right w:val="none" w:sz="0" w:space="0" w:color="auto"/>
      </w:divBdr>
    </w:div>
    <w:div w:id="1338731226">
      <w:bodyDiv w:val="1"/>
      <w:marLeft w:val="0"/>
      <w:marRight w:val="0"/>
      <w:marTop w:val="0"/>
      <w:marBottom w:val="0"/>
      <w:divBdr>
        <w:top w:val="none" w:sz="0" w:space="0" w:color="auto"/>
        <w:left w:val="none" w:sz="0" w:space="0" w:color="auto"/>
        <w:bottom w:val="none" w:sz="0" w:space="0" w:color="auto"/>
        <w:right w:val="none" w:sz="0" w:space="0" w:color="auto"/>
      </w:divBdr>
    </w:div>
    <w:div w:id="1371765773">
      <w:bodyDiv w:val="1"/>
      <w:marLeft w:val="0"/>
      <w:marRight w:val="0"/>
      <w:marTop w:val="0"/>
      <w:marBottom w:val="0"/>
      <w:divBdr>
        <w:top w:val="none" w:sz="0" w:space="0" w:color="auto"/>
        <w:left w:val="none" w:sz="0" w:space="0" w:color="auto"/>
        <w:bottom w:val="none" w:sz="0" w:space="0" w:color="auto"/>
        <w:right w:val="none" w:sz="0" w:space="0" w:color="auto"/>
      </w:divBdr>
    </w:div>
    <w:div w:id="1444880070">
      <w:bodyDiv w:val="1"/>
      <w:marLeft w:val="0"/>
      <w:marRight w:val="0"/>
      <w:marTop w:val="0"/>
      <w:marBottom w:val="0"/>
      <w:divBdr>
        <w:top w:val="none" w:sz="0" w:space="0" w:color="auto"/>
        <w:left w:val="none" w:sz="0" w:space="0" w:color="auto"/>
        <w:bottom w:val="none" w:sz="0" w:space="0" w:color="auto"/>
        <w:right w:val="none" w:sz="0" w:space="0" w:color="auto"/>
      </w:divBdr>
    </w:div>
    <w:div w:id="1521889416">
      <w:bodyDiv w:val="1"/>
      <w:marLeft w:val="0"/>
      <w:marRight w:val="0"/>
      <w:marTop w:val="0"/>
      <w:marBottom w:val="0"/>
      <w:divBdr>
        <w:top w:val="none" w:sz="0" w:space="0" w:color="auto"/>
        <w:left w:val="none" w:sz="0" w:space="0" w:color="auto"/>
        <w:bottom w:val="none" w:sz="0" w:space="0" w:color="auto"/>
        <w:right w:val="none" w:sz="0" w:space="0" w:color="auto"/>
      </w:divBdr>
    </w:div>
    <w:div w:id="1633755102">
      <w:bodyDiv w:val="1"/>
      <w:marLeft w:val="0"/>
      <w:marRight w:val="0"/>
      <w:marTop w:val="0"/>
      <w:marBottom w:val="0"/>
      <w:divBdr>
        <w:top w:val="none" w:sz="0" w:space="0" w:color="auto"/>
        <w:left w:val="none" w:sz="0" w:space="0" w:color="auto"/>
        <w:bottom w:val="none" w:sz="0" w:space="0" w:color="auto"/>
        <w:right w:val="none" w:sz="0" w:space="0" w:color="auto"/>
      </w:divBdr>
    </w:div>
    <w:div w:id="1639144106">
      <w:bodyDiv w:val="1"/>
      <w:marLeft w:val="0"/>
      <w:marRight w:val="0"/>
      <w:marTop w:val="0"/>
      <w:marBottom w:val="0"/>
      <w:divBdr>
        <w:top w:val="none" w:sz="0" w:space="0" w:color="auto"/>
        <w:left w:val="none" w:sz="0" w:space="0" w:color="auto"/>
        <w:bottom w:val="none" w:sz="0" w:space="0" w:color="auto"/>
        <w:right w:val="none" w:sz="0" w:space="0" w:color="auto"/>
      </w:divBdr>
    </w:div>
    <w:div w:id="1665551957">
      <w:bodyDiv w:val="1"/>
      <w:marLeft w:val="0"/>
      <w:marRight w:val="0"/>
      <w:marTop w:val="0"/>
      <w:marBottom w:val="0"/>
      <w:divBdr>
        <w:top w:val="none" w:sz="0" w:space="0" w:color="auto"/>
        <w:left w:val="none" w:sz="0" w:space="0" w:color="auto"/>
        <w:bottom w:val="none" w:sz="0" w:space="0" w:color="auto"/>
        <w:right w:val="none" w:sz="0" w:space="0" w:color="auto"/>
      </w:divBdr>
    </w:div>
    <w:div w:id="1680964371">
      <w:bodyDiv w:val="1"/>
      <w:marLeft w:val="0"/>
      <w:marRight w:val="0"/>
      <w:marTop w:val="0"/>
      <w:marBottom w:val="0"/>
      <w:divBdr>
        <w:top w:val="none" w:sz="0" w:space="0" w:color="auto"/>
        <w:left w:val="none" w:sz="0" w:space="0" w:color="auto"/>
        <w:bottom w:val="none" w:sz="0" w:space="0" w:color="auto"/>
        <w:right w:val="none" w:sz="0" w:space="0" w:color="auto"/>
      </w:divBdr>
    </w:div>
    <w:div w:id="1798523265">
      <w:bodyDiv w:val="1"/>
      <w:marLeft w:val="0"/>
      <w:marRight w:val="0"/>
      <w:marTop w:val="0"/>
      <w:marBottom w:val="0"/>
      <w:divBdr>
        <w:top w:val="none" w:sz="0" w:space="0" w:color="auto"/>
        <w:left w:val="none" w:sz="0" w:space="0" w:color="auto"/>
        <w:bottom w:val="none" w:sz="0" w:space="0" w:color="auto"/>
        <w:right w:val="none" w:sz="0" w:space="0" w:color="auto"/>
      </w:divBdr>
    </w:div>
    <w:div w:id="1821539621">
      <w:bodyDiv w:val="1"/>
      <w:marLeft w:val="0"/>
      <w:marRight w:val="0"/>
      <w:marTop w:val="0"/>
      <w:marBottom w:val="0"/>
      <w:divBdr>
        <w:top w:val="none" w:sz="0" w:space="0" w:color="auto"/>
        <w:left w:val="none" w:sz="0" w:space="0" w:color="auto"/>
        <w:bottom w:val="none" w:sz="0" w:space="0" w:color="auto"/>
        <w:right w:val="none" w:sz="0" w:space="0" w:color="auto"/>
      </w:divBdr>
    </w:div>
    <w:div w:id="1913462158">
      <w:bodyDiv w:val="1"/>
      <w:marLeft w:val="0"/>
      <w:marRight w:val="0"/>
      <w:marTop w:val="0"/>
      <w:marBottom w:val="0"/>
      <w:divBdr>
        <w:top w:val="none" w:sz="0" w:space="0" w:color="auto"/>
        <w:left w:val="none" w:sz="0" w:space="0" w:color="auto"/>
        <w:bottom w:val="none" w:sz="0" w:space="0" w:color="auto"/>
        <w:right w:val="none" w:sz="0" w:space="0" w:color="auto"/>
      </w:divBdr>
    </w:div>
    <w:div w:id="2040665425">
      <w:bodyDiv w:val="1"/>
      <w:marLeft w:val="0"/>
      <w:marRight w:val="0"/>
      <w:marTop w:val="0"/>
      <w:marBottom w:val="0"/>
      <w:divBdr>
        <w:top w:val="none" w:sz="0" w:space="0" w:color="auto"/>
        <w:left w:val="none" w:sz="0" w:space="0" w:color="auto"/>
        <w:bottom w:val="none" w:sz="0" w:space="0" w:color="auto"/>
        <w:right w:val="none" w:sz="0" w:space="0" w:color="auto"/>
      </w:divBdr>
    </w:div>
    <w:div w:id="2102411768">
      <w:bodyDiv w:val="1"/>
      <w:marLeft w:val="0"/>
      <w:marRight w:val="0"/>
      <w:marTop w:val="0"/>
      <w:marBottom w:val="0"/>
      <w:divBdr>
        <w:top w:val="none" w:sz="0" w:space="0" w:color="auto"/>
        <w:left w:val="none" w:sz="0" w:space="0" w:color="auto"/>
        <w:bottom w:val="none" w:sz="0" w:space="0" w:color="auto"/>
        <w:right w:val="none" w:sz="0" w:space="0" w:color="auto"/>
      </w:divBdr>
    </w:div>
    <w:div w:id="212619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6.svg"/><Relationship Id="rId21" Type="http://schemas.openxmlformats.org/officeDocument/2006/relationships/image" Target="media/image9.svg"/><Relationship Id="rId42" Type="http://schemas.openxmlformats.org/officeDocument/2006/relationships/image" Target="media/image30.png"/><Relationship Id="rId63" Type="http://schemas.openxmlformats.org/officeDocument/2006/relationships/image" Target="media/image49.png"/><Relationship Id="rId84" Type="http://schemas.openxmlformats.org/officeDocument/2006/relationships/image" Target="media/image69.png"/><Relationship Id="rId138" Type="http://schemas.openxmlformats.org/officeDocument/2006/relationships/hyperlink" Target="https://www.itu.int/itu-d/sites/digital-impact-unlocked/crisis-response-itus-response-to-hurricane-beryl/" TargetMode="External"/><Relationship Id="rId107" Type="http://schemas.openxmlformats.org/officeDocument/2006/relationships/image" Target="media/image89.png"/><Relationship Id="rId11" Type="http://schemas.openxmlformats.org/officeDocument/2006/relationships/image" Target="media/image1.jpeg"/><Relationship Id="rId32" Type="http://schemas.openxmlformats.org/officeDocument/2006/relationships/image" Target="media/image20.png"/><Relationship Id="rId53" Type="http://schemas.openxmlformats.org/officeDocument/2006/relationships/image" Target="media/image41.svg"/><Relationship Id="rId74" Type="http://schemas.openxmlformats.org/officeDocument/2006/relationships/image" Target="media/image60.svg"/><Relationship Id="rId128" Type="http://schemas.openxmlformats.org/officeDocument/2006/relationships/image" Target="media/image105.png"/><Relationship Id="rId149" Type="http://schemas.openxmlformats.org/officeDocument/2006/relationships/footer" Target="footer2.xml"/><Relationship Id="rId5" Type="http://schemas.openxmlformats.org/officeDocument/2006/relationships/numbering" Target="numbering.xml"/><Relationship Id="rId95" Type="http://schemas.openxmlformats.org/officeDocument/2006/relationships/image" Target="media/image79.png"/><Relationship Id="rId22" Type="http://schemas.openxmlformats.org/officeDocument/2006/relationships/image" Target="media/image10.png"/><Relationship Id="rId27" Type="http://schemas.openxmlformats.org/officeDocument/2006/relationships/image" Target="media/image15.svg"/><Relationship Id="rId43" Type="http://schemas.openxmlformats.org/officeDocument/2006/relationships/image" Target="media/image31.svg"/><Relationship Id="rId48" Type="http://schemas.openxmlformats.org/officeDocument/2006/relationships/image" Target="media/image36.png"/><Relationship Id="rId64" Type="http://schemas.openxmlformats.org/officeDocument/2006/relationships/image" Target="media/image50.svg"/><Relationship Id="rId69" Type="http://schemas.openxmlformats.org/officeDocument/2006/relationships/image" Target="media/image55.png"/><Relationship Id="rId113" Type="http://schemas.openxmlformats.org/officeDocument/2006/relationships/image" Target="media/image93.png"/><Relationship Id="rId118" Type="http://schemas.openxmlformats.org/officeDocument/2006/relationships/image" Target="media/image97.png"/><Relationship Id="rId134" Type="http://schemas.openxmlformats.org/officeDocument/2006/relationships/image" Target="media/image109.emf"/><Relationship Id="rId139" Type="http://schemas.openxmlformats.org/officeDocument/2006/relationships/hyperlink" Target="https://www.itu.int/itu-d/sites/digital-impact-unlocked/empowering-girls-in-technology-through-programming-and-innovation/" TargetMode="External"/><Relationship Id="rId80" Type="http://schemas.openxmlformats.org/officeDocument/2006/relationships/image" Target="media/image65.png"/><Relationship Id="rId85" Type="http://schemas.openxmlformats.org/officeDocument/2006/relationships/image" Target="media/image70.svg"/><Relationship Id="rId150" Type="http://schemas.openxmlformats.org/officeDocument/2006/relationships/header" Target="header3.xml"/><Relationship Id="rId12" Type="http://schemas.openxmlformats.org/officeDocument/2006/relationships/image" Target="media/image2.png"/><Relationship Id="rId17" Type="http://schemas.openxmlformats.org/officeDocument/2006/relationships/hyperlink" Target="https://www.itu.int/pub/D-PREF-BB.REG_OUT01-2023/en" TargetMode="External"/><Relationship Id="rId33" Type="http://schemas.openxmlformats.org/officeDocument/2006/relationships/image" Target="media/image21.sv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hyperlink" Target="https://www.itu.int/en/ITU-D/Statistics/Documents/facts/rpm_ams_pub_2025_data.xlsx" TargetMode="External"/><Relationship Id="rId108" Type="http://schemas.openxmlformats.org/officeDocument/2006/relationships/image" Target="media/image90.svg"/><Relationship Id="rId124" Type="http://schemas.openxmlformats.org/officeDocument/2006/relationships/image" Target="media/image103.png"/><Relationship Id="rId129" Type="http://schemas.openxmlformats.org/officeDocument/2006/relationships/image" Target="media/image106.svg"/><Relationship Id="rId54" Type="http://schemas.openxmlformats.org/officeDocument/2006/relationships/image" Target="media/image42.png"/><Relationship Id="rId70" Type="http://schemas.openxmlformats.org/officeDocument/2006/relationships/image" Target="media/image56.svg"/><Relationship Id="rId75" Type="http://schemas.openxmlformats.org/officeDocument/2006/relationships/hyperlink" Target="https://www.broadbandcommission.org/" TargetMode="External"/><Relationship Id="rId91" Type="http://schemas.openxmlformats.org/officeDocument/2006/relationships/image" Target="media/image75.png"/><Relationship Id="rId96" Type="http://schemas.openxmlformats.org/officeDocument/2006/relationships/image" Target="media/image80.svg"/><Relationship Id="rId140" Type="http://schemas.openxmlformats.org/officeDocument/2006/relationships/hyperlink" Target="https://www.itu.int/en/ITU-D/Statistics/Documents/facts/rpm_arb_pub_2025_data.xlsx" TargetMode="External"/><Relationship Id="rId145" Type="http://schemas.openxmlformats.org/officeDocument/2006/relationships/hyperlink" Target="https://www.itu.int/en/ITUD/Statistics/Documents/facts/ITU_regional_global_Key_ICT_indicator_aggregates_Nov_2024.xlsx"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svg"/><Relationship Id="rId28" Type="http://schemas.openxmlformats.org/officeDocument/2006/relationships/image" Target="media/image16.png"/><Relationship Id="rId49" Type="http://schemas.openxmlformats.org/officeDocument/2006/relationships/image" Target="media/image37.svg"/><Relationship Id="rId114" Type="http://schemas.openxmlformats.org/officeDocument/2006/relationships/image" Target="media/image94.svg"/><Relationship Id="rId119" Type="http://schemas.openxmlformats.org/officeDocument/2006/relationships/image" Target="media/image98.svg"/><Relationship Id="rId44" Type="http://schemas.openxmlformats.org/officeDocument/2006/relationships/image" Target="media/image32.png"/><Relationship Id="rId60" Type="http://schemas.openxmlformats.org/officeDocument/2006/relationships/image" Target="media/image46.svg"/><Relationship Id="rId65" Type="http://schemas.openxmlformats.org/officeDocument/2006/relationships/image" Target="media/image51.png"/><Relationship Id="rId81" Type="http://schemas.openxmlformats.org/officeDocument/2006/relationships/image" Target="media/image66.svg"/><Relationship Id="rId86" Type="http://schemas.openxmlformats.org/officeDocument/2006/relationships/image" Target="media/image71.png"/><Relationship Id="rId130" Type="http://schemas.openxmlformats.org/officeDocument/2006/relationships/hyperlink" Target="https://www.itu.int/hub/publication/d-gen-e_waste-01-2024/" TargetMode="External"/><Relationship Id="rId135" Type="http://schemas.openxmlformats.org/officeDocument/2006/relationships/hyperlink" Target="https://www.itu.int/itu-d/sites/digital-impact-unlocked/all-stories/list/" TargetMode="External"/><Relationship Id="rId151" Type="http://schemas.openxmlformats.org/officeDocument/2006/relationships/footer" Target="footer3.xml"/><Relationship Id="rId13" Type="http://schemas.openxmlformats.org/officeDocument/2006/relationships/image" Target="media/image3.svg"/><Relationship Id="rId18" Type="http://schemas.openxmlformats.org/officeDocument/2006/relationships/image" Target="media/image6.png"/><Relationship Id="rId39" Type="http://schemas.openxmlformats.org/officeDocument/2006/relationships/image" Target="media/image27.svg"/><Relationship Id="rId109" Type="http://schemas.openxmlformats.org/officeDocument/2006/relationships/hyperlink" Target="https://www.itu.int/en/ITU-D/Statistics/Documents/facts/rpm_ams_pub_2025_data.xlsx" TargetMode="Externa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hyperlink" Target="https://bbmaps.itu.int/app" TargetMode="External"/><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7.png"/><Relationship Id="rId120" Type="http://schemas.openxmlformats.org/officeDocument/2006/relationships/image" Target="media/image99.png"/><Relationship Id="rId125" Type="http://schemas.openxmlformats.org/officeDocument/2006/relationships/image" Target="media/image104.svg"/><Relationship Id="rId141" Type="http://schemas.openxmlformats.org/officeDocument/2006/relationships/hyperlink" Target="https://www.itu.int/en/ITU-D/Statistics/Documents/facts/rpm_ams_pub_2025_data.xlsx" TargetMode="External"/><Relationship Id="rId14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7.png"/><Relationship Id="rId92" Type="http://schemas.openxmlformats.org/officeDocument/2006/relationships/image" Target="media/image76.svg"/><Relationship Id="rId2" Type="http://schemas.openxmlformats.org/officeDocument/2006/relationships/customXml" Target="../customXml/item2.xml"/><Relationship Id="rId29" Type="http://schemas.openxmlformats.org/officeDocument/2006/relationships/image" Target="media/image17.sv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svg"/><Relationship Id="rId66" Type="http://schemas.openxmlformats.org/officeDocument/2006/relationships/image" Target="media/image52.svg"/><Relationship Id="rId87" Type="http://schemas.openxmlformats.org/officeDocument/2006/relationships/image" Target="media/image72.svg"/><Relationship Id="rId110" Type="http://schemas.openxmlformats.org/officeDocument/2006/relationships/image" Target="media/image91.png"/><Relationship Id="rId115" Type="http://schemas.openxmlformats.org/officeDocument/2006/relationships/hyperlink" Target="https://www.itu.int/en/ITU-D/Statistics/Documents/facts/rpm_ams_pub_2025_data.xlsx" TargetMode="External"/><Relationship Id="rId131" Type="http://schemas.openxmlformats.org/officeDocument/2006/relationships/hyperlink" Target="https://www.itu.int/hub/publication/d-gen-e_waste-01-2024/" TargetMode="External"/><Relationship Id="rId136" Type="http://schemas.openxmlformats.org/officeDocument/2006/relationships/hyperlink" Target="https://www.itu.int/itu-d/sites/digital-impact-unlocked/bridging-the-digital-divide-in-indigenous-and-rural-communities-in-the-americas/" TargetMode="External"/><Relationship Id="rId61" Type="http://schemas.openxmlformats.org/officeDocument/2006/relationships/image" Target="media/image47.png"/><Relationship Id="rId82" Type="http://schemas.openxmlformats.org/officeDocument/2006/relationships/image" Target="media/image67.png"/><Relationship Id="rId152" Type="http://schemas.openxmlformats.org/officeDocument/2006/relationships/fontTable" Target="fontTable.xml"/><Relationship Id="rId19" Type="http://schemas.openxmlformats.org/officeDocument/2006/relationships/image" Target="media/image7.svg"/><Relationship Id="rId14" Type="http://schemas.openxmlformats.org/officeDocument/2006/relationships/hyperlink" Target="https://app.gen5.digital/tracker/metrics" TargetMode="External"/><Relationship Id="rId30" Type="http://schemas.openxmlformats.org/officeDocument/2006/relationships/image" Target="media/image18.png"/><Relationship Id="rId35" Type="http://schemas.openxmlformats.org/officeDocument/2006/relationships/image" Target="media/image23.svg"/><Relationship Id="rId56" Type="http://schemas.openxmlformats.org/officeDocument/2006/relationships/image" Target="media/image43.png"/><Relationship Id="rId77" Type="http://schemas.openxmlformats.org/officeDocument/2006/relationships/image" Target="media/image62.svg"/><Relationship Id="rId100" Type="http://schemas.openxmlformats.org/officeDocument/2006/relationships/image" Target="media/image84.svg"/><Relationship Id="rId105" Type="http://schemas.openxmlformats.org/officeDocument/2006/relationships/image" Target="media/image88.svg"/><Relationship Id="rId126" Type="http://schemas.openxmlformats.org/officeDocument/2006/relationships/hyperlink" Target="https://www.itu.int/hub/publication/d-gen-e_waste-01-2024/" TargetMode="External"/><Relationship Id="rId147"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9.svg"/><Relationship Id="rId72" Type="http://schemas.openxmlformats.org/officeDocument/2006/relationships/image" Target="media/image58.svg"/><Relationship Id="rId93" Type="http://schemas.openxmlformats.org/officeDocument/2006/relationships/image" Target="media/image77.png"/><Relationship Id="rId98" Type="http://schemas.openxmlformats.org/officeDocument/2006/relationships/image" Target="media/image82.svg"/><Relationship Id="rId121" Type="http://schemas.openxmlformats.org/officeDocument/2006/relationships/image" Target="media/image100.svg"/><Relationship Id="rId142" Type="http://schemas.openxmlformats.org/officeDocument/2006/relationships/hyperlink" Target="https://datahub.itu.int/" TargetMode="External"/><Relationship Id="rId3" Type="http://schemas.openxmlformats.org/officeDocument/2006/relationships/customXml" Target="../customXml/item3.xml"/><Relationship Id="rId25" Type="http://schemas.openxmlformats.org/officeDocument/2006/relationships/image" Target="media/image13.svg"/><Relationship Id="rId46" Type="http://schemas.openxmlformats.org/officeDocument/2006/relationships/image" Target="media/image34.png"/><Relationship Id="rId67" Type="http://schemas.openxmlformats.org/officeDocument/2006/relationships/image" Target="media/image53.png"/><Relationship Id="rId116" Type="http://schemas.openxmlformats.org/officeDocument/2006/relationships/image" Target="media/image95.png"/><Relationship Id="rId137" Type="http://schemas.openxmlformats.org/officeDocument/2006/relationships/hyperlink" Target="https://www.itu.int/itu-d/sites/digital-impact-unlocked/smart-seas-project-for-caribbean-small-scale-fishers/" TargetMode="External"/><Relationship Id="rId20" Type="http://schemas.openxmlformats.org/officeDocument/2006/relationships/image" Target="media/image8.png"/><Relationship Id="rId41" Type="http://schemas.openxmlformats.org/officeDocument/2006/relationships/image" Target="media/image29.svg"/><Relationship Id="rId62" Type="http://schemas.openxmlformats.org/officeDocument/2006/relationships/image" Target="media/image48.svg"/><Relationship Id="rId83" Type="http://schemas.openxmlformats.org/officeDocument/2006/relationships/image" Target="media/image68.svg"/><Relationship Id="rId88" Type="http://schemas.openxmlformats.org/officeDocument/2006/relationships/hyperlink" Target="https://www.itu.int/itu-d/meetings/statistics/wp-content/uploads/sites/8/2023/09/Report-of-the-EGH-subgroup-on-ICT-Skills.pdf" TargetMode="External"/><Relationship Id="rId111" Type="http://schemas.openxmlformats.org/officeDocument/2006/relationships/image" Target="media/image92.svg"/><Relationship Id="rId132" Type="http://schemas.openxmlformats.org/officeDocument/2006/relationships/image" Target="media/image107.png"/><Relationship Id="rId153" Type="http://schemas.openxmlformats.org/officeDocument/2006/relationships/theme" Target="theme/theme1.xml"/><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4.svg"/><Relationship Id="rId106" Type="http://schemas.openxmlformats.org/officeDocument/2006/relationships/hyperlink" Target="https://www.itu.int/en/ITU-D/Statistics/Documents/facts/rpm_ams_pub_2025_data.xlsx" TargetMode="External"/><Relationship Id="rId127" Type="http://schemas.openxmlformats.org/officeDocument/2006/relationships/hyperlink" Target="https://www.itu.int/en/ITU-D/Environment/Pages/Publications/The-Global-E-waste-Monitor-2024.aspx" TargetMode="External"/><Relationship Id="rId10" Type="http://schemas.openxmlformats.org/officeDocument/2006/relationships/endnotes" Target="endnotes.xml"/><Relationship Id="rId31" Type="http://schemas.openxmlformats.org/officeDocument/2006/relationships/image" Target="media/image19.svg"/><Relationship Id="rId52" Type="http://schemas.openxmlformats.org/officeDocument/2006/relationships/image" Target="media/image40.png"/><Relationship Id="rId73" Type="http://schemas.openxmlformats.org/officeDocument/2006/relationships/image" Target="media/image59.png"/><Relationship Id="rId78" Type="http://schemas.openxmlformats.org/officeDocument/2006/relationships/image" Target="media/image63.png"/><Relationship Id="rId94" Type="http://schemas.openxmlformats.org/officeDocument/2006/relationships/image" Target="media/image78.sv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1.png"/><Relationship Id="rId143" Type="http://schemas.openxmlformats.org/officeDocument/2006/relationships/hyperlink" Target="https://www.itu.int/en/ITU-D/Statistics/Documents/facts/ITU_regional_global_Key_ICT_indicator_aggregates_Nov_2024.xlsx" TargetMode="External"/><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5.svg"/><Relationship Id="rId68" Type="http://schemas.openxmlformats.org/officeDocument/2006/relationships/image" Target="media/image54.svg"/><Relationship Id="rId89" Type="http://schemas.openxmlformats.org/officeDocument/2006/relationships/image" Target="media/image73.png"/><Relationship Id="rId112" Type="http://schemas.openxmlformats.org/officeDocument/2006/relationships/hyperlink" Target="https://www.itu.int/en/ITU-D/Statistics/Documents/facts/rpm_ams_pub_2025_data.xlsx" TargetMode="External"/><Relationship Id="rId133" Type="http://schemas.openxmlformats.org/officeDocument/2006/relationships/image" Target="media/image108.svg"/><Relationship Id="rId16" Type="http://schemas.openxmlformats.org/officeDocument/2006/relationships/image" Target="media/image5.svg"/><Relationship Id="rId37" Type="http://schemas.openxmlformats.org/officeDocument/2006/relationships/image" Target="media/image25.svg"/><Relationship Id="rId58" Type="http://schemas.openxmlformats.org/officeDocument/2006/relationships/hyperlink" Target="https://bbmaps.itu.int/indicators-bbmaps" TargetMode="External"/><Relationship Id="rId79" Type="http://schemas.openxmlformats.org/officeDocument/2006/relationships/image" Target="media/image64.svg"/><Relationship Id="rId102" Type="http://schemas.openxmlformats.org/officeDocument/2006/relationships/image" Target="media/image86.svg"/><Relationship Id="rId123" Type="http://schemas.openxmlformats.org/officeDocument/2006/relationships/image" Target="media/image102.svg"/><Relationship Id="rId144" Type="http://schemas.openxmlformats.org/officeDocument/2006/relationships/hyperlink" Target="https://www.itu.int/itu-d/reports/statistics/facts-figures-2024/" TargetMode="External"/><Relationship Id="rId90" Type="http://schemas.openxmlformats.org/officeDocument/2006/relationships/image" Target="media/image74.svg"/></Relationships>
</file>

<file path=word/_rels/footer3.xml.rels><?xml version="1.0" encoding="UTF-8" standalone="yes"?>
<Relationships xmlns="http://schemas.openxmlformats.org/package/2006/relationships"><Relationship Id="rId1" Type="http://schemas.openxmlformats.org/officeDocument/2006/relationships/hyperlink" Target="mailto:thierry.geiger@itu.i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itu.int/net/epub/BDT/2024-ITUs-contribution-to-the-implementation-of-the-Antigua-and-Barbuda-Agenda-for-SIDS/index.html" TargetMode="External"/><Relationship Id="rId2" Type="http://schemas.openxmlformats.org/officeDocument/2006/relationships/hyperlink" Target="https://digitallibrary.un.org/record/4054465?ln=en" TargetMode="External"/><Relationship Id="rId1" Type="http://schemas.openxmlformats.org/officeDocument/2006/relationships/hyperlink" Target="http://www.gen5.digital/benchmark" TargetMode="External"/><Relationship Id="rId6" Type="http://schemas.openxmlformats.org/officeDocument/2006/relationships/hyperlink" Target="https://www.itu.int/itu-d/reports/statistics/facts-figures-2024/" TargetMode="External"/><Relationship Id="rId5" Type="http://schemas.openxmlformats.org/officeDocument/2006/relationships/hyperlink" Target="https://datahub.itu.int/" TargetMode="External"/><Relationship Id="rId4" Type="http://schemas.openxmlformats.org/officeDocument/2006/relationships/hyperlink" Target="https://eur03.safelinks.protection.outlook.com/?url=https%3A%2F%2Fdocs.un.org%2FA%2FRES%2F79%2F233&amp;data=05%7C02%7Cyoulia.lozanova%40itu.int%7C0062349b3e6e4b3b9c3d08dd34f459e5%7C23e464d704e64b87913c24bd89219fd3%7C0%7C0%7C638724946270432167%7CUnknown%7CTWFpbGZsb3d8eyJFbXB0eU1hcGkiOnRydWUsIlYiOiIwLjAuMDAwMCIsIlAiOiJXaW4zMiIsIkFOIjoiTWFpbCIsIldUIjoyfQ%3D%3D%7C0%7C%7C%7C&amp;sdata=KU3ejXHGwiBsr3GAie7k%2FxDEgJPQjzmmdFn3JCAXNs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4151c7f-6a84-4427-a6ce-bf1d7f28364f" xsi:nil="true"/>
    <lcf76f155ced4ddcb4097134ff3c332f xmlns="b6109c62-af78-494c-a825-80e1ffe3279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3CCE0E51E9C1044807BC3B58DFAB656" ma:contentTypeVersion="14" ma:contentTypeDescription="Create a new document." ma:contentTypeScope="" ma:versionID="0542466fb3227df020f2251ae0b8c19a">
  <xsd:schema xmlns:xsd="http://www.w3.org/2001/XMLSchema" xmlns:xs="http://www.w3.org/2001/XMLSchema" xmlns:p="http://schemas.microsoft.com/office/2006/metadata/properties" xmlns:ns2="b6109c62-af78-494c-a825-80e1ffe32798" xmlns:ns3="54151c7f-6a84-4427-a6ce-bf1d7f28364f" targetNamespace="http://schemas.microsoft.com/office/2006/metadata/properties" ma:root="true" ma:fieldsID="fba0f8afe28ffa52de8d1b53a62a57c1" ns2:_="" ns3:_="">
    <xsd:import namespace="b6109c62-af78-494c-a825-80e1ffe32798"/>
    <xsd:import namespace="54151c7f-6a84-4427-a6ce-bf1d7f28364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109c62-af78-494c-a825-80e1ffe32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e895586-ec57-4162-862b-45953123501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4151c7f-6a84-4427-a6ce-bf1d7f2836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d29b382-fa5a-4cbe-be10-aecbe8bfdefe}" ma:internalName="TaxCatchAll" ma:showField="CatchAllData" ma:web="54151c7f-6a84-4427-a6ce-bf1d7f2836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17E243-CB01-4DD2-9601-80AA209EE04B}">
  <ds:schemaRefs>
    <ds:schemaRef ds:uri="http://schemas.microsoft.com/sharepoint/v3/contenttype/forms"/>
  </ds:schemaRefs>
</ds:datastoreItem>
</file>

<file path=customXml/itemProps2.xml><?xml version="1.0" encoding="utf-8"?>
<ds:datastoreItem xmlns:ds="http://schemas.openxmlformats.org/officeDocument/2006/customXml" ds:itemID="{3EC58782-B0E1-4E89-9094-CADA65784796}">
  <ds:schemaRefs>
    <ds:schemaRef ds:uri="http://schemas.microsoft.com/office/2006/metadata/properties"/>
    <ds:schemaRef ds:uri="http://schemas.microsoft.com/office/infopath/2007/PartnerControls"/>
    <ds:schemaRef ds:uri="0f208774-d51b-4573-a67b-89dea6922a77"/>
    <ds:schemaRef ds:uri="c90385a7-5e94-4852-9398-ec888c07ca90"/>
    <ds:schemaRef ds:uri="54151c7f-6a84-4427-a6ce-bf1d7f28364f"/>
    <ds:schemaRef ds:uri="b6109c62-af78-494c-a825-80e1ffe32798"/>
  </ds:schemaRefs>
</ds:datastoreItem>
</file>

<file path=customXml/itemProps3.xml><?xml version="1.0" encoding="utf-8"?>
<ds:datastoreItem xmlns:ds="http://schemas.openxmlformats.org/officeDocument/2006/customXml" ds:itemID="{BACF41A4-028F-4752-A2BC-E01D80CDE6F4}">
  <ds:schemaRefs>
    <ds:schemaRef ds:uri="http://schemas.openxmlformats.org/officeDocument/2006/bibliography"/>
  </ds:schemaRefs>
</ds:datastoreItem>
</file>

<file path=customXml/itemProps4.xml><?xml version="1.0" encoding="utf-8"?>
<ds:datastoreItem xmlns:ds="http://schemas.openxmlformats.org/officeDocument/2006/customXml" ds:itemID="{182E01FD-4E46-465B-A8FA-D6220FF40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109c62-af78-494c-a825-80e1ffe32798"/>
    <ds:schemaRef ds:uri="54151c7f-6a84-4427-a6ce-bf1d7f2836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55</Pages>
  <Words>12025</Words>
  <Characters>71143</Characters>
  <Application>Microsoft Office Word</Application>
  <DocSecurity>0</DocSecurity>
  <Lines>592</Lines>
  <Paragraphs>166</Paragraphs>
  <ScaleCrop>false</ScaleCrop>
  <Manager>General Secretariat - Pool</Manager>
  <Company>International Telecommunication Union (ITU)</Company>
  <LinksUpToDate>false</LinksUpToDate>
  <CharactersWithSpaces>83002</CharactersWithSpaces>
  <SharedDoc>false</SharedDoc>
  <HLinks>
    <vt:vector size="216" baseType="variant">
      <vt:variant>
        <vt:i4>3932202</vt:i4>
      </vt:variant>
      <vt:variant>
        <vt:i4>150</vt:i4>
      </vt:variant>
      <vt:variant>
        <vt:i4>0</vt:i4>
      </vt:variant>
      <vt:variant>
        <vt:i4>5</vt:i4>
      </vt:variant>
      <vt:variant>
        <vt:lpwstr>https://www.itu.int/en/ITUD/Statistics/Documents/facts/ITU_regional_global_Key_ICT_indicator_aggregates_Nov_2024.xlsx</vt:lpwstr>
      </vt:variant>
      <vt:variant>
        <vt:lpwstr/>
      </vt:variant>
      <vt:variant>
        <vt:i4>4456465</vt:i4>
      </vt:variant>
      <vt:variant>
        <vt:i4>147</vt:i4>
      </vt:variant>
      <vt:variant>
        <vt:i4>0</vt:i4>
      </vt:variant>
      <vt:variant>
        <vt:i4>5</vt:i4>
      </vt:variant>
      <vt:variant>
        <vt:lpwstr>https://www.itu.int/itu-d/reports/statistics/facts-figures-2024/</vt:lpwstr>
      </vt:variant>
      <vt:variant>
        <vt:lpwstr/>
      </vt:variant>
      <vt:variant>
        <vt:i4>786511</vt:i4>
      </vt:variant>
      <vt:variant>
        <vt:i4>144</vt:i4>
      </vt:variant>
      <vt:variant>
        <vt:i4>0</vt:i4>
      </vt:variant>
      <vt:variant>
        <vt:i4>5</vt:i4>
      </vt:variant>
      <vt:variant>
        <vt:lpwstr>https://www.itu.int/en/ITU-D/Statistics/Documents/facts/ITU_regional_global_Key_ICT_indicator_aggregates_Nov_2024.xlsx</vt:lpwstr>
      </vt:variant>
      <vt:variant>
        <vt:lpwstr/>
      </vt:variant>
      <vt:variant>
        <vt:i4>5308507</vt:i4>
      </vt:variant>
      <vt:variant>
        <vt:i4>141</vt:i4>
      </vt:variant>
      <vt:variant>
        <vt:i4>0</vt:i4>
      </vt:variant>
      <vt:variant>
        <vt:i4>5</vt:i4>
      </vt:variant>
      <vt:variant>
        <vt:lpwstr>https://datahub.itu.int/</vt:lpwstr>
      </vt:variant>
      <vt:variant>
        <vt:lpwstr/>
      </vt:variant>
      <vt:variant>
        <vt:i4>94</vt:i4>
      </vt:variant>
      <vt:variant>
        <vt:i4>138</vt:i4>
      </vt:variant>
      <vt:variant>
        <vt:i4>0</vt:i4>
      </vt:variant>
      <vt:variant>
        <vt:i4>5</vt:i4>
      </vt:variant>
      <vt:variant>
        <vt:lpwstr>https://www.itu.int/en/ITU-D/Statistics/Documents/facts/rpm_ams_pub_2025_data.xlsx</vt:lpwstr>
      </vt:variant>
      <vt:variant>
        <vt:lpwstr/>
      </vt:variant>
      <vt:variant>
        <vt:i4>2031695</vt:i4>
      </vt:variant>
      <vt:variant>
        <vt:i4>135</vt:i4>
      </vt:variant>
      <vt:variant>
        <vt:i4>0</vt:i4>
      </vt:variant>
      <vt:variant>
        <vt:i4>5</vt:i4>
      </vt:variant>
      <vt:variant>
        <vt:lpwstr>https://www.itu.int/en/ITU-D/Statistics/Documents/facts/rpm_arb_pub_2025_data.xlsx</vt:lpwstr>
      </vt:variant>
      <vt:variant>
        <vt:lpwstr/>
      </vt:variant>
      <vt:variant>
        <vt:i4>6815862</vt:i4>
      </vt:variant>
      <vt:variant>
        <vt:i4>132</vt:i4>
      </vt:variant>
      <vt:variant>
        <vt:i4>0</vt:i4>
      </vt:variant>
      <vt:variant>
        <vt:i4>5</vt:i4>
      </vt:variant>
      <vt:variant>
        <vt:lpwstr>https://www.itu.int/itu-d/sites/digital-impact-unlocked/empowering-girls-in-technology-through-programming-and-innovation/</vt:lpwstr>
      </vt:variant>
      <vt:variant>
        <vt:lpwstr/>
      </vt:variant>
      <vt:variant>
        <vt:i4>1245202</vt:i4>
      </vt:variant>
      <vt:variant>
        <vt:i4>129</vt:i4>
      </vt:variant>
      <vt:variant>
        <vt:i4>0</vt:i4>
      </vt:variant>
      <vt:variant>
        <vt:i4>5</vt:i4>
      </vt:variant>
      <vt:variant>
        <vt:lpwstr>https://www.itu.int/itu-d/sites/digital-impact-unlocked/crisis-response-itus-response-to-hurricane-beryl/</vt:lpwstr>
      </vt:variant>
      <vt:variant>
        <vt:lpwstr/>
      </vt:variant>
      <vt:variant>
        <vt:i4>5111833</vt:i4>
      </vt:variant>
      <vt:variant>
        <vt:i4>126</vt:i4>
      </vt:variant>
      <vt:variant>
        <vt:i4>0</vt:i4>
      </vt:variant>
      <vt:variant>
        <vt:i4>5</vt:i4>
      </vt:variant>
      <vt:variant>
        <vt:lpwstr>https://www.itu.int/itu-d/sites/digital-impact-unlocked/smart-seas-project-for-caribbean-small-scale-fishers/</vt:lpwstr>
      </vt:variant>
      <vt:variant>
        <vt:lpwstr/>
      </vt:variant>
      <vt:variant>
        <vt:i4>983065</vt:i4>
      </vt:variant>
      <vt:variant>
        <vt:i4>123</vt:i4>
      </vt:variant>
      <vt:variant>
        <vt:i4>0</vt:i4>
      </vt:variant>
      <vt:variant>
        <vt:i4>5</vt:i4>
      </vt:variant>
      <vt:variant>
        <vt:lpwstr>https://www.itu.int/itu-d/sites/digital-impact-unlocked/bridging-the-digital-divide-in-indigenous-and-rural-communities-in-the-americas/</vt:lpwstr>
      </vt:variant>
      <vt:variant>
        <vt:lpwstr/>
      </vt:variant>
      <vt:variant>
        <vt:i4>1179675</vt:i4>
      </vt:variant>
      <vt:variant>
        <vt:i4>120</vt:i4>
      </vt:variant>
      <vt:variant>
        <vt:i4>0</vt:i4>
      </vt:variant>
      <vt:variant>
        <vt:i4>5</vt:i4>
      </vt:variant>
      <vt:variant>
        <vt:lpwstr>https://www.itu.int/itu-d/sites/digital-impact-unlocked/all-stories/list/</vt:lpwstr>
      </vt:variant>
      <vt:variant>
        <vt:lpwstr/>
      </vt:variant>
      <vt:variant>
        <vt:i4>5963814</vt:i4>
      </vt:variant>
      <vt:variant>
        <vt:i4>117</vt:i4>
      </vt:variant>
      <vt:variant>
        <vt:i4>0</vt:i4>
      </vt:variant>
      <vt:variant>
        <vt:i4>5</vt:i4>
      </vt:variant>
      <vt:variant>
        <vt:lpwstr>https://www.itu.int/hub/publication/d-gen-e_waste-01-2024/</vt:lpwstr>
      </vt:variant>
      <vt:variant>
        <vt:lpwstr/>
      </vt:variant>
      <vt:variant>
        <vt:i4>5963814</vt:i4>
      </vt:variant>
      <vt:variant>
        <vt:i4>114</vt:i4>
      </vt:variant>
      <vt:variant>
        <vt:i4>0</vt:i4>
      </vt:variant>
      <vt:variant>
        <vt:i4>5</vt:i4>
      </vt:variant>
      <vt:variant>
        <vt:lpwstr>https://www.itu.int/hub/publication/d-gen-e_waste-01-2024/</vt:lpwstr>
      </vt:variant>
      <vt:variant>
        <vt:lpwstr/>
      </vt:variant>
      <vt:variant>
        <vt:i4>917521</vt:i4>
      </vt:variant>
      <vt:variant>
        <vt:i4>111</vt:i4>
      </vt:variant>
      <vt:variant>
        <vt:i4>0</vt:i4>
      </vt:variant>
      <vt:variant>
        <vt:i4>5</vt:i4>
      </vt:variant>
      <vt:variant>
        <vt:lpwstr>https://www.itu.int/en/ITU-D/Environment/Pages/Publications/The-Global-E-waste-Monitor-2024.aspx</vt:lpwstr>
      </vt:variant>
      <vt:variant>
        <vt:lpwstr/>
      </vt:variant>
      <vt:variant>
        <vt:i4>5963814</vt:i4>
      </vt:variant>
      <vt:variant>
        <vt:i4>108</vt:i4>
      </vt:variant>
      <vt:variant>
        <vt:i4>0</vt:i4>
      </vt:variant>
      <vt:variant>
        <vt:i4>5</vt:i4>
      </vt:variant>
      <vt:variant>
        <vt:lpwstr>https://www.itu.int/hub/publication/d-gen-e_waste-01-2024/</vt:lpwstr>
      </vt:variant>
      <vt:variant>
        <vt:lpwstr/>
      </vt:variant>
      <vt:variant>
        <vt:i4>94</vt:i4>
      </vt:variant>
      <vt:variant>
        <vt:i4>105</vt:i4>
      </vt:variant>
      <vt:variant>
        <vt:i4>0</vt:i4>
      </vt:variant>
      <vt:variant>
        <vt:i4>5</vt:i4>
      </vt:variant>
      <vt:variant>
        <vt:lpwstr>https://www.itu.int/en/ITU-D/Statistics/Documents/facts/rpm_ams_pub_2025_data.xlsx</vt:lpwstr>
      </vt:variant>
      <vt:variant>
        <vt:lpwstr/>
      </vt:variant>
      <vt:variant>
        <vt:i4>94</vt:i4>
      </vt:variant>
      <vt:variant>
        <vt:i4>102</vt:i4>
      </vt:variant>
      <vt:variant>
        <vt:i4>0</vt:i4>
      </vt:variant>
      <vt:variant>
        <vt:i4>5</vt:i4>
      </vt:variant>
      <vt:variant>
        <vt:lpwstr>https://www.itu.int/en/ITU-D/Statistics/Documents/facts/rpm_ams_pub_2025_data.xlsx</vt:lpwstr>
      </vt:variant>
      <vt:variant>
        <vt:lpwstr/>
      </vt:variant>
      <vt:variant>
        <vt:i4>94</vt:i4>
      </vt:variant>
      <vt:variant>
        <vt:i4>99</vt:i4>
      </vt:variant>
      <vt:variant>
        <vt:i4>0</vt:i4>
      </vt:variant>
      <vt:variant>
        <vt:i4>5</vt:i4>
      </vt:variant>
      <vt:variant>
        <vt:lpwstr>https://www.itu.int/en/ITU-D/Statistics/Documents/facts/rpm_ams_pub_2025_data.xlsx</vt:lpwstr>
      </vt:variant>
      <vt:variant>
        <vt:lpwstr/>
      </vt:variant>
      <vt:variant>
        <vt:i4>94</vt:i4>
      </vt:variant>
      <vt:variant>
        <vt:i4>96</vt:i4>
      </vt:variant>
      <vt:variant>
        <vt:i4>0</vt:i4>
      </vt:variant>
      <vt:variant>
        <vt:i4>5</vt:i4>
      </vt:variant>
      <vt:variant>
        <vt:lpwstr>https://www.itu.int/en/ITU-D/Statistics/Documents/facts/rpm_ams_pub_2025_data.xlsx</vt:lpwstr>
      </vt:variant>
      <vt:variant>
        <vt:lpwstr/>
      </vt:variant>
      <vt:variant>
        <vt:i4>94</vt:i4>
      </vt:variant>
      <vt:variant>
        <vt:i4>93</vt:i4>
      </vt:variant>
      <vt:variant>
        <vt:i4>0</vt:i4>
      </vt:variant>
      <vt:variant>
        <vt:i4>5</vt:i4>
      </vt:variant>
      <vt:variant>
        <vt:lpwstr>https://www.itu.int/en/ITU-D/Statistics/Documents/facts/rpm_ams_pub_2025_data.xlsx</vt:lpwstr>
      </vt:variant>
      <vt:variant>
        <vt:lpwstr/>
      </vt:variant>
      <vt:variant>
        <vt:i4>262155</vt:i4>
      </vt:variant>
      <vt:variant>
        <vt:i4>90</vt:i4>
      </vt:variant>
      <vt:variant>
        <vt:i4>0</vt:i4>
      </vt:variant>
      <vt:variant>
        <vt:i4>5</vt:i4>
      </vt:variant>
      <vt:variant>
        <vt:lpwstr>https://www.itu.int/itu-d/meetings/statistics/wp-content/uploads/sites/8/2023/09/Report-of-the-EGH-subgroup-on-ICT-Skills.pdf</vt:lpwstr>
      </vt:variant>
      <vt:variant>
        <vt:lpwstr/>
      </vt:variant>
      <vt:variant>
        <vt:i4>6226002</vt:i4>
      </vt:variant>
      <vt:variant>
        <vt:i4>87</vt:i4>
      </vt:variant>
      <vt:variant>
        <vt:i4>0</vt:i4>
      </vt:variant>
      <vt:variant>
        <vt:i4>5</vt:i4>
      </vt:variant>
      <vt:variant>
        <vt:lpwstr>https://www.broadbandcommission.org/</vt:lpwstr>
      </vt:variant>
      <vt:variant>
        <vt:lpwstr/>
      </vt:variant>
      <vt:variant>
        <vt:i4>5570575</vt:i4>
      </vt:variant>
      <vt:variant>
        <vt:i4>84</vt:i4>
      </vt:variant>
      <vt:variant>
        <vt:i4>0</vt:i4>
      </vt:variant>
      <vt:variant>
        <vt:i4>5</vt:i4>
      </vt:variant>
      <vt:variant>
        <vt:lpwstr>https://bbmaps.itu.int/indicators-bbmaps</vt:lpwstr>
      </vt:variant>
      <vt:variant>
        <vt:lpwstr/>
      </vt:variant>
      <vt:variant>
        <vt:i4>7405690</vt:i4>
      </vt:variant>
      <vt:variant>
        <vt:i4>81</vt:i4>
      </vt:variant>
      <vt:variant>
        <vt:i4>0</vt:i4>
      </vt:variant>
      <vt:variant>
        <vt:i4>5</vt:i4>
      </vt:variant>
      <vt:variant>
        <vt:lpwstr>https://bbmaps.itu.int/app</vt:lpwstr>
      </vt:variant>
      <vt:variant>
        <vt:lpwstr/>
      </vt:variant>
      <vt:variant>
        <vt:i4>4718717</vt:i4>
      </vt:variant>
      <vt:variant>
        <vt:i4>78</vt:i4>
      </vt:variant>
      <vt:variant>
        <vt:i4>0</vt:i4>
      </vt:variant>
      <vt:variant>
        <vt:i4>5</vt:i4>
      </vt:variant>
      <vt:variant>
        <vt:lpwstr>https://www.itu.int/pub/D-PREF-BB.REG_OUT01-2023/en</vt:lpwstr>
      </vt:variant>
      <vt:variant>
        <vt:lpwstr/>
      </vt:variant>
      <vt:variant>
        <vt:i4>720919</vt:i4>
      </vt:variant>
      <vt:variant>
        <vt:i4>75</vt:i4>
      </vt:variant>
      <vt:variant>
        <vt:i4>0</vt:i4>
      </vt:variant>
      <vt:variant>
        <vt:i4>5</vt:i4>
      </vt:variant>
      <vt:variant>
        <vt:lpwstr>https://app.gen5.digital/tracker/metrics</vt:lpwstr>
      </vt:variant>
      <vt:variant>
        <vt:lpwstr/>
      </vt:variant>
      <vt:variant>
        <vt:i4>4456465</vt:i4>
      </vt:variant>
      <vt:variant>
        <vt:i4>15</vt:i4>
      </vt:variant>
      <vt:variant>
        <vt:i4>0</vt:i4>
      </vt:variant>
      <vt:variant>
        <vt:i4>5</vt:i4>
      </vt:variant>
      <vt:variant>
        <vt:lpwstr>https://www.itu.int/itu-d/reports/statistics/facts-figures-2024/</vt:lpwstr>
      </vt:variant>
      <vt:variant>
        <vt:lpwstr/>
      </vt:variant>
      <vt:variant>
        <vt:i4>5308507</vt:i4>
      </vt:variant>
      <vt:variant>
        <vt:i4>12</vt:i4>
      </vt:variant>
      <vt:variant>
        <vt:i4>0</vt:i4>
      </vt:variant>
      <vt:variant>
        <vt:i4>5</vt:i4>
      </vt:variant>
      <vt:variant>
        <vt:lpwstr>https://datahub.itu.int/</vt:lpwstr>
      </vt:variant>
      <vt:variant>
        <vt:lpwstr/>
      </vt:variant>
      <vt:variant>
        <vt:i4>3539001</vt:i4>
      </vt:variant>
      <vt:variant>
        <vt:i4>9</vt:i4>
      </vt:variant>
      <vt:variant>
        <vt:i4>0</vt:i4>
      </vt:variant>
      <vt:variant>
        <vt:i4>5</vt:i4>
      </vt:variant>
      <vt:variant>
        <vt:lpwstr>https://eur03.safelinks.protection.outlook.com/?url=https%3A%2F%2Fdocs.un.org%2FA%2FRES%2F79%2F233&amp;data=05%7C02%7Cyoulia.lozanova%40itu.int%7C0062349b3e6e4b3b9c3d08dd34f459e5%7C23e464d704e64b87913c24bd89219fd3%7C0%7C0%7C638724946270432167%7CUnknown%7CTWFpbGZsb3d8eyJFbXB0eU1hcGkiOnRydWUsIlYiOiIwLjAuMDAwMCIsIlAiOiJXaW4zMiIsIkFOIjoiTWFpbCIsIldUIjoyfQ%3D%3D%7C0%7C%7C%7C&amp;sdata=KU3ejXHGwiBsr3GAie7k%2FxDEgJPQjzmmdFn3JCAXNsg%3D&amp;reserved=0</vt:lpwstr>
      </vt:variant>
      <vt:variant>
        <vt:lpwstr/>
      </vt:variant>
      <vt:variant>
        <vt:i4>262230</vt:i4>
      </vt:variant>
      <vt:variant>
        <vt:i4>6</vt:i4>
      </vt:variant>
      <vt:variant>
        <vt:i4>0</vt:i4>
      </vt:variant>
      <vt:variant>
        <vt:i4>5</vt:i4>
      </vt:variant>
      <vt:variant>
        <vt:lpwstr>https://www.itu.int/net/epub/BDT/2024-ITUs-contribution-to-the-implementation-of-the-Antigua-and-Barbuda-Agenda-for-SIDS/index.html</vt:lpwstr>
      </vt:variant>
      <vt:variant>
        <vt:lpwstr>p=1</vt:lpwstr>
      </vt:variant>
      <vt:variant>
        <vt:i4>3211312</vt:i4>
      </vt:variant>
      <vt:variant>
        <vt:i4>3</vt:i4>
      </vt:variant>
      <vt:variant>
        <vt:i4>0</vt:i4>
      </vt:variant>
      <vt:variant>
        <vt:i4>5</vt:i4>
      </vt:variant>
      <vt:variant>
        <vt:lpwstr>https://digitallibrary.un.org/record/4054465?ln=en</vt:lpwstr>
      </vt:variant>
      <vt:variant>
        <vt:lpwstr/>
      </vt:variant>
      <vt:variant>
        <vt:i4>5963806</vt:i4>
      </vt:variant>
      <vt:variant>
        <vt:i4>0</vt:i4>
      </vt:variant>
      <vt:variant>
        <vt:i4>0</vt:i4>
      </vt:variant>
      <vt:variant>
        <vt:i4>5</vt:i4>
      </vt:variant>
      <vt:variant>
        <vt:lpwstr>http://www.gen5.digital/benchmark</vt:lpwstr>
      </vt:variant>
      <vt:variant>
        <vt:lpwstr/>
      </vt:variant>
      <vt:variant>
        <vt:i4>7012382</vt:i4>
      </vt:variant>
      <vt:variant>
        <vt:i4>3</vt:i4>
      </vt:variant>
      <vt:variant>
        <vt:i4>0</vt:i4>
      </vt:variant>
      <vt:variant>
        <vt:i4>5</vt:i4>
      </vt:variant>
      <vt:variant>
        <vt:lpwstr>mailto:thierry.geiger@itu.int</vt:lpwstr>
      </vt:variant>
      <vt:variant>
        <vt:lpwstr/>
      </vt:variant>
      <vt:variant>
        <vt:i4>3473475</vt:i4>
      </vt:variant>
      <vt:variant>
        <vt:i4>6</vt:i4>
      </vt:variant>
      <vt:variant>
        <vt:i4>0</vt:i4>
      </vt:variant>
      <vt:variant>
        <vt:i4>5</vt:i4>
      </vt:variant>
      <vt:variant>
        <vt:lpwstr>mailto:daniel.vertesy@itu.int</vt:lpwstr>
      </vt:variant>
      <vt:variant>
        <vt:lpwstr/>
      </vt:variant>
      <vt:variant>
        <vt:i4>2621522</vt:i4>
      </vt:variant>
      <vt:variant>
        <vt:i4>3</vt:i4>
      </vt:variant>
      <vt:variant>
        <vt:i4>0</vt:i4>
      </vt:variant>
      <vt:variant>
        <vt:i4>5</vt:i4>
      </vt:variant>
      <vt:variant>
        <vt:lpwstr>mailto:youlia.lozanova@itu.int</vt:lpwstr>
      </vt:variant>
      <vt:variant>
        <vt:lpwstr/>
      </vt:variant>
      <vt:variant>
        <vt:i4>4784181</vt:i4>
      </vt:variant>
      <vt:variant>
        <vt:i4>0</vt:i4>
      </vt:variant>
      <vt:variant>
        <vt:i4>0</vt:i4>
      </vt:variant>
      <vt:variant>
        <vt:i4>5</vt:i4>
      </vt:variant>
      <vt:variant>
        <vt:lpwstr>mailto:nathan.menton@itu.int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subject/>
  <dc:creator>BDT-nd</dc:creator>
  <cp:keywords/>
  <cp:lastModifiedBy>BDT</cp:lastModifiedBy>
  <cp:revision>6</cp:revision>
  <cp:lastPrinted>2014-11-08T21:22:00Z</cp:lastPrinted>
  <dcterms:created xsi:type="dcterms:W3CDTF">2025-02-24T21:34:00Z</dcterms:created>
  <dcterms:modified xsi:type="dcterms:W3CDTF">2025-02-25T08:57:00Z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y fmtid="{D5CDD505-2E9C-101B-9397-08002B2CF9AE}" pid="8" name="ContentTypeId">
    <vt:lpwstr>0x010100B3CCE0E51E9C1044807BC3B58DFAB656</vt:lpwstr>
  </property>
  <property fmtid="{D5CDD505-2E9C-101B-9397-08002B2CF9AE}" pid="9" name="MediaServiceImageTags">
    <vt:lpwstr/>
  </property>
</Properties>
</file>