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92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1985"/>
        <w:gridCol w:w="4394"/>
        <w:gridCol w:w="1985"/>
        <w:gridCol w:w="1524"/>
      </w:tblGrid>
      <w:tr w:rsidR="00C92C32" w:rsidRPr="00015234" w14:paraId="3F0E9EC4" w14:textId="77777777" w:rsidTr="005B30CF">
        <w:trPr>
          <w:cantSplit/>
          <w:trHeight w:val="1134"/>
        </w:trPr>
        <w:tc>
          <w:tcPr>
            <w:tcW w:w="1985" w:type="dxa"/>
          </w:tcPr>
          <w:p w14:paraId="0398EBC7" w14:textId="21DAB12C" w:rsidR="00C92C32" w:rsidRPr="00015234" w:rsidRDefault="005B30CF" w:rsidP="005B30CF">
            <w:pPr>
              <w:tabs>
                <w:tab w:val="clear" w:pos="1191"/>
                <w:tab w:val="clear" w:pos="1588"/>
                <w:tab w:val="clear" w:pos="1985"/>
              </w:tabs>
              <w:spacing w:before="60" w:after="40"/>
              <w:ind w:left="34"/>
              <w:rPr>
                <w:b/>
                <w:bCs/>
                <w:sz w:val="30"/>
                <w:szCs w:val="30"/>
              </w:rPr>
            </w:pPr>
            <w:r w:rsidRPr="00015234">
              <w:rPr>
                <w:b/>
                <w:bCs/>
                <w:sz w:val="30"/>
                <w:szCs w:val="30"/>
              </w:rPr>
              <w:drawing>
                <wp:inline distT="0" distB="0" distL="0" distR="0" wp14:anchorId="5DCBB562" wp14:editId="2597FA04">
                  <wp:extent cx="1080000" cy="975600"/>
                  <wp:effectExtent l="0" t="0" r="0" b="0"/>
                  <wp:docPr id="10441203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148" t="10732" r="24949" b="17421"/>
                          <a:stretch/>
                        </pic:blipFill>
                        <pic:spPr bwMode="auto">
                          <a:xfrm>
                            <a:off x="0" y="0"/>
                            <a:ext cx="1080000" cy="97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</w:tcPr>
          <w:p w14:paraId="018D0C54" w14:textId="12C8656F" w:rsidR="00317FBB" w:rsidRPr="00015234" w:rsidRDefault="00317FBB" w:rsidP="00AC71CD">
            <w:pPr>
              <w:tabs>
                <w:tab w:val="clear" w:pos="1191"/>
                <w:tab w:val="clear" w:pos="1588"/>
                <w:tab w:val="clear" w:pos="1985"/>
              </w:tabs>
              <w:spacing w:before="240" w:after="120"/>
              <w:ind w:left="34"/>
              <w:rPr>
                <w:b/>
                <w:bCs/>
                <w:sz w:val="30"/>
                <w:szCs w:val="30"/>
              </w:rPr>
            </w:pPr>
            <w:r w:rsidRPr="00015234">
              <w:rPr>
                <w:b/>
                <w:bCs/>
                <w:sz w:val="30"/>
                <w:szCs w:val="30"/>
              </w:rPr>
              <w:t xml:space="preserve">Региональное подготовительное собрание к ВКРЭ-25 для </w:t>
            </w:r>
            <w:r w:rsidR="000C18C1" w:rsidRPr="00015234">
              <w:rPr>
                <w:b/>
                <w:bCs/>
                <w:sz w:val="30"/>
                <w:szCs w:val="30"/>
              </w:rPr>
              <w:t>Африки</w:t>
            </w:r>
            <w:r w:rsidRPr="00015234">
              <w:rPr>
                <w:b/>
                <w:bCs/>
                <w:sz w:val="30"/>
                <w:szCs w:val="30"/>
              </w:rPr>
              <w:t xml:space="preserve"> (РПС-</w:t>
            </w:r>
            <w:r w:rsidR="000C18C1" w:rsidRPr="00015234">
              <w:rPr>
                <w:b/>
                <w:bCs/>
                <w:sz w:val="30"/>
                <w:szCs w:val="30"/>
              </w:rPr>
              <w:t>АФР</w:t>
            </w:r>
            <w:r w:rsidRPr="00015234">
              <w:rPr>
                <w:b/>
                <w:bCs/>
                <w:sz w:val="30"/>
                <w:szCs w:val="30"/>
              </w:rPr>
              <w:t>)</w:t>
            </w:r>
          </w:p>
          <w:p w14:paraId="5F5F590A" w14:textId="6CED5DA8" w:rsidR="00C92C32" w:rsidRPr="00015234" w:rsidRDefault="000C18C1" w:rsidP="00AC71CD">
            <w:pPr>
              <w:tabs>
                <w:tab w:val="clear" w:pos="1191"/>
                <w:tab w:val="clear" w:pos="1588"/>
                <w:tab w:val="clear" w:pos="1985"/>
              </w:tabs>
              <w:spacing w:before="240" w:after="120"/>
              <w:ind w:left="34"/>
              <w:rPr>
                <w:rFonts w:ascii="Verdana" w:hAnsi="Verdana"/>
                <w:szCs w:val="24"/>
              </w:rPr>
            </w:pPr>
            <w:r w:rsidRPr="00015234">
              <w:rPr>
                <w:b/>
                <w:bCs/>
                <w:szCs w:val="24"/>
              </w:rPr>
              <w:t>Найроби</w:t>
            </w:r>
            <w:r w:rsidR="00C92C32" w:rsidRPr="00015234">
              <w:rPr>
                <w:b/>
                <w:bCs/>
                <w:szCs w:val="24"/>
              </w:rPr>
              <w:t>, К</w:t>
            </w:r>
            <w:r w:rsidRPr="00015234">
              <w:rPr>
                <w:b/>
                <w:bCs/>
                <w:szCs w:val="24"/>
              </w:rPr>
              <w:t>ения</w:t>
            </w:r>
            <w:r w:rsidR="00C92C32" w:rsidRPr="00015234">
              <w:rPr>
                <w:b/>
                <w:bCs/>
                <w:szCs w:val="24"/>
              </w:rPr>
              <w:t xml:space="preserve">, </w:t>
            </w:r>
            <w:r w:rsidRPr="00015234">
              <w:rPr>
                <w:b/>
                <w:bCs/>
                <w:szCs w:val="24"/>
              </w:rPr>
              <w:t>8</w:t>
            </w:r>
            <w:r w:rsidR="00C92C32" w:rsidRPr="00015234">
              <w:rPr>
                <w:b/>
                <w:bCs/>
                <w:szCs w:val="24"/>
              </w:rPr>
              <w:t>–</w:t>
            </w:r>
            <w:r w:rsidRPr="00015234">
              <w:rPr>
                <w:b/>
                <w:bCs/>
                <w:szCs w:val="24"/>
              </w:rPr>
              <w:t>9</w:t>
            </w:r>
            <w:r w:rsidR="00C92C32" w:rsidRPr="00015234">
              <w:rPr>
                <w:b/>
                <w:bCs/>
                <w:szCs w:val="24"/>
              </w:rPr>
              <w:t xml:space="preserve"> апреля 2025 года</w:t>
            </w:r>
          </w:p>
        </w:tc>
        <w:tc>
          <w:tcPr>
            <w:tcW w:w="1524" w:type="dxa"/>
          </w:tcPr>
          <w:p w14:paraId="67E7B4C4" w14:textId="0F52E4CC" w:rsidR="00C92C32" w:rsidRPr="00015234" w:rsidRDefault="00C92C32" w:rsidP="00952667">
            <w:pPr>
              <w:spacing w:after="120"/>
              <w:ind w:right="142"/>
              <w:jc w:val="right"/>
            </w:pPr>
            <w:r w:rsidRPr="00015234">
              <w:rPr>
                <w:lang w:eastAsia="fr-FR"/>
              </w:rPr>
              <w:drawing>
                <wp:inline distT="0" distB="0" distL="0" distR="0" wp14:anchorId="7A20172F" wp14:editId="3C26654E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C32" w:rsidRPr="00015234" w14:paraId="3C13197B" w14:textId="77777777" w:rsidTr="00D07E2B">
        <w:trPr>
          <w:cantSplit/>
        </w:trPr>
        <w:tc>
          <w:tcPr>
            <w:tcW w:w="6379" w:type="dxa"/>
            <w:gridSpan w:val="2"/>
            <w:tcBorders>
              <w:top w:val="single" w:sz="12" w:space="0" w:color="auto"/>
            </w:tcBorders>
          </w:tcPr>
          <w:p w14:paraId="2EED9DB2" w14:textId="77777777" w:rsidR="00683C32" w:rsidRPr="00015234" w:rsidRDefault="00683C32" w:rsidP="00107E85">
            <w:pPr>
              <w:spacing w:before="0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509" w:type="dxa"/>
            <w:gridSpan w:val="2"/>
            <w:tcBorders>
              <w:top w:val="single" w:sz="12" w:space="0" w:color="auto"/>
            </w:tcBorders>
          </w:tcPr>
          <w:p w14:paraId="6CC77CFE" w14:textId="77777777" w:rsidR="00683C32" w:rsidRPr="00015234" w:rsidRDefault="00683C32" w:rsidP="00107E85">
            <w:pPr>
              <w:spacing w:before="0"/>
              <w:rPr>
                <w:b/>
                <w:bCs/>
                <w:sz w:val="20"/>
              </w:rPr>
            </w:pPr>
          </w:p>
        </w:tc>
      </w:tr>
      <w:tr w:rsidR="00706440" w:rsidRPr="00015234" w14:paraId="0BB3FBC4" w14:textId="77777777" w:rsidTr="00D07E2B">
        <w:trPr>
          <w:cantSplit/>
        </w:trPr>
        <w:tc>
          <w:tcPr>
            <w:tcW w:w="6379" w:type="dxa"/>
            <w:gridSpan w:val="2"/>
          </w:tcPr>
          <w:p w14:paraId="43C54B3D" w14:textId="77777777" w:rsidR="00706440" w:rsidRPr="00015234" w:rsidRDefault="00706440" w:rsidP="00706440">
            <w:pPr>
              <w:pStyle w:val="Committee"/>
              <w:spacing w:before="0"/>
              <w:rPr>
                <w:b w:val="0"/>
                <w:szCs w:val="24"/>
              </w:rPr>
            </w:pPr>
          </w:p>
        </w:tc>
        <w:tc>
          <w:tcPr>
            <w:tcW w:w="3509" w:type="dxa"/>
            <w:gridSpan w:val="2"/>
          </w:tcPr>
          <w:p w14:paraId="02E44EE9" w14:textId="441548AF" w:rsidR="00706440" w:rsidRPr="00015234" w:rsidRDefault="00E9514B" w:rsidP="00706440">
            <w:pPr>
              <w:spacing w:before="0"/>
              <w:jc w:val="both"/>
              <w:rPr>
                <w:bCs/>
                <w:szCs w:val="22"/>
              </w:rPr>
            </w:pPr>
            <w:r w:rsidRPr="00015234">
              <w:rPr>
                <w:b/>
                <w:bCs/>
                <w:szCs w:val="22"/>
              </w:rPr>
              <w:t>Документ</w:t>
            </w:r>
            <w:r w:rsidR="00706440" w:rsidRPr="00015234">
              <w:rPr>
                <w:b/>
                <w:bCs/>
                <w:szCs w:val="22"/>
              </w:rPr>
              <w:t xml:space="preserve"> </w:t>
            </w:r>
            <w:bookmarkStart w:id="0" w:name="DocRef1"/>
            <w:bookmarkEnd w:id="0"/>
            <w:r w:rsidR="00684A1E" w:rsidRPr="00015234">
              <w:rPr>
                <w:b/>
                <w:bCs/>
                <w:szCs w:val="22"/>
              </w:rPr>
              <w:t>RPM-</w:t>
            </w:r>
            <w:r w:rsidR="000C18C1" w:rsidRPr="00015234">
              <w:rPr>
                <w:b/>
                <w:bCs/>
                <w:szCs w:val="22"/>
              </w:rPr>
              <w:t>AFR</w:t>
            </w:r>
            <w:r w:rsidR="00A464D6" w:rsidRPr="00015234">
              <w:rPr>
                <w:b/>
                <w:bCs/>
                <w:szCs w:val="22"/>
              </w:rPr>
              <w:t>25</w:t>
            </w:r>
            <w:r w:rsidR="00706440" w:rsidRPr="00015234">
              <w:rPr>
                <w:b/>
                <w:bCs/>
                <w:szCs w:val="22"/>
              </w:rPr>
              <w:t>/</w:t>
            </w:r>
            <w:r w:rsidR="000C18C1" w:rsidRPr="00015234">
              <w:rPr>
                <w:b/>
                <w:bCs/>
                <w:szCs w:val="22"/>
              </w:rPr>
              <w:t>19</w:t>
            </w:r>
            <w:r w:rsidR="00706440" w:rsidRPr="00015234">
              <w:rPr>
                <w:b/>
                <w:bCs/>
                <w:szCs w:val="22"/>
              </w:rPr>
              <w:t>-</w:t>
            </w:r>
            <w:r w:rsidR="00CE598B" w:rsidRPr="00015234">
              <w:rPr>
                <w:b/>
                <w:bCs/>
                <w:szCs w:val="22"/>
              </w:rPr>
              <w:t>R</w:t>
            </w:r>
          </w:p>
        </w:tc>
      </w:tr>
      <w:tr w:rsidR="00706440" w:rsidRPr="00015234" w14:paraId="24D04936" w14:textId="77777777" w:rsidTr="00D07E2B">
        <w:trPr>
          <w:cantSplit/>
        </w:trPr>
        <w:tc>
          <w:tcPr>
            <w:tcW w:w="6379" w:type="dxa"/>
            <w:gridSpan w:val="2"/>
          </w:tcPr>
          <w:p w14:paraId="12CE4DBF" w14:textId="77777777" w:rsidR="00706440" w:rsidRPr="00015234" w:rsidRDefault="00706440" w:rsidP="00706440">
            <w:pPr>
              <w:spacing w:before="0"/>
              <w:rPr>
                <w:b/>
                <w:bCs/>
                <w:smallCaps/>
                <w:szCs w:val="24"/>
              </w:rPr>
            </w:pPr>
          </w:p>
        </w:tc>
        <w:tc>
          <w:tcPr>
            <w:tcW w:w="3509" w:type="dxa"/>
            <w:gridSpan w:val="2"/>
          </w:tcPr>
          <w:p w14:paraId="0F89640F" w14:textId="3F6BBC70" w:rsidR="00706440" w:rsidRPr="00015234" w:rsidRDefault="000C18C1" w:rsidP="00706440">
            <w:pPr>
              <w:spacing w:before="0"/>
              <w:rPr>
                <w:b/>
                <w:szCs w:val="22"/>
              </w:rPr>
            </w:pPr>
            <w:bookmarkStart w:id="1" w:name="CreationDate"/>
            <w:bookmarkEnd w:id="1"/>
            <w:r w:rsidRPr="00015234">
              <w:rPr>
                <w:b/>
                <w:bCs/>
                <w:szCs w:val="22"/>
              </w:rPr>
              <w:t>9 апреля</w:t>
            </w:r>
            <w:r w:rsidR="00706440" w:rsidRPr="00015234">
              <w:rPr>
                <w:b/>
                <w:bCs/>
                <w:szCs w:val="22"/>
              </w:rPr>
              <w:t xml:space="preserve"> 202</w:t>
            </w:r>
            <w:r w:rsidR="001E5D41" w:rsidRPr="00015234">
              <w:rPr>
                <w:b/>
                <w:bCs/>
                <w:szCs w:val="22"/>
              </w:rPr>
              <w:t>5</w:t>
            </w:r>
            <w:r w:rsidR="00E9514B" w:rsidRPr="00015234">
              <w:rPr>
                <w:b/>
                <w:bCs/>
                <w:szCs w:val="22"/>
              </w:rPr>
              <w:t xml:space="preserve"> года</w:t>
            </w:r>
          </w:p>
        </w:tc>
      </w:tr>
      <w:tr w:rsidR="00706440" w:rsidRPr="00015234" w14:paraId="7B96545F" w14:textId="77777777" w:rsidTr="00D07E2B">
        <w:trPr>
          <w:cantSplit/>
        </w:trPr>
        <w:tc>
          <w:tcPr>
            <w:tcW w:w="6379" w:type="dxa"/>
            <w:gridSpan w:val="2"/>
          </w:tcPr>
          <w:p w14:paraId="65956FD3" w14:textId="77777777" w:rsidR="00706440" w:rsidRPr="00015234" w:rsidRDefault="00706440" w:rsidP="00706440">
            <w:pPr>
              <w:spacing w:before="0"/>
              <w:rPr>
                <w:b/>
                <w:bCs/>
                <w:smallCaps/>
                <w:szCs w:val="24"/>
              </w:rPr>
            </w:pPr>
          </w:p>
        </w:tc>
        <w:tc>
          <w:tcPr>
            <w:tcW w:w="3509" w:type="dxa"/>
            <w:gridSpan w:val="2"/>
          </w:tcPr>
          <w:p w14:paraId="30EFD39F" w14:textId="0735AA2F" w:rsidR="00706440" w:rsidRPr="00015234" w:rsidRDefault="00E9514B" w:rsidP="00706440">
            <w:pPr>
              <w:spacing w:before="0"/>
              <w:rPr>
                <w:szCs w:val="22"/>
              </w:rPr>
            </w:pPr>
            <w:bookmarkStart w:id="2" w:name="Original"/>
            <w:bookmarkEnd w:id="2"/>
            <w:r w:rsidRPr="00015234">
              <w:rPr>
                <w:b/>
                <w:szCs w:val="22"/>
              </w:rPr>
              <w:t>Оригинал</w:t>
            </w:r>
            <w:r w:rsidR="00211AA5" w:rsidRPr="00015234">
              <w:rPr>
                <w:b/>
                <w:szCs w:val="22"/>
              </w:rPr>
              <w:t xml:space="preserve">: </w:t>
            </w:r>
            <w:r w:rsidRPr="00015234">
              <w:rPr>
                <w:b/>
                <w:szCs w:val="22"/>
              </w:rPr>
              <w:t>английский</w:t>
            </w:r>
          </w:p>
        </w:tc>
      </w:tr>
      <w:tr w:rsidR="00A13162" w:rsidRPr="00015234" w14:paraId="31656E31" w14:textId="77777777" w:rsidTr="00107E85">
        <w:trPr>
          <w:cantSplit/>
          <w:trHeight w:val="852"/>
        </w:trPr>
        <w:tc>
          <w:tcPr>
            <w:tcW w:w="9888" w:type="dxa"/>
            <w:gridSpan w:val="4"/>
          </w:tcPr>
          <w:p w14:paraId="512FCA01" w14:textId="18690EB8" w:rsidR="00A13162" w:rsidRPr="00015234" w:rsidRDefault="000C18C1" w:rsidP="0030353C">
            <w:pPr>
              <w:pStyle w:val="Source"/>
              <w:rPr>
                <w:szCs w:val="26"/>
              </w:rPr>
            </w:pPr>
            <w:bookmarkStart w:id="3" w:name="Source"/>
            <w:bookmarkEnd w:id="3"/>
            <w:r w:rsidRPr="00015234">
              <w:t>Председатель РПС-АФР</w:t>
            </w:r>
          </w:p>
        </w:tc>
      </w:tr>
      <w:tr w:rsidR="00AC6F14" w:rsidRPr="00015234" w14:paraId="2CBD3A36" w14:textId="77777777" w:rsidTr="00107E85">
        <w:trPr>
          <w:cantSplit/>
        </w:trPr>
        <w:tc>
          <w:tcPr>
            <w:tcW w:w="9888" w:type="dxa"/>
            <w:gridSpan w:val="4"/>
          </w:tcPr>
          <w:p w14:paraId="1B4121DF" w14:textId="01BBF046" w:rsidR="00AC6F14" w:rsidRPr="00015234" w:rsidRDefault="000C18C1" w:rsidP="0030353C">
            <w:pPr>
              <w:pStyle w:val="Title1"/>
              <w:rPr>
                <w:rFonts w:cs="Times New Roman"/>
                <w:bCs/>
                <w:szCs w:val="26"/>
              </w:rPr>
            </w:pPr>
            <w:bookmarkStart w:id="4" w:name="Title"/>
            <w:bookmarkEnd w:id="4"/>
            <w:r w:rsidRPr="00015234">
              <w:t>Заключительный отчет Председателя РПС-АФР</w:t>
            </w:r>
          </w:p>
        </w:tc>
      </w:tr>
      <w:tr w:rsidR="00A721F4" w:rsidRPr="00015234" w14:paraId="23A30231" w14:textId="77777777" w:rsidTr="00A721F4">
        <w:trPr>
          <w:cantSplit/>
        </w:trPr>
        <w:tc>
          <w:tcPr>
            <w:tcW w:w="9888" w:type="dxa"/>
            <w:gridSpan w:val="4"/>
            <w:tcBorders>
              <w:bottom w:val="single" w:sz="4" w:space="0" w:color="auto"/>
            </w:tcBorders>
          </w:tcPr>
          <w:p w14:paraId="726EE70E" w14:textId="77777777" w:rsidR="00A721F4" w:rsidRPr="00015234" w:rsidRDefault="00A721F4" w:rsidP="0030353C"/>
        </w:tc>
      </w:tr>
    </w:tbl>
    <w:p w14:paraId="41EB26BB" w14:textId="77777777" w:rsidR="000C18C1" w:rsidRPr="00015234" w:rsidRDefault="000C18C1" w:rsidP="000C18C1">
      <w:pPr>
        <w:pStyle w:val="Headingb"/>
      </w:pPr>
      <w:r w:rsidRPr="00015234">
        <w:t>Введение</w:t>
      </w:r>
    </w:p>
    <w:p w14:paraId="7539B99C" w14:textId="717A19A0" w:rsidR="000C18C1" w:rsidRPr="00015234" w:rsidRDefault="000C18C1" w:rsidP="000C18C1">
      <w:pPr>
        <w:rPr>
          <w:lang w:val="en-US"/>
        </w:rPr>
      </w:pPr>
      <w:r w:rsidRPr="00015234">
        <w:t>Региональное подготовительное собрание к ВКРЭ-25 для Африки (РПС-АФР) было организовано Бюро развития электросвязи (БРЭ) Международного союза электросвязи (МСЭ) с 8 по 9 апреля 2025 года в Найроби, Кения, по приглашению Управления связи (CA) Кении.</w:t>
      </w:r>
    </w:p>
    <w:p w14:paraId="4292822B" w14:textId="77777777" w:rsidR="000C18C1" w:rsidRPr="00015234" w:rsidRDefault="000C18C1" w:rsidP="000C18C1">
      <w:r w:rsidRPr="00015234">
        <w:t>Задача РПС-АФР заключалась в определении и согласовании на региональном уровне приоритетов развития электросвязи и информационно-коммуникационных технологий (ИКТ) с учетом вкладов, представленных Государствами-Членами и Членами Сектора МСЭ-D из этого региона.</w:t>
      </w:r>
    </w:p>
    <w:p w14:paraId="09988610" w14:textId="1813D912" w:rsidR="000C18C1" w:rsidRPr="00015234" w:rsidRDefault="000C18C1" w:rsidP="000C18C1">
      <w:r w:rsidRPr="00015234">
        <w:t>По итогам собрания был принят ряд предложений по приоритетным вопросам, которые послужат основой для разработки вкладов для Всемирной конференции по развитию электросвязи (ВКРЭ), которая состоится в Баку, Азербайджан, с 17 по 28 ноября 2025 года и рассмотрит мероприятия МСЭ</w:t>
      </w:r>
      <w:r w:rsidRPr="00015234">
        <w:noBreakHyphen/>
        <w:t>D, запланированные к реализации в течение следующего четырехлетнего периода (2025−2028 гг.)</w:t>
      </w:r>
    </w:p>
    <w:p w14:paraId="3B5BD081" w14:textId="4614C35F" w:rsidR="000C18C1" w:rsidRPr="00015234" w:rsidRDefault="000C18C1" w:rsidP="000C18C1">
      <w:r w:rsidRPr="00015234">
        <w:t>В настоящем отчете приводится информация о деятельности и результатах РПС-АФР.</w:t>
      </w:r>
    </w:p>
    <w:p w14:paraId="4C5AC3A6" w14:textId="10F73024" w:rsidR="000C18C1" w:rsidRPr="00015234" w:rsidRDefault="000C18C1" w:rsidP="000C18C1">
      <w:pPr>
        <w:pStyle w:val="Headingb"/>
      </w:pPr>
      <w:r w:rsidRPr="00015234">
        <w:t>Участие</w:t>
      </w:r>
    </w:p>
    <w:p w14:paraId="51108887" w14:textId="4278ADDC" w:rsidR="000C18C1" w:rsidRPr="00015234" w:rsidRDefault="000C18C1" w:rsidP="000C18C1">
      <w:r w:rsidRPr="00015234">
        <w:rPr>
          <w:rFonts w:eastAsia="Calibri"/>
        </w:rPr>
        <w:t>На собрании присутствовали 240 участников, включая 170 делегатов, представлявших 32</w:t>
      </w:r>
      <w:r w:rsidR="00253D34" w:rsidRPr="00015234">
        <w:rPr>
          <w:rFonts w:eastAsia="Calibri"/>
        </w:rPr>
        <w:t> </w:t>
      </w:r>
      <w:r w:rsidRPr="00015234">
        <w:rPr>
          <w:rFonts w:eastAsia="Calibri"/>
        </w:rPr>
        <w:t>Государства-Члена от Африки, 20 участников от Членов Сектора, 20 участников от Государств</w:t>
      </w:r>
      <w:r w:rsidR="004A35FE" w:rsidRPr="00015234">
        <w:rPr>
          <w:rFonts w:eastAsia="Calibri"/>
        </w:rPr>
        <w:t>­</w:t>
      </w:r>
      <w:r w:rsidRPr="00015234">
        <w:rPr>
          <w:rFonts w:eastAsia="Calibri"/>
        </w:rPr>
        <w:t>Членов в качестве наблюдателей и 9 участников от Членов Сектора, имеющих статус наблюдателя. Присутствовали 97 женщин и 143 мужчины.</w:t>
      </w:r>
    </w:p>
    <w:p w14:paraId="025278FD" w14:textId="77777777" w:rsidR="000C18C1" w:rsidRPr="00015234" w:rsidRDefault="000C18C1" w:rsidP="000C18C1">
      <w:r w:rsidRPr="00015234">
        <w:t>Окончательный список участников будет опубликован в качестве Документа 18.</w:t>
      </w:r>
    </w:p>
    <w:p w14:paraId="30F84280" w14:textId="4007249B" w:rsidR="000C18C1" w:rsidRPr="00015234" w:rsidRDefault="000C18C1" w:rsidP="000C18C1">
      <w:pPr>
        <w:pStyle w:val="Heading1"/>
      </w:pPr>
      <w:r w:rsidRPr="00015234">
        <w:t>1</w:t>
      </w:r>
      <w:r w:rsidRPr="00015234">
        <w:tab/>
        <w:t>Церемония открытия</w:t>
      </w:r>
    </w:p>
    <w:p w14:paraId="3F1BF202" w14:textId="77777777" w:rsidR="000C18C1" w:rsidRPr="00015234" w:rsidRDefault="000C18C1" w:rsidP="000C18C1">
      <w:r w:rsidRPr="00015234">
        <w:t>Церемония открытия началась с приветственных слов, в которых подчеркивалось стратегическое значение Регионального подготовительного собрания для Африки (РПС-АФР) в определении направлений цифрового развития в преддверии ВКРЭ-25:</w:t>
      </w:r>
    </w:p>
    <w:p w14:paraId="2E20087A" w14:textId="14B887E6" w:rsidR="000C18C1" w:rsidRPr="00015234" w:rsidRDefault="000C18C1" w:rsidP="000C18C1">
      <w:r w:rsidRPr="00015234">
        <w:rPr>
          <w:b/>
          <w:bCs/>
          <w:color w:val="000000" w:themeColor="text1"/>
        </w:rPr>
        <w:t>Г-н Дэвид Мугоньи</w:t>
      </w:r>
      <w:r w:rsidRPr="00015234">
        <w:rPr>
          <w:color w:val="000000" w:themeColor="text1"/>
        </w:rPr>
        <w:t>,</w:t>
      </w:r>
      <w:r w:rsidRPr="00015234">
        <w:rPr>
          <w:b/>
          <w:bCs/>
          <w:color w:val="000000" w:themeColor="text1"/>
        </w:rPr>
        <w:t xml:space="preserve"> </w:t>
      </w:r>
      <w:r w:rsidRPr="00015234">
        <w:t xml:space="preserve">Генеральный директор и главный исполнительный директор Управления связи Кении (CA), открыл сессию, поприветствовав делегатов, прибывших в Найроби, и отметив решающую роль РПС в формировании вкладов Африки в ВКРЭ-25. Он подчеркнул необходимость безотлагательной реализации региональных приоритетов в области ИКТ, включая приемлемую в ценовом отношении возможность установления соединений, развитие инфраструктуры, кибербезопасность и цифровые навыки. Г-н Мугоньи отметил активное участие Кении в инициативах </w:t>
      </w:r>
      <w:r w:rsidRPr="00015234">
        <w:lastRenderedPageBreak/>
        <w:t>МСЭ, таких как инициативы 1-й и 2-й Исследовательских комиссий, которые легли в основу национальной политики, согласованной с глобальными системами ИКТ. Он призвал африканские страны к единству, с тем чтобы обеспечить значимость их общих приоритетов, таких как преодоление разрыва между городскими и сельскими районами и продвижение инноваций, в ходе глобальных переговоров на ВКРЭ-25. Он также подчеркнул важность сотрудничества с такими партнерами, как Африканский союз электросвязи (АСЭ) и МСЭ, для мобилизации ресурсов и реализации проектов, оказывающих ощутимое воздействие.</w:t>
      </w:r>
    </w:p>
    <w:p w14:paraId="1DF1EA51" w14:textId="73B3B42B" w:rsidR="000C18C1" w:rsidRPr="00015234" w:rsidRDefault="000C18C1" w:rsidP="00307F9B">
      <w:r w:rsidRPr="00015234">
        <w:rPr>
          <w:b/>
          <w:bCs/>
        </w:rPr>
        <w:t>Д-р Космас Лакисан Завазава</w:t>
      </w:r>
      <w:r w:rsidRPr="00015234">
        <w:t>, Директор БРЭ, выразил признательность Кении за проведение у себя РПС и рассказал о достижениях МСЭ после ВКРЭ-22, включая мобилизацию более 60</w:t>
      </w:r>
      <w:r w:rsidR="004A35FE" w:rsidRPr="00015234">
        <w:t> </w:t>
      </w:r>
      <w:r w:rsidRPr="00015234">
        <w:t>млн</w:t>
      </w:r>
      <w:r w:rsidR="004A35FE" w:rsidRPr="00015234">
        <w:t>. </w:t>
      </w:r>
      <w:r w:rsidRPr="00015234">
        <w:t>швейцарских франков для африканских проектов в области ИКТ. Он особо отметил реализацию региональных инициатив, таких как картирование широкополосной связи, создание потенциала в области кибербезопасности и системы раннего предупреждения о бедствиях, которые непосредственно касаются уникальных проблем Африки. Д-р Завазава подчеркнул ту роль, которую МСЭ играет в развитии партнерских отношений с правительствами, регуляторными органами и донорами, обеспечивая достижение измеримых результатов таких проектов, как создание центров цифровой трансформации (DTC) и политика в области электронных отходов.</w:t>
      </w:r>
    </w:p>
    <w:p w14:paraId="64B6EF87" w14:textId="5013D9F2" w:rsidR="000C18C1" w:rsidRPr="00015234" w:rsidRDefault="000C18C1" w:rsidP="00307F9B">
      <w:r w:rsidRPr="00015234">
        <w:t xml:space="preserve">Он подчеркнул необходимость согласованности позиций стран Африки на ВКРЭ-25, призвав делегатов уделять первоочередное внимание приемлемой в ценовом отношении возможности установления соединений, предпринимательству молодежи и согласованным нормативным актам. Д-р Завазава упомянул о поддержке МСЭ наименее развитых стран, стран, не имеющих выхода к морю, и малых островных государств, в частности в отношении доступа к подводным кабелям и смягчения последствий нарушений, связанных с климатом. Он также объявил о предстоящих мероприятиях, включая Глобальный симпозиум для регуляторных органов (ГСР) в Эр-Рияде, и подтвердил приверженность МСЭ выработке политики на основе данных с помощью таких инструментов, как Индекс развития ИКТ (IDI). В своих заключительных замечаниях он призвал к доверию и сотрудничеству между регионами, с тем чтобы голос Африки формировал глобальную повестку дня в области ИКТ. Текст вступительного слова Директора БРЭ размещен </w:t>
      </w:r>
      <w:hyperlink r:id="rId13" w:history="1">
        <w:r w:rsidRPr="00015234">
          <w:rPr>
            <w:rStyle w:val="Hyperlink"/>
            <w:rFonts w:cstheme="minorHAnsi"/>
            <w:szCs w:val="24"/>
          </w:rPr>
          <w:t>здесь</w:t>
        </w:r>
      </w:hyperlink>
      <w:r w:rsidRPr="00015234">
        <w:t>.</w:t>
      </w:r>
    </w:p>
    <w:p w14:paraId="59100088" w14:textId="32D7B645" w:rsidR="000C18C1" w:rsidRPr="00015234" w:rsidRDefault="000C18C1" w:rsidP="00307F9B">
      <w:r w:rsidRPr="00015234">
        <w:rPr>
          <w:b/>
          <w:bCs/>
        </w:rPr>
        <w:t>Г-н Диксон Гисиора</w:t>
      </w:r>
      <w:r w:rsidRPr="00015234">
        <w:t>, директор по вопросам кибербезопасности министерства информации, связи и цифровой экономики Кении, представлял Постоянного секретаря инженера Джона Тануи; в своих комментариях он вновь подчеркнул значение электросвязи и ИКТ для преобразования общества и экономического прогресса. Он призвал к применению коллективного подхода к решению таких региональных проблем, как разрывы в инфраструктуре, кибербезопасность и цифровая грамотность. Кения подтвердила свою готовность предоставить специальные знания и ресурсы для поддержки региональных инициатив в области ИКТ, соответствующих концепции МСЭ в области устойчивого</w:t>
      </w:r>
      <w:r w:rsidR="004A35FE" w:rsidRPr="00015234">
        <w:t> </w:t>
      </w:r>
      <w:r w:rsidRPr="00015234">
        <w:t>развития.</w:t>
      </w:r>
    </w:p>
    <w:p w14:paraId="55F15039" w14:textId="77777777" w:rsidR="000C18C1" w:rsidRPr="00015234" w:rsidRDefault="000C18C1" w:rsidP="00307F9B">
      <w:r w:rsidRPr="00015234">
        <w:t>Церемония открытия завершилась официальной групповой фотографией присутствовавших на ней высокопоставленных лиц, включая старших должностных лиц из администрации Кении и министров, что ознаменовало успешное начало собрания.</w:t>
      </w:r>
    </w:p>
    <w:p w14:paraId="259F8D59" w14:textId="18784FA8" w:rsidR="000C18C1" w:rsidRPr="00015234" w:rsidRDefault="00307F9B" w:rsidP="00307F9B">
      <w:pPr>
        <w:pStyle w:val="Heading1"/>
      </w:pPr>
      <w:r w:rsidRPr="00015234">
        <w:t>2</w:t>
      </w:r>
      <w:r w:rsidRPr="00015234">
        <w:tab/>
      </w:r>
      <w:r w:rsidR="000C18C1" w:rsidRPr="00015234">
        <w:t>Выборы Председателя и заместителей Председателя</w:t>
      </w:r>
    </w:p>
    <w:p w14:paraId="74FE65B9" w14:textId="585F2828" w:rsidR="000C18C1" w:rsidRPr="00015234" w:rsidRDefault="000C18C1" w:rsidP="00307F9B">
      <w:r w:rsidRPr="00015234">
        <w:t xml:space="preserve">После консультаций в регионе </w:t>
      </w:r>
      <w:r w:rsidRPr="00015234">
        <w:rPr>
          <w:b/>
          <w:bCs/>
        </w:rPr>
        <w:t>г-н Дэвид Мугоньи</w:t>
      </w:r>
      <w:r w:rsidRPr="00015234">
        <w:t>, Генеральный директор и главный исполнительный директор Управления связи Кении (CA), был избран Председателем РПС-АФР путем</w:t>
      </w:r>
      <w:r w:rsidR="004A35FE" w:rsidRPr="00015234">
        <w:t> </w:t>
      </w:r>
      <w:r w:rsidRPr="00015234">
        <w:t>аккламации.</w:t>
      </w:r>
    </w:p>
    <w:p w14:paraId="5E91549B" w14:textId="304A5874" w:rsidR="000C18C1" w:rsidRPr="00015234" w:rsidRDefault="000C18C1" w:rsidP="00307F9B">
      <w:r w:rsidRPr="00015234">
        <w:t>Кроме того, участники собрания утвердили предложение о назначении следующих лиц заместителями Председателя РПС-АФР:</w:t>
      </w:r>
    </w:p>
    <w:p w14:paraId="08679574" w14:textId="2F302DD6" w:rsidR="000C18C1" w:rsidRPr="00015234" w:rsidRDefault="00307F9B" w:rsidP="00C44E90">
      <w:pPr>
        <w:pStyle w:val="enumlev1"/>
        <w:rPr>
          <w:rStyle w:val="normaltextrun"/>
        </w:rPr>
      </w:pPr>
      <w:r w:rsidRPr="00015234">
        <w:rPr>
          <w:rStyle w:val="normaltextrun"/>
        </w:rPr>
        <w:t>−</w:t>
      </w:r>
      <w:r w:rsidRPr="00015234">
        <w:rPr>
          <w:rStyle w:val="normaltextrun"/>
        </w:rPr>
        <w:tab/>
      </w:r>
      <w:r w:rsidR="000C18C1" w:rsidRPr="00015234">
        <w:rPr>
          <w:rStyle w:val="normaltextrun"/>
          <w:b/>
          <w:bCs/>
        </w:rPr>
        <w:t>г-н Джамит Джеруа</w:t>
      </w:r>
      <w:r w:rsidR="000C18C1" w:rsidRPr="00015234">
        <w:rPr>
          <w:rStyle w:val="normaltextrun"/>
        </w:rPr>
        <w:t xml:space="preserve"> Моура (Чад)</w:t>
      </w:r>
    </w:p>
    <w:p w14:paraId="08DD4023" w14:textId="016E08FA" w:rsidR="000C18C1" w:rsidRPr="00015234" w:rsidRDefault="00307F9B" w:rsidP="00C44E90">
      <w:pPr>
        <w:pStyle w:val="enumlev1"/>
      </w:pPr>
      <w:r w:rsidRPr="00015234">
        <w:rPr>
          <w:rStyle w:val="normaltextrun"/>
        </w:rPr>
        <w:t>−</w:t>
      </w:r>
      <w:r w:rsidRPr="00015234">
        <w:rPr>
          <w:rStyle w:val="normaltextrun"/>
        </w:rPr>
        <w:tab/>
      </w:r>
      <w:r w:rsidR="000C18C1" w:rsidRPr="00015234">
        <w:rPr>
          <w:b/>
          <w:bCs/>
        </w:rPr>
        <w:t>г-жа Флер-Регина Ассуму-Бессу</w:t>
      </w:r>
      <w:r w:rsidR="000C18C1" w:rsidRPr="00015234">
        <w:t xml:space="preserve"> (Кот-д’Ивуар)</w:t>
      </w:r>
    </w:p>
    <w:p w14:paraId="2AF22CA6" w14:textId="1E7400F4" w:rsidR="000C18C1" w:rsidRPr="00015234" w:rsidRDefault="00307F9B" w:rsidP="00C44E90">
      <w:pPr>
        <w:pStyle w:val="enumlev1"/>
      </w:pPr>
      <w:r w:rsidRPr="00015234">
        <w:rPr>
          <w:rStyle w:val="normaltextrun"/>
        </w:rPr>
        <w:t>−</w:t>
      </w:r>
      <w:r w:rsidRPr="00015234">
        <w:rPr>
          <w:rStyle w:val="normaltextrun"/>
        </w:rPr>
        <w:tab/>
      </w:r>
      <w:r w:rsidR="000C18C1" w:rsidRPr="00015234">
        <w:rPr>
          <w:b/>
          <w:bCs/>
        </w:rPr>
        <w:t>г-жа Сесилия Ньямутсва</w:t>
      </w:r>
      <w:r w:rsidR="000C18C1" w:rsidRPr="00015234">
        <w:t xml:space="preserve"> (Зимбабве)</w:t>
      </w:r>
    </w:p>
    <w:p w14:paraId="27A79D0B" w14:textId="5C12B5B8" w:rsidR="000C18C1" w:rsidRPr="00015234" w:rsidRDefault="00307F9B" w:rsidP="00C44E90">
      <w:pPr>
        <w:pStyle w:val="enumlev1"/>
      </w:pPr>
      <w:r w:rsidRPr="00015234">
        <w:rPr>
          <w:rStyle w:val="normaltextrun"/>
        </w:rPr>
        <w:lastRenderedPageBreak/>
        <w:t>−</w:t>
      </w:r>
      <w:r w:rsidRPr="00015234">
        <w:rPr>
          <w:rStyle w:val="normaltextrun"/>
        </w:rPr>
        <w:tab/>
      </w:r>
      <w:r w:rsidR="000C18C1" w:rsidRPr="00015234">
        <w:rPr>
          <w:b/>
          <w:bCs/>
        </w:rPr>
        <w:t>г-н Абдулкарим Олойеде</w:t>
      </w:r>
      <w:r w:rsidR="000C18C1" w:rsidRPr="00015234">
        <w:t xml:space="preserve"> (Нигерия)</w:t>
      </w:r>
    </w:p>
    <w:p w14:paraId="6440866F" w14:textId="0B87BD6A" w:rsidR="000C18C1" w:rsidRPr="00015234" w:rsidRDefault="00307F9B" w:rsidP="00307F9B">
      <w:pPr>
        <w:pStyle w:val="Heading1"/>
      </w:pPr>
      <w:r w:rsidRPr="00015234">
        <w:t>3</w:t>
      </w:r>
      <w:r w:rsidRPr="00015234">
        <w:tab/>
      </w:r>
      <w:r w:rsidR="000C18C1" w:rsidRPr="00015234">
        <w:t>Утверждение повестки дня</w:t>
      </w:r>
    </w:p>
    <w:p w14:paraId="1A724F8E" w14:textId="01F15ABB" w:rsidR="000C18C1" w:rsidRPr="00015234" w:rsidRDefault="000C18C1" w:rsidP="00307F9B">
      <w:r w:rsidRPr="00015234">
        <w:t xml:space="preserve">Участники собрания утвердили повестку дня, содержащуюся в </w:t>
      </w:r>
      <w:hyperlink r:id="rId14">
        <w:r w:rsidRPr="00015234">
          <w:rPr>
            <w:rStyle w:val="Hyperlink"/>
            <w:rFonts w:cstheme="minorHAnsi"/>
            <w:szCs w:val="24"/>
          </w:rPr>
          <w:t>Документе 1(Rev.2)</w:t>
        </w:r>
      </w:hyperlink>
      <w:r w:rsidRPr="00015234">
        <w:t>.</w:t>
      </w:r>
    </w:p>
    <w:p w14:paraId="2E62BE66" w14:textId="4ACD2925" w:rsidR="000C18C1" w:rsidRPr="00015234" w:rsidRDefault="00307F9B" w:rsidP="00307F9B">
      <w:pPr>
        <w:pStyle w:val="Heading1"/>
      </w:pPr>
      <w:r w:rsidRPr="00015234">
        <w:t>4</w:t>
      </w:r>
      <w:r w:rsidRPr="00015234">
        <w:tab/>
      </w:r>
      <w:r w:rsidR="000C18C1" w:rsidRPr="00015234">
        <w:t>Утверждение плана распределения времени</w:t>
      </w:r>
    </w:p>
    <w:p w14:paraId="1D2F114B" w14:textId="6F7130F5" w:rsidR="000C18C1" w:rsidRPr="00015234" w:rsidRDefault="000C18C1" w:rsidP="00307F9B">
      <w:r w:rsidRPr="00015234">
        <w:t xml:space="preserve">Секретариат отметил, что РПС-АФР получило 17 документов: девять – от Государств-Членов и Членов Сектора МСЭ-D, четыре – от секретариата и четыре – от рабочих групп КГРЭ. Все документы собрания размещены на </w:t>
      </w:r>
      <w:hyperlink r:id="rId15" w:anchor="/ru" w:history="1">
        <w:r w:rsidRPr="00015234">
          <w:rPr>
            <w:rStyle w:val="Hyperlink"/>
            <w:rFonts w:cstheme="minorHAnsi"/>
            <w:szCs w:val="24"/>
          </w:rPr>
          <w:t>веб-сайте РПС</w:t>
        </w:r>
      </w:hyperlink>
      <w:r w:rsidRPr="00015234">
        <w:t>.</w:t>
      </w:r>
    </w:p>
    <w:p w14:paraId="31B7339A" w14:textId="77777777" w:rsidR="000C18C1" w:rsidRPr="00015234" w:rsidRDefault="000C18C1" w:rsidP="00307F9B">
      <w:r w:rsidRPr="00015234">
        <w:t xml:space="preserve">Изучив все соответствующие документы собрания, его участники приняли предлагаемый план распределения времени – </w:t>
      </w:r>
      <w:hyperlink r:id="rId16" w:history="1">
        <w:r w:rsidRPr="00015234">
          <w:rPr>
            <w:rStyle w:val="Hyperlink"/>
            <w:rFonts w:cstheme="minorHAnsi"/>
            <w:szCs w:val="24"/>
          </w:rPr>
          <w:t>Документ D</w:t>
        </w:r>
        <w:bookmarkStart w:id="5" w:name="_Hlt193379761"/>
        <w:r w:rsidRPr="00015234">
          <w:rPr>
            <w:rStyle w:val="Hyperlink"/>
            <w:rFonts w:cstheme="minorHAnsi"/>
            <w:szCs w:val="24"/>
          </w:rPr>
          <w:t>T</w:t>
        </w:r>
        <w:bookmarkEnd w:id="5"/>
        <w:r w:rsidRPr="00015234">
          <w:rPr>
            <w:rStyle w:val="Hyperlink"/>
            <w:rFonts w:cstheme="minorHAnsi"/>
            <w:szCs w:val="24"/>
          </w:rPr>
          <w:t>/1(Rev.1).</w:t>
        </w:r>
      </w:hyperlink>
    </w:p>
    <w:p w14:paraId="5C436E1D" w14:textId="1617616F" w:rsidR="000C18C1" w:rsidRPr="00015234" w:rsidRDefault="00307F9B" w:rsidP="00307F9B">
      <w:pPr>
        <w:pStyle w:val="Heading1"/>
      </w:pPr>
      <w:r w:rsidRPr="00015234">
        <w:t>5</w:t>
      </w:r>
      <w:r w:rsidRPr="00015234">
        <w:tab/>
      </w:r>
      <w:r w:rsidR="000C18C1" w:rsidRPr="00015234">
        <w:t xml:space="preserve">Отчет о выполнении Кигалийского плана действий ВКРЭ-22 (включая региональные инициативы) и представление информации о состоянии цифрового развития и тенденциях в цифровой сфере в Африке: </w:t>
      </w:r>
      <w:r w:rsidR="00C44E90" w:rsidRPr="00015234">
        <w:br/>
      </w:r>
      <w:r w:rsidR="000C18C1" w:rsidRPr="00015234">
        <w:t>проблемы и возможности</w:t>
      </w:r>
    </w:p>
    <w:p w14:paraId="21E44034" w14:textId="77777777" w:rsidR="000C18C1" w:rsidRPr="00015234" w:rsidRDefault="000C18C1" w:rsidP="00307F9B">
      <w:pPr>
        <w:rPr>
          <w:rFonts w:eastAsia="Calibri"/>
        </w:rPr>
      </w:pPr>
      <w:hyperlink r:id="rId17">
        <w:r w:rsidRPr="00015234">
          <w:rPr>
            <w:rStyle w:val="Hyperlink"/>
            <w:rFonts w:cstheme="minorHAnsi"/>
            <w:szCs w:val="24"/>
          </w:rPr>
          <w:t>Документ 2(</w:t>
        </w:r>
      </w:hyperlink>
      <w:bookmarkStart w:id="6" w:name="_Hlt193379917"/>
      <w:r w:rsidRPr="00015234">
        <w:rPr>
          <w:rStyle w:val="Hyperlink"/>
          <w:rFonts w:cstheme="minorHAnsi"/>
          <w:szCs w:val="24"/>
        </w:rPr>
        <w:t>R</w:t>
      </w:r>
      <w:bookmarkEnd w:id="6"/>
      <w:r w:rsidRPr="00015234">
        <w:rPr>
          <w:rStyle w:val="Hyperlink"/>
          <w:rFonts w:cstheme="minorHAnsi"/>
          <w:szCs w:val="24"/>
        </w:rPr>
        <w:t>ev.3)</w:t>
      </w:r>
      <w:r w:rsidRPr="00015234">
        <w:t xml:space="preserve">: </w:t>
      </w:r>
      <w:r w:rsidRPr="00015234">
        <w:rPr>
          <w:rFonts w:eastAsia="Calibri"/>
        </w:rPr>
        <w:t>Секретариат представил документ, озаглавленный "</w:t>
      </w:r>
      <w:r w:rsidRPr="00015234">
        <w:rPr>
          <w:rFonts w:eastAsia="Calibri"/>
          <w:b/>
          <w:bCs/>
        </w:rPr>
        <w:t>Отчет о выполнении Кигалийского плана действий ВКРЭ-22 (включая региональные инициативы)</w:t>
      </w:r>
      <w:r w:rsidRPr="00015234">
        <w:rPr>
          <w:rFonts w:eastAsia="Calibri"/>
        </w:rPr>
        <w:t>", и связанную с ним презентацию, в которой показаны проекты в регионе в рамках каждой региональной инициативы для Африки.</w:t>
      </w:r>
    </w:p>
    <w:p w14:paraId="4C7FD36C" w14:textId="4ABFA4C1" w:rsidR="000C18C1" w:rsidRPr="00015234" w:rsidRDefault="000C18C1" w:rsidP="00307F9B">
      <w:pPr>
        <w:rPr>
          <w:rFonts w:eastAsia="Calibri"/>
        </w:rPr>
      </w:pPr>
      <w:r w:rsidRPr="00015234">
        <w:rPr>
          <w:rFonts w:eastAsia="Calibri"/>
        </w:rPr>
        <w:t>В отчете содержится краткая информация о выполнении Кигалийского плана действий (КПД) в период с мая по декабрь 2024 года и иллюстрируется прогресс в развитии электросвязи и ИКТ в различных регионах. В документе подчеркиваются усилия по созданию потенциала, такие как организация семинаров-практикумов и учебных курсов по цифровым навыкам и политике в области ИКТ, ориентированных на различные группы, включая женщин, молодежь и недостаточно обслуживаемые сообщества. В нем сообщается о значительных успехах в содействии формированию экосистем цифровых инноваций, совершенствовании нормативно-правовой базы и поддержке устойчивого развития с помощью проектов цифровой трансформации. В отчете содержится призыв к укреплению сотрудничества, разработке специальных стратегий и привлечению инвестиций в появляющиеся технологии для устранения сохраняющихся диспропорций и обеспечения возможности установления соединений для всех в соответствии с Целями в области устойчивого</w:t>
      </w:r>
      <w:r w:rsidR="00C44E90" w:rsidRPr="00015234">
        <w:rPr>
          <w:rFonts w:eastAsia="Calibri"/>
        </w:rPr>
        <w:t> </w:t>
      </w:r>
      <w:r w:rsidRPr="00015234">
        <w:rPr>
          <w:rFonts w:eastAsia="Calibri"/>
        </w:rPr>
        <w:t>развития (ЦУР).</w:t>
      </w:r>
    </w:p>
    <w:p w14:paraId="5EDEA97A" w14:textId="77777777" w:rsidR="000C18C1" w:rsidRPr="00015234" w:rsidRDefault="000C18C1" w:rsidP="00307F9B">
      <w:pPr>
        <w:rPr>
          <w:rFonts w:eastAsia="Calibri"/>
        </w:rPr>
      </w:pPr>
      <w:r w:rsidRPr="00015234">
        <w:rPr>
          <w:rFonts w:eastAsia="Calibri"/>
        </w:rPr>
        <w:t xml:space="preserve">Региональные инициативы МСЭ для региона Африки охватывают четыре приоритетные области, которые были определены и согласованы Членами из региона Африки и утверждены в соответствии с </w:t>
      </w:r>
      <w:hyperlink r:id="rId18" w:history="1">
        <w:r w:rsidRPr="00015234">
          <w:rPr>
            <w:rStyle w:val="Hyperlink"/>
            <w:rFonts w:eastAsia="Calibri" w:cstheme="minorHAnsi"/>
            <w:szCs w:val="24"/>
          </w:rPr>
          <w:t>Резолюцией 17</w:t>
        </w:r>
      </w:hyperlink>
      <w:r w:rsidRPr="00015234">
        <w:rPr>
          <w:rFonts w:eastAsia="Calibri"/>
        </w:rPr>
        <w:t xml:space="preserve"> (Пересм. Кигали, 2022 г.) ВКРЭ-22:</w:t>
      </w:r>
    </w:p>
    <w:p w14:paraId="1F18A5F5" w14:textId="352061D2" w:rsidR="000C18C1" w:rsidRPr="00015234" w:rsidRDefault="00307F9B" w:rsidP="00307F9B">
      <w:pPr>
        <w:pStyle w:val="enumlev1"/>
        <w:rPr>
          <w:rFonts w:eastAsia="Calibri"/>
        </w:rPr>
      </w:pPr>
      <w:r w:rsidRPr="00015234">
        <w:rPr>
          <w:rStyle w:val="normaltextrun"/>
          <w:rFonts w:cstheme="minorHAnsi"/>
          <w:color w:val="000000" w:themeColor="text1"/>
          <w:szCs w:val="24"/>
        </w:rPr>
        <w:t>−</w:t>
      </w:r>
      <w:r w:rsidRPr="00015234">
        <w:rPr>
          <w:rStyle w:val="normaltextrun"/>
          <w:rFonts w:cstheme="minorHAnsi"/>
          <w:b/>
          <w:bCs/>
          <w:color w:val="000000" w:themeColor="text1"/>
          <w:szCs w:val="24"/>
        </w:rPr>
        <w:tab/>
      </w:r>
      <w:r w:rsidR="000C18C1" w:rsidRPr="00015234">
        <w:rPr>
          <w:rFonts w:eastAsia="Calibri"/>
          <w:b/>
          <w:bCs/>
        </w:rPr>
        <w:t>AFR1</w:t>
      </w:r>
      <w:r w:rsidR="000C18C1" w:rsidRPr="00015234">
        <w:rPr>
          <w:rFonts w:eastAsia="Calibri"/>
        </w:rPr>
        <w:t>:</w:t>
      </w:r>
      <w:r w:rsidR="000C18C1" w:rsidRPr="00015234">
        <w:rPr>
          <w:rFonts w:eastAsia="Calibri"/>
          <w:b/>
          <w:bCs/>
        </w:rPr>
        <w:t xml:space="preserve"> </w:t>
      </w:r>
      <w:r w:rsidR="000C18C1" w:rsidRPr="00015234">
        <w:rPr>
          <w:rFonts w:eastAsia="Calibri"/>
        </w:rPr>
        <w:t>Поддержка цифровой трансформации для обеспечения скорейшего перехода к цифровой экономике одновременно с ускорением внедрения инноваций в Африке</w:t>
      </w:r>
    </w:p>
    <w:p w14:paraId="0FA36C6B" w14:textId="365589BC" w:rsidR="000C18C1" w:rsidRPr="00015234" w:rsidRDefault="00307F9B" w:rsidP="00307F9B">
      <w:pPr>
        <w:pStyle w:val="enumlev1"/>
        <w:rPr>
          <w:rFonts w:eastAsia="Calibri"/>
        </w:rPr>
      </w:pPr>
      <w:r w:rsidRPr="00015234">
        <w:rPr>
          <w:rStyle w:val="normaltextrun"/>
          <w:rFonts w:cstheme="minorHAnsi"/>
          <w:color w:val="000000" w:themeColor="text1"/>
          <w:szCs w:val="24"/>
        </w:rPr>
        <w:t>−</w:t>
      </w:r>
      <w:r w:rsidRPr="00015234">
        <w:rPr>
          <w:rStyle w:val="normaltextrun"/>
          <w:rFonts w:cstheme="minorHAnsi"/>
          <w:b/>
          <w:bCs/>
          <w:color w:val="000000" w:themeColor="text1"/>
          <w:szCs w:val="24"/>
        </w:rPr>
        <w:tab/>
      </w:r>
      <w:r w:rsidR="000C18C1" w:rsidRPr="00015234">
        <w:rPr>
          <w:rFonts w:eastAsia="Calibri"/>
          <w:b/>
          <w:bCs/>
        </w:rPr>
        <w:t>AFR2</w:t>
      </w:r>
      <w:r w:rsidR="000C18C1" w:rsidRPr="00015234">
        <w:rPr>
          <w:rFonts w:eastAsia="Calibri"/>
        </w:rPr>
        <w:t>:</w:t>
      </w:r>
      <w:r w:rsidR="000C18C1" w:rsidRPr="00015234">
        <w:rPr>
          <w:rFonts w:eastAsia="Calibri"/>
          <w:b/>
          <w:bCs/>
        </w:rPr>
        <w:t xml:space="preserve"> </w:t>
      </w:r>
      <w:r w:rsidR="000C18C1" w:rsidRPr="00015234">
        <w:rPr>
          <w:rFonts w:eastAsia="Calibri"/>
        </w:rPr>
        <w:t>Внедрение и расширение инфраструктуры широкополосной связи, возможностей установления соединений и появляющихся технологий</w:t>
      </w:r>
    </w:p>
    <w:p w14:paraId="0B82F222" w14:textId="58101A06" w:rsidR="000C18C1" w:rsidRPr="00015234" w:rsidRDefault="00307F9B" w:rsidP="00307F9B">
      <w:pPr>
        <w:pStyle w:val="enumlev1"/>
        <w:rPr>
          <w:rFonts w:eastAsia="Calibri"/>
        </w:rPr>
      </w:pPr>
      <w:r w:rsidRPr="00015234">
        <w:rPr>
          <w:rStyle w:val="normaltextrun"/>
          <w:rFonts w:cstheme="minorHAnsi"/>
          <w:color w:val="000000" w:themeColor="text1"/>
          <w:szCs w:val="24"/>
        </w:rPr>
        <w:t>−</w:t>
      </w:r>
      <w:r w:rsidRPr="00015234">
        <w:rPr>
          <w:rStyle w:val="normaltextrun"/>
          <w:rFonts w:cstheme="minorHAnsi"/>
          <w:b/>
          <w:bCs/>
          <w:color w:val="000000" w:themeColor="text1"/>
          <w:szCs w:val="24"/>
        </w:rPr>
        <w:tab/>
      </w:r>
      <w:r w:rsidR="000C18C1" w:rsidRPr="00015234">
        <w:rPr>
          <w:rFonts w:eastAsia="Calibri"/>
          <w:b/>
          <w:bCs/>
        </w:rPr>
        <w:t>AFR3</w:t>
      </w:r>
      <w:r w:rsidR="000C18C1" w:rsidRPr="00015234">
        <w:rPr>
          <w:rFonts w:eastAsia="Calibri"/>
        </w:rPr>
        <w:t>:</w:t>
      </w:r>
      <w:r w:rsidR="000C18C1" w:rsidRPr="00015234">
        <w:rPr>
          <w:rFonts w:eastAsia="Calibri"/>
          <w:b/>
          <w:bCs/>
        </w:rPr>
        <w:t xml:space="preserve"> </w:t>
      </w:r>
      <w:r w:rsidR="000C18C1" w:rsidRPr="00015234">
        <w:rPr>
          <w:rFonts w:eastAsia="Calibri"/>
        </w:rPr>
        <w:t>Укрепление доверия, безопасности и защищенности при использовании электросвязи/информационно-коммуникационных технологий и защита личных данных</w:t>
      </w:r>
    </w:p>
    <w:p w14:paraId="398FAABD" w14:textId="7CC33E9A" w:rsidR="000C18C1" w:rsidRPr="00015234" w:rsidRDefault="00307F9B" w:rsidP="00307F9B">
      <w:pPr>
        <w:pStyle w:val="enumlev1"/>
        <w:rPr>
          <w:rFonts w:eastAsia="Calibri"/>
          <w:b/>
          <w:bCs/>
        </w:rPr>
      </w:pPr>
      <w:r w:rsidRPr="00015234">
        <w:rPr>
          <w:rStyle w:val="normaltextrun"/>
          <w:rFonts w:cstheme="minorHAnsi"/>
          <w:color w:val="000000" w:themeColor="text1"/>
          <w:szCs w:val="24"/>
        </w:rPr>
        <w:t>−</w:t>
      </w:r>
      <w:r w:rsidRPr="00015234">
        <w:rPr>
          <w:rStyle w:val="normaltextrun"/>
          <w:rFonts w:cstheme="minorHAnsi"/>
          <w:b/>
          <w:bCs/>
          <w:color w:val="000000" w:themeColor="text1"/>
          <w:szCs w:val="24"/>
        </w:rPr>
        <w:tab/>
      </w:r>
      <w:r w:rsidR="000C18C1" w:rsidRPr="00015234">
        <w:rPr>
          <w:rFonts w:eastAsia="Calibri"/>
          <w:b/>
          <w:bCs/>
        </w:rPr>
        <w:t>AFR4</w:t>
      </w:r>
      <w:r w:rsidR="000C18C1" w:rsidRPr="00015234">
        <w:rPr>
          <w:rFonts w:eastAsia="Calibri"/>
        </w:rPr>
        <w:t>:</w:t>
      </w:r>
      <w:r w:rsidR="000C18C1" w:rsidRPr="00015234">
        <w:rPr>
          <w:rFonts w:eastAsia="Calibri"/>
          <w:b/>
          <w:bCs/>
        </w:rPr>
        <w:t xml:space="preserve"> </w:t>
      </w:r>
      <w:r w:rsidR="000C18C1" w:rsidRPr="00015234">
        <w:rPr>
          <w:rFonts w:eastAsia="Calibri"/>
        </w:rPr>
        <w:t>Содействие развитию появляющихся технологий и экосистем инноваций</w:t>
      </w:r>
    </w:p>
    <w:p w14:paraId="5795EAD4" w14:textId="0A91BFFA" w:rsidR="000C18C1" w:rsidRPr="00015234" w:rsidRDefault="000C18C1" w:rsidP="00307F9B">
      <w:pPr>
        <w:rPr>
          <w:rFonts w:eastAsia="Calibri"/>
        </w:rPr>
      </w:pPr>
      <w:r w:rsidRPr="00015234">
        <w:rPr>
          <w:rFonts w:eastAsia="Calibri"/>
        </w:rPr>
        <w:t xml:space="preserve">В презентации сообщалось о выполнении Кигалийского плана действий и подробно описывались проекты, согласованные с четырьмя региональными инициативами для Африканского региона. Проекты, поддержанные МСЭ и партнерами, охватывали создание картографических систем широкополосной связи, центры цифровой трансформации, способствующие развитию цифровых </w:t>
      </w:r>
      <w:r w:rsidRPr="00015234">
        <w:rPr>
          <w:rFonts w:eastAsia="Calibri"/>
        </w:rPr>
        <w:lastRenderedPageBreak/>
        <w:t>навыков, инициативы в области кибербезопасности и планы электросвязи в чрезвычайных ситуациях. Были упомянуты проекты, которые были реализованы в различных странах, таких как Гана, Уганда, Конго, Ботсвана, Намибия, Малави, Руанда и Экваториальная Гвинея, и охватывали такие области, как управление электронными отходами, охват цифровыми технологиями, кибербезопасность, инновации и предпринимательство, а также инициативы по реагированию на бедствия.</w:t>
      </w:r>
    </w:p>
    <w:p w14:paraId="2D5E9C83" w14:textId="147E82A9" w:rsidR="000C18C1" w:rsidRPr="00015234" w:rsidRDefault="000C18C1" w:rsidP="00307F9B">
      <w:pPr>
        <w:rPr>
          <w:rFonts w:eastAsia="Calibri"/>
        </w:rPr>
      </w:pPr>
      <w:r w:rsidRPr="00015234">
        <w:rPr>
          <w:rFonts w:eastAsia="Calibri"/>
        </w:rPr>
        <w:t>Важным достижением стала мобилизация свыше 60 млн швейцарских франков для финансирования реализации проектов в сотрудничестве с правительствами, регуляторными органами и донорами. БРЭ подчеркнуло приверженность МСЭ обеспечению прозрачности, подотчетности и эффективной реализации проектов, учитывающих потребности Африки в области цифрового развития.</w:t>
      </w:r>
    </w:p>
    <w:p w14:paraId="21A70ABC" w14:textId="1DE9D920" w:rsidR="000C18C1" w:rsidRPr="00015234" w:rsidRDefault="000C18C1" w:rsidP="00307F9B">
      <w:pPr>
        <w:rPr>
          <w:rFonts w:eastAsia="Calibri"/>
        </w:rPr>
      </w:pPr>
      <w:r w:rsidRPr="00015234">
        <w:rPr>
          <w:rFonts w:eastAsia="Calibri"/>
        </w:rPr>
        <w:t xml:space="preserve">После завершения презентации состоялся показ </w:t>
      </w:r>
      <w:hyperlink r:id="rId19" w:history="1">
        <w:r w:rsidRPr="00015234">
          <w:rPr>
            <w:rStyle w:val="Hyperlink"/>
            <w:rFonts w:eastAsia="Calibri" w:cstheme="minorHAnsi"/>
            <w:szCs w:val="24"/>
          </w:rPr>
          <w:t>видеофильма</w:t>
        </w:r>
      </w:hyperlink>
      <w:r w:rsidRPr="00015234">
        <w:rPr>
          <w:rFonts w:eastAsia="Calibri"/>
        </w:rPr>
        <w:t>, иллюстрирующего результаты проделанной МСЭ работы.</w:t>
      </w:r>
    </w:p>
    <w:p w14:paraId="20538A2B" w14:textId="3C9A4D64" w:rsidR="000C18C1" w:rsidRPr="00015234" w:rsidRDefault="000C18C1" w:rsidP="00307F9B">
      <w:pPr>
        <w:rPr>
          <w:b/>
          <w:bCs/>
        </w:rPr>
      </w:pPr>
      <w:r w:rsidRPr="00015234">
        <w:rPr>
          <w:b/>
          <w:bCs/>
        </w:rPr>
        <w:t xml:space="preserve">Участники РПС-АФР с благодарностью приняли к сведению Документ 2(Rev.3) и </w:t>
      </w:r>
      <w:hyperlink r:id="rId20" w:history="1">
        <w:r w:rsidRPr="00015234">
          <w:rPr>
            <w:rStyle w:val="Hyperlink"/>
            <w:rFonts w:cstheme="minorHAnsi"/>
            <w:szCs w:val="24"/>
          </w:rPr>
          <w:t>видеофильм</w:t>
        </w:r>
      </w:hyperlink>
      <w:r w:rsidRPr="00015234">
        <w:t>.</w:t>
      </w:r>
    </w:p>
    <w:p w14:paraId="3FE84C1E" w14:textId="14DF1B0C" w:rsidR="000C18C1" w:rsidRPr="00015234" w:rsidRDefault="000C18C1" w:rsidP="00307F9B">
      <w:pPr>
        <w:rPr>
          <w:rFonts w:eastAsia="Calibri"/>
        </w:rPr>
      </w:pPr>
      <w:hyperlink r:id="rId21">
        <w:r w:rsidRPr="00015234">
          <w:rPr>
            <w:rStyle w:val="Hyperlink"/>
            <w:rFonts w:cstheme="minorHAnsi"/>
            <w:szCs w:val="24"/>
          </w:rPr>
          <w:t>Документ 3</w:t>
        </w:r>
        <w:r w:rsidRPr="00015234">
          <w:rPr>
            <w:rStyle w:val="Hyperlink"/>
            <w:rFonts w:cstheme="minorHAnsi"/>
            <w:color w:val="auto"/>
            <w:szCs w:val="24"/>
            <w:u w:val="none"/>
          </w:rPr>
          <w:t>:</w:t>
        </w:r>
      </w:hyperlink>
      <w:r w:rsidRPr="00015234">
        <w:rPr>
          <w:rFonts w:eastAsia="Calibri"/>
        </w:rPr>
        <w:t xml:space="preserve"> Секретариат представил документ, озаглавленный </w:t>
      </w:r>
      <w:r w:rsidRPr="00015234">
        <w:rPr>
          <w:rFonts w:eastAsia="Calibri"/>
          <w:b/>
          <w:bCs/>
        </w:rPr>
        <w:t>"Состояние цифрового развития и тенденции в Африке: проблемы и возможности"</w:t>
      </w:r>
      <w:r w:rsidRPr="00015234">
        <w:rPr>
          <w:rFonts w:eastAsia="Calibri"/>
        </w:rPr>
        <w:t>.</w:t>
      </w:r>
    </w:p>
    <w:p w14:paraId="4DBCF317" w14:textId="68805C3C" w:rsidR="000C18C1" w:rsidRPr="00015234" w:rsidRDefault="000C18C1" w:rsidP="00307F9B">
      <w:pPr>
        <w:rPr>
          <w:rFonts w:eastAsia="Calibri"/>
        </w:rPr>
      </w:pPr>
      <w:r w:rsidRPr="00015234">
        <w:rPr>
          <w:rFonts w:eastAsia="Calibri"/>
        </w:rPr>
        <w:t xml:space="preserve">Документ и соответствующая </w:t>
      </w:r>
      <w:hyperlink r:id="rId22" w:history="1">
        <w:r w:rsidRPr="00015234">
          <w:rPr>
            <w:rStyle w:val="Hyperlink"/>
            <w:rFonts w:eastAsia="Calibri" w:cstheme="minorHAnsi"/>
            <w:szCs w:val="24"/>
          </w:rPr>
          <w:t>презентация</w:t>
        </w:r>
      </w:hyperlink>
      <w:r w:rsidRPr="00015234">
        <w:rPr>
          <w:rFonts w:eastAsia="Calibri"/>
        </w:rPr>
        <w:t xml:space="preserve"> информируют участников и заинтересованные стороны о разработке цифровой повестки дня региона. Документ состоит из двух частей: в первой части представлен обзор состояния цифровой связи в Африке с помощью ключевых показателей, а во второй части – исследования конкретных ситуаций в регионе, посвященные результативным инициативам, которые реализуются под руководством или при поддержке МСЭ.</w:t>
      </w:r>
    </w:p>
    <w:p w14:paraId="64C68B2D" w14:textId="31E18F80" w:rsidR="000C18C1" w:rsidRPr="00015234" w:rsidRDefault="000C18C1" w:rsidP="00307F9B">
      <w:pPr>
        <w:rPr>
          <w:rFonts w:eastAsia="Calibri"/>
        </w:rPr>
      </w:pPr>
      <w:r w:rsidRPr="00015234">
        <w:rPr>
          <w:rFonts w:eastAsia="Calibri"/>
        </w:rPr>
        <w:t>Несмотря на значительный прогресс, достигнутый в регионе, по-прежнему не устранены проблемы подключения и основные препятствия для использования интернета, включая высокую стоимость, уровень цифровой грамотности и ограниченность сельской инфраструктуры. Без целевой поддержки НРС, ЛЛДС и СИДС могут еще больше отстать в цифровом развитии. Кроме того, отмечаются проблемы, связанные с полом, географией и возрастными группами, которые приводят к разрыву в цифровом доступе. Кроме того, в документе приведены шесть исследований конкретных ситуаций, иллюстрирующих успех совместных проектов цифровой трансформации в различных областях при поддержке экспертных знаний МСЭ.</w:t>
      </w:r>
    </w:p>
    <w:p w14:paraId="2FD624AD" w14:textId="178516B2" w:rsidR="000C18C1" w:rsidRPr="00015234" w:rsidRDefault="000C18C1" w:rsidP="00307F9B">
      <w:pPr>
        <w:rPr>
          <w:rFonts w:eastAsia="Calibri"/>
        </w:rPr>
      </w:pPr>
      <w:r w:rsidRPr="00015234">
        <w:rPr>
          <w:rFonts w:eastAsia="Calibri"/>
        </w:rPr>
        <w:t>Несмотря на сохраняющиеся проблемы, связанные с ценовой доступностью, кибербезопасностью, электронными отходами и управлением, регион имеет все возможности для достижения прогресса в сфере цифровой трансформации. Такой прогресс требует определения универсальной и реальной возможности установления соединений в качестве политического императива; при этом необходимы постоянные инвестиции, разработка политики и правил на основе данных, а также расширенное региональное сотрудничество для обеспечения инклюзивного и устойчивого цифрового развития.</w:t>
      </w:r>
    </w:p>
    <w:p w14:paraId="4549C6D5" w14:textId="77777777" w:rsidR="000C18C1" w:rsidRPr="00015234" w:rsidRDefault="000C18C1" w:rsidP="00307F9B">
      <w:pPr>
        <w:rPr>
          <w:rFonts w:eastAsia="Calibri"/>
        </w:rPr>
      </w:pPr>
      <w:r w:rsidRPr="00015234">
        <w:t xml:space="preserve">С презентацией можно ознакомиться по этой </w:t>
      </w:r>
      <w:hyperlink r:id="rId23" w:history="1">
        <w:r w:rsidRPr="00015234">
          <w:rPr>
            <w:rStyle w:val="Hyperlink"/>
            <w:rFonts w:cstheme="minorHAnsi"/>
            <w:szCs w:val="24"/>
          </w:rPr>
          <w:t>ссылке</w:t>
        </w:r>
      </w:hyperlink>
      <w:r w:rsidRPr="00015234">
        <w:t>.</w:t>
      </w:r>
    </w:p>
    <w:p w14:paraId="3A5DA5E2" w14:textId="1F5F6A3A" w:rsidR="000C18C1" w:rsidRPr="00015234" w:rsidRDefault="000C18C1" w:rsidP="00307F9B">
      <w:pPr>
        <w:pStyle w:val="Headingb"/>
        <w:rPr>
          <w:rFonts w:eastAsia="Calibri"/>
        </w:rPr>
      </w:pPr>
      <w:r w:rsidRPr="00015234">
        <w:t>Участники РПС-АФР с благодарностью приняли к сведению Документ 3</w:t>
      </w:r>
      <w:r w:rsidRPr="00015234">
        <w:rPr>
          <w:b w:val="0"/>
          <w:bCs/>
        </w:rPr>
        <w:t>.</w:t>
      </w:r>
    </w:p>
    <w:p w14:paraId="35B19409" w14:textId="250C39DA" w:rsidR="000C18C1" w:rsidRPr="00015234" w:rsidRDefault="00307F9B" w:rsidP="00307F9B">
      <w:pPr>
        <w:pStyle w:val="Heading1"/>
      </w:pPr>
      <w:r w:rsidRPr="00015234">
        <w:t>6</w:t>
      </w:r>
      <w:r w:rsidRPr="00015234">
        <w:tab/>
      </w:r>
      <w:r w:rsidR="000C18C1" w:rsidRPr="00015234">
        <w:t>Отчет о решениях других конференций, ассамблей и собраний МСЭ, в части, касающейся деятельности МСЭ-D</w:t>
      </w:r>
    </w:p>
    <w:p w14:paraId="7888FB4D" w14:textId="671181A1" w:rsidR="000C18C1" w:rsidRPr="00015234" w:rsidRDefault="000C18C1" w:rsidP="00307F9B">
      <w:pPr>
        <w:rPr>
          <w:rFonts w:eastAsiaTheme="minorEastAsia"/>
        </w:rPr>
      </w:pPr>
      <w:hyperlink r:id="rId24">
        <w:r w:rsidRPr="00015234">
          <w:rPr>
            <w:rStyle w:val="Hyperlink"/>
            <w:rFonts w:cstheme="minorHAnsi"/>
            <w:szCs w:val="24"/>
          </w:rPr>
          <w:t>Документ 4</w:t>
        </w:r>
      </w:hyperlink>
      <w:r w:rsidRPr="00015234">
        <w:t xml:space="preserve">: </w:t>
      </w:r>
      <w:r w:rsidRPr="00015234">
        <w:rPr>
          <w:rFonts w:eastAsia="Calibri"/>
        </w:rPr>
        <w:t xml:space="preserve">в рамках данного пункта повестки дня БРЭ представило документ, озаглавленный </w:t>
      </w:r>
      <w:r w:rsidRPr="00015234">
        <w:rPr>
          <w:rFonts w:eastAsia="Calibri"/>
          <w:b/>
          <w:bCs/>
        </w:rPr>
        <w:t>"Отчет о решениях других конференций, ассамблей и собраний МСЭ, в части, касающейся деятельности</w:t>
      </w:r>
      <w:r w:rsidR="00052017" w:rsidRPr="00015234">
        <w:rPr>
          <w:rFonts w:eastAsia="Calibri"/>
          <w:b/>
          <w:bCs/>
        </w:rPr>
        <w:t> </w:t>
      </w:r>
      <w:r w:rsidRPr="00015234">
        <w:rPr>
          <w:rFonts w:eastAsia="Calibri"/>
          <w:b/>
          <w:bCs/>
        </w:rPr>
        <w:t>МСЭ-D"</w:t>
      </w:r>
      <w:r w:rsidRPr="00015234">
        <w:rPr>
          <w:rFonts w:eastAsia="Calibri"/>
        </w:rPr>
        <w:t>.</w:t>
      </w:r>
    </w:p>
    <w:p w14:paraId="3A1DB79A" w14:textId="380ADFC7" w:rsidR="000C18C1" w:rsidRPr="00015234" w:rsidRDefault="000C18C1" w:rsidP="00307F9B">
      <w:pPr>
        <w:rPr>
          <w:rFonts w:eastAsia="Calibri"/>
        </w:rPr>
      </w:pPr>
      <w:r w:rsidRPr="00015234">
        <w:rPr>
          <w:rFonts w:eastAsia="Calibri"/>
        </w:rPr>
        <w:t xml:space="preserve">В документе в кратком виде излагаются ключевые решения ВАСЭ-24, АР-23 и ВКР-23 с особым акцентом на их актуальность для Сектора развития электросвязи МСЭ (МСЭ-D). Его цель – проинформировать об этих результатах участников собрания, а также других региональных подготовительных собраний (РПС), предлагая Государствам-Членам рассмотреть такие результаты и </w:t>
      </w:r>
      <w:r w:rsidRPr="00015234">
        <w:rPr>
          <w:rFonts w:eastAsia="Calibri"/>
        </w:rPr>
        <w:lastRenderedPageBreak/>
        <w:t>обеспечить согласование решений и резолюций ВКРЭ-25 с решениями, принятыми на ВКР-23</w:t>
      </w:r>
      <w:r w:rsidR="00052017" w:rsidRPr="00015234">
        <w:rPr>
          <w:rFonts w:eastAsia="Calibri"/>
        </w:rPr>
        <w:t> </w:t>
      </w:r>
      <w:r w:rsidRPr="00015234">
        <w:rPr>
          <w:rFonts w:eastAsia="Calibri"/>
        </w:rPr>
        <w:t>и</w:t>
      </w:r>
      <w:r w:rsidR="00052017" w:rsidRPr="00015234">
        <w:rPr>
          <w:rFonts w:eastAsia="Calibri"/>
        </w:rPr>
        <w:t> </w:t>
      </w:r>
      <w:r w:rsidRPr="00015234">
        <w:rPr>
          <w:rFonts w:eastAsia="Calibri"/>
        </w:rPr>
        <w:t>ВАСЭ</w:t>
      </w:r>
      <w:r w:rsidR="00307F9B" w:rsidRPr="00015234">
        <w:rPr>
          <w:rFonts w:eastAsia="Calibri"/>
        </w:rPr>
        <w:noBreakHyphen/>
      </w:r>
      <w:r w:rsidRPr="00015234">
        <w:rPr>
          <w:rFonts w:eastAsia="Calibri"/>
        </w:rPr>
        <w:t>24.</w:t>
      </w:r>
    </w:p>
    <w:p w14:paraId="211967E3" w14:textId="2332724E" w:rsidR="000C18C1" w:rsidRPr="00015234" w:rsidRDefault="000C18C1" w:rsidP="00307F9B">
      <w:pPr>
        <w:rPr>
          <w:rFonts w:eastAsia="Calibri"/>
        </w:rPr>
      </w:pPr>
      <w:r w:rsidRPr="00015234">
        <w:t xml:space="preserve">Документ 4 содержит два приложения: </w:t>
      </w:r>
      <w:hyperlink r:id="rId25" w:history="1">
        <w:r w:rsidRPr="00015234">
          <w:rPr>
            <w:rStyle w:val="Hyperlink"/>
            <w:rFonts w:cstheme="minorHAnsi"/>
            <w:szCs w:val="24"/>
          </w:rPr>
          <w:t>Дополнительный документ 1(Rev.1) к Документу 4</w:t>
        </w:r>
      </w:hyperlink>
      <w:r w:rsidRPr="00015234">
        <w:t>, в котором представлена подробная информация об итогах ВАСЭ-24, состоявшейся в Нью-Дели с 15 по 24</w:t>
      </w:r>
      <w:r w:rsidR="00307F9B" w:rsidRPr="00015234">
        <w:t> </w:t>
      </w:r>
      <w:r w:rsidRPr="00015234">
        <w:t xml:space="preserve">октября 2024 года, и </w:t>
      </w:r>
      <w:hyperlink r:id="rId26" w:history="1">
        <w:r w:rsidRPr="00015234">
          <w:rPr>
            <w:rStyle w:val="Hyperlink"/>
            <w:rFonts w:cstheme="minorHAnsi"/>
            <w:szCs w:val="24"/>
          </w:rPr>
          <w:t>Дополнительный документ 2 к Документу 4</w:t>
        </w:r>
      </w:hyperlink>
      <w:r w:rsidRPr="00015234">
        <w:t>, в котором представлены сведения об итогах Ассамблеи радиосвязи 2023 года (АР-23), Всемирной конференции радиосвязи 2023 года (ВКР-23) и первой сессии Подготовительного собрания к Конференции (ПСК27-1) для ВКР</w:t>
      </w:r>
      <w:r w:rsidR="00307F9B" w:rsidRPr="00015234">
        <w:noBreakHyphen/>
      </w:r>
      <w:r w:rsidRPr="00015234">
        <w:t>27; все эти мероприятия проводились в Дубае, ОАЭ. Оба приложения были представлены Секретариатом как часть Документа 4.</w:t>
      </w:r>
    </w:p>
    <w:p w14:paraId="66B33A3E" w14:textId="386E8FB4" w:rsidR="000C18C1" w:rsidRPr="00015234" w:rsidRDefault="000C18C1" w:rsidP="00307F9B">
      <w:pPr>
        <w:rPr>
          <w:rFonts w:eastAsia="Calibri"/>
        </w:rPr>
      </w:pPr>
      <w:r w:rsidRPr="00015234">
        <w:t>Секретариат представил некоторые ключевые сведения о текущей и предстоящей совместной работе МСЭ-D и двух других Секторов (МСЭ-Т и МСЭ-R), а также о сотрудничестве между бюро Секторов, в том числе по преодолению разрыва в стандартизации (ПРС) и эффективному использованию спектра, в частности, в связи с Резолюцией 9 ВКРЭ.</w:t>
      </w:r>
    </w:p>
    <w:p w14:paraId="04CE4102" w14:textId="048BC350" w:rsidR="000C18C1" w:rsidRPr="00015234" w:rsidRDefault="000C18C1" w:rsidP="00307F9B">
      <w:pPr>
        <w:pStyle w:val="Headingb"/>
      </w:pPr>
      <w:r w:rsidRPr="00015234">
        <w:t>Участники РПС-АФР с благодарностью приняли к сведению Документ 4 и дополнительные документы к нему</w:t>
      </w:r>
      <w:r w:rsidRPr="00015234">
        <w:rPr>
          <w:b w:val="0"/>
          <w:bCs/>
        </w:rPr>
        <w:t>.</w:t>
      </w:r>
    </w:p>
    <w:p w14:paraId="77A08D17" w14:textId="2E38433C" w:rsidR="000C18C1" w:rsidRPr="00015234" w:rsidRDefault="00307F9B" w:rsidP="00307F9B">
      <w:pPr>
        <w:pStyle w:val="Heading1"/>
      </w:pPr>
      <w:r w:rsidRPr="00015234">
        <w:t>7</w:t>
      </w:r>
      <w:r w:rsidRPr="00015234">
        <w:tab/>
      </w:r>
      <w:r w:rsidR="000C18C1" w:rsidRPr="00015234">
        <w:t>Подготовка к ВКРЭ-25</w:t>
      </w:r>
    </w:p>
    <w:p w14:paraId="6551A15E" w14:textId="45C6FAD9" w:rsidR="000C18C1" w:rsidRPr="00015234" w:rsidRDefault="00307F9B" w:rsidP="00307F9B">
      <w:pPr>
        <w:pStyle w:val="Heading2"/>
      </w:pPr>
      <w:r w:rsidRPr="00015234">
        <w:t>7.1</w:t>
      </w:r>
      <w:r w:rsidRPr="00015234">
        <w:tab/>
      </w:r>
      <w:r w:rsidR="000C18C1" w:rsidRPr="00015234">
        <w:t>Предварительный проект вклада МСЭ-D в Стратегический план МСЭ и проект Плана</w:t>
      </w:r>
      <w:r w:rsidR="00052017" w:rsidRPr="00015234">
        <w:t> </w:t>
      </w:r>
      <w:r w:rsidR="000C18C1" w:rsidRPr="00015234">
        <w:t>действий</w:t>
      </w:r>
    </w:p>
    <w:p w14:paraId="07A8704A" w14:textId="035C8C43" w:rsidR="000C18C1" w:rsidRPr="00015234" w:rsidRDefault="000C18C1" w:rsidP="00307F9B">
      <w:pPr>
        <w:rPr>
          <w:rFonts w:eastAsia="Calibri"/>
        </w:rPr>
      </w:pPr>
      <w:hyperlink r:id="rId27">
        <w:r w:rsidRPr="00015234">
          <w:rPr>
            <w:rStyle w:val="Hyperlink"/>
            <w:rFonts w:cstheme="minorHAnsi"/>
            <w:szCs w:val="24"/>
          </w:rPr>
          <w:t>Документ 8:</w:t>
        </w:r>
      </w:hyperlink>
      <w:r w:rsidRPr="00015234">
        <w:rPr>
          <w:rStyle w:val="normaltextrun"/>
          <w:rFonts w:cstheme="minorHAnsi"/>
          <w:color w:val="000000"/>
          <w:szCs w:val="24"/>
          <w:shd w:val="clear" w:color="auto" w:fill="FFFFFF"/>
        </w:rPr>
        <w:t xml:space="preserve"> </w:t>
      </w:r>
      <w:r w:rsidRPr="00015234">
        <w:rPr>
          <w:shd w:val="clear" w:color="auto" w:fill="FFFFFF"/>
        </w:rPr>
        <w:t xml:space="preserve">г-жа Инга Римкевичене, Председатель Рабочей группы КГРЭ по приоритетам МСЭ-D, представила </w:t>
      </w:r>
      <w:r w:rsidRPr="00015234">
        <w:rPr>
          <w:rStyle w:val="normaltextrun"/>
          <w:rFonts w:cstheme="minorHAnsi"/>
          <w:color w:val="000000"/>
          <w:szCs w:val="24"/>
          <w:shd w:val="clear" w:color="auto" w:fill="FFFFFF"/>
        </w:rPr>
        <w:t>Документ, озаглавленный "</w:t>
      </w:r>
      <w:r w:rsidRPr="00015234">
        <w:rPr>
          <w:rStyle w:val="normaltextrun"/>
          <w:rFonts w:cstheme="minorHAnsi"/>
          <w:b/>
          <w:bCs/>
          <w:color w:val="000000"/>
          <w:szCs w:val="24"/>
          <w:shd w:val="clear" w:color="auto" w:fill="FFFFFF"/>
        </w:rPr>
        <w:t>Отчет о ходе работы Рабочей группы КГРЭ по приоритетам</w:t>
      </w:r>
      <w:r w:rsidR="00CC720F" w:rsidRPr="00015234">
        <w:rPr>
          <w:rStyle w:val="normaltextrun"/>
          <w:rFonts w:cstheme="minorHAnsi"/>
          <w:b/>
          <w:bCs/>
          <w:color w:val="000000"/>
          <w:szCs w:val="24"/>
          <w:shd w:val="clear" w:color="auto" w:fill="FFFFFF"/>
        </w:rPr>
        <w:t> </w:t>
      </w:r>
      <w:r w:rsidRPr="00015234">
        <w:rPr>
          <w:rStyle w:val="normaltextrun"/>
          <w:rFonts w:cstheme="minorHAnsi"/>
          <w:b/>
          <w:bCs/>
          <w:color w:val="000000"/>
          <w:szCs w:val="24"/>
          <w:shd w:val="clear" w:color="auto" w:fill="FFFFFF"/>
        </w:rPr>
        <w:t>МСЭ-D</w:t>
      </w:r>
      <w:r w:rsidRPr="00015234">
        <w:rPr>
          <w:rStyle w:val="normaltextrun"/>
          <w:rFonts w:cstheme="minorHAnsi"/>
          <w:color w:val="000000"/>
          <w:szCs w:val="24"/>
          <w:shd w:val="clear" w:color="auto" w:fill="FFFFFF"/>
        </w:rPr>
        <w:t>".</w:t>
      </w:r>
    </w:p>
    <w:p w14:paraId="63E871E4" w14:textId="7D921DF0" w:rsidR="000C18C1" w:rsidRPr="00015234" w:rsidRDefault="000C18C1" w:rsidP="00307F9B">
      <w:pPr>
        <w:rPr>
          <w:rFonts w:eastAsia="Calibri"/>
        </w:rPr>
      </w:pPr>
      <w:r w:rsidRPr="00015234">
        <w:rPr>
          <w:rFonts w:eastAsia="Calibri"/>
        </w:rPr>
        <w:t>В своем выступлении г-жа Римкевичене представила обзор отчета о ходе работы, содержащегося в Документе 8. Она рассказала о мандате группы по анализу и согласованию приоритетов МСЭ-D с глобальными целями в области развития и предложению рекомендаций для Бакинского плана действий для ВКРЭ-25.</w:t>
      </w:r>
    </w:p>
    <w:p w14:paraId="67661BB5" w14:textId="6993687C" w:rsidR="000C18C1" w:rsidRPr="00015234" w:rsidRDefault="000C18C1" w:rsidP="00307F9B">
      <w:pPr>
        <w:rPr>
          <w:rFonts w:eastAsia="Calibri"/>
        </w:rPr>
      </w:pPr>
      <w:r w:rsidRPr="00015234">
        <w:rPr>
          <w:rFonts w:eastAsia="Calibri"/>
        </w:rPr>
        <w:t>В презентации был сделан акцент на работе группы на сегодняшний день, в том числе на соглашении Рабочей группы на последнем собрании относительно использования текущих приоритетов МСЭ-D в контексте Кигалийского плана действий в качестве основы для разработки новых приоритетов, а также относительно структуры Бакинского плана действий.</w:t>
      </w:r>
    </w:p>
    <w:p w14:paraId="5341CD76" w14:textId="571C5741" w:rsidR="000C18C1" w:rsidRPr="00015234" w:rsidRDefault="000C18C1" w:rsidP="00307F9B">
      <w:pPr>
        <w:rPr>
          <w:rFonts w:eastAsia="Calibri"/>
        </w:rPr>
      </w:pPr>
      <w:r w:rsidRPr="00015234">
        <w:rPr>
          <w:rFonts w:eastAsia="Calibri"/>
        </w:rPr>
        <w:t>Г-жа Римкевичене также предоставила информацию о следующих шагах, которые должна предпринять Группа для выработки окончательного итогового документа, который будет представлен для дальнейшего рассмотрения на собрании КГРЭ 2025 года.</w:t>
      </w:r>
    </w:p>
    <w:p w14:paraId="1E74187D" w14:textId="77777777" w:rsidR="000C18C1" w:rsidRPr="00015234" w:rsidRDefault="000C18C1" w:rsidP="00307F9B">
      <w:pPr>
        <w:rPr>
          <w:rFonts w:eastAsia="Calibri"/>
        </w:rPr>
      </w:pPr>
      <w:r w:rsidRPr="00015234">
        <w:t xml:space="preserve">С презентацией можно ознакомиться по этой </w:t>
      </w:r>
      <w:hyperlink r:id="rId28">
        <w:r w:rsidRPr="00015234">
          <w:rPr>
            <w:rStyle w:val="Hyperlink"/>
            <w:rFonts w:cstheme="minorHAnsi"/>
            <w:szCs w:val="24"/>
          </w:rPr>
          <w:t>ссылке</w:t>
        </w:r>
      </w:hyperlink>
      <w:r w:rsidRPr="00015234">
        <w:t>.</w:t>
      </w:r>
    </w:p>
    <w:p w14:paraId="66DC271C" w14:textId="754C3C44" w:rsidR="000C18C1" w:rsidRPr="00015234" w:rsidRDefault="000C18C1" w:rsidP="00307F9B">
      <w:pPr>
        <w:pStyle w:val="Headingb"/>
      </w:pPr>
      <w:r w:rsidRPr="00015234">
        <w:t>Участники РПС-АФР с благодарностью приняли к сведению Документ 8</w:t>
      </w:r>
      <w:r w:rsidRPr="00015234">
        <w:rPr>
          <w:b w:val="0"/>
          <w:bCs/>
        </w:rPr>
        <w:t>.</w:t>
      </w:r>
    </w:p>
    <w:p w14:paraId="26D543C0" w14:textId="08B0ECE0" w:rsidR="000C18C1" w:rsidRPr="00015234" w:rsidRDefault="00307F9B" w:rsidP="00307F9B">
      <w:pPr>
        <w:pStyle w:val="Heading2"/>
      </w:pPr>
      <w:r w:rsidRPr="00015234">
        <w:t>7.2</w:t>
      </w:r>
      <w:r w:rsidRPr="00015234">
        <w:tab/>
      </w:r>
      <w:r w:rsidR="000C18C1" w:rsidRPr="00015234">
        <w:t>Будущие Вопросы исследовательских комиссий</w:t>
      </w:r>
    </w:p>
    <w:p w14:paraId="5E94E9C6" w14:textId="107DA79B" w:rsidR="000C18C1" w:rsidRPr="00015234" w:rsidRDefault="000C18C1" w:rsidP="00307F9B">
      <w:hyperlink r:id="rId29" w:history="1">
        <w:r w:rsidRPr="00015234">
          <w:rPr>
            <w:rStyle w:val="Hyperlink"/>
            <w:rFonts w:cstheme="minorHAnsi"/>
            <w:szCs w:val="24"/>
          </w:rPr>
          <w:t>Документ 5(Rev.2):</w:t>
        </w:r>
      </w:hyperlink>
      <w:r w:rsidRPr="00015234">
        <w:rPr>
          <w:rStyle w:val="normaltextrun"/>
          <w:rFonts w:cstheme="minorHAnsi"/>
          <w:b/>
          <w:bCs/>
          <w:color w:val="000000"/>
          <w:szCs w:val="24"/>
          <w:shd w:val="clear" w:color="auto" w:fill="FFFFFF"/>
        </w:rPr>
        <w:t xml:space="preserve"> </w:t>
      </w:r>
      <w:r w:rsidRPr="00015234">
        <w:t xml:space="preserve">д-р Ахмед Шарафат, Председатель Рабочей группы КГРЭ по будущим Вопросам исследовательских комиссий, представил Документ, озаглавленный </w:t>
      </w:r>
      <w:r w:rsidRPr="00015234">
        <w:rPr>
          <w:b/>
          <w:bCs/>
        </w:rPr>
        <w:t>"Отчет о ходе работы КГРЭ</w:t>
      </w:r>
      <w:r w:rsidR="00052017" w:rsidRPr="00015234">
        <w:rPr>
          <w:b/>
          <w:bCs/>
        </w:rPr>
        <w:t>­</w:t>
      </w:r>
      <w:r w:rsidRPr="00015234">
        <w:rPr>
          <w:b/>
          <w:bCs/>
        </w:rPr>
        <w:t>РГ</w:t>
      </w:r>
      <w:r w:rsidR="00052017" w:rsidRPr="00015234">
        <w:rPr>
          <w:b/>
          <w:bCs/>
        </w:rPr>
        <w:t>­</w:t>
      </w:r>
      <w:r w:rsidRPr="00015234">
        <w:rPr>
          <w:b/>
          <w:bCs/>
        </w:rPr>
        <w:t>futureSGQ"</w:t>
      </w:r>
      <w:r w:rsidRPr="00015234">
        <w:t>.</w:t>
      </w:r>
    </w:p>
    <w:p w14:paraId="11D946A5" w14:textId="77777777" w:rsidR="000C18C1" w:rsidRPr="00015234" w:rsidRDefault="000C18C1" w:rsidP="00307F9B">
      <w:r w:rsidRPr="00015234">
        <w:t>Д-р Шарафат представил отчет о ходе работы Группы и обозначил ключевые задачи Рабочей группы, включающие оценку актуальности существующих исследуемых вопросов, предложение новых тем и обеспечение согласованности с приоритетами МСЭ-D. В отчете подробно описывается использованная методика, например консультации с заинтересованными сторонами с помощью онлайновых вопросников, что свидетельствует о значительном интересе к таким темам, как развитие широкополосной связи, кибербезопасность и "умные" города.</w:t>
      </w:r>
    </w:p>
    <w:p w14:paraId="5777E921" w14:textId="2CCD2698" w:rsidR="000C18C1" w:rsidRPr="00015234" w:rsidRDefault="000C18C1" w:rsidP="00307F9B">
      <w:r w:rsidRPr="00015234">
        <w:lastRenderedPageBreak/>
        <w:t>Д-р Шарафат подчеркнул важность объединения исследуемых вопросов в целях повышения эффективности, отметив планируемое объединение смежных тем при обеспечении всеохватности в рамках управленческих групп. Он также подчеркнул важность вкладов Государств-Членов и региональных групп для представления региональных перспектив в предстоящих обсуждениях. В</w:t>
      </w:r>
      <w:r w:rsidR="00052017" w:rsidRPr="00015234">
        <w:t> </w:t>
      </w:r>
      <w:r w:rsidRPr="00015234">
        <w:t>заключение д-р Шарафат призвал продолжать представлять вклады для обеспечения того, чтобы в заключительном документе были отражены различные региональные идеи, а также результаты, которые должны быть представлены на собрании КГРЭ в мае 2025 года до начала ВКРЭ-25.</w:t>
      </w:r>
    </w:p>
    <w:p w14:paraId="2E3771E1" w14:textId="77777777" w:rsidR="000C18C1" w:rsidRPr="00015234" w:rsidRDefault="000C18C1" w:rsidP="00307F9B">
      <w:r w:rsidRPr="00015234">
        <w:t xml:space="preserve">С презентацией можно ознакомиться по этой </w:t>
      </w:r>
      <w:hyperlink r:id="rId30">
        <w:r w:rsidRPr="00015234">
          <w:rPr>
            <w:rStyle w:val="Hyperlink"/>
            <w:rFonts w:cstheme="minorHAnsi"/>
            <w:szCs w:val="24"/>
          </w:rPr>
          <w:t>ссылке</w:t>
        </w:r>
      </w:hyperlink>
      <w:r w:rsidRPr="00015234">
        <w:t>.</w:t>
      </w:r>
    </w:p>
    <w:p w14:paraId="201884E1" w14:textId="4A464B83" w:rsidR="000C18C1" w:rsidRPr="00015234" w:rsidRDefault="000C18C1" w:rsidP="00307F9B">
      <w:pPr>
        <w:pStyle w:val="Headingb"/>
      </w:pPr>
      <w:r w:rsidRPr="00015234">
        <w:t>Участники РПС-АФР с благодарностью приняли к сведению Документ 5(Rev.2)</w:t>
      </w:r>
      <w:r w:rsidRPr="00015234">
        <w:rPr>
          <w:b w:val="0"/>
          <w:bCs/>
        </w:rPr>
        <w:t>.</w:t>
      </w:r>
    </w:p>
    <w:p w14:paraId="67AE71CB" w14:textId="71173BC0" w:rsidR="000C18C1" w:rsidRPr="00015234" w:rsidRDefault="00307F9B" w:rsidP="00307F9B">
      <w:pPr>
        <w:pStyle w:val="Heading2"/>
      </w:pPr>
      <w:r w:rsidRPr="00015234">
        <w:t>7.3</w:t>
      </w:r>
      <w:r w:rsidRPr="00015234">
        <w:tab/>
      </w:r>
      <w:r w:rsidR="000C18C1" w:rsidRPr="00015234">
        <w:t>Предварительный проект Декларации ВКРЭ-25</w:t>
      </w:r>
    </w:p>
    <w:p w14:paraId="2A507295" w14:textId="3F93A0CD" w:rsidR="000C18C1" w:rsidRPr="00015234" w:rsidRDefault="000C18C1" w:rsidP="00307F9B">
      <w:hyperlink r:id="rId31">
        <w:r w:rsidRPr="00015234">
          <w:rPr>
            <w:rStyle w:val="Hyperlink"/>
            <w:rFonts w:cstheme="minorHAnsi"/>
            <w:szCs w:val="24"/>
          </w:rPr>
          <w:t>Документ 7(Rev.1):</w:t>
        </w:r>
      </w:hyperlink>
      <w:r w:rsidRPr="00015234">
        <w:rPr>
          <w:rStyle w:val="normaltextrun"/>
          <w:rFonts w:cstheme="minorHAnsi"/>
          <w:b/>
          <w:bCs/>
          <w:color w:val="000000"/>
          <w:szCs w:val="24"/>
          <w:shd w:val="clear" w:color="auto" w:fill="FFFFFF"/>
        </w:rPr>
        <w:t xml:space="preserve"> </w:t>
      </w:r>
      <w:r w:rsidRPr="00015234">
        <w:rPr>
          <w:rStyle w:val="normaltextrun"/>
          <w:rFonts w:cstheme="minorHAnsi"/>
          <w:color w:val="000000"/>
          <w:szCs w:val="24"/>
          <w:shd w:val="clear" w:color="auto" w:fill="FFFFFF"/>
        </w:rPr>
        <w:t>Документ, озаглавленный</w:t>
      </w:r>
      <w:r w:rsidRPr="00015234">
        <w:rPr>
          <w:rStyle w:val="normaltextrun"/>
          <w:rFonts w:cstheme="minorHAnsi"/>
          <w:b/>
          <w:bCs/>
          <w:color w:val="000000"/>
          <w:szCs w:val="24"/>
          <w:shd w:val="clear" w:color="auto" w:fill="FFFFFF"/>
        </w:rPr>
        <w:t xml:space="preserve"> </w:t>
      </w:r>
      <w:r w:rsidRPr="00015234">
        <w:rPr>
          <w:rStyle w:val="normaltextrun"/>
          <w:rFonts w:cstheme="minorHAnsi"/>
          <w:color w:val="000000"/>
          <w:szCs w:val="24"/>
          <w:shd w:val="clear" w:color="auto" w:fill="FFFFFF"/>
        </w:rPr>
        <w:t>"</w:t>
      </w:r>
      <w:r w:rsidRPr="00015234">
        <w:rPr>
          <w:rStyle w:val="normaltextrun"/>
          <w:rFonts w:cstheme="minorHAnsi"/>
          <w:b/>
          <w:bCs/>
          <w:color w:val="000000"/>
          <w:szCs w:val="24"/>
          <w:shd w:val="clear" w:color="auto" w:fill="FFFFFF"/>
        </w:rPr>
        <w:t>Отчет о ходе работы Рабочей группы КГРЭ по Декларации</w:t>
      </w:r>
      <w:r w:rsidRPr="00015234">
        <w:rPr>
          <w:rStyle w:val="normaltextrun"/>
          <w:rFonts w:cstheme="minorHAnsi"/>
          <w:color w:val="000000"/>
          <w:szCs w:val="24"/>
          <w:shd w:val="clear" w:color="auto" w:fill="FFFFFF"/>
        </w:rPr>
        <w:t>",</w:t>
      </w:r>
      <w:r w:rsidRPr="00015234">
        <w:rPr>
          <w:rStyle w:val="normaltextrun"/>
          <w:rFonts w:cstheme="minorHAnsi"/>
          <w:b/>
          <w:bCs/>
          <w:color w:val="000000"/>
          <w:szCs w:val="24"/>
          <w:shd w:val="clear" w:color="auto" w:fill="FFFFFF"/>
        </w:rPr>
        <w:t xml:space="preserve"> </w:t>
      </w:r>
      <w:r w:rsidRPr="00015234">
        <w:rPr>
          <w:rStyle w:val="normaltextrun"/>
          <w:rFonts w:cstheme="minorHAnsi"/>
          <w:color w:val="000000"/>
          <w:szCs w:val="24"/>
          <w:shd w:val="clear" w:color="auto" w:fill="FFFFFF"/>
        </w:rPr>
        <w:t>был представлен д-ром Абдулкаримом Олойеде, председателем Рабочей группы КГРЭ по Декларации ВКРЭ, который зачитал отчет о ходе работы Группы, в том числе о проведенных</w:t>
      </w:r>
      <w:r w:rsidR="0020334D" w:rsidRPr="00015234">
        <w:rPr>
          <w:rStyle w:val="normaltextrun"/>
          <w:rFonts w:cstheme="minorHAnsi"/>
          <w:color w:val="000000"/>
          <w:szCs w:val="24"/>
          <w:shd w:val="clear" w:color="auto" w:fill="FFFFFF"/>
        </w:rPr>
        <w:t> </w:t>
      </w:r>
      <w:r w:rsidRPr="00015234">
        <w:rPr>
          <w:rStyle w:val="normaltextrun"/>
          <w:rFonts w:cstheme="minorHAnsi"/>
          <w:color w:val="000000"/>
          <w:szCs w:val="24"/>
          <w:shd w:val="clear" w:color="auto" w:fill="FFFFFF"/>
        </w:rPr>
        <w:t>собраниях.</w:t>
      </w:r>
    </w:p>
    <w:p w14:paraId="6B487EF1" w14:textId="7195BC91" w:rsidR="000C18C1" w:rsidRPr="00015234" w:rsidRDefault="000C18C1" w:rsidP="00307F9B">
      <w:r w:rsidRPr="00015234">
        <w:t>Он проинформировал РПС-АФР о том, что к настоящему моменту Рабочая группа провела три собрания, в ходе которых был разработан нулевой проект, учитывающий замечания заинтересованных сторон. Разработан пересмотренный проект с учетом дополнительных замечаний, который будет обсуждаться на следующем собрании Рабочей группы. Предлагаемая тема для Декларации ВКРЭ 2025 года – "Универсальная, реальная и приемлемая в ценовом отношении возможность установления соединений в интересах открытого для всех и устойчивого цифрового будущего" – была одобрена в принципе без каких-либо возражений. Проект соответствует структуре Кигалийской декларации и состоит из введения, заявления о декларации, обязательств и призыва к действиям. Рабочая группа также обеспечила согласованность действий с другими рабочими</w:t>
      </w:r>
      <w:r w:rsidR="0020334D" w:rsidRPr="00015234">
        <w:t> </w:t>
      </w:r>
      <w:r w:rsidRPr="00015234">
        <w:t>группами КГРЭ.</w:t>
      </w:r>
    </w:p>
    <w:p w14:paraId="573AC1F6" w14:textId="7B6E21DF" w:rsidR="000C18C1" w:rsidRPr="00015234" w:rsidRDefault="000C18C1" w:rsidP="00307F9B">
      <w:r w:rsidRPr="00015234">
        <w:t>Д-р Олойеде подробно описал последующие шаги, включающие продолжение взаимодействия с региональными организациями электросвязи (РОЭ). Цель заключается в том, чтобы представить пересмотренный проект для дальнейшего рассмотрения на следующих собраниях рабочих групп, а также на предстоящем собрании КГРЭ перед его представлением ВКРЭ-25. Он подчеркнул необходимость всеохватного подхода и призвал Государства-Члены активно участвовать в подготовке предстоящих собраний и предлагаемого пересмотренного проекта, в частности в контексте подготовки к собранию КГРЭ в мае 2025 года.</w:t>
      </w:r>
    </w:p>
    <w:p w14:paraId="042FCF1D" w14:textId="77777777" w:rsidR="000C18C1" w:rsidRPr="00015234" w:rsidRDefault="000C18C1" w:rsidP="00307F9B">
      <w:r w:rsidRPr="00015234">
        <w:t xml:space="preserve">С презентацией можно ознакомиться по этой </w:t>
      </w:r>
      <w:hyperlink r:id="rId32">
        <w:r w:rsidRPr="00015234">
          <w:rPr>
            <w:rStyle w:val="Hyperlink"/>
            <w:rFonts w:cstheme="minorHAnsi"/>
            <w:szCs w:val="24"/>
          </w:rPr>
          <w:t>ссылке</w:t>
        </w:r>
      </w:hyperlink>
      <w:r w:rsidRPr="00015234">
        <w:t>.</w:t>
      </w:r>
    </w:p>
    <w:p w14:paraId="39294FB8" w14:textId="05CBAB5F" w:rsidR="000C18C1" w:rsidRPr="00015234" w:rsidRDefault="000C18C1" w:rsidP="00307F9B">
      <w:pPr>
        <w:pStyle w:val="Headingb"/>
      </w:pPr>
      <w:r w:rsidRPr="00015234">
        <w:t>Участники РПС-АФР с благодарностью приняли к сведению Документ 7(Rev.1)</w:t>
      </w:r>
      <w:r w:rsidRPr="00015234">
        <w:rPr>
          <w:b w:val="0"/>
          <w:bCs/>
        </w:rPr>
        <w:t>.</w:t>
      </w:r>
    </w:p>
    <w:p w14:paraId="00E42AED" w14:textId="526FEE8A" w:rsidR="000C18C1" w:rsidRPr="00015234" w:rsidRDefault="00307F9B" w:rsidP="00307F9B">
      <w:pPr>
        <w:pStyle w:val="Heading2"/>
      </w:pPr>
      <w:r w:rsidRPr="00015234">
        <w:t>7.4</w:t>
      </w:r>
      <w:r w:rsidRPr="00015234">
        <w:tab/>
      </w:r>
      <w:r w:rsidR="000C18C1" w:rsidRPr="00015234">
        <w:t>Правила процедуры МСЭ-D (Резолюция 1 ВКРЭ)</w:t>
      </w:r>
    </w:p>
    <w:p w14:paraId="4C4F7AD9" w14:textId="1BC7C2DE" w:rsidR="000C18C1" w:rsidRPr="00015234" w:rsidRDefault="000C18C1" w:rsidP="00307F9B">
      <w:r w:rsidRPr="00015234">
        <w:t xml:space="preserve">Конкретных вкладов по этому пункту повестки дня не поступало. Поэтому данный пункт повестки дня рассматривался в рамках обсуждений по пункту 7.5 повестки дня, посвященных упорядочению резолюций ВКРЭ. В </w:t>
      </w:r>
      <w:hyperlink r:id="rId33" w:history="1">
        <w:r w:rsidRPr="00015234">
          <w:rPr>
            <w:rStyle w:val="Hyperlink"/>
            <w:rFonts w:cstheme="minorHAnsi"/>
            <w:szCs w:val="24"/>
          </w:rPr>
          <w:t>Документе INF/4</w:t>
        </w:r>
      </w:hyperlink>
      <w:r w:rsidRPr="00015234">
        <w:t xml:space="preserve"> представлен текст Резолюции 1 (Пересм. Кигали, 2022 г.).</w:t>
      </w:r>
    </w:p>
    <w:p w14:paraId="2028ABE1" w14:textId="4557D835" w:rsidR="000C18C1" w:rsidRPr="00015234" w:rsidRDefault="00307F9B" w:rsidP="00307F9B">
      <w:pPr>
        <w:pStyle w:val="Heading2"/>
      </w:pPr>
      <w:bookmarkStart w:id="7" w:name="_Hlt189563837"/>
      <w:r w:rsidRPr="00015234">
        <w:t>7.5</w:t>
      </w:r>
      <w:r w:rsidRPr="00015234">
        <w:tab/>
      </w:r>
      <w:r w:rsidR="000C18C1" w:rsidRPr="00015234">
        <w:t>Упорядочение резолюций ВКРЭ</w:t>
      </w:r>
    </w:p>
    <w:p w14:paraId="53569BE5" w14:textId="1D8CBADB" w:rsidR="000C18C1" w:rsidRPr="00015234" w:rsidRDefault="000C18C1" w:rsidP="00307F9B">
      <w:r w:rsidRPr="00015234">
        <w:rPr>
          <w:rStyle w:val="Hyperlink"/>
          <w:rFonts w:cstheme="minorHAnsi"/>
          <w:szCs w:val="24"/>
        </w:rPr>
        <w:t>Документ 6(Rev.1)</w:t>
      </w:r>
      <w:r w:rsidRPr="005C1253">
        <w:rPr>
          <w:rStyle w:val="Hyperlink"/>
          <w:rFonts w:cstheme="minorHAnsi"/>
          <w:szCs w:val="24"/>
          <w:u w:val="none"/>
        </w:rPr>
        <w:t>:</w:t>
      </w:r>
      <w:bookmarkEnd w:id="7"/>
      <w:r w:rsidRPr="005C1253">
        <w:rPr>
          <w:rStyle w:val="normaltextrun"/>
          <w:rFonts w:cstheme="minorHAnsi"/>
          <w:b/>
          <w:bCs/>
          <w:color w:val="000000"/>
          <w:szCs w:val="24"/>
          <w:shd w:val="clear" w:color="auto" w:fill="FFFFFF"/>
        </w:rPr>
        <w:t xml:space="preserve"> </w:t>
      </w:r>
      <w:r w:rsidRPr="00015234">
        <w:t>г-жа Бланка Гонсалес, заместитель Председателя РГ КГРЭ по упорядочению резолюций, представила Документ, озаглавленный "</w:t>
      </w:r>
      <w:r w:rsidRPr="00015234">
        <w:rPr>
          <w:b/>
          <w:bCs/>
        </w:rPr>
        <w:t>Отчет о ходе работы КГРЭ-РГ-SR</w:t>
      </w:r>
      <w:r w:rsidRPr="00015234">
        <w:t xml:space="preserve">". Она вкратце рассказала о четырех проведенных к тому времени собраниях, на которых основное внимание уделялось рассмотрению существующих резолюций ВКРЭ и определению возможностей повышения их согласованности и актуальности. Она разъяснила принятый подход к категоризации Резолюций по тематическим группам, в рамках которого назначенные добровольцы координируют процесс анализа для каждого кластера. Группа предложила тематически сгруппировать Резолюции по </w:t>
      </w:r>
      <w:r w:rsidRPr="00015234">
        <w:lastRenderedPageBreak/>
        <w:t>десяти</w:t>
      </w:r>
      <w:r w:rsidR="0020334D" w:rsidRPr="00015234">
        <w:t> </w:t>
      </w:r>
      <w:r w:rsidRPr="00015234">
        <w:t>категориям, включая категории информации и статистики, регионального сотрудничества, инфраструктуры, окружающей среды, гендерных вопросов и молодежи, кибербезопасности и доступности. Она подчеркнула важное значение согласования приоритетов МСЭ-D с развивающейся политикой в области цифровых технологий при сохранении актуальности и выполнимости резолюций. Г-жа Гонсалес подчеркнула, что группа доработает вклады и подготовит всесторонний отчет для КГРЭ.</w:t>
      </w:r>
    </w:p>
    <w:p w14:paraId="3CA79322" w14:textId="77777777" w:rsidR="000C18C1" w:rsidRPr="00015234" w:rsidRDefault="000C18C1" w:rsidP="00307F9B">
      <w:r w:rsidRPr="00015234">
        <w:t xml:space="preserve">С презентацией можно ознакомиться по этой </w:t>
      </w:r>
      <w:hyperlink r:id="rId34">
        <w:r w:rsidRPr="00015234">
          <w:rPr>
            <w:rStyle w:val="Hyperlink"/>
            <w:rFonts w:cstheme="minorHAnsi"/>
            <w:szCs w:val="24"/>
          </w:rPr>
          <w:t>ссылке</w:t>
        </w:r>
      </w:hyperlink>
      <w:r w:rsidRPr="00015234">
        <w:t>.</w:t>
      </w:r>
    </w:p>
    <w:p w14:paraId="03C44B42" w14:textId="3AE929FE" w:rsidR="000C18C1" w:rsidRPr="00015234" w:rsidRDefault="000C18C1" w:rsidP="00307F9B">
      <w:pPr>
        <w:pStyle w:val="Headingb"/>
      </w:pPr>
      <w:r w:rsidRPr="00015234">
        <w:t>Участники РПС-АФР с благодарностью приняли к сведению Документ 6(Rev.1).</w:t>
      </w:r>
    </w:p>
    <w:p w14:paraId="1C87D688" w14:textId="2C17476B" w:rsidR="000C18C1" w:rsidRPr="00015234" w:rsidRDefault="00307F9B" w:rsidP="00307F9B">
      <w:pPr>
        <w:pStyle w:val="Heading1"/>
      </w:pPr>
      <w:r w:rsidRPr="00015234">
        <w:t>8</w:t>
      </w:r>
      <w:r w:rsidRPr="00015234">
        <w:tab/>
      </w:r>
      <w:r w:rsidR="000C18C1" w:rsidRPr="00015234">
        <w:t>Определение приоритетности региональных инициатив, связанных с ними проектов и механизмов финансирования</w:t>
      </w:r>
    </w:p>
    <w:p w14:paraId="223DD1AF" w14:textId="04882A3D" w:rsidR="000C18C1" w:rsidRPr="00015234" w:rsidRDefault="000C18C1" w:rsidP="00307F9B">
      <w:pPr>
        <w:rPr>
          <w:rFonts w:eastAsia="Calibri"/>
        </w:rPr>
      </w:pPr>
      <w:r w:rsidRPr="00015234">
        <w:rPr>
          <w:rFonts w:eastAsia="Calibri"/>
        </w:rPr>
        <w:t>Председатель РПС-АФР предложила авторам вкладов представить свои вклады по региональным инициативам. Были представлены следующие вклады:</w:t>
      </w:r>
    </w:p>
    <w:p w14:paraId="38A1FBD8" w14:textId="1BFD72FC" w:rsidR="000C18C1" w:rsidRPr="00015234" w:rsidRDefault="000C18C1" w:rsidP="00307F9B">
      <w:hyperlink r:id="rId35" w:history="1">
        <w:r w:rsidRPr="00015234">
          <w:rPr>
            <w:rStyle w:val="Hyperlink"/>
            <w:rFonts w:cstheme="minorHAnsi"/>
            <w:szCs w:val="24"/>
          </w:rPr>
          <w:t>Документ 9</w:t>
        </w:r>
        <w:r w:rsidRPr="00015234">
          <w:rPr>
            <w:rStyle w:val="Hyperlink"/>
            <w:rFonts w:cstheme="minorHAnsi"/>
            <w:szCs w:val="24"/>
            <w:u w:val="none"/>
          </w:rPr>
          <w:t>:</w:t>
        </w:r>
      </w:hyperlink>
      <w:r w:rsidRPr="00015234">
        <w:t xml:space="preserve"> Документ, озаглавленный "Центр управления инцидентами кибербезопасности (CIM</w:t>
      </w:r>
      <w:r w:rsidR="00223E30" w:rsidRPr="00015234">
        <w:t> </w:t>
      </w:r>
      <w:r w:rsidRPr="00015234">
        <w:t>SOC)", подготовленный Главным управлением связи и информатики Ливии, не был представлен в связи с отсутствием представителя.</w:t>
      </w:r>
    </w:p>
    <w:p w14:paraId="39475C12" w14:textId="523E8974" w:rsidR="000C18C1" w:rsidRPr="00015234" w:rsidRDefault="000C18C1" w:rsidP="00307F9B">
      <w:pPr>
        <w:rPr>
          <w:lang w:eastAsia="en-GB"/>
        </w:rPr>
      </w:pPr>
      <w:hyperlink r:id="rId36">
        <w:r w:rsidRPr="00015234">
          <w:rPr>
            <w:rStyle w:val="Hyperlink"/>
            <w:rFonts w:cstheme="minorHAnsi"/>
            <w:szCs w:val="24"/>
            <w:lang w:eastAsia="en-GB"/>
          </w:rPr>
          <w:t>Документ 10</w:t>
        </w:r>
        <w:r w:rsidRPr="00015234">
          <w:rPr>
            <w:rStyle w:val="Hyperlink"/>
            <w:rFonts w:cstheme="minorHAnsi"/>
            <w:szCs w:val="24"/>
            <w:u w:val="none"/>
            <w:lang w:eastAsia="en-GB"/>
          </w:rPr>
          <w:t>:</w:t>
        </w:r>
      </w:hyperlink>
      <w:r w:rsidRPr="00015234">
        <w:rPr>
          <w:lang w:eastAsia="en-GB"/>
        </w:rPr>
        <w:t xml:space="preserve"> АСЭ представил документ, озаглавленный "Вклад по будущим исследуемым вопросам". В нем излагаются мнения африканских стран по будущим Вопросам Рабочей группы КГРЭ с учетом результатов обследования по исследуемым вопросам и обсуждений на собраниях Рабочей группы КГРЭ. Документ включает вклады членов АСЭ по первому проекту пересмотра выдержек из приложений к Резолюции 2; в нем предлагается круг ведения для исследуемых Вопросов. В</w:t>
      </w:r>
      <w:r w:rsidR="00223E30" w:rsidRPr="00015234">
        <w:rPr>
          <w:lang w:eastAsia="en-GB"/>
        </w:rPr>
        <w:t> </w:t>
      </w:r>
      <w:r w:rsidRPr="00015234">
        <w:rPr>
          <w:lang w:eastAsia="en-GB"/>
        </w:rPr>
        <w:t>предложении собранию предлагается рассмотреть, прокомментировать и принять эти вклады в качестве общего предложения африканских стран (AFCP) для будущих исследуемых Вопросов. В</w:t>
      </w:r>
      <w:r w:rsidR="00223E30" w:rsidRPr="00015234">
        <w:rPr>
          <w:lang w:eastAsia="en-GB"/>
        </w:rPr>
        <w:t> </w:t>
      </w:r>
      <w:r w:rsidRPr="00015234">
        <w:rPr>
          <w:lang w:eastAsia="en-GB"/>
        </w:rPr>
        <w:t>документе подчеркивается значение включения аспектов искусственного интеллекта и ценовой приемлемости устройств в существующие исследуемые Вопросы при сохранении количества исследовательских комиссий на уровне двух, объединении некоторых исследуемых Вопросов и одновременном обеспечении четкого круга ведения. Общая цель состоит в том, чтобы совершенствовать цифровую инфраструктуру и возможность установления соединений в сельских и отдаленных районах, усиливать защиту потребителей и анализировать экономические аспекты национальной электросвязи/ИКТ.</w:t>
      </w:r>
    </w:p>
    <w:p w14:paraId="01A3E6C6" w14:textId="442C11C3" w:rsidR="000C18C1" w:rsidRPr="00015234" w:rsidRDefault="000C18C1" w:rsidP="00350A66">
      <w:pPr>
        <w:pStyle w:val="Headingb"/>
        <w:rPr>
          <w:rFonts w:eastAsia="Calibri"/>
          <w:lang w:eastAsia="en-GB"/>
        </w:rPr>
      </w:pPr>
      <w:r w:rsidRPr="00015234">
        <w:t>Участники РПС-АФР с благодарностью приняли к сведению Документ 10</w:t>
      </w:r>
      <w:r w:rsidRPr="00015234">
        <w:rPr>
          <w:b w:val="0"/>
          <w:bCs/>
        </w:rPr>
        <w:t>.</w:t>
      </w:r>
    </w:p>
    <w:bookmarkStart w:id="8" w:name="_Hlt189566652"/>
    <w:p w14:paraId="07D8F14E" w14:textId="1DFCC539" w:rsidR="000C18C1" w:rsidRPr="00015234" w:rsidRDefault="000C18C1" w:rsidP="00350A66">
      <w:pPr>
        <w:rPr>
          <w:lang w:eastAsia="en-GB"/>
        </w:rPr>
      </w:pPr>
      <w:r w:rsidRPr="00015234">
        <w:fldChar w:fldCharType="begin"/>
      </w:r>
      <w:r w:rsidRPr="00015234">
        <w:instrText xml:space="preserve">HYPERLINK "https://www.itu.int/md/D22-RPMAFR-C-0011/en" </w:instrText>
      </w:r>
      <w:r w:rsidRPr="00015234">
        <w:fldChar w:fldCharType="separate"/>
      </w:r>
      <w:r w:rsidRPr="00015234">
        <w:rPr>
          <w:rStyle w:val="Hyperlink"/>
          <w:rFonts w:cstheme="minorHAnsi"/>
          <w:szCs w:val="24"/>
          <w:lang w:eastAsia="en-GB"/>
        </w:rPr>
        <w:t>Документ 11(Rev.1)</w:t>
      </w:r>
      <w:r w:rsidRPr="00015234">
        <w:rPr>
          <w:rStyle w:val="Hyperlink"/>
          <w:rFonts w:cstheme="minorHAnsi"/>
          <w:szCs w:val="24"/>
          <w:u w:val="none"/>
          <w:lang w:eastAsia="en-GB"/>
        </w:rPr>
        <w:t>:</w:t>
      </w:r>
      <w:r w:rsidRPr="00015234">
        <w:fldChar w:fldCharType="end"/>
      </w:r>
      <w:bookmarkEnd w:id="8"/>
      <w:r w:rsidRPr="00015234">
        <w:rPr>
          <w:lang w:eastAsia="en-GB"/>
        </w:rPr>
        <w:t xml:space="preserve"> АСЭ представил документ, озаглавленный "</w:t>
      </w:r>
      <w:r w:rsidR="00223E30" w:rsidRPr="00015234">
        <w:t>Вклад АСЭ для ВКРЭ-25 в отношении приоритетов МСЭ-D</w:t>
      </w:r>
      <w:r w:rsidRPr="00015234">
        <w:rPr>
          <w:lang w:eastAsia="en-GB"/>
        </w:rPr>
        <w:t>". В нем изложено предложение африканских стран в отношении главных приоритетов ВКРЭ-25 с основным упором на расширение реальной возможности установления соединений и цифровой инфраструктуры, управление операциями в случае бедствий, кибербезопасность, инновации, ИИ и управление данными, создание потенциала, цифровую трансформацию, партнерство и сотрудничество, а также на смягчение рисков, связанных с появляющимися технологиями. В Документе участникам собрания предлагается, в зависимости от обстоятельств, рассмотреть, прокомментировать и принять предложенные приоритеты.</w:t>
      </w:r>
    </w:p>
    <w:p w14:paraId="28ADF9BB" w14:textId="635562FC" w:rsidR="000C18C1" w:rsidRPr="00015234" w:rsidRDefault="000C18C1" w:rsidP="00350A66">
      <w:pPr>
        <w:pStyle w:val="Headingb"/>
        <w:rPr>
          <w:lang w:eastAsia="en-GB"/>
        </w:rPr>
      </w:pPr>
      <w:r w:rsidRPr="00015234">
        <w:t>Участники РПС-АФР с благодарностью приняли к сведению Документ 11.</w:t>
      </w:r>
    </w:p>
    <w:p w14:paraId="35524959" w14:textId="7F80481B" w:rsidR="000C18C1" w:rsidRPr="00015234" w:rsidRDefault="000C18C1" w:rsidP="00350A66">
      <w:hyperlink r:id="rId37">
        <w:r w:rsidRPr="00015234">
          <w:rPr>
            <w:rStyle w:val="Hyperlink"/>
            <w:rFonts w:cstheme="minorHAnsi"/>
            <w:szCs w:val="24"/>
            <w:lang w:eastAsia="en-GB"/>
          </w:rPr>
          <w:t>Документ 12</w:t>
        </w:r>
      </w:hyperlink>
      <w:r w:rsidRPr="00015234">
        <w:rPr>
          <w:lang w:eastAsia="en-GB"/>
        </w:rPr>
        <w:t xml:space="preserve">: АСЭ представил документ, озаглавленный "Вклад африканских стран в Бакинскую декларацию для ВКРЭ-25". В документе излагаются первоначальные взгляды и предложения АСЭ в отношении Бакинской декларации 2025 года, а также подчеркивается необходимость решения таких проблем, как ценовая приемлемость устройств и доступа к цифровым услугам, уменьшение масштабов нищеты за счет возможности установления цифровых соединений, доступ к финансам и сокращение разрыва в стандартизации. В нем также говорится о важном значении партнерских проектов, о рисках, связанных с появляющимися технологиями, и о защите прав потребителей, в </w:t>
      </w:r>
      <w:r w:rsidRPr="00015234">
        <w:rPr>
          <w:lang w:eastAsia="en-GB"/>
        </w:rPr>
        <w:lastRenderedPageBreak/>
        <w:t>особенности таких уязвимых групп, как молодежь и женщины. Это предложение направлено на отражение чаяний африканских Государств-Членов и устранение диспропорций, препятствующих универсальной и реальной возможности установления соединений в регионе. Ожидается, что участники собрания рассмотрят и примут эти вклады, которые будут отражены в окончательной версии Бакинской декларации 2025 года</w:t>
      </w:r>
      <w:r w:rsidR="00223E30" w:rsidRPr="00015234">
        <w:rPr>
          <w:lang w:eastAsia="en-GB"/>
        </w:rPr>
        <w:t>.</w:t>
      </w:r>
    </w:p>
    <w:p w14:paraId="30D4A553" w14:textId="274AE08E" w:rsidR="000C18C1" w:rsidRPr="00015234" w:rsidRDefault="000C18C1" w:rsidP="00350A66">
      <w:pPr>
        <w:pStyle w:val="Headingb"/>
        <w:rPr>
          <w:lang w:eastAsia="en-GB"/>
        </w:rPr>
      </w:pPr>
      <w:r w:rsidRPr="00015234">
        <w:t>Участники РПС-АФР с благодарностью приняли к сведению Документ 12</w:t>
      </w:r>
      <w:r w:rsidR="00223E30" w:rsidRPr="00015234">
        <w:rPr>
          <w:b w:val="0"/>
          <w:bCs/>
        </w:rPr>
        <w:t>.</w:t>
      </w:r>
    </w:p>
    <w:p w14:paraId="68D73602" w14:textId="77777777" w:rsidR="000C18C1" w:rsidRPr="00015234" w:rsidRDefault="000C18C1" w:rsidP="00350A66">
      <w:pPr>
        <w:rPr>
          <w:b/>
          <w:bCs/>
          <w:lang w:eastAsia="en-GB"/>
        </w:rPr>
      </w:pPr>
      <w:hyperlink r:id="rId38">
        <w:r w:rsidRPr="00015234">
          <w:rPr>
            <w:rStyle w:val="Hyperlink"/>
            <w:rFonts w:cstheme="minorHAnsi"/>
            <w:szCs w:val="24"/>
            <w:lang w:eastAsia="en-GB"/>
          </w:rPr>
          <w:t>Документ 13</w:t>
        </w:r>
      </w:hyperlink>
      <w:r w:rsidRPr="00015234">
        <w:rPr>
          <w:lang w:eastAsia="en-GB"/>
        </w:rPr>
        <w:t>: Ассоциация GSM (GSMA) представила Документ, озаглавленный "Устранение барьеров на пути внедрения мобильного интернета". В нем изложена точка зрения отрасли подвижной связи на усилия по сокращению цифрового разрыва и выделены две отдельные группы людей, лишенных доступа к цифровым технологиям: те, кого затрагивает разрыв в охвате, и те, кого затрагивает разрыв в использовании. В документе подчеркивается проблема, которую создают препятствия для принятия интернета, возникающие на стороне спроса, усилиям по охвату цифровыми технологиями, и содержится призыв к Всемирной конференции по развитию электросвязи (ВКРЭ-25) активизировать работу, направленную на устранение этих препятствий. В нем подчеркивается безотлагательная необходимость ликвидации разрыва в использовании, который значительно превышает разрыв в охвате, и предлагаются согласованные действия для устранения барьеров на стороне спроса, препятствующих подключению людей к сети. В документе РПС-АФР предлагается рассмотреть и утвердить содержащееся в нем предложение.</w:t>
      </w:r>
    </w:p>
    <w:p w14:paraId="233FCC8C" w14:textId="7E957343" w:rsidR="000C18C1" w:rsidRPr="00015234" w:rsidRDefault="000C18C1" w:rsidP="00350A66">
      <w:pPr>
        <w:pStyle w:val="Headingb"/>
        <w:rPr>
          <w:lang w:eastAsia="en-GB"/>
        </w:rPr>
      </w:pPr>
      <w:r w:rsidRPr="00015234">
        <w:t>Участники РПС-АФР с благодарностью приняли к сведению Документ 13</w:t>
      </w:r>
      <w:r w:rsidRPr="00015234">
        <w:rPr>
          <w:b w:val="0"/>
          <w:bCs/>
        </w:rPr>
        <w:t>.</w:t>
      </w:r>
    </w:p>
    <w:p w14:paraId="6196E289" w14:textId="3426B0D7" w:rsidR="000C18C1" w:rsidRPr="00015234" w:rsidRDefault="000C18C1" w:rsidP="00350A66">
      <w:pPr>
        <w:rPr>
          <w:lang w:eastAsia="en-GB"/>
        </w:rPr>
      </w:pPr>
      <w:hyperlink r:id="rId39">
        <w:r w:rsidRPr="00015234">
          <w:rPr>
            <w:rStyle w:val="Hyperlink"/>
            <w:rFonts w:cstheme="minorHAnsi"/>
            <w:szCs w:val="24"/>
            <w:lang w:eastAsia="en-GB"/>
          </w:rPr>
          <w:t>Документ 14</w:t>
        </w:r>
      </w:hyperlink>
      <w:r w:rsidRPr="00015234">
        <w:rPr>
          <w:lang w:eastAsia="en-GB"/>
        </w:rPr>
        <w:t>: АСЭ представил документ, озаглавленный "Вклад по пересмотру Резолюции 34". В нем предлагаются изменения к Резолюции 34, в которой рассматривается роль электросвязи и информационно-коммуникационных технологий (ИКТ) в обеспечении готовности к бедствиям, раннем предупреждении, спасательных работах, смягчении последствий бедствий, оказании помощи и реагировании. В документе подчеркивается растущая осведомленность о негативных последствиях изменения климата и росте числа стихийных и антропогенных бедствий. В нем указывается на ключевую роль электросвязи и ИКТ в управлении операциями в случае бедствий и содержится призыв к разработке планов усиленной готовности к бедствиям, которые включали бы надежное оборудование и службы связи. Предложение направлено на обеспечение общественной безопасности, поддержку учреждений по оказанию помощи при бедствиях, предоставление необходимой информации населению и удовлетворение потребностей в услугах связи во время</w:t>
      </w:r>
      <w:r w:rsidR="00223E30" w:rsidRPr="00015234">
        <w:rPr>
          <w:lang w:eastAsia="en-GB"/>
        </w:rPr>
        <w:t> </w:t>
      </w:r>
      <w:r w:rsidRPr="00015234">
        <w:rPr>
          <w:lang w:eastAsia="en-GB"/>
        </w:rPr>
        <w:t>бедствий.</w:t>
      </w:r>
    </w:p>
    <w:p w14:paraId="747D8D24" w14:textId="4B5B0132" w:rsidR="000C18C1" w:rsidRPr="00015234" w:rsidRDefault="000C18C1" w:rsidP="00350A66">
      <w:pPr>
        <w:pStyle w:val="Headingb"/>
        <w:rPr>
          <w:lang w:eastAsia="en-GB"/>
        </w:rPr>
      </w:pPr>
      <w:r w:rsidRPr="00015234">
        <w:t>Участники РПС-АФР с благодарностью приняли к сведению Документ 14</w:t>
      </w:r>
      <w:r w:rsidRPr="00015234">
        <w:rPr>
          <w:b w:val="0"/>
          <w:bCs/>
        </w:rPr>
        <w:t>.</w:t>
      </w:r>
    </w:p>
    <w:p w14:paraId="0F9C8316" w14:textId="69E8D0A0" w:rsidR="000C18C1" w:rsidRPr="00015234" w:rsidRDefault="000C18C1" w:rsidP="00350A66">
      <w:hyperlink r:id="rId40">
        <w:r w:rsidRPr="00015234">
          <w:rPr>
            <w:rStyle w:val="Hyperlink"/>
            <w:rFonts w:cstheme="minorHAnsi"/>
            <w:szCs w:val="24"/>
            <w:lang w:eastAsia="en-GB"/>
          </w:rPr>
          <w:t>Документ 15</w:t>
        </w:r>
      </w:hyperlink>
      <w:r w:rsidRPr="00015234">
        <w:rPr>
          <w:lang w:eastAsia="en-GB"/>
        </w:rPr>
        <w:t>: АСЭ представил Документ, озаглавленный "</w:t>
      </w:r>
      <w:r w:rsidR="00223E30" w:rsidRPr="00015234">
        <w:t>Общее предложение африканских стран для ВКРЭ-25 в отношении региональных инициатив</w:t>
      </w:r>
      <w:r w:rsidRPr="00015234">
        <w:rPr>
          <w:lang w:eastAsia="en-GB"/>
        </w:rPr>
        <w:t>". В нем излагаются пересмотренные региональные инициативы для Африки на следующий период с основным упором на потребности в цифровой трансформации и такие ключевые вопросы, как создание потенциала, ИИ и управление данными, механизмы финансирования, а также системы электросвязи в чрезвычайных ситуациях и механизмы раннего предупреждения. В документе предлагаются шесть новых инициатив, направленных на решение приоритетных задач континента, включая совершенствование широкополосной инфраструктуры, развитие открытой для всех экосистемы ИИ, укрепление доверия и безопасности в сфере ИКТ, содействие развитию цифровых инноваций и МСП, создание устойчивых механизмов финансирования и укрепление систем электросвязи в чрезвычайных ситуациях и раннего предупреждения о различных видах бедствий. В предложении подчеркивается важность сотрудничества между различными секторами и заинтересованными сторонами для достижения этих целей и содержится призыв к его рассмотрению и принятию Членами.</w:t>
      </w:r>
    </w:p>
    <w:p w14:paraId="025D90C7" w14:textId="23988CE0" w:rsidR="000C18C1" w:rsidRPr="00015234" w:rsidRDefault="000C18C1" w:rsidP="00350A66">
      <w:pPr>
        <w:pStyle w:val="Headingb"/>
        <w:rPr>
          <w:lang w:eastAsia="en-GB"/>
        </w:rPr>
      </w:pPr>
      <w:r w:rsidRPr="00015234">
        <w:lastRenderedPageBreak/>
        <w:t>Участники РПС-АФР с благодарностью приняли к сведению Документ 15</w:t>
      </w:r>
      <w:r w:rsidRPr="00015234">
        <w:rPr>
          <w:b w:val="0"/>
          <w:bCs/>
        </w:rPr>
        <w:t>.</w:t>
      </w:r>
    </w:p>
    <w:p w14:paraId="5A87D518" w14:textId="64BF3D1C" w:rsidR="000C18C1" w:rsidRPr="00015234" w:rsidRDefault="000C18C1" w:rsidP="00350A66">
      <w:hyperlink r:id="rId41">
        <w:r w:rsidRPr="00015234">
          <w:rPr>
            <w:rStyle w:val="Hyperlink"/>
            <w:rFonts w:cstheme="minorHAnsi"/>
            <w:szCs w:val="24"/>
            <w:lang w:eastAsia="en-GB"/>
          </w:rPr>
          <w:t>Документ 16</w:t>
        </w:r>
      </w:hyperlink>
      <w:r w:rsidRPr="00015234">
        <w:rPr>
          <w:lang w:eastAsia="en-GB"/>
        </w:rPr>
        <w:t>: Всемирная ассоциация спутниковых операторов (GSOA) представила Документ, озаглавленный "</w:t>
      </w:r>
      <w:r w:rsidRPr="00015234">
        <w:rPr>
          <w:b/>
          <w:bCs/>
          <w:lang w:eastAsia="en-GB"/>
        </w:rPr>
        <w:t>Спутниковые решения для универсального обслуживания: преодоление цифрового разрыва</w:t>
      </w:r>
      <w:r w:rsidRPr="00015234">
        <w:rPr>
          <w:lang w:eastAsia="en-GB"/>
        </w:rPr>
        <w:t>". В нем подчеркивается исключительная важность универсальной возможности установления соединений для расширения экономических возможностей, повышения качества жизни и обеспечения открытости для всех в цифровую эпоху. В документе излагаются проблемы с обеспечением универсальной возможности установления соединений, особенно в отдаленных и обслуживаемых в недостаточной степени регионах, и предлагается использовать спутниковые технологии в качестве жизнеспособного решения. В нем содержится призыв к ВКРЭ-25 содействовать разработке инклюзивной политики, стимулировать межотраслевое сотрудничество и упорядочить приоритеты МСЭ-D для достижения значимого прогресса в преодолении цифрового разрыва. В</w:t>
      </w:r>
      <w:r w:rsidR="00223E30" w:rsidRPr="00015234">
        <w:rPr>
          <w:lang w:eastAsia="en-GB"/>
        </w:rPr>
        <w:t> </w:t>
      </w:r>
      <w:r w:rsidRPr="00015234">
        <w:rPr>
          <w:lang w:eastAsia="en-GB"/>
        </w:rPr>
        <w:t>предложении подчеркивается важность интеграции спутниковых решений с наземными сетями для обеспечения надежной и экономически эффективной возможности установления соединений для всего населения, независимо от его географического месторасположения.</w:t>
      </w:r>
    </w:p>
    <w:p w14:paraId="2806D968" w14:textId="17983623" w:rsidR="000C18C1" w:rsidRPr="00015234" w:rsidRDefault="000C18C1" w:rsidP="00350A66">
      <w:pPr>
        <w:pStyle w:val="Headingb"/>
        <w:rPr>
          <w:lang w:eastAsia="en-GB"/>
        </w:rPr>
      </w:pPr>
      <w:r w:rsidRPr="00015234">
        <w:t>Участники РПС-АФР с благодарностью приняли к сведению Документ 16</w:t>
      </w:r>
      <w:r w:rsidRPr="00015234">
        <w:rPr>
          <w:b w:val="0"/>
          <w:bCs/>
        </w:rPr>
        <w:t>.</w:t>
      </w:r>
    </w:p>
    <w:p w14:paraId="29CF338A" w14:textId="4DD69797" w:rsidR="000C18C1" w:rsidRPr="00015234" w:rsidRDefault="000C18C1" w:rsidP="00350A66">
      <w:pPr>
        <w:rPr>
          <w:lang w:eastAsia="en-GB"/>
        </w:rPr>
      </w:pPr>
      <w:hyperlink r:id="rId42" w:history="1">
        <w:r w:rsidRPr="00015234">
          <w:rPr>
            <w:rStyle w:val="Hyperlink"/>
            <w:rFonts w:cstheme="minorHAnsi"/>
            <w:szCs w:val="24"/>
            <w:lang w:eastAsia="en-GB"/>
          </w:rPr>
          <w:t>Документ 17</w:t>
        </w:r>
        <w:r w:rsidRPr="00015234">
          <w:rPr>
            <w:rStyle w:val="Hyperlink"/>
            <w:rFonts w:cstheme="minorHAnsi"/>
            <w:szCs w:val="24"/>
            <w:u w:val="none"/>
            <w:lang w:eastAsia="en-GB"/>
          </w:rPr>
          <w:t>:</w:t>
        </w:r>
      </w:hyperlink>
      <w:r w:rsidRPr="00015234">
        <w:rPr>
          <w:lang w:eastAsia="en-GB"/>
        </w:rPr>
        <w:t xml:space="preserve"> Регуляторный орган электросвязи и почты (ARTP) Сенегала представил Документ, озаглавленный "Вклад ARTP по негеостационарным спутниковым сетям на низкой околоземной орбите: проблемы нормативно-правовой базы и регулирования". В Документе рассматривается растущая потребность в установлении соединений в Африке и подчеркивается потенциал негеостационарных спутников на низкой околоземной орбите (LEO) для преодоления цифрового разрыва в районах, обслуживаемых в недостаточной степени. В нем обсуждаются проблемы, обусловленные особенностями существующей нормативно-правовой базы, которая недостаточно адаптирована для удовлетворения потребностей спутниковых сетей LEO. Сенегал предлагает внедрить механизмы для надзора за этой деятельностью и призывает к согласованию регуляторной базы на субрегиональном уровне, с тем чтобы упростить интеграцию спутников LEO, обеспечивая расширение возможности установления соединений и соблюдение нормативных требований во</w:t>
      </w:r>
      <w:r w:rsidR="00223E30" w:rsidRPr="00015234">
        <w:rPr>
          <w:lang w:eastAsia="en-GB"/>
        </w:rPr>
        <w:t> </w:t>
      </w:r>
      <w:r w:rsidRPr="00015234">
        <w:rPr>
          <w:lang w:eastAsia="en-GB"/>
        </w:rPr>
        <w:t>всем регионе.</w:t>
      </w:r>
    </w:p>
    <w:p w14:paraId="0CF8F6EC" w14:textId="3C824FB3" w:rsidR="000C18C1" w:rsidRPr="00015234" w:rsidRDefault="000C18C1" w:rsidP="00350A66">
      <w:pPr>
        <w:pStyle w:val="Headingb"/>
        <w:rPr>
          <w:lang w:eastAsia="en-GB"/>
        </w:rPr>
      </w:pPr>
      <w:r w:rsidRPr="00015234">
        <w:t>Участники РПС-АФР с благодарностью приняли к сведению Документ 17</w:t>
      </w:r>
      <w:r w:rsidRPr="00015234">
        <w:rPr>
          <w:b w:val="0"/>
          <w:bCs/>
        </w:rPr>
        <w:t>.</w:t>
      </w:r>
    </w:p>
    <w:p w14:paraId="462581A4" w14:textId="77777777" w:rsidR="000C18C1" w:rsidRPr="00015234" w:rsidRDefault="000C18C1" w:rsidP="00350A66">
      <w:pPr>
        <w:pStyle w:val="Headingb"/>
        <w:rPr>
          <w:lang w:eastAsia="en-GB"/>
        </w:rPr>
      </w:pPr>
      <w:r w:rsidRPr="00015234">
        <w:rPr>
          <w:lang w:eastAsia="en-GB"/>
        </w:rPr>
        <w:t>Работа Редакционной группы пленарного заседания РПС</w:t>
      </w:r>
    </w:p>
    <w:p w14:paraId="27EB5C7A" w14:textId="71D764CF" w:rsidR="000C18C1" w:rsidRPr="00015234" w:rsidRDefault="000C18C1" w:rsidP="00350A66">
      <w:r w:rsidRPr="00015234">
        <w:t>После рассмотрения всех представлений была создана Редакционная группа по региональным инициативам, Председателем которой была назначена г-жа Регина-Флер Ассуму-Бессу, заместитель Председателя РПС.</w:t>
      </w:r>
    </w:p>
    <w:p w14:paraId="0B477D61" w14:textId="3D2FE7AB" w:rsidR="000C18C1" w:rsidRPr="00015234" w:rsidRDefault="000C18C1" w:rsidP="00350A66">
      <w:r w:rsidRPr="00015234">
        <w:t>Редакционная группа провела заседание 8 апреля 2025 года с 17 час. 15 мин. до 19 час. 00 мин. и согласовала проект новых региональных инициатив, опираясь на успешную реализацию существующих региональных инициатив для Африки, с учетом всех вкладов, представленных в ходе РПС-АФР и его пленарных заседаний.</w:t>
      </w:r>
    </w:p>
    <w:p w14:paraId="50A1A989" w14:textId="77777777" w:rsidR="000C18C1" w:rsidRPr="00015234" w:rsidRDefault="000C18C1" w:rsidP="00350A66">
      <w:pPr>
        <w:rPr>
          <w:lang w:eastAsia="en-GB"/>
        </w:rPr>
      </w:pPr>
      <w:r w:rsidRPr="00015234">
        <w:rPr>
          <w:lang w:eastAsia="en-GB"/>
        </w:rPr>
        <w:t xml:space="preserve">Результаты работы Редакционной группы были представлены на второй день работы РПС-АФР и опубликованы в </w:t>
      </w:r>
      <w:hyperlink r:id="rId43" w:history="1">
        <w:r w:rsidRPr="00015234">
          <w:rPr>
            <w:rStyle w:val="Hyperlink"/>
            <w:rFonts w:cstheme="minorHAnsi"/>
            <w:szCs w:val="24"/>
            <w:lang w:eastAsia="en-GB"/>
          </w:rPr>
          <w:t>Документе DT/3</w:t>
        </w:r>
      </w:hyperlink>
      <w:r w:rsidRPr="00015234">
        <w:rPr>
          <w:lang w:eastAsia="en-GB"/>
        </w:rPr>
        <w:t>. Соответственно, были приняты следующие предложенные региональные инициативы:</w:t>
      </w:r>
    </w:p>
    <w:p w14:paraId="64F1C88E" w14:textId="6C3F0C90" w:rsidR="000C18C1" w:rsidRPr="00015234" w:rsidRDefault="00350A66" w:rsidP="00350A66">
      <w:pPr>
        <w:pStyle w:val="enumlev1"/>
        <w:rPr>
          <w:b/>
          <w:bCs/>
        </w:rPr>
      </w:pPr>
      <w:r w:rsidRPr="00015234">
        <w:t>−</w:t>
      </w:r>
      <w:r w:rsidRPr="00015234">
        <w:tab/>
      </w:r>
      <w:r w:rsidR="000C18C1" w:rsidRPr="00015234">
        <w:rPr>
          <w:b/>
          <w:bCs/>
        </w:rPr>
        <w:t>AFR1: Реальная возможность установления соединений и устойчивая инфраструктура – для устойчивого развития, включая электросвязь в чрезвычайных ситуациях и системы раннего предупреждения о различных видах бедствий в Африканском регионе</w:t>
      </w:r>
    </w:p>
    <w:p w14:paraId="2AA7DCFC" w14:textId="136CC781" w:rsidR="000C18C1" w:rsidRPr="00015234" w:rsidRDefault="00350A66" w:rsidP="00350A66">
      <w:pPr>
        <w:pStyle w:val="enumlev1"/>
        <w:rPr>
          <w:b/>
          <w:bCs/>
        </w:rPr>
      </w:pPr>
      <w:r w:rsidRPr="00015234">
        <w:t>−</w:t>
      </w:r>
      <w:r w:rsidRPr="00015234">
        <w:tab/>
      </w:r>
      <w:r w:rsidR="000C18C1" w:rsidRPr="00015234">
        <w:rPr>
          <w:b/>
          <w:bCs/>
        </w:rPr>
        <w:t>AFR2: Создание открытой для всех надежной экосистемы ИИ в Африке в интересах социально-экономического развития</w:t>
      </w:r>
    </w:p>
    <w:p w14:paraId="04D56A85" w14:textId="4F2E4BC5" w:rsidR="000C18C1" w:rsidRPr="00015234" w:rsidRDefault="00350A66" w:rsidP="00350A66">
      <w:pPr>
        <w:pStyle w:val="enumlev1"/>
        <w:rPr>
          <w:b/>
          <w:bCs/>
        </w:rPr>
      </w:pPr>
      <w:r w:rsidRPr="00015234">
        <w:t>−</w:t>
      </w:r>
      <w:r w:rsidRPr="00015234">
        <w:tab/>
      </w:r>
      <w:r w:rsidR="000C18C1" w:rsidRPr="00015234">
        <w:rPr>
          <w:b/>
          <w:bCs/>
        </w:rPr>
        <w:t>AFR3: Укрепление доверия, безопасности и защищенности при использовании электросвязи/информационно-коммуникационных технологий, защита данных и конфиденциальность данных</w:t>
      </w:r>
    </w:p>
    <w:p w14:paraId="0A6421EC" w14:textId="3E1DAF57" w:rsidR="000C18C1" w:rsidRPr="00015234" w:rsidRDefault="00350A66" w:rsidP="00350A66">
      <w:pPr>
        <w:pStyle w:val="enumlev1"/>
        <w:rPr>
          <w:b/>
          <w:bCs/>
        </w:rPr>
      </w:pPr>
      <w:bookmarkStart w:id="9" w:name="_Hlk193377401"/>
      <w:r w:rsidRPr="00015234">
        <w:lastRenderedPageBreak/>
        <w:t>−</w:t>
      </w:r>
      <w:r w:rsidRPr="00015234">
        <w:tab/>
      </w:r>
      <w:r w:rsidR="000C18C1" w:rsidRPr="00015234">
        <w:rPr>
          <w:b/>
          <w:bCs/>
        </w:rPr>
        <w:t xml:space="preserve">AFR4: </w:t>
      </w:r>
      <w:bookmarkEnd w:id="9"/>
      <w:r w:rsidR="000C18C1" w:rsidRPr="00015234">
        <w:rPr>
          <w:b/>
          <w:bCs/>
        </w:rPr>
        <w:t xml:space="preserve">Приложения цифровой инфраструктуры, развитие МСП, а также появляющиеся технологии и инновационные экосистемы </w:t>
      </w:r>
    </w:p>
    <w:p w14:paraId="3E7617A7" w14:textId="13DC703A" w:rsidR="000C18C1" w:rsidRPr="00015234" w:rsidRDefault="00350A66" w:rsidP="00350A66">
      <w:pPr>
        <w:pStyle w:val="enumlev1"/>
        <w:rPr>
          <w:b/>
          <w:bCs/>
          <w:lang w:bidi="ar-EG"/>
        </w:rPr>
      </w:pPr>
      <w:r w:rsidRPr="00015234">
        <w:t>−</w:t>
      </w:r>
      <w:r w:rsidRPr="00015234">
        <w:tab/>
      </w:r>
      <w:r w:rsidR="000C18C1" w:rsidRPr="00015234">
        <w:rPr>
          <w:b/>
          <w:bCs/>
        </w:rPr>
        <w:t>AFR5: Устойчивые механизмы финансирования цифровой трансформации Африки</w:t>
      </w:r>
    </w:p>
    <w:p w14:paraId="53762EFE" w14:textId="6E3869AE" w:rsidR="000C18C1" w:rsidRPr="00015234" w:rsidRDefault="00350A66" w:rsidP="00350A66">
      <w:pPr>
        <w:pStyle w:val="Heading1"/>
      </w:pPr>
      <w:r w:rsidRPr="00015234">
        <w:t>9</w:t>
      </w:r>
      <w:r w:rsidRPr="00015234">
        <w:tab/>
      </w:r>
      <w:r w:rsidR="000C18C1" w:rsidRPr="00015234">
        <w:t>Любые другие вопросы</w:t>
      </w:r>
    </w:p>
    <w:p w14:paraId="77F5B17E" w14:textId="77777777" w:rsidR="000C18C1" w:rsidRPr="00015234" w:rsidRDefault="000C18C1" w:rsidP="00350A66">
      <w:pPr>
        <w:rPr>
          <w:rStyle w:val="eop"/>
          <w:rFonts w:cstheme="minorHAnsi"/>
          <w:szCs w:val="24"/>
        </w:rPr>
      </w:pPr>
      <w:r w:rsidRPr="00015234">
        <w:rPr>
          <w:rStyle w:val="normaltextrun"/>
          <w:rFonts w:cstheme="minorHAnsi"/>
          <w:szCs w:val="24"/>
          <w:shd w:val="clear" w:color="auto" w:fill="FFFFFF"/>
        </w:rPr>
        <w:t xml:space="preserve">В рамках данного пункта повестки дня были рассмотрены следующие вопросы: </w:t>
      </w:r>
    </w:p>
    <w:p w14:paraId="27A72C35" w14:textId="005EF375" w:rsidR="000C18C1" w:rsidRPr="00015234" w:rsidRDefault="00350A66" w:rsidP="00350A66">
      <w:pPr>
        <w:pStyle w:val="enumlev1"/>
      </w:pPr>
      <w:r w:rsidRPr="00015234">
        <w:t>−</w:t>
      </w:r>
      <w:r w:rsidRPr="00015234">
        <w:tab/>
      </w:r>
      <w:r w:rsidR="000C18C1" w:rsidRPr="00015234">
        <w:t>Был представлен проект итогового отчета Регионального форума по вопросам развития (РФР) 2025 года. Участники РПС-АФР с удовлетворением восприняли итоговый отчет по РФР, который был опубликован в качестве информационного документа (</w:t>
      </w:r>
      <w:hyperlink r:id="rId44" w:history="1">
        <w:r w:rsidR="000C18C1" w:rsidRPr="00015234">
          <w:rPr>
            <w:rStyle w:val="Hyperlink"/>
            <w:rFonts w:cstheme="minorHAnsi"/>
            <w:szCs w:val="24"/>
          </w:rPr>
          <w:t>INF/10</w:t>
        </w:r>
      </w:hyperlink>
      <w:r w:rsidR="000C18C1" w:rsidRPr="00015234">
        <w:t>) для РПС-АФР.</w:t>
      </w:r>
    </w:p>
    <w:p w14:paraId="5357A36D" w14:textId="206037FF" w:rsidR="000C18C1" w:rsidRPr="00015234" w:rsidRDefault="00350A66" w:rsidP="00350A66">
      <w:pPr>
        <w:pStyle w:val="enumlev1"/>
        <w:rPr>
          <w:color w:val="000000" w:themeColor="text1"/>
        </w:rPr>
      </w:pPr>
      <w:r w:rsidRPr="00015234">
        <w:t>−</w:t>
      </w:r>
      <w:r w:rsidRPr="00015234">
        <w:tab/>
      </w:r>
      <w:r w:rsidR="000C18C1" w:rsidRPr="00015234">
        <w:rPr>
          <w:color w:val="000000" w:themeColor="text1"/>
        </w:rPr>
        <w:t>Была представлена презентация (</w:t>
      </w:r>
      <w:hyperlink r:id="rId45" w:history="1">
        <w:r w:rsidR="000C18C1" w:rsidRPr="00015234">
          <w:rPr>
            <w:rStyle w:val="Hyperlink"/>
            <w:rFonts w:cstheme="minorHAnsi"/>
            <w:szCs w:val="24"/>
          </w:rPr>
          <w:t>INF/3</w:t>
        </w:r>
      </w:hyperlink>
      <w:r w:rsidR="000C18C1" w:rsidRPr="00015234">
        <w:rPr>
          <w:color w:val="000000" w:themeColor="text1"/>
        </w:rPr>
        <w:t xml:space="preserve">), в которой содержалась обновленная информация о Всемирном молодежном саммите, проходившем в Варадеро, Куба, 11–13 марта 2025 года. Презентация сопровождалась </w:t>
      </w:r>
      <w:hyperlink r:id="rId46" w:history="1">
        <w:r w:rsidR="000C18C1" w:rsidRPr="00015234">
          <w:rPr>
            <w:rStyle w:val="Hyperlink"/>
            <w:rFonts w:cstheme="minorHAnsi"/>
            <w:szCs w:val="24"/>
          </w:rPr>
          <w:t>видеофильмом</w:t>
        </w:r>
      </w:hyperlink>
      <w:r w:rsidR="000C18C1" w:rsidRPr="00015234">
        <w:rPr>
          <w:color w:val="000000" w:themeColor="text1"/>
        </w:rPr>
        <w:t xml:space="preserve"> об этом мероприятии.</w:t>
      </w:r>
    </w:p>
    <w:p w14:paraId="642572F3" w14:textId="26510269" w:rsidR="000C18C1" w:rsidRPr="00015234" w:rsidRDefault="00350A66" w:rsidP="00350A66">
      <w:pPr>
        <w:pStyle w:val="enumlev1"/>
      </w:pPr>
      <w:r w:rsidRPr="00015234">
        <w:t>−</w:t>
      </w:r>
      <w:r w:rsidRPr="00015234">
        <w:tab/>
      </w:r>
      <w:r w:rsidR="000C18C1" w:rsidRPr="00015234">
        <w:t>Представитель Азербайджана представил обновленную информацию о ходе подготовки к предстоящей ВКРЭ, которую планируется провести в Баку с 17 по 28 ноября 2025 года. Участники РПС-АФР дали высокую оценку этой обновленной информации.</w:t>
      </w:r>
    </w:p>
    <w:p w14:paraId="0BB7B2C4" w14:textId="053B2862" w:rsidR="000C18C1" w:rsidRPr="00015234" w:rsidRDefault="000C18C1" w:rsidP="00350A66">
      <w:pPr>
        <w:pStyle w:val="Headingb"/>
        <w:rPr>
          <w:b w:val="0"/>
          <w:bCs/>
        </w:rPr>
      </w:pPr>
      <w:r w:rsidRPr="00015234">
        <w:t>Участники РПС-АФР приняли эту информацию к сведению</w:t>
      </w:r>
      <w:r w:rsidRPr="00015234">
        <w:rPr>
          <w:b w:val="0"/>
          <w:bCs/>
        </w:rPr>
        <w:t>.</w:t>
      </w:r>
    </w:p>
    <w:p w14:paraId="2151BE8E" w14:textId="5582998B" w:rsidR="000C18C1" w:rsidRPr="00015234" w:rsidRDefault="00350A66" w:rsidP="00350A66">
      <w:pPr>
        <w:pStyle w:val="Heading1"/>
      </w:pPr>
      <w:r w:rsidRPr="00015234">
        <w:t>10</w:t>
      </w:r>
      <w:r w:rsidRPr="00015234">
        <w:tab/>
      </w:r>
      <w:r w:rsidR="000C18C1" w:rsidRPr="00015234">
        <w:t xml:space="preserve">Церемония закрытия </w:t>
      </w:r>
    </w:p>
    <w:p w14:paraId="58080DA6" w14:textId="4988E7EE" w:rsidR="000C18C1" w:rsidRPr="00015234" w:rsidRDefault="000C18C1" w:rsidP="00350A66">
      <w:pPr>
        <w:rPr>
          <w:b/>
        </w:rPr>
      </w:pPr>
      <w:r w:rsidRPr="00015234">
        <w:t>В ходе церемонии закрытия РПС-АФР с заключительными замечаниями выступили Директор БРЭ д</w:t>
      </w:r>
      <w:r w:rsidR="00350A66" w:rsidRPr="00015234">
        <w:noBreakHyphen/>
      </w:r>
      <w:r w:rsidRPr="00015234">
        <w:t>р</w:t>
      </w:r>
      <w:r w:rsidR="00350A66" w:rsidRPr="00015234">
        <w:t> </w:t>
      </w:r>
      <w:r w:rsidRPr="00015234">
        <w:t>Космас Лакисон Завазава и Председатель РПС г-н Дэвид Мугоньи.</w:t>
      </w:r>
    </w:p>
    <w:p w14:paraId="48007EC2" w14:textId="365E2D9F" w:rsidR="000C18C1" w:rsidRPr="00015234" w:rsidRDefault="000C18C1" w:rsidP="00350A66">
      <w:pPr>
        <w:rPr>
          <w:rFonts w:asciiTheme="minorHAnsi" w:hAnsiTheme="minorHAnsi"/>
        </w:rPr>
      </w:pPr>
      <w:r w:rsidRPr="00015234">
        <w:rPr>
          <w:rFonts w:asciiTheme="minorHAnsi" w:hAnsiTheme="minorHAnsi"/>
        </w:rPr>
        <w:t>В своем выступлении Директор БРЭ выразил благодарность СА Кении за организацию у себя этого мероприятия, выразив особую признательность г-ну Мугоньи за выполнение им функций Председателя Регионального подготовительного собрания (РПС-АФР). Он также выразил благодарность Государствам-Членам, Членам Сектора и всем участникам, очным и онлайновым, за их активное участие в обсуждениях, которые внесли вклад в разработку проектов региональных инициатив на предстоящий цикл. Он подчеркнул, что эти инициативы будут перенесены на Всемирную конференцию по развитию электросвязи, которая состоится в ноябре 2025 года (ВКРЭ</w:t>
      </w:r>
      <w:r w:rsidR="00350A66" w:rsidRPr="00015234">
        <w:rPr>
          <w:rFonts w:asciiTheme="minorHAnsi" w:hAnsiTheme="minorHAnsi"/>
        </w:rPr>
        <w:noBreakHyphen/>
      </w:r>
      <w:r w:rsidRPr="00015234">
        <w:rPr>
          <w:rFonts w:asciiTheme="minorHAnsi" w:hAnsiTheme="minorHAnsi"/>
        </w:rPr>
        <w:t>25), с тем чтобы были представлены приоритеты африканских стран.</w:t>
      </w:r>
    </w:p>
    <w:p w14:paraId="560BB011" w14:textId="77777777" w:rsidR="000C18C1" w:rsidRPr="00015234" w:rsidRDefault="000C18C1" w:rsidP="00350A66">
      <w:pPr>
        <w:rPr>
          <w:rFonts w:asciiTheme="minorHAnsi" w:hAnsiTheme="minorHAnsi"/>
        </w:rPr>
      </w:pPr>
      <w:r w:rsidRPr="00015234">
        <w:rPr>
          <w:rFonts w:asciiTheme="minorHAnsi" w:hAnsiTheme="minorHAnsi"/>
        </w:rPr>
        <w:t>Д-р Завазава подтвердил готовность Секретариата МСЭ поддерживать Государства-Члены в их усилиях по подготовке к ВКРЭ-25 и в достижении их более широкой цели, касающейся обеспечения универсальной и реальной возможности установления соединений. Подчеркивая общую концепцию и приверженность достижению значимых результатов в рамках принципа BDT4Impact, он еще раз отметил, что МСЭ нацелен на достижение осязаемых результатов. Прежде чем завершить свое выступление, д-р Завазава также представил видеофильм с основными моментами.</w:t>
      </w:r>
    </w:p>
    <w:p w14:paraId="196E62FB" w14:textId="2436755F" w:rsidR="000C18C1" w:rsidRPr="00015234" w:rsidRDefault="000C18C1" w:rsidP="00350A66">
      <w:pPr>
        <w:rPr>
          <w:b/>
        </w:rPr>
      </w:pPr>
      <w:r w:rsidRPr="00015234">
        <w:t>После замечаний д-ра Завазавы с заключительным словом выступил г-н Давид Мугоньи, который выразил признательность МСЭ, Государствам-Членам и всем участникам за их целеустремленность и дух сотрудничества. Г-н Мугоньи выделил ключевые приоритеты, определенные в ходе сессий РПС.</w:t>
      </w:r>
    </w:p>
    <w:p w14:paraId="3AD7F2C1" w14:textId="6C2DBDA1" w:rsidR="000C18C1" w:rsidRPr="00015234" w:rsidRDefault="000C18C1" w:rsidP="00350A66">
      <w:r w:rsidRPr="00015234">
        <w:t>В рамках церемонии были вручены почетные грамоты г-ну Мугоньи, Председателю РПС, в знак признания его лидерства на протяжении всего РПС-АФР, а также АСЭ за его вклад в подготовку к</w:t>
      </w:r>
      <w:r w:rsidR="00DD01C8" w:rsidRPr="00015234">
        <w:t> </w:t>
      </w:r>
      <w:r w:rsidRPr="00015234">
        <w:t>ВКРЭ-2025.</w:t>
      </w:r>
    </w:p>
    <w:p w14:paraId="0988991A" w14:textId="77777777" w:rsidR="000C18C1" w:rsidRPr="00015234" w:rsidRDefault="000C18C1" w:rsidP="00350A66">
      <w:r w:rsidRPr="00015234">
        <w:br w:type="page"/>
      </w:r>
    </w:p>
    <w:p w14:paraId="58663CC1" w14:textId="77777777" w:rsidR="000C18C1" w:rsidRPr="00015234" w:rsidRDefault="000C18C1" w:rsidP="00350A66">
      <w:pPr>
        <w:pStyle w:val="AnnexNo"/>
        <w:rPr>
          <w:color w:val="000000" w:themeColor="text1"/>
        </w:rPr>
      </w:pPr>
      <w:r w:rsidRPr="00015234">
        <w:lastRenderedPageBreak/>
        <w:t>Приложение</w:t>
      </w:r>
      <w:r w:rsidRPr="00015234">
        <w:rPr>
          <w:color w:val="000000" w:themeColor="text1"/>
        </w:rPr>
        <w:t xml:space="preserve"> 1</w:t>
      </w:r>
    </w:p>
    <w:p w14:paraId="6535AECC" w14:textId="64784A79" w:rsidR="000C18C1" w:rsidRPr="00015234" w:rsidRDefault="000C18C1" w:rsidP="00350A66">
      <w:pPr>
        <w:pStyle w:val="Annextitle"/>
      </w:pPr>
      <w:r w:rsidRPr="00015234">
        <w:t>Предлагаемые региональные инициативы для Африки на период 2026–2029 годов</w:t>
      </w:r>
    </w:p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0C18C1" w:rsidRPr="00015234" w14:paraId="5A96895B" w14:textId="77777777" w:rsidTr="00223E30">
        <w:trPr>
          <w:tblHeader/>
        </w:trPr>
        <w:tc>
          <w:tcPr>
            <w:tcW w:w="9629" w:type="dxa"/>
            <w:vAlign w:val="center"/>
          </w:tcPr>
          <w:p w14:paraId="577FBD85" w14:textId="5BCF9037" w:rsidR="000C18C1" w:rsidRPr="00015234" w:rsidRDefault="000C18C1" w:rsidP="00815388">
            <w:pPr>
              <w:spacing w:after="120"/>
              <w:jc w:val="center"/>
              <w:rPr>
                <w:rFonts w:eastAsia="MS Mincho"/>
                <w:b/>
                <w:bCs/>
                <w:lang w:eastAsia="ja-JP"/>
              </w:rPr>
            </w:pPr>
            <w:r w:rsidRPr="00015234">
              <w:rPr>
                <w:rFonts w:eastAsiaTheme="minorEastAsia"/>
                <w:b/>
                <w:bCs/>
                <w:lang w:eastAsia="ko-KR"/>
              </w:rPr>
              <w:t>(Проект) Региональные инициативы для Африки</w:t>
            </w:r>
          </w:p>
        </w:tc>
      </w:tr>
      <w:tr w:rsidR="000C18C1" w:rsidRPr="00015234" w14:paraId="37343CD5" w14:textId="77777777" w:rsidTr="00350A66">
        <w:tc>
          <w:tcPr>
            <w:tcW w:w="9629" w:type="dxa"/>
            <w:shd w:val="clear" w:color="auto" w:fill="auto"/>
          </w:tcPr>
          <w:p w14:paraId="5C20536E" w14:textId="6FA565B6" w:rsidR="000C18C1" w:rsidRPr="00015234" w:rsidRDefault="000C18C1" w:rsidP="00350A66">
            <w:pPr>
              <w:pStyle w:val="Headingb"/>
            </w:pPr>
            <w:r w:rsidRPr="00015234">
              <w:t>AFR1: Реальная возможность установления соединений и устойчивая инфраструктура – для устойчивого развития, включая электросвязь в чрезвычайных ситуациях и системы раннего предупреждения о различных видах бедствий в Африканском регионе</w:t>
            </w:r>
          </w:p>
          <w:p w14:paraId="5F2D87F6" w14:textId="617690F9" w:rsidR="000C18C1" w:rsidRPr="00015234" w:rsidRDefault="000C18C1" w:rsidP="00350A66">
            <w:pPr>
              <w:rPr>
                <w:rFonts w:asciiTheme="minorHAnsi" w:hAnsiTheme="minorHAnsi"/>
              </w:rPr>
            </w:pPr>
            <w:r w:rsidRPr="00015234">
              <w:rPr>
                <w:rStyle w:val="Strong"/>
                <w:rFonts w:asciiTheme="minorHAnsi" w:hAnsiTheme="minorHAnsi" w:cstheme="minorHAnsi"/>
              </w:rPr>
              <w:t>Ц</w:t>
            </w:r>
            <w:r w:rsidRPr="00015234">
              <w:rPr>
                <w:rStyle w:val="Strong"/>
                <w:rFonts w:asciiTheme="minorHAnsi" w:hAnsiTheme="minorHAnsi"/>
              </w:rPr>
              <w:t>ель</w:t>
            </w:r>
            <w:r w:rsidRPr="00015234">
              <w:rPr>
                <w:rStyle w:val="Strong"/>
                <w:rFonts w:asciiTheme="minorHAnsi" w:hAnsiTheme="minorHAnsi" w:cstheme="minorHAnsi"/>
              </w:rPr>
              <w:t xml:space="preserve">: </w:t>
            </w:r>
            <w:r w:rsidRPr="00015234">
              <w:t>э</w:t>
            </w:r>
            <w:r w:rsidRPr="00015234">
              <w:rPr>
                <w:rFonts w:asciiTheme="minorHAnsi" w:hAnsiTheme="minorHAnsi"/>
              </w:rPr>
              <w:t>та инициатива направлена на оказание поддержки Государствам-Членам в регионе в использовании всех преимуществ цифровой трансформации. Она также направлена на совершенствование инфраструктуры широкополосной связи, особенно в сельских и обслуживаемых в недостаточной степени районах, путем укрепления политических основ, поощрения государственно-частных партнерств и инвестирования в надежную инфраструктуру и устойчивые решения по установлению соединений. Кроме того, она направлена на совершенствование электросвязи в чрезвычайных ситуациях и систем раннего предупреждения, связанных с различными видами бедствий. Еще одной ее целью является создание благоприятной цифровой экосистемы, способствующей расширению прав и возможностей частных лиц и компаний. Помимо этого, особое внимание в рамках данной инициативы уделяется гендерной инклюзивности, расширению прав и возможностей молодежи и ответственному использованию цифровых технологий для обеспечения справедливого и долгосрочного развития на всем Африканском континенте.</w:t>
            </w:r>
          </w:p>
          <w:p w14:paraId="70C5E2DF" w14:textId="77777777" w:rsidR="000C18C1" w:rsidRPr="00015234" w:rsidRDefault="000C18C1" w:rsidP="00646DF3">
            <w:pPr>
              <w:pStyle w:val="Headingb"/>
            </w:pPr>
            <w:r w:rsidRPr="00015234">
              <w:t>Ожидаемые результаты</w:t>
            </w:r>
            <w:r w:rsidRPr="00015234">
              <w:rPr>
                <w:b w:val="0"/>
                <w:bCs/>
              </w:rPr>
              <w:t>:</w:t>
            </w:r>
          </w:p>
          <w:p w14:paraId="729D8489" w14:textId="3EF9531B" w:rsidR="000C18C1" w:rsidRPr="00015234" w:rsidRDefault="00350A66" w:rsidP="00350A66">
            <w:pPr>
              <w:pStyle w:val="enumlev1"/>
            </w:pPr>
            <w:r w:rsidRPr="00015234">
              <w:rPr>
                <w:rStyle w:val="Strong"/>
                <w:b w:val="0"/>
                <w:bCs w:val="0"/>
              </w:rPr>
              <w:t>1)</w:t>
            </w:r>
            <w:r w:rsidRPr="00015234">
              <w:rPr>
                <w:rStyle w:val="Strong"/>
              </w:rPr>
              <w:tab/>
            </w:r>
            <w:r w:rsidR="000C18C1" w:rsidRPr="00015234">
              <w:rPr>
                <w:b/>
              </w:rPr>
              <w:t>Поддержка в разработке национальных стратегий цифровой трансформации, которые являются инновационными</w:t>
            </w:r>
            <w:r w:rsidR="000C18C1" w:rsidRPr="00015234">
              <w:rPr>
                <w:bCs/>
              </w:rPr>
              <w:t>.</w:t>
            </w:r>
          </w:p>
          <w:p w14:paraId="1FF281F8" w14:textId="373BF8AB" w:rsidR="000C18C1" w:rsidRPr="00015234" w:rsidRDefault="00350A66" w:rsidP="00350A66">
            <w:pPr>
              <w:pStyle w:val="enumlev1"/>
            </w:pPr>
            <w:r w:rsidRPr="00015234">
              <w:rPr>
                <w:bCs/>
              </w:rPr>
              <w:t>2)</w:t>
            </w:r>
            <w:r w:rsidRPr="00015234">
              <w:rPr>
                <w:bCs/>
              </w:rPr>
              <w:tab/>
            </w:r>
            <w:r w:rsidR="000C18C1" w:rsidRPr="00015234">
              <w:rPr>
                <w:b/>
              </w:rPr>
              <w:t>Помощь в разработке планов действий с цифровыми ключевыми показателями деятельности и рост проникновения интернета</w:t>
            </w:r>
            <w:r w:rsidR="000C18C1" w:rsidRPr="00015234">
              <w:rPr>
                <w:bCs/>
              </w:rPr>
              <w:t>:</w:t>
            </w:r>
            <w:r w:rsidR="000C18C1" w:rsidRPr="00015234">
              <w:t xml:space="preserve"> поддающееся измерению увеличение покрытия широкополосной связью, в особенности в отдаленных и сельских сообществах.</w:t>
            </w:r>
          </w:p>
          <w:p w14:paraId="3570C6DC" w14:textId="7B8842D0" w:rsidR="000C18C1" w:rsidRPr="00015234" w:rsidRDefault="00350A66" w:rsidP="00350A66">
            <w:pPr>
              <w:pStyle w:val="enumlev1"/>
            </w:pPr>
            <w:r w:rsidRPr="00015234">
              <w:rPr>
                <w:bCs/>
              </w:rPr>
              <w:t>3)</w:t>
            </w:r>
            <w:r w:rsidRPr="00015234">
              <w:rPr>
                <w:bCs/>
              </w:rPr>
              <w:tab/>
            </w:r>
            <w:r w:rsidR="000C18C1" w:rsidRPr="00015234">
              <w:rPr>
                <w:b/>
              </w:rPr>
              <w:t>Повышение ценовой доступности</w:t>
            </w:r>
            <w:r w:rsidR="000C18C1" w:rsidRPr="00015234">
              <w:rPr>
                <w:bCs/>
              </w:rPr>
              <w:t>:</w:t>
            </w:r>
            <w:r w:rsidR="000C18C1" w:rsidRPr="00015234">
              <w:t xml:space="preserve"> снижение цен на услуги интернета, смартфоны и компьютеры позволит большему числу людей участвовать в цифровом мире, сокращая неравенство в доступе к информации, онлайновым услугам и возможностям.</w:t>
            </w:r>
          </w:p>
          <w:p w14:paraId="4289AF80" w14:textId="3EB96DE6" w:rsidR="000C18C1" w:rsidRPr="00015234" w:rsidRDefault="00350A66" w:rsidP="00350A66">
            <w:pPr>
              <w:pStyle w:val="enumlev1"/>
            </w:pPr>
            <w:r w:rsidRPr="00015234">
              <w:rPr>
                <w:bCs/>
              </w:rPr>
              <w:t>4)</w:t>
            </w:r>
            <w:r w:rsidRPr="00015234">
              <w:rPr>
                <w:bCs/>
              </w:rPr>
              <w:tab/>
            </w:r>
            <w:r w:rsidR="000C18C1" w:rsidRPr="00015234">
              <w:rPr>
                <w:b/>
              </w:rPr>
              <w:t>Совершенствование цифровых навыков</w:t>
            </w:r>
            <w:r w:rsidR="000C18C1" w:rsidRPr="00015234">
              <w:rPr>
                <w:bCs/>
              </w:rPr>
              <w:t>:</w:t>
            </w:r>
            <w:r w:rsidR="000C18C1" w:rsidRPr="00015234">
              <w:t xml:space="preserve"> хорошо подготовленная рабочая сила, обладающая необходимыми цифровыми навыками для содействия развитию экономики, основанной на знаниях.</w:t>
            </w:r>
          </w:p>
          <w:p w14:paraId="371EA994" w14:textId="12BF9436" w:rsidR="000C18C1" w:rsidRPr="00015234" w:rsidRDefault="00350A66" w:rsidP="00350A66">
            <w:pPr>
              <w:pStyle w:val="enumlev1"/>
            </w:pPr>
            <w:r w:rsidRPr="00015234">
              <w:rPr>
                <w:bCs/>
              </w:rPr>
              <w:t>5)</w:t>
            </w:r>
            <w:r w:rsidRPr="00015234">
              <w:rPr>
                <w:bCs/>
              </w:rPr>
              <w:tab/>
            </w:r>
            <w:r w:rsidR="000C18C1" w:rsidRPr="00015234">
              <w:rPr>
                <w:b/>
              </w:rPr>
              <w:t>Улучшенная политическая среда</w:t>
            </w:r>
            <w:r w:rsidR="000C18C1" w:rsidRPr="00015234">
              <w:t>: более надежные и согласованные нормативно-правовые базы, способствующие охвату цифровыми технологиями и инвестициям.</w:t>
            </w:r>
          </w:p>
          <w:p w14:paraId="2E5C51B5" w14:textId="1DCB2DBF" w:rsidR="000C18C1" w:rsidRPr="00015234" w:rsidRDefault="00350A66" w:rsidP="00350A66">
            <w:pPr>
              <w:pStyle w:val="enumlev1"/>
            </w:pPr>
            <w:r w:rsidRPr="00015234">
              <w:rPr>
                <w:bCs/>
              </w:rPr>
              <w:t>6)</w:t>
            </w:r>
            <w:r w:rsidRPr="00015234">
              <w:rPr>
                <w:bCs/>
              </w:rPr>
              <w:tab/>
            </w:r>
            <w:r w:rsidR="000C18C1" w:rsidRPr="00015234">
              <w:rPr>
                <w:b/>
              </w:rPr>
              <w:t>Устойчивая цифровая экосистема</w:t>
            </w:r>
            <w:r w:rsidR="000C18C1" w:rsidRPr="00015234">
              <w:t>: укрепление партнерских отношений между правительствами, представителями частного сектора и гражданским обществом для поддержки долгосрочных инициатив в области возможности установления соединений и обеспечения лучших условий предоставления услуг в условиях конкуренции на цифровом</w:t>
            </w:r>
            <w:r w:rsidR="00815388" w:rsidRPr="00015234">
              <w:t> </w:t>
            </w:r>
            <w:r w:rsidR="000C18C1" w:rsidRPr="00015234">
              <w:t>рынке.</w:t>
            </w:r>
          </w:p>
          <w:p w14:paraId="26B75669" w14:textId="16A6AB7E" w:rsidR="000C18C1" w:rsidRPr="00015234" w:rsidRDefault="00350A66" w:rsidP="00350A66">
            <w:pPr>
              <w:pStyle w:val="enumlev1"/>
            </w:pPr>
            <w:r w:rsidRPr="00015234">
              <w:rPr>
                <w:bCs/>
              </w:rPr>
              <w:t>7)</w:t>
            </w:r>
            <w:r w:rsidRPr="00015234">
              <w:rPr>
                <w:bCs/>
              </w:rPr>
              <w:tab/>
            </w:r>
            <w:r w:rsidR="000C18C1" w:rsidRPr="00015234">
              <w:rPr>
                <w:b/>
              </w:rPr>
              <w:t>Ускорение экономического и социального развития</w:t>
            </w:r>
            <w:r w:rsidR="000C18C1" w:rsidRPr="00015234">
              <w:t>: ощутимые улучшения в сфере электронного государственного управления, образования, здравоохранения и предпринимательства благодаря цифровому доступу.</w:t>
            </w:r>
          </w:p>
          <w:p w14:paraId="627AC2D3" w14:textId="130DAF9B" w:rsidR="000C18C1" w:rsidRPr="00015234" w:rsidRDefault="00350A66" w:rsidP="00815388">
            <w:pPr>
              <w:pStyle w:val="enumlev1"/>
              <w:spacing w:after="80"/>
            </w:pPr>
            <w:r w:rsidRPr="00015234">
              <w:t>8)</w:t>
            </w:r>
            <w:r w:rsidRPr="00015234">
              <w:tab/>
            </w:r>
            <w:r w:rsidR="000C18C1" w:rsidRPr="00015234">
              <w:t>Поддержка в разработке, содействии развитию, финансировании моделей и партнерских проектов, которые позволили бы осуществить цифровую трансформацию экономики стран Африки, а также создание инновационных рамочных механизмов.</w:t>
            </w:r>
          </w:p>
          <w:p w14:paraId="1A90F9D6" w14:textId="2EC22A77" w:rsidR="000C18C1" w:rsidRPr="00015234" w:rsidRDefault="00350A66" w:rsidP="00350A66">
            <w:pPr>
              <w:pStyle w:val="enumlev1"/>
            </w:pPr>
            <w:r w:rsidRPr="00015234">
              <w:lastRenderedPageBreak/>
              <w:t>9)</w:t>
            </w:r>
            <w:r w:rsidRPr="00015234">
              <w:tab/>
            </w:r>
            <w:r w:rsidR="000C18C1" w:rsidRPr="00015234">
              <w:t>Помощь в принятии и внедрении соответствующих стандартов, ориентированных на решение проблем функциональной совместимости, которые возникают в результате потрясений и преобразований, вызванных распространением цифровых инноваций.</w:t>
            </w:r>
          </w:p>
          <w:p w14:paraId="46CD50C5" w14:textId="69E3D9D7" w:rsidR="000C18C1" w:rsidRPr="00015234" w:rsidRDefault="00350A66" w:rsidP="00350A66">
            <w:pPr>
              <w:pStyle w:val="enumlev1"/>
            </w:pPr>
            <w:r w:rsidRPr="00015234">
              <w:t>10)</w:t>
            </w:r>
            <w:r w:rsidRPr="00015234">
              <w:tab/>
            </w:r>
            <w:r w:rsidR="000C18C1" w:rsidRPr="00015234">
              <w:t>Содействие развитию сотрудничества между сектором электросвязи и другими соответствующими секторами, такими как транспорт и энергетика, которое необходимо для цифровой трансформации.</w:t>
            </w:r>
          </w:p>
          <w:p w14:paraId="4DA08117" w14:textId="6528F94D" w:rsidR="000C18C1" w:rsidRPr="00015234" w:rsidRDefault="00350A66" w:rsidP="00350A66">
            <w:pPr>
              <w:pStyle w:val="enumlev1"/>
            </w:pPr>
            <w:r w:rsidRPr="00015234">
              <w:t>11)</w:t>
            </w:r>
            <w:r w:rsidRPr="00015234">
              <w:tab/>
            </w:r>
            <w:r w:rsidR="000C18C1" w:rsidRPr="00015234">
              <w:t>Эффективное использование USF для расширения доступа к широкополосным сетям и сетям подвижной связи в сельских районах и сообществах с низкими доходами, а также для поддержки программ цифровой грамотности и обеспечения ценовой приемлемости, которые могут помочь развивающимся странам, уделяя особое внимание НРС, ЛЛДС и СИДС, преодолеть проблемы, связанные со значительными цифровыми разрывами и неадекватностью инфраструктуры электросвязи, высокими затратами и социально-экономическими барьерами.</w:t>
            </w:r>
          </w:p>
          <w:p w14:paraId="21851BEF" w14:textId="0FC61AB9" w:rsidR="000C18C1" w:rsidRPr="00015234" w:rsidRDefault="0048267D" w:rsidP="00350A66">
            <w:pPr>
              <w:pStyle w:val="enumlev1"/>
            </w:pPr>
            <w:r w:rsidRPr="00015234">
              <w:t>12)</w:t>
            </w:r>
            <w:r w:rsidRPr="00015234">
              <w:tab/>
            </w:r>
            <w:r w:rsidR="000C18C1" w:rsidRPr="00015234">
              <w:t xml:space="preserve">Задействование всех имеющихся технологий, включая спутники, для обеспечения соединений может играть решающую роль в достижении </w:t>
            </w:r>
            <w:r w:rsidR="000C18C1" w:rsidRPr="00015234">
              <w:rPr>
                <w:b/>
              </w:rPr>
              <w:t>устойчивого развития</w:t>
            </w:r>
            <w:r w:rsidR="000C18C1" w:rsidRPr="00015234">
              <w:t>, особенно в отдаленных и недостаточно обслуживаемых регионах.</w:t>
            </w:r>
          </w:p>
          <w:p w14:paraId="0A8D6BBB" w14:textId="6FF0E3E6" w:rsidR="000C18C1" w:rsidRPr="00015234" w:rsidRDefault="0048267D" w:rsidP="00350A66">
            <w:pPr>
              <w:pStyle w:val="enumlev1"/>
            </w:pPr>
            <w:r w:rsidRPr="00015234">
              <w:t>13)</w:t>
            </w:r>
            <w:r w:rsidRPr="00015234">
              <w:tab/>
            </w:r>
            <w:r w:rsidR="000C18C1" w:rsidRPr="00015234">
              <w:t>Содействие доступу к подводным кабелям для стран, не имеющих выхода к морю, имеет решающее значение для обеспечения справедливого доступа к цифровым соединениям и экономического развития путем регионального сотрудничества, координации политики и государственно-частного партнерства.</w:t>
            </w:r>
          </w:p>
          <w:p w14:paraId="6E6A987B" w14:textId="0763E219" w:rsidR="000C18C1" w:rsidRPr="00015234" w:rsidRDefault="0048267D" w:rsidP="00350A66">
            <w:pPr>
              <w:pStyle w:val="enumlev1"/>
            </w:pPr>
            <w:r w:rsidRPr="00015234">
              <w:t>14)</w:t>
            </w:r>
            <w:r w:rsidRPr="00015234">
              <w:tab/>
            </w:r>
            <w:r w:rsidR="000C18C1" w:rsidRPr="00015234">
              <w:t>Обеспечение реальной возможности установления соединений для маргинализированных слоев населения, особенно для лиц с ограниченными возможностями, путем сочетания инклюзивной политики, доступных технологий и решений, предлагаемых сообществами.</w:t>
            </w:r>
          </w:p>
          <w:p w14:paraId="0A68A5B1" w14:textId="1DE59028" w:rsidR="000C18C1" w:rsidRPr="00015234" w:rsidRDefault="0048267D" w:rsidP="00350A66">
            <w:pPr>
              <w:pStyle w:val="enumlev1"/>
            </w:pPr>
            <w:r w:rsidRPr="00015234">
              <w:t>15)</w:t>
            </w:r>
            <w:r w:rsidRPr="00015234">
              <w:tab/>
            </w:r>
            <w:r w:rsidR="000C18C1" w:rsidRPr="00015234">
              <w:t>Создание сети экспертов по управлению операциями в случае бедствий для укрепления обмена знаниями и регионального сотрудничества в области обеспечения готовности к бедствиям и реагирования на бедствия.</w:t>
            </w:r>
          </w:p>
          <w:p w14:paraId="6BA92647" w14:textId="0AD8156B" w:rsidR="000C18C1" w:rsidRPr="00015234" w:rsidRDefault="0048267D" w:rsidP="0048267D">
            <w:pPr>
              <w:pStyle w:val="enumlev1"/>
            </w:pPr>
            <w:r w:rsidRPr="00015234">
              <w:t>16)</w:t>
            </w:r>
            <w:r w:rsidRPr="00015234">
              <w:tab/>
            </w:r>
            <w:r w:rsidR="000C18C1" w:rsidRPr="00015234">
              <w:t>Поддержка Государств-Членов в разработке усовершенствованных систем раннего предупреждения о различных видах бедствий (MHEWS) для обеспечения возможности эффективных предупреждений о стихийных бедствиях, таких как наводнения, землетрясения и штормы, и содействие принятию решений на основе данных для снижения риска бедствий.</w:t>
            </w:r>
          </w:p>
          <w:p w14:paraId="532E6DB9" w14:textId="1EBA56E8" w:rsidR="000C18C1" w:rsidRPr="00015234" w:rsidRDefault="0048267D" w:rsidP="00815388">
            <w:pPr>
              <w:pStyle w:val="enumlev1"/>
              <w:spacing w:after="80"/>
            </w:pPr>
            <w:r w:rsidRPr="00015234">
              <w:t>17)</w:t>
            </w:r>
            <w:r w:rsidRPr="00015234">
              <w:tab/>
            </w:r>
            <w:r w:rsidR="000C18C1" w:rsidRPr="00015234">
              <w:t>Обмен передовым опытом и руководящими материалами, а также проведение трансграничного и межсекторального анализа рисков на региональном уровне, включая тестирование отказоустойчивости.</w:t>
            </w:r>
          </w:p>
        </w:tc>
      </w:tr>
      <w:tr w:rsidR="000C18C1" w:rsidRPr="00015234" w14:paraId="79CCB7D8" w14:textId="77777777" w:rsidTr="00350A66">
        <w:trPr>
          <w:trHeight w:val="413"/>
        </w:trPr>
        <w:tc>
          <w:tcPr>
            <w:tcW w:w="9629" w:type="dxa"/>
            <w:vMerge w:val="restart"/>
          </w:tcPr>
          <w:p w14:paraId="6A0E7D0F" w14:textId="77777777" w:rsidR="000C18C1" w:rsidRPr="00015234" w:rsidRDefault="000C18C1" w:rsidP="0048267D">
            <w:pPr>
              <w:pStyle w:val="Headingb"/>
            </w:pPr>
            <w:r w:rsidRPr="00015234">
              <w:lastRenderedPageBreak/>
              <w:t>AFR2: Создание открытой для всех надежной экосистемы ИИ в Африке в интересах социально-экономического развития</w:t>
            </w:r>
          </w:p>
          <w:p w14:paraId="48E0A5CE" w14:textId="0976A4FB" w:rsidR="000C18C1" w:rsidRPr="00015234" w:rsidRDefault="000C18C1" w:rsidP="0048267D">
            <w:pPr>
              <w:rPr>
                <w:b/>
                <w:bCs/>
              </w:rPr>
            </w:pPr>
            <w:r w:rsidRPr="00015234">
              <w:rPr>
                <w:b/>
                <w:bCs/>
              </w:rPr>
              <w:t>Цель</w:t>
            </w:r>
            <w:r w:rsidRPr="00015234">
              <w:t>:</w:t>
            </w:r>
            <w:r w:rsidRPr="00015234">
              <w:rPr>
                <w:b/>
                <w:bCs/>
              </w:rPr>
              <w:t xml:space="preserve"> </w:t>
            </w:r>
            <w:r w:rsidRPr="00015234">
              <w:t>использовать преобразующую силу ИИ для решения проблем развития Африки и ускорить достижение ЦУР и целей, установленных в Повестке дня Африканского союза на период до 2063</w:t>
            </w:r>
            <w:r w:rsidR="00815388" w:rsidRPr="00015234">
              <w:t> </w:t>
            </w:r>
            <w:r w:rsidRPr="00015234">
              <w:t>года. Задействовать преимущества ИИ путем его внедрения в различных секторах, имеющих для Африки большое экономическое значение, обеспечивая при этом гарантии этичного использования ИИ всеми заинтересованными сторонами.</w:t>
            </w:r>
          </w:p>
          <w:p w14:paraId="6D45A540" w14:textId="77777777" w:rsidR="000C18C1" w:rsidRPr="00015234" w:rsidRDefault="000C18C1" w:rsidP="00815388">
            <w:pPr>
              <w:pStyle w:val="Headingb"/>
              <w:keepLines/>
              <w:pageBreakBefore/>
            </w:pPr>
            <w:r w:rsidRPr="00015234">
              <w:t>Ожидаемые результаты</w:t>
            </w:r>
            <w:r w:rsidRPr="00015234">
              <w:rPr>
                <w:b w:val="0"/>
                <w:bCs/>
              </w:rPr>
              <w:t>:</w:t>
            </w:r>
          </w:p>
          <w:p w14:paraId="23E18B27" w14:textId="75C3BBDD" w:rsidR="000C18C1" w:rsidRPr="00015234" w:rsidRDefault="00350A66" w:rsidP="00815388">
            <w:pPr>
              <w:pStyle w:val="enumlev1"/>
              <w:keepLines/>
              <w:spacing w:after="80"/>
            </w:pPr>
            <w:r w:rsidRPr="00015234">
              <w:t>1)</w:t>
            </w:r>
            <w:r w:rsidRPr="00015234">
              <w:tab/>
            </w:r>
            <w:r w:rsidR="000C18C1" w:rsidRPr="00015234">
              <w:t>Поддержка Государств-Членов в разработке национальных стратегий в области ИИ, направленных на содействие выполнению планов в области устойчивого развития.</w:t>
            </w:r>
          </w:p>
          <w:p w14:paraId="1EA4173C" w14:textId="710B0132" w:rsidR="000C18C1" w:rsidRPr="00015234" w:rsidRDefault="00350A66" w:rsidP="00350A66">
            <w:pPr>
              <w:pStyle w:val="enumlev1"/>
            </w:pPr>
            <w:r w:rsidRPr="00015234">
              <w:lastRenderedPageBreak/>
              <w:t>2)</w:t>
            </w:r>
            <w:r w:rsidRPr="00015234">
              <w:tab/>
            </w:r>
            <w:r w:rsidR="000C18C1" w:rsidRPr="00015234">
              <w:t>Разработка механизма для оценки текущих потенциальных рисков, связанных с внедрением ИИ в экономику стран Африки.</w:t>
            </w:r>
          </w:p>
          <w:p w14:paraId="181C17E4" w14:textId="4D0C2ABE" w:rsidR="000C18C1" w:rsidRPr="00015234" w:rsidRDefault="0048267D" w:rsidP="0048267D">
            <w:pPr>
              <w:pStyle w:val="enumlev1"/>
            </w:pPr>
            <w:r w:rsidRPr="00015234">
              <w:t>3)</w:t>
            </w:r>
            <w:r w:rsidRPr="00015234">
              <w:tab/>
            </w:r>
            <w:r w:rsidR="000C18C1" w:rsidRPr="00015234">
              <w:t>Разработка механизма для устранения и смягчения рисков, связанных с ИИ. Поддержка Государств-Членов в разработке национальных хартий этичного и ответственного использования технологий ИИ.</w:t>
            </w:r>
          </w:p>
          <w:p w14:paraId="08CD370F" w14:textId="4E39DB5E" w:rsidR="000C18C1" w:rsidRPr="00015234" w:rsidRDefault="0048267D" w:rsidP="0048267D">
            <w:pPr>
              <w:pStyle w:val="enumlev1"/>
            </w:pPr>
            <w:r w:rsidRPr="00015234">
              <w:t>4)</w:t>
            </w:r>
            <w:r w:rsidRPr="00015234">
              <w:tab/>
            </w:r>
            <w:r w:rsidR="000C18C1" w:rsidRPr="00015234">
              <w:t>Оказание Государствам-Членам поддержки в разработке всеобъемлющей структуры управления ИИ.</w:t>
            </w:r>
          </w:p>
          <w:p w14:paraId="43C5FAE3" w14:textId="6333D844" w:rsidR="000C18C1" w:rsidRPr="00015234" w:rsidRDefault="0048267D" w:rsidP="0048267D">
            <w:pPr>
              <w:pStyle w:val="enumlev1"/>
            </w:pPr>
            <w:r w:rsidRPr="00015234">
              <w:t>5)</w:t>
            </w:r>
            <w:r w:rsidRPr="00015234">
              <w:tab/>
            </w:r>
            <w:r w:rsidR="000C18C1" w:rsidRPr="00015234">
              <w:t xml:space="preserve">Принятие необходимых мер для поддержки разработки рамочных механизмов управления данными и формирования наборов данных, отражающих ситуацию в Африке. </w:t>
            </w:r>
          </w:p>
          <w:p w14:paraId="1D36B866" w14:textId="1CA176E6" w:rsidR="000C18C1" w:rsidRPr="00015234" w:rsidRDefault="0048267D" w:rsidP="0048267D">
            <w:pPr>
              <w:pStyle w:val="enumlev1"/>
            </w:pPr>
            <w:r w:rsidRPr="00015234">
              <w:t>6)</w:t>
            </w:r>
            <w:r w:rsidRPr="00015234">
              <w:tab/>
            </w:r>
            <w:r w:rsidR="000C18C1" w:rsidRPr="00015234">
              <w:t>Проведение оценки требований Государств-Членов в отношении инфраструктуры передачи данных.</w:t>
            </w:r>
          </w:p>
          <w:p w14:paraId="574CE40A" w14:textId="32DF88B8" w:rsidR="000C18C1" w:rsidRPr="00015234" w:rsidRDefault="0048267D" w:rsidP="0048267D">
            <w:pPr>
              <w:pStyle w:val="enumlev1"/>
            </w:pPr>
            <w:r w:rsidRPr="00015234">
              <w:t>7)</w:t>
            </w:r>
            <w:r w:rsidRPr="00015234">
              <w:tab/>
            </w:r>
            <w:r w:rsidR="000C18C1" w:rsidRPr="00015234">
              <w:t>Разработка общеконтинентальной программы повышения информированности граждан о потенциале позитивного влияния ИИ на их доходы и о рисках, которые могут быть с ним</w:t>
            </w:r>
            <w:r w:rsidR="00815388" w:rsidRPr="00015234">
              <w:t> </w:t>
            </w:r>
            <w:r w:rsidR="000C18C1" w:rsidRPr="00015234">
              <w:t>связаны.</w:t>
            </w:r>
          </w:p>
          <w:p w14:paraId="3BD53C4F" w14:textId="448CCA45" w:rsidR="000C18C1" w:rsidRPr="00015234" w:rsidRDefault="0048267D" w:rsidP="0048267D">
            <w:pPr>
              <w:pStyle w:val="enumlev1"/>
            </w:pPr>
            <w:r w:rsidRPr="00015234">
              <w:t>8)</w:t>
            </w:r>
            <w:r w:rsidRPr="00015234">
              <w:tab/>
            </w:r>
            <w:r w:rsidR="000C18C1" w:rsidRPr="00015234">
              <w:t>Оценка потребностей Государств-Членов в разработке учебной программы по ИИ в базовом и высшем образовании.</w:t>
            </w:r>
          </w:p>
          <w:p w14:paraId="7E777305" w14:textId="68388138" w:rsidR="000C18C1" w:rsidRPr="00015234" w:rsidRDefault="0048267D" w:rsidP="0048267D">
            <w:pPr>
              <w:pStyle w:val="enumlev1"/>
            </w:pPr>
            <w:r w:rsidRPr="00015234">
              <w:t>9)</w:t>
            </w:r>
            <w:r w:rsidRPr="00015234">
              <w:tab/>
            </w:r>
            <w:r w:rsidR="000C18C1" w:rsidRPr="00015234">
              <w:t>Разработка программ по созданию потенциала и грамотности в области ИИ для расширения возможностей государственных служащих в плане положительного влияния ИИ на их работу при предоставлении государственных услуг.</w:t>
            </w:r>
          </w:p>
          <w:p w14:paraId="47847C3B" w14:textId="67CF8B73" w:rsidR="000C18C1" w:rsidRPr="00015234" w:rsidRDefault="0048267D" w:rsidP="0048267D">
            <w:pPr>
              <w:pStyle w:val="enumlev1"/>
            </w:pPr>
            <w:r w:rsidRPr="00015234">
              <w:t>10)</w:t>
            </w:r>
            <w:r w:rsidRPr="00015234">
              <w:tab/>
            </w:r>
            <w:r w:rsidR="000C18C1" w:rsidRPr="00015234">
              <w:t>Поддержка создания региональных центров профессионального мастерства для проведения исследований по внедрению ИИ в секторах, имеющих большое экономическое значение для Африки (образование, здравоохранение, предоставление государственных услуг, сельское хозяйство, охрана окружающей среды и изменение климата, использование ИИ для содействия миру и безопасности). Создание сети центров профессионального мастерства в Африке и содействие использованию механизма сотрудничества для поощрения обмена знаниями и опытом.</w:t>
            </w:r>
          </w:p>
          <w:p w14:paraId="409EAF30" w14:textId="5AC23E79" w:rsidR="000C18C1" w:rsidRPr="00015234" w:rsidRDefault="0048267D" w:rsidP="0048267D">
            <w:pPr>
              <w:pStyle w:val="enumlev1"/>
            </w:pPr>
            <w:r w:rsidRPr="00015234">
              <w:t>11)</w:t>
            </w:r>
            <w:r w:rsidRPr="00015234">
              <w:tab/>
            </w:r>
            <w:r w:rsidR="000C18C1" w:rsidRPr="00015234">
              <w:t>Поддержка создания национальных инкубаторов для содействия развитию и популяризации ориентированных на ИИ стартапов и МСП.</w:t>
            </w:r>
          </w:p>
          <w:p w14:paraId="22B3906B" w14:textId="78281A3F" w:rsidR="000C18C1" w:rsidRPr="00015234" w:rsidRDefault="0048267D" w:rsidP="0048267D">
            <w:pPr>
              <w:pStyle w:val="enumlev1"/>
            </w:pPr>
            <w:r w:rsidRPr="00015234">
              <w:rPr>
                <w:lang w:eastAsia="en-GB"/>
              </w:rPr>
              <w:t>12)</w:t>
            </w:r>
            <w:r w:rsidRPr="00015234">
              <w:rPr>
                <w:lang w:eastAsia="en-GB"/>
              </w:rPr>
              <w:tab/>
            </w:r>
            <w:r w:rsidR="000C18C1" w:rsidRPr="00015234">
              <w:rPr>
                <w:lang w:eastAsia="en-GB"/>
              </w:rPr>
              <w:t xml:space="preserve">Разработка платформы для обмена знаниями на основе ИИ для содействия диалогу между региональными Государствами-Членами, а также содействие обмену данными, опытом и передовой практикой. Эта платформа может включать онлайновые форумы, хранилища знаний и совместные проекты для решения общих проблем. </w:t>
            </w:r>
          </w:p>
          <w:p w14:paraId="5DB81363" w14:textId="7CEB6A46" w:rsidR="000C18C1" w:rsidRPr="00015234" w:rsidRDefault="0048267D" w:rsidP="005C1253">
            <w:pPr>
              <w:pStyle w:val="enumlev1"/>
              <w:spacing w:after="80"/>
            </w:pPr>
            <w:r w:rsidRPr="00015234">
              <w:t>13)</w:t>
            </w:r>
            <w:r w:rsidRPr="00015234">
              <w:tab/>
            </w:r>
            <w:r w:rsidR="000C18C1" w:rsidRPr="00015234">
              <w:t>Создание регионального механизма и поддержка участия Африки в международных диалогах для обмена передовым опытом и экспертными знаниями по внедрению ИИ в</w:t>
            </w:r>
            <w:r w:rsidR="00815388" w:rsidRPr="00015234">
              <w:t> </w:t>
            </w:r>
            <w:r w:rsidR="000C18C1" w:rsidRPr="00015234">
              <w:t>экономику.</w:t>
            </w:r>
          </w:p>
        </w:tc>
      </w:tr>
      <w:tr w:rsidR="000C18C1" w:rsidRPr="00015234" w14:paraId="03CB747A" w14:textId="77777777" w:rsidTr="00350A66">
        <w:trPr>
          <w:trHeight w:val="533"/>
        </w:trPr>
        <w:tc>
          <w:tcPr>
            <w:tcW w:w="9629" w:type="dxa"/>
            <w:vMerge/>
          </w:tcPr>
          <w:p w14:paraId="3DB5D57A" w14:textId="77777777" w:rsidR="000C18C1" w:rsidRPr="00015234" w:rsidRDefault="000C18C1" w:rsidP="00350A66">
            <w:pPr>
              <w:spacing w:after="120"/>
              <w:rPr>
                <w:rFonts w:cstheme="minorHAnsi"/>
                <w:b/>
                <w:bCs/>
                <w:szCs w:val="24"/>
              </w:rPr>
            </w:pPr>
          </w:p>
        </w:tc>
      </w:tr>
      <w:tr w:rsidR="000C18C1" w:rsidRPr="00015234" w14:paraId="0C0D9D1E" w14:textId="77777777" w:rsidTr="00350A66">
        <w:tc>
          <w:tcPr>
            <w:tcW w:w="9629" w:type="dxa"/>
          </w:tcPr>
          <w:p w14:paraId="2F4026EA" w14:textId="77777777" w:rsidR="000C18C1" w:rsidRPr="00015234" w:rsidRDefault="000C18C1" w:rsidP="0048267D">
            <w:pPr>
              <w:pStyle w:val="Headingb"/>
            </w:pPr>
            <w:r w:rsidRPr="00015234">
              <w:t>AFR3: Укрепление доверия, безопасности и защищенности при использовании электросвязи/информационно-коммуникационных технологий, защита данных и конфиденциальность данных</w:t>
            </w:r>
          </w:p>
          <w:p w14:paraId="4B21BA7F" w14:textId="77777777" w:rsidR="000C18C1" w:rsidRPr="00015234" w:rsidRDefault="000C18C1" w:rsidP="005C1253">
            <w:r w:rsidRPr="00015234">
              <w:rPr>
                <w:b/>
              </w:rPr>
              <w:t>Цель:</w:t>
            </w:r>
            <w:r w:rsidRPr="00015234">
              <w:t xml:space="preserve"> помогать Государствам-Членам в разработке и реализации политики, стратегий, стандартов и механизмов, а также в развитии человеческого потенциала, защищать инфраструктуру и сети электросвязи и ИКТ от киберугроз и атак с целью защиты данных, людей и неприкосновенности частной жизни, включая уязвимые группы, такие как дети, и гарантировать доверие к цифровым технологиям. Повышать осведомленность общественности и обучать людей безопасным методам онлайновой практики, киберзащиты и защиты данных. Совершенствовать механизмы реагирования на инциденты и управления рисками в случае инцидентов кибербезопасности и </w:t>
            </w:r>
            <w:r w:rsidRPr="00015234">
              <w:lastRenderedPageBreak/>
              <w:t>утечек данных, с тем чтобы минимизировать ущерб и обеспечить непрерывность предоставления услуг. Укреплять партнерские отношения с заинтересованными сторонами со всего мира в целях обмена передовым опытом и сотрудничества для решения трансграничных проблем кибербезопасности и защиты данных.</w:t>
            </w:r>
          </w:p>
          <w:p w14:paraId="67FC6BA8" w14:textId="77777777" w:rsidR="000C18C1" w:rsidRPr="00015234" w:rsidRDefault="000C18C1" w:rsidP="0048267D">
            <w:pPr>
              <w:pStyle w:val="Headingb"/>
            </w:pPr>
            <w:r w:rsidRPr="00015234">
              <w:t>Ожидаемые результаты</w:t>
            </w:r>
            <w:r w:rsidRPr="00015234">
              <w:rPr>
                <w:b w:val="0"/>
                <w:bCs/>
              </w:rPr>
              <w:t>:</w:t>
            </w:r>
          </w:p>
          <w:p w14:paraId="59BAFDD9" w14:textId="0A927E46" w:rsidR="000C18C1" w:rsidRPr="00015234" w:rsidRDefault="0048267D" w:rsidP="0048267D">
            <w:pPr>
              <w:pStyle w:val="enumlev1"/>
            </w:pPr>
            <w:r w:rsidRPr="00015234">
              <w:t>1)</w:t>
            </w:r>
            <w:r w:rsidRPr="00015234">
              <w:tab/>
            </w:r>
            <w:r w:rsidR="000C18C1" w:rsidRPr="00015234">
              <w:t>Поддержка Государств-Членов в оценке принятия, разработки и реализации на национальном и региональном уровнях нормативно-правовой базы в области кибербезопасности, в которой рассматриваются вопросы конфиденциальности данных, защиты детей и этичного использования появляющихся технологий с учетом накопленного в мире передового опыта.</w:t>
            </w:r>
          </w:p>
          <w:p w14:paraId="75A9444C" w14:textId="4FDFEEA6" w:rsidR="000C18C1" w:rsidRPr="00015234" w:rsidRDefault="0048267D" w:rsidP="0048267D">
            <w:pPr>
              <w:pStyle w:val="enumlev1"/>
            </w:pPr>
            <w:r w:rsidRPr="00015234">
              <w:t>2)</w:t>
            </w:r>
            <w:r w:rsidRPr="00015234">
              <w:tab/>
            </w:r>
            <w:r w:rsidR="000C18C1" w:rsidRPr="00015234">
              <w:t>Разработка глобального рамочного механизма для сотрудничества и повышения информированности на региональном и субрегиональном уровнях в целях формирования глобальной культуры кибербезопасности и оказания помощи потребителям для более глубокого понимания рисков и защиты от них.</w:t>
            </w:r>
          </w:p>
          <w:p w14:paraId="79AE08F9" w14:textId="0140417C" w:rsidR="000C18C1" w:rsidRPr="00015234" w:rsidRDefault="0048267D" w:rsidP="0048267D">
            <w:pPr>
              <w:pStyle w:val="enumlev1"/>
            </w:pPr>
            <w:r w:rsidRPr="00015234">
              <w:t>3)</w:t>
            </w:r>
            <w:r w:rsidRPr="00015234">
              <w:tab/>
            </w:r>
            <w:r w:rsidR="000C18C1" w:rsidRPr="00015234">
              <w:t>Помощь в разработке контента и учебных материалов для информирования потребителей об их правах и обязанностях, связанных с защитой данных при совершении электронных и физических транзакций, а также в проведении кампаний по повышению осведомленности о киберугрозах, мерах кибербезопасности и качестве обслуживания при использовании</w:t>
            </w:r>
            <w:r w:rsidR="00815388" w:rsidRPr="00015234">
              <w:t> </w:t>
            </w:r>
            <w:r w:rsidR="000C18C1" w:rsidRPr="00015234">
              <w:t>ИКТ.</w:t>
            </w:r>
          </w:p>
          <w:p w14:paraId="249B31EB" w14:textId="68CFF93F" w:rsidR="000C18C1" w:rsidRPr="00015234" w:rsidRDefault="0048267D" w:rsidP="0048267D">
            <w:pPr>
              <w:pStyle w:val="enumlev1"/>
            </w:pPr>
            <w:r w:rsidRPr="00015234">
              <w:t>4)</w:t>
            </w:r>
            <w:r w:rsidRPr="00015234">
              <w:tab/>
            </w:r>
            <w:r w:rsidR="000C18C1" w:rsidRPr="00015234">
              <w:t>Поощрение обмена передовым опытом и знаниями между Государствами-Членами о механизмах борьбы с киберпреступностью и киберугрозами.</w:t>
            </w:r>
          </w:p>
          <w:p w14:paraId="70D6C8C7" w14:textId="201ED0A3" w:rsidR="000C18C1" w:rsidRPr="00015234" w:rsidRDefault="0048267D" w:rsidP="0048267D">
            <w:pPr>
              <w:pStyle w:val="enumlev1"/>
            </w:pPr>
            <w:r w:rsidRPr="00015234">
              <w:t>5)</w:t>
            </w:r>
            <w:r w:rsidRPr="00015234">
              <w:tab/>
            </w:r>
            <w:r w:rsidR="000C18C1" w:rsidRPr="00015234">
              <w:t>Помощь Государствам-Членам в создании, развитии и совершенствовании национальных групп реагирования на нарушения компьютерной защиты/компьютерные инциденты (CERT/CIRT) путем предоставления технической поддержки, создания потенциала и ресурсов для эффективного обнаружения, управления и смягчения последствий киберугроз, а также укрепления механизмов сотрудничества между ними на региональном и субрегиональном уровнях.</w:t>
            </w:r>
          </w:p>
          <w:p w14:paraId="7AE17446" w14:textId="63E6E364" w:rsidR="000C18C1" w:rsidRPr="00015234" w:rsidRDefault="0048267D" w:rsidP="0048267D">
            <w:pPr>
              <w:pStyle w:val="enumlev1"/>
            </w:pPr>
            <w:r w:rsidRPr="00015234">
              <w:t>6)</w:t>
            </w:r>
            <w:r w:rsidRPr="00015234">
              <w:tab/>
            </w:r>
            <w:r w:rsidR="000C18C1" w:rsidRPr="00015234">
              <w:t>Повышение и укрепление регионального доверия и безопасности при использовании информационно-коммуникационных технологий (ИКТ) с уделением первоочередного внимания созданию потенциала и поддержке принятия и согласования стандартов и особым упором на стандарты, поддерживающие защиту детей в онлайновой среде.</w:t>
            </w:r>
          </w:p>
          <w:p w14:paraId="3636968B" w14:textId="3E0E3656" w:rsidR="000C18C1" w:rsidRPr="00015234" w:rsidRDefault="0048267D" w:rsidP="0048267D">
            <w:pPr>
              <w:pStyle w:val="enumlev1"/>
            </w:pPr>
            <w:r w:rsidRPr="00015234">
              <w:t>7)</w:t>
            </w:r>
            <w:r w:rsidRPr="00015234">
              <w:tab/>
            </w:r>
            <w:r w:rsidR="000C18C1" w:rsidRPr="00015234">
              <w:t>Содействие созданию центров инноваций для стимулирования научно-исследовательских и опытно-конструкторских работ в области передовых технологий и решений в области кибербезопасности.</w:t>
            </w:r>
          </w:p>
          <w:p w14:paraId="673A28BD" w14:textId="113DBEC1" w:rsidR="000C18C1" w:rsidRPr="00015234" w:rsidRDefault="0048267D" w:rsidP="0048267D">
            <w:pPr>
              <w:pStyle w:val="enumlev1"/>
            </w:pPr>
            <w:r w:rsidRPr="00015234">
              <w:t>8)</w:t>
            </w:r>
            <w:r w:rsidRPr="00015234">
              <w:tab/>
            </w:r>
            <w:r w:rsidR="000C18C1" w:rsidRPr="00015234">
              <w:t>Поддержка Государств-Членов в укреплении способности к восстановлению в области кибербезопасности и управления при одновременном развитии инноваций и инклюзивности для укрепления национальной безопасности, экономического роста и социального прогресса.</w:t>
            </w:r>
          </w:p>
          <w:p w14:paraId="3D39B71F" w14:textId="19329959" w:rsidR="000C18C1" w:rsidRPr="00015234" w:rsidRDefault="0048267D" w:rsidP="0048267D">
            <w:pPr>
              <w:pStyle w:val="enumlev1"/>
            </w:pPr>
            <w:r w:rsidRPr="00015234">
              <w:t>9)</w:t>
            </w:r>
            <w:r w:rsidRPr="00015234">
              <w:tab/>
            </w:r>
            <w:r w:rsidR="000C18C1" w:rsidRPr="00015234">
              <w:t>Обеспечение безопасности цифровой экосистемы путем защиты цифровых платформ, способствующих развитию электронной коммерции, электронного правительства и охвата финансовыми услугами, а также защита важнейших отраслей (например, банковской деятельности, здравоохранения и образования) от киберугроз.</w:t>
            </w:r>
          </w:p>
          <w:p w14:paraId="6A32FFA5" w14:textId="78138330" w:rsidR="000C18C1" w:rsidRPr="00015234" w:rsidRDefault="0048267D" w:rsidP="00815388">
            <w:pPr>
              <w:pStyle w:val="enumlev1"/>
              <w:spacing w:after="80"/>
            </w:pPr>
            <w:r w:rsidRPr="00015234">
              <w:t>10)</w:t>
            </w:r>
            <w:r w:rsidRPr="00015234">
              <w:tab/>
            </w:r>
            <w:r w:rsidR="000C18C1" w:rsidRPr="00015234">
              <w:t>Выработка ключевых стандартов и мер для защиты детей в онлайновой среде, включая правовые и регуляторные меры и техническую защиту, например системы подтверждения возраста, родительский контроль, шифрование и безопасность данных.</w:t>
            </w:r>
          </w:p>
          <w:p w14:paraId="41863F8C" w14:textId="541199CB" w:rsidR="000C18C1" w:rsidRPr="00015234" w:rsidRDefault="0048267D" w:rsidP="0048267D">
            <w:pPr>
              <w:pStyle w:val="enumlev1"/>
            </w:pPr>
            <w:r w:rsidRPr="00015234">
              <w:lastRenderedPageBreak/>
              <w:t>11)</w:t>
            </w:r>
            <w:r w:rsidRPr="00015234">
              <w:tab/>
            </w:r>
            <w:r w:rsidR="000C18C1" w:rsidRPr="00015234">
              <w:t>Важнейшая сетевая инфраструктура – например, коммунальные услуги, электроснабжение, водоснабжение и электросвязь – имеет жизненно важное значение для национальной безопасности, экономической стабильности и общественной безопасности. Усиление защиты этих систем имеет существенное значение, поскольку они часто становятся мишенью для кибератак, стихийных бедствий и физических диверсий.</w:t>
            </w:r>
          </w:p>
          <w:p w14:paraId="5640B932" w14:textId="5D786866" w:rsidR="000C18C1" w:rsidRPr="00015234" w:rsidRDefault="0048267D" w:rsidP="00815388">
            <w:pPr>
              <w:pStyle w:val="enumlev1"/>
              <w:spacing w:after="80"/>
            </w:pPr>
            <w:r w:rsidRPr="00015234">
              <w:t>12)</w:t>
            </w:r>
            <w:r w:rsidRPr="00015234">
              <w:tab/>
            </w:r>
            <w:r w:rsidR="000C18C1" w:rsidRPr="00015234">
              <w:t xml:space="preserve">Обеспечение наличия законов и нормативных актов, которые должны предоставлять жертвам киберугроз </w:t>
            </w:r>
            <w:r w:rsidR="000C18C1" w:rsidRPr="00015234">
              <w:rPr>
                <w:b/>
                <w:bCs/>
              </w:rPr>
              <w:t>возможность обращения в суды и защиту</w:t>
            </w:r>
            <w:r w:rsidR="000C18C1" w:rsidRPr="00015234">
              <w:t xml:space="preserve"> (например, право сообщать о киберпреступлениях, требовать компенсации и восстанавливать данные).</w:t>
            </w:r>
          </w:p>
        </w:tc>
      </w:tr>
      <w:tr w:rsidR="000C18C1" w:rsidRPr="00015234" w14:paraId="7B95FA88" w14:textId="77777777" w:rsidTr="00350A66">
        <w:tc>
          <w:tcPr>
            <w:tcW w:w="9629" w:type="dxa"/>
          </w:tcPr>
          <w:p w14:paraId="0151353C" w14:textId="77777777" w:rsidR="000C18C1" w:rsidRPr="00015234" w:rsidRDefault="000C18C1" w:rsidP="0048267D">
            <w:pPr>
              <w:pStyle w:val="Headingb"/>
            </w:pPr>
            <w:r w:rsidRPr="00015234">
              <w:lastRenderedPageBreak/>
              <w:t>AFR4: Приложения цифровой инфраструктуры, развитие МСП, а также появляющиеся технологии и инновационные экосистемы</w:t>
            </w:r>
          </w:p>
          <w:p w14:paraId="2373EE27" w14:textId="2E957A94" w:rsidR="000C18C1" w:rsidRPr="00015234" w:rsidRDefault="000C18C1" w:rsidP="0048267D">
            <w:r w:rsidRPr="00015234">
              <w:rPr>
                <w:b/>
              </w:rPr>
              <w:t>Цель</w:t>
            </w:r>
            <w:r w:rsidRPr="00015234">
              <w:rPr>
                <w:bCs/>
              </w:rPr>
              <w:t>:</w:t>
            </w:r>
            <w:r w:rsidRPr="00015234">
              <w:rPr>
                <w:b/>
              </w:rPr>
              <w:t xml:space="preserve"> </w:t>
            </w:r>
            <w:r w:rsidRPr="00015234">
              <w:t>содействовать развитию благоприятной экосистемы цифровых инноваций, которая могла бы функционировать в условиях технологических революций, а также созданию устойчивой благоприятной среды для использования появляющихся технологий и развития МСМП и</w:t>
            </w:r>
            <w:r w:rsidR="00DD01C8" w:rsidRPr="00015234">
              <w:t> </w:t>
            </w:r>
            <w:r w:rsidRPr="00015234">
              <w:t>стартапов.</w:t>
            </w:r>
          </w:p>
          <w:p w14:paraId="31842038" w14:textId="77777777" w:rsidR="000C18C1" w:rsidRPr="00015234" w:rsidRDefault="000C18C1" w:rsidP="0048267D">
            <w:pPr>
              <w:pStyle w:val="Headingb"/>
            </w:pPr>
            <w:r w:rsidRPr="00015234">
              <w:t>Ожидаемые результаты</w:t>
            </w:r>
            <w:r w:rsidRPr="00015234">
              <w:rPr>
                <w:b w:val="0"/>
                <w:bCs/>
              </w:rPr>
              <w:t>:</w:t>
            </w:r>
          </w:p>
          <w:p w14:paraId="34D4BF5A" w14:textId="33727DF4" w:rsidR="000C18C1" w:rsidRPr="00015234" w:rsidRDefault="0048267D" w:rsidP="0048267D">
            <w:pPr>
              <w:pStyle w:val="enumlev1"/>
            </w:pPr>
            <w:r w:rsidRPr="00015234">
              <w:t>1)</w:t>
            </w:r>
            <w:r w:rsidRPr="00015234">
              <w:tab/>
            </w:r>
            <w:r w:rsidR="000C18C1" w:rsidRPr="00015234">
              <w:t>Помощь в проведении комплексной оценки человеческого и институционального потенциала и регуляторной среды, связанных с цифровыми инновациями, появляющимися технологиями и МСМП, на национальном и региональном уровнях.</w:t>
            </w:r>
          </w:p>
          <w:p w14:paraId="60BDA7F6" w14:textId="11E538F2" w:rsidR="000C18C1" w:rsidRPr="00015234" w:rsidRDefault="0048267D" w:rsidP="0048267D">
            <w:pPr>
              <w:pStyle w:val="enumlev1"/>
            </w:pPr>
            <w:r w:rsidRPr="00015234">
              <w:t>2)</w:t>
            </w:r>
            <w:r w:rsidRPr="00015234">
              <w:tab/>
            </w:r>
            <w:r w:rsidR="000C18C1" w:rsidRPr="00015234">
              <w:t>Поддержка Государств-Членов в разработке необходимой нормативно-правовой базы для стимулирования цифровых отраслей, развития инноваций и создания МСМП.</w:t>
            </w:r>
          </w:p>
          <w:p w14:paraId="66E17CC4" w14:textId="054D6F78" w:rsidR="000C18C1" w:rsidRPr="00015234" w:rsidRDefault="0048267D" w:rsidP="0048267D">
            <w:pPr>
              <w:pStyle w:val="enumlev1"/>
            </w:pPr>
            <w:r w:rsidRPr="00015234">
              <w:t>3)</w:t>
            </w:r>
            <w:r w:rsidRPr="00015234">
              <w:tab/>
            </w:r>
            <w:r w:rsidR="000C18C1" w:rsidRPr="00015234">
              <w:t>Помощь в разработке и внедрении национальных стратегий и инфраструктур, таких как лаборатории инноваций и исследований, для обеспечения использования появляющихся технологий в различных секторах экономики.</w:t>
            </w:r>
          </w:p>
          <w:p w14:paraId="737C5F0A" w14:textId="06B9F7EC" w:rsidR="000C18C1" w:rsidRPr="00015234" w:rsidRDefault="0048267D" w:rsidP="0048267D">
            <w:pPr>
              <w:pStyle w:val="enumlev1"/>
            </w:pPr>
            <w:r w:rsidRPr="00015234">
              <w:t>4)</w:t>
            </w:r>
            <w:r w:rsidRPr="00015234">
              <w:tab/>
            </w:r>
            <w:r w:rsidR="000C18C1" w:rsidRPr="00015234">
              <w:t>Поддержка в расширении масштабов цифрового предпринимательства и МСП в рамках глобальных партнерств, ориентированных на реализацию национальных приоритетов в области развития и разработку финансовых моделей с целью обеспечения необходимых инвестиций для бесперебойного развития и развертывания появляющихся технологий.</w:t>
            </w:r>
          </w:p>
          <w:p w14:paraId="0556FBCC" w14:textId="2768BFBD" w:rsidR="000C18C1" w:rsidRPr="00015234" w:rsidRDefault="0048267D" w:rsidP="0048267D">
            <w:pPr>
              <w:pStyle w:val="enumlev1"/>
            </w:pPr>
            <w:r w:rsidRPr="00015234">
              <w:t>5)</w:t>
            </w:r>
            <w:r w:rsidRPr="00015234">
              <w:tab/>
            </w:r>
            <w:r w:rsidR="000C18C1" w:rsidRPr="00015234">
              <w:t>Разработка комплексной системы наращивания человеческого потенциала для повышения квалификации и переподготовки специалистов, связанных с появляющимися технологиями и цифровыми инновациями.</w:t>
            </w:r>
          </w:p>
          <w:p w14:paraId="750669A5" w14:textId="78906AD2" w:rsidR="000C18C1" w:rsidRPr="00015234" w:rsidRDefault="0048267D" w:rsidP="0048267D">
            <w:pPr>
              <w:pStyle w:val="enumlev1"/>
            </w:pPr>
            <w:r w:rsidRPr="00015234">
              <w:t>6)</w:t>
            </w:r>
            <w:r w:rsidRPr="00015234">
              <w:tab/>
            </w:r>
            <w:r w:rsidR="000C18C1" w:rsidRPr="00015234">
              <w:t>Повышение осведомленности о важности охраны интеллектуальной собственности (ИС) и разработка соответствующей нормативно-правовой базы.</w:t>
            </w:r>
          </w:p>
          <w:p w14:paraId="120FC30C" w14:textId="549E8CB6" w:rsidR="000C18C1" w:rsidRPr="00015234" w:rsidRDefault="0048267D" w:rsidP="0048267D">
            <w:pPr>
              <w:pStyle w:val="enumlev1"/>
              <w:rPr>
                <w:kern w:val="2"/>
                <w14:ligatures w14:val="standardContextual"/>
              </w:rPr>
            </w:pPr>
            <w:r w:rsidRPr="00015234">
              <w:rPr>
                <w:kern w:val="2"/>
                <w14:ligatures w14:val="standardContextual"/>
              </w:rPr>
              <w:t>7)</w:t>
            </w:r>
            <w:r w:rsidRPr="00015234">
              <w:rPr>
                <w:kern w:val="2"/>
                <w14:ligatures w14:val="standardContextual"/>
              </w:rPr>
              <w:tab/>
            </w:r>
            <w:r w:rsidR="000C18C1" w:rsidRPr="00015234">
              <w:rPr>
                <w:kern w:val="2"/>
                <w14:ligatures w14:val="standardContextual"/>
              </w:rPr>
              <w:t>Проведение перспективных исследований, которые укрепляют экосистемы цифровых инноваций и помогают странам раскрыть потенциал цифровой экономики, в том числе в рамках сотрудничества с академическими учреждениями, исследовательскими центрами и информационными центрами.</w:t>
            </w:r>
          </w:p>
          <w:p w14:paraId="01BA709D" w14:textId="575EE27A" w:rsidR="000C18C1" w:rsidRPr="00015234" w:rsidRDefault="0048267D" w:rsidP="0048267D">
            <w:pPr>
              <w:pStyle w:val="enumlev1"/>
              <w:rPr>
                <w:kern w:val="2"/>
                <w14:ligatures w14:val="standardContextual"/>
              </w:rPr>
            </w:pPr>
            <w:r w:rsidRPr="00015234">
              <w:rPr>
                <w:kern w:val="2"/>
                <w14:ligatures w14:val="standardContextual"/>
              </w:rPr>
              <w:t>8)</w:t>
            </w:r>
            <w:r w:rsidRPr="00015234">
              <w:rPr>
                <w:kern w:val="2"/>
                <w14:ligatures w14:val="standardContextual"/>
              </w:rPr>
              <w:tab/>
            </w:r>
            <w:r w:rsidR="000C18C1" w:rsidRPr="00015234">
              <w:rPr>
                <w:kern w:val="2"/>
                <w14:ligatures w14:val="standardContextual"/>
              </w:rPr>
              <w:t>Поддержка развития центров ускорения деятельности МСЭ в странах и вовлечение их в усилия по ускорению осуществления региональных инициатив и их реализации.</w:t>
            </w:r>
          </w:p>
          <w:p w14:paraId="687EF4EC" w14:textId="64786857" w:rsidR="000C18C1" w:rsidRPr="00015234" w:rsidRDefault="0048267D" w:rsidP="0048267D">
            <w:pPr>
              <w:pStyle w:val="enumlev1"/>
              <w:rPr>
                <w:kern w:val="2"/>
                <w14:ligatures w14:val="standardContextual"/>
              </w:rPr>
            </w:pPr>
            <w:r w:rsidRPr="00015234">
              <w:rPr>
                <w:kern w:val="2"/>
                <w14:ligatures w14:val="standardContextual"/>
              </w:rPr>
              <w:t>9)</w:t>
            </w:r>
            <w:r w:rsidRPr="00015234">
              <w:rPr>
                <w:kern w:val="2"/>
                <w14:ligatures w14:val="standardContextual"/>
              </w:rPr>
              <w:tab/>
            </w:r>
            <w:r w:rsidR="000C18C1" w:rsidRPr="00015234">
              <w:rPr>
                <w:kern w:val="2"/>
                <w14:ligatures w14:val="standardContextual"/>
              </w:rPr>
              <w:t>Использование форматов региональных центров стимулирования инициатив и инноваций, разработанные Альянсом инноваций и предпринимательства, для поддержки реализации региональных инициатив.</w:t>
            </w:r>
          </w:p>
          <w:p w14:paraId="69870349" w14:textId="378C43CD" w:rsidR="000C18C1" w:rsidRPr="00015234" w:rsidRDefault="0048267D" w:rsidP="00815388">
            <w:pPr>
              <w:pStyle w:val="enumlev1"/>
              <w:spacing w:after="80"/>
              <w:rPr>
                <w:kern w:val="2"/>
                <w14:ligatures w14:val="standardContextual"/>
              </w:rPr>
            </w:pPr>
            <w:r w:rsidRPr="00015234">
              <w:t>10)</w:t>
            </w:r>
            <w:r w:rsidRPr="00015234">
              <w:tab/>
            </w:r>
            <w:r w:rsidR="000C18C1" w:rsidRPr="00015234">
              <w:t>Оказание помощи в создании центров профессионального мастерства и инкубаторов для помощи в формировании и развитии инновационных идей и стартапов в Африке.</w:t>
            </w:r>
          </w:p>
        </w:tc>
      </w:tr>
      <w:tr w:rsidR="000C18C1" w:rsidRPr="00015234" w14:paraId="4E25758F" w14:textId="77777777" w:rsidTr="00350A66">
        <w:tc>
          <w:tcPr>
            <w:tcW w:w="9629" w:type="dxa"/>
          </w:tcPr>
          <w:p w14:paraId="43B92CA4" w14:textId="77777777" w:rsidR="000C18C1" w:rsidRPr="00015234" w:rsidRDefault="000C18C1" w:rsidP="00D83B79">
            <w:pPr>
              <w:pStyle w:val="Headingb"/>
              <w:keepNext w:val="0"/>
              <w:rPr>
                <w:rtl/>
                <w:lang w:bidi="ar-EG"/>
              </w:rPr>
            </w:pPr>
            <w:r w:rsidRPr="00015234">
              <w:lastRenderedPageBreak/>
              <w:t>AFR5: Устойчивые механизмы финансирования цифровой трансформации Африки</w:t>
            </w:r>
          </w:p>
          <w:p w14:paraId="31F26586" w14:textId="3720992A" w:rsidR="000C18C1" w:rsidRPr="00015234" w:rsidRDefault="000C18C1" w:rsidP="00D83B79">
            <w:r w:rsidRPr="00015234">
              <w:rPr>
                <w:b/>
                <w:bCs/>
              </w:rPr>
              <w:t>Цель</w:t>
            </w:r>
            <w:r w:rsidRPr="00015234">
              <w:t>: создать устойчивый механизм финансирования для поддержки реализации общих африканских инициатив и ускорения процесса цифровой трансформации в Африке путем мобилизации различных источников финансирования и привлечения долгосрочных инвестиций в цифровую инфраструктуру и появляющиеся технологии.</w:t>
            </w:r>
          </w:p>
          <w:p w14:paraId="3B2D8645" w14:textId="77777777" w:rsidR="000C18C1" w:rsidRPr="00015234" w:rsidRDefault="000C18C1" w:rsidP="00D83B79">
            <w:pPr>
              <w:pStyle w:val="Headingb"/>
              <w:keepNext w:val="0"/>
            </w:pPr>
            <w:r w:rsidRPr="00015234">
              <w:t>Ожидаемые результаты</w:t>
            </w:r>
            <w:r w:rsidRPr="00015234">
              <w:rPr>
                <w:b w:val="0"/>
                <w:bCs/>
              </w:rPr>
              <w:t>:</w:t>
            </w:r>
          </w:p>
          <w:p w14:paraId="5C84CE92" w14:textId="55693052" w:rsidR="000C18C1" w:rsidRPr="00015234" w:rsidRDefault="0048267D" w:rsidP="00D83B79">
            <w:pPr>
              <w:pStyle w:val="enumlev1"/>
            </w:pPr>
            <w:r w:rsidRPr="00015234">
              <w:t>1)</w:t>
            </w:r>
            <w:r w:rsidRPr="00015234">
              <w:tab/>
            </w:r>
            <w:r w:rsidR="000C18C1" w:rsidRPr="00015234">
              <w:t>Создание постоянной платформы для содействия диалогу между правительствами, частным сектором и международными организациями в целях поощрения совместного финансирования цифровых инициатив.</w:t>
            </w:r>
          </w:p>
          <w:p w14:paraId="6DF59825" w14:textId="6E233F01" w:rsidR="000C18C1" w:rsidRPr="00015234" w:rsidRDefault="0048267D" w:rsidP="00D83B79">
            <w:pPr>
              <w:pStyle w:val="enumlev1"/>
            </w:pPr>
            <w:r w:rsidRPr="00015234">
              <w:t>2)</w:t>
            </w:r>
            <w:r w:rsidRPr="00015234">
              <w:tab/>
            </w:r>
            <w:r w:rsidR="000C18C1" w:rsidRPr="00015234">
              <w:t>Разработка механизма сотрудничества с международными партнерами в области развития и финансирующими банками в целях инвестирования в проекты в области ИКТ, вносящие вклад в развитие на субрегиональном уровне в Африке.</w:t>
            </w:r>
          </w:p>
          <w:p w14:paraId="01DAACDF" w14:textId="5934FDA7" w:rsidR="000C18C1" w:rsidRPr="00015234" w:rsidRDefault="0048267D" w:rsidP="00D83B79">
            <w:pPr>
              <w:pStyle w:val="enumlev1"/>
            </w:pPr>
            <w:r w:rsidRPr="00015234">
              <w:t>3)</w:t>
            </w:r>
            <w:r w:rsidRPr="00015234">
              <w:tab/>
            </w:r>
            <w:r w:rsidR="000C18C1" w:rsidRPr="00015234">
              <w:t>Создание Координационного рамочного механизма цифровых инвестиций (CDIF), который будет выступать в качестве структурированного механизма согласования стратегий финансирования между правительствами, инвесторами из частного сектора, банками развития и международными организациями.</w:t>
            </w:r>
          </w:p>
          <w:p w14:paraId="3D268A01" w14:textId="266A19D6" w:rsidR="000C18C1" w:rsidRPr="00015234" w:rsidRDefault="0048267D" w:rsidP="00D83B79">
            <w:pPr>
              <w:pStyle w:val="enumlev1"/>
            </w:pPr>
            <w:r w:rsidRPr="00015234">
              <w:t>4)</w:t>
            </w:r>
            <w:r w:rsidRPr="00015234">
              <w:tab/>
            </w:r>
            <w:r w:rsidR="000C18C1" w:rsidRPr="00015234">
              <w:t>Поддержка создания специализированного фонда для поддержки цифровых проектов в сотрудничестве с африканскими региональными организациями и инвестиционными банками для поддержки трансграничных цифровых проектов и взаимных инвестиций.</w:t>
            </w:r>
          </w:p>
          <w:p w14:paraId="0A891B8A" w14:textId="779456B9" w:rsidR="000C18C1" w:rsidRPr="00015234" w:rsidRDefault="0048267D" w:rsidP="00D83B79">
            <w:pPr>
              <w:pStyle w:val="enumlev1"/>
            </w:pPr>
            <w:r w:rsidRPr="00015234">
              <w:t>5)</w:t>
            </w:r>
            <w:r w:rsidRPr="00015234">
              <w:tab/>
            </w:r>
            <w:r w:rsidR="000C18C1" w:rsidRPr="00015234">
              <w:t>Создание специализированных фондов с помощью государственных бюджетов, цифровых налогов и фондов универсального обслуживания (USF) для стимулирования роста инфраструктуры ИКТ.</w:t>
            </w:r>
          </w:p>
          <w:p w14:paraId="48F23913" w14:textId="25CCE332" w:rsidR="000C18C1" w:rsidRPr="00015234" w:rsidRDefault="0048267D" w:rsidP="00D83B79">
            <w:pPr>
              <w:pStyle w:val="enumlev1"/>
            </w:pPr>
            <w:r w:rsidRPr="00015234">
              <w:t>6)</w:t>
            </w:r>
            <w:r w:rsidRPr="00015234">
              <w:tab/>
            </w:r>
            <w:r w:rsidR="000C18C1" w:rsidRPr="00015234">
              <w:t>Внедрение механизма комплексного мониторинга и оценки для отслеживания хода реализации региональных цифровых инициатив. Следует проводить регулярные оценки для определения уровня реализации, выявления проблем и обмена ключевыми</w:t>
            </w:r>
            <w:r w:rsidR="00815388" w:rsidRPr="00015234">
              <w:t> </w:t>
            </w:r>
            <w:r w:rsidR="000C18C1" w:rsidRPr="00015234">
              <w:t>выводами.</w:t>
            </w:r>
          </w:p>
          <w:p w14:paraId="0F8473BC" w14:textId="4034B169" w:rsidR="000C18C1" w:rsidRPr="00015234" w:rsidRDefault="0048267D" w:rsidP="00D83B79">
            <w:pPr>
              <w:pStyle w:val="enumlev1"/>
            </w:pPr>
            <w:r w:rsidRPr="00015234">
              <w:t>7)</w:t>
            </w:r>
            <w:r w:rsidRPr="00015234">
              <w:tab/>
            </w:r>
            <w:r w:rsidR="000C18C1" w:rsidRPr="00015234">
              <w:t>Содействие расширению деятельности местных стартапов и технологических центров по всей Африке; на фоне улучшения доступа к финансированию и ресурсам будут разрабатываться инновационные и масштабируемые цифровые решения для урегулирования важнейших проблем в таких областях, как здравоохранение, образование, сельское хозяйство и финансы.</w:t>
            </w:r>
          </w:p>
          <w:p w14:paraId="6758A100" w14:textId="4086D51F" w:rsidR="000C18C1" w:rsidRPr="00015234" w:rsidRDefault="0048267D" w:rsidP="00815388">
            <w:pPr>
              <w:pStyle w:val="enumlev1"/>
              <w:spacing w:after="80"/>
            </w:pPr>
            <w:r w:rsidRPr="00015234">
              <w:t>8)</w:t>
            </w:r>
            <w:r w:rsidRPr="00015234">
              <w:tab/>
            </w:r>
            <w:r w:rsidR="000C18C1" w:rsidRPr="00015234">
              <w:t>Разработка специализированной рамочной основы для предоставления финансовой и технической поддержки развивающимся странам с уделением особого внимания НРС, ЛЛДС и СИДС; поддержка развития регионального и международного сотрудничества и поощрение партнерских проектов с целью обмена знаниями, опытом и инновационными решениями для цифровой трансформации.</w:t>
            </w:r>
          </w:p>
        </w:tc>
      </w:tr>
    </w:tbl>
    <w:p w14:paraId="1FF1516C" w14:textId="226A8444" w:rsidR="0069537D" w:rsidRPr="00015234" w:rsidRDefault="003C58BF" w:rsidP="00350A66">
      <w:pPr>
        <w:tabs>
          <w:tab w:val="clear" w:pos="794"/>
          <w:tab w:val="clear" w:pos="1191"/>
          <w:tab w:val="clear" w:pos="1588"/>
          <w:tab w:val="clear" w:pos="1985"/>
        </w:tabs>
        <w:spacing w:before="720"/>
        <w:jc w:val="center"/>
      </w:pPr>
      <w:bookmarkStart w:id="10" w:name="Proposal"/>
      <w:bookmarkEnd w:id="10"/>
      <w:r w:rsidRPr="00015234">
        <w:t>_____________</w:t>
      </w:r>
      <w:r w:rsidR="004122C5" w:rsidRPr="00015234">
        <w:t>_</w:t>
      </w:r>
      <w:r w:rsidR="00922EC1" w:rsidRPr="00015234">
        <w:t>_</w:t>
      </w:r>
    </w:p>
    <w:sectPr w:rsidR="0069537D" w:rsidRPr="00015234" w:rsidSect="009D2668">
      <w:headerReference w:type="default" r:id="rId47"/>
      <w:footerReference w:type="first" r:id="rId48"/>
      <w:pgSz w:w="11907" w:h="16834" w:code="9"/>
      <w:pgMar w:top="1418" w:right="1134" w:bottom="1418" w:left="1134" w:header="567" w:footer="567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1EE46" w14:textId="77777777" w:rsidR="00BB58A2" w:rsidRDefault="00BB58A2">
      <w:r>
        <w:separator/>
      </w:r>
    </w:p>
  </w:endnote>
  <w:endnote w:type="continuationSeparator" w:id="0">
    <w:p w14:paraId="01702878" w14:textId="77777777" w:rsidR="00BB58A2" w:rsidRDefault="00BB58A2">
      <w:r>
        <w:continuationSeparator/>
      </w:r>
    </w:p>
  </w:endnote>
  <w:endnote w:type="continuationNotice" w:id="1">
    <w:p w14:paraId="4753DB68" w14:textId="77777777" w:rsidR="00BB58A2" w:rsidRDefault="00BB58A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Look w:val="04A0" w:firstRow="1" w:lastRow="0" w:firstColumn="1" w:lastColumn="0" w:noHBand="0" w:noVBand="1"/>
    </w:tblPr>
    <w:tblGrid>
      <w:gridCol w:w="1526"/>
      <w:gridCol w:w="3152"/>
      <w:gridCol w:w="4961"/>
    </w:tblGrid>
    <w:tr w:rsidR="00CE598B" w:rsidRPr="004D495C" w14:paraId="695D1810" w14:textId="77777777" w:rsidTr="009D2668">
      <w:tc>
        <w:tcPr>
          <w:tcW w:w="1526" w:type="dxa"/>
          <w:tcBorders>
            <w:top w:val="single" w:sz="4" w:space="0" w:color="000000"/>
          </w:tcBorders>
          <w:shd w:val="clear" w:color="auto" w:fill="auto"/>
        </w:tcPr>
        <w:p w14:paraId="746E5A61" w14:textId="4B10825B" w:rsidR="00CE598B" w:rsidRPr="004D495C" w:rsidRDefault="004C2ACF" w:rsidP="00CE598B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>
            <w:rPr>
              <w:sz w:val="18"/>
              <w:szCs w:val="18"/>
              <w:lang w:val="ru-RU"/>
            </w:rPr>
            <w:t>Для контактов</w:t>
          </w:r>
          <w:r w:rsidR="00CE598B" w:rsidRPr="004D495C">
            <w:rPr>
              <w:sz w:val="18"/>
              <w:szCs w:val="18"/>
              <w:lang w:val="en-US"/>
            </w:rPr>
            <w:t>:</w:t>
          </w:r>
        </w:p>
      </w:tc>
      <w:tc>
        <w:tcPr>
          <w:tcW w:w="3152" w:type="dxa"/>
          <w:tcBorders>
            <w:top w:val="single" w:sz="4" w:space="0" w:color="000000"/>
          </w:tcBorders>
          <w:shd w:val="clear" w:color="auto" w:fill="auto"/>
        </w:tcPr>
        <w:p w14:paraId="488E41E2" w14:textId="2010BA87" w:rsidR="00CE598B" w:rsidRPr="004D495C" w:rsidRDefault="00CE598B" w:rsidP="00CE598B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CE598B">
            <w:rPr>
              <w:sz w:val="18"/>
              <w:szCs w:val="18"/>
              <w:lang w:val="ru-RU"/>
            </w:rPr>
            <w:t>Фамилия/организация/объединение</w:t>
          </w:r>
          <w:r w:rsidRPr="004A7698">
            <w:rPr>
              <w:sz w:val="18"/>
              <w:szCs w:val="18"/>
            </w:rPr>
            <w:t>:</w:t>
          </w:r>
        </w:p>
      </w:tc>
      <w:tc>
        <w:tcPr>
          <w:tcW w:w="4961" w:type="dxa"/>
          <w:tcBorders>
            <w:top w:val="single" w:sz="4" w:space="0" w:color="000000"/>
          </w:tcBorders>
        </w:tcPr>
        <w:p w14:paraId="148264AE" w14:textId="1CE20B0B" w:rsidR="00CE598B" w:rsidRPr="000C18C1" w:rsidRDefault="00307F9B" w:rsidP="00CE598B">
          <w:pPr>
            <w:pStyle w:val="FirstFooter"/>
            <w:tabs>
              <w:tab w:val="left" w:pos="2302"/>
            </w:tabs>
            <w:rPr>
              <w:sz w:val="18"/>
              <w:szCs w:val="18"/>
              <w:lang w:val="ru-RU"/>
            </w:rPr>
          </w:pPr>
          <w:r>
            <w:rPr>
              <w:color w:val="000000" w:themeColor="text1"/>
              <w:sz w:val="18"/>
              <w:szCs w:val="18"/>
              <w:lang w:val="ru-RU"/>
            </w:rPr>
            <w:t>г</w:t>
          </w:r>
          <w:r w:rsidR="000C18C1" w:rsidRPr="002C5397">
            <w:rPr>
              <w:color w:val="000000" w:themeColor="text1"/>
              <w:sz w:val="18"/>
              <w:szCs w:val="18"/>
              <w:lang w:val="ru-RU"/>
            </w:rPr>
            <w:t>-</w:t>
          </w:r>
          <w:r w:rsidR="000C18C1">
            <w:rPr>
              <w:color w:val="000000" w:themeColor="text1"/>
              <w:sz w:val="18"/>
              <w:szCs w:val="18"/>
              <w:lang w:val="ru-RU"/>
            </w:rPr>
            <w:t>н</w:t>
          </w:r>
          <w:r w:rsidR="000C18C1" w:rsidRPr="002C5397">
            <w:rPr>
              <w:color w:val="000000" w:themeColor="text1"/>
              <w:sz w:val="18"/>
              <w:szCs w:val="18"/>
              <w:lang w:val="ru-RU"/>
            </w:rPr>
            <w:t xml:space="preserve"> </w:t>
          </w:r>
          <w:r w:rsidR="000C18C1">
            <w:rPr>
              <w:color w:val="000000" w:themeColor="text1"/>
              <w:sz w:val="18"/>
              <w:szCs w:val="18"/>
              <w:lang w:val="ru-RU"/>
            </w:rPr>
            <w:t>Дэвид</w:t>
          </w:r>
          <w:r w:rsidR="000C18C1" w:rsidRPr="002C5397">
            <w:rPr>
              <w:color w:val="000000" w:themeColor="text1"/>
              <w:sz w:val="18"/>
              <w:szCs w:val="18"/>
              <w:lang w:val="ru-RU"/>
            </w:rPr>
            <w:t xml:space="preserve"> </w:t>
          </w:r>
          <w:r w:rsidR="000C18C1">
            <w:rPr>
              <w:color w:val="000000" w:themeColor="text1"/>
              <w:sz w:val="18"/>
              <w:szCs w:val="18"/>
              <w:lang w:val="ru-RU"/>
            </w:rPr>
            <w:t>Мугоньи</w:t>
          </w:r>
          <w:r w:rsidR="000C18C1" w:rsidRPr="002C5397">
            <w:rPr>
              <w:color w:val="000000" w:themeColor="text1"/>
              <w:sz w:val="18"/>
              <w:szCs w:val="18"/>
              <w:lang w:val="ru-RU"/>
            </w:rPr>
            <w:t xml:space="preserve"> (</w:t>
          </w:r>
          <w:r w:rsidR="000C18C1">
            <w:rPr>
              <w:color w:val="000000" w:themeColor="text1"/>
              <w:sz w:val="18"/>
              <w:szCs w:val="18"/>
              <w:lang w:val="en-US"/>
            </w:rPr>
            <w:t>Mr</w:t>
          </w:r>
          <w:r w:rsidR="000C18C1" w:rsidRPr="002C5397">
            <w:rPr>
              <w:color w:val="000000" w:themeColor="text1"/>
              <w:sz w:val="18"/>
              <w:szCs w:val="18"/>
              <w:lang w:val="ru-RU"/>
            </w:rPr>
            <w:t xml:space="preserve">. </w:t>
          </w:r>
          <w:r w:rsidR="000C18C1">
            <w:rPr>
              <w:color w:val="000000" w:themeColor="text1"/>
              <w:sz w:val="18"/>
              <w:szCs w:val="18"/>
              <w:lang w:val="en-US"/>
            </w:rPr>
            <w:t>David</w:t>
          </w:r>
          <w:r w:rsidR="000C18C1" w:rsidRPr="002C5397">
            <w:rPr>
              <w:color w:val="000000" w:themeColor="text1"/>
              <w:sz w:val="18"/>
              <w:szCs w:val="18"/>
              <w:lang w:val="ru-RU"/>
            </w:rPr>
            <w:t xml:space="preserve"> </w:t>
          </w:r>
          <w:r w:rsidR="000C18C1">
            <w:rPr>
              <w:color w:val="000000" w:themeColor="text1"/>
              <w:sz w:val="18"/>
              <w:szCs w:val="18"/>
              <w:lang w:val="en-US"/>
            </w:rPr>
            <w:t>Mugonyi</w:t>
          </w:r>
          <w:r w:rsidR="000C18C1" w:rsidRPr="002C5397">
            <w:rPr>
              <w:color w:val="000000" w:themeColor="text1"/>
              <w:sz w:val="18"/>
              <w:szCs w:val="18"/>
              <w:lang w:val="ru-RU"/>
            </w:rPr>
            <w:t>)</w:t>
          </w:r>
          <w:r w:rsidR="000C18C1">
            <w:rPr>
              <w:sz w:val="18"/>
              <w:szCs w:val="18"/>
              <w:lang w:val="it-IT"/>
            </w:rPr>
            <w:t xml:space="preserve">, </w:t>
          </w:r>
          <w:r w:rsidR="000C18C1">
            <w:rPr>
              <w:sz w:val="18"/>
              <w:szCs w:val="18"/>
              <w:lang w:val="ru-RU"/>
            </w:rPr>
            <w:t>Управление</w:t>
          </w:r>
          <w:r w:rsidR="000C18C1" w:rsidRPr="002C5397">
            <w:rPr>
              <w:sz w:val="18"/>
              <w:szCs w:val="18"/>
              <w:lang w:val="ru-RU"/>
            </w:rPr>
            <w:t xml:space="preserve"> </w:t>
          </w:r>
          <w:r w:rsidR="000C18C1">
            <w:rPr>
              <w:sz w:val="18"/>
              <w:szCs w:val="18"/>
              <w:lang w:val="ru-RU"/>
            </w:rPr>
            <w:t>связи</w:t>
          </w:r>
          <w:r w:rsidR="000C18C1" w:rsidRPr="002C5397">
            <w:rPr>
              <w:sz w:val="18"/>
              <w:szCs w:val="18"/>
              <w:lang w:val="ru-RU"/>
            </w:rPr>
            <w:t xml:space="preserve"> </w:t>
          </w:r>
          <w:r w:rsidR="000C18C1">
            <w:rPr>
              <w:sz w:val="18"/>
              <w:szCs w:val="18"/>
              <w:lang w:val="ru-RU"/>
            </w:rPr>
            <w:t>Кении</w:t>
          </w:r>
          <w:r w:rsidR="000C18C1" w:rsidRPr="002C5397">
            <w:rPr>
              <w:sz w:val="18"/>
              <w:szCs w:val="18"/>
              <w:lang w:val="ru-RU"/>
            </w:rPr>
            <w:t xml:space="preserve"> (</w:t>
          </w:r>
          <w:r w:rsidR="000C18C1">
            <w:rPr>
              <w:sz w:val="18"/>
              <w:szCs w:val="18"/>
              <w:lang w:val="ru-RU"/>
            </w:rPr>
            <w:t>СА</w:t>
          </w:r>
          <w:r w:rsidR="000C18C1" w:rsidRPr="002C5397">
            <w:rPr>
              <w:sz w:val="18"/>
              <w:szCs w:val="18"/>
              <w:lang w:val="ru-RU"/>
            </w:rPr>
            <w:t xml:space="preserve">), </w:t>
          </w:r>
          <w:r w:rsidR="000C18C1">
            <w:rPr>
              <w:sz w:val="18"/>
              <w:szCs w:val="18"/>
              <w:lang w:val="ru-RU"/>
            </w:rPr>
            <w:t>Кения</w:t>
          </w:r>
        </w:p>
      </w:tc>
      <w:bookmarkStart w:id="13" w:name="OrgName"/>
      <w:bookmarkEnd w:id="13"/>
    </w:tr>
    <w:tr w:rsidR="00CE598B" w:rsidRPr="004D495C" w14:paraId="61167678" w14:textId="77777777" w:rsidTr="009D2668">
      <w:tc>
        <w:tcPr>
          <w:tcW w:w="1526" w:type="dxa"/>
          <w:shd w:val="clear" w:color="auto" w:fill="auto"/>
        </w:tcPr>
        <w:p w14:paraId="33710823" w14:textId="77777777" w:rsidR="00CE598B" w:rsidRPr="000C18C1" w:rsidRDefault="00CE598B" w:rsidP="00CE598B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ru-RU"/>
            </w:rPr>
          </w:pPr>
        </w:p>
      </w:tc>
      <w:tc>
        <w:tcPr>
          <w:tcW w:w="3152" w:type="dxa"/>
          <w:shd w:val="clear" w:color="auto" w:fill="auto"/>
        </w:tcPr>
        <w:p w14:paraId="1251F6E4" w14:textId="269A1795" w:rsidR="00CE598B" w:rsidRPr="004D495C" w:rsidRDefault="00CE598B" w:rsidP="00CE598B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CE598B">
            <w:rPr>
              <w:sz w:val="18"/>
              <w:szCs w:val="18"/>
              <w:lang w:val="ru-RU"/>
            </w:rPr>
            <w:t>Тел</w:t>
          </w:r>
          <w:r w:rsidRPr="004A7698">
            <w:rPr>
              <w:sz w:val="18"/>
              <w:szCs w:val="18"/>
            </w:rPr>
            <w:t>.:</w:t>
          </w:r>
        </w:p>
      </w:tc>
      <w:tc>
        <w:tcPr>
          <w:tcW w:w="4961" w:type="dxa"/>
        </w:tcPr>
        <w:p w14:paraId="6D7949F0" w14:textId="151CB88F" w:rsidR="00CE598B" w:rsidRPr="00AF7A97" w:rsidRDefault="000C18C1" w:rsidP="00CE598B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ru-RU"/>
            </w:rPr>
            <w:t>н. д.</w:t>
          </w:r>
        </w:p>
      </w:tc>
      <w:bookmarkStart w:id="14" w:name="PhoneNo"/>
      <w:bookmarkEnd w:id="14"/>
    </w:tr>
    <w:tr w:rsidR="00CE598B" w:rsidRPr="004D495C" w14:paraId="0299A231" w14:textId="77777777" w:rsidTr="009D2668">
      <w:tc>
        <w:tcPr>
          <w:tcW w:w="1526" w:type="dxa"/>
          <w:shd w:val="clear" w:color="auto" w:fill="auto"/>
        </w:tcPr>
        <w:p w14:paraId="35CBC438" w14:textId="77777777" w:rsidR="00CE598B" w:rsidRPr="004D495C" w:rsidRDefault="00CE598B" w:rsidP="00CE598B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3152" w:type="dxa"/>
          <w:shd w:val="clear" w:color="auto" w:fill="auto"/>
        </w:tcPr>
        <w:p w14:paraId="65335E06" w14:textId="6AA70360" w:rsidR="00CE598B" w:rsidRPr="00CE598B" w:rsidRDefault="00CE598B" w:rsidP="00CE598B">
          <w:pPr>
            <w:pStyle w:val="FirstFooter"/>
            <w:tabs>
              <w:tab w:val="left" w:pos="2302"/>
            </w:tabs>
            <w:rPr>
              <w:sz w:val="18"/>
              <w:szCs w:val="18"/>
              <w:lang w:val="ru-RU"/>
            </w:rPr>
          </w:pPr>
          <w:r w:rsidRPr="00CE598B">
            <w:rPr>
              <w:sz w:val="18"/>
              <w:szCs w:val="18"/>
              <w:lang w:val="ru-RU"/>
            </w:rPr>
            <w:t>Эл. почта:</w:t>
          </w:r>
        </w:p>
      </w:tc>
      <w:tc>
        <w:tcPr>
          <w:tcW w:w="4961" w:type="dxa"/>
        </w:tcPr>
        <w:p w14:paraId="7EAB0988" w14:textId="4B249AB7" w:rsidR="00CE598B" w:rsidRPr="00AF7A97" w:rsidRDefault="000C18C1" w:rsidP="00CE598B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hyperlink r:id="rId1" w:history="1">
            <w:r w:rsidRPr="00437387">
              <w:rPr>
                <w:rStyle w:val="Hyperlink"/>
                <w:sz w:val="18"/>
                <w:szCs w:val="18"/>
              </w:rPr>
              <w:t>mugonyi@ca.go.ke</w:t>
            </w:r>
          </w:hyperlink>
        </w:p>
      </w:tc>
      <w:bookmarkStart w:id="15" w:name="Email"/>
      <w:bookmarkEnd w:id="15"/>
    </w:tr>
  </w:tbl>
  <w:p w14:paraId="40A321D0" w14:textId="1C276101" w:rsidR="00721657" w:rsidRPr="004146FD" w:rsidRDefault="00721657" w:rsidP="00527295">
    <w:pPr>
      <w:pStyle w:val="Footer"/>
      <w:rPr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4E653" w14:textId="77777777" w:rsidR="00BB58A2" w:rsidRDefault="00BB58A2">
      <w:r>
        <w:t>____________________</w:t>
      </w:r>
    </w:p>
  </w:footnote>
  <w:footnote w:type="continuationSeparator" w:id="0">
    <w:p w14:paraId="35056ABA" w14:textId="77777777" w:rsidR="00BB58A2" w:rsidRDefault="00BB58A2">
      <w:r>
        <w:continuationSeparator/>
      </w:r>
    </w:p>
  </w:footnote>
  <w:footnote w:type="continuationNotice" w:id="1">
    <w:p w14:paraId="3AF6FBC8" w14:textId="77777777" w:rsidR="00BB58A2" w:rsidRDefault="00BB58A2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FE77" w14:textId="43F62219" w:rsidR="00721657" w:rsidRPr="00A06BCC" w:rsidRDefault="001D31BA" w:rsidP="009D2668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10206"/>
      </w:tabs>
      <w:spacing w:before="0"/>
      <w:rPr>
        <w:rStyle w:val="PageNumber"/>
        <w:smallCaps/>
        <w:spacing w:val="24"/>
        <w:szCs w:val="22"/>
      </w:rPr>
    </w:pPr>
    <w:r w:rsidRPr="004D495C">
      <w:rPr>
        <w:szCs w:val="22"/>
      </w:rPr>
      <w:tab/>
    </w:r>
    <w:r w:rsidR="00E65B84" w:rsidRPr="00FF089C">
      <w:rPr>
        <w:szCs w:val="22"/>
        <w:lang w:val="es-ES_tradnl"/>
      </w:rPr>
      <w:t>ITU</w:t>
    </w:r>
    <w:r w:rsidR="00E65B84" w:rsidRPr="00A06BCC">
      <w:rPr>
        <w:szCs w:val="22"/>
      </w:rPr>
      <w:t>-</w:t>
    </w:r>
    <w:r w:rsidR="00E65B84" w:rsidRPr="00FF089C">
      <w:rPr>
        <w:szCs w:val="22"/>
        <w:lang w:val="es-ES_tradnl"/>
      </w:rPr>
      <w:t>D</w:t>
    </w:r>
    <w:r w:rsidR="00E65B84" w:rsidRPr="00A06BCC">
      <w:rPr>
        <w:szCs w:val="22"/>
      </w:rPr>
      <w:t>/</w:t>
    </w:r>
    <w:bookmarkStart w:id="11" w:name="DocRef2"/>
    <w:bookmarkEnd w:id="11"/>
    <w:r w:rsidR="00960697" w:rsidRPr="00960697">
      <w:rPr>
        <w:szCs w:val="22"/>
        <w:lang w:val="es-ES_tradnl"/>
      </w:rPr>
      <w:t>RPM</w:t>
    </w:r>
    <w:r w:rsidR="00960697" w:rsidRPr="00A06BCC">
      <w:rPr>
        <w:szCs w:val="22"/>
      </w:rPr>
      <w:t>-</w:t>
    </w:r>
    <w:r w:rsidR="00307F9B">
      <w:rPr>
        <w:szCs w:val="22"/>
        <w:lang w:val="es-ES_tradnl"/>
      </w:rPr>
      <w:t>AFR</w:t>
    </w:r>
    <w:r w:rsidR="00A464D6" w:rsidRPr="00A06BCC">
      <w:rPr>
        <w:szCs w:val="22"/>
      </w:rPr>
      <w:t>25</w:t>
    </w:r>
    <w:r w:rsidR="00E65B84" w:rsidRPr="00A06BCC">
      <w:rPr>
        <w:szCs w:val="22"/>
      </w:rPr>
      <w:t>/</w:t>
    </w:r>
    <w:bookmarkStart w:id="12" w:name="DocNo2"/>
    <w:bookmarkEnd w:id="12"/>
    <w:r w:rsidR="00307F9B" w:rsidRPr="00A06BCC">
      <w:rPr>
        <w:szCs w:val="22"/>
      </w:rPr>
      <w:t>19</w:t>
    </w:r>
    <w:r w:rsidR="00E65B84" w:rsidRPr="00A06BCC">
      <w:rPr>
        <w:szCs w:val="22"/>
      </w:rPr>
      <w:t>-</w:t>
    </w:r>
    <w:r w:rsidR="00E65B84">
      <w:rPr>
        <w:szCs w:val="22"/>
        <w:lang w:val="es-ES_tradnl"/>
      </w:rPr>
      <w:t>R</w:t>
    </w:r>
    <w:r w:rsidRPr="00A06BCC">
      <w:rPr>
        <w:szCs w:val="22"/>
      </w:rPr>
      <w:tab/>
    </w:r>
    <w:r w:rsidR="00CE598B">
      <w:rPr>
        <w:szCs w:val="22"/>
      </w:rPr>
      <w:t>Страница</w:t>
    </w:r>
    <w:r w:rsidRPr="00A06BCC">
      <w:rPr>
        <w:szCs w:val="22"/>
      </w:rPr>
      <w:t xml:space="preserve"> </w:t>
    </w:r>
    <w:r w:rsidRPr="004D495C">
      <w:rPr>
        <w:szCs w:val="22"/>
      </w:rPr>
      <w:fldChar w:fldCharType="begin"/>
    </w:r>
    <w:r w:rsidRPr="00A06BCC">
      <w:rPr>
        <w:szCs w:val="22"/>
      </w:rPr>
      <w:instrText xml:space="preserve"> </w:instrText>
    </w:r>
    <w:r w:rsidRPr="00FF089C">
      <w:rPr>
        <w:szCs w:val="22"/>
        <w:lang w:val="es-ES_tradnl"/>
      </w:rPr>
      <w:instrText>PAGE</w:instrText>
    </w:r>
    <w:r w:rsidRPr="00A06BCC">
      <w:rPr>
        <w:szCs w:val="22"/>
      </w:rPr>
      <w:instrText xml:space="preserve"> </w:instrText>
    </w:r>
    <w:r w:rsidRPr="004D495C">
      <w:rPr>
        <w:szCs w:val="22"/>
      </w:rPr>
      <w:fldChar w:fldCharType="separate"/>
    </w:r>
    <w:r w:rsidRPr="00CE598B">
      <w:rPr>
        <w:szCs w:val="22"/>
      </w:rPr>
      <w:t>2</w:t>
    </w:r>
    <w:r w:rsidRPr="004D495C">
      <w:rPr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64A0"/>
    <w:multiLevelType w:val="multilevel"/>
    <w:tmpl w:val="35B6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940018F"/>
    <w:multiLevelType w:val="hybridMultilevel"/>
    <w:tmpl w:val="FA3A2F8E"/>
    <w:lvl w:ilvl="0" w:tplc="5D980D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5435A5"/>
    <w:multiLevelType w:val="hybridMultilevel"/>
    <w:tmpl w:val="6EAE7E1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3015C1"/>
    <w:multiLevelType w:val="hybridMultilevel"/>
    <w:tmpl w:val="971A37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B4E5F"/>
    <w:multiLevelType w:val="hybridMultilevel"/>
    <w:tmpl w:val="B40A7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B2873"/>
    <w:multiLevelType w:val="hybridMultilevel"/>
    <w:tmpl w:val="FCB2E3C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484261"/>
    <w:multiLevelType w:val="hybridMultilevel"/>
    <w:tmpl w:val="AE0C7B50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F1C14"/>
    <w:multiLevelType w:val="hybridMultilevel"/>
    <w:tmpl w:val="BBC0695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C57D76"/>
    <w:multiLevelType w:val="multilevel"/>
    <w:tmpl w:val="D3062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AF9699B"/>
    <w:multiLevelType w:val="hybridMultilevel"/>
    <w:tmpl w:val="D9BED3C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ED4D48"/>
    <w:multiLevelType w:val="hybridMultilevel"/>
    <w:tmpl w:val="FEDE27B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14101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116DC1"/>
    <w:multiLevelType w:val="hybridMultilevel"/>
    <w:tmpl w:val="39CCC722"/>
    <w:lvl w:ilvl="0" w:tplc="93E64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7457F"/>
    <w:multiLevelType w:val="hybridMultilevel"/>
    <w:tmpl w:val="C85E5D86"/>
    <w:lvl w:ilvl="0" w:tplc="93E64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90753"/>
    <w:multiLevelType w:val="multilevel"/>
    <w:tmpl w:val="32FEB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35152FAC"/>
    <w:multiLevelType w:val="multilevel"/>
    <w:tmpl w:val="D3062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AD07926"/>
    <w:multiLevelType w:val="hybridMultilevel"/>
    <w:tmpl w:val="02724A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C4625A"/>
    <w:multiLevelType w:val="hybridMultilevel"/>
    <w:tmpl w:val="7DB4DA1C"/>
    <w:lvl w:ilvl="0" w:tplc="93E64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8589E"/>
    <w:multiLevelType w:val="hybridMultilevel"/>
    <w:tmpl w:val="F09AF3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B92316"/>
    <w:multiLevelType w:val="hybridMultilevel"/>
    <w:tmpl w:val="593249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1" w15:restartNumberingAfterBreak="0">
    <w:nsid w:val="5CC41525"/>
    <w:multiLevelType w:val="hybridMultilevel"/>
    <w:tmpl w:val="E33C13F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0D9D51"/>
    <w:multiLevelType w:val="hybridMultilevel"/>
    <w:tmpl w:val="586ECA82"/>
    <w:lvl w:ilvl="0" w:tplc="89BEDEC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EFAAD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0A8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A49D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02E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58B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A2C2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F636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EA59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80433A"/>
    <w:multiLevelType w:val="hybridMultilevel"/>
    <w:tmpl w:val="87F09024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6CC62965"/>
    <w:multiLevelType w:val="multilevel"/>
    <w:tmpl w:val="7430B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70DE3AC2"/>
    <w:multiLevelType w:val="hybridMultilevel"/>
    <w:tmpl w:val="C2C6D4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C4F3921"/>
    <w:multiLevelType w:val="hybridMultilevel"/>
    <w:tmpl w:val="3214830E"/>
    <w:lvl w:ilvl="0" w:tplc="93E649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F02163"/>
    <w:multiLevelType w:val="hybridMultilevel"/>
    <w:tmpl w:val="E32A5B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3808767">
    <w:abstractNumId w:val="20"/>
  </w:num>
  <w:num w:numId="2" w16cid:durableId="315690728">
    <w:abstractNumId w:val="22"/>
  </w:num>
  <w:num w:numId="3" w16cid:durableId="1002897998">
    <w:abstractNumId w:val="11"/>
  </w:num>
  <w:num w:numId="4" w16cid:durableId="1136947117">
    <w:abstractNumId w:val="2"/>
  </w:num>
  <w:num w:numId="5" w16cid:durableId="567613860">
    <w:abstractNumId w:val="21"/>
  </w:num>
  <w:num w:numId="6" w16cid:durableId="1618561816">
    <w:abstractNumId w:val="10"/>
  </w:num>
  <w:num w:numId="7" w16cid:durableId="2116778254">
    <w:abstractNumId w:val="14"/>
  </w:num>
  <w:num w:numId="8" w16cid:durableId="1937207671">
    <w:abstractNumId w:val="0"/>
  </w:num>
  <w:num w:numId="9" w16cid:durableId="874658793">
    <w:abstractNumId w:val="24"/>
  </w:num>
  <w:num w:numId="10" w16cid:durableId="795101093">
    <w:abstractNumId w:val="15"/>
  </w:num>
  <w:num w:numId="11" w16cid:durableId="2095279260">
    <w:abstractNumId w:val="8"/>
  </w:num>
  <w:num w:numId="12" w16cid:durableId="11078046">
    <w:abstractNumId w:val="5"/>
  </w:num>
  <w:num w:numId="13" w16cid:durableId="525367127">
    <w:abstractNumId w:val="7"/>
  </w:num>
  <w:num w:numId="14" w16cid:durableId="1677463201">
    <w:abstractNumId w:val="12"/>
  </w:num>
  <w:num w:numId="15" w16cid:durableId="1845440551">
    <w:abstractNumId w:val="6"/>
  </w:num>
  <w:num w:numId="16" w16cid:durableId="1895697511">
    <w:abstractNumId w:val="1"/>
  </w:num>
  <w:num w:numId="17" w16cid:durableId="1261985085">
    <w:abstractNumId w:val="27"/>
  </w:num>
  <w:num w:numId="18" w16cid:durableId="1511530631">
    <w:abstractNumId w:val="3"/>
  </w:num>
  <w:num w:numId="19" w16cid:durableId="290863790">
    <w:abstractNumId w:val="19"/>
  </w:num>
  <w:num w:numId="20" w16cid:durableId="859900827">
    <w:abstractNumId w:val="9"/>
  </w:num>
  <w:num w:numId="21" w16cid:durableId="94712908">
    <w:abstractNumId w:val="16"/>
  </w:num>
  <w:num w:numId="22" w16cid:durableId="566035882">
    <w:abstractNumId w:val="25"/>
  </w:num>
  <w:num w:numId="23" w16cid:durableId="476071331">
    <w:abstractNumId w:val="18"/>
  </w:num>
  <w:num w:numId="24" w16cid:durableId="2072078366">
    <w:abstractNumId w:val="4"/>
  </w:num>
  <w:num w:numId="25" w16cid:durableId="272131825">
    <w:abstractNumId w:val="23"/>
  </w:num>
  <w:num w:numId="26" w16cid:durableId="1416708628">
    <w:abstractNumId w:val="17"/>
  </w:num>
  <w:num w:numId="27" w16cid:durableId="1449084010">
    <w:abstractNumId w:val="13"/>
  </w:num>
  <w:num w:numId="28" w16cid:durableId="164550298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43"/>
    <w:rsid w:val="00002716"/>
    <w:rsid w:val="00003C43"/>
    <w:rsid w:val="00005791"/>
    <w:rsid w:val="00010827"/>
    <w:rsid w:val="0001449F"/>
    <w:rsid w:val="00015089"/>
    <w:rsid w:val="00015234"/>
    <w:rsid w:val="00021196"/>
    <w:rsid w:val="0002520B"/>
    <w:rsid w:val="00030397"/>
    <w:rsid w:val="000343AD"/>
    <w:rsid w:val="00037A9E"/>
    <w:rsid w:val="00037F91"/>
    <w:rsid w:val="00044970"/>
    <w:rsid w:val="00052017"/>
    <w:rsid w:val="000539F1"/>
    <w:rsid w:val="00054747"/>
    <w:rsid w:val="00055A2A"/>
    <w:rsid w:val="000615C1"/>
    <w:rsid w:val="00061675"/>
    <w:rsid w:val="000743AA"/>
    <w:rsid w:val="0009076F"/>
    <w:rsid w:val="0009225C"/>
    <w:rsid w:val="00094033"/>
    <w:rsid w:val="000A17C4"/>
    <w:rsid w:val="000A36A4"/>
    <w:rsid w:val="000B2352"/>
    <w:rsid w:val="000C18C1"/>
    <w:rsid w:val="000C6BEE"/>
    <w:rsid w:val="000C7B84"/>
    <w:rsid w:val="000D261B"/>
    <w:rsid w:val="000D58A3"/>
    <w:rsid w:val="000E3ED4"/>
    <w:rsid w:val="000E3F9C"/>
    <w:rsid w:val="000F1550"/>
    <w:rsid w:val="000F251B"/>
    <w:rsid w:val="000F5FE8"/>
    <w:rsid w:val="000F6644"/>
    <w:rsid w:val="00100833"/>
    <w:rsid w:val="00102F72"/>
    <w:rsid w:val="00107E85"/>
    <w:rsid w:val="00113EE8"/>
    <w:rsid w:val="0011455A"/>
    <w:rsid w:val="00114A65"/>
    <w:rsid w:val="00121846"/>
    <w:rsid w:val="00122C86"/>
    <w:rsid w:val="00125CBC"/>
    <w:rsid w:val="00133061"/>
    <w:rsid w:val="0013591E"/>
    <w:rsid w:val="00141699"/>
    <w:rsid w:val="00147000"/>
    <w:rsid w:val="00163091"/>
    <w:rsid w:val="001645CB"/>
    <w:rsid w:val="00166305"/>
    <w:rsid w:val="00167545"/>
    <w:rsid w:val="001703C6"/>
    <w:rsid w:val="00173781"/>
    <w:rsid w:val="00175ADF"/>
    <w:rsid w:val="00175CAE"/>
    <w:rsid w:val="001828DB"/>
    <w:rsid w:val="001850FE"/>
    <w:rsid w:val="00185135"/>
    <w:rsid w:val="0019037C"/>
    <w:rsid w:val="001905A9"/>
    <w:rsid w:val="00191273"/>
    <w:rsid w:val="0019303F"/>
    <w:rsid w:val="001942A7"/>
    <w:rsid w:val="0019587B"/>
    <w:rsid w:val="001A163D"/>
    <w:rsid w:val="001A21CE"/>
    <w:rsid w:val="001A441E"/>
    <w:rsid w:val="001A6733"/>
    <w:rsid w:val="001B357F"/>
    <w:rsid w:val="001C3444"/>
    <w:rsid w:val="001C3702"/>
    <w:rsid w:val="001C4656"/>
    <w:rsid w:val="001C46BC"/>
    <w:rsid w:val="001D1E06"/>
    <w:rsid w:val="001D31BA"/>
    <w:rsid w:val="001E5D41"/>
    <w:rsid w:val="001F23E6"/>
    <w:rsid w:val="001F4238"/>
    <w:rsid w:val="00200A38"/>
    <w:rsid w:val="00200A46"/>
    <w:rsid w:val="0020334D"/>
    <w:rsid w:val="00211AA5"/>
    <w:rsid w:val="00211B6F"/>
    <w:rsid w:val="00213821"/>
    <w:rsid w:val="00217CC3"/>
    <w:rsid w:val="00220AB6"/>
    <w:rsid w:val="0022120F"/>
    <w:rsid w:val="00223E30"/>
    <w:rsid w:val="0022754A"/>
    <w:rsid w:val="00236560"/>
    <w:rsid w:val="0023662E"/>
    <w:rsid w:val="00245D0F"/>
    <w:rsid w:val="00253D34"/>
    <w:rsid w:val="002548C3"/>
    <w:rsid w:val="00257ACD"/>
    <w:rsid w:val="002618DE"/>
    <w:rsid w:val="00262908"/>
    <w:rsid w:val="002650F4"/>
    <w:rsid w:val="002715FD"/>
    <w:rsid w:val="002770B1"/>
    <w:rsid w:val="00285B33"/>
    <w:rsid w:val="00287A3C"/>
    <w:rsid w:val="002A2FC6"/>
    <w:rsid w:val="002C1EC7"/>
    <w:rsid w:val="002C3015"/>
    <w:rsid w:val="002C4342"/>
    <w:rsid w:val="002C7EA3"/>
    <w:rsid w:val="002D20AE"/>
    <w:rsid w:val="002D223D"/>
    <w:rsid w:val="002D404E"/>
    <w:rsid w:val="002D6C61"/>
    <w:rsid w:val="002E067F"/>
    <w:rsid w:val="002E2104"/>
    <w:rsid w:val="002E2DAC"/>
    <w:rsid w:val="002E6963"/>
    <w:rsid w:val="002E6F8F"/>
    <w:rsid w:val="002F05D8"/>
    <w:rsid w:val="002F2DE0"/>
    <w:rsid w:val="002F5E25"/>
    <w:rsid w:val="0030353C"/>
    <w:rsid w:val="00307769"/>
    <w:rsid w:val="00307F9B"/>
    <w:rsid w:val="003125C3"/>
    <w:rsid w:val="00312AE6"/>
    <w:rsid w:val="00315E2B"/>
    <w:rsid w:val="00317D1A"/>
    <w:rsid w:val="00317FBB"/>
    <w:rsid w:val="003211FF"/>
    <w:rsid w:val="003242AB"/>
    <w:rsid w:val="00327247"/>
    <w:rsid w:val="00327A9D"/>
    <w:rsid w:val="0033130E"/>
    <w:rsid w:val="0033269C"/>
    <w:rsid w:val="00350A66"/>
    <w:rsid w:val="00351C79"/>
    <w:rsid w:val="0035516C"/>
    <w:rsid w:val="00355A4C"/>
    <w:rsid w:val="003604FB"/>
    <w:rsid w:val="00360B73"/>
    <w:rsid w:val="003631F5"/>
    <w:rsid w:val="00376009"/>
    <w:rsid w:val="00380B71"/>
    <w:rsid w:val="0038365A"/>
    <w:rsid w:val="00386A89"/>
    <w:rsid w:val="0039648E"/>
    <w:rsid w:val="003A5AFE"/>
    <w:rsid w:val="003A5D5F"/>
    <w:rsid w:val="003A7FFE"/>
    <w:rsid w:val="003B0A63"/>
    <w:rsid w:val="003B50E1"/>
    <w:rsid w:val="003C1746"/>
    <w:rsid w:val="003C2AA9"/>
    <w:rsid w:val="003C58BF"/>
    <w:rsid w:val="003D451D"/>
    <w:rsid w:val="003F2DD8"/>
    <w:rsid w:val="003F3F2D"/>
    <w:rsid w:val="003F50B2"/>
    <w:rsid w:val="00400CCF"/>
    <w:rsid w:val="00401BFF"/>
    <w:rsid w:val="00404424"/>
    <w:rsid w:val="0041156B"/>
    <w:rsid w:val="004122C5"/>
    <w:rsid w:val="00413B78"/>
    <w:rsid w:val="004146FD"/>
    <w:rsid w:val="00416DDE"/>
    <w:rsid w:val="00422F75"/>
    <w:rsid w:val="0044411E"/>
    <w:rsid w:val="00453435"/>
    <w:rsid w:val="00460089"/>
    <w:rsid w:val="00466398"/>
    <w:rsid w:val="004712A4"/>
    <w:rsid w:val="0047306D"/>
    <w:rsid w:val="00473791"/>
    <w:rsid w:val="00476E48"/>
    <w:rsid w:val="00481DE9"/>
    <w:rsid w:val="0048267D"/>
    <w:rsid w:val="0049128B"/>
    <w:rsid w:val="00493B49"/>
    <w:rsid w:val="00495501"/>
    <w:rsid w:val="004A070A"/>
    <w:rsid w:val="004A320E"/>
    <w:rsid w:val="004A35FE"/>
    <w:rsid w:val="004A4E9C"/>
    <w:rsid w:val="004B1A3C"/>
    <w:rsid w:val="004C2ACF"/>
    <w:rsid w:val="004D2CC3"/>
    <w:rsid w:val="004D35CB"/>
    <w:rsid w:val="004D7DAB"/>
    <w:rsid w:val="004E20E5"/>
    <w:rsid w:val="004E627E"/>
    <w:rsid w:val="004E64EA"/>
    <w:rsid w:val="004E7828"/>
    <w:rsid w:val="004F46AA"/>
    <w:rsid w:val="004F6A70"/>
    <w:rsid w:val="00500AD7"/>
    <w:rsid w:val="00502ABF"/>
    <w:rsid w:val="00504DB0"/>
    <w:rsid w:val="005078A4"/>
    <w:rsid w:val="00507C35"/>
    <w:rsid w:val="00510735"/>
    <w:rsid w:val="00514D2F"/>
    <w:rsid w:val="00516263"/>
    <w:rsid w:val="00527295"/>
    <w:rsid w:val="0054420E"/>
    <w:rsid w:val="00544D1B"/>
    <w:rsid w:val="00545DC0"/>
    <w:rsid w:val="00545F6C"/>
    <w:rsid w:val="005477D9"/>
    <w:rsid w:val="0055720C"/>
    <w:rsid w:val="00561796"/>
    <w:rsid w:val="00563230"/>
    <w:rsid w:val="005632DD"/>
    <w:rsid w:val="00563F4A"/>
    <w:rsid w:val="0056423B"/>
    <w:rsid w:val="00566BDC"/>
    <w:rsid w:val="00573424"/>
    <w:rsid w:val="0057402F"/>
    <w:rsid w:val="00581653"/>
    <w:rsid w:val="005849D6"/>
    <w:rsid w:val="00585367"/>
    <w:rsid w:val="005871A1"/>
    <w:rsid w:val="0058737E"/>
    <w:rsid w:val="00592518"/>
    <w:rsid w:val="00592E87"/>
    <w:rsid w:val="0059420B"/>
    <w:rsid w:val="00594C4D"/>
    <w:rsid w:val="005A33B0"/>
    <w:rsid w:val="005A406D"/>
    <w:rsid w:val="005A4AB8"/>
    <w:rsid w:val="005A7630"/>
    <w:rsid w:val="005B2295"/>
    <w:rsid w:val="005B30CF"/>
    <w:rsid w:val="005B7930"/>
    <w:rsid w:val="005C1253"/>
    <w:rsid w:val="005C2DC2"/>
    <w:rsid w:val="005C304A"/>
    <w:rsid w:val="005C3D69"/>
    <w:rsid w:val="005C7C98"/>
    <w:rsid w:val="005D2C3A"/>
    <w:rsid w:val="005D55A4"/>
    <w:rsid w:val="005D57C8"/>
    <w:rsid w:val="005D7761"/>
    <w:rsid w:val="005E0278"/>
    <w:rsid w:val="005E090D"/>
    <w:rsid w:val="005E3CA0"/>
    <w:rsid w:val="005E44B1"/>
    <w:rsid w:val="005E67B0"/>
    <w:rsid w:val="005E7047"/>
    <w:rsid w:val="005E777F"/>
    <w:rsid w:val="005F1CA7"/>
    <w:rsid w:val="005F43DD"/>
    <w:rsid w:val="005F51A9"/>
    <w:rsid w:val="005F6BE1"/>
    <w:rsid w:val="005F7416"/>
    <w:rsid w:val="00600C11"/>
    <w:rsid w:val="006022D1"/>
    <w:rsid w:val="00605393"/>
    <w:rsid w:val="00606B89"/>
    <w:rsid w:val="00611EAF"/>
    <w:rsid w:val="00623F30"/>
    <w:rsid w:val="00624B44"/>
    <w:rsid w:val="00625FB8"/>
    <w:rsid w:val="006261BD"/>
    <w:rsid w:val="00635EDB"/>
    <w:rsid w:val="00642C3C"/>
    <w:rsid w:val="00646DF3"/>
    <w:rsid w:val="0064734E"/>
    <w:rsid w:val="00650137"/>
    <w:rsid w:val="006509D7"/>
    <w:rsid w:val="00651CE8"/>
    <w:rsid w:val="0065322F"/>
    <w:rsid w:val="0065521B"/>
    <w:rsid w:val="00657D58"/>
    <w:rsid w:val="00671EF6"/>
    <w:rsid w:val="0067205B"/>
    <w:rsid w:val="006748F8"/>
    <w:rsid w:val="00680489"/>
    <w:rsid w:val="00683C32"/>
    <w:rsid w:val="00684A1E"/>
    <w:rsid w:val="006860C4"/>
    <w:rsid w:val="00690BB2"/>
    <w:rsid w:val="00693D09"/>
    <w:rsid w:val="0069537D"/>
    <w:rsid w:val="006A0C66"/>
    <w:rsid w:val="006A6549"/>
    <w:rsid w:val="006A7710"/>
    <w:rsid w:val="006A7A61"/>
    <w:rsid w:val="006B1E59"/>
    <w:rsid w:val="006B2FFB"/>
    <w:rsid w:val="006B503E"/>
    <w:rsid w:val="006C075B"/>
    <w:rsid w:val="006C10A2"/>
    <w:rsid w:val="006C1F18"/>
    <w:rsid w:val="006C2580"/>
    <w:rsid w:val="006C7B2A"/>
    <w:rsid w:val="006D40D5"/>
    <w:rsid w:val="006D4EA0"/>
    <w:rsid w:val="006F009A"/>
    <w:rsid w:val="006F24AF"/>
    <w:rsid w:val="006F3D93"/>
    <w:rsid w:val="00700E65"/>
    <w:rsid w:val="007019B1"/>
    <w:rsid w:val="00706440"/>
    <w:rsid w:val="0071703D"/>
    <w:rsid w:val="00721657"/>
    <w:rsid w:val="007279A8"/>
    <w:rsid w:val="00727B1A"/>
    <w:rsid w:val="00741337"/>
    <w:rsid w:val="00752258"/>
    <w:rsid w:val="007529E1"/>
    <w:rsid w:val="00757803"/>
    <w:rsid w:val="0076272A"/>
    <w:rsid w:val="00762880"/>
    <w:rsid w:val="00762AD6"/>
    <w:rsid w:val="00762E02"/>
    <w:rsid w:val="00772290"/>
    <w:rsid w:val="00777265"/>
    <w:rsid w:val="007805E7"/>
    <w:rsid w:val="0078222A"/>
    <w:rsid w:val="00784700"/>
    <w:rsid w:val="00784AB3"/>
    <w:rsid w:val="00787D48"/>
    <w:rsid w:val="00787E2F"/>
    <w:rsid w:val="00795294"/>
    <w:rsid w:val="007A43E0"/>
    <w:rsid w:val="007A4E50"/>
    <w:rsid w:val="007B18A7"/>
    <w:rsid w:val="007B250E"/>
    <w:rsid w:val="007C27FC"/>
    <w:rsid w:val="007C51FF"/>
    <w:rsid w:val="007D50E4"/>
    <w:rsid w:val="007E2DC5"/>
    <w:rsid w:val="007F1CC7"/>
    <w:rsid w:val="008027AC"/>
    <w:rsid w:val="008028CE"/>
    <w:rsid w:val="0080332E"/>
    <w:rsid w:val="008141E0"/>
    <w:rsid w:val="00815388"/>
    <w:rsid w:val="00816EE1"/>
    <w:rsid w:val="00816F88"/>
    <w:rsid w:val="00821996"/>
    <w:rsid w:val="00822323"/>
    <w:rsid w:val="00826A3E"/>
    <w:rsid w:val="00827BC6"/>
    <w:rsid w:val="008300AD"/>
    <w:rsid w:val="0083296A"/>
    <w:rsid w:val="00833024"/>
    <w:rsid w:val="008419B1"/>
    <w:rsid w:val="00844A56"/>
    <w:rsid w:val="00845B11"/>
    <w:rsid w:val="00852081"/>
    <w:rsid w:val="00872B6E"/>
    <w:rsid w:val="00874DFD"/>
    <w:rsid w:val="008802F9"/>
    <w:rsid w:val="00881AA3"/>
    <w:rsid w:val="00881B9C"/>
    <w:rsid w:val="00883086"/>
    <w:rsid w:val="008879FD"/>
    <w:rsid w:val="00894C37"/>
    <w:rsid w:val="008A00EA"/>
    <w:rsid w:val="008A2EE6"/>
    <w:rsid w:val="008A3F93"/>
    <w:rsid w:val="008A6236"/>
    <w:rsid w:val="008A6E1C"/>
    <w:rsid w:val="008A72FD"/>
    <w:rsid w:val="008B2EDF"/>
    <w:rsid w:val="008B47C7"/>
    <w:rsid w:val="008B54CB"/>
    <w:rsid w:val="008B5A3D"/>
    <w:rsid w:val="008C4010"/>
    <w:rsid w:val="008C4FDF"/>
    <w:rsid w:val="008C6B1F"/>
    <w:rsid w:val="008C7A35"/>
    <w:rsid w:val="008D1CCB"/>
    <w:rsid w:val="008D5E4F"/>
    <w:rsid w:val="008E34F0"/>
    <w:rsid w:val="008F14F5"/>
    <w:rsid w:val="008F71C1"/>
    <w:rsid w:val="008F7311"/>
    <w:rsid w:val="00902D41"/>
    <w:rsid w:val="00902F49"/>
    <w:rsid w:val="00904230"/>
    <w:rsid w:val="00914004"/>
    <w:rsid w:val="00922EC1"/>
    <w:rsid w:val="00923CF1"/>
    <w:rsid w:val="009301F1"/>
    <w:rsid w:val="009307DF"/>
    <w:rsid w:val="009359B8"/>
    <w:rsid w:val="00935FF0"/>
    <w:rsid w:val="009431F8"/>
    <w:rsid w:val="00947A35"/>
    <w:rsid w:val="00952667"/>
    <w:rsid w:val="00960697"/>
    <w:rsid w:val="0096201B"/>
    <w:rsid w:val="00962081"/>
    <w:rsid w:val="00966CB5"/>
    <w:rsid w:val="00975786"/>
    <w:rsid w:val="00977F9B"/>
    <w:rsid w:val="00981CB7"/>
    <w:rsid w:val="00983E1F"/>
    <w:rsid w:val="009842AD"/>
    <w:rsid w:val="00993F46"/>
    <w:rsid w:val="00997358"/>
    <w:rsid w:val="009A452B"/>
    <w:rsid w:val="009B050C"/>
    <w:rsid w:val="009B087F"/>
    <w:rsid w:val="009B2AF4"/>
    <w:rsid w:val="009C110B"/>
    <w:rsid w:val="009C43C2"/>
    <w:rsid w:val="009C5441"/>
    <w:rsid w:val="009D119F"/>
    <w:rsid w:val="009D2668"/>
    <w:rsid w:val="009D49A2"/>
    <w:rsid w:val="009F134E"/>
    <w:rsid w:val="009F3940"/>
    <w:rsid w:val="009F3EB2"/>
    <w:rsid w:val="009F6EB1"/>
    <w:rsid w:val="00A06BCC"/>
    <w:rsid w:val="00A11D05"/>
    <w:rsid w:val="00A13162"/>
    <w:rsid w:val="00A20267"/>
    <w:rsid w:val="00A27BE0"/>
    <w:rsid w:val="00A3158C"/>
    <w:rsid w:val="00A32DF3"/>
    <w:rsid w:val="00A33E32"/>
    <w:rsid w:val="00A35E20"/>
    <w:rsid w:val="00A36F6D"/>
    <w:rsid w:val="00A464D6"/>
    <w:rsid w:val="00A50CA0"/>
    <w:rsid w:val="00A525CC"/>
    <w:rsid w:val="00A53E7C"/>
    <w:rsid w:val="00A60087"/>
    <w:rsid w:val="00A702B0"/>
    <w:rsid w:val="00A705E8"/>
    <w:rsid w:val="00A721F4"/>
    <w:rsid w:val="00A9392C"/>
    <w:rsid w:val="00A9462B"/>
    <w:rsid w:val="00A97D59"/>
    <w:rsid w:val="00AA3E09"/>
    <w:rsid w:val="00AA4BEF"/>
    <w:rsid w:val="00AB1659"/>
    <w:rsid w:val="00AB4962"/>
    <w:rsid w:val="00AB734E"/>
    <w:rsid w:val="00AB740F"/>
    <w:rsid w:val="00AC10B9"/>
    <w:rsid w:val="00AC6F14"/>
    <w:rsid w:val="00AC71CD"/>
    <w:rsid w:val="00AC7221"/>
    <w:rsid w:val="00AD4677"/>
    <w:rsid w:val="00AE5961"/>
    <w:rsid w:val="00AF0745"/>
    <w:rsid w:val="00AF4971"/>
    <w:rsid w:val="00AF5276"/>
    <w:rsid w:val="00AF6C96"/>
    <w:rsid w:val="00AF7C86"/>
    <w:rsid w:val="00B01046"/>
    <w:rsid w:val="00B13F9F"/>
    <w:rsid w:val="00B143A4"/>
    <w:rsid w:val="00B310F9"/>
    <w:rsid w:val="00B37866"/>
    <w:rsid w:val="00B412FB"/>
    <w:rsid w:val="00B44BBE"/>
    <w:rsid w:val="00B4576B"/>
    <w:rsid w:val="00B46350"/>
    <w:rsid w:val="00B46DF3"/>
    <w:rsid w:val="00B5794F"/>
    <w:rsid w:val="00B648C7"/>
    <w:rsid w:val="00B66E8F"/>
    <w:rsid w:val="00B80157"/>
    <w:rsid w:val="00B81A1D"/>
    <w:rsid w:val="00B83D5E"/>
    <w:rsid w:val="00B8460A"/>
    <w:rsid w:val="00B8650D"/>
    <w:rsid w:val="00B879B4"/>
    <w:rsid w:val="00B90F07"/>
    <w:rsid w:val="00B97BB9"/>
    <w:rsid w:val="00BA0009"/>
    <w:rsid w:val="00BB02B5"/>
    <w:rsid w:val="00BB1863"/>
    <w:rsid w:val="00BB25EE"/>
    <w:rsid w:val="00BB363A"/>
    <w:rsid w:val="00BB58A2"/>
    <w:rsid w:val="00BC10A0"/>
    <w:rsid w:val="00BC3376"/>
    <w:rsid w:val="00BC7BA2"/>
    <w:rsid w:val="00BD426B"/>
    <w:rsid w:val="00BD79F0"/>
    <w:rsid w:val="00BE0996"/>
    <w:rsid w:val="00BE2B4D"/>
    <w:rsid w:val="00C015F8"/>
    <w:rsid w:val="00C02C2A"/>
    <w:rsid w:val="00C07E26"/>
    <w:rsid w:val="00C1011C"/>
    <w:rsid w:val="00C12F94"/>
    <w:rsid w:val="00C177C5"/>
    <w:rsid w:val="00C34EC3"/>
    <w:rsid w:val="00C4038C"/>
    <w:rsid w:val="00C42BA2"/>
    <w:rsid w:val="00C44066"/>
    <w:rsid w:val="00C44E13"/>
    <w:rsid w:val="00C44E90"/>
    <w:rsid w:val="00C50751"/>
    <w:rsid w:val="00C60A41"/>
    <w:rsid w:val="00C62DE8"/>
    <w:rsid w:val="00C62DFB"/>
    <w:rsid w:val="00C630E6"/>
    <w:rsid w:val="00C63812"/>
    <w:rsid w:val="00C64AF3"/>
    <w:rsid w:val="00C66F4D"/>
    <w:rsid w:val="00C67BB5"/>
    <w:rsid w:val="00C72713"/>
    <w:rsid w:val="00C8034C"/>
    <w:rsid w:val="00C848EF"/>
    <w:rsid w:val="00C86600"/>
    <w:rsid w:val="00C87BCA"/>
    <w:rsid w:val="00C87EED"/>
    <w:rsid w:val="00C92C32"/>
    <w:rsid w:val="00C94506"/>
    <w:rsid w:val="00C954BC"/>
    <w:rsid w:val="00CA1F0B"/>
    <w:rsid w:val="00CB110F"/>
    <w:rsid w:val="00CB2A2E"/>
    <w:rsid w:val="00CB338A"/>
    <w:rsid w:val="00CB79C5"/>
    <w:rsid w:val="00CC411F"/>
    <w:rsid w:val="00CC4B75"/>
    <w:rsid w:val="00CC720F"/>
    <w:rsid w:val="00CC732E"/>
    <w:rsid w:val="00CD2A98"/>
    <w:rsid w:val="00CD2FCD"/>
    <w:rsid w:val="00CD7207"/>
    <w:rsid w:val="00CE0422"/>
    <w:rsid w:val="00CE0DBE"/>
    <w:rsid w:val="00CE598B"/>
    <w:rsid w:val="00CE5E4D"/>
    <w:rsid w:val="00CF02C4"/>
    <w:rsid w:val="00CF167F"/>
    <w:rsid w:val="00CF3288"/>
    <w:rsid w:val="00CF72E5"/>
    <w:rsid w:val="00D013EE"/>
    <w:rsid w:val="00D01F54"/>
    <w:rsid w:val="00D040F7"/>
    <w:rsid w:val="00D04A76"/>
    <w:rsid w:val="00D07E2B"/>
    <w:rsid w:val="00D10FC7"/>
    <w:rsid w:val="00D1519F"/>
    <w:rsid w:val="00D1703C"/>
    <w:rsid w:val="00D20E99"/>
    <w:rsid w:val="00D21C83"/>
    <w:rsid w:val="00D35BDD"/>
    <w:rsid w:val="00D63006"/>
    <w:rsid w:val="00D72301"/>
    <w:rsid w:val="00D83B79"/>
    <w:rsid w:val="00D911DE"/>
    <w:rsid w:val="00D91B97"/>
    <w:rsid w:val="00D93ACC"/>
    <w:rsid w:val="00D93C08"/>
    <w:rsid w:val="00D95DAC"/>
    <w:rsid w:val="00DA0B53"/>
    <w:rsid w:val="00DB1171"/>
    <w:rsid w:val="00DB1519"/>
    <w:rsid w:val="00DB2840"/>
    <w:rsid w:val="00DC1BD3"/>
    <w:rsid w:val="00DC2C1A"/>
    <w:rsid w:val="00DD01C8"/>
    <w:rsid w:val="00DD66B4"/>
    <w:rsid w:val="00DE1972"/>
    <w:rsid w:val="00DE27AB"/>
    <w:rsid w:val="00DF2AB3"/>
    <w:rsid w:val="00DF7250"/>
    <w:rsid w:val="00E00CAA"/>
    <w:rsid w:val="00E03EBF"/>
    <w:rsid w:val="00E05209"/>
    <w:rsid w:val="00E05AC1"/>
    <w:rsid w:val="00E11BCF"/>
    <w:rsid w:val="00E2258E"/>
    <w:rsid w:val="00E25DA3"/>
    <w:rsid w:val="00E260C2"/>
    <w:rsid w:val="00E32596"/>
    <w:rsid w:val="00E368F7"/>
    <w:rsid w:val="00E36EB8"/>
    <w:rsid w:val="00E37FB8"/>
    <w:rsid w:val="00E40B07"/>
    <w:rsid w:val="00E42326"/>
    <w:rsid w:val="00E43544"/>
    <w:rsid w:val="00E44D89"/>
    <w:rsid w:val="00E477EA"/>
    <w:rsid w:val="00E502E5"/>
    <w:rsid w:val="00E55807"/>
    <w:rsid w:val="00E60167"/>
    <w:rsid w:val="00E63B14"/>
    <w:rsid w:val="00E65B84"/>
    <w:rsid w:val="00E65CA0"/>
    <w:rsid w:val="00E70BC7"/>
    <w:rsid w:val="00E70D9F"/>
    <w:rsid w:val="00E83810"/>
    <w:rsid w:val="00E86933"/>
    <w:rsid w:val="00E9514B"/>
    <w:rsid w:val="00E9605B"/>
    <w:rsid w:val="00E97298"/>
    <w:rsid w:val="00E97753"/>
    <w:rsid w:val="00EA0C51"/>
    <w:rsid w:val="00EA7DE7"/>
    <w:rsid w:val="00EB7A8A"/>
    <w:rsid w:val="00EB7FAC"/>
    <w:rsid w:val="00EC6FED"/>
    <w:rsid w:val="00EC7F3B"/>
    <w:rsid w:val="00ED5299"/>
    <w:rsid w:val="00EE3A64"/>
    <w:rsid w:val="00EE50E5"/>
    <w:rsid w:val="00EF01CF"/>
    <w:rsid w:val="00F03590"/>
    <w:rsid w:val="00F03622"/>
    <w:rsid w:val="00F077FD"/>
    <w:rsid w:val="00F204F3"/>
    <w:rsid w:val="00F218AB"/>
    <w:rsid w:val="00F238B3"/>
    <w:rsid w:val="00F24FED"/>
    <w:rsid w:val="00F25032"/>
    <w:rsid w:val="00F25586"/>
    <w:rsid w:val="00F2651D"/>
    <w:rsid w:val="00F27362"/>
    <w:rsid w:val="00F31498"/>
    <w:rsid w:val="00F32FEF"/>
    <w:rsid w:val="00F41B1C"/>
    <w:rsid w:val="00F42E13"/>
    <w:rsid w:val="00F42F1C"/>
    <w:rsid w:val="00F43B44"/>
    <w:rsid w:val="00F440E5"/>
    <w:rsid w:val="00F448F6"/>
    <w:rsid w:val="00F44F26"/>
    <w:rsid w:val="00F52741"/>
    <w:rsid w:val="00F53D8A"/>
    <w:rsid w:val="00F53DD6"/>
    <w:rsid w:val="00F626F7"/>
    <w:rsid w:val="00F736F9"/>
    <w:rsid w:val="00F73833"/>
    <w:rsid w:val="00F82BC0"/>
    <w:rsid w:val="00F9211C"/>
    <w:rsid w:val="00FA095D"/>
    <w:rsid w:val="00FA67C6"/>
    <w:rsid w:val="00FA6C8B"/>
    <w:rsid w:val="00FA6CDA"/>
    <w:rsid w:val="00FA7C89"/>
    <w:rsid w:val="00FB4139"/>
    <w:rsid w:val="00FB476E"/>
    <w:rsid w:val="00FC0D90"/>
    <w:rsid w:val="00FC46CB"/>
    <w:rsid w:val="00FC7D8C"/>
    <w:rsid w:val="00FD3980"/>
    <w:rsid w:val="00FD431E"/>
    <w:rsid w:val="00FD5A2C"/>
    <w:rsid w:val="00FE0D47"/>
    <w:rsid w:val="00FE1D5C"/>
    <w:rsid w:val="00FE2F8B"/>
    <w:rsid w:val="00FE3669"/>
    <w:rsid w:val="00FE5204"/>
    <w:rsid w:val="00FF287F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FAF29E"/>
  <w15:docId w15:val="{60433F8B-20A1-4DEB-8873-0AFDF825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64D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9D2668"/>
    <w:pPr>
      <w:keepNext/>
      <w:keepLines/>
      <w:spacing w:before="2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9D2668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9D2668"/>
    <w:pPr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B37866"/>
  </w:style>
  <w:style w:type="paragraph" w:styleId="TOC4">
    <w:name w:val="toc 4"/>
    <w:basedOn w:val="TOC3"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rsid w:val="00B37866"/>
  </w:style>
  <w:style w:type="paragraph" w:styleId="TOC6">
    <w:name w:val="toc 6"/>
    <w:basedOn w:val="TOC4"/>
    <w:rsid w:val="00B37866"/>
  </w:style>
  <w:style w:type="paragraph" w:styleId="TOC5">
    <w:name w:val="toc 5"/>
    <w:basedOn w:val="TOC4"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uiPriority w:val="99"/>
    <w:rsid w:val="009D2668"/>
    <w:rPr>
      <w:rFonts w:asciiTheme="minorHAnsi" w:hAnsiTheme="minorHAnsi"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9D2668"/>
    <w:pPr>
      <w:keepLines/>
      <w:tabs>
        <w:tab w:val="clear" w:pos="794"/>
        <w:tab w:val="clear" w:pos="1191"/>
        <w:tab w:val="clear" w:pos="1588"/>
        <w:tab w:val="clear" w:pos="1985"/>
        <w:tab w:val="left" w:pos="284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link w:val="enumlev1Char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9D2668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9D2668"/>
    <w:pPr>
      <w:spacing w:before="240" w:after="240"/>
      <w:jc w:val="center"/>
    </w:pPr>
    <w:rPr>
      <w:b/>
      <w:sz w:val="26"/>
    </w:rPr>
  </w:style>
  <w:style w:type="paragraph" w:customStyle="1" w:styleId="Title1">
    <w:name w:val="Title 1"/>
    <w:basedOn w:val="Source"/>
    <w:next w:val="Title2"/>
    <w:rsid w:val="00EC6F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rFonts w:cs="Times New Roman Bold"/>
      <w:b w:val="0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9D2668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9D2668"/>
    <w:pPr>
      <w:spacing w:before="480"/>
      <w:jc w:val="center"/>
    </w:pPr>
    <w:rPr>
      <w:b/>
      <w:sz w:val="26"/>
    </w:rPr>
  </w:style>
  <w:style w:type="paragraph" w:customStyle="1" w:styleId="ArtNo">
    <w:name w:val="Art_No"/>
    <w:basedOn w:val="Normal"/>
    <w:next w:val="Arttitle"/>
    <w:rsid w:val="009D2668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9D2668"/>
    <w:pPr>
      <w:keepNext/>
      <w:keepLines/>
      <w:spacing w:before="240"/>
      <w:jc w:val="center"/>
    </w:pPr>
    <w:rPr>
      <w:b/>
      <w:sz w:val="26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9D2668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qFormat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qFormat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9D2668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9D2668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9D2668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3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"/>
    <w:basedOn w:val="DefaultParagraphFont"/>
    <w:uiPriority w:val="99"/>
    <w:rsid w:val="00BA0009"/>
    <w:rPr>
      <w:color w:val="0000FF" w:themeColor="hyperlink"/>
      <w:u w:val="single"/>
    </w:rPr>
  </w:style>
  <w:style w:type="paragraph" w:customStyle="1" w:styleId="BDTLogo">
    <w:name w:val="BDT_Logo"/>
    <w:uiPriority w:val="99"/>
    <w:rsid w:val="00C72713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paragraph" w:styleId="ListParagraph">
    <w:name w:val="List Paragraph"/>
    <w:aliases w:val="List Paragraph1,Recommendation,List Paragraph11,O5,Para_sk,Resume Title,- Bullets,Bullet List,FooterText,numbered,Paragraphe de liste1,Bulletr List Paragraph,Bullet 1,Numbered Para 1,Dot pt,No Spacing1,List Paragraph Char Char Char,????,L"/>
    <w:basedOn w:val="Normal"/>
    <w:link w:val="ListParagraphChar"/>
    <w:uiPriority w:val="1"/>
    <w:qFormat/>
    <w:rsid w:val="00A721F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paragraph" w:customStyle="1" w:styleId="AppArtNo">
    <w:name w:val="App_Art_No"/>
    <w:basedOn w:val="ArtNo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AppendixNo"/>
    <w:next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Volumetitle">
    <w:name w:val="Volume_title"/>
    <w:basedOn w:val="Normal"/>
    <w:qFormat/>
    <w:rsid w:val="00AF6C96"/>
    <w:pPr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/>
      <w:textAlignment w:val="auto"/>
    </w:pPr>
    <w:rPr>
      <w:b/>
      <w:sz w:val="26"/>
      <w:lang w:val="en-US"/>
    </w:rPr>
  </w:style>
  <w:style w:type="paragraph" w:customStyle="1" w:styleId="Proposal">
    <w:name w:val="Proposal"/>
    <w:basedOn w:val="Normal"/>
    <w:next w:val="Normal"/>
    <w:rsid w:val="0090423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5D2C3A"/>
    <w:pPr>
      <w:tabs>
        <w:tab w:val="clear" w:pos="794"/>
        <w:tab w:val="clear" w:pos="1191"/>
        <w:tab w:val="left" w:pos="1134"/>
        <w:tab w:val="left" w:pos="1871"/>
      </w:tabs>
    </w:pPr>
  </w:style>
  <w:style w:type="character" w:styleId="FollowedHyperlink">
    <w:name w:val="FollowedHyperlink"/>
    <w:basedOn w:val="DefaultParagraphFont"/>
    <w:uiPriority w:val="99"/>
    <w:semiHidden/>
    <w:unhideWhenUsed/>
    <w:rsid w:val="00AD4677"/>
    <w:rPr>
      <w:color w:val="800080" w:themeColor="followedHyperlink"/>
      <w:u w:val="single"/>
    </w:rPr>
  </w:style>
  <w:style w:type="paragraph" w:customStyle="1" w:styleId="Agendaitem">
    <w:name w:val="Agenda_item"/>
    <w:basedOn w:val="Normal"/>
    <w:next w:val="Normal"/>
    <w:qFormat/>
    <w:rsid w:val="000C18C1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8"/>
      <w:lang w:val="es-ES_tradnl"/>
    </w:rPr>
  </w:style>
  <w:style w:type="paragraph" w:customStyle="1" w:styleId="Figure">
    <w:name w:val="Figure"/>
    <w:basedOn w:val="Normal"/>
    <w:next w:val="Normal"/>
    <w:rsid w:val="000C18C1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rFonts w:asciiTheme="minorHAnsi" w:hAnsiTheme="minorHAnsi"/>
      <w:sz w:val="24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18C1"/>
    <w:rPr>
      <w:rFonts w:ascii="Calibri" w:hAnsi="Calibri"/>
      <w:lang w:val="ru-RU" w:eastAsia="en-US"/>
    </w:rPr>
  </w:style>
  <w:style w:type="paragraph" w:customStyle="1" w:styleId="Section1">
    <w:name w:val="Section_1"/>
    <w:basedOn w:val="Normal"/>
    <w:rsid w:val="000C18C1"/>
    <w:pPr>
      <w:tabs>
        <w:tab w:val="clear" w:pos="794"/>
        <w:tab w:val="clear" w:pos="1191"/>
        <w:tab w:val="clear" w:pos="1588"/>
        <w:tab w:val="clear" w:pos="1985"/>
        <w:tab w:val="left" w:pos="1871"/>
        <w:tab w:val="center" w:pos="4820"/>
      </w:tabs>
      <w:spacing w:before="360"/>
      <w:jc w:val="center"/>
    </w:pPr>
    <w:rPr>
      <w:rFonts w:asciiTheme="minorHAnsi" w:hAnsiTheme="minorHAnsi"/>
      <w:b/>
      <w:sz w:val="24"/>
      <w:lang w:val="en-GB"/>
    </w:rPr>
  </w:style>
  <w:style w:type="paragraph" w:customStyle="1" w:styleId="Section2">
    <w:name w:val="Section_2"/>
    <w:basedOn w:val="Section1"/>
    <w:rsid w:val="000C18C1"/>
    <w:rPr>
      <w:b w:val="0"/>
      <w:i/>
    </w:rPr>
  </w:style>
  <w:style w:type="paragraph" w:customStyle="1" w:styleId="Section3">
    <w:name w:val="Section_3"/>
    <w:basedOn w:val="Section1"/>
    <w:rsid w:val="000C18C1"/>
    <w:rPr>
      <w:b w:val="0"/>
    </w:rPr>
  </w:style>
  <w:style w:type="paragraph" w:customStyle="1" w:styleId="Subsection1">
    <w:name w:val="Subsection_1"/>
    <w:basedOn w:val="Section1"/>
    <w:next w:val="Normalaftertitle"/>
    <w:qFormat/>
    <w:rsid w:val="000C18C1"/>
  </w:style>
  <w:style w:type="paragraph" w:customStyle="1" w:styleId="Normalend">
    <w:name w:val="Normal_end"/>
    <w:basedOn w:val="Normal"/>
    <w:next w:val="Normal"/>
    <w:qFormat/>
    <w:rsid w:val="000C18C1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Theme="minorHAnsi" w:hAnsiTheme="minorHAnsi"/>
      <w:sz w:val="24"/>
      <w:lang w:val="en-US"/>
    </w:rPr>
  </w:style>
  <w:style w:type="paragraph" w:customStyle="1" w:styleId="Part1">
    <w:name w:val="Part_1"/>
    <w:basedOn w:val="Section1"/>
    <w:next w:val="Section1"/>
    <w:qFormat/>
    <w:rsid w:val="000C18C1"/>
  </w:style>
  <w:style w:type="paragraph" w:customStyle="1" w:styleId="Opiniontitle">
    <w:name w:val="Opinion_title"/>
    <w:basedOn w:val="Rectitle"/>
    <w:next w:val="Normalaftertitle"/>
    <w:qFormat/>
    <w:rsid w:val="000C18C1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Theme="minorHAnsi" w:hAnsiTheme="minorHAnsi"/>
      <w:sz w:val="28"/>
      <w:lang w:val="en-GB"/>
    </w:rPr>
  </w:style>
  <w:style w:type="paragraph" w:customStyle="1" w:styleId="OpinionNo">
    <w:name w:val="Opinion_No"/>
    <w:basedOn w:val="RecNo"/>
    <w:next w:val="Opiniontitle"/>
    <w:qFormat/>
    <w:rsid w:val="000C18C1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Theme="minorHAnsi" w:hAnsiTheme="minorHAnsi"/>
      <w:sz w:val="28"/>
      <w:lang w:val="en-GB"/>
    </w:rPr>
  </w:style>
  <w:style w:type="paragraph" w:styleId="BalloonText">
    <w:name w:val="Balloon Text"/>
    <w:basedOn w:val="Normal"/>
    <w:link w:val="BalloonTextChar"/>
    <w:uiPriority w:val="99"/>
    <w:rsid w:val="000C18C1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C18C1"/>
    <w:rPr>
      <w:rFonts w:ascii="Tahoma" w:hAnsi="Tahoma" w:cs="Tahoma"/>
      <w:sz w:val="16"/>
      <w:szCs w:val="16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0C18C1"/>
    <w:rPr>
      <w:rFonts w:ascii="Calibri" w:hAnsi="Calibri"/>
      <w:sz w:val="22"/>
      <w:lang w:val="ru-RU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18C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C18C1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textAlignment w:val="auto"/>
    </w:pPr>
    <w:rPr>
      <w:rFonts w:eastAsia="Calibri" w:cs="Calibri"/>
      <w:sz w:val="24"/>
      <w:szCs w:val="24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C18C1"/>
    <w:rPr>
      <w:rFonts w:ascii="Calibri" w:eastAsia="Calibri" w:hAnsi="Calibri" w:cs="Calibri"/>
      <w:sz w:val="24"/>
      <w:szCs w:val="24"/>
      <w:lang w:eastAsia="en-US" w:bidi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C18C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C18C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C18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18C1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Theme="minorHAnsi" w:hAnsiTheme="minorHAnsi"/>
      <w:sz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18C1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8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8C1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0C18C1"/>
    <w:rPr>
      <w:rFonts w:asciiTheme="minorHAnsi" w:hAnsiTheme="minorHAnsi"/>
      <w:sz w:val="24"/>
      <w:lang w:val="en-GB" w:eastAsia="en-US"/>
    </w:rPr>
  </w:style>
  <w:style w:type="paragraph" w:customStyle="1" w:styleId="CEONormal">
    <w:name w:val="CEO_Normal"/>
    <w:link w:val="CEONormalChar"/>
    <w:autoRedefine/>
    <w:qFormat/>
    <w:rsid w:val="000C18C1"/>
    <w:pPr>
      <w:spacing w:before="120"/>
    </w:pPr>
    <w:rPr>
      <w:rFonts w:ascii="Verdana" w:eastAsia="SimSun" w:hAnsi="Verdana"/>
      <w:sz w:val="19"/>
      <w:szCs w:val="19"/>
      <w:lang w:val="en-GB" w:eastAsia="en-US"/>
    </w:rPr>
  </w:style>
  <w:style w:type="character" w:customStyle="1" w:styleId="CEONormalChar">
    <w:name w:val="CEO_Normal Char"/>
    <w:basedOn w:val="DefaultParagraphFont"/>
    <w:link w:val="CEONormal"/>
    <w:rsid w:val="000C18C1"/>
    <w:rPr>
      <w:rFonts w:ascii="Verdana" w:eastAsia="SimSun" w:hAnsi="Verdana"/>
      <w:sz w:val="19"/>
      <w:szCs w:val="19"/>
      <w:lang w:val="en-GB" w:eastAsia="en-US"/>
    </w:rPr>
  </w:style>
  <w:style w:type="paragraph" w:customStyle="1" w:styleId="CEOProposals">
    <w:name w:val="CEO_Proposals"/>
    <w:basedOn w:val="Normal"/>
    <w:rsid w:val="000C18C1"/>
    <w:pPr>
      <w:spacing w:before="360"/>
    </w:pPr>
    <w:rPr>
      <w:rFonts w:ascii="Verdana" w:hAnsi="Verdana"/>
      <w:b/>
      <w:sz w:val="19"/>
      <w:szCs w:val="19"/>
      <w:lang w:val="en-US"/>
    </w:rPr>
  </w:style>
  <w:style w:type="character" w:styleId="Emphasis">
    <w:name w:val="Emphasis"/>
    <w:basedOn w:val="DefaultParagraphFont"/>
    <w:uiPriority w:val="20"/>
    <w:qFormat/>
    <w:rsid w:val="000C18C1"/>
    <w:rPr>
      <w:i/>
      <w:iCs/>
    </w:rPr>
  </w:style>
  <w:style w:type="paragraph" w:customStyle="1" w:styleId="ColorfulList-Accent11">
    <w:name w:val="Colorful List - Accent 11"/>
    <w:basedOn w:val="Normal"/>
    <w:uiPriority w:val="34"/>
    <w:rsid w:val="000C18C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200" w:line="276" w:lineRule="auto"/>
      <w:ind w:left="720"/>
      <w:contextualSpacing/>
      <w:textAlignment w:val="auto"/>
    </w:pPr>
    <w:rPr>
      <w:rFonts w:eastAsiaTheme="minorEastAsia"/>
      <w:szCs w:val="22"/>
      <w:lang w:val="en-US"/>
    </w:rPr>
  </w:style>
  <w:style w:type="character" w:customStyle="1" w:styleId="ListParagraphChar">
    <w:name w:val="List Paragraph Char"/>
    <w:aliases w:val="List Paragraph1 Char,Recommendation Char,List Paragraph11 Char,O5 Char,Para_sk Char,Resume Title Char,- Bullets Char,Bullet List Char,FooterText Char,numbered Char,Paragraphe de liste1 Char,Bulletr List Paragraph Char,Bullet 1 Char"/>
    <w:basedOn w:val="DefaultParagraphFont"/>
    <w:link w:val="ListParagraph"/>
    <w:uiPriority w:val="1"/>
    <w:qFormat/>
    <w:locked/>
    <w:rsid w:val="000C18C1"/>
    <w:rPr>
      <w:rFonts w:ascii="Calibri" w:hAnsi="Calibri"/>
      <w:sz w:val="22"/>
      <w:lang w:val="ru-RU" w:eastAsia="en-US"/>
    </w:rPr>
  </w:style>
  <w:style w:type="paragraph" w:customStyle="1" w:styleId="Body">
    <w:name w:val="Body"/>
    <w:basedOn w:val="Normal"/>
    <w:rsid w:val="000C18C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200" w:line="276" w:lineRule="auto"/>
      <w:textAlignment w:val="auto"/>
    </w:pPr>
    <w:rPr>
      <w:rFonts w:eastAsiaTheme="minorEastAsia"/>
      <w:color w:val="000000"/>
      <w:szCs w:val="22"/>
      <w:lang w:val="en-US" w:eastAsia="zh-CN"/>
    </w:rPr>
  </w:style>
  <w:style w:type="character" w:customStyle="1" w:styleId="enumlev1Char">
    <w:name w:val="enumlev1 Char"/>
    <w:basedOn w:val="DefaultParagraphFont"/>
    <w:link w:val="enumlev1"/>
    <w:locked/>
    <w:rsid w:val="000C18C1"/>
    <w:rPr>
      <w:rFonts w:ascii="Calibri" w:hAnsi="Calibri"/>
      <w:sz w:val="22"/>
      <w:lang w:val="ru-RU" w:eastAsia="en-US"/>
    </w:rPr>
  </w:style>
  <w:style w:type="character" w:styleId="UnresolvedMention">
    <w:name w:val="Unresolved Mention"/>
    <w:basedOn w:val="DefaultParagraphFont"/>
    <w:uiPriority w:val="99"/>
    <w:unhideWhenUsed/>
    <w:rsid w:val="000C18C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C18C1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0C18C1"/>
  </w:style>
  <w:style w:type="character" w:customStyle="1" w:styleId="eop">
    <w:name w:val="eop"/>
    <w:basedOn w:val="DefaultParagraphFont"/>
    <w:rsid w:val="000C18C1"/>
  </w:style>
  <w:style w:type="table" w:styleId="GridTable4-Accent6">
    <w:name w:val="Grid Table 4 Accent 6"/>
    <w:basedOn w:val="TableNormal"/>
    <w:uiPriority w:val="49"/>
    <w:rsid w:val="000C18C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customStyle="1" w:styleId="p1">
    <w:name w:val="p1"/>
    <w:basedOn w:val="Normal"/>
    <w:rsid w:val="000C18C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p2">
    <w:name w:val="p2"/>
    <w:basedOn w:val="Normal"/>
    <w:rsid w:val="000C18C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paragraph">
    <w:name w:val="paragraph"/>
    <w:basedOn w:val="Normal"/>
    <w:rsid w:val="000C18C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US"/>
    </w:rPr>
  </w:style>
  <w:style w:type="character" w:customStyle="1" w:styleId="scxw214181729">
    <w:name w:val="scxw214181729"/>
    <w:basedOn w:val="DefaultParagraphFont"/>
    <w:rsid w:val="000C18C1"/>
  </w:style>
  <w:style w:type="character" w:customStyle="1" w:styleId="scxw51152209">
    <w:name w:val="scxw51152209"/>
    <w:basedOn w:val="DefaultParagraphFont"/>
    <w:rsid w:val="000C18C1"/>
  </w:style>
  <w:style w:type="character" w:customStyle="1" w:styleId="wacimagecontainer">
    <w:name w:val="wacimagecontainer"/>
    <w:basedOn w:val="DefaultParagraphFont"/>
    <w:rsid w:val="000C18C1"/>
  </w:style>
  <w:style w:type="character" w:styleId="Strong">
    <w:name w:val="Strong"/>
    <w:basedOn w:val="DefaultParagraphFont"/>
    <w:uiPriority w:val="22"/>
    <w:qFormat/>
    <w:rsid w:val="000C18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en/ITU-D/bdt-director/Pages/past-speeches.aspx" TargetMode="External"/><Relationship Id="rId18" Type="http://schemas.openxmlformats.org/officeDocument/2006/relationships/hyperlink" Target="https://www.itu.int/pub/D-RES-D.17-2022" TargetMode="External"/><Relationship Id="rId26" Type="http://schemas.openxmlformats.org/officeDocument/2006/relationships/hyperlink" Target="https://www.itu.int/md/D22-RPMAFR-C-0004/en" TargetMode="External"/><Relationship Id="rId39" Type="http://schemas.openxmlformats.org/officeDocument/2006/relationships/hyperlink" Target="https://www.itu.int/md/D22-RPMAFR-C-0014/en" TargetMode="External"/><Relationship Id="rId21" Type="http://schemas.openxmlformats.org/officeDocument/2006/relationships/hyperlink" Target="https://www.itu.int/md/meetingdoc.asp?lang=en&amp;parent=D22-RPMAFR-C-0003" TargetMode="External"/><Relationship Id="rId34" Type="http://schemas.openxmlformats.org/officeDocument/2006/relationships/hyperlink" Target="https://www.itu.int/md/D22-RPMAFR-INF/en" TargetMode="External"/><Relationship Id="rId42" Type="http://schemas.openxmlformats.org/officeDocument/2006/relationships/hyperlink" Target="https://www.itu.int/md/D22-RPMAFR-C-0017/en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D22-RPMAFR-250408-TD-0001/en" TargetMode="External"/><Relationship Id="rId29" Type="http://schemas.openxmlformats.org/officeDocument/2006/relationships/hyperlink" Target="https://www.itu.int/md/D22-RPMAFR-C-0005/en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www.itu.int/md/D22-RPMAFR-C-0004/en" TargetMode="External"/><Relationship Id="rId32" Type="http://schemas.openxmlformats.org/officeDocument/2006/relationships/hyperlink" Target="https://www.itu.int/md/D22-RPMAFR-INF/en" TargetMode="External"/><Relationship Id="rId37" Type="http://schemas.openxmlformats.org/officeDocument/2006/relationships/hyperlink" Target="https://www.itu.int/md/D22-RPMAFR-C-0012/en" TargetMode="External"/><Relationship Id="rId40" Type="http://schemas.openxmlformats.org/officeDocument/2006/relationships/hyperlink" Target="https://www.itu.int/md/D22-RPMAFR-C-0015/en" TargetMode="External"/><Relationship Id="rId45" Type="http://schemas.openxmlformats.org/officeDocument/2006/relationships/hyperlink" Target="https://www.itu.int/md/meetingdoc.asp?lang=en&amp;parent=D22-RPMAFR-INF-0003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tu.int/itu-d/meetings/wtdc25/rpm/afr/home/" TargetMode="External"/><Relationship Id="rId23" Type="http://schemas.openxmlformats.org/officeDocument/2006/relationships/hyperlink" Target="https://www.itu.int/dms_pub/itu-d/md/22/rpmafr/inf/D22-RPMAFR-INF-0005!!PDF-E.pdf" TargetMode="External"/><Relationship Id="rId28" Type="http://schemas.openxmlformats.org/officeDocument/2006/relationships/hyperlink" Target="https://www.itu.int/md/D22-RPMAFR-INF/en" TargetMode="External"/><Relationship Id="rId36" Type="http://schemas.openxmlformats.org/officeDocument/2006/relationships/hyperlink" Target="https://www.itu.int/md/D22-RPMAFR-C-0010/en" TargetMode="External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youtu.be/TQMlkFoVHQ4?feature=shared" TargetMode="External"/><Relationship Id="rId31" Type="http://schemas.openxmlformats.org/officeDocument/2006/relationships/hyperlink" Target="https://www.itu.int/md/D22-RPMAFR-C-0007/en" TargetMode="External"/><Relationship Id="rId44" Type="http://schemas.openxmlformats.org/officeDocument/2006/relationships/hyperlink" Target="https://www.itu.int/md/meetingdoc.asp?lang=en&amp;parent=D22-RPMAFR-INF-001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D22-RPMAFR-C-0001/en" TargetMode="External"/><Relationship Id="rId22" Type="http://schemas.openxmlformats.org/officeDocument/2006/relationships/hyperlink" Target="https://www.itu.int/dms_pub/itu-d/md/22/rpmafr/inf/D22-RPMAFR-INF-0005!!PDF-E.pdf" TargetMode="External"/><Relationship Id="rId27" Type="http://schemas.openxmlformats.org/officeDocument/2006/relationships/hyperlink" Target="https://www.itu.int/md/D22-RPMAFR-C-0008/en" TargetMode="External"/><Relationship Id="rId30" Type="http://schemas.openxmlformats.org/officeDocument/2006/relationships/hyperlink" Target="https://www.itu.int/md/D22-RPMAFR-INF/en" TargetMode="External"/><Relationship Id="rId35" Type="http://schemas.openxmlformats.org/officeDocument/2006/relationships/hyperlink" Target="https://www.itu.int/md/D22-RPMAFR-C-0009/en" TargetMode="External"/><Relationship Id="rId43" Type="http://schemas.openxmlformats.org/officeDocument/2006/relationships/hyperlink" Target="https://www.itu.int/md/meetingdoc.asp?lang=en&amp;parent=D22-RPMAFR-250408-TD-0003" TargetMode="External"/><Relationship Id="rId48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17" Type="http://schemas.openxmlformats.org/officeDocument/2006/relationships/hyperlink" Target="https://www.itu.int/md/D22-RPMAFR-C-0002/en" TargetMode="External"/><Relationship Id="rId25" Type="http://schemas.openxmlformats.org/officeDocument/2006/relationships/hyperlink" Target="https://www.itu.int/md/D22-RPMAFR-C-0004/en" TargetMode="External"/><Relationship Id="rId33" Type="http://schemas.openxmlformats.org/officeDocument/2006/relationships/hyperlink" Target="https://www.itu.int/md/D22-RPMAFR-INF-0004/en" TargetMode="External"/><Relationship Id="rId38" Type="http://schemas.openxmlformats.org/officeDocument/2006/relationships/hyperlink" Target="https://www.itu.int/md/D22-RPMAFR-C-0013/en" TargetMode="External"/><Relationship Id="rId46" Type="http://schemas.openxmlformats.org/officeDocument/2006/relationships/hyperlink" Target="https://www.youtube.com/watch?v=QvCYhjH9gKs" TargetMode="External"/><Relationship Id="rId20" Type="http://schemas.openxmlformats.org/officeDocument/2006/relationships/hyperlink" Target="https://youtu.be/TQMlkFoVHQ4?feature=shared" TargetMode="External"/><Relationship Id="rId41" Type="http://schemas.openxmlformats.org/officeDocument/2006/relationships/hyperlink" Target="https://www.itu.int/md/D22-RPMAFR-C-0016/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gonyi@ca.go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15" ma:contentTypeDescription="Create a new document." ma:contentTypeScope="" ma:versionID="2a3de5c381e7c50ee45f33fb83aef136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1582df10e80f2d8741f1104f58a0ba8a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9c62-af78-494c-a825-80e1ffe32798">
      <Terms xmlns="http://schemas.microsoft.com/office/infopath/2007/PartnerControls"/>
    </lcf76f155ced4ddcb4097134ff3c332f>
    <TaxCatchAll xmlns="54151c7f-6a84-4427-a6ce-bf1d7f28364f" xsi:nil="true"/>
  </documentManagement>
</p:properties>
</file>

<file path=customXml/itemProps1.xml><?xml version="1.0" encoding="utf-8"?>
<ds:datastoreItem xmlns:ds="http://schemas.openxmlformats.org/officeDocument/2006/customXml" ds:itemID="{BACF41A4-028F-4752-A2BC-E01D80CDE6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7BAA2E-1686-412B-8AEB-43E8574D1588}"/>
</file>

<file path=customXml/itemProps3.xml><?xml version="1.0" encoding="utf-8"?>
<ds:datastoreItem xmlns:ds="http://schemas.openxmlformats.org/officeDocument/2006/customXml" ds:itemID="{0617E243-CB01-4DD2-9601-80AA209EE0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AC5A52-DF1F-42A9-9DE0-EA0F7026FB62}">
  <ds:schemaRefs>
    <ds:schemaRef ds:uri="http://schemas.microsoft.com/office/2006/metadata/properties"/>
    <ds:schemaRef ds:uri="http://schemas.microsoft.com/office/infopath/2007/PartnerControls"/>
    <ds:schemaRef ds:uri="b6109c62-af78-494c-a825-80e1ffe32798"/>
    <ds:schemaRef ds:uri="54151c7f-6a84-4427-a6ce-bf1d7f2836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16</Pages>
  <Words>6193</Words>
  <Characters>47256</Characters>
  <Application>Microsoft Office Word</Application>
  <DocSecurity>0</DocSecurity>
  <Lines>393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Manager>General Secretariat - Pool</Manager>
  <Company>International Telecommunication Union (ITU)</Company>
  <LinksUpToDate>false</LinksUpToDate>
  <CharactersWithSpaces>53343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subject/>
  <dc:creator>BDT-nd</dc:creator>
  <cp:keywords/>
  <cp:lastModifiedBy>SV</cp:lastModifiedBy>
  <cp:revision>12</cp:revision>
  <cp:lastPrinted>2014-11-04T18:22:00Z</cp:lastPrinted>
  <dcterms:created xsi:type="dcterms:W3CDTF">2025-05-07T09:42:00Z</dcterms:created>
  <dcterms:modified xsi:type="dcterms:W3CDTF">2025-05-07T13:07:00Z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  <property fmtid="{D5CDD505-2E9C-101B-9397-08002B2CF9AE}" pid="8" name="ContentTypeId">
    <vt:lpwstr>0x010100B3CCE0E51E9C1044807BC3B58DFAB656</vt:lpwstr>
  </property>
  <property fmtid="{D5CDD505-2E9C-101B-9397-08002B2CF9AE}" pid="9" name="MediaServiceImageTags">
    <vt:lpwstr/>
  </property>
</Properties>
</file>