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843"/>
        <w:gridCol w:w="1666"/>
      </w:tblGrid>
      <w:tr w:rsidR="00082F08" w:rsidRPr="00C7320D" w14:paraId="3F0E9EC4" w14:textId="77777777" w:rsidTr="00082F08">
        <w:trPr>
          <w:cantSplit/>
          <w:trHeight w:val="1134"/>
        </w:trPr>
        <w:tc>
          <w:tcPr>
            <w:tcW w:w="1985" w:type="dxa"/>
          </w:tcPr>
          <w:p w14:paraId="3260729E" w14:textId="3EC3A07A" w:rsidR="00082F08" w:rsidRPr="00C7320D" w:rsidRDefault="00082F08" w:rsidP="00845DF3">
            <w:pPr>
              <w:tabs>
                <w:tab w:val="clear" w:pos="1191"/>
                <w:tab w:val="clear" w:pos="1588"/>
                <w:tab w:val="clear" w:pos="1985"/>
              </w:tabs>
              <w:spacing w:before="60" w:after="40"/>
              <w:ind w:left="34"/>
              <w:rPr>
                <w:b/>
                <w:bCs/>
                <w:sz w:val="32"/>
                <w:szCs w:val="32"/>
              </w:rPr>
            </w:pPr>
            <w:r>
              <w:rPr>
                <w:noProof/>
                <w:sz w:val="32"/>
                <w:szCs w:val="32"/>
              </w:rPr>
              <w:drawing>
                <wp:inline distT="0" distB="0" distL="0" distR="0" wp14:anchorId="71F048AD" wp14:editId="4783255B">
                  <wp:extent cx="1080000" cy="946800"/>
                  <wp:effectExtent l="0" t="0" r="6350" b="0"/>
                  <wp:docPr id="113340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12" t="10301" r="25343" b="16660"/>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564BAFE9" w14:textId="77777777" w:rsidR="00082F08" w:rsidRDefault="00082F08" w:rsidP="00082F08">
            <w:pPr>
              <w:tabs>
                <w:tab w:val="clear" w:pos="1191"/>
                <w:tab w:val="clear" w:pos="1588"/>
                <w:tab w:val="clear" w:pos="1985"/>
              </w:tabs>
              <w:spacing w:before="240" w:after="120"/>
              <w:ind w:left="34"/>
              <w:rPr>
                <w:b/>
                <w:bCs/>
                <w:sz w:val="32"/>
                <w:szCs w:val="32"/>
              </w:rPr>
            </w:pPr>
            <w:r w:rsidRPr="006B503E">
              <w:rPr>
                <w:b/>
                <w:bCs/>
                <w:sz w:val="32"/>
                <w:szCs w:val="32"/>
              </w:rPr>
              <w:t xml:space="preserve">Regional Preparatory Meeting </w:t>
            </w:r>
            <w:r>
              <w:rPr>
                <w:b/>
                <w:bCs/>
                <w:sz w:val="32"/>
                <w:szCs w:val="32"/>
              </w:rPr>
              <w:br/>
            </w:r>
            <w:r w:rsidRPr="006B503E">
              <w:rPr>
                <w:b/>
                <w:bCs/>
                <w:sz w:val="32"/>
                <w:szCs w:val="32"/>
              </w:rPr>
              <w:t>for Africa for WTDC-25</w:t>
            </w:r>
            <w:r>
              <w:rPr>
                <w:b/>
                <w:bCs/>
                <w:sz w:val="32"/>
                <w:szCs w:val="32"/>
              </w:rPr>
              <w:t xml:space="preserve"> </w:t>
            </w:r>
            <w:r w:rsidRPr="00121846">
              <w:rPr>
                <w:b/>
                <w:bCs/>
                <w:sz w:val="32"/>
                <w:szCs w:val="32"/>
              </w:rPr>
              <w:t>(RPM-AFR)</w:t>
            </w:r>
          </w:p>
          <w:p w14:paraId="5F5F590A" w14:textId="30A86C2A" w:rsidR="00082F08" w:rsidRPr="00C7320D" w:rsidRDefault="00082F08" w:rsidP="00082F08">
            <w:pPr>
              <w:tabs>
                <w:tab w:val="clear" w:pos="1191"/>
                <w:tab w:val="clear" w:pos="1588"/>
                <w:tab w:val="clear" w:pos="1985"/>
              </w:tabs>
              <w:spacing w:after="120"/>
              <w:ind w:left="34"/>
              <w:rPr>
                <w:rFonts w:ascii="Verdana" w:hAnsi="Verdana"/>
                <w:sz w:val="28"/>
                <w:szCs w:val="28"/>
              </w:rPr>
            </w:pPr>
            <w:r w:rsidRPr="00EB7FAC">
              <w:rPr>
                <w:b/>
                <w:bCs/>
                <w:sz w:val="26"/>
                <w:szCs w:val="26"/>
              </w:rPr>
              <w:t>Nairobi</w:t>
            </w:r>
            <w:r>
              <w:rPr>
                <w:b/>
                <w:bCs/>
                <w:sz w:val="26"/>
                <w:szCs w:val="26"/>
              </w:rPr>
              <w:t>,</w:t>
            </w:r>
            <w:r w:rsidRPr="00EB7FAC">
              <w:rPr>
                <w:b/>
                <w:bCs/>
                <w:sz w:val="26"/>
                <w:szCs w:val="26"/>
              </w:rPr>
              <w:t xml:space="preserve"> Kenya</w:t>
            </w:r>
            <w:r>
              <w:rPr>
                <w:b/>
                <w:bCs/>
                <w:sz w:val="26"/>
                <w:szCs w:val="26"/>
              </w:rPr>
              <w:t>,</w:t>
            </w:r>
            <w:r w:rsidRPr="006D4EA0">
              <w:rPr>
                <w:b/>
                <w:bCs/>
                <w:sz w:val="26"/>
                <w:szCs w:val="26"/>
              </w:rPr>
              <w:t xml:space="preserve"> </w:t>
            </w:r>
            <w:r>
              <w:rPr>
                <w:b/>
                <w:bCs/>
                <w:sz w:val="26"/>
                <w:szCs w:val="26"/>
              </w:rPr>
              <w:t xml:space="preserve">8-9 April </w:t>
            </w:r>
            <w:r w:rsidRPr="006D4EA0">
              <w:rPr>
                <w:b/>
                <w:bCs/>
                <w:sz w:val="26"/>
                <w:szCs w:val="26"/>
              </w:rPr>
              <w:t>202</w:t>
            </w:r>
            <w:r>
              <w:rPr>
                <w:b/>
                <w:bCs/>
                <w:sz w:val="26"/>
                <w:szCs w:val="26"/>
              </w:rPr>
              <w:t>5</w:t>
            </w:r>
          </w:p>
        </w:tc>
        <w:tc>
          <w:tcPr>
            <w:tcW w:w="1666" w:type="dxa"/>
          </w:tcPr>
          <w:p w14:paraId="67E7B4C4" w14:textId="0F52E4CC" w:rsidR="00082F08" w:rsidRPr="00C7320D" w:rsidRDefault="00082F08" w:rsidP="00082F08">
            <w:pPr>
              <w:spacing w:after="120"/>
              <w:ind w:right="142"/>
              <w:jc w:val="right"/>
            </w:pPr>
            <w:r w:rsidRPr="00C7320D">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C7320D" w14:paraId="3C13197B" w14:textId="77777777" w:rsidTr="00D07E2B">
        <w:trPr>
          <w:cantSplit/>
        </w:trPr>
        <w:tc>
          <w:tcPr>
            <w:tcW w:w="6379" w:type="dxa"/>
            <w:gridSpan w:val="2"/>
            <w:tcBorders>
              <w:top w:val="single" w:sz="12" w:space="0" w:color="auto"/>
            </w:tcBorders>
          </w:tcPr>
          <w:p w14:paraId="2EED9DB2" w14:textId="77777777" w:rsidR="00683C32" w:rsidRPr="00C7320D"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C7320D" w:rsidRDefault="00683C32" w:rsidP="00107E85">
            <w:pPr>
              <w:spacing w:before="0"/>
              <w:rPr>
                <w:b/>
                <w:bCs/>
                <w:sz w:val="20"/>
              </w:rPr>
            </w:pPr>
          </w:p>
        </w:tc>
      </w:tr>
      <w:tr w:rsidR="00706440" w:rsidRPr="00C7320D" w14:paraId="0BB3FBC4" w14:textId="77777777" w:rsidTr="00845DF3">
        <w:trPr>
          <w:cantSplit/>
        </w:trPr>
        <w:tc>
          <w:tcPr>
            <w:tcW w:w="6379" w:type="dxa"/>
            <w:gridSpan w:val="2"/>
          </w:tcPr>
          <w:p w14:paraId="43C54B3D" w14:textId="77777777" w:rsidR="00706440" w:rsidRPr="00C7320D" w:rsidRDefault="00706440" w:rsidP="00706440">
            <w:pPr>
              <w:pStyle w:val="Committee"/>
              <w:spacing w:before="0"/>
              <w:rPr>
                <w:b w:val="0"/>
                <w:szCs w:val="24"/>
              </w:rPr>
            </w:pPr>
          </w:p>
        </w:tc>
        <w:tc>
          <w:tcPr>
            <w:tcW w:w="3509" w:type="dxa"/>
            <w:gridSpan w:val="2"/>
            <w:shd w:val="clear" w:color="auto" w:fill="auto"/>
          </w:tcPr>
          <w:p w14:paraId="02E44EE9" w14:textId="59F6047F" w:rsidR="00706440" w:rsidRPr="00845DF3" w:rsidRDefault="00706440" w:rsidP="00706440">
            <w:pPr>
              <w:spacing w:before="0"/>
              <w:jc w:val="both"/>
              <w:rPr>
                <w:bCs/>
                <w:szCs w:val="24"/>
              </w:rPr>
            </w:pPr>
            <w:r w:rsidRPr="00845DF3">
              <w:rPr>
                <w:b/>
                <w:bCs/>
              </w:rPr>
              <w:t xml:space="preserve">Document </w:t>
            </w:r>
            <w:bookmarkStart w:id="0" w:name="DocRef1"/>
            <w:bookmarkEnd w:id="0"/>
            <w:r w:rsidR="00121846" w:rsidRPr="00845DF3">
              <w:rPr>
                <w:b/>
                <w:bCs/>
              </w:rPr>
              <w:t>RPM-</w:t>
            </w:r>
            <w:r w:rsidR="0019574B" w:rsidRPr="00845DF3">
              <w:rPr>
                <w:b/>
                <w:bCs/>
              </w:rPr>
              <w:t>A</w:t>
            </w:r>
            <w:r w:rsidR="00093C9A" w:rsidRPr="00845DF3">
              <w:rPr>
                <w:b/>
                <w:bCs/>
              </w:rPr>
              <w:t>FR</w:t>
            </w:r>
            <w:r w:rsidR="00121846" w:rsidRPr="00845DF3">
              <w:rPr>
                <w:b/>
                <w:bCs/>
              </w:rPr>
              <w:t>25</w:t>
            </w:r>
            <w:r w:rsidRPr="00845DF3">
              <w:rPr>
                <w:b/>
                <w:bCs/>
              </w:rPr>
              <w:t>/</w:t>
            </w:r>
            <w:r w:rsidR="002B2720" w:rsidRPr="00845DF3">
              <w:rPr>
                <w:b/>
                <w:bCs/>
              </w:rPr>
              <w:t>3</w:t>
            </w:r>
            <w:r w:rsidRPr="00845DF3">
              <w:rPr>
                <w:b/>
                <w:bCs/>
              </w:rPr>
              <w:t>-E</w:t>
            </w:r>
          </w:p>
        </w:tc>
      </w:tr>
      <w:tr w:rsidR="00706440" w:rsidRPr="00C7320D" w14:paraId="24D04936" w14:textId="77777777" w:rsidTr="00845DF3">
        <w:trPr>
          <w:cantSplit/>
        </w:trPr>
        <w:tc>
          <w:tcPr>
            <w:tcW w:w="6379" w:type="dxa"/>
            <w:gridSpan w:val="2"/>
          </w:tcPr>
          <w:p w14:paraId="12CE4DBF" w14:textId="77777777" w:rsidR="00706440" w:rsidRPr="00C7320D" w:rsidRDefault="00706440" w:rsidP="00706440">
            <w:pPr>
              <w:spacing w:before="0"/>
              <w:rPr>
                <w:b/>
                <w:bCs/>
                <w:smallCaps/>
                <w:szCs w:val="24"/>
              </w:rPr>
            </w:pPr>
          </w:p>
        </w:tc>
        <w:tc>
          <w:tcPr>
            <w:tcW w:w="3509" w:type="dxa"/>
            <w:gridSpan w:val="2"/>
            <w:shd w:val="clear" w:color="auto" w:fill="auto"/>
          </w:tcPr>
          <w:p w14:paraId="0F89640F" w14:textId="5395F05E" w:rsidR="00706440" w:rsidRPr="00845DF3" w:rsidRDefault="00C82F48" w:rsidP="00706440">
            <w:pPr>
              <w:spacing w:before="0"/>
              <w:rPr>
                <w:b/>
                <w:szCs w:val="24"/>
              </w:rPr>
            </w:pPr>
            <w:bookmarkStart w:id="1" w:name="CreationDate"/>
            <w:bookmarkEnd w:id="1"/>
            <w:r w:rsidRPr="00845DF3">
              <w:rPr>
                <w:b/>
                <w:bCs/>
                <w:szCs w:val="28"/>
              </w:rPr>
              <w:t xml:space="preserve">4 March </w:t>
            </w:r>
            <w:r w:rsidR="00706440" w:rsidRPr="00845DF3">
              <w:rPr>
                <w:b/>
                <w:bCs/>
                <w:szCs w:val="28"/>
              </w:rPr>
              <w:t>202</w:t>
            </w:r>
            <w:r w:rsidR="001E5D41" w:rsidRPr="00845DF3">
              <w:rPr>
                <w:b/>
                <w:bCs/>
                <w:szCs w:val="28"/>
              </w:rPr>
              <w:t>5</w:t>
            </w:r>
          </w:p>
        </w:tc>
      </w:tr>
      <w:tr w:rsidR="00706440" w:rsidRPr="00C7320D" w14:paraId="7B96545F" w14:textId="77777777" w:rsidTr="00845DF3">
        <w:trPr>
          <w:cantSplit/>
        </w:trPr>
        <w:tc>
          <w:tcPr>
            <w:tcW w:w="6379" w:type="dxa"/>
            <w:gridSpan w:val="2"/>
          </w:tcPr>
          <w:p w14:paraId="65956FD3" w14:textId="77777777" w:rsidR="00706440" w:rsidRPr="00C7320D" w:rsidRDefault="00706440" w:rsidP="00706440">
            <w:pPr>
              <w:spacing w:before="0"/>
              <w:rPr>
                <w:b/>
                <w:bCs/>
                <w:smallCaps/>
                <w:szCs w:val="24"/>
              </w:rPr>
            </w:pPr>
          </w:p>
        </w:tc>
        <w:tc>
          <w:tcPr>
            <w:tcW w:w="3509" w:type="dxa"/>
            <w:gridSpan w:val="2"/>
            <w:shd w:val="clear" w:color="auto" w:fill="auto"/>
          </w:tcPr>
          <w:p w14:paraId="30EFD39F" w14:textId="7F09BA89" w:rsidR="00706440" w:rsidRPr="00845DF3" w:rsidRDefault="00211AA5" w:rsidP="00706440">
            <w:pPr>
              <w:spacing w:before="0"/>
              <w:rPr>
                <w:szCs w:val="24"/>
              </w:rPr>
            </w:pPr>
            <w:bookmarkStart w:id="2" w:name="Original"/>
            <w:bookmarkEnd w:id="2"/>
            <w:r w:rsidRPr="00845DF3">
              <w:rPr>
                <w:b/>
              </w:rPr>
              <w:t xml:space="preserve">Original: </w:t>
            </w:r>
            <w:r w:rsidR="00706440" w:rsidRPr="00845DF3">
              <w:rPr>
                <w:b/>
              </w:rPr>
              <w:t>Englis</w:t>
            </w:r>
            <w:r w:rsidRPr="00845DF3">
              <w:rPr>
                <w:b/>
              </w:rPr>
              <w:t>h</w:t>
            </w:r>
          </w:p>
        </w:tc>
      </w:tr>
      <w:tr w:rsidR="00A13162" w:rsidRPr="00C7320D" w14:paraId="31656E31" w14:textId="77777777" w:rsidTr="00107E85">
        <w:trPr>
          <w:cantSplit/>
          <w:trHeight w:val="852"/>
        </w:trPr>
        <w:tc>
          <w:tcPr>
            <w:tcW w:w="9888" w:type="dxa"/>
            <w:gridSpan w:val="4"/>
          </w:tcPr>
          <w:p w14:paraId="512FCA01" w14:textId="2F8B68F3" w:rsidR="00A13162" w:rsidRPr="00C7320D" w:rsidRDefault="002D0346" w:rsidP="0030353C">
            <w:pPr>
              <w:pStyle w:val="Source"/>
            </w:pPr>
            <w:bookmarkStart w:id="3" w:name="Source"/>
            <w:bookmarkEnd w:id="3"/>
            <w:r w:rsidRPr="00C7320D">
              <w:t>Director, Telecommunication Development Bureau</w:t>
            </w:r>
          </w:p>
        </w:tc>
      </w:tr>
      <w:tr w:rsidR="00AC6F14" w:rsidRPr="00C7320D" w14:paraId="2CBD3A36" w14:textId="77777777" w:rsidTr="00107E85">
        <w:trPr>
          <w:cantSplit/>
        </w:trPr>
        <w:tc>
          <w:tcPr>
            <w:tcW w:w="9888" w:type="dxa"/>
            <w:gridSpan w:val="4"/>
          </w:tcPr>
          <w:p w14:paraId="1B4121DF" w14:textId="58D9F97C" w:rsidR="00AC6F14" w:rsidRPr="008E30DE" w:rsidRDefault="00511FF3" w:rsidP="00410A03">
            <w:pPr>
              <w:pStyle w:val="Title1"/>
              <w:rPr>
                <w:rFonts w:cs="Times New Roman"/>
                <w:bCs/>
              </w:rPr>
            </w:pPr>
            <w:bookmarkStart w:id="4" w:name="Title"/>
            <w:bookmarkEnd w:id="4"/>
            <w:r w:rsidRPr="008E30DE">
              <w:rPr>
                <w:bCs/>
              </w:rPr>
              <w:t>State of digital development and trends in</w:t>
            </w:r>
            <w:r w:rsidR="00410A03" w:rsidRPr="008E30DE">
              <w:rPr>
                <w:rFonts w:cs="Times New Roman"/>
                <w:bCs/>
              </w:rPr>
              <w:t xml:space="preserve"> the</w:t>
            </w:r>
            <w:r w:rsidRPr="008E30DE">
              <w:rPr>
                <w:bCs/>
              </w:rPr>
              <w:t xml:space="preserve"> </w:t>
            </w:r>
            <w:r w:rsidR="00093C9A" w:rsidRPr="008E30DE">
              <w:rPr>
                <w:bCs/>
              </w:rPr>
              <w:t>Africa</w:t>
            </w:r>
            <w:r w:rsidR="00410A03" w:rsidRPr="008E30DE">
              <w:rPr>
                <w:rFonts w:cs="Times New Roman"/>
                <w:bCs/>
              </w:rPr>
              <w:t xml:space="preserve"> region</w:t>
            </w:r>
            <w:r w:rsidRPr="008E30DE">
              <w:rPr>
                <w:bCs/>
              </w:rPr>
              <w:t xml:space="preserve">: </w:t>
            </w:r>
            <w:r w:rsidR="00410A03" w:rsidRPr="008E30DE">
              <w:rPr>
                <w:bCs/>
              </w:rPr>
              <w:br/>
            </w:r>
            <w:r w:rsidRPr="008E30DE">
              <w:rPr>
                <w:rFonts w:cs="Times New Roman"/>
                <w:bCs/>
              </w:rPr>
              <w:t>Challenges and opportunities</w:t>
            </w:r>
          </w:p>
        </w:tc>
      </w:tr>
      <w:tr w:rsidR="00A721F4" w:rsidRPr="00C7320D" w14:paraId="23A30231" w14:textId="77777777" w:rsidTr="00A721F4">
        <w:trPr>
          <w:cantSplit/>
        </w:trPr>
        <w:tc>
          <w:tcPr>
            <w:tcW w:w="9888" w:type="dxa"/>
            <w:gridSpan w:val="4"/>
            <w:tcBorders>
              <w:bottom w:val="single" w:sz="4" w:space="0" w:color="auto"/>
            </w:tcBorders>
          </w:tcPr>
          <w:p w14:paraId="726EE70E" w14:textId="77777777" w:rsidR="00A721F4" w:rsidRPr="00C7320D" w:rsidRDefault="00A721F4" w:rsidP="0030353C"/>
        </w:tc>
      </w:tr>
      <w:tr w:rsidR="00A721F4" w:rsidRPr="00C7320D"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E9C8590" w14:textId="77777777" w:rsidR="008D1CCB" w:rsidRPr="00845DF3" w:rsidRDefault="008D1CCB" w:rsidP="008D1CCB">
            <w:pPr>
              <w:pStyle w:val="Title1"/>
              <w:jc w:val="left"/>
              <w:rPr>
                <w:rFonts w:cstheme="minorHAnsi"/>
                <w:b/>
                <w:bCs/>
                <w:caps/>
                <w:sz w:val="24"/>
                <w:szCs w:val="24"/>
              </w:rPr>
            </w:pPr>
            <w:r w:rsidRPr="00845DF3">
              <w:rPr>
                <w:rFonts w:cstheme="minorHAnsi"/>
                <w:b/>
                <w:bCs/>
                <w:sz w:val="24"/>
                <w:szCs w:val="24"/>
              </w:rPr>
              <w:t>Agenda item:</w:t>
            </w:r>
          </w:p>
          <w:p w14:paraId="45BC9F9B" w14:textId="4508A5CA" w:rsidR="008D1CCB" w:rsidRPr="00845DF3" w:rsidRDefault="007931E8" w:rsidP="008D1CCB">
            <w:pPr>
              <w:pStyle w:val="Title1"/>
              <w:jc w:val="left"/>
              <w:rPr>
                <w:rFonts w:cstheme="minorHAnsi"/>
                <w:caps/>
                <w:sz w:val="24"/>
                <w:szCs w:val="24"/>
              </w:rPr>
            </w:pPr>
            <w:r w:rsidRPr="00845DF3">
              <w:rPr>
                <w:rFonts w:cstheme="minorHAnsi"/>
                <w:sz w:val="24"/>
                <w:szCs w:val="24"/>
              </w:rPr>
              <w:t>5</w:t>
            </w:r>
          </w:p>
          <w:p w14:paraId="7043E349" w14:textId="77777777" w:rsidR="008D1CCB" w:rsidRPr="00845DF3" w:rsidRDefault="008D1CCB" w:rsidP="008D1CCB">
            <w:pPr>
              <w:pStyle w:val="Title1"/>
              <w:jc w:val="left"/>
              <w:rPr>
                <w:rFonts w:cstheme="minorHAnsi"/>
                <w:b/>
                <w:bCs/>
                <w:caps/>
                <w:sz w:val="24"/>
                <w:szCs w:val="24"/>
              </w:rPr>
            </w:pPr>
            <w:r w:rsidRPr="00845DF3">
              <w:rPr>
                <w:rFonts w:cstheme="minorHAnsi"/>
                <w:b/>
                <w:bCs/>
                <w:sz w:val="24"/>
                <w:szCs w:val="24"/>
              </w:rPr>
              <w:t xml:space="preserve">Summary: </w:t>
            </w:r>
          </w:p>
          <w:p w14:paraId="19ACDF5B" w14:textId="3618C675" w:rsidR="0072774E" w:rsidRPr="00845DF3" w:rsidRDefault="0072774E" w:rsidP="0072774E">
            <w:r w:rsidRPr="00845DF3">
              <w:t xml:space="preserve">This document, prepared for the RPM for </w:t>
            </w:r>
            <w:r w:rsidR="00093C9A" w:rsidRPr="00845DF3">
              <w:t>Africa</w:t>
            </w:r>
            <w:r w:rsidRPr="00845DF3">
              <w:t xml:space="preserve">, aims to </w:t>
            </w:r>
            <w:r w:rsidR="00511FF3" w:rsidRPr="00845DF3">
              <w:t xml:space="preserve">inform </w:t>
            </w:r>
            <w:r w:rsidRPr="00845DF3">
              <w:t>participants and stakeholders in setting the region’s digital agenda.</w:t>
            </w:r>
            <w:r w:rsidRPr="00845DF3">
              <w:rPr>
                <w:rStyle w:val="CommentReference"/>
              </w:rPr>
              <w:t xml:space="preserve"> </w:t>
            </w:r>
            <w:r w:rsidRPr="00845DF3">
              <w:t>It is structured into two parts: the first provides an overview of the state of digital connectivity in</w:t>
            </w:r>
            <w:r w:rsidR="0086265F" w:rsidRPr="00845DF3">
              <w:t xml:space="preserve"> </w:t>
            </w:r>
            <w:r w:rsidR="00093C9A" w:rsidRPr="00845DF3">
              <w:t>Africa</w:t>
            </w:r>
            <w:r w:rsidR="0086265F" w:rsidRPr="00845DF3">
              <w:t xml:space="preserve"> </w:t>
            </w:r>
            <w:r w:rsidRPr="00845DF3">
              <w:t>through key indicators, and the second highlights impactful case studies from the region.</w:t>
            </w:r>
          </w:p>
          <w:p w14:paraId="1CD88A00" w14:textId="77777777" w:rsidR="008D1CCB" w:rsidRPr="00845DF3" w:rsidRDefault="008D1CCB" w:rsidP="008D1CCB">
            <w:pPr>
              <w:pStyle w:val="Title1"/>
              <w:jc w:val="left"/>
              <w:rPr>
                <w:rFonts w:cstheme="minorHAnsi"/>
                <w:b/>
                <w:bCs/>
                <w:caps/>
                <w:sz w:val="24"/>
                <w:szCs w:val="24"/>
              </w:rPr>
            </w:pPr>
            <w:r w:rsidRPr="00845DF3">
              <w:rPr>
                <w:rFonts w:cstheme="minorHAnsi"/>
                <w:b/>
                <w:bCs/>
                <w:sz w:val="24"/>
                <w:szCs w:val="24"/>
              </w:rPr>
              <w:t>Expected results:</w:t>
            </w:r>
          </w:p>
          <w:p w14:paraId="5C751A3F" w14:textId="715FC06A" w:rsidR="002D0346" w:rsidRPr="00845DF3" w:rsidRDefault="009F5D8F" w:rsidP="008D1CCB">
            <w:pPr>
              <w:pStyle w:val="Title1"/>
              <w:jc w:val="left"/>
              <w:rPr>
                <w:rFonts w:cstheme="minorHAnsi"/>
                <w:sz w:val="24"/>
                <w:szCs w:val="24"/>
              </w:rPr>
            </w:pPr>
            <w:r w:rsidRPr="00845DF3">
              <w:rPr>
                <w:rFonts w:cstheme="minorHAnsi"/>
                <w:sz w:val="24"/>
                <w:szCs w:val="24"/>
              </w:rPr>
              <w:t>R</w:t>
            </w:r>
            <w:r w:rsidR="002D0346" w:rsidRPr="00845DF3">
              <w:rPr>
                <w:rFonts w:cstheme="minorHAnsi"/>
                <w:sz w:val="24"/>
                <w:szCs w:val="24"/>
              </w:rPr>
              <w:t>PM-</w:t>
            </w:r>
            <w:r w:rsidR="0086265F" w:rsidRPr="00845DF3">
              <w:rPr>
                <w:rFonts w:cstheme="minorHAnsi"/>
                <w:sz w:val="24"/>
                <w:szCs w:val="24"/>
              </w:rPr>
              <w:t>A</w:t>
            </w:r>
            <w:r w:rsidR="003D0AEA" w:rsidRPr="00845DF3">
              <w:rPr>
                <w:rFonts w:cstheme="minorHAnsi"/>
                <w:sz w:val="24"/>
                <w:szCs w:val="24"/>
              </w:rPr>
              <w:t>FR</w:t>
            </w:r>
            <w:r w:rsidR="002D0346" w:rsidRPr="00845DF3">
              <w:rPr>
                <w:rFonts w:cstheme="minorHAnsi"/>
                <w:sz w:val="24"/>
                <w:szCs w:val="24"/>
              </w:rPr>
              <w:t xml:space="preserve"> is invited to note this document</w:t>
            </w:r>
          </w:p>
          <w:p w14:paraId="4CD2685E" w14:textId="3B80EF9C" w:rsidR="008D1CCB" w:rsidRPr="00845DF3" w:rsidRDefault="008D1CCB" w:rsidP="008D1CCB">
            <w:pPr>
              <w:pStyle w:val="Title1"/>
              <w:jc w:val="left"/>
              <w:rPr>
                <w:rFonts w:cstheme="minorHAnsi"/>
                <w:b/>
                <w:bCs/>
                <w:caps/>
                <w:sz w:val="24"/>
                <w:szCs w:val="24"/>
              </w:rPr>
            </w:pPr>
            <w:r w:rsidRPr="00845DF3">
              <w:rPr>
                <w:rFonts w:cstheme="minorHAnsi"/>
                <w:b/>
                <w:bCs/>
                <w:sz w:val="24"/>
                <w:szCs w:val="24"/>
              </w:rPr>
              <w:t>References:</w:t>
            </w:r>
          </w:p>
          <w:p w14:paraId="1ECDD20E" w14:textId="55031060" w:rsidR="00A721F4" w:rsidRPr="00845DF3" w:rsidRDefault="002D0346" w:rsidP="008D1CCB">
            <w:pPr>
              <w:spacing w:after="120"/>
            </w:pPr>
            <w:r w:rsidRPr="00845DF3">
              <w:t>N/A</w:t>
            </w:r>
          </w:p>
        </w:tc>
      </w:tr>
    </w:tbl>
    <w:p w14:paraId="76DECBE4" w14:textId="77777777" w:rsidR="00EA2854" w:rsidRPr="00C7320D" w:rsidRDefault="00EA2854" w:rsidP="00EA2854"/>
    <w:p w14:paraId="66A31481" w14:textId="2E9E4690" w:rsidR="006C41B5" w:rsidRPr="00C7320D" w:rsidRDefault="00923CF1" w:rsidP="006C41B5">
      <w:pPr>
        <w:pStyle w:val="Title"/>
        <w:rPr>
          <w:rFonts w:ascii="Aptos Display" w:eastAsia="Yu Gothic Light" w:hAnsi="Aptos Display"/>
          <w:sz w:val="48"/>
          <w14:ligatures w14:val="standardContextual"/>
        </w:rPr>
      </w:pPr>
      <w:r w:rsidRPr="00C7320D">
        <w:br w:type="page"/>
      </w:r>
      <w:r w:rsidR="006C41B5" w:rsidRPr="00C7320D">
        <w:rPr>
          <w:rFonts w:ascii="Aptos Display" w:eastAsia="Yu Gothic Light" w:hAnsi="Aptos Display"/>
          <w:sz w:val="48"/>
          <w14:ligatures w14:val="standardContextual"/>
        </w:rPr>
        <w:lastRenderedPageBreak/>
        <w:t xml:space="preserve">State of digital development and trends in </w:t>
      </w:r>
      <w:r w:rsidR="00410A03" w:rsidRPr="00C7320D">
        <w:rPr>
          <w:rFonts w:ascii="Aptos Display" w:eastAsia="Yu Gothic Light" w:hAnsi="Aptos Display"/>
          <w:sz w:val="48"/>
          <w14:ligatures w14:val="standardContextual"/>
        </w:rPr>
        <w:t xml:space="preserve">the </w:t>
      </w:r>
      <w:r w:rsidR="00093C9A" w:rsidRPr="00C7320D">
        <w:rPr>
          <w:rFonts w:ascii="Aptos Display" w:eastAsia="Yu Gothic Light" w:hAnsi="Aptos Display"/>
          <w:sz w:val="48"/>
          <w14:ligatures w14:val="standardContextual"/>
        </w:rPr>
        <w:t>Africa</w:t>
      </w:r>
      <w:r w:rsidR="00410A03" w:rsidRPr="00C7320D">
        <w:rPr>
          <w:rFonts w:ascii="Aptos Display" w:eastAsia="Yu Gothic Light" w:hAnsi="Aptos Display"/>
          <w:sz w:val="48"/>
          <w14:ligatures w14:val="standardContextual"/>
        </w:rPr>
        <w:t xml:space="preserve"> region</w:t>
      </w:r>
      <w:r w:rsidR="006C41B5" w:rsidRPr="00C7320D">
        <w:rPr>
          <w:rFonts w:ascii="Aptos Display" w:eastAsia="Yu Gothic Light" w:hAnsi="Aptos Display"/>
          <w:sz w:val="48"/>
          <w14:ligatures w14:val="standardContextual"/>
        </w:rPr>
        <w:t xml:space="preserve">: Challenges and opportunities </w:t>
      </w:r>
    </w:p>
    <w:p w14:paraId="195698D8" w14:textId="5287DB26" w:rsidR="006C41B5" w:rsidRPr="00C7320D" w:rsidRDefault="003B78D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C7320D">
        <w:rPr>
          <w:rFonts w:ascii="Aptos Display" w:eastAsia="Aptos" w:hAnsi="Aptos Display" w:cs="Arial"/>
          <w:kern w:val="2"/>
          <w:sz w:val="28"/>
          <w:szCs w:val="28"/>
          <w14:ligatures w14:val="standardContextual"/>
        </w:rPr>
        <w:t>March</w:t>
      </w:r>
      <w:r w:rsidR="00670782" w:rsidRPr="00C7320D">
        <w:rPr>
          <w:rFonts w:ascii="Aptos Display" w:eastAsia="Aptos" w:hAnsi="Aptos Display" w:cs="Arial"/>
          <w:kern w:val="2"/>
          <w:sz w:val="28"/>
          <w:szCs w:val="28"/>
          <w14:ligatures w14:val="standardContextual"/>
        </w:rPr>
        <w:t xml:space="preserve"> </w:t>
      </w:r>
      <w:r w:rsidR="006C41B5" w:rsidRPr="00C7320D">
        <w:rPr>
          <w:rFonts w:ascii="Aptos Display" w:eastAsia="Aptos" w:hAnsi="Aptos Display" w:cs="Arial"/>
          <w:kern w:val="2"/>
          <w:sz w:val="28"/>
          <w:szCs w:val="28"/>
          <w14:ligatures w14:val="standardContextual"/>
        </w:rPr>
        <w:t>202</w:t>
      </w:r>
      <w:r w:rsidR="00CF6D86" w:rsidRPr="00C7320D">
        <w:rPr>
          <w:rFonts w:ascii="Aptos Display" w:eastAsia="Aptos" w:hAnsi="Aptos Display" w:cs="Arial"/>
          <w:kern w:val="2"/>
          <w:sz w:val="28"/>
          <w:szCs w:val="28"/>
          <w14:ligatures w14:val="standardContextual"/>
        </w:rPr>
        <w:t>5</w:t>
      </w:r>
    </w:p>
    <w:p w14:paraId="2A32533D" w14:textId="77777777" w:rsidR="006C41B5" w:rsidRPr="00C7320D"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C7320D">
        <w:rPr>
          <w:rFonts w:ascii="Aptos Display" w:eastAsia="Yu Gothic Light" w:hAnsi="Aptos Display"/>
          <w:color w:val="0F4761"/>
          <w:kern w:val="2"/>
          <w:sz w:val="40"/>
          <w:szCs w:val="40"/>
          <w14:ligatures w14:val="standardContextual"/>
        </w:rPr>
        <w:t>Contents</w:t>
      </w:r>
      <w:bookmarkEnd w:id="5"/>
    </w:p>
    <w:p w14:paraId="135B7568" w14:textId="379F72CA" w:rsidR="00D20298" w:rsidRPr="00C7320D" w:rsidRDefault="00203A56">
      <w:pPr>
        <w:pStyle w:val="TOC1"/>
        <w:tabs>
          <w:tab w:val="right" w:leader="dot" w:pos="9629"/>
        </w:tabs>
        <w:rPr>
          <w:rFonts w:eastAsiaTheme="minorEastAsia" w:cstheme="minorBidi"/>
          <w:b w:val="0"/>
          <w:bCs w:val="0"/>
          <w:noProof/>
          <w:kern w:val="2"/>
          <w:sz w:val="24"/>
          <w:szCs w:val="24"/>
          <w:lang w:eastAsia="en-GB"/>
          <w14:ligatures w14:val="standardContextual"/>
        </w:rPr>
      </w:pPr>
      <w:r w:rsidRPr="00C7320D">
        <w:rPr>
          <w:rFonts w:ascii="Aptos" w:eastAsia="Aptos" w:hAnsi="Aptos" w:cs="Arial"/>
          <w:kern w:val="2"/>
          <w:sz w:val="22"/>
          <w:szCs w:val="22"/>
          <w14:ligatures w14:val="standardContextual"/>
        </w:rPr>
        <w:fldChar w:fldCharType="begin"/>
      </w:r>
      <w:r w:rsidRPr="00C7320D">
        <w:rPr>
          <w:rFonts w:ascii="Aptos" w:eastAsia="Aptos" w:hAnsi="Aptos" w:cs="Arial"/>
          <w:kern w:val="2"/>
          <w:sz w:val="22"/>
          <w:szCs w:val="22"/>
          <w14:ligatures w14:val="standardContextual"/>
        </w:rPr>
        <w:instrText xml:space="preserve"> TOC \t "Part title,1,Section,2" </w:instrText>
      </w:r>
      <w:r w:rsidRPr="00C7320D">
        <w:rPr>
          <w:rFonts w:ascii="Aptos" w:eastAsia="Aptos" w:hAnsi="Aptos" w:cs="Arial"/>
          <w:kern w:val="2"/>
          <w:sz w:val="22"/>
          <w:szCs w:val="22"/>
          <w14:ligatures w14:val="standardContextual"/>
        </w:rPr>
        <w:fldChar w:fldCharType="separate"/>
      </w:r>
      <w:r w:rsidR="00D20298" w:rsidRPr="00C7320D">
        <w:rPr>
          <w:noProof/>
        </w:rPr>
        <w:t>Introduction</w:t>
      </w:r>
      <w:r w:rsidR="00D20298" w:rsidRPr="00C7320D">
        <w:rPr>
          <w:noProof/>
        </w:rPr>
        <w:tab/>
      </w:r>
      <w:r w:rsidR="00D20298" w:rsidRPr="00C7320D">
        <w:rPr>
          <w:noProof/>
        </w:rPr>
        <w:fldChar w:fldCharType="begin"/>
      </w:r>
      <w:r w:rsidR="00D20298" w:rsidRPr="00C7320D">
        <w:rPr>
          <w:noProof/>
        </w:rPr>
        <w:instrText xml:space="preserve"> PAGEREF _Toc191378076 \h </w:instrText>
      </w:r>
      <w:r w:rsidR="00D20298" w:rsidRPr="00C7320D">
        <w:rPr>
          <w:noProof/>
        </w:rPr>
      </w:r>
      <w:r w:rsidR="00D20298" w:rsidRPr="00C7320D">
        <w:rPr>
          <w:noProof/>
        </w:rPr>
        <w:fldChar w:fldCharType="separate"/>
      </w:r>
      <w:r w:rsidR="00D20298" w:rsidRPr="00C7320D">
        <w:rPr>
          <w:noProof/>
        </w:rPr>
        <w:t>3</w:t>
      </w:r>
      <w:r w:rsidR="00D20298" w:rsidRPr="00C7320D">
        <w:rPr>
          <w:noProof/>
        </w:rPr>
        <w:fldChar w:fldCharType="end"/>
      </w:r>
    </w:p>
    <w:p w14:paraId="36B3E0E3" w14:textId="208134B6" w:rsidR="00D20298" w:rsidRPr="00C7320D" w:rsidRDefault="00D20298">
      <w:pPr>
        <w:pStyle w:val="TOC1"/>
        <w:tabs>
          <w:tab w:val="right" w:leader="dot" w:pos="9629"/>
        </w:tabs>
        <w:rPr>
          <w:rFonts w:eastAsiaTheme="minorEastAsia" w:cstheme="minorBidi"/>
          <w:b w:val="0"/>
          <w:bCs w:val="0"/>
          <w:noProof/>
          <w:kern w:val="2"/>
          <w:sz w:val="24"/>
          <w:szCs w:val="24"/>
          <w:lang w:eastAsia="en-GB"/>
          <w14:ligatures w14:val="standardContextual"/>
        </w:rPr>
      </w:pPr>
      <w:r w:rsidRPr="00C7320D">
        <w:rPr>
          <w:noProof/>
        </w:rPr>
        <w:t>Part 1. The state of digital connectivity in Africa and recent trends</w:t>
      </w:r>
      <w:r w:rsidRPr="00C7320D">
        <w:rPr>
          <w:noProof/>
        </w:rPr>
        <w:tab/>
      </w:r>
      <w:r w:rsidRPr="00C7320D">
        <w:rPr>
          <w:noProof/>
        </w:rPr>
        <w:fldChar w:fldCharType="begin"/>
      </w:r>
      <w:r w:rsidRPr="00C7320D">
        <w:rPr>
          <w:noProof/>
        </w:rPr>
        <w:instrText xml:space="preserve"> PAGEREF _Toc191378077 \h </w:instrText>
      </w:r>
      <w:r w:rsidRPr="00C7320D">
        <w:rPr>
          <w:noProof/>
        </w:rPr>
      </w:r>
      <w:r w:rsidRPr="00C7320D">
        <w:rPr>
          <w:noProof/>
        </w:rPr>
        <w:fldChar w:fldCharType="separate"/>
      </w:r>
      <w:r w:rsidRPr="00C7320D">
        <w:rPr>
          <w:noProof/>
        </w:rPr>
        <w:t>4</w:t>
      </w:r>
      <w:r w:rsidRPr="00C7320D">
        <w:rPr>
          <w:noProof/>
        </w:rPr>
        <w:fldChar w:fldCharType="end"/>
      </w:r>
    </w:p>
    <w:p w14:paraId="2DC73098" w14:textId="3EC79D16"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ICT regulation and digital policy frameworks</w:t>
      </w:r>
      <w:r w:rsidRPr="00C7320D">
        <w:rPr>
          <w:noProof/>
        </w:rPr>
        <w:tab/>
      </w:r>
      <w:r w:rsidRPr="00C7320D">
        <w:rPr>
          <w:noProof/>
        </w:rPr>
        <w:fldChar w:fldCharType="begin"/>
      </w:r>
      <w:r w:rsidRPr="00C7320D">
        <w:rPr>
          <w:noProof/>
        </w:rPr>
        <w:instrText xml:space="preserve"> PAGEREF _Toc191378078 \h </w:instrText>
      </w:r>
      <w:r w:rsidRPr="00C7320D">
        <w:rPr>
          <w:noProof/>
        </w:rPr>
      </w:r>
      <w:r w:rsidRPr="00C7320D">
        <w:rPr>
          <w:noProof/>
        </w:rPr>
        <w:fldChar w:fldCharType="separate"/>
      </w:r>
      <w:r w:rsidRPr="00C7320D">
        <w:rPr>
          <w:noProof/>
        </w:rPr>
        <w:t>4</w:t>
      </w:r>
      <w:r w:rsidRPr="00C7320D">
        <w:rPr>
          <w:noProof/>
        </w:rPr>
        <w:fldChar w:fldCharType="end"/>
      </w:r>
    </w:p>
    <w:p w14:paraId="4D9FFFAD" w14:textId="5C50315C"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Internet use</w:t>
      </w:r>
      <w:r w:rsidRPr="00C7320D">
        <w:rPr>
          <w:noProof/>
        </w:rPr>
        <w:tab/>
      </w:r>
      <w:r w:rsidRPr="00C7320D">
        <w:rPr>
          <w:noProof/>
        </w:rPr>
        <w:fldChar w:fldCharType="begin"/>
      </w:r>
      <w:r w:rsidRPr="00C7320D">
        <w:rPr>
          <w:noProof/>
        </w:rPr>
        <w:instrText xml:space="preserve"> PAGEREF _Toc191378079 \h </w:instrText>
      </w:r>
      <w:r w:rsidRPr="00C7320D">
        <w:rPr>
          <w:noProof/>
        </w:rPr>
      </w:r>
      <w:r w:rsidRPr="00C7320D">
        <w:rPr>
          <w:noProof/>
        </w:rPr>
        <w:fldChar w:fldCharType="separate"/>
      </w:r>
      <w:r w:rsidRPr="00C7320D">
        <w:rPr>
          <w:noProof/>
        </w:rPr>
        <w:t>10</w:t>
      </w:r>
      <w:r w:rsidRPr="00C7320D">
        <w:rPr>
          <w:noProof/>
        </w:rPr>
        <w:fldChar w:fldCharType="end"/>
      </w:r>
    </w:p>
    <w:p w14:paraId="0E205C21" w14:textId="7B4FEAB2"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Broadband subscriptions</w:t>
      </w:r>
      <w:r w:rsidRPr="00C7320D">
        <w:rPr>
          <w:noProof/>
        </w:rPr>
        <w:tab/>
      </w:r>
      <w:r w:rsidRPr="00C7320D">
        <w:rPr>
          <w:noProof/>
        </w:rPr>
        <w:fldChar w:fldCharType="begin"/>
      </w:r>
      <w:r w:rsidRPr="00C7320D">
        <w:rPr>
          <w:noProof/>
        </w:rPr>
        <w:instrText xml:space="preserve"> PAGEREF _Toc191378080 \h </w:instrText>
      </w:r>
      <w:r w:rsidRPr="00C7320D">
        <w:rPr>
          <w:noProof/>
        </w:rPr>
      </w:r>
      <w:r w:rsidRPr="00C7320D">
        <w:rPr>
          <w:noProof/>
        </w:rPr>
        <w:fldChar w:fldCharType="separate"/>
      </w:r>
      <w:r w:rsidRPr="00C7320D">
        <w:rPr>
          <w:noProof/>
        </w:rPr>
        <w:t>15</w:t>
      </w:r>
      <w:r w:rsidRPr="00C7320D">
        <w:rPr>
          <w:noProof/>
        </w:rPr>
        <w:fldChar w:fldCharType="end"/>
      </w:r>
    </w:p>
    <w:p w14:paraId="0A7B0E05" w14:textId="36AC2D05"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Mobile network coverage</w:t>
      </w:r>
      <w:r w:rsidRPr="00C7320D">
        <w:rPr>
          <w:noProof/>
        </w:rPr>
        <w:tab/>
      </w:r>
      <w:r w:rsidRPr="00C7320D">
        <w:rPr>
          <w:noProof/>
        </w:rPr>
        <w:fldChar w:fldCharType="begin"/>
      </w:r>
      <w:r w:rsidRPr="00C7320D">
        <w:rPr>
          <w:noProof/>
        </w:rPr>
        <w:instrText xml:space="preserve"> PAGEREF _Toc191378081 \h </w:instrText>
      </w:r>
      <w:r w:rsidRPr="00C7320D">
        <w:rPr>
          <w:noProof/>
        </w:rPr>
      </w:r>
      <w:r w:rsidRPr="00C7320D">
        <w:rPr>
          <w:noProof/>
        </w:rPr>
        <w:fldChar w:fldCharType="separate"/>
      </w:r>
      <w:r w:rsidRPr="00C7320D">
        <w:rPr>
          <w:noProof/>
        </w:rPr>
        <w:t>17</w:t>
      </w:r>
      <w:r w:rsidRPr="00C7320D">
        <w:rPr>
          <w:noProof/>
        </w:rPr>
        <w:fldChar w:fldCharType="end"/>
      </w:r>
    </w:p>
    <w:p w14:paraId="2DD599DA" w14:textId="7B4C0394"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Availability of fixed-broadband infrastructure</w:t>
      </w:r>
      <w:r w:rsidRPr="00C7320D">
        <w:rPr>
          <w:noProof/>
        </w:rPr>
        <w:tab/>
      </w:r>
      <w:r w:rsidRPr="00C7320D">
        <w:rPr>
          <w:noProof/>
        </w:rPr>
        <w:fldChar w:fldCharType="begin"/>
      </w:r>
      <w:r w:rsidRPr="00C7320D">
        <w:rPr>
          <w:noProof/>
        </w:rPr>
        <w:instrText xml:space="preserve"> PAGEREF _Toc191378082 \h </w:instrText>
      </w:r>
      <w:r w:rsidRPr="00C7320D">
        <w:rPr>
          <w:noProof/>
        </w:rPr>
      </w:r>
      <w:r w:rsidRPr="00C7320D">
        <w:rPr>
          <w:noProof/>
        </w:rPr>
        <w:fldChar w:fldCharType="separate"/>
      </w:r>
      <w:r w:rsidRPr="00C7320D">
        <w:rPr>
          <w:noProof/>
        </w:rPr>
        <w:t>20</w:t>
      </w:r>
      <w:r w:rsidRPr="00C7320D">
        <w:rPr>
          <w:noProof/>
        </w:rPr>
        <w:fldChar w:fldCharType="end"/>
      </w:r>
    </w:p>
    <w:p w14:paraId="767C1755" w14:textId="4284929B"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Internet traffic and international bandwidth</w:t>
      </w:r>
      <w:r w:rsidRPr="00C7320D">
        <w:rPr>
          <w:noProof/>
        </w:rPr>
        <w:tab/>
      </w:r>
      <w:r w:rsidRPr="00C7320D">
        <w:rPr>
          <w:noProof/>
        </w:rPr>
        <w:fldChar w:fldCharType="begin"/>
      </w:r>
      <w:r w:rsidRPr="00C7320D">
        <w:rPr>
          <w:noProof/>
        </w:rPr>
        <w:instrText xml:space="preserve"> PAGEREF _Toc191378083 \h </w:instrText>
      </w:r>
      <w:r w:rsidRPr="00C7320D">
        <w:rPr>
          <w:noProof/>
        </w:rPr>
      </w:r>
      <w:r w:rsidRPr="00C7320D">
        <w:rPr>
          <w:noProof/>
        </w:rPr>
        <w:fldChar w:fldCharType="separate"/>
      </w:r>
      <w:r w:rsidRPr="00C7320D">
        <w:rPr>
          <w:noProof/>
        </w:rPr>
        <w:t>22</w:t>
      </w:r>
      <w:r w:rsidRPr="00C7320D">
        <w:rPr>
          <w:noProof/>
        </w:rPr>
        <w:fldChar w:fldCharType="end"/>
      </w:r>
    </w:p>
    <w:p w14:paraId="1198219A" w14:textId="3D92D4BB"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Affordability of ICT services</w:t>
      </w:r>
      <w:r w:rsidRPr="00C7320D">
        <w:rPr>
          <w:noProof/>
        </w:rPr>
        <w:tab/>
      </w:r>
      <w:r w:rsidRPr="00C7320D">
        <w:rPr>
          <w:noProof/>
        </w:rPr>
        <w:fldChar w:fldCharType="begin"/>
      </w:r>
      <w:r w:rsidRPr="00C7320D">
        <w:rPr>
          <w:noProof/>
        </w:rPr>
        <w:instrText xml:space="preserve"> PAGEREF _Toc191378084 \h </w:instrText>
      </w:r>
      <w:r w:rsidRPr="00C7320D">
        <w:rPr>
          <w:noProof/>
        </w:rPr>
      </w:r>
      <w:r w:rsidRPr="00C7320D">
        <w:rPr>
          <w:noProof/>
        </w:rPr>
        <w:fldChar w:fldCharType="separate"/>
      </w:r>
      <w:r w:rsidRPr="00C7320D">
        <w:rPr>
          <w:noProof/>
        </w:rPr>
        <w:t>25</w:t>
      </w:r>
      <w:r w:rsidRPr="00C7320D">
        <w:rPr>
          <w:noProof/>
        </w:rPr>
        <w:fldChar w:fldCharType="end"/>
      </w:r>
    </w:p>
    <w:p w14:paraId="144DBF07" w14:textId="14E29274"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Mobile phone ownership and subscriptions</w:t>
      </w:r>
      <w:r w:rsidRPr="00C7320D">
        <w:rPr>
          <w:noProof/>
        </w:rPr>
        <w:tab/>
      </w:r>
      <w:r w:rsidRPr="00C7320D">
        <w:rPr>
          <w:noProof/>
        </w:rPr>
        <w:fldChar w:fldCharType="begin"/>
      </w:r>
      <w:r w:rsidRPr="00C7320D">
        <w:rPr>
          <w:noProof/>
        </w:rPr>
        <w:instrText xml:space="preserve"> PAGEREF _Toc191378085 \h </w:instrText>
      </w:r>
      <w:r w:rsidRPr="00C7320D">
        <w:rPr>
          <w:noProof/>
        </w:rPr>
      </w:r>
      <w:r w:rsidRPr="00C7320D">
        <w:rPr>
          <w:noProof/>
        </w:rPr>
        <w:fldChar w:fldCharType="separate"/>
      </w:r>
      <w:r w:rsidRPr="00C7320D">
        <w:rPr>
          <w:noProof/>
        </w:rPr>
        <w:t>27</w:t>
      </w:r>
      <w:r w:rsidRPr="00C7320D">
        <w:rPr>
          <w:noProof/>
        </w:rPr>
        <w:fldChar w:fldCharType="end"/>
      </w:r>
    </w:p>
    <w:p w14:paraId="05A63E39" w14:textId="5CFF2670"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ICT skills</w:t>
      </w:r>
      <w:r w:rsidRPr="00C7320D">
        <w:rPr>
          <w:noProof/>
        </w:rPr>
        <w:tab/>
      </w:r>
      <w:r w:rsidRPr="00C7320D">
        <w:rPr>
          <w:noProof/>
        </w:rPr>
        <w:fldChar w:fldCharType="begin"/>
      </w:r>
      <w:r w:rsidRPr="00C7320D">
        <w:rPr>
          <w:noProof/>
        </w:rPr>
        <w:instrText xml:space="preserve"> PAGEREF _Toc191378086 \h </w:instrText>
      </w:r>
      <w:r w:rsidRPr="00C7320D">
        <w:rPr>
          <w:noProof/>
        </w:rPr>
      </w:r>
      <w:r w:rsidRPr="00C7320D">
        <w:rPr>
          <w:noProof/>
        </w:rPr>
        <w:fldChar w:fldCharType="separate"/>
      </w:r>
      <w:r w:rsidRPr="00C7320D">
        <w:rPr>
          <w:noProof/>
        </w:rPr>
        <w:t>29</w:t>
      </w:r>
      <w:r w:rsidRPr="00C7320D">
        <w:rPr>
          <w:noProof/>
        </w:rPr>
        <w:fldChar w:fldCharType="end"/>
      </w:r>
    </w:p>
    <w:p w14:paraId="55ADB98B" w14:textId="4D458755"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Revenues and investment</w:t>
      </w:r>
      <w:r w:rsidRPr="00C7320D">
        <w:rPr>
          <w:noProof/>
        </w:rPr>
        <w:tab/>
      </w:r>
      <w:r w:rsidRPr="00C7320D">
        <w:rPr>
          <w:noProof/>
        </w:rPr>
        <w:fldChar w:fldCharType="begin"/>
      </w:r>
      <w:r w:rsidRPr="00C7320D">
        <w:rPr>
          <w:noProof/>
        </w:rPr>
        <w:instrText xml:space="preserve"> PAGEREF _Toc191378087 \h </w:instrText>
      </w:r>
      <w:r w:rsidRPr="00C7320D">
        <w:rPr>
          <w:noProof/>
        </w:rPr>
      </w:r>
      <w:r w:rsidRPr="00C7320D">
        <w:rPr>
          <w:noProof/>
        </w:rPr>
        <w:fldChar w:fldCharType="separate"/>
      </w:r>
      <w:r w:rsidRPr="00C7320D">
        <w:rPr>
          <w:noProof/>
        </w:rPr>
        <w:t>31</w:t>
      </w:r>
      <w:r w:rsidRPr="00C7320D">
        <w:rPr>
          <w:noProof/>
        </w:rPr>
        <w:fldChar w:fldCharType="end"/>
      </w:r>
    </w:p>
    <w:p w14:paraId="04B3E31D" w14:textId="6BF57C90"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Cybersecurity</w:t>
      </w:r>
      <w:r w:rsidRPr="00C7320D">
        <w:rPr>
          <w:noProof/>
        </w:rPr>
        <w:tab/>
      </w:r>
      <w:r w:rsidRPr="00C7320D">
        <w:rPr>
          <w:noProof/>
        </w:rPr>
        <w:fldChar w:fldCharType="begin"/>
      </w:r>
      <w:r w:rsidRPr="00C7320D">
        <w:rPr>
          <w:noProof/>
        </w:rPr>
        <w:instrText xml:space="preserve"> PAGEREF _Toc191378088 \h </w:instrText>
      </w:r>
      <w:r w:rsidRPr="00C7320D">
        <w:rPr>
          <w:noProof/>
        </w:rPr>
      </w:r>
      <w:r w:rsidRPr="00C7320D">
        <w:rPr>
          <w:noProof/>
        </w:rPr>
        <w:fldChar w:fldCharType="separate"/>
      </w:r>
      <w:r w:rsidRPr="00C7320D">
        <w:rPr>
          <w:noProof/>
        </w:rPr>
        <w:t>33</w:t>
      </w:r>
      <w:r w:rsidRPr="00C7320D">
        <w:rPr>
          <w:noProof/>
        </w:rPr>
        <w:fldChar w:fldCharType="end"/>
      </w:r>
    </w:p>
    <w:p w14:paraId="041C8C4E" w14:textId="24E40453"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E-waste management</w:t>
      </w:r>
      <w:r w:rsidRPr="00C7320D">
        <w:rPr>
          <w:noProof/>
        </w:rPr>
        <w:tab/>
      </w:r>
      <w:r w:rsidRPr="00C7320D">
        <w:rPr>
          <w:noProof/>
        </w:rPr>
        <w:fldChar w:fldCharType="begin"/>
      </w:r>
      <w:r w:rsidRPr="00C7320D">
        <w:rPr>
          <w:noProof/>
        </w:rPr>
        <w:instrText xml:space="preserve"> PAGEREF _Toc191378089 \h </w:instrText>
      </w:r>
      <w:r w:rsidRPr="00C7320D">
        <w:rPr>
          <w:noProof/>
        </w:rPr>
      </w:r>
      <w:r w:rsidRPr="00C7320D">
        <w:rPr>
          <w:noProof/>
        </w:rPr>
        <w:fldChar w:fldCharType="separate"/>
      </w:r>
      <w:r w:rsidRPr="00C7320D">
        <w:rPr>
          <w:noProof/>
        </w:rPr>
        <w:t>35</w:t>
      </w:r>
      <w:r w:rsidRPr="00C7320D">
        <w:rPr>
          <w:noProof/>
        </w:rPr>
        <w:fldChar w:fldCharType="end"/>
      </w:r>
    </w:p>
    <w:p w14:paraId="563F4BB9" w14:textId="1B20EDF3"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Disparities within the region</w:t>
      </w:r>
      <w:r w:rsidRPr="00C7320D">
        <w:rPr>
          <w:noProof/>
        </w:rPr>
        <w:tab/>
      </w:r>
      <w:r w:rsidRPr="00C7320D">
        <w:rPr>
          <w:noProof/>
        </w:rPr>
        <w:fldChar w:fldCharType="begin"/>
      </w:r>
      <w:r w:rsidRPr="00C7320D">
        <w:rPr>
          <w:noProof/>
        </w:rPr>
        <w:instrText xml:space="preserve"> PAGEREF _Toc191378090 \h </w:instrText>
      </w:r>
      <w:r w:rsidRPr="00C7320D">
        <w:rPr>
          <w:noProof/>
        </w:rPr>
      </w:r>
      <w:r w:rsidRPr="00C7320D">
        <w:rPr>
          <w:noProof/>
        </w:rPr>
        <w:fldChar w:fldCharType="separate"/>
      </w:r>
      <w:r w:rsidRPr="00C7320D">
        <w:rPr>
          <w:noProof/>
        </w:rPr>
        <w:t>39</w:t>
      </w:r>
      <w:r w:rsidRPr="00C7320D">
        <w:rPr>
          <w:noProof/>
        </w:rPr>
        <w:fldChar w:fldCharType="end"/>
      </w:r>
    </w:p>
    <w:p w14:paraId="5548EBAC" w14:textId="62C0DD88"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Overview of data availability in Africa</w:t>
      </w:r>
      <w:r w:rsidRPr="00C7320D">
        <w:rPr>
          <w:noProof/>
        </w:rPr>
        <w:tab/>
      </w:r>
      <w:r w:rsidRPr="00C7320D">
        <w:rPr>
          <w:noProof/>
        </w:rPr>
        <w:fldChar w:fldCharType="begin"/>
      </w:r>
      <w:r w:rsidRPr="00C7320D">
        <w:rPr>
          <w:noProof/>
        </w:rPr>
        <w:instrText xml:space="preserve"> PAGEREF _Toc191378091 \h </w:instrText>
      </w:r>
      <w:r w:rsidRPr="00C7320D">
        <w:rPr>
          <w:noProof/>
        </w:rPr>
      </w:r>
      <w:r w:rsidRPr="00C7320D">
        <w:rPr>
          <w:noProof/>
        </w:rPr>
        <w:fldChar w:fldCharType="separate"/>
      </w:r>
      <w:r w:rsidRPr="00C7320D">
        <w:rPr>
          <w:noProof/>
        </w:rPr>
        <w:t>41</w:t>
      </w:r>
      <w:r w:rsidRPr="00C7320D">
        <w:rPr>
          <w:noProof/>
        </w:rPr>
        <w:fldChar w:fldCharType="end"/>
      </w:r>
    </w:p>
    <w:p w14:paraId="6985FBCD" w14:textId="0744BEEC" w:rsidR="00D20298" w:rsidRPr="00C7320D" w:rsidRDefault="00D20298">
      <w:pPr>
        <w:pStyle w:val="TOC1"/>
        <w:tabs>
          <w:tab w:val="right" w:leader="dot" w:pos="9629"/>
        </w:tabs>
        <w:rPr>
          <w:rFonts w:eastAsiaTheme="minorEastAsia" w:cstheme="minorBidi"/>
          <w:b w:val="0"/>
          <w:bCs w:val="0"/>
          <w:noProof/>
          <w:kern w:val="2"/>
          <w:sz w:val="24"/>
          <w:szCs w:val="24"/>
          <w:lang w:eastAsia="en-GB"/>
          <w14:ligatures w14:val="standardContextual"/>
        </w:rPr>
      </w:pPr>
      <w:r w:rsidRPr="00C7320D">
        <w:rPr>
          <w:noProof/>
        </w:rPr>
        <w:t>Part 2. BDT4Impact: Selected case studies from Africa</w:t>
      </w:r>
      <w:r w:rsidRPr="00C7320D">
        <w:rPr>
          <w:noProof/>
        </w:rPr>
        <w:tab/>
      </w:r>
      <w:r w:rsidRPr="00C7320D">
        <w:rPr>
          <w:noProof/>
        </w:rPr>
        <w:fldChar w:fldCharType="begin"/>
      </w:r>
      <w:r w:rsidRPr="00C7320D">
        <w:rPr>
          <w:noProof/>
        </w:rPr>
        <w:instrText xml:space="preserve"> PAGEREF _Toc191378092 \h </w:instrText>
      </w:r>
      <w:r w:rsidRPr="00C7320D">
        <w:rPr>
          <w:noProof/>
        </w:rPr>
      </w:r>
      <w:r w:rsidRPr="00C7320D">
        <w:rPr>
          <w:noProof/>
        </w:rPr>
        <w:fldChar w:fldCharType="separate"/>
      </w:r>
      <w:r w:rsidRPr="00C7320D">
        <w:rPr>
          <w:noProof/>
        </w:rPr>
        <w:t>44</w:t>
      </w:r>
      <w:r w:rsidRPr="00C7320D">
        <w:rPr>
          <w:noProof/>
        </w:rPr>
        <w:fldChar w:fldCharType="end"/>
      </w:r>
    </w:p>
    <w:p w14:paraId="5419CAE7" w14:textId="169BC721"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Visually impaired people in Ghana learn computer basics</w:t>
      </w:r>
      <w:r w:rsidRPr="00C7320D">
        <w:rPr>
          <w:noProof/>
        </w:rPr>
        <w:tab/>
      </w:r>
      <w:r w:rsidRPr="00C7320D">
        <w:rPr>
          <w:noProof/>
        </w:rPr>
        <w:fldChar w:fldCharType="begin"/>
      </w:r>
      <w:r w:rsidRPr="00C7320D">
        <w:rPr>
          <w:noProof/>
        </w:rPr>
        <w:instrText xml:space="preserve"> PAGEREF _Toc191378093 \h </w:instrText>
      </w:r>
      <w:r w:rsidRPr="00C7320D">
        <w:rPr>
          <w:noProof/>
        </w:rPr>
      </w:r>
      <w:r w:rsidRPr="00C7320D">
        <w:rPr>
          <w:noProof/>
        </w:rPr>
        <w:fldChar w:fldCharType="separate"/>
      </w:r>
      <w:r w:rsidRPr="00C7320D">
        <w:rPr>
          <w:noProof/>
        </w:rPr>
        <w:t>44</w:t>
      </w:r>
      <w:r w:rsidRPr="00C7320D">
        <w:rPr>
          <w:noProof/>
        </w:rPr>
        <w:fldChar w:fldCharType="end"/>
      </w:r>
    </w:p>
    <w:p w14:paraId="7C89DB2D" w14:textId="102A368E"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Working toward a digitally enabled Uganda</w:t>
      </w:r>
      <w:r w:rsidRPr="00C7320D">
        <w:rPr>
          <w:noProof/>
        </w:rPr>
        <w:tab/>
      </w:r>
      <w:r w:rsidRPr="00C7320D">
        <w:rPr>
          <w:noProof/>
        </w:rPr>
        <w:fldChar w:fldCharType="begin"/>
      </w:r>
      <w:r w:rsidRPr="00C7320D">
        <w:rPr>
          <w:noProof/>
        </w:rPr>
        <w:instrText xml:space="preserve"> PAGEREF _Toc191378094 \h </w:instrText>
      </w:r>
      <w:r w:rsidRPr="00C7320D">
        <w:rPr>
          <w:noProof/>
        </w:rPr>
      </w:r>
      <w:r w:rsidRPr="00C7320D">
        <w:rPr>
          <w:noProof/>
        </w:rPr>
        <w:fldChar w:fldCharType="separate"/>
      </w:r>
      <w:r w:rsidRPr="00C7320D">
        <w:rPr>
          <w:noProof/>
        </w:rPr>
        <w:t>44</w:t>
      </w:r>
      <w:r w:rsidRPr="00C7320D">
        <w:rPr>
          <w:noProof/>
        </w:rPr>
        <w:fldChar w:fldCharType="end"/>
      </w:r>
    </w:p>
    <w:p w14:paraId="4FAA56B1" w14:textId="09B4B318"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Digital terrestrial television training in Brazzaville, Republic of Congo</w:t>
      </w:r>
      <w:r w:rsidRPr="00C7320D">
        <w:rPr>
          <w:noProof/>
        </w:rPr>
        <w:tab/>
      </w:r>
      <w:r w:rsidRPr="00C7320D">
        <w:rPr>
          <w:noProof/>
        </w:rPr>
        <w:fldChar w:fldCharType="begin"/>
      </w:r>
      <w:r w:rsidRPr="00C7320D">
        <w:rPr>
          <w:noProof/>
        </w:rPr>
        <w:instrText xml:space="preserve"> PAGEREF _Toc191378095 \h </w:instrText>
      </w:r>
      <w:r w:rsidRPr="00C7320D">
        <w:rPr>
          <w:noProof/>
        </w:rPr>
      </w:r>
      <w:r w:rsidRPr="00C7320D">
        <w:rPr>
          <w:noProof/>
        </w:rPr>
        <w:fldChar w:fldCharType="separate"/>
      </w:r>
      <w:r w:rsidRPr="00C7320D">
        <w:rPr>
          <w:noProof/>
        </w:rPr>
        <w:t>45</w:t>
      </w:r>
      <w:r w:rsidRPr="00C7320D">
        <w:rPr>
          <w:noProof/>
        </w:rPr>
        <w:fldChar w:fldCharType="end"/>
      </w:r>
    </w:p>
    <w:p w14:paraId="54CC9C31" w14:textId="54E61F48"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A new national e-waste policy in Malawi</w:t>
      </w:r>
      <w:r w:rsidRPr="00C7320D">
        <w:rPr>
          <w:noProof/>
        </w:rPr>
        <w:tab/>
      </w:r>
      <w:r w:rsidRPr="00C7320D">
        <w:rPr>
          <w:noProof/>
        </w:rPr>
        <w:fldChar w:fldCharType="begin"/>
      </w:r>
      <w:r w:rsidRPr="00C7320D">
        <w:rPr>
          <w:noProof/>
        </w:rPr>
        <w:instrText xml:space="preserve"> PAGEREF _Toc191378096 \h </w:instrText>
      </w:r>
      <w:r w:rsidRPr="00C7320D">
        <w:rPr>
          <w:noProof/>
        </w:rPr>
      </w:r>
      <w:r w:rsidRPr="00C7320D">
        <w:rPr>
          <w:noProof/>
        </w:rPr>
        <w:fldChar w:fldCharType="separate"/>
      </w:r>
      <w:r w:rsidRPr="00C7320D">
        <w:rPr>
          <w:noProof/>
        </w:rPr>
        <w:t>45</w:t>
      </w:r>
      <w:r w:rsidRPr="00C7320D">
        <w:rPr>
          <w:noProof/>
        </w:rPr>
        <w:fldChar w:fldCharType="end"/>
      </w:r>
    </w:p>
    <w:p w14:paraId="4890E01D" w14:textId="1E6FB9B8"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Businesswomen in Africa thrive after developing their digital skills</w:t>
      </w:r>
      <w:r w:rsidRPr="00C7320D">
        <w:rPr>
          <w:noProof/>
        </w:rPr>
        <w:tab/>
      </w:r>
      <w:r w:rsidRPr="00C7320D">
        <w:rPr>
          <w:noProof/>
        </w:rPr>
        <w:fldChar w:fldCharType="begin"/>
      </w:r>
      <w:r w:rsidRPr="00C7320D">
        <w:rPr>
          <w:noProof/>
        </w:rPr>
        <w:instrText xml:space="preserve"> PAGEREF _Toc191378097 \h </w:instrText>
      </w:r>
      <w:r w:rsidRPr="00C7320D">
        <w:rPr>
          <w:noProof/>
        </w:rPr>
      </w:r>
      <w:r w:rsidRPr="00C7320D">
        <w:rPr>
          <w:noProof/>
        </w:rPr>
        <w:fldChar w:fldCharType="separate"/>
      </w:r>
      <w:r w:rsidRPr="00C7320D">
        <w:rPr>
          <w:noProof/>
        </w:rPr>
        <w:t>45</w:t>
      </w:r>
      <w:r w:rsidRPr="00C7320D">
        <w:rPr>
          <w:noProof/>
        </w:rPr>
        <w:fldChar w:fldCharType="end"/>
      </w:r>
    </w:p>
    <w:p w14:paraId="78F289FB" w14:textId="33A38756" w:rsidR="00D20298" w:rsidRPr="00C7320D" w:rsidRDefault="00D20298">
      <w:pPr>
        <w:pStyle w:val="TOC2"/>
        <w:tabs>
          <w:tab w:val="right" w:leader="dot" w:pos="9629"/>
        </w:tabs>
        <w:rPr>
          <w:rFonts w:eastAsiaTheme="minorEastAsia" w:cstheme="minorBidi"/>
          <w:i w:val="0"/>
          <w:iCs w:val="0"/>
          <w:noProof/>
          <w:kern w:val="2"/>
          <w:sz w:val="24"/>
          <w:szCs w:val="24"/>
          <w:lang w:eastAsia="en-GB"/>
          <w14:ligatures w14:val="standardContextual"/>
        </w:rPr>
      </w:pPr>
      <w:r w:rsidRPr="00C7320D">
        <w:rPr>
          <w:noProof/>
        </w:rPr>
        <w:t>Building regulatory capacity and regional collaboration through ICT benchmarking in Equatorial Guinea</w:t>
      </w:r>
      <w:r w:rsidRPr="00C7320D">
        <w:rPr>
          <w:noProof/>
        </w:rPr>
        <w:tab/>
      </w:r>
      <w:r w:rsidRPr="00C7320D">
        <w:rPr>
          <w:noProof/>
        </w:rPr>
        <w:fldChar w:fldCharType="begin"/>
      </w:r>
      <w:r w:rsidRPr="00C7320D">
        <w:rPr>
          <w:noProof/>
        </w:rPr>
        <w:instrText xml:space="preserve"> PAGEREF _Toc191378098 \h </w:instrText>
      </w:r>
      <w:r w:rsidRPr="00C7320D">
        <w:rPr>
          <w:noProof/>
        </w:rPr>
      </w:r>
      <w:r w:rsidRPr="00C7320D">
        <w:rPr>
          <w:noProof/>
        </w:rPr>
        <w:fldChar w:fldCharType="separate"/>
      </w:r>
      <w:r w:rsidRPr="00C7320D">
        <w:rPr>
          <w:noProof/>
        </w:rPr>
        <w:t>46</w:t>
      </w:r>
      <w:r w:rsidRPr="00C7320D">
        <w:rPr>
          <w:noProof/>
        </w:rPr>
        <w:fldChar w:fldCharType="end"/>
      </w:r>
    </w:p>
    <w:p w14:paraId="0BA44D09" w14:textId="49381AB5" w:rsidR="00D20298" w:rsidRPr="00C7320D" w:rsidRDefault="00D20298">
      <w:pPr>
        <w:pStyle w:val="TOC1"/>
        <w:tabs>
          <w:tab w:val="right" w:leader="dot" w:pos="9629"/>
        </w:tabs>
        <w:rPr>
          <w:rFonts w:eastAsiaTheme="minorEastAsia" w:cstheme="minorBidi"/>
          <w:b w:val="0"/>
          <w:bCs w:val="0"/>
          <w:noProof/>
          <w:kern w:val="2"/>
          <w:sz w:val="24"/>
          <w:szCs w:val="24"/>
          <w:lang w:eastAsia="en-GB"/>
          <w14:ligatures w14:val="standardContextual"/>
        </w:rPr>
      </w:pPr>
      <w:r w:rsidRPr="00C7320D">
        <w:rPr>
          <w:noProof/>
        </w:rPr>
        <w:t>Annex: Data resources</w:t>
      </w:r>
      <w:r w:rsidRPr="00C7320D">
        <w:rPr>
          <w:noProof/>
        </w:rPr>
        <w:tab/>
      </w:r>
      <w:r w:rsidRPr="00C7320D">
        <w:rPr>
          <w:noProof/>
        </w:rPr>
        <w:fldChar w:fldCharType="begin"/>
      </w:r>
      <w:r w:rsidRPr="00C7320D">
        <w:rPr>
          <w:noProof/>
        </w:rPr>
        <w:instrText xml:space="preserve"> PAGEREF _Toc191378099 \h </w:instrText>
      </w:r>
      <w:r w:rsidRPr="00C7320D">
        <w:rPr>
          <w:noProof/>
        </w:rPr>
      </w:r>
      <w:r w:rsidRPr="00C7320D">
        <w:rPr>
          <w:noProof/>
        </w:rPr>
        <w:fldChar w:fldCharType="separate"/>
      </w:r>
      <w:r w:rsidRPr="00C7320D">
        <w:rPr>
          <w:noProof/>
        </w:rPr>
        <w:t>47</w:t>
      </w:r>
      <w:r w:rsidRPr="00C7320D">
        <w:rPr>
          <w:noProof/>
        </w:rPr>
        <w:fldChar w:fldCharType="end"/>
      </w:r>
    </w:p>
    <w:p w14:paraId="095B8632" w14:textId="392C06A5" w:rsidR="00394A30" w:rsidRPr="00C7320D" w:rsidRDefault="00203A56" w:rsidP="00E22751">
      <w:pPr>
        <w:rPr>
          <w:rFonts w:eastAsia="Yu Gothic Light"/>
        </w:rPr>
      </w:pPr>
      <w:r w:rsidRPr="00C7320D">
        <w:rPr>
          <w:rFonts w:ascii="Aptos" w:eastAsia="Aptos" w:hAnsi="Aptos" w:cs="Arial"/>
          <w:kern w:val="2"/>
          <w:sz w:val="22"/>
          <w:szCs w:val="22"/>
          <w14:ligatures w14:val="standardContextual"/>
        </w:rPr>
        <w:fldChar w:fldCharType="end"/>
      </w:r>
    </w:p>
    <w:p w14:paraId="55E4843D" w14:textId="77777777" w:rsidR="00394A30" w:rsidRPr="00C7320D"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C7320D">
        <w:rPr>
          <w:rFonts w:eastAsia="Yu Gothic Light"/>
        </w:rPr>
        <w:br w:type="page"/>
      </w:r>
    </w:p>
    <w:p w14:paraId="503B6FEE" w14:textId="0D43A33C" w:rsidR="006C41B5" w:rsidRPr="00C7320D" w:rsidRDefault="006C41B5" w:rsidP="00554ABD">
      <w:pPr>
        <w:pStyle w:val="Parttitle0"/>
      </w:pPr>
      <w:bookmarkStart w:id="6" w:name="_Toc191378076"/>
      <w:r w:rsidRPr="00C7320D">
        <w:lastRenderedPageBreak/>
        <w:t>Introduction</w:t>
      </w:r>
      <w:bookmarkEnd w:id="6"/>
    </w:p>
    <w:p w14:paraId="2152399F" w14:textId="146F2EFF" w:rsidR="00C010D6" w:rsidRPr="00C7320D" w:rsidRDefault="00C010D6" w:rsidP="00C010D6">
      <w:pP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Regional Preparatory Meetings (RPMs) engage member states in preparations for the World Telecommunication Development Conference 2025. Prepared </w:t>
      </w:r>
      <w:r w:rsidR="002C3D87" w:rsidRPr="00C7320D">
        <w:rPr>
          <w:rFonts w:ascii="Aptos" w:eastAsia="Aptos" w:hAnsi="Aptos" w:cs="Arial"/>
          <w:kern w:val="2"/>
          <w:sz w:val="22"/>
          <w:szCs w:val="22"/>
          <w14:ligatures w14:val="standardContextual"/>
        </w:rPr>
        <w:t xml:space="preserve">for the </w:t>
      </w:r>
      <w:r w:rsidRPr="00C7320D">
        <w:rPr>
          <w:rFonts w:ascii="Aptos" w:eastAsia="Aptos" w:hAnsi="Aptos" w:cs="Arial"/>
          <w:kern w:val="2"/>
          <w:sz w:val="22"/>
          <w:szCs w:val="22"/>
          <w14:ligatures w14:val="standardContextual"/>
        </w:rPr>
        <w:t xml:space="preserve">RPM </w:t>
      </w:r>
      <w:r w:rsidR="002C3D87" w:rsidRPr="00C7320D">
        <w:rPr>
          <w:rFonts w:ascii="Aptos" w:eastAsia="Aptos" w:hAnsi="Aptos" w:cs="Arial"/>
          <w:kern w:val="2"/>
          <w:sz w:val="22"/>
          <w:szCs w:val="22"/>
          <w14:ligatures w14:val="standardContextual"/>
        </w:rPr>
        <w:t xml:space="preserve">for </w:t>
      </w:r>
      <w:r w:rsidRPr="00C7320D">
        <w:rPr>
          <w:rFonts w:ascii="Aptos" w:eastAsia="Aptos" w:hAnsi="Aptos" w:cs="Arial"/>
          <w:kern w:val="2"/>
          <w:sz w:val="22"/>
          <w:szCs w:val="22"/>
          <w14:ligatures w14:val="standardContextual"/>
        </w:rPr>
        <w:t xml:space="preserve">Africa on </w:t>
      </w:r>
      <w:r w:rsidR="002C3D87" w:rsidRPr="00C7320D">
        <w:rPr>
          <w:rFonts w:ascii="Aptos" w:eastAsia="Aptos" w:hAnsi="Aptos" w:cs="Arial"/>
          <w:kern w:val="2"/>
          <w:sz w:val="22"/>
          <w:szCs w:val="22"/>
          <w14:ligatures w14:val="standardContextual"/>
        </w:rPr>
        <w:t>8</w:t>
      </w:r>
      <w:r w:rsidRPr="00C7320D">
        <w:rPr>
          <w:rFonts w:ascii="Aptos" w:eastAsia="Aptos" w:hAnsi="Aptos" w:cs="Arial"/>
          <w:kern w:val="2"/>
          <w:sz w:val="22"/>
          <w:szCs w:val="22"/>
          <w14:ligatures w14:val="standardContextual"/>
        </w:rPr>
        <w:t>-</w:t>
      </w:r>
      <w:r w:rsidR="002C3D87" w:rsidRPr="00C7320D">
        <w:rPr>
          <w:rFonts w:ascii="Aptos" w:eastAsia="Aptos" w:hAnsi="Aptos" w:cs="Arial"/>
          <w:kern w:val="2"/>
          <w:sz w:val="22"/>
          <w:szCs w:val="22"/>
          <w14:ligatures w14:val="standardContextual"/>
        </w:rPr>
        <w:t>9</w:t>
      </w:r>
      <w:r w:rsidRPr="00C7320D">
        <w:rPr>
          <w:rFonts w:ascii="Aptos" w:eastAsia="Aptos" w:hAnsi="Aptos" w:cs="Arial"/>
          <w:kern w:val="2"/>
          <w:sz w:val="22"/>
          <w:szCs w:val="22"/>
          <w14:ligatures w14:val="standardContextual"/>
        </w:rPr>
        <w:t xml:space="preserve"> April 2025, </w:t>
      </w:r>
      <w:r w:rsidR="002C3D87" w:rsidRPr="00C7320D">
        <w:rPr>
          <w:rFonts w:ascii="Aptos" w:eastAsia="Aptos" w:hAnsi="Aptos" w:cs="Arial"/>
          <w:kern w:val="2"/>
          <w:sz w:val="22"/>
          <w:szCs w:val="22"/>
          <w14:ligatures w14:val="standardContextual"/>
        </w:rPr>
        <w:t xml:space="preserve">in Nairobi, Kenya, </w:t>
      </w:r>
      <w:r w:rsidRPr="00C7320D">
        <w:rPr>
          <w:rFonts w:ascii="Aptos" w:eastAsia="Aptos" w:hAnsi="Aptos" w:cs="Arial"/>
          <w:kern w:val="2"/>
          <w:sz w:val="22"/>
          <w:szCs w:val="22"/>
          <w14:ligatures w14:val="standardContextual"/>
        </w:rPr>
        <w:t>this document provides key insights to support participants and stakeholders in discussions on the region’s digital agenda.</w:t>
      </w:r>
      <w:r w:rsidR="00C4489D" w:rsidRPr="00C7320D">
        <w:rPr>
          <w:rFonts w:ascii="Aptos" w:eastAsia="Aptos" w:hAnsi="Aptos" w:cs="Arial"/>
          <w:kern w:val="2"/>
          <w:sz w:val="22"/>
          <w:szCs w:val="22"/>
          <w:vertAlign w:val="superscript"/>
          <w14:ligatures w14:val="standardContextual"/>
        </w:rPr>
        <w:footnoteReference w:id="2"/>
      </w:r>
      <w:r w:rsidRPr="00C7320D">
        <w:rPr>
          <w:rFonts w:ascii="Aptos" w:eastAsia="Aptos" w:hAnsi="Aptos" w:cs="Arial"/>
          <w:kern w:val="2"/>
          <w:sz w:val="22"/>
          <w:szCs w:val="22"/>
          <w14:ligatures w14:val="standardContextual"/>
        </w:rPr>
        <w:t xml:space="preserve"> It consists of two parts: the first offers an overview of digital connectivity in </w:t>
      </w:r>
      <w:r w:rsidR="002C3D87" w:rsidRPr="00C7320D">
        <w:rPr>
          <w:rFonts w:ascii="Aptos" w:eastAsia="Aptos" w:hAnsi="Aptos" w:cs="Arial"/>
          <w:kern w:val="2"/>
          <w:sz w:val="22"/>
          <w:szCs w:val="22"/>
          <w14:ligatures w14:val="standardContextual"/>
        </w:rPr>
        <w:t xml:space="preserve">Africa </w:t>
      </w:r>
      <w:r w:rsidRPr="00C7320D">
        <w:rPr>
          <w:rFonts w:ascii="Aptos" w:eastAsia="Aptos" w:hAnsi="Aptos" w:cs="Arial"/>
          <w:kern w:val="2"/>
          <w:sz w:val="22"/>
          <w:szCs w:val="22"/>
          <w14:ligatures w14:val="standardContextual"/>
        </w:rPr>
        <w:t xml:space="preserve">through key indicators, while the second </w:t>
      </w:r>
      <w:r w:rsidR="00A535DD" w:rsidRPr="00C7320D">
        <w:rPr>
          <w:rFonts w:ascii="Aptos" w:eastAsia="Aptos" w:hAnsi="Aptos" w:cs="Arial"/>
          <w:kern w:val="2"/>
          <w:sz w:val="22"/>
          <w:szCs w:val="22"/>
          <w14:ligatures w14:val="standardContextual"/>
        </w:rPr>
        <w:t xml:space="preserve">showcases </w:t>
      </w:r>
      <w:r w:rsidRPr="00C7320D">
        <w:rPr>
          <w:rFonts w:ascii="Aptos" w:eastAsia="Aptos" w:hAnsi="Aptos" w:cs="Arial"/>
          <w:kern w:val="2"/>
          <w:sz w:val="22"/>
          <w:szCs w:val="22"/>
          <w14:ligatures w14:val="standardContextual"/>
        </w:rPr>
        <w:t>case studies from the region.</w:t>
      </w:r>
    </w:p>
    <w:p w14:paraId="6A793E09" w14:textId="5F79587D" w:rsidR="00C010D6" w:rsidRPr="00C7320D" w:rsidRDefault="00356E02" w:rsidP="00C010D6">
      <w:pPr>
        <w:rPr>
          <w:rFonts w:ascii="Aptos" w:hAnsi="Aptos"/>
          <w:sz w:val="22"/>
          <w:szCs w:val="22"/>
          <w:lang w:eastAsia="en-GB"/>
        </w:rPr>
      </w:pPr>
      <w:r w:rsidRPr="00C7320D">
        <w:rPr>
          <w:rFonts w:ascii="Aptos" w:hAnsi="Aptos"/>
          <w:b/>
          <w:bCs/>
          <w:sz w:val="22"/>
          <w:szCs w:val="22"/>
        </w:rPr>
        <w:t>Universal and meaningful connectivity must be a central objective for Africa’s development.</w:t>
      </w:r>
      <w:r w:rsidR="00C010D6" w:rsidRPr="00C7320D">
        <w:rPr>
          <w:rFonts w:ascii="Aptos" w:hAnsi="Aptos"/>
          <w:b/>
          <w:bCs/>
          <w:sz w:val="22"/>
          <w:szCs w:val="22"/>
        </w:rPr>
        <w:t xml:space="preserve"> </w:t>
      </w:r>
      <w:r w:rsidR="00C010D6" w:rsidRPr="00C7320D">
        <w:rPr>
          <w:rFonts w:ascii="Aptos" w:hAnsi="Aptos"/>
          <w:sz w:val="22"/>
          <w:szCs w:val="22"/>
        </w:rPr>
        <w:t xml:space="preserve">The concept of universal and meaningful connectivity (UMC) has emerged as a critical policy objective. UMC is defined as the possibility for everyone to enjoy a safe, enriching, and productive online experience at an affordable cost. </w:t>
      </w:r>
      <w:r w:rsidR="00C010D6" w:rsidRPr="00C7320D">
        <w:rPr>
          <w:rFonts w:ascii="Aptos" w:hAnsi="Aptos"/>
          <w:sz w:val="22"/>
          <w:szCs w:val="22"/>
          <w:lang w:eastAsia="en-GB"/>
        </w:rPr>
        <w:t xml:space="preserve">UMC does not mean everyone must be connected all the time but describes a situation where </w:t>
      </w:r>
      <w:r w:rsidR="00C010D6" w:rsidRPr="00C7320D">
        <w:rPr>
          <w:rFonts w:ascii="Aptos" w:hAnsi="Aptos"/>
          <w:sz w:val="22"/>
          <w:szCs w:val="22"/>
        </w:rPr>
        <w:t>everyone can access the Internet optimally and affordably whenever and wherever needed</w:t>
      </w:r>
      <w:r w:rsidR="00C010D6" w:rsidRPr="00C7320D">
        <w:rPr>
          <w:rFonts w:ascii="Aptos" w:hAnsi="Aptos"/>
          <w:sz w:val="22"/>
          <w:szCs w:val="22"/>
          <w:lang w:eastAsia="en-GB"/>
        </w:rPr>
        <w:t>.</w:t>
      </w:r>
    </w:p>
    <w:p w14:paraId="75647768" w14:textId="76C728B7" w:rsidR="000F1B88" w:rsidRPr="00C7320D" w:rsidRDefault="007017B4" w:rsidP="000F1B88">
      <w:pPr>
        <w:rPr>
          <w:rFonts w:ascii="Aptos" w:hAnsi="Aptos"/>
          <w:sz w:val="22"/>
          <w:szCs w:val="22"/>
          <w:lang w:eastAsia="en-GB"/>
        </w:rPr>
      </w:pPr>
      <w:r w:rsidRPr="00C7320D">
        <w:rPr>
          <w:rFonts w:ascii="Aptos" w:hAnsi="Aptos"/>
          <w:b/>
          <w:bCs/>
          <w:sz w:val="22"/>
          <w:szCs w:val="22"/>
          <w:lang w:eastAsia="en-GB"/>
        </w:rPr>
        <w:t xml:space="preserve">Africa’s digital transformation is at an early stage. </w:t>
      </w:r>
      <w:r w:rsidR="001407B6" w:rsidRPr="00C7320D">
        <w:rPr>
          <w:rFonts w:ascii="Aptos" w:hAnsi="Aptos"/>
          <w:sz w:val="22"/>
          <w:szCs w:val="22"/>
          <w:lang w:eastAsia="en-GB"/>
        </w:rPr>
        <w:t xml:space="preserve">The gap between </w:t>
      </w:r>
      <w:r w:rsidR="00EB7A67" w:rsidRPr="00C7320D">
        <w:rPr>
          <w:rFonts w:ascii="Aptos" w:hAnsi="Aptos"/>
          <w:sz w:val="22"/>
          <w:szCs w:val="22"/>
          <w:lang w:eastAsia="en-GB"/>
        </w:rPr>
        <w:t xml:space="preserve">Africa’s </w:t>
      </w:r>
      <w:r w:rsidR="001407B6" w:rsidRPr="00C7320D">
        <w:rPr>
          <w:rFonts w:ascii="Aptos" w:hAnsi="Aptos"/>
          <w:sz w:val="22"/>
          <w:szCs w:val="22"/>
          <w:lang w:eastAsia="en-GB"/>
        </w:rPr>
        <w:t xml:space="preserve">digital reality and the ambition of UMC remains wide. </w:t>
      </w:r>
      <w:r w:rsidR="00AA6D50" w:rsidRPr="00C7320D">
        <w:rPr>
          <w:rFonts w:ascii="Aptos" w:hAnsi="Aptos"/>
          <w:sz w:val="22"/>
          <w:szCs w:val="22"/>
          <w:lang w:eastAsia="en-GB"/>
        </w:rPr>
        <w:t xml:space="preserve">Despite </w:t>
      </w:r>
      <w:r w:rsidR="000F1B88" w:rsidRPr="00C7320D">
        <w:rPr>
          <w:rFonts w:ascii="Aptos" w:hAnsi="Aptos"/>
          <w:sz w:val="22"/>
          <w:szCs w:val="22"/>
          <w:lang w:eastAsia="en-GB"/>
        </w:rPr>
        <w:t xml:space="preserve">steady </w:t>
      </w:r>
      <w:r w:rsidRPr="00C7320D">
        <w:rPr>
          <w:rFonts w:ascii="Aptos" w:hAnsi="Aptos"/>
          <w:sz w:val="22"/>
          <w:szCs w:val="22"/>
          <w:lang w:eastAsia="en-GB"/>
        </w:rPr>
        <w:t>progress</w:t>
      </w:r>
      <w:r w:rsidR="00AA6D50" w:rsidRPr="00C7320D">
        <w:rPr>
          <w:rFonts w:ascii="Aptos" w:hAnsi="Aptos"/>
          <w:sz w:val="22"/>
          <w:szCs w:val="22"/>
          <w:lang w:eastAsia="en-GB"/>
        </w:rPr>
        <w:t xml:space="preserve">, </w:t>
      </w:r>
      <w:r w:rsidR="000F1B88" w:rsidRPr="00C7320D">
        <w:rPr>
          <w:rFonts w:ascii="Aptos" w:hAnsi="Aptos"/>
          <w:sz w:val="22"/>
          <w:szCs w:val="22"/>
          <w:lang w:eastAsia="en-GB"/>
        </w:rPr>
        <w:t>digital connectivity</w:t>
      </w:r>
      <w:r w:rsidR="00AA6D50" w:rsidRPr="00C7320D">
        <w:rPr>
          <w:rFonts w:ascii="Aptos" w:hAnsi="Aptos"/>
          <w:sz w:val="22"/>
          <w:szCs w:val="22"/>
          <w:lang w:eastAsia="en-GB"/>
        </w:rPr>
        <w:t xml:space="preserve"> in Africa remains limited</w:t>
      </w:r>
      <w:r w:rsidR="00DD6F92" w:rsidRPr="00C7320D">
        <w:rPr>
          <w:rFonts w:ascii="Aptos" w:hAnsi="Aptos"/>
          <w:sz w:val="22"/>
          <w:szCs w:val="22"/>
          <w:lang w:eastAsia="en-GB"/>
        </w:rPr>
        <w:t>, hindering the region’s digital transformation.</w:t>
      </w:r>
      <w:r w:rsidR="00914519" w:rsidRPr="00C7320D">
        <w:rPr>
          <w:rFonts w:ascii="Aptos" w:hAnsi="Aptos"/>
          <w:sz w:val="22"/>
          <w:szCs w:val="22"/>
          <w:lang w:eastAsia="en-GB"/>
        </w:rPr>
        <w:t xml:space="preserve"> </w:t>
      </w:r>
      <w:r w:rsidR="00B26020" w:rsidRPr="00C7320D">
        <w:rPr>
          <w:rFonts w:ascii="Aptos" w:hAnsi="Aptos"/>
          <w:sz w:val="22"/>
          <w:szCs w:val="22"/>
          <w:lang w:eastAsia="en-GB"/>
        </w:rPr>
        <w:t xml:space="preserve">Only a small fraction of the population is truly benefiting from and contributing to this process. Africa is home to a few countries whose digital development surpasses global averages, while others rank among the </w:t>
      </w:r>
      <w:r w:rsidR="00C65B43" w:rsidRPr="00C7320D">
        <w:rPr>
          <w:rFonts w:ascii="Aptos" w:hAnsi="Aptos"/>
          <w:sz w:val="22"/>
          <w:szCs w:val="22"/>
          <w:lang w:eastAsia="en-GB"/>
        </w:rPr>
        <w:t>l</w:t>
      </w:r>
      <w:r w:rsidR="00B26020" w:rsidRPr="00C7320D">
        <w:rPr>
          <w:rFonts w:ascii="Aptos" w:hAnsi="Aptos"/>
          <w:sz w:val="22"/>
          <w:szCs w:val="22"/>
          <w:lang w:eastAsia="en-GB"/>
        </w:rPr>
        <w:t>east connected</w:t>
      </w:r>
      <w:r w:rsidR="00C65B43" w:rsidRPr="00C7320D">
        <w:rPr>
          <w:rFonts w:ascii="Aptos" w:hAnsi="Aptos"/>
          <w:sz w:val="22"/>
          <w:szCs w:val="22"/>
          <w:lang w:eastAsia="en-GB"/>
        </w:rPr>
        <w:t xml:space="preserve"> in the world</w:t>
      </w:r>
      <w:r w:rsidR="00B26020" w:rsidRPr="00C7320D">
        <w:rPr>
          <w:rFonts w:ascii="Aptos" w:hAnsi="Aptos"/>
          <w:sz w:val="22"/>
          <w:szCs w:val="22"/>
          <w:lang w:eastAsia="en-GB"/>
        </w:rPr>
        <w:t>. Additionally, significant disparities exist within countries, with digital divides particularly pronounced between urban and rural populations, wealthier and lower-income users, and across gender lines.</w:t>
      </w:r>
    </w:p>
    <w:p w14:paraId="2A45BC74" w14:textId="099D11CA" w:rsidR="000F1B88" w:rsidRPr="00C7320D" w:rsidRDefault="000F1B88" w:rsidP="000F1B88">
      <w:pPr>
        <w:rPr>
          <w:rFonts w:ascii="Aptos" w:hAnsi="Aptos"/>
          <w:sz w:val="22"/>
          <w:szCs w:val="22"/>
          <w:lang w:eastAsia="en-GB"/>
        </w:rPr>
      </w:pPr>
      <w:r w:rsidRPr="00C7320D">
        <w:rPr>
          <w:rFonts w:ascii="Aptos" w:hAnsi="Aptos"/>
          <w:b/>
          <w:bCs/>
          <w:sz w:val="22"/>
          <w:szCs w:val="22"/>
          <w:lang w:eastAsia="en-GB"/>
        </w:rPr>
        <w:t>Mobile networks are the backbone of Internet access in Africa.</w:t>
      </w:r>
      <w:r w:rsidRPr="00C7320D">
        <w:rPr>
          <w:rFonts w:ascii="Aptos" w:hAnsi="Aptos"/>
          <w:sz w:val="22"/>
          <w:szCs w:val="22"/>
          <w:lang w:eastAsia="en-GB"/>
        </w:rPr>
        <w:t xml:space="preserve"> With fixed-broadband infrastructure still limited and costly, mobile networks play a dominant role in providing Internet </w:t>
      </w:r>
      <w:r w:rsidR="00DB7570" w:rsidRPr="00C7320D">
        <w:rPr>
          <w:rFonts w:ascii="Aptos" w:hAnsi="Aptos"/>
          <w:sz w:val="22"/>
          <w:szCs w:val="22"/>
          <w:lang w:eastAsia="en-GB"/>
        </w:rPr>
        <w:t>access</w:t>
      </w:r>
      <w:r w:rsidRPr="00C7320D">
        <w:rPr>
          <w:rFonts w:ascii="Aptos" w:hAnsi="Aptos"/>
          <w:sz w:val="22"/>
          <w:szCs w:val="22"/>
          <w:lang w:eastAsia="en-GB"/>
        </w:rPr>
        <w:t xml:space="preserve">. By 2024, mobile broadband covered 86 </w:t>
      </w:r>
      <w:r w:rsidR="0045747D" w:rsidRPr="00C7320D">
        <w:rPr>
          <w:rFonts w:ascii="Aptos" w:hAnsi="Aptos"/>
          <w:sz w:val="22"/>
          <w:szCs w:val="22"/>
          <w:lang w:eastAsia="en-GB"/>
        </w:rPr>
        <w:t>per cent</w:t>
      </w:r>
      <w:r w:rsidRPr="00C7320D">
        <w:rPr>
          <w:rFonts w:ascii="Aptos" w:hAnsi="Aptos"/>
          <w:sz w:val="22"/>
          <w:szCs w:val="22"/>
          <w:lang w:eastAsia="en-GB"/>
        </w:rPr>
        <w:t xml:space="preserve"> of Africa’s population</w:t>
      </w:r>
      <w:r w:rsidR="008962AC" w:rsidRPr="00C7320D">
        <w:rPr>
          <w:rFonts w:ascii="Aptos" w:hAnsi="Aptos"/>
          <w:sz w:val="22"/>
          <w:szCs w:val="22"/>
          <w:lang w:eastAsia="en-GB"/>
        </w:rPr>
        <w:t xml:space="preserve">, leaving 14 </w:t>
      </w:r>
      <w:r w:rsidR="0045747D" w:rsidRPr="00C7320D">
        <w:rPr>
          <w:rFonts w:ascii="Aptos" w:hAnsi="Aptos"/>
          <w:sz w:val="22"/>
          <w:szCs w:val="22"/>
          <w:lang w:eastAsia="en-GB"/>
        </w:rPr>
        <w:t xml:space="preserve">per cent </w:t>
      </w:r>
      <w:r w:rsidR="008962AC" w:rsidRPr="00C7320D">
        <w:rPr>
          <w:rFonts w:ascii="Aptos" w:hAnsi="Aptos"/>
          <w:sz w:val="22"/>
          <w:szCs w:val="22"/>
          <w:lang w:eastAsia="en-GB"/>
        </w:rPr>
        <w:t xml:space="preserve">without the </w:t>
      </w:r>
      <w:r w:rsidR="002D1C8D" w:rsidRPr="00C7320D">
        <w:rPr>
          <w:rFonts w:ascii="Aptos" w:hAnsi="Aptos"/>
          <w:sz w:val="22"/>
          <w:szCs w:val="22"/>
          <w:lang w:eastAsia="en-GB"/>
        </w:rPr>
        <w:t xml:space="preserve">possibility of </w:t>
      </w:r>
      <w:r w:rsidR="00AA788C" w:rsidRPr="00C7320D">
        <w:rPr>
          <w:rFonts w:ascii="Aptos" w:hAnsi="Aptos"/>
          <w:sz w:val="22"/>
          <w:szCs w:val="22"/>
          <w:lang w:eastAsia="en-GB"/>
        </w:rPr>
        <w:t>connecting</w:t>
      </w:r>
      <w:r w:rsidR="005E0645" w:rsidRPr="00C7320D">
        <w:rPr>
          <w:rFonts w:ascii="Aptos" w:hAnsi="Aptos"/>
          <w:sz w:val="22"/>
          <w:szCs w:val="22"/>
          <w:lang w:eastAsia="en-GB"/>
        </w:rPr>
        <w:t xml:space="preserve"> (25 per cent in rural areas)</w:t>
      </w:r>
      <w:r w:rsidR="008962AC" w:rsidRPr="00C7320D">
        <w:rPr>
          <w:rFonts w:ascii="Aptos" w:hAnsi="Aptos"/>
          <w:sz w:val="22"/>
          <w:szCs w:val="22"/>
          <w:lang w:eastAsia="en-GB"/>
        </w:rPr>
        <w:t xml:space="preserve">. </w:t>
      </w:r>
      <w:r w:rsidR="008B2842" w:rsidRPr="00C7320D">
        <w:rPr>
          <w:rFonts w:ascii="Aptos" w:hAnsi="Aptos"/>
          <w:sz w:val="22"/>
          <w:szCs w:val="22"/>
          <w:lang w:eastAsia="en-GB"/>
        </w:rPr>
        <w:t xml:space="preserve">While 70 per cent of the population was covered by 4G, 16 per cent still relied on 3G, which offers slower speeds and a limited online experience. 5G rollout has started in a </w:t>
      </w:r>
      <w:r w:rsidR="009F4C96" w:rsidRPr="00C7320D">
        <w:rPr>
          <w:rFonts w:ascii="Aptos" w:hAnsi="Aptos"/>
          <w:sz w:val="22"/>
          <w:szCs w:val="22"/>
          <w:lang w:eastAsia="en-GB"/>
        </w:rPr>
        <w:t xml:space="preserve">few </w:t>
      </w:r>
      <w:r w:rsidR="008B2842" w:rsidRPr="00C7320D">
        <w:rPr>
          <w:rFonts w:ascii="Aptos" w:hAnsi="Aptos"/>
          <w:sz w:val="22"/>
          <w:szCs w:val="22"/>
          <w:lang w:eastAsia="en-GB"/>
        </w:rPr>
        <w:t xml:space="preserve">countries but only </w:t>
      </w:r>
      <w:r w:rsidR="009F4C96" w:rsidRPr="00C7320D">
        <w:rPr>
          <w:rFonts w:ascii="Aptos" w:hAnsi="Aptos"/>
          <w:sz w:val="22"/>
          <w:szCs w:val="22"/>
          <w:lang w:eastAsia="en-GB"/>
        </w:rPr>
        <w:t xml:space="preserve">reached </w:t>
      </w:r>
      <w:r w:rsidR="008B2842" w:rsidRPr="00C7320D">
        <w:rPr>
          <w:rFonts w:ascii="Aptos" w:hAnsi="Aptos"/>
          <w:sz w:val="22"/>
          <w:szCs w:val="22"/>
          <w:lang w:eastAsia="en-GB"/>
        </w:rPr>
        <w:t>11 per cent of the population.</w:t>
      </w:r>
    </w:p>
    <w:p w14:paraId="505B88BA" w14:textId="1488C1CA" w:rsidR="000F1B88" w:rsidRPr="00C7320D" w:rsidRDefault="000F1B88" w:rsidP="000F1B88">
      <w:pPr>
        <w:rPr>
          <w:rFonts w:ascii="Aptos" w:hAnsi="Aptos"/>
          <w:sz w:val="22"/>
          <w:szCs w:val="22"/>
          <w:lang w:eastAsia="en-GB"/>
        </w:rPr>
      </w:pPr>
      <w:r w:rsidRPr="00C7320D">
        <w:rPr>
          <w:rFonts w:ascii="Aptos" w:hAnsi="Aptos"/>
          <w:b/>
          <w:bCs/>
          <w:sz w:val="22"/>
          <w:szCs w:val="22"/>
          <w:lang w:eastAsia="en-GB"/>
        </w:rPr>
        <w:t>Internet adoption is growing, but usage remains far behind other regions.</w:t>
      </w:r>
      <w:r w:rsidRPr="00C7320D">
        <w:rPr>
          <w:rFonts w:ascii="Aptos" w:hAnsi="Aptos"/>
          <w:sz w:val="22"/>
          <w:szCs w:val="22"/>
          <w:lang w:eastAsia="en-GB"/>
        </w:rPr>
        <w:t xml:space="preserve"> In 2024, only 38 </w:t>
      </w:r>
      <w:r w:rsidR="0045747D" w:rsidRPr="00C7320D">
        <w:rPr>
          <w:rFonts w:ascii="Aptos" w:hAnsi="Aptos"/>
          <w:sz w:val="22"/>
          <w:szCs w:val="22"/>
          <w:lang w:eastAsia="en-GB"/>
        </w:rPr>
        <w:t>per cent</w:t>
      </w:r>
      <w:r w:rsidRPr="00C7320D">
        <w:rPr>
          <w:rFonts w:ascii="Aptos" w:hAnsi="Aptos"/>
          <w:sz w:val="22"/>
          <w:szCs w:val="22"/>
          <w:lang w:eastAsia="en-GB"/>
        </w:rPr>
        <w:t xml:space="preserve"> of Africa’s population used the Internet, the lowest rate among ITU regions and significantly below the global average of 68 </w:t>
      </w:r>
      <w:r w:rsidR="0045747D" w:rsidRPr="00C7320D">
        <w:rPr>
          <w:rFonts w:ascii="Aptos" w:hAnsi="Aptos"/>
          <w:sz w:val="22"/>
          <w:szCs w:val="22"/>
          <w:lang w:eastAsia="en-GB"/>
        </w:rPr>
        <w:t>per cent</w:t>
      </w:r>
      <w:r w:rsidRPr="00C7320D">
        <w:rPr>
          <w:rFonts w:ascii="Aptos" w:hAnsi="Aptos"/>
          <w:sz w:val="22"/>
          <w:szCs w:val="22"/>
          <w:lang w:eastAsia="en-GB"/>
        </w:rPr>
        <w:t>. Although adoption has increased, millions remain offline due to high service costs, digital illiteracy, and a lack of reliable connectivity, particularly in rural areas. Youth and urban populations are driving digital uptake, while older adults and rural communities continue to lag.</w:t>
      </w:r>
    </w:p>
    <w:p w14:paraId="2B1BC2DB" w14:textId="044D9ED1" w:rsidR="000F1B88" w:rsidRPr="00C7320D" w:rsidRDefault="000F1B88" w:rsidP="000F1B88">
      <w:pPr>
        <w:rPr>
          <w:rFonts w:ascii="Aptos" w:hAnsi="Aptos"/>
          <w:sz w:val="22"/>
          <w:szCs w:val="22"/>
          <w:lang w:eastAsia="en-GB"/>
        </w:rPr>
      </w:pPr>
      <w:r w:rsidRPr="00C7320D">
        <w:rPr>
          <w:rFonts w:ascii="Aptos" w:hAnsi="Aptos"/>
          <w:b/>
          <w:bCs/>
          <w:sz w:val="22"/>
          <w:szCs w:val="22"/>
          <w:lang w:eastAsia="en-GB"/>
        </w:rPr>
        <w:t>The urban-rural digital divide remains stark.</w:t>
      </w:r>
      <w:r w:rsidRPr="00C7320D">
        <w:rPr>
          <w:rFonts w:ascii="Aptos" w:hAnsi="Aptos"/>
          <w:sz w:val="22"/>
          <w:szCs w:val="22"/>
          <w:lang w:eastAsia="en-GB"/>
        </w:rPr>
        <w:t xml:space="preserve"> In 2024, Internet usage </w:t>
      </w:r>
      <w:r w:rsidR="00540A90" w:rsidRPr="00C7320D">
        <w:rPr>
          <w:rFonts w:ascii="Aptos" w:hAnsi="Aptos"/>
          <w:sz w:val="22"/>
          <w:szCs w:val="22"/>
          <w:lang w:eastAsia="en-GB"/>
        </w:rPr>
        <w:t xml:space="preserve">among </w:t>
      </w:r>
      <w:r w:rsidR="00F65B2E" w:rsidRPr="00C7320D">
        <w:rPr>
          <w:rFonts w:ascii="Aptos" w:hAnsi="Aptos"/>
          <w:sz w:val="22"/>
          <w:szCs w:val="22"/>
          <w:lang w:eastAsia="en-GB"/>
        </w:rPr>
        <w:t>the</w:t>
      </w:r>
      <w:r w:rsidR="00540A90" w:rsidRPr="00C7320D">
        <w:rPr>
          <w:rFonts w:ascii="Aptos" w:hAnsi="Aptos"/>
          <w:sz w:val="22"/>
          <w:szCs w:val="22"/>
          <w:lang w:eastAsia="en-GB"/>
        </w:rPr>
        <w:t xml:space="preserve"> urban population </w:t>
      </w:r>
      <w:r w:rsidRPr="00C7320D">
        <w:rPr>
          <w:rFonts w:ascii="Aptos" w:hAnsi="Aptos"/>
          <w:sz w:val="22"/>
          <w:szCs w:val="22"/>
          <w:lang w:eastAsia="en-GB"/>
        </w:rPr>
        <w:t xml:space="preserve">reached 57 </w:t>
      </w:r>
      <w:r w:rsidR="0045747D" w:rsidRPr="00C7320D">
        <w:rPr>
          <w:rFonts w:ascii="Aptos" w:hAnsi="Aptos"/>
          <w:sz w:val="22"/>
          <w:szCs w:val="22"/>
          <w:lang w:eastAsia="en-GB"/>
        </w:rPr>
        <w:t>per cent</w:t>
      </w:r>
      <w:r w:rsidRPr="00C7320D">
        <w:rPr>
          <w:rFonts w:ascii="Aptos" w:hAnsi="Aptos"/>
          <w:sz w:val="22"/>
          <w:szCs w:val="22"/>
          <w:lang w:eastAsia="en-GB"/>
        </w:rPr>
        <w:t xml:space="preserve">, compared to just 23 </w:t>
      </w:r>
      <w:r w:rsidR="0045747D" w:rsidRPr="00C7320D">
        <w:rPr>
          <w:rFonts w:ascii="Aptos" w:hAnsi="Aptos"/>
          <w:sz w:val="22"/>
          <w:szCs w:val="22"/>
          <w:lang w:eastAsia="en-GB"/>
        </w:rPr>
        <w:t>per cent</w:t>
      </w:r>
      <w:r w:rsidRPr="00C7320D">
        <w:rPr>
          <w:rFonts w:ascii="Aptos" w:hAnsi="Aptos"/>
          <w:sz w:val="22"/>
          <w:szCs w:val="22"/>
          <w:lang w:eastAsia="en-GB"/>
        </w:rPr>
        <w:t xml:space="preserve"> in rural areas</w:t>
      </w:r>
      <w:r w:rsidR="00D621C9" w:rsidRPr="00C7320D">
        <w:rPr>
          <w:rFonts w:ascii="Aptos" w:hAnsi="Aptos"/>
          <w:sz w:val="22"/>
          <w:szCs w:val="22"/>
          <w:lang w:eastAsia="en-GB"/>
        </w:rPr>
        <w:t xml:space="preserve">, by far the </w:t>
      </w:r>
      <w:r w:rsidR="003043C3" w:rsidRPr="00C7320D">
        <w:rPr>
          <w:rFonts w:ascii="Aptos" w:hAnsi="Aptos"/>
          <w:sz w:val="22"/>
          <w:szCs w:val="22"/>
          <w:lang w:eastAsia="en-GB"/>
        </w:rPr>
        <w:t>largest gaps among all regions</w:t>
      </w:r>
      <w:r w:rsidRPr="00C7320D">
        <w:rPr>
          <w:rFonts w:ascii="Aptos" w:hAnsi="Aptos"/>
          <w:sz w:val="22"/>
          <w:szCs w:val="22"/>
          <w:lang w:eastAsia="en-GB"/>
        </w:rPr>
        <w:t>. 4G and 5G networks primarily serve urban populations, leaving rural communities with slower and less reliable connectivity. Expanding rural broadband infrastructure and introducing targeted policies to address rural connectivity challenges will be crucial for bridging this divide.</w:t>
      </w:r>
    </w:p>
    <w:p w14:paraId="5B1A516F" w14:textId="63EC6158" w:rsidR="00964C07" w:rsidRPr="00C7320D" w:rsidRDefault="001C09FC" w:rsidP="00490054">
      <w:pPr>
        <w:rPr>
          <w:rFonts w:ascii="Aptos" w:hAnsi="Aptos"/>
          <w:sz w:val="22"/>
          <w:szCs w:val="22"/>
          <w:lang w:eastAsia="en-GB"/>
        </w:rPr>
      </w:pPr>
      <w:r w:rsidRPr="00C7320D">
        <w:rPr>
          <w:rFonts w:ascii="Aptos" w:hAnsi="Aptos"/>
          <w:b/>
          <w:bCs/>
          <w:sz w:val="22"/>
          <w:szCs w:val="22"/>
          <w:lang w:eastAsia="en-GB"/>
        </w:rPr>
        <w:t>Affordability is a major barrier to digital inclusion.</w:t>
      </w:r>
      <w:r w:rsidRPr="00C7320D">
        <w:rPr>
          <w:rFonts w:ascii="Aptos" w:hAnsi="Aptos"/>
          <w:sz w:val="22"/>
          <w:szCs w:val="22"/>
          <w:lang w:eastAsia="en-GB"/>
        </w:rPr>
        <w:t xml:space="preserve"> </w:t>
      </w:r>
      <w:r w:rsidR="00490054" w:rsidRPr="00C7320D">
        <w:rPr>
          <w:rFonts w:ascii="Aptos" w:hAnsi="Aptos"/>
          <w:sz w:val="22"/>
          <w:szCs w:val="22"/>
          <w:lang w:eastAsia="en-GB"/>
        </w:rPr>
        <w:t xml:space="preserve">In 2024, the median price of an entry-level mobile broadband plan (2GB) was 4.2 per cent of gross national income (GNI) per capita, down from 4.6 per cent the previous year, yet still the highest of any region and well above the UN Broadband Commission’s 2 per cent affordability target. Fixed broadband is even less accessible, with a median </w:t>
      </w:r>
      <w:r w:rsidR="00490054" w:rsidRPr="00C7320D">
        <w:rPr>
          <w:rFonts w:ascii="Aptos" w:hAnsi="Aptos"/>
          <w:sz w:val="22"/>
          <w:szCs w:val="22"/>
          <w:lang w:eastAsia="en-GB"/>
        </w:rPr>
        <w:lastRenderedPageBreak/>
        <w:t>price of 15 per cent of GNI per capita. These high costs disproportionately impact lower-income groups, exacerbating digital inequalities.</w:t>
      </w:r>
    </w:p>
    <w:p w14:paraId="702F3F23" w14:textId="7F503232" w:rsidR="00E66BC2" w:rsidRPr="00C7320D" w:rsidRDefault="000F1B88" w:rsidP="00A95D98">
      <w:pPr>
        <w:rPr>
          <w:rFonts w:ascii="Aptos" w:hAnsi="Aptos"/>
          <w:sz w:val="22"/>
          <w:szCs w:val="22"/>
          <w:lang w:eastAsia="en-GB"/>
        </w:rPr>
      </w:pPr>
      <w:r w:rsidRPr="00C7320D">
        <w:rPr>
          <w:rFonts w:ascii="Aptos" w:hAnsi="Aptos"/>
          <w:b/>
          <w:bCs/>
          <w:sz w:val="22"/>
          <w:szCs w:val="22"/>
          <w:lang w:eastAsia="en-GB"/>
        </w:rPr>
        <w:t>ICT regulation in Africa has advanced, but challenges persist.</w:t>
      </w:r>
      <w:r w:rsidRPr="00C7320D">
        <w:rPr>
          <w:rFonts w:ascii="Aptos" w:hAnsi="Aptos"/>
          <w:sz w:val="22"/>
          <w:szCs w:val="22"/>
          <w:lang w:eastAsia="en-GB"/>
        </w:rPr>
        <w:t xml:space="preserve"> Over the past decade, many African countries have strengthened their ICT regulatory frameworks, with a shift toward more competitive and investment-friendly policies. However, regulatory maturity in the region still lags global trends. Only 18 </w:t>
      </w:r>
      <w:r w:rsidR="0045747D" w:rsidRPr="00C7320D">
        <w:rPr>
          <w:rFonts w:ascii="Aptos" w:hAnsi="Aptos"/>
          <w:sz w:val="22"/>
          <w:szCs w:val="22"/>
          <w:lang w:eastAsia="en-GB"/>
        </w:rPr>
        <w:t>per cent</w:t>
      </w:r>
      <w:r w:rsidRPr="00C7320D">
        <w:rPr>
          <w:rFonts w:ascii="Aptos" w:hAnsi="Aptos"/>
          <w:sz w:val="22"/>
          <w:szCs w:val="22"/>
          <w:lang w:eastAsia="en-GB"/>
        </w:rPr>
        <w:t xml:space="preserve"> of African countries have reached the </w:t>
      </w:r>
      <w:r w:rsidR="00A82CE8" w:rsidRPr="00C7320D">
        <w:rPr>
          <w:rFonts w:ascii="Aptos" w:hAnsi="Aptos"/>
          <w:sz w:val="22"/>
          <w:szCs w:val="22"/>
          <w:lang w:eastAsia="en-GB"/>
        </w:rPr>
        <w:t xml:space="preserve">most advanced stage </w:t>
      </w:r>
      <w:r w:rsidRPr="00C7320D">
        <w:rPr>
          <w:rFonts w:ascii="Aptos" w:hAnsi="Aptos"/>
          <w:sz w:val="22"/>
          <w:szCs w:val="22"/>
          <w:lang w:eastAsia="en-GB"/>
        </w:rPr>
        <w:t>of ICT regulation (</w:t>
      </w:r>
      <w:r w:rsidR="00A82CE8" w:rsidRPr="00C7320D">
        <w:rPr>
          <w:rFonts w:ascii="Aptos" w:hAnsi="Aptos"/>
          <w:sz w:val="22"/>
          <w:szCs w:val="22"/>
          <w:lang w:eastAsia="en-GB"/>
        </w:rPr>
        <w:t>G</w:t>
      </w:r>
      <w:r w:rsidRPr="00C7320D">
        <w:rPr>
          <w:rFonts w:ascii="Aptos" w:hAnsi="Aptos"/>
          <w:sz w:val="22"/>
          <w:szCs w:val="22"/>
          <w:lang w:eastAsia="en-GB"/>
        </w:rPr>
        <w:t xml:space="preserve">4), compared to a global average of 38 </w:t>
      </w:r>
      <w:r w:rsidR="0045747D" w:rsidRPr="00C7320D">
        <w:rPr>
          <w:rFonts w:ascii="Aptos" w:hAnsi="Aptos"/>
          <w:sz w:val="22"/>
          <w:szCs w:val="22"/>
          <w:lang w:eastAsia="en-GB"/>
        </w:rPr>
        <w:t>per cent</w:t>
      </w:r>
      <w:r w:rsidRPr="00C7320D">
        <w:rPr>
          <w:rFonts w:ascii="Aptos" w:hAnsi="Aptos"/>
          <w:sz w:val="22"/>
          <w:szCs w:val="22"/>
          <w:lang w:eastAsia="en-GB"/>
        </w:rPr>
        <w:t xml:space="preserve">. Strengthening digital governance and regulatory frameworks </w:t>
      </w:r>
      <w:r w:rsidR="00A95D98" w:rsidRPr="00C7320D">
        <w:rPr>
          <w:rFonts w:ascii="Aptos" w:hAnsi="Aptos"/>
          <w:sz w:val="22"/>
          <w:szCs w:val="22"/>
          <w:lang w:eastAsia="en-GB"/>
        </w:rPr>
        <w:t>is</w:t>
      </w:r>
      <w:r w:rsidRPr="00C7320D">
        <w:rPr>
          <w:rFonts w:ascii="Aptos" w:hAnsi="Aptos"/>
          <w:sz w:val="22"/>
          <w:szCs w:val="22"/>
          <w:lang w:eastAsia="en-GB"/>
        </w:rPr>
        <w:t xml:space="preserve"> crucial for accelerating digital transformation</w:t>
      </w:r>
      <w:r w:rsidR="00757A0A">
        <w:rPr>
          <w:rFonts w:ascii="Aptos" w:hAnsi="Aptos"/>
          <w:sz w:val="22"/>
          <w:szCs w:val="22"/>
          <w:lang w:eastAsia="en-GB"/>
        </w:rPr>
        <w:t>.</w:t>
      </w:r>
      <w:r w:rsidR="00B106A5">
        <w:rPr>
          <w:rFonts w:ascii="Aptos" w:hAnsi="Aptos"/>
          <w:sz w:val="22"/>
          <w:szCs w:val="22"/>
          <w:lang w:eastAsia="en-GB"/>
        </w:rPr>
        <w:t xml:space="preserve"> </w:t>
      </w:r>
      <w:r w:rsidR="00EF39EC" w:rsidRPr="00C7320D">
        <w:rPr>
          <w:rFonts w:ascii="Aptos" w:hAnsi="Aptos"/>
          <w:sz w:val="22"/>
          <w:szCs w:val="22"/>
          <w:lang w:eastAsia="en-GB"/>
        </w:rPr>
        <w:t>The region must remain focused on adopting robust digital policies that drive infrastructure investment, targeted initiatives in digital identity and skills and cross-sector collaboration to bridge digital divides.</w:t>
      </w:r>
    </w:p>
    <w:p w14:paraId="758DC970" w14:textId="062407D6" w:rsidR="000F1B88" w:rsidRPr="00C7320D" w:rsidRDefault="000F1B88" w:rsidP="000F1B88">
      <w:pPr>
        <w:rPr>
          <w:rFonts w:ascii="Aptos" w:hAnsi="Aptos"/>
          <w:sz w:val="22"/>
          <w:szCs w:val="22"/>
          <w:lang w:eastAsia="en-GB"/>
        </w:rPr>
      </w:pPr>
      <w:r w:rsidRPr="00C7320D">
        <w:rPr>
          <w:rFonts w:ascii="Aptos" w:hAnsi="Aptos"/>
          <w:b/>
          <w:bCs/>
          <w:sz w:val="22"/>
          <w:szCs w:val="22"/>
          <w:lang w:eastAsia="en-GB"/>
        </w:rPr>
        <w:t>Cybersecurity and data protection require greater attention.</w:t>
      </w:r>
      <w:r w:rsidRPr="00C7320D">
        <w:rPr>
          <w:rFonts w:ascii="Aptos" w:hAnsi="Aptos"/>
          <w:sz w:val="22"/>
          <w:szCs w:val="22"/>
          <w:lang w:eastAsia="en-GB"/>
        </w:rPr>
        <w:t xml:space="preserve"> As connectivity grows, so do risks related to cybersecurity, online fraud, and data privacy. </w:t>
      </w:r>
      <w:r w:rsidR="00DD3AF5" w:rsidRPr="00C7320D">
        <w:rPr>
          <w:rFonts w:ascii="Aptos" w:hAnsi="Aptos"/>
          <w:sz w:val="22"/>
          <w:szCs w:val="22"/>
          <w:lang w:eastAsia="en-GB"/>
        </w:rPr>
        <w:t xml:space="preserve">Between 2021 and 2024, </w:t>
      </w:r>
      <w:r w:rsidR="00BE52B4" w:rsidRPr="00C7320D">
        <w:rPr>
          <w:rFonts w:ascii="Aptos" w:hAnsi="Aptos"/>
          <w:sz w:val="22"/>
          <w:szCs w:val="22"/>
          <w:lang w:eastAsia="en-GB"/>
        </w:rPr>
        <w:t xml:space="preserve">Africa’s </w:t>
      </w:r>
      <w:r w:rsidR="00DD3AF5" w:rsidRPr="00C7320D">
        <w:rPr>
          <w:rFonts w:ascii="Aptos" w:hAnsi="Aptos"/>
          <w:sz w:val="22"/>
          <w:szCs w:val="22"/>
          <w:lang w:eastAsia="en-GB"/>
        </w:rPr>
        <w:t>average score on the Global Cybersecurity Index (GCI) increased by 22 points to reach 57</w:t>
      </w:r>
      <w:r w:rsidR="00BE52B4" w:rsidRPr="00C7320D">
        <w:rPr>
          <w:rFonts w:ascii="Aptos" w:hAnsi="Aptos"/>
          <w:sz w:val="22"/>
          <w:szCs w:val="22"/>
          <w:lang w:eastAsia="en-GB"/>
        </w:rPr>
        <w:t xml:space="preserve"> (out of 100). T</w:t>
      </w:r>
      <w:r w:rsidR="00DD3AF5" w:rsidRPr="00C7320D">
        <w:rPr>
          <w:rFonts w:ascii="Aptos" w:hAnsi="Aptos"/>
          <w:sz w:val="22"/>
          <w:szCs w:val="22"/>
          <w:lang w:eastAsia="en-GB"/>
        </w:rPr>
        <w:t xml:space="preserve">he difference </w:t>
      </w:r>
      <w:r w:rsidR="00574DF8" w:rsidRPr="00C7320D">
        <w:rPr>
          <w:rFonts w:ascii="Aptos" w:hAnsi="Aptos"/>
          <w:sz w:val="22"/>
          <w:szCs w:val="22"/>
          <w:lang w:eastAsia="en-GB"/>
        </w:rPr>
        <w:t xml:space="preserve">with </w:t>
      </w:r>
      <w:r w:rsidR="00DD3AF5" w:rsidRPr="00C7320D">
        <w:rPr>
          <w:rFonts w:ascii="Aptos" w:hAnsi="Aptos"/>
          <w:sz w:val="22"/>
          <w:szCs w:val="22"/>
          <w:lang w:eastAsia="en-GB"/>
        </w:rPr>
        <w:t xml:space="preserve">the global average </w:t>
      </w:r>
      <w:r w:rsidR="00B30EBF" w:rsidRPr="00C7320D">
        <w:rPr>
          <w:rFonts w:ascii="Aptos" w:hAnsi="Aptos"/>
          <w:sz w:val="22"/>
          <w:szCs w:val="22"/>
          <w:lang w:eastAsia="en-GB"/>
        </w:rPr>
        <w:t xml:space="preserve">score </w:t>
      </w:r>
      <w:r w:rsidR="00574DF8" w:rsidRPr="00C7320D">
        <w:rPr>
          <w:rFonts w:ascii="Aptos" w:hAnsi="Aptos"/>
          <w:sz w:val="22"/>
          <w:szCs w:val="22"/>
          <w:lang w:eastAsia="en-GB"/>
        </w:rPr>
        <w:t xml:space="preserve">(66) </w:t>
      </w:r>
      <w:r w:rsidR="00BE52B4" w:rsidRPr="00C7320D">
        <w:rPr>
          <w:rFonts w:ascii="Aptos" w:hAnsi="Aptos"/>
          <w:sz w:val="22"/>
          <w:szCs w:val="22"/>
          <w:lang w:eastAsia="en-GB"/>
        </w:rPr>
        <w:t xml:space="preserve">has been cut </w:t>
      </w:r>
      <w:r w:rsidR="00DD3AF5" w:rsidRPr="00C7320D">
        <w:rPr>
          <w:rFonts w:ascii="Aptos" w:hAnsi="Aptos"/>
          <w:sz w:val="22"/>
          <w:szCs w:val="22"/>
          <w:lang w:eastAsia="en-GB"/>
        </w:rPr>
        <w:t>in half</w:t>
      </w:r>
      <w:r w:rsidR="00574DF8" w:rsidRPr="00C7320D">
        <w:rPr>
          <w:rFonts w:ascii="Aptos" w:hAnsi="Aptos"/>
          <w:sz w:val="22"/>
          <w:szCs w:val="22"/>
          <w:lang w:eastAsia="en-GB"/>
        </w:rPr>
        <w:t xml:space="preserve">. </w:t>
      </w:r>
      <w:r w:rsidRPr="00C7320D">
        <w:rPr>
          <w:rFonts w:ascii="Aptos" w:hAnsi="Aptos"/>
          <w:sz w:val="22"/>
          <w:szCs w:val="22"/>
          <w:lang w:eastAsia="en-GB"/>
        </w:rPr>
        <w:t xml:space="preserve">Many African countries </w:t>
      </w:r>
      <w:r w:rsidR="00574DF8" w:rsidRPr="00C7320D">
        <w:rPr>
          <w:rFonts w:ascii="Aptos" w:hAnsi="Aptos"/>
          <w:sz w:val="22"/>
          <w:szCs w:val="22"/>
          <w:lang w:eastAsia="en-GB"/>
        </w:rPr>
        <w:t xml:space="preserve">still </w:t>
      </w:r>
      <w:r w:rsidRPr="00C7320D">
        <w:rPr>
          <w:rFonts w:ascii="Aptos" w:hAnsi="Aptos"/>
          <w:sz w:val="22"/>
          <w:szCs w:val="22"/>
          <w:lang w:eastAsia="en-GB"/>
        </w:rPr>
        <w:t xml:space="preserve">lack comprehensive cybersecurity strategies, national computer incident response teams (CIRTs), or strong data protection laws. This regulatory gap makes businesses and individuals vulnerable to cyber threats, impeding trust in digital services. </w:t>
      </w:r>
    </w:p>
    <w:p w14:paraId="5B75C14D" w14:textId="42A29CAD" w:rsidR="000F1B88" w:rsidRPr="00C7320D" w:rsidRDefault="000F1B88" w:rsidP="000F1B88">
      <w:pPr>
        <w:rPr>
          <w:rFonts w:ascii="Aptos" w:hAnsi="Aptos"/>
          <w:sz w:val="22"/>
          <w:szCs w:val="22"/>
          <w:lang w:eastAsia="en-GB"/>
        </w:rPr>
      </w:pPr>
      <w:r w:rsidRPr="2F8354BF">
        <w:rPr>
          <w:rFonts w:ascii="Aptos" w:hAnsi="Aptos"/>
          <w:b/>
          <w:bCs/>
          <w:sz w:val="22"/>
          <w:szCs w:val="22"/>
          <w:lang w:eastAsia="en-GB"/>
        </w:rPr>
        <w:t>E-waste is a</w:t>
      </w:r>
      <w:r w:rsidR="001C7BB0" w:rsidRPr="2F8354BF">
        <w:rPr>
          <w:rFonts w:ascii="Aptos" w:hAnsi="Aptos"/>
          <w:b/>
          <w:bCs/>
          <w:sz w:val="22"/>
          <w:szCs w:val="22"/>
          <w:lang w:eastAsia="en-GB"/>
        </w:rPr>
        <w:t xml:space="preserve"> growing </w:t>
      </w:r>
      <w:r w:rsidRPr="2F8354BF">
        <w:rPr>
          <w:rFonts w:ascii="Aptos" w:hAnsi="Aptos"/>
          <w:b/>
          <w:bCs/>
          <w:sz w:val="22"/>
          <w:szCs w:val="22"/>
          <w:lang w:eastAsia="en-GB"/>
        </w:rPr>
        <w:t>environmental concern in Africa.</w:t>
      </w:r>
      <w:r w:rsidRPr="2F8354BF">
        <w:rPr>
          <w:rFonts w:ascii="Aptos" w:hAnsi="Aptos"/>
          <w:sz w:val="22"/>
          <w:szCs w:val="22"/>
          <w:lang w:eastAsia="en-GB"/>
        </w:rPr>
        <w:t xml:space="preserve"> In 202</w:t>
      </w:r>
      <w:r w:rsidR="00862D74" w:rsidRPr="2F8354BF">
        <w:rPr>
          <w:rFonts w:ascii="Aptos" w:hAnsi="Aptos"/>
          <w:sz w:val="22"/>
          <w:szCs w:val="22"/>
          <w:lang w:eastAsia="en-GB"/>
        </w:rPr>
        <w:t>2</w:t>
      </w:r>
      <w:r w:rsidRPr="2F8354BF">
        <w:rPr>
          <w:rFonts w:ascii="Aptos" w:hAnsi="Aptos"/>
          <w:sz w:val="22"/>
          <w:szCs w:val="22"/>
          <w:lang w:eastAsia="en-GB"/>
        </w:rPr>
        <w:t xml:space="preserve">, the continent generated an estimated </w:t>
      </w:r>
      <w:r w:rsidR="00F8627C" w:rsidRPr="2F8354BF">
        <w:rPr>
          <w:rFonts w:ascii="Aptos" w:hAnsi="Aptos"/>
          <w:sz w:val="22"/>
          <w:szCs w:val="22"/>
          <w:lang w:eastAsia="en-GB"/>
        </w:rPr>
        <w:t>2 billion</w:t>
      </w:r>
      <w:r w:rsidRPr="2F8354BF">
        <w:rPr>
          <w:rFonts w:ascii="Aptos" w:hAnsi="Aptos"/>
          <w:sz w:val="22"/>
          <w:szCs w:val="22"/>
          <w:lang w:eastAsia="en-GB"/>
        </w:rPr>
        <w:t xml:space="preserve"> </w:t>
      </w:r>
      <w:r w:rsidR="00F8627C" w:rsidRPr="2F8354BF">
        <w:rPr>
          <w:rFonts w:ascii="Aptos" w:hAnsi="Aptos"/>
          <w:sz w:val="22"/>
          <w:szCs w:val="22"/>
          <w:lang w:eastAsia="en-GB"/>
        </w:rPr>
        <w:t xml:space="preserve">kilograms (kg) </w:t>
      </w:r>
      <w:r w:rsidRPr="2F8354BF">
        <w:rPr>
          <w:rFonts w:ascii="Aptos" w:hAnsi="Aptos"/>
          <w:sz w:val="22"/>
          <w:szCs w:val="22"/>
          <w:lang w:eastAsia="en-GB"/>
        </w:rPr>
        <w:t xml:space="preserve">of electronic waste (e-waste), accounting for a small fraction of the 62 </w:t>
      </w:r>
      <w:r w:rsidR="00F8627C" w:rsidRPr="2F8354BF">
        <w:rPr>
          <w:rFonts w:ascii="Aptos" w:hAnsi="Aptos"/>
          <w:sz w:val="22"/>
          <w:szCs w:val="22"/>
          <w:lang w:eastAsia="en-GB"/>
        </w:rPr>
        <w:t xml:space="preserve">billion kg </w:t>
      </w:r>
      <w:r w:rsidRPr="2F8354BF">
        <w:rPr>
          <w:rFonts w:ascii="Aptos" w:hAnsi="Aptos"/>
          <w:sz w:val="22"/>
          <w:szCs w:val="22"/>
          <w:lang w:eastAsia="en-GB"/>
        </w:rPr>
        <w:t>produced globally</w:t>
      </w:r>
      <w:r w:rsidR="003C4EE9" w:rsidRPr="2F8354BF">
        <w:rPr>
          <w:rFonts w:ascii="Aptos" w:hAnsi="Aptos"/>
          <w:sz w:val="22"/>
          <w:szCs w:val="22"/>
          <w:lang w:eastAsia="en-GB"/>
        </w:rPr>
        <w:t xml:space="preserve">. </w:t>
      </w:r>
      <w:r w:rsidR="00CF4E0B" w:rsidRPr="2F8354BF">
        <w:rPr>
          <w:rFonts w:ascii="Aptos" w:hAnsi="Aptos"/>
          <w:sz w:val="22"/>
          <w:szCs w:val="22"/>
          <w:lang w:eastAsia="en-GB"/>
        </w:rPr>
        <w:t>O</w:t>
      </w:r>
      <w:r w:rsidRPr="2F8354BF">
        <w:rPr>
          <w:rFonts w:ascii="Aptos" w:hAnsi="Aptos"/>
          <w:sz w:val="22"/>
          <w:szCs w:val="22"/>
          <w:lang w:eastAsia="en-GB"/>
        </w:rPr>
        <w:t xml:space="preserve">nly 0.7 </w:t>
      </w:r>
      <w:r w:rsidR="0045747D" w:rsidRPr="2F8354BF">
        <w:rPr>
          <w:rFonts w:ascii="Aptos" w:hAnsi="Aptos"/>
          <w:sz w:val="22"/>
          <w:szCs w:val="22"/>
          <w:lang w:eastAsia="en-GB"/>
        </w:rPr>
        <w:t>per cent</w:t>
      </w:r>
      <w:r w:rsidRPr="2F8354BF">
        <w:rPr>
          <w:rFonts w:ascii="Aptos" w:hAnsi="Aptos"/>
          <w:sz w:val="22"/>
          <w:szCs w:val="22"/>
          <w:lang w:eastAsia="en-GB"/>
        </w:rPr>
        <w:t xml:space="preserve"> of Africa's e-waste was formally collected and recycled, significantly below the global average recycling rate of 22.3 </w:t>
      </w:r>
      <w:r w:rsidR="0045747D" w:rsidRPr="2F8354BF">
        <w:rPr>
          <w:rFonts w:ascii="Aptos" w:hAnsi="Aptos"/>
          <w:sz w:val="22"/>
          <w:szCs w:val="22"/>
          <w:lang w:eastAsia="en-GB"/>
        </w:rPr>
        <w:t>per cent</w:t>
      </w:r>
      <w:r w:rsidRPr="2F8354BF">
        <w:rPr>
          <w:rFonts w:ascii="Aptos" w:hAnsi="Aptos"/>
          <w:sz w:val="22"/>
          <w:szCs w:val="22"/>
          <w:lang w:eastAsia="en-GB"/>
        </w:rPr>
        <w:t>.</w:t>
      </w:r>
      <w:r w:rsidR="008702AD" w:rsidRPr="2F8354BF">
        <w:rPr>
          <w:rFonts w:ascii="Aptos" w:hAnsi="Aptos"/>
          <w:sz w:val="22"/>
          <w:szCs w:val="22"/>
          <w:lang w:eastAsia="en-GB"/>
        </w:rPr>
        <w:t xml:space="preserve"> </w:t>
      </w:r>
      <w:r w:rsidRPr="2F8354BF">
        <w:rPr>
          <w:rFonts w:ascii="Aptos" w:hAnsi="Aptos"/>
          <w:sz w:val="22"/>
          <w:szCs w:val="22"/>
          <w:lang w:eastAsia="en-GB"/>
        </w:rPr>
        <w:t>This disparity highlights the urgent need for robust e-waste management policies and recycling infrastructure to mitigate environmental hazards and recover valuable materials.</w:t>
      </w:r>
      <w:r w:rsidR="0E59DA11" w:rsidRPr="2F8354BF">
        <w:rPr>
          <w:rFonts w:ascii="Aptos" w:hAnsi="Aptos"/>
          <w:sz w:val="22"/>
          <w:szCs w:val="22"/>
          <w:lang w:eastAsia="en-GB"/>
        </w:rPr>
        <w:t xml:space="preserve"> As it stands, however, only 12 countries in the region are covered by a national e-waste policy, legislation or regulation. </w:t>
      </w:r>
    </w:p>
    <w:p w14:paraId="513DEB21" w14:textId="145AA1A6" w:rsidR="000F1B88" w:rsidRPr="00C7320D" w:rsidRDefault="00983E17" w:rsidP="000F1B88">
      <w:pPr>
        <w:rPr>
          <w:rFonts w:ascii="Aptos" w:hAnsi="Aptos"/>
          <w:sz w:val="22"/>
          <w:szCs w:val="22"/>
          <w:lang w:eastAsia="en-GB"/>
        </w:rPr>
      </w:pPr>
      <w:r w:rsidRPr="00C7320D">
        <w:rPr>
          <w:rFonts w:ascii="Aptos" w:hAnsi="Aptos"/>
          <w:b/>
          <w:bCs/>
          <w:sz w:val="22"/>
          <w:szCs w:val="22"/>
          <w:lang w:eastAsia="en-GB"/>
        </w:rPr>
        <w:t>The lack of reliable ICT data is a major obstacle to progress.</w:t>
      </w:r>
      <w:r w:rsidR="000F1B88" w:rsidRPr="00C7320D">
        <w:rPr>
          <w:rFonts w:ascii="Aptos" w:hAnsi="Aptos"/>
          <w:sz w:val="22"/>
          <w:szCs w:val="22"/>
          <w:lang w:eastAsia="en-GB"/>
        </w:rPr>
        <w:t xml:space="preserve"> Africa faces a severe lack of ICT statistics, particularly from household surveys. </w:t>
      </w:r>
      <w:r w:rsidR="001C7BB0" w:rsidRPr="00C7320D">
        <w:rPr>
          <w:rFonts w:ascii="Aptos" w:hAnsi="Aptos"/>
          <w:sz w:val="22"/>
          <w:szCs w:val="22"/>
          <w:lang w:eastAsia="en-GB"/>
        </w:rPr>
        <w:t xml:space="preserve">For the period </w:t>
      </w:r>
      <w:r w:rsidR="000F1B88" w:rsidRPr="00C7320D">
        <w:rPr>
          <w:rFonts w:ascii="Aptos" w:hAnsi="Aptos"/>
          <w:sz w:val="22"/>
          <w:szCs w:val="22"/>
          <w:lang w:eastAsia="en-GB"/>
        </w:rPr>
        <w:t>2022</w:t>
      </w:r>
      <w:r w:rsidR="001C7BB0" w:rsidRPr="00C7320D">
        <w:rPr>
          <w:rFonts w:ascii="Aptos" w:hAnsi="Aptos"/>
          <w:sz w:val="22"/>
          <w:szCs w:val="22"/>
          <w:lang w:eastAsia="en-GB"/>
        </w:rPr>
        <w:t>-</w:t>
      </w:r>
      <w:r w:rsidR="000F1B88" w:rsidRPr="00C7320D">
        <w:rPr>
          <w:rFonts w:ascii="Aptos" w:hAnsi="Aptos"/>
          <w:sz w:val="22"/>
          <w:szCs w:val="22"/>
          <w:lang w:eastAsia="en-GB"/>
        </w:rPr>
        <w:t xml:space="preserve">2024, only nine countries provided </w:t>
      </w:r>
      <w:r w:rsidR="00E15BCF" w:rsidRPr="00C7320D">
        <w:rPr>
          <w:rFonts w:ascii="Aptos" w:hAnsi="Aptos"/>
          <w:sz w:val="22"/>
          <w:szCs w:val="22"/>
          <w:lang w:eastAsia="en-GB"/>
        </w:rPr>
        <w:t>even</w:t>
      </w:r>
      <w:r w:rsidR="000F1B88" w:rsidRPr="00C7320D">
        <w:rPr>
          <w:rFonts w:ascii="Aptos" w:hAnsi="Aptos"/>
          <w:sz w:val="22"/>
          <w:szCs w:val="22"/>
          <w:lang w:eastAsia="en-GB"/>
        </w:rPr>
        <w:t xml:space="preserve"> partial ICT household data. </w:t>
      </w:r>
      <w:r w:rsidR="00466053" w:rsidRPr="00C7320D">
        <w:rPr>
          <w:rFonts w:ascii="Aptos" w:hAnsi="Aptos"/>
          <w:sz w:val="22"/>
          <w:szCs w:val="22"/>
          <w:lang w:eastAsia="en-GB"/>
        </w:rPr>
        <w:t xml:space="preserve">Data on </w:t>
      </w:r>
      <w:r w:rsidR="000F1B88" w:rsidRPr="00C7320D">
        <w:rPr>
          <w:rFonts w:ascii="Aptos" w:hAnsi="Aptos"/>
          <w:sz w:val="22"/>
          <w:szCs w:val="22"/>
          <w:lang w:eastAsia="en-GB"/>
        </w:rPr>
        <w:t xml:space="preserve">ICT skills is </w:t>
      </w:r>
      <w:r w:rsidR="00466053" w:rsidRPr="00C7320D">
        <w:rPr>
          <w:rFonts w:ascii="Aptos" w:hAnsi="Aptos"/>
          <w:sz w:val="22"/>
          <w:szCs w:val="22"/>
          <w:lang w:eastAsia="en-GB"/>
        </w:rPr>
        <w:t xml:space="preserve">almost </w:t>
      </w:r>
      <w:r w:rsidR="00B429D9" w:rsidRPr="00C7320D">
        <w:rPr>
          <w:rFonts w:ascii="Aptos" w:hAnsi="Aptos"/>
          <w:sz w:val="22"/>
          <w:szCs w:val="22"/>
          <w:lang w:eastAsia="en-GB"/>
        </w:rPr>
        <w:t>non</w:t>
      </w:r>
      <w:r w:rsidR="00893203" w:rsidRPr="00C7320D">
        <w:rPr>
          <w:rFonts w:ascii="Aptos" w:hAnsi="Aptos"/>
          <w:sz w:val="22"/>
          <w:szCs w:val="22"/>
          <w:lang w:eastAsia="en-GB"/>
        </w:rPr>
        <w:t>-</w:t>
      </w:r>
      <w:r w:rsidR="00B429D9" w:rsidRPr="00C7320D">
        <w:rPr>
          <w:rFonts w:ascii="Aptos" w:hAnsi="Aptos"/>
          <w:sz w:val="22"/>
          <w:szCs w:val="22"/>
          <w:lang w:eastAsia="en-GB"/>
        </w:rPr>
        <w:t>exist</w:t>
      </w:r>
      <w:r w:rsidR="00893203" w:rsidRPr="00C7320D">
        <w:rPr>
          <w:rFonts w:ascii="Aptos" w:hAnsi="Aptos"/>
          <w:sz w:val="22"/>
          <w:szCs w:val="22"/>
          <w:lang w:eastAsia="en-GB"/>
        </w:rPr>
        <w:t>e</w:t>
      </w:r>
      <w:r w:rsidR="00B429D9" w:rsidRPr="00C7320D">
        <w:rPr>
          <w:rFonts w:ascii="Aptos" w:hAnsi="Aptos"/>
          <w:sz w:val="22"/>
          <w:szCs w:val="22"/>
          <w:lang w:eastAsia="en-GB"/>
        </w:rPr>
        <w:t>nt</w:t>
      </w:r>
      <w:r w:rsidR="000F1B88" w:rsidRPr="00C7320D">
        <w:rPr>
          <w:rFonts w:ascii="Aptos" w:hAnsi="Aptos"/>
          <w:sz w:val="22"/>
          <w:szCs w:val="22"/>
          <w:lang w:eastAsia="en-GB"/>
        </w:rPr>
        <w:t xml:space="preserve">, with only eight countries submitting data </w:t>
      </w:r>
      <w:r w:rsidR="00466053" w:rsidRPr="00C7320D">
        <w:rPr>
          <w:rFonts w:ascii="Aptos" w:hAnsi="Aptos"/>
          <w:sz w:val="22"/>
          <w:szCs w:val="22"/>
          <w:lang w:eastAsia="en-GB"/>
        </w:rPr>
        <w:t xml:space="preserve">on the topic </w:t>
      </w:r>
      <w:r w:rsidR="000F1B88" w:rsidRPr="00C7320D">
        <w:rPr>
          <w:rFonts w:ascii="Aptos" w:hAnsi="Aptos"/>
          <w:sz w:val="22"/>
          <w:szCs w:val="22"/>
          <w:lang w:eastAsia="en-GB"/>
        </w:rPr>
        <w:t xml:space="preserve">since 2019 and </w:t>
      </w:r>
      <w:r w:rsidR="00B65D73" w:rsidRPr="00C7320D">
        <w:rPr>
          <w:rFonts w:ascii="Aptos" w:hAnsi="Aptos"/>
          <w:sz w:val="22"/>
          <w:szCs w:val="22"/>
          <w:lang w:eastAsia="en-GB"/>
        </w:rPr>
        <w:t xml:space="preserve">only one </w:t>
      </w:r>
      <w:r w:rsidR="000F1B88" w:rsidRPr="00C7320D">
        <w:rPr>
          <w:rFonts w:ascii="Aptos" w:hAnsi="Aptos"/>
          <w:sz w:val="22"/>
          <w:szCs w:val="22"/>
          <w:lang w:eastAsia="en-GB"/>
        </w:rPr>
        <w:t>provid</w:t>
      </w:r>
      <w:r w:rsidR="00B65D73" w:rsidRPr="00C7320D">
        <w:rPr>
          <w:rFonts w:ascii="Aptos" w:hAnsi="Aptos"/>
          <w:sz w:val="22"/>
          <w:szCs w:val="22"/>
          <w:lang w:eastAsia="en-GB"/>
        </w:rPr>
        <w:t xml:space="preserve">ing data </w:t>
      </w:r>
      <w:r w:rsidR="00893203" w:rsidRPr="00C7320D">
        <w:rPr>
          <w:rFonts w:ascii="Aptos" w:hAnsi="Aptos"/>
          <w:sz w:val="22"/>
          <w:szCs w:val="22"/>
          <w:lang w:eastAsia="en-GB"/>
        </w:rPr>
        <w:t xml:space="preserve">on </w:t>
      </w:r>
      <w:r w:rsidR="000F1B88" w:rsidRPr="00C7320D">
        <w:rPr>
          <w:rFonts w:ascii="Aptos" w:hAnsi="Aptos"/>
          <w:sz w:val="22"/>
          <w:szCs w:val="22"/>
          <w:lang w:eastAsia="en-GB"/>
        </w:rPr>
        <w:t>skill</w:t>
      </w:r>
      <w:r w:rsidR="00893203" w:rsidRPr="00C7320D">
        <w:rPr>
          <w:rFonts w:ascii="Aptos" w:hAnsi="Aptos"/>
          <w:sz w:val="22"/>
          <w:szCs w:val="22"/>
          <w:lang w:eastAsia="en-GB"/>
        </w:rPr>
        <w:t xml:space="preserve"> </w:t>
      </w:r>
      <w:r w:rsidR="000F1B88" w:rsidRPr="00C7320D">
        <w:rPr>
          <w:rFonts w:ascii="Aptos" w:hAnsi="Aptos"/>
          <w:sz w:val="22"/>
          <w:szCs w:val="22"/>
          <w:lang w:eastAsia="en-GB"/>
        </w:rPr>
        <w:t>level</w:t>
      </w:r>
      <w:r w:rsidR="00893203" w:rsidRPr="00C7320D">
        <w:rPr>
          <w:rFonts w:ascii="Aptos" w:hAnsi="Aptos"/>
          <w:sz w:val="22"/>
          <w:szCs w:val="22"/>
          <w:lang w:eastAsia="en-GB"/>
        </w:rPr>
        <w:t>s</w:t>
      </w:r>
      <w:r w:rsidR="000F1B88" w:rsidRPr="00C7320D">
        <w:rPr>
          <w:rFonts w:ascii="Aptos" w:hAnsi="Aptos"/>
          <w:sz w:val="22"/>
          <w:szCs w:val="22"/>
          <w:lang w:eastAsia="en-GB"/>
        </w:rPr>
        <w:t xml:space="preserve">. </w:t>
      </w:r>
      <w:r w:rsidR="00184F1F" w:rsidRPr="00C7320D">
        <w:rPr>
          <w:rFonts w:ascii="Aptos" w:hAnsi="Aptos"/>
          <w:sz w:val="22"/>
          <w:szCs w:val="22"/>
          <w:lang w:eastAsia="en-GB"/>
        </w:rPr>
        <w:t>Embedding data collection into national digital strategies is crucial, as granular and timely information is essential for designing effective policies, allocating resources efficiently, and tracking progress.</w:t>
      </w:r>
    </w:p>
    <w:p w14:paraId="36E53BA6" w14:textId="6581CD1D" w:rsidR="00E70B04" w:rsidRPr="00C7320D" w:rsidRDefault="000F1B8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hAnsi="Aptos"/>
          <w:sz w:val="22"/>
          <w:szCs w:val="22"/>
          <w:lang w:eastAsia="en-GB"/>
        </w:rPr>
      </w:pPr>
      <w:r w:rsidRPr="00C7320D">
        <w:rPr>
          <w:rFonts w:ascii="Aptos" w:hAnsi="Aptos"/>
          <w:b/>
          <w:bCs/>
          <w:sz w:val="22"/>
          <w:szCs w:val="22"/>
          <w:lang w:eastAsia="en-GB"/>
        </w:rPr>
        <w:t>Impact stories from the region highlight the role of digital transformation.</w:t>
      </w:r>
      <w:r w:rsidRPr="00C7320D">
        <w:rPr>
          <w:rFonts w:ascii="Aptos" w:hAnsi="Aptos"/>
          <w:sz w:val="22"/>
          <w:szCs w:val="22"/>
          <w:lang w:eastAsia="en-GB"/>
        </w:rPr>
        <w:t xml:space="preserve"> </w:t>
      </w:r>
      <w:r w:rsidR="00AB0240" w:rsidRPr="00C7320D">
        <w:rPr>
          <w:rFonts w:ascii="Aptos" w:hAnsi="Aptos"/>
          <w:sz w:val="22"/>
          <w:szCs w:val="22"/>
          <w:lang w:eastAsia="en-GB"/>
        </w:rPr>
        <w:t xml:space="preserve">The second part of </w:t>
      </w:r>
      <w:r w:rsidR="005246DF" w:rsidRPr="00C7320D">
        <w:rPr>
          <w:rFonts w:ascii="Aptos" w:hAnsi="Aptos"/>
          <w:sz w:val="22"/>
          <w:szCs w:val="22"/>
          <w:lang w:eastAsia="en-GB"/>
        </w:rPr>
        <w:t xml:space="preserve">the </w:t>
      </w:r>
      <w:r w:rsidR="00AB0240" w:rsidRPr="00C7320D">
        <w:rPr>
          <w:rFonts w:ascii="Aptos" w:hAnsi="Aptos"/>
          <w:sz w:val="22"/>
          <w:szCs w:val="22"/>
          <w:lang w:eastAsia="en-GB"/>
        </w:rPr>
        <w:t xml:space="preserve">document </w:t>
      </w:r>
      <w:r w:rsidR="005246DF" w:rsidRPr="00C7320D">
        <w:rPr>
          <w:rFonts w:ascii="Aptos" w:hAnsi="Aptos"/>
          <w:sz w:val="22"/>
          <w:szCs w:val="22"/>
          <w:lang w:eastAsia="en-GB"/>
        </w:rPr>
        <w:t xml:space="preserve">showcases </w:t>
      </w:r>
      <w:r w:rsidR="00AB0240" w:rsidRPr="00C7320D">
        <w:rPr>
          <w:rFonts w:ascii="Aptos" w:hAnsi="Aptos"/>
          <w:sz w:val="22"/>
          <w:szCs w:val="22"/>
          <w:lang w:eastAsia="en-GB"/>
        </w:rPr>
        <w:t xml:space="preserve">a selection of ITU-supported initiatives. In Ghana, visually impaired individuals are learning essential digital skills through specialized training programs. In Uganda, digital transformation initiatives are expanding access to e-government services and enhancing digital literacy. The Republic of Congo has strengthened its broadcasting sector with a digital terrestrial television training program. In Malawi, a new national policy promotes sustainable management of </w:t>
      </w:r>
      <w:r w:rsidR="005246DF" w:rsidRPr="00C7320D">
        <w:rPr>
          <w:rFonts w:ascii="Aptos" w:hAnsi="Aptos"/>
          <w:sz w:val="22"/>
          <w:szCs w:val="22"/>
          <w:lang w:eastAsia="en-GB"/>
        </w:rPr>
        <w:t>e-</w:t>
      </w:r>
      <w:r w:rsidR="00AB0240" w:rsidRPr="00C7320D">
        <w:rPr>
          <w:rFonts w:ascii="Aptos" w:hAnsi="Aptos"/>
          <w:sz w:val="22"/>
          <w:szCs w:val="22"/>
          <w:lang w:eastAsia="en-GB"/>
        </w:rPr>
        <w:t xml:space="preserve">waste. </w:t>
      </w:r>
      <w:r w:rsidR="005246DF" w:rsidRPr="00C7320D">
        <w:rPr>
          <w:rFonts w:ascii="Aptos" w:hAnsi="Aptos"/>
          <w:sz w:val="22"/>
          <w:szCs w:val="22"/>
          <w:lang w:eastAsia="en-GB"/>
        </w:rPr>
        <w:t>W</w:t>
      </w:r>
      <w:r w:rsidR="00AB0240" w:rsidRPr="00C7320D">
        <w:rPr>
          <w:rFonts w:ascii="Aptos" w:hAnsi="Aptos"/>
          <w:sz w:val="22"/>
          <w:szCs w:val="22"/>
          <w:lang w:eastAsia="en-GB"/>
        </w:rPr>
        <w:t xml:space="preserve">omen entrepreneurs </w:t>
      </w:r>
      <w:r w:rsidR="00F43062" w:rsidRPr="00C7320D">
        <w:rPr>
          <w:rFonts w:ascii="Aptos" w:hAnsi="Aptos"/>
          <w:sz w:val="22"/>
          <w:szCs w:val="22"/>
          <w:lang w:eastAsia="en-GB"/>
        </w:rPr>
        <w:t xml:space="preserve">in Burundi and Ethiopia </w:t>
      </w:r>
      <w:r w:rsidR="00AB0240" w:rsidRPr="00C7320D">
        <w:rPr>
          <w:rFonts w:ascii="Aptos" w:hAnsi="Aptos"/>
          <w:sz w:val="22"/>
          <w:szCs w:val="22"/>
          <w:lang w:eastAsia="en-GB"/>
        </w:rPr>
        <w:t xml:space="preserve">are thriving after developing digital skills that enhance their businesses. In Equatorial Guinea, ICT benchmarking initiatives are building regulatory capacity and fostering regional collaboration. </w:t>
      </w:r>
    </w:p>
    <w:p w14:paraId="46531215" w14:textId="7507C507" w:rsidR="00D8016F" w:rsidRPr="003F3462" w:rsidRDefault="000F1B8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hAnsi="Aptos"/>
          <w:sz w:val="22"/>
          <w:szCs w:val="22"/>
          <w:lang w:eastAsia="en-GB"/>
        </w:rPr>
      </w:pPr>
      <w:r w:rsidRPr="00C7320D">
        <w:rPr>
          <w:rFonts w:ascii="Aptos" w:hAnsi="Aptos"/>
          <w:b/>
          <w:bCs/>
          <w:sz w:val="22"/>
          <w:szCs w:val="22"/>
          <w:lang w:eastAsia="en-GB"/>
        </w:rPr>
        <w:t xml:space="preserve">A </w:t>
      </w:r>
      <w:r w:rsidR="001C79F3" w:rsidRPr="00C7320D">
        <w:rPr>
          <w:rFonts w:ascii="Aptos" w:hAnsi="Aptos"/>
          <w:b/>
          <w:bCs/>
          <w:sz w:val="22"/>
          <w:szCs w:val="22"/>
          <w:lang w:eastAsia="en-GB"/>
        </w:rPr>
        <w:t>holistic</w:t>
      </w:r>
      <w:r w:rsidR="00607354" w:rsidRPr="00C7320D">
        <w:rPr>
          <w:rFonts w:ascii="Aptos" w:hAnsi="Aptos"/>
          <w:b/>
          <w:bCs/>
          <w:sz w:val="22"/>
          <w:szCs w:val="22"/>
          <w:lang w:eastAsia="en-GB"/>
        </w:rPr>
        <w:t xml:space="preserve">, multistakeholder effort </w:t>
      </w:r>
      <w:r w:rsidRPr="00C7320D">
        <w:rPr>
          <w:rFonts w:ascii="Aptos" w:hAnsi="Aptos"/>
          <w:b/>
          <w:bCs/>
          <w:sz w:val="22"/>
          <w:szCs w:val="22"/>
          <w:lang w:eastAsia="en-GB"/>
        </w:rPr>
        <w:t>is needed.</w:t>
      </w:r>
      <w:r w:rsidRPr="00C7320D">
        <w:rPr>
          <w:rFonts w:ascii="Aptos" w:hAnsi="Aptos"/>
          <w:sz w:val="22"/>
          <w:szCs w:val="22"/>
          <w:lang w:eastAsia="en-GB"/>
        </w:rPr>
        <w:t xml:space="preserve"> </w:t>
      </w:r>
      <w:r w:rsidR="001C79F3" w:rsidRPr="00C7320D">
        <w:rPr>
          <w:rFonts w:ascii="Aptos" w:hAnsi="Aptos"/>
          <w:sz w:val="22"/>
          <w:szCs w:val="22"/>
          <w:lang w:eastAsia="en-GB"/>
        </w:rPr>
        <w:t xml:space="preserve">Achieving UMC in Africa requires a comprehensive approach that prioritizes both access and enablers of digital inclusion. Expanding infrastructure for universal access is critical, but beyond that, the region must address key factors such as affordability, digital skills, and reliable connectivity. Updating policy frameworks will also be crucial in overcoming these challenges. </w:t>
      </w:r>
      <w:r w:rsidR="00E70B04" w:rsidRPr="00C7320D">
        <w:rPr>
          <w:rFonts w:ascii="Aptos" w:hAnsi="Aptos"/>
          <w:sz w:val="22"/>
          <w:szCs w:val="22"/>
          <w:lang w:eastAsia="en-GB"/>
        </w:rPr>
        <w:t>Success will depend on collaboration among governments, the private sector, civil society, and international organizations.</w:t>
      </w:r>
    </w:p>
    <w:p w14:paraId="46FC0294" w14:textId="24C6F6F8" w:rsidR="006C41B5" w:rsidRPr="003F3462" w:rsidRDefault="006C41B5" w:rsidP="001269EE">
      <w:pPr>
        <w:tabs>
          <w:tab w:val="clear" w:pos="794"/>
          <w:tab w:val="clear" w:pos="1191"/>
          <w:tab w:val="clear" w:pos="1588"/>
          <w:tab w:val="clear" w:pos="1985"/>
        </w:tabs>
        <w:overflowPunct/>
        <w:autoSpaceDE/>
        <w:autoSpaceDN/>
        <w:adjustRightInd/>
        <w:spacing w:before="0" w:after="160" w:line="259" w:lineRule="auto"/>
        <w:textAlignment w:val="auto"/>
        <w:rPr>
          <w:rFonts w:ascii="Aptos" w:hAnsi="Aptos"/>
          <w:sz w:val="22"/>
          <w:szCs w:val="22"/>
          <w:lang w:eastAsia="en-GB"/>
        </w:rPr>
      </w:pPr>
      <w:r w:rsidRPr="003F3462">
        <w:rPr>
          <w:rFonts w:ascii="Aptos" w:hAnsi="Aptos"/>
          <w:sz w:val="22"/>
          <w:szCs w:val="22"/>
          <w:lang w:eastAsia="en-GB"/>
        </w:rPr>
        <w:br w:type="page"/>
      </w:r>
    </w:p>
    <w:p w14:paraId="4CFBC4AD" w14:textId="46BA381C" w:rsidR="006C41B5" w:rsidRPr="00C7320D" w:rsidRDefault="006C41B5" w:rsidP="00AF1DE3">
      <w:pPr>
        <w:pStyle w:val="Parttitle0"/>
      </w:pPr>
      <w:bookmarkStart w:id="7" w:name="_Toc191378077"/>
      <w:r w:rsidRPr="00C7320D">
        <w:lastRenderedPageBreak/>
        <w:t>Part 1</w:t>
      </w:r>
      <w:r w:rsidR="006731EB" w:rsidRPr="00C7320D">
        <w:t>.</w:t>
      </w:r>
      <w:r w:rsidRPr="00C7320D">
        <w:t xml:space="preserve"> The state of digital connectivity in </w:t>
      </w:r>
      <w:r w:rsidR="00093C9A" w:rsidRPr="00C7320D">
        <w:t>Africa</w:t>
      </w:r>
      <w:r w:rsidRPr="00C7320D">
        <w:t xml:space="preserve"> and recent trends</w:t>
      </w:r>
      <w:bookmarkEnd w:id="7"/>
    </w:p>
    <w:p w14:paraId="71B503AD" w14:textId="77777777" w:rsidR="006C41B5" w:rsidRPr="00C7320D" w:rsidRDefault="006C41B5" w:rsidP="00A217F8">
      <w:pPr>
        <w:pStyle w:val="Section"/>
      </w:pPr>
      <w:bookmarkStart w:id="8" w:name="_Toc191378078"/>
      <w:r w:rsidRPr="00C7320D">
        <w:t>ICT regulation and digital policy frameworks</w:t>
      </w:r>
      <w:bookmarkEnd w:id="8"/>
    </w:p>
    <w:p w14:paraId="3909A01E" w14:textId="77777777" w:rsidR="00E722DE" w:rsidRPr="00C7320D" w:rsidRDefault="00E722DE" w:rsidP="00E722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evolving landscape of ICT regulation and digital policy frameworks plays a critical role in driving an inclusive and sustainable digital transformation as well as fostering thriving digital economies. To ensure national frameworks remain effective and adaptive, it is crucial to assess progress, identify best practices and address existing gaps.</w:t>
      </w:r>
    </w:p>
    <w:p w14:paraId="41506D0D" w14:textId="7D1ADAD3" w:rsidR="00E722DE" w:rsidRPr="00C7320D" w:rsidRDefault="00E722DE" w:rsidP="00E722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 xml:space="preserve">ICT </w:t>
      </w:r>
      <w:r w:rsidR="00E668BF" w:rsidRPr="00C7320D">
        <w:rPr>
          <w:rFonts w:ascii="Aptos" w:eastAsia="Aptos" w:hAnsi="Aptos" w:cs="Arial"/>
          <w:b/>
          <w:bCs/>
          <w:i/>
          <w:iCs/>
          <w:kern w:val="2"/>
          <w:sz w:val="22"/>
          <w:szCs w:val="22"/>
          <w14:ligatures w14:val="standardContextual"/>
        </w:rPr>
        <w:t>r</w:t>
      </w:r>
      <w:r w:rsidRPr="00C7320D">
        <w:rPr>
          <w:rFonts w:ascii="Aptos" w:eastAsia="Aptos" w:hAnsi="Aptos" w:cs="Arial"/>
          <w:b/>
          <w:bCs/>
          <w:i/>
          <w:iCs/>
          <w:kern w:val="2"/>
          <w:sz w:val="22"/>
          <w:szCs w:val="22"/>
          <w14:ligatures w14:val="standardContextual"/>
        </w:rPr>
        <w:t xml:space="preserve">egulation in Africa is </w:t>
      </w:r>
      <w:r w:rsidR="00E668BF" w:rsidRPr="00C7320D">
        <w:rPr>
          <w:rFonts w:ascii="Aptos" w:eastAsia="Aptos" w:hAnsi="Aptos" w:cs="Arial"/>
          <w:b/>
          <w:bCs/>
          <w:i/>
          <w:iCs/>
          <w:kern w:val="2"/>
          <w:sz w:val="22"/>
          <w:szCs w:val="22"/>
          <w14:ligatures w14:val="standardContextual"/>
        </w:rPr>
        <w:t>a</w:t>
      </w:r>
      <w:r w:rsidRPr="00C7320D">
        <w:rPr>
          <w:rFonts w:ascii="Aptos" w:eastAsia="Aptos" w:hAnsi="Aptos" w:cs="Arial"/>
          <w:b/>
          <w:bCs/>
          <w:i/>
          <w:iCs/>
          <w:kern w:val="2"/>
          <w:sz w:val="22"/>
          <w:szCs w:val="22"/>
          <w14:ligatures w14:val="standardContextual"/>
        </w:rPr>
        <w:t xml:space="preserve">dvancing but </w:t>
      </w:r>
      <w:r w:rsidR="00E668BF" w:rsidRPr="00C7320D">
        <w:rPr>
          <w:rFonts w:ascii="Aptos" w:eastAsia="Aptos" w:hAnsi="Aptos" w:cs="Arial"/>
          <w:b/>
          <w:bCs/>
          <w:i/>
          <w:iCs/>
          <w:kern w:val="2"/>
          <w:sz w:val="22"/>
          <w:szCs w:val="22"/>
          <w14:ligatures w14:val="standardContextual"/>
        </w:rPr>
        <w:t>o</w:t>
      </w:r>
      <w:r w:rsidRPr="00C7320D">
        <w:rPr>
          <w:rFonts w:ascii="Aptos" w:eastAsia="Aptos" w:hAnsi="Aptos" w:cs="Arial"/>
          <w:b/>
          <w:bCs/>
          <w:i/>
          <w:iCs/>
          <w:kern w:val="2"/>
          <w:sz w:val="22"/>
          <w:szCs w:val="22"/>
          <w14:ligatures w14:val="standardContextual"/>
        </w:rPr>
        <w:t xml:space="preserve">utpaced by </w:t>
      </w:r>
      <w:r w:rsidR="00E668BF" w:rsidRPr="00C7320D">
        <w:rPr>
          <w:rFonts w:ascii="Aptos" w:eastAsia="Aptos" w:hAnsi="Aptos" w:cs="Arial"/>
          <w:b/>
          <w:bCs/>
          <w:i/>
          <w:iCs/>
          <w:kern w:val="2"/>
          <w:sz w:val="22"/>
          <w:szCs w:val="22"/>
          <w14:ligatures w14:val="standardContextual"/>
        </w:rPr>
        <w:t>g</w:t>
      </w:r>
      <w:r w:rsidRPr="00C7320D">
        <w:rPr>
          <w:rFonts w:ascii="Aptos" w:eastAsia="Aptos" w:hAnsi="Aptos" w:cs="Arial"/>
          <w:b/>
          <w:bCs/>
          <w:i/>
          <w:iCs/>
          <w:kern w:val="2"/>
          <w:sz w:val="22"/>
          <w:szCs w:val="22"/>
          <w14:ligatures w14:val="standardContextual"/>
        </w:rPr>
        <w:t xml:space="preserve">lobal </w:t>
      </w:r>
      <w:r w:rsidR="00E668BF" w:rsidRPr="00C7320D">
        <w:rPr>
          <w:rFonts w:ascii="Aptos" w:eastAsia="Aptos" w:hAnsi="Aptos" w:cs="Arial"/>
          <w:b/>
          <w:bCs/>
          <w:i/>
          <w:iCs/>
          <w:kern w:val="2"/>
          <w:sz w:val="22"/>
          <w:szCs w:val="22"/>
          <w14:ligatures w14:val="standardContextual"/>
        </w:rPr>
        <w:t>t</w:t>
      </w:r>
      <w:r w:rsidRPr="00C7320D">
        <w:rPr>
          <w:rFonts w:ascii="Aptos" w:eastAsia="Aptos" w:hAnsi="Aptos" w:cs="Arial"/>
          <w:b/>
          <w:bCs/>
          <w:i/>
          <w:iCs/>
          <w:kern w:val="2"/>
          <w:sz w:val="22"/>
          <w:szCs w:val="22"/>
          <w14:ligatures w14:val="standardContextual"/>
        </w:rPr>
        <w:t>rends</w:t>
      </w:r>
    </w:p>
    <w:p w14:paraId="45745082" w14:textId="77777777" w:rsidR="00E722DE" w:rsidRPr="00C7320D" w:rsidRDefault="00E722DE" w:rsidP="00E722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Africa has made significant strides in ICT regulation over the past 15 years, driven by reforms in key areas such as interconnection, quality of service, infrastructure sharing and competition. In 2007, African countries were almost evenly split between Generation 1 (G1) and Generation 2 (G2), the least advanced levels of ICT regulation. The COVID-19 pandemic brought long-standing regulatory issues to the forefront, driving reforms in spectrum licensing and ICT service-specific taxes. However, this momentum has since slowed.</w:t>
      </w:r>
    </w:p>
    <w:p w14:paraId="1A415B54" w14:textId="6BB463CE" w:rsidR="00E722DE" w:rsidRPr="00C7320D" w:rsidRDefault="00E722DE" w:rsidP="00E722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Today, only two African least developed countries (LDCs) remain in G1 and three quarters of countries in the region have transitioned to either G2 or G3. </w:t>
      </w:r>
      <w:r w:rsidR="00907DCC" w:rsidRPr="00C7320D">
        <w:rPr>
          <w:rFonts w:ascii="Aptos" w:eastAsia="Aptos" w:hAnsi="Aptos" w:cs="Arial"/>
          <w:kern w:val="2"/>
          <w:sz w:val="22"/>
          <w:szCs w:val="22"/>
          <w14:ligatures w14:val="standardContextual"/>
        </w:rPr>
        <w:t>Yet</w:t>
      </w:r>
      <w:r w:rsidRPr="00C7320D">
        <w:rPr>
          <w:rFonts w:ascii="Aptos" w:eastAsia="Aptos" w:hAnsi="Aptos" w:cs="Arial"/>
          <w:kern w:val="2"/>
          <w:sz w:val="22"/>
          <w:szCs w:val="22"/>
          <w14:ligatures w14:val="standardContextual"/>
        </w:rPr>
        <w:t xml:space="preserve"> only 18 per cent of countries have reached Generation 4 (G4), the highest level – falling behind all other regions</w:t>
      </w:r>
      <w:r w:rsidR="00393165" w:rsidRPr="00C7320D">
        <w:rPr>
          <w:rFonts w:ascii="Aptos" w:eastAsia="Aptos" w:hAnsi="Aptos" w:cs="Arial"/>
          <w:kern w:val="2"/>
          <w:sz w:val="22"/>
          <w:szCs w:val="22"/>
          <w14:ligatures w14:val="standardContextual"/>
        </w:rPr>
        <w:t xml:space="preserve"> except one</w:t>
      </w:r>
      <w:r w:rsidRPr="00C7320D">
        <w:rPr>
          <w:rFonts w:ascii="Aptos" w:eastAsia="Aptos" w:hAnsi="Aptos" w:cs="Arial"/>
          <w:kern w:val="2"/>
          <w:sz w:val="22"/>
          <w:szCs w:val="22"/>
          <w14:ligatures w14:val="standardContextual"/>
        </w:rPr>
        <w:t xml:space="preserve">. By comparison, 38 per cent of countries worldwide had achieved G4 status by 2022, creating more enabling environments for ICT markets. </w:t>
      </w:r>
    </w:p>
    <w:p w14:paraId="6BE39072" w14:textId="7981D59B"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C7320D">
        <w:rPr>
          <w:rFonts w:ascii="AvenirNext LT Pro Light" w:eastAsia="Yu Gothic Light" w:hAnsi="AvenirNext LT Pro Light" w:cs="Calibri"/>
          <w:color w:val="0070C0"/>
          <w:spacing w:val="-10"/>
          <w:kern w:val="28"/>
        </w:rPr>
        <w:t>Evolution of the generations of ICT regulation in</w:t>
      </w:r>
      <w:r w:rsidR="007D5F22" w:rsidRPr="00C7320D">
        <w:rPr>
          <w:rFonts w:ascii="AvenirNext LT Pro Light" w:eastAsia="Yu Gothic Light" w:hAnsi="AvenirNext LT Pro Light" w:cs="Calibri"/>
          <w:color w:val="0070C0"/>
          <w:spacing w:val="-10"/>
          <w:kern w:val="28"/>
        </w:rPr>
        <w:t xml:space="preserve"> </w:t>
      </w:r>
      <w:r w:rsidR="004402C1" w:rsidRPr="00C7320D">
        <w:rPr>
          <w:rFonts w:ascii="AvenirNext LT Pro Light" w:eastAsia="Yu Gothic Light" w:hAnsi="AvenirNext LT Pro Light" w:cs="Calibri"/>
          <w:color w:val="0070C0"/>
          <w:spacing w:val="-10"/>
          <w:kern w:val="28"/>
        </w:rPr>
        <w:t xml:space="preserve">the </w:t>
      </w:r>
      <w:r w:rsidR="00093C9A" w:rsidRPr="00C7320D">
        <w:rPr>
          <w:rFonts w:ascii="AvenirNext LT Pro Light" w:eastAsia="Yu Gothic Light" w:hAnsi="AvenirNext LT Pro Light" w:cs="Calibri"/>
          <w:color w:val="0070C0"/>
          <w:spacing w:val="-10"/>
          <w:kern w:val="28"/>
        </w:rPr>
        <w:t>Africa</w:t>
      </w:r>
      <w:r w:rsidR="00374197" w:rsidRPr="00C7320D">
        <w:rPr>
          <w:rFonts w:ascii="AvenirNext LT Pro Light" w:eastAsia="Yu Gothic Light" w:hAnsi="AvenirNext LT Pro Light" w:cs="Calibri"/>
          <w:color w:val="0070C0"/>
          <w:spacing w:val="-10"/>
          <w:kern w:val="28"/>
        </w:rPr>
        <w:t xml:space="preserve"> region</w:t>
      </w:r>
    </w:p>
    <w:p w14:paraId="14294720" w14:textId="5267C86B" w:rsidR="006C41B5" w:rsidRPr="00C7320D" w:rsidRDefault="00E66CD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7280981F" wp14:editId="5A4C66A0">
            <wp:extent cx="5741581" cy="2875258"/>
            <wp:effectExtent l="0" t="0" r="0" b="1905"/>
            <wp:docPr id="12457453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4537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60823" cy="2884894"/>
                    </a:xfrm>
                    <a:prstGeom prst="rect">
                      <a:avLst/>
                    </a:prstGeom>
                  </pic:spPr>
                </pic:pic>
              </a:graphicData>
            </a:graphic>
          </wp:inline>
        </w:drawing>
      </w:r>
    </w:p>
    <w:p w14:paraId="66B64067" w14:textId="4AF8BB99" w:rsidR="00F77576" w:rsidRPr="00C7320D" w:rsidRDefault="00F77576" w:rsidP="00EB15E6">
      <w:pPr>
        <w:pStyle w:val="notetext"/>
      </w:pPr>
      <w:r w:rsidRPr="00C7320D">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5" w:history="1">
        <w:r w:rsidRPr="00C7320D">
          <w:t>ICT Regulatory Tracker</w:t>
        </w:r>
      </w:hyperlink>
      <w:r w:rsidR="002D3677" w:rsidRPr="00C7320D">
        <w:t xml:space="preserve"> s</w:t>
      </w:r>
      <w:r w:rsidRPr="00C7320D">
        <w:t>cores:</w:t>
      </w:r>
    </w:p>
    <w:p w14:paraId="78D1ADE5" w14:textId="77777777" w:rsidR="00F77576" w:rsidRPr="00C7320D" w:rsidRDefault="00F77576" w:rsidP="00EB15E6">
      <w:pPr>
        <w:pStyle w:val="notetext"/>
      </w:pPr>
      <w:r w:rsidRPr="00C7320D">
        <w:t xml:space="preserve">G1 – Command and control approach: score between 0 and 40 </w:t>
      </w:r>
      <w:r w:rsidRPr="00C7320D">
        <w:br/>
        <w:t xml:space="preserve">G2 – Early open markets: score between 40 and 70 </w:t>
      </w:r>
      <w:r w:rsidRPr="00C7320D">
        <w:br/>
        <w:t xml:space="preserve">G3 – Enabling investment and access: score between 70 and 85 </w:t>
      </w:r>
      <w:r w:rsidRPr="00C7320D">
        <w:br/>
        <w:t>G4 – Integrated telecommunication regulation: score between 85 and 100</w:t>
      </w:r>
    </w:p>
    <w:p w14:paraId="1F091B69" w14:textId="77777777" w:rsidR="00F77576" w:rsidRPr="00C7320D" w:rsidRDefault="00F77576" w:rsidP="00EB15E6">
      <w:pPr>
        <w:pStyle w:val="notetext"/>
      </w:pPr>
      <w:r w:rsidRPr="00C7320D">
        <w:t>Data for 2021 is unavailable; 2020 data is used as a proxy for 2021.</w:t>
      </w:r>
    </w:p>
    <w:p w14:paraId="3B6D504E" w14:textId="77777777" w:rsidR="00F77576" w:rsidRPr="00C7320D" w:rsidRDefault="00F77576" w:rsidP="00EB15E6">
      <w:pPr>
        <w:pStyle w:val="Sourcetext"/>
      </w:pPr>
      <w:r w:rsidRPr="00C7320D">
        <w:t>Source: ITU</w:t>
      </w:r>
    </w:p>
    <w:p w14:paraId="4EA41E68" w14:textId="77777777"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Progress has been uneven across different country groups. Africa is home to 28 least developed countries (LDCs), 16 landlocked developing countries (LLDCs) – 13 of which are also LDCs – and 5 small island developing states (SIDS), including two LDCs</w:t>
      </w:r>
      <w:r w:rsidRPr="00C7320D">
        <w:rPr>
          <w:rFonts w:ascii="Aptos" w:eastAsia="Aptos" w:hAnsi="Aptos" w:cs="Arial"/>
          <w:kern w:val="2"/>
          <w:sz w:val="22"/>
          <w:szCs w:val="22"/>
          <w:vertAlign w:val="superscript"/>
          <w14:ligatures w14:val="standardContextual"/>
        </w:rPr>
        <w:footnoteReference w:id="3"/>
      </w:r>
      <w:r w:rsidRPr="00C7320D">
        <w:rPr>
          <w:rFonts w:ascii="Aptos" w:eastAsia="Aptos" w:hAnsi="Aptos" w:cs="Arial"/>
          <w:kern w:val="2"/>
          <w:sz w:val="22"/>
          <w:szCs w:val="22"/>
          <w14:ligatures w14:val="standardContextual"/>
        </w:rPr>
        <w:t xml:space="preserve">, making it the region with the highest concentration of vulnerable and least developed countries globally. LDCs and LLDCs are spread across all regulatory generations, but five LDCs – Burkina Faso, Malawi, Rwanda, Senegal, and Uganda – have reached G4, alongside Kenya, Nigeria and South Africa. No SIDS has yet achieved G4, though the majority (60 per cent) are in G3, making steady progress in strengthening their ICT regulatory frameworks. </w:t>
      </w:r>
    </w:p>
    <w:p w14:paraId="092F674F" w14:textId="77777777"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Building on this progress, African countries must continue upgrading their national and regional regulatory frameworks.  Strengthening ICT regulation will be essential to advancing digital governance and accelerating digital transformation across the continent. </w:t>
      </w:r>
    </w:p>
    <w:p w14:paraId="7A9AE7E9" w14:textId="31388993" w:rsidR="007E1275" w:rsidRPr="00C7320D" w:rsidRDefault="00D21AA8" w:rsidP="007E12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 xml:space="preserve">Digital governance in Africa: behind the curve </w:t>
      </w:r>
    </w:p>
    <w:p w14:paraId="23BFC7EA" w14:textId="77777777"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Africa and CIS are the only regions without a country in the G5 Benchmark Leading category</w:t>
      </w:r>
      <w:r w:rsidRPr="00C7320D">
        <w:rPr>
          <w:rFonts w:ascii="Aptos" w:eastAsia="Aptos" w:hAnsi="Aptos" w:cs="Arial"/>
          <w:kern w:val="2"/>
          <w:sz w:val="22"/>
          <w:szCs w:val="22"/>
          <w:vertAlign w:val="superscript"/>
          <w14:ligatures w14:val="standardContextual"/>
        </w:rPr>
        <w:footnoteReference w:id="4"/>
      </w:r>
      <w:r w:rsidRPr="00C7320D">
        <w:rPr>
          <w:rFonts w:ascii="Aptos" w:eastAsia="Aptos" w:hAnsi="Aptos" w:cs="Arial"/>
          <w:kern w:val="2"/>
          <w:sz w:val="22"/>
          <w:szCs w:val="22"/>
          <w14:ligatures w14:val="standardContextual"/>
        </w:rPr>
        <w:t>, the world’s top tier for digital governance frameworks. Only 16 per cent of African countries have reached the Advanced level, including Benin, Ghana, Kenya, Mauritius, Nigeria, Rwanda and South Africa. Notably, Benin and Rwanda stand out as the only LDCs globally in this category, underscoring that strong policy focus and institutional commitment can drive digital governance progress in any development context.</w:t>
      </w:r>
    </w:p>
    <w:p w14:paraId="0F650FA3" w14:textId="1BDE8E16"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However, </w:t>
      </w:r>
      <w:r w:rsidR="00C65B43" w:rsidRPr="00C7320D">
        <w:rPr>
          <w:rFonts w:ascii="Aptos" w:eastAsia="Aptos" w:hAnsi="Aptos" w:cs="Arial"/>
          <w:kern w:val="2"/>
          <w:sz w:val="22"/>
          <w:szCs w:val="22"/>
          <w14:ligatures w14:val="standardContextual"/>
        </w:rPr>
        <w:t>most</w:t>
      </w:r>
      <w:r w:rsidRPr="00C7320D">
        <w:rPr>
          <w:rFonts w:ascii="Aptos" w:eastAsia="Aptos" w:hAnsi="Aptos" w:cs="Arial"/>
          <w:kern w:val="2"/>
          <w:sz w:val="22"/>
          <w:szCs w:val="22"/>
          <w14:ligatures w14:val="standardContextual"/>
        </w:rPr>
        <w:t xml:space="preserve"> African countries – 84 per cent – remain in the Limited or Transitioning tiers, the least advanced levels of digital governance. Despite notable progress since 2021, Africa remains the lowest-ranked region in digital governance benchmarks. In 2023, the region's overall digital governance score stood at 43 per cent, or nine percentage points below the world average.</w:t>
      </w:r>
    </w:p>
    <w:p w14:paraId="33159976" w14:textId="77777777"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Africa trails global trends in all four key areas of digital governance. The strongest relative performance is in National Collaborative Governance, where the gap with the world average is just six percentage points. However, the region lags significantly in Policy Design Principles, Digital Development Instruments and Digital Economy Policy Agenda benchmarks, with deficits ranging from 23 to 34 percentage points. The region’s performance suggests that legal and institutional gaps remain a challenge for effective digital governance, signalling a pressing need for further reforms.</w:t>
      </w:r>
    </w:p>
    <w:p w14:paraId="5EAD1503" w14:textId="47BE75D7" w:rsidR="007E1275" w:rsidRPr="00C7320D" w:rsidRDefault="00581F53" w:rsidP="007E12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Readiness of national frameworks in Africa: progress uneven, gaps persist</w:t>
      </w:r>
    </w:p>
    <w:p w14:paraId="310C096E" w14:textId="77777777"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readiness of national policy, legal and governance frameworks for digital transformation depends on robust ICT regulation and adaptive digital governance – two mutually reinforcing pillars. Together, they provide the foundation for inclusive and sustainable digital transformation across economic sectors, government and society. National frameworks also play a crucial role in regional integration, enabling digital markets to scale across borders.</w:t>
      </w:r>
    </w:p>
    <w:p w14:paraId="35D285AC" w14:textId="4CB595CA"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 2023, Africa’s overall readiness for digital transformation stood at 46 per cent – five percentage points below the world average. While the region outperforms the global average in two benchmarks, it </w:t>
      </w:r>
      <w:r w:rsidR="00FA7B11" w:rsidRPr="00C7320D">
        <w:rPr>
          <w:rFonts w:ascii="Aptos" w:eastAsia="Aptos" w:hAnsi="Aptos" w:cs="Arial"/>
          <w:kern w:val="2"/>
          <w:sz w:val="22"/>
          <w:szCs w:val="22"/>
          <w14:ligatures w14:val="standardContextual"/>
        </w:rPr>
        <w:lastRenderedPageBreak/>
        <w:t>lags</w:t>
      </w:r>
      <w:r w:rsidRPr="00C7320D">
        <w:rPr>
          <w:rFonts w:ascii="Aptos" w:eastAsia="Aptos" w:hAnsi="Aptos" w:cs="Arial"/>
          <w:kern w:val="2"/>
          <w:sz w:val="22"/>
          <w:szCs w:val="22"/>
          <w14:ligatures w14:val="standardContextual"/>
        </w:rPr>
        <w:t xml:space="preserve"> in the remaining seven, with gaps ranging from four to 11 percentage points.</w:t>
      </w:r>
    </w:p>
    <w:p w14:paraId="685EE09D" w14:textId="77777777" w:rsidR="007E1275" w:rsidRPr="00C7320D" w:rsidRDefault="007E1275" w:rsidP="007E127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Strong and coherent national digital transformation agendas are a stepping stone towards achieving universal and meaningful connectivity. These agendas need to be supported by essential instruments such as holistic and sectoral digital policies alongside targeted strategies aimed at meaningfully connecting all citizens. Africa's National Digital Agenda benchmark stands at 39 per cent, just below the global average, while LDCs and SIDS lag further behind at 35 per cent and 30 per cent, respectively. This gap in governance frameworks weakens their capacity for digital transformation and risks hindering broader development goals across the continent.</w:t>
      </w:r>
    </w:p>
    <w:p w14:paraId="40F0C794" w14:textId="77777777" w:rsidR="003A40BA" w:rsidRPr="00C7320D" w:rsidRDefault="003A40BA" w:rsidP="003A40BA">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Legal, policy and governance frameworks for digital transformation, 2023</w:t>
      </w:r>
    </w:p>
    <w:p w14:paraId="6406E8A8" w14:textId="672C7708" w:rsidR="003A40BA" w:rsidRPr="00C7320D" w:rsidRDefault="00F671FE" w:rsidP="003A40BA">
      <w:pPr>
        <w:pStyle w:val="notetext"/>
      </w:pPr>
      <w:r w:rsidRPr="00C7320D">
        <w:rPr>
          <w:noProof/>
        </w:rPr>
        <w:drawing>
          <wp:inline distT="0" distB="0" distL="0" distR="0" wp14:anchorId="2FDF504A" wp14:editId="6D3E855F">
            <wp:extent cx="6120765" cy="2962275"/>
            <wp:effectExtent l="0" t="0" r="0" b="9525"/>
            <wp:docPr id="21400644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64442"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2962275"/>
                    </a:xfrm>
                    <a:prstGeom prst="rect">
                      <a:avLst/>
                    </a:prstGeom>
                  </pic:spPr>
                </pic:pic>
              </a:graphicData>
            </a:graphic>
          </wp:inline>
        </w:drawing>
      </w:r>
      <w:r w:rsidR="003A40BA" w:rsidRPr="00C7320D">
        <w:t xml:space="preserve">Note: The nine thematic benchmarks (as in the chart above) each comprise a subset of indicators, as part of the </w:t>
      </w:r>
      <w:hyperlink r:id="rId18" w:history="1">
        <w:r w:rsidR="003A40BA" w:rsidRPr="00C7320D">
          <w:rPr>
            <w:color w:val="467886"/>
            <w:szCs w:val="16"/>
            <w:u w:val="single"/>
          </w:rPr>
          <w:t>ITU Unified Framework for the readiness of national policy, legal and governance frameworks for digital transformation</w:t>
        </w:r>
      </w:hyperlink>
      <w:r w:rsidR="003A40BA" w:rsidRPr="00C7320D">
        <w:t xml:space="preserve">. </w:t>
      </w:r>
    </w:p>
    <w:p w14:paraId="684B9833" w14:textId="77777777" w:rsidR="00496B62" w:rsidRPr="00C7320D" w:rsidRDefault="00496B62" w:rsidP="00496B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rFonts w:ascii="Aptos" w:eastAsia="Aptos" w:hAnsi="Aptos"/>
          <w:kern w:val="2"/>
          <w:sz w:val="16"/>
          <w14:ligatures w14:val="standardContextual"/>
        </w:rPr>
        <w:t>The chart shows progress on the nine benchmarks for the Africa region (average for the group) compared to the world average and the averages for LDCs (28 countries), LLDCs (16 countries) and SIDS (5 countries) in the region.</w:t>
      </w:r>
      <w:r w:rsidRPr="00C7320D">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5CE91562" w14:textId="77777777" w:rsidR="003A40BA" w:rsidRPr="00C7320D" w:rsidRDefault="003A40BA" w:rsidP="003A40BA">
      <w:pPr>
        <w:pStyle w:val="Sourcetext"/>
      </w:pPr>
      <w:r w:rsidRPr="00C7320D">
        <w:t>Source: ITU</w:t>
      </w:r>
    </w:p>
    <w:p w14:paraId="620D11E1" w14:textId="77777777" w:rsidR="00225038" w:rsidRPr="00C7320D" w:rsidRDefault="00225038" w:rsidP="0022503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 contrast, Africa’s Regulatory Capacity benchmark of 71 per cent is on par with Europe (72 per cent) and significantly above the world average (63 per cent). This finding indicates that regulatory mandates are firmly embedded in legal frameworks, with decision-making, enforcement and accountability mechanisms well established across most countries in the region, including LDCs, LLDCs and SIDS. </w:t>
      </w:r>
    </w:p>
    <w:p w14:paraId="1C2F3A02" w14:textId="77777777" w:rsidR="001E0292" w:rsidRPr="00C7320D" w:rsidRDefault="00225038" w:rsidP="001E029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However, gaps in good governance and market regulation frameworks persist. Stakeholder Engagement (23 per cent) and Instruments for Digital Markets (27 per cent) are the weakest regional benchmarks, with the largest gaps in LDCs and SIDS. These deficits slow down the development of inclusive digital economies.</w:t>
      </w:r>
    </w:p>
    <w:p w14:paraId="4E2F9A9D" w14:textId="32749246" w:rsidR="00225038" w:rsidRPr="00C7320D" w:rsidRDefault="00225038" w:rsidP="001E029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disparity between ICT market regulation (50 per cent) and digital market regulation (27 per cent) is particularly concerning. Africa </w:t>
      </w:r>
      <w:r w:rsidR="00BF4C20" w:rsidRPr="00C7320D">
        <w:rPr>
          <w:rFonts w:ascii="Aptos" w:eastAsia="Aptos" w:hAnsi="Aptos" w:cs="Arial"/>
          <w:kern w:val="2"/>
          <w:sz w:val="22"/>
          <w:szCs w:val="22"/>
          <w14:ligatures w14:val="standardContextual"/>
        </w:rPr>
        <w:t xml:space="preserve">is the second </w:t>
      </w:r>
      <w:r w:rsidRPr="00C7320D">
        <w:rPr>
          <w:rFonts w:ascii="Aptos" w:eastAsia="Aptos" w:hAnsi="Aptos" w:cs="Arial"/>
          <w:kern w:val="2"/>
          <w:sz w:val="22"/>
          <w:szCs w:val="22"/>
          <w14:ligatures w14:val="standardContextual"/>
        </w:rPr>
        <w:t xml:space="preserve">lowest </w:t>
      </w:r>
      <w:r w:rsidR="00096B0C" w:rsidRPr="00C7320D">
        <w:rPr>
          <w:rFonts w:ascii="Aptos" w:eastAsia="Aptos" w:hAnsi="Aptos" w:cs="Arial"/>
          <w:kern w:val="2"/>
          <w:sz w:val="22"/>
          <w:szCs w:val="22"/>
          <w14:ligatures w14:val="standardContextual"/>
        </w:rPr>
        <w:t xml:space="preserve">ranked </w:t>
      </w:r>
      <w:r w:rsidR="00BF4C20" w:rsidRPr="00C7320D">
        <w:rPr>
          <w:rFonts w:ascii="Aptos" w:eastAsia="Aptos" w:hAnsi="Aptos" w:cs="Arial"/>
          <w:kern w:val="2"/>
          <w:sz w:val="22"/>
          <w:szCs w:val="22"/>
          <w14:ligatures w14:val="standardContextual"/>
        </w:rPr>
        <w:t xml:space="preserve">region </w:t>
      </w:r>
      <w:r w:rsidRPr="00C7320D">
        <w:rPr>
          <w:rFonts w:ascii="Aptos" w:eastAsia="Aptos" w:hAnsi="Aptos" w:cs="Arial"/>
          <w:kern w:val="2"/>
          <w:sz w:val="22"/>
          <w:szCs w:val="22"/>
          <w14:ligatures w14:val="standardContextual"/>
        </w:rPr>
        <w:t>in Legal Instruments for ICT markets – nine percentage points below the world average. In Legal Instruments for digital markets, the gap is even wider at 12 percentage points, making Africa the lowest-ranked region.</w:t>
      </w:r>
    </w:p>
    <w:p w14:paraId="134B4B9C" w14:textId="77777777" w:rsidR="00225038" w:rsidRPr="00C7320D" w:rsidRDefault="00225038" w:rsidP="0022503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Regional and international cooperation in Africa can be a powerful driver for progress across all main areas of ICT regulation and digital governance. Africa’s benchmark in this area – 46 per cent – is above </w:t>
      </w:r>
      <w:r w:rsidRPr="00C7320D">
        <w:rPr>
          <w:rFonts w:ascii="Aptos" w:eastAsia="Aptos" w:hAnsi="Aptos" w:cs="Arial"/>
          <w:kern w:val="2"/>
          <w:sz w:val="22"/>
          <w:szCs w:val="22"/>
          <w14:ligatures w14:val="standardContextual"/>
        </w:rPr>
        <w:lastRenderedPageBreak/>
        <w:t>the world average and second only to Europe. This relative strength presents a strategic opportunity. By leveraging regional collaboration, Africa can accelerate digital governance reforms, foster regulatory convergence, and build dynamic, transformative digital ecosystems that drive economic and social progress.</w:t>
      </w:r>
    </w:p>
    <w:p w14:paraId="4AA05997" w14:textId="08D4FDE2" w:rsidR="00225038" w:rsidRPr="00C7320D" w:rsidRDefault="00CE02C5" w:rsidP="0022503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Growing policy focus on digital inclusion, but LDCs and SIDS face barriers</w:t>
      </w:r>
    </w:p>
    <w:p w14:paraId="0499DF5C" w14:textId="77777777" w:rsidR="00225038" w:rsidRPr="00C7320D" w:rsidRDefault="00225038" w:rsidP="0022503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Over the past decade, digital inclusion policies in Africa have gained traction, with LLDCs leading the way in most areas and often surpassing global benchmarks. </w:t>
      </w:r>
    </w:p>
    <w:p w14:paraId="74E62D23" w14:textId="7F817918" w:rsidR="003A40BA" w:rsidRPr="00C7320D" w:rsidRDefault="00225038" w:rsidP="003A40B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National digital strategies and universal access and service policies set the priorities, targets and mechanisms to ensure access to digital technologies and services, enabling meaningful participation in the economy and society. The adoption of national digital strategies (86 per cent) and universal access policies (57 per cent) in Africa aligns with world averages. Similarly, the region’s focus on gender-inclusive connectivity policies (in 20 per cent of countries) follows global trends, though adoption worldwide remains as low as 14 per cent. ICT accessibility policies show an even wider gap, with only 23 per cent of African countries implementing one, well below the global average of 58 per cent.</w:t>
      </w:r>
    </w:p>
    <w:p w14:paraId="4A00BC43" w14:textId="1ED5E2DB" w:rsidR="00AB66CD" w:rsidRPr="00C7320D" w:rsidRDefault="00AB66CD" w:rsidP="00AB66CD">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Digital inclusion policy instruments in the Africa region, 2023</w:t>
      </w:r>
    </w:p>
    <w:p w14:paraId="54DBD866" w14:textId="058F5083" w:rsidR="00041907" w:rsidRPr="00C7320D" w:rsidRDefault="00E07C59" w:rsidP="00041907">
      <w:pPr>
        <w:pStyle w:val="paragraph"/>
        <w:spacing w:before="0" w:beforeAutospacing="0" w:after="60" w:afterAutospacing="0"/>
        <w:textAlignment w:val="baseline"/>
        <w:rPr>
          <w:rStyle w:val="normaltextrun"/>
          <w:rFonts w:ascii="Aptos" w:eastAsiaTheme="majorEastAsia" w:hAnsi="Aptos"/>
          <w:sz w:val="16"/>
          <w:szCs w:val="16"/>
        </w:rPr>
      </w:pPr>
      <w:r w:rsidRPr="00C7320D">
        <w:rPr>
          <w:noProof/>
        </w:rPr>
        <w:drawing>
          <wp:inline distT="0" distB="0" distL="0" distR="0" wp14:anchorId="5798A102" wp14:editId="290B16E1">
            <wp:extent cx="6120765" cy="3107690"/>
            <wp:effectExtent l="0" t="0" r="0" b="0"/>
            <wp:docPr id="13944520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5204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107690"/>
                    </a:xfrm>
                    <a:prstGeom prst="rect">
                      <a:avLst/>
                    </a:prstGeom>
                  </pic:spPr>
                </pic:pic>
              </a:graphicData>
            </a:graphic>
          </wp:inline>
        </w:drawing>
      </w:r>
      <w:r w:rsidR="00041907" w:rsidRPr="00C7320D">
        <w:rPr>
          <w:rStyle w:val="normaltextrun"/>
          <w:rFonts w:ascii="Aptos" w:eastAsiaTheme="majorEastAsia" w:hAnsi="Aptos"/>
          <w:sz w:val="16"/>
          <w:szCs w:val="16"/>
        </w:rPr>
        <w:t>* Persons with disabilities</w:t>
      </w:r>
    </w:p>
    <w:p w14:paraId="1109A443" w14:textId="77777777" w:rsidR="00041907" w:rsidRPr="00C7320D" w:rsidRDefault="00041907" w:rsidP="00041907">
      <w:pPr>
        <w:pStyle w:val="paragraph"/>
        <w:spacing w:before="0" w:beforeAutospacing="0" w:after="60" w:afterAutospacing="0"/>
        <w:textAlignment w:val="baseline"/>
        <w:rPr>
          <w:rStyle w:val="normaltextrun"/>
          <w:rFonts w:ascii="Aptos" w:eastAsiaTheme="majorEastAsia" w:hAnsi="Aptos"/>
          <w:sz w:val="16"/>
          <w:szCs w:val="16"/>
        </w:rPr>
      </w:pPr>
      <w:r w:rsidRPr="00C7320D">
        <w:rPr>
          <w:rStyle w:val="normaltextrun"/>
          <w:rFonts w:ascii="Aptos" w:eastAsiaTheme="majorEastAsia" w:hAnsi="Aptos"/>
          <w:sz w:val="16"/>
          <w:szCs w:val="16"/>
        </w:rPr>
        <w:t>** Based on SDG Target 8.b Develop and operationalize global strategy for youth employment and to implement the Global Jobs Pact of the International Labour Organization (ILO)</w:t>
      </w:r>
    </w:p>
    <w:p w14:paraId="472F9686" w14:textId="77777777" w:rsidR="00041907" w:rsidRPr="00C7320D" w:rsidRDefault="00041907" w:rsidP="00041907">
      <w:pPr>
        <w:pStyle w:val="paragraph"/>
        <w:spacing w:before="0" w:beforeAutospacing="0" w:after="120" w:afterAutospacing="0"/>
        <w:textAlignment w:val="baseline"/>
        <w:rPr>
          <w:rStyle w:val="eop"/>
          <w:rFonts w:ascii="Aptos" w:eastAsiaTheme="majorEastAsia" w:hAnsi="Aptos" w:cs="Segoe UI"/>
          <w:sz w:val="16"/>
          <w:szCs w:val="16"/>
        </w:rPr>
      </w:pPr>
      <w:r w:rsidRPr="00C7320D">
        <w:rPr>
          <w:rFonts w:ascii="Aptos" w:eastAsia="Aptos" w:hAnsi="Aptos"/>
          <w:kern w:val="2"/>
          <w:sz w:val="16"/>
          <w14:ligatures w14:val="standardContextual"/>
        </w:rPr>
        <w:t xml:space="preserve">Note: </w:t>
      </w:r>
      <w:r w:rsidRPr="00C7320D">
        <w:rPr>
          <w:rStyle w:val="normaltextrun"/>
          <w:rFonts w:ascii="Aptos" w:eastAsiaTheme="majorEastAsia" w:hAnsi="Aptos" w:cs="Segoe UI"/>
          <w:sz w:val="16"/>
          <w:szCs w:val="16"/>
        </w:rPr>
        <w:t>The region’s average scores for key indicators in the National Digital Agenda, Legal Instruments for Digital Markets and Market Rules under the ITU Unified Framework are compared to the averages for LDCs, LLDCs and SIDS in the region, and the world average. </w:t>
      </w:r>
      <w:r w:rsidRPr="00C7320D">
        <w:rPr>
          <w:rStyle w:val="eop"/>
          <w:rFonts w:ascii="Aptos" w:eastAsiaTheme="majorEastAsia" w:hAnsi="Aptos" w:cs="Segoe UI"/>
          <w:sz w:val="16"/>
          <w:szCs w:val="16"/>
        </w:rPr>
        <w:t> </w:t>
      </w:r>
    </w:p>
    <w:p w14:paraId="76DC2B49" w14:textId="77777777" w:rsidR="00041907" w:rsidRPr="00C7320D" w:rsidRDefault="00041907" w:rsidP="00041907">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C7320D">
        <w:rPr>
          <w:rFonts w:ascii="Aptos" w:eastAsia="Aptos" w:hAnsi="Aptos"/>
          <w:kern w:val="2"/>
          <w:sz w:val="16"/>
          <w14:ligatures w14:val="standardContextual"/>
        </w:rPr>
        <w:t xml:space="preserve">Source: ITU, based on data from ITU and SDG Indicators </w:t>
      </w:r>
    </w:p>
    <w:p w14:paraId="39526B83" w14:textId="54E9CA5E"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LLDCs have emerged as policy frontrunners in cross-cutting digital inclusion policies, outperforming regional averages in most areas. With 40 per cent of LLDCs implementing digital identity frameworks, they exceed both regional and global averages by 16 and 15 percentage points, respectively. However, they still </w:t>
      </w:r>
      <w:r w:rsidR="00FA7B11" w:rsidRPr="00C7320D">
        <w:rPr>
          <w:rFonts w:ascii="Aptos" w:eastAsia="Aptos" w:hAnsi="Aptos" w:cs="Arial"/>
          <w:kern w:val="2"/>
          <w:sz w:val="22"/>
          <w:szCs w:val="22"/>
          <w14:ligatures w14:val="standardContextual"/>
        </w:rPr>
        <w:t>lag</w:t>
      </w:r>
      <w:r w:rsidRPr="00C7320D">
        <w:rPr>
          <w:rFonts w:ascii="Aptos" w:eastAsia="Aptos" w:hAnsi="Aptos" w:cs="Arial"/>
          <w:kern w:val="2"/>
          <w:sz w:val="22"/>
          <w:szCs w:val="22"/>
          <w14:ligatures w14:val="standardContextual"/>
        </w:rPr>
        <w:t xml:space="preserve"> in ICT accessibility and ICTs in education strategies – critical areas for long-term inclusion and economic resilience.</w:t>
      </w:r>
    </w:p>
    <w:p w14:paraId="29F34D89" w14:textId="77777777"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 xml:space="preserve">Yet gaps widen further for LDCs and SIDS. While LDCs’ adoption of universal service policies for broadband (79 per cent) is a relative strength, their national digital strategy adoption (46 per cent) remains significantly lower, limiting their ability to drive broad-based digital transformation. Key policy instruments are lacking, with no LDC having frameworks for ICT accessibility or youth employment, and only one-fifth implementing strategies for women's digital inclusion or ICTs in education. </w:t>
      </w:r>
    </w:p>
    <w:p w14:paraId="75F25C67" w14:textId="77777777"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SIDS face the greatest policy constraints in digital inclusion frameworks, trailing regional averages by 7 to 23 percentage points across all key areas, except for gender-inclusive connectivity policies – which is, however, one of the weakest regional benchmarks overall (20 per cent). Digital identity frameworks in SIDS are largely absent, with only Mauritius having implemented one. Without these frameworks, citizens face barriers to accessing public services, financial inclusion and business opportunities.</w:t>
      </w:r>
    </w:p>
    <w:p w14:paraId="6DCFE13D" w14:textId="01964ABB"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Youth-focused digital inclusion is essential for unlocking learning and economic opportunities and fostering long-term prosperity. </w:t>
      </w:r>
      <w:r w:rsidR="00096B0C" w:rsidRPr="00C7320D">
        <w:rPr>
          <w:rFonts w:ascii="Aptos" w:eastAsia="Aptos" w:hAnsi="Aptos" w:cs="Arial"/>
          <w:kern w:val="2"/>
          <w:sz w:val="22"/>
          <w:szCs w:val="22"/>
          <w14:ligatures w14:val="standardContextual"/>
        </w:rPr>
        <w:t>Yet</w:t>
      </w:r>
      <w:r w:rsidRPr="00C7320D">
        <w:rPr>
          <w:rFonts w:ascii="Aptos" w:eastAsia="Aptos" w:hAnsi="Aptos" w:cs="Arial"/>
          <w:kern w:val="2"/>
          <w:sz w:val="22"/>
          <w:szCs w:val="22"/>
          <w14:ligatures w14:val="standardContextual"/>
        </w:rPr>
        <w:t xml:space="preserve"> only 39 per cent of African countries have adopted national policies for ICTs in education and digital skills, with vulnerable countries lagging even further behind. Likewise, policy efforts to prepare young people for employment in the digital economy remain limited. Only three countries – Ghana, Rwanda and South Africa, have national youth employment strategies, with Rwanda being the sole LDC and LLDC in the group.</w:t>
      </w:r>
    </w:p>
    <w:p w14:paraId="5B00CAE2" w14:textId="7331FA06"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To achieve meaningful digital inclusion, Africa needs stronger policy focus, increased infrastructure investment and targeted ecosystem initiatives, particularly in digital identity and digital skills. Collaboration between governments, the private sector and communities will be critical to closing policy gaps and digital divides to advance universal and meaningful connectivity across the continent, </w:t>
      </w:r>
      <w:r w:rsidR="00FA7B11" w:rsidRPr="00C7320D">
        <w:rPr>
          <w:rFonts w:ascii="Aptos" w:eastAsia="Aptos" w:hAnsi="Aptos" w:cs="Arial"/>
          <w:kern w:val="2"/>
          <w:sz w:val="22"/>
          <w:szCs w:val="22"/>
          <w14:ligatures w14:val="standardContextual"/>
        </w:rPr>
        <w:t>in</w:t>
      </w:r>
      <w:r w:rsidRPr="00C7320D">
        <w:rPr>
          <w:rFonts w:ascii="Aptos" w:eastAsia="Aptos" w:hAnsi="Aptos" w:cs="Arial"/>
          <w:kern w:val="2"/>
          <w:sz w:val="22"/>
          <w:szCs w:val="22"/>
          <w14:ligatures w14:val="standardContextual"/>
        </w:rPr>
        <w:t xml:space="preserve"> the most vulnerable and least developed countries.</w:t>
      </w:r>
    </w:p>
    <w:p w14:paraId="48742554" w14:textId="4B7EF017" w:rsidR="00055A25" w:rsidRPr="00C7320D" w:rsidRDefault="00FF6C3B"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Urgent need to strengthen Africa’s policy landscape for emerging technologies</w:t>
      </w:r>
    </w:p>
    <w:p w14:paraId="2AC8F091" w14:textId="36952D15"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Digital economies require well-aligned, agile digital policy and governance frameworks to leverage the potential of digital technologies for development while mitigating the risks. The consistent, coordinated implementation of such policies can drive investment, create new markets and enhance national economic competitiveness while maximizing social benefits. </w:t>
      </w:r>
      <w:r w:rsidR="003E42AF" w:rsidRPr="00C7320D">
        <w:rPr>
          <w:rFonts w:ascii="Aptos" w:eastAsia="Aptos" w:hAnsi="Aptos" w:cs="Arial"/>
          <w:kern w:val="2"/>
          <w:sz w:val="22"/>
          <w:szCs w:val="22"/>
          <w14:ligatures w14:val="standardContextual"/>
        </w:rPr>
        <w:t xml:space="preserve">Emerging technology policies </w:t>
      </w:r>
      <w:r w:rsidR="003E42AF" w:rsidRPr="54921123">
        <w:rPr>
          <w:rFonts w:ascii="Aptos" w:eastAsia="Aptos" w:hAnsi="Aptos" w:cs="Aptos"/>
          <w:sz w:val="22"/>
          <w:szCs w:val="22"/>
        </w:rPr>
        <w:t>play a crucial role in this context</w:t>
      </w:r>
      <w:r w:rsidR="00221AD2">
        <w:rPr>
          <w:rFonts w:ascii="Aptos" w:eastAsia="Aptos" w:hAnsi="Aptos" w:cs="Arial"/>
          <w:kern w:val="2"/>
          <w:sz w:val="22"/>
          <w:szCs w:val="22"/>
          <w14:ligatures w14:val="standardContextual"/>
        </w:rPr>
        <w:t xml:space="preserve">, </w:t>
      </w:r>
      <w:r w:rsidRPr="00C7320D">
        <w:rPr>
          <w:rFonts w:ascii="Aptos" w:eastAsia="Aptos" w:hAnsi="Aptos" w:cs="Arial"/>
          <w:kern w:val="2"/>
          <w:sz w:val="22"/>
          <w:szCs w:val="22"/>
          <w14:ligatures w14:val="standardContextual"/>
        </w:rPr>
        <w:t>especially in LDCs, LLDCs and SIDS, many of which are facing significant challenges and multi-dimensional vulnerabilities in their overall development and in digital transformation.</w:t>
      </w:r>
    </w:p>
    <w:p w14:paraId="79C1B779" w14:textId="77777777"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In the Africa region, emerging technology policies are less advanced than in most other regions and the global average, in 2023. Only 27 per cent of countries in the region have innovation policies, an essential lever for scaling digital economies through science, technology and innovation. LDCs, LLDCs and SIDS are more than twice less likely than the global average to adopt such policies, with only 20 per cent of countries in these groups implementing them. However, industry-specific digital policies – particularly in sectors such as agriculture and financial services, where digital and emerging technologies can spur economic growth – are more common, adopted by 48 per cent of African countries. Yet, digital market policies, critical for shaping emerging technology ecosystems, remain virtually absent, introduced by only five per cent of countries in the region.</w:t>
      </w:r>
    </w:p>
    <w:p w14:paraId="17A8A421" w14:textId="77777777" w:rsidR="00055A25"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Policy frameworks addressing advanced digital technologies are also underdeveloped across the region. Cloud computing strategies are the most widely adopted, yet only 16 per cent of African countries have one in place. While LDCs and LLDCs lead in cloud policy adoption, they lag in Internet of Things (IoT) regulation and artificial intelligence (AI) policies. Advanced spectrum technology policies are also lacking in the region, limiting opportunities for expanding high-speed connectivity and next-generation services. </w:t>
      </w:r>
    </w:p>
    <w:p w14:paraId="41704864" w14:textId="77777777" w:rsidR="00932227" w:rsidRPr="00C7320D" w:rsidRDefault="00055A25" w:rsidP="00055A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Regulatory experimentation instruments remain underutilized in shaping emerging technologies markets in Africa. Regulatory sandboxes are established in only 23 per cent of countries, far below the global average of 40 per cent. Similarly, regulatory incentives for digital market players stand at 23 per cent, close to the world average of 25 per cent, but still insufficient to foster rapid market growth. ICT sector-specific tax exemptions are particularly low in comparison to other regions (39 per cent), with LLDCs being the exception and aligning with the world average of 56 per cent.</w:t>
      </w:r>
    </w:p>
    <w:p w14:paraId="0FF0F47D" w14:textId="77777777" w:rsidR="006B4F82" w:rsidRPr="00C7320D" w:rsidRDefault="006B4F82" w:rsidP="006B4F82">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Enabling environment for emerging technologies in the Africa region, 2023</w:t>
      </w:r>
    </w:p>
    <w:p w14:paraId="26FF1E44" w14:textId="10A227CD" w:rsidR="00E33B53" w:rsidRPr="00C7320D" w:rsidRDefault="005A4A0A" w:rsidP="00E33B53">
      <w:pPr>
        <w:pStyle w:val="paragraph"/>
        <w:spacing w:before="0" w:beforeAutospacing="0" w:after="60" w:afterAutospacing="0"/>
        <w:textAlignment w:val="baseline"/>
        <w:rPr>
          <w:rFonts w:ascii="Aptos" w:eastAsia="Aptos" w:hAnsi="Aptos"/>
          <w:kern w:val="2"/>
          <w:sz w:val="16"/>
          <w14:ligatures w14:val="standardContextual"/>
        </w:rPr>
      </w:pPr>
      <w:r w:rsidRPr="00C7320D">
        <w:rPr>
          <w:noProof/>
        </w:rPr>
        <w:drawing>
          <wp:inline distT="0" distB="0" distL="0" distR="0" wp14:anchorId="45489A9F" wp14:editId="429D213E">
            <wp:extent cx="6120765" cy="3022600"/>
            <wp:effectExtent l="0" t="0" r="0" b="6350"/>
            <wp:docPr id="19245670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6705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022600"/>
                    </a:xfrm>
                    <a:prstGeom prst="rect">
                      <a:avLst/>
                    </a:prstGeom>
                  </pic:spPr>
                </pic:pic>
              </a:graphicData>
            </a:graphic>
          </wp:inline>
        </w:drawing>
      </w:r>
      <w:r w:rsidR="00E33B53" w:rsidRPr="00C7320D">
        <w:rPr>
          <w:rFonts w:ascii="Aptos" w:eastAsia="Aptos" w:hAnsi="Aptos"/>
          <w:kern w:val="2"/>
          <w:sz w:val="16"/>
          <w14:ligatures w14:val="standardContextual"/>
        </w:rPr>
        <w:t>Note: The region’s average scores for key indicators in the National Digital Agenda, Legal Instruments for Digital Markets and Stakeholder Engagement under the ITU Unified Framework are compared to the averages for LDCs</w:t>
      </w:r>
      <w:r w:rsidR="006A1DFC" w:rsidRPr="00C7320D">
        <w:rPr>
          <w:rFonts w:ascii="Aptos" w:eastAsia="Aptos" w:hAnsi="Aptos"/>
          <w:kern w:val="2"/>
          <w:sz w:val="16"/>
          <w14:ligatures w14:val="standardContextual"/>
        </w:rPr>
        <w:t>, LLDCs</w:t>
      </w:r>
      <w:r w:rsidR="00E33B53" w:rsidRPr="00C7320D">
        <w:rPr>
          <w:rFonts w:ascii="Aptos" w:eastAsia="Aptos" w:hAnsi="Aptos"/>
          <w:kern w:val="2"/>
          <w:sz w:val="16"/>
          <w14:ligatures w14:val="standardContextual"/>
        </w:rPr>
        <w:t xml:space="preserve"> and SIDS in the region, and the world average.  </w:t>
      </w:r>
    </w:p>
    <w:p w14:paraId="2438EEBF" w14:textId="77777777" w:rsidR="00E33B53" w:rsidRPr="00C7320D" w:rsidRDefault="00E33B53" w:rsidP="00E33B5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C7320D">
        <w:rPr>
          <w:rFonts w:ascii="Aptos" w:eastAsia="Aptos" w:hAnsi="Aptos"/>
          <w:kern w:val="2"/>
          <w:sz w:val="16"/>
          <w14:ligatures w14:val="standardContextual"/>
        </w:rPr>
        <w:t>Source: ITU</w:t>
      </w:r>
    </w:p>
    <w:p w14:paraId="2EBFC47C" w14:textId="77777777" w:rsidR="00FF71D4" w:rsidRPr="00C7320D" w:rsidRDefault="00FF71D4" w:rsidP="00FF71D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As emerging technologies evolve rapidly, African countries must accelerate efforts to create robust policy and regulatory environments that foster digital innovation, entrepreneurship and value creation. Strengthening legal, institutional frameworks and good governance, closing policy gaps and enhancing regional and international cooperation will be critical to building inclusive and sustainable digital ecosystems at the national and regional levels. By advancing targeted reforms and aligning national strategies with global trends, Africa can harness emerging technologies to drive economic transformation, improve public services and promote digital inclusion.</w:t>
      </w:r>
    </w:p>
    <w:p w14:paraId="15C94479" w14:textId="527C1015" w:rsidR="006C41B5" w:rsidRPr="00C7320D" w:rsidRDefault="00FF71D4"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comprehensive Programmes of Action for LDCs, LLDCs and SIDS adopted by the United Nations</w:t>
      </w:r>
      <w:r w:rsidRPr="00C7320D">
        <w:rPr>
          <w:rFonts w:ascii="Aptos" w:eastAsia="Aptos" w:hAnsi="Aptos" w:cs="Arial"/>
          <w:kern w:val="2"/>
          <w:sz w:val="22"/>
          <w:szCs w:val="22"/>
          <w:vertAlign w:val="superscript"/>
          <w14:ligatures w14:val="standardContextual"/>
        </w:rPr>
        <w:footnoteReference w:id="5"/>
      </w:r>
      <w:r w:rsidRPr="00C7320D">
        <w:rPr>
          <w:rFonts w:ascii="Aptos" w:eastAsia="Aptos" w:hAnsi="Aptos" w:cs="Arial"/>
          <w:kern w:val="2"/>
          <w:sz w:val="22"/>
          <w:szCs w:val="22"/>
          <w14:ligatures w14:val="standardContextual"/>
        </w:rPr>
        <w:t xml:space="preserve"> highlight the urgency of strengthening connectivity, digital transformation and digital governance in these countries. Equipping African LDCs, LLDCs and SIDS with robust policy instruments must be a priority to support the rapid, responsible development and adoption of emerging technologies. Without decisive policy action, these countries risk deepening digital divides and missing critical opportunities in the global digital economy.</w:t>
      </w:r>
      <w:r w:rsidR="006C41B5" w:rsidRPr="00C7320D">
        <w:rPr>
          <w:rFonts w:ascii="Aptos" w:eastAsia="Aptos" w:hAnsi="Aptos" w:cs="Arial"/>
          <w:kern w:val="2"/>
          <w:sz w:val="22"/>
          <w:szCs w:val="22"/>
          <w14:ligatures w14:val="standardContextual"/>
        </w:rPr>
        <w:br w:type="page"/>
      </w:r>
    </w:p>
    <w:p w14:paraId="65548862" w14:textId="77777777" w:rsidR="006C41B5" w:rsidRPr="00C7320D" w:rsidRDefault="006C41B5" w:rsidP="00302CE1">
      <w:pPr>
        <w:pStyle w:val="Section"/>
      </w:pPr>
      <w:bookmarkStart w:id="9" w:name="_Toc191378079"/>
      <w:r w:rsidRPr="00C7320D">
        <w:lastRenderedPageBreak/>
        <w:t>Internet use</w:t>
      </w:r>
      <w:bookmarkEnd w:id="9"/>
    </w:p>
    <w:p w14:paraId="698AC3C3" w14:textId="77777777" w:rsidR="002D39D9" w:rsidRPr="00C7320D" w:rsidRDefault="002D39D9"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Africa has the lowest internet usage rate of all regions</w:t>
      </w:r>
    </w:p>
    <w:p w14:paraId="7BA29D8E" w14:textId="33D41086"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individuals using the Internet</w:t>
      </w:r>
    </w:p>
    <w:p w14:paraId="4E3B4419" w14:textId="012B23BA" w:rsidR="006C41B5" w:rsidRPr="00C7320D" w:rsidRDefault="00D72D92" w:rsidP="00EB15E6">
      <w:pPr>
        <w:pStyle w:val="Sourcetext"/>
      </w:pPr>
      <w:r w:rsidRPr="00C7320D">
        <w:rPr>
          <w:noProof/>
        </w:rPr>
        <w:drawing>
          <wp:inline distT="0" distB="0" distL="0" distR="0" wp14:anchorId="6F0635AA" wp14:editId="7CD24C77">
            <wp:extent cx="6120765" cy="2495550"/>
            <wp:effectExtent l="0" t="0" r="0" b="0"/>
            <wp:docPr id="1771179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794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2495550"/>
                    </a:xfrm>
                    <a:prstGeom prst="rect">
                      <a:avLst/>
                    </a:prstGeom>
                  </pic:spPr>
                </pic:pic>
              </a:graphicData>
            </a:graphic>
          </wp:inline>
        </w:drawing>
      </w:r>
      <w:r w:rsidR="006C41B5" w:rsidRPr="00C7320D">
        <w:t>Source: ITU</w:t>
      </w:r>
    </w:p>
    <w:p w14:paraId="67A8A360" w14:textId="37DD924E" w:rsidR="003C794E" w:rsidRPr="00C7320D" w:rsidRDefault="00A62776" w:rsidP="00A6277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proportion of people online in </w:t>
      </w:r>
      <w:r w:rsidR="00C04FC9" w:rsidRPr="00C7320D">
        <w:rPr>
          <w:rFonts w:ascii="Aptos" w:eastAsia="Aptos" w:hAnsi="Aptos" w:cs="Arial"/>
          <w:kern w:val="2"/>
          <w:sz w:val="22"/>
          <w:szCs w:val="22"/>
          <w14:ligatures w14:val="standardContextual"/>
        </w:rPr>
        <w:t xml:space="preserve">Africa </w:t>
      </w:r>
      <w:r w:rsidRPr="00C7320D">
        <w:rPr>
          <w:rFonts w:ascii="Aptos" w:eastAsia="Aptos" w:hAnsi="Aptos" w:cs="Arial"/>
          <w:kern w:val="2"/>
          <w:sz w:val="22"/>
          <w:szCs w:val="22"/>
          <w14:ligatures w14:val="standardContextual"/>
        </w:rPr>
        <w:t xml:space="preserve">stood at </w:t>
      </w:r>
      <w:r w:rsidR="00C04FC9" w:rsidRPr="00C7320D">
        <w:rPr>
          <w:rFonts w:ascii="Aptos" w:eastAsia="Aptos" w:hAnsi="Aptos" w:cs="Arial"/>
          <w:kern w:val="2"/>
          <w:sz w:val="22"/>
          <w:szCs w:val="22"/>
          <w14:ligatures w14:val="standardContextual"/>
        </w:rPr>
        <w:t xml:space="preserve">38 </w:t>
      </w:r>
      <w:r w:rsidRPr="00C7320D">
        <w:rPr>
          <w:rFonts w:ascii="Aptos" w:eastAsia="Aptos" w:hAnsi="Aptos" w:cs="Arial"/>
          <w:kern w:val="2"/>
          <w:sz w:val="22"/>
          <w:szCs w:val="22"/>
          <w14:ligatures w14:val="standardContextual"/>
        </w:rPr>
        <w:t xml:space="preserve">per cent in 2024, </w:t>
      </w:r>
      <w:r w:rsidR="00C04FC9" w:rsidRPr="00C7320D">
        <w:rPr>
          <w:rFonts w:ascii="Aptos" w:eastAsia="Aptos" w:hAnsi="Aptos" w:cs="Arial"/>
          <w:kern w:val="2"/>
          <w:sz w:val="22"/>
          <w:szCs w:val="22"/>
          <w14:ligatures w14:val="standardContextual"/>
        </w:rPr>
        <w:t xml:space="preserve">far below the </w:t>
      </w:r>
      <w:r w:rsidRPr="00C7320D">
        <w:rPr>
          <w:rFonts w:ascii="Aptos" w:eastAsia="Aptos" w:hAnsi="Aptos" w:cs="Arial"/>
          <w:kern w:val="2"/>
          <w:sz w:val="22"/>
          <w:szCs w:val="22"/>
          <w14:ligatures w14:val="standardContextual"/>
        </w:rPr>
        <w:t>global average</w:t>
      </w:r>
      <w:r w:rsidR="00FF49F1" w:rsidRPr="00C7320D">
        <w:rPr>
          <w:rFonts w:ascii="Aptos" w:eastAsia="Aptos" w:hAnsi="Aptos" w:cs="Arial"/>
          <w:kern w:val="2"/>
          <w:sz w:val="22"/>
          <w:szCs w:val="22"/>
          <w14:ligatures w14:val="standardContextual"/>
        </w:rPr>
        <w:t xml:space="preserve"> of </w:t>
      </w:r>
      <w:r w:rsidR="003C794E" w:rsidRPr="00C7320D">
        <w:rPr>
          <w:rFonts w:ascii="Aptos" w:eastAsia="Aptos" w:hAnsi="Aptos" w:cs="Arial"/>
          <w:kern w:val="2"/>
          <w:sz w:val="22"/>
          <w:szCs w:val="22"/>
          <w14:ligatures w14:val="standardContextual"/>
        </w:rPr>
        <w:t>68 per cent</w:t>
      </w:r>
      <w:r w:rsidRPr="00C7320D">
        <w:rPr>
          <w:rFonts w:ascii="Aptos" w:eastAsia="Aptos" w:hAnsi="Aptos" w:cs="Arial"/>
          <w:kern w:val="2"/>
          <w:sz w:val="22"/>
          <w:szCs w:val="22"/>
          <w14:ligatures w14:val="standardContextual"/>
        </w:rPr>
        <w:t xml:space="preserve">. </w:t>
      </w:r>
      <w:r w:rsidR="003C794E" w:rsidRPr="00C7320D">
        <w:rPr>
          <w:rFonts w:ascii="Aptos" w:eastAsia="Aptos" w:hAnsi="Aptos" w:cs="Arial"/>
          <w:kern w:val="2"/>
          <w:sz w:val="22"/>
          <w:szCs w:val="22"/>
          <w14:ligatures w14:val="standardContextual"/>
        </w:rPr>
        <w:t xml:space="preserve">This makes Africa the region with the lowest Internet use penetration, </w:t>
      </w:r>
      <w:r w:rsidR="00EA5519" w:rsidRPr="00C7320D">
        <w:rPr>
          <w:rFonts w:ascii="Aptos" w:eastAsia="Aptos" w:hAnsi="Aptos" w:cs="Arial"/>
          <w:kern w:val="2"/>
          <w:sz w:val="22"/>
          <w:szCs w:val="22"/>
          <w14:ligatures w14:val="standardContextual"/>
        </w:rPr>
        <w:t>29</w:t>
      </w:r>
      <w:r w:rsidR="003C794E" w:rsidRPr="00C7320D">
        <w:rPr>
          <w:rFonts w:ascii="Aptos" w:eastAsia="Aptos" w:hAnsi="Aptos" w:cs="Arial"/>
          <w:kern w:val="2"/>
          <w:sz w:val="22"/>
          <w:szCs w:val="22"/>
          <w14:ligatures w14:val="standardContextual"/>
        </w:rPr>
        <w:t xml:space="preserve"> percentage points behind the next lowest region</w:t>
      </w:r>
      <w:r w:rsidR="00AC3A3C" w:rsidRPr="00C7320D">
        <w:rPr>
          <w:rFonts w:ascii="Aptos" w:eastAsia="Aptos" w:hAnsi="Aptos" w:cs="Arial"/>
          <w:kern w:val="2"/>
          <w:sz w:val="22"/>
          <w:szCs w:val="22"/>
          <w14:ligatures w14:val="standardContextual"/>
        </w:rPr>
        <w:t>.</w:t>
      </w:r>
    </w:p>
    <w:p w14:paraId="5049074F" w14:textId="77777777" w:rsidR="006A5102" w:rsidRPr="00C7320D" w:rsidRDefault="0076752E" w:rsidP="00A6277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Africa is slowly catching up </w:t>
      </w:r>
      <w:r w:rsidR="00B42203" w:rsidRPr="00C7320D">
        <w:rPr>
          <w:rFonts w:ascii="Aptos" w:eastAsia="Aptos" w:hAnsi="Aptos" w:cs="Arial"/>
          <w:kern w:val="2"/>
          <w:sz w:val="22"/>
          <w:szCs w:val="22"/>
          <w14:ligatures w14:val="standardContextual"/>
        </w:rPr>
        <w:t>though</w:t>
      </w:r>
      <w:r w:rsidRPr="00C7320D">
        <w:rPr>
          <w:rFonts w:ascii="Aptos" w:eastAsia="Aptos" w:hAnsi="Aptos" w:cs="Arial"/>
          <w:kern w:val="2"/>
          <w:sz w:val="22"/>
          <w:szCs w:val="22"/>
          <w14:ligatures w14:val="standardContextual"/>
        </w:rPr>
        <w:t xml:space="preserve">, as can be inferred from </w:t>
      </w:r>
      <w:r w:rsidR="00B42203" w:rsidRPr="00C7320D">
        <w:rPr>
          <w:rFonts w:ascii="Aptos" w:eastAsia="Aptos" w:hAnsi="Aptos" w:cs="Arial"/>
          <w:kern w:val="2"/>
          <w:sz w:val="22"/>
          <w:szCs w:val="22"/>
          <w14:ligatures w14:val="standardContextual"/>
        </w:rPr>
        <w:t xml:space="preserve">growth in the percentage of Internet users. </w:t>
      </w:r>
      <w:r w:rsidR="00A62776" w:rsidRPr="00C7320D">
        <w:rPr>
          <w:rFonts w:ascii="Aptos" w:eastAsia="Aptos" w:hAnsi="Aptos" w:cs="Arial"/>
          <w:kern w:val="2"/>
          <w:sz w:val="22"/>
          <w:szCs w:val="22"/>
          <w14:ligatures w14:val="standardContextual"/>
        </w:rPr>
        <w:t>Since 2005, the average annual growth rate of Internet penetration has been 1</w:t>
      </w:r>
      <w:r w:rsidR="00A25F43" w:rsidRPr="00C7320D">
        <w:rPr>
          <w:rFonts w:ascii="Aptos" w:eastAsia="Aptos" w:hAnsi="Aptos" w:cs="Arial"/>
          <w:kern w:val="2"/>
          <w:sz w:val="22"/>
          <w:szCs w:val="22"/>
          <w14:ligatures w14:val="standardContextual"/>
        </w:rPr>
        <w:t>6</w:t>
      </w:r>
      <w:r w:rsidR="00A62776" w:rsidRPr="00C7320D">
        <w:rPr>
          <w:rFonts w:ascii="Aptos" w:eastAsia="Aptos" w:hAnsi="Aptos" w:cs="Arial"/>
          <w:kern w:val="2"/>
          <w:sz w:val="22"/>
          <w:szCs w:val="22"/>
          <w14:ligatures w14:val="standardContextual"/>
        </w:rPr>
        <w:t xml:space="preserve">.7 per cent in the region, against 8 per cent globally. Over the last ten years, these percentages were more modest, at </w:t>
      </w:r>
      <w:r w:rsidRPr="00C7320D">
        <w:rPr>
          <w:rFonts w:ascii="Aptos" w:eastAsia="Aptos" w:hAnsi="Aptos" w:cs="Arial"/>
          <w:kern w:val="2"/>
          <w:sz w:val="22"/>
          <w:szCs w:val="22"/>
          <w14:ligatures w14:val="standardContextual"/>
        </w:rPr>
        <w:t>10</w:t>
      </w:r>
      <w:r w:rsidR="00A62776" w:rsidRPr="00C7320D">
        <w:rPr>
          <w:rFonts w:ascii="Aptos" w:eastAsia="Aptos" w:hAnsi="Aptos" w:cs="Arial"/>
          <w:kern w:val="2"/>
          <w:sz w:val="22"/>
          <w:szCs w:val="22"/>
          <w14:ligatures w14:val="standardContextual"/>
        </w:rPr>
        <w:t>.</w:t>
      </w:r>
      <w:r w:rsidRPr="00C7320D">
        <w:rPr>
          <w:rFonts w:ascii="Aptos" w:eastAsia="Aptos" w:hAnsi="Aptos" w:cs="Arial"/>
          <w:kern w:val="2"/>
          <w:sz w:val="22"/>
          <w:szCs w:val="22"/>
          <w14:ligatures w14:val="standardContextual"/>
        </w:rPr>
        <w:t>7</w:t>
      </w:r>
      <w:r w:rsidR="00A62776" w:rsidRPr="00C7320D">
        <w:rPr>
          <w:rFonts w:ascii="Aptos" w:eastAsia="Aptos" w:hAnsi="Aptos" w:cs="Arial"/>
          <w:kern w:val="2"/>
          <w:sz w:val="22"/>
          <w:szCs w:val="22"/>
          <w14:ligatures w14:val="standardContextual"/>
        </w:rPr>
        <w:t xml:space="preserve"> and 6.1 per cent respectively.</w:t>
      </w:r>
      <w:r w:rsidR="006A5102" w:rsidRPr="00C7320D">
        <w:rPr>
          <w:rFonts w:ascii="Aptos" w:eastAsia="Aptos" w:hAnsi="Aptos" w:cs="Arial"/>
          <w:kern w:val="2"/>
          <w:sz w:val="22"/>
          <w:szCs w:val="22"/>
          <w14:ligatures w14:val="standardContextual"/>
        </w:rPr>
        <w:t xml:space="preserve"> </w:t>
      </w:r>
    </w:p>
    <w:p w14:paraId="0108EAB9" w14:textId="20D4F339" w:rsidR="00850EDE" w:rsidRPr="00C7320D" w:rsidRDefault="00B42203"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Africa</w:t>
      </w:r>
      <w:r w:rsidR="00A62776" w:rsidRPr="00C7320D">
        <w:rPr>
          <w:rFonts w:ascii="Aptos" w:eastAsia="Aptos" w:hAnsi="Aptos" w:cs="Arial"/>
          <w:kern w:val="2"/>
          <w:sz w:val="22"/>
          <w:szCs w:val="22"/>
          <w14:ligatures w14:val="standardContextual"/>
        </w:rPr>
        <w:t xml:space="preserve"> is a very heterogeneous region, from</w:t>
      </w:r>
      <w:r w:rsidR="005C1FFC" w:rsidRPr="00C7320D">
        <w:rPr>
          <w:rFonts w:ascii="Aptos" w:eastAsia="Aptos" w:hAnsi="Aptos" w:cs="Arial"/>
          <w:kern w:val="2"/>
          <w:sz w:val="22"/>
          <w:szCs w:val="22"/>
          <w14:ligatures w14:val="standardContextual"/>
        </w:rPr>
        <w:t xml:space="preserve"> small Islands to large</w:t>
      </w:r>
      <w:r w:rsidR="00501D13" w:rsidRPr="00C7320D">
        <w:rPr>
          <w:rFonts w:ascii="Aptos" w:eastAsia="Aptos" w:hAnsi="Aptos" w:cs="Arial"/>
          <w:kern w:val="2"/>
          <w:sz w:val="22"/>
          <w:szCs w:val="22"/>
          <w14:ligatures w14:val="standardContextual"/>
        </w:rPr>
        <w:t xml:space="preserve"> landlocked countries</w:t>
      </w:r>
      <w:r w:rsidR="00A62776" w:rsidRPr="00C7320D">
        <w:rPr>
          <w:rFonts w:ascii="Aptos" w:eastAsia="Aptos" w:hAnsi="Aptos" w:cs="Arial"/>
          <w:kern w:val="2"/>
          <w:sz w:val="22"/>
          <w:szCs w:val="22"/>
          <w14:ligatures w14:val="standardContextual"/>
        </w:rPr>
        <w:t xml:space="preserve">. The region </w:t>
      </w:r>
      <w:r w:rsidR="00322D7A" w:rsidRPr="00C7320D">
        <w:rPr>
          <w:rFonts w:ascii="Aptos" w:eastAsia="Aptos" w:hAnsi="Aptos" w:cs="Arial"/>
          <w:kern w:val="2"/>
          <w:sz w:val="22"/>
          <w:szCs w:val="22"/>
          <w14:ligatures w14:val="standardContextual"/>
        </w:rPr>
        <w:t xml:space="preserve">also </w:t>
      </w:r>
      <w:r w:rsidR="00A62776" w:rsidRPr="00C7320D">
        <w:rPr>
          <w:rFonts w:ascii="Aptos" w:eastAsia="Aptos" w:hAnsi="Aptos" w:cs="Arial"/>
          <w:kern w:val="2"/>
          <w:sz w:val="22"/>
          <w:szCs w:val="22"/>
          <w14:ligatures w14:val="standardContextual"/>
        </w:rPr>
        <w:t xml:space="preserve">contains </w:t>
      </w:r>
      <w:r w:rsidR="00322D7A" w:rsidRPr="00C7320D">
        <w:rPr>
          <w:rFonts w:ascii="Aptos" w:eastAsia="Aptos" w:hAnsi="Aptos" w:cs="Arial"/>
          <w:kern w:val="2"/>
          <w:sz w:val="22"/>
          <w:szCs w:val="22"/>
          <w14:ligatures w14:val="standardContextual"/>
        </w:rPr>
        <w:t xml:space="preserve">32 of the 44 </w:t>
      </w:r>
      <w:r w:rsidR="00874D94" w:rsidRPr="00C7320D">
        <w:rPr>
          <w:rFonts w:ascii="Aptos" w:eastAsia="Aptos" w:hAnsi="Aptos" w:cs="Arial"/>
          <w:kern w:val="2"/>
          <w:sz w:val="22"/>
          <w:szCs w:val="22"/>
          <w14:ligatures w14:val="standardContextual"/>
        </w:rPr>
        <w:t>least developed countries (LDCs)</w:t>
      </w:r>
      <w:r w:rsidR="00322D7A" w:rsidRPr="00C7320D">
        <w:rPr>
          <w:rFonts w:ascii="Aptos" w:eastAsia="Aptos" w:hAnsi="Aptos" w:cs="Arial"/>
          <w:kern w:val="2"/>
          <w:sz w:val="22"/>
          <w:szCs w:val="22"/>
          <w14:ligatures w14:val="standardContextual"/>
        </w:rPr>
        <w:t>.</w:t>
      </w:r>
      <w:r w:rsidR="00874D94" w:rsidRPr="00C7320D">
        <w:rPr>
          <w:rFonts w:ascii="Aptos" w:eastAsia="Aptos" w:hAnsi="Aptos" w:cs="Arial"/>
          <w:kern w:val="2"/>
          <w:sz w:val="22"/>
          <w:szCs w:val="22"/>
          <w14:ligatures w14:val="standardContextual"/>
        </w:rPr>
        <w:t xml:space="preserve"> </w:t>
      </w:r>
      <w:r w:rsidR="00A62776" w:rsidRPr="00C7320D">
        <w:rPr>
          <w:rFonts w:ascii="Aptos" w:eastAsia="Aptos" w:hAnsi="Aptos" w:cs="Arial"/>
          <w:kern w:val="2"/>
          <w:sz w:val="22"/>
          <w:szCs w:val="22"/>
          <w14:ligatures w14:val="standardContextual"/>
        </w:rPr>
        <w:t>This heterogeneity is reflected in the country level data on Internet use, with penetration levels from 1</w:t>
      </w:r>
      <w:r w:rsidR="005F3A78" w:rsidRPr="00C7320D">
        <w:rPr>
          <w:rFonts w:ascii="Aptos" w:eastAsia="Aptos" w:hAnsi="Aptos" w:cs="Arial"/>
          <w:kern w:val="2"/>
          <w:sz w:val="22"/>
          <w:szCs w:val="22"/>
          <w14:ligatures w14:val="standardContextual"/>
        </w:rPr>
        <w:t>1</w:t>
      </w:r>
      <w:r w:rsidR="00A62776" w:rsidRPr="00C7320D">
        <w:rPr>
          <w:rFonts w:ascii="Aptos" w:eastAsia="Aptos" w:hAnsi="Aptos" w:cs="Arial"/>
          <w:kern w:val="2"/>
          <w:sz w:val="22"/>
          <w:szCs w:val="22"/>
          <w14:ligatures w14:val="standardContextual"/>
        </w:rPr>
        <w:t xml:space="preserve"> to </w:t>
      </w:r>
      <w:r w:rsidR="005F3A78" w:rsidRPr="00C7320D">
        <w:rPr>
          <w:rFonts w:ascii="Aptos" w:eastAsia="Aptos" w:hAnsi="Aptos" w:cs="Arial"/>
          <w:kern w:val="2"/>
          <w:sz w:val="22"/>
          <w:szCs w:val="22"/>
          <w14:ligatures w14:val="standardContextual"/>
        </w:rPr>
        <w:t>87</w:t>
      </w:r>
      <w:r w:rsidR="00A62776" w:rsidRPr="00C7320D">
        <w:rPr>
          <w:rFonts w:ascii="Aptos" w:eastAsia="Aptos" w:hAnsi="Aptos" w:cs="Arial"/>
          <w:kern w:val="2"/>
          <w:sz w:val="22"/>
          <w:szCs w:val="22"/>
          <w14:ligatures w14:val="standardContextual"/>
        </w:rPr>
        <w:t xml:space="preserve"> per cent. </w:t>
      </w:r>
      <w:r w:rsidR="005F3A78" w:rsidRPr="00C7320D">
        <w:rPr>
          <w:rFonts w:ascii="Aptos" w:eastAsia="Aptos" w:hAnsi="Aptos" w:cs="Arial"/>
          <w:kern w:val="2"/>
          <w:sz w:val="22"/>
          <w:szCs w:val="22"/>
          <w14:ligatures w14:val="standardContextual"/>
        </w:rPr>
        <w:t xml:space="preserve">In most countries, </w:t>
      </w:r>
      <w:r w:rsidR="00A62776" w:rsidRPr="00C7320D">
        <w:rPr>
          <w:rFonts w:ascii="Aptos" w:eastAsia="Aptos" w:hAnsi="Aptos" w:cs="Arial"/>
          <w:kern w:val="2"/>
          <w:sz w:val="22"/>
          <w:szCs w:val="22"/>
          <w14:ligatures w14:val="standardContextual"/>
        </w:rPr>
        <w:t xml:space="preserve">universal </w:t>
      </w:r>
      <w:r w:rsidR="005F3A78" w:rsidRPr="00C7320D">
        <w:rPr>
          <w:rFonts w:ascii="Aptos" w:eastAsia="Aptos" w:hAnsi="Aptos" w:cs="Arial"/>
          <w:kern w:val="2"/>
          <w:sz w:val="22"/>
          <w:szCs w:val="22"/>
          <w14:ligatures w14:val="standardContextual"/>
        </w:rPr>
        <w:t xml:space="preserve">Internet </w:t>
      </w:r>
      <w:r w:rsidR="00A62776" w:rsidRPr="00C7320D">
        <w:rPr>
          <w:rFonts w:ascii="Aptos" w:eastAsia="Aptos" w:hAnsi="Aptos" w:cs="Arial"/>
          <w:kern w:val="2"/>
          <w:sz w:val="22"/>
          <w:szCs w:val="22"/>
          <w14:ligatures w14:val="standardContextual"/>
        </w:rPr>
        <w:t xml:space="preserve">use </w:t>
      </w:r>
      <w:r w:rsidR="005F3A78" w:rsidRPr="00C7320D">
        <w:rPr>
          <w:rFonts w:ascii="Aptos" w:eastAsia="Aptos" w:hAnsi="Aptos" w:cs="Arial"/>
          <w:kern w:val="2"/>
          <w:sz w:val="22"/>
          <w:szCs w:val="22"/>
          <w14:ligatures w14:val="standardContextual"/>
        </w:rPr>
        <w:t>is still a far way off</w:t>
      </w:r>
      <w:r w:rsidR="00A62776" w:rsidRPr="00C7320D">
        <w:rPr>
          <w:rFonts w:ascii="Aptos" w:eastAsia="Aptos" w:hAnsi="Aptos" w:cs="Arial"/>
          <w:kern w:val="2"/>
          <w:sz w:val="22"/>
          <w:szCs w:val="22"/>
          <w14:ligatures w14:val="standardContextual"/>
        </w:rPr>
        <w:t>.</w:t>
      </w:r>
      <w:r w:rsidR="00A62776" w:rsidRPr="00C7320D">
        <w:rPr>
          <w:rStyle w:val="FootnoteReference"/>
          <w:rFonts w:eastAsia="Aptos" w:cs="Arial"/>
          <w:kern w:val="2"/>
          <w14:ligatures w14:val="standardContextual"/>
        </w:rPr>
        <w:footnoteReference w:id="6"/>
      </w:r>
    </w:p>
    <w:p w14:paraId="2DDA6729" w14:textId="73E55328"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093C9A" w:rsidRPr="00C7320D">
        <w:rPr>
          <w:rFonts w:ascii="AvenirNext LT Pro Light" w:eastAsia="Yu Gothic Light" w:hAnsi="AvenirNext LT Pro Light" w:cs="Calibri"/>
          <w:color w:val="0070C0"/>
          <w:spacing w:val="-10"/>
          <w:kern w:val="28"/>
          <w:szCs w:val="24"/>
        </w:rPr>
        <w:t>Africa</w:t>
      </w:r>
      <w:r w:rsidRPr="00C7320D">
        <w:rPr>
          <w:rFonts w:ascii="AvenirNext LT Pro Light" w:eastAsia="Yu Gothic Light" w:hAnsi="AvenirNext LT Pro Light" w:cs="Calibri"/>
          <w:color w:val="0070C0"/>
          <w:spacing w:val="-10"/>
          <w:kern w:val="28"/>
          <w:szCs w:val="24"/>
        </w:rPr>
        <w:t xml:space="preserve">, </w:t>
      </w:r>
      <w:r w:rsidR="00851F73"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r w:rsidRPr="00C7320D">
        <w:rPr>
          <w:rFonts w:ascii="AvenirNext LT Pro Light" w:eastAsia="Yu Gothic Light" w:hAnsi="AvenirNext LT Pro Light" w:cs="Calibri"/>
          <w:color w:val="0070C0"/>
          <w:spacing w:val="-10"/>
          <w:kern w:val="28"/>
          <w:szCs w:val="24"/>
          <w:vertAlign w:val="superscript"/>
        </w:rPr>
        <w:footnoteReference w:id="7"/>
      </w:r>
    </w:p>
    <w:p w14:paraId="769061B2" w14:textId="6152AC5B" w:rsidR="000018FC" w:rsidRPr="00C7320D" w:rsidRDefault="0038706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3BAB1273" wp14:editId="1C52B26D">
            <wp:extent cx="6120765" cy="3211830"/>
            <wp:effectExtent l="0" t="0" r="0" b="7620"/>
            <wp:docPr id="14929415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41544"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211830"/>
                    </a:xfrm>
                    <a:prstGeom prst="rect">
                      <a:avLst/>
                    </a:prstGeom>
                  </pic:spPr>
                </pic:pic>
              </a:graphicData>
            </a:graphic>
          </wp:inline>
        </w:drawing>
      </w:r>
    </w:p>
    <w:p w14:paraId="597A2C47" w14:textId="2A15BC0D" w:rsidR="006C41B5" w:rsidRPr="00C7320D"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rFonts w:ascii="Aptos" w:eastAsia="Aptos" w:hAnsi="Aptos" w:cs="Arial"/>
          <w:kern w:val="2"/>
          <w:sz w:val="16"/>
          <w:szCs w:val="28"/>
          <w14:ligatures w14:val="standardContextual"/>
        </w:rPr>
        <w:t xml:space="preserve">Note: </w:t>
      </w:r>
      <w:r w:rsidR="0038706E" w:rsidRPr="00C7320D">
        <w:rPr>
          <w:rFonts w:ascii="Aptos" w:eastAsia="Aptos" w:hAnsi="Aptos" w:cs="Arial"/>
          <w:kern w:val="2"/>
          <w:sz w:val="16"/>
          <w:szCs w:val="28"/>
          <w14:ligatures w14:val="standardContextual"/>
        </w:rPr>
        <w:t xml:space="preserve">Non-official data </w:t>
      </w:r>
      <w:r w:rsidRPr="00C7320D">
        <w:rPr>
          <w:rFonts w:ascii="Aptos" w:eastAsia="Aptos" w:hAnsi="Aptos" w:cs="Arial"/>
          <w:kern w:val="2"/>
          <w:sz w:val="16"/>
          <w:szCs w:val="28"/>
          <w14:ligatures w14:val="standardContextual"/>
        </w:rPr>
        <w:t>are in a lighter shade, country submitted data in a darker shade.</w:t>
      </w:r>
    </w:p>
    <w:p w14:paraId="3F01955B" w14:textId="77777777" w:rsidR="006C41B5" w:rsidRPr="00C7320D"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rFonts w:ascii="Aptos" w:eastAsia="Aptos" w:hAnsi="Aptos" w:cs="Arial"/>
          <w:kern w:val="2"/>
          <w:sz w:val="16"/>
          <w:szCs w:val="28"/>
          <w14:ligatures w14:val="standardContextual"/>
        </w:rPr>
        <w:t>Source: ITU</w:t>
      </w:r>
    </w:p>
    <w:p w14:paraId="44A783F1" w14:textId="77777777" w:rsidR="00A23644" w:rsidRPr="00C7320D" w:rsidRDefault="00A23644">
      <w:pPr>
        <w:tabs>
          <w:tab w:val="clear" w:pos="794"/>
          <w:tab w:val="clear" w:pos="1191"/>
          <w:tab w:val="clear" w:pos="1588"/>
          <w:tab w:val="clear" w:pos="1985"/>
        </w:tabs>
        <w:overflowPunct/>
        <w:autoSpaceDE/>
        <w:autoSpaceDN/>
        <w:adjustRightInd/>
        <w:spacing w:before="0"/>
        <w:textAlignment w:val="auto"/>
        <w:rPr>
          <w:rFonts w:ascii="Aptos" w:eastAsia="Aptos" w:hAnsi="Aptos" w:cs="Arial"/>
          <w:b/>
          <w:i/>
          <w:kern w:val="2"/>
          <w:sz w:val="22"/>
          <w:szCs w:val="22"/>
          <w14:ligatures w14:val="standardContextual"/>
        </w:rPr>
      </w:pPr>
      <w:r w:rsidRPr="00C7320D">
        <w:rPr>
          <w:rFonts w:ascii="Aptos" w:eastAsia="Aptos" w:hAnsi="Aptos" w:cs="Arial"/>
          <w:b/>
          <w:i/>
          <w:kern w:val="2"/>
          <w:sz w:val="22"/>
          <w:szCs w:val="22"/>
          <w14:ligatures w14:val="standardContextual"/>
        </w:rPr>
        <w:br w:type="page"/>
      </w:r>
    </w:p>
    <w:p w14:paraId="562706B2" w14:textId="77777777" w:rsidR="008200B8" w:rsidRPr="00C7320D" w:rsidRDefault="008200B8" w:rsidP="00B8566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14:ligatures w14:val="standardContextual"/>
        </w:rPr>
      </w:pPr>
      <w:r w:rsidRPr="00C7320D">
        <w:rPr>
          <w:rFonts w:ascii="Aptos" w:eastAsia="Aptos" w:hAnsi="Aptos" w:cs="Arial"/>
          <w:b/>
          <w:i/>
          <w:kern w:val="2"/>
          <w:sz w:val="22"/>
          <w:szCs w:val="22"/>
          <w14:ligatures w14:val="standardContextual"/>
        </w:rPr>
        <w:lastRenderedPageBreak/>
        <w:t>The gender gap in internet use is the widest globally</w:t>
      </w:r>
    </w:p>
    <w:p w14:paraId="21268B13" w14:textId="4FBE649F" w:rsidR="00B85667" w:rsidRPr="00C7320D" w:rsidRDefault="00B85667" w:rsidP="00B8566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In 2024, 43 per cent of men were online in Africa, against 31 per cent of women. This converts into a gender parity score (GPS)</w:t>
      </w:r>
      <w:r w:rsidRPr="00C7320D">
        <w:rPr>
          <w:rFonts w:ascii="Aptos" w:eastAsia="Aptos" w:hAnsi="Aptos" w:cs="Arial"/>
          <w:kern w:val="2"/>
          <w:sz w:val="22"/>
          <w:szCs w:val="22"/>
          <w:vertAlign w:val="superscript"/>
          <w14:ligatures w14:val="standardContextual"/>
        </w:rPr>
        <w:footnoteReference w:id="8"/>
      </w:r>
      <w:r w:rsidRPr="00C7320D">
        <w:rPr>
          <w:rFonts w:ascii="Aptos" w:eastAsia="Aptos" w:hAnsi="Aptos" w:cs="Arial"/>
          <w:kern w:val="2"/>
          <w:sz w:val="22"/>
          <w:szCs w:val="22"/>
          <w14:ligatures w14:val="standardContextual"/>
        </w:rPr>
        <w:t xml:space="preserve"> of 0.</w:t>
      </w:r>
      <w:r w:rsidR="00644547" w:rsidRPr="00C7320D">
        <w:rPr>
          <w:rFonts w:ascii="Aptos" w:eastAsia="Aptos" w:hAnsi="Aptos" w:cs="Arial"/>
          <w:kern w:val="2"/>
          <w:sz w:val="22"/>
          <w:szCs w:val="22"/>
          <w14:ligatures w14:val="standardContextual"/>
        </w:rPr>
        <w:t>72</w:t>
      </w:r>
      <w:r w:rsidRPr="00C7320D">
        <w:rPr>
          <w:rFonts w:ascii="Aptos" w:eastAsia="Aptos" w:hAnsi="Aptos" w:cs="Arial"/>
          <w:kern w:val="2"/>
          <w:sz w:val="22"/>
          <w:szCs w:val="22"/>
          <w14:ligatures w14:val="standardContextual"/>
        </w:rPr>
        <w:t xml:space="preserve">, </w:t>
      </w:r>
      <w:r w:rsidR="00644547" w:rsidRPr="00C7320D">
        <w:rPr>
          <w:rFonts w:ascii="Aptos" w:eastAsia="Aptos" w:hAnsi="Aptos" w:cs="Arial"/>
          <w:kern w:val="2"/>
          <w:sz w:val="22"/>
          <w:szCs w:val="22"/>
          <w14:ligatures w14:val="standardContextual"/>
        </w:rPr>
        <w:t xml:space="preserve">far below </w:t>
      </w:r>
      <w:r w:rsidRPr="00C7320D">
        <w:rPr>
          <w:rFonts w:ascii="Aptos" w:eastAsia="Aptos" w:hAnsi="Aptos" w:cs="Arial"/>
          <w:kern w:val="2"/>
          <w:sz w:val="22"/>
          <w:szCs w:val="22"/>
          <w14:ligatures w14:val="standardContextual"/>
        </w:rPr>
        <w:t>the global GPS of 0.94</w:t>
      </w:r>
      <w:r w:rsidR="00644547" w:rsidRPr="00C7320D">
        <w:rPr>
          <w:rFonts w:ascii="Aptos" w:eastAsia="Aptos" w:hAnsi="Aptos" w:cs="Arial"/>
          <w:kern w:val="2"/>
          <w:sz w:val="22"/>
          <w:szCs w:val="22"/>
          <w14:ligatures w14:val="standardContextual"/>
        </w:rPr>
        <w:t xml:space="preserve"> a</w:t>
      </w:r>
      <w:r w:rsidR="00A17A71" w:rsidRPr="00C7320D">
        <w:rPr>
          <w:rFonts w:ascii="Aptos" w:eastAsia="Aptos" w:hAnsi="Aptos" w:cs="Arial"/>
          <w:kern w:val="2"/>
          <w:sz w:val="22"/>
          <w:szCs w:val="22"/>
          <w14:ligatures w14:val="standardContextual"/>
        </w:rPr>
        <w:t>n</w:t>
      </w:r>
      <w:r w:rsidR="00644547" w:rsidRPr="00C7320D">
        <w:rPr>
          <w:rFonts w:ascii="Aptos" w:eastAsia="Aptos" w:hAnsi="Aptos" w:cs="Arial"/>
          <w:kern w:val="2"/>
          <w:sz w:val="22"/>
          <w:szCs w:val="22"/>
          <w14:ligatures w14:val="standardContextual"/>
        </w:rPr>
        <w:t xml:space="preserve">d even further </w:t>
      </w:r>
      <w:r w:rsidR="00A17A71" w:rsidRPr="00C7320D">
        <w:rPr>
          <w:rFonts w:ascii="Aptos" w:eastAsia="Aptos" w:hAnsi="Aptos" w:cs="Arial"/>
          <w:kern w:val="2"/>
          <w:sz w:val="22"/>
          <w:szCs w:val="22"/>
          <w14:ligatures w14:val="standardContextual"/>
        </w:rPr>
        <w:t>r</w:t>
      </w:r>
      <w:r w:rsidR="00644547" w:rsidRPr="00C7320D">
        <w:rPr>
          <w:rFonts w:ascii="Aptos" w:eastAsia="Aptos" w:hAnsi="Aptos" w:cs="Arial"/>
          <w:kern w:val="2"/>
          <w:sz w:val="22"/>
          <w:szCs w:val="22"/>
          <w14:ligatures w14:val="standardContextual"/>
        </w:rPr>
        <w:t>emoved from gender parity</w:t>
      </w:r>
      <w:r w:rsidRPr="00C7320D">
        <w:rPr>
          <w:rFonts w:ascii="Aptos" w:eastAsia="Aptos" w:hAnsi="Aptos" w:cs="Arial"/>
          <w:kern w:val="2"/>
          <w:sz w:val="22"/>
          <w:szCs w:val="22"/>
          <w14:ligatures w14:val="standardContextual"/>
        </w:rPr>
        <w:t xml:space="preserve">. </w:t>
      </w:r>
      <w:r w:rsidR="00A17A71" w:rsidRPr="00C7320D">
        <w:rPr>
          <w:rFonts w:ascii="Aptos" w:eastAsia="Aptos" w:hAnsi="Aptos" w:cs="Arial"/>
          <w:kern w:val="2"/>
          <w:sz w:val="22"/>
          <w:szCs w:val="22"/>
          <w14:ligatures w14:val="standardContextual"/>
        </w:rPr>
        <w:t xml:space="preserve">On a </w:t>
      </w:r>
      <w:r w:rsidR="0057231A" w:rsidRPr="00C7320D">
        <w:rPr>
          <w:rFonts w:ascii="Aptos" w:eastAsia="Aptos" w:hAnsi="Aptos" w:cs="Arial"/>
          <w:kern w:val="2"/>
          <w:sz w:val="22"/>
          <w:szCs w:val="22"/>
          <w14:ligatures w14:val="standardContextual"/>
        </w:rPr>
        <w:t xml:space="preserve">more </w:t>
      </w:r>
      <w:r w:rsidR="00A17A71" w:rsidRPr="00C7320D">
        <w:rPr>
          <w:rFonts w:ascii="Aptos" w:eastAsia="Aptos" w:hAnsi="Aptos" w:cs="Arial"/>
          <w:kern w:val="2"/>
          <w:sz w:val="22"/>
          <w:szCs w:val="22"/>
          <w14:ligatures w14:val="standardContextual"/>
        </w:rPr>
        <w:t xml:space="preserve">positive note, </w:t>
      </w:r>
      <w:r w:rsidRPr="00C7320D">
        <w:rPr>
          <w:rFonts w:ascii="Aptos" w:eastAsia="Aptos" w:hAnsi="Aptos" w:cs="Arial"/>
          <w:kern w:val="2"/>
          <w:sz w:val="22"/>
          <w:szCs w:val="22"/>
          <w14:ligatures w14:val="standardContextual"/>
        </w:rPr>
        <w:t>in the last five years, the GPS has improved from 0.</w:t>
      </w:r>
      <w:r w:rsidR="0057231A" w:rsidRPr="00C7320D">
        <w:rPr>
          <w:rFonts w:ascii="Aptos" w:eastAsia="Aptos" w:hAnsi="Aptos" w:cs="Arial"/>
          <w:kern w:val="2"/>
          <w:sz w:val="22"/>
          <w:szCs w:val="22"/>
          <w14:ligatures w14:val="standardContextual"/>
        </w:rPr>
        <w:t xml:space="preserve">69 </w:t>
      </w:r>
      <w:r w:rsidRPr="00C7320D">
        <w:rPr>
          <w:rFonts w:ascii="Aptos" w:eastAsia="Aptos" w:hAnsi="Aptos" w:cs="Arial"/>
          <w:kern w:val="2"/>
          <w:sz w:val="22"/>
          <w:szCs w:val="22"/>
          <w14:ligatures w14:val="standardContextual"/>
        </w:rPr>
        <w:t>to 0.</w:t>
      </w:r>
      <w:r w:rsidR="0057231A" w:rsidRPr="00C7320D">
        <w:rPr>
          <w:rFonts w:ascii="Aptos" w:eastAsia="Aptos" w:hAnsi="Aptos" w:cs="Arial"/>
          <w:kern w:val="2"/>
          <w:sz w:val="22"/>
          <w:szCs w:val="22"/>
          <w14:ligatures w14:val="standardContextual"/>
        </w:rPr>
        <w:t>72</w:t>
      </w:r>
      <w:r w:rsidRPr="00C7320D">
        <w:rPr>
          <w:rFonts w:ascii="Aptos" w:eastAsia="Aptos" w:hAnsi="Aptos" w:cs="Arial"/>
          <w:kern w:val="2"/>
          <w:sz w:val="22"/>
          <w:szCs w:val="22"/>
          <w14:ligatures w14:val="standardContextual"/>
        </w:rPr>
        <w:t>.</w:t>
      </w:r>
    </w:p>
    <w:p w14:paraId="306CB29E" w14:textId="77777777"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individuals using the Internet, by gender, 2024</w:t>
      </w:r>
    </w:p>
    <w:p w14:paraId="7230107B" w14:textId="66EB82BE" w:rsidR="006C41B5" w:rsidRPr="00C7320D" w:rsidRDefault="00367822" w:rsidP="00EB15E6">
      <w:pPr>
        <w:pStyle w:val="Sourcetext"/>
      </w:pPr>
      <w:r w:rsidRPr="00C7320D">
        <w:rPr>
          <w:noProof/>
        </w:rPr>
        <w:drawing>
          <wp:inline distT="0" distB="0" distL="0" distR="0" wp14:anchorId="74039986" wp14:editId="0DF58B90">
            <wp:extent cx="6120765" cy="2385060"/>
            <wp:effectExtent l="0" t="0" r="0" b="0"/>
            <wp:docPr id="7345453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4534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2385060"/>
                    </a:xfrm>
                    <a:prstGeom prst="rect">
                      <a:avLst/>
                    </a:prstGeom>
                  </pic:spPr>
                </pic:pic>
              </a:graphicData>
            </a:graphic>
          </wp:inline>
        </w:drawing>
      </w:r>
      <w:r w:rsidR="006C41B5" w:rsidRPr="00C7320D">
        <w:t>Source: ITU</w:t>
      </w:r>
    </w:p>
    <w:p w14:paraId="0AF261D9" w14:textId="77777777" w:rsidR="00A25EA0" w:rsidRPr="00C7320D" w:rsidRDefault="00A25EA0" w:rsidP="00A25EA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Gender parity is closely linked to overall development level and Internet penetration of a country. For the few countries for which data is available, those with the lowest Internet penetration levels usually also have the lowest GPS. The main exception is Zimbabwe, where despite a very low overall Internet use penetration rate, gender parity has been reached, with even more women than men using the Internet.</w:t>
      </w:r>
    </w:p>
    <w:p w14:paraId="32F34237" w14:textId="18401AF8" w:rsidR="006C41B5" w:rsidRPr="00C7320D"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3940133E" w14:textId="0396B136" w:rsidR="006C41B5" w:rsidRPr="00C7320D" w:rsidRDefault="00AA11E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47191612" wp14:editId="32F26019">
            <wp:extent cx="6120765" cy="2545715"/>
            <wp:effectExtent l="0" t="0" r="0" b="6985"/>
            <wp:docPr id="7272815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8155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2545715"/>
                    </a:xfrm>
                    <a:prstGeom prst="rect">
                      <a:avLst/>
                    </a:prstGeom>
                  </pic:spPr>
                </pic:pic>
              </a:graphicData>
            </a:graphic>
          </wp:inline>
        </w:drawing>
      </w:r>
    </w:p>
    <w:p w14:paraId="5B9FDB98" w14:textId="2D5D17FF" w:rsidR="00E2682D" w:rsidRPr="00C7320D" w:rsidRDefault="006C41B5" w:rsidP="00D0799C">
      <w:pPr>
        <w:pStyle w:val="Sourcetext"/>
        <w:rPr>
          <w:rFonts w:eastAsia="Aptos" w:cs="Arial"/>
          <w:b/>
          <w:bCs/>
          <w:i/>
          <w:iCs/>
          <w:sz w:val="22"/>
          <w:szCs w:val="22"/>
        </w:rPr>
      </w:pPr>
      <w:r w:rsidRPr="00C7320D">
        <w:t>Source: ITU</w:t>
      </w:r>
      <w:r w:rsidR="00E2682D" w:rsidRPr="00C7320D">
        <w:rPr>
          <w:rFonts w:eastAsia="Aptos" w:cs="Arial"/>
          <w:b/>
          <w:i/>
          <w:sz w:val="22"/>
          <w:szCs w:val="22"/>
        </w:rPr>
        <w:br w:type="page"/>
      </w:r>
    </w:p>
    <w:p w14:paraId="181FE323" w14:textId="1A59703D" w:rsidR="00982211" w:rsidRPr="00C7320D" w:rsidRDefault="00982211"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lastRenderedPageBreak/>
        <w:t>Young people drive internet adoption</w:t>
      </w:r>
    </w:p>
    <w:p w14:paraId="3915A3A4" w14:textId="006AB149"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individuals aged between 15 and 24 years using the Internet, 2024</w:t>
      </w:r>
    </w:p>
    <w:p w14:paraId="0E33A8C4" w14:textId="2755F502" w:rsidR="006C41B5" w:rsidRPr="00C7320D" w:rsidRDefault="004576B6" w:rsidP="00EB15E6">
      <w:pPr>
        <w:pStyle w:val="Sourcetext"/>
        <w:rPr>
          <w:rFonts w:eastAsia="Aptos" w:cs="Arial"/>
        </w:rPr>
      </w:pPr>
      <w:r w:rsidRPr="00C7320D">
        <w:rPr>
          <w:noProof/>
        </w:rPr>
        <w:drawing>
          <wp:inline distT="0" distB="0" distL="0" distR="0" wp14:anchorId="27A5045A" wp14:editId="281910D3">
            <wp:extent cx="6120765" cy="2665095"/>
            <wp:effectExtent l="0" t="0" r="0" b="1905"/>
            <wp:docPr id="9245565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56562"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2665095"/>
                    </a:xfrm>
                    <a:prstGeom prst="rect">
                      <a:avLst/>
                    </a:prstGeom>
                  </pic:spPr>
                </pic:pic>
              </a:graphicData>
            </a:graphic>
          </wp:inline>
        </w:drawing>
      </w:r>
      <w:r w:rsidR="006C41B5" w:rsidRPr="00C7320D">
        <w:t>Source: ITU</w:t>
      </w:r>
    </w:p>
    <w:p w14:paraId="1C931082" w14:textId="6F29DC56" w:rsidR="00482456" w:rsidRPr="00C7320D" w:rsidRDefault="00482456" w:rsidP="004824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 </w:t>
      </w:r>
      <w:r w:rsidR="00164189" w:rsidRPr="00C7320D">
        <w:rPr>
          <w:rFonts w:ascii="Aptos" w:eastAsia="Aptos" w:hAnsi="Aptos" w:cs="Arial"/>
          <w:kern w:val="2"/>
          <w:sz w:val="22"/>
          <w:szCs w:val="22"/>
          <w14:ligatures w14:val="standardContextual"/>
        </w:rPr>
        <w:t>the Africa region</w:t>
      </w:r>
      <w:r w:rsidRPr="00C7320D">
        <w:rPr>
          <w:rFonts w:ascii="Aptos" w:eastAsia="Aptos" w:hAnsi="Aptos" w:cs="Arial"/>
          <w:kern w:val="2"/>
          <w:sz w:val="22"/>
          <w:szCs w:val="22"/>
          <w14:ligatures w14:val="standardContextual"/>
        </w:rPr>
        <w:t xml:space="preserve">, </w:t>
      </w:r>
      <w:r w:rsidR="00164189" w:rsidRPr="00C7320D">
        <w:rPr>
          <w:rFonts w:ascii="Aptos" w:eastAsia="Aptos" w:hAnsi="Aptos" w:cs="Arial"/>
          <w:kern w:val="2"/>
          <w:sz w:val="22"/>
          <w:szCs w:val="22"/>
          <w14:ligatures w14:val="standardContextual"/>
        </w:rPr>
        <w:t>53</w:t>
      </w:r>
      <w:r w:rsidRPr="00C7320D">
        <w:rPr>
          <w:rFonts w:ascii="Aptos" w:eastAsia="Aptos" w:hAnsi="Aptos" w:cs="Arial"/>
          <w:kern w:val="2"/>
          <w:sz w:val="22"/>
          <w:szCs w:val="22"/>
          <w14:ligatures w14:val="standardContextual"/>
        </w:rPr>
        <w:t xml:space="preserve"> per cent of young people aged 15 to 24 used the Internet in 2024, compared to </w:t>
      </w:r>
      <w:r w:rsidR="00D17B62" w:rsidRPr="00C7320D">
        <w:rPr>
          <w:rFonts w:ascii="Aptos" w:eastAsia="Aptos" w:hAnsi="Aptos" w:cs="Arial"/>
          <w:kern w:val="2"/>
          <w:sz w:val="22"/>
          <w:szCs w:val="22"/>
          <w14:ligatures w14:val="standardContextual"/>
        </w:rPr>
        <w:t>34</w:t>
      </w:r>
      <w:r w:rsidRPr="00C7320D">
        <w:rPr>
          <w:rFonts w:ascii="Aptos" w:eastAsia="Aptos" w:hAnsi="Aptos" w:cs="Arial"/>
          <w:kern w:val="2"/>
          <w:sz w:val="22"/>
          <w:szCs w:val="22"/>
          <w14:ligatures w14:val="standardContextual"/>
        </w:rPr>
        <w:t xml:space="preserve"> per cent of the rest of the population. The generational gap in this region</w:t>
      </w:r>
      <w:r w:rsidR="00573E2B" w:rsidRPr="00C7320D">
        <w:rPr>
          <w:rFonts w:ascii="Aptos" w:eastAsia="Aptos" w:hAnsi="Aptos" w:cs="Arial"/>
          <w:kern w:val="2"/>
          <w:sz w:val="22"/>
          <w:szCs w:val="22"/>
          <w14:ligatures w14:val="standardContextual"/>
        </w:rPr>
        <w:t xml:space="preserve"> – </w:t>
      </w:r>
      <w:r w:rsidRPr="00C7320D">
        <w:rPr>
          <w:rFonts w:ascii="Aptos" w:eastAsia="Aptos" w:hAnsi="Aptos" w:cs="Arial"/>
          <w:kern w:val="2"/>
          <w:sz w:val="22"/>
          <w:szCs w:val="22"/>
          <w14:ligatures w14:val="standardContextual"/>
        </w:rPr>
        <w:t>measured as the ratio of Internet users between these two groups</w:t>
      </w:r>
      <w:r w:rsidR="00573E2B" w:rsidRPr="00C7320D">
        <w:rPr>
          <w:rFonts w:ascii="Aptos" w:eastAsia="Aptos" w:hAnsi="Aptos" w:cs="Arial"/>
          <w:kern w:val="2"/>
          <w:sz w:val="22"/>
          <w:szCs w:val="22"/>
          <w14:ligatures w14:val="standardContextual"/>
        </w:rPr>
        <w:t xml:space="preserve"> – is </w:t>
      </w:r>
      <w:r w:rsidRPr="00C7320D">
        <w:rPr>
          <w:rFonts w:ascii="Aptos" w:eastAsia="Aptos" w:hAnsi="Aptos" w:cs="Arial"/>
          <w:kern w:val="2"/>
          <w:sz w:val="22"/>
          <w:szCs w:val="22"/>
          <w14:ligatures w14:val="standardContextual"/>
        </w:rPr>
        <w:t xml:space="preserve">higher than the global average. Both in the region and globally, the ratio has been shrinking over the last four years. </w:t>
      </w:r>
    </w:p>
    <w:p w14:paraId="50ED182D" w14:textId="2E33413D" w:rsidR="00482456" w:rsidRPr="00C7320D" w:rsidRDefault="009A102D" w:rsidP="004824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There are only a few countries with recent Internet use data broken </w:t>
      </w:r>
      <w:r w:rsidR="00BF7C3A" w:rsidRPr="00C7320D">
        <w:rPr>
          <w:rFonts w:ascii="Aptos" w:eastAsia="Aptos" w:hAnsi="Aptos" w:cs="Arial"/>
          <w:kern w:val="2"/>
          <w:sz w:val="22"/>
          <w:szCs w:val="22"/>
          <w14:ligatures w14:val="standardContextual"/>
        </w:rPr>
        <w:t xml:space="preserve">down by age. </w:t>
      </w:r>
      <w:r w:rsidR="00036E06" w:rsidRPr="00C7320D">
        <w:rPr>
          <w:rFonts w:ascii="Aptos" w:eastAsia="Aptos" w:hAnsi="Aptos" w:cs="Arial"/>
          <w:kern w:val="2"/>
          <w:sz w:val="22"/>
          <w:szCs w:val="22"/>
          <w14:ligatures w14:val="standardContextual"/>
        </w:rPr>
        <w:t>In three of these countries</w:t>
      </w:r>
      <w:r w:rsidR="00727D6A" w:rsidRPr="00C7320D">
        <w:rPr>
          <w:rFonts w:ascii="Aptos" w:eastAsia="Aptos" w:hAnsi="Aptos" w:cs="Arial"/>
          <w:kern w:val="2"/>
          <w:sz w:val="22"/>
          <w:szCs w:val="22"/>
          <w14:ligatures w14:val="standardContextual"/>
        </w:rPr>
        <w:t xml:space="preserve">, </w:t>
      </w:r>
      <w:r w:rsidR="00482456" w:rsidRPr="00C7320D">
        <w:rPr>
          <w:rFonts w:ascii="Aptos" w:eastAsia="Aptos" w:hAnsi="Aptos" w:cs="Arial"/>
          <w:kern w:val="2"/>
          <w:sz w:val="22"/>
          <w:szCs w:val="22"/>
          <w14:ligatures w14:val="standardContextual"/>
        </w:rPr>
        <w:t xml:space="preserve">the percentage of young people online is </w:t>
      </w:r>
      <w:r w:rsidR="00727D6A" w:rsidRPr="00C7320D">
        <w:rPr>
          <w:rFonts w:ascii="Aptos" w:eastAsia="Aptos" w:hAnsi="Aptos" w:cs="Arial"/>
          <w:kern w:val="2"/>
          <w:sz w:val="22"/>
          <w:szCs w:val="22"/>
          <w14:ligatures w14:val="standardContextual"/>
        </w:rPr>
        <w:t xml:space="preserve">relatively </w:t>
      </w:r>
      <w:r w:rsidR="00482456" w:rsidRPr="00C7320D">
        <w:rPr>
          <w:rFonts w:ascii="Aptos" w:eastAsia="Aptos" w:hAnsi="Aptos" w:cs="Arial"/>
          <w:kern w:val="2"/>
          <w:sz w:val="22"/>
          <w:szCs w:val="22"/>
          <w14:ligatures w14:val="standardContextual"/>
        </w:rPr>
        <w:t>high. This stands in sharp contrast with the proportion of the elderly (those 75 years and older) using the Internet, which is low or very low in all countries.</w:t>
      </w:r>
    </w:p>
    <w:p w14:paraId="5B8CA18B" w14:textId="5D2098E9"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individuals using the Internet by age group,</w:t>
      </w:r>
      <w:r w:rsidR="00402773" w:rsidRPr="00C7320D">
        <w:rPr>
          <w:rFonts w:ascii="AvenirNext LT Pro Light" w:eastAsia="Yu Gothic Light" w:hAnsi="AvenirNext LT Pro Light" w:cs="Calibri"/>
          <w:color w:val="0070C0"/>
          <w:spacing w:val="-10"/>
          <w:kern w:val="28"/>
          <w:szCs w:val="24"/>
        </w:rPr>
        <w:t xml:space="preserve"> 2023 or </w:t>
      </w:r>
      <w:r w:rsidRPr="00C7320D">
        <w:rPr>
          <w:rFonts w:ascii="AvenirNext LT Pro Light" w:eastAsia="Yu Gothic Light" w:hAnsi="AvenirNext LT Pro Light" w:cs="Calibri"/>
          <w:color w:val="0070C0"/>
          <w:spacing w:val="-10"/>
          <w:kern w:val="28"/>
          <w:szCs w:val="24"/>
        </w:rPr>
        <w:t>latest year available</w:t>
      </w:r>
    </w:p>
    <w:p w14:paraId="3D1E3587" w14:textId="5000B83E" w:rsidR="006C41B5" w:rsidRPr="00C7320D" w:rsidRDefault="00913B4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46A912D7" wp14:editId="36EFC4B6">
            <wp:extent cx="6120765" cy="2945130"/>
            <wp:effectExtent l="0" t="0" r="0" b="7620"/>
            <wp:docPr id="5367454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5408"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2945130"/>
                    </a:xfrm>
                    <a:prstGeom prst="rect">
                      <a:avLst/>
                    </a:prstGeom>
                  </pic:spPr>
                </pic:pic>
              </a:graphicData>
            </a:graphic>
          </wp:inline>
        </w:drawing>
      </w:r>
    </w:p>
    <w:p w14:paraId="31155287" w14:textId="77777777" w:rsidR="006C41B5" w:rsidRPr="00C7320D" w:rsidRDefault="006C41B5" w:rsidP="00EB15E6">
      <w:pPr>
        <w:pStyle w:val="Sourcetext"/>
        <w:rPr>
          <w:rFonts w:eastAsia="Aptos" w:cs="Arial"/>
        </w:rPr>
      </w:pPr>
      <w:r w:rsidRPr="00C7320D">
        <w:t>Source: ITU</w:t>
      </w:r>
    </w:p>
    <w:p w14:paraId="3DAD9FAB" w14:textId="7E08C0D7" w:rsidR="00982211" w:rsidRPr="00C7320D" w:rsidRDefault="00441664"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i/>
          <w:kern w:val="2"/>
          <w:sz w:val="22"/>
          <w:szCs w:val="22"/>
          <w14:ligatures w14:val="standardContextual"/>
        </w:rPr>
      </w:pPr>
      <w:r w:rsidRPr="00C7320D">
        <w:rPr>
          <w:rFonts w:ascii="Aptos" w:eastAsia="Aptos" w:hAnsi="Aptos" w:cs="Arial"/>
          <w:b/>
          <w:i/>
          <w:kern w:val="2"/>
          <w:sz w:val="22"/>
          <w:szCs w:val="22"/>
          <w14:ligatures w14:val="standardContextual"/>
        </w:rPr>
        <w:lastRenderedPageBreak/>
        <w:t xml:space="preserve">Africa’s rural-urban gap in </w:t>
      </w:r>
      <w:r w:rsidR="00982211" w:rsidRPr="00C7320D">
        <w:rPr>
          <w:rFonts w:ascii="Aptos" w:eastAsia="Aptos" w:hAnsi="Aptos" w:cs="Arial"/>
          <w:b/>
          <w:i/>
          <w:kern w:val="2"/>
          <w:sz w:val="22"/>
          <w:szCs w:val="22"/>
          <w14:ligatures w14:val="standardContextual"/>
        </w:rPr>
        <w:t xml:space="preserve">Internet </w:t>
      </w:r>
      <w:r w:rsidRPr="00C7320D">
        <w:rPr>
          <w:rFonts w:ascii="Aptos" w:eastAsia="Aptos" w:hAnsi="Aptos" w:cs="Arial"/>
          <w:b/>
          <w:i/>
          <w:kern w:val="2"/>
          <w:sz w:val="22"/>
          <w:szCs w:val="22"/>
          <w14:ligatures w14:val="standardContextual"/>
        </w:rPr>
        <w:t>use</w:t>
      </w:r>
      <w:r w:rsidR="00982211" w:rsidRPr="00C7320D">
        <w:rPr>
          <w:rFonts w:ascii="Aptos" w:eastAsia="Aptos" w:hAnsi="Aptos" w:cs="Arial"/>
          <w:b/>
          <w:i/>
          <w:kern w:val="2"/>
          <w:sz w:val="22"/>
          <w:szCs w:val="22"/>
          <w14:ligatures w14:val="standardContextual"/>
        </w:rPr>
        <w:t xml:space="preserve"> </w:t>
      </w:r>
      <w:r w:rsidRPr="00C7320D">
        <w:rPr>
          <w:rFonts w:ascii="Aptos" w:eastAsia="Aptos" w:hAnsi="Aptos" w:cs="Arial"/>
          <w:b/>
          <w:i/>
          <w:kern w:val="2"/>
          <w:sz w:val="22"/>
          <w:szCs w:val="22"/>
          <w14:ligatures w14:val="standardContextual"/>
        </w:rPr>
        <w:t>is the highest of all regions</w:t>
      </w:r>
    </w:p>
    <w:p w14:paraId="5AE4C6E5" w14:textId="1D7F74B9"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individuals using the Internet, by location, 2024</w:t>
      </w:r>
    </w:p>
    <w:p w14:paraId="702FC160" w14:textId="503E64D2" w:rsidR="000018FC" w:rsidRPr="00C7320D" w:rsidRDefault="008C28A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noProof/>
        </w:rPr>
        <w:drawing>
          <wp:inline distT="0" distB="0" distL="0" distR="0" wp14:anchorId="04AEB558" wp14:editId="5C15255C">
            <wp:extent cx="6120765" cy="2636520"/>
            <wp:effectExtent l="0" t="0" r="0" b="0"/>
            <wp:docPr id="7571345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34598"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2636520"/>
                    </a:xfrm>
                    <a:prstGeom prst="rect">
                      <a:avLst/>
                    </a:prstGeom>
                  </pic:spPr>
                </pic:pic>
              </a:graphicData>
            </a:graphic>
          </wp:inline>
        </w:drawing>
      </w:r>
    </w:p>
    <w:p w14:paraId="15AF38A7" w14:textId="70FE8B37" w:rsidR="006C41B5" w:rsidRPr="00C7320D" w:rsidRDefault="006C41B5" w:rsidP="00EB15E6">
      <w:pPr>
        <w:pStyle w:val="Sourcetext"/>
        <w:rPr>
          <w:rFonts w:eastAsia="Aptos" w:cs="Arial"/>
        </w:rPr>
      </w:pPr>
      <w:r w:rsidRPr="00C7320D">
        <w:t>Source: ITU</w:t>
      </w:r>
    </w:p>
    <w:p w14:paraId="1D58D8B5" w14:textId="7D893863" w:rsidR="00DE3061" w:rsidRPr="00C7320D" w:rsidRDefault="00DE3061" w:rsidP="00DE30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 urban areas in the Africa region, 57 per cent of the population was online in 2024, compared with only 23per cent in rural areas. This gap is much </w:t>
      </w:r>
      <w:r w:rsidR="003B342B" w:rsidRPr="00C7320D">
        <w:rPr>
          <w:rFonts w:ascii="Aptos" w:eastAsia="Aptos" w:hAnsi="Aptos" w:cs="Arial"/>
          <w:kern w:val="2"/>
          <w:sz w:val="22"/>
          <w:szCs w:val="22"/>
          <w14:ligatures w14:val="standardContextual"/>
        </w:rPr>
        <w:t>bigger</w:t>
      </w:r>
      <w:r w:rsidRPr="00C7320D">
        <w:rPr>
          <w:rFonts w:ascii="Aptos" w:eastAsia="Aptos" w:hAnsi="Aptos" w:cs="Arial"/>
          <w:kern w:val="2"/>
          <w:sz w:val="22"/>
          <w:szCs w:val="22"/>
          <w14:ligatures w14:val="standardContextual"/>
        </w:rPr>
        <w:t xml:space="preserve"> than it is globally, with 83 per cent online in urban areas, against 48 per cent in rural areas. </w:t>
      </w:r>
    </w:p>
    <w:p w14:paraId="747E5318" w14:textId="0489D6E5" w:rsidR="00DE3061" w:rsidRPr="00C7320D" w:rsidRDefault="00707148" w:rsidP="00DE30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O</w:t>
      </w:r>
      <w:r w:rsidR="007539B4" w:rsidRPr="00C7320D">
        <w:rPr>
          <w:rFonts w:ascii="Aptos" w:eastAsia="Aptos" w:hAnsi="Aptos" w:cs="Arial"/>
          <w:kern w:val="2"/>
          <w:sz w:val="22"/>
          <w:szCs w:val="22"/>
          <w14:ligatures w14:val="standardContextual"/>
        </w:rPr>
        <w:t xml:space="preserve">nce again, there are </w:t>
      </w:r>
      <w:r w:rsidR="00751A64" w:rsidRPr="00C7320D">
        <w:rPr>
          <w:rFonts w:ascii="Aptos" w:eastAsia="Aptos" w:hAnsi="Aptos" w:cs="Arial"/>
          <w:kern w:val="2"/>
          <w:sz w:val="22"/>
          <w:szCs w:val="22"/>
          <w14:ligatures w14:val="standardContextual"/>
        </w:rPr>
        <w:t>very few</w:t>
      </w:r>
      <w:r w:rsidR="007539B4" w:rsidRPr="00C7320D">
        <w:rPr>
          <w:rFonts w:ascii="Aptos" w:eastAsia="Aptos" w:hAnsi="Aptos" w:cs="Arial"/>
          <w:kern w:val="2"/>
          <w:sz w:val="22"/>
          <w:szCs w:val="22"/>
          <w14:ligatures w14:val="standardContextual"/>
        </w:rPr>
        <w:t xml:space="preserve"> countries </w:t>
      </w:r>
      <w:r w:rsidR="00D44248" w:rsidRPr="00C7320D">
        <w:rPr>
          <w:rFonts w:ascii="Aptos" w:eastAsia="Aptos" w:hAnsi="Aptos" w:cs="Arial"/>
          <w:kern w:val="2"/>
          <w:sz w:val="22"/>
          <w:szCs w:val="22"/>
          <w14:ligatures w14:val="standardContextual"/>
        </w:rPr>
        <w:t xml:space="preserve">with </w:t>
      </w:r>
      <w:r w:rsidR="009E4998" w:rsidRPr="00C7320D">
        <w:rPr>
          <w:rFonts w:ascii="Aptos" w:eastAsia="Aptos" w:hAnsi="Aptos" w:cs="Arial"/>
          <w:kern w:val="2"/>
          <w:sz w:val="22"/>
          <w:szCs w:val="22"/>
          <w14:ligatures w14:val="standardContextual"/>
        </w:rPr>
        <w:t xml:space="preserve">recent Internet use data </w:t>
      </w:r>
      <w:r w:rsidR="005121F8" w:rsidRPr="00C7320D">
        <w:rPr>
          <w:rFonts w:ascii="Aptos" w:eastAsia="Aptos" w:hAnsi="Aptos" w:cs="Arial"/>
          <w:kern w:val="2"/>
          <w:sz w:val="22"/>
          <w:szCs w:val="22"/>
          <w14:ligatures w14:val="standardContextual"/>
        </w:rPr>
        <w:t>broken down b</w:t>
      </w:r>
      <w:r w:rsidR="00FE3D0B" w:rsidRPr="00C7320D">
        <w:rPr>
          <w:rFonts w:ascii="Aptos" w:eastAsia="Aptos" w:hAnsi="Aptos" w:cs="Arial"/>
          <w:kern w:val="2"/>
          <w:sz w:val="22"/>
          <w:szCs w:val="22"/>
          <w14:ligatures w14:val="standardContextual"/>
        </w:rPr>
        <w:t>y</w:t>
      </w:r>
      <w:r w:rsidR="005121F8" w:rsidRPr="00C7320D">
        <w:rPr>
          <w:rFonts w:ascii="Aptos" w:eastAsia="Aptos" w:hAnsi="Aptos" w:cs="Arial"/>
          <w:kern w:val="2"/>
          <w:sz w:val="22"/>
          <w:szCs w:val="22"/>
          <w14:ligatures w14:val="standardContextual"/>
        </w:rPr>
        <w:t xml:space="preserve"> urb</w:t>
      </w:r>
      <w:r w:rsidR="00FE3D0B" w:rsidRPr="00C7320D">
        <w:rPr>
          <w:rFonts w:ascii="Aptos" w:eastAsia="Aptos" w:hAnsi="Aptos" w:cs="Arial"/>
          <w:kern w:val="2"/>
          <w:sz w:val="22"/>
          <w:szCs w:val="22"/>
          <w14:ligatures w14:val="standardContextual"/>
        </w:rPr>
        <w:t>a</w:t>
      </w:r>
      <w:r w:rsidR="005121F8" w:rsidRPr="00C7320D">
        <w:rPr>
          <w:rFonts w:ascii="Aptos" w:eastAsia="Aptos" w:hAnsi="Aptos" w:cs="Arial"/>
          <w:kern w:val="2"/>
          <w:sz w:val="22"/>
          <w:szCs w:val="22"/>
          <w14:ligatures w14:val="standardContextual"/>
        </w:rPr>
        <w:t>n/rural area</w:t>
      </w:r>
      <w:r w:rsidR="00FE3D0B" w:rsidRPr="00C7320D">
        <w:rPr>
          <w:rFonts w:ascii="Aptos" w:eastAsia="Aptos" w:hAnsi="Aptos" w:cs="Arial"/>
          <w:kern w:val="2"/>
          <w:sz w:val="22"/>
          <w:szCs w:val="22"/>
          <w14:ligatures w14:val="standardContextual"/>
        </w:rPr>
        <w:t>. I</w:t>
      </w:r>
      <w:r w:rsidR="00DE3061" w:rsidRPr="00C7320D">
        <w:rPr>
          <w:rFonts w:ascii="Aptos" w:eastAsia="Aptos" w:hAnsi="Aptos" w:cs="Arial"/>
          <w:kern w:val="2"/>
          <w:sz w:val="22"/>
          <w:szCs w:val="22"/>
          <w14:ligatures w14:val="standardContextual"/>
        </w:rPr>
        <w:t xml:space="preserve">n </w:t>
      </w:r>
      <w:r w:rsidR="00FE3D0B" w:rsidRPr="00C7320D">
        <w:rPr>
          <w:rFonts w:ascii="Aptos" w:eastAsia="Aptos" w:hAnsi="Aptos" w:cs="Arial"/>
          <w:kern w:val="2"/>
          <w:sz w:val="22"/>
          <w:szCs w:val="22"/>
          <w14:ligatures w14:val="standardContextual"/>
        </w:rPr>
        <w:t>th</w:t>
      </w:r>
      <w:r w:rsidR="00052D07" w:rsidRPr="00C7320D">
        <w:rPr>
          <w:rFonts w:ascii="Aptos" w:eastAsia="Aptos" w:hAnsi="Aptos" w:cs="Arial"/>
          <w:kern w:val="2"/>
          <w:sz w:val="22"/>
          <w:szCs w:val="22"/>
          <w14:ligatures w14:val="standardContextual"/>
        </w:rPr>
        <w:t>e</w:t>
      </w:r>
      <w:r w:rsidR="00FE3D0B" w:rsidRPr="00C7320D">
        <w:rPr>
          <w:rFonts w:ascii="Aptos" w:eastAsia="Aptos" w:hAnsi="Aptos" w:cs="Arial"/>
          <w:kern w:val="2"/>
          <w:sz w:val="22"/>
          <w:szCs w:val="22"/>
          <w14:ligatures w14:val="standardContextual"/>
        </w:rPr>
        <w:t xml:space="preserve">se </w:t>
      </w:r>
      <w:r w:rsidR="00CA5E4D" w:rsidRPr="00C7320D">
        <w:rPr>
          <w:rFonts w:ascii="Aptos" w:eastAsia="Aptos" w:hAnsi="Aptos" w:cs="Arial"/>
          <w:kern w:val="2"/>
          <w:sz w:val="22"/>
          <w:szCs w:val="22"/>
          <w14:ligatures w14:val="standardContextual"/>
        </w:rPr>
        <w:t xml:space="preserve">four </w:t>
      </w:r>
      <w:r w:rsidR="00DE3061" w:rsidRPr="00C7320D">
        <w:rPr>
          <w:rFonts w:ascii="Aptos" w:eastAsia="Aptos" w:hAnsi="Aptos" w:cs="Arial"/>
          <w:kern w:val="2"/>
          <w:sz w:val="22"/>
          <w:szCs w:val="22"/>
          <w14:ligatures w14:val="standardContextual"/>
        </w:rPr>
        <w:t>countries</w:t>
      </w:r>
      <w:r w:rsidR="00BB4B76" w:rsidRPr="00C7320D">
        <w:rPr>
          <w:rFonts w:ascii="Aptos" w:eastAsia="Aptos" w:hAnsi="Aptos" w:cs="Arial"/>
          <w:kern w:val="2"/>
          <w:sz w:val="22"/>
          <w:szCs w:val="22"/>
          <w14:ligatures w14:val="standardContextual"/>
        </w:rPr>
        <w:t xml:space="preserve">, </w:t>
      </w:r>
      <w:r w:rsidR="002A4120" w:rsidRPr="00C7320D">
        <w:rPr>
          <w:rFonts w:ascii="Aptos" w:eastAsia="Aptos" w:hAnsi="Aptos" w:cs="Arial"/>
          <w:kern w:val="2"/>
          <w:sz w:val="22"/>
          <w:szCs w:val="22"/>
          <w14:ligatures w14:val="standardContextual"/>
        </w:rPr>
        <w:t xml:space="preserve">the higher the </w:t>
      </w:r>
      <w:r w:rsidR="00DE3061" w:rsidRPr="00C7320D">
        <w:rPr>
          <w:rFonts w:ascii="Aptos" w:eastAsia="Aptos" w:hAnsi="Aptos" w:cs="Arial"/>
          <w:kern w:val="2"/>
          <w:sz w:val="22"/>
          <w:szCs w:val="22"/>
          <w14:ligatures w14:val="standardContextual"/>
        </w:rPr>
        <w:t>overall Internet penetration</w:t>
      </w:r>
      <w:r w:rsidR="002A4120" w:rsidRPr="00C7320D">
        <w:rPr>
          <w:rFonts w:ascii="Aptos" w:eastAsia="Aptos" w:hAnsi="Aptos" w:cs="Arial"/>
          <w:kern w:val="2"/>
          <w:sz w:val="22"/>
          <w:szCs w:val="22"/>
          <w14:ligatures w14:val="standardContextual"/>
        </w:rPr>
        <w:t xml:space="preserve">, the </w:t>
      </w:r>
      <w:r w:rsidR="00052D07" w:rsidRPr="00C7320D">
        <w:rPr>
          <w:rFonts w:ascii="Aptos" w:eastAsia="Aptos" w:hAnsi="Aptos" w:cs="Arial"/>
          <w:kern w:val="2"/>
          <w:sz w:val="22"/>
          <w:szCs w:val="22"/>
          <w14:ligatures w14:val="standardContextual"/>
        </w:rPr>
        <w:t xml:space="preserve">smaller </w:t>
      </w:r>
      <w:r w:rsidR="002A4120" w:rsidRPr="00C7320D">
        <w:rPr>
          <w:rFonts w:ascii="Aptos" w:eastAsia="Aptos" w:hAnsi="Aptos" w:cs="Arial"/>
          <w:kern w:val="2"/>
          <w:sz w:val="22"/>
          <w:szCs w:val="22"/>
          <w14:ligatures w14:val="standardContextual"/>
        </w:rPr>
        <w:t xml:space="preserve">the </w:t>
      </w:r>
      <w:r w:rsidR="00DE3061" w:rsidRPr="00C7320D">
        <w:rPr>
          <w:rFonts w:ascii="Aptos" w:eastAsia="Aptos" w:hAnsi="Aptos" w:cs="Arial"/>
          <w:kern w:val="2"/>
          <w:sz w:val="22"/>
          <w:szCs w:val="22"/>
          <w14:ligatures w14:val="standardContextual"/>
        </w:rPr>
        <w:t>urban-rural gap.</w:t>
      </w:r>
    </w:p>
    <w:p w14:paraId="33D51D0A" w14:textId="0D9C510D" w:rsidR="00495D95" w:rsidRPr="00C7320D"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3557F1C1" w14:textId="2744B4FB" w:rsidR="00495D95" w:rsidRPr="00C7320D" w:rsidRDefault="00216227" w:rsidP="00EB15E6">
      <w:pPr>
        <w:pStyle w:val="Sourcetext"/>
      </w:pPr>
      <w:r w:rsidRPr="00C7320D">
        <w:rPr>
          <w:noProof/>
        </w:rPr>
        <w:drawing>
          <wp:inline distT="0" distB="0" distL="0" distR="0" wp14:anchorId="11DFD5C8" wp14:editId="4D3AB668">
            <wp:extent cx="6120765" cy="2831465"/>
            <wp:effectExtent l="0" t="0" r="0" b="6985"/>
            <wp:docPr id="14620776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77645"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831465"/>
                    </a:xfrm>
                    <a:prstGeom prst="rect">
                      <a:avLst/>
                    </a:prstGeom>
                  </pic:spPr>
                </pic:pic>
              </a:graphicData>
            </a:graphic>
          </wp:inline>
        </w:drawing>
      </w:r>
      <w:r w:rsidR="00495D95" w:rsidRPr="00C7320D">
        <w:t>Source: ITU</w:t>
      </w:r>
    </w:p>
    <w:p w14:paraId="5B76EF6A" w14:textId="77777777" w:rsidR="00965D6C" w:rsidRPr="00C7320D"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C7320D">
        <w:rPr>
          <w:rFonts w:ascii="Aptos Display" w:eastAsia="Yu Gothic Light" w:hAnsi="Aptos Display"/>
          <w:color w:val="0F4761"/>
          <w:kern w:val="2"/>
          <w:sz w:val="32"/>
          <w:szCs w:val="32"/>
          <w14:ligatures w14:val="standardContextual"/>
        </w:rPr>
        <w:br w:type="page"/>
      </w:r>
    </w:p>
    <w:p w14:paraId="3ED4AA04" w14:textId="12EE4FC5" w:rsidR="006C41B5" w:rsidRPr="00C7320D" w:rsidRDefault="006C41B5" w:rsidP="00172FE0">
      <w:pPr>
        <w:pStyle w:val="Section"/>
      </w:pPr>
      <w:bookmarkStart w:id="10" w:name="_Toc191378080"/>
      <w:r w:rsidRPr="00C7320D">
        <w:lastRenderedPageBreak/>
        <w:t>Broadband subscriptions</w:t>
      </w:r>
      <w:bookmarkEnd w:id="10"/>
    </w:p>
    <w:p w14:paraId="7F8B2E65" w14:textId="140E05E4" w:rsidR="006C41B5" w:rsidRPr="00C7320D" w:rsidRDefault="00FA6CE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Low mobile-</w:t>
      </w:r>
      <w:r w:rsidR="00BA0BDD" w:rsidRPr="00C7320D">
        <w:rPr>
          <w:rFonts w:ascii="Aptos" w:eastAsia="Aptos" w:hAnsi="Aptos" w:cs="Arial"/>
          <w:b/>
          <w:bCs/>
          <w:i/>
          <w:iCs/>
          <w:kern w:val="2"/>
          <w:sz w:val="22"/>
          <w:szCs w:val="22"/>
          <w14:ligatures w14:val="standardContextual"/>
        </w:rPr>
        <w:t>broadband</w:t>
      </w:r>
      <w:r w:rsidRPr="00C7320D">
        <w:rPr>
          <w:rFonts w:ascii="Aptos" w:eastAsia="Aptos" w:hAnsi="Aptos" w:cs="Arial"/>
          <w:b/>
          <w:bCs/>
          <w:i/>
          <w:iCs/>
          <w:kern w:val="2"/>
          <w:sz w:val="22"/>
          <w:szCs w:val="22"/>
          <w14:ligatures w14:val="standardContextual"/>
        </w:rPr>
        <w:t xml:space="preserve">, </w:t>
      </w:r>
      <w:r w:rsidR="00ED25B0" w:rsidRPr="00C7320D">
        <w:rPr>
          <w:rFonts w:ascii="Aptos" w:eastAsia="Aptos" w:hAnsi="Aptos" w:cs="Arial"/>
          <w:b/>
          <w:bCs/>
          <w:i/>
          <w:iCs/>
          <w:kern w:val="2"/>
          <w:sz w:val="22"/>
          <w:szCs w:val="22"/>
          <w14:ligatures w14:val="standardContextual"/>
        </w:rPr>
        <w:t xml:space="preserve">and </w:t>
      </w:r>
      <w:r w:rsidR="00BA0BDD" w:rsidRPr="00C7320D">
        <w:rPr>
          <w:rFonts w:ascii="Aptos" w:eastAsia="Aptos" w:hAnsi="Aptos" w:cs="Arial"/>
          <w:b/>
          <w:bCs/>
          <w:i/>
          <w:iCs/>
          <w:kern w:val="2"/>
          <w:sz w:val="22"/>
          <w:szCs w:val="22"/>
          <w14:ligatures w14:val="standardContextual"/>
        </w:rPr>
        <w:t xml:space="preserve">almost non-existent </w:t>
      </w:r>
      <w:r w:rsidR="00F9052E" w:rsidRPr="00C7320D">
        <w:rPr>
          <w:rFonts w:ascii="Aptos" w:eastAsia="Aptos" w:hAnsi="Aptos" w:cs="Arial"/>
          <w:b/>
          <w:bCs/>
          <w:i/>
          <w:iCs/>
          <w:kern w:val="2"/>
          <w:sz w:val="22"/>
          <w:szCs w:val="22"/>
          <w14:ligatures w14:val="standardContextual"/>
        </w:rPr>
        <w:t>f</w:t>
      </w:r>
      <w:r w:rsidR="006C41B5" w:rsidRPr="00C7320D">
        <w:rPr>
          <w:rFonts w:ascii="Aptos" w:eastAsia="Aptos" w:hAnsi="Aptos" w:cs="Arial"/>
          <w:b/>
          <w:bCs/>
          <w:i/>
          <w:iCs/>
          <w:kern w:val="2"/>
          <w:sz w:val="22"/>
          <w:szCs w:val="22"/>
          <w14:ligatures w14:val="standardContextual"/>
        </w:rPr>
        <w:t>ixed</w:t>
      </w:r>
      <w:r w:rsidR="006C41B5" w:rsidRPr="00C7320D">
        <w:rPr>
          <w:rFonts w:ascii="Aptos" w:eastAsia="Aptos" w:hAnsi="Aptos" w:cs="Arial"/>
          <w:b/>
          <w:i/>
          <w:kern w:val="2"/>
          <w:sz w:val="22"/>
          <w:szCs w:val="22"/>
          <w14:ligatures w14:val="standardContextual"/>
        </w:rPr>
        <w:t>-broadband subscription</w:t>
      </w:r>
      <w:r w:rsidR="00BA0BDD" w:rsidRPr="00C7320D">
        <w:rPr>
          <w:rFonts w:ascii="Aptos" w:eastAsia="Aptos" w:hAnsi="Aptos" w:cs="Arial"/>
          <w:b/>
          <w:i/>
          <w:kern w:val="2"/>
          <w:sz w:val="22"/>
          <w:szCs w:val="22"/>
          <w14:ligatures w14:val="standardContextual"/>
        </w:rPr>
        <w:t xml:space="preserve"> level</w:t>
      </w:r>
      <w:r w:rsidR="006C41B5" w:rsidRPr="00C7320D">
        <w:rPr>
          <w:rFonts w:ascii="Aptos" w:eastAsia="Aptos" w:hAnsi="Aptos" w:cs="Arial"/>
          <w:b/>
          <w:i/>
          <w:kern w:val="2"/>
          <w:sz w:val="22"/>
          <w:szCs w:val="22"/>
          <w14:ligatures w14:val="standardContextual"/>
        </w:rPr>
        <w:t xml:space="preserve">s </w:t>
      </w:r>
    </w:p>
    <w:p w14:paraId="197FDBD2" w14:textId="77777777"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C7320D" w14:paraId="017BCD1A" w14:textId="77777777" w:rsidTr="00933E84">
        <w:tc>
          <w:tcPr>
            <w:tcW w:w="4440" w:type="dxa"/>
            <w:tcBorders>
              <w:top w:val="nil"/>
              <w:left w:val="nil"/>
              <w:bottom w:val="nil"/>
              <w:right w:val="nil"/>
            </w:tcBorders>
          </w:tcPr>
          <w:p w14:paraId="5920B5F8" w14:textId="3D5B9B4A" w:rsidR="006C41B5" w:rsidRPr="00C7320D"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C7320D">
              <w:rPr>
                <w:rFonts w:ascii="Aptos" w:hAnsi="Aptos"/>
                <w:b/>
                <w:sz w:val="22"/>
              </w:rPr>
              <w:t>Mobile</w:t>
            </w:r>
            <w:r w:rsidR="00CB1ED3" w:rsidRPr="00C7320D">
              <w:rPr>
                <w:noProof/>
              </w:rPr>
              <w:t xml:space="preserve"> </w:t>
            </w:r>
            <w:r w:rsidR="00CB1ED3" w:rsidRPr="00C7320D">
              <w:rPr>
                <w:noProof/>
              </w:rPr>
              <w:drawing>
                <wp:inline distT="0" distB="0" distL="0" distR="0" wp14:anchorId="030E74EC" wp14:editId="5CA83DE6">
                  <wp:extent cx="2667000" cy="2533650"/>
                  <wp:effectExtent l="0" t="0" r="0" b="0"/>
                  <wp:docPr id="1168958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5800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667000" cy="2533650"/>
                          </a:xfrm>
                          <a:prstGeom prst="rect">
                            <a:avLst/>
                          </a:prstGeom>
                        </pic:spPr>
                      </pic:pic>
                    </a:graphicData>
                  </a:graphic>
                </wp:inline>
              </w:drawing>
            </w:r>
          </w:p>
          <w:p w14:paraId="56F1CB27" w14:textId="6D9486B6" w:rsidR="006C41B5" w:rsidRPr="00C7320D"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c>
          <w:tcPr>
            <w:tcW w:w="4576" w:type="dxa"/>
            <w:tcBorders>
              <w:top w:val="nil"/>
              <w:left w:val="nil"/>
              <w:bottom w:val="nil"/>
              <w:right w:val="nil"/>
            </w:tcBorders>
          </w:tcPr>
          <w:p w14:paraId="150B6BC4" w14:textId="62973571" w:rsidR="006C41B5" w:rsidRPr="00C7320D"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C7320D">
              <w:rPr>
                <w:rFonts w:ascii="Aptos" w:hAnsi="Aptos"/>
                <w:b/>
                <w:sz w:val="22"/>
              </w:rPr>
              <w:t>Fixed</w:t>
            </w:r>
            <w:r w:rsidR="00933E84" w:rsidRPr="00C7320D">
              <w:rPr>
                <w:noProof/>
              </w:rPr>
              <w:t xml:space="preserve"> </w:t>
            </w:r>
            <w:r w:rsidR="00933E84" w:rsidRPr="00C7320D">
              <w:rPr>
                <w:noProof/>
              </w:rPr>
              <w:drawing>
                <wp:inline distT="0" distB="0" distL="0" distR="0" wp14:anchorId="667589E3" wp14:editId="4637B7E9">
                  <wp:extent cx="2667000" cy="2533650"/>
                  <wp:effectExtent l="0" t="0" r="0" b="0"/>
                  <wp:docPr id="14911157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15768"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67000" cy="2533650"/>
                          </a:xfrm>
                          <a:prstGeom prst="rect">
                            <a:avLst/>
                          </a:prstGeom>
                        </pic:spPr>
                      </pic:pic>
                    </a:graphicData>
                  </a:graphic>
                </wp:inline>
              </w:drawing>
            </w:r>
          </w:p>
          <w:p w14:paraId="7231F473" w14:textId="7600DB5E" w:rsidR="006C41B5" w:rsidRPr="00C7320D"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p>
        </w:tc>
      </w:tr>
    </w:tbl>
    <w:p w14:paraId="05781286" w14:textId="77777777" w:rsidR="006C41B5" w:rsidRPr="00C7320D" w:rsidRDefault="006C41B5" w:rsidP="00B1004A">
      <w:pPr>
        <w:pStyle w:val="Sourcetext"/>
      </w:pPr>
      <w:r w:rsidRPr="00C7320D">
        <w:t>Source: ITU</w:t>
      </w:r>
    </w:p>
    <w:p w14:paraId="505EB6DA" w14:textId="49D8B930" w:rsidR="00D267F6" w:rsidRPr="00C7320D" w:rsidRDefault="00C04328" w:rsidP="00C0432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 2024, there were </w:t>
      </w:r>
      <w:r w:rsidR="00965F01" w:rsidRPr="00C7320D">
        <w:rPr>
          <w:rFonts w:ascii="Aptos" w:eastAsia="Aptos" w:hAnsi="Aptos" w:cs="Arial"/>
          <w:kern w:val="2"/>
          <w:sz w:val="22"/>
          <w:szCs w:val="22"/>
          <w14:ligatures w14:val="standardContextual"/>
        </w:rPr>
        <w:t>52</w:t>
      </w:r>
      <w:r w:rsidRPr="00C7320D">
        <w:rPr>
          <w:rFonts w:ascii="Aptos" w:eastAsia="Aptos" w:hAnsi="Aptos" w:cs="Arial"/>
          <w:kern w:val="2"/>
          <w:sz w:val="22"/>
          <w:szCs w:val="22"/>
          <w14:ligatures w14:val="standardContextual"/>
        </w:rPr>
        <w:t xml:space="preserve"> mobile broadband subscriptions per 100 inhabitants in </w:t>
      </w:r>
      <w:r w:rsidR="00965F01" w:rsidRPr="00C7320D">
        <w:rPr>
          <w:rFonts w:ascii="Aptos" w:eastAsia="Aptos" w:hAnsi="Aptos" w:cs="Arial"/>
          <w:kern w:val="2"/>
          <w:sz w:val="22"/>
          <w:szCs w:val="22"/>
          <w14:ligatures w14:val="standardContextual"/>
        </w:rPr>
        <w:t>the Africa region</w:t>
      </w:r>
      <w:r w:rsidR="00BA127C" w:rsidRPr="00C7320D">
        <w:rPr>
          <w:rFonts w:ascii="Aptos" w:eastAsia="Aptos" w:hAnsi="Aptos" w:cs="Arial"/>
          <w:kern w:val="2"/>
          <w:sz w:val="22"/>
          <w:szCs w:val="22"/>
          <w14:ligatures w14:val="standardContextual"/>
        </w:rPr>
        <w:t>, substantially below the globa</w:t>
      </w:r>
      <w:r w:rsidR="00E46278" w:rsidRPr="00C7320D">
        <w:rPr>
          <w:rFonts w:ascii="Aptos" w:eastAsia="Aptos" w:hAnsi="Aptos" w:cs="Arial"/>
          <w:kern w:val="2"/>
          <w:sz w:val="22"/>
          <w:szCs w:val="22"/>
          <w14:ligatures w14:val="standardContextual"/>
        </w:rPr>
        <w:t xml:space="preserve">l </w:t>
      </w:r>
      <w:r w:rsidR="00550727" w:rsidRPr="00C7320D">
        <w:rPr>
          <w:rFonts w:ascii="Aptos" w:eastAsia="Aptos" w:hAnsi="Aptos" w:cs="Arial"/>
          <w:kern w:val="2"/>
          <w:sz w:val="22"/>
          <w:szCs w:val="22"/>
          <w14:ligatures w14:val="standardContextual"/>
        </w:rPr>
        <w:t>average of 95 and the lowest of all regions</w:t>
      </w:r>
      <w:r w:rsidRPr="00C7320D">
        <w:rPr>
          <w:rFonts w:ascii="Aptos" w:eastAsia="Aptos" w:hAnsi="Aptos" w:cs="Arial"/>
          <w:kern w:val="2"/>
          <w:sz w:val="22"/>
          <w:szCs w:val="22"/>
          <w14:ligatures w14:val="standardContextual"/>
        </w:rPr>
        <w:t xml:space="preserve">. </w:t>
      </w:r>
      <w:r w:rsidR="008A6C58" w:rsidRPr="00C7320D">
        <w:rPr>
          <w:rFonts w:ascii="Aptos" w:eastAsia="Aptos" w:hAnsi="Aptos" w:cs="Arial"/>
          <w:kern w:val="2"/>
          <w:sz w:val="22"/>
          <w:szCs w:val="22"/>
          <w14:ligatures w14:val="standardContextual"/>
        </w:rPr>
        <w:t xml:space="preserve">For fixed broadband, the situation was </w:t>
      </w:r>
      <w:r w:rsidR="0036788B" w:rsidRPr="00C7320D">
        <w:rPr>
          <w:rFonts w:ascii="Aptos" w:eastAsia="Aptos" w:hAnsi="Aptos" w:cs="Arial"/>
          <w:kern w:val="2"/>
          <w:sz w:val="22"/>
          <w:szCs w:val="22"/>
          <w14:ligatures w14:val="standardContextual"/>
        </w:rPr>
        <w:t xml:space="preserve">even worse. </w:t>
      </w:r>
      <w:r w:rsidR="00DD4748" w:rsidRPr="00C7320D">
        <w:rPr>
          <w:rFonts w:ascii="Aptos" w:eastAsia="Aptos" w:hAnsi="Aptos" w:cs="Arial"/>
          <w:kern w:val="2"/>
          <w:sz w:val="22"/>
          <w:szCs w:val="22"/>
          <w14:ligatures w14:val="standardContextual"/>
        </w:rPr>
        <w:t>With less than 1 subscription per 100 in</w:t>
      </w:r>
      <w:r w:rsidR="00453166" w:rsidRPr="00C7320D">
        <w:rPr>
          <w:rFonts w:ascii="Aptos" w:eastAsia="Aptos" w:hAnsi="Aptos" w:cs="Arial"/>
          <w:kern w:val="2"/>
          <w:sz w:val="22"/>
          <w:szCs w:val="22"/>
          <w14:ligatures w14:val="standardContextual"/>
        </w:rPr>
        <w:t>h</w:t>
      </w:r>
      <w:r w:rsidR="00DD4748" w:rsidRPr="00C7320D">
        <w:rPr>
          <w:rFonts w:ascii="Aptos" w:eastAsia="Aptos" w:hAnsi="Aptos" w:cs="Arial"/>
          <w:kern w:val="2"/>
          <w:sz w:val="22"/>
          <w:szCs w:val="22"/>
          <w14:ligatures w14:val="standardContextual"/>
        </w:rPr>
        <w:t>abitants, fixed broadband plays a negligible role in</w:t>
      </w:r>
      <w:r w:rsidR="00453166" w:rsidRPr="00C7320D">
        <w:rPr>
          <w:rFonts w:ascii="Aptos" w:eastAsia="Aptos" w:hAnsi="Aptos" w:cs="Arial"/>
          <w:kern w:val="2"/>
          <w:sz w:val="22"/>
          <w:szCs w:val="22"/>
          <w14:ligatures w14:val="standardContextual"/>
        </w:rPr>
        <w:t xml:space="preserve"> Africa.</w:t>
      </w:r>
    </w:p>
    <w:p w14:paraId="31258503" w14:textId="078EF056" w:rsidR="006C41B5" w:rsidRPr="00C7320D"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Active mobile-broadband subscriptions per 100 inhabitants, </w:t>
      </w:r>
      <w:r w:rsidR="00AB18FB"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385EF02C" w14:textId="7CF5D0BC" w:rsidR="00297886" w:rsidRPr="00C7320D" w:rsidRDefault="00C478BB" w:rsidP="00297886">
      <w:pPr>
        <w:pStyle w:val="notetext"/>
      </w:pPr>
      <w:r w:rsidRPr="00C7320D">
        <w:rPr>
          <w:noProof/>
        </w:rPr>
        <w:drawing>
          <wp:inline distT="0" distB="0" distL="0" distR="0" wp14:anchorId="7D55BCB8" wp14:editId="4C641A7C">
            <wp:extent cx="6120765" cy="3084195"/>
            <wp:effectExtent l="0" t="0" r="0" b="1905"/>
            <wp:docPr id="254502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02216"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120765" cy="3084195"/>
                    </a:xfrm>
                    <a:prstGeom prst="rect">
                      <a:avLst/>
                    </a:prstGeom>
                  </pic:spPr>
                </pic:pic>
              </a:graphicData>
            </a:graphic>
          </wp:inline>
        </w:drawing>
      </w:r>
      <w:r w:rsidR="00297886" w:rsidRPr="00C7320D">
        <w:t>Notes: Country submitted are in a darker shade, non-official data in a lighter shade.</w:t>
      </w:r>
    </w:p>
    <w:p w14:paraId="6CCB46F1" w14:textId="015F5EB9" w:rsidR="006C41B5" w:rsidRPr="00C7320D" w:rsidRDefault="006C41B5" w:rsidP="00B1004A">
      <w:pPr>
        <w:pStyle w:val="Sourcetext"/>
      </w:pPr>
      <w:r w:rsidRPr="00C7320D">
        <w:t>Source: ITU</w:t>
      </w:r>
    </w:p>
    <w:p w14:paraId="1398E696" w14:textId="2B4ED543" w:rsidR="00854F3E" w:rsidRPr="00C7320D" w:rsidRDefault="003D61F8" w:rsidP="00854F3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 xml:space="preserve">The lack of fixed-broadband subscriptions </w:t>
      </w:r>
      <w:r w:rsidR="00FE2021" w:rsidRPr="00C7320D">
        <w:rPr>
          <w:rFonts w:ascii="Aptos" w:eastAsia="Aptos" w:hAnsi="Aptos" w:cs="Arial"/>
          <w:kern w:val="2"/>
          <w:sz w:val="22"/>
          <w:szCs w:val="22"/>
          <w14:ligatures w14:val="standardContextual"/>
        </w:rPr>
        <w:t>underscores the importance of mobile broadband as a gateway to the Internet.</w:t>
      </w:r>
      <w:r w:rsidR="00407B31" w:rsidRPr="00C7320D">
        <w:rPr>
          <w:rFonts w:ascii="Aptos" w:eastAsia="Aptos" w:hAnsi="Aptos" w:cs="Arial"/>
          <w:kern w:val="2"/>
          <w:sz w:val="22"/>
          <w:szCs w:val="22"/>
          <w14:ligatures w14:val="standardContextual"/>
        </w:rPr>
        <w:t xml:space="preserve"> </w:t>
      </w:r>
      <w:r w:rsidR="00854F3E" w:rsidRPr="00C7320D">
        <w:rPr>
          <w:rFonts w:ascii="Aptos" w:eastAsia="Aptos" w:hAnsi="Aptos" w:cs="Arial"/>
          <w:kern w:val="2"/>
          <w:sz w:val="22"/>
          <w:szCs w:val="22"/>
          <w14:ligatures w14:val="standardContextual"/>
        </w:rPr>
        <w:t xml:space="preserve">In most </w:t>
      </w:r>
      <w:r w:rsidR="00407B31" w:rsidRPr="00C7320D">
        <w:rPr>
          <w:rFonts w:ascii="Aptos" w:eastAsia="Aptos" w:hAnsi="Aptos" w:cs="Arial"/>
          <w:kern w:val="2"/>
          <w:sz w:val="22"/>
          <w:szCs w:val="22"/>
          <w14:ligatures w14:val="standardContextual"/>
        </w:rPr>
        <w:t xml:space="preserve">countries </w:t>
      </w:r>
      <w:r w:rsidR="00854F3E" w:rsidRPr="00C7320D">
        <w:rPr>
          <w:rFonts w:ascii="Aptos" w:eastAsia="Aptos" w:hAnsi="Aptos" w:cs="Arial"/>
          <w:kern w:val="2"/>
          <w:sz w:val="22"/>
          <w:szCs w:val="22"/>
          <w14:ligatures w14:val="standardContextual"/>
        </w:rPr>
        <w:t xml:space="preserve">of the region, </w:t>
      </w:r>
      <w:r w:rsidR="00E85021" w:rsidRPr="00C7320D">
        <w:rPr>
          <w:rFonts w:ascii="Aptos" w:eastAsia="Aptos" w:hAnsi="Aptos" w:cs="Arial"/>
          <w:kern w:val="2"/>
          <w:sz w:val="22"/>
          <w:szCs w:val="22"/>
          <w14:ligatures w14:val="standardContextual"/>
        </w:rPr>
        <w:t>the number of mobile broadband subscriptions is growing</w:t>
      </w:r>
      <w:r w:rsidR="00E73E5F" w:rsidRPr="00C7320D">
        <w:rPr>
          <w:rFonts w:ascii="Aptos" w:eastAsia="Aptos" w:hAnsi="Aptos" w:cs="Arial"/>
          <w:kern w:val="2"/>
          <w:sz w:val="22"/>
          <w:szCs w:val="22"/>
          <w14:ligatures w14:val="standardContextual"/>
        </w:rPr>
        <w:t xml:space="preserve">. Nevertheless, there is a </w:t>
      </w:r>
      <w:r w:rsidR="00854F3E" w:rsidRPr="00C7320D">
        <w:rPr>
          <w:rFonts w:ascii="Aptos" w:eastAsia="Aptos" w:hAnsi="Aptos" w:cs="Arial"/>
          <w:kern w:val="2"/>
          <w:sz w:val="22"/>
          <w:szCs w:val="22"/>
          <w14:ligatures w14:val="standardContextual"/>
        </w:rPr>
        <w:t>significant disparity between the lowest (1 subscription per 100 inhabitants) and the highest (</w:t>
      </w:r>
      <w:r w:rsidR="00416B0F" w:rsidRPr="00C7320D">
        <w:rPr>
          <w:rFonts w:ascii="Aptos" w:eastAsia="Aptos" w:hAnsi="Aptos" w:cs="Arial"/>
          <w:kern w:val="2"/>
          <w:sz w:val="22"/>
          <w:szCs w:val="22"/>
          <w14:ligatures w14:val="standardContextual"/>
        </w:rPr>
        <w:t>138</w:t>
      </w:r>
      <w:r w:rsidR="00854F3E" w:rsidRPr="00C7320D">
        <w:rPr>
          <w:rFonts w:ascii="Aptos" w:eastAsia="Aptos" w:hAnsi="Aptos" w:cs="Arial"/>
          <w:kern w:val="2"/>
          <w:sz w:val="22"/>
          <w:szCs w:val="22"/>
          <w14:ligatures w14:val="standardContextual"/>
        </w:rPr>
        <w:t xml:space="preserve"> subscriptions per 100 inhabitants).</w:t>
      </w:r>
    </w:p>
    <w:p w14:paraId="7B2D4C30" w14:textId="188F7D4B" w:rsidR="00F74C38" w:rsidRPr="00C7320D" w:rsidRDefault="00587182" w:rsidP="00854F3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An </w:t>
      </w:r>
      <w:r w:rsidR="00F63D35" w:rsidRPr="00C7320D">
        <w:rPr>
          <w:rFonts w:ascii="Aptos" w:eastAsia="Aptos" w:hAnsi="Aptos" w:cs="Arial"/>
          <w:kern w:val="2"/>
          <w:sz w:val="22"/>
          <w:szCs w:val="22"/>
          <w14:ligatures w14:val="standardContextual"/>
        </w:rPr>
        <w:t xml:space="preserve">important </w:t>
      </w:r>
      <w:r w:rsidR="005F532D" w:rsidRPr="00C7320D">
        <w:rPr>
          <w:rFonts w:ascii="Aptos" w:eastAsia="Aptos" w:hAnsi="Aptos" w:cs="Arial"/>
          <w:kern w:val="2"/>
          <w:sz w:val="22"/>
          <w:szCs w:val="22"/>
          <w14:ligatures w14:val="standardContextual"/>
        </w:rPr>
        <w:t xml:space="preserve">level of fixed broadband subscriptions has only been reached </w:t>
      </w:r>
      <w:r w:rsidR="001F4586" w:rsidRPr="00C7320D">
        <w:rPr>
          <w:rFonts w:ascii="Aptos" w:eastAsia="Aptos" w:hAnsi="Aptos" w:cs="Arial"/>
          <w:kern w:val="2"/>
          <w:sz w:val="22"/>
          <w:szCs w:val="22"/>
          <w14:ligatures w14:val="standardContextual"/>
        </w:rPr>
        <w:t xml:space="preserve">in </w:t>
      </w:r>
      <w:r w:rsidR="00467CFE" w:rsidRPr="00C7320D">
        <w:rPr>
          <w:rFonts w:ascii="Aptos" w:eastAsia="Aptos" w:hAnsi="Aptos" w:cs="Arial"/>
          <w:kern w:val="2"/>
          <w:sz w:val="22"/>
          <w:szCs w:val="22"/>
          <w14:ligatures w14:val="standardContextual"/>
        </w:rPr>
        <w:t>two countries of the region</w:t>
      </w:r>
      <w:r w:rsidR="00F74C38" w:rsidRPr="00C7320D">
        <w:rPr>
          <w:rFonts w:ascii="Aptos" w:eastAsia="Aptos" w:hAnsi="Aptos" w:cs="Arial"/>
          <w:kern w:val="2"/>
          <w:sz w:val="22"/>
          <w:szCs w:val="22"/>
          <w14:ligatures w14:val="standardContextual"/>
        </w:rPr>
        <w:t xml:space="preserve">, </w:t>
      </w:r>
      <w:r w:rsidR="005D515D" w:rsidRPr="00C7320D">
        <w:rPr>
          <w:rFonts w:ascii="Aptos" w:eastAsia="Aptos" w:hAnsi="Aptos" w:cs="Arial"/>
          <w:kern w:val="2"/>
          <w:sz w:val="22"/>
          <w:szCs w:val="22"/>
          <w14:ligatures w14:val="standardContextual"/>
        </w:rPr>
        <w:t xml:space="preserve">Mauritius </w:t>
      </w:r>
      <w:r w:rsidR="00F74C38" w:rsidRPr="00C7320D">
        <w:rPr>
          <w:rFonts w:ascii="Aptos" w:eastAsia="Aptos" w:hAnsi="Aptos" w:cs="Arial"/>
          <w:kern w:val="2"/>
          <w:sz w:val="22"/>
          <w:szCs w:val="22"/>
          <w14:ligatures w14:val="standardContextual"/>
        </w:rPr>
        <w:t xml:space="preserve">and the Seychelles, </w:t>
      </w:r>
      <w:r w:rsidR="001F4586" w:rsidRPr="00C7320D">
        <w:rPr>
          <w:rFonts w:ascii="Aptos" w:eastAsia="Aptos" w:hAnsi="Aptos" w:cs="Arial"/>
          <w:kern w:val="2"/>
          <w:sz w:val="22"/>
          <w:szCs w:val="22"/>
          <w14:ligatures w14:val="standardContextual"/>
        </w:rPr>
        <w:t xml:space="preserve">at </w:t>
      </w:r>
      <w:r w:rsidR="008262A8" w:rsidRPr="00C7320D">
        <w:rPr>
          <w:rFonts w:ascii="Aptos" w:eastAsia="Aptos" w:hAnsi="Aptos" w:cs="Arial"/>
          <w:kern w:val="2"/>
          <w:sz w:val="22"/>
          <w:szCs w:val="22"/>
          <w14:ligatures w14:val="standardContextual"/>
        </w:rPr>
        <w:t>27 and 31</w:t>
      </w:r>
      <w:r w:rsidR="00DB190B" w:rsidRPr="00C7320D">
        <w:rPr>
          <w:rFonts w:ascii="Aptos" w:eastAsia="Aptos" w:hAnsi="Aptos" w:cs="Arial"/>
          <w:kern w:val="2"/>
          <w:sz w:val="22"/>
          <w:szCs w:val="22"/>
          <w14:ligatures w14:val="standardContextual"/>
        </w:rPr>
        <w:t>subscriptions per 100 inhabitants</w:t>
      </w:r>
      <w:r w:rsidR="00271715" w:rsidRPr="00C7320D">
        <w:rPr>
          <w:rFonts w:ascii="Aptos" w:eastAsia="Aptos" w:hAnsi="Aptos" w:cs="Arial"/>
          <w:kern w:val="2"/>
          <w:sz w:val="22"/>
          <w:szCs w:val="22"/>
          <w14:ligatures w14:val="standardContextual"/>
        </w:rPr>
        <w:t xml:space="preserve"> </w:t>
      </w:r>
      <w:r w:rsidR="00DB190B" w:rsidRPr="00C7320D">
        <w:rPr>
          <w:rFonts w:ascii="Aptos" w:eastAsia="Aptos" w:hAnsi="Aptos" w:cs="Arial"/>
          <w:kern w:val="2"/>
          <w:sz w:val="22"/>
          <w:szCs w:val="22"/>
          <w14:ligatures w14:val="standardContextual"/>
        </w:rPr>
        <w:t>respectively</w:t>
      </w:r>
      <w:r w:rsidR="00271715" w:rsidRPr="00C7320D">
        <w:rPr>
          <w:rFonts w:ascii="Aptos" w:eastAsia="Aptos" w:hAnsi="Aptos" w:cs="Arial"/>
          <w:kern w:val="2"/>
          <w:sz w:val="22"/>
          <w:szCs w:val="22"/>
          <w14:ligatures w14:val="standardContextual"/>
        </w:rPr>
        <w:t xml:space="preserve">. In all other countries, </w:t>
      </w:r>
      <w:r w:rsidR="00211DA8" w:rsidRPr="00C7320D">
        <w:rPr>
          <w:rFonts w:ascii="Aptos" w:eastAsia="Aptos" w:hAnsi="Aptos" w:cs="Arial"/>
          <w:kern w:val="2"/>
          <w:sz w:val="22"/>
          <w:szCs w:val="22"/>
          <w14:ligatures w14:val="standardContextual"/>
        </w:rPr>
        <w:t xml:space="preserve">except one, </w:t>
      </w:r>
      <w:r w:rsidR="00271715" w:rsidRPr="00C7320D">
        <w:rPr>
          <w:rFonts w:ascii="Aptos" w:eastAsia="Aptos" w:hAnsi="Aptos" w:cs="Arial"/>
          <w:kern w:val="2"/>
          <w:sz w:val="22"/>
          <w:szCs w:val="22"/>
          <w14:ligatures w14:val="standardContextual"/>
        </w:rPr>
        <w:t xml:space="preserve">the level was below </w:t>
      </w:r>
      <w:r w:rsidR="00211DA8" w:rsidRPr="00C7320D">
        <w:rPr>
          <w:rFonts w:ascii="Aptos" w:eastAsia="Aptos" w:hAnsi="Aptos" w:cs="Arial"/>
          <w:kern w:val="2"/>
          <w:sz w:val="22"/>
          <w:szCs w:val="22"/>
          <w14:ligatures w14:val="standardContextual"/>
        </w:rPr>
        <w:t>4 subscriptions per 100 inhabitants.</w:t>
      </w:r>
    </w:p>
    <w:p w14:paraId="7BABDE7B" w14:textId="39115641"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C7320D">
        <w:rPr>
          <w:rFonts w:ascii="AvenirNext LT Pro Light" w:eastAsia="Yu Gothic Light" w:hAnsi="AvenirNext LT Pro Light" w:cs="Calibri"/>
          <w:color w:val="0070C0"/>
          <w:spacing w:val="-10"/>
          <w:kern w:val="28"/>
          <w:szCs w:val="24"/>
        </w:rPr>
        <w:t xml:space="preserve">Fixed-broadband subscriptions per 100 inhabitants, </w:t>
      </w:r>
      <w:r w:rsidR="00CB6B39"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0332C078" w14:textId="77777777" w:rsidR="00FE7C95" w:rsidRPr="00C7320D" w:rsidRDefault="00172B53" w:rsidP="00FE7C95">
      <w:pPr>
        <w:pStyle w:val="notetext"/>
      </w:pPr>
      <w:r w:rsidRPr="00C7320D">
        <w:rPr>
          <w:noProof/>
        </w:rPr>
        <w:drawing>
          <wp:inline distT="0" distB="0" distL="0" distR="0" wp14:anchorId="458C25CB" wp14:editId="43CBBDD6">
            <wp:extent cx="6120765" cy="3042920"/>
            <wp:effectExtent l="0" t="0" r="0" b="5080"/>
            <wp:docPr id="745602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2997"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120765" cy="3042920"/>
                    </a:xfrm>
                    <a:prstGeom prst="rect">
                      <a:avLst/>
                    </a:prstGeom>
                  </pic:spPr>
                </pic:pic>
              </a:graphicData>
            </a:graphic>
          </wp:inline>
        </w:drawing>
      </w:r>
      <w:r w:rsidR="00FE7C95" w:rsidRPr="00C7320D">
        <w:t>* Data are ITU estimates</w:t>
      </w:r>
    </w:p>
    <w:p w14:paraId="57E7CA28" w14:textId="633D9E3D" w:rsidR="006C41B5" w:rsidRPr="00C7320D" w:rsidRDefault="006C41B5" w:rsidP="000900E3">
      <w:pPr>
        <w:pStyle w:val="Sourcetext"/>
        <w:rPr>
          <w:rFonts w:eastAsia="Aptos" w:cs="Arial"/>
          <w:sz w:val="22"/>
          <w:szCs w:val="22"/>
        </w:rPr>
      </w:pPr>
      <w:r w:rsidRPr="00C7320D">
        <w:t>Source: ITU</w:t>
      </w:r>
      <w:r w:rsidRPr="00C7320D">
        <w:rPr>
          <w:rFonts w:eastAsia="Aptos" w:cs="Arial"/>
          <w:sz w:val="22"/>
          <w:szCs w:val="22"/>
        </w:rPr>
        <w:br w:type="page"/>
      </w:r>
    </w:p>
    <w:p w14:paraId="7243393E" w14:textId="77777777" w:rsidR="006C41B5" w:rsidRPr="00C7320D" w:rsidRDefault="006C41B5" w:rsidP="00172FE0">
      <w:pPr>
        <w:pStyle w:val="Section"/>
      </w:pPr>
      <w:bookmarkStart w:id="11" w:name="_Toc191378081"/>
      <w:r w:rsidRPr="00C7320D">
        <w:lastRenderedPageBreak/>
        <w:t>Mobile network coverage</w:t>
      </w:r>
      <w:bookmarkEnd w:id="11"/>
    </w:p>
    <w:p w14:paraId="17F80220" w14:textId="13FBC841" w:rsidR="006C41B5" w:rsidRPr="00C7320D" w:rsidRDefault="00A35DA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i/>
          <w:kern w:val="2"/>
          <w:sz w:val="22"/>
          <w:szCs w:val="22"/>
          <w14:ligatures w14:val="standardContextual"/>
        </w:rPr>
        <w:t>The coverage gap is still substantial</w:t>
      </w:r>
    </w:p>
    <w:p w14:paraId="2076502E" w14:textId="77777777"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6C41B5" w:rsidRPr="00C7320D" w14:paraId="2FB8D327" w14:textId="77777777" w:rsidTr="001B3D18">
        <w:tc>
          <w:tcPr>
            <w:tcW w:w="4656" w:type="dxa"/>
          </w:tcPr>
          <w:p w14:paraId="63ECFA9C" w14:textId="246A96CA" w:rsidR="006C41B5" w:rsidRPr="00C7320D" w:rsidRDefault="00093C9A" w:rsidP="005D7CD3">
            <w:pPr>
              <w:jc w:val="center"/>
              <w:rPr>
                <w:rFonts w:ascii="Aptos" w:hAnsi="Aptos"/>
                <w:sz w:val="22"/>
              </w:rPr>
            </w:pPr>
            <w:r w:rsidRPr="00C7320D">
              <w:rPr>
                <w:rFonts w:ascii="Aptos" w:hAnsi="Aptos"/>
                <w:b/>
                <w:sz w:val="22"/>
              </w:rPr>
              <w:t>Africa</w:t>
            </w:r>
            <w:r w:rsidR="009A64B4" w:rsidRPr="00C7320D">
              <w:rPr>
                <w:noProof/>
              </w:rPr>
              <w:t xml:space="preserve"> </w:t>
            </w:r>
            <w:r w:rsidR="009A64B4" w:rsidRPr="00C7320D">
              <w:rPr>
                <w:noProof/>
              </w:rPr>
              <w:drawing>
                <wp:inline distT="0" distB="0" distL="0" distR="0" wp14:anchorId="13A81F06" wp14:editId="33BAE832">
                  <wp:extent cx="2819400" cy="2743200"/>
                  <wp:effectExtent l="0" t="0" r="0" b="0"/>
                  <wp:docPr id="3049122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12268"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19400" cy="2743200"/>
                          </a:xfrm>
                          <a:prstGeom prst="rect">
                            <a:avLst/>
                          </a:prstGeom>
                        </pic:spPr>
                      </pic:pic>
                    </a:graphicData>
                  </a:graphic>
                </wp:inline>
              </w:drawing>
            </w:r>
          </w:p>
        </w:tc>
        <w:tc>
          <w:tcPr>
            <w:tcW w:w="4566" w:type="dxa"/>
          </w:tcPr>
          <w:p w14:paraId="4B986072" w14:textId="02EF20DC" w:rsidR="006C41B5" w:rsidRPr="00C7320D" w:rsidRDefault="006C41B5" w:rsidP="005D7CD3">
            <w:pPr>
              <w:jc w:val="center"/>
              <w:rPr>
                <w:rFonts w:ascii="Aptos" w:hAnsi="Aptos"/>
                <w:sz w:val="22"/>
              </w:rPr>
            </w:pPr>
            <w:r w:rsidRPr="00C7320D">
              <w:rPr>
                <w:rFonts w:ascii="Aptos" w:hAnsi="Aptos"/>
                <w:b/>
                <w:sz w:val="22"/>
              </w:rPr>
              <w:t>World</w:t>
            </w:r>
            <w:r w:rsidR="001B3D18" w:rsidRPr="00C7320D">
              <w:rPr>
                <w:noProof/>
              </w:rPr>
              <w:t xml:space="preserve"> </w:t>
            </w:r>
            <w:r w:rsidR="001B3D18" w:rsidRPr="00C7320D">
              <w:rPr>
                <w:noProof/>
              </w:rPr>
              <w:drawing>
                <wp:inline distT="0" distB="0" distL="0" distR="0" wp14:anchorId="787B16A8" wp14:editId="252120AC">
                  <wp:extent cx="2752725" cy="2743200"/>
                  <wp:effectExtent l="0" t="0" r="9525" b="0"/>
                  <wp:docPr id="10342413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4131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52725" cy="2743200"/>
                          </a:xfrm>
                          <a:prstGeom prst="rect">
                            <a:avLst/>
                          </a:prstGeom>
                        </pic:spPr>
                      </pic:pic>
                    </a:graphicData>
                  </a:graphic>
                </wp:inline>
              </w:drawing>
            </w:r>
          </w:p>
        </w:tc>
      </w:tr>
    </w:tbl>
    <w:p w14:paraId="60893B8F" w14:textId="77777777" w:rsidR="006C41B5" w:rsidRPr="00C7320D" w:rsidRDefault="006C41B5" w:rsidP="00B1004A">
      <w:pPr>
        <w:pStyle w:val="notetext"/>
      </w:pPr>
      <w:r w:rsidRPr="00C7320D">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C7320D" w:rsidRDefault="006C41B5" w:rsidP="00B1004A">
      <w:pPr>
        <w:pStyle w:val="Sourcetext"/>
      </w:pPr>
      <w:r w:rsidRPr="00C7320D">
        <w:t>Source: ITU</w:t>
      </w:r>
    </w:p>
    <w:p w14:paraId="13BA4C71" w14:textId="68E4275B" w:rsidR="00756F18" w:rsidRPr="00C7320D" w:rsidRDefault="003C772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Between 2020 and 2024, 5G mobile network coverage in the region increased from </w:t>
      </w:r>
      <w:r w:rsidR="00DE2689" w:rsidRPr="00C7320D">
        <w:rPr>
          <w:rFonts w:ascii="Aptos" w:eastAsia="Aptos" w:hAnsi="Aptos" w:cs="Arial"/>
          <w:kern w:val="2"/>
          <w:sz w:val="22"/>
          <w:szCs w:val="22"/>
          <w14:ligatures w14:val="standardContextual"/>
        </w:rPr>
        <w:t>0</w:t>
      </w:r>
      <w:r w:rsidRPr="00C7320D">
        <w:rPr>
          <w:rFonts w:ascii="Aptos" w:eastAsia="Aptos" w:hAnsi="Aptos" w:cs="Arial"/>
          <w:kern w:val="2"/>
          <w:sz w:val="22"/>
          <w:szCs w:val="22"/>
          <w14:ligatures w14:val="standardContextual"/>
        </w:rPr>
        <w:t xml:space="preserve"> to </w:t>
      </w:r>
      <w:r w:rsidR="00DE2689" w:rsidRPr="00C7320D">
        <w:rPr>
          <w:rFonts w:ascii="Aptos" w:eastAsia="Aptos" w:hAnsi="Aptos" w:cs="Arial"/>
          <w:kern w:val="2"/>
          <w:sz w:val="22"/>
          <w:szCs w:val="22"/>
          <w14:ligatures w14:val="standardContextual"/>
        </w:rPr>
        <w:t>11</w:t>
      </w:r>
      <w:r w:rsidRPr="00C7320D">
        <w:rPr>
          <w:rFonts w:ascii="Aptos" w:eastAsia="Aptos" w:hAnsi="Aptos" w:cs="Arial"/>
          <w:kern w:val="2"/>
          <w:sz w:val="22"/>
          <w:szCs w:val="22"/>
          <w14:ligatures w14:val="standardContextual"/>
        </w:rPr>
        <w:t xml:space="preserve"> per cent of the population</w:t>
      </w:r>
      <w:r w:rsidR="00DE2689" w:rsidRPr="00C7320D">
        <w:rPr>
          <w:rFonts w:ascii="Aptos" w:eastAsia="Aptos" w:hAnsi="Aptos" w:cs="Arial"/>
          <w:kern w:val="2"/>
          <w:sz w:val="22"/>
          <w:szCs w:val="22"/>
          <w14:ligatures w14:val="standardContextual"/>
        </w:rPr>
        <w:t xml:space="preserve">, far below </w:t>
      </w:r>
      <w:r w:rsidRPr="00C7320D">
        <w:rPr>
          <w:rFonts w:ascii="Aptos" w:eastAsia="Aptos" w:hAnsi="Aptos" w:cs="Arial"/>
          <w:kern w:val="2"/>
          <w:sz w:val="22"/>
          <w:szCs w:val="22"/>
          <w14:ligatures w14:val="standardContextual"/>
        </w:rPr>
        <w:t>the global coverage, which increased from 9 to 51 per cent over the same period. In the</w:t>
      </w:r>
      <w:r w:rsidR="00E81D5F" w:rsidRPr="00C7320D">
        <w:rPr>
          <w:rFonts w:ascii="Aptos" w:eastAsia="Aptos" w:hAnsi="Aptos" w:cs="Arial"/>
          <w:kern w:val="2"/>
          <w:sz w:val="22"/>
          <w:szCs w:val="22"/>
          <w14:ligatures w14:val="standardContextual"/>
        </w:rPr>
        <w:t xml:space="preserve"> Africa</w:t>
      </w:r>
      <w:r w:rsidRPr="00C7320D">
        <w:rPr>
          <w:rFonts w:ascii="Aptos" w:eastAsia="Aptos" w:hAnsi="Aptos" w:cs="Arial"/>
          <w:kern w:val="2"/>
          <w:sz w:val="22"/>
          <w:szCs w:val="22"/>
          <w14:ligatures w14:val="standardContextual"/>
        </w:rPr>
        <w:t xml:space="preserve"> region, 4G mobile networks covered </w:t>
      </w:r>
      <w:r w:rsidR="009D4CEA" w:rsidRPr="00C7320D">
        <w:rPr>
          <w:rFonts w:ascii="Aptos" w:eastAsia="Aptos" w:hAnsi="Aptos" w:cs="Arial"/>
          <w:kern w:val="2"/>
          <w:sz w:val="22"/>
          <w:szCs w:val="22"/>
          <w14:ligatures w14:val="standardContextual"/>
        </w:rPr>
        <w:t>only 71</w:t>
      </w:r>
      <w:r w:rsidRPr="00C7320D">
        <w:rPr>
          <w:rFonts w:ascii="Aptos" w:eastAsia="Aptos" w:hAnsi="Aptos" w:cs="Arial"/>
          <w:kern w:val="2"/>
          <w:sz w:val="22"/>
          <w:szCs w:val="22"/>
          <w14:ligatures w14:val="standardContextual"/>
        </w:rPr>
        <w:t xml:space="preserve"> per cent of the population in 2024, also </w:t>
      </w:r>
      <w:r w:rsidR="005D7B6F" w:rsidRPr="00C7320D">
        <w:rPr>
          <w:rFonts w:ascii="Aptos" w:eastAsia="Aptos" w:hAnsi="Aptos" w:cs="Arial"/>
          <w:kern w:val="2"/>
          <w:sz w:val="22"/>
          <w:szCs w:val="22"/>
          <w14:ligatures w14:val="standardContextual"/>
        </w:rPr>
        <w:t xml:space="preserve">substantially below </w:t>
      </w:r>
      <w:r w:rsidRPr="00C7320D">
        <w:rPr>
          <w:rFonts w:ascii="Aptos" w:eastAsia="Aptos" w:hAnsi="Aptos" w:cs="Arial"/>
          <w:kern w:val="2"/>
          <w:sz w:val="22"/>
          <w:szCs w:val="22"/>
          <w14:ligatures w14:val="standardContextual"/>
        </w:rPr>
        <w:t xml:space="preserve">the global average of 92 per cent. Furthermore, </w:t>
      </w:r>
      <w:r w:rsidR="00043879" w:rsidRPr="00C7320D">
        <w:rPr>
          <w:rFonts w:ascii="Aptos" w:eastAsia="Aptos" w:hAnsi="Aptos" w:cs="Arial"/>
          <w:kern w:val="2"/>
          <w:sz w:val="22"/>
          <w:szCs w:val="22"/>
          <w14:ligatures w14:val="standardContextual"/>
        </w:rPr>
        <w:t>only 86</w:t>
      </w:r>
      <w:r w:rsidRPr="00C7320D">
        <w:rPr>
          <w:rFonts w:ascii="Aptos" w:eastAsia="Aptos" w:hAnsi="Aptos" w:cs="Arial"/>
          <w:kern w:val="2"/>
          <w:sz w:val="22"/>
          <w:szCs w:val="22"/>
          <w14:ligatures w14:val="standardContextual"/>
        </w:rPr>
        <w:t xml:space="preserve"> per cent of the population in </w:t>
      </w:r>
      <w:r w:rsidR="005D7B6F" w:rsidRPr="00C7320D">
        <w:rPr>
          <w:rFonts w:ascii="Aptos" w:eastAsia="Aptos" w:hAnsi="Aptos" w:cs="Arial"/>
          <w:kern w:val="2"/>
          <w:sz w:val="22"/>
          <w:szCs w:val="22"/>
          <w14:ligatures w14:val="standardContextual"/>
        </w:rPr>
        <w:t xml:space="preserve">Africa </w:t>
      </w:r>
      <w:r w:rsidRPr="00C7320D">
        <w:rPr>
          <w:rFonts w:ascii="Aptos" w:eastAsia="Aptos" w:hAnsi="Aptos" w:cs="Arial"/>
          <w:kern w:val="2"/>
          <w:sz w:val="22"/>
          <w:szCs w:val="22"/>
          <w14:ligatures w14:val="standardContextual"/>
        </w:rPr>
        <w:t xml:space="preserve">had access to at least a 3G mobile broadband network, leaving </w:t>
      </w:r>
      <w:r w:rsidR="00200920" w:rsidRPr="00C7320D">
        <w:rPr>
          <w:rFonts w:ascii="Aptos" w:eastAsia="Aptos" w:hAnsi="Aptos" w:cs="Arial"/>
          <w:kern w:val="2"/>
          <w:sz w:val="22"/>
          <w:szCs w:val="22"/>
          <w14:ligatures w14:val="standardContextual"/>
        </w:rPr>
        <w:t xml:space="preserve">14 </w:t>
      </w:r>
      <w:r w:rsidRPr="00C7320D">
        <w:rPr>
          <w:rFonts w:ascii="Aptos" w:eastAsia="Aptos" w:hAnsi="Aptos" w:cs="Arial"/>
          <w:kern w:val="2"/>
          <w:sz w:val="22"/>
          <w:szCs w:val="22"/>
          <w14:ligatures w14:val="standardContextual"/>
        </w:rPr>
        <w:t xml:space="preserve">per cent without access to a mobile broadband network and therefore without any possibility of accessing the Internet. This coverage gap was </w:t>
      </w:r>
      <w:r w:rsidR="00AB1EE6" w:rsidRPr="00C7320D">
        <w:rPr>
          <w:rFonts w:ascii="Aptos" w:eastAsia="Aptos" w:hAnsi="Aptos" w:cs="Arial"/>
          <w:kern w:val="2"/>
          <w:sz w:val="22"/>
          <w:szCs w:val="22"/>
          <w14:ligatures w14:val="standardContextual"/>
        </w:rPr>
        <w:t xml:space="preserve">ten </w:t>
      </w:r>
      <w:r w:rsidRPr="00C7320D">
        <w:rPr>
          <w:rFonts w:ascii="Aptos" w:eastAsia="Aptos" w:hAnsi="Aptos" w:cs="Arial"/>
          <w:kern w:val="2"/>
          <w:sz w:val="22"/>
          <w:szCs w:val="22"/>
          <w14:ligatures w14:val="standardContextual"/>
        </w:rPr>
        <w:t xml:space="preserve">percentage points </w:t>
      </w:r>
      <w:r w:rsidR="005C2F86">
        <w:rPr>
          <w:rFonts w:ascii="Aptos" w:eastAsia="Aptos" w:hAnsi="Aptos" w:cs="Arial"/>
          <w:kern w:val="2"/>
          <w:sz w:val="22"/>
          <w:szCs w:val="22"/>
          <w14:ligatures w14:val="standardContextual"/>
        </w:rPr>
        <w:t>more</w:t>
      </w:r>
      <w:r w:rsidR="00431DDE" w:rsidRPr="00C7320D">
        <w:rPr>
          <w:rFonts w:ascii="Aptos" w:eastAsia="Aptos" w:hAnsi="Aptos" w:cs="Arial"/>
          <w:kern w:val="2"/>
          <w:sz w:val="22"/>
          <w:szCs w:val="22"/>
          <w14:ligatures w14:val="standardContextual"/>
        </w:rPr>
        <w:t xml:space="preserve"> </w:t>
      </w:r>
      <w:r w:rsidRPr="00C7320D">
        <w:rPr>
          <w:rFonts w:ascii="Aptos" w:eastAsia="Aptos" w:hAnsi="Aptos" w:cs="Arial"/>
          <w:kern w:val="2"/>
          <w:sz w:val="22"/>
          <w:szCs w:val="22"/>
          <w14:ligatures w14:val="standardContextual"/>
        </w:rPr>
        <w:t>than the global average</w:t>
      </w:r>
      <w:r w:rsidR="00497EAD" w:rsidRPr="00C7320D">
        <w:rPr>
          <w:rFonts w:ascii="Aptos" w:eastAsia="Aptos" w:hAnsi="Aptos" w:cs="Arial"/>
          <w:kern w:val="2"/>
          <w:sz w:val="22"/>
          <w:szCs w:val="22"/>
          <w14:ligatures w14:val="standardContextual"/>
        </w:rPr>
        <w:t>, also the biggest of all regions.</w:t>
      </w:r>
    </w:p>
    <w:p w14:paraId="6AE468F3" w14:textId="03B0611D"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579B2750" w14:textId="4D8726DB" w:rsidR="006C41B5" w:rsidRPr="00C7320D" w:rsidRDefault="00AD35A9" w:rsidP="006C41B5">
      <w:pPr>
        <w:rPr>
          <w:rFonts w:ascii="Aptos" w:eastAsia="Aptos" w:hAnsi="Aptos" w:cs="Arial"/>
          <w:kern w:val="2"/>
          <w:sz w:val="22"/>
          <w:szCs w:val="22"/>
          <w14:ligatures w14:val="standardContextual"/>
        </w:rPr>
      </w:pPr>
      <w:r w:rsidRPr="00C7320D">
        <w:rPr>
          <w:noProof/>
        </w:rPr>
        <w:drawing>
          <wp:inline distT="0" distB="0" distL="0" distR="0" wp14:anchorId="54EA895B" wp14:editId="28BD6C06">
            <wp:extent cx="6105525" cy="3486150"/>
            <wp:effectExtent l="0" t="0" r="9525" b="0"/>
            <wp:docPr id="4596217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1775"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05525" cy="3486150"/>
                    </a:xfrm>
                    <a:prstGeom prst="rect">
                      <a:avLst/>
                    </a:prstGeom>
                  </pic:spPr>
                </pic:pic>
              </a:graphicData>
            </a:graphic>
          </wp:inline>
        </w:drawing>
      </w:r>
    </w:p>
    <w:p w14:paraId="07558190" w14:textId="77777777" w:rsidR="00420827" w:rsidRPr="00C7320D" w:rsidRDefault="00420827" w:rsidP="00420827">
      <w:pPr>
        <w:pStyle w:val="notetext"/>
      </w:pPr>
      <w:r w:rsidRPr="00C7320D">
        <w:t>* Data are ITU estimates</w:t>
      </w:r>
    </w:p>
    <w:p w14:paraId="14C31C7C" w14:textId="21B85A3B" w:rsidR="006C41B5" w:rsidRPr="00C7320D" w:rsidRDefault="006C41B5" w:rsidP="00B1004A">
      <w:pPr>
        <w:pStyle w:val="notetext"/>
      </w:pPr>
      <w:r w:rsidRPr="00C7320D">
        <w:t xml:space="preserve">Note: The values for 2G, 3G and 4G networks show the incremental percentage of the population that is not covered by a more advanced technology network (e.g. in 2023, </w:t>
      </w:r>
      <w:r w:rsidR="00CE4665" w:rsidRPr="00C7320D">
        <w:t>9</w:t>
      </w:r>
      <w:r w:rsidR="0015746F" w:rsidRPr="00C7320D">
        <w:t>6</w:t>
      </w:r>
      <w:r w:rsidRPr="00C7320D">
        <w:t xml:space="preserve"> per cent of the population in </w:t>
      </w:r>
      <w:r w:rsidR="0015746F" w:rsidRPr="00C7320D">
        <w:t xml:space="preserve">Lesotho </w:t>
      </w:r>
      <w:r w:rsidRPr="00C7320D">
        <w:t xml:space="preserve">is covered by at least a </w:t>
      </w:r>
      <w:r w:rsidR="003774D8" w:rsidRPr="00C7320D">
        <w:t>3</w:t>
      </w:r>
      <w:r w:rsidRPr="00C7320D">
        <w:t xml:space="preserve">G or above network, that is </w:t>
      </w:r>
      <w:r w:rsidR="0015746F" w:rsidRPr="00C7320D">
        <w:t>85</w:t>
      </w:r>
      <w:r w:rsidRPr="00C7320D">
        <w:t xml:space="preserve"> per cent + </w:t>
      </w:r>
      <w:r w:rsidR="0015746F" w:rsidRPr="00C7320D">
        <w:t>11</w:t>
      </w:r>
      <w:r w:rsidRPr="00C7320D">
        <w:t xml:space="preserve"> per cent). </w:t>
      </w:r>
    </w:p>
    <w:p w14:paraId="1C2875B9" w14:textId="77777777" w:rsidR="006C41B5" w:rsidRPr="00C7320D" w:rsidRDefault="006C41B5" w:rsidP="00B1004A">
      <w:pPr>
        <w:pStyle w:val="Sourcetext"/>
      </w:pPr>
      <w:r w:rsidRPr="00C7320D">
        <w:t>Source: ITU</w:t>
      </w:r>
    </w:p>
    <w:p w14:paraId="1756BA8C" w14:textId="6BC978E8" w:rsidR="001212EE" w:rsidRPr="00C7320D" w:rsidRDefault="006A79DE" w:rsidP="009D2EAD">
      <w:pPr>
        <w:spacing w:after="120"/>
        <w:rPr>
          <w:rFonts w:ascii="Aptos" w:eastAsia="Aptos" w:hAnsi="Aptos"/>
          <w:sz w:val="22"/>
          <w:szCs w:val="22"/>
        </w:rPr>
      </w:pPr>
      <w:r w:rsidRPr="00C7320D">
        <w:rPr>
          <w:rFonts w:ascii="Aptos" w:eastAsia="Aptos" w:hAnsi="Aptos"/>
          <w:sz w:val="22"/>
          <w:szCs w:val="22"/>
        </w:rPr>
        <w:t xml:space="preserve">In </w:t>
      </w:r>
      <w:r w:rsidR="00B26EBF" w:rsidRPr="00C7320D">
        <w:rPr>
          <w:rFonts w:ascii="Aptos" w:eastAsia="Aptos" w:hAnsi="Aptos"/>
          <w:sz w:val="22"/>
          <w:szCs w:val="22"/>
        </w:rPr>
        <w:t>nine countries 5G roll</w:t>
      </w:r>
      <w:r w:rsidR="003E1D8A" w:rsidRPr="00C7320D">
        <w:rPr>
          <w:rFonts w:ascii="Aptos" w:eastAsia="Aptos" w:hAnsi="Aptos"/>
          <w:sz w:val="22"/>
          <w:szCs w:val="22"/>
        </w:rPr>
        <w:t>-out had started in 2023</w:t>
      </w:r>
      <w:r w:rsidR="000736E8" w:rsidRPr="00C7320D">
        <w:rPr>
          <w:rFonts w:ascii="Aptos" w:eastAsia="Aptos" w:hAnsi="Aptos"/>
          <w:sz w:val="22"/>
          <w:szCs w:val="22"/>
        </w:rPr>
        <w:t xml:space="preserve">, even if </w:t>
      </w:r>
      <w:r w:rsidR="00B64272" w:rsidRPr="00C7320D">
        <w:rPr>
          <w:rFonts w:ascii="Aptos" w:eastAsia="Aptos" w:hAnsi="Aptos"/>
          <w:sz w:val="22"/>
          <w:szCs w:val="22"/>
        </w:rPr>
        <w:t xml:space="preserve">not very </w:t>
      </w:r>
      <w:r w:rsidR="00D63C2B" w:rsidRPr="00C7320D">
        <w:rPr>
          <w:rFonts w:ascii="Aptos" w:eastAsia="Aptos" w:hAnsi="Aptos"/>
          <w:sz w:val="22"/>
          <w:szCs w:val="22"/>
        </w:rPr>
        <w:t xml:space="preserve">extensive yet in some of those countries. </w:t>
      </w:r>
      <w:r w:rsidR="00432690" w:rsidRPr="00C7320D">
        <w:rPr>
          <w:rFonts w:ascii="Aptos" w:eastAsia="Aptos" w:hAnsi="Aptos"/>
          <w:sz w:val="22"/>
          <w:szCs w:val="22"/>
        </w:rPr>
        <w:t>At the same time, in fourteen countries, less than half of the population had access to a 4G network</w:t>
      </w:r>
    </w:p>
    <w:p w14:paraId="452D727F" w14:textId="77777777" w:rsidR="00BD7A6A" w:rsidRPr="00C7320D" w:rsidRDefault="00BD7A6A">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br w:type="page"/>
      </w:r>
    </w:p>
    <w:p w14:paraId="41FF9656" w14:textId="675F1174"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Population coverage by type of mobile network and location, 2024</w:t>
      </w:r>
    </w:p>
    <w:p w14:paraId="4CFB12EA" w14:textId="4C374E38" w:rsidR="00EF6D10" w:rsidRPr="00C7320D" w:rsidRDefault="005C557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00C09888" wp14:editId="77A8593E">
            <wp:extent cx="5762625" cy="2724150"/>
            <wp:effectExtent l="0" t="0" r="9525" b="0"/>
            <wp:docPr id="4135941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4107"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62625" cy="2724150"/>
                    </a:xfrm>
                    <a:prstGeom prst="rect">
                      <a:avLst/>
                    </a:prstGeom>
                  </pic:spPr>
                </pic:pic>
              </a:graphicData>
            </a:graphic>
          </wp:inline>
        </w:drawing>
      </w:r>
    </w:p>
    <w:p w14:paraId="05373577" w14:textId="49A4A92E" w:rsidR="006C41B5" w:rsidRPr="00C7320D" w:rsidRDefault="006C41B5" w:rsidP="00B1004A">
      <w:pPr>
        <w:pStyle w:val="notetext"/>
      </w:pPr>
      <w:r w:rsidRPr="00C7320D">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1C30D111" w14:textId="77777777" w:rsidR="00BD7A6A" w:rsidRPr="00C7320D" w:rsidRDefault="006C41B5" w:rsidP="009D2EAD">
      <w:pPr>
        <w:pStyle w:val="Sourcetext"/>
      </w:pPr>
      <w:r w:rsidRPr="00C7320D">
        <w:t>Source: ITU</w:t>
      </w:r>
    </w:p>
    <w:p w14:paraId="3A8692AE" w14:textId="500D499E" w:rsidR="00BD7A6A" w:rsidRPr="00C7320D" w:rsidRDefault="00B11C82" w:rsidP="00C5328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As with Internet use, there is a significant gap in network availability between rural and urban areas. In 2024, 5G covered </w:t>
      </w:r>
      <w:r w:rsidR="00112B64" w:rsidRPr="00C7320D">
        <w:rPr>
          <w:rFonts w:ascii="Aptos" w:eastAsia="Aptos" w:hAnsi="Aptos" w:cs="Arial"/>
          <w:kern w:val="2"/>
          <w:sz w:val="22"/>
          <w:szCs w:val="22"/>
          <w14:ligatures w14:val="standardContextual"/>
        </w:rPr>
        <w:t>25</w:t>
      </w:r>
      <w:r w:rsidRPr="00C7320D">
        <w:rPr>
          <w:rFonts w:ascii="Aptos" w:eastAsia="Aptos" w:hAnsi="Aptos" w:cs="Arial"/>
          <w:kern w:val="2"/>
          <w:sz w:val="22"/>
          <w:szCs w:val="22"/>
          <w14:ligatures w14:val="standardContextual"/>
        </w:rPr>
        <w:t xml:space="preserve"> per cent of the urban population in </w:t>
      </w:r>
      <w:r w:rsidR="00112B64" w:rsidRPr="00C7320D">
        <w:rPr>
          <w:rFonts w:ascii="Aptos" w:eastAsia="Aptos" w:hAnsi="Aptos" w:cs="Arial"/>
          <w:kern w:val="2"/>
          <w:sz w:val="22"/>
          <w:szCs w:val="22"/>
          <w14:ligatures w14:val="standardContextual"/>
        </w:rPr>
        <w:t>the Africa regio</w:t>
      </w:r>
      <w:r w:rsidR="00DE4C3D" w:rsidRPr="00C7320D">
        <w:rPr>
          <w:rFonts w:ascii="Aptos" w:eastAsia="Aptos" w:hAnsi="Aptos" w:cs="Arial"/>
          <w:kern w:val="2"/>
          <w:sz w:val="22"/>
          <w:szCs w:val="22"/>
          <w14:ligatures w14:val="standardContextual"/>
        </w:rPr>
        <w:t xml:space="preserve">n, but </w:t>
      </w:r>
      <w:r w:rsidR="0028074F" w:rsidRPr="00C7320D">
        <w:rPr>
          <w:rFonts w:ascii="Aptos" w:eastAsia="Aptos" w:hAnsi="Aptos" w:cs="Arial"/>
          <w:kern w:val="2"/>
          <w:sz w:val="22"/>
          <w:szCs w:val="22"/>
          <w14:ligatures w14:val="standardContextual"/>
        </w:rPr>
        <w:t>alm</w:t>
      </w:r>
      <w:r w:rsidR="00803445" w:rsidRPr="00C7320D">
        <w:rPr>
          <w:rFonts w:ascii="Aptos" w:eastAsia="Aptos" w:hAnsi="Aptos" w:cs="Arial"/>
          <w:kern w:val="2"/>
          <w:sz w:val="22"/>
          <w:szCs w:val="22"/>
          <w14:ligatures w14:val="standardContextual"/>
        </w:rPr>
        <w:t>ost no one in rural areas.</w:t>
      </w:r>
      <w:r w:rsidRPr="00C7320D">
        <w:rPr>
          <w:rFonts w:ascii="Aptos" w:eastAsia="Aptos" w:hAnsi="Aptos" w:cs="Arial"/>
          <w:kern w:val="2"/>
          <w:sz w:val="22"/>
          <w:szCs w:val="22"/>
          <w14:ligatures w14:val="standardContextual"/>
        </w:rPr>
        <w:t xml:space="preserve"> </w:t>
      </w:r>
      <w:r w:rsidR="00E76508" w:rsidRPr="00C7320D">
        <w:rPr>
          <w:rFonts w:ascii="Aptos" w:eastAsia="Aptos" w:hAnsi="Aptos" w:cs="Arial"/>
          <w:kern w:val="2"/>
          <w:sz w:val="22"/>
          <w:szCs w:val="22"/>
          <w14:ligatures w14:val="standardContextual"/>
        </w:rPr>
        <w:t xml:space="preserve">A large </w:t>
      </w:r>
      <w:r w:rsidRPr="00C7320D">
        <w:rPr>
          <w:rFonts w:ascii="Aptos" w:eastAsia="Aptos" w:hAnsi="Aptos" w:cs="Arial"/>
          <w:kern w:val="2"/>
          <w:sz w:val="22"/>
          <w:szCs w:val="22"/>
          <w14:ligatures w14:val="standardContextual"/>
        </w:rPr>
        <w:t>disparity also existed for 4G networks, with 9</w:t>
      </w:r>
      <w:r w:rsidR="00F554E2" w:rsidRPr="00C7320D">
        <w:rPr>
          <w:rFonts w:ascii="Aptos" w:eastAsia="Aptos" w:hAnsi="Aptos" w:cs="Arial"/>
          <w:kern w:val="2"/>
          <w:sz w:val="22"/>
          <w:szCs w:val="22"/>
          <w14:ligatures w14:val="standardContextual"/>
        </w:rPr>
        <w:t>8</w:t>
      </w:r>
      <w:r w:rsidRPr="00C7320D">
        <w:rPr>
          <w:rFonts w:ascii="Aptos" w:eastAsia="Aptos" w:hAnsi="Aptos" w:cs="Arial"/>
          <w:kern w:val="2"/>
          <w:sz w:val="22"/>
          <w:szCs w:val="22"/>
          <w14:ligatures w14:val="standardContextual"/>
        </w:rPr>
        <w:t xml:space="preserve"> per cent of the urban population covered compared with </w:t>
      </w:r>
      <w:r w:rsidR="00E04AEA" w:rsidRPr="00C7320D">
        <w:rPr>
          <w:rFonts w:ascii="Aptos" w:eastAsia="Aptos" w:hAnsi="Aptos" w:cs="Arial"/>
          <w:kern w:val="2"/>
          <w:sz w:val="22"/>
          <w:szCs w:val="22"/>
          <w14:ligatures w14:val="standardContextual"/>
        </w:rPr>
        <w:t xml:space="preserve">only 49 </w:t>
      </w:r>
      <w:r w:rsidRPr="00C7320D">
        <w:rPr>
          <w:rFonts w:ascii="Aptos" w:eastAsia="Aptos" w:hAnsi="Aptos" w:cs="Arial"/>
          <w:kern w:val="2"/>
          <w:sz w:val="22"/>
          <w:szCs w:val="22"/>
          <w14:ligatures w14:val="standardContextual"/>
        </w:rPr>
        <w:t xml:space="preserve">per cent in rural areas. When including 3G networks, coverage reached 100 per cent in urban areas but only </w:t>
      </w:r>
      <w:r w:rsidR="00D726BB" w:rsidRPr="00C7320D">
        <w:rPr>
          <w:rFonts w:ascii="Aptos" w:eastAsia="Aptos" w:hAnsi="Aptos" w:cs="Arial"/>
          <w:kern w:val="2"/>
          <w:sz w:val="22"/>
          <w:szCs w:val="22"/>
          <w14:ligatures w14:val="standardContextual"/>
        </w:rPr>
        <w:t>7</w:t>
      </w:r>
      <w:r w:rsidRPr="00C7320D">
        <w:rPr>
          <w:rFonts w:ascii="Aptos" w:eastAsia="Aptos" w:hAnsi="Aptos" w:cs="Arial"/>
          <w:kern w:val="2"/>
          <w:sz w:val="22"/>
          <w:szCs w:val="22"/>
          <w14:ligatures w14:val="standardContextual"/>
        </w:rPr>
        <w:t xml:space="preserve">5 per cent in rural regions. This means that while every urban resident had access to a mobile broadband network, </w:t>
      </w:r>
      <w:r w:rsidR="008A7D82" w:rsidRPr="00C7320D">
        <w:rPr>
          <w:rFonts w:ascii="Aptos" w:eastAsia="Aptos" w:hAnsi="Aptos" w:cs="Arial"/>
          <w:kern w:val="2"/>
          <w:sz w:val="22"/>
          <w:szCs w:val="22"/>
          <w14:ligatures w14:val="standardContextual"/>
        </w:rPr>
        <w:t xml:space="preserve">a </w:t>
      </w:r>
      <w:r w:rsidR="00C53287" w:rsidRPr="00C7320D">
        <w:rPr>
          <w:rFonts w:ascii="Aptos" w:eastAsia="Aptos" w:hAnsi="Aptos" w:cs="Arial"/>
          <w:kern w:val="2"/>
          <w:sz w:val="22"/>
          <w:szCs w:val="22"/>
          <w14:ligatures w14:val="standardContextual"/>
        </w:rPr>
        <w:t xml:space="preserve">full </w:t>
      </w:r>
      <w:r w:rsidR="008A7D82" w:rsidRPr="00C7320D">
        <w:rPr>
          <w:rFonts w:ascii="Aptos" w:eastAsia="Aptos" w:hAnsi="Aptos" w:cs="Arial"/>
          <w:kern w:val="2"/>
          <w:sz w:val="22"/>
          <w:szCs w:val="22"/>
          <w14:ligatures w14:val="standardContextual"/>
        </w:rPr>
        <w:t xml:space="preserve">quarter of the </w:t>
      </w:r>
      <w:r w:rsidRPr="00C7320D">
        <w:rPr>
          <w:rFonts w:ascii="Aptos" w:eastAsia="Aptos" w:hAnsi="Aptos" w:cs="Arial"/>
          <w:kern w:val="2"/>
          <w:sz w:val="22"/>
          <w:szCs w:val="22"/>
          <w14:ligatures w14:val="standardContextual"/>
        </w:rPr>
        <w:t xml:space="preserve">rural population in </w:t>
      </w:r>
      <w:r w:rsidR="008A7D82" w:rsidRPr="00C7320D">
        <w:rPr>
          <w:rFonts w:ascii="Aptos" w:eastAsia="Aptos" w:hAnsi="Aptos" w:cs="Arial"/>
          <w:kern w:val="2"/>
          <w:sz w:val="22"/>
          <w:szCs w:val="22"/>
          <w14:ligatures w14:val="standardContextual"/>
        </w:rPr>
        <w:t>Africa</w:t>
      </w:r>
      <w:r w:rsidR="00C53287" w:rsidRPr="00C7320D">
        <w:rPr>
          <w:rFonts w:ascii="Aptos" w:eastAsia="Aptos" w:hAnsi="Aptos" w:cs="Arial"/>
          <w:kern w:val="2"/>
          <w:sz w:val="22"/>
          <w:szCs w:val="22"/>
          <w14:ligatures w14:val="standardContextual"/>
        </w:rPr>
        <w:t xml:space="preserve"> </w:t>
      </w:r>
      <w:r w:rsidRPr="00C7320D">
        <w:rPr>
          <w:rFonts w:ascii="Aptos" w:eastAsia="Aptos" w:hAnsi="Aptos" w:cs="Arial"/>
          <w:kern w:val="2"/>
          <w:sz w:val="22"/>
          <w:szCs w:val="22"/>
          <w14:ligatures w14:val="standardContextual"/>
        </w:rPr>
        <w:t>remained off the grid.</w:t>
      </w:r>
    </w:p>
    <w:p w14:paraId="4D5D4BCD" w14:textId="57B5EF8E" w:rsidR="006C41B5" w:rsidRPr="00C7320D" w:rsidRDefault="006C41B5" w:rsidP="009D2EAD">
      <w:pPr>
        <w:pStyle w:val="Sourcetext"/>
        <w:rPr>
          <w:rFonts w:eastAsia="Aptos" w:cs="Arial"/>
          <w:sz w:val="22"/>
          <w:szCs w:val="22"/>
        </w:rPr>
      </w:pPr>
      <w:r w:rsidRPr="00C7320D">
        <w:rPr>
          <w:rFonts w:eastAsia="Aptos" w:cs="Arial"/>
          <w:sz w:val="22"/>
          <w:szCs w:val="22"/>
        </w:rPr>
        <w:br w:type="page"/>
      </w:r>
    </w:p>
    <w:p w14:paraId="0F31E52C" w14:textId="77777777" w:rsidR="006C41B5" w:rsidRPr="00C7320D" w:rsidRDefault="006C41B5" w:rsidP="000C3666">
      <w:pPr>
        <w:pStyle w:val="Section"/>
      </w:pPr>
      <w:bookmarkStart w:id="12" w:name="_Toc191378082"/>
      <w:r w:rsidRPr="00C7320D">
        <w:lastRenderedPageBreak/>
        <w:t>Availability of fixed-broadband infrastructure</w:t>
      </w:r>
      <w:bookmarkEnd w:id="12"/>
    </w:p>
    <w:p w14:paraId="08317977" w14:textId="2B9DCA6B" w:rsidR="006C41B5" w:rsidRPr="00C7320D" w:rsidRDefault="00A3542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i/>
          <w:kern w:val="2"/>
          <w:sz w:val="22"/>
          <w:szCs w:val="22"/>
          <w14:ligatures w14:val="standardContextual"/>
        </w:rPr>
        <w:t xml:space="preserve">Only three </w:t>
      </w:r>
      <w:r w:rsidR="005B0061" w:rsidRPr="00C7320D">
        <w:rPr>
          <w:rFonts w:ascii="Aptos" w:eastAsia="Aptos" w:hAnsi="Aptos" w:cs="Arial"/>
          <w:b/>
          <w:i/>
          <w:kern w:val="2"/>
          <w:sz w:val="22"/>
          <w:szCs w:val="22"/>
          <w14:ligatures w14:val="standardContextual"/>
        </w:rPr>
        <w:t>out</w:t>
      </w:r>
      <w:r w:rsidR="00E20227" w:rsidRPr="00C7320D">
        <w:rPr>
          <w:rFonts w:ascii="Aptos" w:eastAsia="Aptos" w:hAnsi="Aptos" w:cs="Arial"/>
          <w:b/>
          <w:i/>
          <w:kern w:val="2"/>
          <w:sz w:val="22"/>
          <w:szCs w:val="22"/>
          <w14:ligatures w14:val="standardContextual"/>
        </w:rPr>
        <w:t xml:space="preserve"> of </w:t>
      </w:r>
      <w:r w:rsidR="005B0061" w:rsidRPr="00C7320D">
        <w:rPr>
          <w:rFonts w:ascii="Aptos" w:eastAsia="Aptos" w:hAnsi="Aptos" w:cs="Arial"/>
          <w:b/>
          <w:i/>
          <w:kern w:val="2"/>
          <w:sz w:val="22"/>
          <w:szCs w:val="22"/>
          <w14:ligatures w14:val="standardContextual"/>
        </w:rPr>
        <w:t>ten</w:t>
      </w:r>
      <w:r w:rsidR="00E20227" w:rsidRPr="00C7320D">
        <w:rPr>
          <w:rFonts w:ascii="Aptos" w:eastAsia="Aptos" w:hAnsi="Aptos" w:cs="Arial"/>
          <w:b/>
          <w:i/>
          <w:kern w:val="2"/>
          <w:sz w:val="22"/>
          <w:szCs w:val="22"/>
          <w14:ligatures w14:val="standardContextual"/>
        </w:rPr>
        <w:t xml:space="preserve"> </w:t>
      </w:r>
      <w:r w:rsidR="0066654A" w:rsidRPr="00C7320D">
        <w:rPr>
          <w:rFonts w:ascii="Aptos" w:eastAsia="Aptos" w:hAnsi="Aptos" w:cs="Arial"/>
          <w:b/>
          <w:i/>
          <w:kern w:val="2"/>
          <w:sz w:val="22"/>
          <w:szCs w:val="22"/>
          <w14:ligatures w14:val="standardContextual"/>
        </w:rPr>
        <w:t>people</w:t>
      </w:r>
      <w:r w:rsidR="00E20227" w:rsidRPr="00C7320D">
        <w:rPr>
          <w:rFonts w:ascii="Aptos" w:eastAsia="Aptos" w:hAnsi="Aptos" w:cs="Arial"/>
          <w:b/>
          <w:i/>
          <w:kern w:val="2"/>
          <w:sz w:val="22"/>
          <w:szCs w:val="22"/>
          <w14:ligatures w14:val="standardContextual"/>
        </w:rPr>
        <w:t xml:space="preserve"> live within 10 km of a fibre node</w:t>
      </w:r>
    </w:p>
    <w:p w14:paraId="39FBAA2D" w14:textId="77777777" w:rsidR="00502C9F" w:rsidRPr="00C7320D" w:rsidRDefault="00502C9F" w:rsidP="00502C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Fixed-broadband infrastructure forms the backbone of the Internet and is a cornerstone of digital transformation efforts. As part of ongoing research at ITU, the broadband map initiative provides an overview of fixed-broadband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7499DC13"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C7320D">
        <w:rPr>
          <w:rFonts w:ascii="AvenirNext LT Pro Light" w:eastAsia="Yu Gothic Light" w:hAnsi="AvenirNext LT Pro Light" w:cs="Calibri"/>
          <w:color w:val="0070C0"/>
          <w:spacing w:val="-10"/>
          <w:kern w:val="28"/>
          <w:szCs w:val="24"/>
        </w:rPr>
        <w:t>the</w:t>
      </w:r>
      <w:r w:rsidRPr="00C7320D">
        <w:rPr>
          <w:rFonts w:ascii="AvenirNext LT Pro Light" w:eastAsia="Yu Gothic Light" w:hAnsi="AvenirNext LT Pro Light" w:cs="Calibri"/>
          <w:color w:val="0070C0"/>
          <w:spacing w:val="-10"/>
          <w:kern w:val="28"/>
          <w:szCs w:val="24"/>
        </w:rPr>
        <w:t xml:space="preserve"> </w:t>
      </w:r>
      <w:r w:rsidR="00093C9A" w:rsidRPr="00C7320D">
        <w:rPr>
          <w:rFonts w:ascii="AvenirNext LT Pro Light" w:eastAsia="Yu Gothic Light" w:hAnsi="AvenirNext LT Pro Light" w:cs="Calibri"/>
          <w:color w:val="0070C0"/>
          <w:spacing w:val="-10"/>
          <w:kern w:val="28"/>
          <w:szCs w:val="24"/>
        </w:rPr>
        <w:t>Africa</w:t>
      </w:r>
      <w:r w:rsidRPr="00C7320D">
        <w:rPr>
          <w:rFonts w:ascii="AvenirNext LT Pro Light" w:eastAsia="Yu Gothic Light" w:hAnsi="AvenirNext LT Pro Light" w:cs="Calibri"/>
          <w:color w:val="0070C0"/>
          <w:spacing w:val="-10"/>
          <w:kern w:val="28"/>
          <w:szCs w:val="24"/>
        </w:rPr>
        <w:t xml:space="preserve"> region</w:t>
      </w:r>
    </w:p>
    <w:p w14:paraId="79B25A78" w14:textId="118F1E91" w:rsidR="00217F9C" w:rsidRPr="00C7320D" w:rsidRDefault="001B628A" w:rsidP="00B1004A">
      <w:pPr>
        <w:pStyle w:val="notetext"/>
      </w:pPr>
      <w:r>
        <w:rPr>
          <w:noProof/>
        </w:rPr>
        <w:drawing>
          <wp:inline distT="0" distB="0" distL="0" distR="0" wp14:anchorId="261A0B19" wp14:editId="661A76B8">
            <wp:extent cx="6191835" cy="5544921"/>
            <wp:effectExtent l="19050" t="19050" r="19050" b="17780"/>
            <wp:docPr id="210787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0428" cy="5552616"/>
                    </a:xfrm>
                    <a:prstGeom prst="rect">
                      <a:avLst/>
                    </a:prstGeom>
                    <a:noFill/>
                    <a:ln>
                      <a:solidFill>
                        <a:srgbClr val="00B0F0"/>
                      </a:solidFill>
                    </a:ln>
                  </pic:spPr>
                </pic:pic>
              </a:graphicData>
            </a:graphic>
          </wp:inline>
        </w:drawing>
      </w:r>
      <w:r w:rsidR="00217F9C" w:rsidRPr="00C7320D">
        <w:t xml:space="preserve">Note: The image reports active and planned submarine cables, and operational, planned and under-construction transmission networks (fibre-optic cable and microwave). </w:t>
      </w:r>
    </w:p>
    <w:p w14:paraId="4A459512" w14:textId="77777777" w:rsidR="00217F9C" w:rsidRPr="00C7320D" w:rsidRDefault="00217F9C" w:rsidP="00B1004A">
      <w:pPr>
        <w:pStyle w:val="notetext"/>
      </w:pPr>
      <w:r w:rsidRPr="00C7320D">
        <w:t>The designations employed and the presentation of material on the map do not imply the expression of any opinion whatsoever on the part of ITU or its secretariat concerning the legal status of the country, territory, city or area or its authorities, or concerning the delimitation of its frontiers or boundaries.</w:t>
      </w:r>
    </w:p>
    <w:p w14:paraId="6A74A788" w14:textId="3F528410" w:rsidR="00217F9C" w:rsidRPr="003F3462" w:rsidRDefault="00217F9C" w:rsidP="00B1004A">
      <w:pPr>
        <w:pStyle w:val="Sourcetext"/>
      </w:pPr>
      <w:r w:rsidRPr="003F3462">
        <w:t xml:space="preserve">Source: ITU, </w:t>
      </w:r>
      <w:hyperlink r:id="rId56" w:history="1">
        <w:r w:rsidRPr="003F3462">
          <w:rPr>
            <w:color w:val="467886"/>
            <w:u w:val="single"/>
          </w:rPr>
          <w:t>https://bbmaps.itu.int/app</w:t>
        </w:r>
      </w:hyperlink>
    </w:p>
    <w:p w14:paraId="71467098" w14:textId="6C566FF5" w:rsidR="00F418A4" w:rsidRPr="00C7320D" w:rsidRDefault="00F418A4" w:rsidP="00F418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 xml:space="preserve">Proximity to an optical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w:t>
      </w:r>
      <w:r w:rsidR="00096B0C" w:rsidRPr="00C7320D">
        <w:rPr>
          <w:rFonts w:ascii="Aptos" w:eastAsia="Aptos" w:hAnsi="Aptos" w:cs="Arial"/>
          <w:kern w:val="2"/>
          <w:sz w:val="22"/>
          <w:szCs w:val="22"/>
          <w14:ligatures w14:val="standardContextual"/>
        </w:rPr>
        <w:t>future proof</w:t>
      </w:r>
      <w:r w:rsidRPr="00C7320D">
        <w:rPr>
          <w:rFonts w:ascii="Aptos" w:eastAsia="Aptos" w:hAnsi="Aptos" w:cs="Arial"/>
          <w:kern w:val="2"/>
          <w:sz w:val="22"/>
          <w:szCs w:val="22"/>
          <w14:ligatures w14:val="standardContextual"/>
        </w:rPr>
        <w:t xml:space="preserve">. </w:t>
      </w:r>
    </w:p>
    <w:p w14:paraId="365A60CB" w14:textId="63034090" w:rsidR="00F418A4" w:rsidRPr="00C7320D" w:rsidRDefault="00F418A4" w:rsidP="00A3542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As of 2023, </w:t>
      </w:r>
      <w:r w:rsidR="00EC7A32" w:rsidRPr="00C7320D">
        <w:rPr>
          <w:rFonts w:ascii="Aptos" w:eastAsia="Aptos" w:hAnsi="Aptos" w:cs="Arial"/>
          <w:kern w:val="2"/>
          <w:sz w:val="22"/>
          <w:szCs w:val="22"/>
          <w14:ligatures w14:val="standardContextual"/>
        </w:rPr>
        <w:t>30</w:t>
      </w:r>
      <w:r w:rsidRPr="00C7320D">
        <w:rPr>
          <w:rFonts w:ascii="Aptos" w:eastAsia="Aptos" w:hAnsi="Aptos" w:cs="Arial"/>
          <w:kern w:val="2"/>
          <w:sz w:val="22"/>
          <w:szCs w:val="22"/>
          <w14:ligatures w14:val="standardContextual"/>
        </w:rPr>
        <w:t xml:space="preserve"> per cent of the population of the </w:t>
      </w:r>
      <w:r w:rsidR="00EC7A32" w:rsidRPr="00C7320D">
        <w:rPr>
          <w:rFonts w:ascii="Aptos" w:eastAsia="Aptos" w:hAnsi="Aptos" w:cs="Arial"/>
          <w:kern w:val="2"/>
          <w:sz w:val="22"/>
          <w:szCs w:val="22"/>
          <w14:ligatures w14:val="standardContextual"/>
        </w:rPr>
        <w:t>Africa</w:t>
      </w:r>
      <w:r w:rsidRPr="00C7320D">
        <w:rPr>
          <w:rFonts w:ascii="Aptos" w:eastAsia="Aptos" w:hAnsi="Aptos" w:cs="Arial"/>
          <w:kern w:val="2"/>
          <w:sz w:val="22"/>
          <w:szCs w:val="22"/>
          <w14:ligatures w14:val="standardContextual"/>
        </w:rPr>
        <w:t xml:space="preserve"> region lived within 10 km of an optical fibre node. </w:t>
      </w:r>
      <w:r w:rsidR="00350FED" w:rsidRPr="00C7320D">
        <w:rPr>
          <w:rFonts w:ascii="Aptos" w:eastAsia="Aptos" w:hAnsi="Aptos" w:cs="Arial"/>
          <w:kern w:val="2"/>
          <w:sz w:val="22"/>
          <w:szCs w:val="22"/>
          <w14:ligatures w14:val="standardContextual"/>
        </w:rPr>
        <w:t xml:space="preserve">Half of the population </w:t>
      </w:r>
      <w:r w:rsidRPr="00C7320D">
        <w:rPr>
          <w:rFonts w:ascii="Aptos" w:eastAsia="Aptos" w:hAnsi="Aptos" w:cs="Arial"/>
          <w:kern w:val="2"/>
          <w:sz w:val="22"/>
          <w:szCs w:val="22"/>
          <w14:ligatures w14:val="standardContextual"/>
        </w:rPr>
        <w:t>(</w:t>
      </w:r>
      <w:r w:rsidR="00350FED" w:rsidRPr="00C7320D">
        <w:rPr>
          <w:rFonts w:ascii="Aptos" w:eastAsia="Aptos" w:hAnsi="Aptos" w:cs="Arial"/>
          <w:kern w:val="2"/>
          <w:sz w:val="22"/>
          <w:szCs w:val="22"/>
          <w14:ligatures w14:val="standardContextual"/>
        </w:rPr>
        <w:t>49</w:t>
      </w:r>
      <w:r w:rsidRPr="00C7320D">
        <w:rPr>
          <w:rFonts w:ascii="Aptos" w:eastAsia="Aptos" w:hAnsi="Aptos" w:cs="Arial"/>
          <w:kern w:val="2"/>
          <w:sz w:val="22"/>
          <w:szCs w:val="22"/>
          <w14:ligatures w14:val="standardContextual"/>
        </w:rPr>
        <w:t xml:space="preserve"> per cent) lived within </w:t>
      </w:r>
      <w:r w:rsidR="00A676D3" w:rsidRPr="00C7320D">
        <w:rPr>
          <w:rFonts w:ascii="Aptos" w:eastAsia="Aptos" w:hAnsi="Aptos" w:cs="Arial"/>
          <w:kern w:val="2"/>
          <w:sz w:val="22"/>
          <w:szCs w:val="22"/>
          <w14:ligatures w14:val="standardContextual"/>
        </w:rPr>
        <w:t>2</w:t>
      </w:r>
      <w:r w:rsidRPr="00C7320D">
        <w:rPr>
          <w:rFonts w:ascii="Aptos" w:eastAsia="Aptos" w:hAnsi="Aptos" w:cs="Arial"/>
          <w:kern w:val="2"/>
          <w:sz w:val="22"/>
          <w:szCs w:val="22"/>
          <w14:ligatures w14:val="standardContextual"/>
        </w:rPr>
        <w:t>5 km,</w:t>
      </w:r>
      <w:r w:rsidR="00A676D3" w:rsidRPr="00C7320D">
        <w:rPr>
          <w:rFonts w:ascii="Aptos" w:eastAsia="Aptos" w:hAnsi="Aptos" w:cs="Arial"/>
          <w:kern w:val="2"/>
          <w:sz w:val="22"/>
          <w:szCs w:val="22"/>
          <w14:ligatures w14:val="standardContextual"/>
        </w:rPr>
        <w:t xml:space="preserve"> two-thirds</w:t>
      </w:r>
      <w:r w:rsidR="00A35424" w:rsidRPr="00C7320D">
        <w:rPr>
          <w:rFonts w:ascii="Aptos" w:eastAsia="Aptos" w:hAnsi="Aptos" w:cs="Arial"/>
          <w:kern w:val="2"/>
          <w:sz w:val="22"/>
          <w:szCs w:val="22"/>
          <w14:ligatures w14:val="standardContextual"/>
        </w:rPr>
        <w:t xml:space="preserve"> (67</w:t>
      </w:r>
      <w:r w:rsidRPr="00C7320D">
        <w:rPr>
          <w:rFonts w:ascii="Aptos" w:eastAsia="Aptos" w:hAnsi="Aptos" w:cs="Arial"/>
          <w:kern w:val="2"/>
          <w:sz w:val="22"/>
          <w:szCs w:val="22"/>
          <w14:ligatures w14:val="standardContextual"/>
        </w:rPr>
        <w:t xml:space="preserve"> per cent</w:t>
      </w:r>
      <w:r w:rsidR="00A35424" w:rsidRPr="00C7320D">
        <w:rPr>
          <w:rFonts w:ascii="Aptos" w:eastAsia="Aptos" w:hAnsi="Aptos" w:cs="Arial"/>
          <w:kern w:val="2"/>
          <w:sz w:val="22"/>
          <w:szCs w:val="22"/>
          <w14:ligatures w14:val="standardContextual"/>
        </w:rPr>
        <w:t>)</w:t>
      </w:r>
      <w:r w:rsidRPr="00C7320D">
        <w:rPr>
          <w:rFonts w:ascii="Aptos" w:eastAsia="Aptos" w:hAnsi="Aptos" w:cs="Arial"/>
          <w:kern w:val="2"/>
          <w:sz w:val="22"/>
          <w:szCs w:val="22"/>
          <w14:ligatures w14:val="standardContextual"/>
        </w:rPr>
        <w:t xml:space="preserve"> within 50 km and </w:t>
      </w:r>
      <w:r w:rsidR="00A35424" w:rsidRPr="00C7320D">
        <w:rPr>
          <w:rFonts w:ascii="Aptos" w:eastAsia="Aptos" w:hAnsi="Aptos" w:cs="Arial"/>
          <w:kern w:val="2"/>
          <w:sz w:val="22"/>
          <w:szCs w:val="22"/>
          <w14:ligatures w14:val="standardContextual"/>
        </w:rPr>
        <w:t xml:space="preserve">four in five people </w:t>
      </w:r>
      <w:r w:rsidRPr="00C7320D">
        <w:rPr>
          <w:rFonts w:ascii="Aptos" w:eastAsia="Aptos" w:hAnsi="Aptos" w:cs="Arial"/>
          <w:kern w:val="2"/>
          <w:sz w:val="22"/>
          <w:szCs w:val="22"/>
          <w14:ligatures w14:val="standardContextual"/>
        </w:rPr>
        <w:t>(</w:t>
      </w:r>
      <w:r w:rsidR="00A35424" w:rsidRPr="00C7320D">
        <w:rPr>
          <w:rFonts w:ascii="Aptos" w:eastAsia="Aptos" w:hAnsi="Aptos" w:cs="Arial"/>
          <w:kern w:val="2"/>
          <w:sz w:val="22"/>
          <w:szCs w:val="22"/>
          <w14:ligatures w14:val="standardContextual"/>
        </w:rPr>
        <w:t>79</w:t>
      </w:r>
      <w:r w:rsidRPr="00C7320D">
        <w:rPr>
          <w:rFonts w:ascii="Aptos" w:eastAsia="Aptos" w:hAnsi="Aptos" w:cs="Arial"/>
          <w:kern w:val="2"/>
          <w:sz w:val="22"/>
          <w:szCs w:val="22"/>
          <w14:ligatures w14:val="standardContextual"/>
        </w:rPr>
        <w:t xml:space="preserve"> per cent) within 100 km of a node.</w:t>
      </w:r>
      <w:r w:rsidR="00A35424" w:rsidRPr="00C7320D">
        <w:rPr>
          <w:rFonts w:ascii="Aptos" w:eastAsia="Aptos" w:hAnsi="Aptos" w:cs="Arial"/>
          <w:kern w:val="2"/>
          <w:sz w:val="22"/>
          <w:szCs w:val="22"/>
          <w14:ligatures w14:val="standardContextual"/>
        </w:rPr>
        <w:t xml:space="preserve"> </w:t>
      </w:r>
    </w:p>
    <w:p w14:paraId="4509CB36" w14:textId="77777777"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C7320D">
        <w:rPr>
          <w:rFonts w:ascii="Aptos" w:eastAsia="Aptos" w:hAnsi="Aptos" w:cs="Arial"/>
          <w:color w:val="0070C0"/>
          <w:kern w:val="2"/>
          <w:sz w:val="22"/>
          <w:szCs w:val="22"/>
          <w14:ligatures w14:val="standardContextual"/>
        </w:rPr>
        <w:t>Percentage of population within reach of a fibre node, 2023</w:t>
      </w:r>
    </w:p>
    <w:p w14:paraId="007FFF84" w14:textId="0305980A" w:rsidR="006C41B5" w:rsidRPr="00C7320D" w:rsidRDefault="000014FA" w:rsidP="00B1004A">
      <w:pPr>
        <w:pStyle w:val="notetext"/>
      </w:pPr>
      <w:r w:rsidRPr="00C7320D">
        <w:rPr>
          <w:noProof/>
        </w:rPr>
        <w:drawing>
          <wp:inline distT="0" distB="0" distL="0" distR="0" wp14:anchorId="08A66006" wp14:editId="483D4E06">
            <wp:extent cx="6120765" cy="3466465"/>
            <wp:effectExtent l="0" t="0" r="0" b="635"/>
            <wp:docPr id="4983209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093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6120765" cy="3466465"/>
                    </a:xfrm>
                    <a:prstGeom prst="rect">
                      <a:avLst/>
                    </a:prstGeom>
                  </pic:spPr>
                </pic:pic>
              </a:graphicData>
            </a:graphic>
          </wp:inline>
        </w:drawing>
      </w:r>
      <w:r w:rsidR="006C41B5" w:rsidRPr="00C7320D">
        <w:t xml:space="preserve">Note: The percentage of population within reach of transmission networks refers to the percentage of people that are within physical reach of nodes on core terrestrial transmission networks for a given distance (see </w:t>
      </w:r>
      <w:hyperlink r:id="rId59" w:history="1">
        <w:r w:rsidR="006C41B5" w:rsidRPr="00C7320D">
          <w:rPr>
            <w:color w:val="467886"/>
            <w:u w:val="single"/>
          </w:rPr>
          <w:t>https://bbmaps.itu.int/indicators-bbmaps</w:t>
        </w:r>
      </w:hyperlink>
      <w:r w:rsidR="006C41B5" w:rsidRPr="00C7320D">
        <w:t>).</w:t>
      </w:r>
    </w:p>
    <w:p w14:paraId="497A0B8C" w14:textId="77777777" w:rsidR="006C41B5" w:rsidRPr="00C7320D" w:rsidRDefault="006C41B5" w:rsidP="00B1004A">
      <w:pPr>
        <w:pStyle w:val="Sourcetext"/>
      </w:pPr>
      <w:r w:rsidRPr="00C7320D">
        <w:t>Source: ITU</w:t>
      </w:r>
    </w:p>
    <w:p w14:paraId="6A19D439" w14:textId="77777777"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br w:type="page"/>
      </w:r>
    </w:p>
    <w:p w14:paraId="7BEF7641" w14:textId="25555F80" w:rsidR="006C41B5" w:rsidRPr="00C7320D" w:rsidRDefault="006C41B5" w:rsidP="000C3666">
      <w:pPr>
        <w:pStyle w:val="Section"/>
      </w:pPr>
      <w:bookmarkStart w:id="13" w:name="_Toc191378083"/>
      <w:r w:rsidRPr="00C7320D">
        <w:lastRenderedPageBreak/>
        <w:t>Internet traffic</w:t>
      </w:r>
      <w:r w:rsidR="004575FD" w:rsidRPr="00C7320D">
        <w:t xml:space="preserve"> and international bandwidth</w:t>
      </w:r>
      <w:bookmarkEnd w:id="13"/>
    </w:p>
    <w:p w14:paraId="2C989CDE" w14:textId="2C58CD70"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i/>
          <w:kern w:val="2"/>
          <w:sz w:val="22"/>
          <w:szCs w:val="22"/>
          <w14:ligatures w14:val="standardContextual"/>
        </w:rPr>
        <w:t xml:space="preserve">Internet traffic </w:t>
      </w:r>
      <w:r w:rsidR="005774BA" w:rsidRPr="00C7320D">
        <w:rPr>
          <w:rFonts w:ascii="Aptos" w:eastAsia="Aptos" w:hAnsi="Aptos" w:cs="Arial"/>
          <w:b/>
          <w:i/>
          <w:kern w:val="2"/>
          <w:sz w:val="22"/>
          <w:szCs w:val="22"/>
          <w14:ligatures w14:val="standardContextual"/>
        </w:rPr>
        <w:t>at low levels in</w:t>
      </w:r>
      <w:r w:rsidRPr="00C7320D">
        <w:rPr>
          <w:rFonts w:ascii="Aptos" w:eastAsia="Aptos" w:hAnsi="Aptos" w:cs="Arial"/>
          <w:b/>
          <w:i/>
          <w:kern w:val="2"/>
          <w:sz w:val="22"/>
          <w:szCs w:val="22"/>
          <w14:ligatures w14:val="standardContextual"/>
        </w:rPr>
        <w:t xml:space="preserve"> </w:t>
      </w:r>
      <w:r w:rsidR="00093C9A" w:rsidRPr="00C7320D">
        <w:rPr>
          <w:rFonts w:ascii="Aptos" w:eastAsia="Aptos" w:hAnsi="Aptos" w:cs="Arial"/>
          <w:b/>
          <w:i/>
          <w:kern w:val="2"/>
          <w:sz w:val="22"/>
          <w:szCs w:val="22"/>
          <w14:ligatures w14:val="standardContextual"/>
        </w:rPr>
        <w:t>Africa</w:t>
      </w:r>
      <w:r w:rsidRPr="00C7320D">
        <w:rPr>
          <w:rFonts w:ascii="Aptos" w:eastAsia="Aptos" w:hAnsi="Aptos" w:cs="Arial"/>
          <w:b/>
          <w:i/>
          <w:kern w:val="2"/>
          <w:sz w:val="22"/>
          <w:szCs w:val="22"/>
          <w14:ligatures w14:val="standardContextual"/>
        </w:rPr>
        <w:t xml:space="preserve"> </w:t>
      </w:r>
    </w:p>
    <w:p w14:paraId="75C6B0DC" w14:textId="77777777"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C7320D" w14:paraId="0871D4BA" w14:textId="77777777" w:rsidTr="00165D1E">
        <w:tc>
          <w:tcPr>
            <w:tcW w:w="4566" w:type="dxa"/>
          </w:tcPr>
          <w:p w14:paraId="44995B69" w14:textId="14193D09" w:rsidR="006C41B5" w:rsidRPr="00C7320D" w:rsidRDefault="006C41B5" w:rsidP="006A0D3F">
            <w:pPr>
              <w:jc w:val="center"/>
              <w:rPr>
                <w:rFonts w:ascii="Aptos" w:hAnsi="Aptos"/>
                <w:sz w:val="22"/>
              </w:rPr>
            </w:pPr>
            <w:r w:rsidRPr="00C7320D">
              <w:rPr>
                <w:rFonts w:ascii="Aptos" w:hAnsi="Aptos"/>
                <w:b/>
                <w:sz w:val="22"/>
              </w:rPr>
              <w:t>Mobile</w:t>
            </w:r>
            <w:r w:rsidR="007D1D96" w:rsidRPr="00C7320D">
              <w:rPr>
                <w:noProof/>
              </w:rPr>
              <w:t xml:space="preserve"> </w:t>
            </w:r>
            <w:r w:rsidR="007D1D96" w:rsidRPr="00C7320D">
              <w:rPr>
                <w:noProof/>
              </w:rPr>
              <w:drawing>
                <wp:inline distT="0" distB="0" distL="0" distR="0" wp14:anchorId="314F799F" wp14:editId="50F9A419">
                  <wp:extent cx="2667000" cy="2667000"/>
                  <wp:effectExtent l="0" t="0" r="0" b="0"/>
                  <wp:docPr id="1709655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5539"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667000" cy="2667000"/>
                          </a:xfrm>
                          <a:prstGeom prst="rect">
                            <a:avLst/>
                          </a:prstGeom>
                        </pic:spPr>
                      </pic:pic>
                    </a:graphicData>
                  </a:graphic>
                </wp:inline>
              </w:drawing>
            </w:r>
          </w:p>
        </w:tc>
        <w:tc>
          <w:tcPr>
            <w:tcW w:w="4450" w:type="dxa"/>
          </w:tcPr>
          <w:p w14:paraId="2E58318E" w14:textId="4A251374" w:rsidR="006C41B5" w:rsidRPr="00C7320D" w:rsidRDefault="006C41B5" w:rsidP="006A0D3F">
            <w:pPr>
              <w:jc w:val="center"/>
              <w:rPr>
                <w:rFonts w:ascii="Aptos" w:hAnsi="Aptos"/>
                <w:sz w:val="22"/>
              </w:rPr>
            </w:pPr>
            <w:r w:rsidRPr="00C7320D">
              <w:rPr>
                <w:rFonts w:ascii="Aptos" w:hAnsi="Aptos"/>
                <w:b/>
                <w:sz w:val="22"/>
              </w:rPr>
              <w:t>Fixed</w:t>
            </w:r>
            <w:r w:rsidR="00165D1E" w:rsidRPr="00C7320D">
              <w:rPr>
                <w:noProof/>
              </w:rPr>
              <w:t xml:space="preserve"> </w:t>
            </w:r>
            <w:r w:rsidR="00165D1E" w:rsidRPr="00C7320D">
              <w:rPr>
                <w:noProof/>
              </w:rPr>
              <w:drawing>
                <wp:inline distT="0" distB="0" distL="0" distR="0" wp14:anchorId="4A7CAACC" wp14:editId="2BB1415B">
                  <wp:extent cx="2667000" cy="2667000"/>
                  <wp:effectExtent l="0" t="0" r="0" b="0"/>
                  <wp:docPr id="11636868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86832"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C7320D" w:rsidRDefault="006C41B5" w:rsidP="00B1004A">
      <w:pPr>
        <w:pStyle w:val="Sourcetext"/>
      </w:pPr>
      <w:r w:rsidRPr="00C7320D">
        <w:t>Source: ITU</w:t>
      </w:r>
    </w:p>
    <w:p w14:paraId="37BA1222" w14:textId="77777777" w:rsidR="0087338F" w:rsidRPr="00C7320D" w:rsidRDefault="0087338F" w:rsidP="0087338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Internet traffic measures the total volume of data downloaded or uploaded by end users 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 device traffic routed over Wi-Fi when available.</w:t>
      </w:r>
    </w:p>
    <w:p w14:paraId="785682A2" w14:textId="364B6000" w:rsidR="0087338F" w:rsidRPr="00C7320D" w:rsidRDefault="00C93334" w:rsidP="0087338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Not only is Africa the region with the lowest Internet use </w:t>
      </w:r>
      <w:r w:rsidR="00BF5EA7" w:rsidRPr="00C7320D">
        <w:rPr>
          <w:rFonts w:ascii="Aptos" w:eastAsia="Aptos" w:hAnsi="Aptos" w:cs="Arial"/>
          <w:kern w:val="2"/>
          <w:sz w:val="22"/>
          <w:szCs w:val="22"/>
          <w14:ligatures w14:val="standardContextual"/>
        </w:rPr>
        <w:t xml:space="preserve">penetration rates, </w:t>
      </w:r>
      <w:r w:rsidR="005E222A" w:rsidRPr="00C7320D">
        <w:rPr>
          <w:rFonts w:ascii="Aptos" w:eastAsia="Aptos" w:hAnsi="Aptos" w:cs="Arial"/>
          <w:kern w:val="2"/>
          <w:sz w:val="22"/>
          <w:szCs w:val="22"/>
          <w14:ligatures w14:val="standardContextual"/>
        </w:rPr>
        <w:t>but it</w:t>
      </w:r>
      <w:r w:rsidR="00BF5EA7" w:rsidRPr="00C7320D">
        <w:rPr>
          <w:rFonts w:ascii="Aptos" w:eastAsia="Aptos" w:hAnsi="Aptos" w:cs="Arial"/>
          <w:kern w:val="2"/>
          <w:sz w:val="22"/>
          <w:szCs w:val="22"/>
          <w14:ligatures w14:val="standardContextual"/>
        </w:rPr>
        <w:t xml:space="preserve"> is also the region where the lowest amount of data is consumed. </w:t>
      </w:r>
      <w:r w:rsidR="0087338F" w:rsidRPr="00C7320D">
        <w:rPr>
          <w:rFonts w:ascii="Aptos" w:eastAsia="Aptos" w:hAnsi="Aptos" w:cs="Arial"/>
          <w:kern w:val="2"/>
          <w:sz w:val="22"/>
          <w:szCs w:val="22"/>
          <w14:ligatures w14:val="standardContextual"/>
        </w:rPr>
        <w:t xml:space="preserve">Between 2019 and 2024 monthly mobile broadband traffic in the region increased from </w:t>
      </w:r>
      <w:r w:rsidR="003F578C" w:rsidRPr="00C7320D">
        <w:rPr>
          <w:rFonts w:ascii="Aptos" w:eastAsia="Aptos" w:hAnsi="Aptos" w:cs="Arial"/>
          <w:kern w:val="2"/>
          <w:sz w:val="22"/>
          <w:szCs w:val="22"/>
          <w14:ligatures w14:val="standardContextual"/>
        </w:rPr>
        <w:t>0.9</w:t>
      </w:r>
      <w:r w:rsidR="0087338F" w:rsidRPr="00C7320D">
        <w:rPr>
          <w:rFonts w:ascii="Aptos" w:eastAsia="Aptos" w:hAnsi="Aptos" w:cs="Arial"/>
          <w:kern w:val="2"/>
          <w:sz w:val="22"/>
          <w:szCs w:val="22"/>
          <w14:ligatures w14:val="standardContextual"/>
        </w:rPr>
        <w:t xml:space="preserve"> to </w:t>
      </w:r>
      <w:r w:rsidR="00865ED7" w:rsidRPr="00C7320D">
        <w:rPr>
          <w:rFonts w:ascii="Aptos" w:eastAsia="Aptos" w:hAnsi="Aptos" w:cs="Arial"/>
          <w:kern w:val="2"/>
          <w:sz w:val="22"/>
          <w:szCs w:val="22"/>
          <w14:ligatures w14:val="standardContextual"/>
        </w:rPr>
        <w:t>3</w:t>
      </w:r>
      <w:r w:rsidR="0087338F" w:rsidRPr="00C7320D">
        <w:rPr>
          <w:rFonts w:ascii="Aptos" w:eastAsia="Aptos" w:hAnsi="Aptos" w:cs="Arial"/>
          <w:kern w:val="2"/>
          <w:sz w:val="22"/>
          <w:szCs w:val="22"/>
          <w14:ligatures w14:val="standardContextual"/>
        </w:rPr>
        <w:t xml:space="preserve"> gigabytes (GB) per mobile broadband subscription, during which time global traffic increased from 6 to 14 GB per mobile broadband subscription. </w:t>
      </w:r>
      <w:r w:rsidR="00C2136A" w:rsidRPr="00C7320D">
        <w:rPr>
          <w:rFonts w:ascii="Aptos" w:eastAsia="Aptos" w:hAnsi="Aptos" w:cs="Arial"/>
          <w:kern w:val="2"/>
          <w:sz w:val="22"/>
          <w:szCs w:val="22"/>
          <w14:ligatures w14:val="standardContextual"/>
        </w:rPr>
        <w:t xml:space="preserve">Similar </w:t>
      </w:r>
      <w:r w:rsidR="0087338F" w:rsidRPr="00C7320D">
        <w:rPr>
          <w:rFonts w:ascii="Aptos" w:eastAsia="Aptos" w:hAnsi="Aptos" w:cs="Arial"/>
          <w:kern w:val="2"/>
          <w:sz w:val="22"/>
          <w:szCs w:val="22"/>
          <w14:ligatures w14:val="standardContextual"/>
        </w:rPr>
        <w:t xml:space="preserve">for fixed broadband traffic, which in </w:t>
      </w:r>
      <w:r w:rsidR="00C2136A" w:rsidRPr="00C7320D">
        <w:rPr>
          <w:rFonts w:ascii="Aptos" w:eastAsia="Aptos" w:hAnsi="Aptos" w:cs="Arial"/>
          <w:kern w:val="2"/>
          <w:sz w:val="22"/>
          <w:szCs w:val="22"/>
          <w14:ligatures w14:val="standardContextual"/>
        </w:rPr>
        <w:t xml:space="preserve">Africa </w:t>
      </w:r>
      <w:r w:rsidR="0087338F" w:rsidRPr="00C7320D">
        <w:rPr>
          <w:rFonts w:ascii="Aptos" w:eastAsia="Aptos" w:hAnsi="Aptos" w:cs="Arial"/>
          <w:kern w:val="2"/>
          <w:sz w:val="22"/>
          <w:szCs w:val="22"/>
          <w14:ligatures w14:val="standardContextual"/>
        </w:rPr>
        <w:t xml:space="preserve">increased from a monthly </w:t>
      </w:r>
      <w:r w:rsidR="00CB7FA2" w:rsidRPr="00C7320D">
        <w:rPr>
          <w:rFonts w:ascii="Aptos" w:eastAsia="Aptos" w:hAnsi="Aptos" w:cs="Arial"/>
          <w:kern w:val="2"/>
          <w:sz w:val="22"/>
          <w:szCs w:val="22"/>
          <w14:ligatures w14:val="standardContextual"/>
        </w:rPr>
        <w:t>7</w:t>
      </w:r>
      <w:r w:rsidR="0087338F" w:rsidRPr="00C7320D">
        <w:rPr>
          <w:rFonts w:ascii="Aptos" w:eastAsia="Aptos" w:hAnsi="Aptos" w:cs="Arial"/>
          <w:kern w:val="2"/>
          <w:sz w:val="22"/>
          <w:szCs w:val="22"/>
          <w14:ligatures w14:val="standardContextual"/>
        </w:rPr>
        <w:t xml:space="preserve">7 GB to </w:t>
      </w:r>
      <w:r w:rsidR="00CB7FA2" w:rsidRPr="00C7320D">
        <w:rPr>
          <w:rFonts w:ascii="Aptos" w:eastAsia="Aptos" w:hAnsi="Aptos" w:cs="Arial"/>
          <w:kern w:val="2"/>
          <w:sz w:val="22"/>
          <w:szCs w:val="22"/>
          <w14:ligatures w14:val="standardContextual"/>
        </w:rPr>
        <w:t xml:space="preserve">159 </w:t>
      </w:r>
      <w:r w:rsidR="0087338F" w:rsidRPr="00C7320D">
        <w:rPr>
          <w:rFonts w:ascii="Aptos" w:eastAsia="Aptos" w:hAnsi="Aptos" w:cs="Arial"/>
          <w:kern w:val="2"/>
          <w:sz w:val="22"/>
          <w:szCs w:val="22"/>
          <w14:ligatures w14:val="standardContextual"/>
        </w:rPr>
        <w:t>GB per subscription, while globally it increased from 141 to 311 GB.</w:t>
      </w:r>
    </w:p>
    <w:p w14:paraId="14001702" w14:textId="7BCD029A"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C7320D">
        <w:rPr>
          <w:rFonts w:ascii="AvenirNext LT Pro Light" w:eastAsia="Yu Gothic Light" w:hAnsi="AvenirNext LT Pro Light" w:cs="Calibri"/>
          <w:color w:val="0070C0"/>
          <w:spacing w:val="-10"/>
          <w:kern w:val="28"/>
          <w:sz w:val="22"/>
          <w:szCs w:val="22"/>
        </w:rPr>
        <w:lastRenderedPageBreak/>
        <w:t xml:space="preserve">Mobile-broadband Internet traffic (GB) per subscription per month, </w:t>
      </w:r>
      <w:r w:rsidR="008D4391" w:rsidRPr="00C7320D">
        <w:rPr>
          <w:rFonts w:ascii="AvenirNext LT Pro Light" w:eastAsia="Yu Gothic Light" w:hAnsi="AvenirNext LT Pro Light" w:cs="Calibri"/>
          <w:color w:val="0070C0"/>
          <w:spacing w:val="-10"/>
          <w:kern w:val="28"/>
          <w:sz w:val="22"/>
          <w:szCs w:val="22"/>
        </w:rPr>
        <w:t xml:space="preserve">2023 or </w:t>
      </w:r>
      <w:r w:rsidRPr="00C7320D">
        <w:rPr>
          <w:rFonts w:ascii="AvenirNext LT Pro Light" w:eastAsia="Yu Gothic Light" w:hAnsi="AvenirNext LT Pro Light" w:cs="Calibri"/>
          <w:color w:val="0070C0"/>
          <w:spacing w:val="-10"/>
          <w:kern w:val="28"/>
          <w:sz w:val="22"/>
          <w:szCs w:val="22"/>
        </w:rPr>
        <w:t>latest year available</w:t>
      </w:r>
    </w:p>
    <w:p w14:paraId="4D5BAEB9" w14:textId="66CEF2EA" w:rsidR="006C41B5" w:rsidRPr="00C7320D" w:rsidRDefault="00C20BA7" w:rsidP="00B1004A">
      <w:pPr>
        <w:pStyle w:val="notetext"/>
      </w:pPr>
      <w:r w:rsidRPr="00C7320D">
        <w:rPr>
          <w:noProof/>
        </w:rPr>
        <w:drawing>
          <wp:inline distT="0" distB="0" distL="0" distR="0" wp14:anchorId="2C49E9D4" wp14:editId="2F024C3C">
            <wp:extent cx="6120765" cy="2835275"/>
            <wp:effectExtent l="0" t="0" r="0" b="3175"/>
            <wp:docPr id="9055901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90150"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6120765" cy="2835275"/>
                    </a:xfrm>
                    <a:prstGeom prst="rect">
                      <a:avLst/>
                    </a:prstGeom>
                  </pic:spPr>
                </pic:pic>
              </a:graphicData>
            </a:graphic>
          </wp:inline>
        </w:drawing>
      </w:r>
      <w:r w:rsidR="006C41B5" w:rsidRPr="00C7320D">
        <w:t xml:space="preserve">Note: Internet traffic originating within country. </w:t>
      </w:r>
    </w:p>
    <w:p w14:paraId="514ACA52" w14:textId="77777777" w:rsidR="006C41B5" w:rsidRPr="00C7320D" w:rsidRDefault="006C41B5" w:rsidP="00B1004A">
      <w:pPr>
        <w:pStyle w:val="Sourcetext"/>
      </w:pPr>
      <w:r w:rsidRPr="00C7320D">
        <w:t>Source: ITU</w:t>
      </w:r>
    </w:p>
    <w:p w14:paraId="3C904427" w14:textId="5DED7C38" w:rsidR="00407629" w:rsidRPr="00C7320D" w:rsidRDefault="00407629" w:rsidP="0040762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region exhibits </w:t>
      </w:r>
      <w:r w:rsidR="00717013" w:rsidRPr="00C7320D">
        <w:rPr>
          <w:rFonts w:ascii="Aptos" w:eastAsia="Aptos" w:hAnsi="Aptos" w:cs="Arial"/>
          <w:kern w:val="2"/>
          <w:sz w:val="22"/>
          <w:szCs w:val="22"/>
          <w14:ligatures w14:val="standardContextual"/>
        </w:rPr>
        <w:t xml:space="preserve">some </w:t>
      </w:r>
      <w:r w:rsidRPr="00C7320D">
        <w:rPr>
          <w:rFonts w:ascii="Aptos" w:eastAsia="Aptos" w:hAnsi="Aptos" w:cs="Arial"/>
          <w:kern w:val="2"/>
          <w:sz w:val="22"/>
          <w:szCs w:val="22"/>
          <w14:ligatures w14:val="standardContextual"/>
        </w:rPr>
        <w:t xml:space="preserve">variety when it comes to traffic indicators. Mobile broadband traffic ranged from </w:t>
      </w:r>
      <w:r w:rsidR="00AE0ED7" w:rsidRPr="00C7320D">
        <w:rPr>
          <w:rFonts w:ascii="Aptos" w:eastAsia="Aptos" w:hAnsi="Aptos" w:cs="Arial"/>
          <w:kern w:val="2"/>
          <w:sz w:val="22"/>
          <w:szCs w:val="22"/>
          <w14:ligatures w14:val="standardContextual"/>
        </w:rPr>
        <w:t>0.1</w:t>
      </w:r>
      <w:r w:rsidRPr="00C7320D">
        <w:rPr>
          <w:rFonts w:ascii="Aptos" w:eastAsia="Aptos" w:hAnsi="Aptos" w:cs="Arial"/>
          <w:kern w:val="2"/>
          <w:sz w:val="22"/>
          <w:szCs w:val="22"/>
          <w14:ligatures w14:val="standardContextual"/>
        </w:rPr>
        <w:t xml:space="preserve"> GB </w:t>
      </w:r>
      <w:r w:rsidR="00BA6FB0" w:rsidRPr="00C7320D">
        <w:rPr>
          <w:rFonts w:ascii="Aptos" w:eastAsia="Aptos" w:hAnsi="Aptos" w:cs="Arial"/>
          <w:kern w:val="2"/>
          <w:sz w:val="22"/>
          <w:szCs w:val="22"/>
          <w14:ligatures w14:val="standardContextual"/>
        </w:rPr>
        <w:t xml:space="preserve">to 32 GB </w:t>
      </w:r>
      <w:r w:rsidRPr="00C7320D">
        <w:rPr>
          <w:rFonts w:ascii="Aptos" w:eastAsia="Aptos" w:hAnsi="Aptos" w:cs="Arial"/>
          <w:kern w:val="2"/>
          <w:sz w:val="22"/>
          <w:szCs w:val="22"/>
          <w14:ligatures w14:val="standardContextual"/>
        </w:rPr>
        <w:t xml:space="preserve">per subscription per month. For fixed broadband traffic, the spread was from </w:t>
      </w:r>
      <w:r w:rsidR="000A4B84" w:rsidRPr="00C7320D">
        <w:rPr>
          <w:rFonts w:ascii="Aptos" w:eastAsia="Aptos" w:hAnsi="Aptos" w:cs="Arial"/>
          <w:kern w:val="2"/>
          <w:sz w:val="22"/>
          <w:szCs w:val="22"/>
          <w14:ligatures w14:val="standardContextual"/>
        </w:rPr>
        <w:t>almost 0</w:t>
      </w:r>
      <w:r w:rsidRPr="00C7320D">
        <w:rPr>
          <w:rFonts w:ascii="Aptos" w:eastAsia="Aptos" w:hAnsi="Aptos" w:cs="Arial"/>
          <w:kern w:val="2"/>
          <w:sz w:val="22"/>
          <w:szCs w:val="22"/>
          <w14:ligatures w14:val="standardContextual"/>
        </w:rPr>
        <w:t xml:space="preserve"> to 4</w:t>
      </w:r>
      <w:r w:rsidR="000A4B84" w:rsidRPr="00C7320D">
        <w:rPr>
          <w:rFonts w:ascii="Aptos" w:eastAsia="Aptos" w:hAnsi="Aptos" w:cs="Arial"/>
          <w:kern w:val="2"/>
          <w:sz w:val="22"/>
          <w:szCs w:val="22"/>
          <w14:ligatures w14:val="standardContextual"/>
        </w:rPr>
        <w:t>74</w:t>
      </w:r>
      <w:r w:rsidRPr="00C7320D">
        <w:rPr>
          <w:rFonts w:ascii="Aptos" w:eastAsia="Aptos" w:hAnsi="Aptos" w:cs="Arial"/>
          <w:kern w:val="2"/>
          <w:sz w:val="22"/>
          <w:szCs w:val="22"/>
          <w14:ligatures w14:val="standardContextual"/>
        </w:rPr>
        <w:t xml:space="preserve"> GB per subscription per month. </w:t>
      </w:r>
    </w:p>
    <w:p w14:paraId="6E9B4B6F" w14:textId="4BE6A543"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Fixed-broadband Internet traffic per subscription per month (GB), </w:t>
      </w:r>
      <w:r w:rsidR="008D4391"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4D7492D8" w14:textId="11130F2D" w:rsidR="006C41B5" w:rsidRPr="00C7320D" w:rsidRDefault="00487CF2" w:rsidP="00B1004A">
      <w:pPr>
        <w:pStyle w:val="Sourcetext"/>
      </w:pPr>
      <w:r w:rsidRPr="00C7320D">
        <w:rPr>
          <w:noProof/>
        </w:rPr>
        <w:drawing>
          <wp:inline distT="0" distB="0" distL="0" distR="0" wp14:anchorId="2339EE6B" wp14:editId="46D6601F">
            <wp:extent cx="6120765" cy="2858135"/>
            <wp:effectExtent l="0" t="0" r="0" b="0"/>
            <wp:docPr id="3710581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58135"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120765" cy="2858135"/>
                    </a:xfrm>
                    <a:prstGeom prst="rect">
                      <a:avLst/>
                    </a:prstGeom>
                  </pic:spPr>
                </pic:pic>
              </a:graphicData>
            </a:graphic>
          </wp:inline>
        </w:drawing>
      </w:r>
      <w:r w:rsidR="006C41B5" w:rsidRPr="00C7320D">
        <w:t>Source: ITU</w:t>
      </w:r>
    </w:p>
    <w:p w14:paraId="4C26140B" w14:textId="3C287A8D" w:rsidR="00BD4E56" w:rsidRPr="00C7320D" w:rsidRDefault="00BD4E56"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Unlike the end-user Internet traffic measured above, international bandwidth usage is a throughput measure that refers to the annual average used capacity of international connections, typically carried over submarine or terrestrial fibre-optic cables or microwave links. It does not sum up all traffic, incoming and outgoing, but captures the larger of the two. For comparability, the figure for bandwidth is divided by the number of Internet users in the country. </w:t>
      </w:r>
      <w:r w:rsidR="004E5EDA" w:rsidRPr="00C7320D">
        <w:rPr>
          <w:rFonts w:ascii="Aptos" w:eastAsia="Aptos" w:hAnsi="Aptos" w:cs="Arial"/>
          <w:kern w:val="2"/>
          <w:sz w:val="22"/>
          <w:szCs w:val="22"/>
          <w14:ligatures w14:val="standardContextual"/>
        </w:rPr>
        <w:t>International bandwidth usage in Africa stood at 80 kbit/s in 2024, far below the global average of 323 kbit/s.</w:t>
      </w:r>
    </w:p>
    <w:p w14:paraId="6BDBBF30" w14:textId="77777777" w:rsidR="00BD4E56" w:rsidRPr="00C7320D"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International bandwidth per Internet user (kbit/s)</w:t>
      </w:r>
    </w:p>
    <w:p w14:paraId="6842826E" w14:textId="2AAF5C6E" w:rsidR="00BD4E56" w:rsidRPr="00C7320D" w:rsidRDefault="00DF5943"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noProof/>
        </w:rPr>
        <w:drawing>
          <wp:inline distT="0" distB="0" distL="0" distR="0" wp14:anchorId="2479B643" wp14:editId="5A9365BF">
            <wp:extent cx="6120765" cy="2495550"/>
            <wp:effectExtent l="0" t="0" r="0" b="0"/>
            <wp:docPr id="7230921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9212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6120765" cy="2495550"/>
                    </a:xfrm>
                    <a:prstGeom prst="rect">
                      <a:avLst/>
                    </a:prstGeom>
                  </pic:spPr>
                </pic:pic>
              </a:graphicData>
            </a:graphic>
          </wp:inline>
        </w:drawing>
      </w:r>
    </w:p>
    <w:p w14:paraId="5A92A8AD" w14:textId="77777777" w:rsidR="00BD4E56" w:rsidRPr="00C7320D"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rFonts w:ascii="Aptos" w:eastAsia="Aptos" w:hAnsi="Aptos" w:cs="Arial"/>
          <w:kern w:val="2"/>
          <w:sz w:val="16"/>
          <w:szCs w:val="28"/>
          <w14:ligatures w14:val="standardContextual"/>
        </w:rPr>
        <w:t>Source: ITU</w:t>
      </w:r>
    </w:p>
    <w:p w14:paraId="185D14FD" w14:textId="77777777" w:rsidR="00634A11" w:rsidRPr="00C7320D" w:rsidRDefault="004E5EDA" w:rsidP="004E5E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International bandwidth usage reflects the state of international connectivity infrastructure (presence of submarine and overland cables, including redundancies) and the degree to which a country is connected to international data flows. Demand for international bandwidth depends on many country-specific factors, such as geographical location or the size and development of domestic middle-mile connectivity infrastructure (e.g., small islands are dependent on international linkages, while a high density of data centres and Internet exchange points can somewhat reduce the demand for international data exchange for larger countries). </w:t>
      </w:r>
    </w:p>
    <w:p w14:paraId="17C06BD0" w14:textId="306495E8" w:rsidR="00541AC2" w:rsidRPr="00C7320D" w:rsidRDefault="00F562B0" w:rsidP="00541AC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region </w:t>
      </w:r>
      <w:r w:rsidR="00917ADB" w:rsidRPr="00C7320D">
        <w:rPr>
          <w:rFonts w:ascii="Aptos" w:eastAsia="Aptos" w:hAnsi="Aptos" w:cs="Arial"/>
          <w:kern w:val="2"/>
          <w:sz w:val="22"/>
          <w:szCs w:val="22"/>
          <w14:ligatures w14:val="standardContextual"/>
        </w:rPr>
        <w:t xml:space="preserve">portrays </w:t>
      </w:r>
      <w:r w:rsidR="00DA0EF7" w:rsidRPr="00C7320D">
        <w:rPr>
          <w:rFonts w:ascii="Aptos" w:eastAsia="Aptos" w:hAnsi="Aptos" w:cs="Arial"/>
          <w:kern w:val="2"/>
          <w:sz w:val="22"/>
          <w:szCs w:val="22"/>
          <w14:ligatures w14:val="standardContextual"/>
        </w:rPr>
        <w:t xml:space="preserve">some </w:t>
      </w:r>
      <w:r w:rsidR="00F82BA6" w:rsidRPr="00C7320D">
        <w:rPr>
          <w:rFonts w:ascii="Aptos" w:eastAsia="Aptos" w:hAnsi="Aptos" w:cs="Arial"/>
          <w:kern w:val="2"/>
          <w:sz w:val="22"/>
          <w:szCs w:val="22"/>
          <w14:ligatures w14:val="standardContextual"/>
        </w:rPr>
        <w:t>variation</w:t>
      </w:r>
      <w:r w:rsidR="00634A11" w:rsidRPr="00C7320D">
        <w:rPr>
          <w:rFonts w:ascii="Aptos" w:eastAsia="Aptos" w:hAnsi="Aptos" w:cs="Arial"/>
          <w:kern w:val="2"/>
          <w:sz w:val="22"/>
          <w:szCs w:val="22"/>
          <w14:ligatures w14:val="standardContextual"/>
        </w:rPr>
        <w:t xml:space="preserve">s. </w:t>
      </w:r>
      <w:r w:rsidR="00161EE6" w:rsidRPr="00C7320D">
        <w:rPr>
          <w:rFonts w:ascii="Aptos" w:eastAsia="Aptos" w:hAnsi="Aptos" w:cs="Arial"/>
          <w:kern w:val="2"/>
          <w:sz w:val="22"/>
          <w:szCs w:val="22"/>
          <w14:ligatures w14:val="standardContextual"/>
        </w:rPr>
        <w:t xml:space="preserve">While the </w:t>
      </w:r>
      <w:r w:rsidR="000F1853" w:rsidRPr="00C7320D">
        <w:rPr>
          <w:rFonts w:ascii="Aptos" w:eastAsia="Aptos" w:hAnsi="Aptos" w:cs="Arial"/>
          <w:kern w:val="2"/>
          <w:sz w:val="22"/>
          <w:szCs w:val="22"/>
          <w14:ligatures w14:val="standardContextual"/>
        </w:rPr>
        <w:t xml:space="preserve">highest </w:t>
      </w:r>
      <w:r w:rsidR="00212286" w:rsidRPr="00C7320D">
        <w:rPr>
          <w:rFonts w:ascii="Aptos" w:eastAsia="Aptos" w:hAnsi="Aptos" w:cs="Arial"/>
          <w:kern w:val="2"/>
          <w:sz w:val="22"/>
          <w:szCs w:val="22"/>
          <w14:ligatures w14:val="standardContextual"/>
        </w:rPr>
        <w:t xml:space="preserve">bandwidth usage </w:t>
      </w:r>
      <w:r w:rsidR="00732B63" w:rsidRPr="00C7320D">
        <w:rPr>
          <w:rFonts w:ascii="Aptos" w:eastAsia="Aptos" w:hAnsi="Aptos" w:cs="Arial"/>
          <w:kern w:val="2"/>
          <w:sz w:val="22"/>
          <w:szCs w:val="22"/>
          <w14:ligatures w14:val="standardContextual"/>
        </w:rPr>
        <w:t xml:space="preserve">was more than </w:t>
      </w:r>
      <w:r w:rsidR="00AC2D90" w:rsidRPr="00C7320D">
        <w:rPr>
          <w:rFonts w:ascii="Aptos" w:eastAsia="Aptos" w:hAnsi="Aptos" w:cs="Arial"/>
          <w:kern w:val="2"/>
          <w:sz w:val="22"/>
          <w:szCs w:val="22"/>
          <w14:ligatures w14:val="standardContextual"/>
        </w:rPr>
        <w:t xml:space="preserve">500 </w:t>
      </w:r>
      <w:r w:rsidR="003F6AB2" w:rsidRPr="00C7320D">
        <w:rPr>
          <w:rFonts w:ascii="Aptos" w:eastAsia="Aptos" w:hAnsi="Aptos" w:cs="Arial"/>
          <w:kern w:val="2"/>
          <w:sz w:val="22"/>
          <w:szCs w:val="22"/>
          <w14:ligatures w14:val="standardContextual"/>
        </w:rPr>
        <w:t xml:space="preserve">kbit/s, </w:t>
      </w:r>
      <w:r w:rsidR="007115FC" w:rsidRPr="00C7320D">
        <w:rPr>
          <w:rFonts w:ascii="Aptos" w:eastAsia="Aptos" w:hAnsi="Aptos" w:cs="Arial"/>
          <w:kern w:val="2"/>
          <w:sz w:val="22"/>
          <w:szCs w:val="22"/>
          <w14:ligatures w14:val="standardContextual"/>
        </w:rPr>
        <w:t>i</w:t>
      </w:r>
      <w:r w:rsidR="00C419FA" w:rsidRPr="00C7320D">
        <w:rPr>
          <w:rFonts w:ascii="Aptos" w:eastAsia="Aptos" w:hAnsi="Aptos" w:cs="Arial"/>
          <w:kern w:val="2"/>
          <w:sz w:val="22"/>
          <w:szCs w:val="22"/>
          <w14:ligatures w14:val="standardContextual"/>
        </w:rPr>
        <w:t xml:space="preserve">n no less than 30 countries, </w:t>
      </w:r>
      <w:r w:rsidR="004E5EDA" w:rsidRPr="00C7320D">
        <w:rPr>
          <w:rFonts w:ascii="Aptos" w:eastAsia="Aptos" w:hAnsi="Aptos" w:cs="Arial"/>
          <w:kern w:val="2"/>
          <w:sz w:val="22"/>
          <w:szCs w:val="22"/>
          <w14:ligatures w14:val="standardContextual"/>
        </w:rPr>
        <w:t xml:space="preserve">reported bandwidth usage levels </w:t>
      </w:r>
      <w:r w:rsidR="007115FC" w:rsidRPr="00C7320D">
        <w:rPr>
          <w:rFonts w:ascii="Aptos" w:eastAsia="Aptos" w:hAnsi="Aptos" w:cs="Arial"/>
          <w:kern w:val="2"/>
          <w:sz w:val="22"/>
          <w:szCs w:val="22"/>
          <w14:ligatures w14:val="standardContextual"/>
        </w:rPr>
        <w:t xml:space="preserve">were </w:t>
      </w:r>
      <w:r w:rsidR="004E5EDA" w:rsidRPr="00C7320D">
        <w:rPr>
          <w:rFonts w:ascii="Aptos" w:eastAsia="Aptos" w:hAnsi="Aptos" w:cs="Arial"/>
          <w:kern w:val="2"/>
          <w:sz w:val="22"/>
          <w:szCs w:val="22"/>
          <w14:ligatures w14:val="standardContextual"/>
        </w:rPr>
        <w:t>below 100 kbit/s, suggesting that international linkages may hamper universal and meaningful connectivity.</w:t>
      </w:r>
      <w:r w:rsidR="00541AC2" w:rsidRPr="00C7320D">
        <w:rPr>
          <w:rFonts w:ascii="Aptos" w:eastAsia="Aptos" w:hAnsi="Aptos" w:cs="Arial"/>
          <w:kern w:val="2"/>
          <w:sz w:val="22"/>
          <w:szCs w:val="22"/>
          <w14:ligatures w14:val="standardContextual"/>
        </w:rPr>
        <w:t xml:space="preserve"> </w:t>
      </w:r>
    </w:p>
    <w:p w14:paraId="75562187" w14:textId="77777777" w:rsidR="00BD4E56" w:rsidRPr="00C7320D"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International bandwidth per Internet user (kbit/s), latest year available</w:t>
      </w:r>
    </w:p>
    <w:p w14:paraId="045135ED" w14:textId="42871DF5" w:rsidR="00BD4E56" w:rsidRPr="00C7320D" w:rsidRDefault="00EB592E"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54950D1B" wp14:editId="362D206D">
            <wp:extent cx="6120765" cy="3206750"/>
            <wp:effectExtent l="0" t="0" r="0" b="0"/>
            <wp:docPr id="16807501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010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6120765" cy="3206750"/>
                    </a:xfrm>
                    <a:prstGeom prst="rect">
                      <a:avLst/>
                    </a:prstGeom>
                  </pic:spPr>
                </pic:pic>
              </a:graphicData>
            </a:graphic>
          </wp:inline>
        </w:drawing>
      </w:r>
    </w:p>
    <w:p w14:paraId="718FDFEA" w14:textId="448C734B" w:rsidR="006C41B5" w:rsidRPr="00C7320D" w:rsidRDefault="00BD4E56" w:rsidP="002F61D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rFonts w:ascii="Aptos" w:eastAsia="Aptos" w:hAnsi="Aptos" w:cs="Arial"/>
          <w:kern w:val="2"/>
          <w:sz w:val="16"/>
          <w:szCs w:val="28"/>
          <w14:ligatures w14:val="standardContextual"/>
        </w:rPr>
        <w:t>Source: ITU</w:t>
      </w:r>
      <w:r w:rsidR="006C41B5" w:rsidRPr="00C7320D">
        <w:rPr>
          <w:rFonts w:ascii="Aptos" w:eastAsia="Aptos" w:hAnsi="Aptos" w:cs="Arial"/>
          <w:kern w:val="2"/>
          <w:sz w:val="22"/>
          <w:szCs w:val="22"/>
          <w14:ligatures w14:val="standardContextual"/>
        </w:rPr>
        <w:br w:type="page"/>
      </w:r>
    </w:p>
    <w:p w14:paraId="378E1ABB" w14:textId="77777777" w:rsidR="006C41B5" w:rsidRPr="00C7320D" w:rsidRDefault="006C41B5" w:rsidP="000C3666">
      <w:pPr>
        <w:pStyle w:val="Section"/>
      </w:pPr>
      <w:bookmarkStart w:id="14" w:name="_Toc191378084"/>
      <w:r w:rsidRPr="00C7320D">
        <w:lastRenderedPageBreak/>
        <w:t>Affordability of ICT services</w:t>
      </w:r>
      <w:bookmarkEnd w:id="14"/>
      <w:r w:rsidRPr="00C7320D">
        <w:tab/>
      </w:r>
    </w:p>
    <w:p w14:paraId="61A44230" w14:textId="327DEC2A" w:rsidR="006C41B5" w:rsidRPr="00C7320D" w:rsidRDefault="0027090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B</w:t>
      </w:r>
      <w:r w:rsidR="006C41B5" w:rsidRPr="00C7320D">
        <w:rPr>
          <w:rFonts w:ascii="Aptos" w:eastAsia="Aptos" w:hAnsi="Aptos" w:cs="Arial"/>
          <w:b/>
          <w:bCs/>
          <w:i/>
          <w:iCs/>
          <w:kern w:val="2"/>
          <w:sz w:val="22"/>
          <w:szCs w:val="22"/>
          <w14:ligatures w14:val="standardContextual"/>
        </w:rPr>
        <w:t xml:space="preserve">roadband </w:t>
      </w:r>
      <w:r w:rsidR="00C234D3" w:rsidRPr="00C7320D">
        <w:rPr>
          <w:rFonts w:ascii="Aptos" w:eastAsia="Aptos" w:hAnsi="Aptos" w:cs="Arial"/>
          <w:b/>
          <w:bCs/>
          <w:i/>
          <w:iCs/>
          <w:kern w:val="2"/>
          <w:sz w:val="22"/>
          <w:szCs w:val="22"/>
          <w14:ligatures w14:val="standardContextual"/>
        </w:rPr>
        <w:t xml:space="preserve">services </w:t>
      </w:r>
      <w:r w:rsidR="006C41B5" w:rsidRPr="00C7320D">
        <w:rPr>
          <w:rFonts w:ascii="Aptos" w:eastAsia="Aptos" w:hAnsi="Aptos" w:cs="Arial"/>
          <w:b/>
          <w:bCs/>
          <w:i/>
          <w:iCs/>
          <w:kern w:val="2"/>
          <w:sz w:val="22"/>
          <w:szCs w:val="22"/>
          <w14:ligatures w14:val="standardContextual"/>
        </w:rPr>
        <w:t xml:space="preserve">generally </w:t>
      </w:r>
      <w:r w:rsidR="00C234D3" w:rsidRPr="00C7320D">
        <w:rPr>
          <w:rFonts w:ascii="Aptos" w:eastAsia="Aptos" w:hAnsi="Aptos" w:cs="Arial"/>
          <w:b/>
          <w:bCs/>
          <w:i/>
          <w:iCs/>
          <w:kern w:val="2"/>
          <w:sz w:val="22"/>
          <w:szCs w:val="22"/>
          <w14:ligatures w14:val="standardContextual"/>
        </w:rPr>
        <w:t xml:space="preserve">not affordable </w:t>
      </w:r>
      <w:r w:rsidR="006C41B5" w:rsidRPr="00C7320D">
        <w:rPr>
          <w:rFonts w:ascii="Aptos" w:eastAsia="Aptos" w:hAnsi="Aptos" w:cs="Arial"/>
          <w:b/>
          <w:bCs/>
          <w:i/>
          <w:iCs/>
          <w:kern w:val="2"/>
          <w:sz w:val="22"/>
          <w:szCs w:val="22"/>
          <w14:ligatures w14:val="standardContextual"/>
        </w:rPr>
        <w:t xml:space="preserve">in </w:t>
      </w:r>
      <w:r w:rsidR="00093C9A" w:rsidRPr="00C7320D">
        <w:rPr>
          <w:rFonts w:ascii="Aptos" w:eastAsia="Aptos" w:hAnsi="Aptos" w:cs="Arial"/>
          <w:b/>
          <w:bCs/>
          <w:i/>
          <w:iCs/>
          <w:kern w:val="2"/>
          <w:sz w:val="22"/>
          <w:szCs w:val="22"/>
          <w14:ligatures w14:val="standardContextual"/>
        </w:rPr>
        <w:t>Africa</w:t>
      </w:r>
    </w:p>
    <w:p w14:paraId="758C0580" w14:textId="420B3BDC"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C7320D">
        <w:rPr>
          <w:rFonts w:ascii="AvenirNext LT Pro Light" w:eastAsia="Yu Gothic Light" w:hAnsi="AvenirNext LT Pro Light" w:cs="Calibri"/>
          <w:color w:val="0070C0"/>
          <w:spacing w:val="-10"/>
          <w:kern w:val="28"/>
          <w:szCs w:val="24"/>
        </w:rPr>
        <w:t>2018-</w:t>
      </w:r>
      <w:r w:rsidRPr="00C7320D">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C7320D" w14:paraId="7D9E14A7" w14:textId="77777777" w:rsidTr="00B31A21">
        <w:tc>
          <w:tcPr>
            <w:tcW w:w="4508" w:type="dxa"/>
          </w:tcPr>
          <w:p w14:paraId="1E765A5F" w14:textId="67FD4185" w:rsidR="006C41B5" w:rsidRPr="00C7320D"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C7320D">
              <w:rPr>
                <w:rFonts w:ascii="Aptos" w:hAnsi="Aptos"/>
                <w:b/>
                <w:bCs/>
                <w:sz w:val="22"/>
              </w:rPr>
              <w:t>Mobile</w:t>
            </w:r>
            <w:r w:rsidRPr="00C7320D">
              <w:rPr>
                <w:rFonts w:ascii="Aptos" w:hAnsi="Aptos"/>
                <w:b/>
                <w:bCs/>
                <w:noProof/>
                <w:sz w:val="22"/>
              </w:rPr>
              <w:t xml:space="preserve"> (2GB)</w:t>
            </w:r>
            <w:r w:rsidR="00A572B2" w:rsidRPr="00C7320D">
              <w:rPr>
                <w:noProof/>
              </w:rPr>
              <w:t xml:space="preserve"> </w:t>
            </w:r>
            <w:r w:rsidR="00A572B2" w:rsidRPr="00C7320D">
              <w:rPr>
                <w:noProof/>
              </w:rPr>
              <w:drawing>
                <wp:inline distT="0" distB="0" distL="0" distR="0" wp14:anchorId="0206FBF8" wp14:editId="60FD1436">
                  <wp:extent cx="2609850" cy="2524125"/>
                  <wp:effectExtent l="0" t="0" r="0" b="9525"/>
                  <wp:docPr id="909535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35624"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609850" cy="2524125"/>
                          </a:xfrm>
                          <a:prstGeom prst="rect">
                            <a:avLst/>
                          </a:prstGeom>
                        </pic:spPr>
                      </pic:pic>
                    </a:graphicData>
                  </a:graphic>
                </wp:inline>
              </w:drawing>
            </w:r>
          </w:p>
        </w:tc>
        <w:tc>
          <w:tcPr>
            <w:tcW w:w="4508" w:type="dxa"/>
          </w:tcPr>
          <w:p w14:paraId="644D1EA9" w14:textId="0FB2D363" w:rsidR="006C41B5" w:rsidRPr="00C7320D"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C7320D">
              <w:rPr>
                <w:rFonts w:ascii="Aptos" w:hAnsi="Aptos"/>
                <w:b/>
                <w:bCs/>
                <w:sz w:val="22"/>
              </w:rPr>
              <w:t>Fixed (5GB)</w:t>
            </w:r>
            <w:r w:rsidR="00B31A21" w:rsidRPr="00C7320D">
              <w:rPr>
                <w:noProof/>
              </w:rPr>
              <w:t xml:space="preserve"> </w:t>
            </w:r>
            <w:r w:rsidR="00B31A21" w:rsidRPr="00C7320D">
              <w:rPr>
                <w:noProof/>
              </w:rPr>
              <w:drawing>
                <wp:inline distT="0" distB="0" distL="0" distR="0" wp14:anchorId="1F1867B0" wp14:editId="064E94E5">
                  <wp:extent cx="2609850" cy="2524125"/>
                  <wp:effectExtent l="0" t="0" r="0" b="9525"/>
                  <wp:docPr id="5691323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2340"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609850" cy="2524125"/>
                          </a:xfrm>
                          <a:prstGeom prst="rect">
                            <a:avLst/>
                          </a:prstGeom>
                        </pic:spPr>
                      </pic:pic>
                    </a:graphicData>
                  </a:graphic>
                </wp:inline>
              </w:drawing>
            </w:r>
          </w:p>
        </w:tc>
      </w:tr>
    </w:tbl>
    <w:p w14:paraId="348B5403" w14:textId="6EF2B28C" w:rsidR="006C41B5" w:rsidRPr="00C7320D" w:rsidRDefault="006C41B5" w:rsidP="00B1004A">
      <w:pPr>
        <w:pStyle w:val="notetext"/>
      </w:pPr>
      <w:r w:rsidRPr="00C7320D">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C7320D" w:rsidRDefault="006C41B5" w:rsidP="00B1004A">
      <w:pPr>
        <w:pStyle w:val="Sourcetext"/>
      </w:pPr>
      <w:r w:rsidRPr="00C7320D">
        <w:t>Source: ITU</w:t>
      </w:r>
    </w:p>
    <w:p w14:paraId="6C929D15" w14:textId="01D9BA22" w:rsidR="00BB28A8"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Internet cost is a barrier to Internet use and to meaningful connectivity. The United Nations</w:t>
      </w:r>
      <w:r w:rsidR="00A94082" w:rsidRPr="00C7320D">
        <w:rPr>
          <w:rFonts w:ascii="Aptos" w:eastAsia="Aptos" w:hAnsi="Aptos" w:cs="Arial"/>
          <w:kern w:val="2"/>
          <w:sz w:val="22"/>
          <w:szCs w:val="22"/>
          <w14:ligatures w14:val="standardContextual"/>
        </w:rPr>
        <w:t xml:space="preserve"> </w:t>
      </w:r>
      <w:hyperlink r:id="rId76" w:tgtFrame="_blank" w:history="1">
        <w:r w:rsidRPr="00C7320D">
          <w:rPr>
            <w:rFonts w:ascii="Aptos" w:eastAsia="Aptos" w:hAnsi="Aptos" w:cs="Arial"/>
            <w:color w:val="467886"/>
            <w:kern w:val="2"/>
            <w:sz w:val="22"/>
            <w:szCs w:val="22"/>
            <w:u w:val="single"/>
            <w14:ligatures w14:val="standardContextual"/>
          </w:rPr>
          <w:t>Broadband Commission for Sustainable Development</w:t>
        </w:r>
      </w:hyperlink>
      <w:r w:rsidR="00A94082" w:rsidRPr="00C7320D">
        <w:rPr>
          <w:rFonts w:ascii="Aptos" w:eastAsia="Aptos" w:hAnsi="Aptos" w:cs="Arial"/>
          <w:kern w:val="2"/>
          <w:sz w:val="22"/>
          <w:szCs w:val="22"/>
          <w14:ligatures w14:val="standardContextual"/>
        </w:rPr>
        <w:t xml:space="preserve"> </w:t>
      </w:r>
      <w:r w:rsidRPr="00C7320D">
        <w:rPr>
          <w:rFonts w:ascii="Aptos" w:eastAsia="Aptos" w:hAnsi="Aptos" w:cs="Arial"/>
          <w:kern w:val="2"/>
          <w:sz w:val="22"/>
          <w:szCs w:val="22"/>
          <w14:ligatures w14:val="standardContextual"/>
        </w:rPr>
        <w:t>set itself the goal of making broadband in developing countries affordable by 2025, affordability being defined as the availability of broadband access at a price that is less than 2 per cent of monthly GNI per capita.</w:t>
      </w:r>
    </w:p>
    <w:p w14:paraId="293E4E78" w14:textId="17D056DE" w:rsidR="004226A3" w:rsidRPr="00C7320D" w:rsidRDefault="004226A3" w:rsidP="004226A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Entry-level data-only mobile broadband prices have gone done significantly in the region, from </w:t>
      </w:r>
      <w:r w:rsidR="000C37EF" w:rsidRPr="00C7320D">
        <w:rPr>
          <w:rFonts w:ascii="Aptos" w:eastAsia="Aptos" w:hAnsi="Aptos" w:cs="Arial"/>
          <w:kern w:val="2"/>
          <w:sz w:val="22"/>
          <w:szCs w:val="22"/>
          <w14:ligatures w14:val="standardContextual"/>
        </w:rPr>
        <w:t>7.3</w:t>
      </w:r>
      <w:r w:rsidRPr="00C7320D">
        <w:rPr>
          <w:rFonts w:ascii="Aptos" w:eastAsia="Aptos" w:hAnsi="Aptos" w:cs="Arial"/>
          <w:kern w:val="2"/>
          <w:sz w:val="22"/>
          <w:szCs w:val="22"/>
          <w14:ligatures w14:val="standardContextual"/>
        </w:rPr>
        <w:t xml:space="preserve"> per cent of GNI per capita in 2018 to </w:t>
      </w:r>
      <w:r w:rsidR="008C5C30" w:rsidRPr="00C7320D">
        <w:rPr>
          <w:rFonts w:ascii="Aptos" w:eastAsia="Aptos" w:hAnsi="Aptos" w:cs="Arial"/>
          <w:kern w:val="2"/>
          <w:sz w:val="22"/>
          <w:szCs w:val="22"/>
          <w14:ligatures w14:val="standardContextual"/>
        </w:rPr>
        <w:t>3.9</w:t>
      </w:r>
      <w:r w:rsidRPr="00C7320D">
        <w:rPr>
          <w:rFonts w:ascii="Aptos" w:eastAsia="Aptos" w:hAnsi="Aptos" w:cs="Arial"/>
          <w:kern w:val="2"/>
          <w:sz w:val="22"/>
          <w:szCs w:val="22"/>
          <w14:ligatures w14:val="standardContextual"/>
        </w:rPr>
        <w:t xml:space="preserve"> in 2024</w:t>
      </w:r>
      <w:r w:rsidR="008C5C30" w:rsidRPr="00C7320D">
        <w:rPr>
          <w:rFonts w:ascii="Aptos" w:eastAsia="Aptos" w:hAnsi="Aptos" w:cs="Arial"/>
          <w:kern w:val="2"/>
          <w:sz w:val="22"/>
          <w:szCs w:val="22"/>
          <w14:ligatures w14:val="standardContextual"/>
        </w:rPr>
        <w:t xml:space="preserve">. However, this is still significantly above </w:t>
      </w:r>
      <w:r w:rsidRPr="00C7320D">
        <w:rPr>
          <w:rFonts w:ascii="Aptos" w:eastAsia="Aptos" w:hAnsi="Aptos" w:cs="Arial"/>
          <w:kern w:val="2"/>
          <w:sz w:val="22"/>
          <w:szCs w:val="22"/>
          <w14:ligatures w14:val="standardContextual"/>
        </w:rPr>
        <w:t>the 2 per cent target of the Broadband Commission.</w:t>
      </w:r>
      <w:r w:rsidRPr="00C7320D">
        <w:rPr>
          <w:rStyle w:val="FootnoteReference"/>
          <w:rFonts w:eastAsia="Aptos" w:cs="Arial"/>
          <w:kern w:val="2"/>
          <w:szCs w:val="22"/>
          <w14:ligatures w14:val="standardContextual"/>
        </w:rPr>
        <w:footnoteReference w:id="9"/>
      </w:r>
      <w:r w:rsidRPr="00C7320D">
        <w:rPr>
          <w:rFonts w:ascii="Aptos" w:eastAsia="Aptos" w:hAnsi="Aptos" w:cs="Arial"/>
          <w:kern w:val="2"/>
          <w:sz w:val="22"/>
          <w:szCs w:val="22"/>
          <w14:ligatures w14:val="standardContextual"/>
        </w:rPr>
        <w:t xml:space="preserve"> For an entry-level fixed broadband service, the median price in 2024 was</w:t>
      </w:r>
      <w:r w:rsidR="00972A57" w:rsidRPr="00C7320D">
        <w:rPr>
          <w:rFonts w:ascii="Aptos" w:eastAsia="Aptos" w:hAnsi="Aptos" w:cs="Arial"/>
          <w:kern w:val="2"/>
          <w:sz w:val="22"/>
          <w:szCs w:val="22"/>
          <w14:ligatures w14:val="standardContextual"/>
        </w:rPr>
        <w:t xml:space="preserve"> no less than 13.4</w:t>
      </w:r>
      <w:r w:rsidRPr="00C7320D">
        <w:rPr>
          <w:rFonts w:ascii="Aptos" w:eastAsia="Aptos" w:hAnsi="Aptos" w:cs="Arial"/>
          <w:kern w:val="2"/>
          <w:sz w:val="22"/>
          <w:szCs w:val="22"/>
          <w14:ligatures w14:val="standardContextual"/>
        </w:rPr>
        <w:t xml:space="preserve"> per cent of GNI per capita</w:t>
      </w:r>
      <w:r w:rsidR="00930F2C" w:rsidRPr="00C7320D">
        <w:rPr>
          <w:rFonts w:ascii="Aptos" w:eastAsia="Aptos" w:hAnsi="Aptos" w:cs="Arial"/>
          <w:kern w:val="2"/>
          <w:sz w:val="22"/>
          <w:szCs w:val="22"/>
          <w14:ligatures w14:val="standardContextual"/>
        </w:rPr>
        <w:t xml:space="preserve">, far </w:t>
      </w:r>
      <w:r w:rsidRPr="00C7320D">
        <w:rPr>
          <w:rFonts w:ascii="Aptos" w:eastAsia="Aptos" w:hAnsi="Aptos" w:cs="Arial"/>
          <w:kern w:val="2"/>
          <w:sz w:val="22"/>
          <w:szCs w:val="22"/>
          <w14:ligatures w14:val="standardContextual"/>
        </w:rPr>
        <w:t>above the Broadband Commission target</w:t>
      </w:r>
      <w:r w:rsidR="00930F2C" w:rsidRPr="00C7320D">
        <w:rPr>
          <w:rFonts w:ascii="Aptos" w:eastAsia="Aptos" w:hAnsi="Aptos" w:cs="Arial"/>
          <w:kern w:val="2"/>
          <w:sz w:val="22"/>
          <w:szCs w:val="22"/>
          <w14:ligatures w14:val="standardContextual"/>
        </w:rPr>
        <w:t>. The</w:t>
      </w:r>
      <w:r w:rsidR="00394813" w:rsidRPr="00C7320D">
        <w:rPr>
          <w:rFonts w:ascii="Aptos" w:eastAsia="Aptos" w:hAnsi="Aptos" w:cs="Arial"/>
          <w:kern w:val="2"/>
          <w:sz w:val="22"/>
          <w:szCs w:val="22"/>
          <w14:ligatures w14:val="standardContextual"/>
        </w:rPr>
        <w:t>se</w:t>
      </w:r>
      <w:r w:rsidR="00930F2C" w:rsidRPr="00C7320D">
        <w:rPr>
          <w:rFonts w:ascii="Aptos" w:eastAsia="Aptos" w:hAnsi="Aptos" w:cs="Arial"/>
          <w:kern w:val="2"/>
          <w:sz w:val="22"/>
          <w:szCs w:val="22"/>
          <w14:ligatures w14:val="standardContextual"/>
        </w:rPr>
        <w:t xml:space="preserve"> very high prices explain the low level of fixed broadband subscriptions in the region.</w:t>
      </w:r>
      <w:r w:rsidRPr="00C7320D">
        <w:rPr>
          <w:rFonts w:ascii="Aptos" w:eastAsia="Aptos" w:hAnsi="Aptos" w:cs="Arial"/>
          <w:kern w:val="2"/>
          <w:sz w:val="22"/>
          <w:szCs w:val="22"/>
          <w14:ligatures w14:val="standardContextual"/>
        </w:rPr>
        <w:t xml:space="preserve"> </w:t>
      </w:r>
    </w:p>
    <w:p w14:paraId="5EF39CD1" w14:textId="7840990D" w:rsidR="006C41B5" w:rsidRPr="00C7320D" w:rsidRDefault="0035330B"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rPr>
        <w:lastRenderedPageBreak/>
        <w:t>Mobile broadband basket prices as % of gross national income per capita, 2024</w:t>
      </w:r>
    </w:p>
    <w:p w14:paraId="5833BBE5" w14:textId="444CBF81" w:rsidR="006C41B5" w:rsidRPr="00C7320D" w:rsidRDefault="00C64A4E" w:rsidP="00B1004A">
      <w:pPr>
        <w:pStyle w:val="Sourcetext"/>
      </w:pPr>
      <w:r w:rsidRPr="00C7320D">
        <w:rPr>
          <w:noProof/>
        </w:rPr>
        <w:drawing>
          <wp:inline distT="0" distB="0" distL="0" distR="0" wp14:anchorId="02A9F9E4" wp14:editId="3538D5D4">
            <wp:extent cx="6120765" cy="3126105"/>
            <wp:effectExtent l="0" t="0" r="0" b="0"/>
            <wp:docPr id="6653346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34683"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6120765" cy="3126105"/>
                    </a:xfrm>
                    <a:prstGeom prst="rect">
                      <a:avLst/>
                    </a:prstGeom>
                  </pic:spPr>
                </pic:pic>
              </a:graphicData>
            </a:graphic>
          </wp:inline>
        </w:drawing>
      </w:r>
      <w:r w:rsidR="006C41B5" w:rsidRPr="00C7320D">
        <w:t>Source: ITU</w:t>
      </w:r>
    </w:p>
    <w:p w14:paraId="29C8BA3E" w14:textId="0A26A1F8" w:rsidR="00A837D1" w:rsidRPr="00C7320D" w:rsidRDefault="00A837D1" w:rsidP="00A837D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C7320D">
        <w:rPr>
          <w:rFonts w:ascii="Aptos" w:eastAsia="Aptos" w:hAnsi="Aptos" w:cs="Arial"/>
          <w:kern w:val="2"/>
          <w:sz w:val="22"/>
          <w:szCs w:val="22"/>
          <w14:ligatures w14:val="standardContextual"/>
        </w:rPr>
        <w:t xml:space="preserve">In </w:t>
      </w:r>
      <w:r w:rsidR="00E23846" w:rsidRPr="00C7320D">
        <w:rPr>
          <w:rFonts w:ascii="Aptos" w:eastAsia="Aptos" w:hAnsi="Aptos" w:cs="Arial"/>
          <w:kern w:val="2"/>
          <w:sz w:val="22"/>
          <w:szCs w:val="22"/>
          <w14:ligatures w14:val="standardContextual"/>
        </w:rPr>
        <w:t>29</w:t>
      </w:r>
      <w:r w:rsidRPr="00C7320D">
        <w:rPr>
          <w:rFonts w:ascii="Aptos" w:eastAsia="Aptos" w:hAnsi="Aptos" w:cs="Arial"/>
          <w:kern w:val="2"/>
          <w:sz w:val="22"/>
          <w:szCs w:val="22"/>
          <w14:ligatures w14:val="standardContextual"/>
        </w:rPr>
        <w:t xml:space="preserve"> of </w:t>
      </w:r>
      <w:r w:rsidR="00E23846" w:rsidRPr="00C7320D">
        <w:rPr>
          <w:rFonts w:ascii="Aptos" w:eastAsia="Aptos" w:hAnsi="Aptos" w:cs="Arial"/>
          <w:kern w:val="2"/>
          <w:sz w:val="22"/>
          <w:szCs w:val="22"/>
          <w14:ligatures w14:val="standardContextual"/>
        </w:rPr>
        <w:t xml:space="preserve">42 </w:t>
      </w:r>
      <w:r w:rsidRPr="00C7320D">
        <w:rPr>
          <w:rFonts w:ascii="Aptos" w:eastAsia="Aptos" w:hAnsi="Aptos" w:cs="Arial"/>
          <w:kern w:val="2"/>
          <w:sz w:val="22"/>
          <w:szCs w:val="22"/>
          <w14:ligatures w14:val="standardContextual"/>
        </w:rPr>
        <w:t xml:space="preserve">countries, the mobile broadband price was above the 2 per cent Broadband Commission target. </w:t>
      </w:r>
      <w:r w:rsidR="00600E8B" w:rsidRPr="00C7320D">
        <w:rPr>
          <w:rFonts w:ascii="Aptos" w:eastAsia="Aptos" w:hAnsi="Aptos" w:cs="Arial"/>
          <w:kern w:val="2"/>
          <w:sz w:val="22"/>
          <w:szCs w:val="22"/>
          <w14:ligatures w14:val="standardContextual"/>
        </w:rPr>
        <w:t>For seventeen of those countries, the price was more than 5 per cent of GNI per capita.</w:t>
      </w:r>
      <w:r w:rsidRPr="00C7320D">
        <w:rPr>
          <w:rFonts w:ascii="Aptos" w:eastAsia="Aptos" w:hAnsi="Aptos" w:cs="Arial"/>
          <w:kern w:val="2"/>
          <w:sz w:val="22"/>
          <w:szCs w:val="22"/>
          <w14:ligatures w14:val="standardContextual"/>
        </w:rPr>
        <w:t xml:space="preserve"> For fixed broadband, prices in </w:t>
      </w:r>
      <w:r w:rsidR="00127F2A" w:rsidRPr="00C7320D">
        <w:rPr>
          <w:rFonts w:ascii="Aptos" w:eastAsia="Aptos" w:hAnsi="Aptos" w:cs="Arial"/>
          <w:kern w:val="2"/>
          <w:sz w:val="22"/>
          <w:szCs w:val="22"/>
          <w14:ligatures w14:val="standardContextual"/>
        </w:rPr>
        <w:t xml:space="preserve">all but three of </w:t>
      </w:r>
      <w:r w:rsidRPr="00C7320D">
        <w:rPr>
          <w:rFonts w:ascii="Aptos" w:eastAsia="Aptos" w:hAnsi="Aptos" w:cs="Arial"/>
          <w:kern w:val="2"/>
          <w:sz w:val="22"/>
          <w:szCs w:val="22"/>
          <w14:ligatures w14:val="standardContextual"/>
        </w:rPr>
        <w:t>3</w:t>
      </w:r>
      <w:r w:rsidR="00461628" w:rsidRPr="00C7320D">
        <w:rPr>
          <w:rFonts w:ascii="Aptos" w:eastAsia="Aptos" w:hAnsi="Aptos" w:cs="Arial"/>
          <w:kern w:val="2"/>
          <w:sz w:val="22"/>
          <w:szCs w:val="22"/>
          <w14:ligatures w14:val="standardContextual"/>
        </w:rPr>
        <w:t>2</w:t>
      </w:r>
      <w:r w:rsidRPr="00C7320D">
        <w:rPr>
          <w:rFonts w:ascii="Aptos" w:eastAsia="Aptos" w:hAnsi="Aptos" w:cs="Arial"/>
          <w:kern w:val="2"/>
          <w:sz w:val="22"/>
          <w:szCs w:val="22"/>
          <w14:ligatures w14:val="standardContextual"/>
        </w:rPr>
        <w:t xml:space="preserve"> countries were above the 2 per cent target. </w:t>
      </w:r>
      <w:r w:rsidR="00270901" w:rsidRPr="00C7320D">
        <w:rPr>
          <w:rFonts w:ascii="Aptos" w:eastAsia="Aptos" w:hAnsi="Aptos" w:cs="Arial"/>
          <w:kern w:val="2"/>
          <w:sz w:val="22"/>
          <w:szCs w:val="22"/>
          <w14:ligatures w14:val="standardContextual"/>
        </w:rPr>
        <w:t xml:space="preserve">In 27 countries, the price was above </w:t>
      </w:r>
      <w:r w:rsidRPr="00C7320D">
        <w:rPr>
          <w:rFonts w:ascii="Aptos" w:eastAsia="Aptos" w:hAnsi="Aptos" w:cs="Arial"/>
          <w:kern w:val="2"/>
          <w:sz w:val="22"/>
          <w:szCs w:val="22"/>
          <w14:ligatures w14:val="standardContextual"/>
        </w:rPr>
        <w:t xml:space="preserve">5 per cent of GNI per capita. </w:t>
      </w:r>
    </w:p>
    <w:p w14:paraId="697F17F7" w14:textId="77777777" w:rsidR="003741F7" w:rsidRPr="00C7320D" w:rsidRDefault="003741F7" w:rsidP="003741F7">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C7320D">
        <w:rPr>
          <w:rFonts w:ascii="AvenirNext LT Pro Light" w:eastAsia="Yu Gothic Light" w:hAnsi="AvenirNext LT Pro Light" w:cs="Calibri"/>
          <w:color w:val="0070C0"/>
          <w:spacing w:val="-10"/>
          <w:kern w:val="28"/>
        </w:rPr>
        <w:t>Fixed broadband basket prices as % of gross national income per capita, 2024 or latest year available</w:t>
      </w:r>
    </w:p>
    <w:p w14:paraId="4F478BD9" w14:textId="44EECE85" w:rsidR="003741F7" w:rsidRPr="00C7320D" w:rsidRDefault="00306D08" w:rsidP="003741F7">
      <w:pPr>
        <w:pStyle w:val="Sourcetext"/>
      </w:pPr>
      <w:r w:rsidRPr="00C7320D">
        <w:rPr>
          <w:noProof/>
        </w:rPr>
        <w:drawing>
          <wp:inline distT="0" distB="0" distL="0" distR="0" wp14:anchorId="1875A294" wp14:editId="6C326A36">
            <wp:extent cx="6120765" cy="3140075"/>
            <wp:effectExtent l="0" t="0" r="0" b="3175"/>
            <wp:docPr id="1146200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0029"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6120765" cy="3140075"/>
                    </a:xfrm>
                    <a:prstGeom prst="rect">
                      <a:avLst/>
                    </a:prstGeom>
                  </pic:spPr>
                </pic:pic>
              </a:graphicData>
            </a:graphic>
          </wp:inline>
        </w:drawing>
      </w:r>
      <w:r w:rsidR="003741F7" w:rsidRPr="00C7320D">
        <w:t>Source: ITU</w:t>
      </w:r>
    </w:p>
    <w:p w14:paraId="7305CDA7" w14:textId="77777777"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br w:type="page"/>
      </w:r>
    </w:p>
    <w:p w14:paraId="40AF6F9C" w14:textId="77777777" w:rsidR="006C41B5" w:rsidRPr="00C7320D" w:rsidRDefault="006C41B5" w:rsidP="000C3666">
      <w:pPr>
        <w:pStyle w:val="Section"/>
      </w:pPr>
      <w:bookmarkStart w:id="15" w:name="_Toc191378085"/>
      <w:r w:rsidRPr="00C7320D">
        <w:lastRenderedPageBreak/>
        <w:t>Mobile phone ownership and subscriptions</w:t>
      </w:r>
      <w:bookmarkEnd w:id="15"/>
    </w:p>
    <w:p w14:paraId="25599BE6" w14:textId="5E03B6AE" w:rsidR="006C41B5" w:rsidRPr="00C7320D" w:rsidRDefault="00185A6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 xml:space="preserve">Two-thirds of the population owns a </w:t>
      </w:r>
      <w:r w:rsidR="00475273" w:rsidRPr="00C7320D">
        <w:rPr>
          <w:rFonts w:ascii="Aptos" w:eastAsia="Aptos" w:hAnsi="Aptos" w:cs="Arial"/>
          <w:b/>
          <w:bCs/>
          <w:i/>
          <w:iCs/>
          <w:kern w:val="2"/>
          <w:sz w:val="22"/>
          <w:szCs w:val="22"/>
          <w14:ligatures w14:val="standardContextual"/>
        </w:rPr>
        <w:t>m</w:t>
      </w:r>
      <w:r w:rsidR="006C41B5" w:rsidRPr="00C7320D">
        <w:rPr>
          <w:rFonts w:ascii="Aptos" w:eastAsia="Aptos" w:hAnsi="Aptos" w:cs="Arial"/>
          <w:b/>
          <w:bCs/>
          <w:i/>
          <w:iCs/>
          <w:kern w:val="2"/>
          <w:sz w:val="22"/>
          <w:szCs w:val="22"/>
          <w14:ligatures w14:val="standardContextual"/>
        </w:rPr>
        <w:t xml:space="preserve">obile phone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C7320D" w14:paraId="6232C335" w14:textId="77777777" w:rsidTr="003C3747">
        <w:tc>
          <w:tcPr>
            <w:tcW w:w="4490" w:type="dxa"/>
          </w:tcPr>
          <w:p w14:paraId="1F2ACABD" w14:textId="711C0229" w:rsidR="006C41B5" w:rsidRPr="00C7320D"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C7320D">
              <w:rPr>
                <w:rFonts w:ascii="AvenirNext LT Pro Light" w:eastAsia="Yu Gothic Light" w:hAnsi="AvenirNext LT Pro Light" w:cs="Calibri"/>
                <w:color w:val="0070C0"/>
                <w:spacing w:val="-10"/>
                <w:kern w:val="28"/>
                <w:szCs w:val="24"/>
              </w:rPr>
              <w:t>Percentage of individuals owning a mobile phone</w:t>
            </w:r>
            <w:r w:rsidR="00904014" w:rsidRPr="00C7320D">
              <w:rPr>
                <w:noProof/>
              </w:rPr>
              <w:t xml:space="preserve"> </w:t>
            </w:r>
            <w:r w:rsidR="00904014" w:rsidRPr="00C7320D">
              <w:rPr>
                <w:noProof/>
              </w:rPr>
              <w:drawing>
                <wp:inline distT="0" distB="0" distL="0" distR="0" wp14:anchorId="655C5D99" wp14:editId="184125BF">
                  <wp:extent cx="2699098" cy="2477386"/>
                  <wp:effectExtent l="0" t="0" r="6350" b="0"/>
                  <wp:docPr id="2004854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544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699098" cy="2477386"/>
                          </a:xfrm>
                          <a:prstGeom prst="rect">
                            <a:avLst/>
                          </a:prstGeom>
                        </pic:spPr>
                      </pic:pic>
                    </a:graphicData>
                  </a:graphic>
                </wp:inline>
              </w:drawing>
            </w:r>
          </w:p>
        </w:tc>
        <w:tc>
          <w:tcPr>
            <w:tcW w:w="4566" w:type="dxa"/>
          </w:tcPr>
          <w:p w14:paraId="58E4F25D" w14:textId="4842F972" w:rsidR="006C41B5" w:rsidRPr="00C7320D"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C7320D">
              <w:rPr>
                <w:rFonts w:ascii="AvenirNext LT Pro Light" w:eastAsia="Yu Gothic Light" w:hAnsi="AvenirNext LT Pro Light" w:cs="Calibri"/>
                <w:color w:val="0070C0"/>
                <w:spacing w:val="-10"/>
                <w:kern w:val="28"/>
                <w:szCs w:val="24"/>
              </w:rPr>
              <w:t>Percentage of individuals owning a mobile phone by gender, 2024</w:t>
            </w:r>
            <w:r w:rsidR="0064141A" w:rsidRPr="00C7320D">
              <w:rPr>
                <w:noProof/>
              </w:rPr>
              <w:t xml:space="preserve"> </w:t>
            </w:r>
            <w:r w:rsidR="008A1110" w:rsidRPr="00C7320D">
              <w:rPr>
                <w:noProof/>
              </w:rPr>
              <w:drawing>
                <wp:inline distT="0" distB="0" distL="0" distR="0" wp14:anchorId="625375A6" wp14:editId="36D5555F">
                  <wp:extent cx="2733675" cy="2581275"/>
                  <wp:effectExtent l="0" t="0" r="9525" b="9525"/>
                  <wp:docPr id="2998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948"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2733675" cy="2581275"/>
                          </a:xfrm>
                          <a:prstGeom prst="rect">
                            <a:avLst/>
                          </a:prstGeom>
                        </pic:spPr>
                      </pic:pic>
                    </a:graphicData>
                  </a:graphic>
                </wp:inline>
              </w:drawing>
            </w:r>
          </w:p>
        </w:tc>
      </w:tr>
    </w:tbl>
    <w:p w14:paraId="5077B7E5" w14:textId="77777777" w:rsidR="006C41B5" w:rsidRPr="00C7320D" w:rsidRDefault="006C41B5" w:rsidP="00B1004A">
      <w:pPr>
        <w:pStyle w:val="notetext"/>
      </w:pPr>
      <w:r w:rsidRPr="00C7320D">
        <w:t>Note: Individuals aged 10 and older.</w:t>
      </w:r>
    </w:p>
    <w:p w14:paraId="1BD6BEC2" w14:textId="77777777" w:rsidR="006C41B5" w:rsidRPr="00C7320D" w:rsidRDefault="006C41B5" w:rsidP="00B1004A">
      <w:pPr>
        <w:pStyle w:val="Sourcetext"/>
      </w:pPr>
      <w:r w:rsidRPr="00C7320D">
        <w:t>Source: ITU</w:t>
      </w:r>
    </w:p>
    <w:p w14:paraId="5D72D913" w14:textId="0C6E50C9" w:rsidR="00AA25C2" w:rsidRPr="00C7320D" w:rsidRDefault="00AA25C2" w:rsidP="00F40F8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 2024, </w:t>
      </w:r>
      <w:r w:rsidR="002905FD" w:rsidRPr="00C7320D">
        <w:rPr>
          <w:rFonts w:ascii="Aptos" w:eastAsia="Aptos" w:hAnsi="Aptos" w:cs="Arial"/>
          <w:kern w:val="2"/>
          <w:sz w:val="22"/>
          <w:szCs w:val="22"/>
          <w14:ligatures w14:val="standardContextual"/>
        </w:rPr>
        <w:t>66</w:t>
      </w:r>
      <w:r w:rsidRPr="00C7320D">
        <w:rPr>
          <w:rFonts w:ascii="Aptos" w:eastAsia="Aptos" w:hAnsi="Aptos" w:cs="Arial"/>
          <w:kern w:val="2"/>
          <w:sz w:val="22"/>
          <w:szCs w:val="22"/>
          <w14:ligatures w14:val="standardContextual"/>
        </w:rPr>
        <w:t xml:space="preserve"> per cent of individuals in </w:t>
      </w:r>
      <w:r w:rsidR="002905FD" w:rsidRPr="00C7320D">
        <w:rPr>
          <w:rFonts w:ascii="Aptos" w:eastAsia="Aptos" w:hAnsi="Aptos" w:cs="Arial"/>
          <w:kern w:val="2"/>
          <w:sz w:val="22"/>
          <w:szCs w:val="22"/>
          <w14:ligatures w14:val="standardContextual"/>
        </w:rPr>
        <w:t>the Africa region</w:t>
      </w:r>
      <w:r w:rsidRPr="00C7320D">
        <w:rPr>
          <w:rFonts w:ascii="Aptos" w:eastAsia="Aptos" w:hAnsi="Aptos" w:cs="Arial"/>
          <w:kern w:val="2"/>
          <w:sz w:val="22"/>
          <w:szCs w:val="22"/>
          <w14:ligatures w14:val="standardContextual"/>
        </w:rPr>
        <w:t xml:space="preserve"> aged 10 and older owned a mobile phone, </w:t>
      </w:r>
      <w:r w:rsidR="002905FD" w:rsidRPr="00C7320D">
        <w:rPr>
          <w:rFonts w:ascii="Aptos" w:eastAsia="Aptos" w:hAnsi="Aptos" w:cs="Arial"/>
          <w:kern w:val="2"/>
          <w:sz w:val="22"/>
          <w:szCs w:val="22"/>
          <w14:ligatures w14:val="standardContextual"/>
        </w:rPr>
        <w:t>fourteen</w:t>
      </w:r>
      <w:r w:rsidRPr="00C7320D">
        <w:rPr>
          <w:rFonts w:ascii="Aptos" w:eastAsia="Aptos" w:hAnsi="Aptos" w:cs="Arial"/>
          <w:kern w:val="2"/>
          <w:sz w:val="22"/>
          <w:szCs w:val="22"/>
          <w14:ligatures w14:val="standardContextual"/>
        </w:rPr>
        <w:t xml:space="preserve"> percentage points less than the global average. </w:t>
      </w:r>
      <w:r w:rsidR="00F92B8C" w:rsidRPr="00C7320D">
        <w:rPr>
          <w:rFonts w:ascii="Aptos" w:eastAsia="Aptos" w:hAnsi="Aptos" w:cs="Arial"/>
          <w:kern w:val="2"/>
          <w:sz w:val="22"/>
          <w:szCs w:val="22"/>
          <w14:ligatures w14:val="standardContextual"/>
        </w:rPr>
        <w:t>O</w:t>
      </w:r>
      <w:r w:rsidRPr="00C7320D">
        <w:rPr>
          <w:rFonts w:ascii="Aptos" w:eastAsia="Aptos" w:hAnsi="Aptos" w:cs="Arial"/>
          <w:kern w:val="2"/>
          <w:sz w:val="22"/>
          <w:szCs w:val="22"/>
          <w14:ligatures w14:val="standardContextual"/>
        </w:rPr>
        <w:t xml:space="preserve">ver the last five years </w:t>
      </w:r>
      <w:r w:rsidR="00F92B8C" w:rsidRPr="00C7320D">
        <w:rPr>
          <w:rFonts w:ascii="Aptos" w:eastAsia="Aptos" w:hAnsi="Aptos" w:cs="Arial"/>
          <w:kern w:val="2"/>
          <w:sz w:val="22"/>
          <w:szCs w:val="22"/>
          <w14:ligatures w14:val="standardContextual"/>
        </w:rPr>
        <w:t xml:space="preserve">ownership increased from </w:t>
      </w:r>
      <w:r w:rsidR="00C64376" w:rsidRPr="00C7320D">
        <w:rPr>
          <w:rFonts w:ascii="Aptos" w:eastAsia="Aptos" w:hAnsi="Aptos" w:cs="Arial"/>
          <w:kern w:val="2"/>
          <w:sz w:val="22"/>
          <w:szCs w:val="22"/>
          <w14:ligatures w14:val="standardContextual"/>
        </w:rPr>
        <w:t>54 to 66 per cent, an average annual increase of 4.2 per cent</w:t>
      </w:r>
      <w:r w:rsidRPr="00C7320D">
        <w:rPr>
          <w:rFonts w:ascii="Aptos" w:eastAsia="Aptos" w:hAnsi="Aptos" w:cs="Arial"/>
          <w:kern w:val="2"/>
          <w:sz w:val="22"/>
          <w:szCs w:val="22"/>
          <w14:ligatures w14:val="standardContextual"/>
        </w:rPr>
        <w:t>. The gender parity score for ownership stood at 0.</w:t>
      </w:r>
      <w:r w:rsidR="0056753E" w:rsidRPr="00C7320D">
        <w:rPr>
          <w:rFonts w:ascii="Aptos" w:eastAsia="Aptos" w:hAnsi="Aptos" w:cs="Arial"/>
          <w:kern w:val="2"/>
          <w:sz w:val="22"/>
          <w:szCs w:val="22"/>
          <w14:ligatures w14:val="standardContextual"/>
        </w:rPr>
        <w:t>81</w:t>
      </w:r>
      <w:r w:rsidRPr="00C7320D">
        <w:rPr>
          <w:rFonts w:ascii="Aptos" w:eastAsia="Aptos" w:hAnsi="Aptos" w:cs="Arial"/>
          <w:kern w:val="2"/>
          <w:sz w:val="22"/>
          <w:szCs w:val="22"/>
          <w14:ligatures w14:val="standardContextual"/>
        </w:rPr>
        <w:t>, improving from 0.</w:t>
      </w:r>
      <w:r w:rsidR="0056753E" w:rsidRPr="00C7320D">
        <w:rPr>
          <w:rFonts w:ascii="Aptos" w:eastAsia="Aptos" w:hAnsi="Aptos" w:cs="Arial"/>
          <w:kern w:val="2"/>
          <w:sz w:val="22"/>
          <w:szCs w:val="22"/>
          <w14:ligatures w14:val="standardContextual"/>
        </w:rPr>
        <w:t>78</w:t>
      </w:r>
      <w:r w:rsidRPr="00C7320D">
        <w:rPr>
          <w:rFonts w:ascii="Aptos" w:eastAsia="Aptos" w:hAnsi="Aptos" w:cs="Arial"/>
          <w:kern w:val="2"/>
          <w:sz w:val="22"/>
          <w:szCs w:val="22"/>
          <w14:ligatures w14:val="standardContextual"/>
        </w:rPr>
        <w:t xml:space="preserve"> in 2021. During the same period, the global GPS also improved slightly, from 0.91 to 0.93.</w:t>
      </w:r>
      <w:r w:rsidR="00185A6D" w:rsidRPr="00C7320D">
        <w:rPr>
          <w:rFonts w:ascii="Aptos" w:eastAsia="Aptos" w:hAnsi="Aptos" w:cs="Arial"/>
          <w:kern w:val="2"/>
          <w:sz w:val="22"/>
          <w:szCs w:val="22"/>
          <w14:ligatures w14:val="standardContextual"/>
        </w:rPr>
        <w:t xml:space="preserve"> In </w:t>
      </w:r>
      <w:r w:rsidR="00297F61" w:rsidRPr="00C7320D">
        <w:rPr>
          <w:rFonts w:ascii="Aptos" w:eastAsia="Aptos" w:hAnsi="Aptos" w:cs="Arial"/>
          <w:kern w:val="2"/>
          <w:sz w:val="22"/>
          <w:szCs w:val="22"/>
          <w14:ligatures w14:val="standardContextual"/>
        </w:rPr>
        <w:t>twelve</w:t>
      </w:r>
      <w:r w:rsidR="00185A6D" w:rsidRPr="00C7320D">
        <w:rPr>
          <w:rFonts w:ascii="Aptos" w:eastAsia="Aptos" w:hAnsi="Aptos" w:cs="Arial"/>
          <w:kern w:val="2"/>
          <w:sz w:val="22"/>
          <w:szCs w:val="22"/>
          <w14:ligatures w14:val="standardContextual"/>
        </w:rPr>
        <w:t xml:space="preserve"> (out of 3</w:t>
      </w:r>
      <w:r w:rsidR="002D0C8F" w:rsidRPr="00C7320D">
        <w:rPr>
          <w:rFonts w:ascii="Aptos" w:eastAsia="Aptos" w:hAnsi="Aptos" w:cs="Arial"/>
          <w:kern w:val="2"/>
          <w:sz w:val="22"/>
          <w:szCs w:val="22"/>
          <w14:ligatures w14:val="standardContextual"/>
        </w:rPr>
        <w:t>9</w:t>
      </w:r>
      <w:r w:rsidR="00185A6D" w:rsidRPr="00C7320D">
        <w:rPr>
          <w:rFonts w:ascii="Aptos" w:eastAsia="Aptos" w:hAnsi="Aptos" w:cs="Arial"/>
          <w:kern w:val="2"/>
          <w:sz w:val="22"/>
          <w:szCs w:val="22"/>
          <w14:ligatures w14:val="standardContextual"/>
        </w:rPr>
        <w:t xml:space="preserve">) countries, mobile phone ownership was below </w:t>
      </w:r>
      <w:r w:rsidR="00297F61" w:rsidRPr="00C7320D">
        <w:rPr>
          <w:rFonts w:ascii="Aptos" w:eastAsia="Aptos" w:hAnsi="Aptos" w:cs="Arial"/>
          <w:kern w:val="2"/>
          <w:sz w:val="22"/>
          <w:szCs w:val="22"/>
          <w14:ligatures w14:val="standardContextual"/>
        </w:rPr>
        <w:t>6</w:t>
      </w:r>
      <w:r w:rsidR="00185A6D" w:rsidRPr="00C7320D">
        <w:rPr>
          <w:rFonts w:ascii="Aptos" w:eastAsia="Aptos" w:hAnsi="Aptos" w:cs="Arial"/>
          <w:kern w:val="2"/>
          <w:sz w:val="22"/>
          <w:szCs w:val="22"/>
          <w14:ligatures w14:val="standardContextual"/>
        </w:rPr>
        <w:t>0 per cent of the population</w:t>
      </w:r>
      <w:r w:rsidR="00297F61" w:rsidRPr="00C7320D">
        <w:rPr>
          <w:rFonts w:ascii="Aptos" w:eastAsia="Aptos" w:hAnsi="Aptos" w:cs="Arial"/>
          <w:kern w:val="2"/>
          <w:sz w:val="22"/>
          <w:szCs w:val="22"/>
          <w14:ligatures w14:val="standardContextual"/>
        </w:rPr>
        <w:t>.</w:t>
      </w:r>
    </w:p>
    <w:p w14:paraId="58AD5113" w14:textId="020A3A7F"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Percentage of individuals owning a mobile phone, </w:t>
      </w:r>
      <w:r w:rsidR="00CD1E50"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7A43C988" w14:textId="45C06AAB" w:rsidR="006C41B5" w:rsidRPr="00C7320D" w:rsidRDefault="00F40F86" w:rsidP="00B1004A">
      <w:pPr>
        <w:pStyle w:val="notetext"/>
      </w:pPr>
      <w:r w:rsidRPr="00C7320D">
        <w:rPr>
          <w:noProof/>
        </w:rPr>
        <w:drawing>
          <wp:inline distT="0" distB="0" distL="0" distR="0" wp14:anchorId="01C8F884" wp14:editId="23A6A442">
            <wp:extent cx="6120765" cy="2815590"/>
            <wp:effectExtent l="0" t="0" r="0" b="3810"/>
            <wp:docPr id="4432788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78877"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6120765" cy="2815590"/>
                    </a:xfrm>
                    <a:prstGeom prst="rect">
                      <a:avLst/>
                    </a:prstGeom>
                  </pic:spPr>
                </pic:pic>
              </a:graphicData>
            </a:graphic>
          </wp:inline>
        </w:drawing>
      </w:r>
      <w:r w:rsidR="006C41B5" w:rsidRPr="00C7320D">
        <w:t xml:space="preserve">Notes: Individuals aged 10 and older. </w:t>
      </w:r>
      <w:r w:rsidR="005F481F" w:rsidRPr="00C7320D">
        <w:t>Non-official data</w:t>
      </w:r>
      <w:r w:rsidR="006C41B5" w:rsidRPr="00C7320D">
        <w:t xml:space="preserve"> are in a lighter shade, country submitted data in a darker shade.</w:t>
      </w:r>
    </w:p>
    <w:p w14:paraId="15977200" w14:textId="77777777" w:rsidR="006C41B5" w:rsidRPr="002326A3" w:rsidRDefault="006C41B5" w:rsidP="00B1004A">
      <w:pPr>
        <w:pStyle w:val="Sourcetext"/>
        <w:rPr>
          <w:lang w:val="fr-CH"/>
        </w:rPr>
      </w:pPr>
      <w:r w:rsidRPr="002326A3">
        <w:rPr>
          <w:lang w:val="fr-CH"/>
        </w:rPr>
        <w:t>Source: ITU</w:t>
      </w:r>
    </w:p>
    <w:p w14:paraId="3BAAD768" w14:textId="77777777" w:rsidR="006C41B5" w:rsidRPr="002326A3" w:rsidRDefault="006C41B5" w:rsidP="00F40F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fr-CH"/>
        </w:rPr>
      </w:pPr>
      <w:r w:rsidRPr="002326A3">
        <w:rPr>
          <w:rFonts w:ascii="AvenirNext LT Pro Light" w:eastAsia="Yu Gothic Light" w:hAnsi="AvenirNext LT Pro Light" w:cs="Calibri"/>
          <w:color w:val="0070C0"/>
          <w:spacing w:val="-10"/>
          <w:kern w:val="28"/>
          <w:szCs w:val="24"/>
          <w:lang w:val="fr-CH"/>
        </w:rPr>
        <w:lastRenderedPageBreak/>
        <w:t>Mobile-cellular subscriptions per 100 inhabitants</w:t>
      </w:r>
    </w:p>
    <w:p w14:paraId="1B36F5B8" w14:textId="434078E6" w:rsidR="0032712A" w:rsidRPr="00C7320D" w:rsidRDefault="00BD4421" w:rsidP="0032712A">
      <w:pPr>
        <w:pStyle w:val="notetext"/>
      </w:pPr>
      <w:r w:rsidRPr="00C7320D">
        <w:rPr>
          <w:noProof/>
        </w:rPr>
        <w:drawing>
          <wp:inline distT="0" distB="0" distL="0" distR="0" wp14:anchorId="5B776C7D" wp14:editId="5EB350E4">
            <wp:extent cx="6120765" cy="2702560"/>
            <wp:effectExtent l="0" t="0" r="0" b="2540"/>
            <wp:docPr id="923430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3025"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6120765" cy="2702560"/>
                    </a:xfrm>
                    <a:prstGeom prst="rect">
                      <a:avLst/>
                    </a:prstGeom>
                  </pic:spPr>
                </pic:pic>
              </a:graphicData>
            </a:graphic>
          </wp:inline>
        </w:drawing>
      </w:r>
      <w:r w:rsidR="0032712A" w:rsidRPr="00C7320D">
        <w:t xml:space="preserve"> Notes: Non-official data are in a lighter shade, country submitted data in a darker shade.</w:t>
      </w:r>
    </w:p>
    <w:p w14:paraId="2416908B" w14:textId="267D5868" w:rsidR="006C41B5" w:rsidRPr="00C7320D" w:rsidRDefault="006C41B5" w:rsidP="00B1004A">
      <w:pPr>
        <w:pStyle w:val="Sourcetext"/>
      </w:pPr>
      <w:r w:rsidRPr="00C7320D">
        <w:t>Source: ITU</w:t>
      </w:r>
    </w:p>
    <w:p w14:paraId="439A597B" w14:textId="5D4DF4E1" w:rsidR="00B625C3" w:rsidRPr="00C7320D" w:rsidRDefault="00B625C3" w:rsidP="00B625C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To use a mobile phone, a mobile-cellular or mobile broadband subscription is needed. In </w:t>
      </w:r>
      <w:r w:rsidR="00811A19" w:rsidRPr="00C7320D">
        <w:rPr>
          <w:rFonts w:ascii="Aptos" w:eastAsia="Aptos" w:hAnsi="Aptos" w:cs="Arial"/>
          <w:kern w:val="2"/>
          <w:sz w:val="22"/>
          <w:szCs w:val="22"/>
          <w14:ligatures w14:val="standardContextual"/>
        </w:rPr>
        <w:t>the Africa region</w:t>
      </w:r>
      <w:r w:rsidRPr="00C7320D">
        <w:rPr>
          <w:rFonts w:ascii="Aptos" w:eastAsia="Aptos" w:hAnsi="Aptos" w:cs="Arial"/>
          <w:kern w:val="2"/>
          <w:sz w:val="22"/>
          <w:szCs w:val="22"/>
          <w14:ligatures w14:val="standardContextual"/>
        </w:rPr>
        <w:t xml:space="preserve">, there were </w:t>
      </w:r>
      <w:r w:rsidR="00C54B83" w:rsidRPr="00C7320D">
        <w:rPr>
          <w:rFonts w:ascii="Aptos" w:eastAsia="Aptos" w:hAnsi="Aptos" w:cs="Arial"/>
          <w:kern w:val="2"/>
          <w:sz w:val="22"/>
          <w:szCs w:val="22"/>
          <w14:ligatures w14:val="standardContextual"/>
        </w:rPr>
        <w:t>98</w:t>
      </w:r>
      <w:r w:rsidRPr="00C7320D">
        <w:rPr>
          <w:rFonts w:ascii="Aptos" w:eastAsia="Aptos" w:hAnsi="Aptos" w:cs="Arial"/>
          <w:kern w:val="2"/>
          <w:sz w:val="22"/>
          <w:szCs w:val="22"/>
          <w14:ligatures w14:val="standardContextual"/>
        </w:rPr>
        <w:t xml:space="preserve"> subscriptions per 100 inhabitants in 2024, </w:t>
      </w:r>
      <w:r w:rsidR="009273CC" w:rsidRPr="00C7320D">
        <w:rPr>
          <w:rFonts w:ascii="Aptos" w:eastAsia="Aptos" w:hAnsi="Aptos" w:cs="Arial"/>
          <w:kern w:val="2"/>
          <w:sz w:val="22"/>
          <w:szCs w:val="22"/>
          <w14:ligatures w14:val="standardContextual"/>
        </w:rPr>
        <w:t>fourteen less than</w:t>
      </w:r>
      <w:r w:rsidRPr="00C7320D">
        <w:rPr>
          <w:rFonts w:ascii="Aptos" w:eastAsia="Aptos" w:hAnsi="Aptos" w:cs="Arial"/>
          <w:kern w:val="2"/>
          <w:sz w:val="22"/>
          <w:szCs w:val="22"/>
          <w14:ligatures w14:val="standardContextual"/>
        </w:rPr>
        <w:t xml:space="preserve"> the global average. </w:t>
      </w:r>
      <w:r w:rsidR="00A35498" w:rsidRPr="00C7320D">
        <w:rPr>
          <w:rFonts w:ascii="Aptos" w:eastAsia="Aptos" w:hAnsi="Aptos" w:cs="Arial"/>
          <w:kern w:val="2"/>
          <w:sz w:val="22"/>
          <w:szCs w:val="22"/>
          <w14:ligatures w14:val="standardContextual"/>
        </w:rPr>
        <w:t xml:space="preserve">In the last few years, Africa has been slowly catching up with the world, with an annual average growth of </w:t>
      </w:r>
      <w:r w:rsidR="00B22F81" w:rsidRPr="00C7320D">
        <w:rPr>
          <w:rFonts w:ascii="Aptos" w:eastAsia="Aptos" w:hAnsi="Aptos" w:cs="Arial"/>
          <w:kern w:val="2"/>
          <w:sz w:val="22"/>
          <w:szCs w:val="22"/>
          <w14:ligatures w14:val="standardContextual"/>
        </w:rPr>
        <w:t>3.4 per cent over the last ten years, against 1.5 per cent globally.</w:t>
      </w:r>
    </w:p>
    <w:p w14:paraId="1367AAF0" w14:textId="78CED7BF" w:rsidR="00B625C3" w:rsidRPr="00C7320D" w:rsidRDefault="00B625C3" w:rsidP="00B625C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At the country level, there </w:t>
      </w:r>
      <w:r w:rsidR="00B22F81" w:rsidRPr="00C7320D">
        <w:rPr>
          <w:rFonts w:ascii="Aptos" w:eastAsia="Aptos" w:hAnsi="Aptos" w:cs="Arial"/>
          <w:kern w:val="2"/>
          <w:sz w:val="22"/>
          <w:szCs w:val="22"/>
          <w14:ligatures w14:val="standardContextual"/>
        </w:rPr>
        <w:t xml:space="preserve">is </w:t>
      </w:r>
      <w:r w:rsidRPr="00C7320D">
        <w:rPr>
          <w:rFonts w:ascii="Aptos" w:eastAsia="Aptos" w:hAnsi="Aptos" w:cs="Arial"/>
          <w:kern w:val="2"/>
          <w:sz w:val="22"/>
          <w:szCs w:val="22"/>
          <w14:ligatures w14:val="standardContextual"/>
        </w:rPr>
        <w:t xml:space="preserve">still a significant gap between the economies with least and most subscriptions per 100 inhabitants, at </w:t>
      </w:r>
      <w:r w:rsidR="003B2F31" w:rsidRPr="00C7320D">
        <w:rPr>
          <w:rFonts w:ascii="Aptos" w:eastAsia="Aptos" w:hAnsi="Aptos" w:cs="Arial"/>
          <w:kern w:val="2"/>
          <w:sz w:val="22"/>
          <w:szCs w:val="22"/>
          <w14:ligatures w14:val="standardContextual"/>
        </w:rPr>
        <w:t>32</w:t>
      </w:r>
      <w:r w:rsidRPr="00C7320D">
        <w:rPr>
          <w:rFonts w:ascii="Aptos" w:eastAsia="Aptos" w:hAnsi="Aptos" w:cs="Arial"/>
          <w:kern w:val="2"/>
          <w:sz w:val="22"/>
          <w:szCs w:val="22"/>
          <w14:ligatures w14:val="standardContextual"/>
        </w:rPr>
        <w:t xml:space="preserve"> and </w:t>
      </w:r>
      <w:r w:rsidR="003B2F31" w:rsidRPr="00C7320D">
        <w:rPr>
          <w:rFonts w:ascii="Aptos" w:eastAsia="Aptos" w:hAnsi="Aptos" w:cs="Arial"/>
          <w:kern w:val="2"/>
          <w:sz w:val="22"/>
          <w:szCs w:val="22"/>
          <w14:ligatures w14:val="standardContextual"/>
        </w:rPr>
        <w:t xml:space="preserve">185 </w:t>
      </w:r>
      <w:r w:rsidRPr="00C7320D">
        <w:rPr>
          <w:rFonts w:ascii="Aptos" w:eastAsia="Aptos" w:hAnsi="Aptos" w:cs="Arial"/>
          <w:kern w:val="2"/>
          <w:sz w:val="22"/>
          <w:szCs w:val="22"/>
          <w14:ligatures w14:val="standardContextual"/>
        </w:rPr>
        <w:t xml:space="preserve">respectively. </w:t>
      </w:r>
    </w:p>
    <w:p w14:paraId="5F3A7413" w14:textId="3CEE446D"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Mobile-cellular subscriptions per 100 inhabitants, </w:t>
      </w:r>
      <w:r w:rsidR="007B7825"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year available</w:t>
      </w:r>
    </w:p>
    <w:p w14:paraId="3ED82F06" w14:textId="14C4B7D6" w:rsidR="000018FC" w:rsidRPr="00C7320D" w:rsidRDefault="008E7B8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59CD5439" wp14:editId="403BB4D8">
            <wp:extent cx="6120765" cy="3008630"/>
            <wp:effectExtent l="0" t="0" r="0" b="1270"/>
            <wp:docPr id="12777443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44348"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6120765" cy="3008630"/>
                    </a:xfrm>
                    <a:prstGeom prst="rect">
                      <a:avLst/>
                    </a:prstGeom>
                  </pic:spPr>
                </pic:pic>
              </a:graphicData>
            </a:graphic>
          </wp:inline>
        </w:drawing>
      </w:r>
    </w:p>
    <w:p w14:paraId="3F83E9A8" w14:textId="77777777" w:rsidR="006C41B5" w:rsidRPr="00C7320D" w:rsidRDefault="006C41B5" w:rsidP="00B1004A">
      <w:pPr>
        <w:pStyle w:val="Sourcetext"/>
      </w:pPr>
      <w:r w:rsidRPr="00C7320D">
        <w:t>Source: ITU</w:t>
      </w:r>
    </w:p>
    <w:p w14:paraId="36AA0DFA" w14:textId="77777777" w:rsidR="006C41B5" w:rsidRPr="00C7320D"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rFonts w:ascii="Aptos" w:eastAsia="Aptos" w:hAnsi="Aptos" w:cs="Arial"/>
          <w:kern w:val="2"/>
          <w:sz w:val="16"/>
          <w:szCs w:val="28"/>
          <w14:ligatures w14:val="standardContextual"/>
        </w:rPr>
        <w:br w:type="page"/>
      </w:r>
    </w:p>
    <w:p w14:paraId="6BB7B84F" w14:textId="77777777" w:rsidR="008F78EF" w:rsidRPr="00C7320D" w:rsidRDefault="008F78EF" w:rsidP="008F78EF">
      <w:pPr>
        <w:pStyle w:val="Section"/>
      </w:pPr>
      <w:bookmarkStart w:id="16" w:name="_Toc191378086"/>
      <w:bookmarkStart w:id="17" w:name="_Toc191378087"/>
      <w:r w:rsidRPr="00C7320D">
        <w:lastRenderedPageBreak/>
        <w:t>ICT skills</w:t>
      </w:r>
      <w:bookmarkEnd w:id="16"/>
    </w:p>
    <w:p w14:paraId="022693A2"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bCs/>
          <w:i/>
          <w:iCs/>
          <w:kern w:val="2"/>
          <w:sz w:val="22"/>
          <w:szCs w:val="22"/>
          <w14:ligatures w14:val="standardContextual"/>
        </w:rPr>
        <w:t>Lack of data prevents solid ICT skills assessment among Internet users</w:t>
      </w:r>
    </w:p>
    <w:p w14:paraId="1CFA54BE"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4A91BAEB" w14:textId="2BCF9185"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 especially in Africa, with only eight countries having submitted ICT skills data since 2019. Furthermore, just one country provided comparable data on ICT skill levels (see box for details on the methodology for calculating ICT skill levels).</w:t>
      </w:r>
    </w:p>
    <w:p w14:paraId="53BC9533" w14:textId="77777777" w:rsidR="008F78EF" w:rsidRPr="00C7320D" w:rsidRDefault="008F78EF" w:rsidP="008F78EF"/>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8F78EF" w:rsidRPr="00C7320D" w14:paraId="56260129" w14:textId="77777777" w:rsidTr="007D0F60">
        <w:tc>
          <w:tcPr>
            <w:tcW w:w="9016" w:type="dxa"/>
            <w:shd w:val="clear" w:color="auto" w:fill="F2F2F2"/>
          </w:tcPr>
          <w:p w14:paraId="04B4987A"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C7320D">
              <w:rPr>
                <w:rFonts w:ascii="Aptos" w:hAnsi="Aptos"/>
                <w:b/>
                <w:sz w:val="22"/>
              </w:rPr>
              <w:t>Methodology for calculating ICT skill levels</w:t>
            </w:r>
          </w:p>
          <w:p w14:paraId="1F4A36B8"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C7320D">
              <w:rPr>
                <w:rFonts w:ascii="Aptos" w:hAnsi="Aptos"/>
                <w:sz w:val="22"/>
              </w:rPr>
              <w:t>At its 11</w:t>
            </w:r>
            <w:r w:rsidRPr="00C7320D">
              <w:rPr>
                <w:rFonts w:ascii="Aptos" w:hAnsi="Aptos"/>
                <w:sz w:val="22"/>
                <w:vertAlign w:val="superscript"/>
              </w:rPr>
              <w:t>th</w:t>
            </w:r>
            <w:r w:rsidRPr="00C7320D">
              <w:rPr>
                <w:rFonts w:ascii="Aptos" w:hAnsi="Aptos"/>
                <w:sz w:val="22"/>
              </w:rPr>
              <w:t xml:space="preserve"> meeting in September 2023, ITU’s Expert Group on ICT Household Indicators (EGH) </w:t>
            </w:r>
            <w:hyperlink r:id="rId91">
              <w:r w:rsidRPr="00C7320D">
                <w:rPr>
                  <w:rFonts w:ascii="Aptos" w:hAnsi="Aptos"/>
                  <w:color w:val="467886"/>
                  <w:sz w:val="22"/>
                  <w:u w:val="single"/>
                </w:rPr>
                <w:t>recommended changes</w:t>
              </w:r>
            </w:hyperlink>
            <w:r w:rsidRPr="00C7320D">
              <w:rPr>
                <w:rFonts w:ascii="Aptos" w:hAnsi="Aptos"/>
                <w:sz w:val="22"/>
              </w:rPr>
              <w:t xml:space="preserve"> in how data on ICT skill levels are reported – most importantly, that skill levels of individuals should be assessed for different areas. </w:t>
            </w:r>
          </w:p>
          <w:p w14:paraId="7D2205BC"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1D42F5C9" w14:textId="77777777" w:rsidR="008F78EF" w:rsidRPr="00C7320D" w:rsidRDefault="008F78EF" w:rsidP="007D0F60">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C7320D">
              <w:rPr>
                <w:rFonts w:ascii="Aptos" w:hAnsi="Aptos"/>
                <w:i/>
                <w:sz w:val="22"/>
              </w:rPr>
              <w:t>Individuals should be assessed on the number of activities within a skill area they report having done in the last three months using the following progression:</w:t>
            </w:r>
          </w:p>
          <w:p w14:paraId="2CDBD67E"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8F78EF" w:rsidRPr="00C7320D" w14:paraId="5265B924" w14:textId="77777777" w:rsidTr="007D0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08C07BA4" w14:textId="77777777" w:rsidR="008F78EF" w:rsidRPr="00C7320D" w:rsidRDefault="008F78EF" w:rsidP="007D0F60">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C7320D">
                    <w:rPr>
                      <w:rFonts w:ascii="Aptos" w:hAnsi="Aptos"/>
                      <w:sz w:val="18"/>
                      <w:szCs w:val="18"/>
                    </w:rPr>
                    <w:t>None</w:t>
                  </w:r>
                </w:p>
              </w:tc>
              <w:tc>
                <w:tcPr>
                  <w:tcW w:w="1531" w:type="dxa"/>
                </w:tcPr>
                <w:p w14:paraId="5B53EA37" w14:textId="77777777" w:rsidR="008F78EF" w:rsidRPr="00C7320D" w:rsidRDefault="008F78EF" w:rsidP="007D0F60">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C7320D">
                    <w:rPr>
                      <w:rFonts w:ascii="Aptos" w:hAnsi="Aptos"/>
                      <w:sz w:val="18"/>
                      <w:szCs w:val="18"/>
                    </w:rPr>
                    <w:t>Basic</w:t>
                  </w:r>
                </w:p>
              </w:tc>
              <w:tc>
                <w:tcPr>
                  <w:tcW w:w="2268" w:type="dxa"/>
                </w:tcPr>
                <w:p w14:paraId="3D4D1D31" w14:textId="77777777" w:rsidR="008F78EF" w:rsidRPr="00C7320D" w:rsidRDefault="008F78EF" w:rsidP="007D0F60">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C7320D">
                    <w:rPr>
                      <w:rFonts w:ascii="Aptos" w:hAnsi="Aptos"/>
                      <w:sz w:val="18"/>
                      <w:szCs w:val="18"/>
                    </w:rPr>
                    <w:t>Above basic</w:t>
                  </w:r>
                </w:p>
              </w:tc>
            </w:tr>
            <w:tr w:rsidR="008F78EF" w:rsidRPr="00C7320D" w14:paraId="5568D735" w14:textId="77777777" w:rsidTr="007D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37C79D7" w14:textId="77777777" w:rsidR="008F78EF" w:rsidRPr="00C7320D" w:rsidRDefault="008F78EF" w:rsidP="007D0F60">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C7320D">
                    <w:rPr>
                      <w:rFonts w:ascii="Aptos" w:hAnsi="Aptos"/>
                      <w:b w:val="0"/>
                      <w:bCs w:val="0"/>
                      <w:sz w:val="18"/>
                      <w:szCs w:val="18"/>
                    </w:rPr>
                    <w:t>0 activities</w:t>
                  </w:r>
                </w:p>
              </w:tc>
              <w:tc>
                <w:tcPr>
                  <w:tcW w:w="1531" w:type="dxa"/>
                </w:tcPr>
                <w:p w14:paraId="795AE5D3" w14:textId="77777777" w:rsidR="008F78EF" w:rsidRPr="00C7320D" w:rsidRDefault="008F78EF" w:rsidP="007D0F60">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C7320D">
                    <w:rPr>
                      <w:rFonts w:ascii="Aptos" w:hAnsi="Aptos"/>
                      <w:sz w:val="18"/>
                      <w:szCs w:val="18"/>
                    </w:rPr>
                    <w:t>1 activity</w:t>
                  </w:r>
                </w:p>
              </w:tc>
              <w:tc>
                <w:tcPr>
                  <w:tcW w:w="2268" w:type="dxa"/>
                </w:tcPr>
                <w:p w14:paraId="2F2FBCC0" w14:textId="77777777" w:rsidR="008F78EF" w:rsidRPr="00C7320D" w:rsidRDefault="008F78EF" w:rsidP="007D0F60">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C7320D">
                    <w:rPr>
                      <w:rFonts w:ascii="Aptos" w:hAnsi="Aptos"/>
                      <w:sz w:val="18"/>
                      <w:szCs w:val="18"/>
                    </w:rPr>
                    <w:t>More than 1 activity</w:t>
                  </w:r>
                </w:p>
              </w:tc>
            </w:tr>
          </w:tbl>
          <w:p w14:paraId="3214F4B5" w14:textId="77777777" w:rsidR="008F78EF" w:rsidRPr="00C7320D" w:rsidRDefault="008F78EF" w:rsidP="007D0F60">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68FC7F2B" w14:textId="77777777" w:rsidR="008F78EF" w:rsidRPr="00C7320D" w:rsidRDefault="008F78EF" w:rsidP="007D0F60">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C7320D">
              <w:rPr>
                <w:rFonts w:ascii="Aptos" w:hAnsi="Aptos"/>
                <w:i/>
                <w:sz w:val="22"/>
              </w:rPr>
              <w:t>Skill levels should not be assessed in skill areas where fewer than two indicators are collected.</w:t>
            </w:r>
          </w:p>
          <w:p w14:paraId="39A79666" w14:textId="77777777" w:rsidR="008F78EF" w:rsidRPr="00C7320D" w:rsidRDefault="008F78EF" w:rsidP="007D0F60">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C7320D">
              <w:rPr>
                <w:rFonts w:ascii="Aptos" w:hAnsi="Aptos"/>
                <w:i/>
                <w:sz w:val="22"/>
              </w:rPr>
              <w:t>Indicators should be weighted equally within each skill area.</w:t>
            </w:r>
          </w:p>
          <w:p w14:paraId="6D41919B" w14:textId="77777777" w:rsidR="008F78EF" w:rsidRPr="00C7320D" w:rsidRDefault="008F78EF" w:rsidP="007D0F60">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C7320D">
              <w:rPr>
                <w:rFonts w:ascii="Aptos" w:hAnsi="Aptos"/>
                <w:i/>
                <w:sz w:val="22"/>
              </w:rPr>
              <w:t>Skill areas with different numbers of components should be treated equally.</w:t>
            </w:r>
          </w:p>
          <w:p w14:paraId="077BDD40"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35E39021"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C7320D">
              <w:rPr>
                <w:rFonts w:ascii="Aptos" w:hAnsi="Aptos"/>
                <w:sz w:val="22"/>
              </w:rPr>
              <w:t>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including one African country. However, other countries were unable to provide data, even though in many cases data on the underlying activities had been collected. It is expected that data availability will improve as familiarity with these new recommendations increases.</w:t>
            </w:r>
          </w:p>
          <w:p w14:paraId="761D1E72" w14:textId="77777777" w:rsidR="008F78EF" w:rsidRPr="00C7320D" w:rsidRDefault="008F78EF" w:rsidP="007D0F60">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0B076494"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35AA3DB6" w14:textId="0FE9565F"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ICT skills data goes beyond simple access and use of ICTs to provide a view of the capabilities of ICT users. Data on individuals in Africa with different levels of ICT skills are available only for </w:t>
      </w:r>
      <w:r w:rsidR="005E222A" w:rsidRPr="00C7320D">
        <w:rPr>
          <w:rFonts w:ascii="Aptos" w:eastAsia="Aptos" w:hAnsi="Aptos" w:cs="Arial"/>
          <w:kern w:val="2"/>
          <w:sz w:val="22"/>
          <w:szCs w:val="22"/>
          <w14:ligatures w14:val="standardContextual"/>
        </w:rPr>
        <w:t>Malawi and</w:t>
      </w:r>
      <w:r w:rsidRPr="00C7320D">
        <w:rPr>
          <w:rFonts w:ascii="Aptos" w:eastAsia="Aptos" w:hAnsi="Aptos" w:cs="Arial"/>
          <w:kern w:val="2"/>
          <w:sz w:val="22"/>
          <w:szCs w:val="22"/>
          <w14:ligatures w14:val="standardContextual"/>
        </w:rPr>
        <w:t xml:space="preserve"> are shown below as a share of Internet users. These data show the areas where attention is needed to increase ICT skills.</w:t>
      </w:r>
    </w:p>
    <w:p w14:paraId="5F0E2E94" w14:textId="77777777" w:rsidR="008F78EF" w:rsidRPr="00C7320D" w:rsidRDefault="008F78EF" w:rsidP="008F78EF">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Percentage of Internet users with ICT skills in Malawi, by skill level, 2023</w:t>
      </w:r>
    </w:p>
    <w:p w14:paraId="3E1DDE33" w14:textId="77777777" w:rsidR="008F78EF" w:rsidRPr="00C7320D" w:rsidRDefault="008F78EF" w:rsidP="008F78E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C7320D">
        <w:rPr>
          <w:noProof/>
        </w:rPr>
        <w:drawing>
          <wp:inline distT="0" distB="0" distL="0" distR="0" wp14:anchorId="3D991FEA" wp14:editId="366A2C59">
            <wp:extent cx="6120765" cy="2698115"/>
            <wp:effectExtent l="0" t="0" r="0" b="6985"/>
            <wp:docPr id="9090687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8782"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6120765" cy="2698115"/>
                    </a:xfrm>
                    <a:prstGeom prst="rect">
                      <a:avLst/>
                    </a:prstGeom>
                  </pic:spPr>
                </pic:pic>
              </a:graphicData>
            </a:graphic>
          </wp:inline>
        </w:drawing>
      </w:r>
      <w:r w:rsidRPr="00C7320D">
        <w:rPr>
          <w:rFonts w:ascii="Aptos" w:eastAsia="Aptos" w:hAnsi="Aptos" w:cs="Arial"/>
          <w:kern w:val="2"/>
          <w:sz w:val="16"/>
          <w:szCs w:val="28"/>
          <w14:ligatures w14:val="standardContextual"/>
        </w:rPr>
        <w:t>Note: Data refer to individuals aged 15 and older.</w:t>
      </w:r>
    </w:p>
    <w:p w14:paraId="1AE21CBA" w14:textId="77777777" w:rsidR="008F78EF" w:rsidRPr="00C7320D" w:rsidRDefault="008F78EF" w:rsidP="008F78E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C7320D">
        <w:rPr>
          <w:rFonts w:ascii="Aptos" w:eastAsia="Aptos" w:hAnsi="Aptos" w:cs="Arial"/>
          <w:kern w:val="2"/>
          <w:sz w:val="16"/>
          <w:szCs w:val="28"/>
          <w14:ligatures w14:val="standardContextual"/>
        </w:rPr>
        <w:t>Source: ITU</w:t>
      </w:r>
    </w:p>
    <w:p w14:paraId="6F74C902"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There is a marked difference between the five skill areas. Communication and collaboration skill levels are very high in Malawi, with 90 per cent of Internet users reporting to have at least basic skills in this area. </w:t>
      </w:r>
    </w:p>
    <w:p w14:paraId="6E504FD4"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second highest skill area is information and data literacy, but trailing communication and collaboration significantly, with only 27 per cent of Internet users reporting at least basic skills. </w:t>
      </w:r>
    </w:p>
    <w:p w14:paraId="1A136CD5"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results for the other three skill areas are even lower, especially for safety, with only eight per cent of Internet users reporting at least basic skills in this area.</w:t>
      </w:r>
    </w:p>
    <w:p w14:paraId="7642E1BF"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Data provided by the other seven countries does not allow for a meaningful comparison between these countries. To be able to make a proper assessment of the level of ICT skills in the Africa region, there is a great need for investment in data collection.</w:t>
      </w:r>
    </w:p>
    <w:p w14:paraId="7EDB4954" w14:textId="77777777" w:rsidR="008F78EF" w:rsidRPr="00C7320D" w:rsidRDefault="008F78EF" w:rsidP="008F78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br w:type="page"/>
      </w:r>
    </w:p>
    <w:p w14:paraId="275F64C2" w14:textId="77777777" w:rsidR="006C41B5" w:rsidRPr="00C7320D" w:rsidRDefault="006C41B5" w:rsidP="000C3666">
      <w:pPr>
        <w:pStyle w:val="Section"/>
      </w:pPr>
      <w:r w:rsidRPr="00C7320D">
        <w:lastRenderedPageBreak/>
        <w:t>Revenues and investment</w:t>
      </w:r>
      <w:bookmarkEnd w:id="17"/>
      <w:r w:rsidRPr="00C7320D">
        <w:t xml:space="preserve"> </w:t>
      </w:r>
    </w:p>
    <w:p w14:paraId="37CF7549" w14:textId="618FCF59" w:rsidR="00524D65" w:rsidRPr="00C7320D" w:rsidRDefault="00B10E5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C7320D">
        <w:rPr>
          <w:rFonts w:ascii="Aptos" w:eastAsia="Aptos" w:hAnsi="Aptos" w:cs="Arial"/>
          <w:b/>
          <w:bCs/>
          <w:i/>
          <w:iCs/>
          <w:noProof/>
          <w:kern w:val="2"/>
          <w:sz w:val="22"/>
          <w:szCs w:val="22"/>
          <w14:ligatures w14:val="standardContextual"/>
        </w:rPr>
        <w:t>The telecom sector is a key economic driver</w:t>
      </w:r>
      <w:r w:rsidR="008F78EF" w:rsidRPr="00C7320D">
        <w:rPr>
          <w:rFonts w:ascii="Aptos" w:eastAsia="Aptos" w:hAnsi="Aptos" w:cs="Arial"/>
          <w:b/>
          <w:bCs/>
          <w:i/>
          <w:iCs/>
          <w:noProof/>
          <w:kern w:val="2"/>
          <w:sz w:val="22"/>
          <w:szCs w:val="22"/>
          <w14:ligatures w14:val="standardContextual"/>
        </w:rPr>
        <w:t xml:space="preserve"> in Africa</w:t>
      </w:r>
    </w:p>
    <w:p w14:paraId="0FDA1E5D" w14:textId="77777777" w:rsidR="0062041D" w:rsidRPr="00C7320D" w:rsidRDefault="0062041D" w:rsidP="0062041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C7320D">
        <w:rPr>
          <w:rFonts w:ascii="Aptos" w:eastAsia="Aptos" w:hAnsi="Aptos" w:cs="Arial"/>
          <w:noProof/>
          <w:kern w:val="2"/>
          <w:sz w:val="22"/>
          <w:szCs w:val="22"/>
          <w14:ligatures w14:val="standardContextual"/>
        </w:rPr>
        <w:t>The telecommunication sector is an important enabler of economic development, with both direct and indirect impacts. While it is harder to capture the indirect impact, recent data on revenue and investment reveals the significance of the sector’s direct impact on development but also the considerable gaps between countries.</w:t>
      </w:r>
    </w:p>
    <w:p w14:paraId="215AE009" w14:textId="21D03A7C" w:rsidR="006C41B5" w:rsidRPr="00C7320D" w:rsidRDefault="006C41B5" w:rsidP="006C41B5">
      <w:pP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Revenue from all telecommunication services, in USD </w:t>
      </w:r>
      <w:r w:rsidR="00F52337" w:rsidRPr="00C7320D">
        <w:rPr>
          <w:rFonts w:ascii="AvenirNext LT Pro Light" w:eastAsia="Yu Gothic Light" w:hAnsi="AvenirNext LT Pro Light" w:cs="Calibri"/>
          <w:color w:val="0070C0"/>
          <w:spacing w:val="-10"/>
          <w:kern w:val="28"/>
          <w:szCs w:val="24"/>
        </w:rPr>
        <w:t>b</w:t>
      </w:r>
      <w:r w:rsidRPr="00C7320D">
        <w:rPr>
          <w:rFonts w:ascii="AvenirNext LT Pro Light" w:eastAsia="Yu Gothic Light" w:hAnsi="AvenirNext LT Pro Light" w:cs="Calibri"/>
          <w:color w:val="0070C0"/>
          <w:spacing w:val="-10"/>
          <w:kern w:val="28"/>
          <w:szCs w:val="24"/>
        </w:rPr>
        <w:t xml:space="preserve">illion and as a % of GDP, </w:t>
      </w:r>
      <w:r w:rsidR="00F7068F" w:rsidRPr="00C7320D">
        <w:rPr>
          <w:rFonts w:ascii="AvenirNext LT Pro Light" w:eastAsia="Yu Gothic Light" w:hAnsi="AvenirNext LT Pro Light" w:cs="Calibri"/>
          <w:color w:val="0070C0"/>
          <w:spacing w:val="-10"/>
          <w:kern w:val="28"/>
          <w:szCs w:val="24"/>
        </w:rPr>
        <w:t xml:space="preserve">2023 or </w:t>
      </w:r>
      <w:r w:rsidRPr="00C7320D">
        <w:rPr>
          <w:rFonts w:ascii="AvenirNext LT Pro Light" w:eastAsia="Yu Gothic Light" w:hAnsi="AvenirNext LT Pro Light" w:cs="Calibri"/>
          <w:color w:val="0070C0"/>
          <w:spacing w:val="-10"/>
          <w:kern w:val="28"/>
          <w:szCs w:val="24"/>
        </w:rPr>
        <w:t>latest available year</w:t>
      </w:r>
    </w:p>
    <w:p w14:paraId="38D4CC11" w14:textId="4ADC893D" w:rsidR="00816318" w:rsidRPr="00C7320D" w:rsidRDefault="00032068" w:rsidP="00B1004A">
      <w:pPr>
        <w:pStyle w:val="notetext"/>
      </w:pPr>
      <w:r w:rsidRPr="00C7320D">
        <w:rPr>
          <w:noProof/>
        </w:rPr>
        <w:drawing>
          <wp:inline distT="0" distB="0" distL="0" distR="0" wp14:anchorId="61B3782C" wp14:editId="3727C057">
            <wp:extent cx="6120765" cy="3691890"/>
            <wp:effectExtent l="0" t="0" r="0" b="3810"/>
            <wp:docPr id="1766474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4361"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6120765" cy="3691890"/>
                    </a:xfrm>
                    <a:prstGeom prst="rect">
                      <a:avLst/>
                    </a:prstGeom>
                  </pic:spPr>
                </pic:pic>
              </a:graphicData>
            </a:graphic>
          </wp:inline>
        </w:drawing>
      </w:r>
      <w:r w:rsidR="00816318" w:rsidRPr="00C7320D">
        <w:t>Note: Annual average exchange rates applied, last available year values at constant 2023 prices.</w:t>
      </w:r>
    </w:p>
    <w:p w14:paraId="566B1952" w14:textId="77777777" w:rsidR="006C41B5" w:rsidRPr="00C7320D" w:rsidRDefault="006C41B5" w:rsidP="00B1004A">
      <w:pPr>
        <w:pStyle w:val="Sourcetext"/>
        <w:rPr>
          <w:noProof/>
        </w:rPr>
      </w:pPr>
      <w:r w:rsidRPr="00C7320D">
        <w:rPr>
          <w:noProof/>
        </w:rPr>
        <w:t>Source: ITU, World Bank World Development Indicators</w:t>
      </w:r>
    </w:p>
    <w:p w14:paraId="7B3090D6" w14:textId="20F7B5E2" w:rsidR="00163C91" w:rsidRPr="00C7320D" w:rsidRDefault="00163C91" w:rsidP="00163C91">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C7320D">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sidRPr="00C7320D">
        <w:rPr>
          <w:rFonts w:ascii="Aptos" w:eastAsia="Aptos" w:hAnsi="Aptos" w:cs="Arial"/>
          <w:noProof/>
          <w:kern w:val="2"/>
          <w:sz w:val="22"/>
          <w:szCs w:val="22"/>
          <w14:ligatures w14:val="standardContextual"/>
        </w:rPr>
        <w:t>.</w:t>
      </w:r>
      <w:r w:rsidRPr="00C7320D">
        <w:rPr>
          <w:rFonts w:ascii="Aptos" w:eastAsia="Aptos" w:hAnsi="Aptos" w:cs="Arial"/>
          <w:noProof/>
          <w:kern w:val="2"/>
          <w:sz w:val="22"/>
          <w:szCs w:val="22"/>
          <w:vertAlign w:val="superscript"/>
          <w14:ligatures w14:val="standardContextual"/>
        </w:rPr>
        <w:footnoteReference w:id="10"/>
      </w:r>
      <w:r w:rsidRPr="00C7320D">
        <w:rPr>
          <w:rFonts w:ascii="Aptos" w:eastAsia="Aptos" w:hAnsi="Aptos" w:cs="Arial"/>
          <w:kern w:val="2"/>
          <w:sz w:val="22"/>
          <w:szCs w:val="22"/>
          <w14:ligatures w14:val="standardContextual"/>
        </w:rPr>
        <w:t xml:space="preserve"> The total retail revenues for the sector in the </w:t>
      </w:r>
      <w:r w:rsidR="00375E99" w:rsidRPr="00C7320D">
        <w:rPr>
          <w:rFonts w:ascii="Aptos" w:eastAsia="Aptos" w:hAnsi="Aptos" w:cs="Arial"/>
          <w:kern w:val="2"/>
          <w:sz w:val="22"/>
          <w:szCs w:val="22"/>
          <w14:ligatures w14:val="standardContextual"/>
        </w:rPr>
        <w:t>Africa</w:t>
      </w:r>
      <w:r w:rsidRPr="00C7320D">
        <w:rPr>
          <w:rFonts w:ascii="Aptos" w:eastAsia="Aptos" w:hAnsi="Aptos" w:cs="Arial"/>
          <w:kern w:val="2"/>
          <w:sz w:val="22"/>
          <w:szCs w:val="22"/>
          <w14:ligatures w14:val="standardContextual"/>
        </w:rPr>
        <w:t xml:space="preserve"> region, for the </w:t>
      </w:r>
      <w:r w:rsidR="00375E99" w:rsidRPr="00C7320D">
        <w:rPr>
          <w:rFonts w:ascii="Aptos" w:eastAsia="Aptos" w:hAnsi="Aptos" w:cs="Arial"/>
          <w:kern w:val="2"/>
          <w:sz w:val="22"/>
          <w:szCs w:val="22"/>
          <w14:ligatures w14:val="standardContextual"/>
        </w:rPr>
        <w:t>30</w:t>
      </w:r>
      <w:r w:rsidRPr="00C7320D">
        <w:rPr>
          <w:rFonts w:ascii="Aptos" w:eastAsia="Aptos" w:hAnsi="Aptos" w:cs="Arial"/>
          <w:kern w:val="2"/>
          <w:sz w:val="22"/>
          <w:szCs w:val="22"/>
          <w14:ligatures w14:val="standardContextual"/>
        </w:rPr>
        <w:t xml:space="preserve"> countries that provided data in the last available year since 2021, is estimated at around USD </w:t>
      </w:r>
      <w:r w:rsidR="00AC6B86" w:rsidRPr="00C7320D">
        <w:rPr>
          <w:rFonts w:ascii="Aptos" w:eastAsia="Aptos" w:hAnsi="Aptos" w:cs="Arial"/>
          <w:kern w:val="2"/>
          <w:sz w:val="22"/>
          <w:szCs w:val="22"/>
          <w14:ligatures w14:val="standardContextual"/>
        </w:rPr>
        <w:t>42</w:t>
      </w:r>
      <w:r w:rsidRPr="00C7320D">
        <w:rPr>
          <w:rFonts w:ascii="Aptos" w:eastAsia="Aptos" w:hAnsi="Aptos" w:cs="Arial"/>
          <w:kern w:val="2"/>
          <w:sz w:val="22"/>
          <w:szCs w:val="22"/>
          <w14:ligatures w14:val="standardContextual"/>
        </w:rPr>
        <w:t xml:space="preserve"> billion. However, t</w:t>
      </w:r>
      <w:r w:rsidRPr="00C7320D">
        <w:rPr>
          <w:rFonts w:ascii="Aptos" w:eastAsia="Aptos" w:hAnsi="Aptos" w:cs="Arial"/>
          <w:noProof/>
          <w:kern w:val="2"/>
          <w:sz w:val="22"/>
          <w:szCs w:val="22"/>
          <w14:ligatures w14:val="standardContextual"/>
        </w:rPr>
        <w:t xml:space="preserve">he size of the telecommunication market varies significantly across countries, with </w:t>
      </w:r>
      <w:r w:rsidR="00322861" w:rsidRPr="00C7320D">
        <w:rPr>
          <w:rFonts w:ascii="Aptos" w:eastAsia="Aptos" w:hAnsi="Aptos" w:cs="Arial"/>
          <w:noProof/>
          <w:kern w:val="2"/>
          <w:sz w:val="22"/>
          <w:szCs w:val="22"/>
          <w14:ligatures w14:val="standardContextual"/>
        </w:rPr>
        <w:t>fourteen</w:t>
      </w:r>
      <w:r w:rsidRPr="00C7320D">
        <w:rPr>
          <w:rFonts w:ascii="Aptos" w:eastAsia="Aptos" w:hAnsi="Aptos" w:cs="Arial"/>
          <w:noProof/>
          <w:kern w:val="2"/>
          <w:sz w:val="22"/>
          <w:szCs w:val="22"/>
          <w14:ligatures w14:val="standardContextual"/>
        </w:rPr>
        <w:t xml:space="preserve"> countries reporting revenue </w:t>
      </w:r>
      <w:r w:rsidR="00322861" w:rsidRPr="00C7320D">
        <w:rPr>
          <w:rFonts w:ascii="Aptos" w:eastAsia="Aptos" w:hAnsi="Aptos" w:cs="Arial"/>
          <w:noProof/>
          <w:kern w:val="2"/>
          <w:sz w:val="22"/>
          <w:szCs w:val="22"/>
          <w14:ligatures w14:val="standardContextual"/>
        </w:rPr>
        <w:t>below</w:t>
      </w:r>
      <w:r w:rsidRPr="00C7320D">
        <w:rPr>
          <w:rFonts w:ascii="Aptos" w:eastAsia="Aptos" w:hAnsi="Aptos" w:cs="Arial"/>
          <w:noProof/>
          <w:kern w:val="2"/>
          <w:sz w:val="22"/>
          <w:szCs w:val="22"/>
          <w14:ligatures w14:val="standardContextual"/>
        </w:rPr>
        <w:t xml:space="preserve"> USD </w:t>
      </w:r>
      <w:r w:rsidR="00322861" w:rsidRPr="00C7320D">
        <w:rPr>
          <w:rFonts w:ascii="Aptos" w:eastAsia="Aptos" w:hAnsi="Aptos" w:cs="Arial"/>
          <w:noProof/>
          <w:kern w:val="2"/>
          <w:sz w:val="22"/>
          <w:szCs w:val="22"/>
          <w14:ligatures w14:val="standardContextual"/>
        </w:rPr>
        <w:t>500</w:t>
      </w:r>
      <w:r w:rsidRPr="00C7320D">
        <w:rPr>
          <w:rFonts w:ascii="Aptos" w:eastAsia="Aptos" w:hAnsi="Aptos" w:cs="Arial"/>
          <w:noProof/>
          <w:kern w:val="2"/>
          <w:sz w:val="22"/>
          <w:szCs w:val="22"/>
          <w14:ligatures w14:val="standardContextual"/>
        </w:rPr>
        <w:t xml:space="preserve"> million, while the </w:t>
      </w:r>
      <w:r w:rsidR="00322861" w:rsidRPr="00C7320D">
        <w:rPr>
          <w:rFonts w:ascii="Aptos" w:eastAsia="Aptos" w:hAnsi="Aptos" w:cs="Arial"/>
          <w:noProof/>
          <w:kern w:val="2"/>
          <w:sz w:val="22"/>
          <w:szCs w:val="22"/>
          <w14:ligatures w14:val="standardContextual"/>
        </w:rPr>
        <w:t xml:space="preserve">two </w:t>
      </w:r>
      <w:r w:rsidRPr="00C7320D">
        <w:rPr>
          <w:rFonts w:ascii="Aptos" w:eastAsia="Aptos" w:hAnsi="Aptos" w:cs="Arial"/>
          <w:noProof/>
          <w:kern w:val="2"/>
          <w:sz w:val="22"/>
          <w:szCs w:val="22"/>
          <w14:ligatures w14:val="standardContextual"/>
        </w:rPr>
        <w:t>largest market</w:t>
      </w:r>
      <w:r w:rsidR="00322861" w:rsidRPr="00C7320D">
        <w:rPr>
          <w:rFonts w:ascii="Aptos" w:eastAsia="Aptos" w:hAnsi="Aptos" w:cs="Arial"/>
          <w:noProof/>
          <w:kern w:val="2"/>
          <w:sz w:val="22"/>
          <w:szCs w:val="22"/>
          <w14:ligatures w14:val="standardContextual"/>
        </w:rPr>
        <w:t xml:space="preserve">s </w:t>
      </w:r>
      <w:r w:rsidR="000371A5" w:rsidRPr="00C7320D">
        <w:rPr>
          <w:rFonts w:ascii="Aptos" w:eastAsia="Aptos" w:hAnsi="Aptos" w:cs="Arial"/>
          <w:noProof/>
          <w:kern w:val="2"/>
          <w:sz w:val="22"/>
          <w:szCs w:val="22"/>
          <w14:ligatures w14:val="standardContextual"/>
        </w:rPr>
        <w:t xml:space="preserve">reached </w:t>
      </w:r>
      <w:r w:rsidRPr="00C7320D">
        <w:rPr>
          <w:rFonts w:ascii="Aptos" w:eastAsia="Aptos" w:hAnsi="Aptos" w:cs="Arial"/>
          <w:noProof/>
          <w:kern w:val="2"/>
          <w:sz w:val="22"/>
          <w:szCs w:val="22"/>
          <w14:ligatures w14:val="standardContextual"/>
        </w:rPr>
        <w:t>USD </w:t>
      </w:r>
      <w:r w:rsidR="000371A5" w:rsidRPr="00C7320D">
        <w:rPr>
          <w:rFonts w:ascii="Aptos" w:eastAsia="Aptos" w:hAnsi="Aptos" w:cs="Arial"/>
          <w:noProof/>
          <w:kern w:val="2"/>
          <w:sz w:val="22"/>
          <w:szCs w:val="22"/>
          <w14:ligatures w14:val="standardContextual"/>
        </w:rPr>
        <w:t xml:space="preserve">9 </w:t>
      </w:r>
      <w:r w:rsidRPr="00C7320D">
        <w:rPr>
          <w:rFonts w:ascii="Aptos" w:eastAsia="Aptos" w:hAnsi="Aptos" w:cs="Arial"/>
          <w:noProof/>
          <w:kern w:val="2"/>
          <w:sz w:val="22"/>
          <w:szCs w:val="22"/>
          <w14:ligatures w14:val="standardContextual"/>
        </w:rPr>
        <w:t xml:space="preserve">billion. </w:t>
      </w:r>
    </w:p>
    <w:p w14:paraId="11316552" w14:textId="06D40503" w:rsidR="00163C91" w:rsidRPr="00C7320D" w:rsidRDefault="00163C91" w:rsidP="00163C91">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C7320D">
        <w:rPr>
          <w:rFonts w:ascii="Aptos" w:eastAsia="Aptos" w:hAnsi="Aptos" w:cs="Arial"/>
          <w:noProof/>
          <w:kern w:val="2"/>
          <w:sz w:val="22"/>
          <w:szCs w:val="22"/>
          <w14:ligatures w14:val="standardContextual"/>
        </w:rPr>
        <w:t xml:space="preserve">This sector contributed an average of </w:t>
      </w:r>
      <w:r w:rsidR="007B7385" w:rsidRPr="00C7320D">
        <w:rPr>
          <w:rFonts w:ascii="Aptos" w:eastAsia="Aptos" w:hAnsi="Aptos" w:cs="Arial"/>
          <w:noProof/>
          <w:kern w:val="2"/>
          <w:sz w:val="22"/>
          <w:szCs w:val="22"/>
          <w14:ligatures w14:val="standardContextual"/>
        </w:rPr>
        <w:t>2.6</w:t>
      </w:r>
      <w:r w:rsidRPr="00C7320D">
        <w:rPr>
          <w:rFonts w:ascii="Aptos" w:eastAsia="Aptos" w:hAnsi="Aptos" w:cs="Arial"/>
          <w:noProof/>
          <w:kern w:val="2"/>
          <w:sz w:val="22"/>
          <w:szCs w:val="22"/>
          <w14:ligatures w14:val="standardContextual"/>
        </w:rPr>
        <w:t xml:space="preserve"> per cent to the region's GDP. This proportion fluctuates, ranging from less than </w:t>
      </w:r>
      <w:r w:rsidR="00963A64" w:rsidRPr="00C7320D">
        <w:rPr>
          <w:rFonts w:ascii="Aptos" w:eastAsia="Aptos" w:hAnsi="Aptos" w:cs="Arial"/>
          <w:noProof/>
          <w:kern w:val="2"/>
          <w:sz w:val="22"/>
          <w:szCs w:val="22"/>
          <w14:ligatures w14:val="standardContextual"/>
        </w:rPr>
        <w:t>0.9 to 5.2</w:t>
      </w:r>
      <w:r w:rsidRPr="00C7320D">
        <w:rPr>
          <w:rFonts w:ascii="Aptos" w:eastAsia="Aptos" w:hAnsi="Aptos" w:cs="Arial"/>
          <w:noProof/>
          <w:kern w:val="2"/>
          <w:sz w:val="22"/>
          <w:szCs w:val="22"/>
          <w14:ligatures w14:val="standardContextual"/>
        </w:rPr>
        <w:t xml:space="preserve"> per cent.</w:t>
      </w:r>
      <w:r w:rsidRPr="00C7320D">
        <w:rPr>
          <w:rFonts w:ascii="Aptos" w:eastAsia="Aptos" w:hAnsi="Aptos" w:cs="Arial"/>
          <w:kern w:val="2"/>
          <w:sz w:val="22"/>
          <w:szCs w:val="22"/>
          <w14:ligatures w14:val="standardContextual"/>
        </w:rPr>
        <w:t xml:space="preserve"> </w:t>
      </w:r>
    </w:p>
    <w:p w14:paraId="267A6AEE" w14:textId="77777777" w:rsidR="00163C91" w:rsidRPr="00C7320D" w:rsidRDefault="00163C91">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br w:type="page"/>
      </w:r>
    </w:p>
    <w:p w14:paraId="13F098A6" w14:textId="0BA07A24" w:rsidR="0047619F" w:rsidRPr="00C7320D" w:rsidRDefault="0047619F" w:rsidP="0047619F">
      <w:pP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D470D7" w:rsidRPr="00C7320D">
        <w:rPr>
          <w:rFonts w:ascii="AvenirNext LT Pro Light" w:eastAsia="Yu Gothic Light" w:hAnsi="AvenirNext LT Pro Light" w:cs="Calibri"/>
          <w:color w:val="0070C0"/>
          <w:spacing w:val="-10"/>
          <w:kern w:val="28"/>
          <w:szCs w:val="24"/>
        </w:rPr>
        <w:t>b</w:t>
      </w:r>
      <w:r w:rsidRPr="00C7320D">
        <w:rPr>
          <w:rFonts w:ascii="AvenirNext LT Pro Light" w:eastAsia="Yu Gothic Light" w:hAnsi="AvenirNext LT Pro Light" w:cs="Calibri"/>
          <w:color w:val="0070C0"/>
          <w:spacing w:val="-10"/>
          <w:kern w:val="28"/>
          <w:szCs w:val="24"/>
        </w:rPr>
        <w:t>illion and as % of GDP</w:t>
      </w:r>
    </w:p>
    <w:p w14:paraId="3F79FE86" w14:textId="23AD51FE" w:rsidR="0047619F" w:rsidRPr="00C7320D" w:rsidRDefault="00854E9D" w:rsidP="00B1004A">
      <w:pPr>
        <w:pStyle w:val="notetext"/>
      </w:pPr>
      <w:r w:rsidRPr="00C7320D">
        <w:rPr>
          <w:noProof/>
        </w:rPr>
        <w:drawing>
          <wp:inline distT="0" distB="0" distL="0" distR="0" wp14:anchorId="4B2F53D1" wp14:editId="52CB5B41">
            <wp:extent cx="6120765" cy="3589020"/>
            <wp:effectExtent l="0" t="0" r="0" b="0"/>
            <wp:docPr id="11990374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37429"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6120765" cy="3589020"/>
                    </a:xfrm>
                    <a:prstGeom prst="rect">
                      <a:avLst/>
                    </a:prstGeom>
                  </pic:spPr>
                </pic:pic>
              </a:graphicData>
            </a:graphic>
          </wp:inline>
        </w:drawing>
      </w:r>
      <w:r w:rsidR="0047619F" w:rsidRPr="00C7320D">
        <w:t>Note: Data are a three-year (2021-2023) average of available data points to correct for annual fluctuations and gaps. Investment figures are in constant 2023 US dollars.</w:t>
      </w:r>
    </w:p>
    <w:p w14:paraId="46261EB7" w14:textId="77777777" w:rsidR="0047619F" w:rsidRPr="00C7320D" w:rsidRDefault="0047619F" w:rsidP="00B1004A">
      <w:pPr>
        <w:pStyle w:val="Sourcetext"/>
      </w:pPr>
      <w:r w:rsidRPr="00C7320D">
        <w:t>Source: ITU, World Bank World Development Indicators</w:t>
      </w:r>
    </w:p>
    <w:p w14:paraId="767C1D6A" w14:textId="74677F80" w:rsidR="00C623F2" w:rsidRPr="00C7320D" w:rsidRDefault="00C623F2" w:rsidP="00C623F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deployment of new network technologies and the upgrading of existing ones are highly capital-intensive activities. Investment projects often span multiple years and values fluctuate, which is why statistics are presented as the period average for 2021-2023. Those countries in the Africa region for which data was available made annual investments ranging from less than USD </w:t>
      </w:r>
      <w:r w:rsidR="008F64B9" w:rsidRPr="00C7320D">
        <w:rPr>
          <w:rFonts w:ascii="Aptos" w:eastAsia="Aptos" w:hAnsi="Aptos" w:cs="Arial"/>
          <w:kern w:val="2"/>
          <w:sz w:val="22"/>
          <w:szCs w:val="22"/>
          <w14:ligatures w14:val="standardContextual"/>
        </w:rPr>
        <w:t>5</w:t>
      </w:r>
      <w:r w:rsidRPr="00C7320D">
        <w:rPr>
          <w:rFonts w:ascii="Aptos" w:eastAsia="Aptos" w:hAnsi="Aptos" w:cs="Arial"/>
          <w:kern w:val="2"/>
          <w:sz w:val="22"/>
          <w:szCs w:val="22"/>
          <w14:ligatures w14:val="standardContextual"/>
        </w:rPr>
        <w:t xml:space="preserve"> </w:t>
      </w:r>
      <w:r w:rsidR="008F64B9" w:rsidRPr="00C7320D">
        <w:rPr>
          <w:rFonts w:ascii="Aptos" w:eastAsia="Aptos" w:hAnsi="Aptos" w:cs="Arial"/>
          <w:kern w:val="2"/>
          <w:sz w:val="22"/>
          <w:szCs w:val="22"/>
          <w14:ligatures w14:val="standardContextual"/>
        </w:rPr>
        <w:t>m</w:t>
      </w:r>
      <w:r w:rsidRPr="00C7320D">
        <w:rPr>
          <w:rFonts w:ascii="Aptos" w:eastAsia="Aptos" w:hAnsi="Aptos" w:cs="Arial"/>
          <w:kern w:val="2"/>
          <w:sz w:val="22"/>
          <w:szCs w:val="22"/>
          <w14:ligatures w14:val="standardContextual"/>
        </w:rPr>
        <w:t xml:space="preserve">illion in </w:t>
      </w:r>
      <w:r w:rsidR="008F64B9" w:rsidRPr="00C7320D">
        <w:rPr>
          <w:rFonts w:ascii="Aptos" w:eastAsia="Aptos" w:hAnsi="Aptos" w:cs="Arial"/>
          <w:kern w:val="2"/>
          <w:sz w:val="22"/>
          <w:szCs w:val="22"/>
          <w14:ligatures w14:val="standardContextual"/>
        </w:rPr>
        <w:t xml:space="preserve">three </w:t>
      </w:r>
      <w:r w:rsidRPr="00C7320D">
        <w:rPr>
          <w:rFonts w:ascii="Aptos" w:eastAsia="Aptos" w:hAnsi="Aptos" w:cs="Arial"/>
          <w:kern w:val="2"/>
          <w:sz w:val="22"/>
          <w:szCs w:val="22"/>
          <w14:ligatures w14:val="standardContextual"/>
        </w:rPr>
        <w:t xml:space="preserve">countries, to </w:t>
      </w:r>
      <w:r w:rsidR="0025722A" w:rsidRPr="00C7320D">
        <w:rPr>
          <w:rFonts w:ascii="Aptos" w:eastAsia="Aptos" w:hAnsi="Aptos" w:cs="Arial"/>
          <w:kern w:val="2"/>
          <w:sz w:val="22"/>
          <w:szCs w:val="22"/>
          <w14:ligatures w14:val="standardContextual"/>
        </w:rPr>
        <w:t xml:space="preserve">more than </w:t>
      </w:r>
      <w:r w:rsidRPr="00C7320D">
        <w:rPr>
          <w:rFonts w:ascii="Aptos" w:eastAsia="Aptos" w:hAnsi="Aptos" w:cs="Arial"/>
          <w:kern w:val="2"/>
          <w:sz w:val="22"/>
          <w:szCs w:val="22"/>
          <w14:ligatures w14:val="standardContextual"/>
        </w:rPr>
        <w:t xml:space="preserve">USD 2 billion in </w:t>
      </w:r>
      <w:r w:rsidR="0025722A" w:rsidRPr="00C7320D">
        <w:rPr>
          <w:rFonts w:ascii="Aptos" w:eastAsia="Aptos" w:hAnsi="Aptos" w:cs="Arial"/>
          <w:kern w:val="2"/>
          <w:sz w:val="22"/>
          <w:szCs w:val="22"/>
          <w14:ligatures w14:val="standardContextual"/>
        </w:rPr>
        <w:t>the two largest markets</w:t>
      </w:r>
      <w:r w:rsidRPr="00C7320D">
        <w:rPr>
          <w:rFonts w:ascii="Aptos" w:eastAsia="Aptos" w:hAnsi="Aptos" w:cs="Arial"/>
          <w:kern w:val="2"/>
          <w:sz w:val="22"/>
          <w:szCs w:val="22"/>
          <w14:ligatures w14:val="standardContextual"/>
        </w:rPr>
        <w:t>. This corresponded to a median value of 0.</w:t>
      </w:r>
      <w:r w:rsidR="00A517B3" w:rsidRPr="00C7320D">
        <w:rPr>
          <w:rFonts w:ascii="Aptos" w:eastAsia="Aptos" w:hAnsi="Aptos" w:cs="Arial"/>
          <w:kern w:val="2"/>
          <w:sz w:val="22"/>
          <w:szCs w:val="22"/>
          <w14:ligatures w14:val="standardContextual"/>
        </w:rPr>
        <w:t>5</w:t>
      </w:r>
      <w:r w:rsidRPr="00C7320D">
        <w:rPr>
          <w:rFonts w:ascii="Aptos" w:eastAsia="Aptos" w:hAnsi="Aptos" w:cs="Arial"/>
          <w:kern w:val="2"/>
          <w:sz w:val="22"/>
          <w:szCs w:val="22"/>
          <w14:ligatures w14:val="standardContextual"/>
        </w:rPr>
        <w:t xml:space="preserve"> per cent of GDP over the 2021-2023 period.</w:t>
      </w:r>
      <w:r w:rsidRPr="00C7320D">
        <w:rPr>
          <w:rFonts w:ascii="Aptos" w:eastAsia="Aptos" w:hAnsi="Aptos" w:cs="Arial"/>
          <w:kern w:val="2"/>
          <w:sz w:val="22"/>
          <w:szCs w:val="22"/>
          <w:vertAlign w:val="superscript"/>
          <w14:ligatures w14:val="standardContextual"/>
        </w:rPr>
        <w:footnoteReference w:id="11"/>
      </w:r>
      <w:r w:rsidRPr="00C7320D">
        <w:rPr>
          <w:rFonts w:ascii="Aptos" w:eastAsia="Aptos" w:hAnsi="Aptos" w:cs="Arial"/>
          <w:kern w:val="2"/>
          <w:sz w:val="22"/>
          <w:szCs w:val="22"/>
          <w14:ligatures w14:val="standardContextual"/>
        </w:rPr>
        <w:t xml:space="preserve"> </w:t>
      </w:r>
    </w:p>
    <w:p w14:paraId="66FE690A" w14:textId="14169B24" w:rsidR="006C41B5" w:rsidRPr="00C7320D" w:rsidRDefault="00C623F2" w:rsidP="00C623F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Investment is unevenly distributed across countries in the region, and both the levels and the per GDP rates of capital expenditure vary significantly. </w:t>
      </w:r>
      <w:r w:rsidR="00D54088" w:rsidRPr="00D54088">
        <w:rPr>
          <w:rFonts w:ascii="Aptos" w:eastAsia="Aptos" w:hAnsi="Aptos" w:cs="Arial"/>
          <w:kern w:val="2"/>
          <w:sz w:val="22"/>
          <w:szCs w:val="22"/>
          <w14:ligatures w14:val="standardContextual"/>
        </w:rPr>
        <w:t>Low levels of investment in countries with mobile network coverage gaps and low penetration of mobile and fixed broadband are particularly concerning, as they perpetuate the digital divide and hinder development in Africa</w:t>
      </w:r>
      <w:r w:rsidR="00B4094D" w:rsidRPr="00C7320D">
        <w:rPr>
          <w:rFonts w:ascii="Aptos" w:eastAsia="Aptos" w:hAnsi="Aptos" w:cs="Arial"/>
          <w:kern w:val="2"/>
          <w:sz w:val="22"/>
          <w:szCs w:val="22"/>
          <w14:ligatures w14:val="standardContextual"/>
        </w:rPr>
        <w:t>.</w:t>
      </w:r>
      <w:r w:rsidR="006C41B5" w:rsidRPr="00C7320D">
        <w:rPr>
          <w:rFonts w:ascii="Aptos" w:eastAsia="Aptos" w:hAnsi="Aptos" w:cs="Arial"/>
          <w:kern w:val="2"/>
          <w:sz w:val="22"/>
          <w:szCs w:val="22"/>
          <w14:ligatures w14:val="standardContextual"/>
        </w:rPr>
        <w:br w:type="page"/>
      </w:r>
    </w:p>
    <w:p w14:paraId="491095ED" w14:textId="77777777" w:rsidR="006C41B5" w:rsidRPr="00C7320D" w:rsidRDefault="006C41B5" w:rsidP="000C3666">
      <w:pPr>
        <w:pStyle w:val="Section"/>
      </w:pPr>
      <w:bookmarkStart w:id="18" w:name="_Toc191378088"/>
      <w:r w:rsidRPr="00C7320D">
        <w:lastRenderedPageBreak/>
        <w:t>Cybersecurity</w:t>
      </w:r>
      <w:bookmarkEnd w:id="18"/>
    </w:p>
    <w:p w14:paraId="1C547127" w14:textId="7323B452" w:rsidR="006C41B5" w:rsidRPr="00C7320D" w:rsidRDefault="002A3EC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b/>
          <w:bCs/>
          <w:i/>
          <w:iCs/>
        </w:rPr>
        <w:t>African countries are showing that cybersecurity can be part of digital development</w:t>
      </w:r>
    </w:p>
    <w:p w14:paraId="6E85A6A7" w14:textId="3909FCD9" w:rsidR="006C41B5" w:rsidRPr="00C7320D" w:rsidRDefault="00EA19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Meaningful connectivity requires trustworthy and secure communications. With over </w:t>
      </w:r>
      <w:r w:rsidR="005329FE" w:rsidRPr="00C7320D">
        <w:rPr>
          <w:rFonts w:ascii="Aptos" w:eastAsia="Aptos" w:hAnsi="Aptos" w:cs="Arial"/>
          <w:kern w:val="2"/>
          <w:sz w:val="22"/>
          <w:szCs w:val="22"/>
          <w14:ligatures w14:val="standardContextual"/>
        </w:rPr>
        <w:t xml:space="preserve">450 </w:t>
      </w:r>
      <w:r w:rsidR="00150DB0" w:rsidRPr="00C7320D">
        <w:rPr>
          <w:rFonts w:ascii="Aptos" w:eastAsia="Aptos" w:hAnsi="Aptos" w:cs="Arial"/>
          <w:kern w:val="2"/>
          <w:sz w:val="22"/>
          <w:szCs w:val="22"/>
          <w14:ligatures w14:val="standardContextual"/>
        </w:rPr>
        <w:t>million Internet users in Africa</w:t>
      </w:r>
      <w:r w:rsidRPr="00C7320D">
        <w:rPr>
          <w:rFonts w:ascii="Aptos" w:eastAsia="Aptos" w:hAnsi="Aptos" w:cs="Arial"/>
          <w:kern w:val="2"/>
          <w:sz w:val="22"/>
          <w:szCs w:val="22"/>
          <w14:ligatures w14:val="standardContextual"/>
        </w:rPr>
        <w:t xml:space="preserve">, cybersecurity </w:t>
      </w:r>
      <w:r w:rsidR="00150DB0" w:rsidRPr="00C7320D">
        <w:rPr>
          <w:rFonts w:ascii="Aptos" w:eastAsia="Aptos" w:hAnsi="Aptos" w:cs="Arial"/>
          <w:kern w:val="2"/>
          <w:sz w:val="22"/>
          <w:szCs w:val="22"/>
          <w14:ligatures w14:val="standardContextual"/>
        </w:rPr>
        <w:t xml:space="preserve">cannot be </w:t>
      </w:r>
      <w:r w:rsidRPr="00C7320D">
        <w:rPr>
          <w:rFonts w:ascii="Aptos" w:eastAsia="Aptos" w:hAnsi="Aptos" w:cs="Arial"/>
          <w:kern w:val="2"/>
          <w:sz w:val="22"/>
          <w:szCs w:val="22"/>
          <w14:ligatures w14:val="standardContextual"/>
        </w:rPr>
        <w:t xml:space="preserve">an afterthought. </w:t>
      </w:r>
      <w:r w:rsidR="00206F63" w:rsidRPr="00C7320D">
        <w:rPr>
          <w:rFonts w:ascii="Aptos" w:eastAsia="Aptos" w:hAnsi="Aptos" w:cs="Arial"/>
          <w:kern w:val="2"/>
          <w:sz w:val="22"/>
          <w:szCs w:val="22"/>
          <w14:ligatures w14:val="standardContextual"/>
        </w:rPr>
        <w:t xml:space="preserve">It </w:t>
      </w:r>
      <w:r w:rsidRPr="00C7320D">
        <w:rPr>
          <w:rFonts w:ascii="Aptos" w:eastAsia="Aptos" w:hAnsi="Aptos" w:cs="Arial"/>
          <w:kern w:val="2"/>
          <w:sz w:val="22"/>
          <w:szCs w:val="22"/>
          <w14:ligatures w14:val="standardContextual"/>
        </w:rPr>
        <w:t>requires a holistic approach encompassing legal, technical, organizational, capacity development, and cooperation issues. Since 2015, the Global Cybersecurity Index (GCI) has tracked countries' performance on these issues, each represented by a pillar of the index, with an aggregate GCI score on a 0-100 scale. The 2024 edition revealed a notable improvement in countries’ commitment to cybersecurity: the average GCI score reached 66, up 14 points from the 2021 edition.</w:t>
      </w:r>
      <w:r w:rsidR="0079224C" w:rsidRPr="00C7320D">
        <w:rPr>
          <w:rFonts w:ascii="Aptos" w:eastAsia="Aptos" w:hAnsi="Aptos" w:cs="Arial"/>
          <w:kern w:val="2"/>
          <w:sz w:val="22"/>
          <w:szCs w:val="22"/>
          <w14:ligatures w14:val="standardContextual"/>
        </w:rPr>
        <w:t xml:space="preserve"> The countries in Africa have expanded their commitments with </w:t>
      </w:r>
      <w:r w:rsidR="00085F8E" w:rsidRPr="00C7320D">
        <w:rPr>
          <w:rFonts w:ascii="Aptos" w:eastAsia="Aptos" w:hAnsi="Aptos" w:cs="Arial"/>
          <w:kern w:val="2"/>
          <w:sz w:val="22"/>
          <w:szCs w:val="22"/>
          <w14:ligatures w14:val="standardContextual"/>
        </w:rPr>
        <w:t xml:space="preserve">an </w:t>
      </w:r>
      <w:r w:rsidR="0079224C" w:rsidRPr="00C7320D">
        <w:rPr>
          <w:rFonts w:ascii="Aptos" w:eastAsia="Aptos" w:hAnsi="Aptos" w:cs="Arial"/>
          <w:kern w:val="2"/>
          <w:sz w:val="22"/>
          <w:szCs w:val="22"/>
          <w14:ligatures w14:val="standardContextual"/>
        </w:rPr>
        <w:t>average score of 57</w:t>
      </w:r>
      <w:r w:rsidR="00085F8E" w:rsidRPr="00C7320D">
        <w:rPr>
          <w:rFonts w:ascii="Aptos" w:eastAsia="Aptos" w:hAnsi="Aptos" w:cs="Arial"/>
          <w:kern w:val="2"/>
          <w:sz w:val="22"/>
          <w:szCs w:val="22"/>
          <w14:ligatures w14:val="standardContextual"/>
        </w:rPr>
        <w:t xml:space="preserve">, </w:t>
      </w:r>
      <w:r w:rsidR="0079224C" w:rsidRPr="00C7320D">
        <w:rPr>
          <w:rFonts w:ascii="Aptos" w:eastAsia="Aptos" w:hAnsi="Aptos" w:cs="Arial"/>
          <w:kern w:val="2"/>
          <w:sz w:val="22"/>
          <w:szCs w:val="22"/>
          <w14:ligatures w14:val="standardContextual"/>
        </w:rPr>
        <w:t>a gain of 22 points from the previous edition.</w:t>
      </w:r>
    </w:p>
    <w:p w14:paraId="18574B6F" w14:textId="0290DA65"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Global Cybersecurity Index scores, 2017-2024</w:t>
      </w:r>
    </w:p>
    <w:p w14:paraId="67F5910D" w14:textId="1952D000" w:rsidR="006C41B5" w:rsidRPr="00C7320D" w:rsidRDefault="004901E8" w:rsidP="006C41B5">
      <w:pPr>
        <w:rPr>
          <w:rFonts w:ascii="Aptos" w:eastAsia="Aptos" w:hAnsi="Aptos" w:cs="Arial"/>
          <w:kern w:val="2"/>
          <w:sz w:val="22"/>
          <w:szCs w:val="22"/>
          <w14:ligatures w14:val="standardContextual"/>
        </w:rPr>
      </w:pPr>
      <w:r w:rsidRPr="00C7320D">
        <w:rPr>
          <w:noProof/>
        </w:rPr>
        <w:drawing>
          <wp:inline distT="0" distB="0" distL="0" distR="0" wp14:anchorId="19025DB4" wp14:editId="56DDEE3D">
            <wp:extent cx="6120765" cy="2135505"/>
            <wp:effectExtent l="0" t="0" r="0" b="0"/>
            <wp:docPr id="17787173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17307"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6120765" cy="2135505"/>
                    </a:xfrm>
                    <a:prstGeom prst="rect">
                      <a:avLst/>
                    </a:prstGeom>
                  </pic:spPr>
                </pic:pic>
              </a:graphicData>
            </a:graphic>
          </wp:inline>
        </w:drawing>
      </w:r>
    </w:p>
    <w:p w14:paraId="52CA949C" w14:textId="77777777" w:rsidR="006C41B5" w:rsidRPr="00C7320D" w:rsidRDefault="006C41B5" w:rsidP="00B1004A">
      <w:pPr>
        <w:pStyle w:val="notetext"/>
      </w:pPr>
      <w:r w:rsidRPr="00C7320D">
        <w:t xml:space="preserve">Note: Questions and weightings have been updated between editions, in collaboration with the GCI Expert Group, to better measure cybersecurity commitments by countries. </w:t>
      </w:r>
    </w:p>
    <w:p w14:paraId="40B40C4C" w14:textId="77777777" w:rsidR="006C41B5" w:rsidRPr="00C7320D" w:rsidRDefault="006C41B5" w:rsidP="00B1004A">
      <w:pPr>
        <w:pStyle w:val="Sourcetext"/>
      </w:pPr>
      <w:r w:rsidRPr="00C7320D">
        <w:t>Source: ITU</w:t>
      </w:r>
    </w:p>
    <w:p w14:paraId="18C538E2" w14:textId="76F68677" w:rsidR="00A46B99" w:rsidRPr="00C7320D" w:rsidRDefault="00A46B99" w:rsidP="00A46B9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performance in the GCI of the countries in the African region various greatly, with </w:t>
      </w:r>
      <w:r w:rsidR="000A2D9E" w:rsidRPr="00C7320D">
        <w:rPr>
          <w:rFonts w:ascii="Aptos" w:eastAsia="Aptos" w:hAnsi="Aptos" w:cs="Arial"/>
          <w:kern w:val="2"/>
          <w:sz w:val="22"/>
          <w:szCs w:val="22"/>
          <w14:ligatures w14:val="standardContextual"/>
        </w:rPr>
        <w:t>a</w:t>
      </w:r>
      <w:r w:rsidRPr="00C7320D">
        <w:rPr>
          <w:rFonts w:ascii="Aptos" w:eastAsia="Aptos" w:hAnsi="Aptos" w:cs="Arial"/>
          <w:kern w:val="2"/>
          <w:sz w:val="22"/>
          <w:szCs w:val="22"/>
          <w14:ligatures w14:val="standardContextual"/>
        </w:rPr>
        <w:t xml:space="preserve"> 98-point </w:t>
      </w:r>
      <w:r w:rsidR="004945E0" w:rsidRPr="00C7320D">
        <w:rPr>
          <w:rFonts w:ascii="Aptos" w:eastAsia="Aptos" w:hAnsi="Aptos" w:cs="Arial"/>
          <w:kern w:val="2"/>
          <w:sz w:val="22"/>
          <w:szCs w:val="22"/>
          <w14:ligatures w14:val="standardContextual"/>
        </w:rPr>
        <w:t xml:space="preserve">gap </w:t>
      </w:r>
      <w:r w:rsidRPr="00C7320D">
        <w:rPr>
          <w:rFonts w:ascii="Aptos" w:eastAsia="Aptos" w:hAnsi="Aptos" w:cs="Arial"/>
          <w:kern w:val="2"/>
          <w:sz w:val="22"/>
          <w:szCs w:val="22"/>
          <w14:ligatures w14:val="standardContextual"/>
        </w:rPr>
        <w:t xml:space="preserve">between the region’s best performer, Mauritius scoring 100, and the region’s lowest scorer, Eritrea, with a score of 2. The next lowest scoring country is the Central African Republic, scoring </w:t>
      </w:r>
      <w:r w:rsidR="00596499" w:rsidRPr="00C7320D">
        <w:rPr>
          <w:rFonts w:ascii="Aptos" w:eastAsia="Aptos" w:hAnsi="Aptos" w:cs="Arial"/>
          <w:kern w:val="2"/>
          <w:sz w:val="22"/>
          <w:szCs w:val="22"/>
          <w14:ligatures w14:val="standardContextual"/>
        </w:rPr>
        <w:t>5</w:t>
      </w:r>
      <w:r w:rsidRPr="00C7320D">
        <w:rPr>
          <w:rFonts w:ascii="Aptos" w:eastAsia="Aptos" w:hAnsi="Aptos" w:cs="Arial"/>
          <w:kern w:val="2"/>
          <w:sz w:val="22"/>
          <w:szCs w:val="22"/>
          <w14:ligatures w14:val="standardContextual"/>
        </w:rPr>
        <w:t>.</w:t>
      </w:r>
    </w:p>
    <w:p w14:paraId="6123F963" w14:textId="17E9CB4B" w:rsidR="00A46B99" w:rsidRPr="00C7320D" w:rsidRDefault="00A46B99" w:rsidP="00A46B9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While the region faces challenges, much progress can be ascribed to efforts in Africa to implement National Cybersecurity Strategies, implement and harmonize laws, advance incidence response, and expand on capacity development. For example, DR Congo, Eswatini, and Togo have made significant improvements. </w:t>
      </w:r>
    </w:p>
    <w:p w14:paraId="3C232926" w14:textId="000B62CC" w:rsidR="00A46B99" w:rsidRPr="00C7320D" w:rsidRDefault="00A46B99" w:rsidP="00A46B9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Technical Pillar of the GCI assesses the effectiveness of national mechanisms and institutional structures in detecting, preventing, responding to, and mitigating cyber threats and incidents. Computer Incident Response Teams (CIRTs) are responsible for the protection against, detection of, and response to cybersecurity incidents, and can enhance a country’s ability to manage cybersecurity incidents. 55</w:t>
      </w:r>
      <w:r w:rsidR="008A7811" w:rsidRPr="00C7320D">
        <w:rPr>
          <w:rFonts w:ascii="Aptos" w:eastAsia="Aptos" w:hAnsi="Aptos" w:cs="Arial"/>
          <w:kern w:val="2"/>
          <w:sz w:val="22"/>
          <w:szCs w:val="22"/>
          <w14:ligatures w14:val="standardContextual"/>
        </w:rPr>
        <w:t xml:space="preserve"> per cent</w:t>
      </w:r>
      <w:r w:rsidRPr="00C7320D">
        <w:rPr>
          <w:rFonts w:ascii="Aptos" w:eastAsia="Aptos" w:hAnsi="Aptos" w:cs="Arial"/>
          <w:kern w:val="2"/>
          <w:sz w:val="22"/>
          <w:szCs w:val="22"/>
          <w14:ligatures w14:val="standardContextual"/>
        </w:rPr>
        <w:t xml:space="preserve"> (24) countries in Africa have established their national CIRTs, and many are participating in regional cyber exercises. Still, there is need for further development of these CIRTS, expanding efforts around the protection of critical information infrastructure.</w:t>
      </w:r>
    </w:p>
    <w:p w14:paraId="3B67349D" w14:textId="77777777"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Global Cybersecurity Index scores, by pillar and overall, 2024</w:t>
      </w:r>
    </w:p>
    <w:p w14:paraId="7C28988A" w14:textId="62085A4B" w:rsidR="006C41B5" w:rsidRPr="00C7320D" w:rsidRDefault="005E5B84" w:rsidP="00B1004A">
      <w:pPr>
        <w:pStyle w:val="notetext"/>
      </w:pPr>
      <w:r w:rsidRPr="00C7320D">
        <w:rPr>
          <w:noProof/>
        </w:rPr>
        <w:drawing>
          <wp:inline distT="0" distB="0" distL="0" distR="0" wp14:anchorId="757CDA51" wp14:editId="505CA151">
            <wp:extent cx="6120765" cy="2788920"/>
            <wp:effectExtent l="0" t="0" r="0" b="0"/>
            <wp:docPr id="286484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84440"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6120765" cy="2788920"/>
                    </a:xfrm>
                    <a:prstGeom prst="rect">
                      <a:avLst/>
                    </a:prstGeom>
                  </pic:spPr>
                </pic:pic>
              </a:graphicData>
            </a:graphic>
          </wp:inline>
        </w:drawing>
      </w:r>
      <w:r w:rsidR="006C41B5" w:rsidRPr="00C7320D">
        <w:t>Note: The overall CGI score shown is the sum of the score of the five pillars</w:t>
      </w:r>
    </w:p>
    <w:p w14:paraId="3C70DF12" w14:textId="77777777" w:rsidR="006C41B5" w:rsidRPr="00C7320D" w:rsidRDefault="006C41B5" w:rsidP="00B1004A">
      <w:pPr>
        <w:pStyle w:val="Sourcetext"/>
      </w:pPr>
      <w:r w:rsidRPr="00C7320D">
        <w:t>Source: ITU</w:t>
      </w:r>
    </w:p>
    <w:p w14:paraId="7334A33C" w14:textId="19E75946" w:rsidR="000A2D9E" w:rsidRPr="00C7320D" w:rsidRDefault="000A2D9E" w:rsidP="000A2D9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Child Online Protection (COP) encompasses strategies and initiatives designed to protect children from harm or exploitation online. This includes ensuring children are using age-appropriate software and filtering tools and educating parents and children about staying safe online. Child Online Protection is tracked through questions under the Legal, Organizational, and Capacity Development pillars. A total of 164 countries reported having legal measures on Child Online Protection in the GCI 2024, compared to 130 countries in the previous edition. These measures were sometimes part of other rules, regulations, and substantive law, such as on online crime or sexual exploitation. Almost 39</w:t>
      </w:r>
      <w:r w:rsidR="005E641E" w:rsidRPr="00C7320D">
        <w:rPr>
          <w:rFonts w:ascii="Aptos" w:eastAsia="Aptos" w:hAnsi="Aptos" w:cs="Arial"/>
          <w:kern w:val="2"/>
          <w:sz w:val="22"/>
          <w:szCs w:val="22"/>
          <w14:ligatures w14:val="standardContextual"/>
        </w:rPr>
        <w:t xml:space="preserve"> per cent</w:t>
      </w:r>
      <w:r w:rsidRPr="00C7320D">
        <w:rPr>
          <w:rFonts w:ascii="Aptos" w:eastAsia="Aptos" w:hAnsi="Aptos" w:cs="Arial"/>
          <w:kern w:val="2"/>
          <w:sz w:val="22"/>
          <w:szCs w:val="22"/>
          <w14:ligatures w14:val="standardContextual"/>
        </w:rPr>
        <w:t xml:space="preserve"> (17) of countries in Africa have some form of a Child Online Protection strategy with associated actions. Linking these efforts to educational efforts for educators, parents, and policy makers is key for long term impact. </w:t>
      </w:r>
    </w:p>
    <w:p w14:paraId="1835A1DD" w14:textId="0B45CC86" w:rsidR="00500CF9" w:rsidRPr="00C7320D" w:rsidRDefault="000A2D9E"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61</w:t>
      </w:r>
      <w:r w:rsidR="005E641E" w:rsidRPr="00C7320D">
        <w:rPr>
          <w:rFonts w:ascii="Aptos" w:eastAsia="Aptos" w:hAnsi="Aptos" w:cs="Arial"/>
          <w:kern w:val="2"/>
          <w:sz w:val="22"/>
          <w:szCs w:val="22"/>
          <w14:ligatures w14:val="standardContextual"/>
        </w:rPr>
        <w:t xml:space="preserve"> per cent</w:t>
      </w:r>
      <w:r w:rsidRPr="00C7320D">
        <w:rPr>
          <w:rFonts w:ascii="Aptos" w:eastAsia="Aptos" w:hAnsi="Aptos" w:cs="Arial"/>
          <w:kern w:val="2"/>
          <w:sz w:val="22"/>
          <w:szCs w:val="22"/>
          <w14:ligatures w14:val="standardContextual"/>
        </w:rPr>
        <w:t xml:space="preserve"> (27) countries in Africa have cybersecurity-focused university courses, countries still need to work to ensure that there are multiple pathways towards building cybersecurity competency to meet ongoing cyber needs.</w:t>
      </w:r>
    </w:p>
    <w:p w14:paraId="25F0EDAF" w14:textId="77777777" w:rsidR="00500CF9" w:rsidRPr="00C7320D"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C7320D">
        <w:rPr>
          <w:rFonts w:ascii="Aptos Display" w:eastAsia="Yu Gothic Light" w:hAnsi="Aptos Display"/>
          <w:color w:val="0F4761"/>
          <w:kern w:val="2"/>
          <w:sz w:val="32"/>
          <w:szCs w:val="32"/>
          <w14:ligatures w14:val="standardContextual"/>
        </w:rPr>
        <w:br w:type="page"/>
      </w:r>
    </w:p>
    <w:p w14:paraId="2D7E8F86" w14:textId="6A85B155" w:rsidR="006C41B5" w:rsidRPr="00C7320D" w:rsidRDefault="006C41B5" w:rsidP="000C3666">
      <w:pPr>
        <w:pStyle w:val="Section"/>
      </w:pPr>
      <w:bookmarkStart w:id="19" w:name="_Toc191378089"/>
      <w:r w:rsidRPr="00C7320D">
        <w:lastRenderedPageBreak/>
        <w:t>E-waste management</w:t>
      </w:r>
      <w:bookmarkEnd w:id="19"/>
    </w:p>
    <w:p w14:paraId="7928521B" w14:textId="0AAF090C" w:rsidR="009E3CD9" w:rsidRPr="00C7320D" w:rsidRDefault="009E3CD9"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14:ligatures w14:val="standardContextual"/>
        </w:rPr>
      </w:pPr>
      <w:r w:rsidRPr="00C7320D">
        <w:rPr>
          <w:rFonts w:ascii="Aptos" w:eastAsia="Aptos" w:hAnsi="Aptos" w:cs="Arial"/>
          <w:b/>
          <w:i/>
          <w:kern w:val="2"/>
          <w:sz w:val="22"/>
          <w:szCs w:val="22"/>
          <w14:ligatures w14:val="standardContextual"/>
        </w:rPr>
        <w:t xml:space="preserve">Lack of comprehensive policies for e-waste management remains a significant challenge </w:t>
      </w:r>
    </w:p>
    <w:p w14:paraId="0CBBF4F0" w14:textId="756D321C" w:rsidR="00F57571" w:rsidRPr="00C7320D"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C7320D">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7BC11F28" w:rsidR="00F57571" w:rsidRPr="00C7320D"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 xml:space="preserve">E-waste generated, in millions of </w:t>
      </w:r>
      <w:r w:rsidR="00723598" w:rsidRPr="00C7320D">
        <w:rPr>
          <w:rFonts w:ascii="AvenirNext LT Pro Light" w:eastAsia="Yu Gothic Light" w:hAnsi="AvenirNext LT Pro Light" w:cs="Calibri"/>
          <w:color w:val="0070C0"/>
          <w:spacing w:val="-10"/>
          <w:kern w:val="28"/>
          <w:szCs w:val="24"/>
        </w:rPr>
        <w:t>kilograms</w:t>
      </w:r>
      <w:r w:rsidRPr="00C7320D">
        <w:rPr>
          <w:rFonts w:ascii="AvenirNext LT Pro Light" w:eastAsia="Yu Gothic Light" w:hAnsi="AvenirNext LT Pro Light" w:cs="Calibri"/>
          <w:color w:val="0070C0"/>
          <w:spacing w:val="-10"/>
          <w:kern w:val="28"/>
          <w:szCs w:val="24"/>
        </w:rPr>
        <w:t xml:space="preserve">, 2022 </w:t>
      </w:r>
    </w:p>
    <w:p w14:paraId="34B0179E" w14:textId="7651BB14" w:rsidR="006C41B5" w:rsidRPr="00C7320D" w:rsidRDefault="00F06DFF" w:rsidP="00B1004A">
      <w:pPr>
        <w:pStyle w:val="Sourcetext"/>
        <w:rPr>
          <w:rFonts w:eastAsia="Aptos" w:cs="Arial"/>
        </w:rPr>
      </w:pPr>
      <w:r w:rsidRPr="00C7320D">
        <w:rPr>
          <w:noProof/>
        </w:rPr>
        <w:drawing>
          <wp:inline distT="0" distB="0" distL="0" distR="0" wp14:anchorId="3882F1FE" wp14:editId="64B01547">
            <wp:extent cx="6120765" cy="3191510"/>
            <wp:effectExtent l="0" t="0" r="0" b="8890"/>
            <wp:docPr id="8436501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50152"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6120765" cy="3191510"/>
                    </a:xfrm>
                    <a:prstGeom prst="rect">
                      <a:avLst/>
                    </a:prstGeom>
                  </pic:spPr>
                </pic:pic>
              </a:graphicData>
            </a:graphic>
          </wp:inline>
        </w:drawing>
      </w:r>
      <w:r w:rsidR="006C41B5" w:rsidRPr="00C7320D">
        <w:rPr>
          <w:rFonts w:eastAsia="Aptos" w:cs="Arial"/>
        </w:rPr>
        <w:t xml:space="preserve">Source: ITU and UNITAR, </w:t>
      </w:r>
      <w:hyperlink r:id="rId104" w:history="1">
        <w:r w:rsidR="006C41B5" w:rsidRPr="00C7320D">
          <w:rPr>
            <w:rFonts w:eastAsia="Aptos" w:cs="Arial"/>
            <w:color w:val="467886"/>
            <w:u w:val="single"/>
          </w:rPr>
          <w:t>Global E-waste Monitor, 2024</w:t>
        </w:r>
      </w:hyperlink>
    </w:p>
    <w:p w14:paraId="6CDC53D3" w14:textId="72F60C20" w:rsidR="00C666EF" w:rsidRPr="00C7320D" w:rsidRDefault="00C666EF" w:rsidP="00F83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C7320D">
        <w:rPr>
          <w:rFonts w:ascii="Aptos" w:eastAsia="Aptos" w:hAnsi="Aptos"/>
          <w:kern w:val="2"/>
          <w:sz w:val="22"/>
          <w14:ligatures w14:val="standardContextual"/>
        </w:rPr>
        <w:t xml:space="preserve">The </w:t>
      </w:r>
      <w:hyperlink r:id="rId105">
        <w:r w:rsidR="005F347B" w:rsidRPr="00C7320D">
          <w:rPr>
            <w:rStyle w:val="Hyperlink"/>
            <w:rFonts w:ascii="Aptos" w:eastAsia="Aptos" w:hAnsi="Aptos"/>
            <w:kern w:val="2"/>
            <w:sz w:val="22"/>
            <w14:ligatures w14:val="standardContextual"/>
          </w:rPr>
          <w:t>Global E-waste Monitor 2024</w:t>
        </w:r>
      </w:hyperlink>
      <w:r w:rsidRPr="00C7320D">
        <w:rPr>
          <w:rFonts w:ascii="Aptos" w:eastAsia="Aptos" w:hAnsi="Aptos"/>
          <w:kern w:val="2"/>
          <w:sz w:val="22"/>
          <w14:ligatures w14:val="standardContextual"/>
        </w:rPr>
        <w:t xml:space="preserve"> finds that in 2022, African countries generated approximately 2 </w:t>
      </w:r>
      <w:r w:rsidR="00D12FF5" w:rsidRPr="00C7320D">
        <w:rPr>
          <w:rFonts w:ascii="Aptos" w:eastAsia="Aptos" w:hAnsi="Aptos"/>
          <w:kern w:val="2"/>
          <w:sz w:val="22"/>
          <w14:ligatures w14:val="standardContextual"/>
        </w:rPr>
        <w:t>b</w:t>
      </w:r>
      <w:r w:rsidRPr="00C7320D">
        <w:rPr>
          <w:rFonts w:ascii="Aptos" w:eastAsia="Aptos" w:hAnsi="Aptos"/>
          <w:kern w:val="2"/>
          <w:sz w:val="22"/>
          <w14:ligatures w14:val="standardContextual"/>
        </w:rPr>
        <w:t xml:space="preserve">illion kg of e-waste, representing almost 3.3 </w:t>
      </w:r>
      <w:r w:rsidR="0045747D" w:rsidRPr="00C7320D">
        <w:rPr>
          <w:rFonts w:ascii="Aptos" w:eastAsia="Aptos" w:hAnsi="Aptos"/>
          <w:kern w:val="2"/>
          <w:sz w:val="22"/>
          <w14:ligatures w14:val="standardContextual"/>
        </w:rPr>
        <w:t>per cent</w:t>
      </w:r>
      <w:r w:rsidRPr="00C7320D">
        <w:rPr>
          <w:rFonts w:ascii="Aptos" w:eastAsia="Aptos" w:hAnsi="Aptos"/>
          <w:kern w:val="2"/>
          <w:sz w:val="22"/>
          <w14:ligatures w14:val="standardContextual"/>
        </w:rPr>
        <w:t xml:space="preserve"> of global e-waste generation (62 billion kg). However, significant disparities exist across the region. South Africa and Nigeria were the largest contributors, producing 527 million kg and 497 million kg, respectively, together contributing more than 50 per cent of the region’s total e-waste. In contrast, smaller countries like Sao Tome and Principe, as well as Guinea-Bissau, generated minimal amounts, with contributions as low as 1 million kg, representing less than 0.1 </w:t>
      </w:r>
      <w:r w:rsidR="0045747D" w:rsidRPr="00C7320D">
        <w:rPr>
          <w:rFonts w:ascii="Aptos" w:eastAsia="Aptos" w:hAnsi="Aptos"/>
          <w:kern w:val="2"/>
          <w:sz w:val="22"/>
          <w14:ligatures w14:val="standardContextual"/>
        </w:rPr>
        <w:t>per cent</w:t>
      </w:r>
      <w:r w:rsidRPr="00C7320D">
        <w:rPr>
          <w:rFonts w:ascii="Aptos" w:eastAsia="Aptos" w:hAnsi="Aptos"/>
          <w:kern w:val="2"/>
          <w:sz w:val="22"/>
          <w14:ligatures w14:val="standardContextual"/>
        </w:rPr>
        <w:t xml:space="preserve"> of the total. This significant variation reflects differences in population size, economic development, and technological adoption across the region. </w:t>
      </w:r>
    </w:p>
    <w:p w14:paraId="6CF82071" w14:textId="77777777" w:rsidR="006C41B5" w:rsidRPr="002326A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2326A3">
        <w:rPr>
          <w:rFonts w:ascii="AvenirNext LT Pro Light" w:eastAsia="Yu Gothic Light" w:hAnsi="AvenirNext LT Pro Light" w:cs="Calibri"/>
          <w:color w:val="0070C0"/>
          <w:spacing w:val="-10"/>
          <w:kern w:val="28"/>
          <w:szCs w:val="24"/>
          <w:lang w:val="it-IT"/>
        </w:rPr>
        <w:lastRenderedPageBreak/>
        <w:t>E-waste per capita generated in kg, 2022</w:t>
      </w:r>
    </w:p>
    <w:p w14:paraId="085DAA6A" w14:textId="1DBA9EAB" w:rsidR="006C41B5" w:rsidRPr="00C7320D" w:rsidRDefault="007D684E" w:rsidP="00B1004A">
      <w:pPr>
        <w:pStyle w:val="Sourcetext"/>
        <w:rPr>
          <w:rFonts w:eastAsia="Aptos" w:cs="Arial"/>
        </w:rPr>
      </w:pPr>
      <w:r w:rsidRPr="00C7320D">
        <w:rPr>
          <w:noProof/>
        </w:rPr>
        <w:drawing>
          <wp:inline distT="0" distB="0" distL="0" distR="0" wp14:anchorId="1B65D34D" wp14:editId="493103AC">
            <wp:extent cx="6120765" cy="3134995"/>
            <wp:effectExtent l="0" t="0" r="0" b="8255"/>
            <wp:docPr id="17843841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4116"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6120765" cy="3134995"/>
                    </a:xfrm>
                    <a:prstGeom prst="rect">
                      <a:avLst/>
                    </a:prstGeom>
                  </pic:spPr>
                </pic:pic>
              </a:graphicData>
            </a:graphic>
          </wp:inline>
        </w:drawing>
      </w:r>
      <w:r w:rsidR="006C41B5" w:rsidRPr="00C7320D">
        <w:rPr>
          <w:rFonts w:eastAsia="Aptos" w:cs="Arial"/>
        </w:rPr>
        <w:t xml:space="preserve">Source: ITU and UNITAR, </w:t>
      </w:r>
      <w:hyperlink r:id="rId108" w:history="1">
        <w:r w:rsidR="006C41B5" w:rsidRPr="00C7320D">
          <w:rPr>
            <w:rFonts w:eastAsia="Aptos" w:cs="Arial"/>
            <w:color w:val="467886"/>
            <w:u w:val="single"/>
          </w:rPr>
          <w:t>Global E-waste Monitor, 2024</w:t>
        </w:r>
      </w:hyperlink>
    </w:p>
    <w:p w14:paraId="1CB39980" w14:textId="52BD794F" w:rsidR="00DE6E76" w:rsidRPr="00C7320D" w:rsidRDefault="00DE6E76" w:rsidP="00DE6E7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analysis of e-waste trends in the region can be further deepened by examining per capita e-waste generation. While African countries collectively fall below the global per capita e-waste average of 7.8 kg per capita, disparities between countries are stark. The regional average of 1.9 kg per capita reflects a diverse landscape where high-income economies significantly drive up the overall figure. For instance, Seychelles stands out with the highest per capita generation at 13.5 kg, which is more than 1.7 times the global average. Similarly, Equatorial Guinea and South Africa, with 10.6 kg and 8.8 kg per capita, respectively, also exhibit high figures, aligning with their economic status and widespread access to advanced digital technologies. In contrast, lower-income countries such as Burundi and Chad, with per capita e-waste generation of just 0.6 kg and 0.7 kg, respectively, generate significantly less. </w:t>
      </w:r>
    </w:p>
    <w:p w14:paraId="311486B6" w14:textId="68770B05" w:rsidR="00DE6E76" w:rsidRPr="00C7320D" w:rsidRDefault="00DE6E76" w:rsidP="00DE6E7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Despite these regional generation rates, only 1.2 </w:t>
      </w:r>
      <w:r w:rsidR="0045747D" w:rsidRPr="00C7320D">
        <w:rPr>
          <w:rFonts w:ascii="Aptos" w:eastAsia="Aptos" w:hAnsi="Aptos" w:cs="Arial"/>
          <w:kern w:val="2"/>
          <w:sz w:val="22"/>
          <w:szCs w:val="22"/>
          <w14:ligatures w14:val="standardContextual"/>
        </w:rPr>
        <w:t>per cent</w:t>
      </w:r>
      <w:r w:rsidRPr="00C7320D">
        <w:rPr>
          <w:rFonts w:ascii="Aptos" w:eastAsia="Aptos" w:hAnsi="Aptos" w:cs="Arial"/>
          <w:kern w:val="2"/>
          <w:sz w:val="22"/>
          <w:szCs w:val="22"/>
          <w14:ligatures w14:val="standardContextual"/>
        </w:rPr>
        <w:t xml:space="preserve"> (25.3 million kg) of the e-waste generated was documented as properly collected and recycled – well below the global average of 22.3 </w:t>
      </w:r>
      <w:r w:rsidR="0045747D" w:rsidRPr="00C7320D">
        <w:rPr>
          <w:rFonts w:ascii="Aptos" w:eastAsia="Aptos" w:hAnsi="Aptos" w:cs="Arial"/>
          <w:kern w:val="2"/>
          <w:sz w:val="22"/>
          <w:szCs w:val="22"/>
          <w14:ligatures w14:val="standardContextual"/>
        </w:rPr>
        <w:t>per cent</w:t>
      </w:r>
      <w:r w:rsidRPr="00C7320D">
        <w:rPr>
          <w:rFonts w:ascii="Aptos" w:eastAsia="Aptos" w:hAnsi="Aptos" w:cs="Arial"/>
          <w:kern w:val="2"/>
          <w:sz w:val="22"/>
          <w:szCs w:val="22"/>
          <w14:ligatures w14:val="standardContextual"/>
        </w:rPr>
        <w:t xml:space="preserve">. Only a handful of countries, such as Cameroon, Rwanda, and Uganda, report formal collection and recycling initiatives. Notably, South Africa documented having recycled 22.9 million kg of e-waste. In contrast, many countries in the region, including high e-waste generators like Nigeria and Angola (which together produced over 645 million kg), lack significant formal recycling activity. </w:t>
      </w:r>
    </w:p>
    <w:p w14:paraId="20881B48" w14:textId="77777777" w:rsidR="00CE26FD" w:rsidRPr="00C7320D" w:rsidRDefault="00CE26FD">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br w:type="page"/>
      </w:r>
    </w:p>
    <w:p w14:paraId="382CF483" w14:textId="6FF18BAB"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C7320D"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C7320D"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C7320D"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C7320D">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C7320D"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C7320D">
              <w:rPr>
                <w:rFonts w:ascii="Aptos" w:hAnsi="Aptos"/>
                <w:b/>
                <w:color w:val="404040"/>
                <w:sz w:val="18"/>
                <w:szCs w:val="18"/>
                <w:lang w:eastAsia="en-GB"/>
              </w:rPr>
              <w:t xml:space="preserve">Extended </w:t>
            </w:r>
            <w:r w:rsidR="0090627A" w:rsidRPr="00C7320D">
              <w:rPr>
                <w:rFonts w:ascii="Aptos" w:hAnsi="Aptos"/>
                <w:b/>
                <w:color w:val="404040"/>
                <w:sz w:val="18"/>
                <w:szCs w:val="18"/>
                <w:lang w:eastAsia="en-GB"/>
              </w:rPr>
              <w:t>p</w:t>
            </w:r>
            <w:r w:rsidRPr="00C7320D">
              <w:rPr>
                <w:rFonts w:ascii="Aptos" w:hAnsi="Aptos"/>
                <w:b/>
                <w:color w:val="404040"/>
                <w:sz w:val="18"/>
                <w:szCs w:val="18"/>
                <w:lang w:eastAsia="en-GB"/>
              </w:rPr>
              <w:t xml:space="preserve">roducer </w:t>
            </w:r>
            <w:r w:rsidR="008C00E1" w:rsidRPr="00C7320D">
              <w:rPr>
                <w:rFonts w:ascii="Aptos" w:hAnsi="Aptos"/>
                <w:b/>
                <w:color w:val="404040"/>
                <w:sz w:val="18"/>
                <w:szCs w:val="18"/>
                <w:lang w:eastAsia="en-GB"/>
              </w:rPr>
              <w:t>r</w:t>
            </w:r>
            <w:r w:rsidRPr="00C7320D">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C7320D"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C7320D">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C7320D"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C7320D">
              <w:rPr>
                <w:rFonts w:ascii="Aptos" w:hAnsi="Aptos"/>
                <w:b/>
                <w:color w:val="404040"/>
                <w:sz w:val="18"/>
                <w:szCs w:val="18"/>
                <w:lang w:eastAsia="en-GB"/>
              </w:rPr>
              <w:t>Recycling targets</w:t>
            </w:r>
          </w:p>
        </w:tc>
      </w:tr>
      <w:tr w:rsidR="00FF21BE" w:rsidRPr="00C7320D" w14:paraId="501CEA4D"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3BE7D28" w14:textId="2ED5835F"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Angola</w:t>
            </w:r>
          </w:p>
        </w:tc>
        <w:tc>
          <w:tcPr>
            <w:tcW w:w="1049" w:type="pct"/>
            <w:tcBorders>
              <w:top w:val="nil"/>
              <w:left w:val="nil"/>
              <w:bottom w:val="single" w:sz="4" w:space="0" w:color="auto"/>
              <w:right w:val="single" w:sz="4" w:space="0" w:color="auto"/>
            </w:tcBorders>
            <w:shd w:val="clear" w:color="auto" w:fill="auto"/>
            <w:noWrap/>
            <w:vAlign w:val="bottom"/>
          </w:tcPr>
          <w:p w14:paraId="6DD46542" w14:textId="1D28AC0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083D8D64" w14:textId="38A2A70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3C65E4E8" w14:textId="52EE20B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C0B7F3C" w14:textId="1DA9DA8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0A219B73"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00556D15" w14:textId="60FEA881"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Benin</w:t>
            </w:r>
          </w:p>
        </w:tc>
        <w:tc>
          <w:tcPr>
            <w:tcW w:w="1049" w:type="pct"/>
            <w:tcBorders>
              <w:top w:val="nil"/>
              <w:left w:val="nil"/>
              <w:bottom w:val="single" w:sz="4" w:space="0" w:color="auto"/>
              <w:right w:val="single" w:sz="4" w:space="0" w:color="auto"/>
            </w:tcBorders>
            <w:shd w:val="clear" w:color="auto" w:fill="auto"/>
            <w:noWrap/>
            <w:vAlign w:val="bottom"/>
          </w:tcPr>
          <w:p w14:paraId="684681B0" w14:textId="42387FF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73EA2C94" w14:textId="2EF18D9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9BD2AB7" w14:textId="2730E5E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91C9F8C" w14:textId="335E03B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268D072"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4655393C" w14:textId="723EE9BF"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Botswana</w:t>
            </w:r>
          </w:p>
        </w:tc>
        <w:tc>
          <w:tcPr>
            <w:tcW w:w="1049" w:type="pct"/>
            <w:tcBorders>
              <w:top w:val="nil"/>
              <w:left w:val="nil"/>
              <w:bottom w:val="single" w:sz="4" w:space="0" w:color="auto"/>
              <w:right w:val="single" w:sz="4" w:space="0" w:color="auto"/>
            </w:tcBorders>
            <w:shd w:val="clear" w:color="auto" w:fill="auto"/>
            <w:noWrap/>
            <w:vAlign w:val="bottom"/>
          </w:tcPr>
          <w:p w14:paraId="4E817DF3" w14:textId="1EC85A5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58C9B43C" w14:textId="7C47833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4D143D49" w14:textId="2052F5D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C7FEB0B" w14:textId="3F85A28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17FE3C3B"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3A11A23F" w14:textId="21866656"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Burkina Faso</w:t>
            </w:r>
          </w:p>
        </w:tc>
        <w:tc>
          <w:tcPr>
            <w:tcW w:w="1049" w:type="pct"/>
            <w:tcBorders>
              <w:top w:val="nil"/>
              <w:left w:val="nil"/>
              <w:bottom w:val="single" w:sz="4" w:space="0" w:color="auto"/>
              <w:right w:val="single" w:sz="4" w:space="0" w:color="auto"/>
            </w:tcBorders>
            <w:shd w:val="clear" w:color="auto" w:fill="auto"/>
            <w:noWrap/>
            <w:vAlign w:val="bottom"/>
          </w:tcPr>
          <w:p w14:paraId="518A160A" w14:textId="658358E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397C5E97" w14:textId="5CF3429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345A257" w14:textId="059BAA8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5171DB7D" w14:textId="603FC1E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3048C3EC"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0F59538A" w14:textId="56C6E000"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Burundi</w:t>
            </w:r>
          </w:p>
        </w:tc>
        <w:tc>
          <w:tcPr>
            <w:tcW w:w="1049" w:type="pct"/>
            <w:tcBorders>
              <w:top w:val="nil"/>
              <w:left w:val="nil"/>
              <w:bottom w:val="single" w:sz="4" w:space="0" w:color="auto"/>
              <w:right w:val="single" w:sz="4" w:space="0" w:color="auto"/>
            </w:tcBorders>
            <w:shd w:val="clear" w:color="auto" w:fill="auto"/>
            <w:noWrap/>
            <w:vAlign w:val="bottom"/>
          </w:tcPr>
          <w:p w14:paraId="70E6A022" w14:textId="6C37C2E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5A9A31BC" w14:textId="7AC54E6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6872DD06" w14:textId="504771E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9962651" w14:textId="48785EB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37C4E2F4"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2910E0C" w14:textId="0252BBCE"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Cameroon</w:t>
            </w:r>
          </w:p>
        </w:tc>
        <w:tc>
          <w:tcPr>
            <w:tcW w:w="1049" w:type="pct"/>
            <w:tcBorders>
              <w:top w:val="nil"/>
              <w:left w:val="nil"/>
              <w:bottom w:val="single" w:sz="4" w:space="0" w:color="auto"/>
              <w:right w:val="single" w:sz="4" w:space="0" w:color="auto"/>
            </w:tcBorders>
            <w:shd w:val="clear" w:color="auto" w:fill="auto"/>
            <w:noWrap/>
            <w:vAlign w:val="bottom"/>
          </w:tcPr>
          <w:p w14:paraId="41D4CFFB" w14:textId="5CFBB2F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1C3BA022" w14:textId="19CE2F1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367B0AEC" w14:textId="7DAEF78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95EE005" w14:textId="2CADE18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0FA07ADB"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17437AE4" w14:textId="55DB9D82"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Cabo Verde</w:t>
            </w:r>
          </w:p>
        </w:tc>
        <w:tc>
          <w:tcPr>
            <w:tcW w:w="1049" w:type="pct"/>
            <w:tcBorders>
              <w:top w:val="nil"/>
              <w:left w:val="nil"/>
              <w:bottom w:val="single" w:sz="4" w:space="0" w:color="auto"/>
              <w:right w:val="single" w:sz="4" w:space="0" w:color="auto"/>
            </w:tcBorders>
            <w:shd w:val="clear" w:color="auto" w:fill="auto"/>
            <w:noWrap/>
            <w:vAlign w:val="bottom"/>
          </w:tcPr>
          <w:p w14:paraId="12CE44EA" w14:textId="7216E01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0E366E72" w14:textId="7D626FF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5937D00C" w14:textId="4E78CEC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4D3544E2" w14:textId="2F88236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593F8DBB"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1A95D47D" w14:textId="17161F5A"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Central African Rep.</w:t>
            </w:r>
          </w:p>
        </w:tc>
        <w:tc>
          <w:tcPr>
            <w:tcW w:w="1049" w:type="pct"/>
            <w:tcBorders>
              <w:top w:val="nil"/>
              <w:left w:val="nil"/>
              <w:bottom w:val="single" w:sz="4" w:space="0" w:color="auto"/>
              <w:right w:val="single" w:sz="4" w:space="0" w:color="auto"/>
            </w:tcBorders>
            <w:shd w:val="clear" w:color="auto" w:fill="auto"/>
            <w:noWrap/>
            <w:vAlign w:val="bottom"/>
          </w:tcPr>
          <w:p w14:paraId="01058A58" w14:textId="6D3A4DA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C98F7A8" w14:textId="02FA102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2361CFE3" w14:textId="706EC77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7A70ECF6" w14:textId="052C85C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02415202"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62D1C37" w14:textId="4A8F8140"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Chad</w:t>
            </w:r>
          </w:p>
        </w:tc>
        <w:tc>
          <w:tcPr>
            <w:tcW w:w="1049" w:type="pct"/>
            <w:tcBorders>
              <w:top w:val="nil"/>
              <w:left w:val="nil"/>
              <w:bottom w:val="single" w:sz="4" w:space="0" w:color="auto"/>
              <w:right w:val="single" w:sz="4" w:space="0" w:color="auto"/>
            </w:tcBorders>
            <w:shd w:val="clear" w:color="auto" w:fill="auto"/>
            <w:noWrap/>
            <w:vAlign w:val="bottom"/>
          </w:tcPr>
          <w:p w14:paraId="3BA06FA7" w14:textId="0367F43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14E8354F" w14:textId="0068B30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2B51D0CC" w14:textId="43EB374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7CC3E551" w14:textId="08953DE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5D4A04CF"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1EF3DAB0" w14:textId="7DB3E327"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Congo (Rep. of the)</w:t>
            </w:r>
          </w:p>
        </w:tc>
        <w:tc>
          <w:tcPr>
            <w:tcW w:w="1049" w:type="pct"/>
            <w:tcBorders>
              <w:top w:val="nil"/>
              <w:left w:val="nil"/>
              <w:bottom w:val="single" w:sz="4" w:space="0" w:color="auto"/>
              <w:right w:val="single" w:sz="4" w:space="0" w:color="auto"/>
            </w:tcBorders>
            <w:shd w:val="clear" w:color="auto" w:fill="auto"/>
            <w:noWrap/>
            <w:vAlign w:val="bottom"/>
          </w:tcPr>
          <w:p w14:paraId="0C19621E" w14:textId="1784E78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4D5CAA7" w14:textId="5F208E3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58CC3385" w14:textId="25F6FF3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CE160C4" w14:textId="03C6130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68910D1"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BA76F95" w14:textId="55A8A410"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 xml:space="preserve">Côte d'Ivoire </w:t>
            </w:r>
          </w:p>
        </w:tc>
        <w:tc>
          <w:tcPr>
            <w:tcW w:w="1049" w:type="pct"/>
            <w:tcBorders>
              <w:top w:val="nil"/>
              <w:left w:val="nil"/>
              <w:bottom w:val="single" w:sz="4" w:space="0" w:color="auto"/>
              <w:right w:val="single" w:sz="4" w:space="0" w:color="auto"/>
            </w:tcBorders>
            <w:shd w:val="clear" w:color="auto" w:fill="auto"/>
            <w:noWrap/>
            <w:vAlign w:val="bottom"/>
          </w:tcPr>
          <w:p w14:paraId="6170A708" w14:textId="50B788A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39C4BA25" w14:textId="6D0C474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4B25E7EB" w14:textId="01AFB96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083F1158" w14:textId="58A1DA8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6DD4DB84"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03571671" w14:textId="24E1A2A8"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Dem. Rep. of the Congo</w:t>
            </w:r>
          </w:p>
        </w:tc>
        <w:tc>
          <w:tcPr>
            <w:tcW w:w="1049" w:type="pct"/>
            <w:tcBorders>
              <w:top w:val="nil"/>
              <w:left w:val="nil"/>
              <w:bottom w:val="single" w:sz="4" w:space="0" w:color="auto"/>
              <w:right w:val="single" w:sz="4" w:space="0" w:color="auto"/>
            </w:tcBorders>
            <w:shd w:val="clear" w:color="auto" w:fill="auto"/>
            <w:noWrap/>
            <w:vAlign w:val="bottom"/>
          </w:tcPr>
          <w:p w14:paraId="3F04B1E9" w14:textId="030C6F0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322A0EB6" w14:textId="01255B2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12833882" w14:textId="2990430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4F1B8547" w14:textId="2ECFF00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EDB9F5E"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19F65848" w14:textId="43E37175"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Equatorial Guinea</w:t>
            </w:r>
          </w:p>
        </w:tc>
        <w:tc>
          <w:tcPr>
            <w:tcW w:w="1049" w:type="pct"/>
            <w:tcBorders>
              <w:top w:val="nil"/>
              <w:left w:val="nil"/>
              <w:bottom w:val="single" w:sz="4" w:space="0" w:color="auto"/>
              <w:right w:val="single" w:sz="4" w:space="0" w:color="auto"/>
            </w:tcBorders>
            <w:shd w:val="clear" w:color="auto" w:fill="auto"/>
            <w:noWrap/>
            <w:vAlign w:val="bottom"/>
          </w:tcPr>
          <w:p w14:paraId="1AA5896A" w14:textId="7D7422D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5B957761" w14:textId="6D7DB21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1011B635" w14:textId="6CE4339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287CD4C" w14:textId="51A0BBB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98EC8A3"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4A7DD348" w14:textId="1CE3C490"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Eritrea</w:t>
            </w:r>
          </w:p>
        </w:tc>
        <w:tc>
          <w:tcPr>
            <w:tcW w:w="1049" w:type="pct"/>
            <w:tcBorders>
              <w:top w:val="nil"/>
              <w:left w:val="nil"/>
              <w:bottom w:val="single" w:sz="4" w:space="0" w:color="auto"/>
              <w:right w:val="single" w:sz="4" w:space="0" w:color="auto"/>
            </w:tcBorders>
            <w:shd w:val="clear" w:color="auto" w:fill="auto"/>
            <w:noWrap/>
            <w:vAlign w:val="bottom"/>
          </w:tcPr>
          <w:p w14:paraId="581F4DFE" w14:textId="22AB83C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3FFE523" w14:textId="6D3A7C4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4B063DB7" w14:textId="6576293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497A72B1" w14:textId="16C28B7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36A5019D"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5B41B55" w14:textId="3DF3BBFF"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Eswatini</w:t>
            </w:r>
          </w:p>
        </w:tc>
        <w:tc>
          <w:tcPr>
            <w:tcW w:w="1049" w:type="pct"/>
            <w:tcBorders>
              <w:top w:val="nil"/>
              <w:left w:val="nil"/>
              <w:bottom w:val="single" w:sz="4" w:space="0" w:color="auto"/>
              <w:right w:val="single" w:sz="4" w:space="0" w:color="auto"/>
            </w:tcBorders>
            <w:shd w:val="clear" w:color="auto" w:fill="auto"/>
            <w:noWrap/>
            <w:vAlign w:val="bottom"/>
          </w:tcPr>
          <w:p w14:paraId="1989917B" w14:textId="2C44D3D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D9ECA10" w14:textId="7DFCC76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5FBAB25C" w14:textId="08C19F7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8595881" w14:textId="6B2C91B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466323D9"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33BB913" w14:textId="4D43E7BD"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Ethiopia</w:t>
            </w:r>
          </w:p>
        </w:tc>
        <w:tc>
          <w:tcPr>
            <w:tcW w:w="1049" w:type="pct"/>
            <w:tcBorders>
              <w:top w:val="nil"/>
              <w:left w:val="nil"/>
              <w:bottom w:val="single" w:sz="4" w:space="0" w:color="auto"/>
              <w:right w:val="single" w:sz="4" w:space="0" w:color="auto"/>
            </w:tcBorders>
            <w:shd w:val="clear" w:color="auto" w:fill="auto"/>
            <w:noWrap/>
            <w:vAlign w:val="bottom"/>
          </w:tcPr>
          <w:p w14:paraId="55381453" w14:textId="3A69FBD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637088E5" w14:textId="6C22201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6F40A3BD" w14:textId="4E7A681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DD66EBE" w14:textId="1FE9EDF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2B7EE987"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646317D8" w14:textId="5786CEBD"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Gabon</w:t>
            </w:r>
          </w:p>
        </w:tc>
        <w:tc>
          <w:tcPr>
            <w:tcW w:w="1049" w:type="pct"/>
            <w:tcBorders>
              <w:top w:val="nil"/>
              <w:left w:val="nil"/>
              <w:bottom w:val="single" w:sz="4" w:space="0" w:color="auto"/>
              <w:right w:val="single" w:sz="4" w:space="0" w:color="auto"/>
            </w:tcBorders>
            <w:shd w:val="clear" w:color="auto" w:fill="auto"/>
            <w:noWrap/>
            <w:vAlign w:val="bottom"/>
          </w:tcPr>
          <w:p w14:paraId="48969568" w14:textId="0856A57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53EE8BC0" w14:textId="37E1688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01741DD8" w14:textId="579C168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5EA999D2" w14:textId="5A6FF59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0EDD6C19"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3ED1B5FC" w14:textId="4259593E"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Gambia</w:t>
            </w:r>
          </w:p>
        </w:tc>
        <w:tc>
          <w:tcPr>
            <w:tcW w:w="1049" w:type="pct"/>
            <w:tcBorders>
              <w:top w:val="nil"/>
              <w:left w:val="nil"/>
              <w:bottom w:val="single" w:sz="4" w:space="0" w:color="auto"/>
              <w:right w:val="single" w:sz="4" w:space="0" w:color="auto"/>
            </w:tcBorders>
            <w:shd w:val="clear" w:color="auto" w:fill="auto"/>
            <w:noWrap/>
            <w:vAlign w:val="bottom"/>
          </w:tcPr>
          <w:p w14:paraId="0E3F6B80" w14:textId="304B829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320BD701" w14:textId="0666CF5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0B442279" w14:textId="42430AE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4FEB3F04" w14:textId="7A01564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7209241"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5F88C748" w14:textId="4BAFBA79"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Ghana</w:t>
            </w:r>
          </w:p>
        </w:tc>
        <w:tc>
          <w:tcPr>
            <w:tcW w:w="1049" w:type="pct"/>
            <w:tcBorders>
              <w:top w:val="nil"/>
              <w:left w:val="nil"/>
              <w:bottom w:val="single" w:sz="4" w:space="0" w:color="auto"/>
              <w:right w:val="single" w:sz="4" w:space="0" w:color="auto"/>
            </w:tcBorders>
            <w:shd w:val="clear" w:color="auto" w:fill="auto"/>
            <w:noWrap/>
            <w:vAlign w:val="bottom"/>
          </w:tcPr>
          <w:p w14:paraId="1D520AF2" w14:textId="7D7282D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6F7AAE11" w14:textId="4EEDA73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5074BF4E" w14:textId="09AC960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9DBFA5D" w14:textId="0303B27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14133F16"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3797CAF7" w14:textId="11F4A741"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Guinea</w:t>
            </w:r>
          </w:p>
        </w:tc>
        <w:tc>
          <w:tcPr>
            <w:tcW w:w="1049" w:type="pct"/>
            <w:tcBorders>
              <w:top w:val="nil"/>
              <w:left w:val="nil"/>
              <w:bottom w:val="single" w:sz="4" w:space="0" w:color="auto"/>
              <w:right w:val="single" w:sz="4" w:space="0" w:color="auto"/>
            </w:tcBorders>
            <w:shd w:val="clear" w:color="auto" w:fill="auto"/>
            <w:noWrap/>
            <w:vAlign w:val="bottom"/>
          </w:tcPr>
          <w:p w14:paraId="5552293D" w14:textId="1B844BD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C04FC40" w14:textId="4357389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64DFD16" w14:textId="22D7A88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8F32D07" w14:textId="2AE43C9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5ECAD859"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4167E4CA" w14:textId="15DAB2DF"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Guinea-Bissau</w:t>
            </w:r>
          </w:p>
        </w:tc>
        <w:tc>
          <w:tcPr>
            <w:tcW w:w="1049" w:type="pct"/>
            <w:tcBorders>
              <w:top w:val="nil"/>
              <w:left w:val="nil"/>
              <w:bottom w:val="single" w:sz="4" w:space="0" w:color="auto"/>
              <w:right w:val="single" w:sz="4" w:space="0" w:color="auto"/>
            </w:tcBorders>
            <w:shd w:val="clear" w:color="auto" w:fill="auto"/>
            <w:noWrap/>
            <w:vAlign w:val="bottom"/>
          </w:tcPr>
          <w:p w14:paraId="49C10342" w14:textId="3FC4B17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0CA6C7B5" w14:textId="546EAAB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5481E3A" w14:textId="52068A6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ABC8F1A" w14:textId="6640B2F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2796EFC9"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26DAAA7F" w14:textId="63D88158"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Kenya</w:t>
            </w:r>
          </w:p>
        </w:tc>
        <w:tc>
          <w:tcPr>
            <w:tcW w:w="1049" w:type="pct"/>
            <w:tcBorders>
              <w:top w:val="nil"/>
              <w:left w:val="nil"/>
              <w:bottom w:val="single" w:sz="4" w:space="0" w:color="auto"/>
              <w:right w:val="single" w:sz="4" w:space="0" w:color="auto"/>
            </w:tcBorders>
            <w:shd w:val="clear" w:color="auto" w:fill="auto"/>
            <w:noWrap/>
            <w:vAlign w:val="bottom"/>
          </w:tcPr>
          <w:p w14:paraId="2DCB8DA6" w14:textId="514A6A2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7505E607" w14:textId="17F4B1B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E569ABE" w14:textId="60AC4E2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5B7B6322" w14:textId="1967A87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289EABA0"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6479C317" w14:textId="63D98F96"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Lesotho</w:t>
            </w:r>
          </w:p>
        </w:tc>
        <w:tc>
          <w:tcPr>
            <w:tcW w:w="1049" w:type="pct"/>
            <w:tcBorders>
              <w:top w:val="nil"/>
              <w:left w:val="nil"/>
              <w:bottom w:val="single" w:sz="4" w:space="0" w:color="auto"/>
              <w:right w:val="single" w:sz="4" w:space="0" w:color="auto"/>
            </w:tcBorders>
            <w:shd w:val="clear" w:color="auto" w:fill="auto"/>
            <w:noWrap/>
            <w:vAlign w:val="bottom"/>
          </w:tcPr>
          <w:p w14:paraId="2E3E37BA" w14:textId="6B6C524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23ECA367" w14:textId="1BA793B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48456F2C" w14:textId="69D9775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AC6D323" w14:textId="47E5ED7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682D7406"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6A2ADEA8" w14:textId="66FA1BF5"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Liberia</w:t>
            </w:r>
          </w:p>
        </w:tc>
        <w:tc>
          <w:tcPr>
            <w:tcW w:w="1049" w:type="pct"/>
            <w:tcBorders>
              <w:top w:val="nil"/>
              <w:left w:val="nil"/>
              <w:bottom w:val="single" w:sz="4" w:space="0" w:color="auto"/>
              <w:right w:val="single" w:sz="4" w:space="0" w:color="auto"/>
            </w:tcBorders>
            <w:shd w:val="clear" w:color="auto" w:fill="auto"/>
            <w:noWrap/>
            <w:vAlign w:val="bottom"/>
          </w:tcPr>
          <w:p w14:paraId="09ACC274" w14:textId="7D07D13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3AC9370" w14:textId="5DDB8DD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4EA10B79" w14:textId="44C83B9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3420E5B" w14:textId="77B1D3F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63BA0111"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32C90883" w14:textId="1CB15C6E"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Madagascar</w:t>
            </w:r>
          </w:p>
        </w:tc>
        <w:tc>
          <w:tcPr>
            <w:tcW w:w="1049" w:type="pct"/>
            <w:tcBorders>
              <w:top w:val="nil"/>
              <w:left w:val="nil"/>
              <w:bottom w:val="single" w:sz="4" w:space="0" w:color="auto"/>
              <w:right w:val="single" w:sz="4" w:space="0" w:color="auto"/>
            </w:tcBorders>
            <w:shd w:val="clear" w:color="auto" w:fill="auto"/>
            <w:noWrap/>
            <w:vAlign w:val="bottom"/>
          </w:tcPr>
          <w:p w14:paraId="65584681" w14:textId="658E6CF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0695B68E" w14:textId="7095FF1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38892A72" w14:textId="5D39CA6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012E2E7C" w14:textId="22B2FDA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5A4A000A"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1C7E7F4" w14:textId="2702346C"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Malawi</w:t>
            </w:r>
          </w:p>
        </w:tc>
        <w:tc>
          <w:tcPr>
            <w:tcW w:w="1049" w:type="pct"/>
            <w:tcBorders>
              <w:top w:val="nil"/>
              <w:left w:val="nil"/>
              <w:bottom w:val="single" w:sz="4" w:space="0" w:color="auto"/>
              <w:right w:val="single" w:sz="4" w:space="0" w:color="auto"/>
            </w:tcBorders>
            <w:shd w:val="clear" w:color="auto" w:fill="auto"/>
            <w:noWrap/>
            <w:vAlign w:val="bottom"/>
          </w:tcPr>
          <w:p w14:paraId="1D1A6DD5" w14:textId="10396C2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r w:rsidR="0075141F" w:rsidRPr="00C7320D">
              <w:rPr>
                <w:rFonts w:ascii="Aptos" w:hAnsi="Aptos"/>
                <w:color w:val="404040"/>
                <w:sz w:val="18"/>
                <w:szCs w:val="18"/>
                <w:lang w:eastAsia="en-GB"/>
              </w:rPr>
              <w:t>*</w:t>
            </w:r>
          </w:p>
        </w:tc>
        <w:tc>
          <w:tcPr>
            <w:tcW w:w="1112" w:type="pct"/>
            <w:tcBorders>
              <w:top w:val="nil"/>
              <w:left w:val="nil"/>
              <w:bottom w:val="single" w:sz="4" w:space="0" w:color="auto"/>
              <w:right w:val="single" w:sz="4" w:space="0" w:color="auto"/>
            </w:tcBorders>
            <w:shd w:val="clear" w:color="auto" w:fill="auto"/>
            <w:noWrap/>
            <w:vAlign w:val="bottom"/>
          </w:tcPr>
          <w:p w14:paraId="19F45754" w14:textId="562E886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4DC6E7EA" w14:textId="04F589C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2BBD0E6" w14:textId="3E3F3EC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3DCC1A5B"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63F05C78" w14:textId="4CF3BFEB"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Mali</w:t>
            </w:r>
          </w:p>
        </w:tc>
        <w:tc>
          <w:tcPr>
            <w:tcW w:w="1049" w:type="pct"/>
            <w:tcBorders>
              <w:top w:val="nil"/>
              <w:left w:val="nil"/>
              <w:bottom w:val="single" w:sz="4" w:space="0" w:color="auto"/>
              <w:right w:val="single" w:sz="4" w:space="0" w:color="auto"/>
            </w:tcBorders>
            <w:shd w:val="clear" w:color="auto" w:fill="auto"/>
            <w:noWrap/>
            <w:vAlign w:val="bottom"/>
          </w:tcPr>
          <w:p w14:paraId="17184375" w14:textId="01D6465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18E0AD82" w14:textId="48A3FDB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E6D0B12" w14:textId="2BE0562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384EB03E" w14:textId="5696DFF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2C19A1B0"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5A1BFB1C" w14:textId="7CF8CA6A"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Mauritius</w:t>
            </w:r>
          </w:p>
        </w:tc>
        <w:tc>
          <w:tcPr>
            <w:tcW w:w="1049" w:type="pct"/>
            <w:tcBorders>
              <w:top w:val="nil"/>
              <w:left w:val="nil"/>
              <w:bottom w:val="single" w:sz="4" w:space="0" w:color="auto"/>
              <w:right w:val="single" w:sz="4" w:space="0" w:color="auto"/>
            </w:tcBorders>
            <w:shd w:val="clear" w:color="auto" w:fill="auto"/>
            <w:noWrap/>
            <w:vAlign w:val="bottom"/>
          </w:tcPr>
          <w:p w14:paraId="7E7D4A25" w14:textId="41F83CD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279259A4" w14:textId="201E647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3485A725" w14:textId="1E0071F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066A039F" w14:textId="0859F8E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2BE34D67"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6E5C95E1" w14:textId="6BC1B139"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Mozambique</w:t>
            </w:r>
          </w:p>
        </w:tc>
        <w:tc>
          <w:tcPr>
            <w:tcW w:w="1049" w:type="pct"/>
            <w:tcBorders>
              <w:top w:val="nil"/>
              <w:left w:val="nil"/>
              <w:bottom w:val="single" w:sz="4" w:space="0" w:color="auto"/>
              <w:right w:val="single" w:sz="4" w:space="0" w:color="auto"/>
            </w:tcBorders>
            <w:shd w:val="clear" w:color="auto" w:fill="auto"/>
            <w:noWrap/>
            <w:vAlign w:val="bottom"/>
          </w:tcPr>
          <w:p w14:paraId="70EEDABC" w14:textId="4B1AFB9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164A6432" w14:textId="765137B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3EF29C6B" w14:textId="6F45E69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7C678EEE" w14:textId="7F91898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2E0E5603"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4A1D3585" w14:textId="55520947"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Namibia</w:t>
            </w:r>
          </w:p>
        </w:tc>
        <w:tc>
          <w:tcPr>
            <w:tcW w:w="1049" w:type="pct"/>
            <w:tcBorders>
              <w:top w:val="nil"/>
              <w:left w:val="nil"/>
              <w:bottom w:val="single" w:sz="4" w:space="0" w:color="auto"/>
              <w:right w:val="single" w:sz="4" w:space="0" w:color="auto"/>
            </w:tcBorders>
            <w:shd w:val="clear" w:color="auto" w:fill="auto"/>
            <w:noWrap/>
            <w:vAlign w:val="bottom"/>
          </w:tcPr>
          <w:p w14:paraId="5D9B05A2" w14:textId="36BF163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1F33FB49" w14:textId="7830352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283BD46C" w14:textId="514859A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1A50EFDB" w14:textId="29CAC48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46D64D5C"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706866E" w14:textId="7F6B78D4"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Niger</w:t>
            </w:r>
          </w:p>
        </w:tc>
        <w:tc>
          <w:tcPr>
            <w:tcW w:w="1049" w:type="pct"/>
            <w:tcBorders>
              <w:top w:val="nil"/>
              <w:left w:val="nil"/>
              <w:bottom w:val="single" w:sz="4" w:space="0" w:color="auto"/>
              <w:right w:val="single" w:sz="4" w:space="0" w:color="auto"/>
            </w:tcBorders>
            <w:shd w:val="clear" w:color="auto" w:fill="auto"/>
            <w:noWrap/>
            <w:vAlign w:val="bottom"/>
          </w:tcPr>
          <w:p w14:paraId="506025E4" w14:textId="0BFFEE8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139A8674" w14:textId="5DBC518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2A24D5D3" w14:textId="7F778D1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22BD6A4" w14:textId="0786A19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5D5ECE9A"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17E86E80" w14:textId="52F1EEED"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Nigeria</w:t>
            </w:r>
          </w:p>
        </w:tc>
        <w:tc>
          <w:tcPr>
            <w:tcW w:w="1049" w:type="pct"/>
            <w:tcBorders>
              <w:top w:val="nil"/>
              <w:left w:val="nil"/>
              <w:bottom w:val="single" w:sz="4" w:space="0" w:color="auto"/>
              <w:right w:val="single" w:sz="4" w:space="0" w:color="auto"/>
            </w:tcBorders>
            <w:shd w:val="clear" w:color="auto" w:fill="auto"/>
            <w:noWrap/>
            <w:vAlign w:val="bottom"/>
          </w:tcPr>
          <w:p w14:paraId="4AE3E0AB" w14:textId="2667E87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232ED47E" w14:textId="7B4E0C6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569AAD7B" w14:textId="7C3F7A5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bottom"/>
          </w:tcPr>
          <w:p w14:paraId="06FE1B02" w14:textId="2A45B6E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38533BAA"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26629EF6" w14:textId="13FC5052"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Rwanda</w:t>
            </w:r>
          </w:p>
        </w:tc>
        <w:tc>
          <w:tcPr>
            <w:tcW w:w="1049" w:type="pct"/>
            <w:tcBorders>
              <w:top w:val="nil"/>
              <w:left w:val="nil"/>
              <w:bottom w:val="single" w:sz="4" w:space="0" w:color="auto"/>
              <w:right w:val="single" w:sz="4" w:space="0" w:color="auto"/>
            </w:tcBorders>
            <w:shd w:val="clear" w:color="auto" w:fill="auto"/>
            <w:noWrap/>
            <w:vAlign w:val="bottom"/>
          </w:tcPr>
          <w:p w14:paraId="3079035B" w14:textId="538FDC9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2D82988B" w14:textId="38B32E3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0622E836" w14:textId="096A60B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04331FAF" w14:textId="5CE603A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1B4EA175"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6C24C059" w14:textId="41634807"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Sao Tome and Principe</w:t>
            </w:r>
          </w:p>
        </w:tc>
        <w:tc>
          <w:tcPr>
            <w:tcW w:w="1049" w:type="pct"/>
            <w:tcBorders>
              <w:top w:val="nil"/>
              <w:left w:val="nil"/>
              <w:bottom w:val="single" w:sz="4" w:space="0" w:color="auto"/>
              <w:right w:val="single" w:sz="4" w:space="0" w:color="auto"/>
            </w:tcBorders>
            <w:shd w:val="clear" w:color="auto" w:fill="auto"/>
            <w:noWrap/>
            <w:vAlign w:val="bottom"/>
          </w:tcPr>
          <w:p w14:paraId="58F3FD22" w14:textId="5953A3B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2342E349" w14:textId="4B9D000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58162A81" w14:textId="65DF26B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5697F89" w14:textId="057BC0D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17DB705"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3294D48E" w14:textId="030BDCE4"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Senegal</w:t>
            </w:r>
          </w:p>
        </w:tc>
        <w:tc>
          <w:tcPr>
            <w:tcW w:w="1049" w:type="pct"/>
            <w:tcBorders>
              <w:top w:val="nil"/>
              <w:left w:val="nil"/>
              <w:bottom w:val="single" w:sz="4" w:space="0" w:color="auto"/>
              <w:right w:val="single" w:sz="4" w:space="0" w:color="auto"/>
            </w:tcBorders>
            <w:shd w:val="clear" w:color="auto" w:fill="auto"/>
            <w:noWrap/>
            <w:vAlign w:val="bottom"/>
          </w:tcPr>
          <w:p w14:paraId="12AB1744" w14:textId="3BA64EC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48A850B6" w14:textId="4099D88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C2D3B1E" w14:textId="6E40E25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E41E867" w14:textId="498B1E7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79939003"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EE3218A" w14:textId="457BE0F0"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Seychelles</w:t>
            </w:r>
          </w:p>
        </w:tc>
        <w:tc>
          <w:tcPr>
            <w:tcW w:w="1049" w:type="pct"/>
            <w:tcBorders>
              <w:top w:val="nil"/>
              <w:left w:val="nil"/>
              <w:bottom w:val="single" w:sz="4" w:space="0" w:color="auto"/>
              <w:right w:val="single" w:sz="4" w:space="0" w:color="auto"/>
            </w:tcBorders>
            <w:shd w:val="clear" w:color="auto" w:fill="auto"/>
            <w:noWrap/>
            <w:vAlign w:val="bottom"/>
          </w:tcPr>
          <w:p w14:paraId="6A8AAC88" w14:textId="5A92CC52"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6509D1EB" w14:textId="632574D4"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44C70F85" w14:textId="25A6947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3AB316B" w14:textId="502D6FA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02EB46ED"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2D08C17F" w14:textId="7A400A63"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Sierra Leone</w:t>
            </w:r>
          </w:p>
        </w:tc>
        <w:tc>
          <w:tcPr>
            <w:tcW w:w="1049" w:type="pct"/>
            <w:tcBorders>
              <w:top w:val="nil"/>
              <w:left w:val="nil"/>
              <w:bottom w:val="single" w:sz="4" w:space="0" w:color="auto"/>
              <w:right w:val="single" w:sz="4" w:space="0" w:color="auto"/>
            </w:tcBorders>
            <w:shd w:val="clear" w:color="auto" w:fill="auto"/>
            <w:noWrap/>
            <w:vAlign w:val="bottom"/>
          </w:tcPr>
          <w:p w14:paraId="43F3E919" w14:textId="512A898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7F423440" w14:textId="2E32D25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29DB8917" w14:textId="1BC4B14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66270B59" w14:textId="7911255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6330771C"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321AC6AA" w14:textId="26DFF95B"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South Africa</w:t>
            </w:r>
          </w:p>
        </w:tc>
        <w:tc>
          <w:tcPr>
            <w:tcW w:w="1049" w:type="pct"/>
            <w:tcBorders>
              <w:top w:val="nil"/>
              <w:left w:val="nil"/>
              <w:bottom w:val="single" w:sz="4" w:space="0" w:color="auto"/>
              <w:right w:val="single" w:sz="4" w:space="0" w:color="auto"/>
            </w:tcBorders>
            <w:shd w:val="clear" w:color="auto" w:fill="auto"/>
            <w:noWrap/>
            <w:vAlign w:val="bottom"/>
          </w:tcPr>
          <w:p w14:paraId="48442D37" w14:textId="07D20E2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7A877F6D" w14:textId="60BD8F7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3B3080BE" w14:textId="0783C57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bottom"/>
          </w:tcPr>
          <w:p w14:paraId="4EC7D483" w14:textId="10AD4B6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r>
      <w:tr w:rsidR="00FF21BE" w:rsidRPr="00C7320D" w14:paraId="2F88D29B"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55565EFD" w14:textId="2908EAF4"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South Sudan</w:t>
            </w:r>
          </w:p>
        </w:tc>
        <w:tc>
          <w:tcPr>
            <w:tcW w:w="1049" w:type="pct"/>
            <w:tcBorders>
              <w:top w:val="nil"/>
              <w:left w:val="nil"/>
              <w:bottom w:val="single" w:sz="4" w:space="0" w:color="auto"/>
              <w:right w:val="single" w:sz="4" w:space="0" w:color="auto"/>
            </w:tcBorders>
            <w:shd w:val="clear" w:color="auto" w:fill="auto"/>
            <w:noWrap/>
            <w:vAlign w:val="bottom"/>
          </w:tcPr>
          <w:p w14:paraId="6D86E660" w14:textId="33DE446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6B40E23D" w14:textId="0AA7056F"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3334379F" w14:textId="3828426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7546932B" w14:textId="4C31C7A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62405808"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2F04530F" w14:textId="3B585513"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Tanzania</w:t>
            </w:r>
          </w:p>
        </w:tc>
        <w:tc>
          <w:tcPr>
            <w:tcW w:w="1049" w:type="pct"/>
            <w:tcBorders>
              <w:top w:val="nil"/>
              <w:left w:val="nil"/>
              <w:bottom w:val="single" w:sz="4" w:space="0" w:color="auto"/>
              <w:right w:val="single" w:sz="4" w:space="0" w:color="auto"/>
            </w:tcBorders>
            <w:shd w:val="clear" w:color="auto" w:fill="auto"/>
            <w:noWrap/>
            <w:vAlign w:val="bottom"/>
          </w:tcPr>
          <w:p w14:paraId="53F33C9E" w14:textId="7ADE1A4D"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35694EE5" w14:textId="6D702EB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24046456" w14:textId="07D49D5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5789F31C" w14:textId="709B7F4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42909DA1"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597E0318" w14:textId="763B0123"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Togo</w:t>
            </w:r>
          </w:p>
        </w:tc>
        <w:tc>
          <w:tcPr>
            <w:tcW w:w="1049" w:type="pct"/>
            <w:tcBorders>
              <w:top w:val="nil"/>
              <w:left w:val="nil"/>
              <w:bottom w:val="single" w:sz="4" w:space="0" w:color="auto"/>
              <w:right w:val="single" w:sz="4" w:space="0" w:color="auto"/>
            </w:tcBorders>
            <w:shd w:val="clear" w:color="auto" w:fill="auto"/>
            <w:noWrap/>
            <w:vAlign w:val="bottom"/>
          </w:tcPr>
          <w:p w14:paraId="5249A7E7" w14:textId="4934F6C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6EBB303E" w14:textId="62C82533"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1E36A6DF" w14:textId="6D687045"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31AC85AA" w14:textId="79236B4B"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6AA29CE5"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40FBFF48" w14:textId="229A672E"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Uganda</w:t>
            </w:r>
          </w:p>
        </w:tc>
        <w:tc>
          <w:tcPr>
            <w:tcW w:w="1049" w:type="pct"/>
            <w:tcBorders>
              <w:top w:val="nil"/>
              <w:left w:val="nil"/>
              <w:bottom w:val="single" w:sz="4" w:space="0" w:color="auto"/>
              <w:right w:val="single" w:sz="4" w:space="0" w:color="auto"/>
            </w:tcBorders>
            <w:shd w:val="clear" w:color="auto" w:fill="auto"/>
            <w:noWrap/>
            <w:vAlign w:val="bottom"/>
          </w:tcPr>
          <w:p w14:paraId="1E7D462C" w14:textId="5FA8905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46F9D7BB" w14:textId="44CCFD08"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79D6014A" w14:textId="23AD933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21FC645A" w14:textId="744C6E81"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07FDB3B8"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7B69F2FA" w14:textId="0E8860D3"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Zambia</w:t>
            </w:r>
          </w:p>
        </w:tc>
        <w:tc>
          <w:tcPr>
            <w:tcW w:w="1049" w:type="pct"/>
            <w:tcBorders>
              <w:top w:val="nil"/>
              <w:left w:val="nil"/>
              <w:bottom w:val="single" w:sz="4" w:space="0" w:color="auto"/>
              <w:right w:val="single" w:sz="4" w:space="0" w:color="auto"/>
            </w:tcBorders>
            <w:shd w:val="clear" w:color="auto" w:fill="auto"/>
            <w:noWrap/>
            <w:vAlign w:val="bottom"/>
          </w:tcPr>
          <w:p w14:paraId="2A9B4F57" w14:textId="46E9068C"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bottom"/>
          </w:tcPr>
          <w:p w14:paraId="233F9373" w14:textId="2CC33966"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bottom"/>
          </w:tcPr>
          <w:p w14:paraId="59086A42" w14:textId="6C6ED94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32E14AC2" w14:textId="53D9F029"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r w:rsidR="00FF21BE" w:rsidRPr="00C7320D" w14:paraId="398C8753" w14:textId="77777777">
        <w:trPr>
          <w:trHeight w:val="20"/>
        </w:trPr>
        <w:tc>
          <w:tcPr>
            <w:tcW w:w="1175" w:type="pct"/>
            <w:tcBorders>
              <w:top w:val="nil"/>
              <w:left w:val="single" w:sz="4" w:space="0" w:color="auto"/>
              <w:bottom w:val="single" w:sz="4" w:space="0" w:color="auto"/>
              <w:right w:val="single" w:sz="4" w:space="0" w:color="auto"/>
            </w:tcBorders>
            <w:shd w:val="clear" w:color="auto" w:fill="auto"/>
            <w:vAlign w:val="bottom"/>
          </w:tcPr>
          <w:p w14:paraId="2AE45903" w14:textId="10A8E19C" w:rsidR="00FF21BE" w:rsidRPr="00C7320D" w:rsidRDefault="00FF21BE" w:rsidP="00FF21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C7320D">
              <w:rPr>
                <w:rFonts w:ascii="Aptos" w:hAnsi="Aptos"/>
                <w:color w:val="404040"/>
                <w:sz w:val="18"/>
                <w:szCs w:val="18"/>
                <w:lang w:eastAsia="en-GB"/>
              </w:rPr>
              <w:t>Zimbabwe</w:t>
            </w:r>
          </w:p>
        </w:tc>
        <w:tc>
          <w:tcPr>
            <w:tcW w:w="1049" w:type="pct"/>
            <w:tcBorders>
              <w:top w:val="nil"/>
              <w:left w:val="nil"/>
              <w:bottom w:val="single" w:sz="4" w:space="0" w:color="auto"/>
              <w:right w:val="single" w:sz="4" w:space="0" w:color="auto"/>
            </w:tcBorders>
            <w:shd w:val="clear" w:color="auto" w:fill="auto"/>
            <w:noWrap/>
            <w:vAlign w:val="bottom"/>
          </w:tcPr>
          <w:p w14:paraId="1537804A" w14:textId="72548210"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bottom"/>
          </w:tcPr>
          <w:p w14:paraId="0D415334" w14:textId="5CCD65D7"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bottom"/>
          </w:tcPr>
          <w:p w14:paraId="1E21ADD6" w14:textId="08A35BCE"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bottom"/>
          </w:tcPr>
          <w:p w14:paraId="0D16AA36" w14:textId="3678095A" w:rsidR="00FF21BE" w:rsidRPr="00C7320D" w:rsidRDefault="00FF21BE" w:rsidP="007E6D95">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C7320D">
              <w:rPr>
                <w:rFonts w:ascii="Aptos" w:hAnsi="Aptos"/>
                <w:color w:val="404040"/>
                <w:sz w:val="18"/>
                <w:szCs w:val="18"/>
                <w:lang w:eastAsia="en-GB"/>
              </w:rPr>
              <w:t>No</w:t>
            </w:r>
          </w:p>
        </w:tc>
      </w:tr>
    </w:tbl>
    <w:p w14:paraId="7F06DE1C" w14:textId="4233155C" w:rsidR="00A7384F" w:rsidRPr="00C7320D" w:rsidRDefault="00A7384F" w:rsidP="00A7384F">
      <w:pPr>
        <w:pStyle w:val="Sourcetext"/>
        <w:rPr>
          <w:rFonts w:eastAsia="Aptos" w:cs="Arial"/>
        </w:rPr>
      </w:pPr>
      <w:r w:rsidRPr="00C7320D">
        <w:rPr>
          <w:rFonts w:eastAsia="Aptos" w:cs="Arial"/>
        </w:rPr>
        <w:t xml:space="preserve">*Malawi adopted a </w:t>
      </w:r>
      <w:r w:rsidR="007A452E" w:rsidRPr="00C7320D">
        <w:rPr>
          <w:rFonts w:eastAsia="Aptos" w:cs="Arial"/>
        </w:rPr>
        <w:t xml:space="preserve">Malawi adopted an e-waste policy </w:t>
      </w:r>
      <w:r w:rsidRPr="00C7320D">
        <w:t>after publication of the Global E-waste Monitor</w:t>
      </w:r>
      <w:r w:rsidRPr="00C7320D">
        <w:rPr>
          <w:rFonts w:eastAsia="Aptos" w:cs="Arial"/>
        </w:rPr>
        <w:t>.</w:t>
      </w:r>
    </w:p>
    <w:p w14:paraId="60BA3804" w14:textId="05F672FB" w:rsidR="006C41B5" w:rsidRPr="00C7320D" w:rsidRDefault="006C41B5" w:rsidP="00B1004A">
      <w:pPr>
        <w:pStyle w:val="Sourcetext"/>
        <w:rPr>
          <w:rFonts w:eastAsia="Aptos" w:cs="Arial"/>
        </w:rPr>
      </w:pPr>
      <w:r w:rsidRPr="00C7320D">
        <w:rPr>
          <w:rFonts w:eastAsia="Aptos" w:cs="Arial"/>
        </w:rPr>
        <w:t xml:space="preserve">Source: ITU and UNITAR, </w:t>
      </w:r>
      <w:hyperlink r:id="rId109" w:history="1">
        <w:r w:rsidRPr="00C7320D">
          <w:rPr>
            <w:rFonts w:eastAsia="Aptos" w:cs="Arial"/>
          </w:rPr>
          <w:t>Global E-waste Monitor, 2024</w:t>
        </w:r>
      </w:hyperlink>
    </w:p>
    <w:p w14:paraId="641AA113" w14:textId="6744A7AB" w:rsidR="00B13CC6" w:rsidRPr="00C7320D" w:rsidRDefault="00B13CC6" w:rsidP="00B13CC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lack of comprehensive policies for e-waste management remains a significant challenge in Africa, where only a few countries have implemented national e-waste legislation and extended producer responsibility (EPR) frameworks. Globally, 42 per cent of countries (81 out of 193) have enacted national e-waste policies, legislation, or regulations. In contrast, only 10 countries in the Africa region </w:t>
      </w:r>
      <w:r w:rsidRPr="00C7320D">
        <w:rPr>
          <w:rFonts w:ascii="Aptos" w:eastAsia="Aptos" w:hAnsi="Aptos" w:cs="Arial"/>
          <w:kern w:val="2"/>
          <w:sz w:val="22"/>
          <w:szCs w:val="22"/>
          <w14:ligatures w14:val="standardContextual"/>
        </w:rPr>
        <w:lastRenderedPageBreak/>
        <w:t xml:space="preserve">have a national e-waste policy, legislation or regulation in place, which accounts for only </w:t>
      </w:r>
      <w:r w:rsidR="00472998" w:rsidRPr="00C7320D">
        <w:rPr>
          <w:rFonts w:ascii="Aptos" w:eastAsia="Aptos" w:hAnsi="Aptos" w:cs="Arial"/>
          <w:kern w:val="2"/>
          <w:sz w:val="22"/>
          <w:szCs w:val="22"/>
          <w14:ligatures w14:val="standardContextual"/>
        </w:rPr>
        <w:t>25</w:t>
      </w:r>
      <w:r w:rsidRPr="00C7320D">
        <w:rPr>
          <w:rFonts w:ascii="Aptos" w:eastAsia="Aptos" w:hAnsi="Aptos" w:cs="Arial"/>
          <w:kern w:val="2"/>
          <w:sz w:val="22"/>
          <w:szCs w:val="22"/>
          <w14:ligatures w14:val="standardContextual"/>
        </w:rPr>
        <w:t xml:space="preserve"> per cent of the region.</w:t>
      </w:r>
      <w:r w:rsidRPr="00C7320D">
        <w:rPr>
          <w:rStyle w:val="FootnoteReference"/>
          <w:rFonts w:eastAsia="Aptos" w:cs="Arial"/>
          <w:kern w:val="2"/>
          <w:szCs w:val="22"/>
          <w14:ligatures w14:val="standardContextual"/>
        </w:rPr>
        <w:footnoteReference w:id="12"/>
      </w:r>
      <w:r w:rsidRPr="00C7320D">
        <w:rPr>
          <w:rFonts w:ascii="Aptos" w:eastAsia="Aptos" w:hAnsi="Aptos" w:cs="Arial"/>
          <w:kern w:val="2"/>
          <w:sz w:val="22"/>
          <w:szCs w:val="22"/>
          <w14:ligatures w14:val="standardContextual"/>
        </w:rPr>
        <w:t xml:space="preserve"> </w:t>
      </w:r>
    </w:p>
    <w:p w14:paraId="6CA23822" w14:textId="77777777" w:rsidR="00B13CC6" w:rsidRPr="00C7320D" w:rsidRDefault="00B13CC6" w:rsidP="00B13CC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Moreover, only 8 out of 44 countries in ITU's Africa region have introduced EPR frameworks for e-waste. The absence of these frameworks across most of the countries exacerbates the region’s e-waste challenges, contributing to the continued reliance on unregulated practices that are harmful to both the environment and public health.</w:t>
      </w:r>
    </w:p>
    <w:p w14:paraId="7C56B7BD" w14:textId="2965F7E8" w:rsidR="00F779AF" w:rsidRPr="00C7320D" w:rsidRDefault="00B13CC6" w:rsidP="00B13CC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lack of formalized collection and recycling targets in law can significantly impede progress. Globally, countries with a policy or legal instrument that includes collection targets have a collection rate of 25 per cent on average, higher than the global average of 22 per cent. In contrast, only Nigeria and South Africa have established formal collection targets for e-waste and South Africa is the only country in the region with e-waste recycling targets. With limited policy, legislation or regulation in place, the region will face difficulties meeting collection and recycling targets, thereby missing key opportunities to advance towards a circular economy and reduce its environmental footprint.</w:t>
      </w:r>
    </w:p>
    <w:p w14:paraId="37A261FC" w14:textId="77777777"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br w:type="page"/>
      </w:r>
    </w:p>
    <w:p w14:paraId="6B95C5EE" w14:textId="14DAD658" w:rsidR="006C41B5" w:rsidRPr="00C7320D" w:rsidRDefault="006C41B5" w:rsidP="000C3666">
      <w:pPr>
        <w:pStyle w:val="Section"/>
      </w:pPr>
      <w:bookmarkStart w:id="20" w:name="_Toc191378090"/>
      <w:r w:rsidRPr="00C7320D">
        <w:lastRenderedPageBreak/>
        <w:t>Disparit</w:t>
      </w:r>
      <w:r w:rsidR="005B2B24" w:rsidRPr="00C7320D">
        <w:t>ies</w:t>
      </w:r>
      <w:r w:rsidRPr="00C7320D">
        <w:t xml:space="preserve"> within the region</w:t>
      </w:r>
      <w:bookmarkEnd w:id="20"/>
    </w:p>
    <w:p w14:paraId="6BD71CF1" w14:textId="16D5C439"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7320D">
        <w:rPr>
          <w:rFonts w:ascii="Aptos" w:eastAsia="Aptos" w:hAnsi="Aptos" w:cs="Arial"/>
          <w:b/>
          <w:i/>
          <w:kern w:val="2"/>
          <w:sz w:val="22"/>
          <w:szCs w:val="22"/>
          <w14:ligatures w14:val="standardContextual"/>
        </w:rPr>
        <w:t xml:space="preserve">Regional averages conceal disparities in connectivity among </w:t>
      </w:r>
      <w:r w:rsidR="0031482C" w:rsidRPr="00C7320D">
        <w:rPr>
          <w:rFonts w:ascii="Aptos" w:eastAsia="Aptos" w:hAnsi="Aptos" w:cs="Arial"/>
          <w:b/>
          <w:i/>
          <w:kern w:val="2"/>
          <w:sz w:val="22"/>
          <w:szCs w:val="22"/>
          <w14:ligatures w14:val="standardContextual"/>
        </w:rPr>
        <w:t xml:space="preserve">countries in </w:t>
      </w:r>
      <w:r w:rsidR="00093C9A" w:rsidRPr="00C7320D">
        <w:rPr>
          <w:rFonts w:ascii="Aptos" w:eastAsia="Aptos" w:hAnsi="Aptos" w:cs="Arial"/>
          <w:b/>
          <w:i/>
          <w:kern w:val="2"/>
          <w:sz w:val="22"/>
          <w:szCs w:val="22"/>
          <w14:ligatures w14:val="standardContextual"/>
        </w:rPr>
        <w:t>Africa</w:t>
      </w:r>
    </w:p>
    <w:p w14:paraId="4CAEF24F" w14:textId="086D9F40" w:rsidR="00C23FE8" w:rsidRPr="00C7320D" w:rsidRDefault="00C23FE8" w:rsidP="00C23FE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Africa region is diverse in many respects: income level, with the wealthiest country’s GNI per capita more than </w:t>
      </w:r>
      <w:r w:rsidR="00941C2B" w:rsidRPr="00C7320D">
        <w:rPr>
          <w:rFonts w:ascii="Aptos" w:eastAsia="Aptos" w:hAnsi="Aptos" w:cs="Arial"/>
          <w:kern w:val="2"/>
          <w:sz w:val="22"/>
          <w:szCs w:val="22"/>
          <w14:ligatures w14:val="standardContextual"/>
        </w:rPr>
        <w:t>50</w:t>
      </w:r>
      <w:r w:rsidRPr="00C7320D">
        <w:rPr>
          <w:rFonts w:ascii="Aptos" w:eastAsia="Aptos" w:hAnsi="Aptos" w:cs="Arial"/>
          <w:kern w:val="2"/>
          <w:sz w:val="22"/>
          <w:szCs w:val="22"/>
          <w14:ligatures w14:val="standardContextual"/>
        </w:rPr>
        <w:t xml:space="preserve"> times larger than the poorest; urbanization rate, which ranges from less than 20 per cent to over 90 per cent; and population, which ranges from Small Island Developing States (SIDS) with less than </w:t>
      </w:r>
      <w:r w:rsidR="003521B3" w:rsidRPr="00C7320D">
        <w:rPr>
          <w:rFonts w:ascii="Aptos" w:eastAsia="Aptos" w:hAnsi="Aptos" w:cs="Arial"/>
          <w:kern w:val="2"/>
          <w:sz w:val="22"/>
          <w:szCs w:val="22"/>
          <w14:ligatures w14:val="standardContextual"/>
        </w:rPr>
        <w:t>1</w:t>
      </w:r>
      <w:r w:rsidRPr="00C7320D">
        <w:rPr>
          <w:rFonts w:ascii="Aptos" w:eastAsia="Aptos" w:hAnsi="Aptos" w:cs="Arial"/>
          <w:kern w:val="2"/>
          <w:sz w:val="22"/>
          <w:szCs w:val="22"/>
          <w14:ligatures w14:val="standardContextual"/>
        </w:rPr>
        <w:t xml:space="preserve">50,000 residents to large countries with more than 100 million residents. </w:t>
      </w:r>
    </w:p>
    <w:p w14:paraId="6E928F85" w14:textId="08B2F2D1" w:rsidR="00C23FE8" w:rsidRPr="00C7320D" w:rsidRDefault="00C23FE8" w:rsidP="00C23FE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Given these differences, it can be useful to group countries in Africa into clusters, according to their scores on indicators of Internet use, mobile phone ownership, mobile broadband and fixed broadband subscription rates, affordability of entry-level mobile and fixed broadband, and gender equality. This ‘cluster analysis’ yields five distinct groups, whose respective members share similar ICT profiles.</w:t>
      </w:r>
    </w:p>
    <w:p w14:paraId="0798E4D2" w14:textId="084118CD" w:rsidR="00C23FE8" w:rsidRPr="00C7320D" w:rsidRDefault="00C23FE8" w:rsidP="00C23FE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first group, consisting </w:t>
      </w:r>
      <w:r w:rsidR="002237D2" w:rsidRPr="00C7320D">
        <w:rPr>
          <w:rFonts w:ascii="Aptos" w:eastAsia="Aptos" w:hAnsi="Aptos" w:cs="Arial"/>
          <w:kern w:val="2"/>
          <w:sz w:val="22"/>
          <w:szCs w:val="22"/>
          <w14:ligatures w14:val="standardContextual"/>
        </w:rPr>
        <w:t xml:space="preserve">only </w:t>
      </w:r>
      <w:r w:rsidRPr="00C7320D">
        <w:rPr>
          <w:rFonts w:ascii="Aptos" w:eastAsia="Aptos" w:hAnsi="Aptos" w:cs="Arial"/>
          <w:kern w:val="2"/>
          <w:sz w:val="22"/>
          <w:szCs w:val="22"/>
          <w14:ligatures w14:val="standardContextual"/>
        </w:rPr>
        <w:t xml:space="preserve">of </w:t>
      </w:r>
      <w:r w:rsidR="002237D2" w:rsidRPr="00C7320D">
        <w:rPr>
          <w:rFonts w:ascii="Aptos" w:eastAsia="Aptos" w:hAnsi="Aptos" w:cs="Arial"/>
          <w:kern w:val="2"/>
          <w:sz w:val="22"/>
          <w:szCs w:val="22"/>
          <w14:ligatures w14:val="standardContextual"/>
        </w:rPr>
        <w:t>Mauritius</w:t>
      </w:r>
      <w:r w:rsidRPr="00C7320D">
        <w:rPr>
          <w:rFonts w:ascii="Aptos" w:eastAsia="Aptos" w:hAnsi="Aptos" w:cs="Arial"/>
          <w:kern w:val="2"/>
          <w:sz w:val="22"/>
          <w:szCs w:val="22"/>
          <w14:ligatures w14:val="standardContextual"/>
        </w:rPr>
        <w:t xml:space="preserve"> and </w:t>
      </w:r>
      <w:r w:rsidR="002237D2" w:rsidRPr="00C7320D">
        <w:rPr>
          <w:rFonts w:ascii="Aptos" w:eastAsia="Aptos" w:hAnsi="Aptos" w:cs="Arial"/>
          <w:kern w:val="2"/>
          <w:sz w:val="22"/>
          <w:szCs w:val="22"/>
          <w14:ligatures w14:val="standardContextual"/>
        </w:rPr>
        <w:t>Seychelles</w:t>
      </w:r>
      <w:r w:rsidRPr="00C7320D">
        <w:rPr>
          <w:rFonts w:ascii="Aptos" w:eastAsia="Aptos" w:hAnsi="Aptos" w:cs="Arial"/>
          <w:kern w:val="2"/>
          <w:sz w:val="22"/>
          <w:szCs w:val="22"/>
          <w14:ligatures w14:val="standardContextual"/>
        </w:rPr>
        <w:t>,</w:t>
      </w:r>
      <w:r w:rsidRPr="00C7320D">
        <w:rPr>
          <w:rFonts w:ascii="Aptos" w:eastAsia="Aptos" w:hAnsi="Aptos"/>
          <w:kern w:val="2"/>
          <w:sz w:val="22"/>
          <w14:ligatures w14:val="standardContextual"/>
        </w:rPr>
        <w:t xml:space="preserve"> </w:t>
      </w:r>
      <w:r w:rsidRPr="00C7320D">
        <w:rPr>
          <w:rFonts w:ascii="Aptos" w:eastAsia="Aptos" w:hAnsi="Aptos" w:cs="Arial"/>
          <w:kern w:val="2"/>
          <w:sz w:val="22"/>
          <w:szCs w:val="22"/>
          <w14:ligatures w14:val="standardContextual"/>
        </w:rPr>
        <w:t xml:space="preserve">is characterized by rates of ICT usage and ownership that are well above the world average. Data-only mobile broadband is affordable relative to the world average, with median entry-level prices as a share of monthly GNI per capita below the Broadband Commission target of 2 per cent of monthly GNI per capita or lower for </w:t>
      </w:r>
      <w:r w:rsidR="002237D2" w:rsidRPr="00C7320D">
        <w:rPr>
          <w:rFonts w:ascii="Aptos" w:eastAsia="Aptos" w:hAnsi="Aptos" w:cs="Arial"/>
          <w:kern w:val="2"/>
          <w:sz w:val="22"/>
          <w:szCs w:val="22"/>
          <w14:ligatures w14:val="standardContextual"/>
        </w:rPr>
        <w:t xml:space="preserve">both </w:t>
      </w:r>
      <w:r w:rsidRPr="00C7320D">
        <w:rPr>
          <w:rFonts w:ascii="Aptos" w:eastAsia="Aptos" w:hAnsi="Aptos" w:cs="Arial"/>
          <w:kern w:val="2"/>
          <w:sz w:val="22"/>
          <w:szCs w:val="22"/>
          <w14:ligatures w14:val="standardContextual"/>
        </w:rPr>
        <w:t xml:space="preserve">mobile </w:t>
      </w:r>
      <w:r w:rsidR="002237D2" w:rsidRPr="00C7320D">
        <w:rPr>
          <w:rFonts w:ascii="Aptos" w:eastAsia="Aptos" w:hAnsi="Aptos" w:cs="Arial"/>
          <w:kern w:val="2"/>
          <w:sz w:val="22"/>
          <w:szCs w:val="22"/>
          <w14:ligatures w14:val="standardContextual"/>
        </w:rPr>
        <w:t xml:space="preserve">and fixed </w:t>
      </w:r>
      <w:r w:rsidRPr="00C7320D">
        <w:rPr>
          <w:rFonts w:ascii="Aptos" w:eastAsia="Aptos" w:hAnsi="Aptos" w:cs="Arial"/>
          <w:kern w:val="2"/>
          <w:sz w:val="22"/>
          <w:szCs w:val="22"/>
          <w14:ligatures w14:val="standardContextual"/>
        </w:rPr>
        <w:t xml:space="preserve">broadband. The level of gender parity in terms of Internet use </w:t>
      </w:r>
      <w:r w:rsidR="00F9735D" w:rsidRPr="00C7320D">
        <w:rPr>
          <w:rFonts w:ascii="Aptos" w:eastAsia="Aptos" w:hAnsi="Aptos" w:cs="Arial"/>
          <w:kern w:val="2"/>
          <w:sz w:val="22"/>
          <w:szCs w:val="22"/>
          <w14:ligatures w14:val="standardContextual"/>
        </w:rPr>
        <w:t>is also in line with world averages</w:t>
      </w:r>
      <w:r w:rsidR="00570371" w:rsidRPr="00C7320D">
        <w:rPr>
          <w:rFonts w:ascii="Aptos" w:eastAsia="Aptos" w:hAnsi="Aptos" w:cs="Arial"/>
          <w:kern w:val="2"/>
          <w:sz w:val="22"/>
          <w:szCs w:val="22"/>
          <w14:ligatures w14:val="standardContextual"/>
        </w:rPr>
        <w:t xml:space="preserve"> for these countries</w:t>
      </w:r>
      <w:r w:rsidRPr="00C7320D">
        <w:rPr>
          <w:rFonts w:ascii="Aptos" w:eastAsia="Aptos" w:hAnsi="Aptos" w:cs="Arial"/>
          <w:kern w:val="2"/>
          <w:sz w:val="22"/>
          <w:szCs w:val="22"/>
          <w14:ligatures w14:val="standardContextual"/>
        </w:rPr>
        <w:t>.</w:t>
      </w:r>
    </w:p>
    <w:p w14:paraId="0F8EF760" w14:textId="3011B63F" w:rsidR="00C23FE8" w:rsidRPr="00C7320D" w:rsidRDefault="00C23FE8" w:rsidP="00C23FE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second group, consisting of </w:t>
      </w:r>
      <w:r w:rsidR="00E936F5" w:rsidRPr="00C7320D">
        <w:rPr>
          <w:rFonts w:ascii="Aptos" w:eastAsia="Aptos" w:hAnsi="Aptos" w:cs="Arial"/>
          <w:kern w:val="2"/>
          <w:sz w:val="22"/>
          <w:szCs w:val="22"/>
          <w14:ligatures w14:val="standardContextual"/>
        </w:rPr>
        <w:t>14</w:t>
      </w:r>
      <w:r w:rsidRPr="00C7320D">
        <w:rPr>
          <w:rFonts w:ascii="Aptos" w:eastAsia="Aptos" w:hAnsi="Aptos" w:cs="Arial"/>
          <w:kern w:val="2"/>
          <w:sz w:val="22"/>
          <w:szCs w:val="22"/>
          <w14:ligatures w14:val="standardContextual"/>
        </w:rPr>
        <w:t xml:space="preserve"> countries</w:t>
      </w:r>
      <w:r w:rsidR="009711A3" w:rsidRPr="00C7320D">
        <w:rPr>
          <w:rFonts w:ascii="Aptos" w:eastAsia="Aptos" w:hAnsi="Aptos" w:cs="Arial"/>
          <w:kern w:val="2"/>
          <w:sz w:val="22"/>
          <w:szCs w:val="22"/>
          <w14:ligatures w14:val="standardContextual"/>
        </w:rPr>
        <w:t>,</w:t>
      </w:r>
      <w:r w:rsidRPr="00C7320D">
        <w:rPr>
          <w:rFonts w:ascii="Aptos" w:eastAsia="Aptos" w:hAnsi="Aptos" w:cs="Arial"/>
          <w:kern w:val="2"/>
          <w:sz w:val="22"/>
          <w:szCs w:val="22"/>
          <w14:ligatures w14:val="standardContextual"/>
        </w:rPr>
        <w:t xml:space="preserve"> is closer to world averages for most indicators. Their average level of Internet use and mobile phone ownership are </w:t>
      </w:r>
      <w:r w:rsidR="00D64AA8" w:rsidRPr="00C7320D">
        <w:rPr>
          <w:rFonts w:ascii="Aptos" w:eastAsia="Aptos" w:hAnsi="Aptos" w:cs="Arial"/>
          <w:kern w:val="2"/>
          <w:sz w:val="22"/>
          <w:szCs w:val="22"/>
          <w14:ligatures w14:val="standardContextual"/>
        </w:rPr>
        <w:t>slightly below</w:t>
      </w:r>
      <w:r w:rsidRPr="00C7320D">
        <w:rPr>
          <w:rFonts w:ascii="Aptos" w:eastAsia="Aptos" w:hAnsi="Aptos" w:cs="Arial"/>
          <w:kern w:val="2"/>
          <w:sz w:val="22"/>
          <w:szCs w:val="22"/>
          <w14:ligatures w14:val="standardContextual"/>
        </w:rPr>
        <w:t xml:space="preserve"> the world average while </w:t>
      </w:r>
      <w:r w:rsidR="002F422D" w:rsidRPr="00C7320D">
        <w:rPr>
          <w:rFonts w:ascii="Aptos" w:eastAsia="Aptos" w:hAnsi="Aptos" w:cs="Arial"/>
          <w:kern w:val="2"/>
          <w:sz w:val="22"/>
          <w:szCs w:val="22"/>
          <w14:ligatures w14:val="standardContextual"/>
        </w:rPr>
        <w:t xml:space="preserve">fixed-broadband </w:t>
      </w:r>
      <w:r w:rsidRPr="00C7320D">
        <w:rPr>
          <w:rFonts w:ascii="Aptos" w:eastAsia="Aptos" w:hAnsi="Aptos" w:cs="Arial"/>
          <w:kern w:val="2"/>
          <w:sz w:val="22"/>
          <w:szCs w:val="22"/>
          <w14:ligatures w14:val="standardContextual"/>
        </w:rPr>
        <w:t xml:space="preserve">subscription rates are </w:t>
      </w:r>
      <w:r w:rsidR="002F422D" w:rsidRPr="00C7320D">
        <w:rPr>
          <w:rFonts w:ascii="Aptos" w:eastAsia="Aptos" w:hAnsi="Aptos" w:cs="Arial"/>
          <w:kern w:val="2"/>
          <w:sz w:val="22"/>
          <w:szCs w:val="22"/>
          <w14:ligatures w14:val="standardContextual"/>
        </w:rPr>
        <w:t>far</w:t>
      </w:r>
      <w:r w:rsidRPr="00C7320D">
        <w:rPr>
          <w:rFonts w:ascii="Aptos" w:eastAsia="Aptos" w:hAnsi="Aptos" w:cs="Arial"/>
          <w:kern w:val="2"/>
          <w:sz w:val="22"/>
          <w:szCs w:val="22"/>
          <w14:ligatures w14:val="standardContextual"/>
        </w:rPr>
        <w:t xml:space="preserve"> below the average. Gender parity for Internet use is in line with the world average</w:t>
      </w:r>
      <w:r w:rsidR="002F422D" w:rsidRPr="00C7320D">
        <w:rPr>
          <w:rFonts w:ascii="Aptos" w:eastAsia="Aptos" w:hAnsi="Aptos" w:cs="Arial"/>
          <w:kern w:val="2"/>
          <w:sz w:val="22"/>
          <w:szCs w:val="22"/>
          <w14:ligatures w14:val="standardContextual"/>
        </w:rPr>
        <w:t>. However,</w:t>
      </w:r>
      <w:r w:rsidRPr="00C7320D">
        <w:rPr>
          <w:rFonts w:ascii="Aptos" w:eastAsia="Aptos" w:hAnsi="Aptos" w:cs="Arial"/>
          <w:kern w:val="2"/>
          <w:sz w:val="22"/>
          <w:szCs w:val="22"/>
          <w14:ligatures w14:val="standardContextual"/>
        </w:rPr>
        <w:t xml:space="preserve"> prices for both fixed and mobile broadband services are above the 2 per cent of monthly GNI per capita target.</w:t>
      </w:r>
      <w:r w:rsidR="00F134EC" w:rsidRPr="00C7320D">
        <w:rPr>
          <w:rFonts w:ascii="Aptos" w:eastAsia="Aptos" w:hAnsi="Aptos" w:cs="Arial"/>
          <w:kern w:val="2"/>
          <w:sz w:val="22"/>
          <w:szCs w:val="22"/>
          <w14:ligatures w14:val="standardContextual"/>
        </w:rPr>
        <w:t xml:space="preserve"> Of these countries, </w:t>
      </w:r>
      <w:r w:rsidR="00803160" w:rsidRPr="00C7320D">
        <w:rPr>
          <w:rFonts w:ascii="Aptos" w:eastAsia="Aptos" w:hAnsi="Aptos" w:cs="Arial"/>
          <w:kern w:val="2"/>
          <w:sz w:val="22"/>
          <w:szCs w:val="22"/>
          <w14:ligatures w14:val="standardContextual"/>
        </w:rPr>
        <w:t>four</w:t>
      </w:r>
      <w:r w:rsidR="00683F23" w:rsidRPr="00C7320D">
        <w:rPr>
          <w:rFonts w:ascii="Aptos" w:eastAsia="Aptos" w:hAnsi="Aptos" w:cs="Arial"/>
          <w:kern w:val="2"/>
          <w:sz w:val="22"/>
          <w:szCs w:val="22"/>
          <w14:ligatures w14:val="standardContextual"/>
        </w:rPr>
        <w:t xml:space="preserve"> are LDCs (Angola, Gambia, Lesotho, </w:t>
      </w:r>
      <w:r w:rsidR="00803160" w:rsidRPr="00C7320D">
        <w:rPr>
          <w:rFonts w:ascii="Aptos" w:eastAsia="Aptos" w:hAnsi="Aptos" w:cs="Arial"/>
          <w:kern w:val="2"/>
          <w:sz w:val="22"/>
          <w:szCs w:val="22"/>
          <w14:ligatures w14:val="standardContextual"/>
        </w:rPr>
        <w:t>and Senegal</w:t>
      </w:r>
      <w:r w:rsidR="00683F23" w:rsidRPr="00C7320D">
        <w:rPr>
          <w:rFonts w:ascii="Aptos" w:eastAsia="Aptos" w:hAnsi="Aptos" w:cs="Arial"/>
          <w:kern w:val="2"/>
          <w:sz w:val="22"/>
          <w:szCs w:val="22"/>
          <w14:ligatures w14:val="standardContextual"/>
        </w:rPr>
        <w:t>)</w:t>
      </w:r>
    </w:p>
    <w:p w14:paraId="74DFCEE9" w14:textId="1857F39B" w:rsidR="00803160" w:rsidRPr="00C7320D" w:rsidRDefault="00803160" w:rsidP="0080316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next is</w:t>
      </w:r>
      <w:r w:rsidR="00414B19" w:rsidRPr="00C7320D">
        <w:rPr>
          <w:rFonts w:ascii="Aptos" w:eastAsia="Aptos" w:hAnsi="Aptos" w:cs="Arial"/>
          <w:kern w:val="2"/>
          <w:sz w:val="22"/>
          <w:szCs w:val="22"/>
          <w14:ligatures w14:val="standardContextual"/>
        </w:rPr>
        <w:t xml:space="preserve"> the </w:t>
      </w:r>
      <w:r w:rsidRPr="00C7320D">
        <w:rPr>
          <w:rFonts w:ascii="Aptos" w:eastAsia="Aptos" w:hAnsi="Aptos" w:cs="Arial"/>
          <w:kern w:val="2"/>
          <w:sz w:val="22"/>
          <w:szCs w:val="22"/>
          <w14:ligatures w14:val="standardContextual"/>
        </w:rPr>
        <w:t xml:space="preserve">largest group in Africa, consisting of 20 countries. </w:t>
      </w:r>
      <w:r w:rsidR="00F06734" w:rsidRPr="00C7320D">
        <w:rPr>
          <w:rFonts w:ascii="Aptos" w:eastAsia="Aptos" w:hAnsi="Aptos" w:cs="Arial"/>
          <w:kern w:val="2"/>
          <w:sz w:val="22"/>
          <w:szCs w:val="22"/>
          <w14:ligatures w14:val="standardContextual"/>
        </w:rPr>
        <w:t xml:space="preserve">This group has far lower </w:t>
      </w:r>
      <w:r w:rsidR="003E0D1A" w:rsidRPr="00C7320D">
        <w:rPr>
          <w:rFonts w:ascii="Aptos" w:eastAsia="Aptos" w:hAnsi="Aptos" w:cs="Arial"/>
          <w:kern w:val="2"/>
          <w:sz w:val="22"/>
          <w:szCs w:val="22"/>
          <w14:ligatures w14:val="standardContextual"/>
        </w:rPr>
        <w:t>rates of connectivity</w:t>
      </w:r>
      <w:r w:rsidRPr="00C7320D">
        <w:rPr>
          <w:rFonts w:ascii="Aptos" w:eastAsia="Aptos" w:hAnsi="Aptos" w:cs="Arial"/>
          <w:kern w:val="2"/>
          <w:sz w:val="22"/>
          <w:szCs w:val="22"/>
          <w14:ligatures w14:val="standardContextual"/>
        </w:rPr>
        <w:t xml:space="preserve">. Their average level of Internet use and </w:t>
      </w:r>
      <w:r w:rsidR="00C6436B" w:rsidRPr="00C7320D">
        <w:rPr>
          <w:rFonts w:ascii="Aptos" w:eastAsia="Aptos" w:hAnsi="Aptos" w:cs="Arial"/>
          <w:kern w:val="2"/>
          <w:sz w:val="22"/>
          <w:szCs w:val="22"/>
          <w14:ligatures w14:val="standardContextual"/>
        </w:rPr>
        <w:t xml:space="preserve">subscription </w:t>
      </w:r>
      <w:r w:rsidR="004465F6" w:rsidRPr="00C7320D">
        <w:rPr>
          <w:rFonts w:ascii="Aptos" w:eastAsia="Aptos" w:hAnsi="Aptos" w:cs="Arial"/>
          <w:kern w:val="2"/>
          <w:sz w:val="22"/>
          <w:szCs w:val="22"/>
          <w14:ligatures w14:val="standardContextual"/>
        </w:rPr>
        <w:t>rates</w:t>
      </w:r>
      <w:r w:rsidRPr="00C7320D">
        <w:rPr>
          <w:rFonts w:ascii="Aptos" w:eastAsia="Aptos" w:hAnsi="Aptos" w:cs="Arial"/>
          <w:kern w:val="2"/>
          <w:sz w:val="22"/>
          <w:szCs w:val="22"/>
          <w14:ligatures w14:val="standardContextual"/>
        </w:rPr>
        <w:t xml:space="preserve"> are </w:t>
      </w:r>
      <w:r w:rsidR="009F53C8" w:rsidRPr="00C7320D">
        <w:rPr>
          <w:rFonts w:ascii="Aptos" w:eastAsia="Aptos" w:hAnsi="Aptos" w:cs="Arial"/>
          <w:kern w:val="2"/>
          <w:sz w:val="22"/>
          <w:szCs w:val="22"/>
          <w14:ligatures w14:val="standardContextual"/>
        </w:rPr>
        <w:t>far</w:t>
      </w:r>
      <w:r w:rsidRPr="00C7320D">
        <w:rPr>
          <w:rFonts w:ascii="Aptos" w:eastAsia="Aptos" w:hAnsi="Aptos" w:cs="Arial"/>
          <w:kern w:val="2"/>
          <w:sz w:val="22"/>
          <w:szCs w:val="22"/>
          <w14:ligatures w14:val="standardContextual"/>
        </w:rPr>
        <w:t xml:space="preserve"> below the world average</w:t>
      </w:r>
      <w:r w:rsidR="00CB7C0B" w:rsidRPr="00C7320D">
        <w:rPr>
          <w:rFonts w:ascii="Aptos" w:eastAsia="Aptos" w:hAnsi="Aptos" w:cs="Arial"/>
          <w:kern w:val="2"/>
          <w:sz w:val="22"/>
          <w:szCs w:val="22"/>
          <w14:ligatures w14:val="standardContextual"/>
        </w:rPr>
        <w:t>s</w:t>
      </w:r>
      <w:r w:rsidRPr="00C7320D">
        <w:rPr>
          <w:rFonts w:ascii="Aptos" w:eastAsia="Aptos" w:hAnsi="Aptos" w:cs="Arial"/>
          <w:kern w:val="2"/>
          <w:sz w:val="22"/>
          <w:szCs w:val="22"/>
          <w14:ligatures w14:val="standardContextual"/>
        </w:rPr>
        <w:t xml:space="preserve">. </w:t>
      </w:r>
      <w:r w:rsidR="00CB7C0B" w:rsidRPr="00C7320D">
        <w:rPr>
          <w:rFonts w:ascii="Aptos" w:eastAsia="Aptos" w:hAnsi="Aptos" w:cs="Arial"/>
          <w:kern w:val="2"/>
          <w:sz w:val="22"/>
          <w:szCs w:val="22"/>
          <w14:ligatures w14:val="standardContextual"/>
        </w:rPr>
        <w:t>The g</w:t>
      </w:r>
      <w:r w:rsidRPr="00C7320D">
        <w:rPr>
          <w:rFonts w:ascii="Aptos" w:eastAsia="Aptos" w:hAnsi="Aptos" w:cs="Arial"/>
          <w:kern w:val="2"/>
          <w:sz w:val="22"/>
          <w:szCs w:val="22"/>
          <w14:ligatures w14:val="standardContextual"/>
        </w:rPr>
        <w:t xml:space="preserve">ender </w:t>
      </w:r>
      <w:r w:rsidR="00CB7C0B" w:rsidRPr="00C7320D">
        <w:rPr>
          <w:rFonts w:ascii="Aptos" w:eastAsia="Aptos" w:hAnsi="Aptos" w:cs="Arial"/>
          <w:kern w:val="2"/>
          <w:sz w:val="22"/>
          <w:szCs w:val="22"/>
          <w14:ligatures w14:val="standardContextual"/>
        </w:rPr>
        <w:t>gap</w:t>
      </w:r>
      <w:r w:rsidRPr="00C7320D">
        <w:rPr>
          <w:rFonts w:ascii="Aptos" w:eastAsia="Aptos" w:hAnsi="Aptos" w:cs="Arial"/>
          <w:kern w:val="2"/>
          <w:sz w:val="22"/>
          <w:szCs w:val="22"/>
          <w14:ligatures w14:val="standardContextual"/>
        </w:rPr>
        <w:t xml:space="preserve"> for Internet use is </w:t>
      </w:r>
      <w:r w:rsidR="00CB7C0B" w:rsidRPr="00C7320D">
        <w:rPr>
          <w:rFonts w:ascii="Aptos" w:eastAsia="Aptos" w:hAnsi="Aptos" w:cs="Arial"/>
          <w:kern w:val="2"/>
          <w:sz w:val="22"/>
          <w:szCs w:val="22"/>
          <w14:ligatures w14:val="standardContextual"/>
        </w:rPr>
        <w:t>also much wider than</w:t>
      </w:r>
      <w:r w:rsidRPr="00C7320D">
        <w:rPr>
          <w:rFonts w:ascii="Aptos" w:eastAsia="Aptos" w:hAnsi="Aptos" w:cs="Arial"/>
          <w:kern w:val="2"/>
          <w:sz w:val="22"/>
          <w:szCs w:val="22"/>
          <w14:ligatures w14:val="standardContextual"/>
        </w:rPr>
        <w:t xml:space="preserve"> the world average. </w:t>
      </w:r>
      <w:r w:rsidR="00CB7C0B" w:rsidRPr="00C7320D">
        <w:rPr>
          <w:rFonts w:ascii="Aptos" w:eastAsia="Aptos" w:hAnsi="Aptos" w:cs="Arial"/>
          <w:kern w:val="2"/>
          <w:sz w:val="22"/>
          <w:szCs w:val="22"/>
          <w14:ligatures w14:val="standardContextual"/>
        </w:rPr>
        <w:t>In addition</w:t>
      </w:r>
      <w:r w:rsidRPr="00C7320D">
        <w:rPr>
          <w:rFonts w:ascii="Aptos" w:eastAsia="Aptos" w:hAnsi="Aptos" w:cs="Arial"/>
          <w:kern w:val="2"/>
          <w:sz w:val="22"/>
          <w:szCs w:val="22"/>
          <w14:ligatures w14:val="standardContextual"/>
        </w:rPr>
        <w:t xml:space="preserve">, prices for both broadband services are </w:t>
      </w:r>
      <w:r w:rsidR="00E019D3" w:rsidRPr="00C7320D">
        <w:rPr>
          <w:rFonts w:ascii="Aptos" w:eastAsia="Aptos" w:hAnsi="Aptos" w:cs="Arial"/>
          <w:kern w:val="2"/>
          <w:sz w:val="22"/>
          <w:szCs w:val="22"/>
          <w14:ligatures w14:val="standardContextual"/>
        </w:rPr>
        <w:t xml:space="preserve">far </w:t>
      </w:r>
      <w:r w:rsidRPr="00C7320D">
        <w:rPr>
          <w:rFonts w:ascii="Aptos" w:eastAsia="Aptos" w:hAnsi="Aptos" w:cs="Arial"/>
          <w:kern w:val="2"/>
          <w:sz w:val="22"/>
          <w:szCs w:val="22"/>
          <w14:ligatures w14:val="standardContextual"/>
        </w:rPr>
        <w:t>above the 2 per cent of monthly GNI per capita target</w:t>
      </w:r>
      <w:r w:rsidR="00E019D3" w:rsidRPr="00C7320D">
        <w:rPr>
          <w:rFonts w:ascii="Aptos" w:eastAsia="Aptos" w:hAnsi="Aptos" w:cs="Arial"/>
          <w:kern w:val="2"/>
          <w:sz w:val="22"/>
          <w:szCs w:val="22"/>
          <w14:ligatures w14:val="standardContextual"/>
        </w:rPr>
        <w:t xml:space="preserve"> with </w:t>
      </w:r>
      <w:r w:rsidR="008A19B2" w:rsidRPr="00C7320D">
        <w:rPr>
          <w:rFonts w:ascii="Aptos" w:eastAsia="Aptos" w:hAnsi="Aptos" w:cs="Arial"/>
          <w:kern w:val="2"/>
          <w:sz w:val="22"/>
          <w:szCs w:val="22"/>
          <w14:ligatures w14:val="standardContextual"/>
        </w:rPr>
        <w:t>the median fixed broadband prices nearly 20 per cent of GNI per capita</w:t>
      </w:r>
      <w:r w:rsidRPr="00C7320D">
        <w:rPr>
          <w:rFonts w:ascii="Aptos" w:eastAsia="Aptos" w:hAnsi="Aptos" w:cs="Arial"/>
          <w:kern w:val="2"/>
          <w:sz w:val="22"/>
          <w:szCs w:val="22"/>
          <w14:ligatures w14:val="standardContextual"/>
        </w:rPr>
        <w:t xml:space="preserve">. Of these countries, </w:t>
      </w:r>
      <w:r w:rsidR="00DE0674" w:rsidRPr="00C7320D">
        <w:rPr>
          <w:rFonts w:ascii="Aptos" w:eastAsia="Aptos" w:hAnsi="Aptos" w:cs="Arial"/>
          <w:kern w:val="2"/>
          <w:sz w:val="22"/>
          <w:szCs w:val="22"/>
          <w14:ligatures w14:val="standardContextual"/>
        </w:rPr>
        <w:t>15</w:t>
      </w:r>
      <w:r w:rsidRPr="00C7320D">
        <w:rPr>
          <w:rFonts w:ascii="Aptos" w:eastAsia="Aptos" w:hAnsi="Aptos" w:cs="Arial"/>
          <w:kern w:val="2"/>
          <w:sz w:val="22"/>
          <w:szCs w:val="22"/>
          <w14:ligatures w14:val="standardContextual"/>
        </w:rPr>
        <w:t xml:space="preserve"> are LDCs (</w:t>
      </w:r>
      <w:r w:rsidR="00270F5E" w:rsidRPr="00C7320D">
        <w:rPr>
          <w:rFonts w:ascii="Aptos" w:eastAsia="Aptos" w:hAnsi="Aptos" w:cs="Arial"/>
          <w:kern w:val="2"/>
          <w:sz w:val="22"/>
          <w:szCs w:val="22"/>
          <w14:ligatures w14:val="standardContextual"/>
        </w:rPr>
        <w:t xml:space="preserve">Benin, Burkina Faso, Democratic Republic of Congo, Eritrea, Ethiopia, Guinea, Liberia, Mali, Mozambique, Niger, </w:t>
      </w:r>
      <w:r w:rsidR="00C06AE8" w:rsidRPr="00C7320D">
        <w:rPr>
          <w:rFonts w:ascii="Aptos" w:eastAsia="Aptos" w:hAnsi="Aptos" w:cs="Arial"/>
          <w:kern w:val="2"/>
          <w:sz w:val="22"/>
          <w:szCs w:val="22"/>
          <w14:ligatures w14:val="standardContextual"/>
        </w:rPr>
        <w:t>Rwanda, Sierra Leone, Tanzania, Togo, and Zambia</w:t>
      </w:r>
      <w:r w:rsidRPr="00C7320D">
        <w:rPr>
          <w:rFonts w:ascii="Aptos" w:eastAsia="Aptos" w:hAnsi="Aptos" w:cs="Arial"/>
          <w:kern w:val="2"/>
          <w:sz w:val="22"/>
          <w:szCs w:val="22"/>
          <w14:ligatures w14:val="standardContextual"/>
        </w:rPr>
        <w:t>)</w:t>
      </w:r>
      <w:r w:rsidR="00400060" w:rsidRPr="00C7320D">
        <w:rPr>
          <w:rFonts w:ascii="Aptos" w:eastAsia="Aptos" w:hAnsi="Aptos" w:cs="Arial"/>
          <w:kern w:val="2"/>
          <w:sz w:val="22"/>
          <w:szCs w:val="22"/>
          <w14:ligatures w14:val="standardContextual"/>
        </w:rPr>
        <w:t>.</w:t>
      </w:r>
    </w:p>
    <w:p w14:paraId="60835D7D" w14:textId="5989DC34" w:rsidR="00803160" w:rsidRPr="00C7320D" w:rsidRDefault="00640E93" w:rsidP="00C23FE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fourth group</w:t>
      </w:r>
      <w:r w:rsidR="00A1165A" w:rsidRPr="00C7320D">
        <w:rPr>
          <w:rFonts w:ascii="Aptos" w:eastAsia="Aptos" w:hAnsi="Aptos" w:cs="Arial"/>
          <w:kern w:val="2"/>
          <w:sz w:val="22"/>
          <w:szCs w:val="22"/>
          <w14:ligatures w14:val="standardContextual"/>
        </w:rPr>
        <w:t xml:space="preserve"> </w:t>
      </w:r>
      <w:r w:rsidR="00F04F3D" w:rsidRPr="00C7320D">
        <w:rPr>
          <w:rFonts w:ascii="Aptos" w:eastAsia="Aptos" w:hAnsi="Aptos" w:cs="Arial"/>
          <w:kern w:val="2"/>
          <w:sz w:val="22"/>
          <w:szCs w:val="22"/>
          <w14:ligatures w14:val="standardContextual"/>
        </w:rPr>
        <w:t>consist</w:t>
      </w:r>
      <w:r w:rsidR="00A1165A" w:rsidRPr="00C7320D">
        <w:rPr>
          <w:rFonts w:ascii="Aptos" w:eastAsia="Aptos" w:hAnsi="Aptos" w:cs="Arial"/>
          <w:kern w:val="2"/>
          <w:sz w:val="22"/>
          <w:szCs w:val="22"/>
          <w14:ligatures w14:val="standardContextual"/>
        </w:rPr>
        <w:t>s</w:t>
      </w:r>
      <w:r w:rsidR="00F04F3D" w:rsidRPr="00C7320D">
        <w:rPr>
          <w:rFonts w:ascii="Aptos" w:eastAsia="Aptos" w:hAnsi="Aptos" w:cs="Arial"/>
          <w:kern w:val="2"/>
          <w:sz w:val="22"/>
          <w:szCs w:val="22"/>
          <w14:ligatures w14:val="standardContextual"/>
        </w:rPr>
        <w:t xml:space="preserve"> of </w:t>
      </w:r>
      <w:r w:rsidR="00A1165A" w:rsidRPr="00C7320D">
        <w:rPr>
          <w:rFonts w:ascii="Aptos" w:eastAsia="Aptos" w:hAnsi="Aptos" w:cs="Arial"/>
          <w:kern w:val="2"/>
          <w:sz w:val="22"/>
          <w:szCs w:val="22"/>
          <w14:ligatures w14:val="standardContextual"/>
        </w:rPr>
        <w:t xml:space="preserve">Guinea-Bissau, Madagascar, Malawi, and Uganda – all LDCs. </w:t>
      </w:r>
      <w:r w:rsidR="00A255E7" w:rsidRPr="00C7320D">
        <w:rPr>
          <w:rFonts w:ascii="Aptos" w:eastAsia="Aptos" w:hAnsi="Aptos" w:cs="Arial"/>
          <w:kern w:val="2"/>
          <w:sz w:val="22"/>
          <w:szCs w:val="22"/>
          <w14:ligatures w14:val="standardContextual"/>
        </w:rPr>
        <w:t xml:space="preserve">This group </w:t>
      </w:r>
      <w:r w:rsidR="00452448" w:rsidRPr="00C7320D">
        <w:rPr>
          <w:rFonts w:ascii="Aptos" w:eastAsia="Aptos" w:hAnsi="Aptos" w:cs="Arial"/>
          <w:kern w:val="2"/>
          <w:sz w:val="22"/>
          <w:szCs w:val="22"/>
          <w14:ligatures w14:val="standardContextual"/>
        </w:rPr>
        <w:t xml:space="preserve">has slightly lower rates of connectivity than the previous group and </w:t>
      </w:r>
      <w:r w:rsidR="00B70F17" w:rsidRPr="00C7320D">
        <w:rPr>
          <w:rFonts w:ascii="Aptos" w:eastAsia="Aptos" w:hAnsi="Aptos" w:cs="Arial"/>
          <w:kern w:val="2"/>
          <w:sz w:val="22"/>
          <w:szCs w:val="22"/>
          <w14:ligatures w14:val="standardContextual"/>
        </w:rPr>
        <w:t xml:space="preserve">has </w:t>
      </w:r>
      <w:r w:rsidR="00404CE7" w:rsidRPr="00C7320D">
        <w:rPr>
          <w:rFonts w:ascii="Aptos" w:eastAsia="Aptos" w:hAnsi="Aptos" w:cs="Arial"/>
          <w:kern w:val="2"/>
          <w:sz w:val="22"/>
          <w:szCs w:val="22"/>
          <w14:ligatures w14:val="standardContextual"/>
        </w:rPr>
        <w:t xml:space="preserve">particularly poor affordability measures. </w:t>
      </w:r>
      <w:r w:rsidR="00DC3E58" w:rsidRPr="00C7320D">
        <w:rPr>
          <w:rFonts w:ascii="Aptos" w:eastAsia="Aptos" w:hAnsi="Aptos" w:cs="Arial"/>
          <w:kern w:val="2"/>
          <w:sz w:val="22"/>
          <w:szCs w:val="22"/>
          <w14:ligatures w14:val="standardContextual"/>
        </w:rPr>
        <w:t>While</w:t>
      </w:r>
      <w:r w:rsidR="0088523F" w:rsidRPr="00C7320D">
        <w:rPr>
          <w:rFonts w:ascii="Aptos" w:eastAsia="Aptos" w:hAnsi="Aptos" w:cs="Arial"/>
          <w:kern w:val="2"/>
          <w:sz w:val="22"/>
          <w:szCs w:val="22"/>
          <w14:ligatures w14:val="standardContextual"/>
        </w:rPr>
        <w:t xml:space="preserve"> th</w:t>
      </w:r>
      <w:r w:rsidR="00F752EE" w:rsidRPr="00C7320D">
        <w:rPr>
          <w:rFonts w:ascii="Aptos" w:eastAsia="Aptos" w:hAnsi="Aptos" w:cs="Arial"/>
          <w:kern w:val="2"/>
          <w:sz w:val="22"/>
          <w:szCs w:val="22"/>
          <w14:ligatures w14:val="standardContextual"/>
        </w:rPr>
        <w:t xml:space="preserve">e gender </w:t>
      </w:r>
      <w:r w:rsidR="005C7AB9" w:rsidRPr="00C7320D">
        <w:rPr>
          <w:rFonts w:ascii="Aptos" w:eastAsia="Aptos" w:hAnsi="Aptos" w:cs="Arial"/>
          <w:kern w:val="2"/>
          <w:sz w:val="22"/>
          <w:szCs w:val="22"/>
          <w14:ligatures w14:val="standardContextual"/>
        </w:rPr>
        <w:t xml:space="preserve">gap in Internet use </w:t>
      </w:r>
      <w:r w:rsidR="00DC3E58" w:rsidRPr="00C7320D">
        <w:rPr>
          <w:rFonts w:ascii="Aptos" w:eastAsia="Aptos" w:hAnsi="Aptos" w:cs="Arial"/>
          <w:kern w:val="2"/>
          <w:sz w:val="22"/>
          <w:szCs w:val="22"/>
          <w14:ligatures w14:val="standardContextual"/>
        </w:rPr>
        <w:t xml:space="preserve">remains wide for these countries, it </w:t>
      </w:r>
      <w:r w:rsidR="005C7AB9" w:rsidRPr="00C7320D">
        <w:rPr>
          <w:rFonts w:ascii="Aptos" w:eastAsia="Aptos" w:hAnsi="Aptos" w:cs="Arial"/>
          <w:kern w:val="2"/>
          <w:sz w:val="22"/>
          <w:szCs w:val="22"/>
          <w14:ligatures w14:val="standardContextual"/>
        </w:rPr>
        <w:t xml:space="preserve">is </w:t>
      </w:r>
      <w:r w:rsidR="00E178E2" w:rsidRPr="00C7320D">
        <w:rPr>
          <w:rFonts w:ascii="Aptos" w:eastAsia="Aptos" w:hAnsi="Aptos" w:cs="Arial"/>
          <w:kern w:val="2"/>
          <w:sz w:val="22"/>
          <w:szCs w:val="22"/>
          <w14:ligatures w14:val="standardContextual"/>
        </w:rPr>
        <w:t xml:space="preserve">closer </w:t>
      </w:r>
      <w:r w:rsidR="004B7C5F" w:rsidRPr="00C7320D">
        <w:rPr>
          <w:rFonts w:ascii="Aptos" w:eastAsia="Aptos" w:hAnsi="Aptos" w:cs="Arial"/>
          <w:kern w:val="2"/>
          <w:sz w:val="22"/>
          <w:szCs w:val="22"/>
          <w14:ligatures w14:val="standardContextual"/>
        </w:rPr>
        <w:t>to the world average than for some of the other country groups in Africa.</w:t>
      </w:r>
    </w:p>
    <w:p w14:paraId="7AB4E25B" w14:textId="14760B25" w:rsidR="00C23FE8" w:rsidRPr="00C7320D" w:rsidRDefault="00C23FE8" w:rsidP="00C23FE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final group, consisting of </w:t>
      </w:r>
      <w:r w:rsidR="004045C1" w:rsidRPr="00C7320D">
        <w:rPr>
          <w:rFonts w:ascii="Aptos" w:eastAsia="Aptos" w:hAnsi="Aptos" w:cs="Arial"/>
          <w:kern w:val="2"/>
          <w:sz w:val="22"/>
          <w:szCs w:val="22"/>
          <w14:ligatures w14:val="standardContextual"/>
        </w:rPr>
        <w:t>Burundi, Central African Republic, Chad</w:t>
      </w:r>
      <w:r w:rsidRPr="00C7320D">
        <w:rPr>
          <w:rFonts w:ascii="Aptos" w:eastAsia="Aptos" w:hAnsi="Aptos" w:cs="Arial"/>
          <w:kern w:val="2"/>
          <w:sz w:val="22"/>
          <w:szCs w:val="22"/>
          <w14:ligatures w14:val="standardContextual"/>
        </w:rPr>
        <w:t xml:space="preserve">, and </w:t>
      </w:r>
      <w:r w:rsidR="004045C1" w:rsidRPr="00C7320D">
        <w:rPr>
          <w:rFonts w:ascii="Aptos" w:eastAsia="Aptos" w:hAnsi="Aptos" w:cs="Arial"/>
          <w:kern w:val="2"/>
          <w:sz w:val="22"/>
          <w:szCs w:val="22"/>
          <w14:ligatures w14:val="standardContextual"/>
        </w:rPr>
        <w:t>South Sudan</w:t>
      </w:r>
      <w:r w:rsidRPr="00C7320D">
        <w:rPr>
          <w:rFonts w:ascii="Aptos" w:eastAsia="Aptos" w:hAnsi="Aptos" w:cs="Arial"/>
          <w:kern w:val="2"/>
          <w:sz w:val="22"/>
          <w:szCs w:val="22"/>
          <w14:ligatures w14:val="standardContextual"/>
        </w:rPr>
        <w:t xml:space="preserve">, has the lowest rates of connectivity. Internet use and mobile phone ownership </w:t>
      </w:r>
      <w:r w:rsidR="001C36AC" w:rsidRPr="00C7320D">
        <w:rPr>
          <w:rFonts w:ascii="Aptos" w:eastAsia="Aptos" w:hAnsi="Aptos" w:cs="Arial"/>
          <w:kern w:val="2"/>
          <w:sz w:val="22"/>
          <w:szCs w:val="22"/>
          <w14:ligatures w14:val="standardContextual"/>
        </w:rPr>
        <w:t xml:space="preserve">rates </w:t>
      </w:r>
      <w:r w:rsidRPr="00C7320D">
        <w:rPr>
          <w:rFonts w:ascii="Aptos" w:eastAsia="Aptos" w:hAnsi="Aptos" w:cs="Arial"/>
          <w:kern w:val="2"/>
          <w:sz w:val="22"/>
          <w:szCs w:val="22"/>
          <w14:ligatures w14:val="standardContextual"/>
        </w:rPr>
        <w:t xml:space="preserve">are </w:t>
      </w:r>
      <w:r w:rsidR="004045C1" w:rsidRPr="00C7320D">
        <w:rPr>
          <w:rFonts w:ascii="Aptos" w:eastAsia="Aptos" w:hAnsi="Aptos" w:cs="Arial"/>
          <w:kern w:val="2"/>
          <w:sz w:val="22"/>
          <w:szCs w:val="22"/>
          <w14:ligatures w14:val="standardContextual"/>
        </w:rPr>
        <w:t xml:space="preserve">extremely </w:t>
      </w:r>
      <w:r w:rsidR="005E222A" w:rsidRPr="00C7320D">
        <w:rPr>
          <w:rFonts w:ascii="Aptos" w:eastAsia="Aptos" w:hAnsi="Aptos" w:cs="Arial"/>
          <w:kern w:val="2"/>
          <w:sz w:val="22"/>
          <w:szCs w:val="22"/>
          <w14:ligatures w14:val="standardContextual"/>
        </w:rPr>
        <w:t>low,</w:t>
      </w:r>
      <w:r w:rsidR="004045C1" w:rsidRPr="00C7320D">
        <w:rPr>
          <w:rFonts w:ascii="Aptos" w:eastAsia="Aptos" w:hAnsi="Aptos" w:cs="Arial"/>
          <w:kern w:val="2"/>
          <w:sz w:val="22"/>
          <w:szCs w:val="22"/>
          <w14:ligatures w14:val="standardContextual"/>
        </w:rPr>
        <w:t xml:space="preserve"> and</w:t>
      </w:r>
      <w:r w:rsidRPr="00C7320D">
        <w:rPr>
          <w:rFonts w:ascii="Aptos" w:eastAsia="Aptos" w:hAnsi="Aptos" w:cs="Arial"/>
          <w:kern w:val="2"/>
          <w:sz w:val="22"/>
          <w:szCs w:val="22"/>
          <w14:ligatures w14:val="standardContextual"/>
        </w:rPr>
        <w:t xml:space="preserve"> </w:t>
      </w:r>
      <w:r w:rsidR="00304D0C" w:rsidRPr="00C7320D">
        <w:rPr>
          <w:rFonts w:ascii="Aptos" w:eastAsia="Aptos" w:hAnsi="Aptos" w:cs="Arial"/>
          <w:kern w:val="2"/>
          <w:sz w:val="22"/>
          <w:szCs w:val="22"/>
          <w14:ligatures w14:val="standardContextual"/>
        </w:rPr>
        <w:t xml:space="preserve">affordability is </w:t>
      </w:r>
      <w:r w:rsidR="001C36AC" w:rsidRPr="00C7320D">
        <w:rPr>
          <w:rFonts w:ascii="Aptos" w:eastAsia="Aptos" w:hAnsi="Aptos" w:cs="Arial"/>
          <w:kern w:val="2"/>
          <w:sz w:val="22"/>
          <w:szCs w:val="22"/>
          <w14:ligatures w14:val="standardContextual"/>
        </w:rPr>
        <w:t>extremely poor.</w:t>
      </w:r>
      <w:r w:rsidRPr="00C7320D">
        <w:rPr>
          <w:rFonts w:ascii="Aptos" w:eastAsia="Aptos" w:hAnsi="Aptos" w:cs="Arial"/>
          <w:kern w:val="2"/>
          <w:sz w:val="22"/>
          <w:szCs w:val="22"/>
          <w14:ligatures w14:val="standardContextual"/>
        </w:rPr>
        <w:t xml:space="preserve"> Nevertheless, the overall low results for these indicators reflect the development challenges faced by these countries, </w:t>
      </w:r>
      <w:r w:rsidR="001C36AC" w:rsidRPr="00C7320D">
        <w:rPr>
          <w:rFonts w:ascii="Aptos" w:eastAsia="Aptos" w:hAnsi="Aptos" w:cs="Arial"/>
          <w:kern w:val="2"/>
          <w:sz w:val="22"/>
          <w:szCs w:val="22"/>
          <w14:ligatures w14:val="standardContextual"/>
        </w:rPr>
        <w:t>all of</w:t>
      </w:r>
      <w:r w:rsidRPr="00C7320D">
        <w:rPr>
          <w:rFonts w:ascii="Aptos" w:eastAsia="Aptos" w:hAnsi="Aptos" w:cs="Arial"/>
          <w:kern w:val="2"/>
          <w:sz w:val="22"/>
          <w:szCs w:val="22"/>
          <w14:ligatures w14:val="standardContextual"/>
        </w:rPr>
        <w:t xml:space="preserve"> which </w:t>
      </w:r>
      <w:r w:rsidR="001C36AC" w:rsidRPr="00C7320D">
        <w:rPr>
          <w:rFonts w:ascii="Aptos" w:eastAsia="Aptos" w:hAnsi="Aptos" w:cs="Arial"/>
          <w:kern w:val="2"/>
          <w:sz w:val="22"/>
          <w:szCs w:val="22"/>
          <w14:ligatures w14:val="standardContextual"/>
        </w:rPr>
        <w:t>are</w:t>
      </w:r>
      <w:r w:rsidRPr="00C7320D">
        <w:rPr>
          <w:rFonts w:ascii="Aptos" w:eastAsia="Aptos" w:hAnsi="Aptos" w:cs="Arial"/>
          <w:kern w:val="2"/>
          <w:sz w:val="22"/>
          <w:szCs w:val="22"/>
          <w14:ligatures w14:val="standardContextual"/>
        </w:rPr>
        <w:t xml:space="preserve"> classified as an LDC.</w:t>
      </w:r>
    </w:p>
    <w:p w14:paraId="311FA299" w14:textId="5B6666FB" w:rsidR="0092371A" w:rsidRPr="00C7320D" w:rsidRDefault="00C23FE8" w:rsidP="0092371A">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C7320D">
        <w:rPr>
          <w:rFonts w:ascii="Aptos" w:eastAsia="Aptos" w:hAnsi="Aptos" w:cs="Arial"/>
          <w:kern w:val="2"/>
          <w:sz w:val="22"/>
          <w:szCs w:val="22"/>
          <w14:ligatures w14:val="standardContextual"/>
        </w:rPr>
        <w:t>The diversity of these groups of countries underlines the need to design tailored approaches to</w:t>
      </w:r>
      <w:r w:rsidRPr="00C7320D" w:rsidDel="00D14485">
        <w:rPr>
          <w:rFonts w:ascii="Aptos" w:eastAsia="Aptos" w:hAnsi="Aptos" w:cs="Arial"/>
          <w:kern w:val="2"/>
          <w:sz w:val="22"/>
          <w:szCs w:val="22"/>
          <w14:ligatures w14:val="standardContextual"/>
        </w:rPr>
        <w:t xml:space="preserve"> </w:t>
      </w:r>
      <w:r w:rsidRPr="00C7320D">
        <w:rPr>
          <w:rFonts w:ascii="Aptos" w:eastAsia="Aptos" w:hAnsi="Aptos" w:cs="Arial"/>
          <w:kern w:val="2"/>
          <w:sz w:val="22"/>
          <w:szCs w:val="22"/>
          <w14:ligatures w14:val="standardContextual"/>
        </w:rPr>
        <w:t>achieve universal and meaningful connectivity.</w:t>
      </w:r>
      <w:r w:rsidR="0092371A" w:rsidRPr="00C7320D">
        <w:rPr>
          <w:rFonts w:ascii="AvenirNext LT Pro Light" w:eastAsia="Yu Gothic Light" w:hAnsi="AvenirNext LT Pro Light" w:cs="Calibri"/>
          <w:color w:val="0070C0"/>
          <w:spacing w:val="-10"/>
          <w:kern w:val="28"/>
          <w:szCs w:val="24"/>
        </w:rPr>
        <w:br w:type="page"/>
      </w:r>
    </w:p>
    <w:p w14:paraId="70351E4E" w14:textId="13793309"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lastRenderedPageBreak/>
        <w:t xml:space="preserve">Average of key ICT indicators by groups of similar </w:t>
      </w:r>
      <w:r w:rsidR="0031482C" w:rsidRPr="00C7320D">
        <w:rPr>
          <w:rFonts w:ascii="AvenirNext LT Pro Light" w:eastAsia="Yu Gothic Light" w:hAnsi="AvenirNext LT Pro Light" w:cs="Calibri"/>
          <w:color w:val="0070C0"/>
          <w:spacing w:val="-10"/>
          <w:kern w:val="28"/>
          <w:szCs w:val="24"/>
        </w:rPr>
        <w:t xml:space="preserve">countries in </w:t>
      </w:r>
      <w:r w:rsidR="00093C9A" w:rsidRPr="00C7320D">
        <w:rPr>
          <w:rFonts w:ascii="AvenirNext LT Pro Light" w:eastAsia="Yu Gothic Light" w:hAnsi="AvenirNext LT Pro Light" w:cs="Calibri"/>
          <w:color w:val="0070C0"/>
          <w:spacing w:val="-10"/>
          <w:kern w:val="28"/>
          <w:szCs w:val="24"/>
        </w:rPr>
        <w:t>Africa</w:t>
      </w:r>
      <w:r w:rsidRPr="00C7320D">
        <w:rPr>
          <w:rFonts w:ascii="AvenirNext LT Pro Light" w:eastAsia="Yu Gothic Light" w:hAnsi="AvenirNext LT Pro Light" w:cs="Calibri"/>
          <w:color w:val="0070C0"/>
          <w:spacing w:val="-10"/>
          <w:kern w:val="28"/>
          <w:szCs w:val="24"/>
        </w:rPr>
        <w:t>, 202</w:t>
      </w:r>
      <w:r w:rsidR="005E05D1" w:rsidRPr="00C7320D">
        <w:rPr>
          <w:rFonts w:ascii="AvenirNext LT Pro Light" w:eastAsia="Yu Gothic Light" w:hAnsi="AvenirNext LT Pro Light" w:cs="Calibri"/>
          <w:color w:val="0070C0"/>
          <w:spacing w:val="-10"/>
          <w:kern w:val="28"/>
          <w:szCs w:val="24"/>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1142"/>
        <w:gridCol w:w="1188"/>
        <w:gridCol w:w="1186"/>
        <w:gridCol w:w="1190"/>
        <w:gridCol w:w="1319"/>
        <w:gridCol w:w="1310"/>
      </w:tblGrid>
      <w:tr w:rsidR="007A0E55" w:rsidRPr="00C7320D" w14:paraId="159E3EFE" w14:textId="77777777" w:rsidTr="003A786C">
        <w:trPr>
          <w:trHeight w:val="315"/>
        </w:trPr>
        <w:tc>
          <w:tcPr>
            <w:tcW w:w="1191" w:type="pct"/>
            <w:shd w:val="clear" w:color="auto" w:fill="C1E4F5"/>
            <w:noWrap/>
            <w:vAlign w:val="bottom"/>
            <w:hideMark/>
          </w:tcPr>
          <w:p w14:paraId="40D87E7D" w14:textId="77777777" w:rsidR="00A2613A" w:rsidRPr="00C7320D"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 </w:t>
            </w:r>
          </w:p>
        </w:tc>
        <w:tc>
          <w:tcPr>
            <w:tcW w:w="3129" w:type="pct"/>
            <w:gridSpan w:val="5"/>
            <w:shd w:val="clear" w:color="auto" w:fill="C1E4F5"/>
            <w:noWrap/>
            <w:vAlign w:val="bottom"/>
            <w:hideMark/>
          </w:tcPr>
          <w:p w14:paraId="6BBDFB3D" w14:textId="419BACD1" w:rsidR="00594DE7" w:rsidRPr="00C7320D" w:rsidRDefault="003A786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Group</w:t>
            </w:r>
          </w:p>
        </w:tc>
        <w:tc>
          <w:tcPr>
            <w:tcW w:w="681" w:type="pct"/>
            <w:shd w:val="clear" w:color="auto" w:fill="C1E4F5"/>
            <w:noWrap/>
            <w:vAlign w:val="bottom"/>
            <w:hideMark/>
          </w:tcPr>
          <w:p w14:paraId="63B79A10" w14:textId="5FFF99D9" w:rsidR="00A2613A" w:rsidRPr="00C7320D"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 </w:t>
            </w:r>
          </w:p>
        </w:tc>
      </w:tr>
      <w:tr w:rsidR="007A0E55" w:rsidRPr="00C7320D" w14:paraId="222DA800" w14:textId="77777777" w:rsidTr="003A786C">
        <w:trPr>
          <w:trHeight w:val="315"/>
        </w:trPr>
        <w:tc>
          <w:tcPr>
            <w:tcW w:w="1191" w:type="pct"/>
            <w:shd w:val="clear" w:color="auto" w:fill="C1E4F5"/>
            <w:vAlign w:val="bottom"/>
            <w:hideMark/>
          </w:tcPr>
          <w:p w14:paraId="72E34E51"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eastAsia="Yu Gothic Light" w:hAnsi="Aptos" w:cs="Calibri"/>
                <w:b/>
                <w:color w:val="000000"/>
                <w:spacing w:val="-10"/>
                <w:kern w:val="28"/>
                <w:sz w:val="16"/>
                <w:szCs w:val="16"/>
              </w:rPr>
            </w:pPr>
            <w:r w:rsidRPr="00C7320D">
              <w:rPr>
                <w:rFonts w:ascii="Aptos" w:hAnsi="Aptos" w:cs="Calibri"/>
                <w:b/>
                <w:color w:val="000000"/>
                <w:spacing w:val="-10"/>
                <w:kern w:val="28"/>
                <w:sz w:val="16"/>
                <w:szCs w:val="16"/>
                <w:lang w:eastAsia="en-GB"/>
              </w:rPr>
              <w:t> </w:t>
            </w:r>
            <w:r w:rsidRPr="00C7320D">
              <w:rPr>
                <w:rFonts w:ascii="Aptos" w:eastAsia="Yu Gothic Light" w:hAnsi="Aptos" w:cs="Calibri"/>
                <w:b/>
                <w:color w:val="000000"/>
                <w:spacing w:val="-10"/>
                <w:kern w:val="28"/>
                <w:sz w:val="16"/>
                <w:szCs w:val="16"/>
              </w:rPr>
              <w:t>Indicator (units)</w:t>
            </w:r>
          </w:p>
        </w:tc>
        <w:tc>
          <w:tcPr>
            <w:tcW w:w="593" w:type="pct"/>
            <w:shd w:val="clear" w:color="auto" w:fill="C1E4F5"/>
            <w:noWrap/>
            <w:vAlign w:val="bottom"/>
            <w:hideMark/>
          </w:tcPr>
          <w:p w14:paraId="15407489"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 xml:space="preserve">1 </w:t>
            </w:r>
          </w:p>
          <w:p w14:paraId="64C37007" w14:textId="78BC143B"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w:t>
            </w:r>
            <w:r w:rsidR="00594DE7" w:rsidRPr="00C7320D">
              <w:rPr>
                <w:rFonts w:ascii="Aptos" w:hAnsi="Aptos" w:cs="Calibri"/>
                <w:color w:val="000000"/>
                <w:spacing w:val="-10"/>
                <w:kern w:val="28"/>
                <w:sz w:val="16"/>
                <w:szCs w:val="16"/>
                <w:lang w:eastAsia="en-GB"/>
              </w:rPr>
              <w:t>2</w:t>
            </w:r>
            <w:r w:rsidR="00205F62" w:rsidRPr="00C7320D">
              <w:rPr>
                <w:rFonts w:ascii="Aptos" w:hAnsi="Aptos" w:cs="Calibri"/>
                <w:color w:val="000000"/>
                <w:spacing w:val="-10"/>
                <w:kern w:val="28"/>
                <w:sz w:val="16"/>
                <w:szCs w:val="16"/>
                <w:lang w:eastAsia="en-GB"/>
              </w:rPr>
              <w:t xml:space="preserve"> </w:t>
            </w:r>
            <w:r w:rsidR="00093C9A" w:rsidRPr="00C7320D">
              <w:rPr>
                <w:rFonts w:ascii="Aptos" w:hAnsi="Aptos" w:cs="Calibri"/>
                <w:color w:val="000000"/>
                <w:spacing w:val="-10"/>
                <w:kern w:val="28"/>
                <w:sz w:val="16"/>
                <w:szCs w:val="16"/>
                <w:lang w:eastAsia="en-GB"/>
              </w:rPr>
              <w:t>Africa</w:t>
            </w:r>
            <w:r w:rsidR="00CD4C37" w:rsidRPr="00C7320D">
              <w:rPr>
                <w:rFonts w:ascii="Aptos" w:hAnsi="Aptos" w:cs="Calibri"/>
                <w:color w:val="000000"/>
                <w:spacing w:val="-10"/>
                <w:kern w:val="28"/>
                <w:sz w:val="16"/>
                <w:szCs w:val="16"/>
                <w:lang w:eastAsia="en-GB"/>
              </w:rPr>
              <w:t xml:space="preserve">n </w:t>
            </w:r>
            <w:r w:rsidR="00205F62" w:rsidRPr="00C7320D">
              <w:rPr>
                <w:rFonts w:ascii="Aptos" w:hAnsi="Aptos" w:cs="Calibri"/>
                <w:color w:val="000000"/>
                <w:spacing w:val="-10"/>
                <w:kern w:val="28"/>
                <w:sz w:val="16"/>
                <w:szCs w:val="16"/>
                <w:lang w:eastAsia="en-GB"/>
              </w:rPr>
              <w:t>countries</w:t>
            </w:r>
            <w:r w:rsidRPr="00C7320D">
              <w:rPr>
                <w:rFonts w:ascii="Aptos" w:hAnsi="Aptos" w:cs="Calibri"/>
                <w:color w:val="000000"/>
                <w:spacing w:val="-10"/>
                <w:kern w:val="28"/>
                <w:sz w:val="16"/>
                <w:szCs w:val="16"/>
                <w:lang w:eastAsia="en-GB"/>
              </w:rPr>
              <w:t>)</w:t>
            </w:r>
          </w:p>
        </w:tc>
        <w:tc>
          <w:tcPr>
            <w:tcW w:w="617" w:type="pct"/>
            <w:shd w:val="clear" w:color="auto" w:fill="C1E4F5"/>
            <w:noWrap/>
            <w:vAlign w:val="bottom"/>
            <w:hideMark/>
          </w:tcPr>
          <w:p w14:paraId="38ADA897"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 xml:space="preserve">2 </w:t>
            </w:r>
          </w:p>
          <w:p w14:paraId="79297FD8" w14:textId="4428CD7B"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w:t>
            </w:r>
            <w:r w:rsidR="008F1ADA" w:rsidRPr="00C7320D">
              <w:rPr>
                <w:rFonts w:ascii="Aptos" w:hAnsi="Aptos" w:cs="Calibri"/>
                <w:color w:val="000000"/>
                <w:spacing w:val="-10"/>
                <w:kern w:val="28"/>
                <w:sz w:val="16"/>
                <w:szCs w:val="16"/>
                <w:lang w:eastAsia="en-GB"/>
              </w:rPr>
              <w:t>14</w:t>
            </w:r>
            <w:r w:rsidR="00205F62" w:rsidRPr="00C7320D">
              <w:rPr>
                <w:rFonts w:ascii="Aptos" w:hAnsi="Aptos" w:cs="Calibri"/>
                <w:color w:val="000000"/>
                <w:spacing w:val="-10"/>
                <w:kern w:val="28"/>
                <w:sz w:val="16"/>
                <w:szCs w:val="16"/>
                <w:lang w:eastAsia="en-GB"/>
              </w:rPr>
              <w:t xml:space="preserve"> </w:t>
            </w:r>
            <w:r w:rsidR="00093C9A" w:rsidRPr="00C7320D">
              <w:rPr>
                <w:rFonts w:ascii="Aptos" w:hAnsi="Aptos" w:cs="Calibri"/>
                <w:color w:val="000000"/>
                <w:spacing w:val="-10"/>
                <w:kern w:val="28"/>
                <w:sz w:val="16"/>
                <w:szCs w:val="16"/>
                <w:lang w:eastAsia="en-GB"/>
              </w:rPr>
              <w:t>Africa</w:t>
            </w:r>
            <w:r w:rsidR="00CD4C37" w:rsidRPr="00C7320D">
              <w:rPr>
                <w:rFonts w:ascii="Aptos" w:hAnsi="Aptos" w:cs="Calibri"/>
                <w:color w:val="000000"/>
                <w:spacing w:val="-10"/>
                <w:kern w:val="28"/>
                <w:sz w:val="16"/>
                <w:szCs w:val="16"/>
                <w:lang w:eastAsia="en-GB"/>
              </w:rPr>
              <w:t xml:space="preserve">n </w:t>
            </w:r>
            <w:r w:rsidR="00205F62" w:rsidRPr="00C7320D">
              <w:rPr>
                <w:rFonts w:ascii="Aptos" w:hAnsi="Aptos" w:cs="Calibri"/>
                <w:color w:val="000000"/>
                <w:spacing w:val="-10"/>
                <w:kern w:val="28"/>
                <w:sz w:val="16"/>
                <w:szCs w:val="16"/>
                <w:lang w:eastAsia="en-GB"/>
              </w:rPr>
              <w:t>countries</w:t>
            </w:r>
            <w:r w:rsidRPr="00C7320D">
              <w:rPr>
                <w:rFonts w:ascii="Aptos" w:hAnsi="Aptos" w:cs="Calibri"/>
                <w:color w:val="000000"/>
                <w:spacing w:val="-10"/>
                <w:kern w:val="28"/>
                <w:sz w:val="16"/>
                <w:szCs w:val="16"/>
                <w:lang w:eastAsia="en-GB"/>
              </w:rPr>
              <w:t>)</w:t>
            </w:r>
          </w:p>
        </w:tc>
        <w:tc>
          <w:tcPr>
            <w:tcW w:w="616" w:type="pct"/>
            <w:shd w:val="clear" w:color="auto" w:fill="C1E4F5"/>
            <w:noWrap/>
            <w:vAlign w:val="bottom"/>
            <w:hideMark/>
          </w:tcPr>
          <w:p w14:paraId="481A7D40"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 xml:space="preserve">3 </w:t>
            </w:r>
          </w:p>
          <w:p w14:paraId="3B43DCC9" w14:textId="1B737092"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w:t>
            </w:r>
            <w:r w:rsidR="008F1ADA" w:rsidRPr="00C7320D">
              <w:rPr>
                <w:rFonts w:ascii="Aptos" w:hAnsi="Aptos" w:cs="Calibri"/>
                <w:color w:val="000000"/>
                <w:spacing w:val="-10"/>
                <w:kern w:val="28"/>
                <w:sz w:val="16"/>
                <w:szCs w:val="16"/>
                <w:lang w:eastAsia="en-GB"/>
              </w:rPr>
              <w:t>20</w:t>
            </w:r>
            <w:r w:rsidR="00205F62" w:rsidRPr="00C7320D">
              <w:rPr>
                <w:rFonts w:ascii="Aptos" w:hAnsi="Aptos" w:cs="Calibri"/>
                <w:color w:val="000000"/>
                <w:spacing w:val="-10"/>
                <w:kern w:val="28"/>
                <w:sz w:val="16"/>
                <w:szCs w:val="16"/>
                <w:lang w:eastAsia="en-GB"/>
              </w:rPr>
              <w:t xml:space="preserve"> </w:t>
            </w:r>
            <w:r w:rsidR="00093C9A" w:rsidRPr="00C7320D">
              <w:rPr>
                <w:rFonts w:ascii="Aptos" w:hAnsi="Aptos" w:cs="Calibri"/>
                <w:color w:val="000000"/>
                <w:spacing w:val="-10"/>
                <w:kern w:val="28"/>
                <w:sz w:val="16"/>
                <w:szCs w:val="16"/>
                <w:lang w:eastAsia="en-GB"/>
              </w:rPr>
              <w:t>Africa</w:t>
            </w:r>
            <w:r w:rsidR="00CD4C37" w:rsidRPr="00C7320D">
              <w:rPr>
                <w:rFonts w:ascii="Aptos" w:hAnsi="Aptos" w:cs="Calibri"/>
                <w:color w:val="000000"/>
                <w:spacing w:val="-10"/>
                <w:kern w:val="28"/>
                <w:sz w:val="16"/>
                <w:szCs w:val="16"/>
                <w:lang w:eastAsia="en-GB"/>
              </w:rPr>
              <w:t>n</w:t>
            </w:r>
            <w:r w:rsidR="00394925" w:rsidRPr="00C7320D">
              <w:rPr>
                <w:rFonts w:ascii="Aptos" w:hAnsi="Aptos" w:cs="Calibri"/>
                <w:color w:val="000000"/>
                <w:spacing w:val="-10"/>
                <w:kern w:val="28"/>
                <w:sz w:val="16"/>
                <w:szCs w:val="16"/>
                <w:lang w:eastAsia="en-GB"/>
              </w:rPr>
              <w:t xml:space="preserve"> </w:t>
            </w:r>
            <w:r w:rsidR="00205F62" w:rsidRPr="00C7320D">
              <w:rPr>
                <w:rFonts w:ascii="Aptos" w:hAnsi="Aptos" w:cs="Calibri"/>
                <w:color w:val="000000"/>
                <w:spacing w:val="-10"/>
                <w:kern w:val="28"/>
                <w:sz w:val="16"/>
                <w:szCs w:val="16"/>
                <w:lang w:eastAsia="en-GB"/>
              </w:rPr>
              <w:t>countries</w:t>
            </w:r>
            <w:r w:rsidRPr="00C7320D">
              <w:rPr>
                <w:rFonts w:ascii="Aptos" w:hAnsi="Aptos" w:cs="Calibri"/>
                <w:color w:val="000000"/>
                <w:spacing w:val="-10"/>
                <w:kern w:val="28"/>
                <w:sz w:val="16"/>
                <w:szCs w:val="16"/>
                <w:lang w:eastAsia="en-GB"/>
              </w:rPr>
              <w:t>)</w:t>
            </w:r>
          </w:p>
        </w:tc>
        <w:tc>
          <w:tcPr>
            <w:tcW w:w="618" w:type="pct"/>
            <w:shd w:val="clear" w:color="auto" w:fill="C1E4F5"/>
          </w:tcPr>
          <w:p w14:paraId="4A916742" w14:textId="77777777" w:rsidR="00F779AF" w:rsidRPr="00C7320D"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C7320D">
              <w:rPr>
                <w:rFonts w:ascii="Aptos" w:hAnsi="Aptos" w:cs="Calibri"/>
                <w:color w:val="000000"/>
                <w:spacing w:val="-10"/>
                <w:kern w:val="28"/>
                <w:sz w:val="16"/>
                <w:szCs w:val="16"/>
                <w:lang w:eastAsia="en-GB"/>
              </w:rPr>
              <w:t>4</w:t>
            </w:r>
          </w:p>
          <w:p w14:paraId="36948860" w14:textId="324AAF70" w:rsidR="00A2613A" w:rsidRPr="00C7320D"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C7320D">
              <w:rPr>
                <w:rFonts w:ascii="Aptos" w:hAnsi="Aptos" w:cs="Calibri"/>
                <w:color w:val="000000"/>
                <w:spacing w:val="-10"/>
                <w:kern w:val="28"/>
                <w:sz w:val="16"/>
                <w:szCs w:val="16"/>
                <w:lang w:eastAsia="en-GB"/>
              </w:rPr>
              <w:t>(</w:t>
            </w:r>
            <w:r w:rsidR="0048684E" w:rsidRPr="00C7320D">
              <w:rPr>
                <w:rFonts w:ascii="Aptos" w:hAnsi="Aptos" w:cs="Calibri"/>
                <w:bCs/>
                <w:color w:val="000000"/>
                <w:spacing w:val="-10"/>
                <w:kern w:val="28"/>
                <w:sz w:val="16"/>
                <w:szCs w:val="16"/>
                <w:lang w:eastAsia="en-GB"/>
              </w:rPr>
              <w:t>4</w:t>
            </w:r>
            <w:r w:rsidR="002D5DD5" w:rsidRPr="00C7320D">
              <w:rPr>
                <w:rFonts w:ascii="Aptos" w:hAnsi="Aptos" w:cs="Calibri"/>
                <w:color w:val="000000"/>
                <w:spacing w:val="-10"/>
                <w:kern w:val="28"/>
                <w:sz w:val="16"/>
                <w:szCs w:val="16"/>
                <w:lang w:eastAsia="en-GB"/>
              </w:rPr>
              <w:t xml:space="preserve"> </w:t>
            </w:r>
            <w:r w:rsidR="00CD4C37" w:rsidRPr="00C7320D">
              <w:rPr>
                <w:rFonts w:ascii="Aptos" w:hAnsi="Aptos" w:cs="Calibri"/>
                <w:color w:val="000000"/>
                <w:spacing w:val="-10"/>
                <w:kern w:val="28"/>
                <w:sz w:val="16"/>
                <w:szCs w:val="16"/>
                <w:lang w:eastAsia="en-GB"/>
              </w:rPr>
              <w:t>African</w:t>
            </w:r>
            <w:r w:rsidR="00394925" w:rsidRPr="00C7320D">
              <w:rPr>
                <w:rFonts w:ascii="Aptos" w:hAnsi="Aptos" w:cs="Calibri"/>
                <w:color w:val="000000"/>
                <w:spacing w:val="-10"/>
                <w:kern w:val="28"/>
                <w:sz w:val="16"/>
                <w:szCs w:val="16"/>
                <w:lang w:eastAsia="en-GB"/>
              </w:rPr>
              <w:t xml:space="preserve"> </w:t>
            </w:r>
            <w:r w:rsidR="002D5DD5" w:rsidRPr="00C7320D">
              <w:rPr>
                <w:rFonts w:ascii="Aptos" w:hAnsi="Aptos" w:cs="Calibri"/>
                <w:color w:val="000000"/>
                <w:spacing w:val="-10"/>
                <w:kern w:val="28"/>
                <w:sz w:val="16"/>
                <w:szCs w:val="16"/>
                <w:lang w:eastAsia="en-GB"/>
              </w:rPr>
              <w:t>countries</w:t>
            </w:r>
            <w:r w:rsidRPr="00C7320D">
              <w:rPr>
                <w:rFonts w:ascii="Aptos" w:hAnsi="Aptos" w:cs="Calibri"/>
                <w:color w:val="000000"/>
                <w:spacing w:val="-10"/>
                <w:kern w:val="28"/>
                <w:sz w:val="16"/>
                <w:szCs w:val="16"/>
                <w:lang w:eastAsia="en-GB"/>
              </w:rPr>
              <w:t>)</w:t>
            </w:r>
          </w:p>
        </w:tc>
        <w:tc>
          <w:tcPr>
            <w:tcW w:w="685" w:type="pct"/>
            <w:shd w:val="clear" w:color="auto" w:fill="C1E4F5"/>
          </w:tcPr>
          <w:p w14:paraId="7262F2F5" w14:textId="6CA72ACE" w:rsidR="003A786C" w:rsidRPr="00C7320D" w:rsidRDefault="003A786C" w:rsidP="003A786C">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Cs/>
                <w:color w:val="000000"/>
                <w:spacing w:val="-10"/>
                <w:kern w:val="28"/>
                <w:sz w:val="16"/>
                <w:szCs w:val="16"/>
                <w:lang w:eastAsia="en-GB"/>
              </w:rPr>
            </w:pPr>
            <w:r w:rsidRPr="00C7320D">
              <w:rPr>
                <w:rFonts w:ascii="Aptos" w:hAnsi="Aptos" w:cs="Calibri"/>
                <w:bCs/>
                <w:color w:val="000000"/>
                <w:spacing w:val="-10"/>
                <w:kern w:val="28"/>
                <w:sz w:val="16"/>
                <w:szCs w:val="16"/>
                <w:lang w:eastAsia="en-GB"/>
              </w:rPr>
              <w:t>5</w:t>
            </w:r>
          </w:p>
          <w:p w14:paraId="7AB0B425" w14:textId="0A26E7BB" w:rsidR="00594DE7" w:rsidRPr="00C7320D" w:rsidRDefault="003A786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C7320D">
              <w:rPr>
                <w:rFonts w:ascii="Aptos" w:hAnsi="Aptos" w:cs="Calibri"/>
                <w:bCs/>
                <w:color w:val="000000"/>
                <w:spacing w:val="-10"/>
                <w:kern w:val="28"/>
                <w:sz w:val="16"/>
                <w:szCs w:val="16"/>
                <w:lang w:eastAsia="en-GB"/>
              </w:rPr>
              <w:t>(4 African countries)</w:t>
            </w:r>
          </w:p>
        </w:tc>
        <w:tc>
          <w:tcPr>
            <w:tcW w:w="681" w:type="pct"/>
            <w:shd w:val="clear" w:color="auto" w:fill="C1E4F5"/>
            <w:noWrap/>
            <w:vAlign w:val="bottom"/>
            <w:hideMark/>
          </w:tcPr>
          <w:p w14:paraId="3579F15F" w14:textId="0B23E263"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C7320D">
              <w:rPr>
                <w:rFonts w:ascii="Aptos" w:hAnsi="Aptos" w:cs="Calibri"/>
                <w:b/>
                <w:color w:val="000000"/>
                <w:spacing w:val="-10"/>
                <w:kern w:val="28"/>
                <w:sz w:val="16"/>
                <w:szCs w:val="16"/>
                <w:lang w:eastAsia="en-GB"/>
              </w:rPr>
              <w:t>World average</w:t>
            </w:r>
          </w:p>
        </w:tc>
      </w:tr>
      <w:tr w:rsidR="007A0E55" w:rsidRPr="00C7320D" w14:paraId="7BC9A59C" w14:textId="77777777" w:rsidTr="003A786C">
        <w:trPr>
          <w:trHeight w:val="510"/>
        </w:trPr>
        <w:tc>
          <w:tcPr>
            <w:tcW w:w="1191" w:type="pct"/>
            <w:shd w:val="clear" w:color="auto" w:fill="FFFFFF"/>
            <w:vAlign w:val="center"/>
            <w:hideMark/>
          </w:tcPr>
          <w:p w14:paraId="4C92BD59"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C7320D">
              <w:rPr>
                <w:rFonts w:ascii="Aptos" w:hAnsi="Aptos" w:cs="Calibri"/>
                <w:color w:val="000000"/>
                <w:kern w:val="28"/>
                <w:sz w:val="16"/>
                <w:szCs w:val="16"/>
                <w:lang w:eastAsia="en-GB"/>
              </w:rPr>
              <w:t>Share of individuals using</w:t>
            </w:r>
            <w:r w:rsidRPr="00C7320D">
              <w:rPr>
                <w:rFonts w:ascii="Aptos" w:hAnsi="Aptos" w:cs="Calibri"/>
                <w:color w:val="000000"/>
                <w:kern w:val="28"/>
                <w:sz w:val="16"/>
                <w:szCs w:val="16"/>
                <w:lang w:eastAsia="en-GB"/>
              </w:rPr>
              <w:br/>
              <w:t>the Internet</w:t>
            </w:r>
            <w:r w:rsidRPr="00C7320D">
              <w:rPr>
                <w:rFonts w:ascii="Aptos" w:hAnsi="Aptos" w:cs="Calibri"/>
                <w:color w:val="A6A6A6"/>
                <w:kern w:val="28"/>
                <w:sz w:val="16"/>
                <w:szCs w:val="16"/>
                <w:lang w:eastAsia="en-GB"/>
              </w:rPr>
              <w:t xml:space="preserve"> (%)</w:t>
            </w:r>
          </w:p>
        </w:tc>
        <w:tc>
          <w:tcPr>
            <w:tcW w:w="593" w:type="pct"/>
            <w:shd w:val="clear" w:color="auto" w:fill="FFFFFF"/>
            <w:noWrap/>
            <w:vAlign w:val="bottom"/>
          </w:tcPr>
          <w:p w14:paraId="3476E5C3" w14:textId="74054563"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83.5</w:t>
            </w:r>
          </w:p>
        </w:tc>
        <w:tc>
          <w:tcPr>
            <w:tcW w:w="617" w:type="pct"/>
            <w:shd w:val="clear" w:color="auto" w:fill="FFFFFF"/>
            <w:noWrap/>
            <w:vAlign w:val="bottom"/>
          </w:tcPr>
          <w:p w14:paraId="505928EE" w14:textId="0943DBB5"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61.2</w:t>
            </w:r>
          </w:p>
        </w:tc>
        <w:tc>
          <w:tcPr>
            <w:tcW w:w="616" w:type="pct"/>
            <w:shd w:val="clear" w:color="auto" w:fill="FFFFFF"/>
            <w:noWrap/>
            <w:vAlign w:val="bottom"/>
          </w:tcPr>
          <w:p w14:paraId="07840A0E" w14:textId="0B50623C"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29.7</w:t>
            </w:r>
          </w:p>
        </w:tc>
        <w:tc>
          <w:tcPr>
            <w:tcW w:w="618" w:type="pct"/>
            <w:shd w:val="clear" w:color="auto" w:fill="FFFFFF"/>
            <w:vAlign w:val="bottom"/>
          </w:tcPr>
          <w:p w14:paraId="752A41A0" w14:textId="25D5431B"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21.5</w:t>
            </w:r>
          </w:p>
        </w:tc>
        <w:tc>
          <w:tcPr>
            <w:tcW w:w="685" w:type="pct"/>
            <w:shd w:val="clear" w:color="auto" w:fill="FFFFFF"/>
            <w:vAlign w:val="bottom"/>
          </w:tcPr>
          <w:p w14:paraId="4F4E3A21" w14:textId="017C3C34"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12.8</w:t>
            </w:r>
          </w:p>
        </w:tc>
        <w:tc>
          <w:tcPr>
            <w:tcW w:w="681" w:type="pct"/>
            <w:shd w:val="clear" w:color="auto" w:fill="FFFFFF"/>
            <w:noWrap/>
            <w:vAlign w:val="bottom"/>
          </w:tcPr>
          <w:p w14:paraId="6F827B86" w14:textId="1CF071E6"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65.4</w:t>
            </w:r>
          </w:p>
        </w:tc>
      </w:tr>
      <w:tr w:rsidR="007A0E55" w:rsidRPr="00C7320D" w14:paraId="51093069" w14:textId="77777777" w:rsidTr="003A786C">
        <w:trPr>
          <w:trHeight w:val="510"/>
        </w:trPr>
        <w:tc>
          <w:tcPr>
            <w:tcW w:w="1191" w:type="pct"/>
            <w:shd w:val="clear" w:color="auto" w:fill="FFFFFF"/>
            <w:vAlign w:val="center"/>
            <w:hideMark/>
          </w:tcPr>
          <w:p w14:paraId="01E33B1A" w14:textId="31F23A5A"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C7320D">
              <w:rPr>
                <w:rFonts w:ascii="Aptos" w:hAnsi="Aptos" w:cs="Calibri"/>
                <w:color w:val="000000"/>
                <w:kern w:val="28"/>
                <w:sz w:val="16"/>
                <w:szCs w:val="16"/>
                <w:lang w:eastAsia="en-GB"/>
              </w:rPr>
              <w:t xml:space="preserve">Gender equality - Internet use </w:t>
            </w:r>
            <w:r w:rsidRPr="00C7320D">
              <w:rPr>
                <w:rFonts w:ascii="Aptos" w:hAnsi="Aptos" w:cs="Calibri"/>
                <w:color w:val="000000"/>
                <w:kern w:val="28"/>
                <w:sz w:val="16"/>
                <w:szCs w:val="16"/>
                <w:lang w:eastAsia="en-GB"/>
              </w:rPr>
              <w:br/>
            </w:r>
            <w:r w:rsidRPr="00C7320D">
              <w:rPr>
                <w:rFonts w:ascii="Aptos" w:hAnsi="Aptos" w:cs="Calibri"/>
                <w:color w:val="A6A6A6"/>
                <w:kern w:val="28"/>
                <w:sz w:val="16"/>
                <w:szCs w:val="16"/>
                <w:lang w:eastAsia="en-GB"/>
              </w:rPr>
              <w:t>(</w:t>
            </w:r>
            <w:r w:rsidR="00654F12" w:rsidRPr="00C7320D">
              <w:rPr>
                <w:rFonts w:ascii="Aptos" w:hAnsi="Aptos" w:cs="Calibri"/>
                <w:color w:val="A6A6A6"/>
                <w:kern w:val="28"/>
                <w:sz w:val="16"/>
                <w:szCs w:val="16"/>
                <w:lang w:eastAsia="en-GB"/>
              </w:rPr>
              <w:t xml:space="preserve">relative </w:t>
            </w:r>
            <w:r w:rsidR="00333131" w:rsidRPr="00C7320D">
              <w:rPr>
                <w:rFonts w:ascii="Aptos" w:hAnsi="Aptos" w:cs="Calibri"/>
                <w:color w:val="A6A6A6"/>
                <w:kern w:val="28"/>
                <w:sz w:val="16"/>
                <w:szCs w:val="16"/>
                <w:lang w:eastAsia="en-GB"/>
              </w:rPr>
              <w:t>gender parity</w:t>
            </w:r>
            <w:r w:rsidRPr="00C7320D">
              <w:rPr>
                <w:rFonts w:ascii="Aptos" w:hAnsi="Aptos" w:cs="Calibri"/>
                <w:color w:val="A6A6A6"/>
                <w:kern w:val="28"/>
                <w:sz w:val="16"/>
                <w:szCs w:val="16"/>
                <w:lang w:eastAsia="en-GB"/>
              </w:rPr>
              <w:t>)</w:t>
            </w:r>
          </w:p>
        </w:tc>
        <w:tc>
          <w:tcPr>
            <w:tcW w:w="593" w:type="pct"/>
            <w:shd w:val="clear" w:color="auto" w:fill="FFFFFF"/>
            <w:noWrap/>
            <w:vAlign w:val="bottom"/>
          </w:tcPr>
          <w:p w14:paraId="055EF771" w14:textId="161E3EC1"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0.93</w:t>
            </w:r>
          </w:p>
        </w:tc>
        <w:tc>
          <w:tcPr>
            <w:tcW w:w="617" w:type="pct"/>
            <w:shd w:val="clear" w:color="auto" w:fill="FFFFFF"/>
            <w:noWrap/>
            <w:vAlign w:val="bottom"/>
          </w:tcPr>
          <w:p w14:paraId="274756DD" w14:textId="215A3DDF"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0.90</w:t>
            </w:r>
          </w:p>
        </w:tc>
        <w:tc>
          <w:tcPr>
            <w:tcW w:w="616" w:type="pct"/>
            <w:shd w:val="clear" w:color="auto" w:fill="FFFFFF"/>
            <w:noWrap/>
            <w:vAlign w:val="bottom"/>
          </w:tcPr>
          <w:p w14:paraId="76DC1837" w14:textId="1E044521"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0.73</w:t>
            </w:r>
          </w:p>
        </w:tc>
        <w:tc>
          <w:tcPr>
            <w:tcW w:w="618" w:type="pct"/>
            <w:shd w:val="clear" w:color="auto" w:fill="FFFFFF"/>
            <w:vAlign w:val="bottom"/>
          </w:tcPr>
          <w:p w14:paraId="4C175440" w14:textId="24DCCC28"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0.87</w:t>
            </w:r>
          </w:p>
        </w:tc>
        <w:tc>
          <w:tcPr>
            <w:tcW w:w="685" w:type="pct"/>
            <w:shd w:val="clear" w:color="auto" w:fill="FFFFFF"/>
            <w:vAlign w:val="bottom"/>
          </w:tcPr>
          <w:p w14:paraId="5652D38F" w14:textId="2FB1C198"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0.7</w:t>
            </w:r>
            <w:r w:rsidR="00654F12" w:rsidRPr="00C7320D">
              <w:rPr>
                <w:rFonts w:ascii="Aptos" w:hAnsi="Aptos" w:cs="Calibri"/>
                <w:color w:val="000000"/>
                <w:sz w:val="16"/>
                <w:szCs w:val="16"/>
              </w:rPr>
              <w:t>5</w:t>
            </w:r>
          </w:p>
        </w:tc>
        <w:tc>
          <w:tcPr>
            <w:tcW w:w="681" w:type="pct"/>
            <w:shd w:val="clear" w:color="auto" w:fill="FFFFFF"/>
            <w:noWrap/>
            <w:vAlign w:val="bottom"/>
          </w:tcPr>
          <w:p w14:paraId="7499F2EC" w14:textId="2CDA3411"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0.</w:t>
            </w:r>
            <w:r w:rsidR="008F7DDE" w:rsidRPr="00C7320D">
              <w:rPr>
                <w:rFonts w:ascii="Aptos" w:hAnsi="Aptos" w:cs="Calibri"/>
                <w:b/>
                <w:bCs/>
                <w:color w:val="000000"/>
                <w:sz w:val="16"/>
                <w:szCs w:val="16"/>
              </w:rPr>
              <w:t>9</w:t>
            </w:r>
            <w:r w:rsidR="00710497" w:rsidRPr="00C7320D">
              <w:rPr>
                <w:rFonts w:ascii="Aptos" w:hAnsi="Aptos" w:cs="Calibri"/>
                <w:b/>
                <w:bCs/>
                <w:color w:val="000000"/>
                <w:sz w:val="16"/>
                <w:szCs w:val="16"/>
              </w:rPr>
              <w:t>0</w:t>
            </w:r>
          </w:p>
        </w:tc>
      </w:tr>
      <w:tr w:rsidR="007A0E55" w:rsidRPr="00C7320D" w14:paraId="10D0A118" w14:textId="77777777" w:rsidTr="003A786C">
        <w:trPr>
          <w:trHeight w:val="510"/>
        </w:trPr>
        <w:tc>
          <w:tcPr>
            <w:tcW w:w="1191" w:type="pct"/>
            <w:shd w:val="clear" w:color="auto" w:fill="FFFFFF"/>
            <w:vAlign w:val="center"/>
            <w:hideMark/>
          </w:tcPr>
          <w:p w14:paraId="6892FC8A"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C7320D">
              <w:rPr>
                <w:rFonts w:ascii="Aptos" w:hAnsi="Aptos" w:cs="Calibri"/>
                <w:color w:val="000000"/>
                <w:kern w:val="28"/>
                <w:sz w:val="16"/>
                <w:szCs w:val="16"/>
                <w:lang w:eastAsia="en-GB"/>
              </w:rPr>
              <w:t>Share of individuals owning mobile phones</w:t>
            </w:r>
            <w:r w:rsidRPr="00C7320D">
              <w:rPr>
                <w:rFonts w:ascii="Aptos" w:hAnsi="Aptos" w:cs="Calibri"/>
                <w:color w:val="A6A6A6"/>
                <w:kern w:val="28"/>
                <w:sz w:val="16"/>
                <w:szCs w:val="16"/>
                <w:lang w:eastAsia="en-GB"/>
              </w:rPr>
              <w:t xml:space="preserve"> (%)</w:t>
            </w:r>
          </w:p>
        </w:tc>
        <w:tc>
          <w:tcPr>
            <w:tcW w:w="593" w:type="pct"/>
            <w:shd w:val="clear" w:color="auto" w:fill="FFFFFF"/>
            <w:noWrap/>
            <w:vAlign w:val="bottom"/>
          </w:tcPr>
          <w:p w14:paraId="69EF3683" w14:textId="643F6AA7"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91.6</w:t>
            </w:r>
          </w:p>
        </w:tc>
        <w:tc>
          <w:tcPr>
            <w:tcW w:w="617" w:type="pct"/>
            <w:shd w:val="clear" w:color="auto" w:fill="FFFFFF"/>
            <w:noWrap/>
            <w:vAlign w:val="bottom"/>
          </w:tcPr>
          <w:p w14:paraId="190B2D83" w14:textId="6FEB76A9"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76.4</w:t>
            </w:r>
          </w:p>
        </w:tc>
        <w:tc>
          <w:tcPr>
            <w:tcW w:w="616" w:type="pct"/>
            <w:shd w:val="clear" w:color="auto" w:fill="FFFFFF"/>
            <w:noWrap/>
            <w:vAlign w:val="bottom"/>
          </w:tcPr>
          <w:p w14:paraId="5CDDBFF9" w14:textId="3734241C"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61.1</w:t>
            </w:r>
          </w:p>
        </w:tc>
        <w:tc>
          <w:tcPr>
            <w:tcW w:w="618" w:type="pct"/>
            <w:shd w:val="clear" w:color="auto" w:fill="FFFFFF"/>
            <w:vAlign w:val="bottom"/>
          </w:tcPr>
          <w:p w14:paraId="710E28E2" w14:textId="665A239B"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57.6</w:t>
            </w:r>
          </w:p>
        </w:tc>
        <w:tc>
          <w:tcPr>
            <w:tcW w:w="685" w:type="pct"/>
            <w:shd w:val="clear" w:color="auto" w:fill="FFFFFF"/>
            <w:vAlign w:val="bottom"/>
          </w:tcPr>
          <w:p w14:paraId="6A73E3CB" w14:textId="2B14DE8E"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34.8</w:t>
            </w:r>
          </w:p>
        </w:tc>
        <w:tc>
          <w:tcPr>
            <w:tcW w:w="681" w:type="pct"/>
            <w:shd w:val="clear" w:color="auto" w:fill="FFFFFF"/>
            <w:noWrap/>
            <w:vAlign w:val="bottom"/>
          </w:tcPr>
          <w:p w14:paraId="421A94F0" w14:textId="005C27EA"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78.6</w:t>
            </w:r>
          </w:p>
        </w:tc>
      </w:tr>
      <w:tr w:rsidR="007A0E55" w:rsidRPr="00C7320D" w14:paraId="31F71ECC" w14:textId="77777777" w:rsidTr="003A786C">
        <w:trPr>
          <w:trHeight w:val="510"/>
        </w:trPr>
        <w:tc>
          <w:tcPr>
            <w:tcW w:w="1191" w:type="pct"/>
            <w:shd w:val="clear" w:color="auto" w:fill="FFFFFF"/>
            <w:vAlign w:val="center"/>
            <w:hideMark/>
          </w:tcPr>
          <w:p w14:paraId="2EC0CA65"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C7320D">
              <w:rPr>
                <w:rFonts w:ascii="Aptos" w:hAnsi="Aptos" w:cs="Calibri"/>
                <w:color w:val="000000"/>
                <w:kern w:val="28"/>
                <w:sz w:val="16"/>
                <w:szCs w:val="16"/>
                <w:lang w:eastAsia="en-GB"/>
              </w:rPr>
              <w:t xml:space="preserve">Mobile-broadband subscriptions </w:t>
            </w:r>
            <w:r w:rsidRPr="00C7320D">
              <w:rPr>
                <w:rFonts w:ascii="Aptos" w:hAnsi="Aptos" w:cs="Calibri"/>
                <w:color w:val="000000"/>
                <w:kern w:val="28"/>
                <w:sz w:val="16"/>
                <w:szCs w:val="16"/>
                <w:lang w:eastAsia="en-GB"/>
              </w:rPr>
              <w:br/>
            </w:r>
            <w:r w:rsidRPr="00C7320D">
              <w:rPr>
                <w:rFonts w:ascii="Aptos" w:hAnsi="Aptos" w:cs="Calibri"/>
                <w:color w:val="A6A6A6"/>
                <w:kern w:val="28"/>
                <w:sz w:val="16"/>
                <w:szCs w:val="16"/>
                <w:lang w:eastAsia="en-GB"/>
              </w:rPr>
              <w:t>(per 100 inhabitants)</w:t>
            </w:r>
          </w:p>
        </w:tc>
        <w:tc>
          <w:tcPr>
            <w:tcW w:w="593" w:type="pct"/>
            <w:shd w:val="clear" w:color="auto" w:fill="FFFFFF"/>
            <w:noWrap/>
            <w:vAlign w:val="bottom"/>
          </w:tcPr>
          <w:p w14:paraId="352152C5" w14:textId="5AAAC0FB"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102.6</w:t>
            </w:r>
          </w:p>
        </w:tc>
        <w:tc>
          <w:tcPr>
            <w:tcW w:w="617" w:type="pct"/>
            <w:shd w:val="clear" w:color="auto" w:fill="FFFFFF"/>
            <w:noWrap/>
            <w:vAlign w:val="bottom"/>
          </w:tcPr>
          <w:p w14:paraId="5A710D62" w14:textId="63BA3D64"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71.8</w:t>
            </w:r>
          </w:p>
        </w:tc>
        <w:tc>
          <w:tcPr>
            <w:tcW w:w="616" w:type="pct"/>
            <w:shd w:val="clear" w:color="auto" w:fill="FFFFFF"/>
            <w:noWrap/>
            <w:vAlign w:val="bottom"/>
          </w:tcPr>
          <w:p w14:paraId="3E1B3CD2" w14:textId="7AD207DB"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48.3</w:t>
            </w:r>
          </w:p>
        </w:tc>
        <w:tc>
          <w:tcPr>
            <w:tcW w:w="618" w:type="pct"/>
            <w:shd w:val="clear" w:color="auto" w:fill="FFFFFF"/>
            <w:vAlign w:val="bottom"/>
          </w:tcPr>
          <w:p w14:paraId="717A2071" w14:textId="6684574A"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43.1</w:t>
            </w:r>
          </w:p>
        </w:tc>
        <w:tc>
          <w:tcPr>
            <w:tcW w:w="685" w:type="pct"/>
            <w:shd w:val="clear" w:color="auto" w:fill="FFFFFF"/>
            <w:vAlign w:val="bottom"/>
          </w:tcPr>
          <w:p w14:paraId="26A4C440" w14:textId="7E15A019"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7.0</w:t>
            </w:r>
          </w:p>
        </w:tc>
        <w:tc>
          <w:tcPr>
            <w:tcW w:w="681" w:type="pct"/>
            <w:shd w:val="clear" w:color="auto" w:fill="FFFFFF"/>
            <w:noWrap/>
            <w:vAlign w:val="bottom"/>
          </w:tcPr>
          <w:p w14:paraId="35F9246C" w14:textId="3064D0A3"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89.9</w:t>
            </w:r>
          </w:p>
        </w:tc>
      </w:tr>
      <w:tr w:rsidR="007A0E55" w:rsidRPr="00C7320D" w14:paraId="1096FC8C" w14:textId="77777777" w:rsidTr="003A786C">
        <w:trPr>
          <w:trHeight w:val="510"/>
        </w:trPr>
        <w:tc>
          <w:tcPr>
            <w:tcW w:w="1191" w:type="pct"/>
            <w:shd w:val="clear" w:color="auto" w:fill="FFFFFF"/>
            <w:vAlign w:val="center"/>
            <w:hideMark/>
          </w:tcPr>
          <w:p w14:paraId="70655099"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C7320D">
              <w:rPr>
                <w:rFonts w:ascii="Aptos" w:hAnsi="Aptos" w:cs="Calibri"/>
                <w:color w:val="000000"/>
                <w:kern w:val="28"/>
                <w:sz w:val="16"/>
                <w:szCs w:val="16"/>
                <w:lang w:eastAsia="en-GB"/>
              </w:rPr>
              <w:t xml:space="preserve">Fixed-broadband subscriptions </w:t>
            </w:r>
            <w:r w:rsidRPr="00C7320D">
              <w:rPr>
                <w:rFonts w:ascii="Aptos" w:hAnsi="Aptos" w:cs="Calibri"/>
                <w:color w:val="000000"/>
                <w:kern w:val="28"/>
                <w:sz w:val="16"/>
                <w:szCs w:val="16"/>
                <w:lang w:eastAsia="en-GB"/>
              </w:rPr>
              <w:br/>
            </w:r>
            <w:r w:rsidRPr="00C7320D">
              <w:rPr>
                <w:rFonts w:ascii="Aptos" w:hAnsi="Aptos" w:cs="Calibri"/>
                <w:color w:val="A6A6A6"/>
                <w:kern w:val="28"/>
                <w:sz w:val="16"/>
                <w:szCs w:val="16"/>
                <w:lang w:eastAsia="en-GB"/>
              </w:rPr>
              <w:t>(per 100 inhabitants)</w:t>
            </w:r>
          </w:p>
        </w:tc>
        <w:tc>
          <w:tcPr>
            <w:tcW w:w="593" w:type="pct"/>
            <w:shd w:val="clear" w:color="auto" w:fill="FFFFFF"/>
            <w:noWrap/>
            <w:vAlign w:val="bottom"/>
          </w:tcPr>
          <w:p w14:paraId="79D1EB46" w14:textId="1EABE6B4"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28.8</w:t>
            </w:r>
          </w:p>
        </w:tc>
        <w:tc>
          <w:tcPr>
            <w:tcW w:w="617" w:type="pct"/>
            <w:shd w:val="clear" w:color="auto" w:fill="FFFFFF"/>
            <w:noWrap/>
            <w:vAlign w:val="bottom"/>
          </w:tcPr>
          <w:p w14:paraId="053BD9A4" w14:textId="43BE588A"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2.2</w:t>
            </w:r>
          </w:p>
        </w:tc>
        <w:tc>
          <w:tcPr>
            <w:tcW w:w="616" w:type="pct"/>
            <w:shd w:val="clear" w:color="auto" w:fill="FFFFFF"/>
            <w:noWrap/>
            <w:vAlign w:val="bottom"/>
          </w:tcPr>
          <w:p w14:paraId="641909C5" w14:textId="7857751B"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0.6</w:t>
            </w:r>
          </w:p>
        </w:tc>
        <w:tc>
          <w:tcPr>
            <w:tcW w:w="618" w:type="pct"/>
            <w:shd w:val="clear" w:color="auto" w:fill="FFFFFF"/>
            <w:vAlign w:val="bottom"/>
          </w:tcPr>
          <w:p w14:paraId="4D042657" w14:textId="4E3477E1"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0.2</w:t>
            </w:r>
          </w:p>
        </w:tc>
        <w:tc>
          <w:tcPr>
            <w:tcW w:w="685" w:type="pct"/>
            <w:shd w:val="clear" w:color="auto" w:fill="FFFFFF"/>
            <w:vAlign w:val="bottom"/>
          </w:tcPr>
          <w:p w14:paraId="387B5996" w14:textId="4DE7E24E"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0.0</w:t>
            </w:r>
          </w:p>
        </w:tc>
        <w:tc>
          <w:tcPr>
            <w:tcW w:w="681" w:type="pct"/>
            <w:shd w:val="clear" w:color="auto" w:fill="FFFFFF"/>
            <w:noWrap/>
            <w:vAlign w:val="bottom"/>
          </w:tcPr>
          <w:p w14:paraId="2F98B651" w14:textId="0C1FBBFC"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18.6</w:t>
            </w:r>
          </w:p>
        </w:tc>
      </w:tr>
      <w:tr w:rsidR="007A0E55" w:rsidRPr="00C7320D" w14:paraId="28610658" w14:textId="77777777" w:rsidTr="003A786C">
        <w:trPr>
          <w:trHeight w:val="479"/>
        </w:trPr>
        <w:tc>
          <w:tcPr>
            <w:tcW w:w="1191" w:type="pct"/>
            <w:shd w:val="clear" w:color="auto" w:fill="FFFFFF"/>
            <w:vAlign w:val="center"/>
            <w:hideMark/>
          </w:tcPr>
          <w:p w14:paraId="0B634667"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6"/>
                <w:szCs w:val="16"/>
                <w:lang w:eastAsia="en-GB"/>
              </w:rPr>
            </w:pPr>
            <w:r w:rsidRPr="00C7320D">
              <w:rPr>
                <w:rFonts w:ascii="Aptos" w:hAnsi="Aptos" w:cs="Calibri"/>
                <w:color w:val="000000"/>
                <w:kern w:val="28"/>
                <w:sz w:val="16"/>
                <w:szCs w:val="16"/>
                <w:lang w:eastAsia="en-GB"/>
              </w:rPr>
              <w:t xml:space="preserve">Data-only mobile broadband prices </w:t>
            </w:r>
            <w:r w:rsidRPr="00C7320D">
              <w:rPr>
                <w:rFonts w:ascii="Aptos" w:hAnsi="Aptos" w:cs="Calibri"/>
                <w:color w:val="A6A6A6"/>
                <w:kern w:val="28"/>
                <w:sz w:val="16"/>
                <w:szCs w:val="16"/>
                <w:lang w:eastAsia="en-GB"/>
              </w:rPr>
              <w:br/>
              <w:t>(as a % of GNI per capita)</w:t>
            </w:r>
          </w:p>
        </w:tc>
        <w:tc>
          <w:tcPr>
            <w:tcW w:w="593" w:type="pct"/>
            <w:shd w:val="clear" w:color="auto" w:fill="FFFFFF"/>
            <w:noWrap/>
            <w:vAlign w:val="bottom"/>
          </w:tcPr>
          <w:p w14:paraId="7A909217" w14:textId="53E1B5EF"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1.2</w:t>
            </w:r>
          </w:p>
        </w:tc>
        <w:tc>
          <w:tcPr>
            <w:tcW w:w="617" w:type="pct"/>
            <w:shd w:val="clear" w:color="auto" w:fill="FFFFFF"/>
            <w:noWrap/>
            <w:vAlign w:val="bottom"/>
          </w:tcPr>
          <w:p w14:paraId="174170CC" w14:textId="150D655F"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6.9</w:t>
            </w:r>
          </w:p>
        </w:tc>
        <w:tc>
          <w:tcPr>
            <w:tcW w:w="616" w:type="pct"/>
            <w:shd w:val="clear" w:color="auto" w:fill="FFFFFF"/>
            <w:noWrap/>
            <w:vAlign w:val="bottom"/>
          </w:tcPr>
          <w:p w14:paraId="44910013" w14:textId="3DF6B54B"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19.2</w:t>
            </w:r>
          </w:p>
        </w:tc>
        <w:tc>
          <w:tcPr>
            <w:tcW w:w="618" w:type="pct"/>
            <w:shd w:val="clear" w:color="auto" w:fill="FFFFFF"/>
            <w:vAlign w:val="bottom"/>
          </w:tcPr>
          <w:p w14:paraId="7A322138" w14:textId="3C95D889"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54.3</w:t>
            </w:r>
          </w:p>
        </w:tc>
        <w:tc>
          <w:tcPr>
            <w:tcW w:w="685" w:type="pct"/>
            <w:shd w:val="clear" w:color="auto" w:fill="FFFFFF"/>
            <w:vAlign w:val="bottom"/>
          </w:tcPr>
          <w:p w14:paraId="6A963C36" w14:textId="5BA0D4E3"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39.6</w:t>
            </w:r>
          </w:p>
        </w:tc>
        <w:tc>
          <w:tcPr>
            <w:tcW w:w="681" w:type="pct"/>
            <w:shd w:val="clear" w:color="auto" w:fill="FFFFFF"/>
            <w:noWrap/>
            <w:vAlign w:val="bottom"/>
          </w:tcPr>
          <w:p w14:paraId="09BCBB10" w14:textId="13C0E823"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2.8</w:t>
            </w:r>
          </w:p>
        </w:tc>
      </w:tr>
      <w:tr w:rsidR="007A0E55" w:rsidRPr="00C7320D" w14:paraId="3A5F7375" w14:textId="77777777" w:rsidTr="003A786C">
        <w:trPr>
          <w:trHeight w:val="510"/>
        </w:trPr>
        <w:tc>
          <w:tcPr>
            <w:tcW w:w="1191" w:type="pct"/>
            <w:shd w:val="clear" w:color="auto" w:fill="FFFFFF"/>
            <w:vAlign w:val="center"/>
            <w:hideMark/>
          </w:tcPr>
          <w:p w14:paraId="2D3D13EB" w14:textId="77777777" w:rsidR="00F779AF" w:rsidRPr="00C7320D"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C7320D">
              <w:rPr>
                <w:rFonts w:ascii="Aptos" w:hAnsi="Aptos" w:cs="Calibri"/>
                <w:color w:val="000000"/>
                <w:kern w:val="28"/>
                <w:sz w:val="16"/>
                <w:szCs w:val="16"/>
                <w:lang w:eastAsia="en-GB"/>
              </w:rPr>
              <w:t>Fixed broadband prices</w:t>
            </w:r>
            <w:r w:rsidRPr="00C7320D">
              <w:rPr>
                <w:rFonts w:ascii="Aptos" w:hAnsi="Aptos" w:cs="Calibri"/>
                <w:color w:val="000000"/>
                <w:kern w:val="28"/>
                <w:sz w:val="16"/>
                <w:szCs w:val="16"/>
                <w:lang w:eastAsia="en-GB"/>
              </w:rPr>
              <w:br/>
            </w:r>
            <w:r w:rsidRPr="00C7320D">
              <w:rPr>
                <w:rFonts w:ascii="Aptos" w:hAnsi="Aptos" w:cs="Calibri"/>
                <w:color w:val="A6A6A6"/>
                <w:kern w:val="28"/>
                <w:sz w:val="16"/>
                <w:szCs w:val="16"/>
                <w:lang w:eastAsia="en-GB"/>
              </w:rPr>
              <w:t>(as a % of GNI per capita)</w:t>
            </w:r>
          </w:p>
        </w:tc>
        <w:tc>
          <w:tcPr>
            <w:tcW w:w="593" w:type="pct"/>
            <w:shd w:val="clear" w:color="auto" w:fill="FFFFFF"/>
            <w:noWrap/>
            <w:vAlign w:val="bottom"/>
          </w:tcPr>
          <w:p w14:paraId="1B31EFD2" w14:textId="4413EF7E"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1.2</w:t>
            </w:r>
          </w:p>
        </w:tc>
        <w:tc>
          <w:tcPr>
            <w:tcW w:w="617" w:type="pct"/>
            <w:shd w:val="clear" w:color="auto" w:fill="FFFFFF"/>
            <w:noWrap/>
            <w:vAlign w:val="bottom"/>
          </w:tcPr>
          <w:p w14:paraId="65CA0FC6" w14:textId="4BD7853F"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2.3</w:t>
            </w:r>
          </w:p>
        </w:tc>
        <w:tc>
          <w:tcPr>
            <w:tcW w:w="616" w:type="pct"/>
            <w:shd w:val="clear" w:color="auto" w:fill="FFFFFF"/>
            <w:noWrap/>
            <w:vAlign w:val="bottom"/>
          </w:tcPr>
          <w:p w14:paraId="13CBF985" w14:textId="261F9EE0" w:rsidR="00F779AF"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C7320D">
              <w:rPr>
                <w:rFonts w:ascii="Aptos" w:hAnsi="Aptos" w:cs="Calibri"/>
                <w:color w:val="000000"/>
                <w:sz w:val="16"/>
                <w:szCs w:val="16"/>
              </w:rPr>
              <w:t>5.6</w:t>
            </w:r>
          </w:p>
        </w:tc>
        <w:tc>
          <w:tcPr>
            <w:tcW w:w="618" w:type="pct"/>
            <w:shd w:val="clear" w:color="auto" w:fill="FFFFFF"/>
            <w:vAlign w:val="bottom"/>
          </w:tcPr>
          <w:p w14:paraId="6EED6EE4" w14:textId="261EBAD0" w:rsidR="00F779AF" w:rsidRPr="00C7320D" w:rsidRDefault="008F7DDE"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C7320D">
              <w:rPr>
                <w:rFonts w:ascii="Aptos" w:hAnsi="Aptos" w:cs="Calibri"/>
                <w:color w:val="000000"/>
                <w:sz w:val="16"/>
                <w:szCs w:val="16"/>
              </w:rPr>
              <w:t>8.9</w:t>
            </w:r>
          </w:p>
        </w:tc>
        <w:tc>
          <w:tcPr>
            <w:tcW w:w="685" w:type="pct"/>
            <w:shd w:val="clear" w:color="auto" w:fill="FFFFFF"/>
            <w:vAlign w:val="bottom"/>
          </w:tcPr>
          <w:p w14:paraId="3FFA3EBD" w14:textId="03F18353" w:rsidR="00594DE7" w:rsidRPr="00C7320D" w:rsidRDefault="008F7DD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sz w:val="16"/>
                <w:szCs w:val="16"/>
              </w:rPr>
            </w:pPr>
            <w:r w:rsidRPr="00C7320D">
              <w:rPr>
                <w:rFonts w:ascii="Aptos" w:hAnsi="Aptos" w:cs="Calibri"/>
                <w:color w:val="000000"/>
                <w:sz w:val="16"/>
                <w:szCs w:val="16"/>
              </w:rPr>
              <w:t>29.9</w:t>
            </w:r>
          </w:p>
        </w:tc>
        <w:tc>
          <w:tcPr>
            <w:tcW w:w="681" w:type="pct"/>
            <w:shd w:val="clear" w:color="auto" w:fill="FFFFFF"/>
            <w:noWrap/>
            <w:vAlign w:val="bottom"/>
          </w:tcPr>
          <w:p w14:paraId="13302DF3" w14:textId="64021C08" w:rsidR="00F779AF" w:rsidRPr="00C7320D"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C7320D">
              <w:rPr>
                <w:rFonts w:ascii="Aptos" w:hAnsi="Aptos" w:cs="Calibri"/>
                <w:b/>
                <w:bCs/>
                <w:color w:val="000000"/>
                <w:sz w:val="16"/>
                <w:szCs w:val="16"/>
              </w:rPr>
              <w:t>1.3</w:t>
            </w:r>
          </w:p>
        </w:tc>
      </w:tr>
    </w:tbl>
    <w:p w14:paraId="7ADD2179" w14:textId="25C81CF9" w:rsidR="006C41B5" w:rsidRPr="00C7320D" w:rsidRDefault="006C41B5" w:rsidP="00B1004A">
      <w:pPr>
        <w:pStyle w:val="notetext"/>
      </w:pPr>
      <w:r w:rsidRPr="00C7320D">
        <w:t>Note: Group medians shown for data-only mobile broadband and fixed broadband prices as a % of GNI per capita.</w:t>
      </w:r>
    </w:p>
    <w:p w14:paraId="105A1439" w14:textId="77777777" w:rsidR="006C41B5" w:rsidRPr="00C7320D" w:rsidRDefault="006C41B5" w:rsidP="00B1004A">
      <w:pPr>
        <w:pStyle w:val="Sourcetext"/>
        <w:rPr>
          <w:highlight w:val="cyan"/>
        </w:rPr>
      </w:pPr>
      <w:r w:rsidRPr="00C7320D">
        <w:t>Source: ITU</w:t>
      </w:r>
    </w:p>
    <w:p w14:paraId="5E66AB54" w14:textId="77777777" w:rsidR="00C775FD" w:rsidRPr="00C7320D"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C7320D">
        <w:rPr>
          <w:rFonts w:ascii="Aptos Display" w:eastAsia="Yu Gothic Light" w:hAnsi="Aptos Display"/>
          <w:color w:val="0F4761"/>
          <w:kern w:val="2"/>
          <w:sz w:val="32"/>
          <w:szCs w:val="32"/>
          <w14:ligatures w14:val="standardContextual"/>
        </w:rPr>
        <w:br w:type="page"/>
      </w:r>
    </w:p>
    <w:p w14:paraId="5E09C4E6" w14:textId="0955A1EC" w:rsidR="006C41B5" w:rsidRPr="00C7320D" w:rsidRDefault="006C41B5" w:rsidP="000C3666">
      <w:pPr>
        <w:pStyle w:val="Section"/>
      </w:pPr>
      <w:bookmarkStart w:id="21" w:name="_Toc191378091"/>
      <w:r w:rsidRPr="00C7320D">
        <w:lastRenderedPageBreak/>
        <w:t xml:space="preserve">Overview of data availability in </w:t>
      </w:r>
      <w:r w:rsidR="00093C9A" w:rsidRPr="00C7320D">
        <w:t>Africa</w:t>
      </w:r>
      <w:bookmarkEnd w:id="21"/>
    </w:p>
    <w:p w14:paraId="679AA64C" w14:textId="77777777" w:rsidR="00D00050" w:rsidRPr="00C7320D" w:rsidRDefault="00D0005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b/>
          <w:i/>
          <w:kern w:val="2"/>
          <w:sz w:val="22"/>
          <w:szCs w:val="22"/>
          <w14:ligatures w14:val="standardContextual"/>
        </w:rPr>
        <w:t>More survey-based ICT indicators, better quality, and greater granularity are needed</w:t>
      </w:r>
      <w:r w:rsidRPr="00C7320D">
        <w:rPr>
          <w:rFonts w:ascii="Aptos" w:eastAsia="Aptos" w:hAnsi="Aptos" w:cs="Arial"/>
          <w:kern w:val="2"/>
          <w:sz w:val="22"/>
          <w:szCs w:val="22"/>
          <w14:ligatures w14:val="standardContextual"/>
        </w:rPr>
        <w:t xml:space="preserve"> </w:t>
      </w:r>
    </w:p>
    <w:p w14:paraId="37D38BB0" w14:textId="40C1D87A" w:rsidR="006C41B5" w:rsidRPr="00C732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77777777" w:rsidR="006C41B5" w:rsidRPr="00C7320D"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importance of data for the delivery of the Kigali Action Plan was acknowledged by the BDT’s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02D998FF" w14:textId="2F8635D9" w:rsidR="006C41B5" w:rsidRPr="00C7320D" w:rsidRDefault="006C41B5"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Availability for a core set of 1</w:t>
      </w:r>
      <w:r w:rsidR="00050E9A" w:rsidRPr="00C7320D">
        <w:rPr>
          <w:rFonts w:ascii="Aptos" w:eastAsia="Aptos" w:hAnsi="Aptos" w:cs="Arial"/>
          <w:kern w:val="2"/>
          <w:sz w:val="22"/>
          <w:szCs w:val="22"/>
          <w14:ligatures w14:val="standardContextual"/>
        </w:rPr>
        <w:t>4</w:t>
      </w:r>
      <w:r w:rsidRPr="00C7320D">
        <w:rPr>
          <w:rFonts w:ascii="Aptos" w:eastAsia="Aptos" w:hAnsi="Aptos" w:cs="Arial"/>
          <w:kern w:val="2"/>
          <w:sz w:val="22"/>
          <w:szCs w:val="22"/>
          <w14:ligatures w14:val="standardContextual"/>
        </w:rPr>
        <w:t xml:space="preserve"> core administrative ICT indicators, typically collected by national regulatory authorities or ministries, is </w:t>
      </w:r>
      <w:r w:rsidR="00996D7B" w:rsidRPr="00C7320D">
        <w:rPr>
          <w:rFonts w:ascii="Aptos" w:eastAsia="Aptos" w:hAnsi="Aptos" w:cs="Arial"/>
          <w:kern w:val="2"/>
          <w:sz w:val="22"/>
          <w:szCs w:val="22"/>
          <w14:ligatures w14:val="standardContextual"/>
        </w:rPr>
        <w:t xml:space="preserve">on average </w:t>
      </w:r>
      <w:r w:rsidR="00CF1EB7" w:rsidRPr="00C7320D">
        <w:rPr>
          <w:rFonts w:ascii="Aptos" w:eastAsia="Aptos" w:hAnsi="Aptos" w:cs="Arial"/>
          <w:kern w:val="2"/>
          <w:sz w:val="22"/>
          <w:szCs w:val="22"/>
          <w14:ligatures w14:val="standardContextual"/>
        </w:rPr>
        <w:t>75</w:t>
      </w:r>
      <w:r w:rsidR="00D8430B" w:rsidRPr="00C7320D">
        <w:rPr>
          <w:rFonts w:ascii="Aptos" w:eastAsia="Aptos" w:hAnsi="Aptos" w:cs="Arial"/>
          <w:kern w:val="2"/>
          <w:sz w:val="22"/>
          <w:szCs w:val="22"/>
          <w14:ligatures w14:val="standardContextual"/>
        </w:rPr>
        <w:t xml:space="preserve"> per cent in the region</w:t>
      </w:r>
      <w:r w:rsidR="00C7145A" w:rsidRPr="00C7320D">
        <w:rPr>
          <w:rFonts w:ascii="Aptos" w:eastAsia="Aptos" w:hAnsi="Aptos" w:cs="Arial"/>
          <w:kern w:val="2"/>
          <w:sz w:val="22"/>
          <w:szCs w:val="22"/>
          <w14:ligatures w14:val="standardContextual"/>
        </w:rPr>
        <w:t xml:space="preserve"> (see</w:t>
      </w:r>
      <w:r w:rsidR="0081086E" w:rsidRPr="00C7320D">
        <w:rPr>
          <w:rFonts w:ascii="Aptos" w:eastAsia="Aptos" w:hAnsi="Aptos" w:cs="Arial"/>
          <w:kern w:val="2"/>
          <w:sz w:val="22"/>
          <w:szCs w:val="22"/>
          <w14:ligatures w14:val="standardContextual"/>
        </w:rPr>
        <w:t xml:space="preserve"> indicator</w:t>
      </w:r>
      <w:r w:rsidR="00C7145A" w:rsidRPr="00C7320D">
        <w:rPr>
          <w:rFonts w:ascii="Aptos" w:eastAsia="Aptos" w:hAnsi="Aptos" w:cs="Arial"/>
          <w:kern w:val="2"/>
          <w:sz w:val="22"/>
          <w:szCs w:val="22"/>
          <w14:ligatures w14:val="standardContextual"/>
        </w:rPr>
        <w:t xml:space="preserve"> list in the note of the figure</w:t>
      </w:r>
      <w:r w:rsidR="00B02247" w:rsidRPr="00C7320D">
        <w:rPr>
          <w:rFonts w:ascii="Aptos" w:eastAsia="Aptos" w:hAnsi="Aptos" w:cs="Arial"/>
          <w:kern w:val="2"/>
          <w:sz w:val="22"/>
          <w:szCs w:val="22"/>
          <w14:ligatures w14:val="standardContextual"/>
        </w:rPr>
        <w:t xml:space="preserve"> below</w:t>
      </w:r>
      <w:r w:rsidR="00C7145A" w:rsidRPr="00C7320D">
        <w:rPr>
          <w:rFonts w:ascii="Aptos" w:eastAsia="Aptos" w:hAnsi="Aptos" w:cs="Arial"/>
          <w:kern w:val="2"/>
          <w:sz w:val="22"/>
          <w:szCs w:val="22"/>
          <w14:ligatures w14:val="standardContextual"/>
        </w:rPr>
        <w:t>)</w:t>
      </w:r>
      <w:r w:rsidR="00600367" w:rsidRPr="00C7320D">
        <w:rPr>
          <w:rFonts w:ascii="Aptos" w:eastAsia="Aptos" w:hAnsi="Aptos" w:cs="Arial"/>
          <w:kern w:val="2"/>
          <w:sz w:val="22"/>
          <w:szCs w:val="22"/>
          <w14:ligatures w14:val="standardContextual"/>
        </w:rPr>
        <w:t xml:space="preserve">. </w:t>
      </w:r>
      <w:r w:rsidR="00C07FCA" w:rsidRPr="00C7320D">
        <w:rPr>
          <w:rFonts w:ascii="Aptos" w:eastAsia="Aptos" w:hAnsi="Aptos" w:cs="Arial"/>
          <w:kern w:val="2"/>
          <w:sz w:val="22"/>
          <w:szCs w:val="22"/>
          <w14:ligatures w14:val="standardContextual"/>
        </w:rPr>
        <w:t>Sixteen</w:t>
      </w:r>
      <w:r w:rsidR="008F08FC" w:rsidRPr="00C7320D">
        <w:rPr>
          <w:rFonts w:ascii="Aptos" w:eastAsia="Aptos" w:hAnsi="Aptos" w:cs="Arial"/>
          <w:kern w:val="2"/>
          <w:sz w:val="22"/>
          <w:szCs w:val="22"/>
          <w14:ligatures w14:val="standardContextual"/>
        </w:rPr>
        <w:t xml:space="preserve"> </w:t>
      </w:r>
      <w:r w:rsidR="00753DB3" w:rsidRPr="00C7320D">
        <w:rPr>
          <w:rFonts w:ascii="Aptos" w:eastAsia="Aptos" w:hAnsi="Aptos" w:cs="Arial"/>
          <w:kern w:val="2"/>
          <w:sz w:val="22"/>
          <w:szCs w:val="22"/>
          <w14:ligatures w14:val="standardContextual"/>
        </w:rPr>
        <w:t>countries</w:t>
      </w:r>
      <w:r w:rsidR="008F08FC" w:rsidRPr="00C7320D">
        <w:rPr>
          <w:rFonts w:ascii="Aptos" w:eastAsia="Aptos" w:hAnsi="Aptos" w:cs="Arial"/>
          <w:kern w:val="2"/>
          <w:sz w:val="22"/>
          <w:szCs w:val="22"/>
          <w14:ligatures w14:val="standardContextual"/>
        </w:rPr>
        <w:t xml:space="preserve"> </w:t>
      </w:r>
      <w:r w:rsidR="004D6FF4" w:rsidRPr="00C7320D">
        <w:rPr>
          <w:rFonts w:ascii="Aptos" w:eastAsia="Aptos" w:hAnsi="Aptos" w:cs="Arial"/>
          <w:kern w:val="2"/>
          <w:sz w:val="22"/>
          <w:szCs w:val="22"/>
          <w14:ligatures w14:val="standardContextual"/>
        </w:rPr>
        <w:t xml:space="preserve">report </w:t>
      </w:r>
      <w:r w:rsidR="008F08FC" w:rsidRPr="00C7320D">
        <w:rPr>
          <w:rFonts w:ascii="Aptos" w:eastAsia="Aptos" w:hAnsi="Aptos" w:cs="Arial"/>
          <w:kern w:val="2"/>
          <w:sz w:val="22"/>
          <w:szCs w:val="22"/>
          <w14:ligatures w14:val="standardContextual"/>
        </w:rPr>
        <w:t>full availability</w:t>
      </w:r>
      <w:r w:rsidR="00753DB3" w:rsidRPr="00C7320D">
        <w:rPr>
          <w:rFonts w:ascii="Aptos" w:eastAsia="Aptos" w:hAnsi="Aptos" w:cs="Arial"/>
          <w:kern w:val="2"/>
          <w:sz w:val="22"/>
          <w:szCs w:val="22"/>
          <w14:ligatures w14:val="standardContextual"/>
        </w:rPr>
        <w:t xml:space="preserve">, </w:t>
      </w:r>
      <w:r w:rsidR="00B02247" w:rsidRPr="00C7320D">
        <w:rPr>
          <w:rFonts w:ascii="Aptos" w:eastAsia="Aptos" w:hAnsi="Aptos" w:cs="Arial"/>
          <w:kern w:val="2"/>
          <w:sz w:val="22"/>
          <w:szCs w:val="22"/>
          <w14:ligatures w14:val="standardContextual"/>
        </w:rPr>
        <w:t xml:space="preserve">while </w:t>
      </w:r>
      <w:r w:rsidR="00EF231E" w:rsidRPr="00C7320D">
        <w:rPr>
          <w:rFonts w:ascii="Aptos" w:eastAsia="Aptos" w:hAnsi="Aptos" w:cs="Arial"/>
          <w:kern w:val="2"/>
          <w:sz w:val="22"/>
          <w:szCs w:val="22"/>
          <w14:ligatures w14:val="standardContextual"/>
        </w:rPr>
        <w:t>seven</w:t>
      </w:r>
      <w:r w:rsidR="008F08FC" w:rsidRPr="00C7320D">
        <w:rPr>
          <w:rFonts w:ascii="Aptos" w:eastAsia="Aptos" w:hAnsi="Aptos" w:cs="Arial"/>
          <w:kern w:val="2"/>
          <w:sz w:val="22"/>
          <w:szCs w:val="22"/>
          <w14:ligatures w14:val="standardContextual"/>
        </w:rPr>
        <w:t xml:space="preserve"> countries </w:t>
      </w:r>
      <w:r w:rsidR="00B02247" w:rsidRPr="00C7320D">
        <w:rPr>
          <w:rFonts w:ascii="Aptos" w:eastAsia="Aptos" w:hAnsi="Aptos" w:cs="Arial"/>
          <w:kern w:val="2"/>
          <w:sz w:val="22"/>
          <w:szCs w:val="22"/>
          <w14:ligatures w14:val="standardContextual"/>
        </w:rPr>
        <w:t xml:space="preserve">are missing </w:t>
      </w:r>
      <w:r w:rsidR="00C57D32" w:rsidRPr="00C7320D">
        <w:rPr>
          <w:rFonts w:ascii="Aptos" w:eastAsia="Aptos" w:hAnsi="Aptos" w:cs="Arial"/>
          <w:kern w:val="2"/>
          <w:sz w:val="22"/>
          <w:szCs w:val="22"/>
          <w14:ligatures w14:val="standardContextual"/>
        </w:rPr>
        <w:t xml:space="preserve">only </w:t>
      </w:r>
      <w:r w:rsidR="008F08FC" w:rsidRPr="00C7320D">
        <w:rPr>
          <w:rFonts w:ascii="Aptos" w:eastAsia="Aptos" w:hAnsi="Aptos" w:cs="Arial"/>
          <w:kern w:val="2"/>
          <w:sz w:val="22"/>
          <w:szCs w:val="22"/>
          <w14:ligatures w14:val="standardContextual"/>
        </w:rPr>
        <w:t xml:space="preserve">one </w:t>
      </w:r>
      <w:r w:rsidR="00C57D32" w:rsidRPr="00C7320D">
        <w:rPr>
          <w:rFonts w:ascii="Aptos" w:eastAsia="Aptos" w:hAnsi="Aptos" w:cs="Arial"/>
          <w:kern w:val="2"/>
          <w:sz w:val="22"/>
          <w:szCs w:val="22"/>
          <w14:ligatures w14:val="standardContextual"/>
        </w:rPr>
        <w:t>indicator</w:t>
      </w:r>
      <w:r w:rsidR="008F08FC" w:rsidRPr="00C7320D">
        <w:rPr>
          <w:rFonts w:ascii="Aptos" w:eastAsia="Aptos" w:hAnsi="Aptos" w:cs="Arial"/>
          <w:kern w:val="2"/>
          <w:sz w:val="22"/>
          <w:szCs w:val="22"/>
          <w14:ligatures w14:val="standardContextual"/>
        </w:rPr>
        <w:t xml:space="preserve">. </w:t>
      </w:r>
      <w:r w:rsidR="00EF231E" w:rsidRPr="00C7320D">
        <w:rPr>
          <w:rFonts w:ascii="Aptos" w:eastAsia="Aptos" w:hAnsi="Aptos" w:cs="Arial"/>
          <w:kern w:val="2"/>
          <w:sz w:val="22"/>
          <w:szCs w:val="22"/>
          <w14:ligatures w14:val="standardContextual"/>
        </w:rPr>
        <w:t xml:space="preserve">On the other hand, there are </w:t>
      </w:r>
      <w:r w:rsidR="00903408" w:rsidRPr="00C7320D">
        <w:rPr>
          <w:rFonts w:ascii="Aptos" w:eastAsia="Aptos" w:hAnsi="Aptos" w:cs="Arial"/>
          <w:kern w:val="2"/>
          <w:sz w:val="22"/>
          <w:szCs w:val="22"/>
          <w14:ligatures w14:val="standardContextual"/>
        </w:rPr>
        <w:t>six countries that haven’t provided any data in 2022 or 2023</w:t>
      </w:r>
      <w:r w:rsidR="00864EF9" w:rsidRPr="00C7320D">
        <w:rPr>
          <w:rFonts w:ascii="Aptos" w:eastAsia="Aptos" w:hAnsi="Aptos" w:cs="Arial"/>
          <w:kern w:val="2"/>
          <w:sz w:val="22"/>
          <w:szCs w:val="22"/>
          <w14:ligatures w14:val="standardContextual"/>
        </w:rPr>
        <w:t>.</w:t>
      </w:r>
    </w:p>
    <w:p w14:paraId="70CF0F9A" w14:textId="77777777"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C7320D">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1F96064B" w:rsidR="001E5B86" w:rsidRPr="00C7320D" w:rsidRDefault="00580C12" w:rsidP="00B1004A">
      <w:pPr>
        <w:pStyle w:val="notetext"/>
      </w:pPr>
      <w:r w:rsidRPr="00C7320D">
        <w:rPr>
          <w:noProof/>
        </w:rPr>
        <w:drawing>
          <wp:inline distT="0" distB="0" distL="0" distR="0" wp14:anchorId="597C29BC" wp14:editId="78B92B82">
            <wp:extent cx="6120765" cy="2874645"/>
            <wp:effectExtent l="0" t="0" r="0" b="1905"/>
            <wp:docPr id="7325483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48302"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2874645"/>
                    </a:xfrm>
                    <a:prstGeom prst="rect">
                      <a:avLst/>
                    </a:prstGeom>
                  </pic:spPr>
                </pic:pic>
              </a:graphicData>
            </a:graphic>
          </wp:inline>
        </w:drawing>
      </w:r>
      <w:r w:rsidR="001E5B86" w:rsidRPr="00C7320D">
        <w:t xml:space="preserve">Note: An indicator is considered available if at least one value is available for the period in question.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C7320D">
        <w:t xml:space="preserve">international bandwidth usage, </w:t>
      </w:r>
      <w:r w:rsidR="001E5B86" w:rsidRPr="00C7320D">
        <w:t xml:space="preserve">total telecommunication revenues and investment in telecommunication services. </w:t>
      </w:r>
    </w:p>
    <w:p w14:paraId="738A03AA" w14:textId="77777777" w:rsidR="006C41B5" w:rsidRPr="00C7320D" w:rsidRDefault="006C41B5" w:rsidP="00B1004A">
      <w:pPr>
        <w:pStyle w:val="Sourcetext"/>
      </w:pPr>
      <w:r w:rsidRPr="00C7320D">
        <w:t>Source: ITU</w:t>
      </w:r>
    </w:p>
    <w:p w14:paraId="24EE73FD" w14:textId="77777777" w:rsidR="001E5EA4" w:rsidRPr="00C7320D" w:rsidRDefault="001E5EA4">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br w:type="page"/>
      </w:r>
    </w:p>
    <w:p w14:paraId="51C45DD6" w14:textId="3EC37E1B" w:rsidR="007A091B" w:rsidRPr="00C7320D" w:rsidRDefault="007A091B" w:rsidP="007A091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 xml:space="preserve">In contrast, data on ICT access and usage by households and individuals, usually derived from household surveys, is generally lacking for countries in the region. Only nine countries in </w:t>
      </w:r>
      <w:r w:rsidR="00D0451F" w:rsidRPr="00C7320D">
        <w:rPr>
          <w:rFonts w:ascii="Aptos" w:eastAsia="Aptos" w:hAnsi="Aptos" w:cs="Arial"/>
          <w:kern w:val="2"/>
          <w:sz w:val="22"/>
          <w:szCs w:val="22"/>
          <w14:ligatures w14:val="standardContextual"/>
        </w:rPr>
        <w:t>Africa</w:t>
      </w:r>
      <w:r w:rsidRPr="00C7320D">
        <w:rPr>
          <w:rFonts w:ascii="Aptos" w:eastAsia="Aptos" w:hAnsi="Aptos" w:cs="Arial"/>
          <w:kern w:val="2"/>
          <w:sz w:val="22"/>
          <w:szCs w:val="22"/>
          <w14:ligatures w14:val="standardContextual"/>
        </w:rPr>
        <w:t xml:space="preserve"> have provided </w:t>
      </w:r>
      <w:r w:rsidR="005325A4" w:rsidRPr="00C7320D">
        <w:rPr>
          <w:rFonts w:ascii="Aptos" w:eastAsia="Aptos" w:hAnsi="Aptos" w:cs="Arial"/>
          <w:kern w:val="2"/>
          <w:sz w:val="22"/>
          <w:szCs w:val="22"/>
          <w14:ligatures w14:val="standardContextual"/>
        </w:rPr>
        <w:t>even</w:t>
      </w:r>
      <w:r w:rsidRPr="00C7320D">
        <w:rPr>
          <w:rFonts w:ascii="Aptos" w:eastAsia="Aptos" w:hAnsi="Aptos" w:cs="Arial"/>
          <w:kern w:val="2"/>
          <w:sz w:val="22"/>
          <w:szCs w:val="22"/>
          <w14:ligatures w14:val="standardContextual"/>
        </w:rPr>
        <w:t xml:space="preserve"> partial data on ICT household indicators for the period 2022-2024. </w:t>
      </w:r>
      <w:r w:rsidR="007902B3" w:rsidRPr="00C7320D">
        <w:rPr>
          <w:rFonts w:ascii="Aptos" w:eastAsia="Aptos" w:hAnsi="Aptos" w:cs="Arial"/>
          <w:kern w:val="2"/>
          <w:sz w:val="22"/>
          <w:szCs w:val="22"/>
          <w14:ligatures w14:val="standardContextual"/>
        </w:rPr>
        <w:t>Eigh</w:t>
      </w:r>
      <w:r w:rsidRPr="00C7320D">
        <w:rPr>
          <w:rFonts w:ascii="Aptos" w:eastAsia="Aptos" w:hAnsi="Aptos" w:cs="Arial"/>
          <w:kern w:val="2"/>
          <w:sz w:val="22"/>
          <w:szCs w:val="22"/>
          <w14:ligatures w14:val="standardContextual"/>
        </w:rPr>
        <w:t>teen countries have</w:t>
      </w:r>
      <w:r w:rsidR="005325A4" w:rsidRPr="00C7320D">
        <w:rPr>
          <w:rFonts w:ascii="Aptos" w:eastAsia="Aptos" w:hAnsi="Aptos" w:cs="Arial"/>
          <w:kern w:val="2"/>
          <w:sz w:val="22"/>
          <w:szCs w:val="22"/>
          <w14:ligatures w14:val="standardContextual"/>
        </w:rPr>
        <w:t xml:space="preserve"> </w:t>
      </w:r>
      <w:r w:rsidRPr="00C7320D">
        <w:rPr>
          <w:rFonts w:ascii="Aptos" w:eastAsia="Aptos" w:hAnsi="Aptos" w:cs="Arial"/>
          <w:kern w:val="2"/>
          <w:sz w:val="22"/>
          <w:szCs w:val="22"/>
          <w14:ligatures w14:val="standardContextual"/>
        </w:rPr>
        <w:t>n</w:t>
      </w:r>
      <w:r w:rsidR="005325A4" w:rsidRPr="00C7320D">
        <w:rPr>
          <w:rFonts w:ascii="Aptos" w:eastAsia="Aptos" w:hAnsi="Aptos" w:cs="Arial"/>
          <w:kern w:val="2"/>
          <w:sz w:val="22"/>
          <w:szCs w:val="22"/>
          <w14:ligatures w14:val="standardContextual"/>
        </w:rPr>
        <w:t>o</w:t>
      </w:r>
      <w:r w:rsidRPr="00C7320D">
        <w:rPr>
          <w:rFonts w:ascii="Aptos" w:eastAsia="Aptos" w:hAnsi="Aptos" w:cs="Arial"/>
          <w:kern w:val="2"/>
          <w:sz w:val="22"/>
          <w:szCs w:val="22"/>
          <w14:ligatures w14:val="standardContextual"/>
        </w:rPr>
        <w:t xml:space="preserve">t provided any data in the last ten years. </w:t>
      </w:r>
    </w:p>
    <w:p w14:paraId="78FA3BCC" w14:textId="77777777" w:rsidR="006C41B5" w:rsidRPr="00C7320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7320D">
        <w:rPr>
          <w:rFonts w:ascii="AvenirNext LT Pro Light" w:eastAsia="Yu Gothic Light" w:hAnsi="AvenirNext LT Pro Light" w:cs="Calibri"/>
          <w:color w:val="0070C0"/>
          <w:spacing w:val="-10"/>
          <w:kern w:val="28"/>
          <w:szCs w:val="24"/>
        </w:rPr>
        <w:t>Latest year of submission of ICT household survey data, by socio-economic attribute</w:t>
      </w:r>
    </w:p>
    <w:p w14:paraId="00126953" w14:textId="0232CE36" w:rsidR="001505A7" w:rsidRPr="00C7320D" w:rsidRDefault="006E4647" w:rsidP="00756C9C">
      <w:pPr>
        <w:pStyle w:val="Sourcetext"/>
      </w:pPr>
      <w:r w:rsidRPr="00C7320D">
        <w:rPr>
          <w:noProof/>
        </w:rPr>
        <w:drawing>
          <wp:inline distT="0" distB="0" distL="0" distR="0" wp14:anchorId="2C683A5D" wp14:editId="7F7F4A15">
            <wp:extent cx="5347663" cy="6838950"/>
            <wp:effectExtent l="0" t="0" r="5715" b="0"/>
            <wp:docPr id="26188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49466" cy="6841256"/>
                    </a:xfrm>
                    <a:prstGeom prst="rect">
                      <a:avLst/>
                    </a:prstGeom>
                    <a:noFill/>
                    <a:ln>
                      <a:noFill/>
                    </a:ln>
                  </pic:spPr>
                </pic:pic>
              </a:graphicData>
            </a:graphic>
          </wp:inline>
        </w:drawing>
      </w:r>
    </w:p>
    <w:p w14:paraId="644FD988" w14:textId="6947BC5F" w:rsidR="006C41B5" w:rsidRPr="00C7320D" w:rsidRDefault="006C41B5" w:rsidP="00B1004A">
      <w:pPr>
        <w:pStyle w:val="Sourcetext"/>
      </w:pPr>
      <w:r w:rsidRPr="00C7320D">
        <w:t>Source: ITU</w:t>
      </w:r>
    </w:p>
    <w:p w14:paraId="6B32B5D2" w14:textId="77777777" w:rsidR="00EC4D95" w:rsidRPr="00C7320D" w:rsidRDefault="00EC4D95" w:rsidP="00EC4D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issue is even more acute for data disaggregated by socio-economic attributes, which is often not available. Only two countries have submitted recent data (2022 or more recent) for all six attributes of interest. Seven other countries have submitted recent data for at least one attribute. </w:t>
      </w:r>
    </w:p>
    <w:p w14:paraId="13762052" w14:textId="77777777" w:rsidR="00EC4D95" w:rsidRPr="00C7320D" w:rsidRDefault="00EC4D95" w:rsidP="00EC4D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lastRenderedPageBreak/>
        <w:t>Even when data is available, it may suffer from poor sample design, inadequate collection methods, or low response rates. Such shortcomings are likely to yield misleading results and may result in misguided policies. (For example, overestimation of ICT skills could lead policymakers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7310A60A" w14:textId="77777777" w:rsidR="00394925" w:rsidRPr="00C7320D" w:rsidRDefault="0039492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sidRPr="00C7320D">
        <w:br w:type="page"/>
      </w:r>
    </w:p>
    <w:p w14:paraId="31D9AECE" w14:textId="5A0D950C" w:rsidR="006C41B5" w:rsidRPr="00C7320D" w:rsidRDefault="006C41B5" w:rsidP="000C3666">
      <w:pPr>
        <w:pStyle w:val="Parttitle0"/>
      </w:pPr>
      <w:bookmarkStart w:id="22" w:name="_Toc191378092"/>
      <w:r w:rsidRPr="00C7320D">
        <w:lastRenderedPageBreak/>
        <w:t>Part 2</w:t>
      </w:r>
      <w:r w:rsidR="006731EB" w:rsidRPr="00C7320D">
        <w:t>.</w:t>
      </w:r>
      <w:r w:rsidRPr="00C7320D">
        <w:t xml:space="preserve"> BDT4Impact: Selected case studies from </w:t>
      </w:r>
      <w:r w:rsidR="00093C9A" w:rsidRPr="00C7320D">
        <w:t>Africa</w:t>
      </w:r>
      <w:bookmarkEnd w:id="22"/>
    </w:p>
    <w:p w14:paraId="10BF8E4A" w14:textId="77777777" w:rsidR="000B3FDF" w:rsidRPr="00C7320D" w:rsidRDefault="000B3FDF" w:rsidP="00C16DC5">
      <w:pPr>
        <w:pStyle w:val="Section"/>
      </w:pPr>
      <w:bookmarkStart w:id="23" w:name="_Toc191378093"/>
      <w:r w:rsidRPr="00C7320D">
        <w:t>Visually impaired people in Ghana learn computer basics</w:t>
      </w:r>
      <w:bookmarkEnd w:id="23"/>
      <w:r w:rsidRPr="00C7320D">
        <w:t xml:space="preserve"> </w:t>
      </w:r>
    </w:p>
    <w:p w14:paraId="1FC2629C"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ITU </w:t>
      </w:r>
      <w:hyperlink r:id="rId113" w:history="1">
        <w:r w:rsidRPr="00C7320D">
          <w:rPr>
            <w:rStyle w:val="Hyperlink"/>
            <w:rFonts w:ascii="Aptos" w:eastAsia="Aptos" w:hAnsi="Aptos" w:cs="Arial"/>
            <w:kern w:val="2"/>
            <w:sz w:val="22"/>
            <w:szCs w:val="22"/>
            <w14:ligatures w14:val="standardContextual"/>
          </w:rPr>
          <w:t>Digital Transformation Centres Initiative (DTCI)</w:t>
        </w:r>
      </w:hyperlink>
      <w:r w:rsidRPr="00C7320D">
        <w:rPr>
          <w:rFonts w:ascii="Aptos" w:eastAsia="Aptos" w:hAnsi="Aptos" w:cs="Arial"/>
          <w:kern w:val="2"/>
          <w:sz w:val="22"/>
          <w:szCs w:val="22"/>
          <w14:ligatures w14:val="standardContextual"/>
        </w:rPr>
        <w:t xml:space="preserve">  is supporting countries as they strengthen the digital capacity of citizens, particularly in underserved communities.</w:t>
      </w:r>
    </w:p>
    <w:p w14:paraId="7F4DB736"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Under the Initiative, the ITU Telecommunication Development Bureau and the STMicroelectronics Foundation (ST Foundation) have collaborated to deliver training in basic and intermediate digital skills for citizens in countries where the Centers and the ST Foundation have a presence.</w:t>
      </w:r>
    </w:p>
    <w:p w14:paraId="637A89D4"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collaboration will also explore expanding DTCI course offerings by incorporating ST Foundation’s training resources on digital skills for people with disabilities.</w:t>
      </w:r>
    </w:p>
    <w:p w14:paraId="6F06638D"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One example of this partnership in action was a course on computer basics for visually impaired people in Ghana in November 2023. The course used a variety of training styles (virtual, face-to-face, and offline) and took advantage of new, low-cost assistive technologies for education.</w:t>
      </w:r>
    </w:p>
    <w:p w14:paraId="63261ABF"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training, held at the University of Ghana Computing Systems Assistive Technology Laboratory, brought together 20 trainers – 10 visually impaired and 10 sighted. </w:t>
      </w:r>
    </w:p>
    <w:p w14:paraId="47DCFB69"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trainings were carried out in a way that enabled sighted trainers to experience the sessions in the same way that their visually impaired counterparts did, a method that fosters a deeper understanding of the challenges of visually impaired learners. </w:t>
      </w:r>
    </w:p>
    <w:p w14:paraId="3674CF88" w14:textId="77777777" w:rsidR="000B3FDF" w:rsidRPr="00C7320D" w:rsidRDefault="000B3FDF" w:rsidP="00C16DC5">
      <w:pPr>
        <w:pStyle w:val="Section"/>
      </w:pPr>
      <w:bookmarkStart w:id="24" w:name="_Toc191378094"/>
      <w:r w:rsidRPr="00C7320D">
        <w:t>Working toward a digitally enabled Uganda</w:t>
      </w:r>
      <w:bookmarkEnd w:id="24"/>
    </w:p>
    <w:p w14:paraId="3A4A66C1"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ITU Telecommunication Development Bureau is working with the Government of Uganda on many fronts to support the </w:t>
      </w:r>
      <w:hyperlink r:id="rId114" w:history="1">
        <w:r w:rsidRPr="00C7320D">
          <w:rPr>
            <w:rStyle w:val="Hyperlink"/>
            <w:rFonts w:ascii="Aptos" w:eastAsia="Aptos" w:hAnsi="Aptos" w:cs="Arial"/>
            <w:kern w:val="2"/>
            <w:sz w:val="22"/>
            <w:szCs w:val="22"/>
            <w14:ligatures w14:val="standardContextual"/>
          </w:rPr>
          <w:t>country’s transition into a digitally enabled society and knowledge economy</w:t>
        </w:r>
      </w:hyperlink>
      <w:r w:rsidRPr="00C7320D">
        <w:rPr>
          <w:rFonts w:ascii="Aptos" w:eastAsia="Aptos" w:hAnsi="Aptos" w:cs="Arial"/>
          <w:kern w:val="2"/>
          <w:sz w:val="22"/>
          <w:szCs w:val="22"/>
          <w14:ligatures w14:val="standardContextual"/>
        </w:rPr>
        <w:t>.</w:t>
      </w:r>
    </w:p>
    <w:p w14:paraId="5354C57E"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Among the efforts is a multi-pronged project entitled "Technical Assistance and Training to Uganda on National ICT Development Strategy" that is supporting the country as it crafts policies on matters such as 5G uptake, e-waste management, and extended producer responsibility. The project is also providing a wide variety of capacity-building activities in child online protection, data privacy, spectrum management, digital skills assessment, and more.</w:t>
      </w:r>
    </w:p>
    <w:p w14:paraId="76294245"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Implemented by ITU and the Government of Uganda, with financial support from the South-South Cooperation Assistance Fund and the Global Development and South-South Cooperation Fund, the project aligns with Uganda's Digital Transformation Roadmap (2023-2027).</w:t>
      </w:r>
    </w:p>
    <w:p w14:paraId="27E0468E"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Many of the project’s cross-cutting capacity-development activities are delivered in partnership with the Uganda Institute of Communications and Technology (UICT). These include advanced technical training for government officials and basic digital skills courses for entrepreneurs, teachers, and rural healthcare providers.</w:t>
      </w:r>
    </w:p>
    <w:p w14:paraId="61FF883B"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UICT also serves as one of ITU’s 14 Digital Transformation Centers, which are providing digital skills training across the globe.</w:t>
      </w:r>
    </w:p>
    <w:p w14:paraId="13E9A082" w14:textId="77777777" w:rsidR="00C16DC5" w:rsidRPr="00C7320D" w:rsidRDefault="00C16DC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C7320D">
        <w:br w:type="page"/>
      </w:r>
    </w:p>
    <w:p w14:paraId="3D4AECF4" w14:textId="6C62587D" w:rsidR="000B3FDF" w:rsidRPr="00C7320D" w:rsidRDefault="000B3FDF" w:rsidP="00C16DC5">
      <w:pPr>
        <w:pStyle w:val="Section"/>
      </w:pPr>
      <w:bookmarkStart w:id="25" w:name="_Toc191378095"/>
      <w:r w:rsidRPr="00C7320D">
        <w:lastRenderedPageBreak/>
        <w:t>Digital terrestrial television training in Brazzaville, Republic of Congo</w:t>
      </w:r>
      <w:bookmarkEnd w:id="25"/>
      <w:r w:rsidRPr="00C7320D">
        <w:t xml:space="preserve"> </w:t>
      </w:r>
    </w:p>
    <w:p w14:paraId="7E711D43"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ITU Regional Office for Africa hosted a </w:t>
      </w:r>
      <w:hyperlink r:id="rId115" w:history="1">
        <w:r w:rsidRPr="00C7320D">
          <w:rPr>
            <w:rStyle w:val="Hyperlink"/>
            <w:rFonts w:ascii="Aptos" w:eastAsia="Aptos" w:hAnsi="Aptos" w:cs="Arial"/>
            <w:kern w:val="2"/>
            <w:sz w:val="22"/>
            <w:szCs w:val="22"/>
            <w14:ligatures w14:val="standardContextual"/>
          </w:rPr>
          <w:t>training on digital terrestrial television in Brazzaville, Republic of Congo</w:t>
        </w:r>
      </w:hyperlink>
      <w:r w:rsidRPr="00C7320D">
        <w:rPr>
          <w:rFonts w:ascii="Aptos" w:eastAsia="Aptos" w:hAnsi="Aptos" w:cs="Arial"/>
          <w:kern w:val="2"/>
          <w:sz w:val="22"/>
          <w:szCs w:val="22"/>
          <w14:ligatures w14:val="standardContextual"/>
        </w:rPr>
        <w:t xml:space="preserve"> in April 2024.</w:t>
      </w:r>
    </w:p>
    <w:p w14:paraId="547C7E43"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Participants from 34 countries gathered for the training, which supported the countries’ transition from analogue to digital television and strengthened collaboration among African telecommunication regulators.</w:t>
      </w:r>
    </w:p>
    <w:p w14:paraId="4704B1F9"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Digital television offers better quality, more content, and more features than the old analogue system.</w:t>
      </w:r>
    </w:p>
    <w:p w14:paraId="1A2C6AEF"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training equipped professionals with knowledge and practical skills on transitioning from analogue to digital processes, and on the implementation of migration roadmaps. Practical exercises helped participants understand the challenges their countries might face when deploying digital terrestrial television.</w:t>
      </w:r>
    </w:p>
    <w:p w14:paraId="350F259F"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training was provided as part of the PRIDA project, which aims to facilitate universally accessible, affordable, and efficient wireless broadband services across Africa, unleashing the cross-cutting benefits of ICT services. PRIDA is a joint initiative of the African Union, the European Union, and ITU.</w:t>
      </w:r>
    </w:p>
    <w:p w14:paraId="59B33EA0" w14:textId="77777777" w:rsidR="000B3FDF" w:rsidRPr="00C7320D" w:rsidRDefault="000B3FDF" w:rsidP="00C16DC5">
      <w:pPr>
        <w:pStyle w:val="Section"/>
      </w:pPr>
      <w:bookmarkStart w:id="26" w:name="_Toc191378096"/>
      <w:r w:rsidRPr="00C7320D">
        <w:t>A new national e-waste policy in Malawi</w:t>
      </w:r>
      <w:bookmarkEnd w:id="26"/>
    </w:p>
    <w:p w14:paraId="77E116CC"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National E-waste Management Policy – </w:t>
      </w:r>
      <w:hyperlink r:id="rId116" w:history="1">
        <w:r w:rsidRPr="00C7320D">
          <w:rPr>
            <w:rStyle w:val="Hyperlink"/>
            <w:rFonts w:ascii="Aptos" w:eastAsia="Aptos" w:hAnsi="Aptos" w:cs="Arial"/>
            <w:kern w:val="2"/>
            <w:sz w:val="22"/>
            <w:szCs w:val="22"/>
            <w14:ligatures w14:val="standardContextual"/>
          </w:rPr>
          <w:t>Malawi’s first guiding document for e-waste management</w:t>
        </w:r>
      </w:hyperlink>
      <w:r w:rsidRPr="00C7320D">
        <w:rPr>
          <w:rFonts w:ascii="Aptos" w:eastAsia="Aptos" w:hAnsi="Aptos" w:cs="Arial"/>
          <w:kern w:val="2"/>
          <w:sz w:val="22"/>
          <w:szCs w:val="22"/>
          <w14:ligatures w14:val="standardContextual"/>
        </w:rPr>
        <w:t xml:space="preserve"> – was launched in October 2024. </w:t>
      </w:r>
    </w:p>
    <w:p w14:paraId="294BF654"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Officials in Malawi said the new policy limits the importation of e-waste, mandates that all equipment is properly vetted, that illegal movement of materials is stopped, and that other countries are protected.</w:t>
      </w:r>
    </w:p>
    <w:p w14:paraId="4542EA58"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policy was developed over seven years by the Ministry of Natural Resources and Climate Change through the Environmental Affairs Department, in collaboration with the Malawi Communication Regulatory Authority, and with support from ITU’s Telecommunication Development Bureau.</w:t>
      </w:r>
    </w:p>
    <w:p w14:paraId="090AEA1A" w14:textId="77777777" w:rsidR="000B3FDF" w:rsidRPr="00C7320D" w:rsidRDefault="000B3FDF" w:rsidP="00C16DC5">
      <w:pPr>
        <w:pStyle w:val="Section"/>
      </w:pPr>
      <w:bookmarkStart w:id="27" w:name="_Toc191378097"/>
      <w:r w:rsidRPr="00C7320D">
        <w:t>Businesswomen in Africa thrive after developing their digital skills</w:t>
      </w:r>
      <w:bookmarkEnd w:id="27"/>
    </w:p>
    <w:p w14:paraId="25435F99"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New horizons are opening for young fashion entrepreneurs in </w:t>
      </w:r>
      <w:hyperlink r:id="rId117" w:history="1">
        <w:r w:rsidRPr="00C7320D">
          <w:rPr>
            <w:rStyle w:val="Hyperlink"/>
            <w:rFonts w:ascii="Aptos" w:eastAsia="Aptos" w:hAnsi="Aptos" w:cs="Arial"/>
            <w:kern w:val="2"/>
            <w:sz w:val="22"/>
            <w:szCs w:val="22"/>
            <w14:ligatures w14:val="standardContextual"/>
          </w:rPr>
          <w:t>Burundi</w:t>
        </w:r>
      </w:hyperlink>
      <w:r w:rsidRPr="00C7320D">
        <w:rPr>
          <w:rFonts w:ascii="Aptos" w:eastAsia="Aptos" w:hAnsi="Aptos" w:cs="Arial"/>
          <w:kern w:val="2"/>
          <w:sz w:val="22"/>
          <w:szCs w:val="22"/>
          <w14:ligatures w14:val="standardContextual"/>
        </w:rPr>
        <w:t xml:space="preserve"> and </w:t>
      </w:r>
      <w:hyperlink r:id="rId118" w:history="1">
        <w:r w:rsidRPr="00C7320D">
          <w:rPr>
            <w:rStyle w:val="Hyperlink"/>
            <w:rFonts w:ascii="Aptos" w:eastAsia="Aptos" w:hAnsi="Aptos" w:cs="Arial"/>
            <w:kern w:val="2"/>
            <w:sz w:val="22"/>
            <w:szCs w:val="22"/>
            <w14:ligatures w14:val="standardContextual"/>
          </w:rPr>
          <w:t>Ethiopia</w:t>
        </w:r>
      </w:hyperlink>
      <w:r w:rsidRPr="00C7320D">
        <w:rPr>
          <w:rFonts w:ascii="Aptos" w:eastAsia="Aptos" w:hAnsi="Aptos" w:cs="Arial"/>
          <w:kern w:val="2"/>
          <w:sz w:val="22"/>
          <w:szCs w:val="22"/>
          <w14:ligatures w14:val="standardContextual"/>
        </w:rPr>
        <w:t xml:space="preserve"> who have learned to create websites, conduct online market research, and harness the power of social media.</w:t>
      </w:r>
    </w:p>
    <w:p w14:paraId="23B81C0E"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learning was made possible by a joint mentorship initiative of the ITU Telecommunication Development Bureau, the Enhanced Integrated Framework and EQUALS Global Partnership.</w:t>
      </w:r>
    </w:p>
    <w:p w14:paraId="7EA8569C"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“We were able to really connect with the markets, connect with new buyers, connect with a new audience, study whether or not our brands and our products would be a good fit for the market,” said Margaux Rusita, founder and chief designer at Margaux Wong in Burundi. “Using technology, we were able to show them our websites and our Instagram.”</w:t>
      </w:r>
    </w:p>
    <w:p w14:paraId="4088721F"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difficult thing for me was how to reach out to buyers, how to reach out to customers, how to do it through e-commerce, how to use social media,” said Mastewal, a fashion designer in Ethiopia whose business benefitted from the training. She employs three other women. “It gives me a wonderful feeling to empower myself and to empower others.”</w:t>
      </w:r>
    </w:p>
    <w:p w14:paraId="0A3FB785" w14:textId="77777777" w:rsidR="000B3FDF" w:rsidRPr="00C7320D" w:rsidRDefault="000B3FDF" w:rsidP="00C16DC5">
      <w:pPr>
        <w:pStyle w:val="Section"/>
      </w:pPr>
      <w:bookmarkStart w:id="28" w:name="_Toc191378098"/>
      <w:r w:rsidRPr="00C7320D">
        <w:lastRenderedPageBreak/>
        <w:t>Building regulatory capacity and regional collaboration through ICT benchmarking in Equatorial Guinea</w:t>
      </w:r>
      <w:bookmarkEnd w:id="28"/>
    </w:p>
    <w:p w14:paraId="70044746"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ITU’s Telecommunication Development Bureau organized a two-day hands-on workshop in Malabo that provided Central Africa’s regulators with tools to bridge gaps in ICT policy and regulatory frameworks across 11 member countries of the Economic Community of Central African States.</w:t>
      </w:r>
    </w:p>
    <w:p w14:paraId="01E0192D"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The ‘Stakeholder Workshop for Benchmarking of ICT in Central Africa’ aimed to strengthen the foundation for regional cooperation through interactive sessions on regulatory frameworks, data-driven policy approaches and collaborative governance.</w:t>
      </w:r>
    </w:p>
    <w:p w14:paraId="0D3276CB"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Among the workshop’s standout moments was a session on co-creation of national roadmaps, where participants worked together to craft actionable strategies to address shared challenges such as data governance and regulatory coherence across sectors.</w:t>
      </w:r>
    </w:p>
    <w:p w14:paraId="6403FA00"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During the workshop, participants also worked together to strengthen capacity-building initiatives; align national ICT strategies with the African Union’s Digital Transformation Strategy; and enhance regional collaboration by bringing together regulators, policymakers, and stakeholders under a shared vision for digital transformation and regional integration.</w:t>
      </w:r>
    </w:p>
    <w:p w14:paraId="570EC69D"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The workshop was organized in collaboration with the European Union delegation in the Democratic Republic of Congo and Cellule d'appui à l'Ordonnateur national du Fonds européen de développement (COFED). </w:t>
      </w:r>
    </w:p>
    <w:p w14:paraId="28E666BD" w14:textId="77777777" w:rsidR="000B3FDF" w:rsidRPr="00C7320D" w:rsidRDefault="000B3FDF" w:rsidP="000B3F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B8D96EC" w14:textId="64B9B53F" w:rsidR="00E03647" w:rsidRPr="00C7320D" w:rsidRDefault="00E03647" w:rsidP="003949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br w:type="page"/>
      </w:r>
    </w:p>
    <w:p w14:paraId="3EEF5D22" w14:textId="6C155758" w:rsidR="006C41B5" w:rsidRPr="00C7320D" w:rsidRDefault="006C41B5" w:rsidP="000C3666">
      <w:pPr>
        <w:pStyle w:val="Parttitle0"/>
      </w:pPr>
      <w:bookmarkStart w:id="29" w:name="_Toc191378099"/>
      <w:r w:rsidRPr="00C7320D">
        <w:lastRenderedPageBreak/>
        <w:t>Annex</w:t>
      </w:r>
      <w:r w:rsidR="00DC4955" w:rsidRPr="00C7320D">
        <w:t>:</w:t>
      </w:r>
      <w:r w:rsidRPr="00C7320D">
        <w:t xml:space="preserve"> Data resources</w:t>
      </w:r>
      <w:bookmarkEnd w:id="29"/>
      <w:r w:rsidRPr="00C7320D">
        <w:t xml:space="preserve"> </w:t>
      </w:r>
    </w:p>
    <w:p w14:paraId="68ABB30D" w14:textId="1DEFA449" w:rsidR="009F1CDD" w:rsidRPr="00C7320D"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C7320D">
        <w:rPr>
          <w:rFonts w:ascii="Aptos" w:eastAsia="Aptos" w:hAnsi="Aptos" w:cs="Arial"/>
          <w:kern w:val="2"/>
          <w:sz w:val="22"/>
          <w:szCs w:val="22"/>
          <w14:ligatures w14:val="standardContextual"/>
        </w:rPr>
        <w:t xml:space="preserve">To save space, ensure up-to-date information, and enhance readability, all data presented in this </w:t>
      </w:r>
      <w:r w:rsidR="00202F61" w:rsidRPr="00C7320D">
        <w:rPr>
          <w:rFonts w:ascii="Aptos" w:eastAsia="Aptos" w:hAnsi="Aptos" w:cs="Arial"/>
          <w:kern w:val="2"/>
          <w:sz w:val="22"/>
          <w:szCs w:val="22"/>
          <w14:ligatures w14:val="standardContextual"/>
        </w:rPr>
        <w:t>document</w:t>
      </w:r>
      <w:r w:rsidRPr="00C7320D">
        <w:rPr>
          <w:rFonts w:ascii="Aptos" w:eastAsia="Aptos" w:hAnsi="Aptos" w:cs="Arial"/>
          <w:kern w:val="2"/>
          <w:sz w:val="22"/>
          <w:szCs w:val="22"/>
          <w14:ligatures w14:val="standardContextual"/>
        </w:rPr>
        <w:t xml:space="preserve"> are available for download as Excel files:</w:t>
      </w:r>
    </w:p>
    <w:p w14:paraId="67232335" w14:textId="5C8CE0C0" w:rsidR="005430F0" w:rsidRPr="00C7320D" w:rsidRDefault="005430F0" w:rsidP="003F2687">
      <w:pPr>
        <w:pStyle w:val="ListParagraph"/>
        <w:numPr>
          <w:ilvl w:val="0"/>
          <w:numId w:val="27"/>
        </w:numPr>
        <w:rPr>
          <w:rFonts w:ascii="Aptos" w:hAnsi="Aptos"/>
          <w:sz w:val="22"/>
          <w:szCs w:val="22"/>
        </w:rPr>
      </w:pPr>
      <w:hyperlink r:id="rId119" w:history="1">
        <w:r w:rsidRPr="00C7320D">
          <w:rPr>
            <w:rStyle w:val="Hyperlink"/>
            <w:rFonts w:ascii="Aptos" w:hAnsi="Aptos"/>
            <w:sz w:val="22"/>
            <w:szCs w:val="22"/>
          </w:rPr>
          <w:t>Country-level data</w:t>
        </w:r>
      </w:hyperlink>
      <w:r w:rsidRPr="00C7320D">
        <w:rPr>
          <w:rFonts w:ascii="Aptos" w:hAnsi="Aptos"/>
          <w:sz w:val="22"/>
          <w:szCs w:val="22"/>
        </w:rPr>
        <w:t xml:space="preserve"> organized by tabs corresponding to the sections of this </w:t>
      </w:r>
      <w:r w:rsidR="00202F61" w:rsidRPr="00C7320D">
        <w:rPr>
          <w:rFonts w:ascii="Aptos" w:hAnsi="Aptos"/>
          <w:sz w:val="22"/>
          <w:szCs w:val="22"/>
        </w:rPr>
        <w:t>document</w:t>
      </w:r>
      <w:r w:rsidRPr="00C7320D">
        <w:rPr>
          <w:rFonts w:ascii="Aptos" w:hAnsi="Aptos"/>
          <w:sz w:val="22"/>
          <w:szCs w:val="22"/>
        </w:rPr>
        <w:t xml:space="preserve"> (URL: </w:t>
      </w:r>
      <w:hyperlink r:id="rId120" w:history="1">
        <w:r w:rsidR="00CD4C37" w:rsidRPr="00C7320D">
          <w:rPr>
            <w:rStyle w:val="Hyperlink"/>
            <w:rFonts w:ascii="Aptos" w:eastAsia="Aptos" w:hAnsi="Aptos"/>
            <w:sz w:val="22"/>
            <w:szCs w:val="22"/>
          </w:rPr>
          <w:t>https://www.itu.int/en/ITU-D/Statistics/Documents/facts/rpm_afr_pub_2025_data.xlsx</w:t>
        </w:r>
      </w:hyperlink>
      <w:r w:rsidR="00326380" w:rsidRPr="00C7320D">
        <w:rPr>
          <w:rFonts w:ascii="Aptos" w:hAnsi="Aptos"/>
          <w:sz w:val="22"/>
          <w:szCs w:val="22"/>
        </w:rPr>
        <w:t>).</w:t>
      </w:r>
      <w:r w:rsidRPr="00C7320D">
        <w:rPr>
          <w:rFonts w:ascii="Aptos" w:hAnsi="Aptos"/>
          <w:sz w:val="22"/>
          <w:szCs w:val="22"/>
        </w:rPr>
        <w:t xml:space="preserve"> Country level data were extracted from the </w:t>
      </w:r>
      <w:hyperlink r:id="rId121" w:history="1">
        <w:r w:rsidRPr="00C7320D">
          <w:rPr>
            <w:rStyle w:val="Hyperlink"/>
            <w:rFonts w:ascii="Aptos" w:hAnsi="Aptos"/>
            <w:sz w:val="22"/>
            <w:szCs w:val="22"/>
          </w:rPr>
          <w:t>ITU DataHub</w:t>
        </w:r>
      </w:hyperlink>
      <w:r w:rsidRPr="00C7320D">
        <w:rPr>
          <w:rFonts w:ascii="Aptos" w:hAnsi="Aptos"/>
          <w:sz w:val="22"/>
          <w:szCs w:val="22"/>
        </w:rPr>
        <w:t xml:space="preserve">, reflecting the </w:t>
      </w:r>
      <w:r w:rsidR="00ED6F1D" w:rsidRPr="00C7320D">
        <w:rPr>
          <w:rFonts w:ascii="Aptos" w:hAnsi="Aptos"/>
          <w:sz w:val="22"/>
          <w:szCs w:val="22"/>
        </w:rPr>
        <w:t>February</w:t>
      </w:r>
      <w:r w:rsidRPr="00C7320D">
        <w:rPr>
          <w:rFonts w:ascii="Aptos" w:hAnsi="Aptos"/>
          <w:sz w:val="22"/>
          <w:szCs w:val="22"/>
        </w:rPr>
        <w:t xml:space="preserve"> 2025 data release.</w:t>
      </w:r>
    </w:p>
    <w:p w14:paraId="4A0A93A0" w14:textId="5DC5FCC3" w:rsidR="005430F0" w:rsidRPr="00C7320D" w:rsidRDefault="005430F0" w:rsidP="003F2687">
      <w:pPr>
        <w:pStyle w:val="ListParagraph"/>
        <w:numPr>
          <w:ilvl w:val="0"/>
          <w:numId w:val="27"/>
        </w:numPr>
        <w:rPr>
          <w:rFonts w:ascii="Aptos" w:hAnsi="Aptos"/>
          <w:sz w:val="22"/>
          <w:szCs w:val="22"/>
        </w:rPr>
      </w:pPr>
      <w:hyperlink r:id="rId122" w:history="1">
        <w:r w:rsidRPr="00C7320D">
          <w:rPr>
            <w:rStyle w:val="Hyperlink"/>
            <w:rFonts w:ascii="Aptos" w:hAnsi="Aptos"/>
            <w:sz w:val="22"/>
            <w:szCs w:val="22"/>
          </w:rPr>
          <w:t>Regional and global estimates</w:t>
        </w:r>
      </w:hyperlink>
      <w:r w:rsidRPr="00C7320D">
        <w:rPr>
          <w:rFonts w:ascii="Aptos" w:hAnsi="Aptos"/>
          <w:sz w:val="22"/>
          <w:szCs w:val="22"/>
        </w:rPr>
        <w:t xml:space="preserve">, as compiled for </w:t>
      </w:r>
      <w:hyperlink r:id="rId123" w:history="1">
        <w:r w:rsidRPr="00C7320D">
          <w:rPr>
            <w:rStyle w:val="Hyperlink"/>
            <w:rFonts w:ascii="Aptos" w:hAnsi="Aptos"/>
            <w:sz w:val="22"/>
            <w:szCs w:val="22"/>
          </w:rPr>
          <w:t>Facts and Figures 2024</w:t>
        </w:r>
      </w:hyperlink>
      <w:r w:rsidR="00065473" w:rsidRPr="00C7320D">
        <w:t xml:space="preserve"> </w:t>
      </w:r>
      <w:r w:rsidRPr="00C7320D">
        <w:rPr>
          <w:rFonts w:ascii="Aptos" w:hAnsi="Aptos"/>
          <w:sz w:val="22"/>
          <w:szCs w:val="22"/>
        </w:rPr>
        <w:t>(URL:</w:t>
      </w:r>
      <w:r w:rsidR="003F2687" w:rsidRPr="00C7320D">
        <w:rPr>
          <w:rFonts w:ascii="Aptos" w:hAnsi="Aptos"/>
          <w:sz w:val="22"/>
          <w:szCs w:val="22"/>
        </w:rPr>
        <w:t xml:space="preserve"> </w:t>
      </w:r>
      <w:hyperlink r:id="rId124" w:history="1">
        <w:r w:rsidR="003F2687" w:rsidRPr="00C7320D">
          <w:rPr>
            <w:rStyle w:val="Hyperlink"/>
            <w:rFonts w:ascii="Aptos" w:hAnsi="Aptos"/>
            <w:sz w:val="22"/>
            <w:szCs w:val="22"/>
          </w:rPr>
          <w:t>https://www.itu.int/en/ITUD/Statistics/Documents/facts/ITU_regional_global_Key_ICT_indicator_aggregates_Nov_2024.xlsx</w:t>
        </w:r>
      </w:hyperlink>
      <w:r w:rsidRPr="00C7320D">
        <w:rPr>
          <w:rFonts w:ascii="Aptos" w:hAnsi="Aptos"/>
          <w:sz w:val="22"/>
          <w:szCs w:val="22"/>
        </w:rPr>
        <w:t>).</w:t>
      </w:r>
    </w:p>
    <w:p w14:paraId="5B29B2A3" w14:textId="40369D87" w:rsidR="00923CF1" w:rsidRPr="00C7320D" w:rsidRDefault="0093436F" w:rsidP="0093436F">
      <w:pPr>
        <w:tabs>
          <w:tab w:val="clear" w:pos="794"/>
          <w:tab w:val="clear" w:pos="1191"/>
          <w:tab w:val="clear" w:pos="1588"/>
          <w:tab w:val="clear" w:pos="1985"/>
        </w:tabs>
        <w:overflowPunct/>
        <w:autoSpaceDE/>
        <w:autoSpaceDN/>
        <w:adjustRightInd/>
        <w:spacing w:before="0" w:after="160" w:line="259" w:lineRule="auto"/>
        <w:jc w:val="center"/>
        <w:textAlignment w:val="auto"/>
        <w:rPr>
          <w:rFonts w:ascii="Aptos" w:hAnsi="Aptos"/>
          <w:sz w:val="22"/>
          <w:szCs w:val="22"/>
        </w:rPr>
      </w:pPr>
      <w:r>
        <w:rPr>
          <w:rFonts w:ascii="Aptos" w:hAnsi="Aptos"/>
          <w:sz w:val="22"/>
          <w:szCs w:val="22"/>
        </w:rPr>
        <w:t>________________</w:t>
      </w:r>
    </w:p>
    <w:sectPr w:rsidR="00923CF1" w:rsidRPr="00C7320D" w:rsidSect="008C7A35">
      <w:headerReference w:type="default" r:id="rId125"/>
      <w:footerReference w:type="first" r:id="rId126"/>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AD652" w14:textId="77777777" w:rsidR="00660998" w:rsidRDefault="00660998">
      <w:r>
        <w:separator/>
      </w:r>
    </w:p>
  </w:endnote>
  <w:endnote w:type="continuationSeparator" w:id="0">
    <w:p w14:paraId="110D9741" w14:textId="77777777" w:rsidR="00660998" w:rsidRDefault="00660998">
      <w:r>
        <w:continuationSeparator/>
      </w:r>
    </w:p>
  </w:endnote>
  <w:endnote w:type="continuationNotice" w:id="1">
    <w:p w14:paraId="5DCD4CE3" w14:textId="77777777" w:rsidR="00660998" w:rsidRDefault="0066099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4D568A12"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2" w:name="OrgName"/>
      <w:bookmarkEnd w:id="32"/>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3" w:name="PhoneNo"/>
      <w:bookmarkEnd w:id="33"/>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4" w:name="Email"/>
      <w:bookmarkEnd w:id="34"/>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5F24D" w14:textId="77777777" w:rsidR="00660998" w:rsidRDefault="00660998">
      <w:r>
        <w:t>____________________</w:t>
      </w:r>
    </w:p>
  </w:footnote>
  <w:footnote w:type="continuationSeparator" w:id="0">
    <w:p w14:paraId="1F3FDA30" w14:textId="77777777" w:rsidR="00660998" w:rsidRDefault="00660998">
      <w:r>
        <w:continuationSeparator/>
      </w:r>
    </w:p>
  </w:footnote>
  <w:footnote w:type="continuationNotice" w:id="1">
    <w:p w14:paraId="3D3B284B" w14:textId="77777777" w:rsidR="00660998" w:rsidRDefault="00660998">
      <w:pPr>
        <w:spacing w:before="0"/>
      </w:pPr>
    </w:p>
  </w:footnote>
  <w:footnote w:id="2">
    <w:p w14:paraId="70704152" w14:textId="789CBE39" w:rsidR="00C4489D" w:rsidRPr="00EF36CD" w:rsidRDefault="00C4489D" w:rsidP="00C4489D">
      <w:pPr>
        <w:pStyle w:val="FootnoteText"/>
      </w:pPr>
      <w:r w:rsidRPr="0022019A">
        <w:rPr>
          <w:rStyle w:val="FootnoteReference"/>
        </w:rPr>
        <w:footnoteRef/>
      </w:r>
      <w:r w:rsidRPr="00EF36CD">
        <w:t xml:space="preserve"> As of </w:t>
      </w:r>
      <w:r w:rsidR="00DE6496">
        <w:t>March</w:t>
      </w:r>
      <w:r>
        <w:t xml:space="preserve"> </w:t>
      </w:r>
      <w:r w:rsidRPr="00EF36CD">
        <w:t>202</w:t>
      </w:r>
      <w:r>
        <w:t>5</w:t>
      </w:r>
      <w:r w:rsidRPr="00EF36CD">
        <w:t xml:space="preserve">, the </w:t>
      </w:r>
      <w:r>
        <w:t xml:space="preserve">Africa </w:t>
      </w:r>
      <w:r w:rsidRPr="00EF36CD">
        <w:t xml:space="preserve">region, as defined by ITU, consists of the following </w:t>
      </w:r>
      <w:r>
        <w:t>44</w:t>
      </w:r>
      <w:r w:rsidRPr="00EF36CD">
        <w:t xml:space="preserve"> economies:</w:t>
      </w:r>
      <w:r w:rsidRPr="00E624B0">
        <w:t xml:space="preserve"> </w:t>
      </w:r>
      <w:r w:rsidRPr="000B47E2">
        <w:t>Angola, Benin, Botswana, Burkina Faso, Burundi, Cameroon, Cabo Verde, Central African Rep</w:t>
      </w:r>
      <w:r>
        <w:t>ublic</w:t>
      </w:r>
      <w:r w:rsidRPr="000B47E2">
        <w:t xml:space="preserve">, </w:t>
      </w:r>
      <w:r>
        <w:t xml:space="preserve">Chad, Congo (Republic of the), Côte d'Ivoire, Democratic Republic of the Congo, </w:t>
      </w:r>
      <w:r w:rsidRPr="000B47E2">
        <w:t xml:space="preserve">Equatorial Guinea, Eritrea, Eswatini, Ethiopia, Gabon, Gambia, Ghana, Guinea, Guinea-Bissau, Kenya, Lesotho, Liberia, Madagascar, Malawi, Mali, Mauritius, Mozambique, Namibia, Niger, Nigeria, Rwanda, Sao Tome and Principe, Senegal, Seychelles, Sierra Leone, South Africa, South Sudan, Tanzania, Togo, </w:t>
      </w:r>
      <w:r>
        <w:t>Uganda, Zambia, and Zimbabwe.</w:t>
      </w:r>
      <w:r w:rsidR="00EF4B8C">
        <w:t xml:space="preserve"> </w:t>
      </w:r>
      <w:r w:rsidR="00EF4B8C" w:rsidRPr="00EF4B8C">
        <w:t xml:space="preserve">For the sake of readability, </w:t>
      </w:r>
      <w:r w:rsidR="00003223">
        <w:t xml:space="preserve">the </w:t>
      </w:r>
      <w:r w:rsidR="00EF4B8C" w:rsidRPr="00EF4B8C">
        <w:t xml:space="preserve">Africa region is also referred to as Africa throughout </w:t>
      </w:r>
      <w:r w:rsidR="00003223">
        <w:t>this document</w:t>
      </w:r>
      <w:r w:rsidR="00EF4B8C" w:rsidRPr="00EF4B8C">
        <w:t>.</w:t>
      </w:r>
    </w:p>
  </w:footnote>
  <w:footnote w:id="3">
    <w:p w14:paraId="1ADBCBAB" w14:textId="77777777" w:rsidR="007E1275" w:rsidRPr="000F178C" w:rsidRDefault="007E1275" w:rsidP="007E1275">
      <w:pPr>
        <w:pStyle w:val="FootnoteText"/>
        <w:rPr>
          <w:sz w:val="18"/>
          <w:szCs w:val="18"/>
        </w:rPr>
      </w:pPr>
      <w:r>
        <w:rPr>
          <w:rStyle w:val="FootnoteReference"/>
        </w:rPr>
        <w:footnoteRef/>
      </w:r>
      <w:r>
        <w:t xml:space="preserve"> </w:t>
      </w:r>
      <w:r w:rsidRPr="000F178C">
        <w:rPr>
          <w:sz w:val="18"/>
          <w:szCs w:val="18"/>
        </w:rPr>
        <w:t xml:space="preserve">Sao Tome and Principe graduated from the LDC category at the end of 2024. </w:t>
      </w:r>
    </w:p>
  </w:footnote>
  <w:footnote w:id="4">
    <w:p w14:paraId="7D21106C" w14:textId="0D466C5E" w:rsidR="007E1275" w:rsidRPr="00A041A9" w:rsidRDefault="007E1275" w:rsidP="007E1275">
      <w:pPr>
        <w:pStyle w:val="FootnoteText"/>
      </w:pPr>
      <w:r>
        <w:rPr>
          <w:rStyle w:val="FootnoteReference"/>
        </w:rPr>
        <w:footnoteRef/>
      </w:r>
      <w:r>
        <w:t xml:space="preserve"> </w:t>
      </w:r>
      <w:r w:rsidRPr="002E42CD">
        <w:rPr>
          <w:sz w:val="18"/>
          <w:szCs w:val="18"/>
        </w:rPr>
        <w:t>The tiers of the G5 Benchmark reflect a country's level of digital governance. The four levels, from least to most advanced, are: Limited, Transitioning, Advanced and Leading.</w:t>
      </w:r>
      <w:r>
        <w:rPr>
          <w:sz w:val="18"/>
          <w:szCs w:val="18"/>
        </w:rPr>
        <w:t xml:space="preserve"> </w:t>
      </w:r>
      <w:r w:rsidR="003D3983" w:rsidRPr="00882EFB">
        <w:rPr>
          <w:sz w:val="18"/>
          <w:szCs w:val="18"/>
        </w:rPr>
        <w:t>The four pillars of the G5 Benchmark encompass 119 targets across National Collaborative Governance, Policy Design Principles, Digital Development Toolbox, and National Digital Policy Agenda.</w:t>
      </w:r>
      <w:r w:rsidR="003D3983">
        <w:rPr>
          <w:sz w:val="18"/>
          <w:szCs w:val="18"/>
        </w:rPr>
        <w:t xml:space="preserve"> </w:t>
      </w:r>
      <w:r>
        <w:rPr>
          <w:sz w:val="18"/>
          <w:szCs w:val="18"/>
        </w:rPr>
        <w:t xml:space="preserve">See </w:t>
      </w:r>
      <w:hyperlink r:id="rId1" w:history="1">
        <w:r w:rsidRPr="00572FB2">
          <w:rPr>
            <w:rStyle w:val="Hyperlink"/>
            <w:sz w:val="18"/>
            <w:szCs w:val="18"/>
          </w:rPr>
          <w:t>gen5.digital/benchmark</w:t>
        </w:r>
      </w:hyperlink>
    </w:p>
  </w:footnote>
  <w:footnote w:id="5">
    <w:p w14:paraId="22F67E5D" w14:textId="77777777" w:rsidR="00FF71D4" w:rsidRPr="009F537F" w:rsidRDefault="00FF71D4" w:rsidP="00FF71D4">
      <w:pPr>
        <w:pStyle w:val="FootnoteText"/>
        <w:rPr>
          <w:sz w:val="18"/>
          <w:szCs w:val="18"/>
          <w:lang w:val="en-US"/>
        </w:rPr>
      </w:pPr>
      <w:r w:rsidRPr="00F25C61">
        <w:rPr>
          <w:rStyle w:val="FootnoteReference"/>
        </w:rPr>
        <w:footnoteRef/>
      </w:r>
      <w:r w:rsidRPr="00F25C61">
        <w:t xml:space="preserve"> </w:t>
      </w:r>
      <w:r w:rsidRPr="009F537F">
        <w:rPr>
          <w:sz w:val="18"/>
          <w:szCs w:val="18"/>
        </w:rPr>
        <w:t xml:space="preserve">The </w:t>
      </w:r>
      <w:hyperlink r:id="rId2" w:history="1">
        <w:r w:rsidRPr="009F537F">
          <w:rPr>
            <w:rStyle w:val="Hyperlink"/>
            <w:sz w:val="18"/>
            <w:szCs w:val="18"/>
          </w:rPr>
          <w:t>Doha Programme of Action for LDCs for the Decade 2022-2031</w:t>
        </w:r>
      </w:hyperlink>
      <w:r w:rsidRPr="009F537F">
        <w:rPr>
          <w:sz w:val="18"/>
          <w:szCs w:val="18"/>
        </w:rPr>
        <w:t xml:space="preserve">, the </w:t>
      </w:r>
      <w:hyperlink r:id="rId3" w:history="1">
        <w:r w:rsidRPr="009F537F">
          <w:rPr>
            <w:rStyle w:val="Hyperlink"/>
            <w:sz w:val="18"/>
            <w:szCs w:val="18"/>
          </w:rPr>
          <w:t>Antigua and Barbuda Agenda for Small Island Developing States: A Renewed Declaration for Resilient Prosperity</w:t>
        </w:r>
      </w:hyperlink>
      <w:r w:rsidRPr="009F537F">
        <w:rPr>
          <w:sz w:val="18"/>
          <w:szCs w:val="18"/>
        </w:rPr>
        <w:t xml:space="preserve"> (2024-2034) and the </w:t>
      </w:r>
      <w:hyperlink r:id="rId4" w:history="1">
        <w:r w:rsidRPr="009F537F">
          <w:rPr>
            <w:rStyle w:val="Hyperlink"/>
            <w:sz w:val="18"/>
            <w:szCs w:val="18"/>
          </w:rPr>
          <w:t>Programme of Action for LLDCs for the Decade 2024–2034</w:t>
        </w:r>
      </w:hyperlink>
      <w:r w:rsidRPr="009F537F">
        <w:rPr>
          <w:sz w:val="18"/>
          <w:szCs w:val="18"/>
        </w:rPr>
        <w:t xml:space="preserve">. See also ITU, </w:t>
      </w:r>
      <w:hyperlink r:id="rId5" w:anchor="p=1" w:history="1">
        <w:r w:rsidRPr="009F537F">
          <w:rPr>
            <w:rStyle w:val="Hyperlink"/>
            <w:sz w:val="18"/>
            <w:szCs w:val="18"/>
          </w:rPr>
          <w:t>Accelerating Sustainable and Inclusive Digital Transformation in SIDS: A 10-Step Plan for SIDS</w:t>
        </w:r>
      </w:hyperlink>
      <w:r w:rsidRPr="009F537F">
        <w:rPr>
          <w:sz w:val="18"/>
          <w:szCs w:val="18"/>
        </w:rPr>
        <w:t>.</w:t>
      </w:r>
    </w:p>
  </w:footnote>
  <w:footnote w:id="6">
    <w:p w14:paraId="1722FF88" w14:textId="77777777" w:rsidR="00A62776" w:rsidRPr="009848E5" w:rsidRDefault="00A62776" w:rsidP="00A62776">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 per cent.</w:t>
      </w:r>
    </w:p>
  </w:footnote>
  <w:footnote w:id="7">
    <w:p w14:paraId="76ABA8D9" w14:textId="7C1EDFF8" w:rsidR="006C41B5" w:rsidRPr="004B35BA" w:rsidRDefault="006C41B5" w:rsidP="006C41B5">
      <w:pPr>
        <w:pStyle w:val="FootnoteText"/>
      </w:pPr>
      <w:r w:rsidRPr="00ED4345">
        <w:rPr>
          <w:rStyle w:val="FootnoteReference"/>
        </w:rPr>
        <w:footnoteRef/>
      </w:r>
      <w:r w:rsidRPr="00ED4345">
        <w:t xml:space="preserve"> In this document, for </w:t>
      </w:r>
      <w:r w:rsidR="00F84005" w:rsidRPr="00ED4345">
        <w:t>f</w:t>
      </w:r>
      <w:r w:rsidRPr="00ED4345">
        <w:t>igures reporting economy-level data</w:t>
      </w:r>
      <w:r w:rsidR="00F35B79">
        <w:t xml:space="preserve">, </w:t>
      </w:r>
      <w:r w:rsidR="00F35B79" w:rsidRPr="00F35B79">
        <w:t>all economies are shown</w:t>
      </w:r>
      <w:r w:rsidR="006B3CD4" w:rsidRPr="00ED4345">
        <w:t xml:space="preserve">. Countries are sorted </w:t>
      </w:r>
      <w:r w:rsidR="00950342" w:rsidRPr="00ED4345">
        <w:t>by value</w:t>
      </w:r>
      <w:r w:rsidR="006B3CD4" w:rsidRPr="00ED4345">
        <w:t xml:space="preserve"> of the indicator</w:t>
      </w:r>
      <w:r w:rsidRPr="00ED4345">
        <w:t>. A data point is only shown if it is for the year 2020 or later, otherwise it is marked as not available (N/A)</w:t>
      </w:r>
      <w:r w:rsidR="00C25642" w:rsidRPr="00ED4345">
        <w:t>, or excluded altogether</w:t>
      </w:r>
      <w:r w:rsidR="00DB0377" w:rsidRPr="00ED4345">
        <w:t xml:space="preserve"> (</w:t>
      </w:r>
      <w:r w:rsidR="007863F9" w:rsidRPr="00ED4345">
        <w:t xml:space="preserve">when </w:t>
      </w:r>
      <w:r w:rsidR="00DB0D63" w:rsidRPr="00ED4345">
        <w:t>data are not available for many countries</w:t>
      </w:r>
      <w:r w:rsidR="00DB0377" w:rsidRPr="00ED4345">
        <w:t>)</w:t>
      </w:r>
      <w:r w:rsidRPr="00ED4345">
        <w:t xml:space="preserve">. In addition, a marker shows the data point for the year 2018, if available. Data are extracted from the </w:t>
      </w:r>
      <w:hyperlink r:id="rId6" w:history="1">
        <w:r w:rsidRPr="00ED4345">
          <w:rPr>
            <w:rStyle w:val="Hyperlink"/>
          </w:rPr>
          <w:t>ITU DataHub</w:t>
        </w:r>
      </w:hyperlink>
      <w:r w:rsidR="00293F8B" w:rsidRPr="00ED4345">
        <w:t>,</w:t>
      </w:r>
      <w:r w:rsidRPr="00ED4345">
        <w:t xml:space="preserve"> based on the data release of </w:t>
      </w:r>
      <w:r w:rsidR="00ED4345" w:rsidRPr="00ED4345">
        <w:t>February</w:t>
      </w:r>
      <w:r w:rsidR="00B5694F" w:rsidRPr="00ED4345">
        <w:t xml:space="preserve"> 2025</w:t>
      </w:r>
      <w:r w:rsidRPr="00ED4345">
        <w:t xml:space="preserve">. Since country-level data are available for the year 2023 at best, for comparison purposes, the regional average for the year 2023 is reported as well, as published in </w:t>
      </w:r>
      <w:hyperlink r:id="rId7" w:history="1">
        <w:r w:rsidRPr="00ED4345">
          <w:rPr>
            <w:rStyle w:val="Hyperlink"/>
          </w:rPr>
          <w:t>Facts and Figures 2024</w:t>
        </w:r>
      </w:hyperlink>
      <w:r w:rsidRPr="00ED4345">
        <w:t>.</w:t>
      </w:r>
    </w:p>
  </w:footnote>
  <w:footnote w:id="8">
    <w:p w14:paraId="6F9957D7" w14:textId="77777777" w:rsidR="00B85667" w:rsidRPr="005B254D" w:rsidRDefault="00B85667" w:rsidP="00B85667">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9">
    <w:p w14:paraId="56550871" w14:textId="77777777" w:rsidR="004226A3" w:rsidRPr="00E9428B" w:rsidRDefault="004226A3" w:rsidP="004226A3">
      <w:pPr>
        <w:pStyle w:val="FootnoteText"/>
      </w:pPr>
      <w:r>
        <w:rPr>
          <w:rStyle w:val="FootnoteReference"/>
        </w:rPr>
        <w:footnoteRef/>
      </w:r>
      <w:r>
        <w:t xml:space="preserve"> </w:t>
      </w:r>
      <w:r w:rsidRPr="0009059A">
        <w:t>Considering only those countries for which data was available for all years from 2018 to 2024</w:t>
      </w:r>
      <w:r>
        <w:t>.</w:t>
      </w:r>
    </w:p>
  </w:footnote>
  <w:footnote w:id="10">
    <w:p w14:paraId="2F08ACC5" w14:textId="77777777" w:rsidR="00163C91" w:rsidRPr="005E14BE" w:rsidRDefault="00163C91" w:rsidP="00163C91">
      <w:pPr>
        <w:pStyle w:val="FootnoteText"/>
      </w:pPr>
      <w:r>
        <w:rPr>
          <w:rStyle w:val="FootnoteReference"/>
        </w:rPr>
        <w:footnoteRef/>
      </w:r>
      <w:r>
        <w:t xml:space="preserve"> For a complete definition, see ISIC Rev. 4 class 61.</w:t>
      </w:r>
    </w:p>
  </w:footnote>
  <w:footnote w:id="11">
    <w:p w14:paraId="097E3D55" w14:textId="77777777" w:rsidR="00C623F2" w:rsidRPr="008648EC" w:rsidRDefault="00C623F2" w:rsidP="00C623F2">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Expenditure on research and development, annual fees for operating licences and the use of radio spectrum, and investment in telecommunication software or equipment for internal use are excluded.</w:t>
      </w:r>
    </w:p>
  </w:footnote>
  <w:footnote w:id="12">
    <w:p w14:paraId="7E645468" w14:textId="208931F6" w:rsidR="00B13CC6" w:rsidRPr="00B13CC6" w:rsidRDefault="00B13CC6">
      <w:pPr>
        <w:pStyle w:val="FootnoteText"/>
        <w:rPr>
          <w:lang w:val="en-US"/>
        </w:rPr>
      </w:pPr>
      <w:r>
        <w:rPr>
          <w:rStyle w:val="FootnoteReference"/>
        </w:rPr>
        <w:footnoteRef/>
      </w:r>
      <w:r>
        <w:t xml:space="preserve"> </w:t>
      </w:r>
      <w:r w:rsidR="00791E23">
        <w:t xml:space="preserve">Including </w:t>
      </w:r>
      <w:r>
        <w:rPr>
          <w:lang w:val="en-US"/>
        </w:rPr>
        <w:t>Malawi</w:t>
      </w:r>
      <w:r w:rsidR="00791E23">
        <w:rPr>
          <w:lang w:val="en-US"/>
        </w:rPr>
        <w:t>, which</w:t>
      </w:r>
      <w:r w:rsidRPr="00B13CC6">
        <w:rPr>
          <w:rFonts w:eastAsia="Aptos" w:cs="Arial"/>
        </w:rPr>
        <w:t xml:space="preserve"> </w:t>
      </w:r>
      <w:r w:rsidRPr="007A452E">
        <w:rPr>
          <w:rFonts w:eastAsia="Aptos" w:cs="Arial"/>
        </w:rPr>
        <w:t xml:space="preserve">adopted </w:t>
      </w:r>
      <w:r>
        <w:rPr>
          <w:rFonts w:eastAsia="Aptos" w:cs="Arial"/>
        </w:rPr>
        <w:t>an</w:t>
      </w:r>
      <w:r w:rsidRPr="007A452E">
        <w:rPr>
          <w:rFonts w:eastAsia="Aptos" w:cs="Arial"/>
        </w:rPr>
        <w:t xml:space="preserve"> e-waste policy </w:t>
      </w:r>
      <w:r>
        <w:t>after publication of the Global E-waste Monitor</w:t>
      </w:r>
      <w:r w:rsidR="00791E2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3140F74B" w:rsidR="00721657" w:rsidRPr="00C23FE8"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CO"/>
      </w:rPr>
    </w:pPr>
    <w:r w:rsidRPr="004D495C">
      <w:rPr>
        <w:sz w:val="22"/>
        <w:szCs w:val="22"/>
      </w:rPr>
      <w:tab/>
    </w:r>
    <w:r w:rsidRPr="00C23FE8">
      <w:rPr>
        <w:sz w:val="22"/>
        <w:szCs w:val="22"/>
        <w:lang w:val="es-CO"/>
      </w:rPr>
      <w:t>ITU-D/</w:t>
    </w:r>
    <w:bookmarkStart w:id="30" w:name="DocRef2"/>
    <w:bookmarkEnd w:id="30"/>
    <w:r w:rsidRPr="00C23FE8">
      <w:rPr>
        <w:sz w:val="22"/>
        <w:szCs w:val="22"/>
        <w:lang w:val="es-CO"/>
      </w:rPr>
      <w:t>RPM-</w:t>
    </w:r>
    <w:r w:rsidR="00670782" w:rsidRPr="00C23FE8">
      <w:rPr>
        <w:sz w:val="22"/>
        <w:szCs w:val="22"/>
        <w:lang w:val="es-CO"/>
      </w:rPr>
      <w:t>A</w:t>
    </w:r>
    <w:r w:rsidR="003D0AEA" w:rsidRPr="00C23FE8">
      <w:rPr>
        <w:sz w:val="22"/>
        <w:szCs w:val="22"/>
        <w:lang w:val="es-CO"/>
      </w:rPr>
      <w:t>FR</w:t>
    </w:r>
    <w:r w:rsidRPr="00C23FE8">
      <w:rPr>
        <w:sz w:val="22"/>
        <w:szCs w:val="22"/>
        <w:lang w:val="es-CO"/>
      </w:rPr>
      <w:t>25/</w:t>
    </w:r>
    <w:bookmarkStart w:id="31" w:name="DocNo2"/>
    <w:bookmarkEnd w:id="31"/>
    <w:r w:rsidR="002B2720" w:rsidRPr="002B2720">
      <w:rPr>
        <w:sz w:val="22"/>
        <w:szCs w:val="22"/>
        <w:lang w:val="es-CO"/>
      </w:rPr>
      <w:t>3</w:t>
    </w:r>
    <w:r w:rsidRPr="002B2720">
      <w:rPr>
        <w:sz w:val="22"/>
        <w:szCs w:val="22"/>
        <w:lang w:val="es-CO"/>
      </w:rPr>
      <w:t>-</w:t>
    </w:r>
    <w:r w:rsidRPr="00C23FE8">
      <w:rPr>
        <w:sz w:val="22"/>
        <w:szCs w:val="22"/>
        <w:lang w:val="es-CO"/>
      </w:rPr>
      <w:t>E</w:t>
    </w:r>
    <w:r w:rsidRPr="00C23FE8">
      <w:rPr>
        <w:sz w:val="22"/>
        <w:szCs w:val="22"/>
        <w:lang w:val="es-CO"/>
      </w:rPr>
      <w:tab/>
      <w:t xml:space="preserve">Page </w:t>
    </w:r>
    <w:r w:rsidRPr="004D495C">
      <w:rPr>
        <w:sz w:val="22"/>
        <w:szCs w:val="22"/>
      </w:rPr>
      <w:fldChar w:fldCharType="begin"/>
    </w:r>
    <w:r w:rsidRPr="00C23FE8">
      <w:rPr>
        <w:sz w:val="22"/>
        <w:szCs w:val="22"/>
        <w:lang w:val="es-CO"/>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91CDE"/>
    <w:multiLevelType w:val="hybridMultilevel"/>
    <w:tmpl w:val="5462A250"/>
    <w:lvl w:ilvl="0" w:tplc="8784464E">
      <w:start w:val="1"/>
      <w:numFmt w:val="bullet"/>
      <w:lvlText w:val=""/>
      <w:lvlJc w:val="left"/>
      <w:pPr>
        <w:ind w:left="1080" w:hanging="360"/>
      </w:pPr>
      <w:rPr>
        <w:rFonts w:ascii="Symbol" w:hAnsi="Symbol"/>
      </w:rPr>
    </w:lvl>
    <w:lvl w:ilvl="1" w:tplc="7E6C80E0">
      <w:start w:val="1"/>
      <w:numFmt w:val="bullet"/>
      <w:lvlText w:val=""/>
      <w:lvlJc w:val="left"/>
      <w:pPr>
        <w:ind w:left="1080" w:hanging="360"/>
      </w:pPr>
      <w:rPr>
        <w:rFonts w:ascii="Symbol" w:hAnsi="Symbol"/>
      </w:rPr>
    </w:lvl>
    <w:lvl w:ilvl="2" w:tplc="99280B0C">
      <w:start w:val="1"/>
      <w:numFmt w:val="bullet"/>
      <w:lvlText w:val=""/>
      <w:lvlJc w:val="left"/>
      <w:pPr>
        <w:ind w:left="1080" w:hanging="360"/>
      </w:pPr>
      <w:rPr>
        <w:rFonts w:ascii="Symbol" w:hAnsi="Symbol"/>
      </w:rPr>
    </w:lvl>
    <w:lvl w:ilvl="3" w:tplc="26B09ED8">
      <w:start w:val="1"/>
      <w:numFmt w:val="bullet"/>
      <w:lvlText w:val=""/>
      <w:lvlJc w:val="left"/>
      <w:pPr>
        <w:ind w:left="1080" w:hanging="360"/>
      </w:pPr>
      <w:rPr>
        <w:rFonts w:ascii="Symbol" w:hAnsi="Symbol"/>
      </w:rPr>
    </w:lvl>
    <w:lvl w:ilvl="4" w:tplc="5E160C64">
      <w:start w:val="1"/>
      <w:numFmt w:val="bullet"/>
      <w:lvlText w:val=""/>
      <w:lvlJc w:val="left"/>
      <w:pPr>
        <w:ind w:left="1080" w:hanging="360"/>
      </w:pPr>
      <w:rPr>
        <w:rFonts w:ascii="Symbol" w:hAnsi="Symbol"/>
      </w:rPr>
    </w:lvl>
    <w:lvl w:ilvl="5" w:tplc="C8365478">
      <w:start w:val="1"/>
      <w:numFmt w:val="bullet"/>
      <w:lvlText w:val=""/>
      <w:lvlJc w:val="left"/>
      <w:pPr>
        <w:ind w:left="1080" w:hanging="360"/>
      </w:pPr>
      <w:rPr>
        <w:rFonts w:ascii="Symbol" w:hAnsi="Symbol"/>
      </w:rPr>
    </w:lvl>
    <w:lvl w:ilvl="6" w:tplc="FA5AE0A2">
      <w:start w:val="1"/>
      <w:numFmt w:val="bullet"/>
      <w:lvlText w:val=""/>
      <w:lvlJc w:val="left"/>
      <w:pPr>
        <w:ind w:left="1080" w:hanging="360"/>
      </w:pPr>
      <w:rPr>
        <w:rFonts w:ascii="Symbol" w:hAnsi="Symbol"/>
      </w:rPr>
    </w:lvl>
    <w:lvl w:ilvl="7" w:tplc="33440864">
      <w:start w:val="1"/>
      <w:numFmt w:val="bullet"/>
      <w:lvlText w:val=""/>
      <w:lvlJc w:val="left"/>
      <w:pPr>
        <w:ind w:left="1080" w:hanging="360"/>
      </w:pPr>
      <w:rPr>
        <w:rFonts w:ascii="Symbol" w:hAnsi="Symbol"/>
      </w:rPr>
    </w:lvl>
    <w:lvl w:ilvl="8" w:tplc="3E640484">
      <w:start w:val="1"/>
      <w:numFmt w:val="bullet"/>
      <w:lvlText w:val=""/>
      <w:lvlJc w:val="left"/>
      <w:pPr>
        <w:ind w:left="1080" w:hanging="360"/>
      </w:pPr>
      <w:rPr>
        <w:rFonts w:ascii="Symbol" w:hAnsi="Symbol"/>
      </w:rPr>
    </w:lvl>
  </w:abstractNum>
  <w:abstractNum w:abstractNumId="4"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02A73"/>
    <w:multiLevelType w:val="hybridMultilevel"/>
    <w:tmpl w:val="85082D7E"/>
    <w:lvl w:ilvl="0" w:tplc="AF9ED95A">
      <w:start w:val="1"/>
      <w:numFmt w:val="bullet"/>
      <w:lvlText w:val=""/>
      <w:lvlJc w:val="left"/>
      <w:pPr>
        <w:ind w:left="1080" w:hanging="360"/>
      </w:pPr>
      <w:rPr>
        <w:rFonts w:ascii="Symbol" w:hAnsi="Symbol"/>
      </w:rPr>
    </w:lvl>
    <w:lvl w:ilvl="1" w:tplc="EB305518">
      <w:start w:val="1"/>
      <w:numFmt w:val="bullet"/>
      <w:lvlText w:val=""/>
      <w:lvlJc w:val="left"/>
      <w:pPr>
        <w:ind w:left="1080" w:hanging="360"/>
      </w:pPr>
      <w:rPr>
        <w:rFonts w:ascii="Symbol" w:hAnsi="Symbol"/>
      </w:rPr>
    </w:lvl>
    <w:lvl w:ilvl="2" w:tplc="CFF81208">
      <w:start w:val="1"/>
      <w:numFmt w:val="bullet"/>
      <w:lvlText w:val=""/>
      <w:lvlJc w:val="left"/>
      <w:pPr>
        <w:ind w:left="1080" w:hanging="360"/>
      </w:pPr>
      <w:rPr>
        <w:rFonts w:ascii="Symbol" w:hAnsi="Symbol"/>
      </w:rPr>
    </w:lvl>
    <w:lvl w:ilvl="3" w:tplc="2F869E6A">
      <w:start w:val="1"/>
      <w:numFmt w:val="bullet"/>
      <w:lvlText w:val=""/>
      <w:lvlJc w:val="left"/>
      <w:pPr>
        <w:ind w:left="1080" w:hanging="360"/>
      </w:pPr>
      <w:rPr>
        <w:rFonts w:ascii="Symbol" w:hAnsi="Symbol"/>
      </w:rPr>
    </w:lvl>
    <w:lvl w:ilvl="4" w:tplc="BFC0A112">
      <w:start w:val="1"/>
      <w:numFmt w:val="bullet"/>
      <w:lvlText w:val=""/>
      <w:lvlJc w:val="left"/>
      <w:pPr>
        <w:ind w:left="1080" w:hanging="360"/>
      </w:pPr>
      <w:rPr>
        <w:rFonts w:ascii="Symbol" w:hAnsi="Symbol"/>
      </w:rPr>
    </w:lvl>
    <w:lvl w:ilvl="5" w:tplc="A1084EC2">
      <w:start w:val="1"/>
      <w:numFmt w:val="bullet"/>
      <w:lvlText w:val=""/>
      <w:lvlJc w:val="left"/>
      <w:pPr>
        <w:ind w:left="1080" w:hanging="360"/>
      </w:pPr>
      <w:rPr>
        <w:rFonts w:ascii="Symbol" w:hAnsi="Symbol"/>
      </w:rPr>
    </w:lvl>
    <w:lvl w:ilvl="6" w:tplc="EA86A3CA">
      <w:start w:val="1"/>
      <w:numFmt w:val="bullet"/>
      <w:lvlText w:val=""/>
      <w:lvlJc w:val="left"/>
      <w:pPr>
        <w:ind w:left="1080" w:hanging="360"/>
      </w:pPr>
      <w:rPr>
        <w:rFonts w:ascii="Symbol" w:hAnsi="Symbol"/>
      </w:rPr>
    </w:lvl>
    <w:lvl w:ilvl="7" w:tplc="EC68D68E">
      <w:start w:val="1"/>
      <w:numFmt w:val="bullet"/>
      <w:lvlText w:val=""/>
      <w:lvlJc w:val="left"/>
      <w:pPr>
        <w:ind w:left="1080" w:hanging="360"/>
      </w:pPr>
      <w:rPr>
        <w:rFonts w:ascii="Symbol" w:hAnsi="Symbol"/>
      </w:rPr>
    </w:lvl>
    <w:lvl w:ilvl="8" w:tplc="A078ADA2">
      <w:start w:val="1"/>
      <w:numFmt w:val="bullet"/>
      <w:lvlText w:val=""/>
      <w:lvlJc w:val="left"/>
      <w:pPr>
        <w:ind w:left="1080" w:hanging="360"/>
      </w:pPr>
      <w:rPr>
        <w:rFonts w:ascii="Symbol" w:hAnsi="Symbol"/>
      </w:rPr>
    </w:lvl>
  </w:abstractNum>
  <w:abstractNum w:abstractNumId="11"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20"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F5B34"/>
    <w:multiLevelType w:val="hybridMultilevel"/>
    <w:tmpl w:val="41DCFC2C"/>
    <w:lvl w:ilvl="0" w:tplc="DC6A603E">
      <w:start w:val="1"/>
      <w:numFmt w:val="bullet"/>
      <w:lvlText w:val=""/>
      <w:lvlJc w:val="left"/>
      <w:pPr>
        <w:ind w:left="1080" w:hanging="360"/>
      </w:pPr>
      <w:rPr>
        <w:rFonts w:ascii="Symbol" w:hAnsi="Symbol"/>
      </w:rPr>
    </w:lvl>
    <w:lvl w:ilvl="1" w:tplc="A3906D72">
      <w:start w:val="1"/>
      <w:numFmt w:val="bullet"/>
      <w:lvlText w:val=""/>
      <w:lvlJc w:val="left"/>
      <w:pPr>
        <w:ind w:left="1080" w:hanging="360"/>
      </w:pPr>
      <w:rPr>
        <w:rFonts w:ascii="Symbol" w:hAnsi="Symbol"/>
      </w:rPr>
    </w:lvl>
    <w:lvl w:ilvl="2" w:tplc="261685C2">
      <w:start w:val="1"/>
      <w:numFmt w:val="bullet"/>
      <w:lvlText w:val=""/>
      <w:lvlJc w:val="left"/>
      <w:pPr>
        <w:ind w:left="1080" w:hanging="360"/>
      </w:pPr>
      <w:rPr>
        <w:rFonts w:ascii="Symbol" w:hAnsi="Symbol"/>
      </w:rPr>
    </w:lvl>
    <w:lvl w:ilvl="3" w:tplc="DCD8FC4A">
      <w:start w:val="1"/>
      <w:numFmt w:val="bullet"/>
      <w:lvlText w:val=""/>
      <w:lvlJc w:val="left"/>
      <w:pPr>
        <w:ind w:left="1080" w:hanging="360"/>
      </w:pPr>
      <w:rPr>
        <w:rFonts w:ascii="Symbol" w:hAnsi="Symbol"/>
      </w:rPr>
    </w:lvl>
    <w:lvl w:ilvl="4" w:tplc="4CD2ABE0">
      <w:start w:val="1"/>
      <w:numFmt w:val="bullet"/>
      <w:lvlText w:val=""/>
      <w:lvlJc w:val="left"/>
      <w:pPr>
        <w:ind w:left="1080" w:hanging="360"/>
      </w:pPr>
      <w:rPr>
        <w:rFonts w:ascii="Symbol" w:hAnsi="Symbol"/>
      </w:rPr>
    </w:lvl>
    <w:lvl w:ilvl="5" w:tplc="39EA108A">
      <w:start w:val="1"/>
      <w:numFmt w:val="bullet"/>
      <w:lvlText w:val=""/>
      <w:lvlJc w:val="left"/>
      <w:pPr>
        <w:ind w:left="1080" w:hanging="360"/>
      </w:pPr>
      <w:rPr>
        <w:rFonts w:ascii="Symbol" w:hAnsi="Symbol"/>
      </w:rPr>
    </w:lvl>
    <w:lvl w:ilvl="6" w:tplc="E5F6A59E">
      <w:start w:val="1"/>
      <w:numFmt w:val="bullet"/>
      <w:lvlText w:val=""/>
      <w:lvlJc w:val="left"/>
      <w:pPr>
        <w:ind w:left="1080" w:hanging="360"/>
      </w:pPr>
      <w:rPr>
        <w:rFonts w:ascii="Symbol" w:hAnsi="Symbol"/>
      </w:rPr>
    </w:lvl>
    <w:lvl w:ilvl="7" w:tplc="3B78CA80">
      <w:start w:val="1"/>
      <w:numFmt w:val="bullet"/>
      <w:lvlText w:val=""/>
      <w:lvlJc w:val="left"/>
      <w:pPr>
        <w:ind w:left="1080" w:hanging="360"/>
      </w:pPr>
      <w:rPr>
        <w:rFonts w:ascii="Symbol" w:hAnsi="Symbol"/>
      </w:rPr>
    </w:lvl>
    <w:lvl w:ilvl="8" w:tplc="3DD437AA">
      <w:start w:val="1"/>
      <w:numFmt w:val="bullet"/>
      <w:lvlText w:val=""/>
      <w:lvlJc w:val="left"/>
      <w:pPr>
        <w:ind w:left="1080" w:hanging="360"/>
      </w:pPr>
      <w:rPr>
        <w:rFonts w:ascii="Symbol" w:hAnsi="Symbol"/>
      </w:rPr>
    </w:lvl>
  </w:abstractNum>
  <w:abstractNum w:abstractNumId="23" w15:restartNumberingAfterBreak="0">
    <w:nsid w:val="596C5EA6"/>
    <w:multiLevelType w:val="hybridMultilevel"/>
    <w:tmpl w:val="B7943450"/>
    <w:lvl w:ilvl="0" w:tplc="492A2ED0">
      <w:start w:val="1"/>
      <w:numFmt w:val="bullet"/>
      <w:lvlText w:val=""/>
      <w:lvlJc w:val="left"/>
      <w:pPr>
        <w:ind w:left="1080" w:hanging="360"/>
      </w:pPr>
      <w:rPr>
        <w:rFonts w:ascii="Symbol" w:hAnsi="Symbol"/>
      </w:rPr>
    </w:lvl>
    <w:lvl w:ilvl="1" w:tplc="279AC5A2">
      <w:start w:val="1"/>
      <w:numFmt w:val="bullet"/>
      <w:lvlText w:val=""/>
      <w:lvlJc w:val="left"/>
      <w:pPr>
        <w:ind w:left="1080" w:hanging="360"/>
      </w:pPr>
      <w:rPr>
        <w:rFonts w:ascii="Symbol" w:hAnsi="Symbol"/>
      </w:rPr>
    </w:lvl>
    <w:lvl w:ilvl="2" w:tplc="78EEDD68">
      <w:start w:val="1"/>
      <w:numFmt w:val="bullet"/>
      <w:lvlText w:val=""/>
      <w:lvlJc w:val="left"/>
      <w:pPr>
        <w:ind w:left="1080" w:hanging="360"/>
      </w:pPr>
      <w:rPr>
        <w:rFonts w:ascii="Symbol" w:hAnsi="Symbol"/>
      </w:rPr>
    </w:lvl>
    <w:lvl w:ilvl="3" w:tplc="94A4E164">
      <w:start w:val="1"/>
      <w:numFmt w:val="bullet"/>
      <w:lvlText w:val=""/>
      <w:lvlJc w:val="left"/>
      <w:pPr>
        <w:ind w:left="1080" w:hanging="360"/>
      </w:pPr>
      <w:rPr>
        <w:rFonts w:ascii="Symbol" w:hAnsi="Symbol"/>
      </w:rPr>
    </w:lvl>
    <w:lvl w:ilvl="4" w:tplc="6E4E1396">
      <w:start w:val="1"/>
      <w:numFmt w:val="bullet"/>
      <w:lvlText w:val=""/>
      <w:lvlJc w:val="left"/>
      <w:pPr>
        <w:ind w:left="1080" w:hanging="360"/>
      </w:pPr>
      <w:rPr>
        <w:rFonts w:ascii="Symbol" w:hAnsi="Symbol"/>
      </w:rPr>
    </w:lvl>
    <w:lvl w:ilvl="5" w:tplc="D7902860">
      <w:start w:val="1"/>
      <w:numFmt w:val="bullet"/>
      <w:lvlText w:val=""/>
      <w:lvlJc w:val="left"/>
      <w:pPr>
        <w:ind w:left="1080" w:hanging="360"/>
      </w:pPr>
      <w:rPr>
        <w:rFonts w:ascii="Symbol" w:hAnsi="Symbol"/>
      </w:rPr>
    </w:lvl>
    <w:lvl w:ilvl="6" w:tplc="5CF48012">
      <w:start w:val="1"/>
      <w:numFmt w:val="bullet"/>
      <w:lvlText w:val=""/>
      <w:lvlJc w:val="left"/>
      <w:pPr>
        <w:ind w:left="1080" w:hanging="360"/>
      </w:pPr>
      <w:rPr>
        <w:rFonts w:ascii="Symbol" w:hAnsi="Symbol"/>
      </w:rPr>
    </w:lvl>
    <w:lvl w:ilvl="7" w:tplc="C16A892A">
      <w:start w:val="1"/>
      <w:numFmt w:val="bullet"/>
      <w:lvlText w:val=""/>
      <w:lvlJc w:val="left"/>
      <w:pPr>
        <w:ind w:left="1080" w:hanging="360"/>
      </w:pPr>
      <w:rPr>
        <w:rFonts w:ascii="Symbol" w:hAnsi="Symbol"/>
      </w:rPr>
    </w:lvl>
    <w:lvl w:ilvl="8" w:tplc="7FC64C18">
      <w:start w:val="1"/>
      <w:numFmt w:val="bullet"/>
      <w:lvlText w:val=""/>
      <w:lvlJc w:val="left"/>
      <w:pPr>
        <w:ind w:left="1080" w:hanging="360"/>
      </w:pPr>
      <w:rPr>
        <w:rFonts w:ascii="Symbol" w:hAnsi="Symbol"/>
      </w:rPr>
    </w:lvl>
  </w:abstractNum>
  <w:abstractNum w:abstractNumId="24" w15:restartNumberingAfterBreak="0">
    <w:nsid w:val="59AD163C"/>
    <w:multiLevelType w:val="hybridMultilevel"/>
    <w:tmpl w:val="872C3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E202B1"/>
    <w:multiLevelType w:val="hybridMultilevel"/>
    <w:tmpl w:val="015EDCBC"/>
    <w:lvl w:ilvl="0" w:tplc="CA781838">
      <w:start w:val="1"/>
      <w:numFmt w:val="bullet"/>
      <w:lvlText w:val=""/>
      <w:lvlJc w:val="left"/>
      <w:pPr>
        <w:ind w:left="1080" w:hanging="360"/>
      </w:pPr>
      <w:rPr>
        <w:rFonts w:ascii="Symbol" w:hAnsi="Symbol"/>
      </w:rPr>
    </w:lvl>
    <w:lvl w:ilvl="1" w:tplc="8C0ADF1C">
      <w:start w:val="1"/>
      <w:numFmt w:val="bullet"/>
      <w:lvlText w:val=""/>
      <w:lvlJc w:val="left"/>
      <w:pPr>
        <w:ind w:left="1080" w:hanging="360"/>
      </w:pPr>
      <w:rPr>
        <w:rFonts w:ascii="Symbol" w:hAnsi="Symbol"/>
      </w:rPr>
    </w:lvl>
    <w:lvl w:ilvl="2" w:tplc="C8121840">
      <w:start w:val="1"/>
      <w:numFmt w:val="bullet"/>
      <w:lvlText w:val=""/>
      <w:lvlJc w:val="left"/>
      <w:pPr>
        <w:ind w:left="1080" w:hanging="360"/>
      </w:pPr>
      <w:rPr>
        <w:rFonts w:ascii="Symbol" w:hAnsi="Symbol"/>
      </w:rPr>
    </w:lvl>
    <w:lvl w:ilvl="3" w:tplc="9D8C993A">
      <w:start w:val="1"/>
      <w:numFmt w:val="bullet"/>
      <w:lvlText w:val=""/>
      <w:lvlJc w:val="left"/>
      <w:pPr>
        <w:ind w:left="1080" w:hanging="360"/>
      </w:pPr>
      <w:rPr>
        <w:rFonts w:ascii="Symbol" w:hAnsi="Symbol"/>
      </w:rPr>
    </w:lvl>
    <w:lvl w:ilvl="4" w:tplc="B0E4BB8E">
      <w:start w:val="1"/>
      <w:numFmt w:val="bullet"/>
      <w:lvlText w:val=""/>
      <w:lvlJc w:val="left"/>
      <w:pPr>
        <w:ind w:left="1080" w:hanging="360"/>
      </w:pPr>
      <w:rPr>
        <w:rFonts w:ascii="Symbol" w:hAnsi="Symbol"/>
      </w:rPr>
    </w:lvl>
    <w:lvl w:ilvl="5" w:tplc="E558E4E4">
      <w:start w:val="1"/>
      <w:numFmt w:val="bullet"/>
      <w:lvlText w:val=""/>
      <w:lvlJc w:val="left"/>
      <w:pPr>
        <w:ind w:left="1080" w:hanging="360"/>
      </w:pPr>
      <w:rPr>
        <w:rFonts w:ascii="Symbol" w:hAnsi="Symbol"/>
      </w:rPr>
    </w:lvl>
    <w:lvl w:ilvl="6" w:tplc="B888D06A">
      <w:start w:val="1"/>
      <w:numFmt w:val="bullet"/>
      <w:lvlText w:val=""/>
      <w:lvlJc w:val="left"/>
      <w:pPr>
        <w:ind w:left="1080" w:hanging="360"/>
      </w:pPr>
      <w:rPr>
        <w:rFonts w:ascii="Symbol" w:hAnsi="Symbol"/>
      </w:rPr>
    </w:lvl>
    <w:lvl w:ilvl="7" w:tplc="3216D450">
      <w:start w:val="1"/>
      <w:numFmt w:val="bullet"/>
      <w:lvlText w:val=""/>
      <w:lvlJc w:val="left"/>
      <w:pPr>
        <w:ind w:left="1080" w:hanging="360"/>
      </w:pPr>
      <w:rPr>
        <w:rFonts w:ascii="Symbol" w:hAnsi="Symbol"/>
      </w:rPr>
    </w:lvl>
    <w:lvl w:ilvl="8" w:tplc="968E4BB4">
      <w:start w:val="1"/>
      <w:numFmt w:val="bullet"/>
      <w:lvlText w:val=""/>
      <w:lvlJc w:val="left"/>
      <w:pPr>
        <w:ind w:left="1080" w:hanging="360"/>
      </w:pPr>
      <w:rPr>
        <w:rFonts w:ascii="Symbol" w:hAnsi="Symbol"/>
      </w:rPr>
    </w:lvl>
  </w:abstractNum>
  <w:abstractNum w:abstractNumId="26"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7"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32702"/>
    <w:multiLevelType w:val="hybridMultilevel"/>
    <w:tmpl w:val="662878EA"/>
    <w:lvl w:ilvl="0" w:tplc="19869FB4">
      <w:start w:val="1"/>
      <w:numFmt w:val="bullet"/>
      <w:lvlText w:val=""/>
      <w:lvlJc w:val="left"/>
      <w:pPr>
        <w:ind w:left="1080" w:hanging="360"/>
      </w:pPr>
      <w:rPr>
        <w:rFonts w:ascii="Symbol" w:hAnsi="Symbol"/>
      </w:rPr>
    </w:lvl>
    <w:lvl w:ilvl="1" w:tplc="54E8BC28">
      <w:start w:val="1"/>
      <w:numFmt w:val="bullet"/>
      <w:lvlText w:val=""/>
      <w:lvlJc w:val="left"/>
      <w:pPr>
        <w:ind w:left="1080" w:hanging="360"/>
      </w:pPr>
      <w:rPr>
        <w:rFonts w:ascii="Symbol" w:hAnsi="Symbol"/>
      </w:rPr>
    </w:lvl>
    <w:lvl w:ilvl="2" w:tplc="CC34A0C6">
      <w:start w:val="1"/>
      <w:numFmt w:val="bullet"/>
      <w:lvlText w:val=""/>
      <w:lvlJc w:val="left"/>
      <w:pPr>
        <w:ind w:left="1080" w:hanging="360"/>
      </w:pPr>
      <w:rPr>
        <w:rFonts w:ascii="Symbol" w:hAnsi="Symbol"/>
      </w:rPr>
    </w:lvl>
    <w:lvl w:ilvl="3" w:tplc="4C7EF4FC">
      <w:start w:val="1"/>
      <w:numFmt w:val="bullet"/>
      <w:lvlText w:val=""/>
      <w:lvlJc w:val="left"/>
      <w:pPr>
        <w:ind w:left="1080" w:hanging="360"/>
      </w:pPr>
      <w:rPr>
        <w:rFonts w:ascii="Symbol" w:hAnsi="Symbol"/>
      </w:rPr>
    </w:lvl>
    <w:lvl w:ilvl="4" w:tplc="0248EC6E">
      <w:start w:val="1"/>
      <w:numFmt w:val="bullet"/>
      <w:lvlText w:val=""/>
      <w:lvlJc w:val="left"/>
      <w:pPr>
        <w:ind w:left="1080" w:hanging="360"/>
      </w:pPr>
      <w:rPr>
        <w:rFonts w:ascii="Symbol" w:hAnsi="Symbol"/>
      </w:rPr>
    </w:lvl>
    <w:lvl w:ilvl="5" w:tplc="D2D26BCA">
      <w:start w:val="1"/>
      <w:numFmt w:val="bullet"/>
      <w:lvlText w:val=""/>
      <w:lvlJc w:val="left"/>
      <w:pPr>
        <w:ind w:left="1080" w:hanging="360"/>
      </w:pPr>
      <w:rPr>
        <w:rFonts w:ascii="Symbol" w:hAnsi="Symbol"/>
      </w:rPr>
    </w:lvl>
    <w:lvl w:ilvl="6" w:tplc="A92459AC">
      <w:start w:val="1"/>
      <w:numFmt w:val="bullet"/>
      <w:lvlText w:val=""/>
      <w:lvlJc w:val="left"/>
      <w:pPr>
        <w:ind w:left="1080" w:hanging="360"/>
      </w:pPr>
      <w:rPr>
        <w:rFonts w:ascii="Symbol" w:hAnsi="Symbol"/>
      </w:rPr>
    </w:lvl>
    <w:lvl w:ilvl="7" w:tplc="96EA3A3E">
      <w:start w:val="1"/>
      <w:numFmt w:val="bullet"/>
      <w:lvlText w:val=""/>
      <w:lvlJc w:val="left"/>
      <w:pPr>
        <w:ind w:left="1080" w:hanging="360"/>
      </w:pPr>
      <w:rPr>
        <w:rFonts w:ascii="Symbol" w:hAnsi="Symbol"/>
      </w:rPr>
    </w:lvl>
    <w:lvl w:ilvl="8" w:tplc="D5641AB0">
      <w:start w:val="1"/>
      <w:numFmt w:val="bullet"/>
      <w:lvlText w:val=""/>
      <w:lvlJc w:val="left"/>
      <w:pPr>
        <w:ind w:left="1080" w:hanging="360"/>
      </w:pPr>
      <w:rPr>
        <w:rFonts w:ascii="Symbol" w:hAnsi="Symbol"/>
      </w:rPr>
    </w:lvl>
  </w:abstractNum>
  <w:abstractNum w:abstractNumId="32" w15:restartNumberingAfterBreak="0">
    <w:nsid w:val="6D367066"/>
    <w:multiLevelType w:val="hybridMultilevel"/>
    <w:tmpl w:val="6D3ACEEC"/>
    <w:lvl w:ilvl="0" w:tplc="D526C8B4">
      <w:start w:val="1"/>
      <w:numFmt w:val="bullet"/>
      <w:lvlText w:val=""/>
      <w:lvlJc w:val="left"/>
      <w:pPr>
        <w:ind w:left="1080" w:hanging="360"/>
      </w:pPr>
      <w:rPr>
        <w:rFonts w:ascii="Symbol" w:hAnsi="Symbol"/>
      </w:rPr>
    </w:lvl>
    <w:lvl w:ilvl="1" w:tplc="51909A04">
      <w:start w:val="1"/>
      <w:numFmt w:val="bullet"/>
      <w:lvlText w:val=""/>
      <w:lvlJc w:val="left"/>
      <w:pPr>
        <w:ind w:left="1080" w:hanging="360"/>
      </w:pPr>
      <w:rPr>
        <w:rFonts w:ascii="Symbol" w:hAnsi="Symbol"/>
      </w:rPr>
    </w:lvl>
    <w:lvl w:ilvl="2" w:tplc="3BC0BD7A">
      <w:start w:val="1"/>
      <w:numFmt w:val="bullet"/>
      <w:lvlText w:val=""/>
      <w:lvlJc w:val="left"/>
      <w:pPr>
        <w:ind w:left="1080" w:hanging="360"/>
      </w:pPr>
      <w:rPr>
        <w:rFonts w:ascii="Symbol" w:hAnsi="Symbol"/>
      </w:rPr>
    </w:lvl>
    <w:lvl w:ilvl="3" w:tplc="7AC2030A">
      <w:start w:val="1"/>
      <w:numFmt w:val="bullet"/>
      <w:lvlText w:val=""/>
      <w:lvlJc w:val="left"/>
      <w:pPr>
        <w:ind w:left="1080" w:hanging="360"/>
      </w:pPr>
      <w:rPr>
        <w:rFonts w:ascii="Symbol" w:hAnsi="Symbol"/>
      </w:rPr>
    </w:lvl>
    <w:lvl w:ilvl="4" w:tplc="EEF0F49A">
      <w:start w:val="1"/>
      <w:numFmt w:val="bullet"/>
      <w:lvlText w:val=""/>
      <w:lvlJc w:val="left"/>
      <w:pPr>
        <w:ind w:left="1080" w:hanging="360"/>
      </w:pPr>
      <w:rPr>
        <w:rFonts w:ascii="Symbol" w:hAnsi="Symbol"/>
      </w:rPr>
    </w:lvl>
    <w:lvl w:ilvl="5" w:tplc="613496DC">
      <w:start w:val="1"/>
      <w:numFmt w:val="bullet"/>
      <w:lvlText w:val=""/>
      <w:lvlJc w:val="left"/>
      <w:pPr>
        <w:ind w:left="1080" w:hanging="360"/>
      </w:pPr>
      <w:rPr>
        <w:rFonts w:ascii="Symbol" w:hAnsi="Symbol"/>
      </w:rPr>
    </w:lvl>
    <w:lvl w:ilvl="6" w:tplc="F45C2CC0">
      <w:start w:val="1"/>
      <w:numFmt w:val="bullet"/>
      <w:lvlText w:val=""/>
      <w:lvlJc w:val="left"/>
      <w:pPr>
        <w:ind w:left="1080" w:hanging="360"/>
      </w:pPr>
      <w:rPr>
        <w:rFonts w:ascii="Symbol" w:hAnsi="Symbol"/>
      </w:rPr>
    </w:lvl>
    <w:lvl w:ilvl="7" w:tplc="50DA5170">
      <w:start w:val="1"/>
      <w:numFmt w:val="bullet"/>
      <w:lvlText w:val=""/>
      <w:lvlJc w:val="left"/>
      <w:pPr>
        <w:ind w:left="1080" w:hanging="360"/>
      </w:pPr>
      <w:rPr>
        <w:rFonts w:ascii="Symbol" w:hAnsi="Symbol"/>
      </w:rPr>
    </w:lvl>
    <w:lvl w:ilvl="8" w:tplc="C4E2B278">
      <w:start w:val="1"/>
      <w:numFmt w:val="bullet"/>
      <w:lvlText w:val=""/>
      <w:lvlJc w:val="left"/>
      <w:pPr>
        <w:ind w:left="1080" w:hanging="360"/>
      </w:pPr>
      <w:rPr>
        <w:rFonts w:ascii="Symbol" w:hAnsi="Symbol"/>
      </w:rPr>
    </w:lvl>
  </w:abstractNum>
  <w:abstractNum w:abstractNumId="33"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4"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6"/>
  </w:num>
  <w:num w:numId="2" w16cid:durableId="1011488485">
    <w:abstractNumId w:val="4"/>
  </w:num>
  <w:num w:numId="3" w16cid:durableId="379672316">
    <w:abstractNumId w:val="30"/>
  </w:num>
  <w:num w:numId="4" w16cid:durableId="916474732">
    <w:abstractNumId w:val="16"/>
  </w:num>
  <w:num w:numId="5" w16cid:durableId="2130976733">
    <w:abstractNumId w:val="6"/>
  </w:num>
  <w:num w:numId="6" w16cid:durableId="2086758874">
    <w:abstractNumId w:val="8"/>
  </w:num>
  <w:num w:numId="7" w16cid:durableId="77137904">
    <w:abstractNumId w:val="1"/>
  </w:num>
  <w:num w:numId="8" w16cid:durableId="716323517">
    <w:abstractNumId w:val="19"/>
  </w:num>
  <w:num w:numId="9" w16cid:durableId="1225752095">
    <w:abstractNumId w:val="14"/>
  </w:num>
  <w:num w:numId="10" w16cid:durableId="883297556">
    <w:abstractNumId w:val="18"/>
  </w:num>
  <w:num w:numId="11" w16cid:durableId="442192808">
    <w:abstractNumId w:val="0"/>
  </w:num>
  <w:num w:numId="12" w16cid:durableId="1424957440">
    <w:abstractNumId w:val="29"/>
  </w:num>
  <w:num w:numId="13" w16cid:durableId="701516163">
    <w:abstractNumId w:val="11"/>
  </w:num>
  <w:num w:numId="14" w16cid:durableId="2094156602">
    <w:abstractNumId w:val="13"/>
  </w:num>
  <w:num w:numId="15" w16cid:durableId="1488085533">
    <w:abstractNumId w:val="20"/>
  </w:num>
  <w:num w:numId="16" w16cid:durableId="279066685">
    <w:abstractNumId w:val="17"/>
  </w:num>
  <w:num w:numId="17" w16cid:durableId="1044404833">
    <w:abstractNumId w:val="27"/>
  </w:num>
  <w:num w:numId="18" w16cid:durableId="742020862">
    <w:abstractNumId w:val="5"/>
  </w:num>
  <w:num w:numId="19" w16cid:durableId="1496990626">
    <w:abstractNumId w:val="21"/>
  </w:num>
  <w:num w:numId="20" w16cid:durableId="1870334765">
    <w:abstractNumId w:val="34"/>
  </w:num>
  <w:num w:numId="21" w16cid:durableId="623275208">
    <w:abstractNumId w:val="2"/>
  </w:num>
  <w:num w:numId="22" w16cid:durableId="1001547698">
    <w:abstractNumId w:val="28"/>
  </w:num>
  <w:num w:numId="23" w16cid:durableId="626356522">
    <w:abstractNumId w:val="9"/>
  </w:num>
  <w:num w:numId="24" w16cid:durableId="1719889230">
    <w:abstractNumId w:val="12"/>
  </w:num>
  <w:num w:numId="25" w16cid:durableId="136803954">
    <w:abstractNumId w:val="15"/>
  </w:num>
  <w:num w:numId="26" w16cid:durableId="926767242">
    <w:abstractNumId w:val="33"/>
  </w:num>
  <w:num w:numId="27" w16cid:durableId="11691014">
    <w:abstractNumId w:val="7"/>
  </w:num>
  <w:num w:numId="28" w16cid:durableId="348875648">
    <w:abstractNumId w:val="24"/>
  </w:num>
  <w:num w:numId="29" w16cid:durableId="285704083">
    <w:abstractNumId w:val="31"/>
  </w:num>
  <w:num w:numId="30" w16cid:durableId="1291278195">
    <w:abstractNumId w:val="3"/>
  </w:num>
  <w:num w:numId="31" w16cid:durableId="1174953424">
    <w:abstractNumId w:val="10"/>
  </w:num>
  <w:num w:numId="32" w16cid:durableId="320814406">
    <w:abstractNumId w:val="32"/>
  </w:num>
  <w:num w:numId="33" w16cid:durableId="2082288057">
    <w:abstractNumId w:val="22"/>
  </w:num>
  <w:num w:numId="34" w16cid:durableId="1592928445">
    <w:abstractNumId w:val="25"/>
  </w:num>
  <w:num w:numId="35" w16cid:durableId="14910965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125E"/>
    <w:rsid w:val="000014FA"/>
    <w:rsid w:val="00001612"/>
    <w:rsid w:val="00001648"/>
    <w:rsid w:val="000018FC"/>
    <w:rsid w:val="00001B79"/>
    <w:rsid w:val="00002716"/>
    <w:rsid w:val="00002870"/>
    <w:rsid w:val="0000318F"/>
    <w:rsid w:val="00003223"/>
    <w:rsid w:val="00003C43"/>
    <w:rsid w:val="000049A0"/>
    <w:rsid w:val="0000508A"/>
    <w:rsid w:val="00005332"/>
    <w:rsid w:val="00005791"/>
    <w:rsid w:val="0000730D"/>
    <w:rsid w:val="00007A31"/>
    <w:rsid w:val="00010827"/>
    <w:rsid w:val="00010A46"/>
    <w:rsid w:val="00010E3C"/>
    <w:rsid w:val="0001159D"/>
    <w:rsid w:val="000118D6"/>
    <w:rsid w:val="00012F29"/>
    <w:rsid w:val="00013E73"/>
    <w:rsid w:val="0001449F"/>
    <w:rsid w:val="00014843"/>
    <w:rsid w:val="00014E01"/>
    <w:rsid w:val="00014E8A"/>
    <w:rsid w:val="00015089"/>
    <w:rsid w:val="0001558B"/>
    <w:rsid w:val="00016612"/>
    <w:rsid w:val="0001774D"/>
    <w:rsid w:val="00020340"/>
    <w:rsid w:val="00021196"/>
    <w:rsid w:val="00021B63"/>
    <w:rsid w:val="000222B9"/>
    <w:rsid w:val="000224D4"/>
    <w:rsid w:val="000234C8"/>
    <w:rsid w:val="000240A4"/>
    <w:rsid w:val="00024858"/>
    <w:rsid w:val="00024DC0"/>
    <w:rsid w:val="0002520B"/>
    <w:rsid w:val="00025BAC"/>
    <w:rsid w:val="0002708B"/>
    <w:rsid w:val="000279A5"/>
    <w:rsid w:val="00027A16"/>
    <w:rsid w:val="000302FE"/>
    <w:rsid w:val="00030397"/>
    <w:rsid w:val="00030F9E"/>
    <w:rsid w:val="000314C1"/>
    <w:rsid w:val="000318F3"/>
    <w:rsid w:val="00031C8E"/>
    <w:rsid w:val="00032068"/>
    <w:rsid w:val="0003226C"/>
    <w:rsid w:val="00032A2F"/>
    <w:rsid w:val="00032F52"/>
    <w:rsid w:val="00035936"/>
    <w:rsid w:val="00035AB1"/>
    <w:rsid w:val="00035EC1"/>
    <w:rsid w:val="000366BD"/>
    <w:rsid w:val="00036B28"/>
    <w:rsid w:val="00036E06"/>
    <w:rsid w:val="000371A5"/>
    <w:rsid w:val="00037A9E"/>
    <w:rsid w:val="00037BAD"/>
    <w:rsid w:val="00037F91"/>
    <w:rsid w:val="000406D0"/>
    <w:rsid w:val="00041089"/>
    <w:rsid w:val="0004147F"/>
    <w:rsid w:val="00041907"/>
    <w:rsid w:val="00041EBB"/>
    <w:rsid w:val="0004218D"/>
    <w:rsid w:val="0004241F"/>
    <w:rsid w:val="0004287F"/>
    <w:rsid w:val="00042A29"/>
    <w:rsid w:val="00043879"/>
    <w:rsid w:val="000439E1"/>
    <w:rsid w:val="00043A23"/>
    <w:rsid w:val="00043A75"/>
    <w:rsid w:val="00043E74"/>
    <w:rsid w:val="00044952"/>
    <w:rsid w:val="00044970"/>
    <w:rsid w:val="00044B88"/>
    <w:rsid w:val="00044DCE"/>
    <w:rsid w:val="00045A22"/>
    <w:rsid w:val="000462B6"/>
    <w:rsid w:val="00046D33"/>
    <w:rsid w:val="00047C94"/>
    <w:rsid w:val="000502B0"/>
    <w:rsid w:val="000502C1"/>
    <w:rsid w:val="00050BDA"/>
    <w:rsid w:val="00050E9A"/>
    <w:rsid w:val="00051C91"/>
    <w:rsid w:val="000520CB"/>
    <w:rsid w:val="0005225A"/>
    <w:rsid w:val="00052391"/>
    <w:rsid w:val="000529F1"/>
    <w:rsid w:val="00052D07"/>
    <w:rsid w:val="00053671"/>
    <w:rsid w:val="000539F1"/>
    <w:rsid w:val="00054747"/>
    <w:rsid w:val="00054EC6"/>
    <w:rsid w:val="0005592D"/>
    <w:rsid w:val="00055A25"/>
    <w:rsid w:val="00055A2A"/>
    <w:rsid w:val="00057015"/>
    <w:rsid w:val="000578CF"/>
    <w:rsid w:val="00060029"/>
    <w:rsid w:val="00060605"/>
    <w:rsid w:val="0006077B"/>
    <w:rsid w:val="00060C15"/>
    <w:rsid w:val="000610FB"/>
    <w:rsid w:val="000615C1"/>
    <w:rsid w:val="00061675"/>
    <w:rsid w:val="00062054"/>
    <w:rsid w:val="00063125"/>
    <w:rsid w:val="00063ADB"/>
    <w:rsid w:val="00065473"/>
    <w:rsid w:val="00065AB8"/>
    <w:rsid w:val="00066C91"/>
    <w:rsid w:val="0006711E"/>
    <w:rsid w:val="000673A9"/>
    <w:rsid w:val="00067667"/>
    <w:rsid w:val="00067C6D"/>
    <w:rsid w:val="00067D7C"/>
    <w:rsid w:val="00071E2C"/>
    <w:rsid w:val="00071E79"/>
    <w:rsid w:val="000724F8"/>
    <w:rsid w:val="000726F1"/>
    <w:rsid w:val="00072857"/>
    <w:rsid w:val="00072DF0"/>
    <w:rsid w:val="00073517"/>
    <w:rsid w:val="0007363A"/>
    <w:rsid w:val="000736E8"/>
    <w:rsid w:val="000737EF"/>
    <w:rsid w:val="00073887"/>
    <w:rsid w:val="00073E8D"/>
    <w:rsid w:val="000743AA"/>
    <w:rsid w:val="0007477B"/>
    <w:rsid w:val="000749C3"/>
    <w:rsid w:val="00075769"/>
    <w:rsid w:val="00075C45"/>
    <w:rsid w:val="000764E7"/>
    <w:rsid w:val="00076DC2"/>
    <w:rsid w:val="0007732F"/>
    <w:rsid w:val="000774A9"/>
    <w:rsid w:val="00077BCE"/>
    <w:rsid w:val="00077EA7"/>
    <w:rsid w:val="00080736"/>
    <w:rsid w:val="000808E9"/>
    <w:rsid w:val="00080C96"/>
    <w:rsid w:val="000817E9"/>
    <w:rsid w:val="00081C5B"/>
    <w:rsid w:val="000821D6"/>
    <w:rsid w:val="00082420"/>
    <w:rsid w:val="00082D7B"/>
    <w:rsid w:val="00082F08"/>
    <w:rsid w:val="00082F23"/>
    <w:rsid w:val="00084378"/>
    <w:rsid w:val="00084621"/>
    <w:rsid w:val="00085060"/>
    <w:rsid w:val="00085697"/>
    <w:rsid w:val="00085F8E"/>
    <w:rsid w:val="00086E65"/>
    <w:rsid w:val="000870E0"/>
    <w:rsid w:val="000872B6"/>
    <w:rsid w:val="00087452"/>
    <w:rsid w:val="000879BB"/>
    <w:rsid w:val="000900E3"/>
    <w:rsid w:val="00090555"/>
    <w:rsid w:val="0009076F"/>
    <w:rsid w:val="00091171"/>
    <w:rsid w:val="00091616"/>
    <w:rsid w:val="00091A71"/>
    <w:rsid w:val="0009225C"/>
    <w:rsid w:val="00092445"/>
    <w:rsid w:val="000929B5"/>
    <w:rsid w:val="000933EB"/>
    <w:rsid w:val="00093C9A"/>
    <w:rsid w:val="00094033"/>
    <w:rsid w:val="00094392"/>
    <w:rsid w:val="000943CD"/>
    <w:rsid w:val="00094477"/>
    <w:rsid w:val="0009500A"/>
    <w:rsid w:val="00096051"/>
    <w:rsid w:val="00096B0C"/>
    <w:rsid w:val="00096E66"/>
    <w:rsid w:val="00097BB9"/>
    <w:rsid w:val="00097E3A"/>
    <w:rsid w:val="000A01C8"/>
    <w:rsid w:val="000A0400"/>
    <w:rsid w:val="000A17C4"/>
    <w:rsid w:val="000A18C8"/>
    <w:rsid w:val="000A237B"/>
    <w:rsid w:val="000A2D9E"/>
    <w:rsid w:val="000A32B1"/>
    <w:rsid w:val="000A34CE"/>
    <w:rsid w:val="000A36A4"/>
    <w:rsid w:val="000A3F4B"/>
    <w:rsid w:val="000A4643"/>
    <w:rsid w:val="000A4AC2"/>
    <w:rsid w:val="000A4B84"/>
    <w:rsid w:val="000A536D"/>
    <w:rsid w:val="000B068B"/>
    <w:rsid w:val="000B1146"/>
    <w:rsid w:val="000B16CA"/>
    <w:rsid w:val="000B2133"/>
    <w:rsid w:val="000B2352"/>
    <w:rsid w:val="000B2D7B"/>
    <w:rsid w:val="000B3D87"/>
    <w:rsid w:val="000B3D94"/>
    <w:rsid w:val="000B3FDF"/>
    <w:rsid w:val="000B47E2"/>
    <w:rsid w:val="000B4A6D"/>
    <w:rsid w:val="000B5321"/>
    <w:rsid w:val="000B57C7"/>
    <w:rsid w:val="000B6124"/>
    <w:rsid w:val="000C062F"/>
    <w:rsid w:val="000C2347"/>
    <w:rsid w:val="000C2549"/>
    <w:rsid w:val="000C3666"/>
    <w:rsid w:val="000C37EF"/>
    <w:rsid w:val="000C383F"/>
    <w:rsid w:val="000C41E8"/>
    <w:rsid w:val="000C5307"/>
    <w:rsid w:val="000C6ABE"/>
    <w:rsid w:val="000C6BEE"/>
    <w:rsid w:val="000C6E9E"/>
    <w:rsid w:val="000C7B84"/>
    <w:rsid w:val="000D175D"/>
    <w:rsid w:val="000D1BEC"/>
    <w:rsid w:val="000D2173"/>
    <w:rsid w:val="000D261B"/>
    <w:rsid w:val="000D3808"/>
    <w:rsid w:val="000D40F6"/>
    <w:rsid w:val="000D468F"/>
    <w:rsid w:val="000D4830"/>
    <w:rsid w:val="000D500E"/>
    <w:rsid w:val="000D50C4"/>
    <w:rsid w:val="000D50FC"/>
    <w:rsid w:val="000D58A3"/>
    <w:rsid w:val="000D5CA9"/>
    <w:rsid w:val="000D61B5"/>
    <w:rsid w:val="000D69FD"/>
    <w:rsid w:val="000D6A7C"/>
    <w:rsid w:val="000D6BFC"/>
    <w:rsid w:val="000E068E"/>
    <w:rsid w:val="000E114E"/>
    <w:rsid w:val="000E1547"/>
    <w:rsid w:val="000E174E"/>
    <w:rsid w:val="000E18B6"/>
    <w:rsid w:val="000E252E"/>
    <w:rsid w:val="000E2756"/>
    <w:rsid w:val="000E2B6F"/>
    <w:rsid w:val="000E3079"/>
    <w:rsid w:val="000E3508"/>
    <w:rsid w:val="000E35C1"/>
    <w:rsid w:val="000E3740"/>
    <w:rsid w:val="000E3AA8"/>
    <w:rsid w:val="000E3ABF"/>
    <w:rsid w:val="000E3CED"/>
    <w:rsid w:val="000E3ED4"/>
    <w:rsid w:val="000E3F9C"/>
    <w:rsid w:val="000E5238"/>
    <w:rsid w:val="000E5E08"/>
    <w:rsid w:val="000E65EE"/>
    <w:rsid w:val="000E67EC"/>
    <w:rsid w:val="000E6C63"/>
    <w:rsid w:val="000E6FE0"/>
    <w:rsid w:val="000E7493"/>
    <w:rsid w:val="000E7B14"/>
    <w:rsid w:val="000F1073"/>
    <w:rsid w:val="000F1550"/>
    <w:rsid w:val="000F1853"/>
    <w:rsid w:val="000F1B88"/>
    <w:rsid w:val="000F2190"/>
    <w:rsid w:val="000F24F7"/>
    <w:rsid w:val="000F251B"/>
    <w:rsid w:val="000F26FB"/>
    <w:rsid w:val="000F2AC7"/>
    <w:rsid w:val="000F33B3"/>
    <w:rsid w:val="000F3DBC"/>
    <w:rsid w:val="000F4329"/>
    <w:rsid w:val="000F4588"/>
    <w:rsid w:val="000F55F2"/>
    <w:rsid w:val="000F5C1F"/>
    <w:rsid w:val="000F5FE8"/>
    <w:rsid w:val="000F6644"/>
    <w:rsid w:val="00100833"/>
    <w:rsid w:val="00100945"/>
    <w:rsid w:val="00100B58"/>
    <w:rsid w:val="00100C20"/>
    <w:rsid w:val="0010124E"/>
    <w:rsid w:val="001016E9"/>
    <w:rsid w:val="00101DD2"/>
    <w:rsid w:val="001026E5"/>
    <w:rsid w:val="00102F40"/>
    <w:rsid w:val="00102F72"/>
    <w:rsid w:val="00102F9D"/>
    <w:rsid w:val="00103209"/>
    <w:rsid w:val="001035CE"/>
    <w:rsid w:val="00103EAB"/>
    <w:rsid w:val="001042B1"/>
    <w:rsid w:val="0010444F"/>
    <w:rsid w:val="001053E6"/>
    <w:rsid w:val="00106F19"/>
    <w:rsid w:val="001074F8"/>
    <w:rsid w:val="00107E85"/>
    <w:rsid w:val="00110640"/>
    <w:rsid w:val="00110914"/>
    <w:rsid w:val="00110B67"/>
    <w:rsid w:val="00110ECF"/>
    <w:rsid w:val="00110F23"/>
    <w:rsid w:val="00111793"/>
    <w:rsid w:val="001119E5"/>
    <w:rsid w:val="00111E7D"/>
    <w:rsid w:val="0011253B"/>
    <w:rsid w:val="0011260F"/>
    <w:rsid w:val="00112B64"/>
    <w:rsid w:val="00113038"/>
    <w:rsid w:val="00113562"/>
    <w:rsid w:val="00113EE8"/>
    <w:rsid w:val="0011455A"/>
    <w:rsid w:val="00114834"/>
    <w:rsid w:val="00114A65"/>
    <w:rsid w:val="00114D3C"/>
    <w:rsid w:val="00114F3A"/>
    <w:rsid w:val="001179CA"/>
    <w:rsid w:val="0012077E"/>
    <w:rsid w:val="001212EE"/>
    <w:rsid w:val="00121476"/>
    <w:rsid w:val="00121846"/>
    <w:rsid w:val="0012289D"/>
    <w:rsid w:val="00122C86"/>
    <w:rsid w:val="001236B2"/>
    <w:rsid w:val="0012381C"/>
    <w:rsid w:val="0012436C"/>
    <w:rsid w:val="00124A18"/>
    <w:rsid w:val="0012502F"/>
    <w:rsid w:val="0012649C"/>
    <w:rsid w:val="001269EE"/>
    <w:rsid w:val="001270AE"/>
    <w:rsid w:val="0012721C"/>
    <w:rsid w:val="00127E12"/>
    <w:rsid w:val="00127F2A"/>
    <w:rsid w:val="00130279"/>
    <w:rsid w:val="001308AD"/>
    <w:rsid w:val="00131607"/>
    <w:rsid w:val="00132392"/>
    <w:rsid w:val="001327DD"/>
    <w:rsid w:val="00132A4D"/>
    <w:rsid w:val="00132C22"/>
    <w:rsid w:val="00133061"/>
    <w:rsid w:val="00133300"/>
    <w:rsid w:val="00133984"/>
    <w:rsid w:val="00133DCA"/>
    <w:rsid w:val="00134891"/>
    <w:rsid w:val="00134A03"/>
    <w:rsid w:val="00134A65"/>
    <w:rsid w:val="00134BFA"/>
    <w:rsid w:val="001350D7"/>
    <w:rsid w:val="0013591E"/>
    <w:rsid w:val="00135F19"/>
    <w:rsid w:val="00136818"/>
    <w:rsid w:val="00136B1E"/>
    <w:rsid w:val="00136CA3"/>
    <w:rsid w:val="00136DEA"/>
    <w:rsid w:val="00137B41"/>
    <w:rsid w:val="001407B6"/>
    <w:rsid w:val="00140FDB"/>
    <w:rsid w:val="00141699"/>
    <w:rsid w:val="001423E1"/>
    <w:rsid w:val="0014265F"/>
    <w:rsid w:val="00142F27"/>
    <w:rsid w:val="00143527"/>
    <w:rsid w:val="001436DE"/>
    <w:rsid w:val="00143DF3"/>
    <w:rsid w:val="00144D06"/>
    <w:rsid w:val="0014526E"/>
    <w:rsid w:val="00147000"/>
    <w:rsid w:val="0014735B"/>
    <w:rsid w:val="00147E80"/>
    <w:rsid w:val="00147F7E"/>
    <w:rsid w:val="0015045F"/>
    <w:rsid w:val="001505A7"/>
    <w:rsid w:val="00150DB0"/>
    <w:rsid w:val="00151571"/>
    <w:rsid w:val="001520A6"/>
    <w:rsid w:val="0015272F"/>
    <w:rsid w:val="00152805"/>
    <w:rsid w:val="00152929"/>
    <w:rsid w:val="00153124"/>
    <w:rsid w:val="00153952"/>
    <w:rsid w:val="001539C5"/>
    <w:rsid w:val="00153FEF"/>
    <w:rsid w:val="00154673"/>
    <w:rsid w:val="00154F92"/>
    <w:rsid w:val="00156E88"/>
    <w:rsid w:val="0015746F"/>
    <w:rsid w:val="00157AD3"/>
    <w:rsid w:val="00160752"/>
    <w:rsid w:val="00160BFB"/>
    <w:rsid w:val="00160FBF"/>
    <w:rsid w:val="0016124B"/>
    <w:rsid w:val="00161EE6"/>
    <w:rsid w:val="00161F2D"/>
    <w:rsid w:val="001625E7"/>
    <w:rsid w:val="00162636"/>
    <w:rsid w:val="00162711"/>
    <w:rsid w:val="00162734"/>
    <w:rsid w:val="00162A26"/>
    <w:rsid w:val="00162A3B"/>
    <w:rsid w:val="00163091"/>
    <w:rsid w:val="00163665"/>
    <w:rsid w:val="00163C91"/>
    <w:rsid w:val="00163D42"/>
    <w:rsid w:val="00163FEF"/>
    <w:rsid w:val="00164189"/>
    <w:rsid w:val="001645CB"/>
    <w:rsid w:val="0016499C"/>
    <w:rsid w:val="00165073"/>
    <w:rsid w:val="00165769"/>
    <w:rsid w:val="00165B3D"/>
    <w:rsid w:val="00165D1E"/>
    <w:rsid w:val="00166305"/>
    <w:rsid w:val="0016669A"/>
    <w:rsid w:val="00167218"/>
    <w:rsid w:val="0016741D"/>
    <w:rsid w:val="00167545"/>
    <w:rsid w:val="00170013"/>
    <w:rsid w:val="001703C6"/>
    <w:rsid w:val="00170517"/>
    <w:rsid w:val="00171534"/>
    <w:rsid w:val="001717BC"/>
    <w:rsid w:val="0017190E"/>
    <w:rsid w:val="00171D67"/>
    <w:rsid w:val="00171EFC"/>
    <w:rsid w:val="001723B1"/>
    <w:rsid w:val="00172B53"/>
    <w:rsid w:val="00172E10"/>
    <w:rsid w:val="00172FE0"/>
    <w:rsid w:val="00173285"/>
    <w:rsid w:val="0017347A"/>
    <w:rsid w:val="00173781"/>
    <w:rsid w:val="001741CB"/>
    <w:rsid w:val="00174A1A"/>
    <w:rsid w:val="00174A70"/>
    <w:rsid w:val="001753F5"/>
    <w:rsid w:val="00175ADF"/>
    <w:rsid w:val="00175CAE"/>
    <w:rsid w:val="00176762"/>
    <w:rsid w:val="00177236"/>
    <w:rsid w:val="001803A3"/>
    <w:rsid w:val="0018092B"/>
    <w:rsid w:val="00180F48"/>
    <w:rsid w:val="00181015"/>
    <w:rsid w:val="001828DB"/>
    <w:rsid w:val="00183A69"/>
    <w:rsid w:val="00183F7F"/>
    <w:rsid w:val="00183FDB"/>
    <w:rsid w:val="00184719"/>
    <w:rsid w:val="00184DA4"/>
    <w:rsid w:val="00184F1F"/>
    <w:rsid w:val="001850FE"/>
    <w:rsid w:val="00185135"/>
    <w:rsid w:val="00185A6D"/>
    <w:rsid w:val="001867C4"/>
    <w:rsid w:val="0018742A"/>
    <w:rsid w:val="00187724"/>
    <w:rsid w:val="0019037C"/>
    <w:rsid w:val="001905A9"/>
    <w:rsid w:val="001905FA"/>
    <w:rsid w:val="00191273"/>
    <w:rsid w:val="00191403"/>
    <w:rsid w:val="00192169"/>
    <w:rsid w:val="00192257"/>
    <w:rsid w:val="0019226A"/>
    <w:rsid w:val="001922BF"/>
    <w:rsid w:val="001924AB"/>
    <w:rsid w:val="0019277A"/>
    <w:rsid w:val="0019287E"/>
    <w:rsid w:val="0019303F"/>
    <w:rsid w:val="00193115"/>
    <w:rsid w:val="001932BF"/>
    <w:rsid w:val="001942A7"/>
    <w:rsid w:val="00194A8F"/>
    <w:rsid w:val="00195111"/>
    <w:rsid w:val="0019574B"/>
    <w:rsid w:val="0019587B"/>
    <w:rsid w:val="00196049"/>
    <w:rsid w:val="001963CB"/>
    <w:rsid w:val="00196E2F"/>
    <w:rsid w:val="00196FF1"/>
    <w:rsid w:val="00197B05"/>
    <w:rsid w:val="001A06A4"/>
    <w:rsid w:val="001A0CF3"/>
    <w:rsid w:val="001A15F2"/>
    <w:rsid w:val="001A163D"/>
    <w:rsid w:val="001A1E1E"/>
    <w:rsid w:val="001A210D"/>
    <w:rsid w:val="001A21CE"/>
    <w:rsid w:val="001A2919"/>
    <w:rsid w:val="001A2995"/>
    <w:rsid w:val="001A38D5"/>
    <w:rsid w:val="001A41B9"/>
    <w:rsid w:val="001A441E"/>
    <w:rsid w:val="001A4859"/>
    <w:rsid w:val="001A4FF6"/>
    <w:rsid w:val="001A6121"/>
    <w:rsid w:val="001A6733"/>
    <w:rsid w:val="001A6910"/>
    <w:rsid w:val="001A6FA2"/>
    <w:rsid w:val="001B1FD2"/>
    <w:rsid w:val="001B255E"/>
    <w:rsid w:val="001B282C"/>
    <w:rsid w:val="001B2A1A"/>
    <w:rsid w:val="001B341E"/>
    <w:rsid w:val="001B357F"/>
    <w:rsid w:val="001B3B90"/>
    <w:rsid w:val="001B3D18"/>
    <w:rsid w:val="001B3E97"/>
    <w:rsid w:val="001B4016"/>
    <w:rsid w:val="001B46EC"/>
    <w:rsid w:val="001B628A"/>
    <w:rsid w:val="001B6A21"/>
    <w:rsid w:val="001B734E"/>
    <w:rsid w:val="001B75B8"/>
    <w:rsid w:val="001B7621"/>
    <w:rsid w:val="001B7795"/>
    <w:rsid w:val="001C09FC"/>
    <w:rsid w:val="001C11D1"/>
    <w:rsid w:val="001C12BC"/>
    <w:rsid w:val="001C17DE"/>
    <w:rsid w:val="001C2610"/>
    <w:rsid w:val="001C3444"/>
    <w:rsid w:val="001C36AC"/>
    <w:rsid w:val="001C3702"/>
    <w:rsid w:val="001C38F4"/>
    <w:rsid w:val="001C4283"/>
    <w:rsid w:val="001C4656"/>
    <w:rsid w:val="001C46BC"/>
    <w:rsid w:val="001C5782"/>
    <w:rsid w:val="001C57B9"/>
    <w:rsid w:val="001C6085"/>
    <w:rsid w:val="001C6270"/>
    <w:rsid w:val="001C749B"/>
    <w:rsid w:val="001C79F3"/>
    <w:rsid w:val="001C7BB0"/>
    <w:rsid w:val="001D00E8"/>
    <w:rsid w:val="001D018C"/>
    <w:rsid w:val="001D037E"/>
    <w:rsid w:val="001D04A7"/>
    <w:rsid w:val="001D0DC6"/>
    <w:rsid w:val="001D161B"/>
    <w:rsid w:val="001D1BC1"/>
    <w:rsid w:val="001D1E06"/>
    <w:rsid w:val="001D31BA"/>
    <w:rsid w:val="001D3653"/>
    <w:rsid w:val="001D3D40"/>
    <w:rsid w:val="001D4053"/>
    <w:rsid w:val="001D51DF"/>
    <w:rsid w:val="001D5B5A"/>
    <w:rsid w:val="001D5F05"/>
    <w:rsid w:val="001D7865"/>
    <w:rsid w:val="001D7896"/>
    <w:rsid w:val="001D78E3"/>
    <w:rsid w:val="001D7CF6"/>
    <w:rsid w:val="001E01E0"/>
    <w:rsid w:val="001E023C"/>
    <w:rsid w:val="001E0292"/>
    <w:rsid w:val="001E0979"/>
    <w:rsid w:val="001E0A46"/>
    <w:rsid w:val="001E198C"/>
    <w:rsid w:val="001E31C6"/>
    <w:rsid w:val="001E47B2"/>
    <w:rsid w:val="001E486F"/>
    <w:rsid w:val="001E5829"/>
    <w:rsid w:val="001E5B86"/>
    <w:rsid w:val="001E5D41"/>
    <w:rsid w:val="001E5EA4"/>
    <w:rsid w:val="001E69F1"/>
    <w:rsid w:val="001E751F"/>
    <w:rsid w:val="001E771F"/>
    <w:rsid w:val="001E77A4"/>
    <w:rsid w:val="001E7B51"/>
    <w:rsid w:val="001F1A7B"/>
    <w:rsid w:val="001F23E6"/>
    <w:rsid w:val="001F28D1"/>
    <w:rsid w:val="001F2CD1"/>
    <w:rsid w:val="001F300F"/>
    <w:rsid w:val="001F4238"/>
    <w:rsid w:val="001F4586"/>
    <w:rsid w:val="001F5B1E"/>
    <w:rsid w:val="001F6292"/>
    <w:rsid w:val="001F6894"/>
    <w:rsid w:val="001F6D9D"/>
    <w:rsid w:val="001F7CC8"/>
    <w:rsid w:val="001F7D35"/>
    <w:rsid w:val="00200356"/>
    <w:rsid w:val="002005DA"/>
    <w:rsid w:val="00200920"/>
    <w:rsid w:val="00200A38"/>
    <w:rsid w:val="00200A46"/>
    <w:rsid w:val="00200F0F"/>
    <w:rsid w:val="00201A0A"/>
    <w:rsid w:val="002020EF"/>
    <w:rsid w:val="00202A2E"/>
    <w:rsid w:val="00202ADD"/>
    <w:rsid w:val="00202F61"/>
    <w:rsid w:val="00203A56"/>
    <w:rsid w:val="00203AAC"/>
    <w:rsid w:val="0020432B"/>
    <w:rsid w:val="00204DEE"/>
    <w:rsid w:val="00205836"/>
    <w:rsid w:val="00205D4A"/>
    <w:rsid w:val="00205F62"/>
    <w:rsid w:val="002062F8"/>
    <w:rsid w:val="00206956"/>
    <w:rsid w:val="00206CE5"/>
    <w:rsid w:val="00206F63"/>
    <w:rsid w:val="00207CED"/>
    <w:rsid w:val="00207F0B"/>
    <w:rsid w:val="00207FC0"/>
    <w:rsid w:val="002104C7"/>
    <w:rsid w:val="002106E9"/>
    <w:rsid w:val="00210AFB"/>
    <w:rsid w:val="00210E9E"/>
    <w:rsid w:val="00211AA5"/>
    <w:rsid w:val="00211B6F"/>
    <w:rsid w:val="00211DA8"/>
    <w:rsid w:val="00212286"/>
    <w:rsid w:val="0021250C"/>
    <w:rsid w:val="00213821"/>
    <w:rsid w:val="0021440D"/>
    <w:rsid w:val="00214F4E"/>
    <w:rsid w:val="00215A5B"/>
    <w:rsid w:val="00215C23"/>
    <w:rsid w:val="00216227"/>
    <w:rsid w:val="00216392"/>
    <w:rsid w:val="0021692A"/>
    <w:rsid w:val="002174EA"/>
    <w:rsid w:val="002176EB"/>
    <w:rsid w:val="00217794"/>
    <w:rsid w:val="00217CC3"/>
    <w:rsid w:val="00217F9C"/>
    <w:rsid w:val="00220199"/>
    <w:rsid w:val="0022019A"/>
    <w:rsid w:val="002204D3"/>
    <w:rsid w:val="002206AD"/>
    <w:rsid w:val="002208C3"/>
    <w:rsid w:val="00220AB6"/>
    <w:rsid w:val="00220CC3"/>
    <w:rsid w:val="00220D80"/>
    <w:rsid w:val="0022120F"/>
    <w:rsid w:val="002216B0"/>
    <w:rsid w:val="00221AD2"/>
    <w:rsid w:val="002226D5"/>
    <w:rsid w:val="00222749"/>
    <w:rsid w:val="00222C48"/>
    <w:rsid w:val="00222D80"/>
    <w:rsid w:val="002230A7"/>
    <w:rsid w:val="0022331E"/>
    <w:rsid w:val="0022351F"/>
    <w:rsid w:val="002237D2"/>
    <w:rsid w:val="00223CDD"/>
    <w:rsid w:val="00225038"/>
    <w:rsid w:val="00225675"/>
    <w:rsid w:val="002265A3"/>
    <w:rsid w:val="002272D2"/>
    <w:rsid w:val="0022754A"/>
    <w:rsid w:val="00227D5C"/>
    <w:rsid w:val="002315C6"/>
    <w:rsid w:val="0023179C"/>
    <w:rsid w:val="002317CB"/>
    <w:rsid w:val="00231E3E"/>
    <w:rsid w:val="00232368"/>
    <w:rsid w:val="002326A3"/>
    <w:rsid w:val="00232980"/>
    <w:rsid w:val="00232DEE"/>
    <w:rsid w:val="002341E4"/>
    <w:rsid w:val="00234C96"/>
    <w:rsid w:val="00235BA4"/>
    <w:rsid w:val="00235E6F"/>
    <w:rsid w:val="00236560"/>
    <w:rsid w:val="0023662E"/>
    <w:rsid w:val="00237A88"/>
    <w:rsid w:val="00237C8D"/>
    <w:rsid w:val="00237E37"/>
    <w:rsid w:val="00240660"/>
    <w:rsid w:val="002410D5"/>
    <w:rsid w:val="002411A4"/>
    <w:rsid w:val="002415ED"/>
    <w:rsid w:val="0024165B"/>
    <w:rsid w:val="00243621"/>
    <w:rsid w:val="00244234"/>
    <w:rsid w:val="002443A3"/>
    <w:rsid w:val="00245D0F"/>
    <w:rsid w:val="00246390"/>
    <w:rsid w:val="002473BC"/>
    <w:rsid w:val="00251ACD"/>
    <w:rsid w:val="00251EDE"/>
    <w:rsid w:val="002525D6"/>
    <w:rsid w:val="002525FE"/>
    <w:rsid w:val="0025281E"/>
    <w:rsid w:val="00252BCE"/>
    <w:rsid w:val="00253463"/>
    <w:rsid w:val="00253917"/>
    <w:rsid w:val="002548C3"/>
    <w:rsid w:val="0025722A"/>
    <w:rsid w:val="0025785F"/>
    <w:rsid w:val="00257AC9"/>
    <w:rsid w:val="00257ACD"/>
    <w:rsid w:val="00257AFD"/>
    <w:rsid w:val="00257C6E"/>
    <w:rsid w:val="00257F8E"/>
    <w:rsid w:val="0026006E"/>
    <w:rsid w:val="00260566"/>
    <w:rsid w:val="002606AC"/>
    <w:rsid w:val="0026079B"/>
    <w:rsid w:val="00260D91"/>
    <w:rsid w:val="00260E52"/>
    <w:rsid w:val="00260FCF"/>
    <w:rsid w:val="0026141C"/>
    <w:rsid w:val="00261783"/>
    <w:rsid w:val="002617A4"/>
    <w:rsid w:val="00261DD7"/>
    <w:rsid w:val="00262908"/>
    <w:rsid w:val="00263DFE"/>
    <w:rsid w:val="002650F4"/>
    <w:rsid w:val="00265A2E"/>
    <w:rsid w:val="00267CB6"/>
    <w:rsid w:val="00267F0F"/>
    <w:rsid w:val="00267F33"/>
    <w:rsid w:val="00270263"/>
    <w:rsid w:val="00270351"/>
    <w:rsid w:val="00270901"/>
    <w:rsid w:val="00270E8F"/>
    <w:rsid w:val="00270F21"/>
    <w:rsid w:val="00270F5E"/>
    <w:rsid w:val="002712E0"/>
    <w:rsid w:val="002715FD"/>
    <w:rsid w:val="00271715"/>
    <w:rsid w:val="00273FF3"/>
    <w:rsid w:val="002748EB"/>
    <w:rsid w:val="00274A1E"/>
    <w:rsid w:val="00274FAB"/>
    <w:rsid w:val="00275163"/>
    <w:rsid w:val="00275365"/>
    <w:rsid w:val="0027560D"/>
    <w:rsid w:val="00275C4B"/>
    <w:rsid w:val="0027645B"/>
    <w:rsid w:val="002767CC"/>
    <w:rsid w:val="00276C93"/>
    <w:rsid w:val="002770B1"/>
    <w:rsid w:val="00277591"/>
    <w:rsid w:val="0028074F"/>
    <w:rsid w:val="00282756"/>
    <w:rsid w:val="00282FFC"/>
    <w:rsid w:val="002833FC"/>
    <w:rsid w:val="002835F8"/>
    <w:rsid w:val="002839E2"/>
    <w:rsid w:val="00284C62"/>
    <w:rsid w:val="0028506D"/>
    <w:rsid w:val="002859B2"/>
    <w:rsid w:val="00285B2F"/>
    <w:rsid w:val="00285B33"/>
    <w:rsid w:val="00286AFD"/>
    <w:rsid w:val="00286C50"/>
    <w:rsid w:val="00287667"/>
    <w:rsid w:val="00287A3C"/>
    <w:rsid w:val="00287B34"/>
    <w:rsid w:val="00290538"/>
    <w:rsid w:val="002905FD"/>
    <w:rsid w:val="00290F23"/>
    <w:rsid w:val="00291229"/>
    <w:rsid w:val="0029138F"/>
    <w:rsid w:val="00291E17"/>
    <w:rsid w:val="00293F8B"/>
    <w:rsid w:val="00293FCE"/>
    <w:rsid w:val="0029524C"/>
    <w:rsid w:val="00295618"/>
    <w:rsid w:val="002958F6"/>
    <w:rsid w:val="00296135"/>
    <w:rsid w:val="00296CB4"/>
    <w:rsid w:val="00297886"/>
    <w:rsid w:val="00297F61"/>
    <w:rsid w:val="002A056C"/>
    <w:rsid w:val="002A0F3B"/>
    <w:rsid w:val="002A215F"/>
    <w:rsid w:val="002A2515"/>
    <w:rsid w:val="002A2FC6"/>
    <w:rsid w:val="002A3EC0"/>
    <w:rsid w:val="002A3F25"/>
    <w:rsid w:val="002A3FE5"/>
    <w:rsid w:val="002A4019"/>
    <w:rsid w:val="002A4120"/>
    <w:rsid w:val="002A497F"/>
    <w:rsid w:val="002A4D1B"/>
    <w:rsid w:val="002A4EE5"/>
    <w:rsid w:val="002A4F53"/>
    <w:rsid w:val="002A6911"/>
    <w:rsid w:val="002A7257"/>
    <w:rsid w:val="002A7B79"/>
    <w:rsid w:val="002B0C84"/>
    <w:rsid w:val="002B0F72"/>
    <w:rsid w:val="002B0FA0"/>
    <w:rsid w:val="002B11D5"/>
    <w:rsid w:val="002B198C"/>
    <w:rsid w:val="002B1C44"/>
    <w:rsid w:val="002B2720"/>
    <w:rsid w:val="002B2B05"/>
    <w:rsid w:val="002B439A"/>
    <w:rsid w:val="002B44D0"/>
    <w:rsid w:val="002B4B2C"/>
    <w:rsid w:val="002B5836"/>
    <w:rsid w:val="002B5CBA"/>
    <w:rsid w:val="002B5F5A"/>
    <w:rsid w:val="002B5F6F"/>
    <w:rsid w:val="002B6738"/>
    <w:rsid w:val="002C0D84"/>
    <w:rsid w:val="002C0FF5"/>
    <w:rsid w:val="002C18AC"/>
    <w:rsid w:val="002C1A95"/>
    <w:rsid w:val="002C1EC7"/>
    <w:rsid w:val="002C3015"/>
    <w:rsid w:val="002C3D87"/>
    <w:rsid w:val="002C4342"/>
    <w:rsid w:val="002C4ABA"/>
    <w:rsid w:val="002C4E6D"/>
    <w:rsid w:val="002C5CF8"/>
    <w:rsid w:val="002C65F0"/>
    <w:rsid w:val="002C7B02"/>
    <w:rsid w:val="002C7EA3"/>
    <w:rsid w:val="002D01F4"/>
    <w:rsid w:val="002D0346"/>
    <w:rsid w:val="002D087C"/>
    <w:rsid w:val="002D0C8F"/>
    <w:rsid w:val="002D1A20"/>
    <w:rsid w:val="002D1C8D"/>
    <w:rsid w:val="002D20AE"/>
    <w:rsid w:val="002D223D"/>
    <w:rsid w:val="002D3677"/>
    <w:rsid w:val="002D3727"/>
    <w:rsid w:val="002D39D9"/>
    <w:rsid w:val="002D3B50"/>
    <w:rsid w:val="002D415D"/>
    <w:rsid w:val="002D4639"/>
    <w:rsid w:val="002D498E"/>
    <w:rsid w:val="002D593A"/>
    <w:rsid w:val="002D5DD5"/>
    <w:rsid w:val="002D6C61"/>
    <w:rsid w:val="002D7744"/>
    <w:rsid w:val="002E0AAB"/>
    <w:rsid w:val="002E1B97"/>
    <w:rsid w:val="002E2104"/>
    <w:rsid w:val="002E22C6"/>
    <w:rsid w:val="002E27BC"/>
    <w:rsid w:val="002E2B17"/>
    <w:rsid w:val="002E2CFD"/>
    <w:rsid w:val="002E2DAC"/>
    <w:rsid w:val="002E2E1D"/>
    <w:rsid w:val="002E360E"/>
    <w:rsid w:val="002E36C7"/>
    <w:rsid w:val="002E586C"/>
    <w:rsid w:val="002E5F29"/>
    <w:rsid w:val="002E6963"/>
    <w:rsid w:val="002E6A4A"/>
    <w:rsid w:val="002E6B2D"/>
    <w:rsid w:val="002E6F8F"/>
    <w:rsid w:val="002E719A"/>
    <w:rsid w:val="002E7EEF"/>
    <w:rsid w:val="002F0018"/>
    <w:rsid w:val="002F00E5"/>
    <w:rsid w:val="002F05D8"/>
    <w:rsid w:val="002F1BEB"/>
    <w:rsid w:val="002F1F20"/>
    <w:rsid w:val="002F24FE"/>
    <w:rsid w:val="002F2D05"/>
    <w:rsid w:val="002F2DE0"/>
    <w:rsid w:val="002F3292"/>
    <w:rsid w:val="002F3B72"/>
    <w:rsid w:val="002F3CEE"/>
    <w:rsid w:val="002F422D"/>
    <w:rsid w:val="002F5190"/>
    <w:rsid w:val="002F54EE"/>
    <w:rsid w:val="002F5E25"/>
    <w:rsid w:val="002F609A"/>
    <w:rsid w:val="002F61D9"/>
    <w:rsid w:val="002F6F1E"/>
    <w:rsid w:val="002F7306"/>
    <w:rsid w:val="002F739E"/>
    <w:rsid w:val="00300307"/>
    <w:rsid w:val="00300796"/>
    <w:rsid w:val="00300870"/>
    <w:rsid w:val="00301206"/>
    <w:rsid w:val="00301AE4"/>
    <w:rsid w:val="00301B41"/>
    <w:rsid w:val="00301CF8"/>
    <w:rsid w:val="003020F5"/>
    <w:rsid w:val="00302143"/>
    <w:rsid w:val="00302CE1"/>
    <w:rsid w:val="0030353C"/>
    <w:rsid w:val="003042BF"/>
    <w:rsid w:val="003043C3"/>
    <w:rsid w:val="003046DD"/>
    <w:rsid w:val="00304BA3"/>
    <w:rsid w:val="00304CC2"/>
    <w:rsid w:val="00304D0C"/>
    <w:rsid w:val="003050E9"/>
    <w:rsid w:val="003061A3"/>
    <w:rsid w:val="00306724"/>
    <w:rsid w:val="00306B5F"/>
    <w:rsid w:val="00306D08"/>
    <w:rsid w:val="00307769"/>
    <w:rsid w:val="003079DD"/>
    <w:rsid w:val="00307F07"/>
    <w:rsid w:val="003108C1"/>
    <w:rsid w:val="003108F5"/>
    <w:rsid w:val="00311E9F"/>
    <w:rsid w:val="00311F46"/>
    <w:rsid w:val="00312397"/>
    <w:rsid w:val="003123DF"/>
    <w:rsid w:val="003125C3"/>
    <w:rsid w:val="003128B8"/>
    <w:rsid w:val="00312AE6"/>
    <w:rsid w:val="003135C8"/>
    <w:rsid w:val="0031473D"/>
    <w:rsid w:val="0031482C"/>
    <w:rsid w:val="00314A98"/>
    <w:rsid w:val="00314C02"/>
    <w:rsid w:val="00315155"/>
    <w:rsid w:val="00316164"/>
    <w:rsid w:val="00316F8E"/>
    <w:rsid w:val="00317D1A"/>
    <w:rsid w:val="003201D1"/>
    <w:rsid w:val="00320FDD"/>
    <w:rsid w:val="003211FF"/>
    <w:rsid w:val="00321636"/>
    <w:rsid w:val="00322861"/>
    <w:rsid w:val="00322D20"/>
    <w:rsid w:val="00322D7A"/>
    <w:rsid w:val="00322F3B"/>
    <w:rsid w:val="00323693"/>
    <w:rsid w:val="00323FE8"/>
    <w:rsid w:val="003242AB"/>
    <w:rsid w:val="0032579F"/>
    <w:rsid w:val="00325868"/>
    <w:rsid w:val="00326380"/>
    <w:rsid w:val="0032670F"/>
    <w:rsid w:val="0032683E"/>
    <w:rsid w:val="00326B38"/>
    <w:rsid w:val="00326BD8"/>
    <w:rsid w:val="0032712A"/>
    <w:rsid w:val="00327247"/>
    <w:rsid w:val="0032774B"/>
    <w:rsid w:val="003278A9"/>
    <w:rsid w:val="00327A9D"/>
    <w:rsid w:val="00330382"/>
    <w:rsid w:val="00330E20"/>
    <w:rsid w:val="00330FE0"/>
    <w:rsid w:val="00331009"/>
    <w:rsid w:val="0033104B"/>
    <w:rsid w:val="0033130E"/>
    <w:rsid w:val="00331670"/>
    <w:rsid w:val="003318E7"/>
    <w:rsid w:val="0033269C"/>
    <w:rsid w:val="00332D8C"/>
    <w:rsid w:val="00333131"/>
    <w:rsid w:val="00335545"/>
    <w:rsid w:val="00335931"/>
    <w:rsid w:val="00335DB1"/>
    <w:rsid w:val="00336D91"/>
    <w:rsid w:val="00337735"/>
    <w:rsid w:val="00337BD6"/>
    <w:rsid w:val="003407FA"/>
    <w:rsid w:val="00342B40"/>
    <w:rsid w:val="00343696"/>
    <w:rsid w:val="0034404A"/>
    <w:rsid w:val="003443AD"/>
    <w:rsid w:val="00344764"/>
    <w:rsid w:val="00346555"/>
    <w:rsid w:val="00346BEB"/>
    <w:rsid w:val="003470D2"/>
    <w:rsid w:val="00350394"/>
    <w:rsid w:val="00350950"/>
    <w:rsid w:val="003509CF"/>
    <w:rsid w:val="00350A8D"/>
    <w:rsid w:val="00350FED"/>
    <w:rsid w:val="00351543"/>
    <w:rsid w:val="003517BA"/>
    <w:rsid w:val="00351C79"/>
    <w:rsid w:val="00351FE2"/>
    <w:rsid w:val="003521B3"/>
    <w:rsid w:val="00352228"/>
    <w:rsid w:val="003522A9"/>
    <w:rsid w:val="00352D9A"/>
    <w:rsid w:val="0035330B"/>
    <w:rsid w:val="0035383E"/>
    <w:rsid w:val="0035516C"/>
    <w:rsid w:val="0035530A"/>
    <w:rsid w:val="00355673"/>
    <w:rsid w:val="00355A0D"/>
    <w:rsid w:val="00355A4C"/>
    <w:rsid w:val="003563C3"/>
    <w:rsid w:val="00356E02"/>
    <w:rsid w:val="0035752E"/>
    <w:rsid w:val="0035770E"/>
    <w:rsid w:val="003604FB"/>
    <w:rsid w:val="00360B73"/>
    <w:rsid w:val="0036139B"/>
    <w:rsid w:val="003619CC"/>
    <w:rsid w:val="00361E22"/>
    <w:rsid w:val="003626D3"/>
    <w:rsid w:val="003627C3"/>
    <w:rsid w:val="00362FCA"/>
    <w:rsid w:val="00363113"/>
    <w:rsid w:val="00363AAF"/>
    <w:rsid w:val="00364161"/>
    <w:rsid w:val="00364F91"/>
    <w:rsid w:val="0036531C"/>
    <w:rsid w:val="0036699F"/>
    <w:rsid w:val="0036726D"/>
    <w:rsid w:val="003673F2"/>
    <w:rsid w:val="003674F9"/>
    <w:rsid w:val="00367822"/>
    <w:rsid w:val="0036788B"/>
    <w:rsid w:val="00367B06"/>
    <w:rsid w:val="003730A7"/>
    <w:rsid w:val="00374197"/>
    <w:rsid w:val="003741F7"/>
    <w:rsid w:val="00374B19"/>
    <w:rsid w:val="00374DD4"/>
    <w:rsid w:val="00375E99"/>
    <w:rsid w:val="0037700B"/>
    <w:rsid w:val="003774D8"/>
    <w:rsid w:val="003777F8"/>
    <w:rsid w:val="00380371"/>
    <w:rsid w:val="003806B8"/>
    <w:rsid w:val="00380B71"/>
    <w:rsid w:val="0038365A"/>
    <w:rsid w:val="0038375D"/>
    <w:rsid w:val="003837E3"/>
    <w:rsid w:val="003848B4"/>
    <w:rsid w:val="00385D51"/>
    <w:rsid w:val="00386408"/>
    <w:rsid w:val="003867E6"/>
    <w:rsid w:val="00386936"/>
    <w:rsid w:val="003869C2"/>
    <w:rsid w:val="00386A89"/>
    <w:rsid w:val="0038706E"/>
    <w:rsid w:val="0038760B"/>
    <w:rsid w:val="0039060B"/>
    <w:rsid w:val="0039181D"/>
    <w:rsid w:val="003918BF"/>
    <w:rsid w:val="00391B26"/>
    <w:rsid w:val="00391B98"/>
    <w:rsid w:val="00392A29"/>
    <w:rsid w:val="00393165"/>
    <w:rsid w:val="003939D4"/>
    <w:rsid w:val="00394813"/>
    <w:rsid w:val="00394925"/>
    <w:rsid w:val="00394A30"/>
    <w:rsid w:val="00395AC8"/>
    <w:rsid w:val="00395C8A"/>
    <w:rsid w:val="00396362"/>
    <w:rsid w:val="0039648E"/>
    <w:rsid w:val="0039673E"/>
    <w:rsid w:val="00396AD2"/>
    <w:rsid w:val="003A0468"/>
    <w:rsid w:val="003A0C71"/>
    <w:rsid w:val="003A1D83"/>
    <w:rsid w:val="003A2702"/>
    <w:rsid w:val="003A27BF"/>
    <w:rsid w:val="003A32F6"/>
    <w:rsid w:val="003A40BA"/>
    <w:rsid w:val="003A46A4"/>
    <w:rsid w:val="003A499D"/>
    <w:rsid w:val="003A4E67"/>
    <w:rsid w:val="003A5AFE"/>
    <w:rsid w:val="003A5D5F"/>
    <w:rsid w:val="003A6D81"/>
    <w:rsid w:val="003A6DAA"/>
    <w:rsid w:val="003A786C"/>
    <w:rsid w:val="003A7FFE"/>
    <w:rsid w:val="003B0A63"/>
    <w:rsid w:val="003B107F"/>
    <w:rsid w:val="003B24E2"/>
    <w:rsid w:val="003B2F06"/>
    <w:rsid w:val="003B2F31"/>
    <w:rsid w:val="003B342B"/>
    <w:rsid w:val="003B3448"/>
    <w:rsid w:val="003B3E19"/>
    <w:rsid w:val="003B3FE1"/>
    <w:rsid w:val="003B40A4"/>
    <w:rsid w:val="003B4E79"/>
    <w:rsid w:val="003B50E1"/>
    <w:rsid w:val="003B51CB"/>
    <w:rsid w:val="003B585C"/>
    <w:rsid w:val="003B65AB"/>
    <w:rsid w:val="003B7585"/>
    <w:rsid w:val="003B7653"/>
    <w:rsid w:val="003B78DD"/>
    <w:rsid w:val="003B7A09"/>
    <w:rsid w:val="003B7B0A"/>
    <w:rsid w:val="003C04B9"/>
    <w:rsid w:val="003C1278"/>
    <w:rsid w:val="003C1746"/>
    <w:rsid w:val="003C2AA9"/>
    <w:rsid w:val="003C3747"/>
    <w:rsid w:val="003C3909"/>
    <w:rsid w:val="003C4729"/>
    <w:rsid w:val="003C4EE9"/>
    <w:rsid w:val="003C58BF"/>
    <w:rsid w:val="003C6255"/>
    <w:rsid w:val="003C772F"/>
    <w:rsid w:val="003C794E"/>
    <w:rsid w:val="003C7EF3"/>
    <w:rsid w:val="003D03C4"/>
    <w:rsid w:val="003D0AEA"/>
    <w:rsid w:val="003D0E93"/>
    <w:rsid w:val="003D280E"/>
    <w:rsid w:val="003D292B"/>
    <w:rsid w:val="003D2EE4"/>
    <w:rsid w:val="003D3132"/>
    <w:rsid w:val="003D3634"/>
    <w:rsid w:val="003D3983"/>
    <w:rsid w:val="003D3CEE"/>
    <w:rsid w:val="003D3E09"/>
    <w:rsid w:val="003D3F93"/>
    <w:rsid w:val="003D451D"/>
    <w:rsid w:val="003D4CCA"/>
    <w:rsid w:val="003D589C"/>
    <w:rsid w:val="003D61F8"/>
    <w:rsid w:val="003D6261"/>
    <w:rsid w:val="003D6AC0"/>
    <w:rsid w:val="003D741E"/>
    <w:rsid w:val="003E06B1"/>
    <w:rsid w:val="003E0849"/>
    <w:rsid w:val="003E0D1A"/>
    <w:rsid w:val="003E0E35"/>
    <w:rsid w:val="003E0EF6"/>
    <w:rsid w:val="003E187D"/>
    <w:rsid w:val="003E1D8A"/>
    <w:rsid w:val="003E272F"/>
    <w:rsid w:val="003E2BE1"/>
    <w:rsid w:val="003E2D6B"/>
    <w:rsid w:val="003E3C22"/>
    <w:rsid w:val="003E42AF"/>
    <w:rsid w:val="003E4F6C"/>
    <w:rsid w:val="003E5436"/>
    <w:rsid w:val="003E5B0B"/>
    <w:rsid w:val="003E5CD5"/>
    <w:rsid w:val="003E6A60"/>
    <w:rsid w:val="003E754B"/>
    <w:rsid w:val="003E79F4"/>
    <w:rsid w:val="003F0277"/>
    <w:rsid w:val="003F0545"/>
    <w:rsid w:val="003F0589"/>
    <w:rsid w:val="003F2687"/>
    <w:rsid w:val="003F2DD8"/>
    <w:rsid w:val="003F3462"/>
    <w:rsid w:val="003F3F2D"/>
    <w:rsid w:val="003F4534"/>
    <w:rsid w:val="003F4E3D"/>
    <w:rsid w:val="003F4F61"/>
    <w:rsid w:val="003F50B2"/>
    <w:rsid w:val="003F578C"/>
    <w:rsid w:val="003F5C35"/>
    <w:rsid w:val="003F5C50"/>
    <w:rsid w:val="003F664F"/>
    <w:rsid w:val="003F6838"/>
    <w:rsid w:val="003F6AB2"/>
    <w:rsid w:val="003F73E1"/>
    <w:rsid w:val="003F785E"/>
    <w:rsid w:val="00400060"/>
    <w:rsid w:val="004008AD"/>
    <w:rsid w:val="00400CA3"/>
    <w:rsid w:val="00400CCF"/>
    <w:rsid w:val="004012FF"/>
    <w:rsid w:val="004015ED"/>
    <w:rsid w:val="00401711"/>
    <w:rsid w:val="00401BFF"/>
    <w:rsid w:val="00402773"/>
    <w:rsid w:val="00402AEE"/>
    <w:rsid w:val="004032B8"/>
    <w:rsid w:val="0040334F"/>
    <w:rsid w:val="00403CF3"/>
    <w:rsid w:val="00404179"/>
    <w:rsid w:val="004042F9"/>
    <w:rsid w:val="00404424"/>
    <w:rsid w:val="00404450"/>
    <w:rsid w:val="00404484"/>
    <w:rsid w:val="004045C1"/>
    <w:rsid w:val="00404AAE"/>
    <w:rsid w:val="00404BAC"/>
    <w:rsid w:val="00404C03"/>
    <w:rsid w:val="00404CE7"/>
    <w:rsid w:val="00405B77"/>
    <w:rsid w:val="00406C27"/>
    <w:rsid w:val="00407156"/>
    <w:rsid w:val="004071A8"/>
    <w:rsid w:val="0040729B"/>
    <w:rsid w:val="00407629"/>
    <w:rsid w:val="004076EE"/>
    <w:rsid w:val="00407B31"/>
    <w:rsid w:val="00410613"/>
    <w:rsid w:val="00410A03"/>
    <w:rsid w:val="00410B7F"/>
    <w:rsid w:val="0041156B"/>
    <w:rsid w:val="004118F6"/>
    <w:rsid w:val="00412207"/>
    <w:rsid w:val="00412255"/>
    <w:rsid w:val="004122C5"/>
    <w:rsid w:val="00412760"/>
    <w:rsid w:val="00412BC3"/>
    <w:rsid w:val="00412E8A"/>
    <w:rsid w:val="004132EF"/>
    <w:rsid w:val="00413B78"/>
    <w:rsid w:val="004145C9"/>
    <w:rsid w:val="004146FD"/>
    <w:rsid w:val="00414B19"/>
    <w:rsid w:val="0041652E"/>
    <w:rsid w:val="004169AE"/>
    <w:rsid w:val="00416B0F"/>
    <w:rsid w:val="00416DDE"/>
    <w:rsid w:val="004172DD"/>
    <w:rsid w:val="00417AB5"/>
    <w:rsid w:val="00417BC1"/>
    <w:rsid w:val="00420720"/>
    <w:rsid w:val="00420827"/>
    <w:rsid w:val="004210D2"/>
    <w:rsid w:val="00421175"/>
    <w:rsid w:val="004212F2"/>
    <w:rsid w:val="004212FD"/>
    <w:rsid w:val="004213E1"/>
    <w:rsid w:val="004226A3"/>
    <w:rsid w:val="00422F75"/>
    <w:rsid w:val="004244E2"/>
    <w:rsid w:val="00424D4B"/>
    <w:rsid w:val="00425089"/>
    <w:rsid w:val="004253FD"/>
    <w:rsid w:val="00425A38"/>
    <w:rsid w:val="004261F8"/>
    <w:rsid w:val="004268F1"/>
    <w:rsid w:val="00426C11"/>
    <w:rsid w:val="0043134B"/>
    <w:rsid w:val="004318B7"/>
    <w:rsid w:val="00431DCB"/>
    <w:rsid w:val="00431DDE"/>
    <w:rsid w:val="00432329"/>
    <w:rsid w:val="00432690"/>
    <w:rsid w:val="00432BA2"/>
    <w:rsid w:val="00432F0D"/>
    <w:rsid w:val="00432FBE"/>
    <w:rsid w:val="00433F81"/>
    <w:rsid w:val="004344E7"/>
    <w:rsid w:val="00434C39"/>
    <w:rsid w:val="0043564C"/>
    <w:rsid w:val="0043619E"/>
    <w:rsid w:val="004361C2"/>
    <w:rsid w:val="00436C1D"/>
    <w:rsid w:val="00436D77"/>
    <w:rsid w:val="0043740B"/>
    <w:rsid w:val="00437D71"/>
    <w:rsid w:val="00440053"/>
    <w:rsid w:val="00440257"/>
    <w:rsid w:val="004402C1"/>
    <w:rsid w:val="0044042B"/>
    <w:rsid w:val="004412A3"/>
    <w:rsid w:val="0044158E"/>
    <w:rsid w:val="00441664"/>
    <w:rsid w:val="00441716"/>
    <w:rsid w:val="00441B49"/>
    <w:rsid w:val="0044233B"/>
    <w:rsid w:val="0044255E"/>
    <w:rsid w:val="004435ED"/>
    <w:rsid w:val="00443CD8"/>
    <w:rsid w:val="0044411E"/>
    <w:rsid w:val="0044447C"/>
    <w:rsid w:val="004459DF"/>
    <w:rsid w:val="004465F6"/>
    <w:rsid w:val="004470E3"/>
    <w:rsid w:val="00447BEE"/>
    <w:rsid w:val="00447E6E"/>
    <w:rsid w:val="00450BD2"/>
    <w:rsid w:val="00452448"/>
    <w:rsid w:val="00453166"/>
    <w:rsid w:val="00453435"/>
    <w:rsid w:val="00453D8A"/>
    <w:rsid w:val="004546E2"/>
    <w:rsid w:val="00454D2D"/>
    <w:rsid w:val="00455170"/>
    <w:rsid w:val="0045541F"/>
    <w:rsid w:val="00456765"/>
    <w:rsid w:val="00457475"/>
    <w:rsid w:val="0045747D"/>
    <w:rsid w:val="004575C8"/>
    <w:rsid w:val="004575FD"/>
    <w:rsid w:val="004576B6"/>
    <w:rsid w:val="00460089"/>
    <w:rsid w:val="00460B1C"/>
    <w:rsid w:val="00460F76"/>
    <w:rsid w:val="0046141C"/>
    <w:rsid w:val="00461628"/>
    <w:rsid w:val="00461BD9"/>
    <w:rsid w:val="00461F9D"/>
    <w:rsid w:val="00462208"/>
    <w:rsid w:val="00463089"/>
    <w:rsid w:val="00463B96"/>
    <w:rsid w:val="00464383"/>
    <w:rsid w:val="004644F6"/>
    <w:rsid w:val="004646A7"/>
    <w:rsid w:val="0046498E"/>
    <w:rsid w:val="00464FA5"/>
    <w:rsid w:val="00466053"/>
    <w:rsid w:val="00466398"/>
    <w:rsid w:val="00466C83"/>
    <w:rsid w:val="00467CFE"/>
    <w:rsid w:val="004710FD"/>
    <w:rsid w:val="004712A4"/>
    <w:rsid w:val="00472998"/>
    <w:rsid w:val="00472B16"/>
    <w:rsid w:val="0047306D"/>
    <w:rsid w:val="00473107"/>
    <w:rsid w:val="00473791"/>
    <w:rsid w:val="0047483C"/>
    <w:rsid w:val="00474FB1"/>
    <w:rsid w:val="00475273"/>
    <w:rsid w:val="00475305"/>
    <w:rsid w:val="00475529"/>
    <w:rsid w:val="00475959"/>
    <w:rsid w:val="0047619F"/>
    <w:rsid w:val="00476559"/>
    <w:rsid w:val="004765C0"/>
    <w:rsid w:val="00476E48"/>
    <w:rsid w:val="004771A7"/>
    <w:rsid w:val="00480259"/>
    <w:rsid w:val="00480A9A"/>
    <w:rsid w:val="00480C7C"/>
    <w:rsid w:val="004813B2"/>
    <w:rsid w:val="004818ED"/>
    <w:rsid w:val="00481DE9"/>
    <w:rsid w:val="00482456"/>
    <w:rsid w:val="00482C12"/>
    <w:rsid w:val="00482F54"/>
    <w:rsid w:val="00483C5E"/>
    <w:rsid w:val="0048492A"/>
    <w:rsid w:val="00484B2D"/>
    <w:rsid w:val="00484CEF"/>
    <w:rsid w:val="004851FF"/>
    <w:rsid w:val="00485BAB"/>
    <w:rsid w:val="0048684E"/>
    <w:rsid w:val="0048691C"/>
    <w:rsid w:val="00486C15"/>
    <w:rsid w:val="00487121"/>
    <w:rsid w:val="00487CF2"/>
    <w:rsid w:val="00490054"/>
    <w:rsid w:val="004901D6"/>
    <w:rsid w:val="004901E8"/>
    <w:rsid w:val="004902C0"/>
    <w:rsid w:val="00490842"/>
    <w:rsid w:val="004908A7"/>
    <w:rsid w:val="00490C57"/>
    <w:rsid w:val="00490C76"/>
    <w:rsid w:val="0049128B"/>
    <w:rsid w:val="00491391"/>
    <w:rsid w:val="0049151B"/>
    <w:rsid w:val="00491705"/>
    <w:rsid w:val="0049289A"/>
    <w:rsid w:val="00493388"/>
    <w:rsid w:val="00493B31"/>
    <w:rsid w:val="00493B49"/>
    <w:rsid w:val="00493DC7"/>
    <w:rsid w:val="00493E1D"/>
    <w:rsid w:val="004945E0"/>
    <w:rsid w:val="00494808"/>
    <w:rsid w:val="00494B66"/>
    <w:rsid w:val="00495501"/>
    <w:rsid w:val="00495BBA"/>
    <w:rsid w:val="00495D95"/>
    <w:rsid w:val="004969FE"/>
    <w:rsid w:val="00496B62"/>
    <w:rsid w:val="00496E74"/>
    <w:rsid w:val="0049748F"/>
    <w:rsid w:val="00497CE0"/>
    <w:rsid w:val="00497EAD"/>
    <w:rsid w:val="004A070A"/>
    <w:rsid w:val="004A076E"/>
    <w:rsid w:val="004A1F72"/>
    <w:rsid w:val="004A21C4"/>
    <w:rsid w:val="004A2336"/>
    <w:rsid w:val="004A301E"/>
    <w:rsid w:val="004A320E"/>
    <w:rsid w:val="004A331C"/>
    <w:rsid w:val="004A385A"/>
    <w:rsid w:val="004A4878"/>
    <w:rsid w:val="004A4E9C"/>
    <w:rsid w:val="004A51BF"/>
    <w:rsid w:val="004A6867"/>
    <w:rsid w:val="004A7857"/>
    <w:rsid w:val="004B11BE"/>
    <w:rsid w:val="004B1A3C"/>
    <w:rsid w:val="004B1FBD"/>
    <w:rsid w:val="004B2A6D"/>
    <w:rsid w:val="004B441D"/>
    <w:rsid w:val="004B465A"/>
    <w:rsid w:val="004B58B4"/>
    <w:rsid w:val="004B616B"/>
    <w:rsid w:val="004B6604"/>
    <w:rsid w:val="004B6A0D"/>
    <w:rsid w:val="004B6E3C"/>
    <w:rsid w:val="004B79C3"/>
    <w:rsid w:val="004B7C25"/>
    <w:rsid w:val="004B7C5F"/>
    <w:rsid w:val="004B7DEF"/>
    <w:rsid w:val="004B7EF9"/>
    <w:rsid w:val="004C0402"/>
    <w:rsid w:val="004C0C19"/>
    <w:rsid w:val="004C0E53"/>
    <w:rsid w:val="004C15CC"/>
    <w:rsid w:val="004C1A73"/>
    <w:rsid w:val="004C2666"/>
    <w:rsid w:val="004C27F5"/>
    <w:rsid w:val="004C3540"/>
    <w:rsid w:val="004C4830"/>
    <w:rsid w:val="004C4A3E"/>
    <w:rsid w:val="004C4F47"/>
    <w:rsid w:val="004C618A"/>
    <w:rsid w:val="004C62B8"/>
    <w:rsid w:val="004C6E7D"/>
    <w:rsid w:val="004C7016"/>
    <w:rsid w:val="004C79E9"/>
    <w:rsid w:val="004D25F7"/>
    <w:rsid w:val="004D276A"/>
    <w:rsid w:val="004D29FD"/>
    <w:rsid w:val="004D2CC3"/>
    <w:rsid w:val="004D35CB"/>
    <w:rsid w:val="004D3A06"/>
    <w:rsid w:val="004D3F4A"/>
    <w:rsid w:val="004D45E8"/>
    <w:rsid w:val="004D4FE9"/>
    <w:rsid w:val="004D52EF"/>
    <w:rsid w:val="004D6FF4"/>
    <w:rsid w:val="004D7DAB"/>
    <w:rsid w:val="004E0437"/>
    <w:rsid w:val="004E04A5"/>
    <w:rsid w:val="004E13AD"/>
    <w:rsid w:val="004E168B"/>
    <w:rsid w:val="004E17EB"/>
    <w:rsid w:val="004E1B41"/>
    <w:rsid w:val="004E20E5"/>
    <w:rsid w:val="004E2836"/>
    <w:rsid w:val="004E2B62"/>
    <w:rsid w:val="004E2BE6"/>
    <w:rsid w:val="004E4579"/>
    <w:rsid w:val="004E4CE0"/>
    <w:rsid w:val="004E5473"/>
    <w:rsid w:val="004E54DE"/>
    <w:rsid w:val="004E5D89"/>
    <w:rsid w:val="004E5EDA"/>
    <w:rsid w:val="004E64EA"/>
    <w:rsid w:val="004E7828"/>
    <w:rsid w:val="004F010B"/>
    <w:rsid w:val="004F0BA8"/>
    <w:rsid w:val="004F1193"/>
    <w:rsid w:val="004F18EC"/>
    <w:rsid w:val="004F1BCF"/>
    <w:rsid w:val="004F2262"/>
    <w:rsid w:val="004F2361"/>
    <w:rsid w:val="004F46AA"/>
    <w:rsid w:val="004F4F8E"/>
    <w:rsid w:val="004F568E"/>
    <w:rsid w:val="004F58E2"/>
    <w:rsid w:val="004F6056"/>
    <w:rsid w:val="004F6195"/>
    <w:rsid w:val="004F6A70"/>
    <w:rsid w:val="004F6F9A"/>
    <w:rsid w:val="00500642"/>
    <w:rsid w:val="00500AD7"/>
    <w:rsid w:val="00500CF9"/>
    <w:rsid w:val="00501030"/>
    <w:rsid w:val="00501B50"/>
    <w:rsid w:val="00501D13"/>
    <w:rsid w:val="0050289C"/>
    <w:rsid w:val="005028B3"/>
    <w:rsid w:val="005028BA"/>
    <w:rsid w:val="00502ABF"/>
    <w:rsid w:val="00502C9F"/>
    <w:rsid w:val="0050387B"/>
    <w:rsid w:val="005040F1"/>
    <w:rsid w:val="00504D00"/>
    <w:rsid w:val="00504DB0"/>
    <w:rsid w:val="005050C3"/>
    <w:rsid w:val="00505FE9"/>
    <w:rsid w:val="005061E6"/>
    <w:rsid w:val="005064EC"/>
    <w:rsid w:val="005078A4"/>
    <w:rsid w:val="00507C35"/>
    <w:rsid w:val="00507FFC"/>
    <w:rsid w:val="00510125"/>
    <w:rsid w:val="00510714"/>
    <w:rsid w:val="00510735"/>
    <w:rsid w:val="00511FF3"/>
    <w:rsid w:val="005121F8"/>
    <w:rsid w:val="005123B3"/>
    <w:rsid w:val="00512E59"/>
    <w:rsid w:val="0051391D"/>
    <w:rsid w:val="00513E86"/>
    <w:rsid w:val="00514811"/>
    <w:rsid w:val="00514D2F"/>
    <w:rsid w:val="005167F4"/>
    <w:rsid w:val="00516A9C"/>
    <w:rsid w:val="005173A6"/>
    <w:rsid w:val="00517AD9"/>
    <w:rsid w:val="005202CB"/>
    <w:rsid w:val="005204C0"/>
    <w:rsid w:val="005206EB"/>
    <w:rsid w:val="0052266E"/>
    <w:rsid w:val="00522B64"/>
    <w:rsid w:val="005239C0"/>
    <w:rsid w:val="00523C86"/>
    <w:rsid w:val="005246DF"/>
    <w:rsid w:val="00524D65"/>
    <w:rsid w:val="005253CB"/>
    <w:rsid w:val="00525539"/>
    <w:rsid w:val="005258EE"/>
    <w:rsid w:val="005262AD"/>
    <w:rsid w:val="00526AF8"/>
    <w:rsid w:val="00526B35"/>
    <w:rsid w:val="00526E18"/>
    <w:rsid w:val="005270BE"/>
    <w:rsid w:val="005271CC"/>
    <w:rsid w:val="0052764B"/>
    <w:rsid w:val="00527CE9"/>
    <w:rsid w:val="00527D3F"/>
    <w:rsid w:val="00530526"/>
    <w:rsid w:val="005325A4"/>
    <w:rsid w:val="00532695"/>
    <w:rsid w:val="005329FE"/>
    <w:rsid w:val="005346F7"/>
    <w:rsid w:val="00534B86"/>
    <w:rsid w:val="005353DB"/>
    <w:rsid w:val="00535713"/>
    <w:rsid w:val="00536130"/>
    <w:rsid w:val="00537260"/>
    <w:rsid w:val="005374A1"/>
    <w:rsid w:val="005374E0"/>
    <w:rsid w:val="00540A90"/>
    <w:rsid w:val="00541AC2"/>
    <w:rsid w:val="00542207"/>
    <w:rsid w:val="005430C3"/>
    <w:rsid w:val="005430F0"/>
    <w:rsid w:val="0054420E"/>
    <w:rsid w:val="00544212"/>
    <w:rsid w:val="005445B3"/>
    <w:rsid w:val="0054499A"/>
    <w:rsid w:val="00544D1B"/>
    <w:rsid w:val="00545828"/>
    <w:rsid w:val="00545AC3"/>
    <w:rsid w:val="00545DC0"/>
    <w:rsid w:val="00545F6C"/>
    <w:rsid w:val="005460D4"/>
    <w:rsid w:val="00546A15"/>
    <w:rsid w:val="005470D9"/>
    <w:rsid w:val="0054775F"/>
    <w:rsid w:val="005477D9"/>
    <w:rsid w:val="00547F19"/>
    <w:rsid w:val="005505EB"/>
    <w:rsid w:val="00550727"/>
    <w:rsid w:val="00550FBA"/>
    <w:rsid w:val="00551B71"/>
    <w:rsid w:val="00554ABD"/>
    <w:rsid w:val="00554E41"/>
    <w:rsid w:val="00555323"/>
    <w:rsid w:val="005553E8"/>
    <w:rsid w:val="005562D2"/>
    <w:rsid w:val="0055630A"/>
    <w:rsid w:val="005569C6"/>
    <w:rsid w:val="00557006"/>
    <w:rsid w:val="0055720C"/>
    <w:rsid w:val="005572CE"/>
    <w:rsid w:val="00557C24"/>
    <w:rsid w:val="005601C4"/>
    <w:rsid w:val="00561796"/>
    <w:rsid w:val="00562BED"/>
    <w:rsid w:val="00562D7D"/>
    <w:rsid w:val="00563230"/>
    <w:rsid w:val="005632DD"/>
    <w:rsid w:val="00563F4A"/>
    <w:rsid w:val="0056423B"/>
    <w:rsid w:val="005649D4"/>
    <w:rsid w:val="00564C39"/>
    <w:rsid w:val="005658D0"/>
    <w:rsid w:val="0056644E"/>
    <w:rsid w:val="0056689E"/>
    <w:rsid w:val="00566BDC"/>
    <w:rsid w:val="00566CA6"/>
    <w:rsid w:val="0056753E"/>
    <w:rsid w:val="00567CCA"/>
    <w:rsid w:val="0057027C"/>
    <w:rsid w:val="00570371"/>
    <w:rsid w:val="005708DE"/>
    <w:rsid w:val="0057164A"/>
    <w:rsid w:val="0057231A"/>
    <w:rsid w:val="0057279A"/>
    <w:rsid w:val="00573424"/>
    <w:rsid w:val="005737E7"/>
    <w:rsid w:val="005738FB"/>
    <w:rsid w:val="00573E2B"/>
    <w:rsid w:val="0057402F"/>
    <w:rsid w:val="0057472C"/>
    <w:rsid w:val="00574C5A"/>
    <w:rsid w:val="00574DF8"/>
    <w:rsid w:val="00574F49"/>
    <w:rsid w:val="00575CF9"/>
    <w:rsid w:val="005761B7"/>
    <w:rsid w:val="005764B8"/>
    <w:rsid w:val="005766ED"/>
    <w:rsid w:val="00577331"/>
    <w:rsid w:val="005774BA"/>
    <w:rsid w:val="00580099"/>
    <w:rsid w:val="00580C12"/>
    <w:rsid w:val="00580E10"/>
    <w:rsid w:val="00580F1C"/>
    <w:rsid w:val="00581064"/>
    <w:rsid w:val="00581252"/>
    <w:rsid w:val="00581653"/>
    <w:rsid w:val="00581DDE"/>
    <w:rsid w:val="00581F53"/>
    <w:rsid w:val="00582029"/>
    <w:rsid w:val="00582D05"/>
    <w:rsid w:val="0058350E"/>
    <w:rsid w:val="00584836"/>
    <w:rsid w:val="005849D6"/>
    <w:rsid w:val="005849FD"/>
    <w:rsid w:val="00585149"/>
    <w:rsid w:val="00585367"/>
    <w:rsid w:val="005855E4"/>
    <w:rsid w:val="0058571E"/>
    <w:rsid w:val="00585810"/>
    <w:rsid w:val="005858FD"/>
    <w:rsid w:val="005867B4"/>
    <w:rsid w:val="00586DD6"/>
    <w:rsid w:val="00587182"/>
    <w:rsid w:val="005871A1"/>
    <w:rsid w:val="0058737E"/>
    <w:rsid w:val="005878EB"/>
    <w:rsid w:val="00590023"/>
    <w:rsid w:val="005920D2"/>
    <w:rsid w:val="0059217C"/>
    <w:rsid w:val="00592348"/>
    <w:rsid w:val="00592518"/>
    <w:rsid w:val="00592E87"/>
    <w:rsid w:val="0059363C"/>
    <w:rsid w:val="0059420B"/>
    <w:rsid w:val="00594C4D"/>
    <w:rsid w:val="00594DE7"/>
    <w:rsid w:val="005953C2"/>
    <w:rsid w:val="00595DB9"/>
    <w:rsid w:val="00596499"/>
    <w:rsid w:val="00597665"/>
    <w:rsid w:val="005976F8"/>
    <w:rsid w:val="005A0518"/>
    <w:rsid w:val="005A0ACB"/>
    <w:rsid w:val="005A0C11"/>
    <w:rsid w:val="005A13AC"/>
    <w:rsid w:val="005A1A03"/>
    <w:rsid w:val="005A2453"/>
    <w:rsid w:val="005A2505"/>
    <w:rsid w:val="005A3271"/>
    <w:rsid w:val="005A33B0"/>
    <w:rsid w:val="005A3FDC"/>
    <w:rsid w:val="005A406D"/>
    <w:rsid w:val="005A41A5"/>
    <w:rsid w:val="005A4481"/>
    <w:rsid w:val="005A4A0A"/>
    <w:rsid w:val="005A4AB8"/>
    <w:rsid w:val="005A4F5C"/>
    <w:rsid w:val="005A58A6"/>
    <w:rsid w:val="005A603D"/>
    <w:rsid w:val="005A727C"/>
    <w:rsid w:val="005A76A0"/>
    <w:rsid w:val="005B0061"/>
    <w:rsid w:val="005B0C9B"/>
    <w:rsid w:val="005B0DDF"/>
    <w:rsid w:val="005B0E74"/>
    <w:rsid w:val="005B11E3"/>
    <w:rsid w:val="005B15A4"/>
    <w:rsid w:val="005B1ACC"/>
    <w:rsid w:val="005B21F1"/>
    <w:rsid w:val="005B2295"/>
    <w:rsid w:val="005B2B24"/>
    <w:rsid w:val="005B2E46"/>
    <w:rsid w:val="005B37A8"/>
    <w:rsid w:val="005B3BEF"/>
    <w:rsid w:val="005B4D80"/>
    <w:rsid w:val="005B6435"/>
    <w:rsid w:val="005B65E9"/>
    <w:rsid w:val="005B664B"/>
    <w:rsid w:val="005B7930"/>
    <w:rsid w:val="005B7BDA"/>
    <w:rsid w:val="005C04DE"/>
    <w:rsid w:val="005C0CDA"/>
    <w:rsid w:val="005C1FFC"/>
    <w:rsid w:val="005C203F"/>
    <w:rsid w:val="005C2DC2"/>
    <w:rsid w:val="005C2F86"/>
    <w:rsid w:val="005C304A"/>
    <w:rsid w:val="005C3080"/>
    <w:rsid w:val="005C3486"/>
    <w:rsid w:val="005C3D69"/>
    <w:rsid w:val="005C4361"/>
    <w:rsid w:val="005C557C"/>
    <w:rsid w:val="005C5FEB"/>
    <w:rsid w:val="005C6A28"/>
    <w:rsid w:val="005C6CD0"/>
    <w:rsid w:val="005C6FC4"/>
    <w:rsid w:val="005C78E9"/>
    <w:rsid w:val="005C7AB9"/>
    <w:rsid w:val="005C7C98"/>
    <w:rsid w:val="005D0ABC"/>
    <w:rsid w:val="005D0CE9"/>
    <w:rsid w:val="005D0F9C"/>
    <w:rsid w:val="005D12D3"/>
    <w:rsid w:val="005D1E6D"/>
    <w:rsid w:val="005D2605"/>
    <w:rsid w:val="005D2C3A"/>
    <w:rsid w:val="005D2C85"/>
    <w:rsid w:val="005D37FB"/>
    <w:rsid w:val="005D4061"/>
    <w:rsid w:val="005D4573"/>
    <w:rsid w:val="005D4FF2"/>
    <w:rsid w:val="005D5023"/>
    <w:rsid w:val="005D515D"/>
    <w:rsid w:val="005D527B"/>
    <w:rsid w:val="005D55A4"/>
    <w:rsid w:val="005D57C8"/>
    <w:rsid w:val="005D63D1"/>
    <w:rsid w:val="005D70BA"/>
    <w:rsid w:val="005D7309"/>
    <w:rsid w:val="005D7761"/>
    <w:rsid w:val="005D7B6F"/>
    <w:rsid w:val="005D7CD3"/>
    <w:rsid w:val="005E0278"/>
    <w:rsid w:val="005E05D1"/>
    <w:rsid w:val="005E0645"/>
    <w:rsid w:val="005E090D"/>
    <w:rsid w:val="005E0F64"/>
    <w:rsid w:val="005E18A9"/>
    <w:rsid w:val="005E1F81"/>
    <w:rsid w:val="005E222A"/>
    <w:rsid w:val="005E2D6F"/>
    <w:rsid w:val="005E2EBF"/>
    <w:rsid w:val="005E2FFB"/>
    <w:rsid w:val="005E38FF"/>
    <w:rsid w:val="005E3CA0"/>
    <w:rsid w:val="005E44B1"/>
    <w:rsid w:val="005E50BC"/>
    <w:rsid w:val="005E538D"/>
    <w:rsid w:val="005E5491"/>
    <w:rsid w:val="005E55F5"/>
    <w:rsid w:val="005E5B84"/>
    <w:rsid w:val="005E6077"/>
    <w:rsid w:val="005E63FF"/>
    <w:rsid w:val="005E641E"/>
    <w:rsid w:val="005E661D"/>
    <w:rsid w:val="005E67B0"/>
    <w:rsid w:val="005E687F"/>
    <w:rsid w:val="005E6E59"/>
    <w:rsid w:val="005E6F46"/>
    <w:rsid w:val="005E7047"/>
    <w:rsid w:val="005E71B9"/>
    <w:rsid w:val="005E777F"/>
    <w:rsid w:val="005E7A0A"/>
    <w:rsid w:val="005E7B5E"/>
    <w:rsid w:val="005F020F"/>
    <w:rsid w:val="005F127B"/>
    <w:rsid w:val="005F1CA7"/>
    <w:rsid w:val="005F1ECF"/>
    <w:rsid w:val="005F229F"/>
    <w:rsid w:val="005F2309"/>
    <w:rsid w:val="005F23E3"/>
    <w:rsid w:val="005F249C"/>
    <w:rsid w:val="005F305B"/>
    <w:rsid w:val="005F347B"/>
    <w:rsid w:val="005F3A78"/>
    <w:rsid w:val="005F4015"/>
    <w:rsid w:val="005F417C"/>
    <w:rsid w:val="005F43DD"/>
    <w:rsid w:val="005F469E"/>
    <w:rsid w:val="005F481F"/>
    <w:rsid w:val="005F4969"/>
    <w:rsid w:val="005F51A9"/>
    <w:rsid w:val="005F532D"/>
    <w:rsid w:val="005F5B35"/>
    <w:rsid w:val="005F5EDF"/>
    <w:rsid w:val="005F6BE1"/>
    <w:rsid w:val="005F6F7D"/>
    <w:rsid w:val="005F735A"/>
    <w:rsid w:val="005F7416"/>
    <w:rsid w:val="005F74ED"/>
    <w:rsid w:val="005F76F5"/>
    <w:rsid w:val="005F7C55"/>
    <w:rsid w:val="00600367"/>
    <w:rsid w:val="00600C11"/>
    <w:rsid w:val="00600E8B"/>
    <w:rsid w:val="0060111E"/>
    <w:rsid w:val="00601582"/>
    <w:rsid w:val="00601946"/>
    <w:rsid w:val="006022D1"/>
    <w:rsid w:val="00602A6F"/>
    <w:rsid w:val="00604B41"/>
    <w:rsid w:val="00605EBE"/>
    <w:rsid w:val="006067EB"/>
    <w:rsid w:val="00606B89"/>
    <w:rsid w:val="00607354"/>
    <w:rsid w:val="006079B5"/>
    <w:rsid w:val="00607AD1"/>
    <w:rsid w:val="00610765"/>
    <w:rsid w:val="0061096C"/>
    <w:rsid w:val="006110C5"/>
    <w:rsid w:val="00611225"/>
    <w:rsid w:val="00611EAF"/>
    <w:rsid w:val="00612149"/>
    <w:rsid w:val="00612B5B"/>
    <w:rsid w:val="006144BF"/>
    <w:rsid w:val="006147BC"/>
    <w:rsid w:val="006147F5"/>
    <w:rsid w:val="00614DC0"/>
    <w:rsid w:val="00614DDA"/>
    <w:rsid w:val="00615AEA"/>
    <w:rsid w:val="00615F28"/>
    <w:rsid w:val="006170EC"/>
    <w:rsid w:val="00617735"/>
    <w:rsid w:val="0062041D"/>
    <w:rsid w:val="00620573"/>
    <w:rsid w:val="006237BE"/>
    <w:rsid w:val="00623B09"/>
    <w:rsid w:val="00623F30"/>
    <w:rsid w:val="006249C6"/>
    <w:rsid w:val="00624B02"/>
    <w:rsid w:val="00624B44"/>
    <w:rsid w:val="00625B6E"/>
    <w:rsid w:val="00625FB8"/>
    <w:rsid w:val="006261BD"/>
    <w:rsid w:val="00627225"/>
    <w:rsid w:val="006274C3"/>
    <w:rsid w:val="00630417"/>
    <w:rsid w:val="00630D20"/>
    <w:rsid w:val="0063119E"/>
    <w:rsid w:val="006326CC"/>
    <w:rsid w:val="0063473E"/>
    <w:rsid w:val="00634844"/>
    <w:rsid w:val="00634A11"/>
    <w:rsid w:val="00635EDB"/>
    <w:rsid w:val="00635EED"/>
    <w:rsid w:val="0064085E"/>
    <w:rsid w:val="006408A1"/>
    <w:rsid w:val="00640B8E"/>
    <w:rsid w:val="00640E93"/>
    <w:rsid w:val="0064141A"/>
    <w:rsid w:val="006420D1"/>
    <w:rsid w:val="006420F2"/>
    <w:rsid w:val="0064262C"/>
    <w:rsid w:val="00642C3C"/>
    <w:rsid w:val="006433FD"/>
    <w:rsid w:val="00643A03"/>
    <w:rsid w:val="00643A45"/>
    <w:rsid w:val="00643A79"/>
    <w:rsid w:val="00644547"/>
    <w:rsid w:val="00644785"/>
    <w:rsid w:val="00644EF4"/>
    <w:rsid w:val="00645F8C"/>
    <w:rsid w:val="00646DD5"/>
    <w:rsid w:val="0064734E"/>
    <w:rsid w:val="00650137"/>
    <w:rsid w:val="006509D7"/>
    <w:rsid w:val="00651491"/>
    <w:rsid w:val="00651CE8"/>
    <w:rsid w:val="006523CE"/>
    <w:rsid w:val="00652EA5"/>
    <w:rsid w:val="0065322F"/>
    <w:rsid w:val="0065342D"/>
    <w:rsid w:val="00653462"/>
    <w:rsid w:val="00653664"/>
    <w:rsid w:val="00654F12"/>
    <w:rsid w:val="0065521B"/>
    <w:rsid w:val="00655869"/>
    <w:rsid w:val="006567DF"/>
    <w:rsid w:val="00657464"/>
    <w:rsid w:val="00657589"/>
    <w:rsid w:val="00660195"/>
    <w:rsid w:val="00660998"/>
    <w:rsid w:val="00661201"/>
    <w:rsid w:val="00661267"/>
    <w:rsid w:val="00661CFA"/>
    <w:rsid w:val="0066299B"/>
    <w:rsid w:val="006635A3"/>
    <w:rsid w:val="006636D8"/>
    <w:rsid w:val="00663E78"/>
    <w:rsid w:val="00664451"/>
    <w:rsid w:val="006647DB"/>
    <w:rsid w:val="006653D6"/>
    <w:rsid w:val="00665973"/>
    <w:rsid w:val="00665C96"/>
    <w:rsid w:val="0066654A"/>
    <w:rsid w:val="00667B1B"/>
    <w:rsid w:val="00667D2D"/>
    <w:rsid w:val="00670411"/>
    <w:rsid w:val="00670782"/>
    <w:rsid w:val="00671314"/>
    <w:rsid w:val="0067161F"/>
    <w:rsid w:val="00671EF6"/>
    <w:rsid w:val="0067205B"/>
    <w:rsid w:val="00672592"/>
    <w:rsid w:val="00672D28"/>
    <w:rsid w:val="00672EB5"/>
    <w:rsid w:val="006731EB"/>
    <w:rsid w:val="00673F7C"/>
    <w:rsid w:val="006744A9"/>
    <w:rsid w:val="006748F8"/>
    <w:rsid w:val="006749F5"/>
    <w:rsid w:val="00674F34"/>
    <w:rsid w:val="006751FC"/>
    <w:rsid w:val="00675F7D"/>
    <w:rsid w:val="00675FF6"/>
    <w:rsid w:val="00676041"/>
    <w:rsid w:val="00676BCC"/>
    <w:rsid w:val="0067788F"/>
    <w:rsid w:val="00677BBF"/>
    <w:rsid w:val="00680489"/>
    <w:rsid w:val="00680533"/>
    <w:rsid w:val="00681A17"/>
    <w:rsid w:val="00681D0E"/>
    <w:rsid w:val="00683856"/>
    <w:rsid w:val="00683C32"/>
    <w:rsid w:val="00683EB2"/>
    <w:rsid w:val="00683F23"/>
    <w:rsid w:val="00684156"/>
    <w:rsid w:val="006843F6"/>
    <w:rsid w:val="00684C3D"/>
    <w:rsid w:val="00684DBC"/>
    <w:rsid w:val="006852DD"/>
    <w:rsid w:val="00685FDE"/>
    <w:rsid w:val="006860C4"/>
    <w:rsid w:val="006879BB"/>
    <w:rsid w:val="006909A7"/>
    <w:rsid w:val="00690BB2"/>
    <w:rsid w:val="006916B1"/>
    <w:rsid w:val="00691AF7"/>
    <w:rsid w:val="00691C35"/>
    <w:rsid w:val="00692A8F"/>
    <w:rsid w:val="00692B82"/>
    <w:rsid w:val="0069390E"/>
    <w:rsid w:val="00693D09"/>
    <w:rsid w:val="00694CFD"/>
    <w:rsid w:val="00694E3F"/>
    <w:rsid w:val="00694FD2"/>
    <w:rsid w:val="00695116"/>
    <w:rsid w:val="0069537D"/>
    <w:rsid w:val="00695F0C"/>
    <w:rsid w:val="00696B44"/>
    <w:rsid w:val="006971B8"/>
    <w:rsid w:val="00697471"/>
    <w:rsid w:val="006975EE"/>
    <w:rsid w:val="006A09E8"/>
    <w:rsid w:val="006A0C66"/>
    <w:rsid w:val="006A0D3F"/>
    <w:rsid w:val="006A14E8"/>
    <w:rsid w:val="006A1DE0"/>
    <w:rsid w:val="006A1DFC"/>
    <w:rsid w:val="006A23EC"/>
    <w:rsid w:val="006A37CE"/>
    <w:rsid w:val="006A4882"/>
    <w:rsid w:val="006A4A56"/>
    <w:rsid w:val="006A4A79"/>
    <w:rsid w:val="006A4E26"/>
    <w:rsid w:val="006A5102"/>
    <w:rsid w:val="006A541B"/>
    <w:rsid w:val="006A64BC"/>
    <w:rsid w:val="006A6549"/>
    <w:rsid w:val="006A7710"/>
    <w:rsid w:val="006A77FA"/>
    <w:rsid w:val="006A79DE"/>
    <w:rsid w:val="006A7A61"/>
    <w:rsid w:val="006A7B4B"/>
    <w:rsid w:val="006A7BAC"/>
    <w:rsid w:val="006A7BF7"/>
    <w:rsid w:val="006B11E4"/>
    <w:rsid w:val="006B1E59"/>
    <w:rsid w:val="006B206D"/>
    <w:rsid w:val="006B226F"/>
    <w:rsid w:val="006B2FC5"/>
    <w:rsid w:val="006B2FFB"/>
    <w:rsid w:val="006B305D"/>
    <w:rsid w:val="006B3996"/>
    <w:rsid w:val="006B3B8D"/>
    <w:rsid w:val="006B3CD4"/>
    <w:rsid w:val="006B3D0F"/>
    <w:rsid w:val="006B3E64"/>
    <w:rsid w:val="006B4818"/>
    <w:rsid w:val="006B4F82"/>
    <w:rsid w:val="006B4FB3"/>
    <w:rsid w:val="006B503E"/>
    <w:rsid w:val="006B521A"/>
    <w:rsid w:val="006B5A64"/>
    <w:rsid w:val="006B5EFF"/>
    <w:rsid w:val="006B665F"/>
    <w:rsid w:val="006B67F9"/>
    <w:rsid w:val="006B7C65"/>
    <w:rsid w:val="006C075B"/>
    <w:rsid w:val="006C0D6E"/>
    <w:rsid w:val="006C106A"/>
    <w:rsid w:val="006C10A2"/>
    <w:rsid w:val="006C1A79"/>
    <w:rsid w:val="006C1F18"/>
    <w:rsid w:val="006C2373"/>
    <w:rsid w:val="006C26B5"/>
    <w:rsid w:val="006C2704"/>
    <w:rsid w:val="006C3AA7"/>
    <w:rsid w:val="006C41B5"/>
    <w:rsid w:val="006C4AC4"/>
    <w:rsid w:val="006C6139"/>
    <w:rsid w:val="006C68D1"/>
    <w:rsid w:val="006C6951"/>
    <w:rsid w:val="006C6E02"/>
    <w:rsid w:val="006C6F2B"/>
    <w:rsid w:val="006C772C"/>
    <w:rsid w:val="006C79C2"/>
    <w:rsid w:val="006D0093"/>
    <w:rsid w:val="006D00F9"/>
    <w:rsid w:val="006D02BE"/>
    <w:rsid w:val="006D0659"/>
    <w:rsid w:val="006D089D"/>
    <w:rsid w:val="006D1BEE"/>
    <w:rsid w:val="006D21B9"/>
    <w:rsid w:val="006D2851"/>
    <w:rsid w:val="006D3F12"/>
    <w:rsid w:val="006D40D5"/>
    <w:rsid w:val="006D449E"/>
    <w:rsid w:val="006D49D9"/>
    <w:rsid w:val="006D4EA0"/>
    <w:rsid w:val="006D506C"/>
    <w:rsid w:val="006D5E18"/>
    <w:rsid w:val="006D64B1"/>
    <w:rsid w:val="006D6BF2"/>
    <w:rsid w:val="006D7087"/>
    <w:rsid w:val="006E0006"/>
    <w:rsid w:val="006E12EB"/>
    <w:rsid w:val="006E1AE5"/>
    <w:rsid w:val="006E226E"/>
    <w:rsid w:val="006E2988"/>
    <w:rsid w:val="006E37A2"/>
    <w:rsid w:val="006E39BC"/>
    <w:rsid w:val="006E40AD"/>
    <w:rsid w:val="006E4647"/>
    <w:rsid w:val="006E5561"/>
    <w:rsid w:val="006E558E"/>
    <w:rsid w:val="006E5D26"/>
    <w:rsid w:val="006E69EC"/>
    <w:rsid w:val="006E6AAF"/>
    <w:rsid w:val="006E72D0"/>
    <w:rsid w:val="006F009A"/>
    <w:rsid w:val="006F04BD"/>
    <w:rsid w:val="006F0751"/>
    <w:rsid w:val="006F0883"/>
    <w:rsid w:val="006F0B00"/>
    <w:rsid w:val="006F0C9E"/>
    <w:rsid w:val="006F0D1B"/>
    <w:rsid w:val="006F117F"/>
    <w:rsid w:val="006F209E"/>
    <w:rsid w:val="006F24AF"/>
    <w:rsid w:val="006F33D2"/>
    <w:rsid w:val="006F3D93"/>
    <w:rsid w:val="006F4263"/>
    <w:rsid w:val="006F4BE3"/>
    <w:rsid w:val="006F50B2"/>
    <w:rsid w:val="006F7DC8"/>
    <w:rsid w:val="00700E65"/>
    <w:rsid w:val="0070114D"/>
    <w:rsid w:val="007017B4"/>
    <w:rsid w:val="00701966"/>
    <w:rsid w:val="007019B1"/>
    <w:rsid w:val="00702358"/>
    <w:rsid w:val="00702571"/>
    <w:rsid w:val="00703131"/>
    <w:rsid w:val="007036DC"/>
    <w:rsid w:val="0070445F"/>
    <w:rsid w:val="0070464E"/>
    <w:rsid w:val="00705478"/>
    <w:rsid w:val="00706440"/>
    <w:rsid w:val="00706620"/>
    <w:rsid w:val="0070687B"/>
    <w:rsid w:val="00706D6A"/>
    <w:rsid w:val="00706EAE"/>
    <w:rsid w:val="00707148"/>
    <w:rsid w:val="007079DA"/>
    <w:rsid w:val="00707A2A"/>
    <w:rsid w:val="007103FD"/>
    <w:rsid w:val="0071041C"/>
    <w:rsid w:val="00710497"/>
    <w:rsid w:val="00710757"/>
    <w:rsid w:val="00710CFE"/>
    <w:rsid w:val="007115FC"/>
    <w:rsid w:val="00712266"/>
    <w:rsid w:val="007138D5"/>
    <w:rsid w:val="007142DD"/>
    <w:rsid w:val="00714A9A"/>
    <w:rsid w:val="00715C14"/>
    <w:rsid w:val="00717013"/>
    <w:rsid w:val="0071703D"/>
    <w:rsid w:val="007170B7"/>
    <w:rsid w:val="00717363"/>
    <w:rsid w:val="007173C1"/>
    <w:rsid w:val="00717E13"/>
    <w:rsid w:val="00721657"/>
    <w:rsid w:val="00722F24"/>
    <w:rsid w:val="00723598"/>
    <w:rsid w:val="00724418"/>
    <w:rsid w:val="00724DC9"/>
    <w:rsid w:val="00725319"/>
    <w:rsid w:val="00726E7F"/>
    <w:rsid w:val="0072774E"/>
    <w:rsid w:val="007279A8"/>
    <w:rsid w:val="00727B1A"/>
    <w:rsid w:val="00727CC0"/>
    <w:rsid w:val="00727D6A"/>
    <w:rsid w:val="00731615"/>
    <w:rsid w:val="00731632"/>
    <w:rsid w:val="007316CC"/>
    <w:rsid w:val="0073197D"/>
    <w:rsid w:val="00732B63"/>
    <w:rsid w:val="0073354B"/>
    <w:rsid w:val="00733A9F"/>
    <w:rsid w:val="00734226"/>
    <w:rsid w:val="00734BAB"/>
    <w:rsid w:val="00736BBB"/>
    <w:rsid w:val="00736D0A"/>
    <w:rsid w:val="0073798F"/>
    <w:rsid w:val="007404B6"/>
    <w:rsid w:val="00740A2F"/>
    <w:rsid w:val="00740F6B"/>
    <w:rsid w:val="00741337"/>
    <w:rsid w:val="007416AD"/>
    <w:rsid w:val="00741D36"/>
    <w:rsid w:val="00742DBD"/>
    <w:rsid w:val="00743D27"/>
    <w:rsid w:val="00743FAA"/>
    <w:rsid w:val="007441A2"/>
    <w:rsid w:val="00744277"/>
    <w:rsid w:val="00744EF2"/>
    <w:rsid w:val="007458E3"/>
    <w:rsid w:val="007461B5"/>
    <w:rsid w:val="00746785"/>
    <w:rsid w:val="00746B9B"/>
    <w:rsid w:val="007470BE"/>
    <w:rsid w:val="007475B3"/>
    <w:rsid w:val="007478BF"/>
    <w:rsid w:val="00750D16"/>
    <w:rsid w:val="00750DEE"/>
    <w:rsid w:val="00751197"/>
    <w:rsid w:val="0075141F"/>
    <w:rsid w:val="007516E1"/>
    <w:rsid w:val="007519F5"/>
    <w:rsid w:val="00751A64"/>
    <w:rsid w:val="00751CE1"/>
    <w:rsid w:val="00751CEC"/>
    <w:rsid w:val="00752258"/>
    <w:rsid w:val="007523BF"/>
    <w:rsid w:val="007529E1"/>
    <w:rsid w:val="00752A7B"/>
    <w:rsid w:val="00753089"/>
    <w:rsid w:val="007539B4"/>
    <w:rsid w:val="00753C3A"/>
    <w:rsid w:val="00753D79"/>
    <w:rsid w:val="00753DB3"/>
    <w:rsid w:val="00753FAE"/>
    <w:rsid w:val="00753FC0"/>
    <w:rsid w:val="007543EA"/>
    <w:rsid w:val="00754D41"/>
    <w:rsid w:val="0075577F"/>
    <w:rsid w:val="00756488"/>
    <w:rsid w:val="00756954"/>
    <w:rsid w:val="00756C8F"/>
    <w:rsid w:val="00756C9C"/>
    <w:rsid w:val="00756F18"/>
    <w:rsid w:val="00757979"/>
    <w:rsid w:val="00757A0A"/>
    <w:rsid w:val="00757A46"/>
    <w:rsid w:val="00760E48"/>
    <w:rsid w:val="00761F14"/>
    <w:rsid w:val="0076272A"/>
    <w:rsid w:val="00762880"/>
    <w:rsid w:val="007628A9"/>
    <w:rsid w:val="00762AD6"/>
    <w:rsid w:val="00762E02"/>
    <w:rsid w:val="00763565"/>
    <w:rsid w:val="00763584"/>
    <w:rsid w:val="007648AE"/>
    <w:rsid w:val="00766356"/>
    <w:rsid w:val="007663EC"/>
    <w:rsid w:val="007668E9"/>
    <w:rsid w:val="00766C13"/>
    <w:rsid w:val="0076752E"/>
    <w:rsid w:val="007703E2"/>
    <w:rsid w:val="00770CC3"/>
    <w:rsid w:val="00771316"/>
    <w:rsid w:val="00771679"/>
    <w:rsid w:val="00771B44"/>
    <w:rsid w:val="00772025"/>
    <w:rsid w:val="00772290"/>
    <w:rsid w:val="00772B5D"/>
    <w:rsid w:val="00772ED9"/>
    <w:rsid w:val="00774E29"/>
    <w:rsid w:val="00775F26"/>
    <w:rsid w:val="00775FA3"/>
    <w:rsid w:val="00777265"/>
    <w:rsid w:val="007805E7"/>
    <w:rsid w:val="00781079"/>
    <w:rsid w:val="007810AF"/>
    <w:rsid w:val="00781433"/>
    <w:rsid w:val="007814AC"/>
    <w:rsid w:val="007816FB"/>
    <w:rsid w:val="0078222A"/>
    <w:rsid w:val="00782B29"/>
    <w:rsid w:val="007834CA"/>
    <w:rsid w:val="00783C51"/>
    <w:rsid w:val="00784594"/>
    <w:rsid w:val="00784700"/>
    <w:rsid w:val="00784AB3"/>
    <w:rsid w:val="00785352"/>
    <w:rsid w:val="00785E0C"/>
    <w:rsid w:val="007862C6"/>
    <w:rsid w:val="007863F9"/>
    <w:rsid w:val="00786541"/>
    <w:rsid w:val="007867ED"/>
    <w:rsid w:val="00787D48"/>
    <w:rsid w:val="007902B3"/>
    <w:rsid w:val="0079092F"/>
    <w:rsid w:val="00791074"/>
    <w:rsid w:val="00791E23"/>
    <w:rsid w:val="00792112"/>
    <w:rsid w:val="00792168"/>
    <w:rsid w:val="0079224C"/>
    <w:rsid w:val="00792920"/>
    <w:rsid w:val="0079299D"/>
    <w:rsid w:val="00792B1E"/>
    <w:rsid w:val="007931E8"/>
    <w:rsid w:val="00793795"/>
    <w:rsid w:val="00794692"/>
    <w:rsid w:val="00794C07"/>
    <w:rsid w:val="00795294"/>
    <w:rsid w:val="0079595C"/>
    <w:rsid w:val="00795A13"/>
    <w:rsid w:val="00795D13"/>
    <w:rsid w:val="0079624F"/>
    <w:rsid w:val="00796822"/>
    <w:rsid w:val="00796A5A"/>
    <w:rsid w:val="007977D3"/>
    <w:rsid w:val="00797BA8"/>
    <w:rsid w:val="007A091B"/>
    <w:rsid w:val="007A0BD3"/>
    <w:rsid w:val="007A0BE5"/>
    <w:rsid w:val="007A0E15"/>
    <w:rsid w:val="007A0E55"/>
    <w:rsid w:val="007A1B82"/>
    <w:rsid w:val="007A1F36"/>
    <w:rsid w:val="007A243E"/>
    <w:rsid w:val="007A28E5"/>
    <w:rsid w:val="007A2D72"/>
    <w:rsid w:val="007A30C9"/>
    <w:rsid w:val="007A3335"/>
    <w:rsid w:val="007A3743"/>
    <w:rsid w:val="007A38F4"/>
    <w:rsid w:val="007A3B49"/>
    <w:rsid w:val="007A43E0"/>
    <w:rsid w:val="007A452E"/>
    <w:rsid w:val="007A48F7"/>
    <w:rsid w:val="007A4E50"/>
    <w:rsid w:val="007A605A"/>
    <w:rsid w:val="007A665A"/>
    <w:rsid w:val="007A6901"/>
    <w:rsid w:val="007A6B4E"/>
    <w:rsid w:val="007A7A66"/>
    <w:rsid w:val="007A7D13"/>
    <w:rsid w:val="007A7EB6"/>
    <w:rsid w:val="007B0A61"/>
    <w:rsid w:val="007B18A7"/>
    <w:rsid w:val="007B1E2B"/>
    <w:rsid w:val="007B250E"/>
    <w:rsid w:val="007B2D90"/>
    <w:rsid w:val="007B3F03"/>
    <w:rsid w:val="007B4003"/>
    <w:rsid w:val="007B5109"/>
    <w:rsid w:val="007B5B7D"/>
    <w:rsid w:val="007B5DFF"/>
    <w:rsid w:val="007B60F1"/>
    <w:rsid w:val="007B7385"/>
    <w:rsid w:val="007B7825"/>
    <w:rsid w:val="007C0513"/>
    <w:rsid w:val="007C0D04"/>
    <w:rsid w:val="007C1CF3"/>
    <w:rsid w:val="007C27FC"/>
    <w:rsid w:val="007C2D80"/>
    <w:rsid w:val="007C3572"/>
    <w:rsid w:val="007C51FF"/>
    <w:rsid w:val="007C525E"/>
    <w:rsid w:val="007C6C08"/>
    <w:rsid w:val="007C6F4E"/>
    <w:rsid w:val="007D0453"/>
    <w:rsid w:val="007D09F5"/>
    <w:rsid w:val="007D0B85"/>
    <w:rsid w:val="007D0BDC"/>
    <w:rsid w:val="007D0D16"/>
    <w:rsid w:val="007D14A1"/>
    <w:rsid w:val="007D1C46"/>
    <w:rsid w:val="007D1D96"/>
    <w:rsid w:val="007D3136"/>
    <w:rsid w:val="007D319E"/>
    <w:rsid w:val="007D3E4D"/>
    <w:rsid w:val="007D410E"/>
    <w:rsid w:val="007D50E4"/>
    <w:rsid w:val="007D510C"/>
    <w:rsid w:val="007D5278"/>
    <w:rsid w:val="007D5C93"/>
    <w:rsid w:val="007D5F22"/>
    <w:rsid w:val="007D6039"/>
    <w:rsid w:val="007D684E"/>
    <w:rsid w:val="007D714E"/>
    <w:rsid w:val="007D7438"/>
    <w:rsid w:val="007E0F81"/>
    <w:rsid w:val="007E10D3"/>
    <w:rsid w:val="007E1275"/>
    <w:rsid w:val="007E1361"/>
    <w:rsid w:val="007E1802"/>
    <w:rsid w:val="007E1C40"/>
    <w:rsid w:val="007E2DC5"/>
    <w:rsid w:val="007E2EF2"/>
    <w:rsid w:val="007E33F9"/>
    <w:rsid w:val="007E3495"/>
    <w:rsid w:val="007E4EAC"/>
    <w:rsid w:val="007E5161"/>
    <w:rsid w:val="007E53C2"/>
    <w:rsid w:val="007E560A"/>
    <w:rsid w:val="007E5CB5"/>
    <w:rsid w:val="007E6A5F"/>
    <w:rsid w:val="007E6D95"/>
    <w:rsid w:val="007E6E2D"/>
    <w:rsid w:val="007E72EC"/>
    <w:rsid w:val="007E7A40"/>
    <w:rsid w:val="007E7A5E"/>
    <w:rsid w:val="007F09A4"/>
    <w:rsid w:val="007F1063"/>
    <w:rsid w:val="007F1CC7"/>
    <w:rsid w:val="007F1FA4"/>
    <w:rsid w:val="007F20EF"/>
    <w:rsid w:val="007F284C"/>
    <w:rsid w:val="007F29D0"/>
    <w:rsid w:val="007F29D7"/>
    <w:rsid w:val="007F3377"/>
    <w:rsid w:val="007F358E"/>
    <w:rsid w:val="007F3949"/>
    <w:rsid w:val="007F4233"/>
    <w:rsid w:val="007F4329"/>
    <w:rsid w:val="007F4C85"/>
    <w:rsid w:val="007F5D0C"/>
    <w:rsid w:val="007F7A6B"/>
    <w:rsid w:val="008000C2"/>
    <w:rsid w:val="008006E0"/>
    <w:rsid w:val="00800C3A"/>
    <w:rsid w:val="0080201C"/>
    <w:rsid w:val="00802617"/>
    <w:rsid w:val="008027AC"/>
    <w:rsid w:val="008028CE"/>
    <w:rsid w:val="00803160"/>
    <w:rsid w:val="0080332E"/>
    <w:rsid w:val="00803445"/>
    <w:rsid w:val="008034AE"/>
    <w:rsid w:val="008059F7"/>
    <w:rsid w:val="008074CA"/>
    <w:rsid w:val="00807582"/>
    <w:rsid w:val="00807CE9"/>
    <w:rsid w:val="0081086E"/>
    <w:rsid w:val="008109C3"/>
    <w:rsid w:val="008113BE"/>
    <w:rsid w:val="00811A19"/>
    <w:rsid w:val="008120A3"/>
    <w:rsid w:val="0081268F"/>
    <w:rsid w:val="00813125"/>
    <w:rsid w:val="00813203"/>
    <w:rsid w:val="008136E9"/>
    <w:rsid w:val="008141E0"/>
    <w:rsid w:val="00814D5F"/>
    <w:rsid w:val="00815007"/>
    <w:rsid w:val="008154CC"/>
    <w:rsid w:val="00816318"/>
    <w:rsid w:val="00816718"/>
    <w:rsid w:val="00816EE1"/>
    <w:rsid w:val="00816F88"/>
    <w:rsid w:val="008200B8"/>
    <w:rsid w:val="0082065B"/>
    <w:rsid w:val="008209C9"/>
    <w:rsid w:val="00820CF5"/>
    <w:rsid w:val="00821164"/>
    <w:rsid w:val="0082168F"/>
    <w:rsid w:val="00821996"/>
    <w:rsid w:val="00821CF6"/>
    <w:rsid w:val="00822323"/>
    <w:rsid w:val="008223A5"/>
    <w:rsid w:val="00822444"/>
    <w:rsid w:val="00823D33"/>
    <w:rsid w:val="00823FDA"/>
    <w:rsid w:val="00824425"/>
    <w:rsid w:val="00824656"/>
    <w:rsid w:val="008262A8"/>
    <w:rsid w:val="00826667"/>
    <w:rsid w:val="00826A3E"/>
    <w:rsid w:val="00826F68"/>
    <w:rsid w:val="00827BC6"/>
    <w:rsid w:val="008300AD"/>
    <w:rsid w:val="00831F1F"/>
    <w:rsid w:val="00833024"/>
    <w:rsid w:val="00835154"/>
    <w:rsid w:val="0083598A"/>
    <w:rsid w:val="00835A7B"/>
    <w:rsid w:val="00835B79"/>
    <w:rsid w:val="00835CCF"/>
    <w:rsid w:val="0083684D"/>
    <w:rsid w:val="00837254"/>
    <w:rsid w:val="0083727D"/>
    <w:rsid w:val="00837DEA"/>
    <w:rsid w:val="00841702"/>
    <w:rsid w:val="008419B1"/>
    <w:rsid w:val="00841A58"/>
    <w:rsid w:val="0084274F"/>
    <w:rsid w:val="00842A79"/>
    <w:rsid w:val="00842CD4"/>
    <w:rsid w:val="00843C3A"/>
    <w:rsid w:val="0084442F"/>
    <w:rsid w:val="00844519"/>
    <w:rsid w:val="00844781"/>
    <w:rsid w:val="00844A56"/>
    <w:rsid w:val="00844DC5"/>
    <w:rsid w:val="00845458"/>
    <w:rsid w:val="00845B11"/>
    <w:rsid w:val="00845DA7"/>
    <w:rsid w:val="00845DF3"/>
    <w:rsid w:val="0084618D"/>
    <w:rsid w:val="00846200"/>
    <w:rsid w:val="00846844"/>
    <w:rsid w:val="00847469"/>
    <w:rsid w:val="008474DB"/>
    <w:rsid w:val="00850319"/>
    <w:rsid w:val="00850524"/>
    <w:rsid w:val="00850943"/>
    <w:rsid w:val="00850EDE"/>
    <w:rsid w:val="008511EA"/>
    <w:rsid w:val="00851F73"/>
    <w:rsid w:val="00852081"/>
    <w:rsid w:val="0085251D"/>
    <w:rsid w:val="008529A8"/>
    <w:rsid w:val="00853995"/>
    <w:rsid w:val="008539DA"/>
    <w:rsid w:val="00853A3C"/>
    <w:rsid w:val="00853C8A"/>
    <w:rsid w:val="00854BC4"/>
    <w:rsid w:val="00854DE7"/>
    <w:rsid w:val="00854E9D"/>
    <w:rsid w:val="00854F3E"/>
    <w:rsid w:val="00855EE6"/>
    <w:rsid w:val="0085635B"/>
    <w:rsid w:val="008567DE"/>
    <w:rsid w:val="00856ABE"/>
    <w:rsid w:val="008572F7"/>
    <w:rsid w:val="008608B7"/>
    <w:rsid w:val="00860CBA"/>
    <w:rsid w:val="008613E4"/>
    <w:rsid w:val="00861FA7"/>
    <w:rsid w:val="0086265F"/>
    <w:rsid w:val="00862D74"/>
    <w:rsid w:val="00863C81"/>
    <w:rsid w:val="00864EF9"/>
    <w:rsid w:val="008657D6"/>
    <w:rsid w:val="00865ED7"/>
    <w:rsid w:val="00866291"/>
    <w:rsid w:val="008675CA"/>
    <w:rsid w:val="00867822"/>
    <w:rsid w:val="00867F58"/>
    <w:rsid w:val="00870000"/>
    <w:rsid w:val="008702AD"/>
    <w:rsid w:val="008703BE"/>
    <w:rsid w:val="008715EE"/>
    <w:rsid w:val="00872703"/>
    <w:rsid w:val="00872B6E"/>
    <w:rsid w:val="00872DF9"/>
    <w:rsid w:val="00873330"/>
    <w:rsid w:val="0087338F"/>
    <w:rsid w:val="008733D3"/>
    <w:rsid w:val="00874278"/>
    <w:rsid w:val="0087443C"/>
    <w:rsid w:val="00874C0D"/>
    <w:rsid w:val="00874D94"/>
    <w:rsid w:val="00874DFD"/>
    <w:rsid w:val="00875447"/>
    <w:rsid w:val="00876704"/>
    <w:rsid w:val="0087698A"/>
    <w:rsid w:val="00877042"/>
    <w:rsid w:val="008774BA"/>
    <w:rsid w:val="0088009B"/>
    <w:rsid w:val="008802F9"/>
    <w:rsid w:val="0088080C"/>
    <w:rsid w:val="00881B9C"/>
    <w:rsid w:val="0088223B"/>
    <w:rsid w:val="00883086"/>
    <w:rsid w:val="00883501"/>
    <w:rsid w:val="00884180"/>
    <w:rsid w:val="0088523F"/>
    <w:rsid w:val="008860A8"/>
    <w:rsid w:val="0088624C"/>
    <w:rsid w:val="00886E85"/>
    <w:rsid w:val="00887532"/>
    <w:rsid w:val="0088778B"/>
    <w:rsid w:val="008879FD"/>
    <w:rsid w:val="00887B33"/>
    <w:rsid w:val="00887E66"/>
    <w:rsid w:val="00887FBB"/>
    <w:rsid w:val="0089050E"/>
    <w:rsid w:val="00890B50"/>
    <w:rsid w:val="0089146F"/>
    <w:rsid w:val="0089167D"/>
    <w:rsid w:val="00891755"/>
    <w:rsid w:val="00892007"/>
    <w:rsid w:val="008921D6"/>
    <w:rsid w:val="0089288C"/>
    <w:rsid w:val="00892CB2"/>
    <w:rsid w:val="00893203"/>
    <w:rsid w:val="0089475E"/>
    <w:rsid w:val="00894B9D"/>
    <w:rsid w:val="00894C37"/>
    <w:rsid w:val="00894F5A"/>
    <w:rsid w:val="00895245"/>
    <w:rsid w:val="00896216"/>
    <w:rsid w:val="008962AC"/>
    <w:rsid w:val="0089703F"/>
    <w:rsid w:val="00897A5F"/>
    <w:rsid w:val="00897AFF"/>
    <w:rsid w:val="008A00EA"/>
    <w:rsid w:val="008A0319"/>
    <w:rsid w:val="008A042D"/>
    <w:rsid w:val="008A0E2B"/>
    <w:rsid w:val="008A1110"/>
    <w:rsid w:val="008A1815"/>
    <w:rsid w:val="008A19B2"/>
    <w:rsid w:val="008A1F08"/>
    <w:rsid w:val="008A28C0"/>
    <w:rsid w:val="008A3A89"/>
    <w:rsid w:val="008A3F93"/>
    <w:rsid w:val="008A4A55"/>
    <w:rsid w:val="008A6236"/>
    <w:rsid w:val="008A6BA0"/>
    <w:rsid w:val="008A6C58"/>
    <w:rsid w:val="008A6CBB"/>
    <w:rsid w:val="008A6DE6"/>
    <w:rsid w:val="008A6E1C"/>
    <w:rsid w:val="008A72FD"/>
    <w:rsid w:val="008A73A0"/>
    <w:rsid w:val="008A73FB"/>
    <w:rsid w:val="008A7811"/>
    <w:rsid w:val="008A7D82"/>
    <w:rsid w:val="008B06E7"/>
    <w:rsid w:val="008B1168"/>
    <w:rsid w:val="008B2842"/>
    <w:rsid w:val="008B2E0B"/>
    <w:rsid w:val="008B2EDF"/>
    <w:rsid w:val="008B3E57"/>
    <w:rsid w:val="008B41AB"/>
    <w:rsid w:val="008B47C7"/>
    <w:rsid w:val="008B54CB"/>
    <w:rsid w:val="008B5A3D"/>
    <w:rsid w:val="008B5D48"/>
    <w:rsid w:val="008B64A0"/>
    <w:rsid w:val="008B721D"/>
    <w:rsid w:val="008B74D6"/>
    <w:rsid w:val="008B78E4"/>
    <w:rsid w:val="008C00E1"/>
    <w:rsid w:val="008C0452"/>
    <w:rsid w:val="008C0C83"/>
    <w:rsid w:val="008C1243"/>
    <w:rsid w:val="008C2424"/>
    <w:rsid w:val="008C2499"/>
    <w:rsid w:val="008C28A4"/>
    <w:rsid w:val="008C2C40"/>
    <w:rsid w:val="008C33A8"/>
    <w:rsid w:val="008C3664"/>
    <w:rsid w:val="008C390F"/>
    <w:rsid w:val="008C3915"/>
    <w:rsid w:val="008C39AD"/>
    <w:rsid w:val="008C4010"/>
    <w:rsid w:val="008C4317"/>
    <w:rsid w:val="008C4FDF"/>
    <w:rsid w:val="008C504E"/>
    <w:rsid w:val="008C59D1"/>
    <w:rsid w:val="008C5C30"/>
    <w:rsid w:val="008C5C56"/>
    <w:rsid w:val="008C5DCF"/>
    <w:rsid w:val="008C60A3"/>
    <w:rsid w:val="008C6597"/>
    <w:rsid w:val="008C685B"/>
    <w:rsid w:val="008C6B1F"/>
    <w:rsid w:val="008C6D74"/>
    <w:rsid w:val="008C7A35"/>
    <w:rsid w:val="008D0232"/>
    <w:rsid w:val="008D1244"/>
    <w:rsid w:val="008D1CCB"/>
    <w:rsid w:val="008D2C10"/>
    <w:rsid w:val="008D2F95"/>
    <w:rsid w:val="008D38FC"/>
    <w:rsid w:val="008D4391"/>
    <w:rsid w:val="008D44CD"/>
    <w:rsid w:val="008D4B44"/>
    <w:rsid w:val="008D4DAE"/>
    <w:rsid w:val="008D4EB9"/>
    <w:rsid w:val="008D52E6"/>
    <w:rsid w:val="008D5E4F"/>
    <w:rsid w:val="008D6D21"/>
    <w:rsid w:val="008D6FA5"/>
    <w:rsid w:val="008D7D3E"/>
    <w:rsid w:val="008E00F0"/>
    <w:rsid w:val="008E0C54"/>
    <w:rsid w:val="008E0DEE"/>
    <w:rsid w:val="008E1604"/>
    <w:rsid w:val="008E1C64"/>
    <w:rsid w:val="008E1D69"/>
    <w:rsid w:val="008E23D6"/>
    <w:rsid w:val="008E298A"/>
    <w:rsid w:val="008E2C10"/>
    <w:rsid w:val="008E30DE"/>
    <w:rsid w:val="008E34F0"/>
    <w:rsid w:val="008E405D"/>
    <w:rsid w:val="008E45E4"/>
    <w:rsid w:val="008E4C62"/>
    <w:rsid w:val="008E4FB4"/>
    <w:rsid w:val="008E52F4"/>
    <w:rsid w:val="008E56C6"/>
    <w:rsid w:val="008E59AA"/>
    <w:rsid w:val="008E6DFB"/>
    <w:rsid w:val="008E705B"/>
    <w:rsid w:val="008E714E"/>
    <w:rsid w:val="008E71C9"/>
    <w:rsid w:val="008E743A"/>
    <w:rsid w:val="008E7696"/>
    <w:rsid w:val="008E7B8E"/>
    <w:rsid w:val="008F0172"/>
    <w:rsid w:val="008F08FC"/>
    <w:rsid w:val="008F0AE8"/>
    <w:rsid w:val="008F14F5"/>
    <w:rsid w:val="008F1ADA"/>
    <w:rsid w:val="008F1C84"/>
    <w:rsid w:val="008F2548"/>
    <w:rsid w:val="008F2FC9"/>
    <w:rsid w:val="008F3F5F"/>
    <w:rsid w:val="008F48F7"/>
    <w:rsid w:val="008F64B9"/>
    <w:rsid w:val="008F71C1"/>
    <w:rsid w:val="008F7311"/>
    <w:rsid w:val="008F78EF"/>
    <w:rsid w:val="008F7DDE"/>
    <w:rsid w:val="008F7F1C"/>
    <w:rsid w:val="00901108"/>
    <w:rsid w:val="00901F76"/>
    <w:rsid w:val="0090284E"/>
    <w:rsid w:val="00902D34"/>
    <w:rsid w:val="00902D41"/>
    <w:rsid w:val="00902F49"/>
    <w:rsid w:val="00903408"/>
    <w:rsid w:val="00904000"/>
    <w:rsid w:val="00904014"/>
    <w:rsid w:val="00904230"/>
    <w:rsid w:val="00904F17"/>
    <w:rsid w:val="0090627A"/>
    <w:rsid w:val="00907022"/>
    <w:rsid w:val="00907DCC"/>
    <w:rsid w:val="009103A6"/>
    <w:rsid w:val="00910ED1"/>
    <w:rsid w:val="00911C5F"/>
    <w:rsid w:val="00911F6F"/>
    <w:rsid w:val="00911F78"/>
    <w:rsid w:val="009120A3"/>
    <w:rsid w:val="00913241"/>
    <w:rsid w:val="009132D6"/>
    <w:rsid w:val="00913B47"/>
    <w:rsid w:val="00913F7B"/>
    <w:rsid w:val="00914004"/>
    <w:rsid w:val="00914076"/>
    <w:rsid w:val="00914519"/>
    <w:rsid w:val="0091485D"/>
    <w:rsid w:val="009165DD"/>
    <w:rsid w:val="0091685C"/>
    <w:rsid w:val="00916D5D"/>
    <w:rsid w:val="00917ADB"/>
    <w:rsid w:val="0092064A"/>
    <w:rsid w:val="009209F6"/>
    <w:rsid w:val="009216B1"/>
    <w:rsid w:val="00921B29"/>
    <w:rsid w:val="00921DCC"/>
    <w:rsid w:val="00922462"/>
    <w:rsid w:val="00922EC1"/>
    <w:rsid w:val="0092331E"/>
    <w:rsid w:val="0092371A"/>
    <w:rsid w:val="00923CF1"/>
    <w:rsid w:val="009255E4"/>
    <w:rsid w:val="009273CC"/>
    <w:rsid w:val="00927B13"/>
    <w:rsid w:val="009301F1"/>
    <w:rsid w:val="009307AA"/>
    <w:rsid w:val="009307DF"/>
    <w:rsid w:val="009309DC"/>
    <w:rsid w:val="00930F2C"/>
    <w:rsid w:val="00932227"/>
    <w:rsid w:val="00932BE3"/>
    <w:rsid w:val="00933E84"/>
    <w:rsid w:val="00934016"/>
    <w:rsid w:val="0093436F"/>
    <w:rsid w:val="00934375"/>
    <w:rsid w:val="00934557"/>
    <w:rsid w:val="009349FF"/>
    <w:rsid w:val="00934B67"/>
    <w:rsid w:val="009359B8"/>
    <w:rsid w:val="00935FF0"/>
    <w:rsid w:val="009360AD"/>
    <w:rsid w:val="009361E3"/>
    <w:rsid w:val="009362F2"/>
    <w:rsid w:val="009370F7"/>
    <w:rsid w:val="009400E3"/>
    <w:rsid w:val="00940AE3"/>
    <w:rsid w:val="00941606"/>
    <w:rsid w:val="00941C2B"/>
    <w:rsid w:val="00942D8E"/>
    <w:rsid w:val="009431F8"/>
    <w:rsid w:val="00943C20"/>
    <w:rsid w:val="00943D8A"/>
    <w:rsid w:val="00944A8E"/>
    <w:rsid w:val="00945876"/>
    <w:rsid w:val="00947408"/>
    <w:rsid w:val="00947A35"/>
    <w:rsid w:val="00947E81"/>
    <w:rsid w:val="00947FE6"/>
    <w:rsid w:val="00950342"/>
    <w:rsid w:val="009504D2"/>
    <w:rsid w:val="00951822"/>
    <w:rsid w:val="00951834"/>
    <w:rsid w:val="00951D26"/>
    <w:rsid w:val="00952667"/>
    <w:rsid w:val="009531C6"/>
    <w:rsid w:val="00955992"/>
    <w:rsid w:val="009563AF"/>
    <w:rsid w:val="009564F3"/>
    <w:rsid w:val="00957261"/>
    <w:rsid w:val="00961797"/>
    <w:rsid w:val="00961E29"/>
    <w:rsid w:val="0096201B"/>
    <w:rsid w:val="00962081"/>
    <w:rsid w:val="00962AB8"/>
    <w:rsid w:val="00962B29"/>
    <w:rsid w:val="00962B89"/>
    <w:rsid w:val="00962E80"/>
    <w:rsid w:val="009631F5"/>
    <w:rsid w:val="00963A64"/>
    <w:rsid w:val="009641EA"/>
    <w:rsid w:val="009644D0"/>
    <w:rsid w:val="00964C07"/>
    <w:rsid w:val="00964E18"/>
    <w:rsid w:val="00965327"/>
    <w:rsid w:val="00965D6C"/>
    <w:rsid w:val="00965F01"/>
    <w:rsid w:val="009660F0"/>
    <w:rsid w:val="00966675"/>
    <w:rsid w:val="00966CB5"/>
    <w:rsid w:val="009672D4"/>
    <w:rsid w:val="009674E4"/>
    <w:rsid w:val="009711A3"/>
    <w:rsid w:val="00971C45"/>
    <w:rsid w:val="00971E28"/>
    <w:rsid w:val="00972A57"/>
    <w:rsid w:val="009731E1"/>
    <w:rsid w:val="009736F1"/>
    <w:rsid w:val="00974587"/>
    <w:rsid w:val="00974B73"/>
    <w:rsid w:val="00974F5F"/>
    <w:rsid w:val="0097542A"/>
    <w:rsid w:val="00975786"/>
    <w:rsid w:val="00975F85"/>
    <w:rsid w:val="009762A8"/>
    <w:rsid w:val="0097650C"/>
    <w:rsid w:val="009766DF"/>
    <w:rsid w:val="00976B8A"/>
    <w:rsid w:val="00977160"/>
    <w:rsid w:val="00977A6A"/>
    <w:rsid w:val="0098078A"/>
    <w:rsid w:val="00981422"/>
    <w:rsid w:val="00981CB7"/>
    <w:rsid w:val="00982211"/>
    <w:rsid w:val="00982360"/>
    <w:rsid w:val="009824DE"/>
    <w:rsid w:val="00983E17"/>
    <w:rsid w:val="00983E1F"/>
    <w:rsid w:val="00983FFA"/>
    <w:rsid w:val="009842AD"/>
    <w:rsid w:val="00984691"/>
    <w:rsid w:val="009848E5"/>
    <w:rsid w:val="00984962"/>
    <w:rsid w:val="00985911"/>
    <w:rsid w:val="009869B0"/>
    <w:rsid w:val="0098756A"/>
    <w:rsid w:val="00987787"/>
    <w:rsid w:val="009901F5"/>
    <w:rsid w:val="009914C3"/>
    <w:rsid w:val="009916AB"/>
    <w:rsid w:val="00991D4A"/>
    <w:rsid w:val="00992B28"/>
    <w:rsid w:val="00992BE6"/>
    <w:rsid w:val="009935BE"/>
    <w:rsid w:val="00993632"/>
    <w:rsid w:val="009936FC"/>
    <w:rsid w:val="0099398A"/>
    <w:rsid w:val="00993D8D"/>
    <w:rsid w:val="00993F46"/>
    <w:rsid w:val="00994216"/>
    <w:rsid w:val="00994223"/>
    <w:rsid w:val="0099432F"/>
    <w:rsid w:val="009946EE"/>
    <w:rsid w:val="00994A64"/>
    <w:rsid w:val="00994D99"/>
    <w:rsid w:val="00995508"/>
    <w:rsid w:val="00995713"/>
    <w:rsid w:val="00996D7B"/>
    <w:rsid w:val="00997358"/>
    <w:rsid w:val="00997E84"/>
    <w:rsid w:val="009A00E5"/>
    <w:rsid w:val="009A102D"/>
    <w:rsid w:val="009A1660"/>
    <w:rsid w:val="009A1905"/>
    <w:rsid w:val="009A2146"/>
    <w:rsid w:val="009A2602"/>
    <w:rsid w:val="009A303D"/>
    <w:rsid w:val="009A377F"/>
    <w:rsid w:val="009A43EC"/>
    <w:rsid w:val="009A452B"/>
    <w:rsid w:val="009A4B7C"/>
    <w:rsid w:val="009A4FCB"/>
    <w:rsid w:val="009A537D"/>
    <w:rsid w:val="009A57D4"/>
    <w:rsid w:val="009A5B83"/>
    <w:rsid w:val="009A64B4"/>
    <w:rsid w:val="009A67B5"/>
    <w:rsid w:val="009A78EC"/>
    <w:rsid w:val="009B050C"/>
    <w:rsid w:val="009B087F"/>
    <w:rsid w:val="009B0988"/>
    <w:rsid w:val="009B0D40"/>
    <w:rsid w:val="009B1C54"/>
    <w:rsid w:val="009B1D10"/>
    <w:rsid w:val="009B2AF4"/>
    <w:rsid w:val="009B344A"/>
    <w:rsid w:val="009B3675"/>
    <w:rsid w:val="009B3886"/>
    <w:rsid w:val="009B4138"/>
    <w:rsid w:val="009B5F3E"/>
    <w:rsid w:val="009B695D"/>
    <w:rsid w:val="009B70BA"/>
    <w:rsid w:val="009C08E3"/>
    <w:rsid w:val="009C110B"/>
    <w:rsid w:val="009C1250"/>
    <w:rsid w:val="009C191A"/>
    <w:rsid w:val="009C305D"/>
    <w:rsid w:val="009C4138"/>
    <w:rsid w:val="009C45E0"/>
    <w:rsid w:val="009C4700"/>
    <w:rsid w:val="009C4C4E"/>
    <w:rsid w:val="009C5441"/>
    <w:rsid w:val="009C6266"/>
    <w:rsid w:val="009C6846"/>
    <w:rsid w:val="009C6AB8"/>
    <w:rsid w:val="009C6E11"/>
    <w:rsid w:val="009C6F15"/>
    <w:rsid w:val="009C73AB"/>
    <w:rsid w:val="009C76F0"/>
    <w:rsid w:val="009C7713"/>
    <w:rsid w:val="009C7992"/>
    <w:rsid w:val="009C7B69"/>
    <w:rsid w:val="009C7D65"/>
    <w:rsid w:val="009D0D44"/>
    <w:rsid w:val="009D0D66"/>
    <w:rsid w:val="009D119F"/>
    <w:rsid w:val="009D1368"/>
    <w:rsid w:val="009D1DD1"/>
    <w:rsid w:val="009D2D48"/>
    <w:rsid w:val="009D2EAD"/>
    <w:rsid w:val="009D3434"/>
    <w:rsid w:val="009D3718"/>
    <w:rsid w:val="009D3B85"/>
    <w:rsid w:val="009D3C7F"/>
    <w:rsid w:val="009D3DC3"/>
    <w:rsid w:val="009D3F87"/>
    <w:rsid w:val="009D4254"/>
    <w:rsid w:val="009D49A2"/>
    <w:rsid w:val="009D4CEA"/>
    <w:rsid w:val="009D5950"/>
    <w:rsid w:val="009D5A85"/>
    <w:rsid w:val="009D660C"/>
    <w:rsid w:val="009D6BAA"/>
    <w:rsid w:val="009D72C7"/>
    <w:rsid w:val="009E1DFD"/>
    <w:rsid w:val="009E219F"/>
    <w:rsid w:val="009E2222"/>
    <w:rsid w:val="009E26B3"/>
    <w:rsid w:val="009E31F3"/>
    <w:rsid w:val="009E338A"/>
    <w:rsid w:val="009E3CD9"/>
    <w:rsid w:val="009E4998"/>
    <w:rsid w:val="009E4EE2"/>
    <w:rsid w:val="009E519E"/>
    <w:rsid w:val="009E635F"/>
    <w:rsid w:val="009E6997"/>
    <w:rsid w:val="009E6C5F"/>
    <w:rsid w:val="009E7555"/>
    <w:rsid w:val="009E79C0"/>
    <w:rsid w:val="009E7A0D"/>
    <w:rsid w:val="009E7F54"/>
    <w:rsid w:val="009F0160"/>
    <w:rsid w:val="009F0D44"/>
    <w:rsid w:val="009F0F3D"/>
    <w:rsid w:val="009F1A7F"/>
    <w:rsid w:val="009F1CDD"/>
    <w:rsid w:val="009F1F7F"/>
    <w:rsid w:val="009F26CA"/>
    <w:rsid w:val="009F27A9"/>
    <w:rsid w:val="009F3940"/>
    <w:rsid w:val="009F3B02"/>
    <w:rsid w:val="009F3EB2"/>
    <w:rsid w:val="009F4B93"/>
    <w:rsid w:val="009F4C96"/>
    <w:rsid w:val="009F537F"/>
    <w:rsid w:val="009F53C8"/>
    <w:rsid w:val="009F54AE"/>
    <w:rsid w:val="009F55FC"/>
    <w:rsid w:val="009F5BEC"/>
    <w:rsid w:val="009F5D8F"/>
    <w:rsid w:val="009F6142"/>
    <w:rsid w:val="009F61FB"/>
    <w:rsid w:val="009F6AA8"/>
    <w:rsid w:val="009F6DEE"/>
    <w:rsid w:val="009F6E9F"/>
    <w:rsid w:val="009F6EB1"/>
    <w:rsid w:val="009F73B1"/>
    <w:rsid w:val="009F75FC"/>
    <w:rsid w:val="00A00AC7"/>
    <w:rsid w:val="00A00E88"/>
    <w:rsid w:val="00A00F02"/>
    <w:rsid w:val="00A01576"/>
    <w:rsid w:val="00A02269"/>
    <w:rsid w:val="00A03139"/>
    <w:rsid w:val="00A039D8"/>
    <w:rsid w:val="00A04854"/>
    <w:rsid w:val="00A04E75"/>
    <w:rsid w:val="00A06179"/>
    <w:rsid w:val="00A066F6"/>
    <w:rsid w:val="00A06742"/>
    <w:rsid w:val="00A06C93"/>
    <w:rsid w:val="00A0741F"/>
    <w:rsid w:val="00A07D05"/>
    <w:rsid w:val="00A103D2"/>
    <w:rsid w:val="00A10498"/>
    <w:rsid w:val="00A10572"/>
    <w:rsid w:val="00A10714"/>
    <w:rsid w:val="00A10F7E"/>
    <w:rsid w:val="00A1165A"/>
    <w:rsid w:val="00A11CF1"/>
    <w:rsid w:val="00A11D05"/>
    <w:rsid w:val="00A121C5"/>
    <w:rsid w:val="00A12970"/>
    <w:rsid w:val="00A130EC"/>
    <w:rsid w:val="00A13162"/>
    <w:rsid w:val="00A14269"/>
    <w:rsid w:val="00A14AD1"/>
    <w:rsid w:val="00A15156"/>
    <w:rsid w:val="00A161D4"/>
    <w:rsid w:val="00A16B4F"/>
    <w:rsid w:val="00A16CC9"/>
    <w:rsid w:val="00A1771B"/>
    <w:rsid w:val="00A17A71"/>
    <w:rsid w:val="00A17DBB"/>
    <w:rsid w:val="00A20267"/>
    <w:rsid w:val="00A20868"/>
    <w:rsid w:val="00A20BF3"/>
    <w:rsid w:val="00A2109E"/>
    <w:rsid w:val="00A217F8"/>
    <w:rsid w:val="00A221D2"/>
    <w:rsid w:val="00A22404"/>
    <w:rsid w:val="00A225C6"/>
    <w:rsid w:val="00A22778"/>
    <w:rsid w:val="00A233A3"/>
    <w:rsid w:val="00A23644"/>
    <w:rsid w:val="00A24A1B"/>
    <w:rsid w:val="00A24B17"/>
    <w:rsid w:val="00A253A5"/>
    <w:rsid w:val="00A255E7"/>
    <w:rsid w:val="00A25EA0"/>
    <w:rsid w:val="00A25F41"/>
    <w:rsid w:val="00A25F43"/>
    <w:rsid w:val="00A2613A"/>
    <w:rsid w:val="00A26975"/>
    <w:rsid w:val="00A269DE"/>
    <w:rsid w:val="00A2746B"/>
    <w:rsid w:val="00A27BE0"/>
    <w:rsid w:val="00A27D41"/>
    <w:rsid w:val="00A30B7D"/>
    <w:rsid w:val="00A3158C"/>
    <w:rsid w:val="00A327C4"/>
    <w:rsid w:val="00A32DF3"/>
    <w:rsid w:val="00A337A0"/>
    <w:rsid w:val="00A3395A"/>
    <w:rsid w:val="00A33E32"/>
    <w:rsid w:val="00A34584"/>
    <w:rsid w:val="00A34875"/>
    <w:rsid w:val="00A34C71"/>
    <w:rsid w:val="00A35424"/>
    <w:rsid w:val="00A35498"/>
    <w:rsid w:val="00A355A9"/>
    <w:rsid w:val="00A358D5"/>
    <w:rsid w:val="00A3592E"/>
    <w:rsid w:val="00A35DAA"/>
    <w:rsid w:val="00A35E20"/>
    <w:rsid w:val="00A36226"/>
    <w:rsid w:val="00A366E9"/>
    <w:rsid w:val="00A36F6D"/>
    <w:rsid w:val="00A37C4E"/>
    <w:rsid w:val="00A37F12"/>
    <w:rsid w:val="00A4048B"/>
    <w:rsid w:val="00A408EA"/>
    <w:rsid w:val="00A40A79"/>
    <w:rsid w:val="00A40B3B"/>
    <w:rsid w:val="00A40C7C"/>
    <w:rsid w:val="00A40ED3"/>
    <w:rsid w:val="00A418C6"/>
    <w:rsid w:val="00A42556"/>
    <w:rsid w:val="00A43822"/>
    <w:rsid w:val="00A43CB7"/>
    <w:rsid w:val="00A45930"/>
    <w:rsid w:val="00A459EB"/>
    <w:rsid w:val="00A46B99"/>
    <w:rsid w:val="00A46F48"/>
    <w:rsid w:val="00A47BEF"/>
    <w:rsid w:val="00A47C0D"/>
    <w:rsid w:val="00A50272"/>
    <w:rsid w:val="00A50701"/>
    <w:rsid w:val="00A507A3"/>
    <w:rsid w:val="00A50CA0"/>
    <w:rsid w:val="00A50DA8"/>
    <w:rsid w:val="00A5149B"/>
    <w:rsid w:val="00A517B3"/>
    <w:rsid w:val="00A525CC"/>
    <w:rsid w:val="00A525E8"/>
    <w:rsid w:val="00A526DD"/>
    <w:rsid w:val="00A52A60"/>
    <w:rsid w:val="00A531A7"/>
    <w:rsid w:val="00A5333B"/>
    <w:rsid w:val="00A535A3"/>
    <w:rsid w:val="00A535DD"/>
    <w:rsid w:val="00A53621"/>
    <w:rsid w:val="00A53E7C"/>
    <w:rsid w:val="00A54292"/>
    <w:rsid w:val="00A55377"/>
    <w:rsid w:val="00A55609"/>
    <w:rsid w:val="00A55803"/>
    <w:rsid w:val="00A559D5"/>
    <w:rsid w:val="00A56078"/>
    <w:rsid w:val="00A56E4B"/>
    <w:rsid w:val="00A572B2"/>
    <w:rsid w:val="00A60087"/>
    <w:rsid w:val="00A6050A"/>
    <w:rsid w:val="00A60F6A"/>
    <w:rsid w:val="00A616EC"/>
    <w:rsid w:val="00A617B3"/>
    <w:rsid w:val="00A618CD"/>
    <w:rsid w:val="00A61981"/>
    <w:rsid w:val="00A61CB2"/>
    <w:rsid w:val="00A62642"/>
    <w:rsid w:val="00A62776"/>
    <w:rsid w:val="00A627FC"/>
    <w:rsid w:val="00A63469"/>
    <w:rsid w:val="00A63859"/>
    <w:rsid w:val="00A639EB"/>
    <w:rsid w:val="00A66891"/>
    <w:rsid w:val="00A676D3"/>
    <w:rsid w:val="00A6778B"/>
    <w:rsid w:val="00A67981"/>
    <w:rsid w:val="00A702B0"/>
    <w:rsid w:val="00A705E8"/>
    <w:rsid w:val="00A70DFE"/>
    <w:rsid w:val="00A71DF5"/>
    <w:rsid w:val="00A72013"/>
    <w:rsid w:val="00A72149"/>
    <w:rsid w:val="00A721F4"/>
    <w:rsid w:val="00A73605"/>
    <w:rsid w:val="00A7384F"/>
    <w:rsid w:val="00A74EAB"/>
    <w:rsid w:val="00A75651"/>
    <w:rsid w:val="00A7656C"/>
    <w:rsid w:val="00A768EC"/>
    <w:rsid w:val="00A77B50"/>
    <w:rsid w:val="00A77D0D"/>
    <w:rsid w:val="00A80C4A"/>
    <w:rsid w:val="00A81328"/>
    <w:rsid w:val="00A81464"/>
    <w:rsid w:val="00A81DD6"/>
    <w:rsid w:val="00A82187"/>
    <w:rsid w:val="00A82CE8"/>
    <w:rsid w:val="00A834F7"/>
    <w:rsid w:val="00A83508"/>
    <w:rsid w:val="00A837AC"/>
    <w:rsid w:val="00A837D1"/>
    <w:rsid w:val="00A84067"/>
    <w:rsid w:val="00A857FC"/>
    <w:rsid w:val="00A8582A"/>
    <w:rsid w:val="00A85CBA"/>
    <w:rsid w:val="00A87810"/>
    <w:rsid w:val="00A903FD"/>
    <w:rsid w:val="00A91146"/>
    <w:rsid w:val="00A91BC9"/>
    <w:rsid w:val="00A923D3"/>
    <w:rsid w:val="00A92880"/>
    <w:rsid w:val="00A929DF"/>
    <w:rsid w:val="00A9392C"/>
    <w:rsid w:val="00A94082"/>
    <w:rsid w:val="00A94250"/>
    <w:rsid w:val="00A9462B"/>
    <w:rsid w:val="00A94965"/>
    <w:rsid w:val="00A953BE"/>
    <w:rsid w:val="00A95501"/>
    <w:rsid w:val="00A959EF"/>
    <w:rsid w:val="00A95C33"/>
    <w:rsid w:val="00A95D98"/>
    <w:rsid w:val="00A96C66"/>
    <w:rsid w:val="00A96FC9"/>
    <w:rsid w:val="00A977D3"/>
    <w:rsid w:val="00A97952"/>
    <w:rsid w:val="00A97C25"/>
    <w:rsid w:val="00A97D59"/>
    <w:rsid w:val="00AA010B"/>
    <w:rsid w:val="00AA0214"/>
    <w:rsid w:val="00AA03A3"/>
    <w:rsid w:val="00AA0648"/>
    <w:rsid w:val="00AA0963"/>
    <w:rsid w:val="00AA0E8B"/>
    <w:rsid w:val="00AA0EAD"/>
    <w:rsid w:val="00AA11E4"/>
    <w:rsid w:val="00AA12D4"/>
    <w:rsid w:val="00AA145C"/>
    <w:rsid w:val="00AA1700"/>
    <w:rsid w:val="00AA25C2"/>
    <w:rsid w:val="00AA3C30"/>
    <w:rsid w:val="00AA3E09"/>
    <w:rsid w:val="00AA41EA"/>
    <w:rsid w:val="00AA4BEF"/>
    <w:rsid w:val="00AA5197"/>
    <w:rsid w:val="00AA611D"/>
    <w:rsid w:val="00AA6C3C"/>
    <w:rsid w:val="00AA6D50"/>
    <w:rsid w:val="00AA788C"/>
    <w:rsid w:val="00AB0240"/>
    <w:rsid w:val="00AB03B0"/>
    <w:rsid w:val="00AB12ED"/>
    <w:rsid w:val="00AB1659"/>
    <w:rsid w:val="00AB18FB"/>
    <w:rsid w:val="00AB1C24"/>
    <w:rsid w:val="00AB1D00"/>
    <w:rsid w:val="00AB1EE6"/>
    <w:rsid w:val="00AB3912"/>
    <w:rsid w:val="00AB39F4"/>
    <w:rsid w:val="00AB3ACA"/>
    <w:rsid w:val="00AB3C9D"/>
    <w:rsid w:val="00AB4962"/>
    <w:rsid w:val="00AB5187"/>
    <w:rsid w:val="00AB56CB"/>
    <w:rsid w:val="00AB5A4B"/>
    <w:rsid w:val="00AB640D"/>
    <w:rsid w:val="00AB64AC"/>
    <w:rsid w:val="00AB6513"/>
    <w:rsid w:val="00AB66CD"/>
    <w:rsid w:val="00AB734E"/>
    <w:rsid w:val="00AB740F"/>
    <w:rsid w:val="00AC091C"/>
    <w:rsid w:val="00AC200F"/>
    <w:rsid w:val="00AC207B"/>
    <w:rsid w:val="00AC239D"/>
    <w:rsid w:val="00AC2D90"/>
    <w:rsid w:val="00AC2FCB"/>
    <w:rsid w:val="00AC35E6"/>
    <w:rsid w:val="00AC382F"/>
    <w:rsid w:val="00AC3A3C"/>
    <w:rsid w:val="00AC3BB3"/>
    <w:rsid w:val="00AC3D13"/>
    <w:rsid w:val="00AC46DF"/>
    <w:rsid w:val="00AC493D"/>
    <w:rsid w:val="00AC5555"/>
    <w:rsid w:val="00AC5B91"/>
    <w:rsid w:val="00AC5FCD"/>
    <w:rsid w:val="00AC6668"/>
    <w:rsid w:val="00AC6B86"/>
    <w:rsid w:val="00AC6F14"/>
    <w:rsid w:val="00AC7221"/>
    <w:rsid w:val="00AC7C4C"/>
    <w:rsid w:val="00AC7D65"/>
    <w:rsid w:val="00AD0490"/>
    <w:rsid w:val="00AD09AE"/>
    <w:rsid w:val="00AD1C66"/>
    <w:rsid w:val="00AD2A2B"/>
    <w:rsid w:val="00AD2D79"/>
    <w:rsid w:val="00AD35A9"/>
    <w:rsid w:val="00AD3611"/>
    <w:rsid w:val="00AD3FDD"/>
    <w:rsid w:val="00AD4677"/>
    <w:rsid w:val="00AD4B7B"/>
    <w:rsid w:val="00AD4D3C"/>
    <w:rsid w:val="00AD5081"/>
    <w:rsid w:val="00AD50AC"/>
    <w:rsid w:val="00AD5103"/>
    <w:rsid w:val="00AD6A84"/>
    <w:rsid w:val="00AD70B8"/>
    <w:rsid w:val="00AD751A"/>
    <w:rsid w:val="00AD7B83"/>
    <w:rsid w:val="00AE0487"/>
    <w:rsid w:val="00AE07FB"/>
    <w:rsid w:val="00AE0ED7"/>
    <w:rsid w:val="00AE2338"/>
    <w:rsid w:val="00AE2BDC"/>
    <w:rsid w:val="00AE3A56"/>
    <w:rsid w:val="00AE42A0"/>
    <w:rsid w:val="00AE4361"/>
    <w:rsid w:val="00AE4502"/>
    <w:rsid w:val="00AE450A"/>
    <w:rsid w:val="00AE524B"/>
    <w:rsid w:val="00AE5961"/>
    <w:rsid w:val="00AE5D37"/>
    <w:rsid w:val="00AE7AB1"/>
    <w:rsid w:val="00AE7EA7"/>
    <w:rsid w:val="00AF045A"/>
    <w:rsid w:val="00AF0745"/>
    <w:rsid w:val="00AF0FD6"/>
    <w:rsid w:val="00AF1649"/>
    <w:rsid w:val="00AF1DE3"/>
    <w:rsid w:val="00AF20A7"/>
    <w:rsid w:val="00AF2DE1"/>
    <w:rsid w:val="00AF357D"/>
    <w:rsid w:val="00AF390E"/>
    <w:rsid w:val="00AF443A"/>
    <w:rsid w:val="00AF48BE"/>
    <w:rsid w:val="00AF4971"/>
    <w:rsid w:val="00AF4991"/>
    <w:rsid w:val="00AF5276"/>
    <w:rsid w:val="00AF5909"/>
    <w:rsid w:val="00AF5B3D"/>
    <w:rsid w:val="00AF7C86"/>
    <w:rsid w:val="00B01046"/>
    <w:rsid w:val="00B01293"/>
    <w:rsid w:val="00B013AF"/>
    <w:rsid w:val="00B016E1"/>
    <w:rsid w:val="00B02247"/>
    <w:rsid w:val="00B0299A"/>
    <w:rsid w:val="00B02F23"/>
    <w:rsid w:val="00B03564"/>
    <w:rsid w:val="00B03D77"/>
    <w:rsid w:val="00B03E28"/>
    <w:rsid w:val="00B04CB3"/>
    <w:rsid w:val="00B0563D"/>
    <w:rsid w:val="00B06ACB"/>
    <w:rsid w:val="00B06E0D"/>
    <w:rsid w:val="00B070BB"/>
    <w:rsid w:val="00B075CB"/>
    <w:rsid w:val="00B07607"/>
    <w:rsid w:val="00B1004A"/>
    <w:rsid w:val="00B106A5"/>
    <w:rsid w:val="00B10E5B"/>
    <w:rsid w:val="00B11610"/>
    <w:rsid w:val="00B11C82"/>
    <w:rsid w:val="00B125B9"/>
    <w:rsid w:val="00B12DCC"/>
    <w:rsid w:val="00B13462"/>
    <w:rsid w:val="00B135DC"/>
    <w:rsid w:val="00B1379A"/>
    <w:rsid w:val="00B137C4"/>
    <w:rsid w:val="00B13CC6"/>
    <w:rsid w:val="00B13E02"/>
    <w:rsid w:val="00B13EDB"/>
    <w:rsid w:val="00B143A4"/>
    <w:rsid w:val="00B152FF"/>
    <w:rsid w:val="00B16621"/>
    <w:rsid w:val="00B16EAF"/>
    <w:rsid w:val="00B170A5"/>
    <w:rsid w:val="00B17347"/>
    <w:rsid w:val="00B17A23"/>
    <w:rsid w:val="00B17B39"/>
    <w:rsid w:val="00B201C6"/>
    <w:rsid w:val="00B21476"/>
    <w:rsid w:val="00B21CAF"/>
    <w:rsid w:val="00B22F81"/>
    <w:rsid w:val="00B230BD"/>
    <w:rsid w:val="00B25001"/>
    <w:rsid w:val="00B25339"/>
    <w:rsid w:val="00B25407"/>
    <w:rsid w:val="00B258CD"/>
    <w:rsid w:val="00B25F10"/>
    <w:rsid w:val="00B26020"/>
    <w:rsid w:val="00B26EBF"/>
    <w:rsid w:val="00B27233"/>
    <w:rsid w:val="00B27FA8"/>
    <w:rsid w:val="00B30D5E"/>
    <w:rsid w:val="00B30EBF"/>
    <w:rsid w:val="00B310A4"/>
    <w:rsid w:val="00B310A8"/>
    <w:rsid w:val="00B310F9"/>
    <w:rsid w:val="00B31171"/>
    <w:rsid w:val="00B31875"/>
    <w:rsid w:val="00B31A21"/>
    <w:rsid w:val="00B31D36"/>
    <w:rsid w:val="00B32374"/>
    <w:rsid w:val="00B32675"/>
    <w:rsid w:val="00B32768"/>
    <w:rsid w:val="00B32C4B"/>
    <w:rsid w:val="00B33063"/>
    <w:rsid w:val="00B34008"/>
    <w:rsid w:val="00B343B1"/>
    <w:rsid w:val="00B34696"/>
    <w:rsid w:val="00B34733"/>
    <w:rsid w:val="00B34E71"/>
    <w:rsid w:val="00B35C0D"/>
    <w:rsid w:val="00B36956"/>
    <w:rsid w:val="00B37866"/>
    <w:rsid w:val="00B37B02"/>
    <w:rsid w:val="00B4054D"/>
    <w:rsid w:val="00B4072D"/>
    <w:rsid w:val="00B4094D"/>
    <w:rsid w:val="00B40B54"/>
    <w:rsid w:val="00B40BF9"/>
    <w:rsid w:val="00B412FB"/>
    <w:rsid w:val="00B416B1"/>
    <w:rsid w:val="00B41F47"/>
    <w:rsid w:val="00B4215D"/>
    <w:rsid w:val="00B42203"/>
    <w:rsid w:val="00B42539"/>
    <w:rsid w:val="00B429D9"/>
    <w:rsid w:val="00B43204"/>
    <w:rsid w:val="00B43C2F"/>
    <w:rsid w:val="00B43EE5"/>
    <w:rsid w:val="00B44733"/>
    <w:rsid w:val="00B44BBE"/>
    <w:rsid w:val="00B44E72"/>
    <w:rsid w:val="00B4576B"/>
    <w:rsid w:val="00B46350"/>
    <w:rsid w:val="00B46394"/>
    <w:rsid w:val="00B46949"/>
    <w:rsid w:val="00B46DF3"/>
    <w:rsid w:val="00B46FBE"/>
    <w:rsid w:val="00B47582"/>
    <w:rsid w:val="00B506C1"/>
    <w:rsid w:val="00B5163E"/>
    <w:rsid w:val="00B51B01"/>
    <w:rsid w:val="00B531CB"/>
    <w:rsid w:val="00B53A3D"/>
    <w:rsid w:val="00B53C3F"/>
    <w:rsid w:val="00B5407C"/>
    <w:rsid w:val="00B542A7"/>
    <w:rsid w:val="00B54C2D"/>
    <w:rsid w:val="00B55619"/>
    <w:rsid w:val="00B55889"/>
    <w:rsid w:val="00B5694F"/>
    <w:rsid w:val="00B56D6F"/>
    <w:rsid w:val="00B57050"/>
    <w:rsid w:val="00B57118"/>
    <w:rsid w:val="00B576D7"/>
    <w:rsid w:val="00B57897"/>
    <w:rsid w:val="00B5794F"/>
    <w:rsid w:val="00B609F9"/>
    <w:rsid w:val="00B60C2C"/>
    <w:rsid w:val="00B60F31"/>
    <w:rsid w:val="00B618AF"/>
    <w:rsid w:val="00B61DFA"/>
    <w:rsid w:val="00B62046"/>
    <w:rsid w:val="00B625C3"/>
    <w:rsid w:val="00B62CD5"/>
    <w:rsid w:val="00B6365E"/>
    <w:rsid w:val="00B6393D"/>
    <w:rsid w:val="00B64269"/>
    <w:rsid w:val="00B64272"/>
    <w:rsid w:val="00B648C7"/>
    <w:rsid w:val="00B64EF9"/>
    <w:rsid w:val="00B64FEE"/>
    <w:rsid w:val="00B65D73"/>
    <w:rsid w:val="00B66DD1"/>
    <w:rsid w:val="00B66E8F"/>
    <w:rsid w:val="00B67035"/>
    <w:rsid w:val="00B67ABC"/>
    <w:rsid w:val="00B67EE8"/>
    <w:rsid w:val="00B7017E"/>
    <w:rsid w:val="00B70F17"/>
    <w:rsid w:val="00B716F7"/>
    <w:rsid w:val="00B71FD8"/>
    <w:rsid w:val="00B72077"/>
    <w:rsid w:val="00B720CB"/>
    <w:rsid w:val="00B727CE"/>
    <w:rsid w:val="00B72D36"/>
    <w:rsid w:val="00B736C8"/>
    <w:rsid w:val="00B7437E"/>
    <w:rsid w:val="00B75206"/>
    <w:rsid w:val="00B75E64"/>
    <w:rsid w:val="00B76012"/>
    <w:rsid w:val="00B761F2"/>
    <w:rsid w:val="00B771EB"/>
    <w:rsid w:val="00B77395"/>
    <w:rsid w:val="00B778D1"/>
    <w:rsid w:val="00B80157"/>
    <w:rsid w:val="00B80490"/>
    <w:rsid w:val="00B80700"/>
    <w:rsid w:val="00B80988"/>
    <w:rsid w:val="00B80F81"/>
    <w:rsid w:val="00B81EE3"/>
    <w:rsid w:val="00B821EA"/>
    <w:rsid w:val="00B82246"/>
    <w:rsid w:val="00B824C1"/>
    <w:rsid w:val="00B83B18"/>
    <w:rsid w:val="00B83D5E"/>
    <w:rsid w:val="00B84084"/>
    <w:rsid w:val="00B8418D"/>
    <w:rsid w:val="00B845D1"/>
    <w:rsid w:val="00B8460A"/>
    <w:rsid w:val="00B84BB0"/>
    <w:rsid w:val="00B854B2"/>
    <w:rsid w:val="00B85667"/>
    <w:rsid w:val="00B86289"/>
    <w:rsid w:val="00B8650D"/>
    <w:rsid w:val="00B8706B"/>
    <w:rsid w:val="00B87151"/>
    <w:rsid w:val="00B8751D"/>
    <w:rsid w:val="00B878E7"/>
    <w:rsid w:val="00B879B4"/>
    <w:rsid w:val="00B90A72"/>
    <w:rsid w:val="00B90B87"/>
    <w:rsid w:val="00B90CB7"/>
    <w:rsid w:val="00B90F07"/>
    <w:rsid w:val="00B91B52"/>
    <w:rsid w:val="00B92095"/>
    <w:rsid w:val="00B92613"/>
    <w:rsid w:val="00B92C43"/>
    <w:rsid w:val="00B92F58"/>
    <w:rsid w:val="00B9343F"/>
    <w:rsid w:val="00B93ACE"/>
    <w:rsid w:val="00B95308"/>
    <w:rsid w:val="00B9588D"/>
    <w:rsid w:val="00B959C6"/>
    <w:rsid w:val="00B95E99"/>
    <w:rsid w:val="00B96346"/>
    <w:rsid w:val="00B970D0"/>
    <w:rsid w:val="00B97912"/>
    <w:rsid w:val="00B9796A"/>
    <w:rsid w:val="00B97BB9"/>
    <w:rsid w:val="00BA0009"/>
    <w:rsid w:val="00BA0ABA"/>
    <w:rsid w:val="00BA0BB3"/>
    <w:rsid w:val="00BA0BDD"/>
    <w:rsid w:val="00BA0C34"/>
    <w:rsid w:val="00BA11AD"/>
    <w:rsid w:val="00BA127C"/>
    <w:rsid w:val="00BA1848"/>
    <w:rsid w:val="00BA263A"/>
    <w:rsid w:val="00BA3298"/>
    <w:rsid w:val="00BA43D3"/>
    <w:rsid w:val="00BA4467"/>
    <w:rsid w:val="00BA4B2D"/>
    <w:rsid w:val="00BA5A33"/>
    <w:rsid w:val="00BA64EA"/>
    <w:rsid w:val="00BA6FB0"/>
    <w:rsid w:val="00BA7C82"/>
    <w:rsid w:val="00BB02B5"/>
    <w:rsid w:val="00BB1863"/>
    <w:rsid w:val="00BB1BAE"/>
    <w:rsid w:val="00BB25EE"/>
    <w:rsid w:val="00BB28A8"/>
    <w:rsid w:val="00BB2C31"/>
    <w:rsid w:val="00BB363A"/>
    <w:rsid w:val="00BB3BC0"/>
    <w:rsid w:val="00BB486E"/>
    <w:rsid w:val="00BB4873"/>
    <w:rsid w:val="00BB4B76"/>
    <w:rsid w:val="00BB4D13"/>
    <w:rsid w:val="00BB4DDD"/>
    <w:rsid w:val="00BB5B14"/>
    <w:rsid w:val="00BB6365"/>
    <w:rsid w:val="00BB6425"/>
    <w:rsid w:val="00BB7369"/>
    <w:rsid w:val="00BB7546"/>
    <w:rsid w:val="00BC0BB8"/>
    <w:rsid w:val="00BC10A0"/>
    <w:rsid w:val="00BC1E29"/>
    <w:rsid w:val="00BC219B"/>
    <w:rsid w:val="00BC2579"/>
    <w:rsid w:val="00BC2CDE"/>
    <w:rsid w:val="00BC2EFF"/>
    <w:rsid w:val="00BC2FF7"/>
    <w:rsid w:val="00BC3D79"/>
    <w:rsid w:val="00BC437C"/>
    <w:rsid w:val="00BC4D07"/>
    <w:rsid w:val="00BC56F0"/>
    <w:rsid w:val="00BC6C31"/>
    <w:rsid w:val="00BC732A"/>
    <w:rsid w:val="00BC7BA2"/>
    <w:rsid w:val="00BD0369"/>
    <w:rsid w:val="00BD053B"/>
    <w:rsid w:val="00BD08B9"/>
    <w:rsid w:val="00BD0981"/>
    <w:rsid w:val="00BD186F"/>
    <w:rsid w:val="00BD1AD7"/>
    <w:rsid w:val="00BD1C21"/>
    <w:rsid w:val="00BD2572"/>
    <w:rsid w:val="00BD2EC1"/>
    <w:rsid w:val="00BD330D"/>
    <w:rsid w:val="00BD3762"/>
    <w:rsid w:val="00BD426B"/>
    <w:rsid w:val="00BD4421"/>
    <w:rsid w:val="00BD4434"/>
    <w:rsid w:val="00BD4A8E"/>
    <w:rsid w:val="00BD4E56"/>
    <w:rsid w:val="00BD4F6B"/>
    <w:rsid w:val="00BD54F6"/>
    <w:rsid w:val="00BD7619"/>
    <w:rsid w:val="00BD79F0"/>
    <w:rsid w:val="00BD7A6A"/>
    <w:rsid w:val="00BD7AED"/>
    <w:rsid w:val="00BE0D27"/>
    <w:rsid w:val="00BE0F37"/>
    <w:rsid w:val="00BE199F"/>
    <w:rsid w:val="00BE1FB9"/>
    <w:rsid w:val="00BE209B"/>
    <w:rsid w:val="00BE2125"/>
    <w:rsid w:val="00BE22D7"/>
    <w:rsid w:val="00BE24E7"/>
    <w:rsid w:val="00BE24FC"/>
    <w:rsid w:val="00BE2B4D"/>
    <w:rsid w:val="00BE30D6"/>
    <w:rsid w:val="00BE3B8E"/>
    <w:rsid w:val="00BE3EC5"/>
    <w:rsid w:val="00BE3FD2"/>
    <w:rsid w:val="00BE4A2D"/>
    <w:rsid w:val="00BE4CEF"/>
    <w:rsid w:val="00BE52B4"/>
    <w:rsid w:val="00BE610F"/>
    <w:rsid w:val="00BE69E0"/>
    <w:rsid w:val="00BE6A8E"/>
    <w:rsid w:val="00BF0E18"/>
    <w:rsid w:val="00BF1493"/>
    <w:rsid w:val="00BF22A0"/>
    <w:rsid w:val="00BF2347"/>
    <w:rsid w:val="00BF263E"/>
    <w:rsid w:val="00BF2B96"/>
    <w:rsid w:val="00BF4C20"/>
    <w:rsid w:val="00BF5EA7"/>
    <w:rsid w:val="00BF61B3"/>
    <w:rsid w:val="00BF627F"/>
    <w:rsid w:val="00BF6582"/>
    <w:rsid w:val="00BF7C3A"/>
    <w:rsid w:val="00C00808"/>
    <w:rsid w:val="00C00934"/>
    <w:rsid w:val="00C00CAB"/>
    <w:rsid w:val="00C010D6"/>
    <w:rsid w:val="00C015F8"/>
    <w:rsid w:val="00C01D01"/>
    <w:rsid w:val="00C02C2A"/>
    <w:rsid w:val="00C04328"/>
    <w:rsid w:val="00C04FC9"/>
    <w:rsid w:val="00C05AED"/>
    <w:rsid w:val="00C062B3"/>
    <w:rsid w:val="00C06AE8"/>
    <w:rsid w:val="00C06CF9"/>
    <w:rsid w:val="00C07294"/>
    <w:rsid w:val="00C07B90"/>
    <w:rsid w:val="00C07E26"/>
    <w:rsid w:val="00C07FCA"/>
    <w:rsid w:val="00C10010"/>
    <w:rsid w:val="00C10017"/>
    <w:rsid w:val="00C1011C"/>
    <w:rsid w:val="00C11DB1"/>
    <w:rsid w:val="00C12117"/>
    <w:rsid w:val="00C12F94"/>
    <w:rsid w:val="00C13661"/>
    <w:rsid w:val="00C13763"/>
    <w:rsid w:val="00C13D65"/>
    <w:rsid w:val="00C15027"/>
    <w:rsid w:val="00C15C59"/>
    <w:rsid w:val="00C16066"/>
    <w:rsid w:val="00C160EB"/>
    <w:rsid w:val="00C16DC5"/>
    <w:rsid w:val="00C17306"/>
    <w:rsid w:val="00C173AE"/>
    <w:rsid w:val="00C17492"/>
    <w:rsid w:val="00C177C5"/>
    <w:rsid w:val="00C17B3C"/>
    <w:rsid w:val="00C20BA7"/>
    <w:rsid w:val="00C2136A"/>
    <w:rsid w:val="00C21E25"/>
    <w:rsid w:val="00C221AB"/>
    <w:rsid w:val="00C2234A"/>
    <w:rsid w:val="00C226F3"/>
    <w:rsid w:val="00C23121"/>
    <w:rsid w:val="00C23312"/>
    <w:rsid w:val="00C234D3"/>
    <w:rsid w:val="00C23E35"/>
    <w:rsid w:val="00C23FE8"/>
    <w:rsid w:val="00C24AF7"/>
    <w:rsid w:val="00C24D96"/>
    <w:rsid w:val="00C25373"/>
    <w:rsid w:val="00C25642"/>
    <w:rsid w:val="00C2648F"/>
    <w:rsid w:val="00C26F4D"/>
    <w:rsid w:val="00C3047D"/>
    <w:rsid w:val="00C308CF"/>
    <w:rsid w:val="00C31925"/>
    <w:rsid w:val="00C31C72"/>
    <w:rsid w:val="00C32741"/>
    <w:rsid w:val="00C32925"/>
    <w:rsid w:val="00C33248"/>
    <w:rsid w:val="00C3440C"/>
    <w:rsid w:val="00C34BB3"/>
    <w:rsid w:val="00C34EC3"/>
    <w:rsid w:val="00C34F7F"/>
    <w:rsid w:val="00C356AD"/>
    <w:rsid w:val="00C3640B"/>
    <w:rsid w:val="00C36558"/>
    <w:rsid w:val="00C37B9E"/>
    <w:rsid w:val="00C4026B"/>
    <w:rsid w:val="00C4038C"/>
    <w:rsid w:val="00C4042D"/>
    <w:rsid w:val="00C409DA"/>
    <w:rsid w:val="00C41618"/>
    <w:rsid w:val="00C419FA"/>
    <w:rsid w:val="00C42189"/>
    <w:rsid w:val="00C42292"/>
    <w:rsid w:val="00C425C3"/>
    <w:rsid w:val="00C425E2"/>
    <w:rsid w:val="00C42BA2"/>
    <w:rsid w:val="00C43767"/>
    <w:rsid w:val="00C43EC6"/>
    <w:rsid w:val="00C44066"/>
    <w:rsid w:val="00C4489D"/>
    <w:rsid w:val="00C44DD7"/>
    <w:rsid w:val="00C44E13"/>
    <w:rsid w:val="00C44E66"/>
    <w:rsid w:val="00C45663"/>
    <w:rsid w:val="00C45666"/>
    <w:rsid w:val="00C45744"/>
    <w:rsid w:val="00C45AEF"/>
    <w:rsid w:val="00C45B9D"/>
    <w:rsid w:val="00C45C22"/>
    <w:rsid w:val="00C46E79"/>
    <w:rsid w:val="00C47395"/>
    <w:rsid w:val="00C4747A"/>
    <w:rsid w:val="00C47509"/>
    <w:rsid w:val="00C478BB"/>
    <w:rsid w:val="00C47BE2"/>
    <w:rsid w:val="00C500AA"/>
    <w:rsid w:val="00C50751"/>
    <w:rsid w:val="00C5106C"/>
    <w:rsid w:val="00C517EC"/>
    <w:rsid w:val="00C522C7"/>
    <w:rsid w:val="00C53118"/>
    <w:rsid w:val="00C53287"/>
    <w:rsid w:val="00C53288"/>
    <w:rsid w:val="00C535C4"/>
    <w:rsid w:val="00C5424F"/>
    <w:rsid w:val="00C54A3A"/>
    <w:rsid w:val="00C54B83"/>
    <w:rsid w:val="00C55100"/>
    <w:rsid w:val="00C555D8"/>
    <w:rsid w:val="00C568EE"/>
    <w:rsid w:val="00C56CA9"/>
    <w:rsid w:val="00C57355"/>
    <w:rsid w:val="00C57D32"/>
    <w:rsid w:val="00C60303"/>
    <w:rsid w:val="00C60A41"/>
    <w:rsid w:val="00C60D3A"/>
    <w:rsid w:val="00C61087"/>
    <w:rsid w:val="00C61B80"/>
    <w:rsid w:val="00C61D14"/>
    <w:rsid w:val="00C6227D"/>
    <w:rsid w:val="00C623F2"/>
    <w:rsid w:val="00C6282D"/>
    <w:rsid w:val="00C629B7"/>
    <w:rsid w:val="00C62CB8"/>
    <w:rsid w:val="00C62DE8"/>
    <w:rsid w:val="00C62DFB"/>
    <w:rsid w:val="00C630E6"/>
    <w:rsid w:val="00C632C9"/>
    <w:rsid w:val="00C63812"/>
    <w:rsid w:val="00C6382A"/>
    <w:rsid w:val="00C63A08"/>
    <w:rsid w:val="00C63C9F"/>
    <w:rsid w:val="00C63F07"/>
    <w:rsid w:val="00C641F5"/>
    <w:rsid w:val="00C6436B"/>
    <w:rsid w:val="00C64376"/>
    <w:rsid w:val="00C64A4E"/>
    <w:rsid w:val="00C64AF3"/>
    <w:rsid w:val="00C64BA1"/>
    <w:rsid w:val="00C64BE0"/>
    <w:rsid w:val="00C64E0F"/>
    <w:rsid w:val="00C65B43"/>
    <w:rsid w:val="00C65D47"/>
    <w:rsid w:val="00C665EC"/>
    <w:rsid w:val="00C666EF"/>
    <w:rsid w:val="00C66F4D"/>
    <w:rsid w:val="00C672E7"/>
    <w:rsid w:val="00C678C9"/>
    <w:rsid w:val="00C67BB5"/>
    <w:rsid w:val="00C70381"/>
    <w:rsid w:val="00C7145A"/>
    <w:rsid w:val="00C72713"/>
    <w:rsid w:val="00C7320D"/>
    <w:rsid w:val="00C73881"/>
    <w:rsid w:val="00C738AC"/>
    <w:rsid w:val="00C73A80"/>
    <w:rsid w:val="00C74E79"/>
    <w:rsid w:val="00C7502F"/>
    <w:rsid w:val="00C75297"/>
    <w:rsid w:val="00C7634B"/>
    <w:rsid w:val="00C76427"/>
    <w:rsid w:val="00C76F1D"/>
    <w:rsid w:val="00C77317"/>
    <w:rsid w:val="00C775FD"/>
    <w:rsid w:val="00C8010A"/>
    <w:rsid w:val="00C80548"/>
    <w:rsid w:val="00C81D24"/>
    <w:rsid w:val="00C82F48"/>
    <w:rsid w:val="00C832FD"/>
    <w:rsid w:val="00C8374C"/>
    <w:rsid w:val="00C83CE6"/>
    <w:rsid w:val="00C848EF"/>
    <w:rsid w:val="00C8569C"/>
    <w:rsid w:val="00C85B92"/>
    <w:rsid w:val="00C860DB"/>
    <w:rsid w:val="00C86600"/>
    <w:rsid w:val="00C87217"/>
    <w:rsid w:val="00C87BCA"/>
    <w:rsid w:val="00C87EED"/>
    <w:rsid w:val="00C9106A"/>
    <w:rsid w:val="00C915D4"/>
    <w:rsid w:val="00C919E5"/>
    <w:rsid w:val="00C919EC"/>
    <w:rsid w:val="00C92927"/>
    <w:rsid w:val="00C92E8E"/>
    <w:rsid w:val="00C92F11"/>
    <w:rsid w:val="00C930F4"/>
    <w:rsid w:val="00C93334"/>
    <w:rsid w:val="00C9378D"/>
    <w:rsid w:val="00C94506"/>
    <w:rsid w:val="00C94B51"/>
    <w:rsid w:val="00C952E1"/>
    <w:rsid w:val="00C954BC"/>
    <w:rsid w:val="00C95D34"/>
    <w:rsid w:val="00C97ED1"/>
    <w:rsid w:val="00CA04B7"/>
    <w:rsid w:val="00CA0C4A"/>
    <w:rsid w:val="00CA0CC5"/>
    <w:rsid w:val="00CA12D7"/>
    <w:rsid w:val="00CA188E"/>
    <w:rsid w:val="00CA19C3"/>
    <w:rsid w:val="00CA1F0B"/>
    <w:rsid w:val="00CA255C"/>
    <w:rsid w:val="00CA44D0"/>
    <w:rsid w:val="00CA50FE"/>
    <w:rsid w:val="00CA5807"/>
    <w:rsid w:val="00CA5E4D"/>
    <w:rsid w:val="00CA5E6F"/>
    <w:rsid w:val="00CA661D"/>
    <w:rsid w:val="00CA66EB"/>
    <w:rsid w:val="00CA6E69"/>
    <w:rsid w:val="00CA6FBA"/>
    <w:rsid w:val="00CA76B6"/>
    <w:rsid w:val="00CA7B98"/>
    <w:rsid w:val="00CB0534"/>
    <w:rsid w:val="00CB110F"/>
    <w:rsid w:val="00CB1ED3"/>
    <w:rsid w:val="00CB2A2E"/>
    <w:rsid w:val="00CB2C4A"/>
    <w:rsid w:val="00CB2E07"/>
    <w:rsid w:val="00CB3037"/>
    <w:rsid w:val="00CB338A"/>
    <w:rsid w:val="00CB3649"/>
    <w:rsid w:val="00CB376F"/>
    <w:rsid w:val="00CB44F5"/>
    <w:rsid w:val="00CB4579"/>
    <w:rsid w:val="00CB4F26"/>
    <w:rsid w:val="00CB5736"/>
    <w:rsid w:val="00CB59E5"/>
    <w:rsid w:val="00CB60EC"/>
    <w:rsid w:val="00CB64F3"/>
    <w:rsid w:val="00CB695B"/>
    <w:rsid w:val="00CB6B39"/>
    <w:rsid w:val="00CB6E6B"/>
    <w:rsid w:val="00CB751B"/>
    <w:rsid w:val="00CB76CB"/>
    <w:rsid w:val="00CB79C5"/>
    <w:rsid w:val="00CB7C0B"/>
    <w:rsid w:val="00CB7FA2"/>
    <w:rsid w:val="00CC0729"/>
    <w:rsid w:val="00CC0A5C"/>
    <w:rsid w:val="00CC0AEB"/>
    <w:rsid w:val="00CC1D61"/>
    <w:rsid w:val="00CC2438"/>
    <w:rsid w:val="00CC411F"/>
    <w:rsid w:val="00CC4AE4"/>
    <w:rsid w:val="00CC4B75"/>
    <w:rsid w:val="00CC56E7"/>
    <w:rsid w:val="00CC68F6"/>
    <w:rsid w:val="00CC6C70"/>
    <w:rsid w:val="00CC6ED1"/>
    <w:rsid w:val="00CC72D4"/>
    <w:rsid w:val="00CC732E"/>
    <w:rsid w:val="00CC734A"/>
    <w:rsid w:val="00CC75CE"/>
    <w:rsid w:val="00CC7E89"/>
    <w:rsid w:val="00CD084C"/>
    <w:rsid w:val="00CD18D3"/>
    <w:rsid w:val="00CD1B8B"/>
    <w:rsid w:val="00CD1E50"/>
    <w:rsid w:val="00CD2A91"/>
    <w:rsid w:val="00CD2A98"/>
    <w:rsid w:val="00CD2FCD"/>
    <w:rsid w:val="00CD30DE"/>
    <w:rsid w:val="00CD32C4"/>
    <w:rsid w:val="00CD35E5"/>
    <w:rsid w:val="00CD384A"/>
    <w:rsid w:val="00CD399C"/>
    <w:rsid w:val="00CD3B13"/>
    <w:rsid w:val="00CD3EDB"/>
    <w:rsid w:val="00CD48FE"/>
    <w:rsid w:val="00CD4C37"/>
    <w:rsid w:val="00CD50C5"/>
    <w:rsid w:val="00CD5361"/>
    <w:rsid w:val="00CD53EA"/>
    <w:rsid w:val="00CD566C"/>
    <w:rsid w:val="00CD5D42"/>
    <w:rsid w:val="00CD618A"/>
    <w:rsid w:val="00CD7207"/>
    <w:rsid w:val="00CE021A"/>
    <w:rsid w:val="00CE02C5"/>
    <w:rsid w:val="00CE0422"/>
    <w:rsid w:val="00CE0739"/>
    <w:rsid w:val="00CE0A71"/>
    <w:rsid w:val="00CE0DBE"/>
    <w:rsid w:val="00CE1231"/>
    <w:rsid w:val="00CE26FD"/>
    <w:rsid w:val="00CE3CF8"/>
    <w:rsid w:val="00CE4665"/>
    <w:rsid w:val="00CE5342"/>
    <w:rsid w:val="00CE5E4D"/>
    <w:rsid w:val="00CE6E90"/>
    <w:rsid w:val="00CE71FC"/>
    <w:rsid w:val="00CE7A9F"/>
    <w:rsid w:val="00CF02C4"/>
    <w:rsid w:val="00CF06BE"/>
    <w:rsid w:val="00CF167F"/>
    <w:rsid w:val="00CF1EB7"/>
    <w:rsid w:val="00CF21B0"/>
    <w:rsid w:val="00CF25A1"/>
    <w:rsid w:val="00CF3105"/>
    <w:rsid w:val="00CF3288"/>
    <w:rsid w:val="00CF374F"/>
    <w:rsid w:val="00CF47A8"/>
    <w:rsid w:val="00CF4E0B"/>
    <w:rsid w:val="00CF5103"/>
    <w:rsid w:val="00CF5231"/>
    <w:rsid w:val="00CF5634"/>
    <w:rsid w:val="00CF5E92"/>
    <w:rsid w:val="00CF680A"/>
    <w:rsid w:val="00CF6D86"/>
    <w:rsid w:val="00CF72E5"/>
    <w:rsid w:val="00CF7319"/>
    <w:rsid w:val="00CF7D03"/>
    <w:rsid w:val="00D00050"/>
    <w:rsid w:val="00D00923"/>
    <w:rsid w:val="00D00CE4"/>
    <w:rsid w:val="00D01020"/>
    <w:rsid w:val="00D013EE"/>
    <w:rsid w:val="00D01792"/>
    <w:rsid w:val="00D01F38"/>
    <w:rsid w:val="00D01F54"/>
    <w:rsid w:val="00D0228C"/>
    <w:rsid w:val="00D03186"/>
    <w:rsid w:val="00D03414"/>
    <w:rsid w:val="00D03746"/>
    <w:rsid w:val="00D03947"/>
    <w:rsid w:val="00D03A26"/>
    <w:rsid w:val="00D040F7"/>
    <w:rsid w:val="00D0451F"/>
    <w:rsid w:val="00D0485D"/>
    <w:rsid w:val="00D048FC"/>
    <w:rsid w:val="00D04A76"/>
    <w:rsid w:val="00D04C6F"/>
    <w:rsid w:val="00D0585F"/>
    <w:rsid w:val="00D05C7B"/>
    <w:rsid w:val="00D068BF"/>
    <w:rsid w:val="00D06B6B"/>
    <w:rsid w:val="00D0799C"/>
    <w:rsid w:val="00D07E2B"/>
    <w:rsid w:val="00D10FC7"/>
    <w:rsid w:val="00D112EC"/>
    <w:rsid w:val="00D1194D"/>
    <w:rsid w:val="00D126A8"/>
    <w:rsid w:val="00D12FF5"/>
    <w:rsid w:val="00D14A0F"/>
    <w:rsid w:val="00D14DC2"/>
    <w:rsid w:val="00D1514C"/>
    <w:rsid w:val="00D1519F"/>
    <w:rsid w:val="00D156E0"/>
    <w:rsid w:val="00D157A9"/>
    <w:rsid w:val="00D15C90"/>
    <w:rsid w:val="00D16FA1"/>
    <w:rsid w:val="00D1703C"/>
    <w:rsid w:val="00D171D1"/>
    <w:rsid w:val="00D17453"/>
    <w:rsid w:val="00D17B62"/>
    <w:rsid w:val="00D17C13"/>
    <w:rsid w:val="00D20298"/>
    <w:rsid w:val="00D20811"/>
    <w:rsid w:val="00D20E99"/>
    <w:rsid w:val="00D212A3"/>
    <w:rsid w:val="00D21AA8"/>
    <w:rsid w:val="00D21C83"/>
    <w:rsid w:val="00D2274C"/>
    <w:rsid w:val="00D23162"/>
    <w:rsid w:val="00D231B0"/>
    <w:rsid w:val="00D23E3B"/>
    <w:rsid w:val="00D23E50"/>
    <w:rsid w:val="00D2440F"/>
    <w:rsid w:val="00D25080"/>
    <w:rsid w:val="00D254DC"/>
    <w:rsid w:val="00D26125"/>
    <w:rsid w:val="00D267F6"/>
    <w:rsid w:val="00D26A82"/>
    <w:rsid w:val="00D2700E"/>
    <w:rsid w:val="00D27AC5"/>
    <w:rsid w:val="00D30B95"/>
    <w:rsid w:val="00D312C2"/>
    <w:rsid w:val="00D3194D"/>
    <w:rsid w:val="00D31981"/>
    <w:rsid w:val="00D31F2A"/>
    <w:rsid w:val="00D326F8"/>
    <w:rsid w:val="00D330A8"/>
    <w:rsid w:val="00D330E0"/>
    <w:rsid w:val="00D331A1"/>
    <w:rsid w:val="00D33E48"/>
    <w:rsid w:val="00D3419C"/>
    <w:rsid w:val="00D35355"/>
    <w:rsid w:val="00D35799"/>
    <w:rsid w:val="00D35BDD"/>
    <w:rsid w:val="00D35E31"/>
    <w:rsid w:val="00D37A15"/>
    <w:rsid w:val="00D37DAF"/>
    <w:rsid w:val="00D37E49"/>
    <w:rsid w:val="00D406C1"/>
    <w:rsid w:val="00D406D1"/>
    <w:rsid w:val="00D4082D"/>
    <w:rsid w:val="00D411B0"/>
    <w:rsid w:val="00D4150B"/>
    <w:rsid w:val="00D4257F"/>
    <w:rsid w:val="00D425A3"/>
    <w:rsid w:val="00D42C8F"/>
    <w:rsid w:val="00D434FF"/>
    <w:rsid w:val="00D43CA1"/>
    <w:rsid w:val="00D43D6B"/>
    <w:rsid w:val="00D43DE1"/>
    <w:rsid w:val="00D44248"/>
    <w:rsid w:val="00D44623"/>
    <w:rsid w:val="00D446A4"/>
    <w:rsid w:val="00D44DEF"/>
    <w:rsid w:val="00D470D7"/>
    <w:rsid w:val="00D5032F"/>
    <w:rsid w:val="00D507A7"/>
    <w:rsid w:val="00D50DE6"/>
    <w:rsid w:val="00D50F32"/>
    <w:rsid w:val="00D5116F"/>
    <w:rsid w:val="00D51353"/>
    <w:rsid w:val="00D51ED7"/>
    <w:rsid w:val="00D52505"/>
    <w:rsid w:val="00D529CF"/>
    <w:rsid w:val="00D5391D"/>
    <w:rsid w:val="00D54088"/>
    <w:rsid w:val="00D540C0"/>
    <w:rsid w:val="00D54D90"/>
    <w:rsid w:val="00D54F85"/>
    <w:rsid w:val="00D552C1"/>
    <w:rsid w:val="00D55E66"/>
    <w:rsid w:val="00D55EDC"/>
    <w:rsid w:val="00D5686B"/>
    <w:rsid w:val="00D57181"/>
    <w:rsid w:val="00D57976"/>
    <w:rsid w:val="00D57B66"/>
    <w:rsid w:val="00D57F16"/>
    <w:rsid w:val="00D601C8"/>
    <w:rsid w:val="00D6062C"/>
    <w:rsid w:val="00D609A9"/>
    <w:rsid w:val="00D60F82"/>
    <w:rsid w:val="00D6130C"/>
    <w:rsid w:val="00D614C4"/>
    <w:rsid w:val="00D62121"/>
    <w:rsid w:val="00D621C9"/>
    <w:rsid w:val="00D622B6"/>
    <w:rsid w:val="00D625D9"/>
    <w:rsid w:val="00D6295B"/>
    <w:rsid w:val="00D63006"/>
    <w:rsid w:val="00D63982"/>
    <w:rsid w:val="00D63C2B"/>
    <w:rsid w:val="00D64644"/>
    <w:rsid w:val="00D6496D"/>
    <w:rsid w:val="00D64AA8"/>
    <w:rsid w:val="00D64D42"/>
    <w:rsid w:val="00D66EE8"/>
    <w:rsid w:val="00D67797"/>
    <w:rsid w:val="00D67937"/>
    <w:rsid w:val="00D70995"/>
    <w:rsid w:val="00D711D8"/>
    <w:rsid w:val="00D71344"/>
    <w:rsid w:val="00D71C0F"/>
    <w:rsid w:val="00D72301"/>
    <w:rsid w:val="00D726BB"/>
    <w:rsid w:val="00D727E4"/>
    <w:rsid w:val="00D72D92"/>
    <w:rsid w:val="00D73489"/>
    <w:rsid w:val="00D74317"/>
    <w:rsid w:val="00D7538E"/>
    <w:rsid w:val="00D75695"/>
    <w:rsid w:val="00D76426"/>
    <w:rsid w:val="00D764F5"/>
    <w:rsid w:val="00D80087"/>
    <w:rsid w:val="00D8016F"/>
    <w:rsid w:val="00D80741"/>
    <w:rsid w:val="00D80776"/>
    <w:rsid w:val="00D81B83"/>
    <w:rsid w:val="00D81C35"/>
    <w:rsid w:val="00D81D06"/>
    <w:rsid w:val="00D82C2C"/>
    <w:rsid w:val="00D82DE7"/>
    <w:rsid w:val="00D82DE8"/>
    <w:rsid w:val="00D8347C"/>
    <w:rsid w:val="00D8430B"/>
    <w:rsid w:val="00D8528E"/>
    <w:rsid w:val="00D90201"/>
    <w:rsid w:val="00D902A9"/>
    <w:rsid w:val="00D9087E"/>
    <w:rsid w:val="00D911DE"/>
    <w:rsid w:val="00D91548"/>
    <w:rsid w:val="00D91B97"/>
    <w:rsid w:val="00D92455"/>
    <w:rsid w:val="00D92667"/>
    <w:rsid w:val="00D92D18"/>
    <w:rsid w:val="00D93448"/>
    <w:rsid w:val="00D9355C"/>
    <w:rsid w:val="00D936A8"/>
    <w:rsid w:val="00D93980"/>
    <w:rsid w:val="00D93ACC"/>
    <w:rsid w:val="00D93C08"/>
    <w:rsid w:val="00D93E4E"/>
    <w:rsid w:val="00D94694"/>
    <w:rsid w:val="00D94D66"/>
    <w:rsid w:val="00D95806"/>
    <w:rsid w:val="00D95A59"/>
    <w:rsid w:val="00D95DAC"/>
    <w:rsid w:val="00D962C6"/>
    <w:rsid w:val="00D96CEB"/>
    <w:rsid w:val="00D9796F"/>
    <w:rsid w:val="00D97B5A"/>
    <w:rsid w:val="00DA0B53"/>
    <w:rsid w:val="00DA0EF7"/>
    <w:rsid w:val="00DA1685"/>
    <w:rsid w:val="00DA1CD8"/>
    <w:rsid w:val="00DA32A9"/>
    <w:rsid w:val="00DA3FF5"/>
    <w:rsid w:val="00DA4AAE"/>
    <w:rsid w:val="00DA505A"/>
    <w:rsid w:val="00DA767D"/>
    <w:rsid w:val="00DA7E15"/>
    <w:rsid w:val="00DA7F5D"/>
    <w:rsid w:val="00DA7F69"/>
    <w:rsid w:val="00DB0377"/>
    <w:rsid w:val="00DB098C"/>
    <w:rsid w:val="00DB0D63"/>
    <w:rsid w:val="00DB1171"/>
    <w:rsid w:val="00DB1519"/>
    <w:rsid w:val="00DB190B"/>
    <w:rsid w:val="00DB1D90"/>
    <w:rsid w:val="00DB2840"/>
    <w:rsid w:val="00DB2B6C"/>
    <w:rsid w:val="00DB2C48"/>
    <w:rsid w:val="00DB2FA0"/>
    <w:rsid w:val="00DB3AB5"/>
    <w:rsid w:val="00DB473E"/>
    <w:rsid w:val="00DB478B"/>
    <w:rsid w:val="00DB4C97"/>
    <w:rsid w:val="00DB5214"/>
    <w:rsid w:val="00DB5579"/>
    <w:rsid w:val="00DB5EA0"/>
    <w:rsid w:val="00DB5F68"/>
    <w:rsid w:val="00DB6341"/>
    <w:rsid w:val="00DB6566"/>
    <w:rsid w:val="00DB6A2F"/>
    <w:rsid w:val="00DB7570"/>
    <w:rsid w:val="00DB78A0"/>
    <w:rsid w:val="00DB7A69"/>
    <w:rsid w:val="00DC027B"/>
    <w:rsid w:val="00DC0C6E"/>
    <w:rsid w:val="00DC1BD3"/>
    <w:rsid w:val="00DC2418"/>
    <w:rsid w:val="00DC2B69"/>
    <w:rsid w:val="00DC2C1A"/>
    <w:rsid w:val="00DC3331"/>
    <w:rsid w:val="00DC3C27"/>
    <w:rsid w:val="00DC3E58"/>
    <w:rsid w:val="00DC432A"/>
    <w:rsid w:val="00DC4955"/>
    <w:rsid w:val="00DC6CD1"/>
    <w:rsid w:val="00DC7CCB"/>
    <w:rsid w:val="00DD0545"/>
    <w:rsid w:val="00DD0E1D"/>
    <w:rsid w:val="00DD1DE2"/>
    <w:rsid w:val="00DD3904"/>
    <w:rsid w:val="00DD3AF5"/>
    <w:rsid w:val="00DD3BD9"/>
    <w:rsid w:val="00DD4362"/>
    <w:rsid w:val="00DD43BA"/>
    <w:rsid w:val="00DD4748"/>
    <w:rsid w:val="00DD4803"/>
    <w:rsid w:val="00DD58BB"/>
    <w:rsid w:val="00DD602A"/>
    <w:rsid w:val="00DD64C6"/>
    <w:rsid w:val="00DD66B4"/>
    <w:rsid w:val="00DD6CA4"/>
    <w:rsid w:val="00DD6F92"/>
    <w:rsid w:val="00DD70FB"/>
    <w:rsid w:val="00DE032F"/>
    <w:rsid w:val="00DE048C"/>
    <w:rsid w:val="00DE0674"/>
    <w:rsid w:val="00DE0771"/>
    <w:rsid w:val="00DE08AE"/>
    <w:rsid w:val="00DE0DD4"/>
    <w:rsid w:val="00DE110C"/>
    <w:rsid w:val="00DE1972"/>
    <w:rsid w:val="00DE1E82"/>
    <w:rsid w:val="00DE2090"/>
    <w:rsid w:val="00DE2689"/>
    <w:rsid w:val="00DE27AB"/>
    <w:rsid w:val="00DE3061"/>
    <w:rsid w:val="00DE3F0C"/>
    <w:rsid w:val="00DE450C"/>
    <w:rsid w:val="00DE4C3D"/>
    <w:rsid w:val="00DE58A0"/>
    <w:rsid w:val="00DE6496"/>
    <w:rsid w:val="00DE6E76"/>
    <w:rsid w:val="00DE6EDA"/>
    <w:rsid w:val="00DE7056"/>
    <w:rsid w:val="00DE7FF9"/>
    <w:rsid w:val="00DF006A"/>
    <w:rsid w:val="00DF035C"/>
    <w:rsid w:val="00DF1457"/>
    <w:rsid w:val="00DF1568"/>
    <w:rsid w:val="00DF1B23"/>
    <w:rsid w:val="00DF1FAF"/>
    <w:rsid w:val="00DF21CB"/>
    <w:rsid w:val="00DF225B"/>
    <w:rsid w:val="00DF268F"/>
    <w:rsid w:val="00DF2AB3"/>
    <w:rsid w:val="00DF3251"/>
    <w:rsid w:val="00DF39DE"/>
    <w:rsid w:val="00DF3AD4"/>
    <w:rsid w:val="00DF445C"/>
    <w:rsid w:val="00DF49AA"/>
    <w:rsid w:val="00DF4C69"/>
    <w:rsid w:val="00DF4F59"/>
    <w:rsid w:val="00DF5943"/>
    <w:rsid w:val="00DF633F"/>
    <w:rsid w:val="00DF6553"/>
    <w:rsid w:val="00DF6617"/>
    <w:rsid w:val="00DF70E6"/>
    <w:rsid w:val="00DF7250"/>
    <w:rsid w:val="00DF7D16"/>
    <w:rsid w:val="00E00587"/>
    <w:rsid w:val="00E00CAA"/>
    <w:rsid w:val="00E019D3"/>
    <w:rsid w:val="00E01B32"/>
    <w:rsid w:val="00E0239C"/>
    <w:rsid w:val="00E02853"/>
    <w:rsid w:val="00E02F87"/>
    <w:rsid w:val="00E03063"/>
    <w:rsid w:val="00E033A3"/>
    <w:rsid w:val="00E034BD"/>
    <w:rsid w:val="00E03647"/>
    <w:rsid w:val="00E039E5"/>
    <w:rsid w:val="00E03EBF"/>
    <w:rsid w:val="00E04AEA"/>
    <w:rsid w:val="00E04E92"/>
    <w:rsid w:val="00E05209"/>
    <w:rsid w:val="00E0583C"/>
    <w:rsid w:val="00E05882"/>
    <w:rsid w:val="00E05AC1"/>
    <w:rsid w:val="00E05CA4"/>
    <w:rsid w:val="00E060C9"/>
    <w:rsid w:val="00E06DBD"/>
    <w:rsid w:val="00E06F02"/>
    <w:rsid w:val="00E07C59"/>
    <w:rsid w:val="00E10252"/>
    <w:rsid w:val="00E11451"/>
    <w:rsid w:val="00E11A07"/>
    <w:rsid w:val="00E11BCF"/>
    <w:rsid w:val="00E12624"/>
    <w:rsid w:val="00E1368A"/>
    <w:rsid w:val="00E137A6"/>
    <w:rsid w:val="00E13ECA"/>
    <w:rsid w:val="00E15BCF"/>
    <w:rsid w:val="00E15EE4"/>
    <w:rsid w:val="00E1696B"/>
    <w:rsid w:val="00E17502"/>
    <w:rsid w:val="00E1777F"/>
    <w:rsid w:val="00E178E2"/>
    <w:rsid w:val="00E179B8"/>
    <w:rsid w:val="00E17A1D"/>
    <w:rsid w:val="00E20227"/>
    <w:rsid w:val="00E212FB"/>
    <w:rsid w:val="00E21887"/>
    <w:rsid w:val="00E22367"/>
    <w:rsid w:val="00E2258E"/>
    <w:rsid w:val="00E22593"/>
    <w:rsid w:val="00E22649"/>
    <w:rsid w:val="00E22751"/>
    <w:rsid w:val="00E22AE5"/>
    <w:rsid w:val="00E231F8"/>
    <w:rsid w:val="00E23569"/>
    <w:rsid w:val="00E23846"/>
    <w:rsid w:val="00E23A9D"/>
    <w:rsid w:val="00E24806"/>
    <w:rsid w:val="00E24A90"/>
    <w:rsid w:val="00E25D62"/>
    <w:rsid w:val="00E25DA3"/>
    <w:rsid w:val="00E260C2"/>
    <w:rsid w:val="00E264D5"/>
    <w:rsid w:val="00E264E3"/>
    <w:rsid w:val="00E267B6"/>
    <w:rsid w:val="00E2682D"/>
    <w:rsid w:val="00E304DD"/>
    <w:rsid w:val="00E305EB"/>
    <w:rsid w:val="00E31CD0"/>
    <w:rsid w:val="00E324A0"/>
    <w:rsid w:val="00E32596"/>
    <w:rsid w:val="00E32E04"/>
    <w:rsid w:val="00E32E61"/>
    <w:rsid w:val="00E33B53"/>
    <w:rsid w:val="00E342B2"/>
    <w:rsid w:val="00E34C7B"/>
    <w:rsid w:val="00E3622D"/>
    <w:rsid w:val="00E364D6"/>
    <w:rsid w:val="00E368F7"/>
    <w:rsid w:val="00E36EB8"/>
    <w:rsid w:val="00E3763F"/>
    <w:rsid w:val="00E37FB8"/>
    <w:rsid w:val="00E40355"/>
    <w:rsid w:val="00E4070E"/>
    <w:rsid w:val="00E40B07"/>
    <w:rsid w:val="00E415AE"/>
    <w:rsid w:val="00E41708"/>
    <w:rsid w:val="00E41BE1"/>
    <w:rsid w:val="00E41FC7"/>
    <w:rsid w:val="00E42326"/>
    <w:rsid w:val="00E42551"/>
    <w:rsid w:val="00E425F5"/>
    <w:rsid w:val="00E42998"/>
    <w:rsid w:val="00E43544"/>
    <w:rsid w:val="00E443E1"/>
    <w:rsid w:val="00E44D89"/>
    <w:rsid w:val="00E45392"/>
    <w:rsid w:val="00E46278"/>
    <w:rsid w:val="00E46401"/>
    <w:rsid w:val="00E469A8"/>
    <w:rsid w:val="00E46D9C"/>
    <w:rsid w:val="00E46DE3"/>
    <w:rsid w:val="00E4768F"/>
    <w:rsid w:val="00E477EA"/>
    <w:rsid w:val="00E502E5"/>
    <w:rsid w:val="00E50699"/>
    <w:rsid w:val="00E51368"/>
    <w:rsid w:val="00E51468"/>
    <w:rsid w:val="00E51A5D"/>
    <w:rsid w:val="00E5261D"/>
    <w:rsid w:val="00E5270A"/>
    <w:rsid w:val="00E52D2C"/>
    <w:rsid w:val="00E52E79"/>
    <w:rsid w:val="00E5348C"/>
    <w:rsid w:val="00E5516B"/>
    <w:rsid w:val="00E5568D"/>
    <w:rsid w:val="00E55807"/>
    <w:rsid w:val="00E56352"/>
    <w:rsid w:val="00E56C8E"/>
    <w:rsid w:val="00E571D1"/>
    <w:rsid w:val="00E57695"/>
    <w:rsid w:val="00E60794"/>
    <w:rsid w:val="00E621AD"/>
    <w:rsid w:val="00E624B0"/>
    <w:rsid w:val="00E62893"/>
    <w:rsid w:val="00E6324B"/>
    <w:rsid w:val="00E63B14"/>
    <w:rsid w:val="00E64531"/>
    <w:rsid w:val="00E64ED3"/>
    <w:rsid w:val="00E6513C"/>
    <w:rsid w:val="00E6535E"/>
    <w:rsid w:val="00E6576D"/>
    <w:rsid w:val="00E65CA0"/>
    <w:rsid w:val="00E65D27"/>
    <w:rsid w:val="00E6614A"/>
    <w:rsid w:val="00E6665C"/>
    <w:rsid w:val="00E668BF"/>
    <w:rsid w:val="00E66BC2"/>
    <w:rsid w:val="00E66CDB"/>
    <w:rsid w:val="00E674BE"/>
    <w:rsid w:val="00E700BF"/>
    <w:rsid w:val="00E70235"/>
    <w:rsid w:val="00E702CC"/>
    <w:rsid w:val="00E70911"/>
    <w:rsid w:val="00E70B04"/>
    <w:rsid w:val="00E70D9F"/>
    <w:rsid w:val="00E719DF"/>
    <w:rsid w:val="00E722DE"/>
    <w:rsid w:val="00E72C91"/>
    <w:rsid w:val="00E72E2B"/>
    <w:rsid w:val="00E730FF"/>
    <w:rsid w:val="00E737EF"/>
    <w:rsid w:val="00E73BFA"/>
    <w:rsid w:val="00E73E5F"/>
    <w:rsid w:val="00E74C4B"/>
    <w:rsid w:val="00E7538E"/>
    <w:rsid w:val="00E76508"/>
    <w:rsid w:val="00E7789D"/>
    <w:rsid w:val="00E778E4"/>
    <w:rsid w:val="00E77FDC"/>
    <w:rsid w:val="00E81A12"/>
    <w:rsid w:val="00E81C3D"/>
    <w:rsid w:val="00E81D5F"/>
    <w:rsid w:val="00E832AE"/>
    <w:rsid w:val="00E836D9"/>
    <w:rsid w:val="00E83810"/>
    <w:rsid w:val="00E83D2A"/>
    <w:rsid w:val="00E84C32"/>
    <w:rsid w:val="00E85021"/>
    <w:rsid w:val="00E85CD0"/>
    <w:rsid w:val="00E86703"/>
    <w:rsid w:val="00E86933"/>
    <w:rsid w:val="00E875CD"/>
    <w:rsid w:val="00E9104C"/>
    <w:rsid w:val="00E91319"/>
    <w:rsid w:val="00E92A4F"/>
    <w:rsid w:val="00E92B6B"/>
    <w:rsid w:val="00E936F5"/>
    <w:rsid w:val="00E93F06"/>
    <w:rsid w:val="00E94016"/>
    <w:rsid w:val="00E940A3"/>
    <w:rsid w:val="00E94198"/>
    <w:rsid w:val="00E94227"/>
    <w:rsid w:val="00E95AAF"/>
    <w:rsid w:val="00E9605B"/>
    <w:rsid w:val="00E96367"/>
    <w:rsid w:val="00E97298"/>
    <w:rsid w:val="00E97753"/>
    <w:rsid w:val="00E97990"/>
    <w:rsid w:val="00EA0C51"/>
    <w:rsid w:val="00EA0EEC"/>
    <w:rsid w:val="00EA17B1"/>
    <w:rsid w:val="00EA19DE"/>
    <w:rsid w:val="00EA207B"/>
    <w:rsid w:val="00EA266C"/>
    <w:rsid w:val="00EA2854"/>
    <w:rsid w:val="00EA2C8D"/>
    <w:rsid w:val="00EA2CDE"/>
    <w:rsid w:val="00EA2D9B"/>
    <w:rsid w:val="00EA2EBB"/>
    <w:rsid w:val="00EA34A6"/>
    <w:rsid w:val="00EA4BA9"/>
    <w:rsid w:val="00EA5519"/>
    <w:rsid w:val="00EA6BD6"/>
    <w:rsid w:val="00EA74D4"/>
    <w:rsid w:val="00EA7DE7"/>
    <w:rsid w:val="00EB05CD"/>
    <w:rsid w:val="00EB0805"/>
    <w:rsid w:val="00EB13F6"/>
    <w:rsid w:val="00EB15E6"/>
    <w:rsid w:val="00EB1FC7"/>
    <w:rsid w:val="00EB29E2"/>
    <w:rsid w:val="00EB2C49"/>
    <w:rsid w:val="00EB2EBE"/>
    <w:rsid w:val="00EB2EE7"/>
    <w:rsid w:val="00EB2F7A"/>
    <w:rsid w:val="00EB3673"/>
    <w:rsid w:val="00EB4674"/>
    <w:rsid w:val="00EB4F8F"/>
    <w:rsid w:val="00EB592E"/>
    <w:rsid w:val="00EB5958"/>
    <w:rsid w:val="00EB5B67"/>
    <w:rsid w:val="00EB6248"/>
    <w:rsid w:val="00EB64BE"/>
    <w:rsid w:val="00EB76F9"/>
    <w:rsid w:val="00EB7A67"/>
    <w:rsid w:val="00EB7A8A"/>
    <w:rsid w:val="00EB7FAC"/>
    <w:rsid w:val="00EC106A"/>
    <w:rsid w:val="00EC1C6D"/>
    <w:rsid w:val="00EC2CC2"/>
    <w:rsid w:val="00EC2FF5"/>
    <w:rsid w:val="00EC3393"/>
    <w:rsid w:val="00EC37EB"/>
    <w:rsid w:val="00EC41D8"/>
    <w:rsid w:val="00EC4D95"/>
    <w:rsid w:val="00EC5186"/>
    <w:rsid w:val="00EC5DA9"/>
    <w:rsid w:val="00EC6621"/>
    <w:rsid w:val="00EC6A92"/>
    <w:rsid w:val="00EC6B88"/>
    <w:rsid w:val="00EC6FED"/>
    <w:rsid w:val="00EC7535"/>
    <w:rsid w:val="00EC7A32"/>
    <w:rsid w:val="00EC7F3B"/>
    <w:rsid w:val="00ED0A23"/>
    <w:rsid w:val="00ED0E5A"/>
    <w:rsid w:val="00ED1103"/>
    <w:rsid w:val="00ED1188"/>
    <w:rsid w:val="00ED12E5"/>
    <w:rsid w:val="00ED1653"/>
    <w:rsid w:val="00ED1BD1"/>
    <w:rsid w:val="00ED25B0"/>
    <w:rsid w:val="00ED280E"/>
    <w:rsid w:val="00ED4345"/>
    <w:rsid w:val="00ED5299"/>
    <w:rsid w:val="00ED5A10"/>
    <w:rsid w:val="00ED6F1D"/>
    <w:rsid w:val="00ED7716"/>
    <w:rsid w:val="00EE03EB"/>
    <w:rsid w:val="00EE0F0B"/>
    <w:rsid w:val="00EE1232"/>
    <w:rsid w:val="00EE148C"/>
    <w:rsid w:val="00EE151E"/>
    <w:rsid w:val="00EE15A9"/>
    <w:rsid w:val="00EE18B8"/>
    <w:rsid w:val="00EE1FE6"/>
    <w:rsid w:val="00EE2989"/>
    <w:rsid w:val="00EE35CE"/>
    <w:rsid w:val="00EE3A64"/>
    <w:rsid w:val="00EE3F90"/>
    <w:rsid w:val="00EE4772"/>
    <w:rsid w:val="00EE4FC9"/>
    <w:rsid w:val="00EE50E5"/>
    <w:rsid w:val="00EE541E"/>
    <w:rsid w:val="00EF01CF"/>
    <w:rsid w:val="00EF0227"/>
    <w:rsid w:val="00EF03D2"/>
    <w:rsid w:val="00EF1930"/>
    <w:rsid w:val="00EF1EF8"/>
    <w:rsid w:val="00EF231E"/>
    <w:rsid w:val="00EF36CD"/>
    <w:rsid w:val="00EF399A"/>
    <w:rsid w:val="00EF39EC"/>
    <w:rsid w:val="00EF4B8C"/>
    <w:rsid w:val="00EF4E2C"/>
    <w:rsid w:val="00EF5E0D"/>
    <w:rsid w:val="00EF6027"/>
    <w:rsid w:val="00EF6D10"/>
    <w:rsid w:val="00EF6D24"/>
    <w:rsid w:val="00EF7439"/>
    <w:rsid w:val="00EF7824"/>
    <w:rsid w:val="00F003B6"/>
    <w:rsid w:val="00F00E65"/>
    <w:rsid w:val="00F0273C"/>
    <w:rsid w:val="00F030AC"/>
    <w:rsid w:val="00F03590"/>
    <w:rsid w:val="00F03622"/>
    <w:rsid w:val="00F0403D"/>
    <w:rsid w:val="00F04741"/>
    <w:rsid w:val="00F049AC"/>
    <w:rsid w:val="00F04EC8"/>
    <w:rsid w:val="00F04F3D"/>
    <w:rsid w:val="00F06128"/>
    <w:rsid w:val="00F06734"/>
    <w:rsid w:val="00F06DFF"/>
    <w:rsid w:val="00F07048"/>
    <w:rsid w:val="00F077D9"/>
    <w:rsid w:val="00F077FD"/>
    <w:rsid w:val="00F07DDD"/>
    <w:rsid w:val="00F07E34"/>
    <w:rsid w:val="00F07F5C"/>
    <w:rsid w:val="00F10FAD"/>
    <w:rsid w:val="00F11093"/>
    <w:rsid w:val="00F134EC"/>
    <w:rsid w:val="00F13992"/>
    <w:rsid w:val="00F13B3B"/>
    <w:rsid w:val="00F13B40"/>
    <w:rsid w:val="00F14239"/>
    <w:rsid w:val="00F14E8A"/>
    <w:rsid w:val="00F152D0"/>
    <w:rsid w:val="00F1554E"/>
    <w:rsid w:val="00F160C4"/>
    <w:rsid w:val="00F166B2"/>
    <w:rsid w:val="00F1690E"/>
    <w:rsid w:val="00F20430"/>
    <w:rsid w:val="00F204F3"/>
    <w:rsid w:val="00F20C55"/>
    <w:rsid w:val="00F20D93"/>
    <w:rsid w:val="00F20F09"/>
    <w:rsid w:val="00F210F1"/>
    <w:rsid w:val="00F218AB"/>
    <w:rsid w:val="00F229D3"/>
    <w:rsid w:val="00F22CB5"/>
    <w:rsid w:val="00F23549"/>
    <w:rsid w:val="00F238B3"/>
    <w:rsid w:val="00F23C61"/>
    <w:rsid w:val="00F23F11"/>
    <w:rsid w:val="00F24DE9"/>
    <w:rsid w:val="00F24FED"/>
    <w:rsid w:val="00F25032"/>
    <w:rsid w:val="00F25586"/>
    <w:rsid w:val="00F25BC7"/>
    <w:rsid w:val="00F26501"/>
    <w:rsid w:val="00F2651D"/>
    <w:rsid w:val="00F266C8"/>
    <w:rsid w:val="00F26C98"/>
    <w:rsid w:val="00F26E14"/>
    <w:rsid w:val="00F27362"/>
    <w:rsid w:val="00F275D3"/>
    <w:rsid w:val="00F278E3"/>
    <w:rsid w:val="00F27A93"/>
    <w:rsid w:val="00F27F3C"/>
    <w:rsid w:val="00F302FA"/>
    <w:rsid w:val="00F303E0"/>
    <w:rsid w:val="00F30DF6"/>
    <w:rsid w:val="00F31230"/>
    <w:rsid w:val="00F31242"/>
    <w:rsid w:val="00F31498"/>
    <w:rsid w:val="00F32AA4"/>
    <w:rsid w:val="00F32E0A"/>
    <w:rsid w:val="00F32FEF"/>
    <w:rsid w:val="00F34319"/>
    <w:rsid w:val="00F345C5"/>
    <w:rsid w:val="00F349B5"/>
    <w:rsid w:val="00F357F2"/>
    <w:rsid w:val="00F35B79"/>
    <w:rsid w:val="00F36A10"/>
    <w:rsid w:val="00F374BD"/>
    <w:rsid w:val="00F37AD5"/>
    <w:rsid w:val="00F40F86"/>
    <w:rsid w:val="00F418A4"/>
    <w:rsid w:val="00F41B1C"/>
    <w:rsid w:val="00F41E15"/>
    <w:rsid w:val="00F42E13"/>
    <w:rsid w:val="00F42E5E"/>
    <w:rsid w:val="00F42F1C"/>
    <w:rsid w:val="00F43062"/>
    <w:rsid w:val="00F43065"/>
    <w:rsid w:val="00F43B44"/>
    <w:rsid w:val="00F440E5"/>
    <w:rsid w:val="00F448F6"/>
    <w:rsid w:val="00F44C5A"/>
    <w:rsid w:val="00F44E00"/>
    <w:rsid w:val="00F44E70"/>
    <w:rsid w:val="00F44F26"/>
    <w:rsid w:val="00F4532A"/>
    <w:rsid w:val="00F4580E"/>
    <w:rsid w:val="00F461E9"/>
    <w:rsid w:val="00F468ED"/>
    <w:rsid w:val="00F475FE"/>
    <w:rsid w:val="00F4797B"/>
    <w:rsid w:val="00F47E81"/>
    <w:rsid w:val="00F500FB"/>
    <w:rsid w:val="00F506C7"/>
    <w:rsid w:val="00F50E9F"/>
    <w:rsid w:val="00F521F1"/>
    <w:rsid w:val="00F52337"/>
    <w:rsid w:val="00F52741"/>
    <w:rsid w:val="00F528D2"/>
    <w:rsid w:val="00F537BD"/>
    <w:rsid w:val="00F53880"/>
    <w:rsid w:val="00F53D8A"/>
    <w:rsid w:val="00F54F35"/>
    <w:rsid w:val="00F554E2"/>
    <w:rsid w:val="00F555EE"/>
    <w:rsid w:val="00F55740"/>
    <w:rsid w:val="00F55AF9"/>
    <w:rsid w:val="00F562B0"/>
    <w:rsid w:val="00F5750F"/>
    <w:rsid w:val="00F57571"/>
    <w:rsid w:val="00F578CC"/>
    <w:rsid w:val="00F57958"/>
    <w:rsid w:val="00F60619"/>
    <w:rsid w:val="00F6067A"/>
    <w:rsid w:val="00F60BD1"/>
    <w:rsid w:val="00F61170"/>
    <w:rsid w:val="00F6155D"/>
    <w:rsid w:val="00F61BDA"/>
    <w:rsid w:val="00F61F0D"/>
    <w:rsid w:val="00F626F7"/>
    <w:rsid w:val="00F6271D"/>
    <w:rsid w:val="00F63007"/>
    <w:rsid w:val="00F63D35"/>
    <w:rsid w:val="00F648E9"/>
    <w:rsid w:val="00F65278"/>
    <w:rsid w:val="00F65880"/>
    <w:rsid w:val="00F65B2E"/>
    <w:rsid w:val="00F6601F"/>
    <w:rsid w:val="00F671FE"/>
    <w:rsid w:val="00F6747F"/>
    <w:rsid w:val="00F67D45"/>
    <w:rsid w:val="00F7068F"/>
    <w:rsid w:val="00F7111D"/>
    <w:rsid w:val="00F7171B"/>
    <w:rsid w:val="00F72361"/>
    <w:rsid w:val="00F72C87"/>
    <w:rsid w:val="00F736F9"/>
    <w:rsid w:val="00F73833"/>
    <w:rsid w:val="00F74A0E"/>
    <w:rsid w:val="00F74C38"/>
    <w:rsid w:val="00F752EE"/>
    <w:rsid w:val="00F758CE"/>
    <w:rsid w:val="00F75943"/>
    <w:rsid w:val="00F75FA1"/>
    <w:rsid w:val="00F77576"/>
    <w:rsid w:val="00F779AF"/>
    <w:rsid w:val="00F77A4F"/>
    <w:rsid w:val="00F77C9C"/>
    <w:rsid w:val="00F80936"/>
    <w:rsid w:val="00F80BB9"/>
    <w:rsid w:val="00F818EC"/>
    <w:rsid w:val="00F81EF7"/>
    <w:rsid w:val="00F82328"/>
    <w:rsid w:val="00F828BA"/>
    <w:rsid w:val="00F82BA6"/>
    <w:rsid w:val="00F836E0"/>
    <w:rsid w:val="00F83A21"/>
    <w:rsid w:val="00F83EC6"/>
    <w:rsid w:val="00F84005"/>
    <w:rsid w:val="00F8432A"/>
    <w:rsid w:val="00F84DD8"/>
    <w:rsid w:val="00F85BCD"/>
    <w:rsid w:val="00F85E2E"/>
    <w:rsid w:val="00F8627C"/>
    <w:rsid w:val="00F864A3"/>
    <w:rsid w:val="00F86B1E"/>
    <w:rsid w:val="00F86F33"/>
    <w:rsid w:val="00F8719B"/>
    <w:rsid w:val="00F9052E"/>
    <w:rsid w:val="00F90634"/>
    <w:rsid w:val="00F90835"/>
    <w:rsid w:val="00F9112D"/>
    <w:rsid w:val="00F916D9"/>
    <w:rsid w:val="00F9211C"/>
    <w:rsid w:val="00F92951"/>
    <w:rsid w:val="00F92963"/>
    <w:rsid w:val="00F92B8C"/>
    <w:rsid w:val="00F93AAB"/>
    <w:rsid w:val="00F94800"/>
    <w:rsid w:val="00F95709"/>
    <w:rsid w:val="00F96991"/>
    <w:rsid w:val="00F96D75"/>
    <w:rsid w:val="00F97229"/>
    <w:rsid w:val="00F9735D"/>
    <w:rsid w:val="00FA0619"/>
    <w:rsid w:val="00FA079E"/>
    <w:rsid w:val="00FA095D"/>
    <w:rsid w:val="00FA0EEB"/>
    <w:rsid w:val="00FA215F"/>
    <w:rsid w:val="00FA24BF"/>
    <w:rsid w:val="00FA350D"/>
    <w:rsid w:val="00FA3D1C"/>
    <w:rsid w:val="00FA5125"/>
    <w:rsid w:val="00FA531A"/>
    <w:rsid w:val="00FA67C6"/>
    <w:rsid w:val="00FA6C8B"/>
    <w:rsid w:val="00FA6CDA"/>
    <w:rsid w:val="00FA6CE0"/>
    <w:rsid w:val="00FA74B7"/>
    <w:rsid w:val="00FA7B11"/>
    <w:rsid w:val="00FA7C89"/>
    <w:rsid w:val="00FB1135"/>
    <w:rsid w:val="00FB1153"/>
    <w:rsid w:val="00FB12F9"/>
    <w:rsid w:val="00FB2284"/>
    <w:rsid w:val="00FB2369"/>
    <w:rsid w:val="00FB32F5"/>
    <w:rsid w:val="00FB3E40"/>
    <w:rsid w:val="00FB4139"/>
    <w:rsid w:val="00FB476E"/>
    <w:rsid w:val="00FB6F3A"/>
    <w:rsid w:val="00FB742A"/>
    <w:rsid w:val="00FB7AE5"/>
    <w:rsid w:val="00FB7F00"/>
    <w:rsid w:val="00FC0AD9"/>
    <w:rsid w:val="00FC0D90"/>
    <w:rsid w:val="00FC16FE"/>
    <w:rsid w:val="00FC22F4"/>
    <w:rsid w:val="00FC27C5"/>
    <w:rsid w:val="00FC2C01"/>
    <w:rsid w:val="00FC34AC"/>
    <w:rsid w:val="00FC46C2"/>
    <w:rsid w:val="00FC4A7F"/>
    <w:rsid w:val="00FC4C1B"/>
    <w:rsid w:val="00FC4C2C"/>
    <w:rsid w:val="00FC4C31"/>
    <w:rsid w:val="00FC501E"/>
    <w:rsid w:val="00FC50E4"/>
    <w:rsid w:val="00FC5394"/>
    <w:rsid w:val="00FC53F9"/>
    <w:rsid w:val="00FC5A4C"/>
    <w:rsid w:val="00FC6F7E"/>
    <w:rsid w:val="00FC7D8C"/>
    <w:rsid w:val="00FC7DB1"/>
    <w:rsid w:val="00FD0542"/>
    <w:rsid w:val="00FD0FBA"/>
    <w:rsid w:val="00FD15B5"/>
    <w:rsid w:val="00FD1C75"/>
    <w:rsid w:val="00FD2040"/>
    <w:rsid w:val="00FD2620"/>
    <w:rsid w:val="00FD3980"/>
    <w:rsid w:val="00FD40B4"/>
    <w:rsid w:val="00FD431E"/>
    <w:rsid w:val="00FD44BF"/>
    <w:rsid w:val="00FD4C32"/>
    <w:rsid w:val="00FD4EE6"/>
    <w:rsid w:val="00FD5234"/>
    <w:rsid w:val="00FD58C7"/>
    <w:rsid w:val="00FD5A2C"/>
    <w:rsid w:val="00FD5C96"/>
    <w:rsid w:val="00FD6040"/>
    <w:rsid w:val="00FD62A2"/>
    <w:rsid w:val="00FD64D7"/>
    <w:rsid w:val="00FD730E"/>
    <w:rsid w:val="00FD73AF"/>
    <w:rsid w:val="00FD7861"/>
    <w:rsid w:val="00FE0755"/>
    <w:rsid w:val="00FE07EA"/>
    <w:rsid w:val="00FE0D47"/>
    <w:rsid w:val="00FE1D5C"/>
    <w:rsid w:val="00FE2021"/>
    <w:rsid w:val="00FE2B34"/>
    <w:rsid w:val="00FE2D52"/>
    <w:rsid w:val="00FE2F8B"/>
    <w:rsid w:val="00FE3669"/>
    <w:rsid w:val="00FE3AB5"/>
    <w:rsid w:val="00FE3D0B"/>
    <w:rsid w:val="00FE4468"/>
    <w:rsid w:val="00FE493F"/>
    <w:rsid w:val="00FE4FD8"/>
    <w:rsid w:val="00FE510D"/>
    <w:rsid w:val="00FE5204"/>
    <w:rsid w:val="00FE5DE9"/>
    <w:rsid w:val="00FE7738"/>
    <w:rsid w:val="00FE7C95"/>
    <w:rsid w:val="00FE7CD3"/>
    <w:rsid w:val="00FF03A6"/>
    <w:rsid w:val="00FF10E6"/>
    <w:rsid w:val="00FF1198"/>
    <w:rsid w:val="00FF1E44"/>
    <w:rsid w:val="00FF21BE"/>
    <w:rsid w:val="00FF21E6"/>
    <w:rsid w:val="00FF27A3"/>
    <w:rsid w:val="00FF287F"/>
    <w:rsid w:val="00FF37DC"/>
    <w:rsid w:val="00FF380D"/>
    <w:rsid w:val="00FF499C"/>
    <w:rsid w:val="00FF49F1"/>
    <w:rsid w:val="00FF4CE1"/>
    <w:rsid w:val="00FF5465"/>
    <w:rsid w:val="00FF5808"/>
    <w:rsid w:val="00FF642A"/>
    <w:rsid w:val="00FF6574"/>
    <w:rsid w:val="00FF6958"/>
    <w:rsid w:val="00FF6C3B"/>
    <w:rsid w:val="00FF6E99"/>
    <w:rsid w:val="00FF71D4"/>
    <w:rsid w:val="00FF74A8"/>
    <w:rsid w:val="00FF7873"/>
    <w:rsid w:val="00FF7DA5"/>
    <w:rsid w:val="030F3267"/>
    <w:rsid w:val="09DFB2B9"/>
    <w:rsid w:val="0AB26E0D"/>
    <w:rsid w:val="0B92D65D"/>
    <w:rsid w:val="0B962AE2"/>
    <w:rsid w:val="0D0D50C3"/>
    <w:rsid w:val="0D54DA37"/>
    <w:rsid w:val="0E59DA11"/>
    <w:rsid w:val="0EC19762"/>
    <w:rsid w:val="11BBAD3A"/>
    <w:rsid w:val="16A321C4"/>
    <w:rsid w:val="17E20DDE"/>
    <w:rsid w:val="18284236"/>
    <w:rsid w:val="19F8A062"/>
    <w:rsid w:val="1AA3960E"/>
    <w:rsid w:val="1AE6FDBC"/>
    <w:rsid w:val="1B91E55D"/>
    <w:rsid w:val="1E4DD283"/>
    <w:rsid w:val="1F1BBE28"/>
    <w:rsid w:val="1FB62B7F"/>
    <w:rsid w:val="2309AC90"/>
    <w:rsid w:val="234F4458"/>
    <w:rsid w:val="24AC3F25"/>
    <w:rsid w:val="25A19CF7"/>
    <w:rsid w:val="26430BE3"/>
    <w:rsid w:val="264CA0B2"/>
    <w:rsid w:val="2714BE94"/>
    <w:rsid w:val="2954280A"/>
    <w:rsid w:val="29A58481"/>
    <w:rsid w:val="2A00FC19"/>
    <w:rsid w:val="2AD83630"/>
    <w:rsid w:val="2DB8DF56"/>
    <w:rsid w:val="2DC87D96"/>
    <w:rsid w:val="2EE043C5"/>
    <w:rsid w:val="2F8354BF"/>
    <w:rsid w:val="336BD28E"/>
    <w:rsid w:val="3BF68346"/>
    <w:rsid w:val="417C0F23"/>
    <w:rsid w:val="43D0A10F"/>
    <w:rsid w:val="44755D96"/>
    <w:rsid w:val="46C209FD"/>
    <w:rsid w:val="4F832905"/>
    <w:rsid w:val="53A65DD1"/>
    <w:rsid w:val="54679C45"/>
    <w:rsid w:val="55EA000E"/>
    <w:rsid w:val="57F0979E"/>
    <w:rsid w:val="5B9D268D"/>
    <w:rsid w:val="5BA1DC4F"/>
    <w:rsid w:val="60F24F58"/>
    <w:rsid w:val="621A9677"/>
    <w:rsid w:val="69541F49"/>
    <w:rsid w:val="6A36237C"/>
    <w:rsid w:val="6B08FC2A"/>
    <w:rsid w:val="6B7D1B7F"/>
    <w:rsid w:val="6D3414DC"/>
    <w:rsid w:val="70435E37"/>
    <w:rsid w:val="70C42331"/>
    <w:rsid w:val="71466AD9"/>
    <w:rsid w:val="73269AA3"/>
    <w:rsid w:val="777A3A10"/>
    <w:rsid w:val="7780F65B"/>
    <w:rsid w:val="789D8804"/>
    <w:rsid w:val="7B0C27DC"/>
    <w:rsid w:val="7B6B99E4"/>
    <w:rsid w:val="7B96E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7891EAD1-9E64-4270-89B4-9EE61F2C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04190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63404146">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74806969">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298786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506674857">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117" Type="http://schemas.openxmlformats.org/officeDocument/2006/relationships/hyperlink" Target="https://www.itu.int/itu-d/sites/digital-impact-unlocked/unleashing-digital-empowerment-through-the-itu-eif-joint-programme-in-burundi/" TargetMode="External"/><Relationship Id="rId21" Type="http://schemas.openxmlformats.org/officeDocument/2006/relationships/image" Target="media/image9.png"/><Relationship Id="rId42" Type="http://schemas.openxmlformats.org/officeDocument/2006/relationships/image" Target="media/image30.svg"/><Relationship Id="rId47" Type="http://schemas.openxmlformats.org/officeDocument/2006/relationships/image" Target="media/image35.png"/><Relationship Id="rId63" Type="http://schemas.openxmlformats.org/officeDocument/2006/relationships/image" Target="media/image49.svg"/><Relationship Id="rId68" Type="http://schemas.openxmlformats.org/officeDocument/2006/relationships/image" Target="media/image54.png"/><Relationship Id="rId84" Type="http://schemas.openxmlformats.org/officeDocument/2006/relationships/image" Target="media/image69.svg"/><Relationship Id="rId89" Type="http://schemas.openxmlformats.org/officeDocument/2006/relationships/image" Target="media/image74.png"/><Relationship Id="rId112" Type="http://schemas.openxmlformats.org/officeDocument/2006/relationships/image" Target="media/image92.emf"/><Relationship Id="rId16" Type="http://schemas.openxmlformats.org/officeDocument/2006/relationships/image" Target="media/image5.png"/><Relationship Id="rId107" Type="http://schemas.openxmlformats.org/officeDocument/2006/relationships/image" Target="media/image89.svg"/><Relationship Id="rId11" Type="http://schemas.openxmlformats.org/officeDocument/2006/relationships/image" Target="media/image1.png"/><Relationship Id="rId32" Type="http://schemas.openxmlformats.org/officeDocument/2006/relationships/image" Target="media/image20.sv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5.svg"/><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hyperlink" Target="https://www.itu.int/itu-d/reports/statistics/facts-figures-2024/"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5.svg"/><Relationship Id="rId95" Type="http://schemas.openxmlformats.org/officeDocument/2006/relationships/image" Target="media/image79.svg"/><Relationship Id="rId22" Type="http://schemas.openxmlformats.org/officeDocument/2006/relationships/image" Target="media/image10.sv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svg"/><Relationship Id="rId64" Type="http://schemas.openxmlformats.org/officeDocument/2006/relationships/image" Target="media/image50.png"/><Relationship Id="rId69" Type="http://schemas.openxmlformats.org/officeDocument/2006/relationships/image" Target="media/image55.svg"/><Relationship Id="rId113" Type="http://schemas.openxmlformats.org/officeDocument/2006/relationships/hyperlink" Target="https://academy.itu.int/itu-d/projects-activities/digital-transformation-centres-initiative" TargetMode="External"/><Relationship Id="rId118" Type="http://schemas.openxmlformats.org/officeDocument/2006/relationships/hyperlink" Target="https://www.itu.int/itu-d/sites/digital-impact-unlocked/transforming-futures-with-digital-skills-through-the-itu-eif-joint-programme-in-ethiopia/" TargetMode="External"/><Relationship Id="rId80" Type="http://schemas.openxmlformats.org/officeDocument/2006/relationships/image" Target="media/image65.svg"/><Relationship Id="rId85" Type="http://schemas.openxmlformats.org/officeDocument/2006/relationships/image" Target="media/image70.png"/><Relationship Id="rId12" Type="http://schemas.openxmlformats.org/officeDocument/2006/relationships/image" Target="media/image2.jpeg"/><Relationship Id="rId17" Type="http://schemas.openxmlformats.org/officeDocument/2006/relationships/image" Target="media/image6.svg"/><Relationship Id="rId33" Type="http://schemas.openxmlformats.org/officeDocument/2006/relationships/image" Target="media/image21.png"/><Relationship Id="rId38" Type="http://schemas.openxmlformats.org/officeDocument/2006/relationships/image" Target="media/image26.svg"/><Relationship Id="rId59" Type="http://schemas.openxmlformats.org/officeDocument/2006/relationships/hyperlink" Target="https://bbmaps.itu.int/indicators-bbmaps" TargetMode="External"/><Relationship Id="rId103" Type="http://schemas.openxmlformats.org/officeDocument/2006/relationships/image" Target="media/image87.svg"/><Relationship Id="rId108" Type="http://schemas.openxmlformats.org/officeDocument/2006/relationships/hyperlink" Target="https://www.itu.int/hub/publication/d-gen-e_waste-01-2024/" TargetMode="External"/><Relationship Id="rId124" Type="http://schemas.openxmlformats.org/officeDocument/2006/relationships/hyperlink" Target="https://www.itu.int/en/ITUD/Statistics/Documents/facts/ITU_regional_global_Key_ICT_indicator_aggregates_Nov_2024.xlsx" TargetMode="External"/><Relationship Id="rId54" Type="http://schemas.openxmlformats.org/officeDocument/2006/relationships/image" Target="media/image42.svg"/><Relationship Id="rId70" Type="http://schemas.openxmlformats.org/officeDocument/2006/relationships/image" Target="media/image56.png"/><Relationship Id="rId75" Type="http://schemas.openxmlformats.org/officeDocument/2006/relationships/image" Target="media/image61.svg"/><Relationship Id="rId91" Type="http://schemas.openxmlformats.org/officeDocument/2006/relationships/hyperlink" Target="https://www.itu.int/itu-d/meetings/statistics/wp-content/uploads/sites/8/2023/09/Report-of-the-EGH-subgroup-on-ICT-Skills.pdf" TargetMode="External"/><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svg"/><Relationship Id="rId49" Type="http://schemas.openxmlformats.org/officeDocument/2006/relationships/image" Target="media/image37.png"/><Relationship Id="rId114" Type="http://schemas.openxmlformats.org/officeDocument/2006/relationships/hyperlink" Target="https://www.itu.int/itu-d/sites/digital-impact-unlocked/towards-a-digitally-enabled-uganda/" TargetMode="External"/><Relationship Id="rId119" Type="http://schemas.openxmlformats.org/officeDocument/2006/relationships/hyperlink" Target="https://www.itu.int/en/ITU-D/Statistics/Documents/facts/rpm_arb_pub_2025_data.xlsx" TargetMode="External"/><Relationship Id="rId44" Type="http://schemas.openxmlformats.org/officeDocument/2006/relationships/image" Target="media/image32.svg"/><Relationship Id="rId60" Type="http://schemas.openxmlformats.org/officeDocument/2006/relationships/image" Target="media/image46.png"/><Relationship Id="rId65" Type="http://schemas.openxmlformats.org/officeDocument/2006/relationships/image" Target="media/image51.svg"/><Relationship Id="rId81" Type="http://schemas.openxmlformats.org/officeDocument/2006/relationships/image" Target="media/image66.png"/><Relationship Id="rId86" Type="http://schemas.openxmlformats.org/officeDocument/2006/relationships/image" Target="media/image71.svg"/><Relationship Id="rId13" Type="http://schemas.openxmlformats.org/officeDocument/2006/relationships/image" Target="media/image3.png"/><Relationship Id="rId18" Type="http://schemas.openxmlformats.org/officeDocument/2006/relationships/hyperlink" Target="https://www.itu.int/pub/D-PREF-BB.REG_OUT01-2023/en" TargetMode="External"/><Relationship Id="rId39" Type="http://schemas.openxmlformats.org/officeDocument/2006/relationships/image" Target="media/image27.png"/><Relationship Id="rId109" Type="http://schemas.openxmlformats.org/officeDocument/2006/relationships/hyperlink" Target="https://www.itu.int/hub/publication/d-gen-e_waste-01-2024/" TargetMode="External"/><Relationship Id="rId34" Type="http://schemas.openxmlformats.org/officeDocument/2006/relationships/image" Target="media/image22.svg"/><Relationship Id="rId50" Type="http://schemas.openxmlformats.org/officeDocument/2006/relationships/image" Target="media/image38.svg"/><Relationship Id="rId55" Type="http://schemas.openxmlformats.org/officeDocument/2006/relationships/image" Target="media/image43.png"/><Relationship Id="rId76" Type="http://schemas.openxmlformats.org/officeDocument/2006/relationships/hyperlink" Target="https://www.broadbandcommission.org/" TargetMode="External"/><Relationship Id="rId97" Type="http://schemas.openxmlformats.org/officeDocument/2006/relationships/image" Target="media/image81.svg"/><Relationship Id="rId104" Type="http://schemas.openxmlformats.org/officeDocument/2006/relationships/hyperlink" Target="https://www.itu.int/hub/publication/d-gen-e_waste-01-2024/" TargetMode="External"/><Relationship Id="rId120" Type="http://schemas.openxmlformats.org/officeDocument/2006/relationships/hyperlink" Target="https://www.itu.int/en/ITU-D/Statistics/Documents/facts/rpm_afr_pub_2025_data.xlsx" TargetMode="External"/><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sv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sv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0.png"/><Relationship Id="rId115" Type="http://schemas.openxmlformats.org/officeDocument/2006/relationships/hyperlink" Target="https://www.itu.int/itu-d/sites/digital-impact-unlocked/digital-terrestrial-television-training-in-brazzaville-republic-of-congo/" TargetMode="External"/><Relationship Id="rId61" Type="http://schemas.openxmlformats.org/officeDocument/2006/relationships/image" Target="media/image47.svg"/><Relationship Id="rId82" Type="http://schemas.openxmlformats.org/officeDocument/2006/relationships/image" Target="media/image67.svg"/><Relationship Id="rId19" Type="http://schemas.openxmlformats.org/officeDocument/2006/relationships/image" Target="media/image7.png"/><Relationship Id="rId14" Type="http://schemas.openxmlformats.org/officeDocument/2006/relationships/image" Target="media/image4.svg"/><Relationship Id="rId30" Type="http://schemas.openxmlformats.org/officeDocument/2006/relationships/image" Target="media/image18.svg"/><Relationship Id="rId35" Type="http://schemas.openxmlformats.org/officeDocument/2006/relationships/image" Target="media/image23.png"/><Relationship Id="rId56" Type="http://schemas.openxmlformats.org/officeDocument/2006/relationships/hyperlink" Target="https://bbmaps.itu.int/app" TargetMode="External"/><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hyperlink" Target="https://www.itu.int/en/ITU-D/Environment/Pages/Publications/The-Global-E-waste-Monitor-2024.aspx" TargetMode="External"/><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7.svg"/><Relationship Id="rId98" Type="http://schemas.openxmlformats.org/officeDocument/2006/relationships/image" Target="media/image82.png"/><Relationship Id="rId121" Type="http://schemas.openxmlformats.org/officeDocument/2006/relationships/hyperlink" Target="https://datahub.itu.int/"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svg"/><Relationship Id="rId67" Type="http://schemas.openxmlformats.org/officeDocument/2006/relationships/image" Target="media/image53.svg"/><Relationship Id="rId116" Type="http://schemas.openxmlformats.org/officeDocument/2006/relationships/hyperlink" Target="https://www.itu.int/itu-d/sites/digital-impact-unlocked/a-new-national-e-waste-policy-in-malawi/" TargetMode="External"/><Relationship Id="rId20" Type="http://schemas.openxmlformats.org/officeDocument/2006/relationships/image" Target="media/image8.sv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svg"/><Relationship Id="rId111" Type="http://schemas.openxmlformats.org/officeDocument/2006/relationships/image" Target="media/image91.svg"/><Relationship Id="rId15" Type="http://schemas.openxmlformats.org/officeDocument/2006/relationships/hyperlink" Target="https://app.gen5.digital/tracker/metrics" TargetMode="External"/><Relationship Id="rId36" Type="http://schemas.openxmlformats.org/officeDocument/2006/relationships/image" Target="media/image24.svg"/><Relationship Id="rId57" Type="http://schemas.openxmlformats.org/officeDocument/2006/relationships/image" Target="media/image44.png"/><Relationship Id="rId106" Type="http://schemas.openxmlformats.org/officeDocument/2006/relationships/image" Target="media/image88.png"/><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svg"/><Relationship Id="rId73" Type="http://schemas.openxmlformats.org/officeDocument/2006/relationships/image" Target="media/image59.svg"/><Relationship Id="rId78" Type="http://schemas.openxmlformats.org/officeDocument/2006/relationships/image" Target="media/image63.svg"/><Relationship Id="rId94" Type="http://schemas.openxmlformats.org/officeDocument/2006/relationships/image" Target="media/image78.png"/><Relationship Id="rId99" Type="http://schemas.openxmlformats.org/officeDocument/2006/relationships/image" Target="media/image83.svg"/><Relationship Id="rId101" Type="http://schemas.openxmlformats.org/officeDocument/2006/relationships/image" Target="media/image85.svg"/><Relationship Id="rId122" Type="http://schemas.openxmlformats.org/officeDocument/2006/relationships/hyperlink" Target="https://www.itu.int/en/ITU-D/Statistics/Documents/facts/ITU_regional_global_Key_ICT_indicator_aggregates_Nov_2024.xlsx"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igitallibrary.un.org/record/4054465?ln=en" TargetMode="External"/><Relationship Id="rId7" Type="http://schemas.openxmlformats.org/officeDocument/2006/relationships/hyperlink" Target="https://www.itu.int/itu-d/reports/statistics/facts-figures-2024/" TargetMode="External"/><Relationship Id="rId2" Type="http://schemas.openxmlformats.org/officeDocument/2006/relationships/hyperlink" Target="https://digitallibrary.un.org/record/3959499?ln=en&amp;v=pdf" TargetMode="External"/><Relationship Id="rId1" Type="http://schemas.openxmlformats.org/officeDocument/2006/relationships/hyperlink" Target="http://www.gen5.digital/benchmark" TargetMode="External"/><Relationship Id="rId6" Type="http://schemas.openxmlformats.org/officeDocument/2006/relationships/hyperlink" Target="https://datahub.itu.int/" TargetMode="External"/><Relationship Id="rId5" Type="http://schemas.openxmlformats.org/officeDocument/2006/relationships/hyperlink" Target="https://www.itu.int/net/epub/BDT/2024-ITUs-contribution-to-the-implementation-of-the-Antigua-and-Barbuda-Agenda-for-SIDS/index.html" TargetMode="External"/><Relationship Id="rId4" Type="http://schemas.openxmlformats.org/officeDocument/2006/relationships/hyperlink" Target="https://docs.un.org/A/RES/79/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54151c7f-6a84-4427-a6ce-bf1d7f28364f"/>
    <ds:schemaRef ds:uri="b6109c62-af78-494c-a825-80e1ffe32798"/>
  </ds:schemaRefs>
</ds:datastoreItem>
</file>

<file path=customXml/itemProps3.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4.xml><?xml version="1.0" encoding="utf-8"?>
<ds:datastoreItem xmlns:ds="http://schemas.openxmlformats.org/officeDocument/2006/customXml" ds:itemID="{871BC687-2E38-40B8-A784-8FB7CCF652B0}"/>
</file>

<file path=docProps/app.xml><?xml version="1.0" encoding="utf-8"?>
<Properties xmlns="http://schemas.openxmlformats.org/officeDocument/2006/extended-properties" xmlns:vt="http://schemas.openxmlformats.org/officeDocument/2006/docPropsVTypes">
  <Template>Normal.dotm</Template>
  <TotalTime>9</TotalTime>
  <Pages>48</Pages>
  <Words>11729</Words>
  <Characters>66859</Characters>
  <Application>Microsoft Office Word</Application>
  <DocSecurity>0</DocSecurity>
  <Lines>557</Lines>
  <Paragraphs>156</Paragraphs>
  <ScaleCrop>false</ScaleCrop>
  <Manager>General Secretariat - Pool</Manager>
  <Company>International Telecommunication Union (ITU)</Company>
  <LinksUpToDate>false</LinksUpToDate>
  <CharactersWithSpaces>78432</CharactersWithSpaces>
  <SharedDoc>false</SharedDoc>
  <HLinks>
    <vt:vector size="234" baseType="variant">
      <vt:variant>
        <vt:i4>3932202</vt:i4>
      </vt:variant>
      <vt:variant>
        <vt:i4>138</vt:i4>
      </vt:variant>
      <vt:variant>
        <vt:i4>0</vt:i4>
      </vt:variant>
      <vt:variant>
        <vt:i4>5</vt:i4>
      </vt:variant>
      <vt:variant>
        <vt:lpwstr>https://www.itu.int/en/ITUD/Statistics/Documents/facts/ITU_regional_global_Key_ICT_indicator_aggregates_Nov_2024.xlsx</vt:lpwstr>
      </vt:variant>
      <vt:variant>
        <vt:lpwstr/>
      </vt:variant>
      <vt:variant>
        <vt:i4>4456465</vt:i4>
      </vt:variant>
      <vt:variant>
        <vt:i4>135</vt:i4>
      </vt:variant>
      <vt:variant>
        <vt:i4>0</vt:i4>
      </vt:variant>
      <vt:variant>
        <vt:i4>5</vt:i4>
      </vt:variant>
      <vt:variant>
        <vt:lpwstr>https://www.itu.int/itu-d/reports/statistics/facts-figures-2024/</vt:lpwstr>
      </vt:variant>
      <vt:variant>
        <vt:lpwstr/>
      </vt:variant>
      <vt:variant>
        <vt:i4>786511</vt:i4>
      </vt:variant>
      <vt:variant>
        <vt:i4>132</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129</vt:i4>
      </vt:variant>
      <vt:variant>
        <vt:i4>0</vt:i4>
      </vt:variant>
      <vt:variant>
        <vt:i4>5</vt:i4>
      </vt:variant>
      <vt:variant>
        <vt:lpwstr>https://datahub.itu.int/</vt:lpwstr>
      </vt:variant>
      <vt:variant>
        <vt:lpwstr/>
      </vt:variant>
      <vt:variant>
        <vt:i4>720991</vt:i4>
      </vt:variant>
      <vt:variant>
        <vt:i4>126</vt:i4>
      </vt:variant>
      <vt:variant>
        <vt:i4>0</vt:i4>
      </vt:variant>
      <vt:variant>
        <vt:i4>5</vt:i4>
      </vt:variant>
      <vt:variant>
        <vt:lpwstr>https://www.itu.int/en/ITU-D/Statistics/Documents/facts/rpm_afr_pub_2025_data.xlsx</vt:lpwstr>
      </vt:variant>
      <vt:variant>
        <vt:lpwstr/>
      </vt:variant>
      <vt:variant>
        <vt:i4>2031695</vt:i4>
      </vt:variant>
      <vt:variant>
        <vt:i4>123</vt:i4>
      </vt:variant>
      <vt:variant>
        <vt:i4>0</vt:i4>
      </vt:variant>
      <vt:variant>
        <vt:i4>5</vt:i4>
      </vt:variant>
      <vt:variant>
        <vt:lpwstr>https://www.itu.int/en/ITU-D/Statistics/Documents/facts/rpm_arb_pub_2025_data.xlsx</vt:lpwstr>
      </vt:variant>
      <vt:variant>
        <vt:lpwstr/>
      </vt:variant>
      <vt:variant>
        <vt:i4>5111881</vt:i4>
      </vt:variant>
      <vt:variant>
        <vt:i4>120</vt:i4>
      </vt:variant>
      <vt:variant>
        <vt:i4>0</vt:i4>
      </vt:variant>
      <vt:variant>
        <vt:i4>5</vt:i4>
      </vt:variant>
      <vt:variant>
        <vt:lpwstr>https://www.itu.int/itu-d/sites/digital-impact-unlocked/transforming-futures-with-digital-skills-through-the-itu-eif-joint-programme-in-ethiopia/</vt:lpwstr>
      </vt:variant>
      <vt:variant>
        <vt:lpwstr/>
      </vt:variant>
      <vt:variant>
        <vt:i4>6684717</vt:i4>
      </vt:variant>
      <vt:variant>
        <vt:i4>117</vt:i4>
      </vt:variant>
      <vt:variant>
        <vt:i4>0</vt:i4>
      </vt:variant>
      <vt:variant>
        <vt:i4>5</vt:i4>
      </vt:variant>
      <vt:variant>
        <vt:lpwstr>https://www.itu.int/itu-d/sites/digital-impact-unlocked/unleashing-digital-empowerment-through-the-itu-eif-joint-programme-in-burundi/</vt:lpwstr>
      </vt:variant>
      <vt:variant>
        <vt:lpwstr/>
      </vt:variant>
      <vt:variant>
        <vt:i4>786441</vt:i4>
      </vt:variant>
      <vt:variant>
        <vt:i4>114</vt:i4>
      </vt:variant>
      <vt:variant>
        <vt:i4>0</vt:i4>
      </vt:variant>
      <vt:variant>
        <vt:i4>5</vt:i4>
      </vt:variant>
      <vt:variant>
        <vt:lpwstr>https://www.itu.int/itu-d/sites/digital-impact-unlocked/a-new-national-e-waste-policy-in-malawi/</vt:lpwstr>
      </vt:variant>
      <vt:variant>
        <vt:lpwstr/>
      </vt:variant>
      <vt:variant>
        <vt:i4>655388</vt:i4>
      </vt:variant>
      <vt:variant>
        <vt:i4>111</vt:i4>
      </vt:variant>
      <vt:variant>
        <vt:i4>0</vt:i4>
      </vt:variant>
      <vt:variant>
        <vt:i4>5</vt:i4>
      </vt:variant>
      <vt:variant>
        <vt:lpwstr>https://www.itu.int/itu-d/sites/digital-impact-unlocked/digital-terrestrial-television-training-in-brazzaville-republic-of-congo/</vt:lpwstr>
      </vt:variant>
      <vt:variant>
        <vt:lpwstr/>
      </vt:variant>
      <vt:variant>
        <vt:i4>6553714</vt:i4>
      </vt:variant>
      <vt:variant>
        <vt:i4>108</vt:i4>
      </vt:variant>
      <vt:variant>
        <vt:i4>0</vt:i4>
      </vt:variant>
      <vt:variant>
        <vt:i4>5</vt:i4>
      </vt:variant>
      <vt:variant>
        <vt:lpwstr>https://www.itu.int/itu-d/sites/digital-impact-unlocked/towards-a-digitally-enabled-uganda/</vt:lpwstr>
      </vt:variant>
      <vt:variant>
        <vt:lpwstr/>
      </vt:variant>
      <vt:variant>
        <vt:i4>2621565</vt:i4>
      </vt:variant>
      <vt:variant>
        <vt:i4>105</vt:i4>
      </vt:variant>
      <vt:variant>
        <vt:i4>0</vt:i4>
      </vt:variant>
      <vt:variant>
        <vt:i4>5</vt:i4>
      </vt:variant>
      <vt:variant>
        <vt:lpwstr>https://academy.itu.int/itu-d/projects-activities/digital-transformation-centres-initiative</vt:lpwstr>
      </vt:variant>
      <vt:variant>
        <vt:lpwstr/>
      </vt:variant>
      <vt:variant>
        <vt:i4>5963814</vt:i4>
      </vt:variant>
      <vt:variant>
        <vt:i4>102</vt:i4>
      </vt:variant>
      <vt:variant>
        <vt:i4>0</vt:i4>
      </vt:variant>
      <vt:variant>
        <vt:i4>5</vt:i4>
      </vt:variant>
      <vt:variant>
        <vt:lpwstr>https://www.itu.int/hub/publication/d-gen-e_waste-01-2024/</vt:lpwstr>
      </vt:variant>
      <vt:variant>
        <vt:lpwstr/>
      </vt:variant>
      <vt:variant>
        <vt:i4>5963814</vt:i4>
      </vt:variant>
      <vt:variant>
        <vt:i4>99</vt:i4>
      </vt:variant>
      <vt:variant>
        <vt:i4>0</vt:i4>
      </vt:variant>
      <vt:variant>
        <vt:i4>5</vt:i4>
      </vt:variant>
      <vt:variant>
        <vt:lpwstr>https://www.itu.int/hub/publication/d-gen-e_waste-01-2024/</vt:lpwstr>
      </vt:variant>
      <vt:variant>
        <vt:lpwstr/>
      </vt:variant>
      <vt:variant>
        <vt:i4>917521</vt:i4>
      </vt:variant>
      <vt:variant>
        <vt:i4>96</vt:i4>
      </vt:variant>
      <vt:variant>
        <vt:i4>0</vt:i4>
      </vt:variant>
      <vt:variant>
        <vt:i4>5</vt:i4>
      </vt:variant>
      <vt:variant>
        <vt:lpwstr>https://www.itu.int/en/ITU-D/Environment/Pages/Publications/The-Global-E-waste-Monitor-2024.aspx</vt:lpwstr>
      </vt:variant>
      <vt:variant>
        <vt:lpwstr/>
      </vt:variant>
      <vt:variant>
        <vt:i4>5963814</vt:i4>
      </vt:variant>
      <vt:variant>
        <vt:i4>93</vt:i4>
      </vt:variant>
      <vt:variant>
        <vt:i4>0</vt:i4>
      </vt:variant>
      <vt:variant>
        <vt:i4>5</vt:i4>
      </vt:variant>
      <vt:variant>
        <vt:lpwstr>https://www.itu.int/hub/publication/d-gen-e_waste-01-2024/</vt:lpwstr>
      </vt:variant>
      <vt:variant>
        <vt:lpwstr/>
      </vt:variant>
      <vt:variant>
        <vt:i4>262155</vt:i4>
      </vt:variant>
      <vt:variant>
        <vt:i4>90</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87</vt:i4>
      </vt:variant>
      <vt:variant>
        <vt:i4>0</vt:i4>
      </vt:variant>
      <vt:variant>
        <vt:i4>5</vt:i4>
      </vt:variant>
      <vt:variant>
        <vt:lpwstr>https://www.broadbandcommission.org/</vt:lpwstr>
      </vt:variant>
      <vt:variant>
        <vt:lpwstr/>
      </vt:variant>
      <vt:variant>
        <vt:i4>5570575</vt:i4>
      </vt:variant>
      <vt:variant>
        <vt:i4>84</vt:i4>
      </vt:variant>
      <vt:variant>
        <vt:i4>0</vt:i4>
      </vt:variant>
      <vt:variant>
        <vt:i4>5</vt:i4>
      </vt:variant>
      <vt:variant>
        <vt:lpwstr>https://bbmaps.itu.int/indicators-bbmaps</vt:lpwstr>
      </vt:variant>
      <vt:variant>
        <vt:lpwstr/>
      </vt:variant>
      <vt:variant>
        <vt:i4>7405690</vt:i4>
      </vt:variant>
      <vt:variant>
        <vt:i4>81</vt:i4>
      </vt:variant>
      <vt:variant>
        <vt:i4>0</vt:i4>
      </vt:variant>
      <vt:variant>
        <vt:i4>5</vt:i4>
      </vt:variant>
      <vt:variant>
        <vt:lpwstr>https://bbmaps.itu.int/app</vt:lpwstr>
      </vt:variant>
      <vt:variant>
        <vt:lpwstr/>
      </vt:variant>
      <vt:variant>
        <vt:i4>4718717</vt:i4>
      </vt:variant>
      <vt:variant>
        <vt:i4>78</vt:i4>
      </vt:variant>
      <vt:variant>
        <vt:i4>0</vt:i4>
      </vt:variant>
      <vt:variant>
        <vt:i4>5</vt:i4>
      </vt:variant>
      <vt:variant>
        <vt:lpwstr>https://www.itu.int/pub/D-PREF-BB.REG_OUT01-2023/en</vt:lpwstr>
      </vt:variant>
      <vt:variant>
        <vt:lpwstr/>
      </vt:variant>
      <vt:variant>
        <vt:i4>720919</vt:i4>
      </vt:variant>
      <vt:variant>
        <vt:i4>75</vt:i4>
      </vt:variant>
      <vt:variant>
        <vt:i4>0</vt:i4>
      </vt:variant>
      <vt:variant>
        <vt:i4>5</vt:i4>
      </vt:variant>
      <vt:variant>
        <vt:lpwstr>https://app.gen5.digital/tracker/metrics</vt:lpwstr>
      </vt:variant>
      <vt:variant>
        <vt:lpwstr/>
      </vt:variant>
      <vt:variant>
        <vt:i4>4456465</vt:i4>
      </vt:variant>
      <vt:variant>
        <vt:i4>18</vt:i4>
      </vt:variant>
      <vt:variant>
        <vt:i4>0</vt:i4>
      </vt:variant>
      <vt:variant>
        <vt:i4>5</vt:i4>
      </vt:variant>
      <vt:variant>
        <vt:lpwstr>https://www.itu.int/itu-d/reports/statistics/facts-figures-2024/</vt:lpwstr>
      </vt:variant>
      <vt:variant>
        <vt:lpwstr/>
      </vt:variant>
      <vt:variant>
        <vt:i4>5308507</vt:i4>
      </vt:variant>
      <vt:variant>
        <vt:i4>15</vt:i4>
      </vt:variant>
      <vt:variant>
        <vt:i4>0</vt:i4>
      </vt:variant>
      <vt:variant>
        <vt:i4>5</vt:i4>
      </vt:variant>
      <vt:variant>
        <vt:lpwstr>https://datahub.itu.int/</vt:lpwstr>
      </vt:variant>
      <vt:variant>
        <vt:lpwstr/>
      </vt:variant>
      <vt:variant>
        <vt:i4>262230</vt:i4>
      </vt:variant>
      <vt:variant>
        <vt:i4>12</vt:i4>
      </vt:variant>
      <vt:variant>
        <vt:i4>0</vt:i4>
      </vt:variant>
      <vt:variant>
        <vt:i4>5</vt:i4>
      </vt:variant>
      <vt:variant>
        <vt:lpwstr>https://www.itu.int/net/epub/BDT/2024-ITUs-contribution-to-the-implementation-of-the-Antigua-and-Barbuda-Agenda-for-SIDS/index.html</vt:lpwstr>
      </vt:variant>
      <vt:variant>
        <vt:lpwstr>p=1</vt:lpwstr>
      </vt:variant>
      <vt:variant>
        <vt:i4>5636164</vt:i4>
      </vt:variant>
      <vt:variant>
        <vt:i4>9</vt:i4>
      </vt:variant>
      <vt:variant>
        <vt:i4>0</vt:i4>
      </vt:variant>
      <vt:variant>
        <vt:i4>5</vt:i4>
      </vt:variant>
      <vt:variant>
        <vt:lpwstr>https://docs.un.org/A/RES/79/233</vt:lpwstr>
      </vt:variant>
      <vt:variant>
        <vt:lpwstr/>
      </vt:variant>
      <vt:variant>
        <vt:i4>3211312</vt:i4>
      </vt:variant>
      <vt:variant>
        <vt:i4>6</vt:i4>
      </vt:variant>
      <vt:variant>
        <vt:i4>0</vt:i4>
      </vt:variant>
      <vt:variant>
        <vt:i4>5</vt:i4>
      </vt:variant>
      <vt:variant>
        <vt:lpwstr>https://digitallibrary.un.org/record/4054465?ln=en</vt:lpwstr>
      </vt:variant>
      <vt:variant>
        <vt:lpwstr/>
      </vt:variant>
      <vt:variant>
        <vt:i4>5898308</vt:i4>
      </vt:variant>
      <vt:variant>
        <vt:i4>3</vt:i4>
      </vt:variant>
      <vt:variant>
        <vt:i4>0</vt:i4>
      </vt:variant>
      <vt:variant>
        <vt:i4>5</vt:i4>
      </vt:variant>
      <vt:variant>
        <vt:lpwstr>https://digitallibrary.un.org/record/3959499?ln=en&amp;v=pdf</vt:lpwstr>
      </vt:variant>
      <vt:variant>
        <vt:lpwstr/>
      </vt:variant>
      <vt:variant>
        <vt:i4>5963806</vt:i4>
      </vt:variant>
      <vt:variant>
        <vt:i4>0</vt:i4>
      </vt:variant>
      <vt:variant>
        <vt:i4>0</vt:i4>
      </vt:variant>
      <vt:variant>
        <vt:i4>5</vt:i4>
      </vt:variant>
      <vt:variant>
        <vt:lpwstr>http://www.gen5.digital/benchmark</vt:lpwstr>
      </vt:variant>
      <vt:variant>
        <vt:lpwstr/>
      </vt:variant>
      <vt:variant>
        <vt:i4>7012382</vt:i4>
      </vt:variant>
      <vt:variant>
        <vt:i4>3</vt:i4>
      </vt:variant>
      <vt:variant>
        <vt:i4>0</vt:i4>
      </vt:variant>
      <vt:variant>
        <vt:i4>5</vt:i4>
      </vt:variant>
      <vt:variant>
        <vt:lpwstr>mailto:thierry.geiger@itu.int</vt:lpwstr>
      </vt:variant>
      <vt:variant>
        <vt:lpwstr/>
      </vt:variant>
      <vt:variant>
        <vt:i4>3866714</vt:i4>
      </vt:variant>
      <vt:variant>
        <vt:i4>24</vt:i4>
      </vt:variant>
      <vt:variant>
        <vt:i4>0</vt:i4>
      </vt:variant>
      <vt:variant>
        <vt:i4>5</vt:i4>
      </vt:variant>
      <vt:variant>
        <vt:lpwstr>mailto:martin.schaaper@itu.int</vt:lpwstr>
      </vt:variant>
      <vt:variant>
        <vt:lpwstr/>
      </vt:variant>
      <vt:variant>
        <vt:i4>3473475</vt:i4>
      </vt:variant>
      <vt:variant>
        <vt:i4>21</vt:i4>
      </vt:variant>
      <vt:variant>
        <vt:i4>0</vt:i4>
      </vt:variant>
      <vt:variant>
        <vt:i4>5</vt:i4>
      </vt:variant>
      <vt:variant>
        <vt:lpwstr>mailto:daniel.vertesy@itu.int</vt:lpwstr>
      </vt:variant>
      <vt:variant>
        <vt:lpwstr/>
      </vt:variant>
      <vt:variant>
        <vt:i4>4784181</vt:i4>
      </vt:variant>
      <vt:variant>
        <vt:i4>18</vt:i4>
      </vt:variant>
      <vt:variant>
        <vt:i4>0</vt:i4>
      </vt:variant>
      <vt:variant>
        <vt:i4>5</vt:i4>
      </vt:variant>
      <vt:variant>
        <vt:lpwstr>mailto:nathan.menton@itu.int</vt:lpwstr>
      </vt:variant>
      <vt:variant>
        <vt:lpwstr/>
      </vt:variant>
      <vt:variant>
        <vt:i4>3866714</vt:i4>
      </vt:variant>
      <vt:variant>
        <vt:i4>15</vt:i4>
      </vt:variant>
      <vt:variant>
        <vt:i4>0</vt:i4>
      </vt:variant>
      <vt:variant>
        <vt:i4>5</vt:i4>
      </vt:variant>
      <vt:variant>
        <vt:lpwstr>mailto:martin.schaaper@itu.int</vt:lpwstr>
      </vt:variant>
      <vt:variant>
        <vt:lpwstr/>
      </vt:variant>
      <vt:variant>
        <vt:i4>6357033</vt:i4>
      </vt:variant>
      <vt:variant>
        <vt:i4>12</vt:i4>
      </vt:variant>
      <vt:variant>
        <vt:i4>0</vt:i4>
      </vt:variant>
      <vt:variant>
        <vt:i4>5</vt:i4>
      </vt:variant>
      <vt:variant>
        <vt:lpwstr>https://databank.worldbank.org/metadataglossary/world-development-indicators/series/IT.NET.BNDW</vt:lpwstr>
      </vt:variant>
      <vt:variant>
        <vt:lpwstr/>
      </vt:variant>
      <vt:variant>
        <vt:i4>2621522</vt:i4>
      </vt:variant>
      <vt:variant>
        <vt:i4>9</vt:i4>
      </vt:variant>
      <vt:variant>
        <vt:i4>0</vt:i4>
      </vt:variant>
      <vt:variant>
        <vt:i4>5</vt:i4>
      </vt:variant>
      <vt:variant>
        <vt:lpwstr>mailto:youlia.lozanova@itu.int</vt:lpwstr>
      </vt:variant>
      <vt:variant>
        <vt:lpwstr/>
      </vt:variant>
      <vt:variant>
        <vt:i4>4784181</vt:i4>
      </vt:variant>
      <vt:variant>
        <vt:i4>6</vt:i4>
      </vt:variant>
      <vt:variant>
        <vt:i4>0</vt:i4>
      </vt:variant>
      <vt:variant>
        <vt:i4>5</vt:i4>
      </vt:variant>
      <vt:variant>
        <vt:lpwstr>mailto:nathan.menton@itu.int</vt:lpwstr>
      </vt:variant>
      <vt:variant>
        <vt:lpwstr/>
      </vt:variant>
      <vt:variant>
        <vt:i4>1376373</vt:i4>
      </vt:variant>
      <vt:variant>
        <vt:i4>3</vt:i4>
      </vt:variant>
      <vt:variant>
        <vt:i4>0</vt:i4>
      </vt:variant>
      <vt:variant>
        <vt:i4>5</vt:i4>
      </vt:variant>
      <vt:variant>
        <vt:lpwstr>mailto:garam.bel@itu.int</vt:lpwstr>
      </vt:variant>
      <vt:variant>
        <vt:lpwstr/>
      </vt:variant>
      <vt:variant>
        <vt:i4>2621522</vt:i4>
      </vt:variant>
      <vt:variant>
        <vt:i4>0</vt:i4>
      </vt:variant>
      <vt:variant>
        <vt:i4>0</vt:i4>
      </vt:variant>
      <vt:variant>
        <vt:i4>5</vt:i4>
      </vt:variant>
      <vt:variant>
        <vt:lpwstr>mailto:youlia.lozanova@itu.int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11</cp:revision>
  <cp:lastPrinted>2014-11-06T06:22:00Z</cp:lastPrinted>
  <dcterms:created xsi:type="dcterms:W3CDTF">2025-03-04T11:00:00Z</dcterms:created>
  <dcterms:modified xsi:type="dcterms:W3CDTF">2025-03-24T13:13:00Z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