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1985"/>
        <w:gridCol w:w="4392"/>
        <w:gridCol w:w="1845"/>
        <w:gridCol w:w="1663"/>
      </w:tblGrid>
      <w:tr w:rsidR="00BC645A" w:rsidRPr="00F56A31" w14:paraId="77FF4D1F" w14:textId="77777777" w:rsidTr="00B566A4">
        <w:trPr>
          <w:cantSplit/>
          <w:trHeight w:val="1134"/>
        </w:trPr>
        <w:tc>
          <w:tcPr>
            <w:tcW w:w="1985" w:type="dxa"/>
            <w:hideMark/>
          </w:tcPr>
          <w:p w14:paraId="29C03C67" w14:textId="386A6378" w:rsidR="00BC645A" w:rsidRPr="00F56A31" w:rsidRDefault="00B566A4" w:rsidP="00B566A4">
            <w:pPr>
              <w:spacing w:after="40"/>
              <w:ind w:left="34"/>
              <w:rPr>
                <w:rFonts w:ascii="Verdana" w:hAnsi="Verdana"/>
                <w:sz w:val="28"/>
                <w:szCs w:val="28"/>
              </w:rPr>
            </w:pPr>
            <w:r>
              <w:rPr>
                <w:noProof/>
                <w:sz w:val="32"/>
                <w:szCs w:val="32"/>
              </w:rPr>
              <w:drawing>
                <wp:inline distT="0" distB="0" distL="0" distR="0" wp14:anchorId="6476C490" wp14:editId="22273C6F">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7E20F0E" w14:textId="75053B7E" w:rsidR="00BC645A" w:rsidRPr="00F56A31" w:rsidRDefault="00BC645A"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663" w:type="dxa"/>
            <w:hideMark/>
          </w:tcPr>
          <w:p w14:paraId="56683D2A" w14:textId="20E12BE5" w:rsidR="00BC645A" w:rsidRPr="00F56A31" w:rsidRDefault="00BC645A"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gridSpan w:val="2"/>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gridSpan w:val="2"/>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gridSpan w:val="2"/>
          </w:tcPr>
          <w:p w14:paraId="0FEA9A34" w14:textId="77777777" w:rsidR="00A50F7D" w:rsidRPr="00F56A31" w:rsidRDefault="00A50F7D" w:rsidP="00A50F7D">
            <w:pPr>
              <w:pStyle w:val="Committee"/>
              <w:spacing w:before="0"/>
              <w:rPr>
                <w:b w:val="0"/>
                <w:szCs w:val="24"/>
              </w:rPr>
            </w:pPr>
          </w:p>
        </w:tc>
        <w:tc>
          <w:tcPr>
            <w:tcW w:w="3508" w:type="dxa"/>
            <w:gridSpan w:val="2"/>
            <w:hideMark/>
          </w:tcPr>
          <w:p w14:paraId="362A8892" w14:textId="78BC83B7"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r>
              <w:rPr>
                <w:b/>
                <w:bCs/>
                <w:lang w:val="fr-FR"/>
              </w:rPr>
              <w:t>RPM</w:t>
            </w:r>
            <w:r w:rsidR="00895410">
              <w:rPr>
                <w:b/>
                <w:bCs/>
                <w:lang w:val="fr-FR"/>
              </w:rPr>
              <w:t>s</w:t>
            </w:r>
            <w:r w:rsidRPr="006D4EA0">
              <w:rPr>
                <w:b/>
                <w:bCs/>
                <w:lang w:val="fr-FR"/>
              </w:rPr>
              <w:t>/</w:t>
            </w:r>
            <w:r w:rsidR="00AE2B11">
              <w:rPr>
                <w:b/>
                <w:bCs/>
                <w:lang w:val="fr-FR"/>
              </w:rPr>
              <w:t>2</w:t>
            </w:r>
            <w:r w:rsidR="000652FB">
              <w:rPr>
                <w:b/>
                <w:bCs/>
                <w:lang w:val="fr-FR"/>
              </w:rPr>
              <w:t>(Rev.</w:t>
            </w:r>
            <w:r w:rsidR="0052463C">
              <w:rPr>
                <w:b/>
                <w:bCs/>
                <w:lang w:val="fr-FR"/>
              </w:rPr>
              <w:t>2</w:t>
            </w:r>
            <w:r w:rsidR="000652FB">
              <w:rPr>
                <w:b/>
                <w:bCs/>
                <w:lang w:val="fr-FR"/>
              </w:rPr>
              <w:t>)</w:t>
            </w:r>
            <w:r w:rsidRPr="006D4EA0">
              <w:rPr>
                <w:b/>
                <w:bCs/>
                <w:lang w:val="fr-FR"/>
              </w:rPr>
              <w:t>-E</w:t>
            </w:r>
          </w:p>
        </w:tc>
      </w:tr>
      <w:tr w:rsidR="00A50F7D" w:rsidRPr="00F56A31" w14:paraId="4863C7E0" w14:textId="77777777" w:rsidTr="00A50F7D">
        <w:trPr>
          <w:cantSplit/>
        </w:trPr>
        <w:tc>
          <w:tcPr>
            <w:tcW w:w="6377" w:type="dxa"/>
            <w:gridSpan w:val="2"/>
          </w:tcPr>
          <w:p w14:paraId="04883FAA" w14:textId="77777777" w:rsidR="00A50F7D" w:rsidRPr="00235FE8" w:rsidRDefault="00A50F7D" w:rsidP="00A50F7D">
            <w:pPr>
              <w:spacing w:before="0"/>
              <w:rPr>
                <w:b/>
                <w:smallCaps/>
                <w:szCs w:val="24"/>
                <w:lang w:val="pt-BR"/>
              </w:rPr>
            </w:pPr>
          </w:p>
        </w:tc>
        <w:tc>
          <w:tcPr>
            <w:tcW w:w="3508" w:type="dxa"/>
            <w:gridSpan w:val="2"/>
            <w:hideMark/>
          </w:tcPr>
          <w:p w14:paraId="79FF0B5C" w14:textId="02C4B18C" w:rsidR="00A50F7D" w:rsidRPr="00F56A31" w:rsidRDefault="0052463C" w:rsidP="00A50F7D">
            <w:pPr>
              <w:spacing w:before="0"/>
              <w:rPr>
                <w:b/>
                <w:szCs w:val="24"/>
              </w:rPr>
            </w:pPr>
            <w:bookmarkStart w:id="2" w:name="CreationDate"/>
            <w:bookmarkEnd w:id="2"/>
            <w:r>
              <w:rPr>
                <w:b/>
                <w:bCs/>
                <w:szCs w:val="28"/>
              </w:rPr>
              <w:t xml:space="preserve">27 </w:t>
            </w:r>
            <w:r w:rsidR="000652FB">
              <w:rPr>
                <w:b/>
                <w:bCs/>
                <w:szCs w:val="28"/>
              </w:rPr>
              <w:t>January 2025</w:t>
            </w:r>
          </w:p>
        </w:tc>
      </w:tr>
      <w:tr w:rsidR="00A50F7D" w:rsidRPr="00F56A31" w14:paraId="5E086E96" w14:textId="77777777" w:rsidTr="00A50F7D">
        <w:trPr>
          <w:cantSplit/>
        </w:trPr>
        <w:tc>
          <w:tcPr>
            <w:tcW w:w="6377" w:type="dxa"/>
            <w:gridSpan w:val="2"/>
          </w:tcPr>
          <w:p w14:paraId="36F7B52A" w14:textId="77777777" w:rsidR="00A50F7D" w:rsidRPr="00F56A31" w:rsidRDefault="00A50F7D" w:rsidP="00A50F7D">
            <w:pPr>
              <w:spacing w:before="0"/>
              <w:rPr>
                <w:b/>
                <w:bCs/>
                <w:smallCaps/>
                <w:szCs w:val="24"/>
              </w:rPr>
            </w:pPr>
          </w:p>
        </w:tc>
        <w:tc>
          <w:tcPr>
            <w:tcW w:w="3508" w:type="dxa"/>
            <w:gridSpan w:val="2"/>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4"/>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4"/>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4"/>
            <w:tcBorders>
              <w:top w:val="nil"/>
              <w:left w:val="nil"/>
              <w:bottom w:val="single" w:sz="4" w:space="0" w:color="auto"/>
              <w:right w:val="nil"/>
            </w:tcBorders>
          </w:tcPr>
          <w:p w14:paraId="1D21A3FF" w14:textId="77777777" w:rsidR="00E12E0A" w:rsidRPr="00F56A31" w:rsidRDefault="00E12E0A" w:rsidP="00074EE7"/>
        </w:tc>
      </w:tr>
      <w:tr w:rsidR="00E12E0A" w:rsidRPr="00BB3C1F" w14:paraId="5514FEB8" w14:textId="77777777" w:rsidTr="00A50F7D">
        <w:trPr>
          <w:cantSplit/>
        </w:trPr>
        <w:tc>
          <w:tcPr>
            <w:tcW w:w="9885" w:type="dxa"/>
            <w:gridSpan w:val="4"/>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21519B66" w14:textId="3B8904CA" w:rsidR="009A0A79"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 xml:space="preserve">. </w:t>
            </w:r>
            <w:r w:rsidR="00E75AA2">
              <w:t xml:space="preserve">Implementation of the Kigali Action Plan from June 2023 to April 2024 can be found in </w:t>
            </w:r>
            <w:hyperlink r:id="rId13" w:history="1">
              <w:r w:rsidR="009A0A79" w:rsidRPr="005131DD">
                <w:rPr>
                  <w:rStyle w:val="Hyperlink"/>
                  <w:color w:val="auto"/>
                  <w:u w:val="none"/>
                </w:rPr>
                <w:t xml:space="preserve">Document </w:t>
              </w:r>
              <w:r w:rsidR="009A0A79" w:rsidRPr="009A0A79">
                <w:rPr>
                  <w:rStyle w:val="Hyperlink"/>
                </w:rPr>
                <w:t>TDAG-24/2</w:t>
              </w:r>
            </w:hyperlink>
            <w:r w:rsidR="00ED55F9">
              <w:t>.</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5F57A6B3" w:rsidR="008D3939" w:rsidRPr="00F56A31" w:rsidRDefault="00A50F7D" w:rsidP="005131DD">
            <w:pPr>
              <w:tabs>
                <w:tab w:val="left" w:pos="1134"/>
                <w:tab w:val="left" w:pos="1871"/>
                <w:tab w:val="left" w:pos="2268"/>
              </w:tabs>
              <w:spacing w:after="120"/>
              <w:jc w:val="left"/>
            </w:pPr>
            <w:r>
              <w:t>RPM-</w:t>
            </w:r>
            <w:r w:rsidR="00F33415">
              <w:t>AFR</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r w:rsidRPr="00BE02CD">
              <w:rPr>
                <w:b/>
                <w:bCs/>
                <w:szCs w:val="24"/>
                <w:lang w:val="fr-FR"/>
              </w:rPr>
              <w:t>References</w:t>
            </w:r>
            <w:r w:rsidR="006853F0" w:rsidRPr="00BE02CD">
              <w:rPr>
                <w:b/>
                <w:bCs/>
                <w:szCs w:val="24"/>
                <w:lang w:val="fr-FR"/>
              </w:rPr>
              <w:t>:</w:t>
            </w:r>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4"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default" r:id="rId15"/>
          <w:footerReference w:type="default" r:id="rId16"/>
          <w:headerReference w:type="first" r:id="rId17"/>
          <w:footerReference w:type="first" r:id="rId18"/>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a number of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providing assistance to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19">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20"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1"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analyse satellite imagery and produce high-resolution population density maps to visualize connectivity based on the </w:t>
            </w:r>
            <w:hyperlink r:id="rId22"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3"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4"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organized/co-organised</w:t>
            </w:r>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0D2A2179" w:rsidR="421EEFB8" w:rsidRDefault="421EEFB8" w:rsidP="003E2518">
            <w:pPr>
              <w:spacing w:after="120"/>
              <w:jc w:val="left"/>
            </w:pPr>
            <w:r w:rsidRPr="0E59FEC1">
              <w:rPr>
                <w:rFonts w:ascii="Calibri" w:hAnsi="Calibri" w:cs="Calibri"/>
                <w:color w:val="000000" w:themeColor="text1"/>
                <w:sz w:val="22"/>
                <w:lang w:val="en-US"/>
              </w:rPr>
              <w:t>Western Balkans: A closed workshop, titled “Building Resilient Communities: Leveraging Cell Broadcast in the Western Balkans”, was held on 8 July 2024. This event initiated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BB3C1F"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386D5017"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5" w:history="1">
              <w:r w:rsidR="04A1A33F" w:rsidRPr="1EA338BE">
                <w:rPr>
                  <w:rFonts w:cstheme="minorBidi"/>
                  <w:b/>
                  <w:bCs/>
                  <w:color w:val="0083B3"/>
                  <w:sz w:val="22"/>
                  <w:u w:val="single"/>
                  <w:lang w:eastAsia="en-GB"/>
                </w:rPr>
                <w:t>Sierra Leone</w:t>
              </w:r>
            </w:hyperlink>
            <w:r w:rsidR="00BB3C1F">
              <w:rPr>
                <w:rFonts w:cstheme="minorBidi"/>
                <w:b/>
                <w:bCs/>
                <w:color w:val="0083B3"/>
                <w:sz w:val="22"/>
                <w:u w:val="single"/>
                <w:lang w:eastAsia="en-GB"/>
              </w:rPr>
              <w:t xml:space="preserve"> </w:t>
            </w:r>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6"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he ITU Regional Workshop Towards Universal and Meaningful Connectivity for the Arab Region was organized by the ITU Telecommunication Development Bureau (BDT), in collaboration with Algérie Télécom,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Region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cross-border connectivity in Region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policy-making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7"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current status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on the basis of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r w:rsidRPr="00814CFC">
              <w:rPr>
                <w:b/>
                <w:sz w:val="22"/>
                <w:lang w:val="es-ES"/>
              </w:rPr>
              <w:t xml:space="preserve">Americas: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w:t>
            </w:r>
            <w:r w:rsidR="00AA32F5" w:rsidRPr="00DA0C7F">
              <w:rPr>
                <w:rFonts w:ascii="Calibri" w:hAnsi="Calibri"/>
                <w:sz w:val="22"/>
              </w:rPr>
              <w:t>Algeria</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r w:rsidRPr="002847E8">
              <w:rPr>
                <w:b/>
                <w:sz w:val="22"/>
              </w:rPr>
              <w:t>Ideathon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iCodi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Center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331E8E20" w:rsidR="003174A9" w:rsidRPr="008A384E" w:rsidRDefault="003174A9" w:rsidP="003E2518">
            <w:pPr>
              <w:spacing w:after="120"/>
              <w:jc w:val="left"/>
              <w:rPr>
                <w:rFonts w:ascii="Calibri" w:hAnsi="Calibri"/>
                <w:b/>
                <w:bCs/>
                <w:color w:val="0070C0"/>
                <w:sz w:val="22"/>
              </w:rPr>
            </w:pP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digitally-enabled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Entreneurship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GovStack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GovStack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Other African countries have continued to explore Digital Public Infrastructure in their context with the Gov</w:t>
            </w:r>
            <w:r w:rsidR="684F0C64" w:rsidRPr="003E2518">
              <w:rPr>
                <w:rFonts w:cstheme="minorHAnsi"/>
                <w:sz w:val="22"/>
              </w:rPr>
              <w:t>Stack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academia, and civil society partners, demonstrating the power of collective action to bring digital transformation to rural and remote Pacific communities. Smart Village Pakistan continued to be rolled out beyond Gokina to Sambriyal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In 2024, more than 800 participants raised awareness and skills on adopting whole-of-government approach using GovStack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GovStack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The year also witnessed increasing adoption and demand for GovStack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rPr>
              <w:t>GovStack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Through the ITU Area office for South Asia and Innovation Centre Delhi a Govstack workshop on Whole of Government Digital Transformation Leveraging Govstack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GovStack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GovStack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eGovernance,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GovStack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28"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29"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30"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r w:rsidRPr="7104E0E6">
              <w:rPr>
                <w:rFonts w:eastAsia="Times New Roman" w:cstheme="minorBidi"/>
                <w:sz w:val="22"/>
              </w:rPr>
              <w:t>2024 .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294E1666"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for the same time period</w:t>
            </w:r>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00BB3C1F">
              <w:rPr>
                <w:rStyle w:val="xnormaltextrun"/>
                <w:rFonts w:cstheme="minorBidi"/>
                <w:sz w:val="22"/>
                <w:bdr w:val="none" w:sz="0" w:space="0" w:color="auto" w:frame="1"/>
              </w:rPr>
              <w:t xml:space="preserve"> </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1"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2" w:history="1">
              <w:hyperlink r:id="rId33">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in particular</w:t>
            </w:r>
            <w:r w:rsidRPr="003E2518">
              <w:rPr>
                <w:rFonts w:cstheme="minorHAnsi"/>
                <w:sz w:val="22"/>
              </w:rPr>
              <w:t xml:space="preserve"> in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4"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5"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ITU implemented a series of digital skills training programs through the Digital Transformation Centers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Within the framework of AGCCI, ITU in an effort to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Digital Transformation Centres (DTCs) in  Sierra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centers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(ToT) approach. The ToT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6">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363F2A62"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w:t>
            </w:r>
            <w:r w:rsidRPr="003E2518">
              <w:rPr>
                <w:rFonts w:cstheme="minorHAnsi"/>
                <w:sz w:val="22"/>
              </w:rPr>
              <w:lastRenderedPageBreak/>
              <w:t>digital divides and support refugee empowerment through 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3049B364"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olicy and regulation;</w:t>
            </w:r>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network and infrastructure;</w:t>
            </w:r>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spectrum management;</w:t>
            </w:r>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cybersecurity;</w:t>
            </w:r>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inclusion;</w:t>
            </w:r>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DA0C7F"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DA0C7F">
              <w:rPr>
                <w:rFonts w:cstheme="minorHAnsi"/>
                <w:color w:val="000000" w:themeColor="text1"/>
                <w:sz w:val="22"/>
              </w:rPr>
              <w:t>As part of global activities, the following products were delivered in 202</w:t>
            </w:r>
            <w:r w:rsidR="7C37133A" w:rsidRPr="00DA0C7F">
              <w:rPr>
                <w:rFonts w:cstheme="minorHAnsi"/>
                <w:color w:val="000000" w:themeColor="text1"/>
                <w:sz w:val="22"/>
              </w:rPr>
              <w:t>4</w:t>
            </w:r>
            <w:r w:rsidRPr="00DA0C7F">
              <w:rPr>
                <w:rFonts w:cstheme="minorHAnsi"/>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7">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38"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SyTPRA.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DA0C7F">
              <w:rPr>
                <w:rFonts w:eastAsia="Times New Roman" w:cstheme="minorHAnsi"/>
                <w:sz w:val="22"/>
              </w:rPr>
              <w:lastRenderedPageBreak/>
              <w:t>The</w:t>
            </w:r>
            <w:r w:rsidR="00BC7925" w:rsidRPr="00DA0C7F">
              <w:rPr>
                <w:rFonts w:eastAsia="Times New Roman" w:cstheme="minorHAnsi"/>
                <w:sz w:val="22"/>
              </w:rPr>
              <w:t>se</w:t>
            </w:r>
            <w:r w:rsidRPr="00DA0C7F">
              <w:rPr>
                <w:rFonts w:eastAsia="Times New Roman" w:cstheme="minorHAnsi"/>
                <w:sz w:val="22"/>
              </w:rPr>
              <w:t xml:space="preserve"> </w:t>
            </w:r>
            <w:r w:rsidR="00BC7925" w:rsidRPr="00DA0C7F">
              <w:rPr>
                <w:rFonts w:eastAsia="Times New Roman" w:cstheme="minorHAnsi"/>
                <w:sz w:val="22"/>
              </w:rPr>
              <w:t>actions</w:t>
            </w:r>
            <w:r w:rsidRPr="00DA0C7F">
              <w:rPr>
                <w:rFonts w:eastAsia="Times New Roman" w:cstheme="minorHAnsi"/>
                <w:sz w:val="22"/>
              </w:rPr>
              <w:t xml:space="preserve">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analyzed </w:t>
            </w:r>
            <w:r w:rsidR="00EB6442">
              <w:rPr>
                <w:rFonts w:eastAsia="Times New Roman" w:cstheme="minorHAnsi"/>
                <w:sz w:val="22"/>
              </w:rPr>
              <w:t xml:space="preserve">for integration into the </w:t>
            </w:r>
            <w:hyperlink r:id="rId39"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40"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1">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 xml:space="preserve">the Islamic Development Bank (IsDB), the ITU FCDO project, </w:t>
            </w:r>
            <w:r w:rsidR="412D6638" w:rsidRPr="00457727">
              <w:rPr>
                <w:rFonts w:eastAsia="Times New Roman" w:cstheme="minorHAnsi"/>
                <w:sz w:val="22"/>
              </w:rPr>
              <w:t>ia.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which were attended by all MNOs and ISPs operating in Syria, as well as representatives from the Ministry and SyTPRA.</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ITU-EMERG-EaPeReg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centers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2"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(NoW)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3"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Budva,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The 5G Techritory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private sector, and policy</w:t>
            </w:r>
            <w:r w:rsidR="007E04B0" w:rsidRPr="00457727">
              <w:rPr>
                <w:rFonts w:eastAsia="Times New Roman" w:cstheme="minorHAnsi"/>
                <w:b/>
                <w:bCs/>
                <w:sz w:val="22"/>
              </w:rPr>
              <w:t>-</w:t>
            </w:r>
            <w:r w:rsidRPr="00457727">
              <w:rPr>
                <w:rFonts w:eastAsia="Times New Roman" w:cstheme="minorHAnsi"/>
                <w:b/>
                <w:bCs/>
                <w:sz w:val="22"/>
              </w:rPr>
              <w:t>makers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4FDAE4F5" w14:textId="2C5FCF95" w:rsidR="00185911" w:rsidRPr="00265064" w:rsidRDefault="466F3592" w:rsidP="00265064">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r w:rsidRPr="00265064">
              <w:rPr>
                <w:sz w:val="22"/>
              </w:rPr>
              <w:t xml:space="preserve">Regulatory improvement </w:t>
            </w:r>
            <w:r w:rsidRPr="00265064">
              <w:rPr>
                <w:sz w:val="22"/>
              </w:rPr>
              <w:lastRenderedPageBreak/>
              <w:t xml:space="preserve">support to and Honduras. </w:t>
            </w: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4"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5"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6">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7">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48"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49"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50"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DataHub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1"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2">
              <w:r w:rsidRPr="009A1B13">
                <w:rPr>
                  <w:color w:val="0563C1"/>
                  <w:sz w:val="22"/>
                  <w:u w:val="single"/>
                </w:rPr>
                <w:t>ITU DataHub</w:t>
              </w:r>
            </w:hyperlink>
            <w:r w:rsidRPr="009A1B13">
              <w:rPr>
                <w:rFonts w:eastAsia="Times New Roman"/>
                <w:sz w:val="22"/>
              </w:rPr>
              <w:t xml:space="preserve">, including an </w:t>
            </w:r>
            <w:hyperlink r:id="rId53"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4"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DataHub.</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Between December 2023 and November 2024, traffic on the DataHub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DataHub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5"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6"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7"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58"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59"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60"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New ITU Jupyter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r w:rsidR="00CE0540" w:rsidRPr="009A1B13">
              <w:rPr>
                <w:rFonts w:eastAsia="Times New Roman"/>
                <w:sz w:val="22"/>
                <w:lang w:val="en-US"/>
              </w:rPr>
              <w:t xml:space="preserve">ig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1"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2"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3"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4"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5"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6"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7"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8"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9"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70"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1"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2"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3" w:history="1">
              <w:r w:rsidRPr="009A1B13">
                <w:rPr>
                  <w:rStyle w:val="Hyperlink"/>
                  <w:rFonts w:eastAsia="Times New Roman"/>
                  <w:sz w:val="22"/>
                  <w:lang w:val="en-US"/>
                </w:rPr>
                <w:t xml:space="preserve"> </w:t>
              </w:r>
            </w:hyperlink>
            <w:hyperlink r:id="rId74" w:history="1">
              <w:r w:rsidRPr="009A1B13">
                <w:rPr>
                  <w:rStyle w:val="Hyperlink"/>
                  <w:rFonts w:eastAsia="Times New Roman"/>
                  <w:sz w:val="22"/>
                </w:rPr>
                <w:t xml:space="preserve">DEWG </w:t>
              </w:r>
            </w:hyperlink>
            <w:hyperlink r:id="rId75" w:history="1">
              <w:r w:rsidRPr="009A1B13">
                <w:rPr>
                  <w:rStyle w:val="Hyperlink"/>
                  <w:rFonts w:eastAsia="Times New Roman"/>
                  <w:sz w:val="22"/>
                  <w:lang w:val="en-US"/>
                </w:rPr>
                <w:t xml:space="preserve">ministerial </w:t>
              </w:r>
            </w:hyperlink>
            <w:hyperlink r:id="rId76"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7"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CyberDrill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centered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ITU-D Private Sector Members - BitSight, CTM360, ImmuniWeb</w:t>
            </w:r>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0A6B88">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BDT has been collaborating with Least Developed Countries to enhance their cybersecurity postures. Both Lao PDR and Cambodia have benefited from free access to tools provided by ITU-Private Sector Members, including CTM360 and ImmuniWeb.</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he first National CyberDrill was held in Armenia</w:t>
            </w:r>
            <w:r w:rsidR="6C2D0351" w:rsidRPr="1EA338BE">
              <w:rPr>
                <w:rFonts w:eastAsiaTheme="majorEastAsia"/>
                <w:sz w:val="22"/>
                <w:lang w:val="en-US"/>
              </w:rPr>
              <w:t>, co-organized by the Information Systems Agency of Armenia (ISAA). This CyberDrill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CyberDrill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Autoridade Nacional de Comunicações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CyberDrill from 19-21 November 2024, in Bandar Seri Begawan, Brunei Darussalam. Co-organized with Cyber Security Brunei (CSB) and supported by the Ministry of Transport and Infocommunications (MTIC) of Brunei Darussalam, the CyberDrill featured over 130 attendees at the regional conference, with the CyberDrill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(CamCERT),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r w:rsidRPr="00F56A31">
              <w:rPr>
                <w:rFonts w:eastAsia="Calibri"/>
                <w:b/>
                <w:bCs/>
                <w:sz w:val="22"/>
              </w:rPr>
              <w:t>CyberDrills</w:t>
            </w:r>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78">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79" w:history="1">
              <w:hyperlink r:id="rId80"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1">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(i)</w:t>
            </w:r>
            <w:r w:rsidR="00A91EE1" w:rsidRPr="006909F4">
              <w:rPr>
                <w:rFonts w:ascii="Calibri" w:eastAsia="Calibri" w:hAnsi="Calibri" w:cs="Calibri"/>
                <w:sz w:val="22"/>
              </w:rPr>
              <w:t xml:space="preserve"> </w:t>
            </w:r>
            <w:hyperlink r:id="rId82"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3"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4"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Anatel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5">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6">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7">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88">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90">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1">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2">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DA0C7F">
              <w:rPr>
                <w:rFonts w:ascii="Calibri" w:eastAsia="Calibri" w:hAnsi="Calibri" w:cs="Calibri"/>
                <w:b/>
                <w:bCs/>
                <w:sz w:val="22"/>
              </w:rPr>
              <w:t>95</w:t>
            </w:r>
            <w:r w:rsidR="23239CD9" w:rsidRPr="00DA0C7F">
              <w:rPr>
                <w:rFonts w:ascii="Calibri" w:eastAsia="Calibri" w:hAnsi="Calibri" w:cs="Calibri"/>
                <w:b/>
                <w:bCs/>
                <w:sz w:val="22"/>
              </w:rPr>
              <w:t>0</w:t>
            </w:r>
            <w:r w:rsidR="4EB99CAE" w:rsidRPr="00DA0C7F">
              <w:rPr>
                <w:rFonts w:ascii="Calibri" w:eastAsia="Calibri" w:hAnsi="Calibri" w:cs="Calibri"/>
                <w:b/>
                <w:bCs/>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 number of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3"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the ITU-D SG2 meeting</w:t>
            </w:r>
            <w:r w:rsidR="005173AA">
              <w:rPr>
                <w:rFonts w:eastAsia="Calibri"/>
                <w:sz w:val="22"/>
              </w:rPr>
              <w:t xml:space="preserve"> </w:t>
            </w:r>
            <w:r w:rsidRPr="57B8538F">
              <w:rPr>
                <w:rFonts w:eastAsia="Calibri"/>
                <w:sz w:val="22"/>
              </w:rPr>
              <w:t xml:space="preserve"> and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4">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AfriNIC, AfTLD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Afrilabs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in order to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center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Laying the foundation for 'VaMoz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Anatel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Descúbreme,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have actively empowered and engaged through their participation in the regional and global events such as the Global Innovation Forum, the passing the torch event, and the I</w:t>
            </w:r>
            <w:r w:rsidR="00325F01" w:rsidRPr="006909F4">
              <w:rPr>
                <w:rFonts w:asciiTheme="minorHAnsi" w:hAnsiTheme="minorHAnsi" w:cstheme="minorHAnsi"/>
                <w:sz w:val="22"/>
                <w:szCs w:val="22"/>
              </w:rPr>
              <w:t>Codi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5">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6">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CyberDrill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on a range of digital skills through the ITU Academy as part of a joint project with GiZ</w:t>
            </w:r>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An in-Kind contribution was signed with TDRA, UAE on iCodi with the objective of organizing one global and one regional workshops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iCodi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iCodi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(SyTPRA)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7"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Regional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Human capital development is integral to this initiative. In collaboration with national stakeholders, technical specifications and documentation for deploying sensors in target organizations were developed, and a tender to install them was succesfully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and the Information Systems Agency of Armenia (ISAA), with support from the Central Bank of Armenia and the Ministry of High-Tech Industry, successfully organized the first national CyberDrill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Regional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98"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BDT continued to work jointly with the  Belarusian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policy-makers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Knowledge development for policy-makers:</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r w:rsidRPr="5D5C758E">
              <w:rPr>
                <w:rFonts w:ascii="Calibri" w:eastAsia="Calibri" w:hAnsi="Calibri" w:cs="Calibri"/>
                <w:b/>
                <w:bCs/>
                <w:sz w:val="22"/>
              </w:rPr>
              <w:t>HerDigitalSkills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99"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Center,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 xml:space="preserve">On 4 September 2024, a special event for the Network of Women (NoW)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ICodi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capacity of policy</w:t>
            </w:r>
            <w:r w:rsidR="4FD4CEE8" w:rsidRPr="1ABCBC0D">
              <w:rPr>
                <w:rFonts w:eastAsia="Calibri"/>
                <w:sz w:val="22"/>
              </w:rPr>
              <w:t>-</w:t>
            </w:r>
            <w:r w:rsidRPr="1ABCBC0D">
              <w:rPr>
                <w:rFonts w:eastAsia="Calibri"/>
                <w:sz w:val="22"/>
              </w:rPr>
              <w:t>makers</w:t>
            </w:r>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r w:rsidRPr="00E201CA">
              <w:rPr>
                <w:rFonts w:ascii="Calibri" w:hAnsi="Calibri"/>
                <w:b/>
                <w:bCs/>
                <w:sz w:val="22"/>
                <w:lang w:val="es-ES"/>
              </w:rPr>
              <w:t>Africa:</w:t>
            </w:r>
            <w:r w:rsidRPr="00E201CA">
              <w:rPr>
                <w:rFonts w:ascii="Calibri" w:hAnsi="Calibri"/>
                <w:sz w:val="22"/>
                <w:lang w:val="es-ES"/>
              </w:rPr>
              <w:t xml:space="preserve"> </w:t>
            </w:r>
            <w:r w:rsidR="00013EA4" w:rsidRPr="00E201CA">
              <w:rPr>
                <w:rFonts w:ascii="Calibri" w:hAnsi="Calibri"/>
                <w:sz w:val="22"/>
                <w:lang w:val="es-ES"/>
              </w:rPr>
              <w:t xml:space="preserve">Cameroon, Cote D’Ivoire, </w:t>
            </w:r>
            <w:r w:rsidR="00A36235" w:rsidRPr="00E201CA">
              <w:rPr>
                <w:rFonts w:ascii="Calibri" w:hAnsi="Calibri"/>
                <w:sz w:val="22"/>
                <w:lang w:val="es-ES"/>
              </w:rPr>
              <w:t>Ethiopia</w:t>
            </w:r>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b/>
                <w:sz w:val="22"/>
                <w:lang w:val="es-419"/>
              </w:rPr>
              <w:t xml:space="preserve">Americas: </w:t>
            </w:r>
            <w:r w:rsidRPr="00447FA2">
              <w:rPr>
                <w:sz w:val="22"/>
                <w:lang w:val="es-419"/>
              </w:rPr>
              <w:t>Mexico</w:t>
            </w:r>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rFonts w:ascii="Calibri" w:hAnsi="Calibri"/>
                <w:b/>
                <w:bCs/>
                <w:sz w:val="22"/>
                <w:lang w:val="es-419"/>
              </w:rPr>
              <w:t>Europe:</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provided assistance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100"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1"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2"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3"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4"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5"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6" w:history="1">
              <w:hyperlink r:id="rId107"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08"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09"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10"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BDT developed and signed a new project on 'Advancing Green Digital Action Towards a Net-Zero Digital Sector in the Philippines and Tanzania' funded by the Government of the Republic of Korea, MSIT. The 2 year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Arcep, BDT has developed </w:t>
            </w:r>
            <w:r w:rsidR="7D79E614" w:rsidRPr="4E448A6F">
              <w:rPr>
                <w:rFonts w:ascii="Calibri" w:eastAsia="Calibri" w:hAnsi="Calibri" w:cs="Calibri"/>
                <w:sz w:val="22"/>
              </w:rPr>
              <w:t>the 'Measuring National ICT Sector Climate Impact: Arcep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1"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r w:rsidR="366816D9" w:rsidRPr="4E448A6F">
              <w:rPr>
                <w:rFonts w:ascii="Calibri" w:eastAsia="Calibri" w:hAnsi="Calibri" w:cs="Calibri"/>
                <w:sz w:val="22"/>
              </w:rPr>
              <w:t>Arcep’s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r w:rsidRPr="3D49075F">
              <w:rPr>
                <w:rFonts w:ascii="Calibri" w:eastAsia="Calibri" w:hAnsi="Calibri" w:cs="Calibri"/>
                <w:sz w:val="22"/>
              </w:rPr>
              <w:t xml:space="preserve">a number of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68332B4F"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 xml:space="preserve">The Director of BDT </w:t>
            </w:r>
            <w:r w:rsidR="00265064">
              <w:rPr>
                <w:rFonts w:ascii="Calibri" w:eastAsia="Calibri" w:hAnsi="Calibri" w:cs="Calibri"/>
                <w:sz w:val="22"/>
              </w:rPr>
              <w:t xml:space="preserve">continue to </w:t>
            </w:r>
            <w:r w:rsidRPr="005D0E9F">
              <w:rPr>
                <w:rFonts w:ascii="Calibri" w:eastAsia="Calibri" w:hAnsi="Calibri" w:cs="Calibri"/>
                <w:sz w:val="22"/>
              </w:rPr>
              <w:t>launch</w:t>
            </w:r>
            <w:r w:rsidR="00265064">
              <w:rPr>
                <w:rFonts w:ascii="Calibri" w:eastAsia="Calibri" w:hAnsi="Calibri" w:cs="Calibri"/>
                <w:sz w:val="22"/>
              </w:rPr>
              <w:t xml:space="preserve"> </w:t>
            </w:r>
            <w:r w:rsidRPr="005D0E9F">
              <w:rPr>
                <w:rFonts w:ascii="Calibri" w:eastAsia="Calibri" w:hAnsi="Calibri" w:cs="Calibri"/>
                <w:sz w:val="22"/>
              </w:rPr>
              <w:t xml:space="preserve">initiatives aimed at achieving organizational excellence and </w:t>
            </w:r>
            <w:r w:rsidR="00F527E0">
              <w:rPr>
                <w:rFonts w:ascii="Calibri" w:eastAsia="Calibri" w:hAnsi="Calibri" w:cs="Calibri"/>
                <w:sz w:val="22"/>
              </w:rPr>
              <w:t>enhancing</w:t>
            </w:r>
            <w:r w:rsidR="00F527E0" w:rsidRPr="005D0E9F">
              <w:rPr>
                <w:rFonts w:ascii="Calibri" w:eastAsia="Calibri" w:hAnsi="Calibri" w:cs="Calibri"/>
                <w:sz w:val="22"/>
              </w:rPr>
              <w:t xml:space="preserve"> </w:t>
            </w:r>
            <w:r w:rsidRPr="005D0E9F">
              <w:rPr>
                <w:rFonts w:ascii="Calibri" w:eastAsia="Calibri" w:hAnsi="Calibri" w:cs="Calibri"/>
                <w:sz w:val="22"/>
              </w:rPr>
              <w:t xml:space="preserve">internal capacity to </w:t>
            </w:r>
            <w:r w:rsidR="00F527E0">
              <w:rPr>
                <w:rFonts w:ascii="Calibri" w:eastAsia="Calibri" w:hAnsi="Calibri" w:cs="Calibri"/>
                <w:sz w:val="22"/>
              </w:rPr>
              <w:t>support</w:t>
            </w:r>
            <w:r w:rsidR="00F527E0" w:rsidRPr="005D0E9F">
              <w:rPr>
                <w:rFonts w:ascii="Calibri" w:eastAsia="Calibri" w:hAnsi="Calibri" w:cs="Calibri"/>
                <w:sz w:val="22"/>
              </w:rPr>
              <w:t xml:space="preserve"> </w:t>
            </w:r>
            <w:r w:rsidRPr="005D0E9F">
              <w:rPr>
                <w:rFonts w:ascii="Calibri" w:eastAsia="Calibri" w:hAnsi="Calibri" w:cs="Calibri"/>
                <w:sz w:val="22"/>
              </w:rPr>
              <w:t>BDT delivery, including:</w:t>
            </w:r>
            <w:r w:rsidRPr="00F56A31">
              <w:rPr>
                <w:rFonts w:ascii="Calibri" w:eastAsia="Calibri" w:hAnsi="Calibri" w:cs="Calibri"/>
                <w:sz w:val="22"/>
              </w:rPr>
              <w:t xml:space="preserve"> </w:t>
            </w:r>
          </w:p>
          <w:p w14:paraId="19729433" w14:textId="49EB89E2"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00F527E0">
              <w:rPr>
                <w:sz w:val="22"/>
              </w:rPr>
              <w:t xml:space="preserve"> </w:t>
            </w:r>
            <w:r w:rsidRPr="001627E4">
              <w:rPr>
                <w:sz w:val="22"/>
              </w:rPr>
              <w:t xml:space="preserve">2024 </w:t>
            </w:r>
            <w:r w:rsidR="00F527E0">
              <w:rPr>
                <w:sz w:val="22"/>
              </w:rPr>
              <w:t>which built on the previous sessions to</w:t>
            </w:r>
            <w:r w:rsidR="00F527E0" w:rsidRPr="001627E4">
              <w:rPr>
                <w:sz w:val="22"/>
              </w:rPr>
              <w:t xml:space="preserve"> </w:t>
            </w:r>
            <w:r w:rsidR="00F527E0">
              <w:rPr>
                <w:sz w:val="22"/>
              </w:rPr>
              <w:t>continue</w:t>
            </w:r>
            <w:r w:rsidRPr="001627E4">
              <w:rPr>
                <w:sz w:val="22"/>
              </w:rPr>
              <w:t xml:space="preserve"> constructive discussions </w:t>
            </w:r>
            <w:r w:rsidR="00883EAA" w:rsidRPr="001627E4">
              <w:rPr>
                <w:sz w:val="22"/>
              </w:rPr>
              <w:t xml:space="preserve">and exchange of ideas </w:t>
            </w:r>
            <w:r w:rsidRPr="001627E4">
              <w:rPr>
                <w:sz w:val="22"/>
              </w:rPr>
              <w:t>o</w:t>
            </w:r>
            <w:r w:rsidR="00B33F22" w:rsidRPr="001627E4">
              <w:rPr>
                <w:sz w:val="22"/>
              </w:rPr>
              <w:t xml:space="preserve">n the upcoming preparatory process for the WTDC-25, including </w:t>
            </w:r>
            <w:r w:rsidR="00F527E0">
              <w:rPr>
                <w:sz w:val="22"/>
              </w:rPr>
              <w:t xml:space="preserve">the </w:t>
            </w:r>
            <w:r w:rsidR="00B33F22" w:rsidRPr="001627E4">
              <w:rPr>
                <w:sz w:val="22"/>
              </w:rPr>
              <w:t>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6C156CAE"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w:t>
            </w:r>
            <w:r w:rsidR="00F527E0">
              <w:rPr>
                <w:rFonts w:ascii="Calibri" w:hAnsi="Calibri"/>
                <w:sz w:val="22"/>
              </w:rPr>
              <w:t>s</w:t>
            </w:r>
            <w:r w:rsidRPr="1ABCBC0D">
              <w:rPr>
                <w:rFonts w:ascii="Calibri" w:hAnsi="Calibri"/>
                <w:sz w:val="22"/>
              </w:rPr>
              <w:t>.</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2"/>
      <w:headerReference w:type="default" r:id="rId113"/>
      <w:footerReference w:type="even" r:id="rId114"/>
      <w:footerReference w:type="default" r:id="rId115"/>
      <w:headerReference w:type="first" r:id="rId116"/>
      <w:footerReference w:type="first" r:id="rId117"/>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FEA9" w14:textId="77777777" w:rsidR="00BC53EC" w:rsidRPr="00F56A31" w:rsidRDefault="00BC53EC">
      <w:r w:rsidRPr="00F56A31">
        <w:separator/>
      </w:r>
    </w:p>
  </w:endnote>
  <w:endnote w:type="continuationSeparator" w:id="0">
    <w:p w14:paraId="0ECF1D67" w14:textId="77777777" w:rsidR="00BC53EC" w:rsidRPr="00F56A31" w:rsidRDefault="00BC53EC">
      <w:r w:rsidRPr="00F56A31">
        <w:continuationSeparator/>
      </w:r>
    </w:p>
  </w:endnote>
  <w:endnote w:type="continuationNotice" w:id="1">
    <w:p w14:paraId="4FCD4718" w14:textId="77777777" w:rsidR="00BC53EC" w:rsidRPr="00F56A31" w:rsidRDefault="00BC53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F56A31"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lang w:val="en-GB"/>
            </w:rPr>
          </w:pPr>
          <w:r w:rsidRPr="00235FE8">
            <w:rPr>
              <w:sz w:val="18"/>
              <w:szCs w:val="18"/>
              <w:lang w:val="en-GB"/>
            </w:rPr>
            <w:t>Contact:</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lang w:val="en-GB"/>
            </w:rPr>
          </w:pPr>
          <w:r w:rsidRPr="00235FE8">
            <w:rPr>
              <w:sz w:val="18"/>
              <w:szCs w:val="18"/>
              <w:lang w:val="en-GB"/>
            </w:rPr>
            <w:t>Name/Organization/Entity:</w:t>
          </w:r>
        </w:p>
      </w:tc>
      <w:tc>
        <w:tcPr>
          <w:tcW w:w="5958" w:type="dxa"/>
          <w:tcBorders>
            <w:top w:val="single" w:sz="4" w:space="0" w:color="000000"/>
          </w:tcBorders>
        </w:tcPr>
        <w:p w14:paraId="1CB1439E" w14:textId="55D207EA" w:rsidR="001D2782" w:rsidRPr="00235FE8" w:rsidRDefault="001D2782" w:rsidP="0062552C">
          <w:pPr>
            <w:pStyle w:val="FirstFooter"/>
            <w:tabs>
              <w:tab w:val="left" w:pos="2302"/>
            </w:tabs>
            <w:spacing w:before="0"/>
            <w:jc w:val="left"/>
            <w:rPr>
              <w:sz w:val="18"/>
              <w:szCs w:val="18"/>
              <w:highlight w:val="yellow"/>
              <w:lang w:val="en-GB"/>
            </w:rPr>
          </w:pPr>
          <w:r w:rsidRPr="00235FE8">
            <w:rPr>
              <w:sz w:val="18"/>
              <w:szCs w:val="18"/>
              <w:lang w:val="en-GB"/>
            </w:rPr>
            <w:t xml:space="preserve">Mr </w:t>
          </w:r>
          <w:r w:rsidR="005D5580" w:rsidRPr="00235FE8">
            <w:rPr>
              <w:sz w:val="18"/>
              <w:szCs w:val="18"/>
              <w:lang w:val="en-GB"/>
            </w:rPr>
            <w:t>Bruno</w:t>
          </w:r>
          <w:r w:rsidR="005E4A44" w:rsidRPr="00235FE8">
            <w:rPr>
              <w:sz w:val="18"/>
              <w:szCs w:val="18"/>
              <w:lang w:val="en-GB"/>
            </w:rPr>
            <w:t xml:space="preserve"> Ramos</w:t>
          </w:r>
          <w:r w:rsidRPr="00235FE8">
            <w:rPr>
              <w:sz w:val="18"/>
              <w:szCs w:val="18"/>
              <w:lang w:val="en-GB"/>
            </w:rPr>
            <w:t>,</w:t>
          </w:r>
          <w:r w:rsidR="005E4A44" w:rsidRPr="00235FE8">
            <w:rPr>
              <w:sz w:val="18"/>
              <w:szCs w:val="18"/>
              <w:lang w:val="en-GB"/>
            </w:rPr>
            <w:t xml:space="preserve"> </w:t>
          </w:r>
          <w:r w:rsidRPr="00235FE8">
            <w:rPr>
              <w:sz w:val="18"/>
              <w:szCs w:val="18"/>
              <w:lang w:val="en-GB"/>
            </w:rPr>
            <w:t>Deputy to the Director,</w:t>
          </w:r>
          <w:r w:rsidR="00AF2342" w:rsidRPr="00235FE8">
            <w:rPr>
              <w:sz w:val="18"/>
              <w:szCs w:val="18"/>
              <w:lang w:val="en-GB"/>
            </w:rPr>
            <w:t xml:space="preserve"> a.i</w:t>
          </w:r>
          <w:r w:rsidR="003C755F">
            <w:rPr>
              <w:sz w:val="18"/>
              <w:szCs w:val="18"/>
              <w:lang w:val="en-GB"/>
            </w:rPr>
            <w:t>.,</w:t>
          </w:r>
          <w:r w:rsidRPr="00235FE8">
            <w:rPr>
              <w:sz w:val="18"/>
              <w:szCs w:val="18"/>
              <w:lang w:val="en-GB"/>
            </w:rPr>
            <w:t xml:space="preserve"> Telecommunication Development Bureau</w:t>
          </w:r>
        </w:p>
      </w:tc>
    </w:tr>
    <w:tr w:rsidR="001D2782" w:rsidRPr="00F56A31" w14:paraId="61BAF590" w14:textId="77777777" w:rsidTr="001A3A9D">
      <w:tc>
        <w:tcPr>
          <w:tcW w:w="1432" w:type="dxa"/>
          <w:shd w:val="clear" w:color="auto" w:fill="auto"/>
        </w:tcPr>
        <w:p w14:paraId="6158267C" w14:textId="77777777" w:rsidR="001D2782" w:rsidRPr="00235FE8" w:rsidRDefault="001D2782" w:rsidP="001D2782">
          <w:pPr>
            <w:pStyle w:val="FirstFooter"/>
            <w:tabs>
              <w:tab w:val="left" w:pos="1559"/>
              <w:tab w:val="left" w:pos="3828"/>
            </w:tabs>
            <w:spacing w:before="0"/>
            <w:rPr>
              <w:sz w:val="20"/>
              <w:lang w:val="en-GB"/>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lang w:val="en-GB"/>
            </w:rPr>
          </w:pPr>
          <w:r w:rsidRPr="00235FE8">
            <w:rPr>
              <w:sz w:val="18"/>
              <w:szCs w:val="18"/>
              <w:lang w:val="en-GB"/>
            </w:rPr>
            <w:t>E-mail:</w:t>
          </w:r>
        </w:p>
      </w:tc>
      <w:tc>
        <w:tcPr>
          <w:tcW w:w="5958" w:type="dxa"/>
        </w:tcPr>
        <w:p w14:paraId="7DAFF0EF" w14:textId="77119BD7" w:rsidR="001D2782" w:rsidRPr="00235FE8" w:rsidRDefault="009701F5" w:rsidP="001D2782">
          <w:pPr>
            <w:pStyle w:val="FirstFooter"/>
            <w:tabs>
              <w:tab w:val="left" w:pos="2302"/>
            </w:tabs>
            <w:spacing w:before="0"/>
            <w:rPr>
              <w:sz w:val="18"/>
              <w:szCs w:val="18"/>
              <w:highlight w:val="yellow"/>
              <w:lang w:val="en-GB"/>
            </w:rPr>
          </w:pPr>
          <w:hyperlink r:id="rId1" w:history="1">
            <w:r w:rsidRPr="00235FE8">
              <w:rPr>
                <w:rStyle w:val="Hyperlink"/>
                <w:lang w:val="en-GB"/>
              </w:rPr>
              <w:t>bruno.ramos@itu.int</w:t>
            </w:r>
          </w:hyperlink>
          <w:r w:rsidRPr="00235FE8">
            <w:rPr>
              <w:lang w:val="en-GB"/>
            </w:rPr>
            <w:t xml:space="preserve"> </w:t>
          </w:r>
        </w:p>
      </w:tc>
    </w:tr>
  </w:tbl>
  <w:p w14:paraId="5C6B6F26" w14:textId="77777777" w:rsidR="001D2782" w:rsidRPr="00B91DBD" w:rsidRDefault="001D2782" w:rsidP="001D2782">
    <w:pPr>
      <w:pStyle w:val="Footer"/>
      <w:jc w:val="center"/>
      <w:rPr>
        <w:noProof w:val="0"/>
        <w:lang w:val="en-US"/>
      </w:rPr>
    </w:pPr>
  </w:p>
  <w:p w14:paraId="4AD6B9C7" w14:textId="53676A52" w:rsidR="001D2782" w:rsidRPr="00B91DBD" w:rsidRDefault="001D2782" w:rsidP="001D2782">
    <w:pPr>
      <w:pStyle w:val="Footer"/>
      <w:jc w:val="center"/>
      <w:rPr>
        <w:noProof w:val="0"/>
        <w:lang w:val="en-US"/>
      </w:rPr>
    </w:pPr>
    <w:hyperlink r:id="rId2" w:history="1">
      <w:r w:rsidRPr="00B91DBD">
        <w:rPr>
          <w:rStyle w:val="Hyperlink"/>
          <w:noProof w:val="0"/>
          <w:sz w:val="18"/>
          <w:szCs w:val="18"/>
          <w:lang w:val="en-US"/>
        </w:rPr>
        <w:t>TDAG</w:t>
      </w:r>
    </w:hyperlink>
    <w:r w:rsidR="008405AD" w:rsidRPr="00B91DBD">
      <w:rPr>
        <w:noProof w:val="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ABCB" w14:textId="77777777" w:rsidR="00BC53EC" w:rsidRPr="00F56A31" w:rsidRDefault="00BC53EC">
      <w:r w:rsidRPr="00F56A31">
        <w:t>____________________</w:t>
      </w:r>
    </w:p>
  </w:footnote>
  <w:footnote w:type="continuationSeparator" w:id="0">
    <w:p w14:paraId="3B63FA58" w14:textId="77777777" w:rsidR="00BC53EC" w:rsidRPr="00F56A31" w:rsidRDefault="00BC53EC">
      <w:r w:rsidRPr="00F56A31">
        <w:continuationSeparator/>
      </w:r>
    </w:p>
  </w:footnote>
  <w:footnote w:type="continuationNotice" w:id="1">
    <w:p w14:paraId="48EB7BA7" w14:textId="77777777" w:rsidR="00BC53EC" w:rsidRPr="00F56A31" w:rsidRDefault="00BC53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842D9B6"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AE2B11">
      <w:rPr>
        <w:sz w:val="22"/>
        <w:lang w:val="pt-BR"/>
      </w:rPr>
      <w:t>2</w:t>
    </w:r>
    <w:r w:rsidR="00A359A9">
      <w:rPr>
        <w:sz w:val="22"/>
        <w:lang w:val="pt-BR"/>
      </w:rPr>
      <w:t>(Rev.</w:t>
    </w:r>
    <w:r w:rsidR="0052463C">
      <w:rPr>
        <w:sz w:val="22"/>
        <w:lang w:val="pt-BR"/>
      </w:rPr>
      <w:t>2</w:t>
    </w:r>
    <w:r w:rsidR="00A359A9">
      <w:rPr>
        <w:sz w:val="22"/>
        <w:lang w:val="pt-BR"/>
      </w:rPr>
      <w:t>)</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624300A2"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AE2B11">
      <w:rPr>
        <w:sz w:val="22"/>
        <w:lang w:val="pt-BR"/>
      </w:rPr>
      <w:t>2</w:t>
    </w:r>
    <w:r w:rsidR="00A359A9">
      <w:rPr>
        <w:sz w:val="22"/>
        <w:lang w:val="pt-BR"/>
      </w:rPr>
      <w:t>(Rev.</w:t>
    </w:r>
    <w:r w:rsidR="0052463C">
      <w:rPr>
        <w:sz w:val="22"/>
        <w:lang w:val="pt-BR"/>
      </w:rPr>
      <w:t>2</w:t>
    </w:r>
    <w:r w:rsidR="00A359A9">
      <w:rPr>
        <w:sz w:val="22"/>
        <w:lang w:val="pt-BR"/>
      </w:rPr>
      <w:t>)</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88"/>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6BA6"/>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1BB4"/>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AD"/>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64"/>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D7"/>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D4E"/>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DBB"/>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7E02"/>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501"/>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22F"/>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63C"/>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B18"/>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8E0"/>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54F"/>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822"/>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322"/>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A0065B"/>
    <w:rsid w:val="00A006A6"/>
    <w:rsid w:val="00A00804"/>
    <w:rsid w:val="00A00B90"/>
    <w:rsid w:val="00A00EDB"/>
    <w:rsid w:val="00A0108D"/>
    <w:rsid w:val="00A01180"/>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37DD"/>
    <w:rsid w:val="00AC39EE"/>
    <w:rsid w:val="00AC3FCB"/>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B11"/>
    <w:rsid w:val="00AE2D70"/>
    <w:rsid w:val="00AE2E45"/>
    <w:rsid w:val="00AE31B7"/>
    <w:rsid w:val="00AE375D"/>
    <w:rsid w:val="00AE39E6"/>
    <w:rsid w:val="00AE3A3D"/>
    <w:rsid w:val="00AE3C86"/>
    <w:rsid w:val="00AE3D12"/>
    <w:rsid w:val="00AE4030"/>
    <w:rsid w:val="00AE40AE"/>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6A4"/>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878"/>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C1F"/>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5A"/>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47A"/>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135"/>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3D4"/>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C6"/>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69D"/>
    <w:rsid w:val="00D97B77"/>
    <w:rsid w:val="00DA06F0"/>
    <w:rsid w:val="00DA0787"/>
    <w:rsid w:val="00DA0904"/>
    <w:rsid w:val="00DA0A17"/>
    <w:rsid w:val="00DA0B53"/>
    <w:rsid w:val="00DA0BBC"/>
    <w:rsid w:val="00DA0C7F"/>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61"/>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5F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15"/>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7E0"/>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introduction-broadband-mapping" TargetMode="External"/><Relationship Id="rId117" Type="http://schemas.openxmlformats.org/officeDocument/2006/relationships/footer" Target="footer5.xml"/><Relationship Id="rId21" Type="http://schemas.openxmlformats.org/officeDocument/2006/relationships/hyperlink" Target="https://www.itu.int/en/ITU-D/Emergency-Telecommunications/Pages/AI-Sub-Group-EW4All-.aspx" TargetMode="External"/><Relationship Id="rId42" Type="http://schemas.openxmlformats.org/officeDocument/2006/relationships/hyperlink" Target="https://www.itu.int/itu-d/meetings/gsr-24/wp-content/uploads/sites/24/2024/07/IAGDICRO-2024-Outcome-Statement.pdf" TargetMode="External"/><Relationship Id="rId47" Type="http://schemas.openxmlformats.org/officeDocument/2006/relationships/hyperlink" Target="https://www.itu.int/en/ITU-D/Statistics/Dashboards/Pages/IPB.aspx" TargetMode="External"/><Relationship Id="rId63" Type="http://schemas.openxmlformats.org/officeDocument/2006/relationships/hyperlink" Target="https://www.itu.int/itu-d/sites/projectumc/2024/03/12/umc_ws_arb/" TargetMode="External"/><Relationship Id="rId68" Type="http://schemas.openxmlformats.org/officeDocument/2006/relationships/hyperlink" Target="https://academy.itu.int/training-courses/full-catalogue/measuring-digital-development-ict-access-and-use-households-and-individuals-2" TargetMode="External"/><Relationship Id="rId84" Type="http://schemas.openxmlformats.org/officeDocument/2006/relationships/hyperlink" Target="https://www.itu.int/md/D22-SG01-C-0394/en" TargetMode="External"/><Relationship Id="rId89" Type="http://schemas.openxmlformats.org/officeDocument/2006/relationships/image" Target="media/image4.png"/><Relationship Id="rId112" Type="http://schemas.openxmlformats.org/officeDocument/2006/relationships/header" Target="header3.xml"/><Relationship Id="rId16" Type="http://schemas.openxmlformats.org/officeDocument/2006/relationships/footer" Target="footer1.xml"/><Relationship Id="rId107" Type="http://schemas.openxmlformats.org/officeDocument/2006/relationships/hyperlink" Target="https://www.itu.int/en/mediacentre/Pages/PR-2024-09-30-Greening-Digital-Companies-report.aspx" TargetMode="External"/><Relationship Id="rId11" Type="http://schemas.openxmlformats.org/officeDocument/2006/relationships/image" Target="media/image1.png"/><Relationship Id="rId32" Type="http://schemas.openxmlformats.org/officeDocument/2006/relationships/hyperlink" Target="https://academy.itu.int/itu-d/projects-activities/digital-transformation-centres-initiative" TargetMode="External"/><Relationship Id="rId37" Type="http://schemas.openxmlformats.org/officeDocument/2006/relationships/hyperlink" Target="https://www.itu.int/en/ITU-D/Regulatory-Market/Pages/collaborative-regulation-country-reviews/default.aspx" TargetMode="External"/><Relationship Id="rId53" Type="http://schemas.openxmlformats.org/officeDocument/2006/relationships/hyperlink" Target="https://datahub.itu.int/query/" TargetMode="External"/><Relationship Id="rId58" Type="http://schemas.openxmlformats.org/officeDocument/2006/relationships/hyperlink" Target="https://unstats.un.org/bigdata/task-teams/mobile-phone/index.cshtml" TargetMode="External"/><Relationship Id="rId74" Type="http://schemas.openxmlformats.org/officeDocument/2006/relationships/hyperlink" Target="https://g7g20-documents.org/database/document/2024-g20-brazil-sherpa-track-digital-economy-ministers-ministers-language-g20-dewg-maceio-ministerial-declaration" TargetMode="External"/><Relationship Id="rId79" Type="http://schemas.openxmlformats.org/officeDocument/2006/relationships/hyperlink" Target="https://www.itu.int/itu-d/sites/membership/wp-content/uploads/sites/50/2024/07/IAGDICRO-2024-Outcome-Statement_2-July_2024.pdf" TargetMode="External"/><Relationship Id="rId102" Type="http://schemas.openxmlformats.org/officeDocument/2006/relationships/hyperlink" Target="https://www.itu.int/en/ITU-D/Regional-Presence/Americas/Pages/EVENTS/2024/eWasteWorkshoppri.aspx" TargetMode="External"/><Relationship Id="rId5" Type="http://schemas.openxmlformats.org/officeDocument/2006/relationships/numbering" Target="numbering.xml"/><Relationship Id="rId90" Type="http://schemas.openxmlformats.org/officeDocument/2006/relationships/hyperlink" Target="https://www.itu.int/net4/ITU-D/CDS/sg/blkmeetings.asp?lg=1&amp;stg=&amp;sp=2022&amp;blk=28817" TargetMode="External"/><Relationship Id="rId95" Type="http://schemas.openxmlformats.org/officeDocument/2006/relationships/hyperlink" Target="http://www.aicto.org/" TargetMode="External"/><Relationship Id="rId22" Type="http://schemas.openxmlformats.org/officeDocument/2006/relationships/hyperlink" Target="https://dcm.itu.int/" TargetMode="External"/><Relationship Id="rId27" Type="http://schemas.openxmlformats.org/officeDocument/2006/relationships/hyperlink" Target="https://www.itu.int/en/ITU-R/seminars/rrs/rrs-24-asia%26pacific/Pages/default.aspx" TargetMode="External"/><Relationship Id="rId43" Type="http://schemas.openxmlformats.org/officeDocument/2006/relationships/hyperlink" Target="https://www.itu.int/en/ITU-D/Regional-Presence/Americas/Pages/EVENTS/2024/cons-awa-2024.aspx" TargetMode="External"/><Relationship Id="rId48" Type="http://schemas.openxmlformats.org/officeDocument/2006/relationships/hyperlink" Target="https://www.itu.int/itu-d/reports/statistics/idi2024/" TargetMode="External"/><Relationship Id="rId64" Type="http://schemas.openxmlformats.org/officeDocument/2006/relationships/hyperlink" Target="https://www.itu.int/itu-d/sites/projectumc/2024/10/28/umc_ws_asia/" TargetMode="External"/><Relationship Id="rId69" Type="http://schemas.openxmlformats.org/officeDocument/2006/relationships/hyperlink" Target="https://academy.itu.int/training-courses/full-catalogue/mobile-phone-data" TargetMode="External"/><Relationship Id="rId113" Type="http://schemas.openxmlformats.org/officeDocument/2006/relationships/header" Target="header4.xml"/><Relationship Id="rId118" Type="http://schemas.openxmlformats.org/officeDocument/2006/relationships/fontTable" Target="fontTable.xml"/><Relationship Id="rId80" Type="http://schemas.openxmlformats.org/officeDocument/2006/relationships/hyperlink" Target="https://www.itu.int/itu-d/sites/membership/wp-content/uploads/sites/50/2024/07/IAGDICRO-2024-Outcome-Statement_2-July_2024.pdf" TargetMode="External"/><Relationship Id="rId85" Type="http://schemas.openxmlformats.org/officeDocument/2006/relationships/image" Target="media/image3.png"/><Relationship Id="rId12" Type="http://schemas.openxmlformats.org/officeDocument/2006/relationships/image" Target="media/image2.jpeg"/><Relationship Id="rId17" Type="http://schemas.openxmlformats.org/officeDocument/2006/relationships/header" Target="header2.xml"/><Relationship Id="rId33" Type="http://schemas.openxmlformats.org/officeDocument/2006/relationships/hyperlink" Target="https://academy.itu.int/itu-d/projects-activities/digital-transformation-centres-initiative" TargetMode="External"/><Relationship Id="rId38" Type="http://schemas.openxmlformats.org/officeDocument/2006/relationships/hyperlink" Target="https://www.itu.int/net/epub/BDT/2024-ITUs-contribution-to-the-implementation-of-the-Antigua-and-Barbuda-Agenda-for-SIDS/index.html" TargetMode="External"/><Relationship Id="rId59" Type="http://schemas.openxmlformats.org/officeDocument/2006/relationships/hyperlink" Target="https://www.worldbank.org/en/programs/global-data-facility/brief/putting-mobile-phone-data-to-work-for-policy" TargetMode="External"/><Relationship Id="rId103" Type="http://schemas.openxmlformats.org/officeDocument/2006/relationships/hyperlink" Target="https://www.itu.int/en/ITU-D/Regional-Presence/Africa/Pages/EVENTS/2024/Circular-Economy-on-Electronics-for-the-ICT-Sector-in-Seychelles-.aspx" TargetMode="External"/><Relationship Id="rId108" Type="http://schemas.openxmlformats.org/officeDocument/2006/relationships/hyperlink" Target="https://www.itu.int/en/ITU-D/Environment/Pages/Events/2024/GDC.aspx" TargetMode="External"/><Relationship Id="rId54" Type="http://schemas.openxmlformats.org/officeDocument/2006/relationships/hyperlink" Target="https://datahub.itu.int/data/?i=178&amp;u=per+100+people" TargetMode="External"/><Relationship Id="rId70" Type="http://schemas.openxmlformats.org/officeDocument/2006/relationships/hyperlink" Target="https://www.itu.int/itu-d/meetings/wtis24/"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hyperlink" Target="https://www.itu.int/en/ITU-D/Study-Groups/2022-2025/Pages/reference/Management.aspx" TargetMode="External"/><Relationship Id="rId96" Type="http://schemas.openxmlformats.org/officeDocument/2006/relationships/hyperlink" Target="https://www.internetsociety.org/regions/middle-eas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youtu.be/xjKjamBKHAw?si=xiGNHb2MFajDhtT-" TargetMode="External"/><Relationship Id="rId28" Type="http://schemas.openxmlformats.org/officeDocument/2006/relationships/hyperlink" Target="https://academy.itu.int/" TargetMode="External"/><Relationship Id="rId49" Type="http://schemas.openxmlformats.org/officeDocument/2006/relationships/hyperlink" Target="https://www.itu.int/en/ITU-D/Statistics/Pages/IDI/default.aspx" TargetMode="External"/><Relationship Id="rId114" Type="http://schemas.openxmlformats.org/officeDocument/2006/relationships/footer" Target="footer3.xml"/><Relationship Id="rId119" Type="http://schemas.openxmlformats.org/officeDocument/2006/relationships/theme" Target="theme/theme1.xml"/><Relationship Id="rId44" Type="http://schemas.openxmlformats.org/officeDocument/2006/relationships/hyperlink" Target="https://www.itu.int/itu-d/reports/statistics/facts-figures-for-sids/" TargetMode="External"/><Relationship Id="rId60" Type="http://schemas.openxmlformats.org/officeDocument/2006/relationships/hyperlink" Target="https://www.worldbank.org/en/events/2024/09/25/global-data-facility-mobile-phone-data-program-for-policy-cohort-1-launch-workshop" TargetMode="External"/><Relationship Id="rId65" Type="http://schemas.openxmlformats.org/officeDocument/2006/relationships/hyperlink" Target="https://www.itu.int/itu-d/meetings/egh2024/" TargetMode="External"/><Relationship Id="rId81" Type="http://schemas.openxmlformats.org/officeDocument/2006/relationships/hyperlink" Target="https://www.itu.int/net4/ITU-D/CDS/sg/blkmeetings.asp?lg=1&amp;sp=2022&amp;blk=28245" TargetMode="External"/><Relationship Id="rId86" Type="http://schemas.openxmlformats.org/officeDocument/2006/relationships/hyperlink" Target="https://www.itu.int/en/ITU-D/Study-Groups/2022-2025/Pages/meetings/session-gender-youth-nov24.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footer" Target="footer2.xml"/><Relationship Id="rId39" Type="http://schemas.openxmlformats.org/officeDocument/2006/relationships/hyperlink" Target="https://app.gen5.digital/tracker/about" TargetMode="External"/><Relationship Id="rId109" Type="http://schemas.openxmlformats.org/officeDocument/2006/relationships/hyperlink" Target="https://www.itu.int/hub/2024/11/the-digital-sectors-environmental-dilemma/" TargetMode="External"/><Relationship Id="rId34" Type="http://schemas.openxmlformats.org/officeDocument/2006/relationships/hyperlink" Target="https://www.itu.int/itu-d/meetings/digital-skills-forum/" TargetMode="External"/><Relationship Id="rId50" Type="http://schemas.openxmlformats.org/officeDocument/2006/relationships/hyperlink" Target="https://datahub.itu.int/dashboards/idi/" TargetMode="External"/><Relationship Id="rId55" Type="http://schemas.openxmlformats.org/officeDocument/2006/relationships/hyperlink" Target="https://www.itu.int/en/ITU-D/Statistics/Pages/ICTprices/default.aspx" TargetMode="External"/><Relationship Id="rId76" Type="http://schemas.openxmlformats.org/officeDocument/2006/relationships/hyperlink" Target="https://g7g20-documents.org/database/document/2024-g20-brazil-sherpa-track-digital-economy-ministers-ministers-language-g20-dewg-maceio-ministerial-declaration" TargetMode="External"/><Relationship Id="rId97" Type="http://schemas.openxmlformats.org/officeDocument/2006/relationships/hyperlink" Target="https://land-locked.org/" TargetMode="External"/><Relationship Id="rId104" Type="http://schemas.openxmlformats.org/officeDocument/2006/relationships/hyperlink" Target="https://academy.itu.int/training-courses/full-catalogue/fundamentals-e-waste-policy-and-role-producers" TargetMode="External"/><Relationship Id="rId120"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hyperlink" Target="https://www.g20.org/pt-br" TargetMode="External"/><Relationship Id="rId92" Type="http://schemas.openxmlformats.org/officeDocument/2006/relationships/hyperlink" Target="https://www.itu.int/en/publications/ITU-D/pages/publications.aspx?parent=D-TDC-WTDC-2022&amp;media=electronic" TargetMode="External"/><Relationship Id="rId2" Type="http://schemas.openxmlformats.org/officeDocument/2006/relationships/customXml" Target="../customXml/item2.xml"/><Relationship Id="rId29" Type="http://schemas.openxmlformats.org/officeDocument/2006/relationships/hyperlink" Target="https://academy.itu.int/itu-d/projects-activities/itu-academy-training-centres" TargetMode="External"/><Relationship Id="rId24" Type="http://schemas.openxmlformats.org/officeDocument/2006/relationships/hyperlink" Target="https://www.itu.int/itu-d/sites/ldcs/2024/02/20/itu-at-sids4/" TargetMode="External"/><Relationship Id="rId40" Type="http://schemas.openxmlformats.org/officeDocument/2006/relationships/hyperlink" Target="https://datahub.itu.int/" TargetMode="External"/><Relationship Id="rId45" Type="http://schemas.openxmlformats.org/officeDocument/2006/relationships/hyperlink" Target="https://www.itu.int/itu-d/reports/statistics/facts-figures-for-lldc/" TargetMode="External"/><Relationship Id="rId66" Type="http://schemas.openxmlformats.org/officeDocument/2006/relationships/hyperlink" Target="https://www.itu.int/itu-d/meetings/egti2024/" TargetMode="External"/><Relationship Id="rId87" Type="http://schemas.openxmlformats.org/officeDocument/2006/relationships/hyperlink" Target="https://www.itu.int/en/ITU-D/Study-Groups/2022-2025/Pages/meetings/session-terrestrial-nov24.aspx" TargetMode="External"/><Relationship Id="rId110" Type="http://schemas.openxmlformats.org/officeDocument/2006/relationships/hyperlink" Target="https://greeningdigital.itu.int/" TargetMode="External"/><Relationship Id="rId115" Type="http://schemas.openxmlformats.org/officeDocument/2006/relationships/footer" Target="footer4.xml"/><Relationship Id="rId61" Type="http://schemas.openxmlformats.org/officeDocument/2006/relationships/hyperlink" Target="https://www.itu.int/itu-d/sites/projectumc/2024/03/14/umc_ws_car/" TargetMode="External"/><Relationship Id="rId82" Type="http://schemas.openxmlformats.org/officeDocument/2006/relationships/hyperlink" Target="https://www.itu.int/md/D22-SG01-C-0333/en" TargetMode="External"/><Relationship Id="rId19" Type="http://schemas.openxmlformats.org/officeDocument/2006/relationships/hyperlink" Target="https://www.itu.int/en/ITU-D/Regional-Presence/AsiaPacific/Pages/Projects/MIC%20Phase%202%20%287RAS24074%29/main.aspx" TargetMode="External"/><Relationship Id="rId14" Type="http://schemas.openxmlformats.org/officeDocument/2006/relationships/hyperlink" Target="https://www.itu.int/md/D22-TDAG31-C-0002/" TargetMode="External"/><Relationship Id="rId30" Type="http://schemas.openxmlformats.org/officeDocument/2006/relationships/hyperlink" Target="https://academy.itu.int/" TargetMode="External"/><Relationship Id="rId35" Type="http://schemas.openxmlformats.org/officeDocument/2006/relationships/hyperlink" Target="https://academy.itu.int/itu-d/projects-activities/research-publications/digital-skills-toolkit" TargetMode="External"/><Relationship Id="rId56" Type="http://schemas.openxmlformats.org/officeDocument/2006/relationships/hyperlink" Target="https://www.itu.int/itu-d/reports/statistics/2024/11/10/ff24-affordability-of-ict-services/" TargetMode="External"/><Relationship Id="rId77" Type="http://schemas.openxmlformats.org/officeDocument/2006/relationships/hyperlink" Target="https://www.itu.int/en/ITU-D/Statistics/Pages/intlcoop/partnership/default.aspx" TargetMode="External"/><Relationship Id="rId100"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05" Type="http://schemas.openxmlformats.org/officeDocument/2006/relationships/hyperlink" Target="https://www.itu.int/en/ITU-D/Environment/Pages/Publications/GDC-24.aspx" TargetMode="External"/><Relationship Id="rId8" Type="http://schemas.openxmlformats.org/officeDocument/2006/relationships/webSettings" Target="webSettings.xml"/><Relationship Id="rId51" Type="http://schemas.openxmlformats.org/officeDocument/2006/relationships/hyperlink" Target="https://www.itu.int/itu-d/reports/statistics/facts-figures-2024/" TargetMode="External"/><Relationship Id="rId72" Type="http://schemas.openxmlformats.org/officeDocument/2006/relationships/hyperlink" Target="https://www.gov.br/mcom/pt-br/acesso-a-informacao/governanca/governanca-de-tic-1/documentos-g20/p1-g20-dewg-brasil-2024-umc.pdf" TargetMode="External"/><Relationship Id="rId93" Type="http://schemas.openxmlformats.org/officeDocument/2006/relationships/hyperlink" Target="https://www.itu.int/itu-d/meetings/rdf/" TargetMode="External"/><Relationship Id="rId98" Type="http://schemas.openxmlformats.org/officeDocument/2006/relationships/hyperlink" Target="https://www.itu.int/pub/D-PHCB-CAP_BLD.05-2024" TargetMode="External"/><Relationship Id="rId121" Type="http://schemas.microsoft.com/office/2020/10/relationships/intelligence" Target="intelligence2.xml"/><Relationship Id="rId3" Type="http://schemas.openxmlformats.org/officeDocument/2006/relationships/customXml" Target="../customXml/item3.xml"/><Relationship Id="rId25" Type="http://schemas.openxmlformats.org/officeDocument/2006/relationships/hyperlink" Target="https://www.itu.int/en/ITU-D/Regional-Presence/Africa/Pages/EVENTS/2023/workshop-sierra-leone.aspx" TargetMode="External"/><Relationship Id="rId46" Type="http://schemas.openxmlformats.org/officeDocument/2006/relationships/hyperlink" Target="https://www.itu.int/en/ITU-D/Statistics/Pages/ICTprices/default.aspx" TargetMode="External"/><Relationship Id="rId67" Type="http://schemas.openxmlformats.org/officeDocument/2006/relationships/hyperlink" Target="https://academy.itu.int/training-courses/full-catalogue/measuring-digital-development-telecommunicationict-indicators-2" TargetMode="External"/><Relationship Id="rId116" Type="http://schemas.openxmlformats.org/officeDocument/2006/relationships/header" Target="header5.xml"/><Relationship Id="rId20" Type="http://schemas.openxmlformats.org/officeDocument/2006/relationships/hyperlink" Target="https://laopdr.un.org/en/248020-lao-pdr-advances-early-warnings-all-ew4all-initiative-through-national-consultation" TargetMode="External"/><Relationship Id="rId41" Type="http://schemas.openxmlformats.org/officeDocument/2006/relationships/hyperlink" Target="https://app.gen5.digital/benchmark/charts" TargetMode="External"/><Relationship Id="rId62" Type="http://schemas.openxmlformats.org/officeDocument/2006/relationships/hyperlink" Target="https://www.itu.int/itu-d/sites/projectumc/2024/04/08/umc_ws_cis/" TargetMode="External"/><Relationship Id="rId83" Type="http://schemas.openxmlformats.org/officeDocument/2006/relationships/hyperlink" Target="https://www.itu.int/md/D22-SG01-C-0387/en" TargetMode="External"/><Relationship Id="rId88" Type="http://schemas.openxmlformats.org/officeDocument/2006/relationships/hyperlink" Target="https://www.itu.int/en/ITU-D/Study-Groups/2022-2025/Pages/reference/Management.aspx" TargetMode="External"/><Relationship Id="rId111" Type="http://schemas.openxmlformats.org/officeDocument/2006/relationships/hyperlink" Target="https://www.itu.int/en/ITU-D/Environment/Pages/Publications/Measuring-Emissions-and-Energy-Footprint-ICT-Sector.aspx" TargetMode="External"/><Relationship Id="rId15" Type="http://schemas.openxmlformats.org/officeDocument/2006/relationships/header" Target="header1.xml"/><Relationship Id="rId36" Type="http://schemas.openxmlformats.org/officeDocument/2006/relationships/hyperlink" Target="https://www.itu.int/en/ITU-D/Regional-Presence/Americas/Pages/ACTVTS/DTK/DTK-AMS.aspx" TargetMode="External"/><Relationship Id="rId57" Type="http://schemas.openxmlformats.org/officeDocument/2006/relationships/hyperlink" Target="https://unstats.un.org/bigdata/" TargetMode="External"/><Relationship Id="rId106" Type="http://schemas.openxmlformats.org/officeDocument/2006/relationships/hyperlink" Target="https://www.itu.int/en/mediacentre/Pages/PR-2024-09-30-Greening-Digital-Companies-report.aspx"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events/atc-annual-meeting-2024" TargetMode="External"/><Relationship Id="rId52" Type="http://schemas.openxmlformats.org/officeDocument/2006/relationships/hyperlink" Target="https://datahub.itu.int/" TargetMode="External"/><Relationship Id="rId73" Type="http://schemas.openxmlformats.org/officeDocument/2006/relationships/hyperlink" Target="https://g7g20-documents.org/database/document/2024-g20-brazil-sherpa-track-digital-economy-ministers-ministers-language-g20-dewg-maceio-ministerial-declaration" TargetMode="External"/><Relationship Id="rId78" Type="http://schemas.openxmlformats.org/officeDocument/2006/relationships/hyperlink" Target="https://www.itu.int/en/ITU-D/Projects/" TargetMode="External"/><Relationship Id="rId94" Type="http://schemas.openxmlformats.org/officeDocument/2006/relationships/hyperlink" Target="https://www.itu.int/en/ITU-D/Study-Groups/2022-2025/Pages/reference/Questions-under-study.aspx" TargetMode="External"/><Relationship Id="rId99" Type="http://schemas.openxmlformats.org/officeDocument/2006/relationships/hyperlink" Target="https://iris.who.int/bitstream/handle/10665/378483/9789240094161-eng.pdf?sequence=1" TargetMode="External"/><Relationship Id="rId101" Type="http://schemas.openxmlformats.org/officeDocument/2006/relationships/hyperlink" Target="https://www.itu.int/en/ITU-D/Regional-Presence/Americas/Pages/EVENTS/2024/eWasteWorkshop.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F9EFEF04-759B-4CE4-A01A-C399DF3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29819</Words>
  <Characters>169970</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6</cp:revision>
  <dcterms:created xsi:type="dcterms:W3CDTF">2025-02-03T13:41:00Z</dcterms:created>
  <dcterms:modified xsi:type="dcterms:W3CDTF">2025-03-03T14:34:00Z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