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560"/>
        <w:gridCol w:w="4819"/>
        <w:gridCol w:w="1701"/>
        <w:gridCol w:w="1808"/>
      </w:tblGrid>
      <w:tr w:rsidR="001703E2" w:rsidRPr="00644DC5" w14:paraId="3F0E9EC4" w14:textId="77777777" w:rsidTr="00233D1F">
        <w:trPr>
          <w:cantSplit/>
          <w:trHeight w:val="1134"/>
        </w:trPr>
        <w:tc>
          <w:tcPr>
            <w:tcW w:w="1560" w:type="dxa"/>
          </w:tcPr>
          <w:p w14:paraId="4B573A1B" w14:textId="18ABCCD1" w:rsidR="001703E2" w:rsidRPr="00644DC5" w:rsidRDefault="00233D1F" w:rsidP="00233D1F">
            <w:pPr>
              <w:tabs>
                <w:tab w:val="clear" w:pos="1191"/>
                <w:tab w:val="clear" w:pos="1588"/>
                <w:tab w:val="clear" w:pos="1985"/>
              </w:tabs>
              <w:spacing w:after="120"/>
              <w:ind w:left="34"/>
              <w:rPr>
                <w:b/>
                <w:bCs/>
                <w:sz w:val="32"/>
                <w:szCs w:val="32"/>
                <w:lang w:val="fr-FR"/>
              </w:rPr>
            </w:pPr>
            <w:r w:rsidRPr="00644DC5">
              <w:rPr>
                <w:noProof/>
                <w:lang w:val="fr-FR" w:eastAsia="fr-FR"/>
              </w:rPr>
              <w:drawing>
                <wp:inline distT="0" distB="0" distL="0" distR="0" wp14:anchorId="11DD2FCA" wp14:editId="6D7F254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53EC3265" w14:textId="646398A2" w:rsidR="001703E2" w:rsidRPr="00644DC5" w:rsidRDefault="009F2EDB" w:rsidP="0058644E">
            <w:pPr>
              <w:tabs>
                <w:tab w:val="clear" w:pos="1191"/>
                <w:tab w:val="clear" w:pos="1588"/>
                <w:tab w:val="clear" w:pos="1985"/>
              </w:tabs>
              <w:spacing w:before="240" w:after="120"/>
              <w:ind w:left="34"/>
              <w:rPr>
                <w:b/>
                <w:bCs/>
                <w:sz w:val="32"/>
                <w:szCs w:val="32"/>
                <w:lang w:val="fr-FR"/>
              </w:rPr>
            </w:pPr>
            <w:r w:rsidRPr="00644DC5">
              <w:rPr>
                <w:b/>
                <w:bCs/>
                <w:sz w:val="32"/>
                <w:szCs w:val="32"/>
                <w:lang w:val="fr-FR"/>
              </w:rPr>
              <w:t>Deuxième Réunion préparatoire interrégionale (IRM-2) en vue de la CMDT-25</w:t>
            </w:r>
          </w:p>
          <w:p w14:paraId="5F5F590A" w14:textId="7B33FC34" w:rsidR="001703E2" w:rsidRPr="00644DC5" w:rsidRDefault="00B7200E" w:rsidP="0058644E">
            <w:pPr>
              <w:tabs>
                <w:tab w:val="clear" w:pos="1191"/>
                <w:tab w:val="clear" w:pos="1588"/>
                <w:tab w:val="clear" w:pos="1985"/>
              </w:tabs>
              <w:spacing w:before="240" w:after="120"/>
              <w:ind w:left="34"/>
              <w:rPr>
                <w:rFonts w:ascii="Verdana" w:hAnsi="Verdana"/>
                <w:sz w:val="28"/>
                <w:szCs w:val="28"/>
                <w:lang w:val="fr-FR"/>
              </w:rPr>
            </w:pPr>
            <w:r w:rsidRPr="00644DC5">
              <w:rPr>
                <w:b/>
                <w:bCs/>
                <w:sz w:val="26"/>
                <w:szCs w:val="26"/>
                <w:lang w:val="fr-FR"/>
              </w:rPr>
              <w:t xml:space="preserve">Réunion virtuelle, </w:t>
            </w:r>
            <w:r w:rsidR="009F2EDB" w:rsidRPr="00644DC5">
              <w:rPr>
                <w:b/>
                <w:bCs/>
                <w:color w:val="000000"/>
                <w:lang w:val="fr-FR"/>
              </w:rPr>
              <w:t>29 septembre 2025</w:t>
            </w:r>
          </w:p>
        </w:tc>
        <w:tc>
          <w:tcPr>
            <w:tcW w:w="1808" w:type="dxa"/>
          </w:tcPr>
          <w:p w14:paraId="67E7B4C4" w14:textId="0AFED482" w:rsidR="001703E2" w:rsidRPr="00644DC5" w:rsidRDefault="00233D1F" w:rsidP="00233D1F">
            <w:pPr>
              <w:spacing w:before="60" w:after="40"/>
              <w:ind w:right="142"/>
              <w:jc w:val="right"/>
              <w:rPr>
                <w:lang w:val="fr-FR"/>
              </w:rPr>
            </w:pPr>
            <w:r w:rsidRPr="00644DC5">
              <w:rPr>
                <w:b/>
                <w:bCs/>
                <w:noProof/>
                <w:sz w:val="32"/>
                <w:szCs w:val="32"/>
                <w:lang w:val="fr-FR"/>
              </w:rPr>
              <w:drawing>
                <wp:inline distT="0" distB="0" distL="0" distR="0" wp14:anchorId="638836ED" wp14:editId="45266CEC">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83C32" w:rsidRPr="00644DC5" w14:paraId="3C13197B" w14:textId="77777777" w:rsidTr="00D07E2B">
        <w:trPr>
          <w:cantSplit/>
        </w:trPr>
        <w:tc>
          <w:tcPr>
            <w:tcW w:w="6379" w:type="dxa"/>
            <w:gridSpan w:val="2"/>
            <w:tcBorders>
              <w:top w:val="single" w:sz="12" w:space="0" w:color="auto"/>
            </w:tcBorders>
          </w:tcPr>
          <w:p w14:paraId="2EED9DB2" w14:textId="77777777" w:rsidR="00683C32" w:rsidRPr="00644DC5" w:rsidRDefault="00683C32" w:rsidP="00107E85">
            <w:pPr>
              <w:spacing w:before="0"/>
              <w:rPr>
                <w:rFonts w:cs="Arial"/>
                <w:b/>
                <w:bCs/>
                <w:sz w:val="20"/>
                <w:lang w:val="fr-FR"/>
              </w:rPr>
            </w:pPr>
          </w:p>
        </w:tc>
        <w:tc>
          <w:tcPr>
            <w:tcW w:w="3509" w:type="dxa"/>
            <w:gridSpan w:val="2"/>
            <w:tcBorders>
              <w:top w:val="single" w:sz="12" w:space="0" w:color="auto"/>
            </w:tcBorders>
          </w:tcPr>
          <w:p w14:paraId="6CC77CFE" w14:textId="77777777" w:rsidR="00683C32" w:rsidRPr="00644DC5" w:rsidRDefault="00683C32" w:rsidP="00107E85">
            <w:pPr>
              <w:spacing w:before="0"/>
              <w:rPr>
                <w:b/>
                <w:bCs/>
                <w:sz w:val="20"/>
                <w:lang w:val="fr-FR"/>
              </w:rPr>
            </w:pPr>
          </w:p>
        </w:tc>
      </w:tr>
      <w:tr w:rsidR="00706440" w:rsidRPr="00644DC5" w14:paraId="0BB3FBC4" w14:textId="77777777" w:rsidTr="00D07E2B">
        <w:trPr>
          <w:cantSplit/>
        </w:trPr>
        <w:tc>
          <w:tcPr>
            <w:tcW w:w="6379" w:type="dxa"/>
            <w:gridSpan w:val="2"/>
          </w:tcPr>
          <w:p w14:paraId="43C54B3D" w14:textId="77777777" w:rsidR="00706440" w:rsidRPr="00644DC5" w:rsidRDefault="00706440" w:rsidP="00706440">
            <w:pPr>
              <w:pStyle w:val="Committee"/>
              <w:spacing w:before="0"/>
              <w:rPr>
                <w:b w:val="0"/>
                <w:szCs w:val="24"/>
                <w:lang w:val="fr-FR"/>
              </w:rPr>
            </w:pPr>
          </w:p>
        </w:tc>
        <w:tc>
          <w:tcPr>
            <w:tcW w:w="3509" w:type="dxa"/>
            <w:gridSpan w:val="2"/>
          </w:tcPr>
          <w:p w14:paraId="02E44EE9" w14:textId="2CCE6AA7" w:rsidR="00706440" w:rsidRPr="00644DC5" w:rsidRDefault="00706440" w:rsidP="00706440">
            <w:pPr>
              <w:spacing w:before="0"/>
              <w:jc w:val="both"/>
              <w:rPr>
                <w:bCs/>
                <w:szCs w:val="24"/>
                <w:lang w:val="fr-FR"/>
              </w:rPr>
            </w:pPr>
            <w:r w:rsidRPr="00644DC5">
              <w:rPr>
                <w:b/>
                <w:bCs/>
                <w:lang w:val="fr-FR"/>
              </w:rPr>
              <w:t xml:space="preserve">Document </w:t>
            </w:r>
            <w:bookmarkStart w:id="0" w:name="DocRef1"/>
            <w:bookmarkEnd w:id="0"/>
            <w:r w:rsidR="00B7200E" w:rsidRPr="00644DC5">
              <w:rPr>
                <w:b/>
                <w:bCs/>
                <w:color w:val="000000"/>
                <w:lang w:val="fr-FR"/>
              </w:rPr>
              <w:t>IRM25-</w:t>
            </w:r>
            <w:r w:rsidR="009F2EDB" w:rsidRPr="00644DC5">
              <w:rPr>
                <w:b/>
                <w:bCs/>
                <w:color w:val="000000"/>
                <w:lang w:val="fr-FR"/>
              </w:rPr>
              <w:t>2</w:t>
            </w:r>
            <w:r w:rsidR="00B7200E" w:rsidRPr="00644DC5">
              <w:rPr>
                <w:b/>
                <w:bCs/>
                <w:color w:val="000000"/>
                <w:lang w:val="fr-FR"/>
              </w:rPr>
              <w:t>/</w:t>
            </w:r>
            <w:r w:rsidR="00D57409" w:rsidRPr="00644DC5">
              <w:rPr>
                <w:b/>
                <w:bCs/>
                <w:color w:val="000000"/>
                <w:lang w:val="fr-FR"/>
              </w:rPr>
              <w:t>2</w:t>
            </w:r>
            <w:r w:rsidR="00B7200E" w:rsidRPr="00644DC5">
              <w:rPr>
                <w:b/>
                <w:bCs/>
                <w:color w:val="000000"/>
                <w:lang w:val="fr-FR"/>
              </w:rPr>
              <w:t>-F</w:t>
            </w:r>
          </w:p>
        </w:tc>
      </w:tr>
      <w:tr w:rsidR="00706440" w:rsidRPr="00644DC5" w14:paraId="24D04936" w14:textId="77777777" w:rsidTr="00D07E2B">
        <w:trPr>
          <w:cantSplit/>
        </w:trPr>
        <w:tc>
          <w:tcPr>
            <w:tcW w:w="6379" w:type="dxa"/>
            <w:gridSpan w:val="2"/>
          </w:tcPr>
          <w:p w14:paraId="12CE4DBF" w14:textId="77777777" w:rsidR="00706440" w:rsidRPr="00644DC5" w:rsidRDefault="00706440" w:rsidP="00706440">
            <w:pPr>
              <w:spacing w:before="0"/>
              <w:rPr>
                <w:b/>
                <w:bCs/>
                <w:smallCaps/>
                <w:szCs w:val="24"/>
                <w:lang w:val="fr-FR"/>
              </w:rPr>
            </w:pPr>
          </w:p>
        </w:tc>
        <w:tc>
          <w:tcPr>
            <w:tcW w:w="3509" w:type="dxa"/>
            <w:gridSpan w:val="2"/>
          </w:tcPr>
          <w:p w14:paraId="0F89640F" w14:textId="3B2C6526" w:rsidR="00706440" w:rsidRPr="00644DC5" w:rsidRDefault="00D57409" w:rsidP="00706440">
            <w:pPr>
              <w:spacing w:before="0"/>
              <w:rPr>
                <w:b/>
                <w:szCs w:val="24"/>
                <w:lang w:val="fr-FR"/>
              </w:rPr>
            </w:pPr>
            <w:bookmarkStart w:id="1" w:name="CreationDate"/>
            <w:bookmarkEnd w:id="1"/>
            <w:r w:rsidRPr="00644DC5">
              <w:rPr>
                <w:b/>
                <w:bCs/>
                <w:color w:val="000000"/>
                <w:lang w:val="fr-FR"/>
              </w:rPr>
              <w:t>1er septembre 2025</w:t>
            </w:r>
          </w:p>
        </w:tc>
      </w:tr>
      <w:tr w:rsidR="00706440" w:rsidRPr="00644DC5" w14:paraId="7B96545F" w14:textId="77777777" w:rsidTr="00D07E2B">
        <w:trPr>
          <w:cantSplit/>
        </w:trPr>
        <w:tc>
          <w:tcPr>
            <w:tcW w:w="6379" w:type="dxa"/>
            <w:gridSpan w:val="2"/>
          </w:tcPr>
          <w:p w14:paraId="65956FD3" w14:textId="77777777" w:rsidR="00706440" w:rsidRPr="00644DC5" w:rsidRDefault="00706440" w:rsidP="00706440">
            <w:pPr>
              <w:spacing w:before="0"/>
              <w:rPr>
                <w:b/>
                <w:bCs/>
                <w:smallCaps/>
                <w:szCs w:val="24"/>
                <w:lang w:val="fr-FR"/>
              </w:rPr>
            </w:pPr>
          </w:p>
        </w:tc>
        <w:tc>
          <w:tcPr>
            <w:tcW w:w="3509" w:type="dxa"/>
            <w:gridSpan w:val="2"/>
          </w:tcPr>
          <w:p w14:paraId="30EFD39F" w14:textId="24C3A4A4" w:rsidR="00706440" w:rsidRPr="00644DC5" w:rsidRDefault="00211AA5" w:rsidP="00706440">
            <w:pPr>
              <w:spacing w:before="0"/>
              <w:rPr>
                <w:szCs w:val="24"/>
                <w:lang w:val="fr-FR"/>
              </w:rPr>
            </w:pPr>
            <w:bookmarkStart w:id="2" w:name="Original"/>
            <w:bookmarkEnd w:id="2"/>
            <w:r w:rsidRPr="00644DC5">
              <w:rPr>
                <w:b/>
                <w:lang w:val="fr-FR"/>
              </w:rPr>
              <w:t xml:space="preserve">Original: </w:t>
            </w:r>
            <w:r w:rsidR="00FB481E" w:rsidRPr="00644DC5">
              <w:rPr>
                <w:b/>
                <w:lang w:val="fr-FR"/>
              </w:rPr>
              <w:t>anglais</w:t>
            </w:r>
          </w:p>
        </w:tc>
      </w:tr>
      <w:tr w:rsidR="00A13162" w:rsidRPr="00233D1F" w14:paraId="31656E31" w14:textId="77777777" w:rsidTr="00107E85">
        <w:trPr>
          <w:cantSplit/>
          <w:trHeight w:val="852"/>
        </w:trPr>
        <w:tc>
          <w:tcPr>
            <w:tcW w:w="9888" w:type="dxa"/>
            <w:gridSpan w:val="4"/>
          </w:tcPr>
          <w:p w14:paraId="512FCA01" w14:textId="53699721" w:rsidR="00A13162" w:rsidRPr="00644DC5" w:rsidRDefault="00D57409" w:rsidP="0030353C">
            <w:pPr>
              <w:pStyle w:val="Source"/>
              <w:rPr>
                <w:lang w:val="fr-FR"/>
              </w:rPr>
            </w:pPr>
            <w:bookmarkStart w:id="3" w:name="Source"/>
            <w:bookmarkEnd w:id="3"/>
            <w:r w:rsidRPr="00644DC5">
              <w:rPr>
                <w:bCs/>
                <w:color w:val="000000"/>
                <w:lang w:val="fr-FR"/>
              </w:rPr>
              <w:t>Directeur du Bureau de développement des télécommunications</w:t>
            </w:r>
          </w:p>
        </w:tc>
      </w:tr>
      <w:tr w:rsidR="00AC6F14" w:rsidRPr="00233D1F" w14:paraId="2CBD3A36" w14:textId="77777777" w:rsidTr="00107E85">
        <w:trPr>
          <w:cantSplit/>
        </w:trPr>
        <w:tc>
          <w:tcPr>
            <w:tcW w:w="9888" w:type="dxa"/>
            <w:gridSpan w:val="4"/>
          </w:tcPr>
          <w:p w14:paraId="1B4121DF" w14:textId="3B1E4394" w:rsidR="00AC6F14" w:rsidRPr="00644DC5" w:rsidRDefault="00D57409" w:rsidP="0030353C">
            <w:pPr>
              <w:pStyle w:val="Title1"/>
              <w:rPr>
                <w:rFonts w:cs="Times New Roman"/>
                <w:bCs/>
                <w:lang w:val="fr-FR"/>
              </w:rPr>
            </w:pPr>
            <w:bookmarkStart w:id="4" w:name="Title"/>
            <w:bookmarkEnd w:id="4"/>
            <w:r w:rsidRPr="00644DC5">
              <w:rPr>
                <w:color w:val="000000"/>
                <w:lang w:val="fr-FR"/>
              </w:rPr>
              <w:t>Bases à prendre en compte pour la répartition des documents et</w:t>
            </w:r>
            <w:r w:rsidRPr="00644DC5">
              <w:rPr>
                <w:color w:val="000000"/>
                <w:lang w:val="fr-FR"/>
              </w:rPr>
              <w:br/>
              <w:t>de la charge de travail entre les commissions à la CMDT-25</w:t>
            </w:r>
          </w:p>
        </w:tc>
      </w:tr>
      <w:tr w:rsidR="00A721F4" w:rsidRPr="00233D1F" w14:paraId="23A30231" w14:textId="77777777" w:rsidTr="00A721F4">
        <w:trPr>
          <w:cantSplit/>
        </w:trPr>
        <w:tc>
          <w:tcPr>
            <w:tcW w:w="9888" w:type="dxa"/>
            <w:gridSpan w:val="4"/>
            <w:tcBorders>
              <w:bottom w:val="single" w:sz="4" w:space="0" w:color="auto"/>
            </w:tcBorders>
          </w:tcPr>
          <w:p w14:paraId="726EE70E" w14:textId="77777777" w:rsidR="00A721F4" w:rsidRPr="00644DC5" w:rsidRDefault="00A721F4" w:rsidP="0030353C">
            <w:pPr>
              <w:rPr>
                <w:lang w:val="fr-FR"/>
              </w:rPr>
            </w:pPr>
          </w:p>
        </w:tc>
      </w:tr>
      <w:tr w:rsidR="00A721F4" w:rsidRPr="00644DC5" w14:paraId="590033C8"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1EC53C50" w14:textId="77777777" w:rsidR="00FB481E" w:rsidRPr="00644DC5" w:rsidRDefault="00FB481E" w:rsidP="00FB481E">
            <w:pPr>
              <w:pStyle w:val="Title1"/>
              <w:jc w:val="left"/>
              <w:rPr>
                <w:rFonts w:cstheme="minorHAnsi"/>
                <w:b/>
                <w:bCs/>
                <w:caps/>
                <w:sz w:val="24"/>
                <w:szCs w:val="24"/>
                <w:lang w:val="fr-FR"/>
              </w:rPr>
            </w:pPr>
            <w:r w:rsidRPr="00644DC5">
              <w:rPr>
                <w:rFonts w:cstheme="minorHAnsi"/>
                <w:b/>
                <w:bCs/>
                <w:sz w:val="24"/>
                <w:szCs w:val="24"/>
                <w:lang w:val="fr-FR"/>
              </w:rPr>
              <w:t xml:space="preserve">Point de l'ordre du </w:t>
            </w:r>
            <w:proofErr w:type="gramStart"/>
            <w:r w:rsidRPr="00644DC5">
              <w:rPr>
                <w:rFonts w:cstheme="minorHAnsi"/>
                <w:b/>
                <w:bCs/>
                <w:sz w:val="24"/>
                <w:szCs w:val="24"/>
                <w:lang w:val="fr-FR"/>
              </w:rPr>
              <w:t>jour:</w:t>
            </w:r>
            <w:proofErr w:type="gramEnd"/>
          </w:p>
          <w:p w14:paraId="0FA79053" w14:textId="4DC34F48" w:rsidR="00FB481E" w:rsidRPr="00644DC5" w:rsidRDefault="00D57409" w:rsidP="00FB481E">
            <w:pPr>
              <w:pStyle w:val="Title1"/>
              <w:jc w:val="left"/>
              <w:rPr>
                <w:rFonts w:cstheme="minorHAnsi"/>
                <w:caps/>
                <w:sz w:val="24"/>
                <w:szCs w:val="24"/>
                <w:lang w:val="fr-FR"/>
              </w:rPr>
            </w:pPr>
            <w:r w:rsidRPr="00644DC5">
              <w:rPr>
                <w:rFonts w:cstheme="minorHAnsi"/>
                <w:sz w:val="24"/>
                <w:szCs w:val="24"/>
                <w:lang w:val="fr-FR"/>
              </w:rPr>
              <w:t>6</w:t>
            </w:r>
          </w:p>
          <w:p w14:paraId="2A5869AA" w14:textId="61A401FC" w:rsidR="00FB481E" w:rsidRPr="00644DC5" w:rsidRDefault="00FB481E" w:rsidP="00FB481E">
            <w:pPr>
              <w:pStyle w:val="Title1"/>
              <w:jc w:val="left"/>
              <w:rPr>
                <w:rFonts w:cstheme="minorHAnsi"/>
                <w:b/>
                <w:bCs/>
                <w:caps/>
                <w:sz w:val="24"/>
                <w:szCs w:val="24"/>
                <w:lang w:val="fr-FR"/>
              </w:rPr>
            </w:pPr>
            <w:r w:rsidRPr="00644DC5">
              <w:rPr>
                <w:rFonts w:cstheme="minorHAnsi"/>
                <w:b/>
                <w:bCs/>
                <w:sz w:val="24"/>
                <w:szCs w:val="24"/>
                <w:lang w:val="fr-FR"/>
              </w:rPr>
              <w:t>Résumé:</w:t>
            </w:r>
          </w:p>
          <w:p w14:paraId="1CDA6A5D" w14:textId="3DE16C90" w:rsidR="00FB481E" w:rsidRPr="00644DC5" w:rsidRDefault="00D57409" w:rsidP="00FB481E">
            <w:pPr>
              <w:pStyle w:val="Title1"/>
              <w:jc w:val="left"/>
              <w:rPr>
                <w:rFonts w:cstheme="minorHAnsi"/>
                <w:caps/>
                <w:sz w:val="24"/>
                <w:szCs w:val="24"/>
                <w:lang w:val="fr-FR"/>
              </w:rPr>
            </w:pPr>
            <w:r w:rsidRPr="00644DC5">
              <w:rPr>
                <w:rFonts w:cstheme="minorHAnsi"/>
                <w:sz w:val="24"/>
                <w:szCs w:val="24"/>
                <w:lang w:val="fr-FR"/>
              </w:rPr>
              <w:t xml:space="preserve">On trouvera dans le présent document une proposition concernant les bases à prendre en compte pour la répartition des documents lors de la CMDT-25, qui est soumise pour examen compte tenu de la structure proposée pour la </w:t>
            </w:r>
            <w:r w:rsidR="00E74D9A" w:rsidRPr="00644DC5">
              <w:rPr>
                <w:rFonts w:cstheme="minorHAnsi"/>
                <w:sz w:val="24"/>
                <w:szCs w:val="24"/>
                <w:lang w:val="fr-FR"/>
              </w:rPr>
              <w:t>CMDT-</w:t>
            </w:r>
            <w:r w:rsidRPr="00644DC5">
              <w:rPr>
                <w:rFonts w:cstheme="minorHAnsi"/>
                <w:sz w:val="24"/>
                <w:szCs w:val="24"/>
                <w:lang w:val="fr-FR"/>
              </w:rPr>
              <w:t>25 approuvée par le GCDT à sa réunion de 2025.</w:t>
            </w:r>
          </w:p>
          <w:p w14:paraId="022F2FD4" w14:textId="77777777" w:rsidR="00FB481E" w:rsidRPr="00644DC5" w:rsidRDefault="00FB481E" w:rsidP="00FB481E">
            <w:pPr>
              <w:pStyle w:val="Title1"/>
              <w:jc w:val="left"/>
              <w:rPr>
                <w:rFonts w:cstheme="minorHAnsi"/>
                <w:b/>
                <w:bCs/>
                <w:caps/>
                <w:sz w:val="24"/>
                <w:szCs w:val="24"/>
                <w:lang w:val="fr-FR"/>
              </w:rPr>
            </w:pPr>
            <w:r w:rsidRPr="00644DC5">
              <w:rPr>
                <w:rFonts w:cstheme="minorHAnsi"/>
                <w:b/>
                <w:bCs/>
                <w:sz w:val="24"/>
                <w:szCs w:val="24"/>
                <w:lang w:val="fr-FR"/>
              </w:rPr>
              <w:t>Résultats attendus:</w:t>
            </w:r>
          </w:p>
          <w:p w14:paraId="674A9AC6" w14:textId="7519AD82" w:rsidR="00FB481E" w:rsidRPr="00644DC5" w:rsidRDefault="00D57409" w:rsidP="00FB481E">
            <w:pPr>
              <w:pStyle w:val="Title1"/>
              <w:jc w:val="left"/>
              <w:rPr>
                <w:rFonts w:cstheme="minorHAnsi"/>
                <w:caps/>
                <w:sz w:val="24"/>
                <w:szCs w:val="24"/>
                <w:lang w:val="fr-FR"/>
              </w:rPr>
            </w:pPr>
            <w:r w:rsidRPr="00644DC5">
              <w:rPr>
                <w:rFonts w:cstheme="minorHAnsi"/>
                <w:sz w:val="24"/>
                <w:szCs w:val="24"/>
                <w:lang w:val="fr-FR"/>
              </w:rPr>
              <w:t>Les participants à la réunion IRM-2 sont invités à prendre note du présent document.</w:t>
            </w:r>
          </w:p>
          <w:p w14:paraId="34209811" w14:textId="77777777" w:rsidR="00FB481E" w:rsidRPr="00644DC5" w:rsidRDefault="00FB481E" w:rsidP="00FB481E">
            <w:pPr>
              <w:pStyle w:val="Title1"/>
              <w:jc w:val="left"/>
              <w:rPr>
                <w:rFonts w:cstheme="minorHAnsi"/>
                <w:b/>
                <w:bCs/>
                <w:caps/>
                <w:sz w:val="24"/>
                <w:szCs w:val="24"/>
                <w:lang w:val="fr-FR"/>
              </w:rPr>
            </w:pPr>
            <w:r w:rsidRPr="00644DC5">
              <w:rPr>
                <w:rFonts w:cstheme="minorHAnsi"/>
                <w:b/>
                <w:bCs/>
                <w:sz w:val="24"/>
                <w:szCs w:val="24"/>
                <w:lang w:val="fr-FR"/>
              </w:rPr>
              <w:t>Références:</w:t>
            </w:r>
          </w:p>
          <w:p w14:paraId="1ECDD20E" w14:textId="03592C1F" w:rsidR="00A721F4" w:rsidRPr="00644DC5" w:rsidRDefault="00D57409" w:rsidP="00FB481E">
            <w:pPr>
              <w:spacing w:after="120"/>
              <w:rPr>
                <w:lang w:val="fr-FR"/>
              </w:rPr>
            </w:pPr>
            <w:hyperlink r:id="rId13" w:history="1">
              <w:r w:rsidRPr="00644DC5">
                <w:rPr>
                  <w:rStyle w:val="Hyperlink"/>
                  <w:lang w:val="fr-FR"/>
                </w:rPr>
                <w:t>TDAG-25/17</w:t>
              </w:r>
            </w:hyperlink>
          </w:p>
        </w:tc>
      </w:tr>
    </w:tbl>
    <w:p w14:paraId="7BD7CE83" w14:textId="2AF3A16F" w:rsidR="00D57409" w:rsidRPr="00644DC5" w:rsidRDefault="00D57409" w:rsidP="00D57409">
      <w:pPr>
        <w:pStyle w:val="Normalaftertitle"/>
        <w:rPr>
          <w:lang w:val="fr-FR"/>
        </w:rPr>
      </w:pPr>
      <w:r w:rsidRPr="00644DC5">
        <w:rPr>
          <w:lang w:val="fr-FR"/>
        </w:rPr>
        <w:t>Afin de répartir le mieux possible la charge de travail entre les commissions de la CMDT-25 responsables des questions de fond, la proposition de répartition suivante est soumise aux participants à la réunion IRM-2 pour examen, afin qu'ils fournissent d'éventuelles orientations au Directeur du BDT concernant l'organisation de la Conférence. La proposition de répartition des documents est fondée sur le mandat de chaque commission et sur la nécessité d'équilibrer la charge de travail, afin d'éviter les goulets d'étranglement au niveau des commissions et de garantir le bon déroulement des travaux de la Conférence.</w:t>
      </w:r>
    </w:p>
    <w:p w14:paraId="72F5CF96" w14:textId="50A253B9" w:rsidR="00923CF1" w:rsidRPr="00644DC5" w:rsidRDefault="00D57409" w:rsidP="00D57409">
      <w:pPr>
        <w:rPr>
          <w:lang w:val="fr-FR"/>
        </w:rPr>
      </w:pPr>
      <w:r w:rsidRPr="00644DC5">
        <w:rPr>
          <w:lang w:val="fr-FR"/>
        </w:rPr>
        <w:t>À toutes fins utiles, le projet de structure de la Conférence approuvé par le GCDT à sa réunion tenue du 12 au 16 mai 2025 est reproduit dans le</w:t>
      </w:r>
      <w:r w:rsidR="002442A0" w:rsidRPr="00644DC5">
        <w:rPr>
          <w:lang w:val="fr-FR"/>
        </w:rPr>
        <w:t xml:space="preserve"> Document</w:t>
      </w:r>
      <w:r w:rsidRPr="00644DC5">
        <w:rPr>
          <w:lang w:val="fr-FR"/>
        </w:rPr>
        <w:t xml:space="preserve"> </w:t>
      </w:r>
      <w:hyperlink r:id="rId14" w:history="1">
        <w:r w:rsidR="002442A0" w:rsidRPr="00644DC5">
          <w:rPr>
            <w:rStyle w:val="Hyperlink"/>
            <w:lang w:val="fr-FR"/>
          </w:rPr>
          <w:t>TDAG-25/17</w:t>
        </w:r>
      </w:hyperlink>
      <w:r w:rsidRPr="00644DC5">
        <w:rPr>
          <w:lang w:val="fr-FR"/>
        </w:rPr>
        <w:t>.</w:t>
      </w:r>
    </w:p>
    <w:p w14:paraId="5B29B2A3" w14:textId="77777777" w:rsidR="00923CF1" w:rsidRPr="00644DC5" w:rsidRDefault="00923CF1">
      <w:pPr>
        <w:tabs>
          <w:tab w:val="clear" w:pos="794"/>
          <w:tab w:val="clear" w:pos="1191"/>
          <w:tab w:val="clear" w:pos="1588"/>
          <w:tab w:val="clear" w:pos="1985"/>
        </w:tabs>
        <w:overflowPunct/>
        <w:autoSpaceDE/>
        <w:autoSpaceDN/>
        <w:adjustRightInd/>
        <w:spacing w:before="0"/>
        <w:textAlignment w:val="auto"/>
        <w:rPr>
          <w:lang w:val="fr-FR"/>
        </w:rPr>
      </w:pPr>
      <w:r w:rsidRPr="00644DC5">
        <w:rPr>
          <w:lang w:val="fr-FR"/>
        </w:rPr>
        <w:br w:type="page"/>
      </w:r>
    </w:p>
    <w:tbl>
      <w:tblPr>
        <w:tblStyle w:val="TableGrid"/>
        <w:tblW w:w="0" w:type="auto"/>
        <w:tblLook w:val="04A0" w:firstRow="1" w:lastRow="0" w:firstColumn="1" w:lastColumn="0" w:noHBand="0" w:noVBand="1"/>
      </w:tblPr>
      <w:tblGrid>
        <w:gridCol w:w="9629"/>
      </w:tblGrid>
      <w:tr w:rsidR="00D57409" w:rsidRPr="00644DC5" w14:paraId="25016567" w14:textId="77777777" w:rsidTr="00D57409">
        <w:tc>
          <w:tcPr>
            <w:tcW w:w="9629" w:type="dxa"/>
            <w:shd w:val="clear" w:color="auto" w:fill="B8CCE4" w:themeFill="accent1" w:themeFillTint="66"/>
          </w:tcPr>
          <w:p w14:paraId="66F01FD0" w14:textId="45077C82" w:rsidR="00D57409" w:rsidRPr="00644DC5" w:rsidRDefault="00D57409" w:rsidP="00D8259B">
            <w:pPr>
              <w:pStyle w:val="Tablehead"/>
              <w:jc w:val="left"/>
              <w:rPr>
                <w:lang w:val="fr-FR"/>
              </w:rPr>
            </w:pPr>
            <w:r w:rsidRPr="00644DC5">
              <w:rPr>
                <w:sz w:val="24"/>
                <w:szCs w:val="22"/>
                <w:lang w:val="fr-FR"/>
              </w:rPr>
              <w:lastRenderedPageBreak/>
              <w:t>Commission 3: Objectifs</w:t>
            </w:r>
          </w:p>
        </w:tc>
      </w:tr>
      <w:tr w:rsidR="00D57409" w:rsidRPr="00233D1F" w14:paraId="1295846F" w14:textId="77777777" w:rsidTr="00D57409">
        <w:tc>
          <w:tcPr>
            <w:tcW w:w="9629" w:type="dxa"/>
          </w:tcPr>
          <w:p w14:paraId="419BD70A" w14:textId="6E58564F" w:rsidR="00D57409" w:rsidRPr="00644DC5" w:rsidRDefault="00D57409" w:rsidP="00D8259B">
            <w:pPr>
              <w:pStyle w:val="Tablehead"/>
              <w:jc w:val="left"/>
              <w:rPr>
                <w:sz w:val="24"/>
                <w:szCs w:val="24"/>
                <w:lang w:val="fr-FR"/>
              </w:rPr>
            </w:pPr>
            <w:r w:rsidRPr="00644DC5">
              <w:rPr>
                <w:sz w:val="24"/>
                <w:szCs w:val="24"/>
                <w:lang w:val="fr-FR"/>
              </w:rPr>
              <w:t>Mandat: examiner et adopter l'ordre du jour et formuler des propositions concernant l'organisation des travaux; examiner et approuver les produits et les résultats correspondant aux différents objectifs; examiner et approuver les Questions confiées aux commissions d'études et les initiatives régionales connexes et élaborer des lignes directrices pour leur mise en œuvre; examiner et approuver les résolutions pertinentes; et veiller à ce que les produits soient conformes à la méthode de gestion axée sur les résultats, qui vise à améliorer l'efficacité de la gestion et la responsabilité.</w:t>
            </w:r>
          </w:p>
        </w:tc>
      </w:tr>
      <w:tr w:rsidR="00D57409" w:rsidRPr="00233D1F" w14:paraId="48076F97" w14:textId="77777777" w:rsidTr="00D57409">
        <w:tc>
          <w:tcPr>
            <w:tcW w:w="9629" w:type="dxa"/>
          </w:tcPr>
          <w:p w14:paraId="730DD6C5" w14:textId="2041E6E8"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15" w:history="1">
              <w:r w:rsidRPr="00644DC5">
                <w:rPr>
                  <w:rStyle w:val="Hyperlink"/>
                  <w:szCs w:val="24"/>
                  <w:lang w:val="fr-FR"/>
                </w:rPr>
                <w:t>RÉSOLUTION 2 (Rév. Kigali, 2022) – Établissement de commissions d'études</w:t>
              </w:r>
            </w:hyperlink>
          </w:p>
          <w:p w14:paraId="74F536E1" w14:textId="7CCF0005"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16" w:history="1">
              <w:r w:rsidRPr="00644DC5">
                <w:rPr>
                  <w:rStyle w:val="Hyperlink"/>
                  <w:szCs w:val="24"/>
                  <w:lang w:val="fr-FR"/>
                </w:rPr>
                <w:t>RÉSOLUTION 8 (Rév. Kigali, 2022) – Collecte et diffusion d'informations et de statistiques</w:t>
              </w:r>
            </w:hyperlink>
          </w:p>
          <w:p w14:paraId="7E47448E" w14:textId="1A8C3BC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17" w:history="1">
              <w:r w:rsidRPr="00644DC5">
                <w:rPr>
                  <w:rStyle w:val="Hyperlink"/>
                  <w:szCs w:val="24"/>
                  <w:lang w:val="fr-FR"/>
                </w:rPr>
                <w:t>RÉSOLUTION 9 (Rév. Kigali, 2022) – Participation des pays, en particulier des pays en développement, à la gestion du spectre radioélectrique</w:t>
              </w:r>
            </w:hyperlink>
          </w:p>
          <w:p w14:paraId="0F1DEE4E" w14:textId="6856F54A"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18" w:history="1">
              <w:r w:rsidRPr="00644DC5">
                <w:rPr>
                  <w:rStyle w:val="Hyperlink"/>
                  <w:szCs w:val="24"/>
                  <w:lang w:val="fr-FR"/>
                </w:rPr>
                <w:t>RÉSOLUTION 10 (Rév. Hyderabad, 2010) – Assistance financière pour les programmes nationaux de gestion du spectre</w:t>
              </w:r>
            </w:hyperlink>
          </w:p>
          <w:p w14:paraId="0A4BDD69" w14:textId="3C50E4E1"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19" w:history="1">
              <w:r w:rsidRPr="00644DC5">
                <w:rPr>
                  <w:rStyle w:val="Hyperlink"/>
                  <w:szCs w:val="24"/>
                  <w:lang w:val="fr-FR"/>
                </w:rPr>
                <w:t>RÉSOLUTION 11 (Rév. Kigali, 2022) – Services issus des télécommunications/technologies de l'information et de la communication dans les zones rurales, isolées et mal desservies</w:t>
              </w:r>
            </w:hyperlink>
          </w:p>
          <w:p w14:paraId="1B79CC07" w14:textId="3B033F2A"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0" w:history="1">
              <w:r w:rsidRPr="00644DC5">
                <w:rPr>
                  <w:rStyle w:val="Hyperlink"/>
                  <w:szCs w:val="24"/>
                  <w:lang w:val="fr-FR"/>
                </w:rPr>
                <w:t>RÉSOLUTION 15 (Rév. Kigali, 2022) – Recherche appliquée et transfert de technologie</w:t>
              </w:r>
            </w:hyperlink>
          </w:p>
          <w:p w14:paraId="2A94FBF1" w14:textId="6998ECBF" w:rsidR="00D8259B" w:rsidRPr="00644DC5" w:rsidRDefault="00D8259B" w:rsidP="00F9127B">
            <w:pPr>
              <w:pStyle w:val="enumlev1"/>
              <w:rPr>
                <w:szCs w:val="24"/>
                <w:lang w:val="fr-FR"/>
              </w:rPr>
            </w:pPr>
            <w:r w:rsidRPr="00644DC5">
              <w:rPr>
                <w:szCs w:val="24"/>
                <w:lang w:val="fr-FR"/>
              </w:rPr>
              <w:t>•</w:t>
            </w:r>
            <w:r w:rsidRPr="00644DC5">
              <w:rPr>
                <w:szCs w:val="24"/>
                <w:lang w:val="fr-FR"/>
              </w:rPr>
              <w:tab/>
            </w:r>
            <w:hyperlink r:id="rId21" w:history="1">
              <w:r w:rsidRPr="00644DC5">
                <w:rPr>
                  <w:rStyle w:val="Hyperlink"/>
                  <w:szCs w:val="24"/>
                  <w:lang w:val="fr-FR"/>
                </w:rPr>
                <w:t>RÉSOLUTION 16 (Rév. Buenos Aires, 2017) – Mesures spéciales en faveur des pays les moins avancés, des petits États insulaires en développement, des pays en développement sans littoral et des pays dont l'économie est en transition</w:t>
              </w:r>
            </w:hyperlink>
          </w:p>
          <w:p w14:paraId="30920666" w14:textId="6AB3E08D"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2" w:history="1">
              <w:r w:rsidRPr="00644DC5">
                <w:rPr>
                  <w:rStyle w:val="Hyperlink"/>
                  <w:szCs w:val="24"/>
                  <w:lang w:val="fr-FR"/>
                </w:rPr>
                <w:t>RÉSOLUTION 17 (Rév. Kigali, 2022) – Mise en œuvre aux niveaux national, régional, interrégional et mondial des initiatives régionales approuvées et coopération en la matière</w:t>
              </w:r>
            </w:hyperlink>
          </w:p>
          <w:p w14:paraId="6D0C3338" w14:textId="0582CEF5"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3" w:history="1">
              <w:r w:rsidRPr="00644DC5">
                <w:rPr>
                  <w:rStyle w:val="Hyperlink"/>
                  <w:szCs w:val="24"/>
                  <w:lang w:val="fr-FR"/>
                </w:rPr>
                <w:t>RÉSOLUTION 18 (Rév. Kigali, 2022) – Assistance technique spéciale à la Palestine</w:t>
              </w:r>
            </w:hyperlink>
          </w:p>
          <w:p w14:paraId="0815E614" w14:textId="0E1FD0AB"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4" w:history="1">
              <w:r w:rsidRPr="00644DC5">
                <w:rPr>
                  <w:rStyle w:val="Hyperlink"/>
                  <w:szCs w:val="24"/>
                  <w:lang w:val="fr-FR"/>
                </w:rPr>
                <w:t>RÉSOLUTION 20 (Rév. Buenos Aires, 2017) – Accès non discriminatoire aux moyens, services et applications connexes modernes reposant sur les télécommunications et les technologies de l'information et de la communication</w:t>
              </w:r>
            </w:hyperlink>
          </w:p>
          <w:p w14:paraId="4B28551F" w14:textId="724AFE68"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5" w:history="1">
              <w:r w:rsidRPr="00644DC5">
                <w:rPr>
                  <w:rStyle w:val="Hyperlink"/>
                  <w:szCs w:val="24"/>
                  <w:lang w:val="fr-FR"/>
                </w:rPr>
                <w:t>RÉSOLUTION 22 (Rév. Kigali, 2022) – Procédures d'appel alternatives sur les réseaux de télécommunication internationaux et identification de leur origine dans le cadre de la fourniture de services internationaux de télécommunication</w:t>
              </w:r>
            </w:hyperlink>
          </w:p>
          <w:p w14:paraId="65566784" w14:textId="2D056227"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6" w:history="1">
              <w:r w:rsidRPr="00644DC5">
                <w:rPr>
                  <w:rStyle w:val="Hyperlink"/>
                  <w:szCs w:val="24"/>
                  <w:lang w:val="fr-FR"/>
                </w:rPr>
                <w:t>RÉSOLUTION 23 (Rév. Buenos Aires, 2017) – Accès à l'Internet et disponibilité de l'Internet pour les pays en développement et principes de taxation applicables aux connexions Internet internationales</w:t>
              </w:r>
            </w:hyperlink>
          </w:p>
          <w:p w14:paraId="3ECE2A50" w14:textId="59117E5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7" w:history="1">
              <w:r w:rsidRPr="00644DC5">
                <w:rPr>
                  <w:rStyle w:val="Hyperlink"/>
                  <w:szCs w:val="24"/>
                  <w:lang w:val="fr-FR"/>
                </w:rPr>
                <w:t>RÉSOLUTION 25 (Rév. Kigali, 2022) – Assistance aux pays ayant des besoins spéciaux: Afghanistan, Burundi, Érythrée, Éthiopie, Guinée, Guinée-Bissau, Haïti, Libéria, République Centrafricaine, République démocratique du Congo, Rwanda, Sierra Leone, Somalie, Soudan du Sud et Timor-Leste</w:t>
              </w:r>
            </w:hyperlink>
          </w:p>
          <w:p w14:paraId="063A2678" w14:textId="4FDBEC1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28" w:history="1">
              <w:r w:rsidRPr="00644DC5">
                <w:rPr>
                  <w:rStyle w:val="Hyperlink"/>
                  <w:szCs w:val="24"/>
                  <w:lang w:val="fr-FR"/>
                </w:rPr>
                <w:t>RÉSOLUTION 26 (Rév. Doha, 2006) – Assistance aux pays ayant des besoins spéciaux: Afghanistan</w:t>
              </w:r>
            </w:hyperlink>
          </w:p>
          <w:p w14:paraId="7FE2702E" w14:textId="2A801716" w:rsidR="00D8259B" w:rsidRPr="00644DC5" w:rsidRDefault="00D8259B" w:rsidP="00D8259B">
            <w:pPr>
              <w:pStyle w:val="enumlev1"/>
              <w:rPr>
                <w:szCs w:val="24"/>
                <w:lang w:val="fr-FR"/>
              </w:rPr>
            </w:pPr>
            <w:r w:rsidRPr="00644DC5">
              <w:rPr>
                <w:szCs w:val="24"/>
                <w:lang w:val="fr-FR"/>
              </w:rPr>
              <w:lastRenderedPageBreak/>
              <w:t>•</w:t>
            </w:r>
            <w:r w:rsidRPr="00644DC5">
              <w:rPr>
                <w:szCs w:val="24"/>
                <w:lang w:val="fr-FR"/>
              </w:rPr>
              <w:tab/>
            </w:r>
            <w:hyperlink r:id="rId29" w:history="1">
              <w:r w:rsidRPr="00644DC5">
                <w:rPr>
                  <w:rStyle w:val="Hyperlink"/>
                  <w:szCs w:val="24"/>
                  <w:lang w:val="fr-FR"/>
                </w:rPr>
                <w:t>RÉSOLUTION 30 (Rév. Kigali, 2022) – Rôle du Secteur du développement des télécommunications de l'UIT dans la mise en œuvre des résultats du Sommet mondial sur la société de l'information et du Programme de développement durable à l'horizon</w:t>
              </w:r>
              <w:r w:rsidR="00F9127B" w:rsidRPr="00644DC5">
                <w:rPr>
                  <w:rStyle w:val="Hyperlink"/>
                  <w:szCs w:val="24"/>
                  <w:lang w:val="fr-FR"/>
                </w:rPr>
                <w:t> </w:t>
              </w:r>
              <w:r w:rsidRPr="00644DC5">
                <w:rPr>
                  <w:rStyle w:val="Hyperlink"/>
                  <w:szCs w:val="24"/>
                  <w:lang w:val="fr-FR"/>
                </w:rPr>
                <w:t>2030</w:t>
              </w:r>
            </w:hyperlink>
          </w:p>
          <w:p w14:paraId="2CF68375" w14:textId="710FBC8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0" w:history="1">
              <w:r w:rsidRPr="00644DC5">
                <w:rPr>
                  <w:rStyle w:val="Hyperlink"/>
                  <w:szCs w:val="24"/>
                  <w:lang w:val="fr-FR"/>
                </w:rPr>
                <w:t>RÉSOLUTION 33 (Rév. Dubaï, 2014) – Aide et soutien à la Serbie pour la remise en état de son système public de radiodiffusion détruit</w:t>
              </w:r>
            </w:hyperlink>
          </w:p>
          <w:p w14:paraId="081DE4F7" w14:textId="6BCCC6B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1" w:history="1">
              <w:r w:rsidRPr="00644DC5">
                <w:rPr>
                  <w:rStyle w:val="Hyperlink"/>
                  <w:szCs w:val="24"/>
                  <w:lang w:val="fr-FR"/>
                </w:rPr>
                <w:t>RÉSOLUTION 34 (Rév. Kigali, 2022) – Rôle des télécommunications et des technologies de l'information et de la communication dans la préparation en prévision des catastrophes, l'alerte avancée, l'atténuation des effets des catastrophes, les interventions et les opérations de secours</w:t>
              </w:r>
            </w:hyperlink>
          </w:p>
          <w:p w14:paraId="7DE599D0" w14:textId="046204C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2" w:history="1">
              <w:r w:rsidRPr="00644DC5">
                <w:rPr>
                  <w:rStyle w:val="Hyperlink"/>
                  <w:szCs w:val="24"/>
                  <w:lang w:val="fr-FR"/>
                </w:rPr>
                <w:t>RÉSOLUTION 36 (Rév. Kigali, 2022) – Soutien à l'Union africaine des télécommunications</w:t>
              </w:r>
            </w:hyperlink>
          </w:p>
          <w:p w14:paraId="6C4AC8B4" w14:textId="419A70E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3" w:history="1">
              <w:r w:rsidRPr="00644DC5">
                <w:rPr>
                  <w:rStyle w:val="Hyperlink"/>
                  <w:szCs w:val="24"/>
                  <w:lang w:val="fr-FR"/>
                </w:rPr>
                <w:t>RÉSOLUTION 37 (Rév. Kigali, 2022) – Réduction de la fracture numérique</w:t>
              </w:r>
            </w:hyperlink>
          </w:p>
          <w:p w14:paraId="0C02A33F" w14:textId="7E51CA9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4" w:history="1">
              <w:r w:rsidRPr="00644DC5">
                <w:rPr>
                  <w:rStyle w:val="Hyperlink"/>
                  <w:szCs w:val="24"/>
                  <w:lang w:val="fr-FR"/>
                </w:rPr>
                <w:t>RÉSOLUTION 40 (Rév. Kigali, 2022) – Groupe sur les initiatives pour le renforcement des capacités</w:t>
              </w:r>
            </w:hyperlink>
          </w:p>
          <w:p w14:paraId="5C3D531E" w14:textId="5269B26F"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5" w:history="1">
              <w:r w:rsidRPr="00644DC5">
                <w:rPr>
                  <w:rStyle w:val="Hyperlink"/>
                  <w:szCs w:val="24"/>
                  <w:lang w:val="fr-FR"/>
                </w:rPr>
                <w:t>RÉSOLUTION 43 (Rév. Buenos Aires, 2017) – Assistance dans le domaine de la mise en</w:t>
              </w:r>
              <w:r w:rsidR="00DB43B0" w:rsidRPr="00644DC5">
                <w:rPr>
                  <w:rStyle w:val="Hyperlink"/>
                  <w:szCs w:val="24"/>
                  <w:lang w:val="fr-FR"/>
                </w:rPr>
                <w:t> </w:t>
              </w:r>
              <w:r w:rsidRPr="00644DC5">
                <w:rPr>
                  <w:rStyle w:val="Hyperlink"/>
                  <w:szCs w:val="24"/>
                  <w:lang w:val="fr-FR"/>
                </w:rPr>
                <w:t>œuvre des Télécommunications mobiles internationales et des réseaux futurs</w:t>
              </w:r>
            </w:hyperlink>
          </w:p>
          <w:p w14:paraId="37AA9EAF" w14:textId="0743DF1D"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6" w:history="1">
              <w:r w:rsidRPr="00644DC5">
                <w:rPr>
                  <w:rStyle w:val="Hyperlink"/>
                  <w:szCs w:val="24"/>
                  <w:lang w:val="fr-FR"/>
                </w:rPr>
                <w:t>RÉSOLUTION 45 (Rév. Kigali, 2022) – Mécanismes propres à améliorer la coopération en matière de cybersécurité, y compris la lutte contre le spam</w:t>
              </w:r>
            </w:hyperlink>
          </w:p>
          <w:p w14:paraId="279671EC" w14:textId="355DA295"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7" w:history="1">
              <w:r w:rsidRPr="00644DC5">
                <w:rPr>
                  <w:rStyle w:val="Hyperlink"/>
                  <w:szCs w:val="24"/>
                  <w:lang w:val="fr-FR"/>
                </w:rPr>
                <w:t>RÉSOLUTION 46 (Rév. Kigali, 2022) – Assistance en faveur des peuples et des communautés autochtones par le biais des technologies de l'information et de la communication</w:t>
              </w:r>
            </w:hyperlink>
          </w:p>
          <w:p w14:paraId="519D361D" w14:textId="736B8735"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8" w:history="1">
              <w:r w:rsidRPr="00644DC5">
                <w:rPr>
                  <w:rStyle w:val="Hyperlink"/>
                  <w:szCs w:val="24"/>
                  <w:lang w:val="fr-FR"/>
                </w:rPr>
                <w:t>RÉSOLUTION 47 (Rév. Kigali, 2022) – Mieux faire connaître et appliquer les Recommandations de l'UIT dans les pays en développement, y compris les essais de conformité et d'interopérabilité des systèmes produits sur la base de Recommandations de l'UIT</w:t>
              </w:r>
            </w:hyperlink>
          </w:p>
          <w:p w14:paraId="1731C609" w14:textId="0C31235F"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39" w:history="1">
              <w:r w:rsidRPr="00644DC5">
                <w:rPr>
                  <w:rStyle w:val="Hyperlink"/>
                  <w:szCs w:val="24"/>
                  <w:lang w:val="fr-FR"/>
                </w:rPr>
                <w:t>RÉSOLUTION 51 (Rév. Kigali, 2022) – Fourniture à l'Iraq d'une assistance et d'un appui pour la poursuite de la reconstruction et de la remise en état de ses systèmes de télécommunication/TIC</w:t>
              </w:r>
            </w:hyperlink>
          </w:p>
          <w:p w14:paraId="6B871664" w14:textId="42286E3A"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0" w:history="1">
              <w:r w:rsidRPr="00644DC5">
                <w:rPr>
                  <w:rStyle w:val="Hyperlink"/>
                  <w:szCs w:val="24"/>
                  <w:lang w:val="fr-FR"/>
                </w:rPr>
                <w:t>RÉSOLUTION 52 (Rév. Dubaï, 2014) – Renforcement du rôle d'agent d'exécution du Secteur du développement des télécommunications de l'UIT</w:t>
              </w:r>
            </w:hyperlink>
          </w:p>
          <w:p w14:paraId="3872F357" w14:textId="2CF5DFC6"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1" w:history="1">
              <w:r w:rsidRPr="00644DC5">
                <w:rPr>
                  <w:rStyle w:val="Hyperlink"/>
                  <w:szCs w:val="24"/>
                  <w:lang w:val="fr-FR"/>
                </w:rPr>
                <w:t>RÉSOLUTION 55 (Rév. Kigali, 2022) – Intégration du principe de l'égalité entre les femmes et les hommes à l'UIT pour renforcer l'autonomisation des femmes grâce aux télécommunications/TIC</w:t>
              </w:r>
            </w:hyperlink>
          </w:p>
          <w:p w14:paraId="2CEE1192" w14:textId="05603A2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2" w:history="1">
              <w:r w:rsidRPr="00644DC5">
                <w:rPr>
                  <w:rStyle w:val="Hyperlink"/>
                  <w:szCs w:val="24"/>
                  <w:lang w:val="fr-FR"/>
                </w:rPr>
                <w:t>RÉSOLUTION 57 (Rév. Hyderabad, 2010) – Assistance à la Somalie</w:t>
              </w:r>
            </w:hyperlink>
          </w:p>
          <w:p w14:paraId="4424D406" w14:textId="30492D71"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3" w:history="1">
              <w:r w:rsidRPr="00644DC5">
                <w:rPr>
                  <w:rStyle w:val="Hyperlink"/>
                  <w:szCs w:val="24"/>
                  <w:lang w:val="fr-FR"/>
                </w:rPr>
                <w:t>RÉSOLUTION 58 (Rév. Kigali, 2022) – Accessibilité des télécommunications/technologies de l'information et de la communication pour les personnes handicapées et les personnes ayant des besoins particuliers</w:t>
              </w:r>
            </w:hyperlink>
          </w:p>
          <w:p w14:paraId="53E6B6AE" w14:textId="6FCCC51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4" w:history="1">
              <w:r w:rsidRPr="00644DC5">
                <w:rPr>
                  <w:rStyle w:val="Hyperlink"/>
                  <w:szCs w:val="24"/>
                  <w:lang w:val="fr-FR"/>
                </w:rPr>
                <w:t xml:space="preserve">RÉSOLUTION 60 (Hyderabad, 2010) – Assistance aux pays en situations </w:t>
              </w:r>
              <w:proofErr w:type="gramStart"/>
              <w:r w:rsidRPr="00644DC5">
                <w:rPr>
                  <w:rStyle w:val="Hyperlink"/>
                  <w:szCs w:val="24"/>
                  <w:lang w:val="fr-FR"/>
                </w:rPr>
                <w:t>spéciales:</w:t>
              </w:r>
              <w:proofErr w:type="gramEnd"/>
              <w:r w:rsidRPr="00644DC5">
                <w:rPr>
                  <w:rStyle w:val="Hyperlink"/>
                  <w:szCs w:val="24"/>
                  <w:lang w:val="fr-FR"/>
                </w:rPr>
                <w:t xml:space="preserve"> Haïti</w:t>
              </w:r>
            </w:hyperlink>
          </w:p>
          <w:p w14:paraId="54FB1C82" w14:textId="36F9534B"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5" w:history="1">
              <w:r w:rsidRPr="00644DC5">
                <w:rPr>
                  <w:rStyle w:val="Hyperlink"/>
                  <w:szCs w:val="24"/>
                  <w:lang w:val="fr-FR"/>
                </w:rPr>
                <w:t>RÉSOLUTION 62 (Rév. Kigali, 2022) – Évaluation et mesure de l'exposition des personnes aux champs électromagnétiques</w:t>
              </w:r>
            </w:hyperlink>
          </w:p>
          <w:p w14:paraId="40818543" w14:textId="233EBBC0" w:rsidR="00D8259B" w:rsidRPr="00644DC5" w:rsidRDefault="00D8259B" w:rsidP="00D8259B">
            <w:pPr>
              <w:pStyle w:val="enumlev1"/>
              <w:rPr>
                <w:szCs w:val="24"/>
                <w:lang w:val="fr-FR"/>
              </w:rPr>
            </w:pPr>
            <w:r w:rsidRPr="00644DC5">
              <w:rPr>
                <w:szCs w:val="24"/>
                <w:lang w:val="fr-FR"/>
              </w:rPr>
              <w:lastRenderedPageBreak/>
              <w:t>•</w:t>
            </w:r>
            <w:r w:rsidRPr="00644DC5">
              <w:rPr>
                <w:szCs w:val="24"/>
                <w:lang w:val="fr-FR"/>
              </w:rPr>
              <w:tab/>
            </w:r>
            <w:hyperlink r:id="rId46" w:history="1">
              <w:r w:rsidRPr="00644DC5">
                <w:rPr>
                  <w:rStyle w:val="Hyperlink"/>
                  <w:szCs w:val="24"/>
                  <w:lang w:val="fr-FR"/>
                </w:rPr>
                <w:t>RÉSOLUTION 63 (Rév. Kigali, 2022) – Attribution des adresses de protocole Internet et mesures propres à faciliter le passage à la version 6 du protocole Internet et le déploiement de ce protocole dans les pays en développement</w:t>
              </w:r>
            </w:hyperlink>
          </w:p>
          <w:p w14:paraId="43E2339B" w14:textId="5053B08C"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7" w:history="1">
              <w:r w:rsidRPr="00644DC5">
                <w:rPr>
                  <w:rStyle w:val="Hyperlink"/>
                  <w:szCs w:val="24"/>
                  <w:lang w:val="fr-FR"/>
                </w:rPr>
                <w:t>RÉSOLUTION 64 (Rév. Kigali, 2022) – Protection et appui pour les utilisateurs/consommateurs de services issus des télécommunications/technologies de l'information et de la communication</w:t>
              </w:r>
            </w:hyperlink>
          </w:p>
          <w:p w14:paraId="57E29A19" w14:textId="62CA8F23"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8" w:history="1">
              <w:r w:rsidRPr="00644DC5">
                <w:rPr>
                  <w:rStyle w:val="Hyperlink"/>
                  <w:szCs w:val="24"/>
                  <w:lang w:val="fr-FR"/>
                </w:rPr>
                <w:t>RÉSOLUTION 66 (Rév. Kigali, 2022) – Les technologies de l'information et de la communication, l'environnement, les changements climatiques et l'économie circulaire</w:t>
              </w:r>
            </w:hyperlink>
          </w:p>
          <w:p w14:paraId="2B3E944A" w14:textId="60DD2EFD"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49" w:history="1">
              <w:r w:rsidRPr="00644DC5">
                <w:rPr>
                  <w:rStyle w:val="Hyperlink"/>
                  <w:szCs w:val="24"/>
                  <w:lang w:val="fr-FR"/>
                </w:rPr>
                <w:t>RÉSOLUTION 67 (Rév. Kigali, 2022) – Rôle du Secteur du développement des télécommunications de l'UIT dans la protection en ligne des enfants</w:t>
              </w:r>
            </w:hyperlink>
          </w:p>
          <w:p w14:paraId="1ACBA13E" w14:textId="1F79F830"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0" w:history="1">
              <w:r w:rsidRPr="00644DC5">
                <w:rPr>
                  <w:rStyle w:val="Hyperlink"/>
                  <w:szCs w:val="24"/>
                  <w:lang w:val="fr-FR"/>
                </w:rPr>
                <w:t>RÉSOLUTION 69 (Rév. Kigali, 2022) – Faciliter la création d'équipes nationales d'intervention en cas d'incident informatique, en particulier pour les pays en développement, et coopération entre ces équipes</w:t>
              </w:r>
            </w:hyperlink>
          </w:p>
          <w:p w14:paraId="10F59082" w14:textId="4ABAA2A5"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1" w:history="1">
              <w:r w:rsidRPr="00644DC5">
                <w:rPr>
                  <w:rStyle w:val="Hyperlink"/>
                  <w:szCs w:val="24"/>
                  <w:lang w:val="fr-FR"/>
                </w:rPr>
                <w:t>RÉSOLUTION 73 (Rév. Kigali, 2022) – Centres de formation de l'Académie de l'UIT</w:t>
              </w:r>
            </w:hyperlink>
          </w:p>
          <w:p w14:paraId="37B57B8E" w14:textId="0FAEE35C"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2" w:history="1">
              <w:r w:rsidRPr="00644DC5">
                <w:rPr>
                  <w:rStyle w:val="Hyperlink"/>
                  <w:szCs w:val="24"/>
                  <w:lang w:val="fr-FR"/>
                </w:rPr>
                <w:t>RÉSOLUTION 75 (Rév. Buenos Aires, 2017) – Mise en œuvre du Manifeste Smart Africa et appui au développement du secteur des technologies de l'information et de la communication en Afrique</w:t>
              </w:r>
            </w:hyperlink>
          </w:p>
          <w:p w14:paraId="4851D67E" w14:textId="7EC4A623"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3" w:history="1">
              <w:r w:rsidRPr="00644DC5">
                <w:rPr>
                  <w:rStyle w:val="Hyperlink"/>
                  <w:szCs w:val="24"/>
                  <w:lang w:val="fr-FR"/>
                </w:rPr>
                <w:t>RÉSOLUTION 76 (Rév. Kigali, 2022) – Promouvoir l'utilisation des technologies de l'information et de la communication au service de l'autonomisation socio-économique des jeunes femmes et des jeunes hommes</w:t>
              </w:r>
            </w:hyperlink>
          </w:p>
          <w:p w14:paraId="069E8CCC" w14:textId="33011338"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4" w:history="1">
              <w:r w:rsidRPr="00644DC5">
                <w:rPr>
                  <w:rStyle w:val="Hyperlink"/>
                  <w:szCs w:val="24"/>
                  <w:lang w:val="fr-FR"/>
                </w:rPr>
                <w:t>RÉSOLUTION 77 (Rév. Buenos Aires, 2017) – Les technologies et les applications large bande au service de la croissance et du développement accrus des services de télécommunication/d'information et de communication et de la connectivité large bande</w:t>
              </w:r>
            </w:hyperlink>
          </w:p>
          <w:p w14:paraId="0B8C2C9A" w14:textId="06382381"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5" w:history="1">
              <w:r w:rsidRPr="00644DC5">
                <w:rPr>
                  <w:rStyle w:val="Hyperlink"/>
                  <w:szCs w:val="24"/>
                  <w:lang w:val="fr-FR"/>
                </w:rPr>
                <w:t>RÉSOLUTION 78 (Rév. Kigali, 2022) – Renforcement des capacités pour lutter contre le détournement et l'utilisation abusive des ressources de numérotage du Secteur de la normalisation des télécommunications de l'UIT</w:t>
              </w:r>
            </w:hyperlink>
          </w:p>
          <w:p w14:paraId="1B97D628" w14:textId="34022969"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6" w:history="1">
              <w:r w:rsidRPr="00644DC5">
                <w:rPr>
                  <w:rStyle w:val="Hyperlink"/>
                  <w:szCs w:val="24"/>
                  <w:lang w:val="fr-FR"/>
                </w:rPr>
                <w:t>RÉSOLUTION 79 (Rév. Kigali, 2022) – Rôle des télécommunications/technologies de l'information et de la communication dans la lutte contre la contrefaçon et l'altération volontaire de dispositifs de télécommunication/d'information et de communication et le traitement de ce problème</w:t>
              </w:r>
            </w:hyperlink>
          </w:p>
          <w:p w14:paraId="2AFF7794" w14:textId="56ECC774"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7" w:history="1">
              <w:r w:rsidRPr="00644DC5">
                <w:rPr>
                  <w:rStyle w:val="Hyperlink"/>
                  <w:szCs w:val="24"/>
                  <w:lang w:val="fr-FR"/>
                </w:rPr>
                <w:t>RÉSOLUTION 80 (Rév. Buenos Aires, 2017) – Établir et promouvoir des cadres de l'information sécurisés dans les pays en développement afin de faciliter et d'encourager les échanges d'informations économiques par voie électronique entre partenaires économiques</w:t>
              </w:r>
            </w:hyperlink>
          </w:p>
          <w:p w14:paraId="259B2157" w14:textId="52C6659C"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8" w:history="1">
              <w:r w:rsidRPr="00644DC5">
                <w:rPr>
                  <w:rStyle w:val="Hyperlink"/>
                  <w:szCs w:val="24"/>
                  <w:lang w:val="fr-FR"/>
                </w:rPr>
                <w:t>RÉSOLUTION 82 (Rév. Kigali, 2022) – Préserver et promouvoir le multilinguisme sur l'Internet en faveur d'une société de l'information inclusive</w:t>
              </w:r>
            </w:hyperlink>
          </w:p>
          <w:p w14:paraId="4B5ABF67" w14:textId="626FA1B0"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59" w:history="1">
              <w:r w:rsidRPr="00644DC5">
                <w:rPr>
                  <w:rStyle w:val="Hyperlink"/>
                  <w:szCs w:val="24"/>
                  <w:lang w:val="fr-FR"/>
                </w:rPr>
                <w:t>RÉSOLUTION 83 (Buenos Aires, 2017) – Assistance spéciale et appui au Gouvernement de la Libye pour la reconstruction de ses réseaux de télécommunication</w:t>
              </w:r>
            </w:hyperlink>
          </w:p>
          <w:p w14:paraId="736DA01E" w14:textId="68097E7C"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60" w:history="1">
              <w:r w:rsidRPr="00644DC5">
                <w:rPr>
                  <w:rStyle w:val="Hyperlink"/>
                  <w:szCs w:val="24"/>
                  <w:lang w:val="fr-FR"/>
                </w:rPr>
                <w:t>RÉSOLUTION 84 (Rév. Kigali, 2022) – Lutter contre le vol de dispositifs de télécommunication mobiles</w:t>
              </w:r>
            </w:hyperlink>
          </w:p>
          <w:p w14:paraId="4FA48699" w14:textId="424BF1CE" w:rsidR="00D8259B" w:rsidRPr="00644DC5" w:rsidRDefault="00D8259B" w:rsidP="00D8259B">
            <w:pPr>
              <w:pStyle w:val="enumlev1"/>
              <w:rPr>
                <w:szCs w:val="24"/>
                <w:lang w:val="fr-FR"/>
              </w:rPr>
            </w:pPr>
            <w:r w:rsidRPr="00644DC5">
              <w:rPr>
                <w:szCs w:val="24"/>
                <w:lang w:val="fr-FR"/>
              </w:rPr>
              <w:lastRenderedPageBreak/>
              <w:t>•</w:t>
            </w:r>
            <w:r w:rsidRPr="00644DC5">
              <w:rPr>
                <w:szCs w:val="24"/>
                <w:lang w:val="fr-FR"/>
              </w:rPr>
              <w:tab/>
            </w:r>
            <w:hyperlink r:id="rId61" w:history="1">
              <w:r w:rsidRPr="00644DC5">
                <w:rPr>
                  <w:rStyle w:val="Hyperlink"/>
                  <w:szCs w:val="24"/>
                  <w:lang w:val="fr-FR"/>
                </w:rPr>
                <w:t>RÉSOLUTION 85 (Rév. Kigali, 2022) – Faciliter l'avènement de l'Internet des objets ainsi que des villes et communautés intelligentes et durables pour le développement à l'échelle mondiale</w:t>
              </w:r>
            </w:hyperlink>
          </w:p>
          <w:p w14:paraId="75CC8467" w14:textId="363093BB"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62" w:history="1">
              <w:r w:rsidRPr="00644DC5">
                <w:rPr>
                  <w:rStyle w:val="Hyperlink"/>
                  <w:szCs w:val="24"/>
                  <w:lang w:val="fr-FR"/>
                </w:rPr>
                <w:t>RÉSOLUTION 87 (Kigali, 2022) – Connecter toutes les écoles à l'Internet et tous les jeunes aux services issus des technologies de l'information et de la communication</w:t>
              </w:r>
            </w:hyperlink>
          </w:p>
          <w:p w14:paraId="4200680B" w14:textId="17ABA9EB"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63" w:history="1">
              <w:r w:rsidRPr="00644DC5">
                <w:rPr>
                  <w:rStyle w:val="Hyperlink"/>
                  <w:szCs w:val="24"/>
                  <w:lang w:val="fr-FR"/>
                </w:rPr>
                <w:t>RÉSOLUTION 88 (Kigali, 2022) – Coalition pour le numérique Partner2Connect de l'UIT</w:t>
              </w:r>
            </w:hyperlink>
          </w:p>
          <w:p w14:paraId="24A434F5" w14:textId="5FD94FA8" w:rsidR="00D8259B" w:rsidRPr="00644DC5" w:rsidRDefault="00D8259B" w:rsidP="00D8259B">
            <w:pPr>
              <w:pStyle w:val="enumlev1"/>
              <w:rPr>
                <w:szCs w:val="24"/>
                <w:lang w:val="fr-FR"/>
              </w:rPr>
            </w:pPr>
            <w:r w:rsidRPr="00644DC5">
              <w:rPr>
                <w:szCs w:val="24"/>
                <w:lang w:val="fr-FR"/>
              </w:rPr>
              <w:t>•</w:t>
            </w:r>
            <w:r w:rsidRPr="00644DC5">
              <w:rPr>
                <w:szCs w:val="24"/>
                <w:lang w:val="fr-FR"/>
              </w:rPr>
              <w:tab/>
            </w:r>
            <w:hyperlink r:id="rId64" w:history="1">
              <w:r w:rsidRPr="00644DC5">
                <w:rPr>
                  <w:rStyle w:val="Hyperlink"/>
                  <w:szCs w:val="24"/>
                  <w:lang w:val="fr-FR"/>
                </w:rPr>
                <w:t>RÉSOLUTION 89 (Kigali, 2022) – La transformation numérique au service du développement durable</w:t>
              </w:r>
            </w:hyperlink>
          </w:p>
          <w:p w14:paraId="0D065C16" w14:textId="498666E2" w:rsidR="00D57409" w:rsidRPr="00644DC5" w:rsidRDefault="00D8259B" w:rsidP="00D8259B">
            <w:pPr>
              <w:pStyle w:val="enumlev1"/>
              <w:rPr>
                <w:szCs w:val="24"/>
                <w:lang w:val="fr-FR"/>
              </w:rPr>
            </w:pPr>
            <w:r w:rsidRPr="00644DC5">
              <w:rPr>
                <w:szCs w:val="24"/>
                <w:lang w:val="fr-FR"/>
              </w:rPr>
              <w:t>•</w:t>
            </w:r>
            <w:r w:rsidRPr="00644DC5">
              <w:rPr>
                <w:szCs w:val="24"/>
                <w:lang w:val="fr-FR"/>
              </w:rPr>
              <w:tab/>
            </w:r>
            <w:hyperlink r:id="rId65" w:history="1">
              <w:r w:rsidRPr="00644DC5">
                <w:rPr>
                  <w:rStyle w:val="Hyperlink"/>
                  <w:szCs w:val="24"/>
                  <w:lang w:val="fr-FR"/>
                </w:rPr>
                <w:t>RÉSOLUTION 90 (Kigali, 2022) – Promouvoir l'entrepreneuriat centré sur les télécommunications/TIC et les écosystèmes de l'innovation numérique pour le développement durable du numérique</w:t>
              </w:r>
            </w:hyperlink>
          </w:p>
        </w:tc>
      </w:tr>
    </w:tbl>
    <w:p w14:paraId="1B4FEBBE" w14:textId="77777777" w:rsidR="00D8259B" w:rsidRPr="00644DC5" w:rsidRDefault="00D8259B">
      <w:pPr>
        <w:rPr>
          <w:lang w:val="fr-FR"/>
        </w:rPr>
      </w:pPr>
    </w:p>
    <w:tbl>
      <w:tblPr>
        <w:tblStyle w:val="TableGrid"/>
        <w:tblW w:w="0" w:type="auto"/>
        <w:tblLook w:val="04A0" w:firstRow="1" w:lastRow="0" w:firstColumn="1" w:lastColumn="0" w:noHBand="0" w:noVBand="1"/>
      </w:tblPr>
      <w:tblGrid>
        <w:gridCol w:w="9629"/>
      </w:tblGrid>
      <w:tr w:rsidR="00D57409" w:rsidRPr="00233D1F" w14:paraId="15A84615" w14:textId="77777777" w:rsidTr="00D8259B">
        <w:tc>
          <w:tcPr>
            <w:tcW w:w="9629" w:type="dxa"/>
            <w:shd w:val="clear" w:color="auto" w:fill="B8CCE4" w:themeFill="accent1" w:themeFillTint="66"/>
          </w:tcPr>
          <w:p w14:paraId="6050C527" w14:textId="7D0BCA9A" w:rsidR="00D57409" w:rsidRPr="00644DC5" w:rsidRDefault="00D8259B" w:rsidP="00D8259B">
            <w:pPr>
              <w:pStyle w:val="Tablehead"/>
              <w:jc w:val="left"/>
              <w:rPr>
                <w:sz w:val="24"/>
                <w:szCs w:val="24"/>
                <w:lang w:val="fr-FR"/>
              </w:rPr>
            </w:pPr>
            <w:r w:rsidRPr="00644DC5">
              <w:rPr>
                <w:sz w:val="24"/>
                <w:szCs w:val="24"/>
                <w:lang w:val="fr-FR"/>
              </w:rPr>
              <w:t>Commission 4: Méthodes de travail de l'UIT-D</w:t>
            </w:r>
          </w:p>
        </w:tc>
      </w:tr>
      <w:tr w:rsidR="00D57409" w:rsidRPr="00233D1F" w14:paraId="422E98F6" w14:textId="77777777" w:rsidTr="00D57409">
        <w:tc>
          <w:tcPr>
            <w:tcW w:w="9629" w:type="dxa"/>
          </w:tcPr>
          <w:p w14:paraId="73955018" w14:textId="743E5ABA" w:rsidR="00D57409" w:rsidRPr="00644DC5" w:rsidRDefault="00D8259B" w:rsidP="00D8259B">
            <w:pPr>
              <w:pStyle w:val="Tablehead"/>
              <w:jc w:val="left"/>
              <w:rPr>
                <w:sz w:val="24"/>
                <w:szCs w:val="24"/>
                <w:lang w:val="fr-FR"/>
              </w:rPr>
            </w:pPr>
            <w:r w:rsidRPr="00644DC5">
              <w:rPr>
                <w:sz w:val="24"/>
                <w:szCs w:val="24"/>
                <w:lang w:val="fr-FR"/>
              </w:rPr>
              <w:t>Mandat: examiner et adopter l'ordre du jour et formuler des propositions concernant l'organisation des travaux; examiner les propositions et les contributions se rapportant à la coopération entre les membres; évaluer les méthodes de travail ainsi que le fonctionnement des commissions d'études de l'UIT-D et du Groupe consultatif pour le développement des télécommunications (GCDT); évaluer et déterminer les options possibles pour optimiser l'exécution des programmes et approuver les modifications à apporter à ces programmes dans le but de renforcer les synergies entre les Questions confiées aux commissions d'études, les programmes et les initiatives régionales; et soumettre à la plénière des rapports, notamment des propositions sur les méthodes de travail de l'UIT-D pour mettre en œuvre le programme de travail de ce Secteur, sur la base des rapports du GCDT et des commissions d'études soumis à la conférence ainsi que des propositions des États Membres de l'UIT, des Membres du Secteur de l'UIT-D et des établissements universitaires participant aux travaux de ce Secteur.</w:t>
            </w:r>
          </w:p>
        </w:tc>
      </w:tr>
      <w:tr w:rsidR="00D57409" w:rsidRPr="00233D1F" w14:paraId="22B10F34" w14:textId="77777777" w:rsidTr="00D57409">
        <w:tc>
          <w:tcPr>
            <w:tcW w:w="9629" w:type="dxa"/>
          </w:tcPr>
          <w:p w14:paraId="63198679" w14:textId="4DF109A0"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66" w:history="1">
              <w:r w:rsidRPr="00644DC5">
                <w:rPr>
                  <w:rStyle w:val="Hyperlink"/>
                  <w:szCs w:val="24"/>
                  <w:lang w:val="fr-FR"/>
                </w:rPr>
                <w:t>RÉSOLUTION 1 (Rév. Kigali, 2022) – Règlement intérieur du Secteur du développement des télécommunications de l'UIT</w:t>
              </w:r>
            </w:hyperlink>
          </w:p>
          <w:p w14:paraId="6548BEC6" w14:textId="6608D8D4"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67" w:history="1">
              <w:r w:rsidRPr="00644DC5">
                <w:rPr>
                  <w:rStyle w:val="Hyperlink"/>
                  <w:szCs w:val="24"/>
                  <w:lang w:val="fr-FR"/>
                </w:rPr>
                <w:t>RÉSOLUTION 5 (Rév. Kigali, 2022) – Renforcement de la participation des pays en développement aux activités de l'UIT</w:t>
              </w:r>
            </w:hyperlink>
          </w:p>
          <w:p w14:paraId="32CBA492" w14:textId="4990F9D6"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68" w:history="1">
              <w:r w:rsidRPr="00644DC5">
                <w:rPr>
                  <w:rStyle w:val="Hyperlink"/>
                  <w:szCs w:val="24"/>
                  <w:lang w:val="fr-FR"/>
                </w:rPr>
                <w:t>RÉSOLUTION 21 (Rév. Kigali, 2022) – Renforcement de la coordination et de la collaboration avec les organisations régionales et sous-régionales</w:t>
              </w:r>
            </w:hyperlink>
          </w:p>
          <w:p w14:paraId="49754B6E" w14:textId="57F4F66F"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69" w:history="1">
              <w:r w:rsidRPr="00644DC5">
                <w:rPr>
                  <w:rStyle w:val="Hyperlink"/>
                  <w:szCs w:val="24"/>
                  <w:lang w:val="fr-FR"/>
                </w:rPr>
                <w:t>RÉSOLUTION 24 (Rév. Dubaï, 2014) – Pouvoir conféré au Groupe consultatif pour le développement des télécommunications d'agir entre les Conférences mondiales de développement des télécommunications</w:t>
              </w:r>
            </w:hyperlink>
          </w:p>
          <w:p w14:paraId="33DBA55C" w14:textId="6C68C37D"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70" w:history="1">
              <w:r w:rsidRPr="00644DC5">
                <w:rPr>
                  <w:rStyle w:val="Hyperlink"/>
                  <w:szCs w:val="24"/>
                  <w:lang w:val="fr-FR"/>
                </w:rPr>
                <w:t>RÉSOLUTION 31 (Rév. Kigali, 2022) – Travaux préparatoires régionaux pour les conférences mondiales de développement des télécommunications</w:t>
              </w:r>
            </w:hyperlink>
          </w:p>
          <w:p w14:paraId="0C639191" w14:textId="30D02263" w:rsidR="007234B6" w:rsidRPr="00644DC5" w:rsidRDefault="007234B6" w:rsidP="007234B6">
            <w:pPr>
              <w:pStyle w:val="enumlev1"/>
              <w:rPr>
                <w:szCs w:val="24"/>
                <w:lang w:val="fr-FR"/>
              </w:rPr>
            </w:pPr>
            <w:r w:rsidRPr="00644DC5">
              <w:rPr>
                <w:szCs w:val="24"/>
                <w:lang w:val="fr-FR"/>
              </w:rPr>
              <w:t>•</w:t>
            </w:r>
            <w:r w:rsidRPr="00644DC5">
              <w:rPr>
                <w:szCs w:val="24"/>
                <w:lang w:val="fr-FR"/>
              </w:rPr>
              <w:tab/>
            </w:r>
            <w:hyperlink r:id="rId71" w:history="1">
              <w:r w:rsidRPr="00644DC5">
                <w:rPr>
                  <w:rStyle w:val="Hyperlink"/>
                  <w:szCs w:val="24"/>
                  <w:lang w:val="fr-FR"/>
                </w:rPr>
                <w:t>RÉSOLUTION 48 (Rév. Kigali, 2022) – Renforcement de la coopération entre régulateurs de télécommunications</w:t>
              </w:r>
            </w:hyperlink>
          </w:p>
          <w:p w14:paraId="62D424AA" w14:textId="4475EAE1" w:rsidR="007234B6" w:rsidRPr="00644DC5" w:rsidRDefault="007234B6" w:rsidP="002442A0">
            <w:pPr>
              <w:pStyle w:val="enumlev1"/>
              <w:keepNext/>
              <w:keepLines/>
              <w:rPr>
                <w:szCs w:val="24"/>
                <w:lang w:val="fr-FR"/>
              </w:rPr>
            </w:pPr>
            <w:r w:rsidRPr="00644DC5">
              <w:rPr>
                <w:szCs w:val="24"/>
                <w:lang w:val="fr-FR"/>
              </w:rPr>
              <w:lastRenderedPageBreak/>
              <w:t>•</w:t>
            </w:r>
            <w:r w:rsidRPr="00644DC5">
              <w:rPr>
                <w:szCs w:val="24"/>
                <w:lang w:val="fr-FR"/>
              </w:rPr>
              <w:tab/>
            </w:r>
            <w:hyperlink r:id="rId72" w:history="1">
              <w:r w:rsidRPr="00644DC5">
                <w:rPr>
                  <w:rStyle w:val="Hyperlink"/>
                  <w:szCs w:val="24"/>
                  <w:lang w:val="fr-FR"/>
                </w:rPr>
                <w:t>RÉSOLUTION 59 (Rév. Kigali, 2022) – Renforcer la coordination et la coopération entre les trois Secteurs sur des questions d'intérêt mutuel</w:t>
              </w:r>
            </w:hyperlink>
          </w:p>
          <w:p w14:paraId="10AEF31B" w14:textId="70BA0FE1" w:rsidR="00D57409" w:rsidRPr="00644DC5" w:rsidRDefault="007234B6" w:rsidP="007234B6">
            <w:pPr>
              <w:pStyle w:val="enumlev1"/>
              <w:rPr>
                <w:szCs w:val="24"/>
                <w:lang w:val="fr-FR"/>
              </w:rPr>
            </w:pPr>
            <w:r w:rsidRPr="00644DC5">
              <w:rPr>
                <w:szCs w:val="24"/>
                <w:lang w:val="fr-FR"/>
              </w:rPr>
              <w:t>•</w:t>
            </w:r>
            <w:r w:rsidRPr="00644DC5">
              <w:rPr>
                <w:szCs w:val="24"/>
                <w:lang w:val="fr-FR"/>
              </w:rPr>
              <w:tab/>
            </w:r>
            <w:hyperlink r:id="rId73" w:history="1">
              <w:r w:rsidRPr="00644DC5">
                <w:rPr>
                  <w:rStyle w:val="Hyperlink"/>
                  <w:szCs w:val="24"/>
                  <w:lang w:val="fr-FR"/>
                </w:rPr>
                <w:t>RÉSOLUTION 71 (Rév. Kigali, 2022) – Renforcement de la coopération entre les États</w:t>
              </w:r>
              <w:r w:rsidR="00E74D9A" w:rsidRPr="00644DC5">
                <w:rPr>
                  <w:rStyle w:val="Hyperlink"/>
                  <w:szCs w:val="24"/>
                  <w:lang w:val="fr-FR"/>
                </w:rPr>
                <w:t> </w:t>
              </w:r>
              <w:r w:rsidRPr="00644DC5">
                <w:rPr>
                  <w:rStyle w:val="Hyperlink"/>
                  <w:szCs w:val="24"/>
                  <w:lang w:val="fr-FR"/>
                </w:rPr>
                <w:t>Membres, les Membres de Secteur, les Associés et les établissements universitaires participant aux travaux du Secteur du développement des télécommunications de l'UIT et évolution du rôle du secteur privé au sein du Secteur du</w:t>
              </w:r>
              <w:r w:rsidR="00E74D9A" w:rsidRPr="00644DC5">
                <w:rPr>
                  <w:rStyle w:val="Hyperlink"/>
                  <w:szCs w:val="24"/>
                  <w:lang w:val="fr-FR"/>
                </w:rPr>
                <w:t> </w:t>
              </w:r>
              <w:r w:rsidRPr="00644DC5">
                <w:rPr>
                  <w:rStyle w:val="Hyperlink"/>
                  <w:szCs w:val="24"/>
                  <w:lang w:val="fr-FR"/>
                </w:rPr>
                <w:t>développement des télécommunications de l'UIT</w:t>
              </w:r>
            </w:hyperlink>
          </w:p>
        </w:tc>
      </w:tr>
    </w:tbl>
    <w:p w14:paraId="5E52027A" w14:textId="77777777" w:rsidR="007234B6" w:rsidRPr="00644DC5" w:rsidRDefault="007234B6">
      <w:pPr>
        <w:rPr>
          <w:lang w:val="fr-FR"/>
        </w:rPr>
      </w:pPr>
    </w:p>
    <w:tbl>
      <w:tblPr>
        <w:tblStyle w:val="TableGrid"/>
        <w:tblW w:w="0" w:type="auto"/>
        <w:tblLook w:val="04A0" w:firstRow="1" w:lastRow="0" w:firstColumn="1" w:lastColumn="0" w:noHBand="0" w:noVBand="1"/>
      </w:tblPr>
      <w:tblGrid>
        <w:gridCol w:w="9629"/>
      </w:tblGrid>
      <w:tr w:rsidR="00D57409" w:rsidRPr="00233D1F" w14:paraId="24A89A2E" w14:textId="77777777" w:rsidTr="007234B6">
        <w:tc>
          <w:tcPr>
            <w:tcW w:w="9629" w:type="dxa"/>
            <w:shd w:val="clear" w:color="auto" w:fill="B8CCE4" w:themeFill="accent1" w:themeFillTint="66"/>
          </w:tcPr>
          <w:p w14:paraId="7DA100CC" w14:textId="795C2C24" w:rsidR="00D57409" w:rsidRPr="00644DC5" w:rsidRDefault="007234B6" w:rsidP="007234B6">
            <w:pPr>
              <w:pStyle w:val="Tablehead"/>
              <w:jc w:val="left"/>
              <w:rPr>
                <w:sz w:val="24"/>
                <w:szCs w:val="24"/>
                <w:lang w:val="fr-FR"/>
              </w:rPr>
            </w:pPr>
            <w:r w:rsidRPr="00644DC5">
              <w:rPr>
                <w:sz w:val="24"/>
                <w:szCs w:val="24"/>
                <w:lang w:val="fr-FR"/>
              </w:rPr>
              <w:t>Groupe de travail de la plénière: contribution de l'UIT-D au Plan stratégique de l'UIT pour la période 2028-2032 et Déclaration de la CMDT</w:t>
            </w:r>
          </w:p>
        </w:tc>
      </w:tr>
      <w:tr w:rsidR="007234B6" w:rsidRPr="00233D1F" w14:paraId="1B3C6708" w14:textId="77777777" w:rsidTr="00D57409">
        <w:tc>
          <w:tcPr>
            <w:tcW w:w="9629" w:type="dxa"/>
          </w:tcPr>
          <w:p w14:paraId="2EDE24F4" w14:textId="5CFEE4FD" w:rsidR="007234B6" w:rsidRPr="00644DC5" w:rsidRDefault="007234B6" w:rsidP="007234B6">
            <w:pPr>
              <w:pStyle w:val="Tablehead"/>
              <w:jc w:val="left"/>
              <w:rPr>
                <w:sz w:val="24"/>
                <w:szCs w:val="24"/>
                <w:lang w:val="fr-FR"/>
              </w:rPr>
            </w:pPr>
            <w:proofErr w:type="gramStart"/>
            <w:r w:rsidRPr="00644DC5">
              <w:rPr>
                <w:sz w:val="24"/>
                <w:szCs w:val="24"/>
                <w:lang w:val="fr-FR"/>
              </w:rPr>
              <w:t>Mandat:</w:t>
            </w:r>
            <w:proofErr w:type="gramEnd"/>
            <w:r w:rsidRPr="00644DC5">
              <w:rPr>
                <w:sz w:val="24"/>
                <w:szCs w:val="24"/>
                <w:lang w:val="fr-FR"/>
              </w:rPr>
              <w:t xml:space="preserve"> élaborer un projet de Déclaration de la CMDT et la contribution du Secteur de l'UIT-D </w:t>
            </w:r>
            <w:proofErr w:type="gramStart"/>
            <w:r w:rsidRPr="00644DC5">
              <w:rPr>
                <w:sz w:val="24"/>
                <w:szCs w:val="24"/>
                <w:lang w:val="fr-FR"/>
              </w:rPr>
              <w:t>au</w:t>
            </w:r>
            <w:proofErr w:type="gramEnd"/>
            <w:r w:rsidRPr="00644DC5">
              <w:rPr>
                <w:sz w:val="24"/>
                <w:szCs w:val="24"/>
                <w:lang w:val="fr-FR"/>
              </w:rPr>
              <w:t xml:space="preserve"> Plan stratégique de l'Union qui sera adopté par la prochaine Conférence de plénipotentiaires.</w:t>
            </w:r>
          </w:p>
        </w:tc>
      </w:tr>
      <w:tr w:rsidR="00D57409" w:rsidRPr="00233D1F" w14:paraId="06C5EC36" w14:textId="77777777" w:rsidTr="00D57409">
        <w:tc>
          <w:tcPr>
            <w:tcW w:w="9629" w:type="dxa"/>
          </w:tcPr>
          <w:p w14:paraId="43167A35" w14:textId="77777777" w:rsidR="007234B6" w:rsidRPr="00644DC5" w:rsidRDefault="007234B6" w:rsidP="007234B6">
            <w:pPr>
              <w:pStyle w:val="enumlev1"/>
              <w:rPr>
                <w:szCs w:val="24"/>
                <w:lang w:val="fr-FR"/>
              </w:rPr>
            </w:pPr>
            <w:r w:rsidRPr="00644DC5">
              <w:rPr>
                <w:szCs w:val="24"/>
                <w:lang w:val="fr-FR"/>
              </w:rPr>
              <w:t>•</w:t>
            </w:r>
            <w:r w:rsidRPr="00644DC5">
              <w:rPr>
                <w:szCs w:val="24"/>
                <w:lang w:val="fr-FR"/>
              </w:rPr>
              <w:tab/>
              <w:t>Déclaration de la CMDT</w:t>
            </w:r>
          </w:p>
          <w:p w14:paraId="732FAB27" w14:textId="505B0BB5" w:rsidR="00D57409" w:rsidRPr="00644DC5" w:rsidRDefault="007234B6" w:rsidP="007234B6">
            <w:pPr>
              <w:pStyle w:val="enumlev1"/>
              <w:rPr>
                <w:szCs w:val="24"/>
                <w:lang w:val="fr-FR"/>
              </w:rPr>
            </w:pPr>
            <w:r w:rsidRPr="00644DC5">
              <w:rPr>
                <w:szCs w:val="24"/>
                <w:lang w:val="fr-FR"/>
              </w:rPr>
              <w:t>•</w:t>
            </w:r>
            <w:r w:rsidRPr="00644DC5">
              <w:rPr>
                <w:szCs w:val="24"/>
                <w:lang w:val="fr-FR"/>
              </w:rPr>
              <w:tab/>
              <w:t>Contribution du Secteur de l'UIT-D au Plan stratégique de l'Union</w:t>
            </w:r>
          </w:p>
        </w:tc>
      </w:tr>
    </w:tbl>
    <w:p w14:paraId="1FF1516C" w14:textId="226A8444" w:rsidR="0069537D" w:rsidRPr="00644DC5" w:rsidRDefault="003C58BF" w:rsidP="00CD2A98">
      <w:pPr>
        <w:tabs>
          <w:tab w:val="clear" w:pos="794"/>
          <w:tab w:val="clear" w:pos="1191"/>
          <w:tab w:val="clear" w:pos="1588"/>
          <w:tab w:val="clear" w:pos="1985"/>
        </w:tabs>
        <w:spacing w:after="120"/>
        <w:jc w:val="center"/>
        <w:rPr>
          <w:lang w:val="fr-FR"/>
        </w:rPr>
      </w:pPr>
      <w:bookmarkStart w:id="5" w:name="Proposal"/>
      <w:bookmarkEnd w:id="5"/>
      <w:r w:rsidRPr="00644DC5">
        <w:rPr>
          <w:lang w:val="fr-FR"/>
        </w:rPr>
        <w:t>_____________</w:t>
      </w:r>
      <w:r w:rsidR="004122C5" w:rsidRPr="00644DC5">
        <w:rPr>
          <w:lang w:val="fr-FR"/>
        </w:rPr>
        <w:t>_</w:t>
      </w:r>
      <w:r w:rsidR="00922EC1" w:rsidRPr="00644DC5">
        <w:rPr>
          <w:lang w:val="fr-FR"/>
        </w:rPr>
        <w:t>_</w:t>
      </w:r>
    </w:p>
    <w:sectPr w:rsidR="0069537D" w:rsidRPr="00644DC5" w:rsidSect="008C7A35">
      <w:headerReference w:type="default" r:id="rId74"/>
      <w:footerReference w:type="first" r:id="rId75"/>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B0E7" w14:textId="77777777" w:rsidR="00BF2844" w:rsidRDefault="00BF2844">
      <w:r>
        <w:separator/>
      </w:r>
    </w:p>
  </w:endnote>
  <w:endnote w:type="continuationSeparator" w:id="0">
    <w:p w14:paraId="58251009" w14:textId="77777777" w:rsidR="00BF2844" w:rsidRDefault="00BF2844">
      <w:r>
        <w:continuationSeparator/>
      </w:r>
    </w:p>
  </w:endnote>
  <w:endnote w:type="continuationNotice" w:id="1">
    <w:p w14:paraId="0FF6B558" w14:textId="77777777" w:rsidR="00BF2844" w:rsidRDefault="00BF28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59420B" w:rsidRPr="00233D1F" w14:paraId="695D1810" w14:textId="77777777" w:rsidTr="00F44F26">
      <w:tc>
        <w:tcPr>
          <w:tcW w:w="1526" w:type="dxa"/>
          <w:tcBorders>
            <w:top w:val="single" w:sz="4" w:space="0" w:color="000000"/>
          </w:tcBorders>
        </w:tcPr>
        <w:p w14:paraId="746E5A61" w14:textId="77777777" w:rsidR="0059420B" w:rsidRPr="00D57409" w:rsidRDefault="0059420B" w:rsidP="0059420B">
          <w:pPr>
            <w:pStyle w:val="FirstFooter"/>
            <w:tabs>
              <w:tab w:val="left" w:pos="1559"/>
              <w:tab w:val="left" w:pos="3828"/>
            </w:tabs>
            <w:rPr>
              <w:sz w:val="18"/>
              <w:szCs w:val="18"/>
            </w:rPr>
          </w:pPr>
          <w:proofErr w:type="gramStart"/>
          <w:r w:rsidRPr="00D57409">
            <w:rPr>
              <w:sz w:val="18"/>
              <w:szCs w:val="18"/>
            </w:rPr>
            <w:t>Contact:</w:t>
          </w:r>
          <w:proofErr w:type="gramEnd"/>
        </w:p>
      </w:tc>
      <w:tc>
        <w:tcPr>
          <w:tcW w:w="2410" w:type="dxa"/>
          <w:tcBorders>
            <w:top w:val="single" w:sz="4" w:space="0" w:color="000000"/>
          </w:tcBorders>
        </w:tcPr>
        <w:p w14:paraId="488E41E2" w14:textId="57BB3A02" w:rsidR="0059420B" w:rsidRPr="00D57409" w:rsidRDefault="00FB481E" w:rsidP="0059420B">
          <w:pPr>
            <w:pStyle w:val="FirstFooter"/>
            <w:tabs>
              <w:tab w:val="left" w:pos="2302"/>
            </w:tabs>
            <w:ind w:left="2302" w:hanging="2302"/>
            <w:rPr>
              <w:sz w:val="18"/>
              <w:szCs w:val="18"/>
            </w:rPr>
          </w:pPr>
          <w:r w:rsidRPr="00D57409">
            <w:rPr>
              <w:sz w:val="18"/>
              <w:szCs w:val="18"/>
            </w:rPr>
            <w:t>Nom/Organisation/</w:t>
          </w:r>
          <w:proofErr w:type="gramStart"/>
          <w:r w:rsidRPr="00D57409">
            <w:rPr>
              <w:sz w:val="18"/>
              <w:szCs w:val="18"/>
            </w:rPr>
            <w:t>Entité</w:t>
          </w:r>
          <w:r w:rsidR="0059420B" w:rsidRPr="00D57409">
            <w:rPr>
              <w:sz w:val="18"/>
              <w:szCs w:val="18"/>
            </w:rPr>
            <w:t>:</w:t>
          </w:r>
          <w:proofErr w:type="gramEnd"/>
        </w:p>
      </w:tc>
      <w:tc>
        <w:tcPr>
          <w:tcW w:w="5987" w:type="dxa"/>
          <w:tcBorders>
            <w:top w:val="single" w:sz="4" w:space="0" w:color="000000"/>
          </w:tcBorders>
        </w:tcPr>
        <w:p w14:paraId="148264AE" w14:textId="5AB077CC" w:rsidR="0059420B" w:rsidRPr="00D57409" w:rsidRDefault="00D57409" w:rsidP="00D57409">
          <w:pPr>
            <w:pStyle w:val="FirstFooter"/>
            <w:tabs>
              <w:tab w:val="left" w:pos="2302"/>
            </w:tabs>
            <w:rPr>
              <w:sz w:val="18"/>
              <w:szCs w:val="18"/>
            </w:rPr>
          </w:pPr>
          <w:r w:rsidRPr="00D57409">
            <w:rPr>
              <w:sz w:val="18"/>
              <w:szCs w:val="18"/>
            </w:rPr>
            <w:t>Mme Archana Gulati, Adjointe au Directeur du Bureau de développement des télécommunications</w:t>
          </w:r>
        </w:p>
      </w:tc>
      <w:bookmarkStart w:id="8" w:name="OrgName"/>
      <w:bookmarkEnd w:id="8"/>
    </w:tr>
    <w:tr w:rsidR="0059420B" w:rsidRPr="00D57409" w14:paraId="61167678" w14:textId="77777777" w:rsidTr="00F44F26">
      <w:tc>
        <w:tcPr>
          <w:tcW w:w="1526" w:type="dxa"/>
        </w:tcPr>
        <w:p w14:paraId="33710823" w14:textId="77777777" w:rsidR="0059420B" w:rsidRPr="00D57409" w:rsidRDefault="0059420B" w:rsidP="0059420B">
          <w:pPr>
            <w:pStyle w:val="FirstFooter"/>
            <w:tabs>
              <w:tab w:val="left" w:pos="1559"/>
              <w:tab w:val="left" w:pos="3828"/>
            </w:tabs>
            <w:rPr>
              <w:sz w:val="20"/>
            </w:rPr>
          </w:pPr>
        </w:p>
      </w:tc>
      <w:tc>
        <w:tcPr>
          <w:tcW w:w="2410" w:type="dxa"/>
        </w:tcPr>
        <w:p w14:paraId="1251F6E4" w14:textId="1323010C" w:rsidR="0059420B" w:rsidRPr="00D57409" w:rsidRDefault="00FB481E" w:rsidP="0059420B">
          <w:pPr>
            <w:pStyle w:val="FirstFooter"/>
            <w:tabs>
              <w:tab w:val="left" w:pos="2302"/>
            </w:tabs>
            <w:rPr>
              <w:sz w:val="18"/>
              <w:szCs w:val="18"/>
            </w:rPr>
          </w:pPr>
          <w:r w:rsidRPr="00D57409">
            <w:rPr>
              <w:sz w:val="18"/>
              <w:szCs w:val="18"/>
            </w:rPr>
            <w:t xml:space="preserve">Numéro de </w:t>
          </w:r>
          <w:proofErr w:type="gramStart"/>
          <w:r w:rsidRPr="00D57409">
            <w:rPr>
              <w:sz w:val="18"/>
              <w:szCs w:val="18"/>
            </w:rPr>
            <w:t>téléphone</w:t>
          </w:r>
          <w:r w:rsidR="0059420B" w:rsidRPr="00D57409">
            <w:rPr>
              <w:sz w:val="18"/>
              <w:szCs w:val="18"/>
            </w:rPr>
            <w:t>:</w:t>
          </w:r>
          <w:proofErr w:type="gramEnd"/>
        </w:p>
      </w:tc>
      <w:tc>
        <w:tcPr>
          <w:tcW w:w="5987" w:type="dxa"/>
        </w:tcPr>
        <w:p w14:paraId="6D7949F0" w14:textId="35D79402" w:rsidR="0059420B" w:rsidRPr="00D57409" w:rsidRDefault="00D57409" w:rsidP="0059420B">
          <w:pPr>
            <w:pStyle w:val="FirstFooter"/>
            <w:tabs>
              <w:tab w:val="left" w:pos="2302"/>
            </w:tabs>
            <w:rPr>
              <w:sz w:val="18"/>
              <w:szCs w:val="18"/>
            </w:rPr>
          </w:pPr>
          <w:r w:rsidRPr="00D57409">
            <w:rPr>
              <w:sz w:val="18"/>
              <w:szCs w:val="18"/>
            </w:rPr>
            <w:t>+41 22 730 6475</w:t>
          </w:r>
        </w:p>
      </w:tc>
      <w:bookmarkStart w:id="9" w:name="PhoneNo"/>
      <w:bookmarkEnd w:id="9"/>
    </w:tr>
    <w:tr w:rsidR="0059420B" w:rsidRPr="00D57409" w14:paraId="0299A231" w14:textId="77777777" w:rsidTr="00F44F26">
      <w:tc>
        <w:tcPr>
          <w:tcW w:w="1526" w:type="dxa"/>
        </w:tcPr>
        <w:p w14:paraId="35CBC438" w14:textId="77777777" w:rsidR="0059420B" w:rsidRPr="00D57409" w:rsidRDefault="0059420B" w:rsidP="0059420B">
          <w:pPr>
            <w:pStyle w:val="FirstFooter"/>
            <w:tabs>
              <w:tab w:val="left" w:pos="1559"/>
              <w:tab w:val="left" w:pos="3828"/>
            </w:tabs>
            <w:rPr>
              <w:sz w:val="20"/>
            </w:rPr>
          </w:pPr>
        </w:p>
      </w:tc>
      <w:tc>
        <w:tcPr>
          <w:tcW w:w="2410" w:type="dxa"/>
        </w:tcPr>
        <w:p w14:paraId="65335E06" w14:textId="33603838" w:rsidR="0059420B" w:rsidRPr="00D57409" w:rsidRDefault="00FB481E" w:rsidP="0059420B">
          <w:pPr>
            <w:pStyle w:val="FirstFooter"/>
            <w:tabs>
              <w:tab w:val="left" w:pos="2302"/>
            </w:tabs>
            <w:rPr>
              <w:sz w:val="18"/>
              <w:szCs w:val="18"/>
            </w:rPr>
          </w:pPr>
          <w:proofErr w:type="gramStart"/>
          <w:r w:rsidRPr="00D57409">
            <w:rPr>
              <w:sz w:val="18"/>
              <w:szCs w:val="18"/>
            </w:rPr>
            <w:t>Courriel</w:t>
          </w:r>
          <w:r w:rsidR="0059420B" w:rsidRPr="00D57409">
            <w:rPr>
              <w:sz w:val="18"/>
              <w:szCs w:val="18"/>
            </w:rPr>
            <w:t>:</w:t>
          </w:r>
          <w:proofErr w:type="gramEnd"/>
        </w:p>
      </w:tc>
      <w:tc>
        <w:tcPr>
          <w:tcW w:w="5987" w:type="dxa"/>
        </w:tcPr>
        <w:p w14:paraId="7EAB0988" w14:textId="43DAD657" w:rsidR="0059420B" w:rsidRPr="00D57409" w:rsidRDefault="00D57409" w:rsidP="0059420B">
          <w:pPr>
            <w:pStyle w:val="FirstFooter"/>
            <w:tabs>
              <w:tab w:val="left" w:pos="2302"/>
            </w:tabs>
            <w:rPr>
              <w:sz w:val="18"/>
              <w:szCs w:val="18"/>
            </w:rPr>
          </w:pPr>
          <w:hyperlink r:id="rId1" w:history="1">
            <w:r w:rsidRPr="00D57409">
              <w:rPr>
                <w:rStyle w:val="Hyperlink"/>
                <w:sz w:val="18"/>
                <w:szCs w:val="18"/>
              </w:rPr>
              <w:t>archana.gulati@itu.int</w:t>
            </w:r>
          </w:hyperlink>
        </w:p>
      </w:tc>
      <w:bookmarkStart w:id="10" w:name="Email"/>
      <w:bookmarkEnd w:id="10"/>
    </w:tr>
  </w:tbl>
  <w:p w14:paraId="40A321D0" w14:textId="1C276101" w:rsidR="00721657" w:rsidRPr="00D57409" w:rsidRDefault="00721657" w:rsidP="00445B7D">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ACBF" w14:textId="77777777" w:rsidR="00BF2844" w:rsidRDefault="00BF2844">
      <w:r>
        <w:t>____________________</w:t>
      </w:r>
    </w:p>
  </w:footnote>
  <w:footnote w:type="continuationSeparator" w:id="0">
    <w:p w14:paraId="01ED7763" w14:textId="77777777" w:rsidR="00BF2844" w:rsidRDefault="00BF2844">
      <w:r>
        <w:continuationSeparator/>
      </w:r>
    </w:p>
  </w:footnote>
  <w:footnote w:type="continuationNotice" w:id="1">
    <w:p w14:paraId="2893CB49" w14:textId="77777777" w:rsidR="00BF2844" w:rsidRDefault="00BF284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5EC220D3" w:rsidR="00721657" w:rsidRPr="001D31BA"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FF089C">
      <w:rPr>
        <w:sz w:val="22"/>
        <w:szCs w:val="22"/>
        <w:lang w:val="es-ES_tradnl"/>
      </w:rPr>
      <w:t>ITU-D/</w:t>
    </w:r>
    <w:bookmarkStart w:id="6" w:name="DocRef2"/>
    <w:bookmarkEnd w:id="6"/>
    <w:r w:rsidR="00B7200E">
      <w:rPr>
        <w:sz w:val="22"/>
        <w:szCs w:val="22"/>
        <w:lang w:val="es-ES_tradnl"/>
      </w:rPr>
      <w:t>IRM25-</w:t>
    </w:r>
    <w:r w:rsidR="009F2EDB">
      <w:rPr>
        <w:sz w:val="22"/>
        <w:szCs w:val="22"/>
        <w:lang w:val="es-ES_tradnl"/>
      </w:rPr>
      <w:t>2</w:t>
    </w:r>
    <w:r w:rsidR="00B7200E" w:rsidRPr="00FF089C">
      <w:rPr>
        <w:sz w:val="22"/>
        <w:szCs w:val="22"/>
        <w:lang w:val="es-ES_tradnl"/>
      </w:rPr>
      <w:t>/</w:t>
    </w:r>
    <w:bookmarkStart w:id="7" w:name="DocNo2"/>
    <w:bookmarkEnd w:id="7"/>
    <w:r w:rsidR="00D57409">
      <w:rPr>
        <w:sz w:val="22"/>
        <w:szCs w:val="22"/>
        <w:lang w:val="es-ES_tradnl"/>
      </w:rPr>
      <w:t>2</w:t>
    </w:r>
    <w:r w:rsidR="00B7200E" w:rsidRPr="00FF089C">
      <w:rPr>
        <w:sz w:val="22"/>
        <w:szCs w:val="22"/>
        <w:lang w:val="es-ES_tradnl"/>
      </w:rPr>
      <w:t>-</w:t>
    </w:r>
    <w:r w:rsidR="00B7200E">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1D31BA">
      <w:rPr>
        <w:sz w:val="22"/>
        <w:szCs w:val="22"/>
        <w:lang w:val="fr-FR"/>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114380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21196"/>
    <w:rsid w:val="0002520B"/>
    <w:rsid w:val="00030397"/>
    <w:rsid w:val="00034FFF"/>
    <w:rsid w:val="00037A9E"/>
    <w:rsid w:val="00037F91"/>
    <w:rsid w:val="00044970"/>
    <w:rsid w:val="000539F1"/>
    <w:rsid w:val="00054747"/>
    <w:rsid w:val="00055A2A"/>
    <w:rsid w:val="000615C1"/>
    <w:rsid w:val="00061675"/>
    <w:rsid w:val="000743AA"/>
    <w:rsid w:val="0009076F"/>
    <w:rsid w:val="0009225C"/>
    <w:rsid w:val="00094033"/>
    <w:rsid w:val="000A17C4"/>
    <w:rsid w:val="000A36A4"/>
    <w:rsid w:val="000B2352"/>
    <w:rsid w:val="000C6BEE"/>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1846"/>
    <w:rsid w:val="00122C86"/>
    <w:rsid w:val="00133061"/>
    <w:rsid w:val="0013591E"/>
    <w:rsid w:val="00141699"/>
    <w:rsid w:val="00147000"/>
    <w:rsid w:val="00163091"/>
    <w:rsid w:val="001645CB"/>
    <w:rsid w:val="00166305"/>
    <w:rsid w:val="00167545"/>
    <w:rsid w:val="001703C6"/>
    <w:rsid w:val="001703E2"/>
    <w:rsid w:val="00173781"/>
    <w:rsid w:val="00175ADF"/>
    <w:rsid w:val="00175CAE"/>
    <w:rsid w:val="001828DB"/>
    <w:rsid w:val="001850FE"/>
    <w:rsid w:val="00185135"/>
    <w:rsid w:val="0019037C"/>
    <w:rsid w:val="001905A9"/>
    <w:rsid w:val="00191273"/>
    <w:rsid w:val="0019303F"/>
    <w:rsid w:val="001942A7"/>
    <w:rsid w:val="0019587B"/>
    <w:rsid w:val="001A163D"/>
    <w:rsid w:val="001A21CE"/>
    <w:rsid w:val="001A441E"/>
    <w:rsid w:val="001A6733"/>
    <w:rsid w:val="001B357F"/>
    <w:rsid w:val="001C3444"/>
    <w:rsid w:val="001C3702"/>
    <w:rsid w:val="001C4656"/>
    <w:rsid w:val="001C46BC"/>
    <w:rsid w:val="001D1E06"/>
    <w:rsid w:val="001D31BA"/>
    <w:rsid w:val="001F23E6"/>
    <w:rsid w:val="001F4238"/>
    <w:rsid w:val="00200A38"/>
    <w:rsid w:val="00200A46"/>
    <w:rsid w:val="00211AA5"/>
    <w:rsid w:val="00211B6F"/>
    <w:rsid w:val="00217CC3"/>
    <w:rsid w:val="00220AB6"/>
    <w:rsid w:val="0022120F"/>
    <w:rsid w:val="0022754A"/>
    <w:rsid w:val="00233D1F"/>
    <w:rsid w:val="00236560"/>
    <w:rsid w:val="0023662E"/>
    <w:rsid w:val="002442A0"/>
    <w:rsid w:val="00245D0F"/>
    <w:rsid w:val="002548C3"/>
    <w:rsid w:val="00257ACD"/>
    <w:rsid w:val="00262908"/>
    <w:rsid w:val="002650F4"/>
    <w:rsid w:val="002715FD"/>
    <w:rsid w:val="002719B9"/>
    <w:rsid w:val="002770B1"/>
    <w:rsid w:val="00285B33"/>
    <w:rsid w:val="00287A3C"/>
    <w:rsid w:val="002A2FC6"/>
    <w:rsid w:val="002C1EC7"/>
    <w:rsid w:val="002C3015"/>
    <w:rsid w:val="002C4342"/>
    <w:rsid w:val="002C7EA3"/>
    <w:rsid w:val="002D20AE"/>
    <w:rsid w:val="002D223D"/>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46FD"/>
    <w:rsid w:val="00416DDE"/>
    <w:rsid w:val="00417AD7"/>
    <w:rsid w:val="0044411E"/>
    <w:rsid w:val="00445B7D"/>
    <w:rsid w:val="00453435"/>
    <w:rsid w:val="00460089"/>
    <w:rsid w:val="00466398"/>
    <w:rsid w:val="004712A4"/>
    <w:rsid w:val="0047306D"/>
    <w:rsid w:val="00473791"/>
    <w:rsid w:val="00476E48"/>
    <w:rsid w:val="00481DE9"/>
    <w:rsid w:val="00487D77"/>
    <w:rsid w:val="0049128B"/>
    <w:rsid w:val="00493B49"/>
    <w:rsid w:val="00495501"/>
    <w:rsid w:val="004A070A"/>
    <w:rsid w:val="004A320E"/>
    <w:rsid w:val="004A4E9C"/>
    <w:rsid w:val="004B1A3C"/>
    <w:rsid w:val="004C533B"/>
    <w:rsid w:val="004D2CC3"/>
    <w:rsid w:val="004D35CB"/>
    <w:rsid w:val="004D7DAB"/>
    <w:rsid w:val="004E20E5"/>
    <w:rsid w:val="004E64EA"/>
    <w:rsid w:val="004E7828"/>
    <w:rsid w:val="004F46AA"/>
    <w:rsid w:val="004F6A70"/>
    <w:rsid w:val="00500AD7"/>
    <w:rsid w:val="00502ABF"/>
    <w:rsid w:val="00504DB0"/>
    <w:rsid w:val="005078A4"/>
    <w:rsid w:val="00507C35"/>
    <w:rsid w:val="00510735"/>
    <w:rsid w:val="00514D2F"/>
    <w:rsid w:val="0054420E"/>
    <w:rsid w:val="00544D1B"/>
    <w:rsid w:val="00545DC0"/>
    <w:rsid w:val="00545F6C"/>
    <w:rsid w:val="005477D9"/>
    <w:rsid w:val="0055720C"/>
    <w:rsid w:val="00561796"/>
    <w:rsid w:val="00563230"/>
    <w:rsid w:val="005632DD"/>
    <w:rsid w:val="00563F4A"/>
    <w:rsid w:val="0056423B"/>
    <w:rsid w:val="00566BDC"/>
    <w:rsid w:val="00573424"/>
    <w:rsid w:val="0057402F"/>
    <w:rsid w:val="00581653"/>
    <w:rsid w:val="005849D6"/>
    <w:rsid w:val="00585367"/>
    <w:rsid w:val="0058644E"/>
    <w:rsid w:val="005871A1"/>
    <w:rsid w:val="0058737E"/>
    <w:rsid w:val="00592518"/>
    <w:rsid w:val="00592E87"/>
    <w:rsid w:val="0059420B"/>
    <w:rsid w:val="00594C4D"/>
    <w:rsid w:val="00597AE4"/>
    <w:rsid w:val="005A33B0"/>
    <w:rsid w:val="005A406D"/>
    <w:rsid w:val="005A4AB8"/>
    <w:rsid w:val="005B2295"/>
    <w:rsid w:val="005B7930"/>
    <w:rsid w:val="005C2DC2"/>
    <w:rsid w:val="005C304A"/>
    <w:rsid w:val="005C3D69"/>
    <w:rsid w:val="005C7C98"/>
    <w:rsid w:val="005D2C3A"/>
    <w:rsid w:val="005D3E1F"/>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5EDB"/>
    <w:rsid w:val="00642C3C"/>
    <w:rsid w:val="00644DC5"/>
    <w:rsid w:val="0064734E"/>
    <w:rsid w:val="00650137"/>
    <w:rsid w:val="006509D7"/>
    <w:rsid w:val="00651CE8"/>
    <w:rsid w:val="0065521B"/>
    <w:rsid w:val="00671EF6"/>
    <w:rsid w:val="0067205B"/>
    <w:rsid w:val="006748F8"/>
    <w:rsid w:val="00680489"/>
    <w:rsid w:val="00683C32"/>
    <w:rsid w:val="006860C4"/>
    <w:rsid w:val="00690BB2"/>
    <w:rsid w:val="00693D09"/>
    <w:rsid w:val="0069537D"/>
    <w:rsid w:val="006A0C66"/>
    <w:rsid w:val="006A6549"/>
    <w:rsid w:val="006A7710"/>
    <w:rsid w:val="006A7A61"/>
    <w:rsid w:val="006B1E59"/>
    <w:rsid w:val="006B2FFB"/>
    <w:rsid w:val="006B503E"/>
    <w:rsid w:val="006C075B"/>
    <w:rsid w:val="006C10A2"/>
    <w:rsid w:val="006C1F18"/>
    <w:rsid w:val="006D40D5"/>
    <w:rsid w:val="006D4EA0"/>
    <w:rsid w:val="006E61F4"/>
    <w:rsid w:val="006F009A"/>
    <w:rsid w:val="006F24AF"/>
    <w:rsid w:val="006F3D93"/>
    <w:rsid w:val="00700E65"/>
    <w:rsid w:val="007019B1"/>
    <w:rsid w:val="00706440"/>
    <w:rsid w:val="0071703D"/>
    <w:rsid w:val="00721657"/>
    <w:rsid w:val="007234B6"/>
    <w:rsid w:val="007279A8"/>
    <w:rsid w:val="00727B1A"/>
    <w:rsid w:val="00741337"/>
    <w:rsid w:val="00752258"/>
    <w:rsid w:val="007529E1"/>
    <w:rsid w:val="0076272A"/>
    <w:rsid w:val="00762880"/>
    <w:rsid w:val="00762AD6"/>
    <w:rsid w:val="00762E02"/>
    <w:rsid w:val="00772290"/>
    <w:rsid w:val="00777265"/>
    <w:rsid w:val="007805E7"/>
    <w:rsid w:val="0078222A"/>
    <w:rsid w:val="00784700"/>
    <w:rsid w:val="00784AB3"/>
    <w:rsid w:val="00787D48"/>
    <w:rsid w:val="00795294"/>
    <w:rsid w:val="007A43E0"/>
    <w:rsid w:val="007A4E50"/>
    <w:rsid w:val="007B18A7"/>
    <w:rsid w:val="007B250E"/>
    <w:rsid w:val="007C27FC"/>
    <w:rsid w:val="007C51FF"/>
    <w:rsid w:val="007D50E4"/>
    <w:rsid w:val="007E14BD"/>
    <w:rsid w:val="007E2DC5"/>
    <w:rsid w:val="007F1CC7"/>
    <w:rsid w:val="008027AC"/>
    <w:rsid w:val="008028CE"/>
    <w:rsid w:val="0080332E"/>
    <w:rsid w:val="008141E0"/>
    <w:rsid w:val="00816EE1"/>
    <w:rsid w:val="00816F82"/>
    <w:rsid w:val="00816F88"/>
    <w:rsid w:val="00821996"/>
    <w:rsid w:val="00822323"/>
    <w:rsid w:val="00826A3E"/>
    <w:rsid w:val="00827BC6"/>
    <w:rsid w:val="008300AD"/>
    <w:rsid w:val="00833024"/>
    <w:rsid w:val="008419B1"/>
    <w:rsid w:val="00844A56"/>
    <w:rsid w:val="00845B11"/>
    <w:rsid w:val="00852081"/>
    <w:rsid w:val="00872B6E"/>
    <w:rsid w:val="00874DFD"/>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C7A35"/>
    <w:rsid w:val="008D1CCB"/>
    <w:rsid w:val="008D5E4F"/>
    <w:rsid w:val="008E34F0"/>
    <w:rsid w:val="008F14F5"/>
    <w:rsid w:val="008F71C1"/>
    <w:rsid w:val="008F731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F2EDB"/>
    <w:rsid w:val="009F3940"/>
    <w:rsid w:val="009F3EB2"/>
    <w:rsid w:val="009F6EB1"/>
    <w:rsid w:val="00A11D05"/>
    <w:rsid w:val="00A13162"/>
    <w:rsid w:val="00A20267"/>
    <w:rsid w:val="00A27BE0"/>
    <w:rsid w:val="00A3158C"/>
    <w:rsid w:val="00A32DF3"/>
    <w:rsid w:val="00A33E32"/>
    <w:rsid w:val="00A35E20"/>
    <w:rsid w:val="00A36F6D"/>
    <w:rsid w:val="00A459E6"/>
    <w:rsid w:val="00A50CA0"/>
    <w:rsid w:val="00A525CC"/>
    <w:rsid w:val="00A53E7C"/>
    <w:rsid w:val="00A55F3D"/>
    <w:rsid w:val="00A60087"/>
    <w:rsid w:val="00A702B0"/>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143A4"/>
    <w:rsid w:val="00B310F9"/>
    <w:rsid w:val="00B37866"/>
    <w:rsid w:val="00B412FB"/>
    <w:rsid w:val="00B44BBE"/>
    <w:rsid w:val="00B4576B"/>
    <w:rsid w:val="00B46350"/>
    <w:rsid w:val="00B46DF3"/>
    <w:rsid w:val="00B5794F"/>
    <w:rsid w:val="00B648C7"/>
    <w:rsid w:val="00B66E8F"/>
    <w:rsid w:val="00B7200E"/>
    <w:rsid w:val="00B80157"/>
    <w:rsid w:val="00B81CDD"/>
    <w:rsid w:val="00B83D5E"/>
    <w:rsid w:val="00B8460A"/>
    <w:rsid w:val="00B8650D"/>
    <w:rsid w:val="00B879B4"/>
    <w:rsid w:val="00B90F07"/>
    <w:rsid w:val="00B97BB9"/>
    <w:rsid w:val="00BA0009"/>
    <w:rsid w:val="00BB02B5"/>
    <w:rsid w:val="00BB1863"/>
    <w:rsid w:val="00BB25EE"/>
    <w:rsid w:val="00BB363A"/>
    <w:rsid w:val="00BC10A0"/>
    <w:rsid w:val="00BC7BA2"/>
    <w:rsid w:val="00BD048D"/>
    <w:rsid w:val="00BD426B"/>
    <w:rsid w:val="00BD79F0"/>
    <w:rsid w:val="00BE2B4D"/>
    <w:rsid w:val="00BF2844"/>
    <w:rsid w:val="00C015F8"/>
    <w:rsid w:val="00C02C2A"/>
    <w:rsid w:val="00C07E26"/>
    <w:rsid w:val="00C1011C"/>
    <w:rsid w:val="00C12F94"/>
    <w:rsid w:val="00C177C5"/>
    <w:rsid w:val="00C34EC3"/>
    <w:rsid w:val="00C4038C"/>
    <w:rsid w:val="00C42BA2"/>
    <w:rsid w:val="00C44066"/>
    <w:rsid w:val="00C44E13"/>
    <w:rsid w:val="00C50751"/>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A98"/>
    <w:rsid w:val="00CD2FCD"/>
    <w:rsid w:val="00CD7207"/>
    <w:rsid w:val="00CE0422"/>
    <w:rsid w:val="00CE0DBE"/>
    <w:rsid w:val="00CE5E4D"/>
    <w:rsid w:val="00CF02C4"/>
    <w:rsid w:val="00CF167F"/>
    <w:rsid w:val="00CF3288"/>
    <w:rsid w:val="00CF72E5"/>
    <w:rsid w:val="00D013EE"/>
    <w:rsid w:val="00D01F54"/>
    <w:rsid w:val="00D040F7"/>
    <w:rsid w:val="00D04A76"/>
    <w:rsid w:val="00D07E2B"/>
    <w:rsid w:val="00D10FC7"/>
    <w:rsid w:val="00D1519F"/>
    <w:rsid w:val="00D1703C"/>
    <w:rsid w:val="00D178BE"/>
    <w:rsid w:val="00D20E99"/>
    <w:rsid w:val="00D21C83"/>
    <w:rsid w:val="00D22654"/>
    <w:rsid w:val="00D35BDD"/>
    <w:rsid w:val="00D57409"/>
    <w:rsid w:val="00D63006"/>
    <w:rsid w:val="00D72301"/>
    <w:rsid w:val="00D8259B"/>
    <w:rsid w:val="00D911DE"/>
    <w:rsid w:val="00D91B97"/>
    <w:rsid w:val="00D93ACC"/>
    <w:rsid w:val="00D93C08"/>
    <w:rsid w:val="00D95DAC"/>
    <w:rsid w:val="00DA0B53"/>
    <w:rsid w:val="00DB1171"/>
    <w:rsid w:val="00DB1519"/>
    <w:rsid w:val="00DB2840"/>
    <w:rsid w:val="00DB43B0"/>
    <w:rsid w:val="00DC1BD3"/>
    <w:rsid w:val="00DC2C1A"/>
    <w:rsid w:val="00DD66B4"/>
    <w:rsid w:val="00DE1972"/>
    <w:rsid w:val="00DE27AB"/>
    <w:rsid w:val="00DF2AB3"/>
    <w:rsid w:val="00DF7250"/>
    <w:rsid w:val="00E00CAA"/>
    <w:rsid w:val="00E03EBF"/>
    <w:rsid w:val="00E05209"/>
    <w:rsid w:val="00E05AC1"/>
    <w:rsid w:val="00E11BCF"/>
    <w:rsid w:val="00E2258E"/>
    <w:rsid w:val="00E25DA3"/>
    <w:rsid w:val="00E260C2"/>
    <w:rsid w:val="00E32596"/>
    <w:rsid w:val="00E368F7"/>
    <w:rsid w:val="00E36EB8"/>
    <w:rsid w:val="00E37FB8"/>
    <w:rsid w:val="00E40B07"/>
    <w:rsid w:val="00E42326"/>
    <w:rsid w:val="00E43544"/>
    <w:rsid w:val="00E44D89"/>
    <w:rsid w:val="00E477EA"/>
    <w:rsid w:val="00E502E5"/>
    <w:rsid w:val="00E55807"/>
    <w:rsid w:val="00E63B14"/>
    <w:rsid w:val="00E65CA0"/>
    <w:rsid w:val="00E70D9F"/>
    <w:rsid w:val="00E74D9A"/>
    <w:rsid w:val="00E83810"/>
    <w:rsid w:val="00E86933"/>
    <w:rsid w:val="00E9605B"/>
    <w:rsid w:val="00E97298"/>
    <w:rsid w:val="00E97753"/>
    <w:rsid w:val="00EA0C51"/>
    <w:rsid w:val="00EA7DE7"/>
    <w:rsid w:val="00EB7A8A"/>
    <w:rsid w:val="00EB7FAC"/>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44F26"/>
    <w:rsid w:val="00F52741"/>
    <w:rsid w:val="00F53D8A"/>
    <w:rsid w:val="00F626F7"/>
    <w:rsid w:val="00F736F9"/>
    <w:rsid w:val="00F73833"/>
    <w:rsid w:val="00F9127B"/>
    <w:rsid w:val="00F9211C"/>
    <w:rsid w:val="00FA095D"/>
    <w:rsid w:val="00FA67C6"/>
    <w:rsid w:val="00FA6C8B"/>
    <w:rsid w:val="00FA6CDA"/>
    <w:rsid w:val="00FA7C89"/>
    <w:rsid w:val="00FB4139"/>
    <w:rsid w:val="00FB476E"/>
    <w:rsid w:val="00FB481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5E81C4F1-8D48-4490-88A6-5F63A085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D5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D-RES-D.23-2017/fr" TargetMode="External"/><Relationship Id="rId21" Type="http://schemas.openxmlformats.org/officeDocument/2006/relationships/hyperlink" Target="https://www.itu.int/pub/D-RES-D.16-2017/fr" TargetMode="External"/><Relationship Id="rId42" Type="http://schemas.openxmlformats.org/officeDocument/2006/relationships/hyperlink" Target="https://www.itu.int/pub/D-RES-D.57-2010/fr" TargetMode="External"/><Relationship Id="rId47" Type="http://schemas.openxmlformats.org/officeDocument/2006/relationships/hyperlink" Target="https://www.itu.int/pub/D-RES-D.64-2022/fr" TargetMode="External"/><Relationship Id="rId63" Type="http://schemas.openxmlformats.org/officeDocument/2006/relationships/hyperlink" Target="https://www.itu.int/pub/D-RES-D.88-2022/fr" TargetMode="External"/><Relationship Id="rId68" Type="http://schemas.openxmlformats.org/officeDocument/2006/relationships/hyperlink" Target="https://www.itu.int/pub/D-RES-D.21-2022/fr" TargetMode="External"/><Relationship Id="rId16" Type="http://schemas.openxmlformats.org/officeDocument/2006/relationships/hyperlink" Target="https://www.itu.int/pub/D-RES-D.8-2022/fr" TargetMode="External"/><Relationship Id="rId11" Type="http://schemas.openxmlformats.org/officeDocument/2006/relationships/image" Target="media/image1.jpeg"/><Relationship Id="rId24" Type="http://schemas.openxmlformats.org/officeDocument/2006/relationships/hyperlink" Target="https://www.itu.int/pub/D-RES-D.20-2017/fr" TargetMode="External"/><Relationship Id="rId32" Type="http://schemas.openxmlformats.org/officeDocument/2006/relationships/hyperlink" Target="https://www.itu.int/pub/D-RES-D.36-2022/fr" TargetMode="External"/><Relationship Id="rId37" Type="http://schemas.openxmlformats.org/officeDocument/2006/relationships/hyperlink" Target="https://www.itu.int/pub/D-RES-D.46-2022/fr" TargetMode="External"/><Relationship Id="rId40" Type="http://schemas.openxmlformats.org/officeDocument/2006/relationships/hyperlink" Target="https://www.itu.int/pub/D-RES-D.52-2014/fr" TargetMode="External"/><Relationship Id="rId45" Type="http://schemas.openxmlformats.org/officeDocument/2006/relationships/hyperlink" Target="https://www.itu.int/pub/D-RES-D.62-2022/fr" TargetMode="External"/><Relationship Id="rId53" Type="http://schemas.openxmlformats.org/officeDocument/2006/relationships/hyperlink" Target="https://www.itu.int/pub/D-RES-D.76-2022/fr" TargetMode="External"/><Relationship Id="rId58" Type="http://schemas.openxmlformats.org/officeDocument/2006/relationships/hyperlink" Target="https://www.itu.int/pub/D-RES-D.82-2022/fr" TargetMode="External"/><Relationship Id="rId66" Type="http://schemas.openxmlformats.org/officeDocument/2006/relationships/hyperlink" Target="https://www.itu.int/pub/D-RES-D.1-2022/fr"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itu.int/pub/D-RES-D.85-2022/fr" TargetMode="External"/><Relationship Id="rId19" Type="http://schemas.openxmlformats.org/officeDocument/2006/relationships/hyperlink" Target="https://www.itu.int/pub/D-RES-D.11-2022/fr" TargetMode="External"/><Relationship Id="rId14" Type="http://schemas.openxmlformats.org/officeDocument/2006/relationships/hyperlink" Target="https://www.itu.int/md/D22-TDAG32-C-0017/fr" TargetMode="External"/><Relationship Id="rId22" Type="http://schemas.openxmlformats.org/officeDocument/2006/relationships/hyperlink" Target="https://www.itu.int/pub/D-RES-D.17-2022/fr" TargetMode="External"/><Relationship Id="rId27" Type="http://schemas.openxmlformats.org/officeDocument/2006/relationships/hyperlink" Target="https://www.itu.int/pub/D-RES-D.25-2022/fr" TargetMode="External"/><Relationship Id="rId30" Type="http://schemas.openxmlformats.org/officeDocument/2006/relationships/hyperlink" Target="https://www.itu.int/pub/D-RES-D.33-2014/fr" TargetMode="External"/><Relationship Id="rId35" Type="http://schemas.openxmlformats.org/officeDocument/2006/relationships/hyperlink" Target="https://www.itu.int/pub/D-RES-D.43-2017/fr" TargetMode="External"/><Relationship Id="rId43" Type="http://schemas.openxmlformats.org/officeDocument/2006/relationships/hyperlink" Target="https://www.itu.int/pub/D-RES-D.58-2022/fr" TargetMode="External"/><Relationship Id="rId48" Type="http://schemas.openxmlformats.org/officeDocument/2006/relationships/hyperlink" Target="https://www.itu.int/pub/D-RES-D.66-2022/fr" TargetMode="External"/><Relationship Id="rId56" Type="http://schemas.openxmlformats.org/officeDocument/2006/relationships/hyperlink" Target="https://www.itu.int/pub/D-RES-D.79-2022/fr" TargetMode="External"/><Relationship Id="rId64" Type="http://schemas.openxmlformats.org/officeDocument/2006/relationships/hyperlink" Target="https://www.itu.int/pub/D-RES-D.89-2022/fr" TargetMode="External"/><Relationship Id="rId69" Type="http://schemas.openxmlformats.org/officeDocument/2006/relationships/hyperlink" Target="https://www.itu.int/pub/D-RES-D.24-2014/fr"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pub/D-RES-D.73-2022/fr" TargetMode="External"/><Relationship Id="rId72" Type="http://schemas.openxmlformats.org/officeDocument/2006/relationships/hyperlink" Target="https://www.itu.int/pub/D-RES-D.59-2022/f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pub/D-RES-D.9-2022/fr" TargetMode="External"/><Relationship Id="rId25" Type="http://schemas.openxmlformats.org/officeDocument/2006/relationships/hyperlink" Target="https://www.itu.int/pub/D-RES-D.22-2022/fr" TargetMode="External"/><Relationship Id="rId33" Type="http://schemas.openxmlformats.org/officeDocument/2006/relationships/hyperlink" Target="https://www.itu.int/pub/D-RES-D.37-2022/fr" TargetMode="External"/><Relationship Id="rId38" Type="http://schemas.openxmlformats.org/officeDocument/2006/relationships/hyperlink" Target="https://www.itu.int/pub/D-RES-D.47-2022/fr" TargetMode="External"/><Relationship Id="rId46" Type="http://schemas.openxmlformats.org/officeDocument/2006/relationships/hyperlink" Target="https://www.itu.int/pub/D-RES-D.63-2022/fr" TargetMode="External"/><Relationship Id="rId59" Type="http://schemas.openxmlformats.org/officeDocument/2006/relationships/hyperlink" Target="https://www.itu.int/pub/D-RES-D.83-2017/fr" TargetMode="External"/><Relationship Id="rId67" Type="http://schemas.openxmlformats.org/officeDocument/2006/relationships/hyperlink" Target="https://www.itu.int/pub/D-RES-D.5-2022/fr" TargetMode="External"/><Relationship Id="rId20" Type="http://schemas.openxmlformats.org/officeDocument/2006/relationships/hyperlink" Target="https://www.itu.int/pub/D-RES-D.15-2022/fr" TargetMode="External"/><Relationship Id="rId41" Type="http://schemas.openxmlformats.org/officeDocument/2006/relationships/hyperlink" Target="https://www.itu.int/pub/D-RES-D.55-2022/fr" TargetMode="External"/><Relationship Id="rId54" Type="http://schemas.openxmlformats.org/officeDocument/2006/relationships/hyperlink" Target="https://www.itu.int/pub/D-RES-D.77-2017/fr" TargetMode="External"/><Relationship Id="rId62" Type="http://schemas.openxmlformats.org/officeDocument/2006/relationships/hyperlink" Target="https://www.itu.int/pub/D-RES-D.87-2022/fr" TargetMode="External"/><Relationship Id="rId70" Type="http://schemas.openxmlformats.org/officeDocument/2006/relationships/hyperlink" Target="https://www.itu.int/pub/D-RES-D.31-2022/fr"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pub/D-RES-D.2-2022/fr" TargetMode="External"/><Relationship Id="rId23" Type="http://schemas.openxmlformats.org/officeDocument/2006/relationships/hyperlink" Target="https://www.itu.int/pub/D-RES-D.18-2022/fr" TargetMode="External"/><Relationship Id="rId28" Type="http://schemas.openxmlformats.org/officeDocument/2006/relationships/hyperlink" Target="https://www.itu.int/pub/D-RES-D.26-2006/fr" TargetMode="External"/><Relationship Id="rId36" Type="http://schemas.openxmlformats.org/officeDocument/2006/relationships/hyperlink" Target="https://www.itu.int/pub/D-RES-D.45-2022/fr" TargetMode="External"/><Relationship Id="rId49" Type="http://schemas.openxmlformats.org/officeDocument/2006/relationships/hyperlink" Target="https://www.itu.int/pub/D-RES-D.67-2022/fr" TargetMode="External"/><Relationship Id="rId57" Type="http://schemas.openxmlformats.org/officeDocument/2006/relationships/hyperlink" Target="https://www.itu.int/pub/D-RES-D.80-2017/fr" TargetMode="External"/><Relationship Id="rId10" Type="http://schemas.openxmlformats.org/officeDocument/2006/relationships/endnotes" Target="endnotes.xml"/><Relationship Id="rId31" Type="http://schemas.openxmlformats.org/officeDocument/2006/relationships/hyperlink" Target="https://www.itu.int/pub/D-RES-D.34-2022/fr" TargetMode="External"/><Relationship Id="rId44" Type="http://schemas.openxmlformats.org/officeDocument/2006/relationships/hyperlink" Target="https://www.itu.int/pub/D-RES-D.60-2010/fr" TargetMode="External"/><Relationship Id="rId52" Type="http://schemas.openxmlformats.org/officeDocument/2006/relationships/hyperlink" Target="https://www.itu.int/pub/D-RES-D.75-2017/fr" TargetMode="External"/><Relationship Id="rId60" Type="http://schemas.openxmlformats.org/officeDocument/2006/relationships/hyperlink" Target="https://www.itu.int/pub/D-RES-D.84-2022/fr" TargetMode="External"/><Relationship Id="rId65" Type="http://schemas.openxmlformats.org/officeDocument/2006/relationships/hyperlink" Target="https://www.itu.int/pub/D-RES-D.90-2022/fr" TargetMode="External"/><Relationship Id="rId73" Type="http://schemas.openxmlformats.org/officeDocument/2006/relationships/hyperlink" Target="https://www.itu.int/pub/D-RES-D.71-2022/f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2-TDAG32-C-0017/fr" TargetMode="External"/><Relationship Id="rId18" Type="http://schemas.openxmlformats.org/officeDocument/2006/relationships/hyperlink" Target="https://www.itu.int/pub/D-RES-D.10-2010/fr" TargetMode="External"/><Relationship Id="rId39" Type="http://schemas.openxmlformats.org/officeDocument/2006/relationships/hyperlink" Target="https://www.itu.int/pub/D-RES-D.51-2022/fr" TargetMode="External"/><Relationship Id="rId34" Type="http://schemas.openxmlformats.org/officeDocument/2006/relationships/hyperlink" Target="https://www.itu.int/pub/D-RES-D.40-2022/fr" TargetMode="External"/><Relationship Id="rId50" Type="http://schemas.openxmlformats.org/officeDocument/2006/relationships/hyperlink" Target="https://www.itu.int/pub/D-RES-D.69-2022/fr" TargetMode="External"/><Relationship Id="rId55" Type="http://schemas.openxmlformats.org/officeDocument/2006/relationships/hyperlink" Target="https://www.itu.int/pub/D-RES-D.78-2022/fr"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pub/D-RES-D.48-2022/fr" TargetMode="External"/><Relationship Id="rId2" Type="http://schemas.openxmlformats.org/officeDocument/2006/relationships/customXml" Target="../customXml/item2.xml"/><Relationship Id="rId29" Type="http://schemas.openxmlformats.org/officeDocument/2006/relationships/hyperlink" Target="https://www.itu.int/pub/D-RES-D.30-2022/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4BE00-AF01-4C07-8D21-9200A7DC5B11}">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4.xml><?xml version="1.0" encoding="utf-8"?>
<ds:datastoreItem xmlns:ds="http://schemas.openxmlformats.org/officeDocument/2006/customXml" ds:itemID="{F239E65C-E8CA-4A1C-9C67-E4876CC2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6</cp:revision>
  <cp:lastPrinted>2014-11-05T03:22:00Z</cp:lastPrinted>
  <dcterms:created xsi:type="dcterms:W3CDTF">2025-09-03T12:28:00Z</dcterms:created>
  <dcterms:modified xsi:type="dcterms:W3CDTF">2025-09-11T08:43:00Z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