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268"/>
        <w:gridCol w:w="4140"/>
        <w:gridCol w:w="3231"/>
      </w:tblGrid>
      <w:tr w:rsidR="00C90466" w:rsidRPr="00243E39" w14:paraId="275DBAAE" w14:textId="77777777" w:rsidTr="00E401F4">
        <w:trPr>
          <w:cantSplit/>
          <w:trHeight w:val="1134"/>
        </w:trPr>
        <w:tc>
          <w:tcPr>
            <w:tcW w:w="2268" w:type="dxa"/>
          </w:tcPr>
          <w:p w14:paraId="11E9B210" w14:textId="5752B1B7" w:rsidR="00C90466" w:rsidRPr="00243E39" w:rsidRDefault="00E401F4" w:rsidP="00143B37">
            <w:pPr>
              <w:tabs>
                <w:tab w:val="clear" w:pos="1134"/>
              </w:tabs>
              <w:spacing w:before="60" w:after="60"/>
              <w:ind w:left="34"/>
              <w:rPr>
                <w:b/>
                <w:bCs/>
                <w:sz w:val="4"/>
                <w:szCs w:val="4"/>
                <w:lang w:val="es-ES_tradnl"/>
              </w:rPr>
            </w:pPr>
            <w:r w:rsidRPr="00243E39">
              <w:rPr>
                <w:b/>
                <w:bCs/>
                <w:noProof/>
                <w:sz w:val="4"/>
                <w:szCs w:val="4"/>
                <w:lang w:val="es-ES_tradnl"/>
              </w:rPr>
              <w:drawing>
                <wp:inline distT="0" distB="0" distL="0" distR="0" wp14:anchorId="1A788C34" wp14:editId="1DA76EC0">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71" w:type="dxa"/>
            <w:gridSpan w:val="2"/>
          </w:tcPr>
          <w:p w14:paraId="4D60C011" w14:textId="77777777" w:rsidR="00C90466" w:rsidRPr="00243E39" w:rsidRDefault="00C90466" w:rsidP="00143B37">
            <w:pPr>
              <w:tabs>
                <w:tab w:val="clear" w:pos="1134"/>
              </w:tabs>
              <w:spacing w:before="240" w:after="48" w:line="240" w:lineRule="atLeast"/>
              <w:ind w:left="34"/>
              <w:rPr>
                <w:b/>
                <w:bCs/>
                <w:sz w:val="32"/>
                <w:szCs w:val="32"/>
                <w:lang w:val="es-ES_tradnl"/>
              </w:rPr>
            </w:pPr>
            <w:r w:rsidRPr="00243E39">
              <w:rPr>
                <w:noProof/>
                <w:lang w:val="es-ES_tradnl"/>
              </w:rPr>
              <w:drawing>
                <wp:anchor distT="0" distB="0" distL="114300" distR="114300" simplePos="0" relativeHeight="251661312" behindDoc="0" locked="0" layoutInCell="1" allowOverlap="1" wp14:anchorId="0C2D9078" wp14:editId="1BCDCBC1">
                  <wp:simplePos x="0" y="0"/>
                  <wp:positionH relativeFrom="column">
                    <wp:posOffset>3736801</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243E39">
              <w:rPr>
                <w:b/>
                <w:bCs/>
                <w:sz w:val="32"/>
                <w:szCs w:val="32"/>
                <w:lang w:val="es-ES_tradnl"/>
              </w:rPr>
              <w:t>Conferencia Mundial de Desarrollo de las Telecomunicaciones (CMDT</w:t>
            </w:r>
            <w:r w:rsidR="00371686" w:rsidRPr="00243E39">
              <w:rPr>
                <w:b/>
                <w:bCs/>
                <w:sz w:val="32"/>
                <w:szCs w:val="32"/>
                <w:lang w:val="es-ES_tradnl"/>
              </w:rPr>
              <w:t>-2</w:t>
            </w:r>
            <w:r w:rsidR="00F2683C" w:rsidRPr="00243E39">
              <w:rPr>
                <w:b/>
                <w:bCs/>
                <w:sz w:val="32"/>
                <w:szCs w:val="32"/>
                <w:lang w:val="es-ES_tradnl"/>
              </w:rPr>
              <w:t>2</w:t>
            </w:r>
            <w:r w:rsidRPr="00243E39">
              <w:rPr>
                <w:b/>
                <w:bCs/>
                <w:sz w:val="32"/>
                <w:szCs w:val="32"/>
                <w:lang w:val="es-ES_tradnl"/>
              </w:rPr>
              <w:t>)</w:t>
            </w:r>
          </w:p>
          <w:p w14:paraId="13B5251E" w14:textId="77777777" w:rsidR="00C90466" w:rsidRPr="00243E39" w:rsidRDefault="00371686" w:rsidP="00371686">
            <w:pPr>
              <w:tabs>
                <w:tab w:val="clear" w:pos="1134"/>
              </w:tabs>
              <w:spacing w:after="48" w:line="240" w:lineRule="atLeast"/>
              <w:ind w:left="34"/>
              <w:rPr>
                <w:rFonts w:cstheme="minorHAnsi"/>
                <w:lang w:val="es-ES_tradnl"/>
              </w:rPr>
            </w:pPr>
            <w:r w:rsidRPr="00243E39">
              <w:rPr>
                <w:b/>
                <w:bCs/>
                <w:sz w:val="26"/>
                <w:szCs w:val="26"/>
                <w:lang w:val="es-ES_tradnl"/>
              </w:rPr>
              <w:t>Kigali, Rwanda, 6-16 de junio de 2022</w:t>
            </w:r>
            <w:bookmarkStart w:id="0" w:name="ditulogo"/>
            <w:bookmarkEnd w:id="0"/>
          </w:p>
        </w:tc>
      </w:tr>
      <w:tr w:rsidR="00D83BF5" w:rsidRPr="00243E39" w14:paraId="6C79DB88" w14:textId="77777777" w:rsidTr="00E401F4">
        <w:trPr>
          <w:cantSplit/>
        </w:trPr>
        <w:tc>
          <w:tcPr>
            <w:tcW w:w="6408" w:type="dxa"/>
            <w:gridSpan w:val="2"/>
            <w:tcBorders>
              <w:top w:val="single" w:sz="12" w:space="0" w:color="auto"/>
            </w:tcBorders>
          </w:tcPr>
          <w:p w14:paraId="51CF6353" w14:textId="563ECD09" w:rsidR="00D83BF5" w:rsidRPr="00243E39" w:rsidRDefault="00D83BF5" w:rsidP="00B951D0">
            <w:pPr>
              <w:spacing w:before="0" w:after="48" w:line="240" w:lineRule="atLeast"/>
              <w:rPr>
                <w:rFonts w:cstheme="minorHAnsi"/>
                <w:b/>
                <w:smallCaps/>
                <w:sz w:val="20"/>
                <w:lang w:val="es-ES_tradnl"/>
              </w:rPr>
            </w:pPr>
            <w:bookmarkStart w:id="1" w:name="dhead"/>
          </w:p>
        </w:tc>
        <w:tc>
          <w:tcPr>
            <w:tcW w:w="3231" w:type="dxa"/>
            <w:tcBorders>
              <w:top w:val="single" w:sz="12" w:space="0" w:color="auto"/>
            </w:tcBorders>
          </w:tcPr>
          <w:p w14:paraId="1C22573F" w14:textId="77777777" w:rsidR="00D83BF5" w:rsidRPr="00243E39" w:rsidRDefault="00D83BF5" w:rsidP="00B951D0">
            <w:pPr>
              <w:spacing w:before="0" w:line="240" w:lineRule="atLeast"/>
              <w:rPr>
                <w:rFonts w:cstheme="minorHAnsi"/>
                <w:sz w:val="20"/>
                <w:lang w:val="es-ES_tradnl"/>
              </w:rPr>
            </w:pPr>
          </w:p>
        </w:tc>
      </w:tr>
      <w:tr w:rsidR="00D83BF5" w:rsidRPr="00243E39" w14:paraId="7FD12C65" w14:textId="77777777" w:rsidTr="00E401F4">
        <w:trPr>
          <w:cantSplit/>
          <w:trHeight w:val="23"/>
        </w:trPr>
        <w:tc>
          <w:tcPr>
            <w:tcW w:w="6408" w:type="dxa"/>
            <w:gridSpan w:val="2"/>
            <w:shd w:val="clear" w:color="auto" w:fill="auto"/>
          </w:tcPr>
          <w:p w14:paraId="19E7F3D5" w14:textId="77777777" w:rsidR="00D83BF5" w:rsidRPr="00243E39"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243E39">
              <w:rPr>
                <w:lang w:val="es-ES_tradnl"/>
              </w:rPr>
              <w:t>SESIÓN PLENARIA</w:t>
            </w:r>
          </w:p>
        </w:tc>
        <w:tc>
          <w:tcPr>
            <w:tcW w:w="3231" w:type="dxa"/>
          </w:tcPr>
          <w:p w14:paraId="7281FCEE" w14:textId="77777777" w:rsidR="00D83BF5" w:rsidRPr="00243E39" w:rsidRDefault="00D02508" w:rsidP="00D02508">
            <w:pPr>
              <w:tabs>
                <w:tab w:val="left" w:pos="851"/>
              </w:tabs>
              <w:spacing w:before="0" w:line="240" w:lineRule="atLeast"/>
              <w:rPr>
                <w:rFonts w:cstheme="minorHAnsi"/>
                <w:szCs w:val="24"/>
                <w:lang w:val="es-ES_tradnl"/>
              </w:rPr>
            </w:pPr>
            <w:r w:rsidRPr="00243E39">
              <w:rPr>
                <w:b/>
                <w:bCs/>
                <w:szCs w:val="24"/>
                <w:lang w:val="es-ES_tradnl"/>
              </w:rPr>
              <w:t>Documento 35</w:t>
            </w:r>
            <w:r w:rsidR="00437E3B" w:rsidRPr="00243E39">
              <w:rPr>
                <w:b/>
                <w:bCs/>
                <w:szCs w:val="24"/>
                <w:lang w:val="es-ES_tradnl"/>
              </w:rPr>
              <w:t>-S</w:t>
            </w:r>
          </w:p>
        </w:tc>
      </w:tr>
      <w:tr w:rsidR="00D83BF5" w:rsidRPr="00243E39" w14:paraId="66CEE4CB" w14:textId="77777777" w:rsidTr="00E401F4">
        <w:trPr>
          <w:cantSplit/>
          <w:trHeight w:val="23"/>
        </w:trPr>
        <w:tc>
          <w:tcPr>
            <w:tcW w:w="6408" w:type="dxa"/>
            <w:gridSpan w:val="2"/>
            <w:shd w:val="clear" w:color="auto" w:fill="auto"/>
          </w:tcPr>
          <w:p w14:paraId="16A11B4D" w14:textId="77777777" w:rsidR="00D83BF5" w:rsidRPr="00243E39"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31" w:type="dxa"/>
          </w:tcPr>
          <w:p w14:paraId="3DA10F25" w14:textId="77777777" w:rsidR="00D83BF5" w:rsidRPr="00243E39" w:rsidRDefault="00D02508" w:rsidP="00D02508">
            <w:pPr>
              <w:spacing w:before="0" w:line="240" w:lineRule="atLeast"/>
              <w:rPr>
                <w:rFonts w:cstheme="minorHAnsi"/>
                <w:szCs w:val="24"/>
                <w:lang w:val="es-ES_tradnl"/>
              </w:rPr>
            </w:pPr>
            <w:r w:rsidRPr="00243E39">
              <w:rPr>
                <w:b/>
                <w:bCs/>
                <w:szCs w:val="24"/>
                <w:lang w:val="es-ES_tradnl"/>
              </w:rPr>
              <w:t>16 de mayo de 2022</w:t>
            </w:r>
          </w:p>
        </w:tc>
      </w:tr>
      <w:tr w:rsidR="00D83BF5" w:rsidRPr="00243E39" w14:paraId="3B5006DE" w14:textId="77777777" w:rsidTr="00E401F4">
        <w:trPr>
          <w:cantSplit/>
          <w:trHeight w:val="23"/>
        </w:trPr>
        <w:tc>
          <w:tcPr>
            <w:tcW w:w="6408" w:type="dxa"/>
            <w:gridSpan w:val="2"/>
            <w:shd w:val="clear" w:color="auto" w:fill="auto"/>
          </w:tcPr>
          <w:p w14:paraId="2A2C1E3B" w14:textId="77777777" w:rsidR="00D83BF5" w:rsidRPr="00243E39"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3231" w:type="dxa"/>
          </w:tcPr>
          <w:p w14:paraId="79909925" w14:textId="77777777" w:rsidR="00D83BF5" w:rsidRPr="00243E39" w:rsidRDefault="00D02508" w:rsidP="00D02508">
            <w:pPr>
              <w:tabs>
                <w:tab w:val="left" w:pos="993"/>
              </w:tabs>
              <w:spacing w:before="0"/>
              <w:rPr>
                <w:rFonts w:cstheme="minorHAnsi"/>
                <w:b/>
                <w:szCs w:val="24"/>
                <w:lang w:val="es-ES_tradnl"/>
              </w:rPr>
            </w:pPr>
            <w:r w:rsidRPr="00243E39">
              <w:rPr>
                <w:b/>
                <w:bCs/>
                <w:szCs w:val="24"/>
                <w:lang w:val="es-ES_tradnl"/>
              </w:rPr>
              <w:t>Original: inglés</w:t>
            </w:r>
          </w:p>
        </w:tc>
      </w:tr>
      <w:tr w:rsidR="00D83BF5" w:rsidRPr="00243E39" w14:paraId="755794E7" w14:textId="77777777" w:rsidTr="00C90466">
        <w:trPr>
          <w:cantSplit/>
          <w:trHeight w:val="23"/>
        </w:trPr>
        <w:tc>
          <w:tcPr>
            <w:tcW w:w="9639" w:type="dxa"/>
            <w:gridSpan w:val="3"/>
            <w:shd w:val="clear" w:color="auto" w:fill="auto"/>
          </w:tcPr>
          <w:p w14:paraId="0824582E" w14:textId="77777777" w:rsidR="00D83BF5" w:rsidRPr="00243E39" w:rsidRDefault="00D02508" w:rsidP="00D02508">
            <w:pPr>
              <w:pStyle w:val="Source"/>
              <w:spacing w:before="240" w:after="240"/>
              <w:rPr>
                <w:lang w:val="es-ES_tradnl"/>
              </w:rPr>
            </w:pPr>
            <w:r w:rsidRPr="00243E39">
              <w:rPr>
                <w:lang w:val="es-ES_tradnl"/>
              </w:rPr>
              <w:t>Rwanda (República de)</w:t>
            </w:r>
          </w:p>
        </w:tc>
      </w:tr>
      <w:tr w:rsidR="00D83BF5" w:rsidRPr="00243E39" w14:paraId="442C41C0" w14:textId="77777777" w:rsidTr="00C90466">
        <w:trPr>
          <w:cantSplit/>
          <w:trHeight w:val="23"/>
        </w:trPr>
        <w:tc>
          <w:tcPr>
            <w:tcW w:w="9639" w:type="dxa"/>
            <w:gridSpan w:val="3"/>
            <w:shd w:val="clear" w:color="auto" w:fill="auto"/>
            <w:vAlign w:val="center"/>
          </w:tcPr>
          <w:p w14:paraId="3BF86AF6" w14:textId="72180CB5" w:rsidR="00D83BF5" w:rsidRPr="00243E39" w:rsidRDefault="00D02508" w:rsidP="00D02508">
            <w:pPr>
              <w:pStyle w:val="Title1"/>
              <w:spacing w:before="120" w:after="120"/>
              <w:rPr>
                <w:lang w:val="es-ES_tradnl"/>
              </w:rPr>
            </w:pPr>
            <w:r w:rsidRPr="00243E39">
              <w:rPr>
                <w:lang w:val="es-ES_tradnl"/>
              </w:rPr>
              <w:t>Prop</w:t>
            </w:r>
            <w:r w:rsidR="0019488A" w:rsidRPr="00243E39">
              <w:rPr>
                <w:lang w:val="es-ES_tradnl"/>
              </w:rPr>
              <w:t>UESTA DE NUEVA RESOLUCIÓN</w:t>
            </w:r>
            <w:r w:rsidRPr="00243E39">
              <w:rPr>
                <w:lang w:val="es-ES_tradnl"/>
              </w:rPr>
              <w:t xml:space="preserve"> [RRW-1]</w:t>
            </w:r>
            <w:r w:rsidR="00243E39" w:rsidRPr="00243E39">
              <w:rPr>
                <w:lang w:val="es-ES_tradnl"/>
              </w:rPr>
              <w:t xml:space="preserve"> –</w:t>
            </w:r>
            <w:r w:rsidR="0019488A" w:rsidRPr="00243E39">
              <w:rPr>
                <w:lang w:val="es-ES_tradnl"/>
              </w:rPr>
              <w:t xml:space="preserve"> CONEXIÓN DE TODAS LAS ESCUELAS A INTERNET Y DE TODOS LOS JÓVENES A LOS SERVICIOS DE TECNOLOGÍAS DE LA INFORMACIÓN Y LA COMUNICACIÓN</w:t>
            </w:r>
          </w:p>
        </w:tc>
      </w:tr>
      <w:tr w:rsidR="00D83BF5" w:rsidRPr="00243E39" w14:paraId="55AFC006" w14:textId="77777777" w:rsidTr="00C90466">
        <w:trPr>
          <w:cantSplit/>
          <w:trHeight w:val="23"/>
        </w:trPr>
        <w:tc>
          <w:tcPr>
            <w:tcW w:w="9639" w:type="dxa"/>
            <w:gridSpan w:val="3"/>
            <w:shd w:val="clear" w:color="auto" w:fill="auto"/>
          </w:tcPr>
          <w:p w14:paraId="70E3292E" w14:textId="77777777" w:rsidR="00D83BF5" w:rsidRPr="00243E39" w:rsidRDefault="00D83BF5" w:rsidP="00D02508">
            <w:pPr>
              <w:pStyle w:val="Title2"/>
              <w:spacing w:before="240"/>
              <w:rPr>
                <w:lang w:val="es-ES_tradnl"/>
              </w:rPr>
            </w:pPr>
          </w:p>
        </w:tc>
      </w:tr>
      <w:tr w:rsidR="00D02508" w:rsidRPr="00243E39" w14:paraId="40361DE7" w14:textId="77777777" w:rsidTr="00C90466">
        <w:trPr>
          <w:cantSplit/>
          <w:trHeight w:val="23"/>
        </w:trPr>
        <w:tc>
          <w:tcPr>
            <w:tcW w:w="9639" w:type="dxa"/>
            <w:gridSpan w:val="3"/>
            <w:shd w:val="clear" w:color="auto" w:fill="auto"/>
          </w:tcPr>
          <w:p w14:paraId="526678D3" w14:textId="77777777" w:rsidR="00D02508" w:rsidRPr="00243E39" w:rsidRDefault="00D02508" w:rsidP="00D02508">
            <w:pPr>
              <w:pStyle w:val="Title2"/>
              <w:spacing w:before="240"/>
              <w:rPr>
                <w:lang w:val="es-ES_tradnl"/>
              </w:rPr>
            </w:pPr>
          </w:p>
        </w:tc>
      </w:tr>
      <w:bookmarkEnd w:id="6"/>
      <w:bookmarkEnd w:id="7"/>
      <w:tr w:rsidR="00A53141" w:rsidRPr="00243E39" w14:paraId="56E92B4C" w14:textId="77777777" w:rsidTr="00E401F4">
        <w:tc>
          <w:tcPr>
            <w:tcW w:w="9639" w:type="dxa"/>
            <w:gridSpan w:val="3"/>
            <w:tcBorders>
              <w:top w:val="single" w:sz="4" w:space="0" w:color="auto"/>
              <w:left w:val="single" w:sz="4" w:space="0" w:color="auto"/>
              <w:bottom w:val="single" w:sz="4" w:space="0" w:color="auto"/>
              <w:right w:val="single" w:sz="4" w:space="0" w:color="auto"/>
            </w:tcBorders>
          </w:tcPr>
          <w:p w14:paraId="3C3F97FE" w14:textId="77777777" w:rsidR="00E401F4" w:rsidRPr="00243E39" w:rsidRDefault="00F86326" w:rsidP="00E401F4">
            <w:pPr>
              <w:pStyle w:val="Headingb"/>
              <w:rPr>
                <w:rFonts w:eastAsia="SimSun"/>
                <w:lang w:val="es-ES_tradnl"/>
              </w:rPr>
            </w:pPr>
            <w:r w:rsidRPr="00243E39">
              <w:rPr>
                <w:rFonts w:eastAsia="SimSun"/>
                <w:lang w:val="es-ES_tradnl"/>
              </w:rPr>
              <w:t>Área prioritaria:</w:t>
            </w:r>
          </w:p>
          <w:p w14:paraId="09B2903C" w14:textId="12907601" w:rsidR="00A53141" w:rsidRPr="00243E39" w:rsidRDefault="00E401F4" w:rsidP="00E401F4">
            <w:pPr>
              <w:rPr>
                <w:lang w:val="es-ES_tradnl"/>
              </w:rPr>
            </w:pPr>
            <w:r w:rsidRPr="00243E39">
              <w:rPr>
                <w:rFonts w:eastAsia="SimSun"/>
                <w:lang w:val="es-ES_tradnl"/>
              </w:rPr>
              <w:t>–</w:t>
            </w:r>
            <w:r w:rsidRPr="00243E39">
              <w:rPr>
                <w:rFonts w:eastAsia="SimSun"/>
                <w:lang w:val="es-ES_tradnl"/>
              </w:rPr>
              <w:tab/>
            </w:r>
            <w:r w:rsidR="0019488A" w:rsidRPr="00243E39">
              <w:rPr>
                <w:rFonts w:eastAsia="SimSun"/>
                <w:lang w:val="es-ES_tradnl"/>
              </w:rPr>
              <w:t>Resoluciones y Recomendaciones</w:t>
            </w:r>
          </w:p>
          <w:p w14:paraId="5E07C417" w14:textId="77777777" w:rsidR="00E401F4" w:rsidRPr="00243E39" w:rsidRDefault="00F86326" w:rsidP="00E401F4">
            <w:pPr>
              <w:pStyle w:val="Headingb"/>
              <w:rPr>
                <w:rFonts w:eastAsia="SimSun"/>
                <w:lang w:val="es-ES_tradnl"/>
              </w:rPr>
            </w:pPr>
            <w:r w:rsidRPr="00243E39">
              <w:rPr>
                <w:rFonts w:eastAsia="SimSun"/>
                <w:lang w:val="es-ES_tradnl"/>
              </w:rPr>
              <w:t>Resumen:</w:t>
            </w:r>
          </w:p>
          <w:p w14:paraId="2254125C" w14:textId="7B67F3FA" w:rsidR="00A53141" w:rsidRPr="00243E39" w:rsidRDefault="0019488A" w:rsidP="00E401F4">
            <w:pPr>
              <w:rPr>
                <w:lang w:val="es-ES_tradnl"/>
              </w:rPr>
            </w:pPr>
            <w:r w:rsidRPr="00243E39">
              <w:rPr>
                <w:rFonts w:eastAsia="SimSun"/>
                <w:lang w:val="es-ES_tradnl"/>
              </w:rPr>
              <w:t>En este documento Rwanda presenta una propuesta de nueva Resolución para orientar los trabajos del UIT-D con miras a conectar todas las escuelas a Internet y como contribución para el cierre de la brecha digital y garantizar que los jóvenes de todo el mundo disponen de los medios y competencias necesarios para poder sacar fruto de su participación en la economía digital mundial.</w:t>
            </w:r>
          </w:p>
          <w:p w14:paraId="6AB78D44" w14:textId="77777777" w:rsidR="00E401F4" w:rsidRPr="00243E39" w:rsidRDefault="00F86326" w:rsidP="00E401F4">
            <w:pPr>
              <w:pStyle w:val="Headingb"/>
              <w:rPr>
                <w:rFonts w:eastAsia="SimSun"/>
                <w:lang w:val="es-ES_tradnl"/>
              </w:rPr>
            </w:pPr>
            <w:r w:rsidRPr="00243E39">
              <w:rPr>
                <w:rFonts w:eastAsia="SimSun"/>
                <w:lang w:val="es-ES_tradnl"/>
              </w:rPr>
              <w:t>Resultados previstos:</w:t>
            </w:r>
          </w:p>
          <w:p w14:paraId="67796032" w14:textId="7134630A" w:rsidR="00A53141" w:rsidRPr="00243E39" w:rsidRDefault="0019488A" w:rsidP="00E401F4">
            <w:pPr>
              <w:rPr>
                <w:lang w:val="es-ES_tradnl"/>
              </w:rPr>
            </w:pPr>
            <w:r w:rsidRPr="00243E39">
              <w:rPr>
                <w:rFonts w:eastAsia="SimSun"/>
                <w:lang w:val="es-ES_tradnl"/>
              </w:rPr>
              <w:t>Se invita a la CMDT a examinar este documento y aprobar la propuesta.</w:t>
            </w:r>
          </w:p>
          <w:p w14:paraId="180EF24E" w14:textId="77777777" w:rsidR="00E401F4" w:rsidRPr="00243E39" w:rsidRDefault="00F86326" w:rsidP="00E401F4">
            <w:pPr>
              <w:pStyle w:val="Headingb"/>
              <w:rPr>
                <w:rFonts w:eastAsia="SimSun"/>
                <w:lang w:val="es-ES_tradnl"/>
              </w:rPr>
            </w:pPr>
            <w:r w:rsidRPr="00243E39">
              <w:rPr>
                <w:rFonts w:eastAsia="SimSun"/>
                <w:lang w:val="es-ES_tradnl"/>
              </w:rPr>
              <w:t>Referencias:</w:t>
            </w:r>
          </w:p>
          <w:p w14:paraId="74B8217A" w14:textId="0920CF31" w:rsidR="00A53141" w:rsidRPr="00243E39" w:rsidRDefault="0019488A" w:rsidP="00E401F4">
            <w:pPr>
              <w:rPr>
                <w:lang w:val="es-ES_tradnl"/>
              </w:rPr>
            </w:pPr>
            <w:r w:rsidRPr="00243E39">
              <w:rPr>
                <w:rFonts w:eastAsia="SimSun"/>
                <w:lang w:val="es-ES_tradnl"/>
              </w:rPr>
              <w:t>n.</w:t>
            </w:r>
            <w:r w:rsidR="00E401F4" w:rsidRPr="00243E39">
              <w:rPr>
                <w:rFonts w:eastAsia="SimSun"/>
                <w:lang w:val="es-ES_tradnl"/>
              </w:rPr>
              <w:t xml:space="preserve"> a.</w:t>
            </w:r>
          </w:p>
        </w:tc>
      </w:tr>
    </w:tbl>
    <w:p w14:paraId="428DD953" w14:textId="194DC00A" w:rsidR="00E401F4" w:rsidRPr="00243E39" w:rsidRDefault="00E401F4">
      <w:pPr>
        <w:tabs>
          <w:tab w:val="clear" w:pos="1134"/>
          <w:tab w:val="clear" w:pos="1871"/>
          <w:tab w:val="clear" w:pos="2268"/>
        </w:tabs>
        <w:overflowPunct/>
        <w:autoSpaceDE/>
        <w:autoSpaceDN/>
        <w:adjustRightInd/>
        <w:spacing w:before="0"/>
        <w:textAlignment w:val="auto"/>
        <w:rPr>
          <w:szCs w:val="24"/>
          <w:lang w:val="es-ES_tradnl"/>
        </w:rPr>
      </w:pPr>
      <w:r w:rsidRPr="00243E39">
        <w:rPr>
          <w:szCs w:val="24"/>
          <w:lang w:val="es-ES_tradnl"/>
        </w:rPr>
        <w:br w:type="page"/>
      </w:r>
    </w:p>
    <w:p w14:paraId="04082B3A" w14:textId="77777777" w:rsidR="00A53141" w:rsidRPr="00243E39" w:rsidRDefault="00F86326">
      <w:pPr>
        <w:pStyle w:val="Proposal"/>
        <w:rPr>
          <w:lang w:val="es-ES_tradnl"/>
        </w:rPr>
      </w:pPr>
      <w:r w:rsidRPr="00243E39">
        <w:rPr>
          <w:b/>
          <w:lang w:val="es-ES_tradnl"/>
        </w:rPr>
        <w:lastRenderedPageBreak/>
        <w:t>ADD</w:t>
      </w:r>
      <w:r w:rsidRPr="00243E39">
        <w:rPr>
          <w:lang w:val="es-ES_tradnl"/>
        </w:rPr>
        <w:tab/>
        <w:t>RRW/35/1</w:t>
      </w:r>
    </w:p>
    <w:p w14:paraId="486F0A24" w14:textId="3573996E" w:rsidR="008750A8" w:rsidRPr="00243E39" w:rsidRDefault="00F86326" w:rsidP="00590E35">
      <w:pPr>
        <w:pStyle w:val="ResNo"/>
        <w:rPr>
          <w:lang w:val="es-ES_tradnl"/>
        </w:rPr>
      </w:pPr>
      <w:r w:rsidRPr="00243E39">
        <w:rPr>
          <w:lang w:val="es-ES_tradnl"/>
        </w:rPr>
        <w:t>PROYECTO DE NUEVA RESOLUCIÓN</w:t>
      </w:r>
      <w:r w:rsidR="0019488A" w:rsidRPr="00243E39">
        <w:rPr>
          <w:lang w:val="es-ES_tradnl"/>
        </w:rPr>
        <w:t xml:space="preserve"> [RRW-1] (</w:t>
      </w:r>
      <w:r w:rsidR="0019488A" w:rsidRPr="00243E39">
        <w:rPr>
          <w:caps w:val="0"/>
          <w:lang w:val="es-ES_tradnl"/>
        </w:rPr>
        <w:t>Kigali, 2022</w:t>
      </w:r>
      <w:r w:rsidR="0019488A" w:rsidRPr="00243E39">
        <w:rPr>
          <w:lang w:val="es-ES_tradnl"/>
        </w:rPr>
        <w:t>)</w:t>
      </w:r>
    </w:p>
    <w:p w14:paraId="430D4FF8" w14:textId="31D1FAA5" w:rsidR="0019488A" w:rsidRPr="00243E39" w:rsidRDefault="0019488A" w:rsidP="0019488A">
      <w:pPr>
        <w:pStyle w:val="Restitle"/>
        <w:rPr>
          <w:lang w:val="es-ES_tradnl"/>
        </w:rPr>
      </w:pPr>
      <w:r w:rsidRPr="00243E39">
        <w:rPr>
          <w:lang w:val="es-ES_tradnl"/>
        </w:rPr>
        <w:t>Conexión de todas las escuelas a Internet y de todos los jóvenes a los servicios de tecnologías de la información y la comunicación</w:t>
      </w:r>
    </w:p>
    <w:p w14:paraId="70C1AD1D" w14:textId="127EDA1E" w:rsidR="0019488A" w:rsidRPr="00243E39" w:rsidRDefault="0019488A" w:rsidP="0019488A">
      <w:pPr>
        <w:pStyle w:val="Normalaftertitle"/>
        <w:keepNext/>
        <w:keepLines/>
        <w:rPr>
          <w:lang w:val="es-ES_tradnl" w:eastAsia="zh-CN"/>
        </w:rPr>
      </w:pPr>
      <w:r w:rsidRPr="00243E39">
        <w:rPr>
          <w:lang w:val="es-ES_tradnl" w:eastAsia="zh-CN"/>
        </w:rPr>
        <w:t>La Conferencia Mundial de Desarrollo de las Telecomunicaciones (Kigali</w:t>
      </w:r>
      <w:r w:rsidRPr="00243E39">
        <w:rPr>
          <w:lang w:val="es-ES_tradnl"/>
        </w:rPr>
        <w:t>, 2022</w:t>
      </w:r>
      <w:r w:rsidRPr="00243E39">
        <w:rPr>
          <w:lang w:val="es-ES_tradnl" w:eastAsia="zh-CN"/>
        </w:rPr>
        <w:t>),</w:t>
      </w:r>
    </w:p>
    <w:p w14:paraId="511B3170" w14:textId="6127FD59" w:rsidR="0019488A" w:rsidRPr="00243E39" w:rsidRDefault="0019488A" w:rsidP="0019488A">
      <w:pPr>
        <w:pStyle w:val="Call"/>
        <w:rPr>
          <w:lang w:val="es-ES_tradnl"/>
        </w:rPr>
      </w:pPr>
      <w:r w:rsidRPr="00243E39">
        <w:rPr>
          <w:lang w:val="es-ES_tradnl"/>
        </w:rPr>
        <w:t>recordando</w:t>
      </w:r>
    </w:p>
    <w:p w14:paraId="1B4471ED" w14:textId="5422DC93" w:rsidR="0019488A" w:rsidRPr="00243E39" w:rsidRDefault="0019488A" w:rsidP="0019488A">
      <w:pPr>
        <w:rPr>
          <w:lang w:val="es-ES_tradnl"/>
        </w:rPr>
      </w:pPr>
      <w:r w:rsidRPr="00243E39">
        <w:rPr>
          <w:i/>
          <w:iCs/>
          <w:lang w:val="es-ES_tradnl"/>
        </w:rPr>
        <w:t>a)</w:t>
      </w:r>
      <w:r w:rsidRPr="00243E39">
        <w:rPr>
          <w:lang w:val="es-ES_tradnl"/>
        </w:rPr>
        <w:tab/>
      </w:r>
      <w:r w:rsidR="00733B44" w:rsidRPr="00243E39">
        <w:rPr>
          <w:lang w:val="es-ES_tradnl"/>
        </w:rPr>
        <w:t>el compromiso de todos los Estados Miembros de las naciones Unidas en la consecución de la Agenda</w:t>
      </w:r>
      <w:r w:rsidRPr="00243E39">
        <w:rPr>
          <w:rFonts w:eastAsia="Calibri"/>
          <w:lang w:val="es-ES_tradnl"/>
        </w:rPr>
        <w:t xml:space="preserve"> 2030 </w:t>
      </w:r>
      <w:r w:rsidR="00733B44" w:rsidRPr="00243E39">
        <w:rPr>
          <w:rFonts w:eastAsia="Calibri"/>
          <w:lang w:val="es-ES_tradnl"/>
        </w:rPr>
        <w:t>para el Desarrollo Sostenible y los</w:t>
      </w:r>
      <w:r w:rsidRPr="00243E39">
        <w:rPr>
          <w:rFonts w:eastAsia="Calibri"/>
          <w:lang w:val="es-ES_tradnl"/>
        </w:rPr>
        <w:t xml:space="preserve"> 17 </w:t>
      </w:r>
      <w:r w:rsidR="00733B44" w:rsidRPr="00243E39">
        <w:rPr>
          <w:rFonts w:eastAsia="Calibri"/>
          <w:lang w:val="es-ES_tradnl"/>
        </w:rPr>
        <w:t>Objetivos de Desarrollo Sostenible (ODS), y sus correspondientes Metas, adoptados por la Asamblea General de las Naciones Unidas (AGNU) en su Resolución</w:t>
      </w:r>
      <w:r w:rsidRPr="00243E39">
        <w:rPr>
          <w:rFonts w:eastAsia="Calibri"/>
          <w:lang w:val="es-ES_tradnl"/>
        </w:rPr>
        <w:t xml:space="preserve"> 70/1</w:t>
      </w:r>
      <w:r w:rsidR="0071248C" w:rsidRPr="00243E39">
        <w:rPr>
          <w:rFonts w:eastAsia="Calibri"/>
          <w:lang w:val="es-ES_tradnl"/>
        </w:rPr>
        <w:t>;</w:t>
      </w:r>
    </w:p>
    <w:p w14:paraId="2BD35B94" w14:textId="65AE07D1" w:rsidR="0019488A" w:rsidRPr="00243E39" w:rsidRDefault="0019488A" w:rsidP="0019488A">
      <w:pPr>
        <w:rPr>
          <w:rFonts w:eastAsia="Calibri"/>
          <w:lang w:val="es-ES_tradnl"/>
        </w:rPr>
      </w:pPr>
      <w:r w:rsidRPr="00243E39">
        <w:rPr>
          <w:i/>
          <w:iCs/>
          <w:lang w:val="es-ES_tradnl"/>
        </w:rPr>
        <w:t>b)</w:t>
      </w:r>
      <w:r w:rsidRPr="00243E39">
        <w:rPr>
          <w:lang w:val="es-ES_tradnl"/>
        </w:rPr>
        <w:tab/>
      </w:r>
      <w:r w:rsidR="00733B44" w:rsidRPr="00243E39">
        <w:rPr>
          <w:lang w:val="es-ES_tradnl"/>
        </w:rPr>
        <w:t>el compromiso de todos los Estados Miembros de las Naciones Unidas para mejorar la cooperación digital, reflejado en la Declaración sobre la conmemoración del 75</w:t>
      </w:r>
      <w:r w:rsidR="007D696A" w:rsidRPr="00243E39">
        <w:rPr>
          <w:lang w:val="es-ES_tradnl"/>
        </w:rPr>
        <w:t>°</w:t>
      </w:r>
      <w:r w:rsidR="00733B44" w:rsidRPr="00243E39">
        <w:rPr>
          <w:lang w:val="es-ES_tradnl"/>
        </w:rPr>
        <w:t xml:space="preserve"> aniversario de las Naciones Unidas de su Resolución</w:t>
      </w:r>
      <w:r w:rsidRPr="00243E39">
        <w:rPr>
          <w:rFonts w:eastAsia="Calibri"/>
          <w:lang w:val="es-ES_tradnl"/>
        </w:rPr>
        <w:t xml:space="preserve"> 75/1;</w:t>
      </w:r>
    </w:p>
    <w:p w14:paraId="666D055E" w14:textId="6C815565" w:rsidR="0019488A" w:rsidRPr="00243E39" w:rsidRDefault="0019488A" w:rsidP="0019488A">
      <w:pPr>
        <w:rPr>
          <w:lang w:val="es-ES_tradnl"/>
        </w:rPr>
      </w:pPr>
      <w:r w:rsidRPr="00243E39">
        <w:rPr>
          <w:i/>
          <w:iCs/>
          <w:lang w:val="es-ES_tradnl"/>
        </w:rPr>
        <w:t>c)</w:t>
      </w:r>
      <w:r w:rsidRPr="00243E39">
        <w:rPr>
          <w:lang w:val="es-ES_tradnl"/>
        </w:rPr>
        <w:tab/>
      </w:r>
      <w:r w:rsidR="00733B44" w:rsidRPr="00243E39">
        <w:rPr>
          <w:lang w:val="es-ES_tradnl"/>
        </w:rPr>
        <w:t xml:space="preserve">la Agenda </w:t>
      </w:r>
      <w:r w:rsidR="00150127" w:rsidRPr="00243E39">
        <w:rPr>
          <w:rFonts w:eastAsia="Calibri"/>
          <w:lang w:val="es-ES_tradnl"/>
        </w:rPr>
        <w:t xml:space="preserve">Conectar </w:t>
      </w:r>
      <w:r w:rsidRPr="00243E39">
        <w:rPr>
          <w:rFonts w:eastAsia="Calibri"/>
          <w:lang w:val="es-ES_tradnl"/>
        </w:rPr>
        <w:t xml:space="preserve">2030 </w:t>
      </w:r>
      <w:r w:rsidR="00733B44" w:rsidRPr="00243E39">
        <w:rPr>
          <w:rFonts w:eastAsia="Calibri"/>
          <w:lang w:val="es-ES_tradnl"/>
        </w:rPr>
        <w:t>de las telecomunicaciones/tecnologías de la información y la comunicación (TIC) mundiales, adoptada en la Resolución</w:t>
      </w:r>
      <w:r w:rsidRPr="00243E39">
        <w:rPr>
          <w:rFonts w:eastAsia="Calibri"/>
          <w:lang w:val="es-ES_tradnl"/>
        </w:rPr>
        <w:t xml:space="preserve"> 200 (Rev. Dub</w:t>
      </w:r>
      <w:r w:rsidR="00733B44" w:rsidRPr="00243E39">
        <w:rPr>
          <w:rFonts w:eastAsia="Calibri"/>
          <w:lang w:val="es-ES_tradnl"/>
        </w:rPr>
        <w:t>á</w:t>
      </w:r>
      <w:r w:rsidRPr="00243E39">
        <w:rPr>
          <w:rFonts w:eastAsia="Calibri"/>
          <w:lang w:val="es-ES_tradnl"/>
        </w:rPr>
        <w:t>i</w:t>
      </w:r>
      <w:r w:rsidR="00243E39" w:rsidRPr="00243E39">
        <w:rPr>
          <w:rFonts w:eastAsia="Calibri"/>
          <w:lang w:val="es-ES_tradnl"/>
        </w:rPr>
        <w:t>,</w:t>
      </w:r>
      <w:r w:rsidRPr="00243E39">
        <w:rPr>
          <w:rFonts w:eastAsia="Calibri"/>
          <w:lang w:val="es-ES_tradnl"/>
        </w:rPr>
        <w:t xml:space="preserve"> 2018) </w:t>
      </w:r>
      <w:r w:rsidR="00733B44" w:rsidRPr="00243E39">
        <w:rPr>
          <w:rFonts w:eastAsia="Calibri"/>
          <w:lang w:val="es-ES_tradnl"/>
        </w:rPr>
        <w:t>de la Conferencia de Plenipotenciarios</w:t>
      </w:r>
      <w:r w:rsidRPr="00243E39">
        <w:rPr>
          <w:rFonts w:eastAsia="Calibri"/>
          <w:lang w:val="es-ES_tradnl"/>
        </w:rPr>
        <w:t>;</w:t>
      </w:r>
    </w:p>
    <w:p w14:paraId="6FC13E74" w14:textId="6CD47C78" w:rsidR="00150127" w:rsidRPr="00243E39" w:rsidRDefault="0019488A" w:rsidP="0019488A">
      <w:pPr>
        <w:rPr>
          <w:rFonts w:eastAsia="Calibri"/>
          <w:lang w:val="es-ES_tradnl"/>
        </w:rPr>
      </w:pPr>
      <w:r w:rsidRPr="00243E39">
        <w:rPr>
          <w:i/>
          <w:iCs/>
          <w:lang w:val="es-ES_tradnl"/>
        </w:rPr>
        <w:t>d)</w:t>
      </w:r>
      <w:r w:rsidRPr="00243E39">
        <w:rPr>
          <w:lang w:val="es-ES_tradnl"/>
        </w:rPr>
        <w:tab/>
      </w:r>
      <w:r w:rsidR="00A2718E" w:rsidRPr="00243E39">
        <w:rPr>
          <w:lang w:val="es-ES_tradnl"/>
        </w:rPr>
        <w:t>la Resolución</w:t>
      </w:r>
      <w:r w:rsidRPr="00243E39">
        <w:rPr>
          <w:rFonts w:eastAsia="Calibri"/>
          <w:lang w:val="es-ES_tradnl"/>
        </w:rPr>
        <w:t xml:space="preserve"> 139 (Rev. Dub</w:t>
      </w:r>
      <w:r w:rsidR="00A2718E" w:rsidRPr="00243E39">
        <w:rPr>
          <w:rFonts w:eastAsia="Calibri"/>
          <w:lang w:val="es-ES_tradnl"/>
        </w:rPr>
        <w:t>á</w:t>
      </w:r>
      <w:r w:rsidRPr="00243E39">
        <w:rPr>
          <w:rFonts w:eastAsia="Calibri"/>
          <w:lang w:val="es-ES_tradnl"/>
        </w:rPr>
        <w:t>i, 2018)</w:t>
      </w:r>
      <w:r w:rsidR="00A2718E" w:rsidRPr="00243E39">
        <w:rPr>
          <w:rFonts w:eastAsia="Calibri"/>
          <w:lang w:val="es-ES_tradnl"/>
        </w:rPr>
        <w:t>, Utilización de las telecomunicaciones/tecnologías de la información y la comunicación para reducir la brecha digital y crear una sociedad de la información inclusiva, de la Conferencia de Plenipotenciarios</w:t>
      </w:r>
      <w:r w:rsidRPr="00243E39">
        <w:rPr>
          <w:rFonts w:eastAsia="Calibri"/>
          <w:lang w:val="es-ES_tradnl"/>
        </w:rPr>
        <w:t>;</w:t>
      </w:r>
    </w:p>
    <w:p w14:paraId="1C8D98B9" w14:textId="0C52ABCA" w:rsidR="0019488A" w:rsidRPr="00243E39" w:rsidRDefault="0019488A" w:rsidP="0019488A">
      <w:pPr>
        <w:rPr>
          <w:rFonts w:eastAsia="Calibri"/>
          <w:lang w:val="es-ES_tradnl"/>
        </w:rPr>
      </w:pPr>
      <w:r w:rsidRPr="00243E39">
        <w:rPr>
          <w:rFonts w:eastAsia="Calibri"/>
          <w:i/>
          <w:iCs/>
          <w:lang w:val="es-ES_tradnl"/>
        </w:rPr>
        <w:t>e)</w:t>
      </w:r>
      <w:r w:rsidRPr="00243E39">
        <w:rPr>
          <w:lang w:val="es-ES_tradnl"/>
        </w:rPr>
        <w:tab/>
      </w:r>
      <w:r w:rsidR="00A2718E" w:rsidRPr="00243E39">
        <w:rPr>
          <w:lang w:val="es-ES_tradnl"/>
        </w:rPr>
        <w:t>la Declaración de</w:t>
      </w:r>
      <w:r w:rsidRPr="00243E39">
        <w:rPr>
          <w:rFonts w:eastAsia="Calibri"/>
          <w:lang w:val="es-ES_tradnl"/>
        </w:rPr>
        <w:t xml:space="preserve"> Buenos Aires</w:t>
      </w:r>
      <w:r w:rsidR="00A2718E" w:rsidRPr="00243E39">
        <w:rPr>
          <w:rFonts w:eastAsia="Calibri"/>
          <w:lang w:val="es-ES_tradnl"/>
        </w:rPr>
        <w:t>, adoptada por la Conferencia Mundial de Desarrollo de las Telecomunicaciones de</w:t>
      </w:r>
      <w:r w:rsidRPr="00243E39">
        <w:rPr>
          <w:rFonts w:eastAsia="Calibri"/>
          <w:lang w:val="es-ES_tradnl"/>
        </w:rPr>
        <w:t xml:space="preserve"> 2017 </w:t>
      </w:r>
      <w:r w:rsidR="00A2718E" w:rsidRPr="00243E39">
        <w:rPr>
          <w:rFonts w:eastAsia="Calibri"/>
          <w:lang w:val="es-ES_tradnl"/>
        </w:rPr>
        <w:t>(CMDT</w:t>
      </w:r>
      <w:r w:rsidRPr="00243E39">
        <w:rPr>
          <w:rFonts w:ascii="Cambria Math" w:eastAsia="Calibri" w:hAnsi="Cambria Math" w:cs="Cambria Math"/>
          <w:lang w:val="es-ES_tradnl"/>
        </w:rPr>
        <w:t>‑</w:t>
      </w:r>
      <w:r w:rsidRPr="00243E39">
        <w:rPr>
          <w:rFonts w:eastAsia="Calibri"/>
          <w:lang w:val="es-ES_tradnl"/>
        </w:rPr>
        <w:t>17)</w:t>
      </w:r>
      <w:r w:rsidR="00A2718E" w:rsidRPr="00243E39">
        <w:rPr>
          <w:rFonts w:eastAsia="Calibri"/>
          <w:lang w:val="es-ES_tradnl"/>
        </w:rPr>
        <w:t>, y el Plan de Acción de</w:t>
      </w:r>
      <w:r w:rsidRPr="00243E39">
        <w:rPr>
          <w:rFonts w:eastAsia="Calibri"/>
          <w:lang w:val="es-ES_tradnl"/>
        </w:rPr>
        <w:t xml:space="preserve"> Buenos Aires</w:t>
      </w:r>
      <w:r w:rsidR="00A2718E" w:rsidRPr="00243E39">
        <w:rPr>
          <w:rFonts w:eastAsia="Calibri"/>
          <w:lang w:val="es-ES_tradnl"/>
        </w:rPr>
        <w:t>, así como las Resoluciones de la CMDT-17 pertinentes, incluida la Resolución</w:t>
      </w:r>
      <w:r w:rsidRPr="00243E39">
        <w:rPr>
          <w:rFonts w:eastAsia="Calibri"/>
          <w:lang w:val="es-ES_tradnl"/>
        </w:rPr>
        <w:t xml:space="preserve"> 37 (Rev. Buenos Aires, 2017) </w:t>
      </w:r>
      <w:r w:rsidR="00A2718E" w:rsidRPr="00243E39">
        <w:rPr>
          <w:rFonts w:eastAsia="Calibri"/>
          <w:lang w:val="es-ES_tradnl"/>
        </w:rPr>
        <w:t>sobre el cierre de la brecha digital</w:t>
      </w:r>
      <w:r w:rsidRPr="00243E39">
        <w:rPr>
          <w:rFonts w:eastAsia="Calibri"/>
          <w:lang w:val="es-ES_tradnl"/>
        </w:rPr>
        <w:t>;</w:t>
      </w:r>
    </w:p>
    <w:p w14:paraId="7F28B610" w14:textId="3779E1A8" w:rsidR="0019488A" w:rsidRPr="00243E39" w:rsidRDefault="0019488A" w:rsidP="0019488A">
      <w:pPr>
        <w:rPr>
          <w:lang w:val="es-ES_tradnl"/>
        </w:rPr>
      </w:pPr>
      <w:r w:rsidRPr="00243E39">
        <w:rPr>
          <w:rFonts w:eastAsia="Calibri"/>
          <w:i/>
          <w:iCs/>
          <w:lang w:val="es-ES_tradnl"/>
        </w:rPr>
        <w:t>f)</w:t>
      </w:r>
      <w:r w:rsidRPr="00243E39">
        <w:rPr>
          <w:lang w:val="es-ES_tradnl"/>
        </w:rPr>
        <w:tab/>
      </w:r>
      <w:r w:rsidR="00A2718E" w:rsidRPr="00243E39">
        <w:rPr>
          <w:lang w:val="es-ES_tradnl"/>
        </w:rPr>
        <w:t>la Recomendación UIT</w:t>
      </w:r>
      <w:r w:rsidRPr="00243E39">
        <w:rPr>
          <w:rFonts w:eastAsia="Calibri"/>
          <w:lang w:val="es-ES_tradnl"/>
        </w:rPr>
        <w:t>-D 19</w:t>
      </w:r>
      <w:r w:rsidR="00243E39" w:rsidRPr="00243E39">
        <w:rPr>
          <w:rFonts w:eastAsia="Calibri"/>
          <w:lang w:val="es-ES_tradnl"/>
        </w:rPr>
        <w:t xml:space="preserve"> </w:t>
      </w:r>
      <w:r w:rsidR="00243E39" w:rsidRPr="00243E39">
        <w:rPr>
          <w:rFonts w:eastAsia="Calibri"/>
          <w:lang w:val="es-ES_tradnl"/>
        </w:rPr>
        <w:t>(Dubái, 2014)</w:t>
      </w:r>
      <w:r w:rsidR="00A2718E" w:rsidRPr="00243E39">
        <w:rPr>
          <w:rFonts w:eastAsia="Calibri"/>
          <w:lang w:val="es-ES_tradnl"/>
        </w:rPr>
        <w:t>, Telecomunicaciones para las zonas rurales y distantes</w:t>
      </w:r>
      <w:r w:rsidRPr="00243E39">
        <w:rPr>
          <w:rFonts w:eastAsia="Calibri"/>
          <w:lang w:val="es-ES_tradnl"/>
        </w:rPr>
        <w:t xml:space="preserve">, </w:t>
      </w:r>
      <w:r w:rsidR="00783BC7" w:rsidRPr="00243E39">
        <w:rPr>
          <w:rFonts w:eastAsia="Calibri"/>
          <w:lang w:val="es-ES_tradnl"/>
        </w:rPr>
        <w:t>en la que se observa que las escuelas, entre otras instalaciones de TIC públicas, pueden servir para conectar a las comunidades que sirven, en particular en las zonas rurales y remotas de los países en desarrollo</w:t>
      </w:r>
      <w:r w:rsidRPr="00243E39">
        <w:rPr>
          <w:lang w:val="es-ES_tradnl"/>
        </w:rPr>
        <w:t>,</w:t>
      </w:r>
    </w:p>
    <w:p w14:paraId="57DD813E" w14:textId="63C29AC0" w:rsidR="0019488A" w:rsidRPr="00243E39" w:rsidRDefault="0019488A" w:rsidP="0019488A">
      <w:pPr>
        <w:pStyle w:val="Call"/>
        <w:rPr>
          <w:lang w:val="es-ES_tradnl"/>
        </w:rPr>
      </w:pPr>
      <w:r w:rsidRPr="00243E39">
        <w:rPr>
          <w:lang w:val="es-ES_tradnl"/>
        </w:rPr>
        <w:t>rec</w:t>
      </w:r>
      <w:r w:rsidR="00783BC7" w:rsidRPr="00243E39">
        <w:rPr>
          <w:lang w:val="es-ES_tradnl"/>
        </w:rPr>
        <w:t>ordando además</w:t>
      </w:r>
      <w:r w:rsidRPr="00243E39">
        <w:rPr>
          <w:lang w:val="es-ES_tradnl"/>
        </w:rPr>
        <w:t xml:space="preserve"> </w:t>
      </w:r>
    </w:p>
    <w:p w14:paraId="67B4040F" w14:textId="2925CB1D" w:rsidR="0019488A" w:rsidRPr="00243E39" w:rsidRDefault="0019488A" w:rsidP="0019488A">
      <w:pPr>
        <w:rPr>
          <w:lang w:val="es-ES_tradnl"/>
        </w:rPr>
      </w:pPr>
      <w:r w:rsidRPr="00243E39">
        <w:rPr>
          <w:i/>
          <w:iCs/>
          <w:lang w:val="es-ES_tradnl"/>
        </w:rPr>
        <w:t>a</w:t>
      </w:r>
      <w:r w:rsidRPr="00243E39">
        <w:rPr>
          <w:lang w:val="es-ES_tradnl"/>
        </w:rPr>
        <w:t>)</w:t>
      </w:r>
      <w:r w:rsidRPr="00243E39">
        <w:rPr>
          <w:lang w:val="es-ES_tradnl"/>
        </w:rPr>
        <w:tab/>
      </w:r>
      <w:r w:rsidR="00783BC7" w:rsidRPr="00243E39">
        <w:rPr>
          <w:lang w:val="es-ES_tradnl"/>
        </w:rPr>
        <w:t>el conjunto de finalidades estratégicas, que indican cuál debe ser el centro de atención de la UIT y</w:t>
      </w:r>
      <w:r w:rsidR="00A70E99" w:rsidRPr="00243E39">
        <w:rPr>
          <w:lang w:val="es-ES_tradnl"/>
        </w:rPr>
        <w:t xml:space="preserve"> materializan la visión de la UIT de un mundo interconectado para</w:t>
      </w:r>
      <w:r w:rsidRPr="00243E39">
        <w:rPr>
          <w:lang w:val="es-ES_tradnl"/>
        </w:rPr>
        <w:t xml:space="preserve"> 2020-2023, </w:t>
      </w:r>
      <w:r w:rsidR="00A70E99" w:rsidRPr="00243E39">
        <w:rPr>
          <w:lang w:val="es-ES_tradnl"/>
        </w:rPr>
        <w:t>especificadas en la Resolución</w:t>
      </w:r>
      <w:r w:rsidRPr="00243E39">
        <w:rPr>
          <w:lang w:val="es-ES_tradnl"/>
        </w:rPr>
        <w:t xml:space="preserve"> 71 (Rev. Dub</w:t>
      </w:r>
      <w:r w:rsidR="00A70E99" w:rsidRPr="00243E39">
        <w:rPr>
          <w:lang w:val="es-ES_tradnl"/>
        </w:rPr>
        <w:t>á</w:t>
      </w:r>
      <w:r w:rsidRPr="00243E39">
        <w:rPr>
          <w:lang w:val="es-ES_tradnl"/>
        </w:rPr>
        <w:t xml:space="preserve">i, 2018) </w:t>
      </w:r>
      <w:r w:rsidR="00A70E99" w:rsidRPr="00243E39">
        <w:rPr>
          <w:lang w:val="es-ES_tradnl"/>
        </w:rPr>
        <w:t>de la Conferencia de Plenipotenciarios</w:t>
      </w:r>
      <w:r w:rsidRPr="00243E39">
        <w:rPr>
          <w:lang w:val="es-ES_tradnl"/>
        </w:rPr>
        <w:t xml:space="preserve">; </w:t>
      </w:r>
    </w:p>
    <w:p w14:paraId="000C99CE" w14:textId="3B7B47A7" w:rsidR="0019488A" w:rsidRPr="00243E39" w:rsidRDefault="0019488A" w:rsidP="0019488A">
      <w:pPr>
        <w:rPr>
          <w:lang w:val="es-ES_tradnl"/>
        </w:rPr>
      </w:pPr>
      <w:r w:rsidRPr="00243E39">
        <w:rPr>
          <w:i/>
          <w:iCs/>
          <w:lang w:val="es-ES_tradnl"/>
        </w:rPr>
        <w:t>b)</w:t>
      </w:r>
      <w:r w:rsidRPr="00243E39">
        <w:rPr>
          <w:lang w:val="es-ES_tradnl"/>
        </w:rPr>
        <w:tab/>
      </w:r>
      <w:r w:rsidR="00A70E99" w:rsidRPr="00243E39">
        <w:rPr>
          <w:lang w:val="es-ES_tradnl"/>
        </w:rPr>
        <w:t xml:space="preserve">el nuevo conjunto de finalidades estratégicas para lograr una </w:t>
      </w:r>
      <w:r w:rsidR="003F02BD" w:rsidRPr="00243E39">
        <w:rPr>
          <w:lang w:val="es-ES_tradnl"/>
        </w:rPr>
        <w:t>"</w:t>
      </w:r>
      <w:r w:rsidR="00A70E99" w:rsidRPr="00243E39">
        <w:rPr>
          <w:lang w:val="es-ES_tradnl"/>
        </w:rPr>
        <w:t>conectividad digital universal y efectiva</w:t>
      </w:r>
      <w:r w:rsidR="003F02BD" w:rsidRPr="00243E39">
        <w:rPr>
          <w:lang w:val="es-ES_tradnl"/>
        </w:rPr>
        <w:t>"</w:t>
      </w:r>
      <w:r w:rsidR="00A70E99" w:rsidRPr="00243E39">
        <w:rPr>
          <w:lang w:val="es-ES_tradnl"/>
        </w:rPr>
        <w:t xml:space="preserve"> antes de</w:t>
      </w:r>
      <w:r w:rsidRPr="00243E39">
        <w:rPr>
          <w:lang w:val="es-ES_tradnl"/>
        </w:rPr>
        <w:t xml:space="preserve"> 2030, an</w:t>
      </w:r>
      <w:r w:rsidR="00A70E99" w:rsidRPr="00243E39">
        <w:rPr>
          <w:lang w:val="es-ES_tradnl"/>
        </w:rPr>
        <w:t xml:space="preserve">unciado por el Enviado de la Oficina del Secretario General de las Naciones Unidas para la Tecnología y definido en el marco de la aplicación de la Hoja de ruta para la </w:t>
      </w:r>
      <w:r w:rsidR="00664FF0" w:rsidRPr="00243E39">
        <w:rPr>
          <w:lang w:val="es-ES_tradnl"/>
        </w:rPr>
        <w:t>c</w:t>
      </w:r>
      <w:r w:rsidR="00A70E99" w:rsidRPr="00243E39">
        <w:rPr>
          <w:lang w:val="es-ES_tradnl"/>
        </w:rPr>
        <w:t xml:space="preserve">ooperación </w:t>
      </w:r>
      <w:r w:rsidR="00664FF0" w:rsidRPr="00243E39">
        <w:rPr>
          <w:lang w:val="es-ES_tradnl"/>
        </w:rPr>
        <w:t>d</w:t>
      </w:r>
      <w:r w:rsidR="00A70E99" w:rsidRPr="00243E39">
        <w:rPr>
          <w:lang w:val="es-ES_tradnl"/>
        </w:rPr>
        <w:t>igital del Secretario General de las Naciones Unidas</w:t>
      </w:r>
      <w:r w:rsidRPr="00243E39">
        <w:rPr>
          <w:lang w:val="es-ES_tradnl"/>
        </w:rPr>
        <w:t>;</w:t>
      </w:r>
    </w:p>
    <w:p w14:paraId="7E752BF4" w14:textId="3D4F1694" w:rsidR="0019488A" w:rsidRPr="00243E39" w:rsidRDefault="0019488A" w:rsidP="0019488A">
      <w:pPr>
        <w:rPr>
          <w:lang w:val="es-ES_tradnl"/>
        </w:rPr>
      </w:pPr>
      <w:r w:rsidRPr="00243E39">
        <w:rPr>
          <w:i/>
          <w:iCs/>
          <w:lang w:val="es-ES_tradnl"/>
        </w:rPr>
        <w:t>c)</w:t>
      </w:r>
      <w:r w:rsidRPr="00243E39">
        <w:rPr>
          <w:lang w:val="es-ES_tradnl"/>
        </w:rPr>
        <w:tab/>
      </w:r>
      <w:r w:rsidR="00A70E99" w:rsidRPr="00243E39">
        <w:rPr>
          <w:lang w:val="es-ES_tradnl"/>
        </w:rPr>
        <w:t>los objetivos mundiales de banda ancha para</w:t>
      </w:r>
      <w:r w:rsidRPr="00243E39">
        <w:rPr>
          <w:lang w:val="es-ES_tradnl"/>
        </w:rPr>
        <w:t xml:space="preserve"> 2025 </w:t>
      </w:r>
      <w:r w:rsidR="00A70E99" w:rsidRPr="00243E39">
        <w:rPr>
          <w:lang w:val="es-ES_tradnl"/>
        </w:rPr>
        <w:t>de la Comisión de la Banda Ancha para el Desarrollo Sostenible de la UIT/UNESCO</w:t>
      </w:r>
      <w:r w:rsidR="00664FF0" w:rsidRPr="00243E39">
        <w:rPr>
          <w:lang w:val="es-ES_tradnl"/>
        </w:rPr>
        <w:t xml:space="preserve"> para </w:t>
      </w:r>
      <w:r w:rsidR="003F02BD" w:rsidRPr="00243E39">
        <w:rPr>
          <w:lang w:val="es-ES_tradnl"/>
        </w:rPr>
        <w:t>"</w:t>
      </w:r>
      <w:r w:rsidR="00664FF0" w:rsidRPr="00243E39">
        <w:rPr>
          <w:lang w:val="es-ES_tradnl"/>
        </w:rPr>
        <w:t>conectar a la otra mitad</w:t>
      </w:r>
      <w:r w:rsidR="003F02BD" w:rsidRPr="00243E39">
        <w:rPr>
          <w:lang w:val="es-ES_tradnl"/>
        </w:rPr>
        <w:t>"</w:t>
      </w:r>
      <w:r w:rsidRPr="00243E39">
        <w:rPr>
          <w:lang w:val="es-ES_tradnl"/>
        </w:rPr>
        <w:t>,</w:t>
      </w:r>
    </w:p>
    <w:p w14:paraId="702431B7" w14:textId="68619B2E" w:rsidR="0019488A" w:rsidRPr="00243E39" w:rsidRDefault="0019488A" w:rsidP="0019488A">
      <w:pPr>
        <w:pStyle w:val="Call"/>
        <w:rPr>
          <w:rFonts w:ascii="Calibri" w:hAnsi="Calibri"/>
          <w:iCs/>
          <w:lang w:val="es-ES_tradnl"/>
        </w:rPr>
      </w:pPr>
      <w:r w:rsidRPr="00243E39">
        <w:rPr>
          <w:lang w:val="es-ES_tradnl"/>
        </w:rPr>
        <w:lastRenderedPageBreak/>
        <w:t>consider</w:t>
      </w:r>
      <w:r w:rsidR="00664FF0" w:rsidRPr="00243E39">
        <w:rPr>
          <w:lang w:val="es-ES_tradnl"/>
        </w:rPr>
        <w:t>ando</w:t>
      </w:r>
    </w:p>
    <w:p w14:paraId="15C17596" w14:textId="77777777" w:rsidR="00150127" w:rsidRPr="00243E39" w:rsidRDefault="0019488A" w:rsidP="0019488A">
      <w:pPr>
        <w:rPr>
          <w:lang w:val="es-ES_tradnl"/>
        </w:rPr>
      </w:pPr>
      <w:r w:rsidRPr="00243E39">
        <w:rPr>
          <w:i/>
          <w:iCs/>
          <w:lang w:val="es-ES_tradnl"/>
        </w:rPr>
        <w:t>a)</w:t>
      </w:r>
      <w:r w:rsidRPr="00243E39">
        <w:rPr>
          <w:lang w:val="es-ES_tradnl"/>
        </w:rPr>
        <w:tab/>
      </w:r>
      <w:r w:rsidR="00664FF0" w:rsidRPr="00243E39">
        <w:rPr>
          <w:lang w:val="es-ES_tradnl"/>
        </w:rPr>
        <w:t>la aplicación en todo el sistema de las Naciones Unidas de la Agenda</w:t>
      </w:r>
      <w:r w:rsidRPr="00243E39">
        <w:rPr>
          <w:lang w:val="es-ES_tradnl"/>
        </w:rPr>
        <w:t xml:space="preserve"> 2030 </w:t>
      </w:r>
      <w:r w:rsidR="00664FF0" w:rsidRPr="00243E39">
        <w:rPr>
          <w:lang w:val="es-ES_tradnl"/>
        </w:rPr>
        <w:t>para el Desarrollo Sostenible y los esfuerzos desplegados para el logro de los ODS</w:t>
      </w:r>
      <w:r w:rsidRPr="00243E39">
        <w:rPr>
          <w:lang w:val="es-ES_tradnl"/>
        </w:rPr>
        <w:t>;</w:t>
      </w:r>
    </w:p>
    <w:p w14:paraId="4AA9D503" w14:textId="57AD970B" w:rsidR="0019488A" w:rsidRPr="00243E39" w:rsidRDefault="0019488A" w:rsidP="0019488A">
      <w:pPr>
        <w:rPr>
          <w:lang w:val="es-ES_tradnl"/>
        </w:rPr>
      </w:pPr>
      <w:r w:rsidRPr="00243E39">
        <w:rPr>
          <w:i/>
          <w:iCs/>
          <w:lang w:val="es-ES_tradnl"/>
        </w:rPr>
        <w:t>b)</w:t>
      </w:r>
      <w:r w:rsidRPr="00243E39">
        <w:rPr>
          <w:lang w:val="es-ES_tradnl"/>
        </w:rPr>
        <w:tab/>
      </w:r>
      <w:r w:rsidR="00664FF0" w:rsidRPr="00243E39">
        <w:rPr>
          <w:lang w:val="es-ES_tradnl"/>
        </w:rPr>
        <w:t>la función de la UIT como organismo especializado de las Naciones Unidas para ayudar a los Estados Miembros y contribuir a los esfuerzos invertidos en todo el mundo para lograr los ODS;</w:t>
      </w:r>
    </w:p>
    <w:p w14:paraId="705DBBA3" w14:textId="41DF3763" w:rsidR="0019488A" w:rsidRPr="00243E39" w:rsidRDefault="0019488A" w:rsidP="0019488A">
      <w:pPr>
        <w:rPr>
          <w:lang w:val="es-ES_tradnl"/>
        </w:rPr>
      </w:pPr>
      <w:r w:rsidRPr="00243E39">
        <w:rPr>
          <w:i/>
          <w:iCs/>
          <w:lang w:val="es-ES_tradnl"/>
        </w:rPr>
        <w:t>c)</w:t>
      </w:r>
      <w:r w:rsidRPr="00243E39">
        <w:rPr>
          <w:lang w:val="es-ES_tradnl"/>
        </w:rPr>
        <w:tab/>
      </w:r>
      <w:r w:rsidR="00664FF0" w:rsidRPr="00243E39">
        <w:rPr>
          <w:lang w:val="es-ES_tradnl"/>
        </w:rPr>
        <w:t>el trabajo pertinente que ha realizado y realizará la UIT en el marco de la implementación de los resultados de la Cumbre Mundial sobre la Sociedad de la Información, habida cuenta de la Agenda 2030 para el Desarrollo Sostenible;</w:t>
      </w:r>
    </w:p>
    <w:p w14:paraId="63A10E7D" w14:textId="77777777" w:rsidR="00150127" w:rsidRPr="00243E39" w:rsidRDefault="0019488A" w:rsidP="0019488A">
      <w:pPr>
        <w:rPr>
          <w:lang w:val="es-ES_tradnl"/>
        </w:rPr>
      </w:pPr>
      <w:r w:rsidRPr="00243E39">
        <w:rPr>
          <w:i/>
          <w:iCs/>
          <w:lang w:val="es-ES_tradnl"/>
        </w:rPr>
        <w:t>d)</w:t>
      </w:r>
      <w:r w:rsidRPr="00243E39">
        <w:rPr>
          <w:lang w:val="es-ES_tradnl"/>
        </w:rPr>
        <w:tab/>
      </w:r>
      <w:r w:rsidR="00664FF0" w:rsidRPr="00243E39">
        <w:rPr>
          <w:lang w:val="es-ES_tradnl"/>
        </w:rPr>
        <w:t>la Hoja de ruta para la cooperación digital (A/74/821) del Secretario General de las Naciones Unidas</w:t>
      </w:r>
      <w:r w:rsidR="00B50F61" w:rsidRPr="00243E39">
        <w:rPr>
          <w:lang w:val="es-ES_tradnl"/>
        </w:rPr>
        <w:t>, en la que se pide que todas las personas tengan para 2030 un acceso seguro y asequible a Internet, que incluya el uso efectivo de los servicios digitales, de conformidad con los Objetivos de Desarrollo Sostenible</w:t>
      </w:r>
      <w:r w:rsidRPr="00243E39">
        <w:rPr>
          <w:lang w:val="es-ES_tradnl"/>
        </w:rPr>
        <w:t>;</w:t>
      </w:r>
    </w:p>
    <w:p w14:paraId="77B284CE" w14:textId="22B78093" w:rsidR="0019488A" w:rsidRPr="00243E39" w:rsidRDefault="0019488A" w:rsidP="0019488A">
      <w:pPr>
        <w:rPr>
          <w:lang w:val="es-ES_tradnl"/>
        </w:rPr>
      </w:pPr>
      <w:r w:rsidRPr="00243E39">
        <w:rPr>
          <w:i/>
          <w:iCs/>
          <w:lang w:val="es-ES_tradnl"/>
        </w:rPr>
        <w:t>e)</w:t>
      </w:r>
      <w:r w:rsidRPr="00243E39">
        <w:rPr>
          <w:lang w:val="es-ES_tradnl"/>
        </w:rPr>
        <w:tab/>
      </w:r>
      <w:r w:rsidR="00B50F61" w:rsidRPr="00243E39">
        <w:rPr>
          <w:lang w:val="es-ES_tradnl"/>
        </w:rPr>
        <w:t>el Informe del Secretario General de las Naciones Unidas sobre Nuestra Agenda Común</w:t>
      </w:r>
      <w:r w:rsidRPr="00243E39">
        <w:rPr>
          <w:lang w:val="es-ES_tradnl"/>
        </w:rPr>
        <w:t xml:space="preserve"> (A/75/982), </w:t>
      </w:r>
      <w:r w:rsidR="00B50F61" w:rsidRPr="00243E39">
        <w:rPr>
          <w:lang w:val="es-ES_tradnl"/>
        </w:rPr>
        <w:t xml:space="preserve">en el que se presenta la visión del Secretario General de las Naciones Unidas sobre el futuro de la cooperación mundial mediante la interconexión inclusiva y el multilateralismo efectivo, como solicitaron los Estados Miembros en la Declaración sobre la </w:t>
      </w:r>
      <w:r w:rsidR="00243E39" w:rsidRPr="00243E39">
        <w:rPr>
          <w:lang w:val="es-ES_tradnl"/>
        </w:rPr>
        <w:t xml:space="preserve">conmemoración </w:t>
      </w:r>
      <w:r w:rsidR="00B50F61" w:rsidRPr="00243E39">
        <w:rPr>
          <w:lang w:val="es-ES_tradnl"/>
        </w:rPr>
        <w:t>del 75</w:t>
      </w:r>
      <w:r w:rsidR="00243E39" w:rsidRPr="00243E39">
        <w:rPr>
          <w:lang w:val="es-ES_tradnl"/>
        </w:rPr>
        <w:t>°</w:t>
      </w:r>
      <w:r w:rsidR="00B50F61" w:rsidRPr="00243E39">
        <w:rPr>
          <w:lang w:val="es-ES_tradnl"/>
        </w:rPr>
        <w:t xml:space="preserve"> aniversario de las Naciones Unidas</w:t>
      </w:r>
      <w:r w:rsidRPr="00243E39">
        <w:rPr>
          <w:lang w:val="es-ES_tradnl"/>
        </w:rPr>
        <w:t>,</w:t>
      </w:r>
    </w:p>
    <w:p w14:paraId="169DC63A" w14:textId="2629C0BB" w:rsidR="0019488A" w:rsidRPr="00243E39" w:rsidRDefault="0019488A" w:rsidP="00150127">
      <w:pPr>
        <w:pStyle w:val="Call"/>
        <w:rPr>
          <w:rFonts w:eastAsia="Calibri"/>
          <w:lang w:val="es-ES_tradnl"/>
        </w:rPr>
      </w:pPr>
      <w:r w:rsidRPr="00243E39">
        <w:rPr>
          <w:rFonts w:eastAsia="Calibri"/>
          <w:lang w:val="es-ES_tradnl"/>
        </w:rPr>
        <w:t>reco</w:t>
      </w:r>
      <w:r w:rsidR="00B50F61" w:rsidRPr="00243E39">
        <w:rPr>
          <w:rFonts w:eastAsia="Calibri"/>
          <w:lang w:val="es-ES_tradnl"/>
        </w:rPr>
        <w:t>nociendo</w:t>
      </w:r>
    </w:p>
    <w:p w14:paraId="3DCA6E6B" w14:textId="661C89EA" w:rsidR="0019488A" w:rsidRPr="00243E39" w:rsidRDefault="0019488A" w:rsidP="003F6856">
      <w:pPr>
        <w:rPr>
          <w:rFonts w:ascii="Calibri" w:eastAsia="Calibri" w:hAnsi="Calibri" w:cs="Calibri"/>
          <w:lang w:val="es-ES_tradnl"/>
        </w:rPr>
      </w:pPr>
      <w:r w:rsidRPr="00243E39">
        <w:rPr>
          <w:i/>
          <w:iCs/>
          <w:lang w:val="es-ES_tradnl"/>
        </w:rPr>
        <w:t>a)</w:t>
      </w:r>
      <w:r w:rsidRPr="00243E39">
        <w:rPr>
          <w:lang w:val="es-ES_tradnl"/>
        </w:rPr>
        <w:tab/>
      </w:r>
      <w:r w:rsidR="001C5B2F" w:rsidRPr="00243E39">
        <w:rPr>
          <w:lang w:val="es-ES_tradnl"/>
        </w:rPr>
        <w:t>que las telecomunicaciones/TIC pueden contribuir a acelerar la consecución de los Objetivos de Desarrollo Sostenible</w:t>
      </w:r>
      <w:r w:rsidRPr="00243E39">
        <w:rPr>
          <w:rFonts w:ascii="Calibri" w:eastAsia="Calibri" w:hAnsi="Calibri" w:cs="Calibri"/>
          <w:lang w:val="es-ES_tradnl"/>
        </w:rPr>
        <w:t>;</w:t>
      </w:r>
    </w:p>
    <w:p w14:paraId="19FAE66D" w14:textId="7813521C" w:rsidR="0019488A" w:rsidRPr="00243E39" w:rsidRDefault="0019488A" w:rsidP="0019488A">
      <w:pPr>
        <w:rPr>
          <w:rFonts w:ascii="Calibri" w:hAnsi="Calibri"/>
          <w:szCs w:val="24"/>
          <w:lang w:val="es-ES_tradnl"/>
        </w:rPr>
      </w:pPr>
      <w:r w:rsidRPr="00243E39">
        <w:rPr>
          <w:i/>
          <w:iCs/>
          <w:lang w:val="es-ES_tradnl"/>
        </w:rPr>
        <w:t>b)</w:t>
      </w:r>
      <w:r w:rsidRPr="00243E39">
        <w:rPr>
          <w:lang w:val="es-ES_tradnl"/>
        </w:rPr>
        <w:tab/>
      </w:r>
      <w:r w:rsidR="001C5B2F" w:rsidRPr="00243E39">
        <w:rPr>
          <w:lang w:val="es-ES_tradnl"/>
        </w:rPr>
        <w:t>que es necesario transformar los sistemas educativos para que sean más ágiles, más resilientes, adaptables, reactivos ante las crisis, más innovadores y más conectados utilizando las soluciones de telecomunicaciones/TIC adecuadas que permitan realizar esa transformación</w:t>
      </w:r>
      <w:r w:rsidRPr="00243E39">
        <w:rPr>
          <w:rFonts w:ascii="Calibri" w:eastAsia="Calibri" w:hAnsi="Calibri" w:cs="Calibri"/>
          <w:szCs w:val="24"/>
          <w:lang w:val="es-ES_tradnl"/>
        </w:rPr>
        <w:t>;</w:t>
      </w:r>
    </w:p>
    <w:p w14:paraId="4966981F" w14:textId="108D0038" w:rsidR="0019488A" w:rsidRPr="00243E39" w:rsidRDefault="0019488A" w:rsidP="0019488A">
      <w:pPr>
        <w:rPr>
          <w:rFonts w:ascii="Calibri" w:hAnsi="Calibri"/>
          <w:szCs w:val="24"/>
          <w:lang w:val="es-ES_tradnl"/>
        </w:rPr>
      </w:pPr>
      <w:r w:rsidRPr="00243E39">
        <w:rPr>
          <w:i/>
          <w:iCs/>
          <w:lang w:val="es-ES_tradnl"/>
        </w:rPr>
        <w:t>c)</w:t>
      </w:r>
      <w:r w:rsidRPr="00243E39">
        <w:rPr>
          <w:lang w:val="es-ES_tradnl"/>
        </w:rPr>
        <w:tab/>
      </w:r>
      <w:r w:rsidR="001C5B2F" w:rsidRPr="00243E39">
        <w:rPr>
          <w:lang w:val="es-ES_tradnl"/>
        </w:rPr>
        <w:t xml:space="preserve">la importancia de la conectividad en las escuelas para lograr un aprendizaje efectivo y que los </w:t>
      </w:r>
      <w:r w:rsidR="00A56C5B" w:rsidRPr="00243E39">
        <w:rPr>
          <w:lang w:val="es-ES_tradnl"/>
        </w:rPr>
        <w:t>docentes</w:t>
      </w:r>
      <w:r w:rsidR="001C5B2F" w:rsidRPr="00243E39">
        <w:rPr>
          <w:lang w:val="es-ES_tradnl"/>
        </w:rPr>
        <w:t xml:space="preserve"> conozcan los últimos contenidos, tecnologías y métodos </w:t>
      </w:r>
      <w:r w:rsidR="00A56C5B" w:rsidRPr="00243E39">
        <w:rPr>
          <w:lang w:val="es-ES_tradnl"/>
        </w:rPr>
        <w:t>docentes</w:t>
      </w:r>
      <w:r w:rsidR="001C5B2F" w:rsidRPr="00243E39">
        <w:rPr>
          <w:lang w:val="es-ES_tradnl"/>
        </w:rPr>
        <w:t xml:space="preserve"> que permitan llegar a más niños y jóvenes allí donde se encuentren, sean cuales sean sus circunstancias</w:t>
      </w:r>
      <w:r w:rsidRPr="00243E39">
        <w:rPr>
          <w:lang w:val="es-ES_tradnl"/>
        </w:rPr>
        <w:t>;</w:t>
      </w:r>
    </w:p>
    <w:p w14:paraId="7FE6C3C3" w14:textId="2C7B9360" w:rsidR="0019488A" w:rsidRPr="00243E39" w:rsidRDefault="0019488A" w:rsidP="0019488A">
      <w:pPr>
        <w:rPr>
          <w:rFonts w:ascii="Calibri" w:hAnsi="Calibri"/>
          <w:szCs w:val="24"/>
          <w:lang w:val="es-ES_tradnl"/>
        </w:rPr>
      </w:pPr>
      <w:r w:rsidRPr="00243E39">
        <w:rPr>
          <w:i/>
          <w:iCs/>
          <w:lang w:val="es-ES_tradnl"/>
        </w:rPr>
        <w:t>d)</w:t>
      </w:r>
      <w:r w:rsidRPr="00243E39">
        <w:rPr>
          <w:lang w:val="es-ES_tradnl"/>
        </w:rPr>
        <w:tab/>
      </w:r>
      <w:r w:rsidR="001C5B2F" w:rsidRPr="00243E39">
        <w:rPr>
          <w:lang w:val="es-ES_tradnl"/>
        </w:rPr>
        <w:t xml:space="preserve">que los sistemas de enseñanza digitales e híbridos sostenibles deben ser inclusivos, crear valor gracias a recursos educativos </w:t>
      </w:r>
      <w:r w:rsidR="00A56C5B" w:rsidRPr="00243E39">
        <w:rPr>
          <w:lang w:val="es-ES_tradnl"/>
        </w:rPr>
        <w:t>contextualizados</w:t>
      </w:r>
      <w:r w:rsidR="001C5B2F" w:rsidRPr="00243E39">
        <w:rPr>
          <w:lang w:val="es-ES_tradnl"/>
        </w:rPr>
        <w:t xml:space="preserve"> y abiertos y fomentar los idiomas locales, al tiempo que se benefician de los ecosistemas, iniciativas, cadenas de valor, recursos y conocimientos globales</w:t>
      </w:r>
      <w:r w:rsidRPr="00243E39">
        <w:rPr>
          <w:rFonts w:ascii="Calibri" w:hAnsi="Calibri"/>
          <w:szCs w:val="24"/>
          <w:lang w:val="es-ES_tradnl"/>
        </w:rPr>
        <w:t>;</w:t>
      </w:r>
    </w:p>
    <w:p w14:paraId="52F0FC43" w14:textId="3611657C" w:rsidR="0019488A" w:rsidRPr="00243E39" w:rsidRDefault="0019488A" w:rsidP="0019488A">
      <w:pPr>
        <w:rPr>
          <w:rFonts w:ascii="Calibri" w:eastAsia="Calibri" w:hAnsi="Calibri" w:cs="Calibri"/>
          <w:lang w:val="es-ES_tradnl"/>
        </w:rPr>
      </w:pPr>
      <w:r w:rsidRPr="00243E39">
        <w:rPr>
          <w:i/>
          <w:iCs/>
          <w:lang w:val="es-ES_tradnl"/>
        </w:rPr>
        <w:t>e)</w:t>
      </w:r>
      <w:r w:rsidRPr="00243E39">
        <w:rPr>
          <w:lang w:val="es-ES_tradnl"/>
        </w:rPr>
        <w:tab/>
      </w:r>
      <w:r w:rsidR="001C5B2F" w:rsidRPr="00243E39">
        <w:rPr>
          <w:lang w:val="es-ES_tradnl"/>
        </w:rPr>
        <w:t>que para conectar las escuelas es necesario disponer de un suministro eléctrico constante</w:t>
      </w:r>
      <w:r w:rsidRPr="00243E39">
        <w:rPr>
          <w:lang w:val="es-ES_tradnl"/>
        </w:rPr>
        <w:t>,</w:t>
      </w:r>
    </w:p>
    <w:p w14:paraId="020A69E4" w14:textId="49FB91B0" w:rsidR="0019488A" w:rsidRPr="00243E39" w:rsidRDefault="00940CB9" w:rsidP="003F6856">
      <w:pPr>
        <w:pStyle w:val="Call"/>
        <w:rPr>
          <w:rFonts w:eastAsia="Calibri"/>
          <w:lang w:val="es-ES_tradnl"/>
        </w:rPr>
      </w:pPr>
      <w:r w:rsidRPr="00243E39">
        <w:rPr>
          <w:rFonts w:eastAsia="Calibri"/>
          <w:lang w:val="es-ES_tradnl"/>
        </w:rPr>
        <w:t>observando</w:t>
      </w:r>
    </w:p>
    <w:p w14:paraId="648CF13F" w14:textId="5E6C679D" w:rsidR="0019488A" w:rsidRPr="00243E39" w:rsidRDefault="0019488A" w:rsidP="0019488A">
      <w:pPr>
        <w:rPr>
          <w:lang w:val="es-ES_tradnl"/>
        </w:rPr>
      </w:pPr>
      <w:r w:rsidRPr="00243E39">
        <w:rPr>
          <w:i/>
          <w:iCs/>
          <w:lang w:val="es-ES_tradnl"/>
        </w:rPr>
        <w:t>a)</w:t>
      </w:r>
      <w:r w:rsidRPr="00243E39">
        <w:rPr>
          <w:lang w:val="es-ES_tradnl"/>
        </w:rPr>
        <w:tab/>
      </w:r>
      <w:r w:rsidR="00940CB9" w:rsidRPr="00243E39">
        <w:rPr>
          <w:lang w:val="es-ES_tradnl"/>
        </w:rPr>
        <w:t xml:space="preserve">que los principales proyectos del Sector de Desarrollo de las Telecomunicaciones </w:t>
      </w:r>
      <w:r w:rsidR="00243E39" w:rsidRPr="00243E39">
        <w:rPr>
          <w:lang w:val="es-ES_tradnl"/>
        </w:rPr>
        <w:t xml:space="preserve">de la UIT </w:t>
      </w:r>
      <w:r w:rsidR="00940CB9" w:rsidRPr="00243E39">
        <w:rPr>
          <w:lang w:val="es-ES_tradnl"/>
        </w:rPr>
        <w:t>(UIT</w:t>
      </w:r>
      <w:r w:rsidR="003F6856" w:rsidRPr="00243E39">
        <w:rPr>
          <w:lang w:val="es-ES_tradnl"/>
        </w:rPr>
        <w:noBreakHyphen/>
      </w:r>
      <w:r w:rsidR="00940CB9" w:rsidRPr="00243E39">
        <w:rPr>
          <w:lang w:val="es-ES_tradnl"/>
        </w:rPr>
        <w:t>D) que se centran en conectar a los que carecen de conexión en diversas situaciones pueden dar a conocer sus conclusiones para que se tengan en cuenta en los proyectos e iniciativas nacionales de conectividad escolar</w:t>
      </w:r>
      <w:r w:rsidRPr="00243E39">
        <w:rPr>
          <w:lang w:val="es-ES_tradnl"/>
        </w:rPr>
        <w:t>;</w:t>
      </w:r>
    </w:p>
    <w:p w14:paraId="0E0FD82E" w14:textId="0137D134" w:rsidR="0019488A" w:rsidRPr="00243E39" w:rsidRDefault="0019488A" w:rsidP="003F6856">
      <w:pPr>
        <w:keepNext/>
        <w:keepLines/>
        <w:rPr>
          <w:lang w:val="es-ES_tradnl"/>
        </w:rPr>
      </w:pPr>
      <w:r w:rsidRPr="00243E39">
        <w:rPr>
          <w:i/>
          <w:iCs/>
          <w:lang w:val="es-ES_tradnl"/>
        </w:rPr>
        <w:lastRenderedPageBreak/>
        <w:t>b)</w:t>
      </w:r>
      <w:r w:rsidRPr="00243E39">
        <w:rPr>
          <w:lang w:val="es-ES_tradnl"/>
        </w:rPr>
        <w:tab/>
      </w:r>
      <w:r w:rsidR="00940CB9" w:rsidRPr="00243E39">
        <w:rPr>
          <w:lang w:val="es-ES_tradnl"/>
        </w:rPr>
        <w:t>que</w:t>
      </w:r>
      <w:r w:rsidRPr="00243E39">
        <w:rPr>
          <w:lang w:val="es-ES_tradnl"/>
        </w:rPr>
        <w:t xml:space="preserve"> Giga, </w:t>
      </w:r>
      <w:r w:rsidR="00940CB9" w:rsidRPr="00243E39">
        <w:rPr>
          <w:lang w:val="es-ES_tradnl"/>
        </w:rPr>
        <w:t>la iniciativa de la UIT</w:t>
      </w:r>
      <w:r w:rsidRPr="00243E39">
        <w:rPr>
          <w:lang w:val="es-ES_tradnl"/>
        </w:rPr>
        <w:t xml:space="preserve">-UNICEF </w:t>
      </w:r>
      <w:r w:rsidR="00940CB9" w:rsidRPr="00243E39">
        <w:rPr>
          <w:lang w:val="es-ES_tradnl"/>
        </w:rPr>
        <w:t>para conectar todas las escuelas a Internet y todos los jóvenes a los servicios, oportunidades y opciones que ofrecen las tecnologías de la información:</w:t>
      </w:r>
    </w:p>
    <w:p w14:paraId="10E52279" w14:textId="354B90F9" w:rsidR="0019488A" w:rsidRPr="00243E39" w:rsidRDefault="0019488A" w:rsidP="003F6856">
      <w:pPr>
        <w:pStyle w:val="enumlev1"/>
        <w:rPr>
          <w:lang w:val="es-ES_tradnl"/>
        </w:rPr>
      </w:pPr>
      <w:r w:rsidRPr="00243E39">
        <w:rPr>
          <w:lang w:val="es-ES_tradnl"/>
        </w:rPr>
        <w:t>i)</w:t>
      </w:r>
      <w:r w:rsidRPr="00243E39">
        <w:rPr>
          <w:lang w:val="es-ES_tradnl"/>
        </w:rPr>
        <w:tab/>
        <w:t>con</w:t>
      </w:r>
      <w:r w:rsidR="00940CB9" w:rsidRPr="00243E39">
        <w:rPr>
          <w:lang w:val="es-ES_tradnl"/>
        </w:rPr>
        <w:t>ecta a las escuelas y, por tanto, a los estudiantes y docentes</w:t>
      </w:r>
      <w:r w:rsidRPr="00243E39">
        <w:rPr>
          <w:lang w:val="es-ES_tradnl"/>
        </w:rPr>
        <w:t>;</w:t>
      </w:r>
    </w:p>
    <w:p w14:paraId="4168338E" w14:textId="50F05E47" w:rsidR="0019488A" w:rsidRPr="00243E39" w:rsidRDefault="0019488A" w:rsidP="003F6856">
      <w:pPr>
        <w:pStyle w:val="enumlev1"/>
        <w:rPr>
          <w:lang w:val="es-ES_tradnl"/>
        </w:rPr>
      </w:pPr>
      <w:r w:rsidRPr="00243E39">
        <w:rPr>
          <w:lang w:val="es-ES_tradnl"/>
        </w:rPr>
        <w:t>ii)</w:t>
      </w:r>
      <w:r w:rsidRPr="00243E39">
        <w:rPr>
          <w:lang w:val="es-ES_tradnl"/>
        </w:rPr>
        <w:tab/>
      </w:r>
      <w:r w:rsidR="00940CB9" w:rsidRPr="00243E39">
        <w:rPr>
          <w:lang w:val="es-ES_tradnl"/>
        </w:rPr>
        <w:t xml:space="preserve">colabora activamente con los gobiernos para crear oportunidades de </w:t>
      </w:r>
      <w:r w:rsidR="00A56C5B" w:rsidRPr="00243E39">
        <w:rPr>
          <w:lang w:val="es-ES_tradnl"/>
        </w:rPr>
        <w:t>inversión</w:t>
      </w:r>
      <w:r w:rsidR="00940CB9" w:rsidRPr="00243E39">
        <w:rPr>
          <w:lang w:val="es-ES_tradnl"/>
        </w:rPr>
        <w:t xml:space="preserve"> mediante financiación mixta de los sectores público y privado, construir las infraestructuras necesarias para dar acceso universal a cada escuela y </w:t>
      </w:r>
      <w:r w:rsidR="003F340F" w:rsidRPr="00243E39">
        <w:rPr>
          <w:lang w:val="es-ES_tradnl"/>
        </w:rPr>
        <w:t>dotar a los alumnos con contenidos seguros, verificados y de alta calidad</w:t>
      </w:r>
      <w:r w:rsidRPr="00243E39">
        <w:rPr>
          <w:lang w:val="es-ES_tradnl"/>
        </w:rPr>
        <w:t>;</w:t>
      </w:r>
    </w:p>
    <w:p w14:paraId="558E9FE2" w14:textId="63C42B6A" w:rsidR="0019488A" w:rsidRPr="00243E39" w:rsidRDefault="0019488A" w:rsidP="003F6856">
      <w:pPr>
        <w:pStyle w:val="enumlev1"/>
        <w:rPr>
          <w:lang w:val="es-ES_tradnl"/>
        </w:rPr>
      </w:pPr>
      <w:r w:rsidRPr="00243E39">
        <w:rPr>
          <w:lang w:val="es-ES_tradnl"/>
        </w:rPr>
        <w:t>iii)</w:t>
      </w:r>
      <w:r w:rsidRPr="00243E39">
        <w:rPr>
          <w:lang w:val="es-ES_tradnl"/>
        </w:rPr>
        <w:tab/>
      </w:r>
      <w:r w:rsidR="003F340F" w:rsidRPr="00243E39">
        <w:rPr>
          <w:lang w:val="es-ES_tradnl"/>
        </w:rPr>
        <w:t>presta ayuda (mediante sus pilares, a saber, Cartografiar, Financiar, Conectar y Empoderar) a los gobiernos y líderes nacionales para cartografiar las escuelas y su nivel de conectividad, analizar los requisitos infraestructurales y tecnológicos para conectar todas las escuelas, y definir modelos de financiación sostenibles para lograr el acceso digital universal</w:t>
      </w:r>
      <w:r w:rsidR="00243E39" w:rsidRPr="00243E39">
        <w:rPr>
          <w:lang w:val="es-ES_tradnl"/>
        </w:rPr>
        <w:t>;</w:t>
      </w:r>
    </w:p>
    <w:p w14:paraId="5B987E03" w14:textId="1A521ED0" w:rsidR="0019488A" w:rsidRPr="00243E39" w:rsidRDefault="0019488A" w:rsidP="0019488A">
      <w:pPr>
        <w:rPr>
          <w:lang w:val="es-ES_tradnl"/>
        </w:rPr>
      </w:pPr>
      <w:r w:rsidRPr="00243E39">
        <w:rPr>
          <w:i/>
          <w:iCs/>
          <w:lang w:val="es-ES_tradnl"/>
        </w:rPr>
        <w:t>c)</w:t>
      </w:r>
      <w:r w:rsidRPr="00243E39">
        <w:rPr>
          <w:lang w:val="es-ES_tradnl"/>
        </w:rPr>
        <w:tab/>
      </w:r>
      <w:r w:rsidR="003F340F" w:rsidRPr="00243E39">
        <w:rPr>
          <w:lang w:val="es-ES_tradnl"/>
        </w:rPr>
        <w:t>las iniciativas faro de asociación establecidas por la UIT con otros organismos de las Naciones Unidas, como el Banco Mundial, la</w:t>
      </w:r>
      <w:r w:rsidRPr="00243E39">
        <w:rPr>
          <w:lang w:val="es-ES_tradnl"/>
        </w:rPr>
        <w:t xml:space="preserve"> UNESCO, </w:t>
      </w:r>
      <w:r w:rsidR="003F340F" w:rsidRPr="00243E39">
        <w:rPr>
          <w:lang w:val="es-ES_tradnl"/>
        </w:rPr>
        <w:t xml:space="preserve">la </w:t>
      </w:r>
      <w:r w:rsidRPr="00243E39">
        <w:rPr>
          <w:lang w:val="es-ES_tradnl"/>
        </w:rPr>
        <w:t xml:space="preserve">UNICEF </w:t>
      </w:r>
      <w:r w:rsidR="003F340F" w:rsidRPr="00243E39">
        <w:rPr>
          <w:lang w:val="es-ES_tradnl"/>
        </w:rPr>
        <w:t>y ONU-Mujeres, en el ámbito de las competencias y las TIC, como la Comisión de la Banda Ancha para el Desarrollo Sostenible</w:t>
      </w:r>
      <w:r w:rsidRPr="00243E39">
        <w:rPr>
          <w:lang w:val="es-ES_tradnl"/>
        </w:rPr>
        <w:t xml:space="preserve">, Giga </w:t>
      </w:r>
      <w:r w:rsidR="003F340F" w:rsidRPr="00243E39">
        <w:rPr>
          <w:lang w:val="es-ES_tradnl"/>
        </w:rPr>
        <w:t>y</w:t>
      </w:r>
      <w:r w:rsidRPr="00243E39">
        <w:rPr>
          <w:lang w:val="es-ES_tradnl"/>
        </w:rPr>
        <w:t xml:space="preserve"> EQUALS,</w:t>
      </w:r>
    </w:p>
    <w:p w14:paraId="04271BED" w14:textId="673FA2CC" w:rsidR="0019488A" w:rsidRPr="00243E39" w:rsidRDefault="0019488A" w:rsidP="0019488A">
      <w:pPr>
        <w:pStyle w:val="Call"/>
        <w:rPr>
          <w:lang w:val="es-ES_tradnl"/>
        </w:rPr>
      </w:pPr>
      <w:r w:rsidRPr="00243E39">
        <w:rPr>
          <w:lang w:val="es-ES_tradnl"/>
        </w:rPr>
        <w:t>res</w:t>
      </w:r>
      <w:r w:rsidR="003F340F" w:rsidRPr="00243E39">
        <w:rPr>
          <w:lang w:val="es-ES_tradnl"/>
        </w:rPr>
        <w:t>uelve</w:t>
      </w:r>
    </w:p>
    <w:p w14:paraId="6B66F69D" w14:textId="77FAC071" w:rsidR="0019488A" w:rsidRPr="00243E39" w:rsidRDefault="008778B6" w:rsidP="0019488A">
      <w:pPr>
        <w:rPr>
          <w:rFonts w:cs="Calibri"/>
          <w:lang w:val="es-ES_tradnl"/>
        </w:rPr>
      </w:pPr>
      <w:r w:rsidRPr="00243E39">
        <w:rPr>
          <w:lang w:val="es-ES_tradnl"/>
        </w:rPr>
        <w:t>comprometerse a trabajar para conectar todas las escuelas a Internet, como contribución al cierre de la brecha digital y para garantizar que los jóvenes de todo el mundo disponen de los medios y competencias necesarios para sacar fruto de su participación en la economía digital global</w:t>
      </w:r>
      <w:r w:rsidR="0019488A" w:rsidRPr="00243E39">
        <w:rPr>
          <w:lang w:val="es-ES_tradnl"/>
        </w:rPr>
        <w:t>,</w:t>
      </w:r>
    </w:p>
    <w:p w14:paraId="680FC29E" w14:textId="127CE171" w:rsidR="0019488A" w:rsidRPr="00243E39" w:rsidRDefault="008778B6" w:rsidP="0019488A">
      <w:pPr>
        <w:pStyle w:val="Call"/>
        <w:rPr>
          <w:lang w:val="es-ES_tradnl"/>
        </w:rPr>
      </w:pPr>
      <w:r w:rsidRPr="00243E39">
        <w:rPr>
          <w:lang w:val="es-ES_tradnl"/>
        </w:rPr>
        <w:t>encarga a</w:t>
      </w:r>
      <w:r w:rsidR="00243E39" w:rsidRPr="00243E39">
        <w:rPr>
          <w:lang w:val="es-ES_tradnl"/>
        </w:rPr>
        <w:t>l</w:t>
      </w:r>
      <w:r w:rsidR="0019488A" w:rsidRPr="00243E39">
        <w:rPr>
          <w:lang w:val="es-ES_tradnl"/>
        </w:rPr>
        <w:t xml:space="preserve"> Director</w:t>
      </w:r>
      <w:r w:rsidRPr="00243E39">
        <w:rPr>
          <w:lang w:val="es-ES_tradnl"/>
        </w:rPr>
        <w:t xml:space="preserve"> de la Oficina de Desarrollo de las Telecomunicaciones</w:t>
      </w:r>
    </w:p>
    <w:p w14:paraId="3FAA22A8" w14:textId="1435C5B3" w:rsidR="0019488A" w:rsidRPr="00243E39" w:rsidRDefault="0019488A" w:rsidP="0019488A">
      <w:pPr>
        <w:rPr>
          <w:lang w:val="es-ES_tradnl"/>
        </w:rPr>
      </w:pPr>
      <w:r w:rsidRPr="00243E39">
        <w:rPr>
          <w:lang w:val="es-ES_tradnl"/>
        </w:rPr>
        <w:t>1</w:t>
      </w:r>
      <w:r w:rsidRPr="00243E39">
        <w:rPr>
          <w:lang w:val="es-ES_tradnl"/>
        </w:rPr>
        <w:tab/>
      </w:r>
      <w:r w:rsidR="008778B6" w:rsidRPr="00243E39">
        <w:rPr>
          <w:lang w:val="es-ES_tradnl"/>
        </w:rPr>
        <w:t xml:space="preserve">que siga llevando a cabo su labor para </w:t>
      </w:r>
      <w:r w:rsidR="00A56C5B" w:rsidRPr="00243E39">
        <w:rPr>
          <w:lang w:val="es-ES_tradnl"/>
        </w:rPr>
        <w:t>conectar</w:t>
      </w:r>
      <w:r w:rsidR="008778B6" w:rsidRPr="00243E39">
        <w:rPr>
          <w:lang w:val="es-ES_tradnl"/>
        </w:rPr>
        <w:t xml:space="preserve"> todas las escuelas y a todos los jóvenes a los servicios de tecnologías de la información y la comunicación</w:t>
      </w:r>
      <w:r w:rsidRPr="00243E39">
        <w:rPr>
          <w:lang w:val="es-ES_tradnl"/>
        </w:rPr>
        <w:t>;</w:t>
      </w:r>
    </w:p>
    <w:p w14:paraId="7D005926" w14:textId="5F03D896" w:rsidR="0019488A" w:rsidRPr="00243E39" w:rsidRDefault="0019488A" w:rsidP="0019488A">
      <w:pPr>
        <w:rPr>
          <w:lang w:val="es-ES_tradnl"/>
        </w:rPr>
      </w:pPr>
      <w:r w:rsidRPr="00243E39">
        <w:rPr>
          <w:lang w:val="es-ES_tradnl"/>
        </w:rPr>
        <w:t>2</w:t>
      </w:r>
      <w:r w:rsidRPr="00243E39">
        <w:rPr>
          <w:lang w:val="es-ES_tradnl"/>
        </w:rPr>
        <w:tab/>
      </w:r>
      <w:r w:rsidR="008778B6" w:rsidRPr="00243E39">
        <w:rPr>
          <w:lang w:val="es-ES_tradnl"/>
        </w:rPr>
        <w:t xml:space="preserve">que defina normas sobre la conectividad escolar y fije metas globales a corto, medio y largo plazo para conectar todas las escuelas, en armonía con las metas mundiales para la conectividad universal y efectiva de cara a </w:t>
      </w:r>
      <w:r w:rsidRPr="00243E39">
        <w:rPr>
          <w:lang w:val="es-ES_tradnl"/>
        </w:rPr>
        <w:t>2030;</w:t>
      </w:r>
    </w:p>
    <w:p w14:paraId="11690A02" w14:textId="69B5A4D6" w:rsidR="0019488A" w:rsidRPr="00243E39" w:rsidRDefault="0019488A" w:rsidP="003F6856">
      <w:pPr>
        <w:rPr>
          <w:lang w:val="es-ES_tradnl"/>
        </w:rPr>
      </w:pPr>
      <w:r w:rsidRPr="00243E39">
        <w:rPr>
          <w:lang w:val="es-ES_tradnl"/>
        </w:rPr>
        <w:t>3</w:t>
      </w:r>
      <w:r w:rsidRPr="00243E39">
        <w:rPr>
          <w:lang w:val="es-ES_tradnl"/>
        </w:rPr>
        <w:tab/>
      </w:r>
      <w:r w:rsidR="008778B6" w:rsidRPr="00243E39">
        <w:rPr>
          <w:lang w:val="es-ES_tradnl"/>
        </w:rPr>
        <w:t xml:space="preserve">que evalúe modelos metodológicos y de financiación asequibles y sostenibles para conectar a todos los jóvenes a los servicios de TIC, en particular los que residen en zonas rurales y remotas, </w:t>
      </w:r>
      <w:r w:rsidR="0067127C" w:rsidRPr="00243E39">
        <w:rPr>
          <w:lang w:val="es-ES_tradnl"/>
        </w:rPr>
        <w:t>en función del estudio de esos modelos</w:t>
      </w:r>
      <w:r w:rsidRPr="00243E39">
        <w:rPr>
          <w:lang w:val="es-ES_tradnl"/>
        </w:rPr>
        <w:t>;</w:t>
      </w:r>
    </w:p>
    <w:p w14:paraId="05B1A44E" w14:textId="15420A5F" w:rsidR="0019488A" w:rsidRPr="00243E39" w:rsidRDefault="0019488A" w:rsidP="0019488A">
      <w:pPr>
        <w:rPr>
          <w:lang w:val="es-ES_tradnl"/>
        </w:rPr>
      </w:pPr>
      <w:r w:rsidRPr="00243E39">
        <w:rPr>
          <w:lang w:val="es-ES_tradnl"/>
        </w:rPr>
        <w:t>4</w:t>
      </w:r>
      <w:r w:rsidRPr="00243E39">
        <w:rPr>
          <w:lang w:val="es-ES_tradnl"/>
        </w:rPr>
        <w:tab/>
      </w:r>
      <w:r w:rsidR="0067127C" w:rsidRPr="00243E39">
        <w:rPr>
          <w:lang w:val="es-ES_tradnl"/>
        </w:rPr>
        <w:t>que siga prestando a los Estados Miembros y Miembros de Sector asistencia para la definición de marcos políticos, reglamentarios y financieros para conectar todas las escuelas a Internet</w:t>
      </w:r>
      <w:r w:rsidRPr="00243E39">
        <w:rPr>
          <w:lang w:val="es-ES_tradnl"/>
        </w:rPr>
        <w:t>;</w:t>
      </w:r>
    </w:p>
    <w:p w14:paraId="0AF8F2F2" w14:textId="3976F230" w:rsidR="0019488A" w:rsidRPr="00243E39" w:rsidRDefault="0019488A" w:rsidP="0019488A">
      <w:pPr>
        <w:rPr>
          <w:lang w:val="es-ES_tradnl"/>
        </w:rPr>
      </w:pPr>
      <w:r w:rsidRPr="00243E39">
        <w:rPr>
          <w:lang w:val="es-ES_tradnl"/>
        </w:rPr>
        <w:t>5</w:t>
      </w:r>
      <w:r w:rsidRPr="00243E39">
        <w:rPr>
          <w:lang w:val="es-ES_tradnl"/>
        </w:rPr>
        <w:tab/>
      </w:r>
      <w:r w:rsidR="0067127C" w:rsidRPr="00243E39">
        <w:rPr>
          <w:lang w:val="es-ES_tradnl"/>
        </w:rPr>
        <w:t>que informe anualmente al Consejo de la UIT sobre los avances en la aplicación de la presente Resolución</w:t>
      </w:r>
      <w:r w:rsidRPr="00243E39">
        <w:rPr>
          <w:lang w:val="es-ES_tradnl"/>
        </w:rPr>
        <w:t>;</w:t>
      </w:r>
    </w:p>
    <w:p w14:paraId="0B8CE0A5" w14:textId="5351ED6A" w:rsidR="0019488A" w:rsidRPr="00243E39" w:rsidRDefault="0019488A" w:rsidP="0019488A">
      <w:pPr>
        <w:rPr>
          <w:lang w:val="es-ES_tradnl"/>
        </w:rPr>
      </w:pPr>
      <w:r w:rsidRPr="00243E39">
        <w:rPr>
          <w:lang w:val="es-ES_tradnl"/>
        </w:rPr>
        <w:t>6</w:t>
      </w:r>
      <w:r w:rsidRPr="00243E39">
        <w:rPr>
          <w:lang w:val="es-ES_tradnl"/>
        </w:rPr>
        <w:tab/>
      </w:r>
      <w:r w:rsidR="0067127C" w:rsidRPr="00243E39">
        <w:rPr>
          <w:lang w:val="es-ES_tradnl"/>
        </w:rPr>
        <w:t>que ponga esta Resolución en conocimiento de todas las partes interesadas, incluidos, en particular, el Secretario General de las Naciones Unidas, la</w:t>
      </w:r>
      <w:r w:rsidRPr="00243E39">
        <w:rPr>
          <w:lang w:val="es-ES_tradnl"/>
        </w:rPr>
        <w:t xml:space="preserve"> UNESCO, </w:t>
      </w:r>
      <w:r w:rsidR="0067127C" w:rsidRPr="00243E39">
        <w:rPr>
          <w:lang w:val="es-ES_tradnl"/>
        </w:rPr>
        <w:t xml:space="preserve">la </w:t>
      </w:r>
      <w:r w:rsidRPr="00243E39">
        <w:rPr>
          <w:lang w:val="es-ES_tradnl"/>
        </w:rPr>
        <w:t xml:space="preserve">UNICEF </w:t>
      </w:r>
      <w:r w:rsidR="0067127C" w:rsidRPr="00243E39">
        <w:rPr>
          <w:lang w:val="es-ES_tradnl"/>
        </w:rPr>
        <w:t>y otros organismos y programas de las Naciones Unidas pertinentes para la cooperación en la aplicación de esta Resolución</w:t>
      </w:r>
      <w:r w:rsidRPr="00243E39">
        <w:rPr>
          <w:lang w:val="es-ES_tradnl"/>
        </w:rPr>
        <w:t>,</w:t>
      </w:r>
    </w:p>
    <w:p w14:paraId="3692CC4B" w14:textId="6105CD2C" w:rsidR="0019488A" w:rsidRPr="00243E39" w:rsidRDefault="0067127C" w:rsidP="0019488A">
      <w:pPr>
        <w:pStyle w:val="Call"/>
        <w:rPr>
          <w:lang w:val="es-ES_tradnl"/>
        </w:rPr>
      </w:pPr>
      <w:r w:rsidRPr="00243E39">
        <w:rPr>
          <w:lang w:val="es-ES_tradnl"/>
        </w:rPr>
        <w:lastRenderedPageBreak/>
        <w:t>pide a los Estados Miembros, los Miembros de Sector</w:t>
      </w:r>
      <w:r w:rsidR="00A56C5B" w:rsidRPr="00243E39">
        <w:rPr>
          <w:lang w:val="es-ES_tradnl"/>
        </w:rPr>
        <w:t xml:space="preserve"> </w:t>
      </w:r>
      <w:r w:rsidRPr="00243E39">
        <w:rPr>
          <w:lang w:val="es-ES_tradnl"/>
        </w:rPr>
        <w:t>y las Instituciones Académicas del Sector de Desarrollo de las Telecomunicaciones de la UIT</w:t>
      </w:r>
    </w:p>
    <w:p w14:paraId="38B4357C" w14:textId="6EFB1CA5" w:rsidR="0019488A" w:rsidRPr="00243E39" w:rsidRDefault="0019488A" w:rsidP="0019488A">
      <w:pPr>
        <w:rPr>
          <w:lang w:val="es-ES_tradnl"/>
        </w:rPr>
      </w:pPr>
      <w:r w:rsidRPr="00243E39">
        <w:rPr>
          <w:lang w:val="es-ES_tradnl"/>
        </w:rPr>
        <w:t>1</w:t>
      </w:r>
      <w:r w:rsidRPr="00243E39">
        <w:rPr>
          <w:lang w:val="es-ES_tradnl"/>
        </w:rPr>
        <w:tab/>
      </w:r>
      <w:r w:rsidR="0067127C" w:rsidRPr="00243E39">
        <w:rPr>
          <w:lang w:val="es-ES_tradnl"/>
        </w:rPr>
        <w:t>que fomenten la adopción de enfoques pangubernamentales y de asociación público</w:t>
      </w:r>
      <w:r w:rsidR="00243E39" w:rsidRPr="00243E39">
        <w:rPr>
          <w:lang w:val="es-ES_tradnl"/>
        </w:rPr>
        <w:noBreakHyphen/>
      </w:r>
      <w:r w:rsidR="0067127C" w:rsidRPr="00243E39">
        <w:rPr>
          <w:lang w:val="es-ES_tradnl"/>
        </w:rPr>
        <w:t>privada para la conectividad y la infraestructura a fin de cerrar la brecha digital y fomentar el desarrollo local de sistemas educativos y formativos digitales</w:t>
      </w:r>
      <w:r w:rsidRPr="00243E39">
        <w:rPr>
          <w:lang w:val="es-ES_tradnl"/>
        </w:rPr>
        <w:t>;</w:t>
      </w:r>
    </w:p>
    <w:p w14:paraId="7474A086" w14:textId="5867E455" w:rsidR="0019488A" w:rsidRPr="00243E39" w:rsidRDefault="0019488A" w:rsidP="0019488A">
      <w:pPr>
        <w:rPr>
          <w:lang w:val="es-ES_tradnl"/>
        </w:rPr>
      </w:pPr>
      <w:r w:rsidRPr="00243E39">
        <w:rPr>
          <w:lang w:val="es-ES_tradnl"/>
        </w:rPr>
        <w:t>2</w:t>
      </w:r>
      <w:r w:rsidRPr="00243E39">
        <w:rPr>
          <w:lang w:val="es-ES_tradnl"/>
        </w:rPr>
        <w:tab/>
      </w:r>
      <w:r w:rsidR="00B91403" w:rsidRPr="00243E39">
        <w:rPr>
          <w:lang w:val="es-ES_tradnl"/>
        </w:rPr>
        <w:t>que fomenten la adopción de una estrategia nacional para la conectividad escolar, el desarrollo de competencias digitales vitales y laborales, y la formación continua de estudiantes, docentes y educadores</w:t>
      </w:r>
      <w:r w:rsidRPr="00243E39">
        <w:rPr>
          <w:lang w:val="es-ES_tradnl"/>
        </w:rPr>
        <w:t>;</w:t>
      </w:r>
    </w:p>
    <w:p w14:paraId="393F23A6" w14:textId="24AF6733" w:rsidR="0019488A" w:rsidRPr="00243E39" w:rsidRDefault="0019488A" w:rsidP="0019488A">
      <w:pPr>
        <w:rPr>
          <w:lang w:val="es-ES_tradnl"/>
        </w:rPr>
      </w:pPr>
      <w:r w:rsidRPr="00243E39">
        <w:rPr>
          <w:lang w:val="es-ES_tradnl"/>
        </w:rPr>
        <w:t>3</w:t>
      </w:r>
      <w:r w:rsidRPr="00243E39">
        <w:rPr>
          <w:lang w:val="es-ES_tradnl"/>
        </w:rPr>
        <w:tab/>
      </w:r>
      <w:r w:rsidR="00B91403" w:rsidRPr="00243E39">
        <w:rPr>
          <w:lang w:val="es-ES_tradnl"/>
        </w:rPr>
        <w:t>que inviertan todos los esfuerzos posibles en reducir el coste de la infraestructura para la conectividad y la instalación y explotación de equipos de TIC</w:t>
      </w:r>
      <w:r w:rsidRPr="00243E39">
        <w:rPr>
          <w:lang w:val="es-ES_tradnl"/>
        </w:rPr>
        <w:t>;</w:t>
      </w:r>
    </w:p>
    <w:p w14:paraId="46477198" w14:textId="7816CC97" w:rsidR="0019488A" w:rsidRPr="00243E39" w:rsidRDefault="0019488A" w:rsidP="0019488A">
      <w:pPr>
        <w:rPr>
          <w:lang w:val="es-ES_tradnl"/>
        </w:rPr>
      </w:pPr>
      <w:r w:rsidRPr="00243E39">
        <w:rPr>
          <w:lang w:val="es-ES_tradnl"/>
        </w:rPr>
        <w:t>4</w:t>
      </w:r>
      <w:r w:rsidRPr="00243E39">
        <w:rPr>
          <w:lang w:val="es-ES_tradnl"/>
        </w:rPr>
        <w:tab/>
      </w:r>
      <w:r w:rsidR="00B91403" w:rsidRPr="00243E39">
        <w:rPr>
          <w:lang w:val="es-ES_tradnl"/>
        </w:rPr>
        <w:t>que identifiquen, examinen e implementen soluciones de alimentación y suministro eléctrico sostenibles para la conectividad de las escuelas y en las escuelas, habida cuenta del contexto geográfico y topográfico</w:t>
      </w:r>
      <w:r w:rsidRPr="00243E39">
        <w:rPr>
          <w:lang w:val="es-ES_tradnl"/>
        </w:rPr>
        <w:t>;</w:t>
      </w:r>
    </w:p>
    <w:p w14:paraId="3DDDA956" w14:textId="1DB3BE7C" w:rsidR="0019488A" w:rsidRPr="00243E39" w:rsidRDefault="0019488A" w:rsidP="0019488A">
      <w:pPr>
        <w:rPr>
          <w:lang w:val="es-ES_tradnl"/>
        </w:rPr>
      </w:pPr>
      <w:r w:rsidRPr="00243E39">
        <w:rPr>
          <w:lang w:val="es-ES_tradnl"/>
        </w:rPr>
        <w:t>5</w:t>
      </w:r>
      <w:r w:rsidRPr="00243E39">
        <w:rPr>
          <w:lang w:val="es-ES_tradnl"/>
        </w:rPr>
        <w:tab/>
      </w:r>
      <w:r w:rsidR="00B91403" w:rsidRPr="00243E39">
        <w:rPr>
          <w:lang w:val="es-ES_tradnl"/>
        </w:rPr>
        <w:t>que fomenten la innovación en la infraestructura y los modelos operativos de conectividad para garantizar un aprendizaje digital inclusivo y sostenible</w:t>
      </w:r>
      <w:r w:rsidRPr="00243E39">
        <w:rPr>
          <w:lang w:val="es-ES_tradnl"/>
        </w:rPr>
        <w:t>;</w:t>
      </w:r>
    </w:p>
    <w:p w14:paraId="7BB62F44" w14:textId="749867B1" w:rsidR="0019488A" w:rsidRPr="00243E39" w:rsidRDefault="0019488A" w:rsidP="0019488A">
      <w:pPr>
        <w:rPr>
          <w:lang w:val="es-ES_tradnl"/>
        </w:rPr>
      </w:pPr>
      <w:r w:rsidRPr="00243E39">
        <w:rPr>
          <w:lang w:val="es-ES_tradnl"/>
        </w:rPr>
        <w:t>6</w:t>
      </w:r>
      <w:r w:rsidRPr="00243E39">
        <w:rPr>
          <w:lang w:val="es-ES_tradnl"/>
        </w:rPr>
        <w:tab/>
      </w:r>
      <w:r w:rsidR="00B91403" w:rsidRPr="00243E39">
        <w:rPr>
          <w:lang w:val="es-ES_tradnl"/>
        </w:rPr>
        <w:t>que compartan sus conocimientos teóricos y prácticos, competencias y experiencias en lo que se refiere a la conexión de las escuelas y de las comunidades en que se sitúan</w:t>
      </w:r>
      <w:r w:rsidRPr="00243E39">
        <w:rPr>
          <w:lang w:val="es-ES_tradnl"/>
        </w:rPr>
        <w:t>.</w:t>
      </w:r>
    </w:p>
    <w:p w14:paraId="139F57D1" w14:textId="77777777" w:rsidR="003F6856" w:rsidRPr="00243E39" w:rsidRDefault="003F6856" w:rsidP="00411C49">
      <w:pPr>
        <w:pStyle w:val="Reasons"/>
        <w:rPr>
          <w:lang w:val="es-ES_tradnl"/>
        </w:rPr>
      </w:pPr>
    </w:p>
    <w:p w14:paraId="62F8AC50" w14:textId="77777777" w:rsidR="003F6856" w:rsidRPr="00243E39" w:rsidRDefault="003F6856">
      <w:pPr>
        <w:jc w:val="center"/>
        <w:rPr>
          <w:lang w:val="es-ES_tradnl"/>
        </w:rPr>
      </w:pPr>
      <w:r w:rsidRPr="00243E39">
        <w:rPr>
          <w:lang w:val="es-ES_tradnl"/>
        </w:rPr>
        <w:t>______________</w:t>
      </w:r>
    </w:p>
    <w:sectPr w:rsidR="003F6856" w:rsidRPr="00243E39">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3BCD" w14:textId="77777777" w:rsidR="006C59B9" w:rsidRDefault="006C59B9">
      <w:r>
        <w:separator/>
      </w:r>
    </w:p>
  </w:endnote>
  <w:endnote w:type="continuationSeparator" w:id="0">
    <w:p w14:paraId="2154AC33" w14:textId="77777777" w:rsidR="006C59B9" w:rsidRDefault="006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A2D4" w14:textId="77777777" w:rsidR="00E45D05" w:rsidRDefault="00E45D05">
    <w:pPr>
      <w:framePr w:wrap="around" w:vAnchor="text" w:hAnchor="margin" w:xAlign="right" w:y="1"/>
    </w:pPr>
    <w:r>
      <w:fldChar w:fldCharType="begin"/>
    </w:r>
    <w:r>
      <w:instrText xml:space="preserve">PAGE  </w:instrText>
    </w:r>
    <w:r>
      <w:fldChar w:fldCharType="end"/>
    </w:r>
  </w:p>
  <w:p w14:paraId="569A7987" w14:textId="19AFD79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D696A">
      <w:rPr>
        <w:noProof/>
        <w:lang w:val="en-US"/>
      </w:rPr>
      <w:t>P:\ESP\ITU-D\CONF-D\WTDC21\000\035S.docx</w:t>
    </w:r>
    <w:r>
      <w:fldChar w:fldCharType="end"/>
    </w:r>
    <w:r w:rsidRPr="0041348E">
      <w:rPr>
        <w:lang w:val="en-US"/>
      </w:rPr>
      <w:tab/>
    </w:r>
    <w:r>
      <w:fldChar w:fldCharType="begin"/>
    </w:r>
    <w:r>
      <w:instrText xml:space="preserve"> SAVEDATE \@ DD.MM.YY </w:instrText>
    </w:r>
    <w:r>
      <w:fldChar w:fldCharType="separate"/>
    </w:r>
    <w:r w:rsidR="007D696A">
      <w:rPr>
        <w:noProof/>
      </w:rPr>
      <w:t>23.05.22</w:t>
    </w:r>
    <w:r>
      <w:fldChar w:fldCharType="end"/>
    </w:r>
    <w:r w:rsidRPr="0041348E">
      <w:rPr>
        <w:lang w:val="en-US"/>
      </w:rPr>
      <w:tab/>
    </w:r>
    <w:r>
      <w:fldChar w:fldCharType="begin"/>
    </w:r>
    <w:r>
      <w:instrText xml:space="preserve"> PRINTDATE \@ DD.MM.YY </w:instrText>
    </w:r>
    <w:r>
      <w:fldChar w:fldCharType="separate"/>
    </w:r>
    <w:r w:rsidR="007D696A">
      <w:rPr>
        <w:noProof/>
      </w:rPr>
      <w:t>24.05.22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03E2" w14:textId="04F0A1E1" w:rsidR="00150127" w:rsidRDefault="00772A07" w:rsidP="00150127">
    <w:pPr>
      <w:pStyle w:val="Footer"/>
    </w:pPr>
    <w:fldSimple w:instr=" FILENAME \p  \* MERGEFORMAT ">
      <w:r w:rsidR="007D696A">
        <w:t>P:\ESP\ITU-D\CONF-D\WTDC21\000\035S.docx</w:t>
      </w:r>
    </w:fldSimple>
    <w:r w:rsidR="00150127">
      <w:t xml:space="preserve"> (505908)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D83BF5" w:rsidRPr="007D696A" w14:paraId="4B35276D" w14:textId="77777777" w:rsidTr="000B1248">
      <w:tc>
        <w:tcPr>
          <w:tcW w:w="1134" w:type="dxa"/>
          <w:tcBorders>
            <w:top w:val="single" w:sz="4" w:space="0" w:color="000000"/>
          </w:tcBorders>
          <w:shd w:val="clear" w:color="auto" w:fill="auto"/>
        </w:tcPr>
        <w:p w14:paraId="33CC81DA" w14:textId="77777777" w:rsidR="00D83BF5" w:rsidRPr="00772A07" w:rsidRDefault="00D83BF5" w:rsidP="00772A07">
          <w:pPr>
            <w:pStyle w:val="FirstFooter"/>
            <w:tabs>
              <w:tab w:val="left" w:pos="2302"/>
            </w:tabs>
            <w:ind w:left="2302" w:hanging="2302"/>
            <w:rPr>
              <w:sz w:val="18"/>
              <w:szCs w:val="18"/>
              <w:lang w:val="en-US"/>
            </w:rPr>
          </w:pPr>
          <w:r w:rsidRPr="00772A07">
            <w:rPr>
              <w:sz w:val="18"/>
              <w:szCs w:val="18"/>
              <w:lang w:val="en-US"/>
            </w:rPr>
            <w:t>Contact</w:t>
          </w:r>
          <w:r w:rsidR="000B1248" w:rsidRPr="00772A07">
            <w:rPr>
              <w:sz w:val="18"/>
              <w:szCs w:val="18"/>
              <w:lang w:val="en-US"/>
            </w:rPr>
            <w:t>o</w:t>
          </w:r>
          <w:r w:rsidRPr="00772A07">
            <w:rPr>
              <w:sz w:val="18"/>
              <w:szCs w:val="18"/>
              <w:lang w:val="en-US"/>
            </w:rPr>
            <w:t>:</w:t>
          </w:r>
        </w:p>
      </w:tc>
      <w:tc>
        <w:tcPr>
          <w:tcW w:w="2552" w:type="dxa"/>
          <w:tcBorders>
            <w:top w:val="single" w:sz="4" w:space="0" w:color="000000"/>
          </w:tcBorders>
          <w:shd w:val="clear" w:color="auto" w:fill="auto"/>
        </w:tcPr>
        <w:p w14:paraId="479E688E" w14:textId="77777777" w:rsidR="00D83BF5" w:rsidRPr="00772A07" w:rsidRDefault="00D83BF5" w:rsidP="00772A07">
          <w:pPr>
            <w:pStyle w:val="FirstFooter"/>
            <w:tabs>
              <w:tab w:val="left" w:pos="2302"/>
            </w:tabs>
            <w:ind w:left="2302" w:hanging="2302"/>
            <w:rPr>
              <w:sz w:val="18"/>
              <w:szCs w:val="18"/>
              <w:lang w:val="en-US"/>
            </w:rPr>
          </w:pPr>
          <w:r w:rsidRPr="00772A07">
            <w:rPr>
              <w:sz w:val="18"/>
              <w:szCs w:val="18"/>
              <w:lang w:val="en-US"/>
            </w:rPr>
            <w:t>N</w:t>
          </w:r>
          <w:r w:rsidR="000B1248" w:rsidRPr="00772A07">
            <w:rPr>
              <w:sz w:val="18"/>
              <w:szCs w:val="18"/>
              <w:lang w:val="en-US"/>
            </w:rPr>
            <w:t>ombr</w:t>
          </w:r>
          <w:r w:rsidRPr="00772A07">
            <w:rPr>
              <w:sz w:val="18"/>
              <w:szCs w:val="18"/>
              <w:lang w:val="en-US"/>
            </w:rPr>
            <w:t>e/Organiza</w:t>
          </w:r>
          <w:r w:rsidR="000B1248" w:rsidRPr="00772A07">
            <w:rPr>
              <w:sz w:val="18"/>
              <w:szCs w:val="18"/>
              <w:lang w:val="en-US"/>
            </w:rPr>
            <w:t>ción/Entidad</w:t>
          </w:r>
          <w:r w:rsidRPr="00772A07">
            <w:rPr>
              <w:sz w:val="18"/>
              <w:szCs w:val="18"/>
              <w:lang w:val="en-US"/>
            </w:rPr>
            <w:t>:</w:t>
          </w:r>
        </w:p>
      </w:tc>
      <w:tc>
        <w:tcPr>
          <w:tcW w:w="6237" w:type="dxa"/>
          <w:tcBorders>
            <w:top w:val="single" w:sz="4" w:space="0" w:color="000000"/>
          </w:tcBorders>
          <w:shd w:val="clear" w:color="auto" w:fill="auto"/>
        </w:tcPr>
        <w:p w14:paraId="231DD9B1" w14:textId="6BC3D0EB" w:rsidR="00D83BF5" w:rsidRPr="007D696A" w:rsidRDefault="0091246E" w:rsidP="00772A07">
          <w:pPr>
            <w:pStyle w:val="FirstFooter"/>
            <w:tabs>
              <w:tab w:val="left" w:pos="2302"/>
            </w:tabs>
            <w:ind w:left="2302" w:hanging="2302"/>
            <w:rPr>
              <w:sz w:val="18"/>
              <w:szCs w:val="18"/>
              <w:lang w:val="es-ES"/>
            </w:rPr>
          </w:pPr>
          <w:bookmarkStart w:id="12" w:name="OrgName"/>
          <w:bookmarkEnd w:id="12"/>
          <w:r w:rsidRPr="007D696A">
            <w:rPr>
              <w:sz w:val="18"/>
              <w:szCs w:val="18"/>
              <w:lang w:val="es-ES"/>
            </w:rPr>
            <w:t>Sra. Paula Ingabire, Ministra de TIC e Innovación, Rwanda</w:t>
          </w:r>
        </w:p>
      </w:tc>
    </w:tr>
    <w:tr w:rsidR="00D83BF5" w:rsidRPr="00A56C5B" w14:paraId="48AC3890" w14:textId="77777777" w:rsidTr="000B1248">
      <w:tc>
        <w:tcPr>
          <w:tcW w:w="1134" w:type="dxa"/>
          <w:shd w:val="clear" w:color="auto" w:fill="auto"/>
        </w:tcPr>
        <w:p w14:paraId="51366F6A" w14:textId="77777777" w:rsidR="00D83BF5" w:rsidRPr="007D696A" w:rsidRDefault="00D83BF5" w:rsidP="00772A07">
          <w:pPr>
            <w:pStyle w:val="FirstFooter"/>
            <w:tabs>
              <w:tab w:val="left" w:pos="2302"/>
            </w:tabs>
            <w:ind w:left="2302" w:hanging="2302"/>
            <w:rPr>
              <w:sz w:val="18"/>
              <w:szCs w:val="18"/>
              <w:lang w:val="es-ES"/>
            </w:rPr>
          </w:pPr>
        </w:p>
      </w:tc>
      <w:tc>
        <w:tcPr>
          <w:tcW w:w="2552" w:type="dxa"/>
          <w:shd w:val="clear" w:color="auto" w:fill="auto"/>
        </w:tcPr>
        <w:p w14:paraId="305D2826" w14:textId="77777777" w:rsidR="00D83BF5" w:rsidRPr="00772A07" w:rsidRDefault="000B1248" w:rsidP="00772A07">
          <w:pPr>
            <w:pStyle w:val="FirstFooter"/>
            <w:tabs>
              <w:tab w:val="left" w:pos="2302"/>
            </w:tabs>
            <w:ind w:left="2302" w:hanging="2302"/>
            <w:rPr>
              <w:sz w:val="18"/>
              <w:szCs w:val="18"/>
              <w:lang w:val="en-US"/>
            </w:rPr>
          </w:pPr>
          <w:r w:rsidRPr="00772A07">
            <w:rPr>
              <w:sz w:val="18"/>
              <w:szCs w:val="18"/>
              <w:lang w:val="en-US"/>
            </w:rPr>
            <w:t>Teléfono</w:t>
          </w:r>
          <w:r w:rsidR="00D83BF5" w:rsidRPr="00772A07">
            <w:rPr>
              <w:sz w:val="18"/>
              <w:szCs w:val="18"/>
              <w:lang w:val="en-US"/>
            </w:rPr>
            <w:t>:</w:t>
          </w:r>
        </w:p>
      </w:tc>
      <w:tc>
        <w:tcPr>
          <w:tcW w:w="6237" w:type="dxa"/>
          <w:shd w:val="clear" w:color="auto" w:fill="auto"/>
        </w:tcPr>
        <w:p w14:paraId="00DA1034" w14:textId="0F00E869" w:rsidR="00D83BF5" w:rsidRPr="00772A07" w:rsidRDefault="0091246E" w:rsidP="00772A07">
          <w:pPr>
            <w:pStyle w:val="FirstFooter"/>
            <w:tabs>
              <w:tab w:val="left" w:pos="2302"/>
            </w:tabs>
            <w:ind w:left="2302" w:hanging="2302"/>
            <w:rPr>
              <w:sz w:val="18"/>
              <w:szCs w:val="18"/>
              <w:lang w:val="en-US"/>
            </w:rPr>
          </w:pPr>
          <w:bookmarkStart w:id="13" w:name="PhoneNo"/>
          <w:bookmarkEnd w:id="13"/>
          <w:r w:rsidRPr="00772A07">
            <w:rPr>
              <w:sz w:val="18"/>
              <w:szCs w:val="18"/>
              <w:lang w:val="en-US"/>
            </w:rPr>
            <w:t>n.</w:t>
          </w:r>
          <w:r w:rsidR="00E401F4" w:rsidRPr="00772A07">
            <w:rPr>
              <w:sz w:val="18"/>
              <w:szCs w:val="18"/>
              <w:lang w:val="en-US"/>
            </w:rPr>
            <w:t xml:space="preserve"> a.</w:t>
          </w:r>
        </w:p>
      </w:tc>
    </w:tr>
    <w:tr w:rsidR="00D83BF5" w:rsidRPr="00A56C5B" w14:paraId="72889455" w14:textId="77777777" w:rsidTr="000B1248">
      <w:tc>
        <w:tcPr>
          <w:tcW w:w="1134" w:type="dxa"/>
          <w:shd w:val="clear" w:color="auto" w:fill="auto"/>
        </w:tcPr>
        <w:p w14:paraId="1202C375" w14:textId="77777777" w:rsidR="00D83BF5" w:rsidRPr="00772A07" w:rsidRDefault="00D83BF5" w:rsidP="00772A07">
          <w:pPr>
            <w:pStyle w:val="FirstFooter"/>
            <w:tabs>
              <w:tab w:val="left" w:pos="2302"/>
            </w:tabs>
            <w:ind w:left="2302" w:hanging="2302"/>
            <w:rPr>
              <w:sz w:val="18"/>
              <w:szCs w:val="18"/>
              <w:lang w:val="en-US"/>
            </w:rPr>
          </w:pPr>
        </w:p>
      </w:tc>
      <w:tc>
        <w:tcPr>
          <w:tcW w:w="2552" w:type="dxa"/>
          <w:shd w:val="clear" w:color="auto" w:fill="auto"/>
        </w:tcPr>
        <w:p w14:paraId="0F1127F6" w14:textId="77777777" w:rsidR="00D83BF5" w:rsidRPr="00772A07" w:rsidRDefault="000B1248" w:rsidP="00772A07">
          <w:pPr>
            <w:pStyle w:val="FirstFooter"/>
            <w:tabs>
              <w:tab w:val="left" w:pos="2302"/>
            </w:tabs>
            <w:ind w:left="2302" w:hanging="2302"/>
            <w:rPr>
              <w:sz w:val="18"/>
              <w:szCs w:val="18"/>
              <w:lang w:val="en-US"/>
            </w:rPr>
          </w:pPr>
          <w:r w:rsidRPr="00772A07">
            <w:rPr>
              <w:sz w:val="18"/>
              <w:szCs w:val="18"/>
              <w:lang w:val="en-US"/>
            </w:rPr>
            <w:t>Correo-e</w:t>
          </w:r>
          <w:r w:rsidR="00D83BF5" w:rsidRPr="00772A07">
            <w:rPr>
              <w:sz w:val="18"/>
              <w:szCs w:val="18"/>
              <w:lang w:val="en-US"/>
            </w:rPr>
            <w:t>:</w:t>
          </w:r>
        </w:p>
      </w:tc>
      <w:bookmarkStart w:id="14" w:name="Email"/>
      <w:bookmarkEnd w:id="14"/>
      <w:tc>
        <w:tcPr>
          <w:tcW w:w="6237" w:type="dxa"/>
          <w:shd w:val="clear" w:color="auto" w:fill="auto"/>
        </w:tcPr>
        <w:p w14:paraId="2036D4A5" w14:textId="133B3F5E" w:rsidR="00D83BF5" w:rsidRPr="00A56C5B" w:rsidRDefault="00E401F4" w:rsidP="00772A07">
          <w:pPr>
            <w:pStyle w:val="FirstFooter"/>
            <w:tabs>
              <w:tab w:val="left" w:pos="2302"/>
            </w:tabs>
            <w:ind w:left="2302" w:hanging="2302"/>
            <w:rPr>
              <w:sz w:val="18"/>
              <w:szCs w:val="18"/>
              <w:lang w:val="es-ES"/>
            </w:rPr>
          </w:pPr>
          <w:r w:rsidRPr="00A56C5B">
            <w:rPr>
              <w:sz w:val="18"/>
              <w:szCs w:val="18"/>
              <w:lang w:val="es-ES"/>
            </w:rPr>
            <w:fldChar w:fldCharType="begin"/>
          </w:r>
          <w:r w:rsidRPr="00A56C5B">
            <w:rPr>
              <w:sz w:val="18"/>
              <w:szCs w:val="18"/>
              <w:lang w:val="es-ES"/>
            </w:rPr>
            <w:instrText xml:space="preserve"> HYPERLINK "mailto:pingabire@gov.rw" </w:instrText>
          </w:r>
          <w:r w:rsidRPr="00A56C5B">
            <w:rPr>
              <w:sz w:val="18"/>
              <w:szCs w:val="18"/>
              <w:lang w:val="es-ES"/>
            </w:rPr>
            <w:fldChar w:fldCharType="separate"/>
          </w:r>
          <w:r w:rsidR="0091246E" w:rsidRPr="00A56C5B">
            <w:rPr>
              <w:rStyle w:val="Hyperlink"/>
              <w:sz w:val="18"/>
              <w:szCs w:val="18"/>
              <w:lang w:val="es-ES"/>
            </w:rPr>
            <w:t>pingabire@gov.rw</w:t>
          </w:r>
          <w:r w:rsidRPr="00A56C5B">
            <w:rPr>
              <w:sz w:val="18"/>
              <w:szCs w:val="18"/>
              <w:lang w:val="es-ES"/>
            </w:rPr>
            <w:fldChar w:fldCharType="end"/>
          </w:r>
        </w:p>
      </w:tc>
    </w:tr>
  </w:tbl>
  <w:p w14:paraId="7CAF6B46" w14:textId="6AE779F6" w:rsidR="000B1248" w:rsidRPr="00A56C5B" w:rsidRDefault="00243E39" w:rsidP="00616175">
    <w:pPr>
      <w:jc w:val="center"/>
      <w:rPr>
        <w:rStyle w:val="Hyperlink"/>
        <w:sz w:val="20"/>
        <w:lang w:val="es-ES"/>
      </w:rPr>
    </w:pPr>
    <w:hyperlink r:id="rId1" w:history="1">
      <w:r w:rsidR="007E1CA3" w:rsidRPr="00A56C5B">
        <w:rPr>
          <w:rStyle w:val="Hyperlink"/>
          <w:sz w:val="20"/>
          <w:lang w:val="es-ES"/>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2E83" w14:textId="77777777" w:rsidR="006C59B9" w:rsidRDefault="006C59B9">
      <w:r>
        <w:rPr>
          <w:b/>
        </w:rPr>
        <w:t>_______________</w:t>
      </w:r>
    </w:p>
  </w:footnote>
  <w:footnote w:type="continuationSeparator" w:id="0">
    <w:p w14:paraId="36751DAE" w14:textId="77777777" w:rsidR="006C59B9" w:rsidRDefault="006C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5FF7" w14:textId="77777777" w:rsidR="00772A07" w:rsidRDefault="00772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FF23" w14:textId="43F4C1EE"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8" w:name="_Hlk56755748"/>
    <w:r w:rsidR="00D02508" w:rsidRPr="00D02508">
      <w:rPr>
        <w:sz w:val="22"/>
        <w:szCs w:val="22"/>
        <w:lang w:val="de-CH"/>
      </w:rPr>
      <w:t>WTDC</w:t>
    </w:r>
    <w:r w:rsidR="0071248C">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9" w:name="OLE_LINK3"/>
    <w:bookmarkStart w:id="10" w:name="OLE_LINK2"/>
    <w:bookmarkStart w:id="11" w:name="OLE_LINK1"/>
    <w:r w:rsidR="00D02508" w:rsidRPr="00D02508">
      <w:rPr>
        <w:sz w:val="22"/>
        <w:szCs w:val="22"/>
      </w:rPr>
      <w:t>35</w:t>
    </w:r>
    <w:bookmarkEnd w:id="9"/>
    <w:bookmarkEnd w:id="10"/>
    <w:bookmarkEnd w:id="11"/>
    <w:r w:rsidR="00D02508" w:rsidRPr="00D02508">
      <w:rPr>
        <w:sz w:val="22"/>
        <w:szCs w:val="22"/>
      </w:rPr>
      <w:t>-S</w:t>
    </w:r>
    <w:bookmarkEnd w:id="8"/>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E1A4" w14:textId="77777777" w:rsidR="00772A07" w:rsidRDefault="00772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615062">
    <w:abstractNumId w:val="0"/>
  </w:num>
  <w:num w:numId="2" w16cid:durableId="28049753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06074366">
    <w:abstractNumId w:val="4"/>
  </w:num>
  <w:num w:numId="4" w16cid:durableId="1385175165">
    <w:abstractNumId w:val="2"/>
  </w:num>
  <w:num w:numId="5" w16cid:durableId="858813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F73FF"/>
    <w:rsid w:val="00114CF7"/>
    <w:rsid w:val="00123B68"/>
    <w:rsid w:val="00126F2E"/>
    <w:rsid w:val="00143B37"/>
    <w:rsid w:val="00146F6F"/>
    <w:rsid w:val="00147DA1"/>
    <w:rsid w:val="00150127"/>
    <w:rsid w:val="00152957"/>
    <w:rsid w:val="00162685"/>
    <w:rsid w:val="00187BD9"/>
    <w:rsid w:val="00190B55"/>
    <w:rsid w:val="0019488A"/>
    <w:rsid w:val="00194CFB"/>
    <w:rsid w:val="001B2ED3"/>
    <w:rsid w:val="001C3B5F"/>
    <w:rsid w:val="001C5B2F"/>
    <w:rsid w:val="001D058F"/>
    <w:rsid w:val="002009EA"/>
    <w:rsid w:val="00202CA0"/>
    <w:rsid w:val="002154A6"/>
    <w:rsid w:val="002162CD"/>
    <w:rsid w:val="002255B3"/>
    <w:rsid w:val="00236E8A"/>
    <w:rsid w:val="00243E39"/>
    <w:rsid w:val="00245A45"/>
    <w:rsid w:val="00271316"/>
    <w:rsid w:val="00296313"/>
    <w:rsid w:val="002D58BE"/>
    <w:rsid w:val="003013EE"/>
    <w:rsid w:val="00371686"/>
    <w:rsid w:val="00377BD3"/>
    <w:rsid w:val="00384088"/>
    <w:rsid w:val="0038489B"/>
    <w:rsid w:val="0039169B"/>
    <w:rsid w:val="003A7F8C"/>
    <w:rsid w:val="003B532E"/>
    <w:rsid w:val="003B6F14"/>
    <w:rsid w:val="003D0F8B"/>
    <w:rsid w:val="003F02BD"/>
    <w:rsid w:val="003F340F"/>
    <w:rsid w:val="003F6856"/>
    <w:rsid w:val="004131D4"/>
    <w:rsid w:val="0041348E"/>
    <w:rsid w:val="00437E3B"/>
    <w:rsid w:val="00447308"/>
    <w:rsid w:val="004734EC"/>
    <w:rsid w:val="004765FF"/>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7EF3"/>
    <w:rsid w:val="00616175"/>
    <w:rsid w:val="0064322F"/>
    <w:rsid w:val="00657DE0"/>
    <w:rsid w:val="00664FF0"/>
    <w:rsid w:val="0067127C"/>
    <w:rsid w:val="0067199F"/>
    <w:rsid w:val="00685313"/>
    <w:rsid w:val="00687B47"/>
    <w:rsid w:val="006A6E9B"/>
    <w:rsid w:val="006B7C2A"/>
    <w:rsid w:val="006C23DA"/>
    <w:rsid w:val="006C59B9"/>
    <w:rsid w:val="006E3D45"/>
    <w:rsid w:val="0071248C"/>
    <w:rsid w:val="007149F9"/>
    <w:rsid w:val="00716D34"/>
    <w:rsid w:val="00733A30"/>
    <w:rsid w:val="00733B44"/>
    <w:rsid w:val="00745AEE"/>
    <w:rsid w:val="007479EA"/>
    <w:rsid w:val="00750F10"/>
    <w:rsid w:val="00772A07"/>
    <w:rsid w:val="007742CA"/>
    <w:rsid w:val="00783BC7"/>
    <w:rsid w:val="007D06F0"/>
    <w:rsid w:val="007D45E3"/>
    <w:rsid w:val="007D5320"/>
    <w:rsid w:val="007D696A"/>
    <w:rsid w:val="007E1CA3"/>
    <w:rsid w:val="007F735C"/>
    <w:rsid w:val="00800972"/>
    <w:rsid w:val="00804475"/>
    <w:rsid w:val="00811633"/>
    <w:rsid w:val="00821CEF"/>
    <w:rsid w:val="00832828"/>
    <w:rsid w:val="0083645A"/>
    <w:rsid w:val="00840B0F"/>
    <w:rsid w:val="008631A7"/>
    <w:rsid w:val="0086376E"/>
    <w:rsid w:val="008711AE"/>
    <w:rsid w:val="00872FC8"/>
    <w:rsid w:val="008778B6"/>
    <w:rsid w:val="008801D3"/>
    <w:rsid w:val="008845D0"/>
    <w:rsid w:val="008B43F2"/>
    <w:rsid w:val="008B61EA"/>
    <w:rsid w:val="008B6CFF"/>
    <w:rsid w:val="00910B26"/>
    <w:rsid w:val="0091246E"/>
    <w:rsid w:val="009274B4"/>
    <w:rsid w:val="00934EA2"/>
    <w:rsid w:val="00940CB9"/>
    <w:rsid w:val="00944A5C"/>
    <w:rsid w:val="00952A66"/>
    <w:rsid w:val="009766C5"/>
    <w:rsid w:val="009C56E5"/>
    <w:rsid w:val="009D2796"/>
    <w:rsid w:val="009E5FC8"/>
    <w:rsid w:val="009E687A"/>
    <w:rsid w:val="00A03C5C"/>
    <w:rsid w:val="00A066F1"/>
    <w:rsid w:val="00A141AF"/>
    <w:rsid w:val="00A16D29"/>
    <w:rsid w:val="00A20E5E"/>
    <w:rsid w:val="00A2718E"/>
    <w:rsid w:val="00A30305"/>
    <w:rsid w:val="00A31D2D"/>
    <w:rsid w:val="00A4600A"/>
    <w:rsid w:val="00A53141"/>
    <w:rsid w:val="00A538A6"/>
    <w:rsid w:val="00A54C25"/>
    <w:rsid w:val="00A56C5B"/>
    <w:rsid w:val="00A70E99"/>
    <w:rsid w:val="00A710E7"/>
    <w:rsid w:val="00A72661"/>
    <w:rsid w:val="00A7372E"/>
    <w:rsid w:val="00A93B85"/>
    <w:rsid w:val="00AA0B18"/>
    <w:rsid w:val="00AA666F"/>
    <w:rsid w:val="00AB4927"/>
    <w:rsid w:val="00B004E5"/>
    <w:rsid w:val="00B15F9D"/>
    <w:rsid w:val="00B50F61"/>
    <w:rsid w:val="00B639E9"/>
    <w:rsid w:val="00B817CD"/>
    <w:rsid w:val="00B911B2"/>
    <w:rsid w:val="00B91403"/>
    <w:rsid w:val="00B951D0"/>
    <w:rsid w:val="00BA70B7"/>
    <w:rsid w:val="00BB29C8"/>
    <w:rsid w:val="00BB3A95"/>
    <w:rsid w:val="00BC0382"/>
    <w:rsid w:val="00BE1A9F"/>
    <w:rsid w:val="00C0018F"/>
    <w:rsid w:val="00C20466"/>
    <w:rsid w:val="00C214ED"/>
    <w:rsid w:val="00C234E6"/>
    <w:rsid w:val="00C324A8"/>
    <w:rsid w:val="00C54517"/>
    <w:rsid w:val="00C64CD8"/>
    <w:rsid w:val="00C711E1"/>
    <w:rsid w:val="00C90466"/>
    <w:rsid w:val="00C97C68"/>
    <w:rsid w:val="00CA1A47"/>
    <w:rsid w:val="00CB2BB6"/>
    <w:rsid w:val="00CC247A"/>
    <w:rsid w:val="00CE5E47"/>
    <w:rsid w:val="00CF020F"/>
    <w:rsid w:val="00CF2B5B"/>
    <w:rsid w:val="00D02508"/>
    <w:rsid w:val="00D14CE0"/>
    <w:rsid w:val="00D17C0B"/>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01F4"/>
    <w:rsid w:val="00E4165C"/>
    <w:rsid w:val="00E45D05"/>
    <w:rsid w:val="00E55816"/>
    <w:rsid w:val="00E55AEF"/>
    <w:rsid w:val="00E55D80"/>
    <w:rsid w:val="00E976C1"/>
    <w:rsid w:val="00EA12E5"/>
    <w:rsid w:val="00F02766"/>
    <w:rsid w:val="00F04067"/>
    <w:rsid w:val="00F05BD4"/>
    <w:rsid w:val="00F11A98"/>
    <w:rsid w:val="00F21A1D"/>
    <w:rsid w:val="00F2683C"/>
    <w:rsid w:val="00F65C19"/>
    <w:rsid w:val="00F86326"/>
    <w:rsid w:val="00F87CC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09D3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3F6856"/>
    <w:pPr>
      <w:tabs>
        <w:tab w:val="clear" w:pos="2268"/>
        <w:tab w:val="left" w:pos="2608"/>
        <w:tab w:val="left" w:pos="3345"/>
      </w:tabs>
      <w:spacing w:before="80"/>
      <w:ind w:left="1134" w:hanging="1134"/>
    </w:pPr>
  </w:style>
  <w:style w:type="paragraph" w:customStyle="1" w:styleId="Call">
    <w:name w:val="Call"/>
    <w:basedOn w:val="Normal"/>
    <w:next w:val="Normal"/>
    <w:link w:val="CallChar"/>
    <w:rsid w:val="00745AEE"/>
    <w:pPr>
      <w:keepNext/>
      <w:keepLines/>
      <w:spacing w:before="160"/>
      <w:ind w:left="1134"/>
    </w:pPr>
    <w:rPr>
      <w:i/>
    </w:rPr>
  </w:style>
  <w:style w:type="paragraph" w:customStyle="1" w:styleId="enumlev2">
    <w:name w:val="enumlev2"/>
    <w:basedOn w:val="Normal"/>
    <w:rsid w:val="00150127"/>
    <w:pPr>
      <w:tabs>
        <w:tab w:val="clear" w:pos="2268"/>
        <w:tab w:val="left" w:pos="2608"/>
        <w:tab w:val="left" w:pos="3345"/>
      </w:tabs>
      <w:spacing w:before="80"/>
      <w:ind w:left="1871" w:hanging="737"/>
    </w:pPr>
  </w:style>
  <w:style w:type="paragraph" w:styleId="NormalIndent">
    <w:name w:val="Normal Indent"/>
    <w:basedOn w:val="Normal"/>
    <w:rsid w:val="00190B55"/>
    <w:pPr>
      <w:ind w:left="1134"/>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ource">
    <w:name w:val="Source"/>
    <w:basedOn w:val="Normal"/>
    <w:next w:val="Normal"/>
    <w:rsid w:val="00190B55"/>
    <w:pPr>
      <w:spacing w:before="840"/>
      <w:jc w:val="center"/>
    </w:pPr>
    <w:rPr>
      <w:b/>
      <w:sz w:val="28"/>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ResNo">
    <w:name w:val="Res_No"/>
    <w:basedOn w:val="Normal"/>
    <w:next w:val="Normal"/>
    <w:rsid w:val="00150127"/>
    <w:pPr>
      <w:keepNext/>
      <w:keepLines/>
      <w:spacing w:before="480"/>
      <w:jc w:val="center"/>
    </w:pPr>
    <w:rPr>
      <w:caps/>
      <w:sz w:val="28"/>
    </w:rPr>
  </w:style>
  <w:style w:type="paragraph" w:customStyle="1" w:styleId="Restitle">
    <w:name w:val="Res_title"/>
    <w:basedOn w:val="Normal"/>
    <w:next w:val="Normal"/>
    <w:link w:val="RestitleChar"/>
    <w:rsid w:val="00150127"/>
    <w:pPr>
      <w:keepNext/>
      <w:keepLines/>
      <w:spacing w:before="240"/>
      <w:jc w:val="center"/>
    </w:pPr>
    <w:rPr>
      <w:b/>
      <w:sz w:val="28"/>
    </w:rPr>
  </w:style>
  <w:style w:type="paragraph" w:styleId="ListParagraph">
    <w:name w:val="List Paragraph"/>
    <w:basedOn w:val="Normal"/>
    <w:uiPriority w:val="34"/>
    <w:qFormat/>
    <w:rsid w:val="00D925C2"/>
    <w:pPr>
      <w:ind w:left="720"/>
      <w:contextualSpacing/>
    </w:p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CallChar">
    <w:name w:val="Call Char"/>
    <w:basedOn w:val="DefaultParagraphFont"/>
    <w:link w:val="Call"/>
    <w:locked/>
    <w:rsid w:val="0019488A"/>
    <w:rPr>
      <w:rFonts w:asciiTheme="minorHAnsi" w:hAnsiTheme="minorHAnsi"/>
      <w:i/>
      <w:sz w:val="24"/>
      <w:lang w:val="en-GB" w:eastAsia="en-US"/>
    </w:rPr>
  </w:style>
  <w:style w:type="character" w:customStyle="1" w:styleId="RestitleChar">
    <w:name w:val="Res_title Char"/>
    <w:basedOn w:val="DefaultParagraphFont"/>
    <w:link w:val="Restitle"/>
    <w:rsid w:val="0019488A"/>
    <w:rPr>
      <w:rFonts w:asciiTheme="minorHAnsi" w:hAnsiTheme="minorHAnsi"/>
      <w:b/>
      <w:sz w:val="28"/>
      <w:lang w:val="en-GB" w:eastAsia="en-US"/>
    </w:rPr>
  </w:style>
  <w:style w:type="paragraph" w:styleId="Revision">
    <w:name w:val="Revision"/>
    <w:hidden/>
    <w:uiPriority w:val="99"/>
    <w:semiHidden/>
    <w:rsid w:val="00150127"/>
    <w:rPr>
      <w:rFonts w:asciiTheme="minorHAnsi" w:hAnsiTheme="minorHAnsi"/>
      <w:sz w:val="24"/>
      <w:lang w:val="en-GB" w:eastAsia="en-US"/>
    </w:rPr>
  </w:style>
  <w:style w:type="character" w:styleId="CommentReference">
    <w:name w:val="annotation reference"/>
    <w:basedOn w:val="DefaultParagraphFont"/>
    <w:semiHidden/>
    <w:unhideWhenUsed/>
    <w:rsid w:val="00150127"/>
    <w:rPr>
      <w:sz w:val="16"/>
      <w:szCs w:val="16"/>
    </w:rPr>
  </w:style>
  <w:style w:type="paragraph" w:styleId="CommentText">
    <w:name w:val="annotation text"/>
    <w:basedOn w:val="Normal"/>
    <w:link w:val="CommentTextChar"/>
    <w:semiHidden/>
    <w:unhideWhenUsed/>
    <w:rsid w:val="00150127"/>
    <w:rPr>
      <w:sz w:val="20"/>
    </w:rPr>
  </w:style>
  <w:style w:type="character" w:customStyle="1" w:styleId="CommentTextChar">
    <w:name w:val="Comment Text Char"/>
    <w:basedOn w:val="DefaultParagraphFont"/>
    <w:link w:val="CommentText"/>
    <w:semiHidden/>
    <w:rsid w:val="0015012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50127"/>
    <w:rPr>
      <w:b/>
      <w:bCs/>
    </w:rPr>
  </w:style>
  <w:style w:type="character" w:customStyle="1" w:styleId="CommentSubjectChar">
    <w:name w:val="Comment Subject Char"/>
    <w:basedOn w:val="CommentTextChar"/>
    <w:link w:val="CommentSubject"/>
    <w:semiHidden/>
    <w:rsid w:val="00150127"/>
    <w:rPr>
      <w:rFonts w:asciiTheme="minorHAnsi" w:hAnsiTheme="minorHAnsi"/>
      <w:b/>
      <w:bCs/>
      <w:lang w:val="en-GB" w:eastAsia="en-US"/>
    </w:rPr>
  </w:style>
  <w:style w:type="paragraph" w:customStyle="1" w:styleId="FirstFooter">
    <w:name w:val="FirstFooter"/>
    <w:basedOn w:val="Footer"/>
    <w:rsid w:val="00772A07"/>
    <w:pPr>
      <w:tabs>
        <w:tab w:val="clear" w:pos="5954"/>
        <w:tab w:val="clear" w:pos="9639"/>
      </w:tabs>
      <w:overflowPunct/>
      <w:autoSpaceDE/>
      <w:autoSpaceDN/>
      <w:adjustRightInd/>
      <w:spacing w:before="40"/>
      <w:textAlignment w:val="auto"/>
    </w:pPr>
    <w:rPr>
      <w:caps w:val="0"/>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D18-WTDC21-C-0035!!MSW-S</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F0C53-7019-496A-B30F-05E9175DD6B1}">
  <ds:schemaRefs>
    <ds:schemaRef ds:uri="http://schemas.microsoft.com/sharepoint/v3/contenttype/forms"/>
  </ds:schemaRefs>
</ds:datastoreItem>
</file>

<file path=customXml/itemProps2.xml><?xml version="1.0" encoding="utf-8"?>
<ds:datastoreItem xmlns:ds="http://schemas.openxmlformats.org/officeDocument/2006/customXml" ds:itemID="{FCA25ABB-D36A-4EDF-9A28-FD1276560EA3}">
  <ds:schemaRefs>
    <ds:schemaRef ds:uri="http://schemas.microsoft.com/office/2006/metadata/properties"/>
    <ds:schemaRef ds:uri="996b2e75-67fd-4955-a3b0-5ab9934cb50b"/>
    <ds:schemaRef ds:uri="http://schemas.microsoft.com/office/2006/documentManagement/types"/>
    <ds:schemaRef ds:uri="http://purl.org/dc/elements/1.1/"/>
    <ds:schemaRef ds:uri="http://www.w3.org/XML/1998/namespace"/>
    <ds:schemaRef ds:uri="32a1a8c5-2265-4ebc-b7a0-2071e2c5c9bb"/>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CF2AC2D-7B6A-4FB7-9F6E-62E23056F31A}">
  <ds:schemaRefs>
    <ds:schemaRef ds:uri="http://schemas.microsoft.com/sharepoint/events"/>
  </ds:schemaRefs>
</ds:datastoreItem>
</file>

<file path=customXml/itemProps4.xml><?xml version="1.0" encoding="utf-8"?>
<ds:datastoreItem xmlns:ds="http://schemas.openxmlformats.org/officeDocument/2006/customXml" ds:itemID="{B95C2DC7-63B9-4F8F-822E-2D1222893940}">
  <ds:schemaRefs>
    <ds:schemaRef ds:uri="http://schemas.openxmlformats.org/officeDocument/2006/bibliography"/>
  </ds:schemaRefs>
</ds:datastoreItem>
</file>

<file path=customXml/itemProps5.xml><?xml version="1.0" encoding="utf-8"?>
<ds:datastoreItem xmlns:ds="http://schemas.openxmlformats.org/officeDocument/2006/customXml" ds:itemID="{E23B5C7C-AF0B-415C-B9A2-80E93A7D7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1638</Words>
  <Characters>8884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D18-WTDC21-C-0035!!MSW-S</vt:lpstr>
    </vt:vector>
  </TitlesOfParts>
  <Manager>General Secretariat - Pool</Manager>
  <Company/>
  <LinksUpToDate>false</LinksUpToDate>
  <CharactersWithSpaces>10501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D18-WTDC21-C-0035!!MSW-S</dc:title>
  <dc:subject/>
  <dc:creator>Documents Proposals Manager (DPM)</dc:creator>
  <cp:keywords>DPM_v2022.5.12.1_prod</cp:keywords>
  <dc:description/>
  <cp:lastModifiedBy>Spanish</cp:lastModifiedBy>
  <cp:revision>8</cp:revision>
  <cp:lastPrinted>2022-05-24T10:16:00Z</cp:lastPrinted>
  <dcterms:created xsi:type="dcterms:W3CDTF">2022-05-23T13:48:00Z</dcterms:created>
  <dcterms:modified xsi:type="dcterms:W3CDTF">2022-05-24T10:58:00Z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