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102"/>
        <w:gridCol w:w="4175"/>
        <w:gridCol w:w="3362"/>
      </w:tblGrid>
      <w:tr w:rsidR="005A511B" w:rsidRPr="009448E1" w14:paraId="47AC2ADD" w14:textId="77777777" w:rsidTr="002D03AB">
        <w:trPr>
          <w:cantSplit/>
          <w:trHeight w:val="1134"/>
        </w:trPr>
        <w:tc>
          <w:tcPr>
            <w:tcW w:w="2102" w:type="dxa"/>
          </w:tcPr>
          <w:p w14:paraId="32DAD534" w14:textId="77777777" w:rsidR="005A511B" w:rsidRPr="009448E1" w:rsidRDefault="00591BD8" w:rsidP="002D03AB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val="fr-FR"/>
              </w:rPr>
            </w:pPr>
            <w:r w:rsidRPr="009448E1">
              <w:rPr>
                <w:b/>
                <w:bCs/>
                <w:sz w:val="4"/>
                <w:szCs w:val="4"/>
                <w:lang w:val="fr-FR"/>
              </w:rPr>
              <w:drawing>
                <wp:inline distT="0" distB="0" distL="0" distR="0" wp14:anchorId="086E64D4" wp14:editId="0E1EBBA3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7" w:type="dxa"/>
            <w:gridSpan w:val="2"/>
          </w:tcPr>
          <w:p w14:paraId="1031F9F8" w14:textId="77777777" w:rsidR="005A511B" w:rsidRPr="009448E1" w:rsidRDefault="005A511B" w:rsidP="002D03AB">
            <w:pPr>
              <w:tabs>
                <w:tab w:val="clear" w:pos="1134"/>
              </w:tabs>
              <w:spacing w:before="24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9448E1">
              <w:rPr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4C110C8B" wp14:editId="451B1068">
                  <wp:simplePos x="0" y="0"/>
                  <wp:positionH relativeFrom="column">
                    <wp:posOffset>3883660</wp:posOffset>
                  </wp:positionH>
                  <wp:positionV relativeFrom="paragraph">
                    <wp:posOffset>89535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48E1">
              <w:rPr>
                <w:b/>
                <w:bCs/>
                <w:sz w:val="32"/>
                <w:szCs w:val="32"/>
                <w:lang w:val="fr-FR"/>
              </w:rPr>
              <w:t>Conférence mondiale de développement</w:t>
            </w:r>
            <w:r w:rsidRPr="009448E1">
              <w:rPr>
                <w:b/>
                <w:bCs/>
                <w:sz w:val="32"/>
                <w:szCs w:val="32"/>
                <w:lang w:val="fr-FR"/>
              </w:rPr>
              <w:br/>
              <w:t>des télécommunications (CMDT</w:t>
            </w:r>
            <w:r w:rsidR="00591BD8" w:rsidRPr="009448E1">
              <w:rPr>
                <w:b/>
                <w:bCs/>
                <w:sz w:val="32"/>
                <w:szCs w:val="32"/>
                <w:lang w:val="fr-FR"/>
              </w:rPr>
              <w:t>-2</w:t>
            </w:r>
            <w:r w:rsidR="00872758" w:rsidRPr="009448E1">
              <w:rPr>
                <w:b/>
                <w:bCs/>
                <w:sz w:val="32"/>
                <w:szCs w:val="32"/>
                <w:lang w:val="fr-FR"/>
              </w:rPr>
              <w:t>2</w:t>
            </w:r>
            <w:r w:rsidRPr="009448E1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684F5CE8" w14:textId="77777777" w:rsidR="005A511B" w:rsidRPr="009448E1" w:rsidRDefault="00591BD8" w:rsidP="002D03AB">
            <w:pPr>
              <w:tabs>
                <w:tab w:val="clear" w:pos="1134"/>
              </w:tabs>
              <w:spacing w:after="48"/>
              <w:ind w:left="34"/>
              <w:rPr>
                <w:rFonts w:cstheme="minorHAnsi"/>
                <w:lang w:val="fr-FR"/>
              </w:rPr>
            </w:pPr>
            <w:r w:rsidRPr="009448E1">
              <w:rPr>
                <w:b/>
                <w:bCs/>
                <w:sz w:val="26"/>
                <w:szCs w:val="26"/>
                <w:lang w:val="fr-FR"/>
              </w:rPr>
              <w:t>Kigali, Rwanda, 6-16 juin 2022</w:t>
            </w:r>
            <w:bookmarkStart w:id="0" w:name="ditulogo"/>
            <w:bookmarkEnd w:id="0"/>
          </w:p>
        </w:tc>
      </w:tr>
      <w:tr w:rsidR="00D83BF5" w:rsidRPr="009448E1" w14:paraId="11438ED1" w14:textId="77777777" w:rsidTr="002D03AB">
        <w:trPr>
          <w:cantSplit/>
        </w:trPr>
        <w:tc>
          <w:tcPr>
            <w:tcW w:w="6277" w:type="dxa"/>
            <w:gridSpan w:val="2"/>
            <w:tcBorders>
              <w:top w:val="single" w:sz="12" w:space="0" w:color="auto"/>
            </w:tcBorders>
          </w:tcPr>
          <w:p w14:paraId="32F5406B" w14:textId="77777777" w:rsidR="00D83BF5" w:rsidRPr="009448E1" w:rsidRDefault="00D83BF5" w:rsidP="002D03AB">
            <w:pPr>
              <w:spacing w:before="0" w:after="48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362" w:type="dxa"/>
            <w:tcBorders>
              <w:top w:val="single" w:sz="12" w:space="0" w:color="auto"/>
            </w:tcBorders>
          </w:tcPr>
          <w:p w14:paraId="05B52470" w14:textId="77777777" w:rsidR="00D83BF5" w:rsidRPr="009448E1" w:rsidRDefault="00D83BF5" w:rsidP="002D03AB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9448E1" w14:paraId="046038C6" w14:textId="77777777" w:rsidTr="002D03AB">
        <w:trPr>
          <w:cantSplit/>
          <w:trHeight w:val="23"/>
        </w:trPr>
        <w:tc>
          <w:tcPr>
            <w:tcW w:w="6277" w:type="dxa"/>
            <w:gridSpan w:val="2"/>
            <w:shd w:val="clear" w:color="auto" w:fill="auto"/>
          </w:tcPr>
          <w:p w14:paraId="67CAAF41" w14:textId="77777777" w:rsidR="00D83BF5" w:rsidRPr="009448E1" w:rsidRDefault="00EF1503" w:rsidP="002D03AB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448E1">
              <w:rPr>
                <w:lang w:val="fr-FR"/>
              </w:rPr>
              <w:t>SÉANCE PLÉNIÈRE</w:t>
            </w:r>
          </w:p>
        </w:tc>
        <w:tc>
          <w:tcPr>
            <w:tcW w:w="3362" w:type="dxa"/>
          </w:tcPr>
          <w:p w14:paraId="65B24DD1" w14:textId="11A1DDF5" w:rsidR="00D83BF5" w:rsidRPr="009448E1" w:rsidRDefault="00EF1503" w:rsidP="002D03AB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r w:rsidRPr="009448E1">
              <w:rPr>
                <w:b/>
                <w:bCs/>
                <w:szCs w:val="24"/>
                <w:lang w:val="fr-FR"/>
              </w:rPr>
              <w:t>Addendum 2 au</w:t>
            </w:r>
            <w:r w:rsidRPr="009448E1">
              <w:rPr>
                <w:b/>
                <w:bCs/>
                <w:szCs w:val="24"/>
                <w:lang w:val="fr-FR"/>
              </w:rPr>
              <w:br/>
              <w:t>Document 24</w:t>
            </w:r>
            <w:r w:rsidR="00907654" w:rsidRPr="009448E1">
              <w:rPr>
                <w:b/>
                <w:bCs/>
                <w:szCs w:val="24"/>
                <w:lang w:val="fr-FR"/>
              </w:rPr>
              <w:t>-F</w:t>
            </w:r>
          </w:p>
        </w:tc>
      </w:tr>
      <w:tr w:rsidR="00D83BF5" w:rsidRPr="009448E1" w14:paraId="76EAB990" w14:textId="77777777" w:rsidTr="002D03AB">
        <w:trPr>
          <w:cantSplit/>
          <w:trHeight w:val="23"/>
        </w:trPr>
        <w:tc>
          <w:tcPr>
            <w:tcW w:w="6277" w:type="dxa"/>
            <w:gridSpan w:val="2"/>
            <w:shd w:val="clear" w:color="auto" w:fill="auto"/>
          </w:tcPr>
          <w:p w14:paraId="7A6EC257" w14:textId="77777777" w:rsidR="00D83BF5" w:rsidRPr="009448E1" w:rsidRDefault="00D83BF5" w:rsidP="002D03A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362" w:type="dxa"/>
          </w:tcPr>
          <w:p w14:paraId="06228F93" w14:textId="77777777" w:rsidR="00D83BF5" w:rsidRPr="009448E1" w:rsidRDefault="00EF1503" w:rsidP="002D03AB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9448E1">
              <w:rPr>
                <w:b/>
                <w:bCs/>
                <w:szCs w:val="24"/>
                <w:lang w:val="fr-FR"/>
              </w:rPr>
              <w:t>2 mai 2022</w:t>
            </w:r>
          </w:p>
        </w:tc>
      </w:tr>
      <w:tr w:rsidR="00D83BF5" w:rsidRPr="009448E1" w14:paraId="5F94085E" w14:textId="77777777" w:rsidTr="002D03AB">
        <w:trPr>
          <w:cantSplit/>
          <w:trHeight w:val="23"/>
        </w:trPr>
        <w:tc>
          <w:tcPr>
            <w:tcW w:w="6277" w:type="dxa"/>
            <w:gridSpan w:val="2"/>
            <w:shd w:val="clear" w:color="auto" w:fill="auto"/>
          </w:tcPr>
          <w:p w14:paraId="25DDCE3D" w14:textId="77777777" w:rsidR="00D83BF5" w:rsidRPr="009448E1" w:rsidRDefault="00D83BF5" w:rsidP="002D03AB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362" w:type="dxa"/>
          </w:tcPr>
          <w:p w14:paraId="493DB6A1" w14:textId="77777777" w:rsidR="00D83BF5" w:rsidRPr="009448E1" w:rsidRDefault="00EF1503" w:rsidP="002D03A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9448E1">
              <w:rPr>
                <w:b/>
                <w:bCs/>
                <w:szCs w:val="24"/>
                <w:lang w:val="fr-FR"/>
              </w:rPr>
              <w:t>Original: anglais</w:t>
            </w:r>
          </w:p>
        </w:tc>
      </w:tr>
      <w:tr w:rsidR="00D83BF5" w:rsidRPr="009448E1" w14:paraId="4127901E" w14:textId="77777777" w:rsidTr="005A511B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D11DBBC" w14:textId="5CC8BDB4" w:rsidR="00D83BF5" w:rsidRPr="009448E1" w:rsidRDefault="00953F91" w:rsidP="002D03AB">
            <w:pPr>
              <w:pStyle w:val="Source"/>
              <w:spacing w:before="240" w:after="240"/>
              <w:rPr>
                <w:lang w:val="fr-FR"/>
              </w:rPr>
            </w:pPr>
            <w:r w:rsidRPr="009448E1">
              <w:rPr>
                <w:lang w:val="fr-FR"/>
              </w:rPr>
              <w:t>É</w:t>
            </w:r>
            <w:r w:rsidR="00EF1503" w:rsidRPr="009448E1">
              <w:rPr>
                <w:lang w:val="fr-FR"/>
              </w:rPr>
              <w:t>tats Membres de la Conférence européenne des administrations des postes</w:t>
            </w:r>
            <w:r w:rsidRPr="009448E1">
              <w:rPr>
                <w:lang w:val="fr-FR"/>
              </w:rPr>
              <w:br/>
            </w:r>
            <w:r w:rsidR="00EF1503" w:rsidRPr="009448E1">
              <w:rPr>
                <w:lang w:val="fr-FR"/>
              </w:rPr>
              <w:t>et télécommunications</w:t>
            </w:r>
          </w:p>
        </w:tc>
      </w:tr>
      <w:tr w:rsidR="00D83BF5" w:rsidRPr="009448E1" w14:paraId="4EB2C5AE" w14:textId="77777777" w:rsidTr="005A511B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5D09A0E" w14:textId="7373D58D" w:rsidR="00D83BF5" w:rsidRPr="009448E1" w:rsidRDefault="004F23CA" w:rsidP="002D03AB">
            <w:pPr>
              <w:pStyle w:val="Title1"/>
              <w:spacing w:before="120" w:after="120"/>
              <w:rPr>
                <w:lang w:val="fr-FR"/>
              </w:rPr>
            </w:pPr>
            <w:r w:rsidRPr="009448E1">
              <w:rPr>
                <w:lang w:val="fr-FR"/>
              </w:rPr>
              <w:t xml:space="preserve">PROPOSITION DE SUPPRESSION DE LA RÉSOLUTION 61 DE LA CMDT intitulée </w:t>
            </w:r>
            <w:r w:rsidR="002D03AB" w:rsidRPr="009448E1">
              <w:rPr>
                <w:lang w:val="fr-FR"/>
              </w:rPr>
              <w:t>"</w:t>
            </w:r>
            <w:r w:rsidRPr="009448E1">
              <w:rPr>
                <w:color w:val="000000"/>
                <w:lang w:val="fr-FR"/>
              </w:rPr>
              <w:t>Nomination et durée maximale du mandat des présidents et vice</w:t>
            </w:r>
            <w:r w:rsidR="002D03AB" w:rsidRPr="009448E1">
              <w:rPr>
                <w:color w:val="000000"/>
                <w:lang w:val="fr-FR"/>
              </w:rPr>
              <w:noBreakHyphen/>
            </w:r>
            <w:r w:rsidRPr="009448E1">
              <w:rPr>
                <w:color w:val="000000"/>
                <w:lang w:val="fr-FR"/>
              </w:rPr>
              <w:t>présidents des commissions d'études du Secteur du développement des télécommunications de l'UIT</w:t>
            </w:r>
            <w:r w:rsidR="002D03AB" w:rsidRPr="009448E1">
              <w:rPr>
                <w:color w:val="000000"/>
                <w:lang w:val="fr-FR"/>
              </w:rPr>
              <w:t xml:space="preserve"> </w:t>
            </w:r>
            <w:r w:rsidRPr="009448E1">
              <w:rPr>
                <w:color w:val="000000"/>
                <w:lang w:val="fr-FR"/>
              </w:rPr>
              <w:t>et</w:t>
            </w:r>
            <w:r w:rsidR="002D03AB" w:rsidRPr="009448E1">
              <w:rPr>
                <w:color w:val="000000"/>
                <w:lang w:val="fr-FR"/>
              </w:rPr>
              <w:br/>
            </w:r>
            <w:r w:rsidRPr="009448E1">
              <w:rPr>
                <w:color w:val="000000"/>
                <w:lang w:val="fr-FR"/>
              </w:rPr>
              <w:t>du Groupe consultatif pour le</w:t>
            </w:r>
            <w:r w:rsidR="002D03AB" w:rsidRPr="009448E1">
              <w:rPr>
                <w:color w:val="000000"/>
                <w:lang w:val="fr-FR"/>
              </w:rPr>
              <w:t xml:space="preserve"> </w:t>
            </w:r>
            <w:r w:rsidRPr="009448E1">
              <w:rPr>
                <w:color w:val="000000"/>
                <w:lang w:val="fr-FR"/>
              </w:rPr>
              <w:t>développement</w:t>
            </w:r>
            <w:r w:rsidR="002D03AB" w:rsidRPr="009448E1">
              <w:rPr>
                <w:color w:val="000000"/>
                <w:lang w:val="fr-FR"/>
              </w:rPr>
              <w:br/>
            </w:r>
            <w:r w:rsidRPr="009448E1">
              <w:rPr>
                <w:color w:val="000000"/>
                <w:lang w:val="fr-FR"/>
              </w:rPr>
              <w:t>des télécommunications</w:t>
            </w:r>
            <w:r w:rsidR="002D03AB" w:rsidRPr="009448E1">
              <w:rPr>
                <w:color w:val="000000"/>
                <w:lang w:val="fr-FR"/>
              </w:rPr>
              <w:t>"</w:t>
            </w:r>
          </w:p>
        </w:tc>
      </w:tr>
      <w:tr w:rsidR="00D83BF5" w:rsidRPr="009448E1" w14:paraId="006DC78E" w14:textId="77777777" w:rsidTr="005A511B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B567FB3" w14:textId="77777777" w:rsidR="00D83BF5" w:rsidRPr="009448E1" w:rsidRDefault="00D83BF5" w:rsidP="002D03AB">
            <w:pPr>
              <w:pStyle w:val="Title2"/>
              <w:spacing w:before="240"/>
              <w:rPr>
                <w:lang w:val="fr-FR"/>
              </w:rPr>
            </w:pPr>
          </w:p>
        </w:tc>
      </w:tr>
      <w:bookmarkEnd w:id="6"/>
      <w:bookmarkEnd w:id="7"/>
      <w:tr w:rsidR="00885AD8" w:rsidRPr="009448E1" w14:paraId="124F16A7" w14:textId="77777777" w:rsidTr="002D03A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FFEE" w14:textId="77777777" w:rsidR="00885AD8" w:rsidRPr="009448E1" w:rsidRDefault="003F0B61" w:rsidP="002D03AB">
            <w:pPr>
              <w:rPr>
                <w:lang w:val="fr-FR"/>
              </w:rPr>
            </w:pPr>
            <w:r w:rsidRPr="009448E1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Domaine prioritaire:</w:t>
            </w:r>
          </w:p>
          <w:p w14:paraId="05592F2C" w14:textId="1107F359" w:rsidR="00885AD8" w:rsidRPr="009448E1" w:rsidRDefault="00953F91" w:rsidP="002D03AB">
            <w:pPr>
              <w:rPr>
                <w:szCs w:val="24"/>
                <w:lang w:val="fr-FR"/>
              </w:rPr>
            </w:pPr>
            <w:r w:rsidRPr="009448E1">
              <w:rPr>
                <w:szCs w:val="24"/>
                <w:lang w:val="fr-FR"/>
              </w:rPr>
              <w:t>–</w:t>
            </w:r>
            <w:r w:rsidRPr="009448E1">
              <w:rPr>
                <w:szCs w:val="24"/>
                <w:lang w:val="fr-FR"/>
              </w:rPr>
              <w:tab/>
              <w:t>Résolutions et Recommandations</w:t>
            </w:r>
          </w:p>
          <w:p w14:paraId="49735911" w14:textId="77777777" w:rsidR="00885AD8" w:rsidRPr="009448E1" w:rsidRDefault="003F0B61" w:rsidP="002D03AB">
            <w:pPr>
              <w:rPr>
                <w:lang w:val="fr-FR"/>
              </w:rPr>
            </w:pPr>
            <w:r w:rsidRPr="009448E1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Résumé:</w:t>
            </w:r>
          </w:p>
          <w:p w14:paraId="692CAFD9" w14:textId="26DF432B" w:rsidR="00885AD8" w:rsidRPr="009448E1" w:rsidRDefault="00953F91" w:rsidP="002D03AB">
            <w:pPr>
              <w:rPr>
                <w:szCs w:val="24"/>
                <w:lang w:val="fr-FR"/>
              </w:rPr>
            </w:pPr>
            <w:r w:rsidRPr="009448E1">
              <w:rPr>
                <w:szCs w:val="24"/>
                <w:lang w:val="fr-FR"/>
              </w:rPr>
              <w:t>La Résolution 208 (Dubaï, 2018) de la Conférence de plénipotentiaires porte sur</w:t>
            </w:r>
            <w:r w:rsidR="00295075" w:rsidRPr="009448E1">
              <w:rPr>
                <w:szCs w:val="24"/>
                <w:lang w:val="fr-FR"/>
              </w:rPr>
              <w:t xml:space="preserve"> </w:t>
            </w:r>
            <w:r w:rsidR="00C51C3A" w:rsidRPr="009448E1">
              <w:rPr>
                <w:szCs w:val="24"/>
                <w:lang w:val="fr-FR"/>
              </w:rPr>
              <w:t>la procédure de</w:t>
            </w:r>
            <w:r w:rsidR="002D03AB" w:rsidRPr="009448E1">
              <w:rPr>
                <w:szCs w:val="24"/>
                <w:lang w:val="fr-FR"/>
              </w:rPr>
              <w:t xml:space="preserve"> </w:t>
            </w:r>
            <w:r w:rsidRPr="009448E1">
              <w:rPr>
                <w:szCs w:val="24"/>
                <w:lang w:val="fr-FR"/>
              </w:rPr>
              <w:t>nomination</w:t>
            </w:r>
            <w:r w:rsidR="00C51C3A" w:rsidRPr="009448E1">
              <w:rPr>
                <w:szCs w:val="24"/>
                <w:lang w:val="fr-FR"/>
              </w:rPr>
              <w:t xml:space="preserve"> de candidats</w:t>
            </w:r>
            <w:r w:rsidR="002D03AB" w:rsidRPr="009448E1">
              <w:rPr>
                <w:szCs w:val="24"/>
                <w:lang w:val="fr-FR"/>
              </w:rPr>
              <w:t xml:space="preserve"> </w:t>
            </w:r>
            <w:r w:rsidRPr="009448E1">
              <w:rPr>
                <w:szCs w:val="24"/>
                <w:lang w:val="fr-FR"/>
              </w:rPr>
              <w:t>aux fonctions de direction au sein des trois Secteurs. Le dispositif de la Résolution 208 englobe le contenu de la Résolution 61 (Rév.</w:t>
            </w:r>
            <w:r w:rsidR="002D03AB" w:rsidRPr="009448E1">
              <w:rPr>
                <w:szCs w:val="24"/>
                <w:lang w:val="fr-FR"/>
              </w:rPr>
              <w:t xml:space="preserve"> </w:t>
            </w:r>
            <w:r w:rsidR="009448E1" w:rsidRPr="009448E1">
              <w:rPr>
                <w:szCs w:val="24"/>
                <w:lang w:val="fr-FR"/>
              </w:rPr>
              <w:t>Dubaï</w:t>
            </w:r>
            <w:r w:rsidRPr="009448E1">
              <w:rPr>
                <w:szCs w:val="24"/>
                <w:lang w:val="fr-FR"/>
              </w:rPr>
              <w:t>, 201</w:t>
            </w:r>
            <w:r w:rsidR="009448E1" w:rsidRPr="009448E1">
              <w:rPr>
                <w:szCs w:val="24"/>
                <w:lang w:val="fr-FR"/>
              </w:rPr>
              <w:t>4</w:t>
            </w:r>
            <w:r w:rsidRPr="009448E1">
              <w:rPr>
                <w:szCs w:val="24"/>
                <w:lang w:val="fr-FR"/>
              </w:rPr>
              <w:t>) de l</w:t>
            </w:r>
            <w:r w:rsidR="009448E1" w:rsidRPr="009448E1">
              <w:rPr>
                <w:szCs w:val="24"/>
                <w:lang w:val="fr-FR"/>
              </w:rPr>
              <w:t>a CMDT</w:t>
            </w:r>
            <w:r w:rsidRPr="009448E1">
              <w:rPr>
                <w:szCs w:val="24"/>
                <w:lang w:val="fr-FR"/>
              </w:rPr>
              <w:t xml:space="preserve">. Étant donné que la Résolution 61 </w:t>
            </w:r>
            <w:r w:rsidR="00295075" w:rsidRPr="009448E1">
              <w:rPr>
                <w:szCs w:val="24"/>
                <w:lang w:val="fr-FR"/>
              </w:rPr>
              <w:t xml:space="preserve">de la CMDT </w:t>
            </w:r>
            <w:r w:rsidRPr="009448E1">
              <w:rPr>
                <w:szCs w:val="24"/>
                <w:lang w:val="fr-FR"/>
              </w:rPr>
              <w:t xml:space="preserve">constitue un sous-ensemble de la Résolution 208 </w:t>
            </w:r>
            <w:r w:rsidR="00C51C3A" w:rsidRPr="009448E1">
              <w:rPr>
                <w:szCs w:val="24"/>
                <w:lang w:val="fr-FR"/>
              </w:rPr>
              <w:t xml:space="preserve">de la PP </w:t>
            </w:r>
            <w:r w:rsidRPr="009448E1">
              <w:rPr>
                <w:szCs w:val="24"/>
                <w:lang w:val="fr-FR"/>
              </w:rPr>
              <w:t xml:space="preserve">et que la Conférence de plénipotentiaires </w:t>
            </w:r>
            <w:r w:rsidR="00C51C3A" w:rsidRPr="009448E1">
              <w:rPr>
                <w:szCs w:val="24"/>
                <w:lang w:val="fr-FR"/>
              </w:rPr>
              <w:t xml:space="preserve">de 2018 </w:t>
            </w:r>
            <w:r w:rsidRPr="009448E1">
              <w:rPr>
                <w:szCs w:val="24"/>
                <w:lang w:val="fr-FR"/>
              </w:rPr>
              <w:t xml:space="preserve">a reconnu la nécessité de rationaliser les Résolutions, il est proposé de supprimer la Résolution 61. </w:t>
            </w:r>
            <w:r w:rsidR="00C51C3A" w:rsidRPr="009448E1">
              <w:rPr>
                <w:szCs w:val="24"/>
                <w:lang w:val="fr-FR"/>
              </w:rPr>
              <w:t>Il conviendrait de remplacer la référence à la Résolution 61 de la CMDT, dans la Résolution 1 de la CMDT,</w:t>
            </w:r>
            <w:r w:rsidR="002D03AB" w:rsidRPr="009448E1">
              <w:rPr>
                <w:szCs w:val="24"/>
                <w:lang w:val="fr-FR"/>
              </w:rPr>
              <w:t xml:space="preserve"> </w:t>
            </w:r>
            <w:r w:rsidR="00C51C3A" w:rsidRPr="009448E1">
              <w:rPr>
                <w:szCs w:val="24"/>
                <w:lang w:val="fr-FR"/>
              </w:rPr>
              <w:t>par une référence à la Résolution 208 de la Conférence de plénipotentiaires.</w:t>
            </w:r>
          </w:p>
          <w:p w14:paraId="72630D64" w14:textId="77777777" w:rsidR="00885AD8" w:rsidRPr="009448E1" w:rsidRDefault="003F0B61" w:rsidP="002D03AB">
            <w:pPr>
              <w:rPr>
                <w:lang w:val="fr-FR"/>
              </w:rPr>
            </w:pPr>
            <w:r w:rsidRPr="009448E1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Résultats attendus:</w:t>
            </w:r>
          </w:p>
          <w:p w14:paraId="5D05B54E" w14:textId="55507B6C" w:rsidR="00885AD8" w:rsidRPr="009448E1" w:rsidRDefault="00953F91" w:rsidP="002D03AB">
            <w:pPr>
              <w:rPr>
                <w:szCs w:val="24"/>
                <w:lang w:val="fr-FR"/>
              </w:rPr>
            </w:pPr>
            <w:r w:rsidRPr="009448E1">
              <w:rPr>
                <w:szCs w:val="24"/>
                <w:lang w:val="fr-FR"/>
              </w:rPr>
              <w:t xml:space="preserve">La CMDT est invitée à examiner et à approuver </w:t>
            </w:r>
            <w:r w:rsidR="00295075" w:rsidRPr="009448E1">
              <w:rPr>
                <w:szCs w:val="24"/>
                <w:lang w:val="fr-FR"/>
              </w:rPr>
              <w:t>la proposition figurant dans le</w:t>
            </w:r>
            <w:r w:rsidRPr="009448E1">
              <w:rPr>
                <w:szCs w:val="24"/>
                <w:lang w:val="fr-FR"/>
              </w:rPr>
              <w:t xml:space="preserve"> présent document.</w:t>
            </w:r>
          </w:p>
          <w:p w14:paraId="3F095477" w14:textId="77777777" w:rsidR="00885AD8" w:rsidRPr="009448E1" w:rsidRDefault="003F0B61" w:rsidP="002D03AB">
            <w:pPr>
              <w:rPr>
                <w:lang w:val="fr-FR"/>
              </w:rPr>
            </w:pPr>
            <w:r w:rsidRPr="009448E1">
              <w:rPr>
                <w:rFonts w:ascii="Calibri" w:eastAsia="SimSun" w:hAnsi="Calibri" w:cs="Traditional Arabic"/>
                <w:b/>
                <w:bCs/>
                <w:szCs w:val="24"/>
                <w:lang w:val="fr-FR"/>
              </w:rPr>
              <w:t>Références:</w:t>
            </w:r>
          </w:p>
          <w:p w14:paraId="63FA3EFB" w14:textId="77777777" w:rsidR="00885AD8" w:rsidRPr="009448E1" w:rsidRDefault="00885AD8" w:rsidP="002D03AB">
            <w:pPr>
              <w:rPr>
                <w:szCs w:val="24"/>
                <w:lang w:val="fr-FR"/>
              </w:rPr>
            </w:pPr>
          </w:p>
        </w:tc>
      </w:tr>
    </w:tbl>
    <w:p w14:paraId="234A0224" w14:textId="77777777" w:rsidR="00A327AF" w:rsidRPr="009448E1" w:rsidRDefault="00A327AF" w:rsidP="002D03A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FR"/>
        </w:rPr>
      </w:pPr>
      <w:r w:rsidRPr="009448E1">
        <w:rPr>
          <w:szCs w:val="24"/>
          <w:lang w:val="fr-FR"/>
        </w:rPr>
        <w:br w:type="page"/>
      </w:r>
    </w:p>
    <w:p w14:paraId="79446773" w14:textId="77777777" w:rsidR="00885AD8" w:rsidRPr="009448E1" w:rsidRDefault="003F0B61" w:rsidP="002D03AB">
      <w:pPr>
        <w:pStyle w:val="Proposal"/>
        <w:rPr>
          <w:lang w:val="fr-FR"/>
        </w:rPr>
      </w:pPr>
      <w:r w:rsidRPr="009448E1">
        <w:rPr>
          <w:b/>
          <w:lang w:val="fr-FR"/>
        </w:rPr>
        <w:lastRenderedPageBreak/>
        <w:t>SUP</w:t>
      </w:r>
      <w:r w:rsidRPr="009448E1">
        <w:rPr>
          <w:lang w:val="fr-FR"/>
        </w:rPr>
        <w:tab/>
        <w:t>ECP/24A2/1</w:t>
      </w:r>
    </w:p>
    <w:p w14:paraId="5041A2DC" w14:textId="19B10F2F" w:rsidR="00514C03" w:rsidRPr="009448E1" w:rsidRDefault="003F0B61" w:rsidP="002D03AB">
      <w:pPr>
        <w:pStyle w:val="ResNo"/>
        <w:rPr>
          <w:rFonts w:cstheme="minorHAnsi"/>
          <w:bCs/>
          <w:lang w:val="fr-FR"/>
        </w:rPr>
      </w:pPr>
      <w:bookmarkStart w:id="8" w:name="_Toc394060858"/>
      <w:bookmarkStart w:id="9" w:name="_Toc401906799"/>
      <w:bookmarkStart w:id="10" w:name="_Toc506198304"/>
      <w:r w:rsidRPr="009448E1">
        <w:rPr>
          <w:rFonts w:cstheme="minorHAnsi"/>
          <w:caps w:val="0"/>
          <w:lang w:val="fr-FR"/>
        </w:rPr>
        <w:t xml:space="preserve">RÉSOLUTION </w:t>
      </w:r>
      <w:r w:rsidRPr="009448E1">
        <w:rPr>
          <w:lang w:val="fr-FR"/>
        </w:rPr>
        <w:t>61</w:t>
      </w:r>
      <w:r w:rsidRPr="009448E1">
        <w:rPr>
          <w:rFonts w:cstheme="minorHAnsi"/>
          <w:lang w:val="fr-FR"/>
        </w:rPr>
        <w:t xml:space="preserve"> (R</w:t>
      </w:r>
      <w:r w:rsidRPr="009448E1">
        <w:rPr>
          <w:rFonts w:cstheme="minorHAnsi"/>
          <w:caps w:val="0"/>
          <w:lang w:val="fr-FR"/>
        </w:rPr>
        <w:t>év.</w:t>
      </w:r>
      <w:r w:rsidR="00953F91" w:rsidRPr="009448E1">
        <w:rPr>
          <w:rFonts w:cstheme="minorHAnsi"/>
          <w:caps w:val="0"/>
          <w:lang w:val="fr-FR"/>
        </w:rPr>
        <w:t xml:space="preserve"> </w:t>
      </w:r>
      <w:r w:rsidRPr="009448E1">
        <w:rPr>
          <w:rFonts w:cstheme="minorHAnsi"/>
          <w:caps w:val="0"/>
          <w:lang w:val="fr-FR"/>
        </w:rPr>
        <w:t xml:space="preserve">Dubaï, </w:t>
      </w:r>
      <w:r w:rsidRPr="009448E1">
        <w:rPr>
          <w:rFonts w:cstheme="minorHAnsi"/>
          <w:lang w:val="fr-FR"/>
        </w:rPr>
        <w:t>2014)</w:t>
      </w:r>
      <w:bookmarkEnd w:id="8"/>
      <w:bookmarkEnd w:id="9"/>
      <w:bookmarkEnd w:id="10"/>
    </w:p>
    <w:p w14:paraId="0111A3F9" w14:textId="23408953" w:rsidR="00514C03" w:rsidRPr="009448E1" w:rsidRDefault="003F0B61" w:rsidP="002D03AB">
      <w:pPr>
        <w:pStyle w:val="Restitle"/>
        <w:rPr>
          <w:rFonts w:cstheme="minorHAnsi"/>
          <w:lang w:val="fr-FR"/>
        </w:rPr>
      </w:pPr>
      <w:bookmarkStart w:id="11" w:name="_Toc266951934"/>
      <w:bookmarkStart w:id="12" w:name="_Toc401906800"/>
      <w:bookmarkStart w:id="13" w:name="_Toc506198305"/>
      <w:r w:rsidRPr="009448E1">
        <w:rPr>
          <w:rFonts w:cstheme="minorHAnsi"/>
          <w:lang w:val="fr-FR"/>
        </w:rPr>
        <w:t>Nomination et durée maximale du mandat des présidents et vice-présidents des commissions d'études du Secteur du développement des télécommunications</w:t>
      </w:r>
      <w:r w:rsidRPr="009448E1">
        <w:rPr>
          <w:rFonts w:cstheme="minorHAnsi"/>
          <w:lang w:val="fr-FR"/>
        </w:rPr>
        <w:br/>
        <w:t>de l'UIT et du Groupe consultatif pour le développement</w:t>
      </w:r>
      <w:r w:rsidRPr="009448E1">
        <w:rPr>
          <w:rFonts w:cstheme="minorHAnsi"/>
          <w:lang w:val="fr-FR"/>
        </w:rPr>
        <w:br/>
        <w:t>des télécommunications</w:t>
      </w:r>
      <w:bookmarkEnd w:id="11"/>
      <w:bookmarkEnd w:id="12"/>
      <w:bookmarkEnd w:id="13"/>
    </w:p>
    <w:p w14:paraId="1CCC36F7" w14:textId="77777777" w:rsidR="00514C03" w:rsidRPr="009448E1" w:rsidRDefault="003F0B61" w:rsidP="002D03AB">
      <w:pPr>
        <w:pStyle w:val="Normalaftertitle"/>
        <w:rPr>
          <w:rFonts w:cstheme="minorHAnsi"/>
          <w:lang w:val="fr-FR"/>
        </w:rPr>
      </w:pPr>
      <w:r w:rsidRPr="009448E1">
        <w:rPr>
          <w:rFonts w:cstheme="minorHAnsi"/>
          <w:lang w:val="fr-FR"/>
        </w:rPr>
        <w:t>La Conférence mondiale de développement des télécommunications (Dubaï, 2014),</w:t>
      </w:r>
    </w:p>
    <w:p w14:paraId="704076FB" w14:textId="77777777" w:rsidR="00953F91" w:rsidRPr="009448E1" w:rsidRDefault="00953F91" w:rsidP="002D03AB">
      <w:pPr>
        <w:pStyle w:val="Reasons"/>
        <w:rPr>
          <w:lang w:val="fr-FR"/>
        </w:rPr>
      </w:pPr>
    </w:p>
    <w:p w14:paraId="74216A39" w14:textId="77777777" w:rsidR="00953F91" w:rsidRPr="009448E1" w:rsidRDefault="00953F91" w:rsidP="002D03AB">
      <w:pPr>
        <w:jc w:val="center"/>
        <w:rPr>
          <w:lang w:val="fr-FR"/>
        </w:rPr>
      </w:pPr>
      <w:r w:rsidRPr="009448E1">
        <w:rPr>
          <w:lang w:val="fr-FR"/>
        </w:rPr>
        <w:t>______________</w:t>
      </w:r>
    </w:p>
    <w:sectPr w:rsidR="00953F91" w:rsidRPr="009448E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B728" w14:textId="77777777" w:rsidR="00044CD3" w:rsidRDefault="00044CD3">
      <w:r>
        <w:separator/>
      </w:r>
    </w:p>
  </w:endnote>
  <w:endnote w:type="continuationSeparator" w:id="0">
    <w:p w14:paraId="6C1549E0" w14:textId="77777777" w:rsidR="00044CD3" w:rsidRDefault="0004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80D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E59403" w14:textId="42AE5FC1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9448E1">
      <w:rPr>
        <w:noProof/>
        <w:lang w:val="es-ES_tradnl"/>
      </w:rPr>
      <w:t>P:\FRA\ITU-D\CONF-D\WTDC21\000\024ADD02F.docx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48E1">
      <w:rPr>
        <w:noProof/>
      </w:rPr>
      <w:t>12.05.22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48E1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8AD5" w14:textId="24FAE690" w:rsidR="003F0B61" w:rsidRDefault="00295075" w:rsidP="003F0B61">
    <w:pPr>
      <w:pStyle w:val="Footer"/>
    </w:pPr>
    <w:fldSimple w:instr=" FILENAME \p  \* MERGEFORMAT ">
      <w:r w:rsidR="009448E1">
        <w:t>P:\FRA\ITU-D\CONF-D\WTDC21\000\024ADD02F.docx</w:t>
      </w:r>
    </w:fldSimple>
    <w:r w:rsidR="003F0B61">
      <w:t xml:space="preserve"> (505094)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53F91" w:rsidRPr="005C0BE7" w14:paraId="18F228E4" w14:textId="77777777" w:rsidTr="00953F9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0E76628" w14:textId="77777777" w:rsidR="00953F91" w:rsidRPr="004D495C" w:rsidRDefault="00953F91" w:rsidP="002D03A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46B5BE" w14:textId="77777777" w:rsidR="00953F91" w:rsidRPr="004D495C" w:rsidRDefault="00953F91" w:rsidP="002D03A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8A6967E" w14:textId="554C9539" w:rsidR="00953F91" w:rsidRPr="00295075" w:rsidRDefault="00953F91" w:rsidP="002D03AB">
          <w:pPr>
            <w:pStyle w:val="FirstFooter"/>
            <w:rPr>
              <w:sz w:val="18"/>
              <w:szCs w:val="18"/>
              <w:highlight w:val="yellow"/>
              <w:lang w:val="fr-CH"/>
            </w:rPr>
          </w:pPr>
          <w:r w:rsidRPr="00295075">
            <w:rPr>
              <w:rFonts w:cstheme="minorHAnsi"/>
              <w:sz w:val="18"/>
              <w:szCs w:val="18"/>
              <w:lang w:val="fr-CH"/>
            </w:rPr>
            <w:t xml:space="preserve">M. Oscar Avellaneda, </w:t>
          </w:r>
          <w:r w:rsidR="00295075" w:rsidRPr="00295075">
            <w:rPr>
              <w:color w:val="000000"/>
              <w:lang w:val="fr-CH"/>
            </w:rPr>
            <w:t>Département de l'innovation, des sciences et du développement économique du Canada</w:t>
          </w:r>
          <w:r w:rsidR="00295075">
            <w:rPr>
              <w:color w:val="000000"/>
              <w:lang w:val="fr-CH"/>
            </w:rPr>
            <w:t xml:space="preserve">, </w:t>
          </w:r>
          <w:r w:rsidRPr="00295075">
            <w:rPr>
              <w:rFonts w:cstheme="minorHAnsi"/>
              <w:sz w:val="18"/>
              <w:szCs w:val="18"/>
              <w:lang w:val="fr-CH"/>
            </w:rPr>
            <w:t>Canada</w:t>
          </w:r>
        </w:p>
      </w:tc>
      <w:bookmarkStart w:id="17" w:name="OrgName"/>
      <w:bookmarkEnd w:id="17"/>
    </w:tr>
    <w:tr w:rsidR="00953F91" w:rsidRPr="004D495C" w14:paraId="27CD4ABD" w14:textId="77777777" w:rsidTr="00953F91">
      <w:tc>
        <w:tcPr>
          <w:tcW w:w="1526" w:type="dxa"/>
          <w:shd w:val="clear" w:color="auto" w:fill="auto"/>
        </w:tcPr>
        <w:p w14:paraId="1D176C13" w14:textId="77777777" w:rsidR="00953F91" w:rsidRPr="00295075" w:rsidRDefault="00953F91" w:rsidP="002D03A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2699E60D" w14:textId="77777777" w:rsidR="00953F91" w:rsidRPr="004D495C" w:rsidRDefault="00953F91" w:rsidP="002D03A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1CD48F43" w14:textId="06ECD852" w:rsidR="00953F91" w:rsidRPr="004D495C" w:rsidRDefault="00295075" w:rsidP="002D03A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Non disponible</w:t>
          </w:r>
        </w:p>
      </w:tc>
      <w:bookmarkStart w:id="18" w:name="PhoneNo"/>
      <w:bookmarkEnd w:id="18"/>
    </w:tr>
    <w:tr w:rsidR="00953F91" w:rsidRPr="004D495C" w14:paraId="3170F716" w14:textId="77777777" w:rsidTr="00953F91">
      <w:tc>
        <w:tcPr>
          <w:tcW w:w="1526" w:type="dxa"/>
          <w:shd w:val="clear" w:color="auto" w:fill="auto"/>
        </w:tcPr>
        <w:p w14:paraId="09B8FDDE" w14:textId="77777777" w:rsidR="00953F91" w:rsidRPr="004D495C" w:rsidRDefault="00953F91" w:rsidP="002D03A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8EFF2E3" w14:textId="77777777" w:rsidR="00953F91" w:rsidRPr="004D495C" w:rsidRDefault="00953F91" w:rsidP="002D03A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</w:tcPr>
        <w:p w14:paraId="158C413C" w14:textId="2562C729" w:rsidR="00953F91" w:rsidRPr="004D495C" w:rsidRDefault="009448E1" w:rsidP="002D03A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53F91" w:rsidRPr="00B71913">
              <w:rPr>
                <w:rStyle w:val="Hyperlink"/>
                <w:sz w:val="18"/>
                <w:szCs w:val="18"/>
              </w:rPr>
              <w:t>oscar.avellaned</w:t>
            </w:r>
            <w:r w:rsidR="00953F91" w:rsidRPr="00B71913">
              <w:rPr>
                <w:rStyle w:val="Hyperlink"/>
                <w:sz w:val="18"/>
                <w:szCs w:val="18"/>
              </w:rPr>
              <w:t>a</w:t>
            </w:r>
            <w:r w:rsidR="00953F91" w:rsidRPr="00B71913">
              <w:rPr>
                <w:rStyle w:val="Hyperlink"/>
                <w:sz w:val="18"/>
                <w:szCs w:val="18"/>
              </w:rPr>
              <w:t>@ised-isde.gc.ca</w:t>
            </w:r>
          </w:hyperlink>
          <w:r w:rsidR="00953F91" w:rsidRPr="00B71913">
            <w:rPr>
              <w:sz w:val="18"/>
              <w:szCs w:val="18"/>
            </w:rPr>
            <w:t xml:space="preserve"> </w:t>
          </w:r>
        </w:p>
      </w:tc>
      <w:bookmarkStart w:id="19" w:name="Email"/>
      <w:bookmarkEnd w:id="19"/>
    </w:tr>
  </w:tbl>
  <w:bookmarkStart w:id="20" w:name="_Hlk56495155"/>
  <w:p w14:paraId="55C3E148" w14:textId="77777777" w:rsidR="00D83BF5" w:rsidRPr="00784E03" w:rsidRDefault="003B7D04" w:rsidP="002D03AB"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HYPERLINK "https://www.itu.int/fr/ITU-D/Conferences/WTDC/WTDC21/Pages/default.aspx"</w:instrText>
    </w:r>
    <w:r>
      <w:rPr>
        <w:sz w:val="20"/>
      </w:rPr>
      <w:fldChar w:fldCharType="separate"/>
    </w:r>
    <w:r>
      <w:rPr>
        <w:rStyle w:val="Hyperlink"/>
        <w:sz w:val="20"/>
      </w:rPr>
      <w:t>C</w:t>
    </w:r>
    <w:r>
      <w:rPr>
        <w:rStyle w:val="Hyperlink"/>
        <w:sz w:val="20"/>
      </w:rPr>
      <w:t>M</w:t>
    </w:r>
    <w:r>
      <w:rPr>
        <w:rStyle w:val="Hyperlink"/>
        <w:sz w:val="20"/>
      </w:rPr>
      <w:t>DT</w:t>
    </w:r>
    <w:r>
      <w:rPr>
        <w:caps/>
        <w:sz w:val="20"/>
      </w:rPr>
      <w:fldChar w:fldCharType="end"/>
    </w:r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A98A" w14:textId="77777777" w:rsidR="00044CD3" w:rsidRDefault="00044CD3">
      <w:r>
        <w:rPr>
          <w:b/>
        </w:rPr>
        <w:t>_______________</w:t>
      </w:r>
    </w:p>
  </w:footnote>
  <w:footnote w:type="continuationSeparator" w:id="0">
    <w:p w14:paraId="0B347DCD" w14:textId="77777777" w:rsidR="00044CD3" w:rsidRDefault="0004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F416" w14:textId="39EA6564" w:rsidR="00A066F1" w:rsidRPr="00D83BF5" w:rsidRDefault="00D83BF5" w:rsidP="00EF150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EF1503" w:rsidRPr="00EF1503">
      <w:rPr>
        <w:sz w:val="22"/>
        <w:szCs w:val="22"/>
        <w:lang w:val="de-CH"/>
      </w:rPr>
      <w:t>WTDC</w:t>
    </w:r>
    <w:r w:rsidR="00953F91">
      <w:rPr>
        <w:sz w:val="22"/>
        <w:szCs w:val="22"/>
        <w:lang w:val="de-CH"/>
      </w:rPr>
      <w:t>-</w:t>
    </w:r>
    <w:r w:rsidR="00E14630">
      <w:rPr>
        <w:sz w:val="22"/>
        <w:szCs w:val="22"/>
        <w:lang w:val="de-CH"/>
      </w:rPr>
      <w:t>2</w:t>
    </w:r>
    <w:r w:rsidR="00872758">
      <w:rPr>
        <w:sz w:val="22"/>
        <w:szCs w:val="22"/>
        <w:lang w:val="de-CH"/>
      </w:rPr>
      <w:t>2</w:t>
    </w:r>
    <w:r w:rsidR="00EF1503" w:rsidRPr="00EF1503">
      <w:rPr>
        <w:sz w:val="22"/>
        <w:szCs w:val="22"/>
        <w:lang w:val="de-CH"/>
      </w:rPr>
      <w:t>/</w:t>
    </w:r>
    <w:bookmarkStart w:id="14" w:name="OLE_LINK3"/>
    <w:bookmarkStart w:id="15" w:name="OLE_LINK2"/>
    <w:bookmarkStart w:id="16" w:name="OLE_LINK1"/>
    <w:r w:rsidR="00EF1503" w:rsidRPr="00EF1503">
      <w:rPr>
        <w:sz w:val="22"/>
        <w:szCs w:val="22"/>
      </w:rPr>
      <w:t>24(Add.2)</w:t>
    </w:r>
    <w:bookmarkEnd w:id="14"/>
    <w:bookmarkEnd w:id="15"/>
    <w:bookmarkEnd w:id="16"/>
    <w:r w:rsidR="00EF1503" w:rsidRPr="00EF1503">
      <w:rPr>
        <w:sz w:val="22"/>
        <w:szCs w:val="22"/>
      </w:rPr>
      <w:t>-F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B57A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4280">
    <w:abstractNumId w:val="0"/>
  </w:num>
  <w:num w:numId="2" w16cid:durableId="121990396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68100998">
    <w:abstractNumId w:val="4"/>
  </w:num>
  <w:num w:numId="4" w16cid:durableId="124391839">
    <w:abstractNumId w:val="2"/>
  </w:num>
  <w:num w:numId="5" w16cid:durableId="668868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355FD"/>
    <w:rsid w:val="00044CD3"/>
    <w:rsid w:val="00051E39"/>
    <w:rsid w:val="00075C63"/>
    <w:rsid w:val="00077239"/>
    <w:rsid w:val="00080905"/>
    <w:rsid w:val="000822BE"/>
    <w:rsid w:val="00086491"/>
    <w:rsid w:val="00091346"/>
    <w:rsid w:val="000D3E1A"/>
    <w:rsid w:val="000E359D"/>
    <w:rsid w:val="000F73FF"/>
    <w:rsid w:val="00114CF7"/>
    <w:rsid w:val="00123B68"/>
    <w:rsid w:val="00126F2E"/>
    <w:rsid w:val="00146F6F"/>
    <w:rsid w:val="00147DA1"/>
    <w:rsid w:val="00152957"/>
    <w:rsid w:val="00166374"/>
    <w:rsid w:val="00174623"/>
    <w:rsid w:val="00187BD9"/>
    <w:rsid w:val="00190B55"/>
    <w:rsid w:val="00194CFB"/>
    <w:rsid w:val="001B2ED3"/>
    <w:rsid w:val="001B57A8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5075"/>
    <w:rsid w:val="00296313"/>
    <w:rsid w:val="002D03AB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B7D04"/>
    <w:rsid w:val="003D0F8B"/>
    <w:rsid w:val="003F0B61"/>
    <w:rsid w:val="00406208"/>
    <w:rsid w:val="004063C5"/>
    <w:rsid w:val="0040711F"/>
    <w:rsid w:val="004131D4"/>
    <w:rsid w:val="0041348E"/>
    <w:rsid w:val="00447308"/>
    <w:rsid w:val="004765FF"/>
    <w:rsid w:val="00492075"/>
    <w:rsid w:val="004969AD"/>
    <w:rsid w:val="004B13CB"/>
    <w:rsid w:val="004B150A"/>
    <w:rsid w:val="004B4FDF"/>
    <w:rsid w:val="004D5D5C"/>
    <w:rsid w:val="004F0EAE"/>
    <w:rsid w:val="004F23CA"/>
    <w:rsid w:val="0050139F"/>
    <w:rsid w:val="00521223"/>
    <w:rsid w:val="00524DF1"/>
    <w:rsid w:val="00533926"/>
    <w:rsid w:val="0055140B"/>
    <w:rsid w:val="00554C4F"/>
    <w:rsid w:val="00561D72"/>
    <w:rsid w:val="00591BD8"/>
    <w:rsid w:val="005964AB"/>
    <w:rsid w:val="005A511B"/>
    <w:rsid w:val="005B44F5"/>
    <w:rsid w:val="005C099A"/>
    <w:rsid w:val="005C0BE7"/>
    <w:rsid w:val="005C31A5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758"/>
    <w:rsid w:val="00872FC8"/>
    <w:rsid w:val="008801D3"/>
    <w:rsid w:val="008845D0"/>
    <w:rsid w:val="00885AD8"/>
    <w:rsid w:val="008B43F2"/>
    <w:rsid w:val="008B61EA"/>
    <w:rsid w:val="008B6CFF"/>
    <w:rsid w:val="008D7991"/>
    <w:rsid w:val="008F0B73"/>
    <w:rsid w:val="00907654"/>
    <w:rsid w:val="00910B26"/>
    <w:rsid w:val="009249C1"/>
    <w:rsid w:val="009274B4"/>
    <w:rsid w:val="00934EA2"/>
    <w:rsid w:val="009448E1"/>
    <w:rsid w:val="00944A5C"/>
    <w:rsid w:val="00952A66"/>
    <w:rsid w:val="00953F91"/>
    <w:rsid w:val="009C56E5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327AF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270DE"/>
    <w:rsid w:val="00B639E9"/>
    <w:rsid w:val="00B817CD"/>
    <w:rsid w:val="00B911B2"/>
    <w:rsid w:val="00B951D0"/>
    <w:rsid w:val="00BB29C8"/>
    <w:rsid w:val="00BB3A95"/>
    <w:rsid w:val="00BC0382"/>
    <w:rsid w:val="00C0018F"/>
    <w:rsid w:val="00C010A9"/>
    <w:rsid w:val="00C1192C"/>
    <w:rsid w:val="00C20466"/>
    <w:rsid w:val="00C214ED"/>
    <w:rsid w:val="00C234E6"/>
    <w:rsid w:val="00C324A8"/>
    <w:rsid w:val="00C51C3A"/>
    <w:rsid w:val="00C54517"/>
    <w:rsid w:val="00C64CD8"/>
    <w:rsid w:val="00C766A2"/>
    <w:rsid w:val="00C97C68"/>
    <w:rsid w:val="00CA1A47"/>
    <w:rsid w:val="00CC247A"/>
    <w:rsid w:val="00CE5E47"/>
    <w:rsid w:val="00CF020F"/>
    <w:rsid w:val="00CF2B5B"/>
    <w:rsid w:val="00D14CE0"/>
    <w:rsid w:val="00D22342"/>
    <w:rsid w:val="00D36333"/>
    <w:rsid w:val="00D5651D"/>
    <w:rsid w:val="00D6625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14630"/>
    <w:rsid w:val="00E26226"/>
    <w:rsid w:val="00E4165C"/>
    <w:rsid w:val="00E45D05"/>
    <w:rsid w:val="00E46B58"/>
    <w:rsid w:val="00E55816"/>
    <w:rsid w:val="00E55AEF"/>
    <w:rsid w:val="00E976C1"/>
    <w:rsid w:val="00EA12E5"/>
    <w:rsid w:val="00EF1503"/>
    <w:rsid w:val="00F02766"/>
    <w:rsid w:val="00F04067"/>
    <w:rsid w:val="00F05BD4"/>
    <w:rsid w:val="00F11A98"/>
    <w:rsid w:val="00F21A1D"/>
    <w:rsid w:val="00F65C19"/>
    <w:rsid w:val="00F861F9"/>
    <w:rsid w:val="00FB74D7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99BCF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D18-WTDC21-C-0024!A2!MSW-F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61AC6-9707-45BB-A86F-30DF4FA70AB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902D32-D017-4C6E-B937-A9E616114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E376DC-7944-4952-A0D0-48F7030F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D18-WTDC21-C-0024!A2!MSW-F</vt:lpstr>
    </vt:vector>
  </TitlesOfParts>
  <Manager>General Secretariat - Pool</Manager>
  <Company/>
  <LinksUpToDate>false</LinksUpToDate>
  <CharactersWithSpaces>1860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D18-WTDC21-C-0024!A2!MSW-F</dc:title>
  <dc:subject/>
  <dc:creator>Documents Proposals Manager (DPM)</dc:creator>
  <cp:keywords>DPM_v2021.3.2.1_prod</cp:keywords>
  <dc:description/>
  <cp:lastModifiedBy>French</cp:lastModifiedBy>
  <cp:revision>3</cp:revision>
  <cp:lastPrinted>2017-03-10T07:43:00Z</cp:lastPrinted>
  <dcterms:created xsi:type="dcterms:W3CDTF">2022-05-12T06:16:00Z</dcterms:created>
  <dcterms:modified xsi:type="dcterms:W3CDTF">2022-05-12T06:30:00Z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