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0D535B" w14:paraId="12864ED9" w14:textId="77777777" w:rsidTr="00F736DC">
        <w:trPr>
          <w:cantSplit/>
          <w:trHeight w:val="1134"/>
        </w:trPr>
        <w:tc>
          <w:tcPr>
            <w:tcW w:w="2103" w:type="dxa"/>
          </w:tcPr>
          <w:p w14:paraId="3C3CFFD6" w14:textId="77777777" w:rsidR="00C90466" w:rsidRPr="008631A7" w:rsidRDefault="00371686" w:rsidP="00143B37">
            <w:pPr>
              <w:tabs>
                <w:tab w:val="clear" w:pos="1134"/>
              </w:tabs>
              <w:spacing w:before="60" w:after="60"/>
              <w:ind w:left="34"/>
              <w:rPr>
                <w:b/>
                <w:bCs/>
                <w:sz w:val="4"/>
                <w:szCs w:val="4"/>
                <w:lang w:val="es-ES"/>
              </w:rPr>
            </w:pPr>
            <w:r>
              <w:rPr>
                <w:b/>
                <w:bCs/>
                <w:noProof/>
                <w:sz w:val="4"/>
                <w:szCs w:val="4"/>
                <w:lang w:val="en-US"/>
              </w:rPr>
              <w:drawing>
                <wp:inline distT="0" distB="0" distL="0" distR="0" wp14:anchorId="539784B8" wp14:editId="76CB5C2F">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6" w:type="dxa"/>
            <w:gridSpan w:val="2"/>
          </w:tcPr>
          <w:p w14:paraId="0B2F891D" w14:textId="77777777" w:rsidR="00C90466" w:rsidRDefault="00C90466" w:rsidP="00143B37">
            <w:pPr>
              <w:tabs>
                <w:tab w:val="clear" w:pos="1134"/>
              </w:tabs>
              <w:spacing w:before="240" w:after="48" w:line="240" w:lineRule="atLeast"/>
              <w:ind w:left="34"/>
              <w:rPr>
                <w:b/>
                <w:bCs/>
                <w:sz w:val="32"/>
                <w:szCs w:val="32"/>
                <w:lang w:val="es-ES"/>
              </w:rPr>
            </w:pPr>
            <w:r>
              <w:rPr>
                <w:noProof/>
                <w:lang w:val="en-US"/>
              </w:rPr>
              <w:drawing>
                <wp:anchor distT="0" distB="0" distL="114300" distR="114300" simplePos="0" relativeHeight="251661312" behindDoc="0" locked="0" layoutInCell="1" allowOverlap="1" wp14:anchorId="729C7301" wp14:editId="76F4D7FC">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616175">
              <w:rPr>
                <w:b/>
                <w:bCs/>
                <w:sz w:val="32"/>
                <w:szCs w:val="32"/>
                <w:lang w:val="es-ES"/>
              </w:rPr>
              <w:t>Conferencia Mundial de Desarrollo de las Telecomunicaciones (CMDT</w:t>
            </w:r>
            <w:r w:rsidR="00371686">
              <w:rPr>
                <w:b/>
                <w:bCs/>
                <w:sz w:val="32"/>
                <w:szCs w:val="32"/>
                <w:lang w:val="es-ES"/>
              </w:rPr>
              <w:t>-2</w:t>
            </w:r>
            <w:r w:rsidR="00F2683C">
              <w:rPr>
                <w:b/>
                <w:bCs/>
                <w:sz w:val="32"/>
                <w:szCs w:val="32"/>
                <w:lang w:val="es-ES"/>
              </w:rPr>
              <w:t>2</w:t>
            </w:r>
            <w:r w:rsidRPr="00616175">
              <w:rPr>
                <w:b/>
                <w:bCs/>
                <w:sz w:val="32"/>
                <w:szCs w:val="32"/>
                <w:lang w:val="es-ES"/>
              </w:rPr>
              <w:t>)</w:t>
            </w:r>
          </w:p>
          <w:p w14:paraId="39ABE53E" w14:textId="77777777" w:rsidR="00C90466" w:rsidRPr="000B1248" w:rsidRDefault="00371686" w:rsidP="00371686">
            <w:pPr>
              <w:tabs>
                <w:tab w:val="clear" w:pos="1134"/>
              </w:tabs>
              <w:spacing w:after="48" w:line="240" w:lineRule="atLeast"/>
              <w:ind w:left="34"/>
              <w:rPr>
                <w:rFonts w:cstheme="minorHAnsi"/>
                <w:lang w:val="es-ES"/>
              </w:rPr>
            </w:pPr>
            <w:r w:rsidRPr="00371686">
              <w:rPr>
                <w:b/>
                <w:bCs/>
                <w:sz w:val="26"/>
                <w:szCs w:val="26"/>
                <w:lang w:val="es-ES"/>
              </w:rPr>
              <w:t>Kigali, Rwanda, 6-16 de junio de 2022</w:t>
            </w:r>
            <w:bookmarkStart w:id="0" w:name="ditulogo"/>
            <w:bookmarkEnd w:id="0"/>
          </w:p>
        </w:tc>
      </w:tr>
      <w:tr w:rsidR="00D83BF5" w:rsidRPr="000D535B" w14:paraId="3E354CC7" w14:textId="77777777" w:rsidTr="00F736DC">
        <w:trPr>
          <w:cantSplit/>
        </w:trPr>
        <w:tc>
          <w:tcPr>
            <w:tcW w:w="6408" w:type="dxa"/>
            <w:gridSpan w:val="2"/>
            <w:tcBorders>
              <w:top w:val="single" w:sz="12" w:space="0" w:color="auto"/>
            </w:tcBorders>
          </w:tcPr>
          <w:p w14:paraId="458B8DB5" w14:textId="77777777" w:rsidR="00D83BF5" w:rsidRPr="000B1248" w:rsidRDefault="00D83BF5" w:rsidP="00B951D0">
            <w:pPr>
              <w:spacing w:before="0" w:after="48" w:line="240" w:lineRule="atLeast"/>
              <w:rPr>
                <w:rFonts w:cstheme="minorHAnsi"/>
                <w:b/>
                <w:smallCaps/>
                <w:sz w:val="20"/>
                <w:lang w:val="es-ES"/>
              </w:rPr>
            </w:pPr>
            <w:bookmarkStart w:id="1" w:name="dhead"/>
          </w:p>
        </w:tc>
        <w:tc>
          <w:tcPr>
            <w:tcW w:w="3231" w:type="dxa"/>
            <w:tcBorders>
              <w:top w:val="single" w:sz="12" w:space="0" w:color="auto"/>
            </w:tcBorders>
          </w:tcPr>
          <w:p w14:paraId="15C83F69" w14:textId="77777777" w:rsidR="00D83BF5" w:rsidRPr="000B1248" w:rsidRDefault="00D83BF5" w:rsidP="00B951D0">
            <w:pPr>
              <w:spacing w:before="0" w:line="240" w:lineRule="atLeast"/>
              <w:rPr>
                <w:rFonts w:cstheme="minorHAnsi"/>
                <w:sz w:val="20"/>
                <w:lang w:val="es-ES"/>
              </w:rPr>
            </w:pPr>
          </w:p>
        </w:tc>
      </w:tr>
      <w:tr w:rsidR="00D83BF5" w:rsidRPr="000B1248" w14:paraId="4190A0E4" w14:textId="77777777" w:rsidTr="00F736DC">
        <w:trPr>
          <w:cantSplit/>
          <w:trHeight w:val="23"/>
        </w:trPr>
        <w:tc>
          <w:tcPr>
            <w:tcW w:w="6408" w:type="dxa"/>
            <w:gridSpan w:val="2"/>
            <w:shd w:val="clear" w:color="auto" w:fill="auto"/>
          </w:tcPr>
          <w:p w14:paraId="1DCF3986" w14:textId="77777777" w:rsidR="00D83BF5" w:rsidRPr="000B1248" w:rsidRDefault="00D02508" w:rsidP="00D02508">
            <w:pPr>
              <w:pStyle w:val="Committee"/>
              <w:framePr w:hSpace="0" w:wrap="auto" w:hAnchor="text" w:yAlign="inline"/>
              <w:rPr>
                <w:lang w:val="es-ES"/>
              </w:rPr>
            </w:pPr>
            <w:bookmarkStart w:id="2" w:name="dnum" w:colFirst="1" w:colLast="1"/>
            <w:bookmarkStart w:id="3" w:name="dmeeting" w:colFirst="0" w:colLast="0"/>
            <w:bookmarkEnd w:id="1"/>
            <w:r w:rsidRPr="00D02508">
              <w:t>SESIÓN PLENARIA</w:t>
            </w:r>
          </w:p>
        </w:tc>
        <w:tc>
          <w:tcPr>
            <w:tcW w:w="3231" w:type="dxa"/>
          </w:tcPr>
          <w:p w14:paraId="31DE8B3E" w14:textId="2A98C49D" w:rsidR="00D83BF5" w:rsidRPr="000B1248" w:rsidRDefault="00D02508" w:rsidP="00D02508">
            <w:pPr>
              <w:tabs>
                <w:tab w:val="left" w:pos="851"/>
              </w:tabs>
              <w:spacing w:before="0" w:line="240" w:lineRule="atLeast"/>
              <w:rPr>
                <w:rFonts w:cstheme="minorHAnsi"/>
                <w:szCs w:val="24"/>
                <w:lang w:val="es-ES"/>
              </w:rPr>
            </w:pPr>
            <w:r>
              <w:rPr>
                <w:b/>
                <w:bCs/>
                <w:szCs w:val="24"/>
              </w:rPr>
              <w:t>Addéndum 1 al</w:t>
            </w:r>
            <w:r>
              <w:rPr>
                <w:b/>
                <w:bCs/>
                <w:szCs w:val="24"/>
              </w:rPr>
              <w:br/>
              <w:t xml:space="preserve">Documento </w:t>
            </w:r>
            <w:r w:rsidR="00981EC0" w:rsidRPr="00F31F1F">
              <w:rPr>
                <w:b/>
                <w:bCs/>
                <w:szCs w:val="24"/>
              </w:rPr>
              <w:t>24</w:t>
            </w:r>
            <w:r w:rsidR="000D535B">
              <w:rPr>
                <w:b/>
                <w:bCs/>
                <w:szCs w:val="24"/>
              </w:rPr>
              <w:t>-S</w:t>
            </w:r>
          </w:p>
        </w:tc>
      </w:tr>
      <w:tr w:rsidR="00D83BF5" w:rsidRPr="000B1248" w14:paraId="3271BDBA" w14:textId="77777777" w:rsidTr="00F736DC">
        <w:trPr>
          <w:cantSplit/>
          <w:trHeight w:val="23"/>
        </w:trPr>
        <w:tc>
          <w:tcPr>
            <w:tcW w:w="6408" w:type="dxa"/>
            <w:gridSpan w:val="2"/>
            <w:shd w:val="clear" w:color="auto" w:fill="auto"/>
          </w:tcPr>
          <w:p w14:paraId="64791CB9" w14:textId="77777777" w:rsidR="00D83BF5" w:rsidRPr="000B1248" w:rsidRDefault="00D83BF5" w:rsidP="00B951D0">
            <w:pPr>
              <w:tabs>
                <w:tab w:val="left" w:pos="851"/>
              </w:tabs>
              <w:spacing w:before="0" w:line="240" w:lineRule="atLeast"/>
              <w:rPr>
                <w:rFonts w:cstheme="minorHAnsi"/>
                <w:b/>
                <w:szCs w:val="24"/>
                <w:lang w:val="es-ES"/>
              </w:rPr>
            </w:pPr>
            <w:bookmarkStart w:id="4" w:name="ddate" w:colFirst="1" w:colLast="1"/>
            <w:bookmarkStart w:id="5" w:name="dblank" w:colFirst="0" w:colLast="0"/>
            <w:bookmarkEnd w:id="2"/>
            <w:bookmarkEnd w:id="3"/>
          </w:p>
        </w:tc>
        <w:tc>
          <w:tcPr>
            <w:tcW w:w="3231" w:type="dxa"/>
          </w:tcPr>
          <w:p w14:paraId="154FD381" w14:textId="77777777" w:rsidR="00D83BF5" w:rsidRPr="000B1248" w:rsidRDefault="00D02508" w:rsidP="00D02508">
            <w:pPr>
              <w:spacing w:before="0" w:line="240" w:lineRule="atLeast"/>
              <w:rPr>
                <w:rFonts w:cstheme="minorHAnsi"/>
                <w:szCs w:val="24"/>
                <w:lang w:val="es-ES"/>
              </w:rPr>
            </w:pPr>
            <w:r w:rsidRPr="00D02508">
              <w:rPr>
                <w:b/>
                <w:bCs/>
                <w:szCs w:val="24"/>
              </w:rPr>
              <w:t>2 de mayo de 2022</w:t>
            </w:r>
          </w:p>
        </w:tc>
      </w:tr>
      <w:tr w:rsidR="00D83BF5" w:rsidRPr="000B1248" w14:paraId="3552C73B" w14:textId="77777777" w:rsidTr="00F736DC">
        <w:trPr>
          <w:cantSplit/>
          <w:trHeight w:val="23"/>
        </w:trPr>
        <w:tc>
          <w:tcPr>
            <w:tcW w:w="6408" w:type="dxa"/>
            <w:gridSpan w:val="2"/>
            <w:shd w:val="clear" w:color="auto" w:fill="auto"/>
          </w:tcPr>
          <w:p w14:paraId="50885572" w14:textId="77777777" w:rsidR="00D83BF5" w:rsidRPr="000B1248" w:rsidRDefault="00D83BF5" w:rsidP="00D02508">
            <w:pPr>
              <w:tabs>
                <w:tab w:val="left" w:pos="851"/>
              </w:tabs>
              <w:spacing w:before="0" w:line="240" w:lineRule="atLeast"/>
              <w:rPr>
                <w:rFonts w:cstheme="minorHAnsi"/>
                <w:szCs w:val="24"/>
                <w:lang w:val="es-ES"/>
              </w:rPr>
            </w:pPr>
            <w:bookmarkStart w:id="6" w:name="dbluepink" w:colFirst="0" w:colLast="0"/>
            <w:bookmarkStart w:id="7" w:name="dorlang" w:colFirst="1" w:colLast="1"/>
            <w:bookmarkEnd w:id="4"/>
            <w:bookmarkEnd w:id="5"/>
          </w:p>
        </w:tc>
        <w:tc>
          <w:tcPr>
            <w:tcW w:w="3231" w:type="dxa"/>
          </w:tcPr>
          <w:p w14:paraId="1942DE31" w14:textId="77777777" w:rsidR="00D83BF5" w:rsidRPr="000B1248" w:rsidRDefault="00D02508" w:rsidP="00D02508">
            <w:pPr>
              <w:tabs>
                <w:tab w:val="left" w:pos="993"/>
              </w:tabs>
              <w:spacing w:before="0"/>
              <w:rPr>
                <w:rFonts w:cstheme="minorHAnsi"/>
                <w:b/>
                <w:szCs w:val="24"/>
                <w:lang w:val="es-ES"/>
              </w:rPr>
            </w:pPr>
            <w:r w:rsidRPr="00D02508">
              <w:rPr>
                <w:b/>
                <w:bCs/>
                <w:szCs w:val="24"/>
              </w:rPr>
              <w:t>Original: inglés</w:t>
            </w:r>
          </w:p>
        </w:tc>
      </w:tr>
      <w:tr w:rsidR="00D83BF5" w:rsidRPr="000D535B" w14:paraId="1E335A96" w14:textId="77777777" w:rsidTr="00C90466">
        <w:trPr>
          <w:cantSplit/>
          <w:trHeight w:val="23"/>
        </w:trPr>
        <w:tc>
          <w:tcPr>
            <w:tcW w:w="9639" w:type="dxa"/>
            <w:gridSpan w:val="3"/>
            <w:shd w:val="clear" w:color="auto" w:fill="auto"/>
          </w:tcPr>
          <w:p w14:paraId="43B1FC93" w14:textId="77777777" w:rsidR="00D83BF5" w:rsidRPr="000B1248" w:rsidRDefault="00D02508" w:rsidP="00D02508">
            <w:pPr>
              <w:pStyle w:val="Source"/>
              <w:spacing w:before="240" w:after="240"/>
              <w:rPr>
                <w:lang w:val="es-ES"/>
              </w:rPr>
            </w:pPr>
            <w:r w:rsidRPr="00004848">
              <w:rPr>
                <w:lang w:val="es-ES"/>
              </w:rPr>
              <w:t>Estados Miembros de la Comisión Interamericana de Telecomunicaciones (CITEL)</w:t>
            </w:r>
          </w:p>
        </w:tc>
      </w:tr>
      <w:tr w:rsidR="00D83BF5" w:rsidRPr="000D535B" w14:paraId="78A119C6" w14:textId="77777777" w:rsidTr="00C90466">
        <w:trPr>
          <w:cantSplit/>
          <w:trHeight w:val="23"/>
        </w:trPr>
        <w:tc>
          <w:tcPr>
            <w:tcW w:w="9639" w:type="dxa"/>
            <w:gridSpan w:val="3"/>
            <w:shd w:val="clear" w:color="auto" w:fill="auto"/>
            <w:vAlign w:val="center"/>
          </w:tcPr>
          <w:p w14:paraId="3326F566" w14:textId="3F58F6F8" w:rsidR="00D83BF5" w:rsidRPr="006A76A3" w:rsidRDefault="00AD23ED" w:rsidP="00D02508">
            <w:pPr>
              <w:pStyle w:val="Title1"/>
              <w:spacing w:before="120" w:after="120"/>
              <w:rPr>
                <w:lang w:val="es-ES_tradnl"/>
              </w:rPr>
            </w:pPr>
            <w:r w:rsidRPr="006A76A3">
              <w:rPr>
                <w:lang w:val="es-ES_tradnl"/>
              </w:rPr>
              <w:t>Propuesta de supresión de la resolución 81</w:t>
            </w:r>
            <w:r w:rsidR="00D35EA7">
              <w:rPr>
                <w:lang w:val="es-ES_tradnl"/>
              </w:rPr>
              <w:br/>
            </w:r>
            <w:r w:rsidRPr="006A76A3">
              <w:rPr>
                <w:lang w:val="es-ES_tradnl"/>
              </w:rPr>
              <w:t>sobre el Perfeccionamiento de los métodos</w:t>
            </w:r>
            <w:r w:rsidR="00D35EA7">
              <w:rPr>
                <w:lang w:val="es-ES_tradnl"/>
              </w:rPr>
              <w:br/>
            </w:r>
            <w:r w:rsidRPr="006A76A3">
              <w:rPr>
                <w:lang w:val="es-ES_tradnl"/>
              </w:rPr>
              <w:t>de trabajo electrónicos</w:t>
            </w:r>
            <w:r w:rsidR="00D35EA7">
              <w:rPr>
                <w:lang w:val="es-ES_tradnl"/>
              </w:rPr>
              <w:t xml:space="preserve"> P</w:t>
            </w:r>
            <w:r w:rsidRPr="006A76A3">
              <w:rPr>
                <w:lang w:val="es-ES_tradnl"/>
              </w:rPr>
              <w:t>ara la labor del Sector</w:t>
            </w:r>
            <w:r w:rsidR="00D35EA7">
              <w:rPr>
                <w:lang w:val="es-ES_tradnl"/>
              </w:rPr>
              <w:br/>
            </w:r>
            <w:r w:rsidRPr="006A76A3">
              <w:rPr>
                <w:lang w:val="es-ES_tradnl"/>
              </w:rPr>
              <w:t>de Desarrollo de las Telecomunicaciones de la UIT</w:t>
            </w:r>
          </w:p>
        </w:tc>
      </w:tr>
      <w:tr w:rsidR="00CE1F7C" w:rsidRPr="000D535B" w14:paraId="2026EC66" w14:textId="77777777" w:rsidTr="00C90466">
        <w:trPr>
          <w:cantSplit/>
          <w:trHeight w:val="23"/>
        </w:trPr>
        <w:tc>
          <w:tcPr>
            <w:tcW w:w="9639" w:type="dxa"/>
            <w:gridSpan w:val="3"/>
            <w:shd w:val="clear" w:color="auto" w:fill="auto"/>
            <w:vAlign w:val="center"/>
          </w:tcPr>
          <w:p w14:paraId="02EB83AB" w14:textId="77777777" w:rsidR="00CE1F7C" w:rsidRPr="006A76A3" w:rsidRDefault="00CE1F7C" w:rsidP="00D02508">
            <w:pPr>
              <w:pStyle w:val="Title1"/>
              <w:spacing w:before="120" w:after="120"/>
              <w:rPr>
                <w:lang w:val="es-ES_tradnl"/>
              </w:rPr>
            </w:pPr>
          </w:p>
        </w:tc>
      </w:tr>
      <w:tr w:rsidR="00D83BF5" w:rsidRPr="000D535B" w14:paraId="1D92F583" w14:textId="77777777" w:rsidTr="00C90466">
        <w:trPr>
          <w:cantSplit/>
          <w:trHeight w:val="23"/>
        </w:trPr>
        <w:tc>
          <w:tcPr>
            <w:tcW w:w="9639" w:type="dxa"/>
            <w:gridSpan w:val="3"/>
            <w:shd w:val="clear" w:color="auto" w:fill="auto"/>
          </w:tcPr>
          <w:p w14:paraId="5766CB52" w14:textId="77777777" w:rsidR="00D83BF5" w:rsidRPr="006A76A3" w:rsidRDefault="00D83BF5" w:rsidP="00D02508">
            <w:pPr>
              <w:pStyle w:val="Title2"/>
              <w:spacing w:before="240"/>
              <w:rPr>
                <w:lang w:val="es-ES_tradnl"/>
              </w:rPr>
            </w:pPr>
          </w:p>
        </w:tc>
      </w:tr>
      <w:bookmarkEnd w:id="6"/>
      <w:bookmarkEnd w:id="7"/>
      <w:tr w:rsidR="007B19E5" w:rsidRPr="000D535B" w14:paraId="226A8393" w14:textId="77777777" w:rsidTr="00F736DC">
        <w:tc>
          <w:tcPr>
            <w:tcW w:w="9639" w:type="dxa"/>
            <w:gridSpan w:val="3"/>
            <w:tcBorders>
              <w:top w:val="single" w:sz="4" w:space="0" w:color="auto"/>
              <w:left w:val="single" w:sz="4" w:space="0" w:color="auto"/>
              <w:bottom w:val="single" w:sz="4" w:space="0" w:color="auto"/>
              <w:right w:val="single" w:sz="4" w:space="0" w:color="auto"/>
            </w:tcBorders>
          </w:tcPr>
          <w:p w14:paraId="0F6B365E" w14:textId="77777777" w:rsidR="00A0662A" w:rsidRPr="003C15A6" w:rsidRDefault="00004848" w:rsidP="00A0662A">
            <w:pPr>
              <w:pStyle w:val="Headingb"/>
              <w:rPr>
                <w:rFonts w:eastAsia="SimSun"/>
                <w:lang w:val="es-ES_tradnl"/>
              </w:rPr>
            </w:pPr>
            <w:r w:rsidRPr="003C15A6">
              <w:rPr>
                <w:rFonts w:eastAsia="SimSun"/>
                <w:lang w:val="es-ES_tradnl"/>
              </w:rPr>
              <w:t>Área prioritaria:</w:t>
            </w:r>
          </w:p>
          <w:p w14:paraId="21621C21" w14:textId="7B983472" w:rsidR="007B19E5" w:rsidRPr="00AD23ED" w:rsidRDefault="003C15A6" w:rsidP="003C15A6">
            <w:pPr>
              <w:rPr>
                <w:lang w:val="es-ES"/>
              </w:rPr>
            </w:pPr>
            <w:r w:rsidRPr="00D35EA7">
              <w:rPr>
                <w:szCs w:val="24"/>
                <w:lang w:val="es-ES"/>
              </w:rPr>
              <w:t>–</w:t>
            </w:r>
            <w:r w:rsidRPr="00D35EA7">
              <w:rPr>
                <w:szCs w:val="24"/>
                <w:lang w:val="es-ES"/>
              </w:rPr>
              <w:tab/>
            </w:r>
            <w:r w:rsidR="00AD23ED" w:rsidRPr="006A76A3">
              <w:rPr>
                <w:rFonts w:eastAsia="SimSun"/>
                <w:lang w:val="es-ES_tradnl"/>
              </w:rPr>
              <w:t>Resoluciones y Recomendaciones</w:t>
            </w:r>
          </w:p>
          <w:p w14:paraId="4BDDDC7A" w14:textId="77777777" w:rsidR="007B19E5" w:rsidRPr="00D35EA7" w:rsidRDefault="00004848" w:rsidP="00A0662A">
            <w:pPr>
              <w:pStyle w:val="Headingb"/>
              <w:rPr>
                <w:lang w:val="es-ES"/>
              </w:rPr>
            </w:pPr>
            <w:r w:rsidRPr="00D35EA7">
              <w:rPr>
                <w:rFonts w:eastAsia="SimSun"/>
                <w:lang w:val="es-ES"/>
              </w:rPr>
              <w:t>Resumen:</w:t>
            </w:r>
          </w:p>
          <w:p w14:paraId="196020E5" w14:textId="790E67CF" w:rsidR="007B19E5" w:rsidRPr="00004848" w:rsidRDefault="00AD23ED">
            <w:pPr>
              <w:rPr>
                <w:szCs w:val="24"/>
                <w:lang w:val="es-ES"/>
              </w:rPr>
            </w:pPr>
            <w:r w:rsidRPr="00AD23ED">
              <w:rPr>
                <w:szCs w:val="24"/>
                <w:lang w:val="es-ES"/>
              </w:rPr>
              <w:t>E</w:t>
            </w:r>
            <w:r>
              <w:rPr>
                <w:szCs w:val="24"/>
                <w:lang w:val="es-ES"/>
              </w:rPr>
              <w:t xml:space="preserve">n </w:t>
            </w:r>
            <w:r w:rsidR="00CF1B30">
              <w:rPr>
                <w:szCs w:val="24"/>
                <w:lang w:val="es-ES"/>
              </w:rPr>
              <w:t>el presente</w:t>
            </w:r>
            <w:r w:rsidRPr="00AD23ED">
              <w:rPr>
                <w:szCs w:val="24"/>
                <w:lang w:val="es-ES"/>
              </w:rPr>
              <w:t xml:space="preserve"> documento </w:t>
            </w:r>
            <w:r>
              <w:rPr>
                <w:szCs w:val="24"/>
                <w:lang w:val="es-ES"/>
              </w:rPr>
              <w:t xml:space="preserve">se </w:t>
            </w:r>
            <w:r w:rsidRPr="00AD23ED">
              <w:rPr>
                <w:szCs w:val="24"/>
                <w:lang w:val="es-ES"/>
              </w:rPr>
              <w:t>propone la supresión de la Resolución 81</w:t>
            </w:r>
            <w:r>
              <w:rPr>
                <w:szCs w:val="24"/>
                <w:lang w:val="es-ES"/>
              </w:rPr>
              <w:t>,</w:t>
            </w:r>
            <w:r w:rsidRPr="00AD23ED">
              <w:rPr>
                <w:szCs w:val="24"/>
                <w:lang w:val="es-ES"/>
              </w:rPr>
              <w:t xml:space="preserve"> dado que los diversos puntos que trata ya están incluidos en otros </w:t>
            </w:r>
            <w:r>
              <w:rPr>
                <w:szCs w:val="24"/>
                <w:lang w:val="es-ES"/>
              </w:rPr>
              <w:t>documentos</w:t>
            </w:r>
            <w:r w:rsidRPr="00AD23ED">
              <w:rPr>
                <w:szCs w:val="24"/>
                <w:lang w:val="es-ES"/>
              </w:rPr>
              <w:t xml:space="preserve"> de la UIT como el Reglamento General o las decisiones y resoluciones de la Conferencia de Plenipotenciarios.</w:t>
            </w:r>
          </w:p>
          <w:p w14:paraId="17DAAC3D" w14:textId="77777777" w:rsidR="007B19E5" w:rsidRPr="00D35EA7" w:rsidRDefault="00004848" w:rsidP="00A0662A">
            <w:pPr>
              <w:pStyle w:val="Headingb"/>
              <w:rPr>
                <w:lang w:val="es-ES"/>
              </w:rPr>
            </w:pPr>
            <w:r w:rsidRPr="00D35EA7">
              <w:rPr>
                <w:rFonts w:eastAsia="SimSun"/>
                <w:lang w:val="es-ES"/>
              </w:rPr>
              <w:t>Resultados previstos:</w:t>
            </w:r>
          </w:p>
          <w:p w14:paraId="3B0E58BB" w14:textId="3E72D274" w:rsidR="007B19E5" w:rsidRPr="00004848" w:rsidRDefault="00AD23ED">
            <w:pPr>
              <w:rPr>
                <w:szCs w:val="24"/>
                <w:lang w:val="es-ES"/>
              </w:rPr>
            </w:pPr>
            <w:r w:rsidRPr="00AD23ED">
              <w:rPr>
                <w:szCs w:val="24"/>
                <w:lang w:val="es-ES"/>
              </w:rPr>
              <w:t xml:space="preserve">Se invita a la CMDT a examinar y aprobar </w:t>
            </w:r>
            <w:r>
              <w:rPr>
                <w:szCs w:val="24"/>
                <w:lang w:val="es-ES"/>
              </w:rPr>
              <w:t>la propuesta del presente</w:t>
            </w:r>
            <w:r w:rsidRPr="00AD23ED">
              <w:rPr>
                <w:szCs w:val="24"/>
                <w:lang w:val="es-ES"/>
              </w:rPr>
              <w:t xml:space="preserve"> documento.</w:t>
            </w:r>
          </w:p>
          <w:p w14:paraId="306EDD18" w14:textId="77777777" w:rsidR="007B19E5" w:rsidRPr="00D35EA7" w:rsidRDefault="00004848" w:rsidP="00A0662A">
            <w:pPr>
              <w:pStyle w:val="Headingb"/>
              <w:rPr>
                <w:lang w:val="es-ES"/>
              </w:rPr>
            </w:pPr>
            <w:r w:rsidRPr="00D35EA7">
              <w:rPr>
                <w:rFonts w:eastAsia="SimSun"/>
                <w:lang w:val="es-ES"/>
              </w:rPr>
              <w:t>Referencias:</w:t>
            </w:r>
          </w:p>
          <w:p w14:paraId="2824AF6C" w14:textId="0E9F4866" w:rsidR="007B19E5" w:rsidRPr="006A76A3" w:rsidRDefault="00981EC0">
            <w:pPr>
              <w:rPr>
                <w:szCs w:val="24"/>
                <w:lang w:val="es-ES_tradnl"/>
              </w:rPr>
            </w:pPr>
            <w:r w:rsidRPr="006A76A3">
              <w:rPr>
                <w:szCs w:val="24"/>
                <w:lang w:val="es-ES_tradnl"/>
              </w:rPr>
              <w:t>Resolución 81 de la CMDT (Rev. Buenos Aires, 2017)</w:t>
            </w:r>
          </w:p>
        </w:tc>
      </w:tr>
    </w:tbl>
    <w:p w14:paraId="1BF94D6B" w14:textId="6B6B6C5D" w:rsidR="00A0662A" w:rsidRDefault="00A0662A">
      <w:pPr>
        <w:tabs>
          <w:tab w:val="clear" w:pos="1134"/>
          <w:tab w:val="clear" w:pos="1871"/>
          <w:tab w:val="clear" w:pos="2268"/>
        </w:tabs>
        <w:overflowPunct/>
        <w:autoSpaceDE/>
        <w:autoSpaceDN/>
        <w:adjustRightInd/>
        <w:spacing w:before="0"/>
        <w:textAlignment w:val="auto"/>
        <w:rPr>
          <w:szCs w:val="24"/>
          <w:lang w:val="es-ES"/>
        </w:rPr>
      </w:pPr>
      <w:r>
        <w:rPr>
          <w:szCs w:val="24"/>
          <w:lang w:val="es-ES"/>
        </w:rPr>
        <w:br w:type="page"/>
      </w:r>
    </w:p>
    <w:p w14:paraId="79615302" w14:textId="1FFEA9B9" w:rsidR="002B583F" w:rsidRPr="006A76A3" w:rsidRDefault="002B583F" w:rsidP="002B583F">
      <w:pPr>
        <w:rPr>
          <w:szCs w:val="24"/>
          <w:lang w:val="es-ES_tradnl"/>
        </w:rPr>
      </w:pPr>
      <w:r w:rsidRPr="006A76A3">
        <w:rPr>
          <w:szCs w:val="24"/>
          <w:lang w:val="es-ES_tradnl"/>
        </w:rPr>
        <w:lastRenderedPageBreak/>
        <w:t>Reconocemos que la BDT ha dado un cierto número de pasos para mejorar sus procedimientos, incluidos los que se aplican a las Comisiones de Estudio del UIT-D. Hoy en día, la mayoría de las reuniones del UIT-T se celebran sin hacer uso del papel. Los métodos de trabajo electrónicos están plenamente integrados en los actuales procedimientos:</w:t>
      </w:r>
    </w:p>
    <w:p w14:paraId="25BA6DDD" w14:textId="3F42CA6D" w:rsidR="002B583F" w:rsidRPr="006A76A3" w:rsidRDefault="00A0662A" w:rsidP="00A0662A">
      <w:pPr>
        <w:pStyle w:val="enumlev1"/>
        <w:rPr>
          <w:lang w:val="es-ES_tradnl"/>
        </w:rPr>
      </w:pPr>
      <w:r w:rsidRPr="00A0662A">
        <w:rPr>
          <w:lang w:val="es-ES_tradnl"/>
        </w:rPr>
        <w:t>–</w:t>
      </w:r>
      <w:r>
        <w:rPr>
          <w:lang w:val="es-ES_tradnl"/>
        </w:rPr>
        <w:tab/>
      </w:r>
      <w:r w:rsidR="008A4CF0" w:rsidRPr="006A76A3">
        <w:rPr>
          <w:lang w:val="es-ES_tradnl"/>
        </w:rPr>
        <w:t>e</w:t>
      </w:r>
      <w:r w:rsidR="002B583F" w:rsidRPr="006A76A3">
        <w:rPr>
          <w:lang w:val="es-ES_tradnl"/>
        </w:rPr>
        <w:t>n el Reglamento General se especifica ahora que las propuestas para las reuniones están disponibles en formato electrónico;</w:t>
      </w:r>
    </w:p>
    <w:p w14:paraId="7C156DC1" w14:textId="78FC9619" w:rsidR="002B583F" w:rsidRPr="006A76A3" w:rsidRDefault="00A0662A" w:rsidP="00A0662A">
      <w:pPr>
        <w:pStyle w:val="enumlev1"/>
        <w:rPr>
          <w:lang w:val="es-ES_tradnl"/>
        </w:rPr>
      </w:pPr>
      <w:r w:rsidRPr="00A0662A">
        <w:rPr>
          <w:lang w:val="es-ES_tradnl"/>
        </w:rPr>
        <w:t>–</w:t>
      </w:r>
      <w:r>
        <w:rPr>
          <w:lang w:val="es-ES_tradnl"/>
        </w:rPr>
        <w:tab/>
      </w:r>
      <w:r w:rsidR="008A4CF0" w:rsidRPr="006A76A3">
        <w:rPr>
          <w:lang w:val="es-ES_tradnl"/>
        </w:rPr>
        <w:t>e</w:t>
      </w:r>
      <w:r w:rsidR="009D7554" w:rsidRPr="006A76A3">
        <w:rPr>
          <w:lang w:val="es-ES_tradnl"/>
        </w:rPr>
        <w:t>n el punto 21 del Anexo 2 de la Decisión 5 (Rev. Dubái, 2018) de la Conferencia de Plenipotenciarios se citan los métodos de trabajo electrónicos como una manera de obtener ahorros;</w:t>
      </w:r>
    </w:p>
    <w:p w14:paraId="5D208756" w14:textId="50EFEA22" w:rsidR="002B583F" w:rsidRPr="006A76A3" w:rsidRDefault="00A0662A" w:rsidP="00A0662A">
      <w:pPr>
        <w:pStyle w:val="enumlev1"/>
        <w:rPr>
          <w:lang w:val="es-ES_tradnl"/>
        </w:rPr>
      </w:pPr>
      <w:r w:rsidRPr="00A0662A">
        <w:rPr>
          <w:lang w:val="es-ES_tradnl"/>
        </w:rPr>
        <w:t>–</w:t>
      </w:r>
      <w:r>
        <w:rPr>
          <w:lang w:val="es-ES_tradnl"/>
        </w:rPr>
        <w:tab/>
      </w:r>
      <w:r w:rsidR="008A4CF0" w:rsidRPr="006A76A3">
        <w:rPr>
          <w:lang w:val="es-ES_tradnl"/>
        </w:rPr>
        <w:t>en la Decisión 12 (Rev. Busán, 2014) de la Conferencia de Plenipotenciarios se cita específicamente la distribución electrónica de las publicaciones de la UIT;</w:t>
      </w:r>
    </w:p>
    <w:p w14:paraId="43F4E2C1" w14:textId="5D88E341" w:rsidR="002B583F" w:rsidRPr="006A76A3" w:rsidRDefault="00A0662A" w:rsidP="00A0662A">
      <w:pPr>
        <w:pStyle w:val="enumlev1"/>
        <w:rPr>
          <w:lang w:val="es-ES_tradnl"/>
        </w:rPr>
      </w:pPr>
      <w:r w:rsidRPr="00A0662A">
        <w:rPr>
          <w:lang w:val="es-ES_tradnl"/>
        </w:rPr>
        <w:t>–</w:t>
      </w:r>
      <w:r>
        <w:rPr>
          <w:lang w:val="es-ES_tradnl"/>
        </w:rPr>
        <w:tab/>
      </w:r>
      <w:r w:rsidR="008A4CF0" w:rsidRPr="006A76A3">
        <w:rPr>
          <w:lang w:val="es-ES_tradnl"/>
        </w:rPr>
        <w:t>en la Resolución 66 (Rev. Guadalajara, 2010) de la Conferencia de Plenipotenciarios se especifica la gestión electrónica de los documentos y publicaciones de la Unión;</w:t>
      </w:r>
    </w:p>
    <w:p w14:paraId="24ABF143" w14:textId="71E26571" w:rsidR="002B583F" w:rsidRPr="006A76A3" w:rsidRDefault="00A0662A" w:rsidP="00A0662A">
      <w:pPr>
        <w:pStyle w:val="enumlev1"/>
        <w:rPr>
          <w:lang w:val="es-ES_tradnl"/>
        </w:rPr>
      </w:pPr>
      <w:r w:rsidRPr="00A0662A">
        <w:rPr>
          <w:lang w:val="es-ES_tradnl"/>
        </w:rPr>
        <w:t>–</w:t>
      </w:r>
      <w:r>
        <w:rPr>
          <w:lang w:val="es-ES_tradnl"/>
        </w:rPr>
        <w:tab/>
      </w:r>
      <w:r w:rsidR="008A4CF0" w:rsidRPr="006A76A3">
        <w:rPr>
          <w:lang w:val="es-ES_tradnl"/>
        </w:rPr>
        <w:t>en la Resolución 123 (Rev. Busán, 2014) de la Conferencia de Plenipotenciarios se insta a la utilización de métodos de trabajo electrónicos a fin de facilitar la participación de los países en desarrollo</w:t>
      </w:r>
      <w:r w:rsidR="002B583F" w:rsidRPr="006A76A3">
        <w:rPr>
          <w:lang w:val="es-ES_tradnl"/>
        </w:rPr>
        <w:t xml:space="preserve">; </w:t>
      </w:r>
      <w:r w:rsidR="008A4CF0" w:rsidRPr="006A76A3">
        <w:rPr>
          <w:lang w:val="es-ES_tradnl"/>
        </w:rPr>
        <w:t xml:space="preserve">y, por </w:t>
      </w:r>
      <w:r w:rsidR="000F5393" w:rsidRPr="006A76A3">
        <w:rPr>
          <w:lang w:val="es-ES_tradnl"/>
        </w:rPr>
        <w:t>último</w:t>
      </w:r>
      <w:r w:rsidR="008A4CF0" w:rsidRPr="006A76A3">
        <w:rPr>
          <w:lang w:val="es-ES_tradnl"/>
        </w:rPr>
        <w:t>,</w:t>
      </w:r>
    </w:p>
    <w:p w14:paraId="7353676F" w14:textId="683FA7F9" w:rsidR="002B583F" w:rsidRPr="006A76A3" w:rsidRDefault="00A0662A" w:rsidP="00A0662A">
      <w:pPr>
        <w:pStyle w:val="enumlev1"/>
        <w:rPr>
          <w:lang w:val="es-ES_tradnl"/>
        </w:rPr>
      </w:pPr>
      <w:r w:rsidRPr="00A0662A">
        <w:rPr>
          <w:lang w:val="es-ES_tradnl"/>
        </w:rPr>
        <w:t>–</w:t>
      </w:r>
      <w:r>
        <w:rPr>
          <w:lang w:val="es-ES_tradnl"/>
        </w:rPr>
        <w:tab/>
      </w:r>
      <w:r w:rsidR="008A4CF0" w:rsidRPr="006A76A3">
        <w:rPr>
          <w:lang w:val="es-ES_tradnl"/>
        </w:rPr>
        <w:t xml:space="preserve">en la Resolución 167 (Rev. Busán, 2014) de la Conferencia de Plenipotenciarios se </w:t>
      </w:r>
      <w:r w:rsidR="00654E6B" w:rsidRPr="006A76A3">
        <w:rPr>
          <w:lang w:val="es-ES_tradnl"/>
        </w:rPr>
        <w:t>insta a</w:t>
      </w:r>
      <w:r w:rsidR="008A4CF0" w:rsidRPr="006A76A3">
        <w:rPr>
          <w:lang w:val="es-ES_tradnl"/>
        </w:rPr>
        <w:t xml:space="preserve"> reforzar las capacidades para celebrar reuniones electrónicas.</w:t>
      </w:r>
    </w:p>
    <w:p w14:paraId="61B41432" w14:textId="2587F4E2" w:rsidR="002B583F" w:rsidRPr="006A76A3" w:rsidRDefault="00654E6B" w:rsidP="002B583F">
      <w:pPr>
        <w:rPr>
          <w:szCs w:val="24"/>
          <w:lang w:val="es-ES_tradnl"/>
        </w:rPr>
      </w:pPr>
      <w:r w:rsidRPr="006A76A3">
        <w:rPr>
          <w:szCs w:val="24"/>
          <w:lang w:val="es-ES_tradnl"/>
        </w:rPr>
        <w:t>Además, algunas disposiciones de la parte dispositiva de la Resolución 81 (Rev. Buenos Aires, 2017) de la Conferencia Mundial de Desarrollo de las Telecomunicaciones se tratan como parte de las disposiciones de la Resolución 1 de la CMDT, en particular: los párrafos 2.1.2.1 sobre las publicaciones electrónicas de los textos del Sector, 13.2.11 sobre la colaboración entre miembros de las Comisiones de Estudio y la Sección 16 sobre el acceso electrónico.</w:t>
      </w:r>
    </w:p>
    <w:p w14:paraId="54779A34" w14:textId="3E9501B0" w:rsidR="002B583F" w:rsidRPr="006A76A3" w:rsidRDefault="0077649D" w:rsidP="002B583F">
      <w:pPr>
        <w:rPr>
          <w:szCs w:val="24"/>
          <w:lang w:val="es-ES_tradnl"/>
        </w:rPr>
      </w:pPr>
      <w:r w:rsidRPr="006A76A3">
        <w:rPr>
          <w:szCs w:val="24"/>
          <w:lang w:val="es-ES_tradnl"/>
        </w:rPr>
        <w:t>Dado que la Resolución 167 abarca los aspectos generales de la Resolución 81 de la AMNT y la Conferencia de Plenipotenciarios de 2018 reconoció la necesidad de racionalizar las Resoluciones, se propone suprimir la Resolución 81.</w:t>
      </w:r>
    </w:p>
    <w:p w14:paraId="05FEDC8D" w14:textId="77777777" w:rsidR="007B19E5" w:rsidRPr="006A76A3" w:rsidRDefault="00004848">
      <w:pPr>
        <w:pStyle w:val="Proposal"/>
        <w:rPr>
          <w:lang w:val="es-ES_tradnl"/>
        </w:rPr>
      </w:pPr>
      <w:r w:rsidRPr="006A76A3">
        <w:rPr>
          <w:b/>
          <w:lang w:val="es-ES_tradnl"/>
        </w:rPr>
        <w:t>SUP</w:t>
      </w:r>
      <w:r w:rsidRPr="006A76A3">
        <w:rPr>
          <w:lang w:val="es-ES_tradnl"/>
        </w:rPr>
        <w:tab/>
        <w:t>IAP/24A1/1</w:t>
      </w:r>
    </w:p>
    <w:p w14:paraId="1D5FADD2" w14:textId="77777777" w:rsidR="0037376D" w:rsidRPr="009872F0" w:rsidRDefault="00004848" w:rsidP="0037376D">
      <w:pPr>
        <w:pStyle w:val="ResNo"/>
        <w:rPr>
          <w:lang w:val="es-ES_tradnl"/>
        </w:rPr>
      </w:pPr>
      <w:bookmarkStart w:id="8" w:name="_Toc503337323"/>
      <w:bookmarkStart w:id="9" w:name="_Toc506801861"/>
      <w:r w:rsidRPr="009872F0">
        <w:rPr>
          <w:lang w:val="es-ES_tradnl"/>
        </w:rPr>
        <w:t xml:space="preserve">RESOLUCIÓN </w:t>
      </w:r>
      <w:r w:rsidRPr="009872F0">
        <w:rPr>
          <w:rStyle w:val="href"/>
          <w:lang w:val="es-ES_tradnl"/>
        </w:rPr>
        <w:t>81</w:t>
      </w:r>
      <w:r w:rsidRPr="009872F0">
        <w:rPr>
          <w:lang w:val="es-ES_tradnl"/>
        </w:rPr>
        <w:t xml:space="preserve"> (</w:t>
      </w:r>
      <w:r w:rsidRPr="009872F0">
        <w:rPr>
          <w:caps w:val="0"/>
          <w:lang w:val="es-ES_tradnl"/>
        </w:rPr>
        <w:t>Rev</w:t>
      </w:r>
      <w:r w:rsidRPr="009872F0">
        <w:rPr>
          <w:lang w:val="es-ES_tradnl"/>
        </w:rPr>
        <w:t xml:space="preserve">. </w:t>
      </w:r>
      <w:r w:rsidRPr="009872F0">
        <w:rPr>
          <w:caps w:val="0"/>
          <w:lang w:val="es-ES_tradnl"/>
        </w:rPr>
        <w:t>Buenos Aires</w:t>
      </w:r>
      <w:r w:rsidRPr="009872F0">
        <w:rPr>
          <w:lang w:val="es-ES_tradnl"/>
        </w:rPr>
        <w:t>, 2017)</w:t>
      </w:r>
      <w:bookmarkEnd w:id="8"/>
      <w:bookmarkEnd w:id="9"/>
    </w:p>
    <w:p w14:paraId="7A9C0549" w14:textId="77777777" w:rsidR="0037376D" w:rsidRPr="009872F0" w:rsidRDefault="00004848" w:rsidP="00F85A8C">
      <w:pPr>
        <w:pStyle w:val="Restitle"/>
        <w:rPr>
          <w:lang w:val="es-ES_tradnl"/>
        </w:rPr>
      </w:pPr>
      <w:bookmarkStart w:id="10" w:name="_Toc505610000"/>
      <w:bookmarkStart w:id="11" w:name="_Toc505610445"/>
      <w:bookmarkStart w:id="12" w:name="_Toc506801862"/>
      <w:r w:rsidRPr="009872F0">
        <w:rPr>
          <w:lang w:val="es-ES_tradnl"/>
        </w:rPr>
        <w:t>Perfeccionamiento de los métodos de trabajo electrónicos</w:t>
      </w:r>
      <w:r w:rsidRPr="009872F0">
        <w:rPr>
          <w:lang w:val="es-ES_tradnl"/>
        </w:rPr>
        <w:br/>
        <w:t>para la labor del Sector de Desarrollo de</w:t>
      </w:r>
      <w:r w:rsidRPr="009872F0">
        <w:rPr>
          <w:lang w:val="es-ES_tradnl"/>
        </w:rPr>
        <w:br/>
        <w:t>las Telecomunicaciones de la UIT</w:t>
      </w:r>
      <w:bookmarkEnd w:id="10"/>
      <w:bookmarkEnd w:id="11"/>
      <w:bookmarkEnd w:id="12"/>
    </w:p>
    <w:p w14:paraId="5BB2B184" w14:textId="77777777" w:rsidR="0077649D" w:rsidRPr="006A76A3" w:rsidRDefault="00004848" w:rsidP="0077649D">
      <w:pPr>
        <w:pStyle w:val="Normalaftertitle"/>
        <w:rPr>
          <w:lang w:val="es-ES_tradnl"/>
        </w:rPr>
      </w:pPr>
      <w:r w:rsidRPr="009872F0">
        <w:rPr>
          <w:lang w:val="es-ES_tradnl"/>
        </w:rPr>
        <w:t>La Conferencia Mundial de Desarrollo de las Telecomunicaciones (Buenos Aires, 2017),</w:t>
      </w:r>
    </w:p>
    <w:p w14:paraId="6D1BFD3B" w14:textId="77777777" w:rsidR="00A0662A" w:rsidRPr="00D35EA7" w:rsidRDefault="00A0662A" w:rsidP="00411C49">
      <w:pPr>
        <w:pStyle w:val="Reasons"/>
        <w:rPr>
          <w:lang w:val="es-ES"/>
        </w:rPr>
      </w:pPr>
    </w:p>
    <w:p w14:paraId="65CEB159" w14:textId="77777777" w:rsidR="00A0662A" w:rsidRDefault="00A0662A">
      <w:pPr>
        <w:jc w:val="center"/>
      </w:pPr>
      <w:r>
        <w:t>______________</w:t>
      </w:r>
    </w:p>
    <w:sectPr w:rsidR="00A0662A">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EE40" w14:textId="77777777" w:rsidR="0060286B" w:rsidRDefault="0060286B">
      <w:r>
        <w:separator/>
      </w:r>
    </w:p>
  </w:endnote>
  <w:endnote w:type="continuationSeparator" w:id="0">
    <w:p w14:paraId="3C128A30" w14:textId="77777777" w:rsidR="0060286B" w:rsidRDefault="0060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7D3B" w14:textId="77777777" w:rsidR="00E45D05" w:rsidRDefault="00E45D05">
    <w:pPr>
      <w:framePr w:wrap="around" w:vAnchor="text" w:hAnchor="margin" w:xAlign="right" w:y="1"/>
    </w:pPr>
    <w:r>
      <w:fldChar w:fldCharType="begin"/>
    </w:r>
    <w:r>
      <w:instrText xml:space="preserve">PAGE  </w:instrText>
    </w:r>
    <w:r>
      <w:fldChar w:fldCharType="end"/>
    </w:r>
  </w:p>
  <w:p w14:paraId="415D096A" w14:textId="3C48D3C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70CE0">
      <w:rPr>
        <w:noProof/>
        <w:lang w:val="en-US"/>
      </w:rPr>
      <w:t>P:\TRAD\S\ITU-D\CONF-D\WTDC17\DIV\413949 LIN S.docx</w:t>
    </w:r>
    <w:r>
      <w:fldChar w:fldCharType="end"/>
    </w:r>
    <w:r w:rsidRPr="0041348E">
      <w:rPr>
        <w:lang w:val="en-US"/>
      </w:rPr>
      <w:tab/>
    </w:r>
    <w:r>
      <w:fldChar w:fldCharType="begin"/>
    </w:r>
    <w:r>
      <w:instrText xml:space="preserve"> SAVEDATE \@ DD.MM.YY </w:instrText>
    </w:r>
    <w:r>
      <w:fldChar w:fldCharType="separate"/>
    </w:r>
    <w:r w:rsidR="000D535B">
      <w:rPr>
        <w:noProof/>
      </w:rPr>
      <w:t>17.05.22</w:t>
    </w:r>
    <w:r>
      <w:fldChar w:fldCharType="end"/>
    </w:r>
    <w:r w:rsidRPr="0041348E">
      <w:rPr>
        <w:lang w:val="en-US"/>
      </w:rPr>
      <w:tab/>
    </w:r>
    <w:r>
      <w:fldChar w:fldCharType="begin"/>
    </w:r>
    <w:r>
      <w:instrText xml:space="preserve"> PRINTDATE \@ DD.MM.YY </w:instrText>
    </w:r>
    <w:r>
      <w:fldChar w:fldCharType="separate"/>
    </w:r>
    <w:r w:rsidR="00D70CE0">
      <w:rPr>
        <w:noProof/>
      </w:rPr>
      <w:t>09.03.17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A742" w14:textId="517CE820" w:rsidR="00004848" w:rsidRDefault="00D35EA7" w:rsidP="00A0662A">
    <w:pPr>
      <w:pStyle w:val="Footer"/>
    </w:pPr>
    <w:fldSimple w:instr=" FILENAME \p  \* MERGEFORMAT ">
      <w:r w:rsidR="00A0662A">
        <w:t>P:\ESP\ITU-D\CONF-D\WTDC21\000\024ADD01S.docx</w:t>
      </w:r>
    </w:fldSimple>
    <w:r w:rsidR="00A0662A">
      <w:t xml:space="preserve"> (505059)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CA6F" w14:textId="77777777" w:rsidR="00D83BF5" w:rsidRDefault="00D83BF5" w:rsidP="00D83BF5"/>
  <w:tbl>
    <w:tblPr>
      <w:tblW w:w="9923" w:type="dxa"/>
      <w:tblLayout w:type="fixed"/>
      <w:tblLook w:val="04A0" w:firstRow="1" w:lastRow="0" w:firstColumn="1" w:lastColumn="0" w:noHBand="0" w:noVBand="1"/>
    </w:tblPr>
    <w:tblGrid>
      <w:gridCol w:w="1134"/>
      <w:gridCol w:w="2552"/>
      <w:gridCol w:w="6237"/>
    </w:tblGrid>
    <w:tr w:rsidR="009D7554" w:rsidRPr="000D535B" w14:paraId="62AB0038" w14:textId="77777777" w:rsidTr="009D7554">
      <w:tc>
        <w:tcPr>
          <w:tcW w:w="1134" w:type="dxa"/>
          <w:tcBorders>
            <w:top w:val="single" w:sz="4" w:space="0" w:color="000000"/>
          </w:tcBorders>
          <w:shd w:val="clear" w:color="auto" w:fill="auto"/>
        </w:tcPr>
        <w:p w14:paraId="6324F158" w14:textId="77777777" w:rsidR="009D7554" w:rsidRPr="004D495C" w:rsidRDefault="009D7554" w:rsidP="009D755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1B4BA1E6" w14:textId="77777777" w:rsidR="009D7554" w:rsidRPr="004D495C" w:rsidRDefault="009D7554" w:rsidP="009D755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14:paraId="62613078" w14:textId="6675C23A" w:rsidR="009D7554" w:rsidRPr="006A76A3" w:rsidRDefault="009D7554" w:rsidP="009D7554">
          <w:pPr>
            <w:pStyle w:val="FirstFooter"/>
            <w:tabs>
              <w:tab w:val="left" w:pos="2302"/>
            </w:tabs>
            <w:ind w:left="2302" w:hanging="2302"/>
            <w:rPr>
              <w:sz w:val="18"/>
              <w:szCs w:val="18"/>
              <w:highlight w:val="yellow"/>
              <w:lang w:val="es-ES_tradnl"/>
            </w:rPr>
          </w:pPr>
          <w:r w:rsidRPr="006A76A3">
            <w:rPr>
              <w:sz w:val="18"/>
              <w:szCs w:val="18"/>
              <w:lang w:val="es-ES_tradnl"/>
            </w:rPr>
            <w:t>Sr. Tegar Satrio Dwiputro, Ministro de Comunicaciones e Informática, Indonesia</w:t>
          </w:r>
        </w:p>
      </w:tc>
      <w:bookmarkStart w:id="17" w:name="OrgName"/>
      <w:bookmarkEnd w:id="17"/>
    </w:tr>
    <w:tr w:rsidR="009D7554" w:rsidRPr="004D495C" w14:paraId="36470952" w14:textId="77777777" w:rsidTr="009D7554">
      <w:tc>
        <w:tcPr>
          <w:tcW w:w="1134" w:type="dxa"/>
          <w:shd w:val="clear" w:color="auto" w:fill="auto"/>
        </w:tcPr>
        <w:p w14:paraId="553443A7" w14:textId="77777777" w:rsidR="009D7554" w:rsidRPr="006A76A3" w:rsidRDefault="009D7554" w:rsidP="009D7554">
          <w:pPr>
            <w:pStyle w:val="FirstFooter"/>
            <w:tabs>
              <w:tab w:val="left" w:pos="1559"/>
              <w:tab w:val="left" w:pos="3828"/>
            </w:tabs>
            <w:rPr>
              <w:sz w:val="20"/>
              <w:lang w:val="es-ES_tradnl"/>
            </w:rPr>
          </w:pPr>
        </w:p>
      </w:tc>
      <w:tc>
        <w:tcPr>
          <w:tcW w:w="2552" w:type="dxa"/>
          <w:shd w:val="clear" w:color="auto" w:fill="auto"/>
        </w:tcPr>
        <w:p w14:paraId="5114394E" w14:textId="77777777" w:rsidR="009D7554" w:rsidRPr="004D495C" w:rsidRDefault="009D7554" w:rsidP="009D755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14:paraId="5C95AC7B" w14:textId="2AB3E441" w:rsidR="009D7554" w:rsidRPr="004D495C" w:rsidRDefault="009D7554" w:rsidP="009D7554">
          <w:pPr>
            <w:pStyle w:val="FirstFooter"/>
            <w:tabs>
              <w:tab w:val="left" w:pos="2302"/>
            </w:tabs>
            <w:rPr>
              <w:sz w:val="18"/>
              <w:szCs w:val="18"/>
              <w:highlight w:val="yellow"/>
              <w:lang w:val="en-US"/>
            </w:rPr>
          </w:pPr>
          <w:r w:rsidRPr="00552036">
            <w:rPr>
              <w:sz w:val="18"/>
              <w:szCs w:val="18"/>
              <w:lang w:val="en-US"/>
            </w:rPr>
            <w:t>n</w:t>
          </w:r>
          <w:r w:rsidR="00A0662A">
            <w:rPr>
              <w:sz w:val="18"/>
              <w:szCs w:val="18"/>
              <w:lang w:val="en-US"/>
            </w:rPr>
            <w:t xml:space="preserve">. </w:t>
          </w:r>
          <w:r w:rsidRPr="00552036">
            <w:rPr>
              <w:sz w:val="18"/>
              <w:szCs w:val="18"/>
              <w:lang w:val="en-US"/>
            </w:rPr>
            <w:t>a</w:t>
          </w:r>
          <w:r w:rsidR="00A0662A">
            <w:rPr>
              <w:sz w:val="18"/>
              <w:szCs w:val="18"/>
              <w:lang w:val="en-US"/>
            </w:rPr>
            <w:t>.</w:t>
          </w:r>
        </w:p>
      </w:tc>
      <w:bookmarkStart w:id="18" w:name="PhoneNo"/>
      <w:bookmarkEnd w:id="18"/>
    </w:tr>
    <w:tr w:rsidR="009D7554" w:rsidRPr="004D495C" w14:paraId="7C6217CB" w14:textId="77777777" w:rsidTr="009D7554">
      <w:tc>
        <w:tcPr>
          <w:tcW w:w="1134" w:type="dxa"/>
          <w:shd w:val="clear" w:color="auto" w:fill="auto"/>
        </w:tcPr>
        <w:p w14:paraId="5E3D6601" w14:textId="77777777" w:rsidR="009D7554" w:rsidRPr="004D495C" w:rsidRDefault="009D7554" w:rsidP="009D7554">
          <w:pPr>
            <w:pStyle w:val="FirstFooter"/>
            <w:tabs>
              <w:tab w:val="left" w:pos="1559"/>
              <w:tab w:val="left" w:pos="3828"/>
            </w:tabs>
            <w:rPr>
              <w:sz w:val="20"/>
              <w:lang w:val="en-US"/>
            </w:rPr>
          </w:pPr>
        </w:p>
      </w:tc>
      <w:tc>
        <w:tcPr>
          <w:tcW w:w="2552" w:type="dxa"/>
          <w:shd w:val="clear" w:color="auto" w:fill="auto"/>
        </w:tcPr>
        <w:p w14:paraId="747F1EAF" w14:textId="77777777" w:rsidR="009D7554" w:rsidRPr="004D495C" w:rsidRDefault="009D7554" w:rsidP="009D7554">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14:paraId="1FF03761" w14:textId="786D2267" w:rsidR="009D7554" w:rsidRPr="004D495C" w:rsidRDefault="000D535B" w:rsidP="009D7554">
          <w:pPr>
            <w:pStyle w:val="FirstFooter"/>
            <w:tabs>
              <w:tab w:val="left" w:pos="2302"/>
            </w:tabs>
            <w:rPr>
              <w:sz w:val="18"/>
              <w:szCs w:val="18"/>
              <w:highlight w:val="yellow"/>
              <w:lang w:val="en-US"/>
            </w:rPr>
          </w:pPr>
          <w:hyperlink r:id="rId1" w:history="1">
            <w:r w:rsidR="009D7554" w:rsidRPr="00EC6883">
              <w:rPr>
                <w:rStyle w:val="Hyperlink"/>
                <w:sz w:val="18"/>
                <w:szCs w:val="18"/>
                <w:lang w:val="en-US"/>
              </w:rPr>
              <w:t>Tega001@kominfo.go.id</w:t>
            </w:r>
          </w:hyperlink>
          <w:r w:rsidR="009D7554" w:rsidRPr="00EC6883">
            <w:rPr>
              <w:sz w:val="18"/>
              <w:szCs w:val="18"/>
              <w:lang w:val="en-US"/>
            </w:rPr>
            <w:t xml:space="preserve"> </w:t>
          </w:r>
        </w:p>
      </w:tc>
      <w:bookmarkStart w:id="19" w:name="Email"/>
      <w:bookmarkEnd w:id="19"/>
    </w:tr>
  </w:tbl>
  <w:p w14:paraId="5A37CEF7" w14:textId="77777777" w:rsidR="000B1248" w:rsidRPr="00D83BF5" w:rsidRDefault="000D535B" w:rsidP="00616175">
    <w:pPr>
      <w:jc w:val="center"/>
    </w:pPr>
    <w:hyperlink r:id="rId2" w:history="1">
      <w:r w:rsidR="007E1CA3">
        <w:rPr>
          <w:rStyle w:val="Hyperlink"/>
          <w:sz w:val="20"/>
        </w:rPr>
        <w:t>CMDT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7D86" w14:textId="77777777" w:rsidR="0060286B" w:rsidRDefault="0060286B">
      <w:r>
        <w:rPr>
          <w:b/>
        </w:rPr>
        <w:t>_______________</w:t>
      </w:r>
    </w:p>
  </w:footnote>
  <w:footnote w:type="continuationSeparator" w:id="0">
    <w:p w14:paraId="441B21F9" w14:textId="77777777" w:rsidR="0060286B" w:rsidRDefault="0060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EECF" w14:textId="3FE202D2" w:rsidR="00A066F1" w:rsidRPr="00D83BF5" w:rsidRDefault="00D83BF5" w:rsidP="00D0250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bookmarkStart w:id="13" w:name="_Hlk56755748"/>
    <w:r w:rsidR="00D02508" w:rsidRPr="00D02508">
      <w:rPr>
        <w:sz w:val="22"/>
        <w:szCs w:val="22"/>
        <w:lang w:val="de-CH"/>
      </w:rPr>
      <w:t>WTDC</w:t>
    </w:r>
    <w:r w:rsidR="00A0662A">
      <w:rPr>
        <w:sz w:val="22"/>
        <w:szCs w:val="22"/>
        <w:lang w:val="de-CH"/>
      </w:rPr>
      <w:t>-</w:t>
    </w:r>
    <w:r w:rsidR="00F87CC0">
      <w:rPr>
        <w:sz w:val="22"/>
        <w:szCs w:val="22"/>
        <w:lang w:val="de-CH"/>
      </w:rPr>
      <w:t>2</w:t>
    </w:r>
    <w:r w:rsidR="00F2683C">
      <w:rPr>
        <w:sz w:val="22"/>
        <w:szCs w:val="22"/>
        <w:lang w:val="de-CH"/>
      </w:rPr>
      <w:t>2</w:t>
    </w:r>
    <w:r w:rsidR="00D02508" w:rsidRPr="00D02508">
      <w:rPr>
        <w:sz w:val="22"/>
        <w:szCs w:val="22"/>
        <w:lang w:val="de-CH"/>
      </w:rPr>
      <w:t>/</w:t>
    </w:r>
    <w:bookmarkStart w:id="14" w:name="OLE_LINK3"/>
    <w:bookmarkStart w:id="15" w:name="OLE_LINK2"/>
    <w:bookmarkStart w:id="16" w:name="OLE_LINK1"/>
    <w:r w:rsidR="00D02508" w:rsidRPr="00D02508">
      <w:rPr>
        <w:sz w:val="22"/>
        <w:szCs w:val="22"/>
      </w:rPr>
      <w:t>24(Add.1)</w:t>
    </w:r>
    <w:bookmarkEnd w:id="14"/>
    <w:bookmarkEnd w:id="15"/>
    <w:bookmarkEnd w:id="16"/>
    <w:r w:rsidR="00D02508" w:rsidRPr="00D02508">
      <w:rPr>
        <w:sz w:val="22"/>
        <w:szCs w:val="22"/>
      </w:rPr>
      <w:t>-S</w:t>
    </w:r>
    <w:bookmarkEnd w:id="13"/>
    <w:r w:rsidRPr="00FF089C">
      <w:rPr>
        <w:sz w:val="22"/>
        <w:szCs w:val="22"/>
        <w:lang w:val="es-ES_tradnl"/>
      </w:rPr>
      <w:tab/>
      <w:t>P</w:t>
    </w:r>
    <w:r w:rsidR="00BA70B7">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E84D60">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FAC3BC2"/>
    <w:multiLevelType w:val="hybridMultilevel"/>
    <w:tmpl w:val="669AB1E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888125">
    <w:abstractNumId w:val="0"/>
  </w:num>
  <w:num w:numId="2" w16cid:durableId="14727482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00636232">
    <w:abstractNumId w:val="5"/>
  </w:num>
  <w:num w:numId="4" w16cid:durableId="282929817">
    <w:abstractNumId w:val="2"/>
  </w:num>
  <w:num w:numId="5" w16cid:durableId="493256378">
    <w:abstractNumId w:val="4"/>
  </w:num>
  <w:num w:numId="6" w16cid:durableId="1330256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848"/>
    <w:rsid w:val="00022A29"/>
    <w:rsid w:val="000355FD"/>
    <w:rsid w:val="00051E39"/>
    <w:rsid w:val="00075C63"/>
    <w:rsid w:val="00077239"/>
    <w:rsid w:val="00080905"/>
    <w:rsid w:val="000822BE"/>
    <w:rsid w:val="00086491"/>
    <w:rsid w:val="00091346"/>
    <w:rsid w:val="000B1248"/>
    <w:rsid w:val="000D535B"/>
    <w:rsid w:val="000F5393"/>
    <w:rsid w:val="000F73FF"/>
    <w:rsid w:val="00114CF7"/>
    <w:rsid w:val="00123B68"/>
    <w:rsid w:val="00126F2E"/>
    <w:rsid w:val="00143B37"/>
    <w:rsid w:val="00146F6F"/>
    <w:rsid w:val="00147DA1"/>
    <w:rsid w:val="00152957"/>
    <w:rsid w:val="00162685"/>
    <w:rsid w:val="00187BD9"/>
    <w:rsid w:val="00190B55"/>
    <w:rsid w:val="00194CFB"/>
    <w:rsid w:val="001B2ED3"/>
    <w:rsid w:val="001C3B5F"/>
    <w:rsid w:val="001D058F"/>
    <w:rsid w:val="002009EA"/>
    <w:rsid w:val="00202CA0"/>
    <w:rsid w:val="002154A6"/>
    <w:rsid w:val="002162CD"/>
    <w:rsid w:val="002255B3"/>
    <w:rsid w:val="00236E8A"/>
    <w:rsid w:val="00245A45"/>
    <w:rsid w:val="00271316"/>
    <w:rsid w:val="00296313"/>
    <w:rsid w:val="002B583F"/>
    <w:rsid w:val="002D58BE"/>
    <w:rsid w:val="003013EE"/>
    <w:rsid w:val="00371686"/>
    <w:rsid w:val="00374212"/>
    <w:rsid w:val="00377BD3"/>
    <w:rsid w:val="00384088"/>
    <w:rsid w:val="0038489B"/>
    <w:rsid w:val="0039169B"/>
    <w:rsid w:val="003A7F8C"/>
    <w:rsid w:val="003B532E"/>
    <w:rsid w:val="003B6F14"/>
    <w:rsid w:val="003C15A6"/>
    <w:rsid w:val="003D0F8B"/>
    <w:rsid w:val="004131D4"/>
    <w:rsid w:val="0041348E"/>
    <w:rsid w:val="00437E3B"/>
    <w:rsid w:val="00447308"/>
    <w:rsid w:val="004765FF"/>
    <w:rsid w:val="00492075"/>
    <w:rsid w:val="004969AD"/>
    <w:rsid w:val="004B13CB"/>
    <w:rsid w:val="004B4FDF"/>
    <w:rsid w:val="004D5D5C"/>
    <w:rsid w:val="004E0DD0"/>
    <w:rsid w:val="0050139F"/>
    <w:rsid w:val="00521223"/>
    <w:rsid w:val="00524DF1"/>
    <w:rsid w:val="0055140B"/>
    <w:rsid w:val="00554C4F"/>
    <w:rsid w:val="00561D72"/>
    <w:rsid w:val="005964AB"/>
    <w:rsid w:val="005B44F5"/>
    <w:rsid w:val="005C099A"/>
    <w:rsid w:val="005C31A5"/>
    <w:rsid w:val="005E1050"/>
    <w:rsid w:val="005E10C9"/>
    <w:rsid w:val="005E61DD"/>
    <w:rsid w:val="005E6321"/>
    <w:rsid w:val="006023DF"/>
    <w:rsid w:val="0060286B"/>
    <w:rsid w:val="00607EF3"/>
    <w:rsid w:val="00616175"/>
    <w:rsid w:val="0064322F"/>
    <w:rsid w:val="00654E6B"/>
    <w:rsid w:val="00657DE0"/>
    <w:rsid w:val="0067199F"/>
    <w:rsid w:val="00685313"/>
    <w:rsid w:val="00687B47"/>
    <w:rsid w:val="006A6E9B"/>
    <w:rsid w:val="006A76A3"/>
    <w:rsid w:val="006B7C2A"/>
    <w:rsid w:val="006C23DA"/>
    <w:rsid w:val="006C59B9"/>
    <w:rsid w:val="006E3D45"/>
    <w:rsid w:val="007149F9"/>
    <w:rsid w:val="00716D34"/>
    <w:rsid w:val="00733A30"/>
    <w:rsid w:val="00745AEE"/>
    <w:rsid w:val="007479EA"/>
    <w:rsid w:val="00750F10"/>
    <w:rsid w:val="007742CA"/>
    <w:rsid w:val="0077649D"/>
    <w:rsid w:val="007B19E5"/>
    <w:rsid w:val="007D06F0"/>
    <w:rsid w:val="007D45E3"/>
    <w:rsid w:val="007D5320"/>
    <w:rsid w:val="007E1CA3"/>
    <w:rsid w:val="007F735C"/>
    <w:rsid w:val="00800972"/>
    <w:rsid w:val="00804475"/>
    <w:rsid w:val="00811633"/>
    <w:rsid w:val="00821CEF"/>
    <w:rsid w:val="00832828"/>
    <w:rsid w:val="0083645A"/>
    <w:rsid w:val="00840B0F"/>
    <w:rsid w:val="008631A7"/>
    <w:rsid w:val="0086376E"/>
    <w:rsid w:val="008711AE"/>
    <w:rsid w:val="00872FC8"/>
    <w:rsid w:val="008801D3"/>
    <w:rsid w:val="008845D0"/>
    <w:rsid w:val="008A4CF0"/>
    <w:rsid w:val="008B43F2"/>
    <w:rsid w:val="008B61EA"/>
    <w:rsid w:val="008B6CFF"/>
    <w:rsid w:val="00910B26"/>
    <w:rsid w:val="009274B4"/>
    <w:rsid w:val="00934EA2"/>
    <w:rsid w:val="00944A5C"/>
    <w:rsid w:val="00952A66"/>
    <w:rsid w:val="009766C5"/>
    <w:rsid w:val="00981EC0"/>
    <w:rsid w:val="009C56E5"/>
    <w:rsid w:val="009D2796"/>
    <w:rsid w:val="009D7554"/>
    <w:rsid w:val="009E5FC8"/>
    <w:rsid w:val="009E687A"/>
    <w:rsid w:val="00A03C5C"/>
    <w:rsid w:val="00A0662A"/>
    <w:rsid w:val="00A066F1"/>
    <w:rsid w:val="00A141AF"/>
    <w:rsid w:val="00A16D29"/>
    <w:rsid w:val="00A20E5E"/>
    <w:rsid w:val="00A30305"/>
    <w:rsid w:val="00A31D2D"/>
    <w:rsid w:val="00A4600A"/>
    <w:rsid w:val="00A538A6"/>
    <w:rsid w:val="00A54C25"/>
    <w:rsid w:val="00A710E7"/>
    <w:rsid w:val="00A72661"/>
    <w:rsid w:val="00A7372E"/>
    <w:rsid w:val="00A93B85"/>
    <w:rsid w:val="00AA0B18"/>
    <w:rsid w:val="00AA666F"/>
    <w:rsid w:val="00AB4927"/>
    <w:rsid w:val="00AD23ED"/>
    <w:rsid w:val="00B004E5"/>
    <w:rsid w:val="00B15F9D"/>
    <w:rsid w:val="00B639E9"/>
    <w:rsid w:val="00B817CD"/>
    <w:rsid w:val="00B911B2"/>
    <w:rsid w:val="00B951D0"/>
    <w:rsid w:val="00BA70B7"/>
    <w:rsid w:val="00BB29C8"/>
    <w:rsid w:val="00BB3A95"/>
    <w:rsid w:val="00BC0382"/>
    <w:rsid w:val="00BE1A9F"/>
    <w:rsid w:val="00C0018F"/>
    <w:rsid w:val="00C20466"/>
    <w:rsid w:val="00C214ED"/>
    <w:rsid w:val="00C234E6"/>
    <w:rsid w:val="00C324A8"/>
    <w:rsid w:val="00C54517"/>
    <w:rsid w:val="00C64CD8"/>
    <w:rsid w:val="00C90466"/>
    <w:rsid w:val="00C97C68"/>
    <w:rsid w:val="00CA1A47"/>
    <w:rsid w:val="00CB2BB6"/>
    <w:rsid w:val="00CC247A"/>
    <w:rsid w:val="00CE1F7C"/>
    <w:rsid w:val="00CE5E47"/>
    <w:rsid w:val="00CF020F"/>
    <w:rsid w:val="00CF1B30"/>
    <w:rsid w:val="00CF2B5B"/>
    <w:rsid w:val="00D02508"/>
    <w:rsid w:val="00D14CE0"/>
    <w:rsid w:val="00D35EA7"/>
    <w:rsid w:val="00D36333"/>
    <w:rsid w:val="00D5651D"/>
    <w:rsid w:val="00D61C5B"/>
    <w:rsid w:val="00D70CE0"/>
    <w:rsid w:val="00D7308C"/>
    <w:rsid w:val="00D74898"/>
    <w:rsid w:val="00D801ED"/>
    <w:rsid w:val="00D81E43"/>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45CC"/>
    <w:rsid w:val="00E26226"/>
    <w:rsid w:val="00E4165C"/>
    <w:rsid w:val="00E45D05"/>
    <w:rsid w:val="00E55816"/>
    <w:rsid w:val="00E55AEF"/>
    <w:rsid w:val="00E84D60"/>
    <w:rsid w:val="00E976C1"/>
    <w:rsid w:val="00EA12E5"/>
    <w:rsid w:val="00F02766"/>
    <w:rsid w:val="00F04067"/>
    <w:rsid w:val="00F05BD4"/>
    <w:rsid w:val="00F11A98"/>
    <w:rsid w:val="00F21A1D"/>
    <w:rsid w:val="00F2683C"/>
    <w:rsid w:val="00F65C19"/>
    <w:rsid w:val="00F736DC"/>
    <w:rsid w:val="00F87CC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C24F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s/ITU-D/Conferences/WTDC/WTDC21/Pages/default.aspx" TargetMode="External"/><Relationship Id="rId1" Type="http://schemas.openxmlformats.org/officeDocument/2006/relationships/hyperlink" Target="mailto:Tega001@kominfo.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D18-WTDC21-C-0024!A1!MSW-S</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362D4-1476-4D50-B074-3223AB52EF27}">
  <ds:schemaRefs>
    <ds:schemaRef ds:uri="http://schemas.openxmlformats.org/officeDocument/2006/bibliography"/>
  </ds:schemaRefs>
</ds:datastoreItem>
</file>

<file path=customXml/itemProps2.xml><?xml version="1.0" encoding="utf-8"?>
<ds:datastoreItem xmlns:ds="http://schemas.openxmlformats.org/officeDocument/2006/customXml" ds:itemID="{D1EA6B53-B1C1-48EA-9DA3-9ACDF28CB205}">
  <ds:schemaRefs>
    <ds:schemaRef ds:uri="http://schemas.microsoft.com/sharepoint/events"/>
  </ds:schemaRefs>
</ds:datastoreItem>
</file>

<file path=customXml/itemProps3.xml><?xml version="1.0" encoding="utf-8"?>
<ds:datastoreItem xmlns:ds="http://schemas.openxmlformats.org/officeDocument/2006/customXml" ds:itemID="{612486E5-6946-4948-8308-32AC00248F50}">
  <ds:schemaRefs>
    <ds:schemaRef ds:uri="http://purl.org/dc/dcmitype/"/>
    <ds:schemaRef ds:uri="32a1a8c5-2265-4ebc-b7a0-2071e2c5c9bb"/>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www.w3.org/XML/1998/namespace"/>
  </ds:schemaRefs>
</ds:datastoreItem>
</file>

<file path=customXml/itemProps4.xml><?xml version="1.0" encoding="utf-8"?>
<ds:datastoreItem xmlns:ds="http://schemas.openxmlformats.org/officeDocument/2006/customXml" ds:itemID="{CDEB6C3F-8FA8-4469-A727-001BE94FD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09E846-B07F-4C2A-A6EF-DFB55615C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501</Words>
  <Characters>2786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D18-WTDC21-C-0024!A1!MSW-S</vt:lpstr>
      <vt:lpstr>D18-WTDC21-C-0024!A1!MSW-S</vt:lpstr>
    </vt:vector>
  </TitlesOfParts>
  <Manager>General Secretariat - Pool</Manager>
  <Company/>
  <LinksUpToDate>false</LinksUpToDate>
  <CharactersWithSpaces>3281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D18-WTDC21-C-0024!A1!MSW-S</dc:title>
  <dc:subject/>
  <dc:creator>Documents Proposals Manager (DPM)</dc:creator>
  <cp:keywords>DPM_v2022.5.11.1_prod</cp:keywords>
  <dc:description/>
  <cp:lastModifiedBy>Ayala Martinez, Beatriz</cp:lastModifiedBy>
  <cp:revision>12</cp:revision>
  <cp:lastPrinted>2017-03-09T15:07:00Z</cp:lastPrinted>
  <dcterms:created xsi:type="dcterms:W3CDTF">2022-05-17T13:14:00Z</dcterms:created>
  <dcterms:modified xsi:type="dcterms:W3CDTF">2022-05-18T10:09:00Z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