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102"/>
        <w:gridCol w:w="4175"/>
        <w:gridCol w:w="3362"/>
      </w:tblGrid>
      <w:tr w:rsidR="005A511B" w14:paraId="6A0F4513" w14:textId="77777777" w:rsidTr="0075198C">
        <w:trPr>
          <w:cantSplit/>
          <w:trHeight w:val="1134"/>
        </w:trPr>
        <w:tc>
          <w:tcPr>
            <w:tcW w:w="2102" w:type="dxa"/>
          </w:tcPr>
          <w:p w14:paraId="421AAE61" w14:textId="77777777" w:rsidR="005A511B" w:rsidRPr="0040711F" w:rsidRDefault="00591BD8" w:rsidP="00783DA7">
            <w:pPr>
              <w:tabs>
                <w:tab w:val="clear" w:pos="1134"/>
              </w:tabs>
              <w:spacing w:before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4"/>
                <w:szCs w:val="4"/>
                <w:lang w:val="en-US"/>
              </w:rPr>
              <w:drawing>
                <wp:inline distT="0" distB="0" distL="0" distR="0" wp14:anchorId="5FBE2EEE" wp14:editId="1E1B5367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7" w:type="dxa"/>
            <w:gridSpan w:val="2"/>
          </w:tcPr>
          <w:p w14:paraId="14A096AF" w14:textId="77777777" w:rsidR="005A511B" w:rsidRDefault="005A511B" w:rsidP="00783DA7">
            <w:pPr>
              <w:tabs>
                <w:tab w:val="clear" w:pos="1134"/>
              </w:tabs>
              <w:spacing w:before="240" w:after="48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195B6253" wp14:editId="61D7BDB4">
                  <wp:simplePos x="0" y="0"/>
                  <wp:positionH relativeFrom="column">
                    <wp:posOffset>3883660</wp:posOffset>
                  </wp:positionH>
                  <wp:positionV relativeFrom="paragraph">
                    <wp:posOffset>89535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711F">
              <w:rPr>
                <w:b/>
                <w:bCs/>
                <w:sz w:val="32"/>
                <w:szCs w:val="32"/>
              </w:rPr>
              <w:t>Conférence mondiale de développement</w:t>
            </w:r>
            <w:r w:rsidRPr="0040711F">
              <w:rPr>
                <w:b/>
                <w:bCs/>
                <w:sz w:val="32"/>
                <w:szCs w:val="32"/>
              </w:rPr>
              <w:br/>
              <w:t>des télécommunications (CMDT</w:t>
            </w:r>
            <w:r w:rsidR="00591BD8">
              <w:rPr>
                <w:b/>
                <w:bCs/>
                <w:sz w:val="32"/>
                <w:szCs w:val="32"/>
              </w:rPr>
              <w:t>-2</w:t>
            </w:r>
            <w:r w:rsidR="00872758">
              <w:rPr>
                <w:b/>
                <w:bCs/>
                <w:sz w:val="32"/>
                <w:szCs w:val="32"/>
              </w:rPr>
              <w:t>2</w:t>
            </w:r>
            <w:r w:rsidRPr="0040711F">
              <w:rPr>
                <w:b/>
                <w:bCs/>
                <w:sz w:val="32"/>
                <w:szCs w:val="32"/>
              </w:rPr>
              <w:t>)</w:t>
            </w:r>
          </w:p>
          <w:p w14:paraId="6FC16A13" w14:textId="77777777" w:rsidR="005A511B" w:rsidRPr="00D96B4B" w:rsidRDefault="00591BD8" w:rsidP="00783DA7">
            <w:pPr>
              <w:tabs>
                <w:tab w:val="clear" w:pos="1134"/>
              </w:tabs>
              <w:spacing w:after="48"/>
              <w:ind w:left="34"/>
              <w:rPr>
                <w:rFonts w:cstheme="minorHAnsi"/>
              </w:rPr>
            </w:pPr>
            <w:r w:rsidRPr="00591BD8">
              <w:rPr>
                <w:b/>
                <w:bCs/>
                <w:sz w:val="26"/>
                <w:szCs w:val="26"/>
              </w:rPr>
              <w:t>Kigali, Rwanda, 6-16 juin 2022</w:t>
            </w:r>
            <w:bookmarkStart w:id="0" w:name="ditulogo"/>
            <w:bookmarkEnd w:id="0"/>
          </w:p>
        </w:tc>
      </w:tr>
      <w:tr w:rsidR="00D83BF5" w:rsidRPr="00C324A8" w14:paraId="678A6967" w14:textId="77777777" w:rsidTr="0075198C">
        <w:trPr>
          <w:cantSplit/>
        </w:trPr>
        <w:tc>
          <w:tcPr>
            <w:tcW w:w="6277" w:type="dxa"/>
            <w:gridSpan w:val="2"/>
            <w:tcBorders>
              <w:top w:val="single" w:sz="12" w:space="0" w:color="auto"/>
            </w:tcBorders>
          </w:tcPr>
          <w:p w14:paraId="66D9D293" w14:textId="77777777" w:rsidR="00D83BF5" w:rsidRPr="00D96B4B" w:rsidRDefault="00D83BF5" w:rsidP="00783DA7">
            <w:pPr>
              <w:spacing w:before="0" w:after="48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2" w:type="dxa"/>
            <w:tcBorders>
              <w:top w:val="single" w:sz="12" w:space="0" w:color="auto"/>
            </w:tcBorders>
          </w:tcPr>
          <w:p w14:paraId="4D704817" w14:textId="77777777" w:rsidR="00D83BF5" w:rsidRPr="00D96B4B" w:rsidRDefault="00D83BF5" w:rsidP="00783DA7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D83BF5" w:rsidRPr="00783DA7" w14:paraId="48F17361" w14:textId="77777777" w:rsidTr="0075198C">
        <w:trPr>
          <w:cantSplit/>
          <w:trHeight w:val="23"/>
        </w:trPr>
        <w:tc>
          <w:tcPr>
            <w:tcW w:w="6277" w:type="dxa"/>
            <w:gridSpan w:val="2"/>
            <w:shd w:val="clear" w:color="auto" w:fill="auto"/>
          </w:tcPr>
          <w:p w14:paraId="43FA8675" w14:textId="77777777" w:rsidR="00D83BF5" w:rsidRPr="00D96B4B" w:rsidRDefault="00EF1503" w:rsidP="00783DA7">
            <w:pPr>
              <w:pStyle w:val="Committee"/>
              <w:framePr w:hSpace="0" w:wrap="auto" w:hAnchor="text" w:yAlign="inline"/>
              <w:spacing w:line="240" w:lineRule="auto"/>
            </w:pPr>
            <w:bookmarkStart w:id="2" w:name="dnum" w:colFirst="1" w:colLast="1"/>
            <w:bookmarkStart w:id="3" w:name="dmeeting" w:colFirst="0" w:colLast="0"/>
            <w:bookmarkEnd w:id="1"/>
            <w:r w:rsidRPr="00EF1503">
              <w:t>SÉANCE PLÉNIÈRE</w:t>
            </w:r>
          </w:p>
        </w:tc>
        <w:tc>
          <w:tcPr>
            <w:tcW w:w="3362" w:type="dxa"/>
          </w:tcPr>
          <w:p w14:paraId="7D0521DF" w14:textId="1110CF78" w:rsidR="00D83BF5" w:rsidRPr="00E07105" w:rsidRDefault="00EF1503" w:rsidP="00783DA7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es-ES_tradnl"/>
              </w:rPr>
            </w:pPr>
            <w:r w:rsidRPr="00226EE6">
              <w:rPr>
                <w:b/>
                <w:bCs/>
                <w:szCs w:val="24"/>
              </w:rPr>
              <w:t>Addendum 1 au</w:t>
            </w:r>
            <w:r w:rsidRPr="00226EE6">
              <w:rPr>
                <w:b/>
                <w:bCs/>
                <w:szCs w:val="24"/>
              </w:rPr>
              <w:br/>
              <w:t>Document</w:t>
            </w:r>
            <w:r w:rsidR="00122B20">
              <w:rPr>
                <w:b/>
                <w:bCs/>
                <w:szCs w:val="24"/>
              </w:rPr>
              <w:t xml:space="preserve"> </w:t>
            </w:r>
            <w:r w:rsidRPr="00226EE6">
              <w:rPr>
                <w:b/>
                <w:bCs/>
                <w:szCs w:val="24"/>
              </w:rPr>
              <w:t>24</w:t>
            </w:r>
            <w:r w:rsidR="00907654" w:rsidRPr="00226EE6">
              <w:rPr>
                <w:b/>
                <w:bCs/>
                <w:szCs w:val="24"/>
              </w:rPr>
              <w:t>-F</w:t>
            </w:r>
          </w:p>
        </w:tc>
      </w:tr>
      <w:tr w:rsidR="00D83BF5" w:rsidRPr="00C324A8" w14:paraId="410EEB09" w14:textId="77777777" w:rsidTr="0075198C">
        <w:trPr>
          <w:cantSplit/>
          <w:trHeight w:val="23"/>
        </w:trPr>
        <w:tc>
          <w:tcPr>
            <w:tcW w:w="6277" w:type="dxa"/>
            <w:gridSpan w:val="2"/>
            <w:shd w:val="clear" w:color="auto" w:fill="auto"/>
          </w:tcPr>
          <w:p w14:paraId="71E42461" w14:textId="77777777" w:rsidR="00D83BF5" w:rsidRPr="00E07105" w:rsidRDefault="00D83BF5" w:rsidP="00783DA7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362" w:type="dxa"/>
          </w:tcPr>
          <w:p w14:paraId="58549CC4" w14:textId="77777777" w:rsidR="00D83BF5" w:rsidRPr="00D96B4B" w:rsidRDefault="00EF1503" w:rsidP="00783DA7">
            <w:pPr>
              <w:spacing w:before="0"/>
              <w:rPr>
                <w:rFonts w:cstheme="minorHAnsi"/>
                <w:szCs w:val="24"/>
              </w:rPr>
            </w:pPr>
            <w:r w:rsidRPr="00EF1503">
              <w:rPr>
                <w:b/>
                <w:bCs/>
                <w:szCs w:val="24"/>
              </w:rPr>
              <w:t>2 mai 2022</w:t>
            </w:r>
          </w:p>
        </w:tc>
      </w:tr>
      <w:tr w:rsidR="00D83BF5" w:rsidRPr="00C324A8" w14:paraId="12525D1D" w14:textId="77777777" w:rsidTr="0075198C">
        <w:trPr>
          <w:cantSplit/>
          <w:trHeight w:val="23"/>
        </w:trPr>
        <w:tc>
          <w:tcPr>
            <w:tcW w:w="6277" w:type="dxa"/>
            <w:gridSpan w:val="2"/>
            <w:shd w:val="clear" w:color="auto" w:fill="auto"/>
          </w:tcPr>
          <w:p w14:paraId="745B9E52" w14:textId="77777777" w:rsidR="00D83BF5" w:rsidRPr="00D96B4B" w:rsidRDefault="00D83BF5" w:rsidP="00783DA7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362" w:type="dxa"/>
          </w:tcPr>
          <w:p w14:paraId="79D598C3" w14:textId="77777777" w:rsidR="00D83BF5" w:rsidRPr="00D96B4B" w:rsidRDefault="00EF1503" w:rsidP="00783DA7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EF1503">
              <w:rPr>
                <w:b/>
                <w:bCs/>
                <w:szCs w:val="24"/>
              </w:rPr>
              <w:t>Original: anglais</w:t>
            </w:r>
          </w:p>
        </w:tc>
      </w:tr>
      <w:tr w:rsidR="00D83BF5" w:rsidRPr="00783DA7" w14:paraId="0F124678" w14:textId="77777777" w:rsidTr="005A511B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CCAE724" w14:textId="69576900" w:rsidR="00D83BF5" w:rsidRPr="0075198C" w:rsidRDefault="0075198C" w:rsidP="00783DA7">
            <w:pPr>
              <w:pStyle w:val="Source"/>
              <w:spacing w:before="240" w:after="240"/>
              <w:rPr>
                <w:lang w:val="fr-FR"/>
              </w:rPr>
            </w:pPr>
            <w:r w:rsidRPr="0075198C">
              <w:rPr>
                <w:lang w:val="fr-FR"/>
              </w:rPr>
              <w:t>É</w:t>
            </w:r>
            <w:r w:rsidR="00EF1503" w:rsidRPr="0075198C">
              <w:rPr>
                <w:lang w:val="fr-FR"/>
              </w:rPr>
              <w:t>tats Membres de la Commission interaméricaine des télécommunications (CITEL)</w:t>
            </w:r>
          </w:p>
        </w:tc>
      </w:tr>
      <w:tr w:rsidR="00D83BF5" w:rsidRPr="009813AF" w14:paraId="102A8DBB" w14:textId="77777777" w:rsidTr="005A511B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4B261CC5" w14:textId="04D741BA" w:rsidR="00D83BF5" w:rsidRPr="00783DA7" w:rsidRDefault="00EF1503" w:rsidP="00783DA7">
            <w:pPr>
              <w:pStyle w:val="Title1"/>
              <w:spacing w:before="120" w:after="120"/>
              <w:rPr>
                <w:color w:val="000000"/>
              </w:rPr>
            </w:pPr>
            <w:r w:rsidRPr="00226EE6">
              <w:t>Propos</w:t>
            </w:r>
            <w:r w:rsidR="00226EE6">
              <w:t xml:space="preserve">ition de </w:t>
            </w:r>
            <w:r w:rsidR="00226EE6" w:rsidRPr="00226EE6">
              <w:rPr>
                <w:color w:val="000000"/>
              </w:rPr>
              <w:t>SUPPRESSION de la rÉsolution 81 de la cmdt</w:t>
            </w:r>
            <w:r w:rsidR="00226EE6">
              <w:rPr>
                <w:color w:val="000000"/>
              </w:rPr>
              <w:t xml:space="preserve"> intitulé</w:t>
            </w:r>
            <w:r w:rsidR="00851DDB">
              <w:rPr>
                <w:color w:val="000000"/>
              </w:rPr>
              <w:t>e</w:t>
            </w:r>
            <w:r w:rsidR="00226EE6">
              <w:rPr>
                <w:color w:val="000000"/>
              </w:rPr>
              <w:t xml:space="preserve"> </w:t>
            </w:r>
            <w:r w:rsidR="00783DA7">
              <w:rPr>
                <w:color w:val="000000"/>
              </w:rPr>
              <w:t>"</w:t>
            </w:r>
            <w:r w:rsidR="00226EE6" w:rsidRPr="00226EE6">
              <w:rPr>
                <w:color w:val="000000"/>
              </w:rPr>
              <w:t xml:space="preserve">PERFECTIONNEMENT DES MÉTHODES DE TRAVAIL ÉLECTRONIQUES </w:t>
            </w:r>
            <w:r w:rsidR="00783DA7">
              <w:rPr>
                <w:color w:val="000000"/>
              </w:rPr>
              <w:br/>
            </w:r>
            <w:r w:rsidR="00226EE6" w:rsidRPr="00226EE6">
              <w:rPr>
                <w:color w:val="000000"/>
              </w:rPr>
              <w:t xml:space="preserve">POUR LES TRAVAUX </w:t>
            </w:r>
            <w:r w:rsidR="006D0C45">
              <w:rPr>
                <w:color w:val="000000"/>
              </w:rPr>
              <w:t>DU SECTEUR DU DÉVELOPPEMENT DES </w:t>
            </w:r>
            <w:r w:rsidR="00226EE6" w:rsidRPr="00226EE6">
              <w:rPr>
                <w:color w:val="000000"/>
              </w:rPr>
              <w:t>TÉLÉCOMMUNICATIONS DE L'UIT</w:t>
            </w:r>
            <w:r w:rsidR="00783DA7">
              <w:rPr>
                <w:color w:val="000000"/>
              </w:rPr>
              <w:t>"</w:t>
            </w:r>
          </w:p>
        </w:tc>
      </w:tr>
      <w:tr w:rsidR="00D83BF5" w:rsidRPr="009813AF" w14:paraId="55469C24" w14:textId="77777777" w:rsidTr="005A511B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4B8C0272" w14:textId="77777777" w:rsidR="00D83BF5" w:rsidRPr="00851DDB" w:rsidRDefault="00D83BF5" w:rsidP="00783DA7">
            <w:pPr>
              <w:pStyle w:val="Title2"/>
              <w:spacing w:before="240"/>
            </w:pPr>
          </w:p>
        </w:tc>
      </w:tr>
      <w:tr w:rsidR="00EF1503" w:rsidRPr="009813AF" w14:paraId="1FA10B0C" w14:textId="77777777" w:rsidTr="005A511B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10E0EAEC" w14:textId="77777777" w:rsidR="00EF1503" w:rsidRPr="00851DDB" w:rsidRDefault="00EF1503" w:rsidP="00783DA7">
            <w:pPr>
              <w:pStyle w:val="Title2"/>
              <w:spacing w:before="240"/>
            </w:pPr>
          </w:p>
        </w:tc>
      </w:tr>
      <w:bookmarkEnd w:id="6"/>
      <w:bookmarkEnd w:id="7"/>
      <w:tr w:rsidR="00CD6DCF" w:rsidRPr="00783DA7" w14:paraId="4A835F36" w14:textId="77777777" w:rsidTr="0075198C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7E64" w14:textId="77777777" w:rsidR="00CD6DCF" w:rsidRPr="0075198C" w:rsidRDefault="00326DA7" w:rsidP="00783DA7">
            <w:pPr>
              <w:rPr>
                <w:lang w:val="fr-FR"/>
              </w:rPr>
            </w:pPr>
            <w:r w:rsidRPr="0075198C">
              <w:rPr>
                <w:rFonts w:ascii="Calibri" w:eastAsia="SimSun" w:hAnsi="Calibri" w:cs="Traditional Arabic"/>
                <w:b/>
                <w:bCs/>
                <w:szCs w:val="24"/>
                <w:lang w:val="fr-FR"/>
              </w:rPr>
              <w:t>Domaine prioritaire:</w:t>
            </w:r>
          </w:p>
          <w:p w14:paraId="05CA6A32" w14:textId="3ADF35F7" w:rsidR="00CD6DCF" w:rsidRPr="0075198C" w:rsidRDefault="0075198C" w:rsidP="00783DA7">
            <w:pPr>
              <w:rPr>
                <w:szCs w:val="24"/>
                <w:lang w:val="fr-FR"/>
              </w:rPr>
            </w:pPr>
            <w:r w:rsidRPr="0075198C">
              <w:rPr>
                <w:szCs w:val="24"/>
                <w:lang w:val="fr-FR"/>
              </w:rPr>
              <w:t>–</w:t>
            </w:r>
            <w:r>
              <w:rPr>
                <w:szCs w:val="24"/>
                <w:lang w:val="fr-FR"/>
              </w:rPr>
              <w:tab/>
              <w:t xml:space="preserve">Résolutions et </w:t>
            </w:r>
            <w:r w:rsidR="00783DA7">
              <w:rPr>
                <w:szCs w:val="24"/>
                <w:lang w:val="fr-FR"/>
              </w:rPr>
              <w:t>R</w:t>
            </w:r>
            <w:r>
              <w:rPr>
                <w:szCs w:val="24"/>
                <w:lang w:val="fr-FR"/>
              </w:rPr>
              <w:t>ecommandations</w:t>
            </w:r>
          </w:p>
          <w:p w14:paraId="4158A58E" w14:textId="77777777" w:rsidR="00CD6DCF" w:rsidRPr="0075198C" w:rsidRDefault="00326DA7" w:rsidP="00783DA7">
            <w:pPr>
              <w:rPr>
                <w:lang w:val="fr-FR"/>
              </w:rPr>
            </w:pPr>
            <w:r w:rsidRPr="0075198C">
              <w:rPr>
                <w:rFonts w:ascii="Calibri" w:eastAsia="SimSun" w:hAnsi="Calibri" w:cs="Traditional Arabic"/>
                <w:b/>
                <w:bCs/>
                <w:szCs w:val="24"/>
                <w:lang w:val="fr-FR"/>
              </w:rPr>
              <w:t>Résumé:</w:t>
            </w:r>
          </w:p>
          <w:p w14:paraId="0CB16852" w14:textId="3C459E8C" w:rsidR="00226EE6" w:rsidRDefault="00226EE6" w:rsidP="00783DA7">
            <w:pPr>
              <w:rPr>
                <w:szCs w:val="24"/>
              </w:rPr>
            </w:pPr>
            <w:r>
              <w:rPr>
                <w:szCs w:val="24"/>
              </w:rPr>
              <w:t xml:space="preserve">Dans le présent </w:t>
            </w:r>
            <w:r w:rsidRPr="00226EE6">
              <w:rPr>
                <w:szCs w:val="24"/>
              </w:rPr>
              <w:t>document</w:t>
            </w:r>
            <w:r>
              <w:rPr>
                <w:szCs w:val="24"/>
              </w:rPr>
              <w:t>, il est</w:t>
            </w:r>
            <w:r w:rsidRPr="00226EE6">
              <w:rPr>
                <w:szCs w:val="24"/>
              </w:rPr>
              <w:t xml:space="preserve"> propos</w:t>
            </w:r>
            <w:r>
              <w:rPr>
                <w:szCs w:val="24"/>
              </w:rPr>
              <w:t xml:space="preserve">é de supprimer </w:t>
            </w:r>
            <w:r w:rsidRPr="00226EE6">
              <w:rPr>
                <w:szCs w:val="24"/>
              </w:rPr>
              <w:t>la Résolution 81</w:t>
            </w:r>
            <w:r>
              <w:rPr>
                <w:szCs w:val="24"/>
              </w:rPr>
              <w:t xml:space="preserve">, </w:t>
            </w:r>
            <w:r w:rsidRPr="00226EE6">
              <w:rPr>
                <w:szCs w:val="24"/>
              </w:rPr>
              <w:t xml:space="preserve">étant donné que les différents points </w:t>
            </w:r>
            <w:r w:rsidR="00851DDB">
              <w:rPr>
                <w:szCs w:val="24"/>
              </w:rPr>
              <w:t>qui y sont traités</w:t>
            </w:r>
            <w:r w:rsidRPr="00226EE6">
              <w:rPr>
                <w:szCs w:val="24"/>
              </w:rPr>
              <w:t xml:space="preserve"> sont déjà inclus dans d'autres textes de l'UIT comme le</w:t>
            </w:r>
            <w:r>
              <w:rPr>
                <w:szCs w:val="24"/>
              </w:rPr>
              <w:t xml:space="preserve">s Règles </w:t>
            </w:r>
            <w:r w:rsidRPr="00226EE6">
              <w:rPr>
                <w:szCs w:val="24"/>
              </w:rPr>
              <w:t>général</w:t>
            </w:r>
            <w:r>
              <w:rPr>
                <w:szCs w:val="24"/>
              </w:rPr>
              <w:t>es</w:t>
            </w:r>
            <w:r w:rsidRPr="00226EE6">
              <w:rPr>
                <w:szCs w:val="24"/>
              </w:rPr>
              <w:t xml:space="preserve"> ou les décisions et résolutions de la Conférence de plénipotentiaires. </w:t>
            </w:r>
          </w:p>
          <w:p w14:paraId="62E7466B" w14:textId="77777777" w:rsidR="00CD6DCF" w:rsidRPr="0075198C" w:rsidRDefault="00326DA7" w:rsidP="00783DA7">
            <w:pPr>
              <w:rPr>
                <w:lang w:val="fr-FR"/>
              </w:rPr>
            </w:pPr>
            <w:r w:rsidRPr="0075198C">
              <w:rPr>
                <w:rFonts w:ascii="Calibri" w:eastAsia="SimSun" w:hAnsi="Calibri" w:cs="Traditional Arabic"/>
                <w:b/>
                <w:bCs/>
                <w:szCs w:val="24"/>
                <w:lang w:val="fr-FR"/>
              </w:rPr>
              <w:t>Résultats attendus:</w:t>
            </w:r>
          </w:p>
          <w:p w14:paraId="5D8570C7" w14:textId="3A5F5370" w:rsidR="00CD6DCF" w:rsidRPr="0075198C" w:rsidRDefault="0075198C" w:rsidP="00783DA7">
            <w:pPr>
              <w:rPr>
                <w:szCs w:val="24"/>
                <w:lang w:val="fr-FR"/>
              </w:rPr>
            </w:pPr>
            <w:r w:rsidRPr="0075198C">
              <w:rPr>
                <w:szCs w:val="24"/>
                <w:lang w:val="fr-FR"/>
              </w:rPr>
              <w:t>La CMDT</w:t>
            </w:r>
            <w:r w:rsidR="00226EE6">
              <w:rPr>
                <w:szCs w:val="24"/>
                <w:lang w:val="fr-FR"/>
              </w:rPr>
              <w:t>-22</w:t>
            </w:r>
            <w:r w:rsidRPr="0075198C">
              <w:rPr>
                <w:szCs w:val="24"/>
                <w:lang w:val="fr-FR"/>
              </w:rPr>
              <w:t xml:space="preserve"> est invitée à examiner et à approuver </w:t>
            </w:r>
            <w:r w:rsidR="00226EE6">
              <w:rPr>
                <w:szCs w:val="24"/>
                <w:lang w:val="fr-FR"/>
              </w:rPr>
              <w:t>la proposition figurant dans le</w:t>
            </w:r>
            <w:r w:rsidRPr="0075198C">
              <w:rPr>
                <w:szCs w:val="24"/>
                <w:lang w:val="fr-FR"/>
              </w:rPr>
              <w:t xml:space="preserve"> présent document.</w:t>
            </w:r>
          </w:p>
          <w:p w14:paraId="63447BE6" w14:textId="77777777" w:rsidR="00CD6DCF" w:rsidRPr="0075198C" w:rsidRDefault="00326DA7" w:rsidP="00783DA7">
            <w:pPr>
              <w:rPr>
                <w:lang w:val="fr-FR"/>
              </w:rPr>
            </w:pPr>
            <w:r w:rsidRPr="0075198C">
              <w:rPr>
                <w:rFonts w:ascii="Calibri" w:eastAsia="SimSun" w:hAnsi="Calibri" w:cs="Traditional Arabic"/>
                <w:b/>
                <w:bCs/>
                <w:szCs w:val="24"/>
                <w:lang w:val="fr-FR"/>
              </w:rPr>
              <w:t>Références:</w:t>
            </w:r>
          </w:p>
          <w:p w14:paraId="55521F30" w14:textId="7169B7CE" w:rsidR="00CD6DCF" w:rsidRPr="0075198C" w:rsidRDefault="0075198C" w:rsidP="006D0C45">
            <w:pPr>
              <w:spacing w:after="120"/>
              <w:rPr>
                <w:szCs w:val="24"/>
                <w:lang w:val="fr-FR"/>
              </w:rPr>
            </w:pPr>
            <w:r w:rsidRPr="0075198C">
              <w:rPr>
                <w:szCs w:val="24"/>
                <w:lang w:val="fr-FR"/>
              </w:rPr>
              <w:t>R</w:t>
            </w:r>
            <w:r w:rsidR="00226EE6">
              <w:rPr>
                <w:szCs w:val="24"/>
                <w:lang w:val="fr-FR"/>
              </w:rPr>
              <w:t>é</w:t>
            </w:r>
            <w:r w:rsidRPr="0075198C">
              <w:rPr>
                <w:szCs w:val="24"/>
                <w:lang w:val="fr-FR"/>
              </w:rPr>
              <w:t>solution 81 (R</w:t>
            </w:r>
            <w:r w:rsidR="00122B20">
              <w:rPr>
                <w:szCs w:val="24"/>
                <w:lang w:val="fr-FR"/>
              </w:rPr>
              <w:t>é</w:t>
            </w:r>
            <w:r w:rsidRPr="0075198C">
              <w:rPr>
                <w:szCs w:val="24"/>
                <w:lang w:val="fr-FR"/>
              </w:rPr>
              <w:t>v. Buenos Aires, 2017)</w:t>
            </w:r>
            <w:r w:rsidR="00226EE6">
              <w:rPr>
                <w:szCs w:val="24"/>
                <w:lang w:val="fr-FR"/>
              </w:rPr>
              <w:t xml:space="preserve"> de la CMDT</w:t>
            </w:r>
          </w:p>
        </w:tc>
      </w:tr>
    </w:tbl>
    <w:p w14:paraId="10B6A3B2" w14:textId="77777777" w:rsidR="006D0C45" w:rsidRDefault="006D0C45" w:rsidP="00783DA7">
      <w:pPr>
        <w:spacing w:before="240"/>
        <w:rPr>
          <w:szCs w:val="24"/>
          <w:lang w:val="fr-FR"/>
        </w:rPr>
      </w:pPr>
      <w:r>
        <w:rPr>
          <w:szCs w:val="24"/>
          <w:lang w:val="fr-FR"/>
        </w:rPr>
        <w:br w:type="page"/>
      </w:r>
    </w:p>
    <w:p w14:paraId="1C318074" w14:textId="2E912148" w:rsidR="0075198C" w:rsidRPr="0075198C" w:rsidRDefault="00226EE6" w:rsidP="00783DA7">
      <w:pPr>
        <w:spacing w:before="240"/>
        <w:rPr>
          <w:szCs w:val="24"/>
        </w:rPr>
      </w:pPr>
      <w:r>
        <w:rPr>
          <w:szCs w:val="24"/>
          <w:lang w:val="fr-FR"/>
        </w:rPr>
        <w:lastRenderedPageBreak/>
        <w:t>Nous</w:t>
      </w:r>
      <w:r w:rsidR="0075198C" w:rsidRPr="0075198C">
        <w:rPr>
          <w:szCs w:val="24"/>
          <w:lang w:val="fr-FR"/>
        </w:rPr>
        <w:t xml:space="preserve"> reconnaiss</w:t>
      </w:r>
      <w:r>
        <w:rPr>
          <w:szCs w:val="24"/>
          <w:lang w:val="fr-FR"/>
        </w:rPr>
        <w:t>ons</w:t>
      </w:r>
      <w:r w:rsidR="00851DDB">
        <w:rPr>
          <w:szCs w:val="24"/>
          <w:lang w:val="fr-FR"/>
        </w:rPr>
        <w:t xml:space="preserve"> </w:t>
      </w:r>
      <w:r w:rsidR="0075198C" w:rsidRPr="0075198C">
        <w:rPr>
          <w:szCs w:val="24"/>
          <w:lang w:val="fr-FR"/>
        </w:rPr>
        <w:t xml:space="preserve">que le BDT a pris un certain nombre de mesures pour améliorer ses procédures, en particulier celles qui s'appliquent aux </w:t>
      </w:r>
      <w:r w:rsidR="00851DDB">
        <w:rPr>
          <w:szCs w:val="24"/>
          <w:lang w:val="fr-FR"/>
        </w:rPr>
        <w:t>c</w:t>
      </w:r>
      <w:r w:rsidR="0075198C" w:rsidRPr="0075198C">
        <w:rPr>
          <w:szCs w:val="24"/>
          <w:lang w:val="fr-FR"/>
        </w:rPr>
        <w:t>ommissions d'études de l'UIT</w:t>
      </w:r>
      <w:r w:rsidR="0075198C" w:rsidRPr="0075198C">
        <w:rPr>
          <w:szCs w:val="24"/>
          <w:lang w:val="fr-FR"/>
        </w:rPr>
        <w:noBreakHyphen/>
        <w:t>D.</w:t>
      </w:r>
      <w:r w:rsidR="0075198C">
        <w:rPr>
          <w:szCs w:val="24"/>
          <w:lang w:val="fr-FR"/>
        </w:rPr>
        <w:t xml:space="preserve"> </w:t>
      </w:r>
      <w:r w:rsidR="00851DDB">
        <w:rPr>
          <w:szCs w:val="24"/>
        </w:rPr>
        <w:t>Actuellement,</w:t>
      </w:r>
      <w:r w:rsidR="0075198C" w:rsidRPr="0075198C">
        <w:rPr>
          <w:szCs w:val="24"/>
        </w:rPr>
        <w:t xml:space="preserve"> la plupart des réunions de l'UIT-</w:t>
      </w:r>
      <w:r w:rsidR="007A3BE5">
        <w:rPr>
          <w:szCs w:val="24"/>
        </w:rPr>
        <w:t>D</w:t>
      </w:r>
      <w:r w:rsidR="0075198C" w:rsidRPr="0075198C">
        <w:rPr>
          <w:szCs w:val="24"/>
        </w:rPr>
        <w:t xml:space="preserve"> se déroulent entièrement sans document papier</w:t>
      </w:r>
      <w:r w:rsidR="0075198C" w:rsidRPr="0075198C">
        <w:rPr>
          <w:szCs w:val="24"/>
          <w:lang w:val="fr-FR"/>
        </w:rPr>
        <w:t>.</w:t>
      </w:r>
      <w:r w:rsidR="0075198C">
        <w:rPr>
          <w:szCs w:val="24"/>
        </w:rPr>
        <w:t xml:space="preserve"> </w:t>
      </w:r>
      <w:r w:rsidR="0075198C" w:rsidRPr="00BA444C">
        <w:t>Les méthodes de travail électroniques font partie intégrante des procédures actuelle</w:t>
      </w:r>
      <w:r w:rsidR="007A3BE5">
        <w:t>ment en vigueur</w:t>
      </w:r>
      <w:r w:rsidR="0075198C" w:rsidRPr="00BA444C">
        <w:rPr>
          <w:lang w:val="fr-FR"/>
        </w:rPr>
        <w:t>:</w:t>
      </w:r>
    </w:p>
    <w:p w14:paraId="32199970" w14:textId="72FF4A8B" w:rsidR="0075198C" w:rsidRPr="00122B20" w:rsidRDefault="00122B20" w:rsidP="00122B20">
      <w:pPr>
        <w:pStyle w:val="enumlev1"/>
      </w:pPr>
      <w:r w:rsidRPr="00122B20">
        <w:t>–</w:t>
      </w:r>
      <w:r w:rsidR="0075198C" w:rsidRPr="00122B20">
        <w:tab/>
        <w:t xml:space="preserve">Dans les Règles générales, il est désormais précisé que les propositions </w:t>
      </w:r>
      <w:r w:rsidR="00851DDB" w:rsidRPr="00122B20">
        <w:t xml:space="preserve">présentées </w:t>
      </w:r>
      <w:r w:rsidR="0075198C" w:rsidRPr="00122B20">
        <w:t>aux réunions sont disponibles sur support électronique.</w:t>
      </w:r>
    </w:p>
    <w:p w14:paraId="1B20397A" w14:textId="4ACBB6FC" w:rsidR="0075198C" w:rsidRPr="00122B20" w:rsidRDefault="0075198C" w:rsidP="00122B20">
      <w:pPr>
        <w:pStyle w:val="enumlev1"/>
      </w:pPr>
      <w:r w:rsidRPr="00122B20">
        <w:t>–</w:t>
      </w:r>
      <w:r w:rsidRPr="00122B20">
        <w:tab/>
        <w:t>Au paragraphe 21 de l'Annexe 2 de la Décision 5 (Rév. Dubaï, 2018) de la Conférence de plénipotentiaires, il est préconisé d'utiliser des méthodes de travail électroniques afin de réaliser des économies.</w:t>
      </w:r>
    </w:p>
    <w:p w14:paraId="3E49C45A" w14:textId="41D258A6" w:rsidR="0075198C" w:rsidRPr="00122B20" w:rsidRDefault="0075198C" w:rsidP="00122B20">
      <w:pPr>
        <w:pStyle w:val="enumlev1"/>
      </w:pPr>
      <w:r w:rsidRPr="00122B20">
        <w:t>–</w:t>
      </w:r>
      <w:r w:rsidRPr="00122B20">
        <w:tab/>
        <w:t>Dans la Décision 12 (Rév. Busan, 2014) de la Conférence de plénipotentiaires, il est indiqué que les publications de l'UIT sont distribuées sur support électronique.</w:t>
      </w:r>
    </w:p>
    <w:p w14:paraId="2EFE9207" w14:textId="4396AD80" w:rsidR="0075198C" w:rsidRPr="00122B20" w:rsidRDefault="0075198C" w:rsidP="00122B20">
      <w:pPr>
        <w:pStyle w:val="enumlev1"/>
      </w:pPr>
      <w:r w:rsidRPr="00122B20">
        <w:t>–</w:t>
      </w:r>
      <w:r w:rsidRPr="00122B20">
        <w:tab/>
        <w:t>La Résolution 66 (Rév. Guadalajara, 2010) de la Conférence de plénipotentiaires porte sur la mise à disposition des documents et des publications de l'Union sous form</w:t>
      </w:r>
      <w:r w:rsidR="00851DDB" w:rsidRPr="00122B20">
        <w:t xml:space="preserve">e </w:t>
      </w:r>
      <w:r w:rsidRPr="00122B20">
        <w:t>électronique.</w:t>
      </w:r>
    </w:p>
    <w:p w14:paraId="7734EE81" w14:textId="20F26AB2" w:rsidR="0075198C" w:rsidRPr="00122B20" w:rsidRDefault="0075198C" w:rsidP="00122B20">
      <w:pPr>
        <w:pStyle w:val="enumlev1"/>
      </w:pPr>
      <w:r w:rsidRPr="00122B20">
        <w:t>–</w:t>
      </w:r>
      <w:r w:rsidRPr="00122B20">
        <w:tab/>
        <w:t>La Résolution 123 (Rév. Busan, 2014) de la Conférence de plénipotentiaires préconise l'utilisation de méthodes de travail électroniques</w:t>
      </w:r>
      <w:r w:rsidR="007A3BE5" w:rsidRPr="00122B20">
        <w:t>,</w:t>
      </w:r>
      <w:r w:rsidRPr="00122B20">
        <w:t xml:space="preserve"> afin de faciliter la participation des pays en développement.</w:t>
      </w:r>
    </w:p>
    <w:p w14:paraId="44AED482" w14:textId="342D0107" w:rsidR="0075198C" w:rsidRPr="00BA444C" w:rsidRDefault="0075198C" w:rsidP="00122B20">
      <w:pPr>
        <w:pStyle w:val="enumlev1"/>
        <w:rPr>
          <w:lang w:val="fr-FR"/>
        </w:rPr>
      </w:pPr>
      <w:r w:rsidRPr="00122B20">
        <w:t>–</w:t>
      </w:r>
      <w:r w:rsidRPr="00122B20">
        <w:tab/>
        <w:t>Enfin, dans la Résolution 167 (Rév. Busan, 2014) de la Conférence de plénipotentiaires, il est fait état des capacités pour les réunions électroniques.</w:t>
      </w:r>
    </w:p>
    <w:p w14:paraId="7FA356FB" w14:textId="7241F792" w:rsidR="00851DDB" w:rsidRPr="00851DDB" w:rsidRDefault="00851DDB" w:rsidP="00783DA7">
      <w:pPr>
        <w:rPr>
          <w:szCs w:val="24"/>
        </w:rPr>
      </w:pPr>
      <w:r w:rsidRPr="00851DDB">
        <w:rPr>
          <w:szCs w:val="24"/>
        </w:rPr>
        <w:t xml:space="preserve">En outre, certaines dispositions du dispositif de la Résolution 81 (Rév. Buenos Aires, 2017) de la Conférence mondiale de développement des télécommunications sont </w:t>
      </w:r>
      <w:r>
        <w:rPr>
          <w:szCs w:val="24"/>
        </w:rPr>
        <w:t xml:space="preserve">traitées </w:t>
      </w:r>
      <w:r w:rsidRPr="00851DDB">
        <w:rPr>
          <w:szCs w:val="24"/>
        </w:rPr>
        <w:t xml:space="preserve">dans le cadre des dispositions de la Résolution 1 de la CMDT, </w:t>
      </w:r>
      <w:r>
        <w:rPr>
          <w:szCs w:val="24"/>
        </w:rPr>
        <w:t>en particulier</w:t>
      </w:r>
      <w:r w:rsidRPr="00851DDB">
        <w:rPr>
          <w:szCs w:val="24"/>
        </w:rPr>
        <w:t xml:space="preserve"> le paragraphe 2.1.2.1</w:t>
      </w:r>
      <w:r>
        <w:rPr>
          <w:szCs w:val="24"/>
        </w:rPr>
        <w:t>,</w:t>
      </w:r>
      <w:r w:rsidRPr="00851DDB">
        <w:rPr>
          <w:szCs w:val="24"/>
        </w:rPr>
        <w:t xml:space="preserve"> sur les publications électroniques des textes du Secteur, </w:t>
      </w:r>
      <w:r w:rsidR="007A3BE5" w:rsidRPr="00851DDB">
        <w:rPr>
          <w:szCs w:val="24"/>
        </w:rPr>
        <w:t xml:space="preserve">le paragraphe </w:t>
      </w:r>
      <w:r w:rsidRPr="00851DDB">
        <w:rPr>
          <w:szCs w:val="24"/>
        </w:rPr>
        <w:t>13.2.11</w:t>
      </w:r>
      <w:r>
        <w:rPr>
          <w:szCs w:val="24"/>
        </w:rPr>
        <w:t>,</w:t>
      </w:r>
      <w:r w:rsidRPr="00851DDB">
        <w:rPr>
          <w:szCs w:val="24"/>
        </w:rPr>
        <w:t xml:space="preserve"> sur la collaboration entre les membres des commissions d'études</w:t>
      </w:r>
      <w:r>
        <w:rPr>
          <w:szCs w:val="24"/>
        </w:rPr>
        <w:t>,</w:t>
      </w:r>
      <w:r w:rsidRPr="00851DDB">
        <w:rPr>
          <w:szCs w:val="24"/>
        </w:rPr>
        <w:t xml:space="preserve"> et la Section 16</w:t>
      </w:r>
      <w:r>
        <w:rPr>
          <w:szCs w:val="24"/>
        </w:rPr>
        <w:t>,</w:t>
      </w:r>
      <w:r w:rsidRPr="00851DDB">
        <w:rPr>
          <w:szCs w:val="24"/>
        </w:rPr>
        <w:t xml:space="preserve"> sur l'accès électronique.</w:t>
      </w:r>
    </w:p>
    <w:p w14:paraId="21C908D0" w14:textId="7B9A5860" w:rsidR="00A327AF" w:rsidRDefault="0075198C" w:rsidP="00F33BD1">
      <w:pPr>
        <w:rPr>
          <w:szCs w:val="24"/>
        </w:rPr>
      </w:pPr>
      <w:r w:rsidRPr="00113D1E">
        <w:t xml:space="preserve">Étant donné que la Résolution </w:t>
      </w:r>
      <w:r>
        <w:t>167</w:t>
      </w:r>
      <w:r w:rsidRPr="00113D1E">
        <w:t xml:space="preserve"> </w:t>
      </w:r>
      <w:r>
        <w:t>porte sur les aspects généraux de la Résolution 81 de la CMDT et</w:t>
      </w:r>
      <w:r w:rsidRPr="00113D1E">
        <w:t xml:space="preserve"> que la Conférence de plénipotentiaires </w:t>
      </w:r>
      <w:r>
        <w:t xml:space="preserve">de 2018 </w:t>
      </w:r>
      <w:r w:rsidRPr="00113D1E">
        <w:t xml:space="preserve">a reconnu la nécessité de rationaliser les Résolutions, il est proposé de supprimer la Résolution </w:t>
      </w:r>
      <w:r>
        <w:t>81</w:t>
      </w:r>
      <w:r w:rsidRPr="00113D1E">
        <w:t>.</w:t>
      </w:r>
    </w:p>
    <w:p w14:paraId="6BF66154" w14:textId="77777777" w:rsidR="00CD6DCF" w:rsidRPr="0075198C" w:rsidRDefault="00326DA7" w:rsidP="00783DA7">
      <w:pPr>
        <w:pStyle w:val="Proposal"/>
        <w:rPr>
          <w:lang w:val="fr-FR"/>
        </w:rPr>
      </w:pPr>
      <w:r w:rsidRPr="0075198C">
        <w:rPr>
          <w:b/>
          <w:lang w:val="fr-FR"/>
        </w:rPr>
        <w:t>SUP</w:t>
      </w:r>
      <w:r w:rsidRPr="0075198C">
        <w:rPr>
          <w:lang w:val="fr-FR"/>
        </w:rPr>
        <w:tab/>
        <w:t>IAP/24A1/1</w:t>
      </w:r>
    </w:p>
    <w:p w14:paraId="6600D3DE" w14:textId="77777777" w:rsidR="002D71E6" w:rsidRPr="000A5358" w:rsidRDefault="00326DA7" w:rsidP="00783DA7">
      <w:pPr>
        <w:pStyle w:val="ResNo"/>
        <w:rPr>
          <w:lang w:val="fr-FR"/>
        </w:rPr>
      </w:pPr>
      <w:bookmarkStart w:id="8" w:name="_Toc394060878"/>
      <w:bookmarkStart w:id="9" w:name="_Toc401906839"/>
      <w:bookmarkStart w:id="10" w:name="_Toc506198335"/>
      <w:r w:rsidRPr="000A5358">
        <w:rPr>
          <w:lang w:val="fr-FR"/>
        </w:rPr>
        <w:t xml:space="preserve">RÉSOLUTION </w:t>
      </w:r>
      <w:r w:rsidRPr="0032136A">
        <w:t>81</w:t>
      </w:r>
      <w:r w:rsidRPr="000A5358">
        <w:rPr>
          <w:lang w:val="fr-FR"/>
        </w:rPr>
        <w:t xml:space="preserve"> (</w:t>
      </w:r>
      <w:r w:rsidRPr="000A5358">
        <w:rPr>
          <w:caps w:val="0"/>
          <w:lang w:val="fr-FR"/>
        </w:rPr>
        <w:t>Rév.Buenos Aires</w:t>
      </w:r>
      <w:r w:rsidRPr="000A5358">
        <w:rPr>
          <w:lang w:val="fr-FR"/>
        </w:rPr>
        <w:t>, 2017)</w:t>
      </w:r>
      <w:bookmarkEnd w:id="8"/>
      <w:bookmarkEnd w:id="9"/>
      <w:bookmarkEnd w:id="10"/>
    </w:p>
    <w:p w14:paraId="48CCCB55" w14:textId="77777777" w:rsidR="002D71E6" w:rsidRPr="000A5358" w:rsidRDefault="00326DA7" w:rsidP="00783DA7">
      <w:pPr>
        <w:pStyle w:val="Restitle"/>
        <w:rPr>
          <w:lang w:val="fr-FR"/>
        </w:rPr>
      </w:pPr>
      <w:bookmarkStart w:id="11" w:name="_Toc401906840"/>
      <w:bookmarkStart w:id="12" w:name="_Toc506198336"/>
      <w:r w:rsidRPr="000A5358">
        <w:rPr>
          <w:lang w:val="fr-FR"/>
        </w:rPr>
        <w:t>Perfectionnement des méthodes de travail électroniques pour</w:t>
      </w:r>
      <w:r w:rsidRPr="000A5358">
        <w:rPr>
          <w:lang w:val="fr-FR"/>
        </w:rPr>
        <w:br/>
        <w:t>les travaux du Secteur du développement des</w:t>
      </w:r>
      <w:r w:rsidRPr="000A5358">
        <w:rPr>
          <w:lang w:val="fr-FR"/>
        </w:rPr>
        <w:br/>
        <w:t>télécommunications de l'UIT</w:t>
      </w:r>
      <w:bookmarkEnd w:id="11"/>
      <w:bookmarkEnd w:id="12"/>
      <w:r w:rsidRPr="000A5358">
        <w:rPr>
          <w:lang w:val="fr-FR"/>
        </w:rPr>
        <w:t xml:space="preserve"> </w:t>
      </w:r>
    </w:p>
    <w:p w14:paraId="73A153FE" w14:textId="77777777" w:rsidR="002D71E6" w:rsidRPr="000A5358" w:rsidRDefault="00326DA7" w:rsidP="00783DA7">
      <w:pPr>
        <w:pStyle w:val="Normalaftertitle"/>
        <w:rPr>
          <w:lang w:val="fr-FR"/>
        </w:rPr>
      </w:pPr>
      <w:r w:rsidRPr="000A5358">
        <w:rPr>
          <w:lang w:val="fr-FR"/>
        </w:rPr>
        <w:t xml:space="preserve">La Conférence mondiale de développement </w:t>
      </w:r>
      <w:r>
        <w:rPr>
          <w:lang w:val="fr-FR"/>
        </w:rPr>
        <w:t>des télécommunications (</w:t>
      </w:r>
      <w:bookmarkStart w:id="13" w:name="_GoBack"/>
      <w:bookmarkEnd w:id="13"/>
      <w:r>
        <w:rPr>
          <w:lang w:val="fr-FR"/>
        </w:rPr>
        <w:t>Buenos </w:t>
      </w:r>
      <w:r w:rsidRPr="000A5358">
        <w:rPr>
          <w:lang w:val="fr-FR"/>
        </w:rPr>
        <w:t>Aires, 2017),</w:t>
      </w:r>
    </w:p>
    <w:p w14:paraId="0F20287E" w14:textId="4735416C" w:rsidR="00CD6DCF" w:rsidRPr="00020CDC" w:rsidRDefault="00CD6DCF" w:rsidP="00783DA7">
      <w:pPr>
        <w:pStyle w:val="Reasons"/>
        <w:rPr>
          <w:lang w:val="fr-FR"/>
        </w:rPr>
      </w:pPr>
    </w:p>
    <w:p w14:paraId="65E3DEFB" w14:textId="77777777" w:rsidR="0075198C" w:rsidRDefault="0075198C" w:rsidP="00783DA7">
      <w:pPr>
        <w:spacing w:before="360"/>
        <w:jc w:val="center"/>
      </w:pPr>
      <w:r>
        <w:t>______________</w:t>
      </w:r>
    </w:p>
    <w:sectPr w:rsidR="0075198C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78704" w14:textId="77777777" w:rsidR="00044CD3" w:rsidRDefault="00044CD3">
      <w:r>
        <w:separator/>
      </w:r>
    </w:p>
  </w:endnote>
  <w:endnote w:type="continuationSeparator" w:id="0">
    <w:p w14:paraId="09B27BB8" w14:textId="77777777" w:rsidR="00044CD3" w:rsidRDefault="0004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A8C82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36D1F3C" w14:textId="0128D41D" w:rsidR="00E45D05" w:rsidRPr="00C1192C" w:rsidRDefault="00E45D05">
    <w:pPr>
      <w:ind w:right="360"/>
      <w:rPr>
        <w:lang w:val="es-ES_tradnl"/>
      </w:rPr>
    </w:pPr>
    <w:r>
      <w:fldChar w:fldCharType="begin"/>
    </w:r>
    <w:r w:rsidRPr="00C1192C">
      <w:rPr>
        <w:lang w:val="es-ES_tradnl"/>
      </w:rPr>
      <w:instrText xml:space="preserve"> FILENAME \p  \* MERGEFORMAT </w:instrText>
    </w:r>
    <w:r>
      <w:fldChar w:fldCharType="separate"/>
    </w:r>
    <w:r w:rsidR="00326DA7">
      <w:rPr>
        <w:noProof/>
        <w:lang w:val="es-ES_tradnl"/>
      </w:rPr>
      <w:t>P:\TRAD\F\ITU-D\CONF-D\WTDC21\000\024ADD01FMontage.docx</w:t>
    </w:r>
    <w:r>
      <w:fldChar w:fldCharType="end"/>
    </w:r>
    <w:r w:rsidRPr="00C1192C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0C45">
      <w:rPr>
        <w:noProof/>
      </w:rPr>
      <w:t>11.05.22</w:t>
    </w:r>
    <w:r>
      <w:fldChar w:fldCharType="end"/>
    </w:r>
    <w:r w:rsidRPr="00C1192C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26DA7">
      <w:rPr>
        <w:noProof/>
      </w:rPr>
      <w:t>10.03.17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B77EF" w14:textId="27329C6B" w:rsidR="00326DA7" w:rsidRPr="00122B20" w:rsidRDefault="00F33BD1" w:rsidP="00326DA7">
    <w:pPr>
      <w:pStyle w:val="Footer"/>
      <w:rPr>
        <w:lang w:val="en-US"/>
      </w:rPr>
    </w:pPr>
    <w:r>
      <w:fldChar w:fldCharType="begin"/>
    </w:r>
    <w:r w:rsidRPr="00122B20">
      <w:rPr>
        <w:lang w:val="en-US"/>
      </w:rPr>
      <w:instrText xml:space="preserve"> FILENAME \p  \* MERGEFORMAT </w:instrText>
    </w:r>
    <w:r>
      <w:fldChar w:fldCharType="separate"/>
    </w:r>
    <w:r w:rsidR="00783DA7" w:rsidRPr="00122B20">
      <w:rPr>
        <w:lang w:val="en-US"/>
      </w:rPr>
      <w:t>P:\FRA\ITU-D\CONF-D\WTDC21\000\024ADD01F.docx</w:t>
    </w:r>
    <w:r>
      <w:fldChar w:fldCharType="end"/>
    </w:r>
    <w:r w:rsidR="00326DA7" w:rsidRPr="00122B20">
      <w:rPr>
        <w:lang w:val="en-US"/>
      </w:rPr>
      <w:t xml:space="preserve"> (5050</w:t>
    </w:r>
    <w:r w:rsidR="00020CDC" w:rsidRPr="00122B20">
      <w:rPr>
        <w:lang w:val="en-US"/>
      </w:rPr>
      <w:t>5</w:t>
    </w:r>
    <w:r w:rsidR="00326DA7" w:rsidRPr="00122B20">
      <w:rPr>
        <w:lang w:val="en-US"/>
      </w:rPr>
      <w:t>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83BF5" w:rsidRPr="009813AF" w14:paraId="75E51525" w14:textId="77777777" w:rsidTr="008B61E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01B4E8AE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144EFAC2" w14:textId="77777777" w:rsidR="00D83BF5" w:rsidRPr="004D495C" w:rsidRDefault="00F861F9" w:rsidP="00F861F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="00D83BF5" w:rsidRPr="004D495C">
            <w:rPr>
              <w:sz w:val="18"/>
              <w:szCs w:val="18"/>
              <w:lang w:val="en-US"/>
            </w:rPr>
            <w:t>/Organi</w:t>
          </w:r>
          <w:r>
            <w:rPr>
              <w:sz w:val="18"/>
              <w:szCs w:val="18"/>
              <w:lang w:val="en-US"/>
            </w:rPr>
            <w:t>s</w:t>
          </w:r>
          <w:r w:rsidR="00D83BF5" w:rsidRPr="004D495C">
            <w:rPr>
              <w:sz w:val="18"/>
              <w:szCs w:val="18"/>
              <w:lang w:val="en-US"/>
            </w:rPr>
            <w:t>ation/Entit</w:t>
          </w:r>
          <w:r>
            <w:rPr>
              <w:sz w:val="18"/>
              <w:szCs w:val="18"/>
              <w:lang w:val="en-US"/>
            </w:rPr>
            <w:t>é</w:t>
          </w:r>
          <w:r w:rsidR="00D83BF5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34F6AA03" w14:textId="2DFB6599" w:rsidR="00D83BF5" w:rsidRPr="00226EE6" w:rsidRDefault="006D0C45" w:rsidP="00326DA7">
          <w:pPr>
            <w:pStyle w:val="FirstFooter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M.</w:t>
          </w:r>
          <w:r w:rsidR="00326DA7" w:rsidRPr="00226EE6">
            <w:rPr>
              <w:sz w:val="18"/>
              <w:szCs w:val="18"/>
            </w:rPr>
            <w:t xml:space="preserve"> Tegar Satrio Dwiputro, </w:t>
          </w:r>
          <w:r w:rsidR="00226EE6" w:rsidRPr="00226EE6">
            <w:rPr>
              <w:sz w:val="18"/>
              <w:szCs w:val="18"/>
            </w:rPr>
            <w:t>Ministère des communications, et de l'informatique</w:t>
          </w:r>
          <w:r w:rsidR="00465F0D">
            <w:rPr>
              <w:sz w:val="18"/>
              <w:szCs w:val="18"/>
            </w:rPr>
            <w:t>,</w:t>
          </w:r>
          <w:r w:rsidR="00226EE6" w:rsidRPr="00226EE6">
            <w:rPr>
              <w:sz w:val="18"/>
              <w:szCs w:val="18"/>
            </w:rPr>
            <w:t xml:space="preserve"> Indonésie</w:t>
          </w:r>
        </w:p>
      </w:tc>
    </w:tr>
    <w:tr w:rsidR="00D83BF5" w:rsidRPr="004D495C" w14:paraId="42865E64" w14:textId="77777777" w:rsidTr="008B61EA">
      <w:tc>
        <w:tcPr>
          <w:tcW w:w="1526" w:type="dxa"/>
          <w:shd w:val="clear" w:color="auto" w:fill="auto"/>
        </w:tcPr>
        <w:p w14:paraId="70692765" w14:textId="77777777" w:rsidR="00D83BF5" w:rsidRPr="00226EE6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0D1950BF" w14:textId="77777777" w:rsidR="00D83BF5" w:rsidRPr="006D0C45" w:rsidRDefault="00F861F9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fr-FR"/>
            </w:rPr>
          </w:pPr>
          <w:r w:rsidRPr="006D0C45">
            <w:rPr>
              <w:sz w:val="18"/>
              <w:szCs w:val="18"/>
              <w:lang w:val="fr-FR"/>
            </w:rPr>
            <w:t>Numéro de télép</w:t>
          </w:r>
          <w:r w:rsidR="001B57A8" w:rsidRPr="006D0C45">
            <w:rPr>
              <w:sz w:val="18"/>
              <w:szCs w:val="18"/>
              <w:lang w:val="fr-FR"/>
            </w:rPr>
            <w:t>h</w:t>
          </w:r>
          <w:r w:rsidRPr="006D0C45">
            <w:rPr>
              <w:sz w:val="18"/>
              <w:szCs w:val="18"/>
              <w:lang w:val="fr-FR"/>
            </w:rPr>
            <w:t>one</w:t>
          </w:r>
          <w:r w:rsidR="00D83BF5" w:rsidRPr="006D0C45">
            <w:rPr>
              <w:sz w:val="18"/>
              <w:szCs w:val="18"/>
              <w:lang w:val="fr-FR"/>
            </w:rPr>
            <w:t>:</w:t>
          </w:r>
        </w:p>
      </w:tc>
      <w:tc>
        <w:tcPr>
          <w:tcW w:w="5987" w:type="dxa"/>
          <w:shd w:val="clear" w:color="auto" w:fill="auto"/>
        </w:tcPr>
        <w:p w14:paraId="1F3B5707" w14:textId="06BAF6CC" w:rsidR="00D83BF5" w:rsidRPr="006D0C45" w:rsidRDefault="00226EE6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fr-FR"/>
            </w:rPr>
          </w:pPr>
          <w:bookmarkStart w:id="17" w:name="PhoneNo"/>
          <w:bookmarkEnd w:id="17"/>
          <w:r w:rsidRPr="006D0C45">
            <w:rPr>
              <w:sz w:val="18"/>
              <w:szCs w:val="18"/>
              <w:lang w:val="fr-FR"/>
            </w:rPr>
            <w:t>Non disponible</w:t>
          </w:r>
        </w:p>
      </w:tc>
    </w:tr>
    <w:tr w:rsidR="00D83BF5" w:rsidRPr="004D495C" w14:paraId="04097C63" w14:textId="77777777" w:rsidTr="008B61EA">
      <w:tc>
        <w:tcPr>
          <w:tcW w:w="1526" w:type="dxa"/>
          <w:shd w:val="clear" w:color="auto" w:fill="auto"/>
        </w:tcPr>
        <w:p w14:paraId="37DFFAAB" w14:textId="77777777" w:rsidR="00D83BF5" w:rsidRPr="006D0C45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FR"/>
            </w:rPr>
          </w:pPr>
        </w:p>
      </w:tc>
      <w:tc>
        <w:tcPr>
          <w:tcW w:w="2410" w:type="dxa"/>
          <w:shd w:val="clear" w:color="auto" w:fill="auto"/>
        </w:tcPr>
        <w:p w14:paraId="26A051E2" w14:textId="77777777" w:rsidR="00D83BF5" w:rsidRPr="006D0C45" w:rsidRDefault="00F861F9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fr-FR"/>
            </w:rPr>
          </w:pPr>
          <w:r w:rsidRPr="006D0C45">
            <w:rPr>
              <w:sz w:val="18"/>
              <w:szCs w:val="18"/>
              <w:lang w:val="fr-FR"/>
            </w:rPr>
            <w:t>Courriel:</w:t>
          </w:r>
        </w:p>
      </w:tc>
      <w:bookmarkStart w:id="18" w:name="Email"/>
      <w:bookmarkEnd w:id="18"/>
      <w:tc>
        <w:tcPr>
          <w:tcW w:w="5987" w:type="dxa"/>
          <w:shd w:val="clear" w:color="auto" w:fill="auto"/>
        </w:tcPr>
        <w:p w14:paraId="6F7203D2" w14:textId="0F37E75C" w:rsidR="00D83BF5" w:rsidRPr="006D0C45" w:rsidRDefault="00326DA7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fr-FR"/>
            </w:rPr>
          </w:pPr>
          <w:r>
            <w:fldChar w:fldCharType="begin"/>
          </w:r>
          <w:r>
            <w:instrText xml:space="preserve"> HYPERLINK "mailto:Tega001@kominfo.go.id" </w:instrText>
          </w:r>
          <w:r>
            <w:fldChar w:fldCharType="separate"/>
          </w:r>
          <w:r w:rsidRPr="006D0C45">
            <w:rPr>
              <w:rStyle w:val="Hyperlink"/>
              <w:sz w:val="18"/>
              <w:szCs w:val="18"/>
              <w:lang w:val="fr-FR"/>
            </w:rPr>
            <w:t>Tega001@kominfo.go.id</w:t>
          </w:r>
          <w:r>
            <w:fldChar w:fldCharType="end"/>
          </w:r>
        </w:p>
      </w:tc>
    </w:tr>
  </w:tbl>
  <w:bookmarkStart w:id="19" w:name="_Hlk56495155"/>
  <w:p w14:paraId="7AF5A76C" w14:textId="77777777" w:rsidR="00D83BF5" w:rsidRPr="00784E03" w:rsidRDefault="003B7D04" w:rsidP="003B7D04">
    <w:pPr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>HYPERLINK "https://www.itu.int/fr/ITU-D/Conferences/WTDC/WTDC21/Pages/default.aspx"</w:instrText>
    </w:r>
    <w:r>
      <w:rPr>
        <w:sz w:val="20"/>
      </w:rPr>
      <w:fldChar w:fldCharType="separate"/>
    </w:r>
    <w:r>
      <w:rPr>
        <w:rStyle w:val="Hyperlink"/>
        <w:sz w:val="20"/>
      </w:rPr>
      <w:t>CMDT</w:t>
    </w:r>
    <w:r>
      <w:rPr>
        <w:caps/>
        <w:sz w:val="20"/>
      </w:rPr>
      <w:fldChar w:fldCharType="end"/>
    </w:r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DB72C" w14:textId="77777777" w:rsidR="00044CD3" w:rsidRDefault="00044CD3">
      <w:r>
        <w:rPr>
          <w:b/>
        </w:rPr>
        <w:t>_______________</w:t>
      </w:r>
    </w:p>
  </w:footnote>
  <w:footnote w:type="continuationSeparator" w:id="0">
    <w:p w14:paraId="7202BD95" w14:textId="77777777" w:rsidR="00044CD3" w:rsidRDefault="0004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C4E3D" w14:textId="53521329" w:rsidR="00A066F1" w:rsidRPr="00D83BF5" w:rsidRDefault="00D83BF5" w:rsidP="00EF1503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EF1503" w:rsidRPr="00EF1503">
      <w:rPr>
        <w:sz w:val="22"/>
        <w:szCs w:val="22"/>
        <w:lang w:val="de-CH"/>
      </w:rPr>
      <w:t>WTDC</w:t>
    </w:r>
    <w:r w:rsidR="0075198C">
      <w:rPr>
        <w:sz w:val="22"/>
        <w:szCs w:val="22"/>
        <w:lang w:val="de-CH"/>
      </w:rPr>
      <w:t>-</w:t>
    </w:r>
    <w:r w:rsidR="00E14630">
      <w:rPr>
        <w:sz w:val="22"/>
        <w:szCs w:val="22"/>
        <w:lang w:val="de-CH"/>
      </w:rPr>
      <w:t>2</w:t>
    </w:r>
    <w:r w:rsidR="00872758">
      <w:rPr>
        <w:sz w:val="22"/>
        <w:szCs w:val="22"/>
        <w:lang w:val="de-CH"/>
      </w:rPr>
      <w:t>2</w:t>
    </w:r>
    <w:r w:rsidR="00EF1503" w:rsidRPr="00EF1503">
      <w:rPr>
        <w:sz w:val="22"/>
        <w:szCs w:val="22"/>
        <w:lang w:val="de-CH"/>
      </w:rPr>
      <w:t>/</w:t>
    </w:r>
    <w:bookmarkStart w:id="14" w:name="OLE_LINK3"/>
    <w:bookmarkStart w:id="15" w:name="OLE_LINK2"/>
    <w:bookmarkStart w:id="16" w:name="OLE_LINK1"/>
    <w:r w:rsidR="00EF1503" w:rsidRPr="00EF1503">
      <w:rPr>
        <w:sz w:val="22"/>
        <w:szCs w:val="22"/>
      </w:rPr>
      <w:t>24(Add.1)</w:t>
    </w:r>
    <w:bookmarkEnd w:id="14"/>
    <w:bookmarkEnd w:id="15"/>
    <w:bookmarkEnd w:id="16"/>
    <w:r w:rsidR="00EF1503" w:rsidRPr="00EF1503">
      <w:rPr>
        <w:sz w:val="22"/>
        <w:szCs w:val="22"/>
      </w:rPr>
      <w:t>-F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465F0D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  <w:docVar w:name="dgnword-docGUID" w:val="{5A59780F-9B2B-4B16-B203-EFC5E9534CA7}"/>
    <w:docVar w:name="dgnword-eventsink" w:val="584193824"/>
  </w:docVars>
  <w:rsids>
    <w:rsidRoot w:val="00A066F1"/>
    <w:rsid w:val="000041EA"/>
    <w:rsid w:val="00020CDC"/>
    <w:rsid w:val="00022A29"/>
    <w:rsid w:val="000355FD"/>
    <w:rsid w:val="00044CD3"/>
    <w:rsid w:val="00051E39"/>
    <w:rsid w:val="00075C63"/>
    <w:rsid w:val="00077239"/>
    <w:rsid w:val="00080905"/>
    <w:rsid w:val="000822BE"/>
    <w:rsid w:val="00086491"/>
    <w:rsid w:val="00091346"/>
    <w:rsid w:val="000D3E1A"/>
    <w:rsid w:val="000E359D"/>
    <w:rsid w:val="000F73FF"/>
    <w:rsid w:val="00114CF7"/>
    <w:rsid w:val="00122B20"/>
    <w:rsid w:val="00123B68"/>
    <w:rsid w:val="00126F2E"/>
    <w:rsid w:val="00146F6F"/>
    <w:rsid w:val="00147DA1"/>
    <w:rsid w:val="00152957"/>
    <w:rsid w:val="00166374"/>
    <w:rsid w:val="00174623"/>
    <w:rsid w:val="00187BD9"/>
    <w:rsid w:val="00190B55"/>
    <w:rsid w:val="00194CFB"/>
    <w:rsid w:val="001B2ED3"/>
    <w:rsid w:val="001B57A8"/>
    <w:rsid w:val="001C3B5F"/>
    <w:rsid w:val="001D058F"/>
    <w:rsid w:val="002009EA"/>
    <w:rsid w:val="00202CA0"/>
    <w:rsid w:val="002154A6"/>
    <w:rsid w:val="002162CD"/>
    <w:rsid w:val="002255B3"/>
    <w:rsid w:val="00226EE6"/>
    <w:rsid w:val="00236E8A"/>
    <w:rsid w:val="00271316"/>
    <w:rsid w:val="00296313"/>
    <w:rsid w:val="002D58BE"/>
    <w:rsid w:val="003013EE"/>
    <w:rsid w:val="00326DA7"/>
    <w:rsid w:val="00377BD3"/>
    <w:rsid w:val="00384088"/>
    <w:rsid w:val="0038489B"/>
    <w:rsid w:val="0039169B"/>
    <w:rsid w:val="003A7F8C"/>
    <w:rsid w:val="003B532E"/>
    <w:rsid w:val="003B6F14"/>
    <w:rsid w:val="003B7D04"/>
    <w:rsid w:val="003C5736"/>
    <w:rsid w:val="003D0F8B"/>
    <w:rsid w:val="00406208"/>
    <w:rsid w:val="004063C5"/>
    <w:rsid w:val="0040711F"/>
    <w:rsid w:val="004131D4"/>
    <w:rsid w:val="0041348E"/>
    <w:rsid w:val="00447308"/>
    <w:rsid w:val="00465F0D"/>
    <w:rsid w:val="004765FF"/>
    <w:rsid w:val="00492075"/>
    <w:rsid w:val="004969AD"/>
    <w:rsid w:val="004B13CB"/>
    <w:rsid w:val="004B150A"/>
    <w:rsid w:val="004B4FDF"/>
    <w:rsid w:val="004D5D5C"/>
    <w:rsid w:val="004F0EAE"/>
    <w:rsid w:val="0050139F"/>
    <w:rsid w:val="00521223"/>
    <w:rsid w:val="00524DF1"/>
    <w:rsid w:val="00533926"/>
    <w:rsid w:val="0055140B"/>
    <w:rsid w:val="00554C4F"/>
    <w:rsid w:val="00561D72"/>
    <w:rsid w:val="00591BD8"/>
    <w:rsid w:val="005964AB"/>
    <w:rsid w:val="005A511B"/>
    <w:rsid w:val="005B44F5"/>
    <w:rsid w:val="005C099A"/>
    <w:rsid w:val="005C31A5"/>
    <w:rsid w:val="005E10C9"/>
    <w:rsid w:val="005E61DD"/>
    <w:rsid w:val="005E6321"/>
    <w:rsid w:val="006023DF"/>
    <w:rsid w:val="0064322F"/>
    <w:rsid w:val="00657DE0"/>
    <w:rsid w:val="0067199F"/>
    <w:rsid w:val="006839D1"/>
    <w:rsid w:val="00685313"/>
    <w:rsid w:val="006A6E9B"/>
    <w:rsid w:val="006B7C2A"/>
    <w:rsid w:val="006C23DA"/>
    <w:rsid w:val="006D0C45"/>
    <w:rsid w:val="006E3D45"/>
    <w:rsid w:val="007149F9"/>
    <w:rsid w:val="00733A30"/>
    <w:rsid w:val="00745AEE"/>
    <w:rsid w:val="007479EA"/>
    <w:rsid w:val="00750F10"/>
    <w:rsid w:val="0075198C"/>
    <w:rsid w:val="007742CA"/>
    <w:rsid w:val="00783DA7"/>
    <w:rsid w:val="007A3BE5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51DDB"/>
    <w:rsid w:val="008711AE"/>
    <w:rsid w:val="00872758"/>
    <w:rsid w:val="00872FC8"/>
    <w:rsid w:val="008801D3"/>
    <w:rsid w:val="008845D0"/>
    <w:rsid w:val="008B43F2"/>
    <w:rsid w:val="008B61EA"/>
    <w:rsid w:val="008B6CFF"/>
    <w:rsid w:val="008D7991"/>
    <w:rsid w:val="008F0B73"/>
    <w:rsid w:val="00907654"/>
    <w:rsid w:val="00910B26"/>
    <w:rsid w:val="009249C1"/>
    <w:rsid w:val="009274B4"/>
    <w:rsid w:val="00934EA2"/>
    <w:rsid w:val="00944A5C"/>
    <w:rsid w:val="00952A66"/>
    <w:rsid w:val="009813AF"/>
    <w:rsid w:val="009C56E5"/>
    <w:rsid w:val="009E5FC8"/>
    <w:rsid w:val="009E687A"/>
    <w:rsid w:val="009E77CF"/>
    <w:rsid w:val="00A03C5C"/>
    <w:rsid w:val="00A066F1"/>
    <w:rsid w:val="00A141AF"/>
    <w:rsid w:val="00A16D29"/>
    <w:rsid w:val="00A20E5E"/>
    <w:rsid w:val="00A30305"/>
    <w:rsid w:val="00A31D2D"/>
    <w:rsid w:val="00A327AF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639E9"/>
    <w:rsid w:val="00B817CD"/>
    <w:rsid w:val="00B911B2"/>
    <w:rsid w:val="00B951D0"/>
    <w:rsid w:val="00BB29C8"/>
    <w:rsid w:val="00BB3A95"/>
    <w:rsid w:val="00BC0382"/>
    <w:rsid w:val="00C0018F"/>
    <w:rsid w:val="00C010A9"/>
    <w:rsid w:val="00C1192C"/>
    <w:rsid w:val="00C20466"/>
    <w:rsid w:val="00C214ED"/>
    <w:rsid w:val="00C234E6"/>
    <w:rsid w:val="00C324A8"/>
    <w:rsid w:val="00C54517"/>
    <w:rsid w:val="00C64CD8"/>
    <w:rsid w:val="00C766A2"/>
    <w:rsid w:val="00C97C68"/>
    <w:rsid w:val="00CA1A47"/>
    <w:rsid w:val="00CC247A"/>
    <w:rsid w:val="00CD6DCF"/>
    <w:rsid w:val="00CE5E47"/>
    <w:rsid w:val="00CF020F"/>
    <w:rsid w:val="00CF2B5B"/>
    <w:rsid w:val="00D14CE0"/>
    <w:rsid w:val="00D22342"/>
    <w:rsid w:val="00D36333"/>
    <w:rsid w:val="00D5651D"/>
    <w:rsid w:val="00D6625E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14630"/>
    <w:rsid w:val="00E26226"/>
    <w:rsid w:val="00E4165C"/>
    <w:rsid w:val="00E45D05"/>
    <w:rsid w:val="00E46B58"/>
    <w:rsid w:val="00E55816"/>
    <w:rsid w:val="00E55AEF"/>
    <w:rsid w:val="00E976C1"/>
    <w:rsid w:val="00EA12E5"/>
    <w:rsid w:val="00EF1503"/>
    <w:rsid w:val="00F02766"/>
    <w:rsid w:val="00F04067"/>
    <w:rsid w:val="00F05BD4"/>
    <w:rsid w:val="00F11A98"/>
    <w:rsid w:val="00F21A1D"/>
    <w:rsid w:val="00F33BD1"/>
    <w:rsid w:val="00F65C19"/>
    <w:rsid w:val="00F861F9"/>
    <w:rsid w:val="00FB74D7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3EA834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CH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4071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D18-WTDC21-C-0024!A1!MSW-F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3C31BE-477D-4BB8-AE9D-994FD4964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0DD7B2-08FC-4937-A0F6-0D0F52387CD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996b2e75-67fd-4955-a3b0-5ab9934cb50b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1D98A8AC-39BB-437C-ABC3-AB8C2836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489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D18-WTDC21-C-0024!A1!MSW-F</vt:lpstr>
    </vt:vector>
  </TitlesOfParts>
  <Manager>General Secretariat - Pool</Manager>
  <Company/>
  <LinksUpToDate>false</LinksUpToDate>
  <CharactersWithSpaces>3413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D18-WTDC21-C-0024!A1!MSW-F</dc:title>
  <dc:subject/>
  <dc:creator>Documents Proposals Manager (DPM)</dc:creator>
  <cp:keywords>DPM_v2021.3.2.1_prod</cp:keywords>
  <dc:description/>
  <cp:lastModifiedBy>Royer, Veronique</cp:lastModifiedBy>
  <cp:revision>6</cp:revision>
  <cp:lastPrinted>2017-03-10T07:43:00Z</cp:lastPrinted>
  <dcterms:created xsi:type="dcterms:W3CDTF">2022-05-11T10:19:00Z</dcterms:created>
  <dcterms:modified xsi:type="dcterms:W3CDTF">2022-05-11T12:01:00Z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