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2268"/>
        <w:gridCol w:w="4678"/>
        <w:gridCol w:w="3085"/>
      </w:tblGrid>
      <w:tr w:rsidR="00F31F3C" w:rsidRPr="00936AC4" w14:paraId="768C43EC" w14:textId="77777777" w:rsidTr="00F31F3C">
        <w:trPr>
          <w:cantSplit/>
        </w:trPr>
        <w:tc>
          <w:tcPr>
            <w:tcW w:w="2268" w:type="dxa"/>
          </w:tcPr>
          <w:p w14:paraId="1278E970" w14:textId="77777777" w:rsidR="00F31F3C" w:rsidRPr="00616175" w:rsidRDefault="00F31F3C" w:rsidP="00F31F3C">
            <w:pPr>
              <w:tabs>
                <w:tab w:val="clear" w:pos="1134"/>
              </w:tabs>
              <w:spacing w:before="0"/>
              <w:ind w:left="34"/>
              <w:rPr>
                <w:b/>
                <w:bCs/>
                <w:sz w:val="32"/>
                <w:szCs w:val="32"/>
                <w:lang w:val="es-ES"/>
              </w:rPr>
            </w:pPr>
            <w:r>
              <w:rPr>
                <w:b/>
                <w:bCs/>
                <w:noProof/>
                <w:sz w:val="4"/>
                <w:szCs w:val="4"/>
                <w:lang w:val="en-US"/>
              </w:rPr>
              <w:drawing>
                <wp:inline distT="0" distB="0" distL="0" distR="0" wp14:anchorId="2E46AE5D" wp14:editId="689BF2CF">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763" w:type="dxa"/>
            <w:gridSpan w:val="2"/>
          </w:tcPr>
          <w:p w14:paraId="43A01AF2" w14:textId="77777777" w:rsidR="00F31F3C" w:rsidRDefault="00F31F3C" w:rsidP="00294B0A">
            <w:pPr>
              <w:tabs>
                <w:tab w:val="clear" w:pos="1134"/>
              </w:tabs>
              <w:spacing w:before="240" w:after="48" w:line="240" w:lineRule="atLeast"/>
              <w:ind w:left="34"/>
              <w:rPr>
                <w:b/>
                <w:bCs/>
                <w:sz w:val="32"/>
                <w:szCs w:val="32"/>
                <w:lang w:val="es-ES"/>
              </w:rPr>
            </w:pPr>
            <w:r>
              <w:rPr>
                <w:noProof/>
                <w:lang w:val="en-US"/>
              </w:rPr>
              <w:drawing>
                <wp:anchor distT="0" distB="0" distL="114300" distR="114300" simplePos="0" relativeHeight="251658240" behindDoc="0" locked="0" layoutInCell="1" allowOverlap="1" wp14:anchorId="41BEE4E9" wp14:editId="5360A632">
                  <wp:simplePos x="0" y="0"/>
                  <wp:positionH relativeFrom="column">
                    <wp:posOffset>3905250</wp:posOffset>
                  </wp:positionH>
                  <wp:positionV relativeFrom="paragraph">
                    <wp:posOffset>81280</wp:posOffset>
                  </wp:positionV>
                  <wp:extent cx="712470" cy="785495"/>
                  <wp:effectExtent l="0" t="0" r="0" b="0"/>
                  <wp:wrapThrough wrapText="bothSides">
                    <wp:wrapPolygon edited="0">
                      <wp:start x="0" y="0"/>
                      <wp:lineTo x="0" y="20954"/>
                      <wp:lineTo x="20791" y="20954"/>
                      <wp:lineTo x="20791" y="0"/>
                      <wp:lineTo x="0" y="0"/>
                    </wp:wrapPolygon>
                  </wp:wrapThrough>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616175">
              <w:rPr>
                <w:b/>
                <w:bCs/>
                <w:sz w:val="32"/>
                <w:szCs w:val="32"/>
                <w:lang w:val="es-ES"/>
              </w:rPr>
              <w:t>Conferencia Mundial de Desarrollo de las Telecomunicaciones (CMDT</w:t>
            </w:r>
            <w:r>
              <w:rPr>
                <w:b/>
                <w:bCs/>
                <w:sz w:val="32"/>
                <w:szCs w:val="32"/>
                <w:lang w:val="es-ES"/>
              </w:rPr>
              <w:t>-2</w:t>
            </w:r>
            <w:r w:rsidR="001D464C">
              <w:rPr>
                <w:b/>
                <w:bCs/>
                <w:sz w:val="32"/>
                <w:szCs w:val="32"/>
                <w:lang w:val="es-ES"/>
              </w:rPr>
              <w:t>2</w:t>
            </w:r>
            <w:r w:rsidRPr="00616175">
              <w:rPr>
                <w:b/>
                <w:bCs/>
                <w:sz w:val="32"/>
                <w:szCs w:val="32"/>
                <w:lang w:val="es-ES"/>
              </w:rPr>
              <w:t>)</w:t>
            </w:r>
          </w:p>
          <w:p w14:paraId="703684A9" w14:textId="77777777" w:rsidR="00F31F3C" w:rsidRPr="00F31F3C" w:rsidRDefault="00F31F3C" w:rsidP="00F31F3C">
            <w:pPr>
              <w:tabs>
                <w:tab w:val="clear" w:pos="1134"/>
              </w:tabs>
              <w:spacing w:after="48" w:line="240" w:lineRule="atLeast"/>
              <w:ind w:left="34"/>
              <w:rPr>
                <w:b/>
                <w:bCs/>
                <w:sz w:val="28"/>
                <w:szCs w:val="28"/>
                <w:lang w:val="es-ES"/>
              </w:rPr>
            </w:pPr>
            <w:r>
              <w:rPr>
                <w:b/>
                <w:bCs/>
                <w:sz w:val="26"/>
                <w:szCs w:val="26"/>
                <w:lang w:val="es-ES"/>
              </w:rPr>
              <w:t>Kigali, Rwanda, 6-16 de junio de 2022</w:t>
            </w:r>
            <w:bookmarkStart w:id="0" w:name="ditulogo"/>
            <w:bookmarkEnd w:id="0"/>
          </w:p>
        </w:tc>
      </w:tr>
      <w:tr w:rsidR="00D83BF5" w:rsidRPr="00936AC4" w14:paraId="28E98362" w14:textId="77777777" w:rsidTr="005E1050">
        <w:trPr>
          <w:cantSplit/>
        </w:trPr>
        <w:tc>
          <w:tcPr>
            <w:tcW w:w="6946" w:type="dxa"/>
            <w:gridSpan w:val="2"/>
            <w:tcBorders>
              <w:top w:val="single" w:sz="12" w:space="0" w:color="auto"/>
            </w:tcBorders>
          </w:tcPr>
          <w:p w14:paraId="7E16B0BD" w14:textId="77777777" w:rsidR="00D83BF5" w:rsidRPr="000B1248" w:rsidRDefault="00D83BF5" w:rsidP="00B951D0">
            <w:pPr>
              <w:spacing w:before="0" w:after="48" w:line="240" w:lineRule="atLeast"/>
              <w:rPr>
                <w:rFonts w:cstheme="minorHAnsi"/>
                <w:b/>
                <w:smallCaps/>
                <w:sz w:val="20"/>
                <w:lang w:val="es-ES"/>
              </w:rPr>
            </w:pPr>
            <w:bookmarkStart w:id="1" w:name="dhead"/>
          </w:p>
        </w:tc>
        <w:tc>
          <w:tcPr>
            <w:tcW w:w="3085" w:type="dxa"/>
            <w:tcBorders>
              <w:top w:val="single" w:sz="12" w:space="0" w:color="auto"/>
            </w:tcBorders>
          </w:tcPr>
          <w:p w14:paraId="4787342D" w14:textId="77777777" w:rsidR="00D83BF5" w:rsidRPr="000B1248" w:rsidRDefault="00D83BF5" w:rsidP="00B951D0">
            <w:pPr>
              <w:spacing w:before="0" w:line="240" w:lineRule="atLeast"/>
              <w:rPr>
                <w:rFonts w:cstheme="minorHAnsi"/>
                <w:sz w:val="20"/>
                <w:lang w:val="es-ES"/>
              </w:rPr>
            </w:pPr>
          </w:p>
        </w:tc>
      </w:tr>
      <w:tr w:rsidR="00D83BF5" w:rsidRPr="000B1248" w14:paraId="63F03C00" w14:textId="77777777" w:rsidTr="005E1050">
        <w:trPr>
          <w:cantSplit/>
          <w:trHeight w:val="23"/>
        </w:trPr>
        <w:tc>
          <w:tcPr>
            <w:tcW w:w="6946" w:type="dxa"/>
            <w:gridSpan w:val="2"/>
            <w:shd w:val="clear" w:color="auto" w:fill="auto"/>
          </w:tcPr>
          <w:p w14:paraId="216202B2" w14:textId="1077B41E" w:rsidR="00D83BF5" w:rsidRPr="000B1248" w:rsidRDefault="00CB2BB6" w:rsidP="00CB2BB6">
            <w:pPr>
              <w:pStyle w:val="Committee"/>
              <w:framePr w:hSpace="0" w:wrap="auto" w:hAnchor="text" w:yAlign="inline"/>
              <w:rPr>
                <w:lang w:val="es-ES"/>
              </w:rPr>
            </w:pPr>
            <w:bookmarkStart w:id="2" w:name="dnum" w:colFirst="1" w:colLast="1"/>
            <w:bookmarkStart w:id="3" w:name="dmeeting" w:colFirst="0" w:colLast="0"/>
            <w:bookmarkEnd w:id="1"/>
            <w:r>
              <w:rPr>
                <w:lang w:val="es-ES"/>
              </w:rPr>
              <w:t>SES</w:t>
            </w:r>
            <w:r w:rsidR="000B1248">
              <w:rPr>
                <w:lang w:val="es-ES"/>
              </w:rPr>
              <w:t>IÓN PLENARIA</w:t>
            </w:r>
          </w:p>
        </w:tc>
        <w:tc>
          <w:tcPr>
            <w:tcW w:w="3085" w:type="dxa"/>
          </w:tcPr>
          <w:p w14:paraId="480E3411" w14:textId="2D36F75F" w:rsidR="00D83BF5" w:rsidRPr="000B1248" w:rsidRDefault="00D83BF5" w:rsidP="005E1050">
            <w:pPr>
              <w:tabs>
                <w:tab w:val="left" w:pos="851"/>
              </w:tabs>
              <w:spacing w:before="0" w:line="240" w:lineRule="atLeast"/>
              <w:rPr>
                <w:rFonts w:cstheme="minorHAnsi"/>
                <w:szCs w:val="24"/>
                <w:lang w:val="es-ES"/>
              </w:rPr>
            </w:pPr>
            <w:r w:rsidRPr="000B1248">
              <w:rPr>
                <w:b/>
                <w:bCs/>
                <w:szCs w:val="24"/>
                <w:lang w:val="es-ES"/>
              </w:rPr>
              <w:t>Document</w:t>
            </w:r>
            <w:r w:rsidR="000B1248">
              <w:rPr>
                <w:b/>
                <w:bCs/>
                <w:szCs w:val="24"/>
                <w:lang w:val="es-ES"/>
              </w:rPr>
              <w:t>o</w:t>
            </w:r>
            <w:r w:rsidRPr="000B1248">
              <w:rPr>
                <w:b/>
                <w:bCs/>
                <w:szCs w:val="24"/>
                <w:lang w:val="es-ES"/>
              </w:rPr>
              <w:t xml:space="preserve"> </w:t>
            </w:r>
            <w:bookmarkStart w:id="4" w:name="DocRef1"/>
            <w:bookmarkEnd w:id="4"/>
            <w:r w:rsidR="00B2025D">
              <w:rPr>
                <w:b/>
                <w:bCs/>
                <w:szCs w:val="24"/>
                <w:lang w:val="es-ES"/>
              </w:rPr>
              <w:t>WTDC-22/</w:t>
            </w:r>
            <w:r w:rsidR="00133FCF">
              <w:rPr>
                <w:b/>
                <w:bCs/>
                <w:szCs w:val="24"/>
                <w:lang w:val="es-ES"/>
              </w:rPr>
              <w:t>8</w:t>
            </w:r>
            <w:r w:rsidRPr="000B1248">
              <w:rPr>
                <w:b/>
                <w:bCs/>
                <w:szCs w:val="24"/>
                <w:lang w:val="es-ES"/>
              </w:rPr>
              <w:t>-</w:t>
            </w:r>
            <w:r w:rsidR="005E1050">
              <w:rPr>
                <w:b/>
                <w:bCs/>
                <w:szCs w:val="24"/>
                <w:lang w:val="es-ES"/>
              </w:rPr>
              <w:t>S</w:t>
            </w:r>
          </w:p>
        </w:tc>
      </w:tr>
      <w:tr w:rsidR="00D83BF5" w:rsidRPr="000B1248" w14:paraId="4C3F37C3" w14:textId="77777777" w:rsidTr="005E1050">
        <w:trPr>
          <w:cantSplit/>
          <w:trHeight w:val="23"/>
        </w:trPr>
        <w:tc>
          <w:tcPr>
            <w:tcW w:w="6946" w:type="dxa"/>
            <w:gridSpan w:val="2"/>
            <w:shd w:val="clear" w:color="auto" w:fill="auto"/>
          </w:tcPr>
          <w:p w14:paraId="123AC550" w14:textId="77777777" w:rsidR="00D83BF5" w:rsidRPr="000B1248" w:rsidRDefault="00D83BF5" w:rsidP="00B951D0">
            <w:pPr>
              <w:tabs>
                <w:tab w:val="left" w:pos="851"/>
              </w:tabs>
              <w:spacing w:before="0" w:line="240" w:lineRule="atLeast"/>
              <w:rPr>
                <w:rFonts w:cstheme="minorHAnsi"/>
                <w:b/>
                <w:szCs w:val="24"/>
                <w:lang w:val="es-ES"/>
              </w:rPr>
            </w:pPr>
            <w:bookmarkStart w:id="5" w:name="ddate" w:colFirst="1" w:colLast="1"/>
            <w:bookmarkStart w:id="6" w:name="dblank" w:colFirst="0" w:colLast="0"/>
            <w:bookmarkEnd w:id="2"/>
            <w:bookmarkEnd w:id="3"/>
          </w:p>
        </w:tc>
        <w:tc>
          <w:tcPr>
            <w:tcW w:w="3085" w:type="dxa"/>
          </w:tcPr>
          <w:p w14:paraId="73B04475" w14:textId="36952701" w:rsidR="00D83BF5" w:rsidRPr="000B1248" w:rsidRDefault="00133FCF" w:rsidP="000B1248">
            <w:pPr>
              <w:spacing w:before="0" w:line="240" w:lineRule="atLeast"/>
              <w:rPr>
                <w:rFonts w:cstheme="minorHAnsi"/>
                <w:szCs w:val="24"/>
                <w:lang w:val="es-ES"/>
              </w:rPr>
            </w:pPr>
            <w:r>
              <w:rPr>
                <w:b/>
                <w:bCs/>
                <w:szCs w:val="24"/>
                <w:lang w:val="es-ES"/>
              </w:rPr>
              <w:t>9 de mayo de 2022</w:t>
            </w:r>
          </w:p>
        </w:tc>
      </w:tr>
      <w:tr w:rsidR="00D83BF5" w:rsidRPr="000B1248" w14:paraId="549F8FA4" w14:textId="77777777" w:rsidTr="005E1050">
        <w:trPr>
          <w:cantSplit/>
          <w:trHeight w:val="23"/>
        </w:trPr>
        <w:tc>
          <w:tcPr>
            <w:tcW w:w="6946" w:type="dxa"/>
            <w:gridSpan w:val="2"/>
            <w:shd w:val="clear" w:color="auto" w:fill="auto"/>
          </w:tcPr>
          <w:p w14:paraId="304B060A" w14:textId="77777777" w:rsidR="00D83BF5" w:rsidRPr="000B1248" w:rsidRDefault="00D83BF5" w:rsidP="00B951D0">
            <w:pPr>
              <w:tabs>
                <w:tab w:val="left" w:pos="851"/>
              </w:tabs>
              <w:spacing w:before="0" w:line="240" w:lineRule="atLeast"/>
              <w:rPr>
                <w:rFonts w:cstheme="minorHAnsi"/>
                <w:szCs w:val="24"/>
                <w:lang w:val="es-ES"/>
              </w:rPr>
            </w:pPr>
            <w:bookmarkStart w:id="7" w:name="dbluepink" w:colFirst="0" w:colLast="0"/>
            <w:bookmarkStart w:id="8" w:name="dorlang" w:colFirst="1" w:colLast="1"/>
            <w:bookmarkEnd w:id="5"/>
            <w:bookmarkEnd w:id="6"/>
          </w:p>
        </w:tc>
        <w:tc>
          <w:tcPr>
            <w:tcW w:w="3085" w:type="dxa"/>
          </w:tcPr>
          <w:p w14:paraId="49336B13" w14:textId="6F32B5DF" w:rsidR="00D83BF5" w:rsidRPr="000B1248" w:rsidRDefault="00D83BF5" w:rsidP="000B1248">
            <w:pPr>
              <w:tabs>
                <w:tab w:val="left" w:pos="993"/>
              </w:tabs>
              <w:spacing w:before="0"/>
              <w:rPr>
                <w:rFonts w:cstheme="minorHAnsi"/>
                <w:b/>
                <w:szCs w:val="24"/>
                <w:lang w:val="es-ES"/>
              </w:rPr>
            </w:pPr>
            <w:r w:rsidRPr="000B1248">
              <w:rPr>
                <w:b/>
                <w:bCs/>
                <w:szCs w:val="24"/>
                <w:lang w:val="es-ES"/>
              </w:rPr>
              <w:t xml:space="preserve">Original: </w:t>
            </w:r>
            <w:r w:rsidR="006F7325">
              <w:rPr>
                <w:b/>
                <w:bCs/>
                <w:szCs w:val="24"/>
                <w:lang w:val="es-ES"/>
              </w:rPr>
              <w:t>inglés</w:t>
            </w:r>
          </w:p>
        </w:tc>
      </w:tr>
      <w:tr w:rsidR="00D83BF5" w:rsidRPr="00936AC4" w14:paraId="78C5AC1D" w14:textId="77777777" w:rsidTr="007F735C">
        <w:trPr>
          <w:cantSplit/>
          <w:trHeight w:val="23"/>
        </w:trPr>
        <w:tc>
          <w:tcPr>
            <w:tcW w:w="10031" w:type="dxa"/>
            <w:gridSpan w:val="3"/>
            <w:shd w:val="clear" w:color="auto" w:fill="auto"/>
          </w:tcPr>
          <w:p w14:paraId="08567B52" w14:textId="0206A4CA" w:rsidR="00D83BF5" w:rsidRPr="000B1248" w:rsidRDefault="00133FCF" w:rsidP="000B1248">
            <w:pPr>
              <w:pStyle w:val="Source"/>
              <w:spacing w:before="240" w:after="240"/>
              <w:rPr>
                <w:lang w:val="es-ES"/>
              </w:rPr>
            </w:pPr>
            <w:r>
              <w:rPr>
                <w:lang w:val="es-ES"/>
              </w:rPr>
              <w:t>Directora de la Oficina de Desarrollo de las Telecomunicaciones</w:t>
            </w:r>
          </w:p>
        </w:tc>
      </w:tr>
      <w:tr w:rsidR="00D83BF5" w:rsidRPr="00936AC4" w14:paraId="17662E7C" w14:textId="77777777" w:rsidTr="007F735C">
        <w:trPr>
          <w:cantSplit/>
          <w:trHeight w:val="23"/>
        </w:trPr>
        <w:tc>
          <w:tcPr>
            <w:tcW w:w="10031" w:type="dxa"/>
            <w:gridSpan w:val="3"/>
            <w:shd w:val="clear" w:color="auto" w:fill="auto"/>
            <w:vAlign w:val="center"/>
          </w:tcPr>
          <w:p w14:paraId="5268BEA2" w14:textId="3AE5471C" w:rsidR="00D83BF5" w:rsidRPr="00133FCF" w:rsidRDefault="00133FCF" w:rsidP="000B1248">
            <w:pPr>
              <w:pStyle w:val="Title1"/>
              <w:spacing w:before="120" w:after="120"/>
              <w:rPr>
                <w:caps w:val="0"/>
                <w:lang w:val="es-ES"/>
              </w:rPr>
            </w:pPr>
            <w:r w:rsidRPr="00133FCF">
              <w:rPr>
                <w:caps w:val="0"/>
                <w:lang w:val="es-ES"/>
              </w:rPr>
              <w:t xml:space="preserve">Proyecto de Plan de Acción del </w:t>
            </w:r>
            <w:r w:rsidRPr="00133FCF">
              <w:rPr>
                <w:lang w:val="es-ES"/>
              </w:rPr>
              <w:t xml:space="preserve">UIT-D </w:t>
            </w:r>
            <w:r w:rsidRPr="00133FCF">
              <w:rPr>
                <w:caps w:val="0"/>
                <w:lang w:val="es-ES"/>
              </w:rPr>
              <w:t xml:space="preserve">para </w:t>
            </w:r>
            <w:r w:rsidRPr="00133FCF">
              <w:rPr>
                <w:lang w:val="es-ES"/>
              </w:rPr>
              <w:t>20</w:t>
            </w:r>
            <w:r w:rsidR="00E1190E">
              <w:rPr>
                <w:lang w:val="es-ES"/>
              </w:rPr>
              <w:t>22</w:t>
            </w:r>
            <w:r w:rsidRPr="00133FCF">
              <w:rPr>
                <w:lang w:val="es-ES"/>
              </w:rPr>
              <w:t>-202</w:t>
            </w:r>
            <w:r w:rsidR="00E1190E">
              <w:rPr>
                <w:lang w:val="es-ES"/>
              </w:rPr>
              <w:t>5</w:t>
            </w:r>
          </w:p>
        </w:tc>
      </w:tr>
      <w:tr w:rsidR="00D83BF5" w:rsidRPr="00936AC4" w14:paraId="3F439F7A" w14:textId="77777777" w:rsidTr="00B951D0">
        <w:trPr>
          <w:cantSplit/>
          <w:trHeight w:val="23"/>
        </w:trPr>
        <w:tc>
          <w:tcPr>
            <w:tcW w:w="10031" w:type="dxa"/>
            <w:gridSpan w:val="3"/>
            <w:tcBorders>
              <w:bottom w:val="single" w:sz="4" w:space="0" w:color="auto"/>
            </w:tcBorders>
            <w:shd w:val="clear" w:color="auto" w:fill="auto"/>
          </w:tcPr>
          <w:p w14:paraId="46121886" w14:textId="77777777" w:rsidR="00D83BF5" w:rsidRPr="000B1248" w:rsidRDefault="00D83BF5" w:rsidP="00B911B2">
            <w:pPr>
              <w:pStyle w:val="Title1"/>
              <w:spacing w:before="120" w:after="120"/>
              <w:jc w:val="left"/>
              <w:rPr>
                <w:rFonts w:cs="Times New Roman Bold"/>
                <w:caps w:val="0"/>
                <w:szCs w:val="28"/>
                <w:lang w:val="es-ES"/>
              </w:rPr>
            </w:pPr>
          </w:p>
        </w:tc>
      </w:tr>
      <w:tr w:rsidR="0064322F" w:rsidRPr="00133FCF" w14:paraId="29863E8C" w14:textId="77777777" w:rsidTr="00B951D0">
        <w:trPr>
          <w:cantSplit/>
          <w:trHeight w:val="23"/>
        </w:trPr>
        <w:tc>
          <w:tcPr>
            <w:tcW w:w="10031" w:type="dxa"/>
            <w:gridSpan w:val="3"/>
            <w:tcBorders>
              <w:top w:val="single" w:sz="4" w:space="0" w:color="auto"/>
              <w:left w:val="single" w:sz="4" w:space="0" w:color="auto"/>
              <w:bottom w:val="single" w:sz="4" w:space="0" w:color="auto"/>
              <w:right w:val="single" w:sz="4" w:space="0" w:color="auto"/>
            </w:tcBorders>
            <w:shd w:val="clear" w:color="auto" w:fill="auto"/>
          </w:tcPr>
          <w:p w14:paraId="278136FE" w14:textId="3A4D1BB2" w:rsidR="00133FCF" w:rsidRDefault="00E245CC" w:rsidP="00A72661">
            <w:pPr>
              <w:pStyle w:val="Title1"/>
              <w:tabs>
                <w:tab w:val="clear" w:pos="1134"/>
                <w:tab w:val="clear" w:pos="1871"/>
                <w:tab w:val="left" w:pos="1985"/>
              </w:tabs>
              <w:spacing w:before="120"/>
              <w:jc w:val="left"/>
              <w:rPr>
                <w:rFonts w:cs="Times New Roman Bold"/>
                <w:b/>
                <w:bCs/>
                <w:caps w:val="0"/>
                <w:sz w:val="24"/>
                <w:szCs w:val="24"/>
                <w:lang w:val="es-ES_tradnl"/>
              </w:rPr>
            </w:pPr>
            <w:r w:rsidRPr="00E245CC">
              <w:rPr>
                <w:rFonts w:cs="Times New Roman Bold"/>
                <w:b/>
                <w:bCs/>
                <w:caps w:val="0"/>
                <w:sz w:val="24"/>
                <w:szCs w:val="24"/>
                <w:lang w:val="es-ES_tradnl"/>
              </w:rPr>
              <w:t xml:space="preserve">Área </w:t>
            </w:r>
            <w:r w:rsidRPr="00607EF3">
              <w:rPr>
                <w:rFonts w:cs="Times New Roman Bold"/>
                <w:b/>
                <w:bCs/>
                <w:caps w:val="0"/>
                <w:sz w:val="24"/>
                <w:szCs w:val="24"/>
                <w:lang w:val="es-ES_tradnl"/>
              </w:rPr>
              <w:t xml:space="preserve">prioritaria: </w:t>
            </w:r>
          </w:p>
          <w:p w14:paraId="3B2C561A" w14:textId="0BAE907F" w:rsidR="00133FCF" w:rsidRPr="00133FCF" w:rsidRDefault="00844A15" w:rsidP="00844A15">
            <w:pPr>
              <w:rPr>
                <w:lang w:val="es-ES_tradnl"/>
              </w:rPr>
            </w:pPr>
            <w:r w:rsidRPr="00844A15">
              <w:rPr>
                <w:lang w:val="es-ES_tradnl"/>
              </w:rPr>
              <w:t>–</w:t>
            </w:r>
            <w:r w:rsidR="00133FCF">
              <w:rPr>
                <w:lang w:val="es-ES_tradnl"/>
              </w:rPr>
              <w:tab/>
            </w:r>
            <w:r w:rsidR="00133FCF" w:rsidRPr="00607EF3">
              <w:rPr>
                <w:rFonts w:cs="Times New Roman Bold"/>
                <w:caps/>
                <w:szCs w:val="24"/>
                <w:lang w:val="es-ES_tradnl"/>
              </w:rPr>
              <w:t>P</w:t>
            </w:r>
            <w:r w:rsidR="00133FCF" w:rsidRPr="00607EF3">
              <w:rPr>
                <w:rFonts w:cs="Times New Roman Bold"/>
                <w:szCs w:val="24"/>
                <w:lang w:val="es-ES_tradnl"/>
              </w:rPr>
              <w:t>rioridades temáticas, Plan de Acción, Iniciativas Regionales y</w:t>
            </w:r>
            <w:r w:rsidR="00133FCF" w:rsidRPr="001D464C">
              <w:rPr>
                <w:lang w:val="es-ES"/>
              </w:rPr>
              <w:t xml:space="preserve"> </w:t>
            </w:r>
            <w:r w:rsidR="00133FCF" w:rsidRPr="00607EF3">
              <w:rPr>
                <w:rFonts w:cs="Times New Roman Bold"/>
                <w:szCs w:val="24"/>
                <w:lang w:val="es-ES_tradnl"/>
              </w:rPr>
              <w:t xml:space="preserve">Cuestiones de </w:t>
            </w:r>
            <w:r w:rsidR="00133FCF" w:rsidRPr="00607EF3">
              <w:rPr>
                <w:rFonts w:cs="Times New Roman Bold"/>
                <w:szCs w:val="24"/>
                <w:lang w:val="es-ES_tradnl"/>
              </w:rPr>
              <w:tab/>
              <w:t>las CE</w:t>
            </w:r>
          </w:p>
          <w:p w14:paraId="1E34CCB8" w14:textId="77777777" w:rsidR="00D9621A" w:rsidRPr="00936AC4" w:rsidRDefault="000B1248" w:rsidP="00A72661">
            <w:pPr>
              <w:spacing w:after="120"/>
              <w:rPr>
                <w:b/>
                <w:bCs/>
                <w:szCs w:val="24"/>
                <w:lang w:val="es-ES"/>
              </w:rPr>
            </w:pPr>
            <w:r w:rsidRPr="00936AC4">
              <w:rPr>
                <w:b/>
                <w:bCs/>
                <w:szCs w:val="24"/>
                <w:lang w:val="es-ES"/>
              </w:rPr>
              <w:t>Resumen</w:t>
            </w:r>
            <w:r w:rsidR="00D9621A" w:rsidRPr="00936AC4">
              <w:rPr>
                <w:b/>
                <w:bCs/>
                <w:szCs w:val="24"/>
                <w:lang w:val="es-ES"/>
              </w:rPr>
              <w:t>:</w:t>
            </w:r>
          </w:p>
          <w:p w14:paraId="0B3C507C" w14:textId="702E5C9A" w:rsidR="00133FCF" w:rsidRDefault="00133FCF" w:rsidP="00FF2FC1">
            <w:pPr>
              <w:rPr>
                <w:szCs w:val="24"/>
                <w:lang w:val="es-ES"/>
              </w:rPr>
            </w:pPr>
            <w:r>
              <w:rPr>
                <w:szCs w:val="24"/>
                <w:lang w:val="es-ES"/>
              </w:rPr>
              <w:t>En el presente documento figura el proyecto de Plan de Acción del UIT-D para el periodo 20</w:t>
            </w:r>
            <w:r w:rsidR="00B2025D">
              <w:rPr>
                <w:szCs w:val="24"/>
                <w:lang w:val="es-ES"/>
              </w:rPr>
              <w:t>22-2025</w:t>
            </w:r>
            <w:r>
              <w:rPr>
                <w:szCs w:val="24"/>
                <w:lang w:val="es-ES"/>
              </w:rPr>
              <w:t>.</w:t>
            </w:r>
          </w:p>
          <w:p w14:paraId="23E869FC" w14:textId="5ED377FF" w:rsidR="00133FCF" w:rsidRDefault="00133FCF" w:rsidP="00FF2FC1">
            <w:pPr>
              <w:rPr>
                <w:szCs w:val="24"/>
                <w:lang w:val="es-ES"/>
              </w:rPr>
            </w:pPr>
            <w:r>
              <w:rPr>
                <w:szCs w:val="24"/>
                <w:lang w:val="es-ES"/>
              </w:rPr>
              <w:t xml:space="preserve">Este documento ha sido elaborado por el Grupo </w:t>
            </w:r>
            <w:r w:rsidR="006E6999">
              <w:rPr>
                <w:szCs w:val="24"/>
                <w:lang w:val="es-ES"/>
              </w:rPr>
              <w:t xml:space="preserve">de Trabajo </w:t>
            </w:r>
            <w:r>
              <w:rPr>
                <w:szCs w:val="24"/>
                <w:lang w:val="es-ES"/>
              </w:rPr>
              <w:t xml:space="preserve">del GADT sobre </w:t>
            </w:r>
            <w:r w:rsidR="006E6999">
              <w:rPr>
                <w:szCs w:val="24"/>
                <w:lang w:val="es-ES"/>
              </w:rPr>
              <w:t>las Resoluciones, la Declaración y las Prioridades Temáticas (</w:t>
            </w:r>
            <w:r w:rsidR="006E6999" w:rsidRPr="00936AC4">
              <w:rPr>
                <w:color w:val="000000"/>
                <w:lang w:val="es-ES"/>
              </w:rPr>
              <w:t>GT-GADT-RDPT</w:t>
            </w:r>
            <w:r w:rsidR="006E6999">
              <w:rPr>
                <w:szCs w:val="24"/>
                <w:lang w:val="es-ES"/>
              </w:rPr>
              <w:t xml:space="preserve">) </w:t>
            </w:r>
            <w:r>
              <w:rPr>
                <w:szCs w:val="24"/>
                <w:lang w:val="es-ES"/>
              </w:rPr>
              <w:t>con objeto de facilitar la labor de la Conferencia Mundial de Desarrollo de las Telecomunicaciones de 20</w:t>
            </w:r>
            <w:r w:rsidR="006E6999">
              <w:rPr>
                <w:szCs w:val="24"/>
                <w:lang w:val="es-ES"/>
              </w:rPr>
              <w:t>22</w:t>
            </w:r>
            <w:r>
              <w:rPr>
                <w:szCs w:val="24"/>
                <w:lang w:val="es-ES"/>
              </w:rPr>
              <w:t xml:space="preserve"> (CMDT-</w:t>
            </w:r>
            <w:r w:rsidR="006E6999">
              <w:rPr>
                <w:szCs w:val="24"/>
                <w:lang w:val="es-ES"/>
              </w:rPr>
              <w:t>22</w:t>
            </w:r>
            <w:r>
              <w:rPr>
                <w:szCs w:val="24"/>
                <w:lang w:val="es-ES"/>
              </w:rPr>
              <w:t>).</w:t>
            </w:r>
          </w:p>
          <w:p w14:paraId="6A9E629E" w14:textId="0A47FD2B" w:rsidR="00D9621A" w:rsidRPr="00844A15" w:rsidRDefault="00FB2280" w:rsidP="00A72661">
            <w:pPr>
              <w:spacing w:after="120"/>
              <w:rPr>
                <w:szCs w:val="24"/>
                <w:lang w:val="es-ES"/>
              </w:rPr>
            </w:pPr>
            <w:r>
              <w:rPr>
                <w:bCs/>
                <w:szCs w:val="24"/>
                <w:lang w:val="es-ES"/>
              </w:rPr>
              <w:t xml:space="preserve">Después de que el GADT aprobara la versión </w:t>
            </w:r>
            <w:r w:rsidR="006E6999" w:rsidRPr="00844A15">
              <w:rPr>
                <w:bCs/>
                <w:szCs w:val="24"/>
                <w:lang w:val="es-ES"/>
              </w:rPr>
              <w:t>inicial</w:t>
            </w:r>
            <w:r w:rsidRPr="00844A15">
              <w:rPr>
                <w:bCs/>
                <w:szCs w:val="24"/>
                <w:lang w:val="es-ES"/>
              </w:rPr>
              <w:t xml:space="preserve"> y en cumplimiento de lo dispuesto por la reuni</w:t>
            </w:r>
            <w:r w:rsidR="002D59BB">
              <w:rPr>
                <w:bCs/>
                <w:szCs w:val="24"/>
                <w:lang w:val="es-ES"/>
              </w:rPr>
              <w:t>ó</w:t>
            </w:r>
            <w:r w:rsidRPr="00844A15">
              <w:rPr>
                <w:bCs/>
                <w:szCs w:val="24"/>
                <w:lang w:val="es-ES"/>
              </w:rPr>
              <w:t xml:space="preserve">n, se </w:t>
            </w:r>
            <w:r>
              <w:rPr>
                <w:bCs/>
                <w:szCs w:val="24"/>
                <w:lang w:val="es-ES"/>
              </w:rPr>
              <w:t xml:space="preserve">elaboró </w:t>
            </w:r>
            <w:r w:rsidRPr="00844A15">
              <w:rPr>
                <w:bCs/>
                <w:szCs w:val="24"/>
                <w:lang w:val="es-ES"/>
              </w:rPr>
              <w:t xml:space="preserve">una </w:t>
            </w:r>
            <w:r>
              <w:rPr>
                <w:bCs/>
                <w:szCs w:val="24"/>
                <w:lang w:val="es-ES"/>
              </w:rPr>
              <w:t>versió</w:t>
            </w:r>
            <w:r w:rsidRPr="00844A15">
              <w:rPr>
                <w:bCs/>
                <w:szCs w:val="24"/>
                <w:lang w:val="es-ES"/>
              </w:rPr>
              <w:t xml:space="preserve">n actualizada </w:t>
            </w:r>
            <w:r>
              <w:rPr>
                <w:bCs/>
                <w:szCs w:val="24"/>
                <w:lang w:val="es-ES"/>
              </w:rPr>
              <w:t>que incluía</w:t>
            </w:r>
            <w:r w:rsidRPr="00844A15">
              <w:rPr>
                <w:bCs/>
                <w:szCs w:val="24"/>
                <w:lang w:val="es-ES"/>
              </w:rPr>
              <w:t xml:space="preserve"> los resultados de la </w:t>
            </w:r>
            <w:r>
              <w:rPr>
                <w:bCs/>
                <w:szCs w:val="24"/>
                <w:lang w:val="es-ES"/>
              </w:rPr>
              <w:t>reunió</w:t>
            </w:r>
            <w:r w:rsidRPr="00844A15">
              <w:rPr>
                <w:bCs/>
                <w:szCs w:val="24"/>
                <w:lang w:val="es-ES"/>
              </w:rPr>
              <w:t xml:space="preserve">n </w:t>
            </w:r>
            <w:r>
              <w:rPr>
                <w:bCs/>
                <w:szCs w:val="24"/>
                <w:lang w:val="es-ES"/>
              </w:rPr>
              <w:t>del</w:t>
            </w:r>
            <w:r w:rsidRPr="00844A15">
              <w:rPr>
                <w:color w:val="000000"/>
                <w:lang w:val="es-ES"/>
              </w:rPr>
              <w:t xml:space="preserve"> Grupo de Trabajo del Consejo sobre los Planes Estratégico y Financiero (GTC-PEF)</w:t>
            </w:r>
            <w:r>
              <w:rPr>
                <w:color w:val="000000"/>
                <w:lang w:val="es-ES"/>
              </w:rPr>
              <w:t xml:space="preserve"> y que se adjunta como referencia para los Miembros mientras se preparan las propuestas para la CMDT-22. </w:t>
            </w:r>
            <w:r w:rsidRPr="00FB2280">
              <w:rPr>
                <w:color w:val="000000"/>
                <w:lang w:val="es-ES"/>
              </w:rPr>
              <w:t>Conviene destacar que</w:t>
            </w:r>
            <w:r w:rsidRPr="00844A15">
              <w:rPr>
                <w:color w:val="000000"/>
                <w:lang w:val="es-ES"/>
              </w:rPr>
              <w:t xml:space="preserve"> el mismo documento </w:t>
            </w:r>
            <w:r w:rsidRPr="00FB2280">
              <w:rPr>
                <w:color w:val="000000"/>
                <w:lang w:val="es-ES"/>
              </w:rPr>
              <w:t>se hab</w:t>
            </w:r>
            <w:r w:rsidRPr="00844A15">
              <w:rPr>
                <w:color w:val="000000"/>
                <w:lang w:val="es-ES"/>
              </w:rPr>
              <w:t xml:space="preserve">ía </w:t>
            </w:r>
            <w:r>
              <w:rPr>
                <w:color w:val="000000"/>
                <w:lang w:val="es-ES"/>
              </w:rPr>
              <w:t xml:space="preserve">incorporado a la </w:t>
            </w:r>
            <w:r w:rsidRPr="00844A15">
              <w:rPr>
                <w:color w:val="000000"/>
                <w:lang w:val="es-ES"/>
              </w:rPr>
              <w:t>Interfaz de Pr</w:t>
            </w:r>
            <w:r>
              <w:rPr>
                <w:color w:val="000000"/>
                <w:lang w:val="es-ES"/>
              </w:rPr>
              <w:t>opuestas a la Conferencia</w:t>
            </w:r>
            <w:r w:rsidR="004F6F3E">
              <w:rPr>
                <w:color w:val="000000"/>
                <w:lang w:val="es-ES"/>
              </w:rPr>
              <w:t> </w:t>
            </w:r>
            <w:r>
              <w:rPr>
                <w:color w:val="000000"/>
                <w:lang w:val="es-ES"/>
              </w:rPr>
              <w:t>(CPI)</w:t>
            </w:r>
            <w:r w:rsidRPr="00844A15">
              <w:rPr>
                <w:color w:val="000000"/>
                <w:lang w:val="es-ES"/>
              </w:rPr>
              <w:t xml:space="preserve"> como document</w:t>
            </w:r>
            <w:r>
              <w:rPr>
                <w:color w:val="000000"/>
                <w:lang w:val="es-ES"/>
              </w:rPr>
              <w:t>o</w:t>
            </w:r>
            <w:r w:rsidRPr="00844A15">
              <w:rPr>
                <w:color w:val="000000"/>
                <w:lang w:val="es-ES"/>
              </w:rPr>
              <w:t xml:space="preserve"> de base</w:t>
            </w:r>
            <w:r w:rsidR="00133FCF" w:rsidRPr="00844A15">
              <w:rPr>
                <w:bCs/>
                <w:szCs w:val="24"/>
                <w:lang w:val="es-ES"/>
              </w:rPr>
              <w:t>.</w:t>
            </w:r>
          </w:p>
          <w:p w14:paraId="593A34F1" w14:textId="77777777" w:rsidR="00D9621A" w:rsidRPr="000B1248" w:rsidRDefault="000B1248" w:rsidP="00A72661">
            <w:pPr>
              <w:spacing w:after="120"/>
              <w:rPr>
                <w:b/>
                <w:bCs/>
                <w:szCs w:val="24"/>
                <w:lang w:val="es-ES"/>
              </w:rPr>
            </w:pPr>
            <w:r>
              <w:rPr>
                <w:b/>
                <w:bCs/>
                <w:szCs w:val="24"/>
                <w:lang w:val="es-ES"/>
              </w:rPr>
              <w:t>Resultados previstos</w:t>
            </w:r>
            <w:r w:rsidR="00D9621A" w:rsidRPr="000B1248">
              <w:rPr>
                <w:b/>
                <w:bCs/>
                <w:szCs w:val="24"/>
                <w:lang w:val="es-ES"/>
              </w:rPr>
              <w:t>:</w:t>
            </w:r>
          </w:p>
          <w:p w14:paraId="290DF0D2" w14:textId="7DF153DD" w:rsidR="00D9621A" w:rsidRPr="000B1248" w:rsidRDefault="00133FCF" w:rsidP="00844A15">
            <w:pPr>
              <w:spacing w:after="120"/>
              <w:rPr>
                <w:szCs w:val="24"/>
                <w:lang w:val="es-ES"/>
              </w:rPr>
            </w:pPr>
            <w:r>
              <w:rPr>
                <w:szCs w:val="24"/>
                <w:lang w:val="es-ES"/>
              </w:rPr>
              <w:t xml:space="preserve">Se invita a la CMDT-22 a tomar nota del presente documento. Se alienta a los </w:t>
            </w:r>
            <w:r w:rsidR="006E6999">
              <w:rPr>
                <w:szCs w:val="24"/>
                <w:lang w:val="es-ES"/>
              </w:rPr>
              <w:t xml:space="preserve">Miembros </w:t>
            </w:r>
            <w:r>
              <w:rPr>
                <w:szCs w:val="24"/>
                <w:lang w:val="es-ES"/>
              </w:rPr>
              <w:t xml:space="preserve">a que formulen sus propuestas a la CMDT sobre la base de este documento, a través de la </w:t>
            </w:r>
            <w:hyperlink r:id="rId14" w:history="1">
              <w:r>
                <w:rPr>
                  <w:rStyle w:val="Hyperlink"/>
                  <w:szCs w:val="24"/>
                  <w:lang w:val="es-ES"/>
                </w:rPr>
                <w:t>Interfaz de Propuestas a la Conferencia (CPI)</w:t>
              </w:r>
            </w:hyperlink>
            <w:r>
              <w:rPr>
                <w:szCs w:val="24"/>
                <w:lang w:val="es-ES"/>
              </w:rPr>
              <w:t>.</w:t>
            </w:r>
          </w:p>
          <w:p w14:paraId="16DC7804" w14:textId="77777777" w:rsidR="00D9621A" w:rsidRPr="000B1248" w:rsidRDefault="00D9621A" w:rsidP="00A72661">
            <w:pPr>
              <w:spacing w:after="120"/>
              <w:rPr>
                <w:b/>
                <w:bCs/>
                <w:szCs w:val="24"/>
                <w:lang w:val="es-ES"/>
              </w:rPr>
            </w:pPr>
            <w:r w:rsidRPr="000B1248">
              <w:rPr>
                <w:b/>
                <w:bCs/>
                <w:szCs w:val="24"/>
                <w:lang w:val="es-ES"/>
              </w:rPr>
              <w:t>Referenc</w:t>
            </w:r>
            <w:r w:rsidR="000B1248">
              <w:rPr>
                <w:b/>
                <w:bCs/>
                <w:szCs w:val="24"/>
                <w:lang w:val="es-ES"/>
              </w:rPr>
              <w:t>ia</w:t>
            </w:r>
            <w:r w:rsidRPr="000B1248">
              <w:rPr>
                <w:b/>
                <w:bCs/>
                <w:szCs w:val="24"/>
                <w:lang w:val="es-ES"/>
              </w:rPr>
              <w:t>s:</w:t>
            </w:r>
          </w:p>
          <w:p w14:paraId="22F4EF1F" w14:textId="59BF6169" w:rsidR="00D9621A" w:rsidRPr="00133FCF" w:rsidRDefault="00133FCF" w:rsidP="004F6F3E">
            <w:pPr>
              <w:spacing w:after="120"/>
              <w:rPr>
                <w:lang w:val="es-ES"/>
              </w:rPr>
            </w:pPr>
            <w:r w:rsidRPr="00133FCF">
              <w:rPr>
                <w:lang w:val="es-ES"/>
              </w:rPr>
              <w:t>TDAG-21/2/DT/6</w:t>
            </w:r>
          </w:p>
        </w:tc>
      </w:tr>
      <w:bookmarkEnd w:id="7"/>
      <w:bookmarkEnd w:id="8"/>
    </w:tbl>
    <w:p w14:paraId="1E1A42E0" w14:textId="77777777" w:rsidR="00D83BF5" w:rsidRPr="000B1248" w:rsidRDefault="00D83BF5" w:rsidP="00D83BF5">
      <w:pPr>
        <w:rPr>
          <w:lang w:val="es-ES"/>
        </w:rPr>
      </w:pPr>
    </w:p>
    <w:p w14:paraId="1B0A1D59" w14:textId="347082A2" w:rsidR="00133FCF" w:rsidRDefault="00075C63" w:rsidP="00133FCF">
      <w:pPr>
        <w:pStyle w:val="Volumetitle"/>
        <w:rPr>
          <w:rFonts w:eastAsia="SimSun"/>
          <w:sz w:val="48"/>
          <w:szCs w:val="36"/>
          <w:lang w:val="fr-FR"/>
        </w:rPr>
      </w:pPr>
      <w:r w:rsidRPr="000B1248">
        <w:rPr>
          <w:szCs w:val="24"/>
          <w:lang w:val="es-ES"/>
        </w:rPr>
        <w:br w:type="page"/>
      </w:r>
      <w:bookmarkStart w:id="9" w:name="_Hlk100673333"/>
      <w:r w:rsidR="00133FCF" w:rsidRPr="00FA28E5">
        <w:rPr>
          <w:rFonts w:eastAsia="SimSun"/>
          <w:sz w:val="48"/>
          <w:szCs w:val="36"/>
          <w:lang w:val="es-ES"/>
        </w:rPr>
        <w:lastRenderedPageBreak/>
        <w:t xml:space="preserve">Documento de base del Plan de Acción </w:t>
      </w:r>
      <w:r w:rsidR="00133FCF">
        <w:rPr>
          <w:rFonts w:eastAsia="SimSun"/>
          <w:sz w:val="48"/>
          <w:szCs w:val="36"/>
          <w:lang w:val="es-ES"/>
        </w:rPr>
        <w:br/>
      </w:r>
      <w:r w:rsidR="00133FCF" w:rsidRPr="00FA28E5">
        <w:rPr>
          <w:rFonts w:eastAsia="SimSun"/>
          <w:sz w:val="48"/>
          <w:szCs w:val="36"/>
          <w:lang w:val="es-ES"/>
        </w:rPr>
        <w:t>de la</w:t>
      </w:r>
      <w:r w:rsidR="00133FCF" w:rsidRPr="00484C83">
        <w:rPr>
          <w:rFonts w:eastAsia="SimSun"/>
          <w:sz w:val="48"/>
          <w:szCs w:val="36"/>
          <w:lang w:val="fr-FR"/>
        </w:rPr>
        <w:t xml:space="preserve"> CMDT</w:t>
      </w:r>
    </w:p>
    <w:p w14:paraId="5B505286" w14:textId="77777777" w:rsidR="004F6F3E" w:rsidRPr="00484C83" w:rsidRDefault="004F6F3E" w:rsidP="004F6F3E">
      <w:pPr>
        <w:rPr>
          <w:rFonts w:eastAsia="SimSun"/>
          <w:lang w:val="fr-FR"/>
        </w:rPr>
      </w:pPr>
    </w:p>
    <w:p w14:paraId="6E148F35" w14:textId="77777777" w:rsidR="00133FCF" w:rsidRPr="004F6F3E" w:rsidRDefault="00133FCF" w:rsidP="00133FCF">
      <w:pPr>
        <w:rPr>
          <w:rFonts w:eastAsia="Batang"/>
          <w:b/>
          <w:bCs/>
          <w:lang w:val="es-ES_tradnl"/>
        </w:rPr>
      </w:pPr>
      <w:r w:rsidRPr="004F6F3E">
        <w:rPr>
          <w:rFonts w:eastAsia="Batang"/>
          <w:b/>
          <w:bCs/>
          <w:lang w:val="es-ES_tradnl"/>
        </w:rPr>
        <w:t>Índice</w:t>
      </w:r>
    </w:p>
    <w:p w14:paraId="25C6E715" w14:textId="77777777" w:rsidR="00133FCF" w:rsidRPr="00D656D5" w:rsidRDefault="00133FCF" w:rsidP="00133FCF">
      <w:pPr>
        <w:pStyle w:val="toc0"/>
        <w:rPr>
          <w:rFonts w:eastAsia="Batang"/>
        </w:rPr>
      </w:pPr>
      <w:r w:rsidRPr="00D656D5">
        <w:rPr>
          <w:rFonts w:eastAsia="Batang"/>
        </w:rPr>
        <w:tab/>
        <w:t>Página</w:t>
      </w:r>
    </w:p>
    <w:p w14:paraId="5A9BC9CC" w14:textId="1C339D08" w:rsidR="00133FCF" w:rsidRDefault="00133FCF" w:rsidP="00133FCF">
      <w:pPr>
        <w:pStyle w:val="TOC1"/>
        <w:rPr>
          <w:rFonts w:eastAsiaTheme="minorEastAsia" w:cstheme="minorBidi"/>
          <w:noProof/>
          <w:sz w:val="22"/>
          <w:szCs w:val="22"/>
          <w:lang w:val="en-US" w:eastAsia="zh-CN"/>
        </w:rPr>
      </w:pPr>
      <w:r w:rsidRPr="00D656D5">
        <w:rPr>
          <w:rFonts w:eastAsia="Batang"/>
          <w:lang w:val="es-ES_tradnl"/>
        </w:rPr>
        <w:fldChar w:fldCharType="begin"/>
      </w:r>
      <w:r w:rsidRPr="00D656D5">
        <w:rPr>
          <w:rFonts w:eastAsia="Batang"/>
          <w:lang w:val="es-ES_tradnl"/>
        </w:rPr>
        <w:instrText xml:space="preserve"> TOC \o "1-2" \h \z \u </w:instrText>
      </w:r>
      <w:r w:rsidRPr="00D656D5">
        <w:rPr>
          <w:rFonts w:eastAsia="Batang"/>
          <w:lang w:val="es-ES_tradnl"/>
        </w:rPr>
        <w:fldChar w:fldCharType="separate"/>
      </w:r>
      <w:hyperlink w:anchor="_Toc99954525" w:history="1">
        <w:r w:rsidRPr="007144B1">
          <w:rPr>
            <w:rStyle w:val="Hyperlink"/>
            <w:rFonts w:eastAsia="Yu Gothic Light"/>
            <w:noProof/>
            <w:lang w:val="es-ES_tradnl"/>
          </w:rPr>
          <w:t>1</w:t>
        </w:r>
        <w:r>
          <w:rPr>
            <w:rFonts w:eastAsiaTheme="minorEastAsia" w:cstheme="minorBidi"/>
            <w:noProof/>
            <w:sz w:val="22"/>
            <w:szCs w:val="22"/>
            <w:lang w:val="en-US" w:eastAsia="zh-CN"/>
          </w:rPr>
          <w:tab/>
        </w:r>
        <w:r w:rsidRPr="007144B1">
          <w:rPr>
            <w:rStyle w:val="Hyperlink"/>
            <w:rFonts w:eastAsia="Yu Gothic Light"/>
            <w:noProof/>
            <w:lang w:val="es-ES_tradnl"/>
          </w:rPr>
          <w:t>Glosario</w:t>
        </w:r>
        <w:r>
          <w:rPr>
            <w:noProof/>
            <w:webHidden/>
          </w:rPr>
          <w:tab/>
        </w:r>
        <w:r>
          <w:rPr>
            <w:noProof/>
            <w:webHidden/>
          </w:rPr>
          <w:tab/>
        </w:r>
        <w:r w:rsidR="00844A15">
          <w:rPr>
            <w:noProof/>
            <w:webHidden/>
          </w:rPr>
          <w:tab/>
        </w:r>
        <w:r>
          <w:rPr>
            <w:noProof/>
            <w:webHidden/>
          </w:rPr>
          <w:fldChar w:fldCharType="begin"/>
        </w:r>
        <w:r>
          <w:rPr>
            <w:noProof/>
            <w:webHidden/>
          </w:rPr>
          <w:instrText xml:space="preserve"> PAGEREF _Toc99954525 \h </w:instrText>
        </w:r>
        <w:r>
          <w:rPr>
            <w:noProof/>
            <w:webHidden/>
          </w:rPr>
        </w:r>
        <w:r>
          <w:rPr>
            <w:noProof/>
            <w:webHidden/>
          </w:rPr>
          <w:fldChar w:fldCharType="separate"/>
        </w:r>
        <w:r w:rsidR="006D5A98">
          <w:rPr>
            <w:noProof/>
            <w:webHidden/>
          </w:rPr>
          <w:t>3</w:t>
        </w:r>
        <w:r>
          <w:rPr>
            <w:noProof/>
            <w:webHidden/>
          </w:rPr>
          <w:fldChar w:fldCharType="end"/>
        </w:r>
      </w:hyperlink>
    </w:p>
    <w:p w14:paraId="259987A7" w14:textId="5C2F83D9" w:rsidR="00133FCF" w:rsidRDefault="006D5A98" w:rsidP="00133FCF">
      <w:pPr>
        <w:pStyle w:val="TOC1"/>
        <w:rPr>
          <w:rFonts w:eastAsiaTheme="minorEastAsia" w:cstheme="minorBidi"/>
          <w:noProof/>
          <w:sz w:val="22"/>
          <w:szCs w:val="22"/>
          <w:lang w:val="en-US" w:eastAsia="zh-CN"/>
        </w:rPr>
      </w:pPr>
      <w:hyperlink w:anchor="_Toc99954526" w:history="1">
        <w:r w:rsidR="00133FCF" w:rsidRPr="007144B1">
          <w:rPr>
            <w:rStyle w:val="Hyperlink"/>
            <w:rFonts w:eastAsia="Yu Gothic Light"/>
            <w:noProof/>
            <w:lang w:val="es-ES_tradnl"/>
          </w:rPr>
          <w:t>2</w:t>
        </w:r>
        <w:r w:rsidR="00133FCF">
          <w:rPr>
            <w:rFonts w:eastAsiaTheme="minorEastAsia" w:cstheme="minorBidi"/>
            <w:noProof/>
            <w:sz w:val="22"/>
            <w:szCs w:val="22"/>
            <w:lang w:val="en-US" w:eastAsia="zh-CN"/>
          </w:rPr>
          <w:tab/>
        </w:r>
        <w:r w:rsidR="00133FCF" w:rsidRPr="007144B1">
          <w:rPr>
            <w:rStyle w:val="Hyperlink"/>
            <w:rFonts w:eastAsia="Yu Gothic Light"/>
            <w:noProof/>
            <w:lang w:val="es-ES_tradnl"/>
          </w:rPr>
          <w:t>Introducción</w:t>
        </w:r>
        <w:r w:rsidR="00133FCF">
          <w:rPr>
            <w:noProof/>
            <w:webHidden/>
          </w:rPr>
          <w:tab/>
        </w:r>
        <w:r w:rsidR="00133FCF">
          <w:rPr>
            <w:noProof/>
            <w:webHidden/>
          </w:rPr>
          <w:tab/>
        </w:r>
        <w:r w:rsidR="00844A15">
          <w:rPr>
            <w:noProof/>
            <w:webHidden/>
          </w:rPr>
          <w:tab/>
        </w:r>
        <w:r w:rsidR="00133FCF">
          <w:rPr>
            <w:noProof/>
            <w:webHidden/>
          </w:rPr>
          <w:fldChar w:fldCharType="begin"/>
        </w:r>
        <w:r w:rsidR="00133FCF">
          <w:rPr>
            <w:noProof/>
            <w:webHidden/>
          </w:rPr>
          <w:instrText xml:space="preserve"> PAGEREF _Toc99954526 \h </w:instrText>
        </w:r>
        <w:r w:rsidR="00133FCF">
          <w:rPr>
            <w:noProof/>
            <w:webHidden/>
          </w:rPr>
        </w:r>
        <w:r w:rsidR="00133FCF">
          <w:rPr>
            <w:noProof/>
            <w:webHidden/>
          </w:rPr>
          <w:fldChar w:fldCharType="separate"/>
        </w:r>
        <w:r>
          <w:rPr>
            <w:noProof/>
            <w:webHidden/>
          </w:rPr>
          <w:t>7</w:t>
        </w:r>
        <w:r w:rsidR="00133FCF">
          <w:rPr>
            <w:noProof/>
            <w:webHidden/>
          </w:rPr>
          <w:fldChar w:fldCharType="end"/>
        </w:r>
      </w:hyperlink>
    </w:p>
    <w:p w14:paraId="0DF5E4C4" w14:textId="6C5AADF6" w:rsidR="00133FCF" w:rsidRDefault="006D5A98" w:rsidP="00133FCF">
      <w:pPr>
        <w:pStyle w:val="TOC1"/>
        <w:rPr>
          <w:rFonts w:eastAsiaTheme="minorEastAsia" w:cstheme="minorBidi"/>
          <w:noProof/>
          <w:sz w:val="22"/>
          <w:szCs w:val="22"/>
          <w:lang w:val="en-US" w:eastAsia="zh-CN"/>
        </w:rPr>
      </w:pPr>
      <w:hyperlink w:anchor="_Toc99954527" w:history="1">
        <w:r w:rsidR="00133FCF" w:rsidRPr="007144B1">
          <w:rPr>
            <w:rStyle w:val="Hyperlink"/>
            <w:rFonts w:eastAsia="Yu Gothic Light"/>
            <w:noProof/>
            <w:lang w:val="es-ES_tradnl"/>
          </w:rPr>
          <w:t>3</w:t>
        </w:r>
        <w:r w:rsidR="00133FCF">
          <w:rPr>
            <w:rFonts w:eastAsiaTheme="minorEastAsia" w:cstheme="minorBidi"/>
            <w:noProof/>
            <w:sz w:val="22"/>
            <w:szCs w:val="22"/>
            <w:lang w:val="en-US" w:eastAsia="zh-CN"/>
          </w:rPr>
          <w:tab/>
        </w:r>
        <w:r w:rsidR="00133FCF" w:rsidRPr="007144B1">
          <w:rPr>
            <w:rStyle w:val="Hyperlink"/>
            <w:rFonts w:eastAsia="Yu Gothic Light"/>
            <w:noProof/>
            <w:lang w:val="es-ES_tradnl"/>
          </w:rPr>
          <w:t>Estructura del Plan de Acción de la CMDT</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_Toc99954527 \h </w:instrText>
        </w:r>
        <w:r w:rsidR="00133FCF">
          <w:rPr>
            <w:noProof/>
            <w:webHidden/>
          </w:rPr>
        </w:r>
        <w:r w:rsidR="00133FCF">
          <w:rPr>
            <w:noProof/>
            <w:webHidden/>
          </w:rPr>
          <w:fldChar w:fldCharType="separate"/>
        </w:r>
        <w:r>
          <w:rPr>
            <w:noProof/>
            <w:webHidden/>
          </w:rPr>
          <w:t>9</w:t>
        </w:r>
        <w:r w:rsidR="00133FCF">
          <w:rPr>
            <w:noProof/>
            <w:webHidden/>
          </w:rPr>
          <w:fldChar w:fldCharType="end"/>
        </w:r>
      </w:hyperlink>
    </w:p>
    <w:p w14:paraId="2D55F78A" w14:textId="75DA0BC1" w:rsidR="00133FCF" w:rsidRDefault="006D5A98" w:rsidP="00133FCF">
      <w:pPr>
        <w:pStyle w:val="TOC2"/>
        <w:rPr>
          <w:rFonts w:eastAsiaTheme="minorEastAsia" w:cstheme="minorBidi"/>
          <w:noProof/>
          <w:sz w:val="22"/>
          <w:szCs w:val="22"/>
          <w:lang w:val="en-US" w:eastAsia="zh-CN"/>
        </w:rPr>
      </w:pPr>
      <w:hyperlink w:anchor="_Toc99954528" w:history="1">
        <w:r w:rsidR="00133FCF" w:rsidRPr="007144B1">
          <w:rPr>
            <w:rStyle w:val="Hyperlink"/>
            <w:rFonts w:eastAsia="Batang"/>
            <w:noProof/>
            <w:lang w:val="es-ES_tradnl"/>
          </w:rPr>
          <w:t>3.1</w:t>
        </w:r>
        <w:r w:rsidR="00133FCF">
          <w:rPr>
            <w:rFonts w:eastAsiaTheme="minorEastAsia" w:cstheme="minorBidi"/>
            <w:noProof/>
            <w:sz w:val="22"/>
            <w:szCs w:val="22"/>
            <w:lang w:val="en-US" w:eastAsia="zh-CN"/>
          </w:rPr>
          <w:tab/>
        </w:r>
        <w:r w:rsidR="00133FCF" w:rsidRPr="007144B1">
          <w:rPr>
            <w:rStyle w:val="Hyperlink"/>
            <w:rFonts w:eastAsia="Batang"/>
            <w:noProof/>
            <w:lang w:val="es-ES_tradnl"/>
          </w:rPr>
          <w:t>Prioridades temáticas</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_Toc99954528 \h </w:instrText>
        </w:r>
        <w:r w:rsidR="00133FCF">
          <w:rPr>
            <w:noProof/>
            <w:webHidden/>
          </w:rPr>
        </w:r>
        <w:r w:rsidR="00133FCF">
          <w:rPr>
            <w:noProof/>
            <w:webHidden/>
          </w:rPr>
          <w:fldChar w:fldCharType="separate"/>
        </w:r>
        <w:r>
          <w:rPr>
            <w:noProof/>
            <w:webHidden/>
          </w:rPr>
          <w:t>9</w:t>
        </w:r>
        <w:r w:rsidR="00133FCF">
          <w:rPr>
            <w:noProof/>
            <w:webHidden/>
          </w:rPr>
          <w:fldChar w:fldCharType="end"/>
        </w:r>
      </w:hyperlink>
    </w:p>
    <w:p w14:paraId="560635C9" w14:textId="6A9349D3" w:rsidR="00133FCF" w:rsidRDefault="006D5A98" w:rsidP="00133FCF">
      <w:pPr>
        <w:pStyle w:val="TOC2"/>
        <w:rPr>
          <w:rFonts w:eastAsiaTheme="minorEastAsia" w:cstheme="minorBidi"/>
          <w:noProof/>
          <w:sz w:val="22"/>
          <w:szCs w:val="22"/>
          <w:lang w:val="en-US" w:eastAsia="zh-CN"/>
        </w:rPr>
      </w:pPr>
      <w:hyperlink w:anchor="_Toc99954529" w:history="1">
        <w:r w:rsidR="00133FCF" w:rsidRPr="007144B1">
          <w:rPr>
            <w:rStyle w:val="Hyperlink"/>
            <w:noProof/>
            <w:lang w:val="es-ES_tradnl"/>
          </w:rPr>
          <w:t>3.2</w:t>
        </w:r>
        <w:r w:rsidR="00133FCF">
          <w:rPr>
            <w:rFonts w:eastAsiaTheme="minorEastAsia" w:cstheme="minorBidi"/>
            <w:noProof/>
            <w:sz w:val="22"/>
            <w:szCs w:val="22"/>
            <w:lang w:val="en-US" w:eastAsia="zh-CN"/>
          </w:rPr>
          <w:tab/>
        </w:r>
        <w:r w:rsidR="00133FCF" w:rsidRPr="007144B1">
          <w:rPr>
            <w:rStyle w:val="Hyperlink"/>
            <w:noProof/>
            <w:lang w:val="es-ES_tradnl"/>
          </w:rPr>
          <w:t>Productos y servicios</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_Toc99954529 \h </w:instrText>
        </w:r>
        <w:r w:rsidR="00133FCF">
          <w:rPr>
            <w:noProof/>
            <w:webHidden/>
          </w:rPr>
        </w:r>
        <w:r w:rsidR="00133FCF">
          <w:rPr>
            <w:noProof/>
            <w:webHidden/>
          </w:rPr>
          <w:fldChar w:fldCharType="separate"/>
        </w:r>
        <w:r>
          <w:rPr>
            <w:noProof/>
            <w:webHidden/>
          </w:rPr>
          <w:t>11</w:t>
        </w:r>
        <w:r w:rsidR="00133FCF">
          <w:rPr>
            <w:noProof/>
            <w:webHidden/>
          </w:rPr>
          <w:fldChar w:fldCharType="end"/>
        </w:r>
      </w:hyperlink>
    </w:p>
    <w:p w14:paraId="474A32E4" w14:textId="78F0964A" w:rsidR="00133FCF" w:rsidRDefault="006D5A98" w:rsidP="00133FCF">
      <w:pPr>
        <w:pStyle w:val="TOC2"/>
        <w:rPr>
          <w:rFonts w:eastAsiaTheme="minorEastAsia" w:cstheme="minorBidi"/>
          <w:noProof/>
          <w:sz w:val="22"/>
          <w:szCs w:val="22"/>
          <w:lang w:val="en-US" w:eastAsia="zh-CN"/>
        </w:rPr>
      </w:pPr>
      <w:hyperlink w:anchor="_Toc99954530" w:history="1">
        <w:r w:rsidR="00133FCF" w:rsidRPr="007144B1">
          <w:rPr>
            <w:rStyle w:val="Hyperlink"/>
            <w:noProof/>
            <w:lang w:val="es-ES_tradnl"/>
          </w:rPr>
          <w:t>3.3</w:t>
        </w:r>
        <w:r w:rsidR="00133FCF">
          <w:rPr>
            <w:rFonts w:eastAsiaTheme="minorEastAsia" w:cstheme="minorBidi"/>
            <w:noProof/>
            <w:sz w:val="22"/>
            <w:szCs w:val="22"/>
            <w:lang w:val="en-US" w:eastAsia="zh-CN"/>
          </w:rPr>
          <w:tab/>
        </w:r>
        <w:r w:rsidR="00133FCF" w:rsidRPr="007144B1">
          <w:rPr>
            <w:rStyle w:val="Hyperlink"/>
            <w:noProof/>
            <w:lang w:val="es-ES_tradnl"/>
          </w:rPr>
          <w:t>Factores habilitadores</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_Toc99954530 \h </w:instrText>
        </w:r>
        <w:r w:rsidR="00133FCF">
          <w:rPr>
            <w:noProof/>
            <w:webHidden/>
          </w:rPr>
        </w:r>
        <w:r w:rsidR="00133FCF">
          <w:rPr>
            <w:noProof/>
            <w:webHidden/>
          </w:rPr>
          <w:fldChar w:fldCharType="separate"/>
        </w:r>
        <w:r>
          <w:rPr>
            <w:noProof/>
            <w:webHidden/>
          </w:rPr>
          <w:t>13</w:t>
        </w:r>
        <w:r w:rsidR="00133FCF">
          <w:rPr>
            <w:noProof/>
            <w:webHidden/>
          </w:rPr>
          <w:fldChar w:fldCharType="end"/>
        </w:r>
      </w:hyperlink>
    </w:p>
    <w:p w14:paraId="048F2AA0" w14:textId="05960AE2" w:rsidR="00133FCF" w:rsidRDefault="006D5A98" w:rsidP="00133FCF">
      <w:pPr>
        <w:pStyle w:val="TOC2"/>
        <w:rPr>
          <w:rFonts w:eastAsiaTheme="minorEastAsia" w:cstheme="minorBidi"/>
          <w:noProof/>
          <w:sz w:val="22"/>
          <w:szCs w:val="22"/>
          <w:lang w:val="en-US" w:eastAsia="zh-CN"/>
        </w:rPr>
      </w:pPr>
      <w:hyperlink w:anchor="_Toc99954531" w:history="1">
        <w:r w:rsidR="00133FCF" w:rsidRPr="007144B1">
          <w:rPr>
            <w:rStyle w:val="Hyperlink"/>
            <w:rFonts w:eastAsia="Yu Gothic Light"/>
            <w:noProof/>
            <w:lang w:val="es-ES_tradnl"/>
          </w:rPr>
          <w:t>3.4</w:t>
        </w:r>
        <w:r w:rsidR="00133FCF">
          <w:rPr>
            <w:rFonts w:eastAsiaTheme="minorEastAsia" w:cstheme="minorBidi"/>
            <w:noProof/>
            <w:sz w:val="22"/>
            <w:szCs w:val="22"/>
            <w:lang w:val="en-US" w:eastAsia="zh-CN"/>
          </w:rPr>
          <w:tab/>
        </w:r>
        <w:r w:rsidR="00133FCF" w:rsidRPr="007144B1">
          <w:rPr>
            <w:rStyle w:val="Hyperlink"/>
            <w:rFonts w:eastAsia="Yu Gothic Light"/>
            <w:noProof/>
            <w:lang w:val="es-ES_tradnl"/>
          </w:rPr>
          <w:t>Vinculaciones</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_Toc99954531 \h </w:instrText>
        </w:r>
        <w:r w:rsidR="00133FCF">
          <w:rPr>
            <w:noProof/>
            <w:webHidden/>
          </w:rPr>
        </w:r>
        <w:r w:rsidR="00133FCF">
          <w:rPr>
            <w:noProof/>
            <w:webHidden/>
          </w:rPr>
          <w:fldChar w:fldCharType="separate"/>
        </w:r>
        <w:r>
          <w:rPr>
            <w:noProof/>
            <w:webHidden/>
          </w:rPr>
          <w:t>16</w:t>
        </w:r>
        <w:r w:rsidR="00133FCF">
          <w:rPr>
            <w:noProof/>
            <w:webHidden/>
          </w:rPr>
          <w:fldChar w:fldCharType="end"/>
        </w:r>
      </w:hyperlink>
    </w:p>
    <w:p w14:paraId="0362EEC8" w14:textId="0031440F" w:rsidR="00133FCF" w:rsidRDefault="006D5A98" w:rsidP="00133FCF">
      <w:pPr>
        <w:pStyle w:val="TOC1"/>
        <w:rPr>
          <w:rFonts w:eastAsiaTheme="minorEastAsia" w:cstheme="minorBidi"/>
          <w:noProof/>
          <w:sz w:val="22"/>
          <w:szCs w:val="22"/>
          <w:lang w:val="en-US" w:eastAsia="zh-CN"/>
        </w:rPr>
      </w:pPr>
      <w:hyperlink w:anchor="_Toc99954532" w:history="1">
        <w:r w:rsidR="00133FCF" w:rsidRPr="007144B1">
          <w:rPr>
            <w:rStyle w:val="Hyperlink"/>
            <w:rFonts w:eastAsia="Yu Gothic Light"/>
            <w:noProof/>
            <w:lang w:val="es-ES_tradnl"/>
          </w:rPr>
          <w:t>4</w:t>
        </w:r>
        <w:r w:rsidR="00133FCF">
          <w:rPr>
            <w:rFonts w:eastAsiaTheme="minorEastAsia" w:cstheme="minorBidi"/>
            <w:noProof/>
            <w:sz w:val="22"/>
            <w:szCs w:val="22"/>
            <w:lang w:val="en-US" w:eastAsia="zh-CN"/>
          </w:rPr>
          <w:tab/>
        </w:r>
        <w:r w:rsidR="00133FCF" w:rsidRPr="007144B1">
          <w:rPr>
            <w:rStyle w:val="Hyperlink"/>
            <w:rFonts w:eastAsia="Yu Gothic Light"/>
            <w:noProof/>
            <w:lang w:val="es-ES_tradnl"/>
          </w:rPr>
          <w:t>Aplicación de las prioridades temáticas</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_Toc99954532 \h </w:instrText>
        </w:r>
        <w:r w:rsidR="00133FCF">
          <w:rPr>
            <w:noProof/>
            <w:webHidden/>
          </w:rPr>
        </w:r>
        <w:r w:rsidR="00133FCF">
          <w:rPr>
            <w:noProof/>
            <w:webHidden/>
          </w:rPr>
          <w:fldChar w:fldCharType="separate"/>
        </w:r>
        <w:r>
          <w:rPr>
            <w:noProof/>
            <w:webHidden/>
          </w:rPr>
          <w:t>17</w:t>
        </w:r>
        <w:r w:rsidR="00133FCF">
          <w:rPr>
            <w:noProof/>
            <w:webHidden/>
          </w:rPr>
          <w:fldChar w:fldCharType="end"/>
        </w:r>
      </w:hyperlink>
    </w:p>
    <w:p w14:paraId="056F1A0B" w14:textId="670E1F0F" w:rsidR="00133FCF" w:rsidRDefault="006D5A98" w:rsidP="00133FCF">
      <w:pPr>
        <w:pStyle w:val="TOC2"/>
        <w:rPr>
          <w:rFonts w:eastAsiaTheme="minorEastAsia" w:cstheme="minorBidi"/>
          <w:noProof/>
          <w:sz w:val="22"/>
          <w:szCs w:val="22"/>
          <w:lang w:val="en-US" w:eastAsia="zh-CN"/>
        </w:rPr>
      </w:pPr>
      <w:hyperlink w:anchor="_Toc99954533" w:history="1">
        <w:r w:rsidR="00133FCF" w:rsidRPr="007144B1">
          <w:rPr>
            <w:rStyle w:val="Hyperlink"/>
            <w:rFonts w:eastAsia="Batang"/>
            <w:noProof/>
            <w:lang w:val="es-ES_tradnl"/>
          </w:rPr>
          <w:t>4.1</w:t>
        </w:r>
        <w:r w:rsidR="00133FCF">
          <w:rPr>
            <w:rFonts w:eastAsiaTheme="minorEastAsia" w:cstheme="minorBidi"/>
            <w:noProof/>
            <w:sz w:val="22"/>
            <w:szCs w:val="22"/>
            <w:lang w:val="en-US" w:eastAsia="zh-CN"/>
          </w:rPr>
          <w:tab/>
        </w:r>
        <w:r w:rsidR="00133FCF" w:rsidRPr="007144B1">
          <w:rPr>
            <w:rStyle w:val="Hyperlink"/>
            <w:rFonts w:eastAsia="Batang"/>
            <w:noProof/>
            <w:lang w:val="es-ES_tradnl"/>
          </w:rPr>
          <w:t>Aplicación de la prioridad temática relativa a las infraestructuras y los servicios</w:t>
        </w:r>
        <w:r w:rsidR="00133FCF">
          <w:rPr>
            <w:noProof/>
            <w:webHidden/>
          </w:rPr>
          <w:tab/>
        </w:r>
        <w:r w:rsidR="00133FCF">
          <w:rPr>
            <w:noProof/>
            <w:webHidden/>
          </w:rPr>
          <w:fldChar w:fldCharType="begin"/>
        </w:r>
        <w:r w:rsidR="00133FCF">
          <w:rPr>
            <w:noProof/>
            <w:webHidden/>
          </w:rPr>
          <w:instrText xml:space="preserve"> PAGEREF _Toc99954533 \h </w:instrText>
        </w:r>
        <w:r w:rsidR="00133FCF">
          <w:rPr>
            <w:noProof/>
            <w:webHidden/>
          </w:rPr>
        </w:r>
        <w:r w:rsidR="00133FCF">
          <w:rPr>
            <w:noProof/>
            <w:webHidden/>
          </w:rPr>
          <w:fldChar w:fldCharType="separate"/>
        </w:r>
        <w:r>
          <w:rPr>
            <w:noProof/>
            <w:webHidden/>
          </w:rPr>
          <w:t>17</w:t>
        </w:r>
        <w:r w:rsidR="00133FCF">
          <w:rPr>
            <w:noProof/>
            <w:webHidden/>
          </w:rPr>
          <w:fldChar w:fldCharType="end"/>
        </w:r>
      </w:hyperlink>
    </w:p>
    <w:p w14:paraId="1246D1FE" w14:textId="2571527D" w:rsidR="00133FCF" w:rsidRDefault="006D5A98" w:rsidP="00133FCF">
      <w:pPr>
        <w:pStyle w:val="TOC2"/>
        <w:rPr>
          <w:rFonts w:eastAsiaTheme="minorEastAsia" w:cstheme="minorBidi"/>
          <w:noProof/>
          <w:sz w:val="22"/>
          <w:szCs w:val="22"/>
          <w:lang w:val="en-US" w:eastAsia="zh-CN"/>
        </w:rPr>
      </w:pPr>
      <w:hyperlink w:anchor="_Toc99954534" w:history="1">
        <w:r w:rsidR="00133FCF" w:rsidRPr="007144B1">
          <w:rPr>
            <w:rStyle w:val="Hyperlink"/>
            <w:rFonts w:eastAsia="Batang"/>
            <w:noProof/>
            <w:lang w:val="es-ES_tradnl"/>
          </w:rPr>
          <w:t>4.2</w:t>
        </w:r>
        <w:r w:rsidR="00133FCF">
          <w:rPr>
            <w:rFonts w:eastAsiaTheme="minorEastAsia" w:cstheme="minorBidi"/>
            <w:noProof/>
            <w:sz w:val="22"/>
            <w:szCs w:val="22"/>
            <w:lang w:val="en-US" w:eastAsia="zh-CN"/>
          </w:rPr>
          <w:tab/>
        </w:r>
        <w:r w:rsidR="00133FCF" w:rsidRPr="007144B1">
          <w:rPr>
            <w:rStyle w:val="Hyperlink"/>
            <w:rFonts w:eastAsia="Batang"/>
            <w:noProof/>
            <w:lang w:val="es-ES_tradnl"/>
          </w:rPr>
          <w:t>Aplicación de la prioridad temática relativa a las aplicaciones</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_Toc99954534 \h </w:instrText>
        </w:r>
        <w:r w:rsidR="00133FCF">
          <w:rPr>
            <w:noProof/>
            <w:webHidden/>
          </w:rPr>
        </w:r>
        <w:r w:rsidR="00133FCF">
          <w:rPr>
            <w:noProof/>
            <w:webHidden/>
          </w:rPr>
          <w:fldChar w:fldCharType="separate"/>
        </w:r>
        <w:r>
          <w:rPr>
            <w:noProof/>
            <w:webHidden/>
          </w:rPr>
          <w:t>18</w:t>
        </w:r>
        <w:r w:rsidR="00133FCF">
          <w:rPr>
            <w:noProof/>
            <w:webHidden/>
          </w:rPr>
          <w:fldChar w:fldCharType="end"/>
        </w:r>
      </w:hyperlink>
    </w:p>
    <w:p w14:paraId="41F2C761" w14:textId="5EFDDC4A" w:rsidR="00133FCF" w:rsidRDefault="006D5A98" w:rsidP="00133FCF">
      <w:pPr>
        <w:pStyle w:val="TOC2"/>
        <w:rPr>
          <w:rFonts w:eastAsiaTheme="minorEastAsia" w:cstheme="minorBidi"/>
          <w:noProof/>
          <w:sz w:val="22"/>
          <w:szCs w:val="22"/>
          <w:lang w:val="en-US" w:eastAsia="zh-CN"/>
        </w:rPr>
      </w:pPr>
      <w:hyperlink w:anchor="_Toc99954535" w:history="1">
        <w:r w:rsidR="00133FCF" w:rsidRPr="007144B1">
          <w:rPr>
            <w:rStyle w:val="Hyperlink"/>
            <w:rFonts w:eastAsia="Batang"/>
            <w:noProof/>
            <w:lang w:val="es-ES_tradnl"/>
          </w:rPr>
          <w:t>4.3</w:t>
        </w:r>
        <w:r w:rsidR="00133FCF">
          <w:rPr>
            <w:rFonts w:eastAsiaTheme="minorEastAsia" w:cstheme="minorBidi"/>
            <w:noProof/>
            <w:sz w:val="22"/>
            <w:szCs w:val="22"/>
            <w:lang w:val="en-US" w:eastAsia="zh-CN"/>
          </w:rPr>
          <w:tab/>
        </w:r>
        <w:r w:rsidR="00133FCF" w:rsidRPr="007144B1">
          <w:rPr>
            <w:rStyle w:val="Hyperlink"/>
            <w:rFonts w:eastAsia="Batang"/>
            <w:noProof/>
            <w:lang w:val="es-ES_tradnl"/>
          </w:rPr>
          <w:t>Aplicación de la prioridad temática relativa al entorno propicio</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_Toc99954535 \h </w:instrText>
        </w:r>
        <w:r w:rsidR="00133FCF">
          <w:rPr>
            <w:noProof/>
            <w:webHidden/>
          </w:rPr>
        </w:r>
        <w:r w:rsidR="00133FCF">
          <w:rPr>
            <w:noProof/>
            <w:webHidden/>
          </w:rPr>
          <w:fldChar w:fldCharType="separate"/>
        </w:r>
        <w:r>
          <w:rPr>
            <w:noProof/>
            <w:webHidden/>
          </w:rPr>
          <w:t>18</w:t>
        </w:r>
        <w:r w:rsidR="00133FCF">
          <w:rPr>
            <w:noProof/>
            <w:webHidden/>
          </w:rPr>
          <w:fldChar w:fldCharType="end"/>
        </w:r>
      </w:hyperlink>
    </w:p>
    <w:p w14:paraId="19D7A05E" w14:textId="2629EC04" w:rsidR="00133FCF" w:rsidRDefault="006D5A98" w:rsidP="00133FCF">
      <w:pPr>
        <w:pStyle w:val="TOC2"/>
        <w:rPr>
          <w:rFonts w:eastAsiaTheme="minorEastAsia" w:cstheme="minorBidi"/>
          <w:noProof/>
          <w:sz w:val="22"/>
          <w:szCs w:val="22"/>
          <w:lang w:val="en-US" w:eastAsia="zh-CN"/>
        </w:rPr>
      </w:pPr>
      <w:hyperlink w:anchor="_Toc99954536" w:history="1">
        <w:r w:rsidR="00133FCF" w:rsidRPr="007144B1">
          <w:rPr>
            <w:rStyle w:val="Hyperlink"/>
            <w:rFonts w:eastAsia="Batang"/>
            <w:noProof/>
            <w:highlight w:val="yellow"/>
            <w:lang w:val="es-ES_tradnl"/>
          </w:rPr>
          <w:t>[4.4</w:t>
        </w:r>
        <w:r w:rsidR="00133FCF">
          <w:rPr>
            <w:rFonts w:eastAsiaTheme="minorEastAsia" w:cstheme="minorBidi"/>
            <w:noProof/>
            <w:sz w:val="22"/>
            <w:szCs w:val="22"/>
            <w:lang w:val="en-US" w:eastAsia="zh-CN"/>
          </w:rPr>
          <w:tab/>
        </w:r>
        <w:r w:rsidR="00133FCF" w:rsidRPr="007144B1">
          <w:rPr>
            <w:rStyle w:val="Hyperlink"/>
            <w:rFonts w:eastAsia="Batang"/>
            <w:noProof/>
            <w:highlight w:val="yellow"/>
            <w:lang w:val="es-ES_tradnl"/>
          </w:rPr>
          <w:t>Aplicación de la prioridad temática relativa a la ciberseguridad]</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_Toc99954536 \h </w:instrText>
        </w:r>
        <w:r w:rsidR="00133FCF">
          <w:rPr>
            <w:noProof/>
            <w:webHidden/>
          </w:rPr>
        </w:r>
        <w:r w:rsidR="00133FCF">
          <w:rPr>
            <w:noProof/>
            <w:webHidden/>
          </w:rPr>
          <w:fldChar w:fldCharType="separate"/>
        </w:r>
        <w:r>
          <w:rPr>
            <w:noProof/>
            <w:webHidden/>
          </w:rPr>
          <w:t>19</w:t>
        </w:r>
        <w:r w:rsidR="00133FCF">
          <w:rPr>
            <w:noProof/>
            <w:webHidden/>
          </w:rPr>
          <w:fldChar w:fldCharType="end"/>
        </w:r>
      </w:hyperlink>
    </w:p>
    <w:p w14:paraId="002FFE9C" w14:textId="6BFF643E" w:rsidR="00133FCF" w:rsidRDefault="006D5A98" w:rsidP="00133FCF">
      <w:pPr>
        <w:pStyle w:val="TOC2"/>
        <w:rPr>
          <w:rFonts w:eastAsiaTheme="minorEastAsia" w:cstheme="minorBidi"/>
          <w:noProof/>
          <w:sz w:val="22"/>
          <w:szCs w:val="22"/>
          <w:lang w:val="en-US" w:eastAsia="zh-CN"/>
        </w:rPr>
      </w:pPr>
      <w:hyperlink w:anchor="_Toc99954537" w:history="1">
        <w:r w:rsidR="00133FCF" w:rsidRPr="007144B1">
          <w:rPr>
            <w:rStyle w:val="Hyperlink"/>
            <w:rFonts w:eastAsia="Batang"/>
            <w:noProof/>
            <w:lang w:val="es-ES_tradnl"/>
          </w:rPr>
          <w:t>4.5</w:t>
        </w:r>
        <w:r w:rsidR="00133FCF">
          <w:rPr>
            <w:rFonts w:eastAsiaTheme="minorEastAsia" w:cstheme="minorBidi"/>
            <w:noProof/>
            <w:sz w:val="22"/>
            <w:szCs w:val="22"/>
            <w:lang w:val="en-US" w:eastAsia="zh-CN"/>
          </w:rPr>
          <w:tab/>
        </w:r>
        <w:r w:rsidR="00133FCF" w:rsidRPr="007144B1">
          <w:rPr>
            <w:rStyle w:val="Hyperlink"/>
            <w:rFonts w:eastAsia="Batang"/>
            <w:noProof/>
            <w:lang w:val="es-ES_tradnl"/>
          </w:rPr>
          <w:t>Realizaciones y productos de los factores habilitadores</w:t>
        </w:r>
        <w:r w:rsidR="00133FCF">
          <w:rPr>
            <w:noProof/>
            <w:webHidden/>
          </w:rPr>
          <w:tab/>
        </w:r>
        <w:r w:rsidR="00133FCF">
          <w:rPr>
            <w:noProof/>
            <w:webHidden/>
          </w:rPr>
          <w:tab/>
        </w:r>
        <w:r w:rsidR="00133FCF">
          <w:rPr>
            <w:noProof/>
            <w:webHidden/>
          </w:rPr>
          <w:fldChar w:fldCharType="begin"/>
        </w:r>
        <w:r w:rsidR="00133FCF">
          <w:rPr>
            <w:noProof/>
            <w:webHidden/>
          </w:rPr>
          <w:instrText xml:space="preserve"> PAGEREF _Toc99954537 \h </w:instrText>
        </w:r>
        <w:r w:rsidR="00133FCF">
          <w:rPr>
            <w:noProof/>
            <w:webHidden/>
          </w:rPr>
        </w:r>
        <w:r w:rsidR="00133FCF">
          <w:rPr>
            <w:noProof/>
            <w:webHidden/>
          </w:rPr>
          <w:fldChar w:fldCharType="separate"/>
        </w:r>
        <w:r>
          <w:rPr>
            <w:noProof/>
            <w:webHidden/>
          </w:rPr>
          <w:t>19</w:t>
        </w:r>
        <w:r w:rsidR="00133FCF">
          <w:rPr>
            <w:noProof/>
            <w:webHidden/>
          </w:rPr>
          <w:fldChar w:fldCharType="end"/>
        </w:r>
      </w:hyperlink>
    </w:p>
    <w:p w14:paraId="4C474C96" w14:textId="77777777" w:rsidR="00133FCF" w:rsidRPr="00D656D5" w:rsidRDefault="00133FCF" w:rsidP="00133FCF">
      <w:pPr>
        <w:rPr>
          <w:rFonts w:eastAsia="Batang"/>
          <w:lang w:val="es-ES_tradnl"/>
        </w:rPr>
      </w:pPr>
      <w:r w:rsidRPr="00D656D5">
        <w:rPr>
          <w:rFonts w:eastAsia="Batang"/>
          <w:lang w:val="es-ES_tradnl"/>
        </w:rPr>
        <w:fldChar w:fldCharType="end"/>
      </w:r>
      <w:r w:rsidRPr="00D656D5">
        <w:rPr>
          <w:rFonts w:eastAsia="Batang"/>
          <w:lang w:val="es-ES_tradnl"/>
        </w:rPr>
        <w:br w:type="page"/>
      </w:r>
    </w:p>
    <w:p w14:paraId="6651ECE2" w14:textId="77777777" w:rsidR="00133FCF" w:rsidRPr="004F6F3E" w:rsidRDefault="00133FCF" w:rsidP="00133FCF">
      <w:pPr>
        <w:pStyle w:val="Heading2"/>
        <w:rPr>
          <w:lang w:val="es-ES_tradnl"/>
        </w:rPr>
      </w:pPr>
      <w:bookmarkStart w:id="10" w:name="_Toc76415340"/>
      <w:bookmarkStart w:id="11" w:name="_Toc78445940"/>
      <w:bookmarkStart w:id="12" w:name="_Toc99954525"/>
      <w:r w:rsidRPr="004F6F3E">
        <w:rPr>
          <w:lang w:val="es-ES_tradnl"/>
        </w:rPr>
        <w:lastRenderedPageBreak/>
        <w:t>1</w:t>
      </w:r>
      <w:r w:rsidRPr="004F6F3E">
        <w:rPr>
          <w:lang w:val="es-ES_tradnl"/>
        </w:rPr>
        <w:tab/>
      </w:r>
      <w:bookmarkEnd w:id="10"/>
      <w:bookmarkEnd w:id="11"/>
      <w:r w:rsidRPr="004F6F3E">
        <w:rPr>
          <w:lang w:val="es-ES_tradnl"/>
        </w:rPr>
        <w:t>Glosario</w:t>
      </w:r>
      <w:bookmarkEnd w:id="12"/>
    </w:p>
    <w:p w14:paraId="6FF992E2" w14:textId="77777777" w:rsidR="00133FCF" w:rsidRPr="004F6F3E" w:rsidRDefault="00133FCF" w:rsidP="00133FCF">
      <w:pPr>
        <w:pStyle w:val="Heading4"/>
        <w:rPr>
          <w:lang w:val="es-ES_tradnl"/>
        </w:rPr>
      </w:pPr>
      <w:r w:rsidRPr="004F6F3E">
        <w:rPr>
          <w:lang w:val="es-ES_tradnl"/>
        </w:rPr>
        <w:t>Factores habilitadores</w:t>
      </w:r>
    </w:p>
    <w:p w14:paraId="5484E0CF" w14:textId="77777777" w:rsidR="00133FCF" w:rsidRPr="004F6F3E" w:rsidRDefault="00133FCF" w:rsidP="00133FCF">
      <w:pPr>
        <w:rPr>
          <w:rFonts w:eastAsia="Yu Gothic Light"/>
          <w:lang w:val="es-ES_tradnl"/>
        </w:rPr>
      </w:pPr>
      <w:r w:rsidRPr="004F6F3E">
        <w:rPr>
          <w:rFonts w:eastAsia="Yu Gothic Light"/>
          <w:lang w:val="es-ES_tradnl"/>
        </w:rPr>
        <w:t>En el Plan Estratégico de la UIT para 2024-2027, por factores habilitadores se entienden los métodos de trabajo que permiten a la Unión cumplir sus metas y prioridades de manera más eficaz y eficiente</w:t>
      </w:r>
      <w:r w:rsidRPr="004F6F3E">
        <w:rPr>
          <w:rStyle w:val="FootnoteReference"/>
          <w:rFonts w:eastAsia="Yu Gothic Light"/>
          <w:lang w:val="es-ES_tradnl"/>
        </w:rPr>
        <w:footnoteReference w:customMarkFollows="1" w:id="1"/>
        <w:t>1</w:t>
      </w:r>
      <w:r w:rsidRPr="004F6F3E">
        <w:rPr>
          <w:rFonts w:eastAsia="Yu Gothic Light"/>
          <w:lang w:val="es-ES_tradnl"/>
        </w:rPr>
        <w:t xml:space="preserve">. Estos reflejan tanto los valores de la Unión de </w:t>
      </w:r>
      <w:r w:rsidRPr="004F6F3E">
        <w:rPr>
          <w:rFonts w:eastAsia="Yu Gothic Light"/>
          <w:i/>
          <w:iCs/>
          <w:lang w:val="es-ES_tradnl"/>
        </w:rPr>
        <w:t>eficiencia, transparencia, responsabilidad, apertura, universalidad y neutralidad</w:t>
      </w:r>
      <w:r w:rsidRPr="004F6F3E">
        <w:rPr>
          <w:rFonts w:eastAsia="Yu Gothic Light"/>
          <w:lang w:val="es-ES_tradnl"/>
        </w:rPr>
        <w:t xml:space="preserve">, como </w:t>
      </w:r>
      <w:r w:rsidRPr="004F6F3E">
        <w:rPr>
          <w:rFonts w:eastAsia="Yu Gothic Light"/>
          <w:i/>
          <w:iCs/>
          <w:lang w:val="es-ES_tradnl"/>
        </w:rPr>
        <w:t>su condición de organización antropocéntrica, orientada a los servicios y basada en los resultados</w:t>
      </w:r>
      <w:r w:rsidRPr="004F6F3E">
        <w:rPr>
          <w:rFonts w:eastAsia="Yu Gothic Light"/>
          <w:lang w:val="es-ES_tradnl"/>
        </w:rPr>
        <w:t>, aprovechan sus principales puntos fuertes y abordan sus puntos débiles, para poder apoyar a sus miembros</w:t>
      </w:r>
      <w:r w:rsidRPr="004F6F3E">
        <w:rPr>
          <w:rStyle w:val="FootnoteReference"/>
          <w:rFonts w:eastAsia="Yu Gothic Light"/>
          <w:lang w:val="es-ES_tradnl"/>
        </w:rPr>
        <w:footnoteReference w:customMarkFollows="1" w:id="2"/>
        <w:t>2</w:t>
      </w:r>
      <w:r w:rsidRPr="004F6F3E">
        <w:rPr>
          <w:rFonts w:eastAsia="Yu Gothic Light"/>
          <w:lang w:val="es-ES_tradnl"/>
        </w:rPr>
        <w:t>.</w:t>
      </w:r>
    </w:p>
    <w:p w14:paraId="08B15705" w14:textId="77777777" w:rsidR="00133FCF" w:rsidRPr="004F6F3E" w:rsidRDefault="00133FCF" w:rsidP="00133FCF">
      <w:pPr>
        <w:pStyle w:val="Heading4"/>
        <w:rPr>
          <w:lang w:val="es-ES_tradnl"/>
        </w:rPr>
      </w:pPr>
      <w:r w:rsidRPr="004F6F3E">
        <w:rPr>
          <w:lang w:val="es-ES_tradnl"/>
        </w:rPr>
        <w:t>Meta</w:t>
      </w:r>
    </w:p>
    <w:p w14:paraId="16640AEC" w14:textId="77777777" w:rsidR="00133FCF" w:rsidRPr="004F6F3E" w:rsidRDefault="00133FCF" w:rsidP="00133FCF">
      <w:pPr>
        <w:rPr>
          <w:rFonts w:eastAsia="Batang"/>
          <w:lang w:val="es-ES_tradnl"/>
        </w:rPr>
      </w:pPr>
      <w:bookmarkStart w:id="13" w:name="lt_pId033"/>
      <w:r w:rsidRPr="004F6F3E">
        <w:rPr>
          <w:rFonts w:eastAsia="Batang"/>
          <w:lang w:val="es-ES_tradnl"/>
        </w:rPr>
        <w:t>Un resultado final específico deseado o esperado como consecuencia, al menos en parte, de una intervención o actividad</w:t>
      </w:r>
      <w:r w:rsidRPr="004F6F3E">
        <w:rPr>
          <w:rStyle w:val="FootnoteReference"/>
          <w:rFonts w:eastAsia="Batang"/>
          <w:lang w:val="es-ES_tradnl"/>
        </w:rPr>
        <w:footnoteReference w:customMarkFollows="1" w:id="3"/>
        <w:t>3</w:t>
      </w:r>
      <w:r w:rsidRPr="004F6F3E">
        <w:rPr>
          <w:rFonts w:eastAsia="Batang"/>
          <w:lang w:val="es-ES_tradnl"/>
        </w:rPr>
        <w:t>.</w:t>
      </w:r>
      <w:bookmarkEnd w:id="13"/>
      <w:r w:rsidRPr="004F6F3E">
        <w:rPr>
          <w:lang w:val="es-ES_tradnl"/>
        </w:rPr>
        <w:t xml:space="preserve"> </w:t>
      </w:r>
      <w:r w:rsidRPr="004F6F3E">
        <w:rPr>
          <w:rFonts w:eastAsia="Batang"/>
          <w:lang w:val="es-ES_tradnl"/>
        </w:rPr>
        <w:t>En el Plan Estratégico de la UIT para 2024-2027, por metas estratégicas se entienden las metas de alto nivel de la Unión, que le permiten cumplir su misión</w:t>
      </w:r>
      <w:r w:rsidRPr="004F6F3E">
        <w:rPr>
          <w:rStyle w:val="FootnoteReference"/>
          <w:rFonts w:eastAsia="Batang"/>
          <w:lang w:val="es-ES_tradnl"/>
        </w:rPr>
        <w:footnoteReference w:customMarkFollows="1" w:id="4"/>
        <w:t>4</w:t>
      </w:r>
      <w:r w:rsidRPr="004F6F3E">
        <w:rPr>
          <w:rFonts w:eastAsia="Batang"/>
          <w:lang w:val="es-ES_tradnl"/>
        </w:rPr>
        <w:t>.</w:t>
      </w:r>
    </w:p>
    <w:p w14:paraId="1703CABE" w14:textId="77777777" w:rsidR="00133FCF" w:rsidRPr="004F6F3E" w:rsidRDefault="00133FCF" w:rsidP="00133FCF">
      <w:pPr>
        <w:pStyle w:val="Heading4"/>
        <w:rPr>
          <w:lang w:val="es-ES_tradnl"/>
        </w:rPr>
      </w:pPr>
      <w:r w:rsidRPr="004F6F3E">
        <w:rPr>
          <w:lang w:val="es-ES_tradnl"/>
        </w:rPr>
        <w:t>Repercusiones</w:t>
      </w:r>
      <w:r w:rsidRPr="00D22641">
        <w:rPr>
          <w:rStyle w:val="FootnoteReference"/>
          <w:b w:val="0"/>
          <w:bCs/>
          <w:lang w:val="es-ES_tradnl"/>
        </w:rPr>
        <w:footnoteReference w:customMarkFollows="1" w:id="5"/>
        <w:t>5</w:t>
      </w:r>
    </w:p>
    <w:p w14:paraId="078587AF" w14:textId="77777777" w:rsidR="00133FCF" w:rsidRPr="004F6F3E" w:rsidRDefault="00133FCF" w:rsidP="00133FCF">
      <w:pPr>
        <w:rPr>
          <w:rFonts w:eastAsia="Batang"/>
          <w:lang w:val="es-ES_tradnl"/>
        </w:rPr>
      </w:pPr>
      <w:r w:rsidRPr="004F6F3E">
        <w:rPr>
          <w:rFonts w:eastAsia="Batang"/>
          <w:lang w:val="es-ES_tradnl"/>
        </w:rPr>
        <w:t>Las repercusiones consisten en los cambios en la vida de las personas. Puede tratarse de cambios en los conocimientos, las competencias, el comportamiento, la salud o las condiciones de vida de los niños, los adultos, las familias o las comunidades. Estos cambios son efectos positivos o negativos a largo plazo que se producen en grupos de población concretos a raíz de una intervención de desarrollo, ya sea directa o indirectamente o de forma intencionada o no. Estos efectos pueden ser económicos, socioculturales, institucionales, medioambientales, tecnológicos o de otra índole.</w:t>
      </w:r>
    </w:p>
    <w:p w14:paraId="28B301F1" w14:textId="77777777" w:rsidR="00133FCF" w:rsidRPr="004F6F3E" w:rsidRDefault="00133FCF" w:rsidP="00133FCF">
      <w:pPr>
        <w:pStyle w:val="Heading4"/>
        <w:rPr>
          <w:lang w:val="es-ES_tradnl"/>
        </w:rPr>
      </w:pPr>
      <w:r w:rsidRPr="004F6F3E">
        <w:rPr>
          <w:lang w:val="es-ES_tradnl"/>
        </w:rPr>
        <w:t>Insumo</w:t>
      </w:r>
      <w:r w:rsidRPr="00D22641">
        <w:rPr>
          <w:rStyle w:val="FootnoteReference"/>
          <w:b w:val="0"/>
          <w:bCs/>
          <w:lang w:val="es-ES_tradnl"/>
        </w:rPr>
        <w:footnoteReference w:customMarkFollows="1" w:id="6"/>
        <w:t>6</w:t>
      </w:r>
    </w:p>
    <w:p w14:paraId="765E4B52" w14:textId="719FF19F" w:rsidR="00133FCF" w:rsidRPr="004F6F3E" w:rsidRDefault="00133FCF" w:rsidP="00133FCF">
      <w:pPr>
        <w:rPr>
          <w:rFonts w:eastAsia="Batang"/>
          <w:lang w:val="es-ES_tradnl"/>
        </w:rPr>
      </w:pPr>
      <w:bookmarkStart w:id="14" w:name="lt_pId035"/>
      <w:r w:rsidRPr="004F6F3E">
        <w:rPr>
          <w:rFonts w:eastAsia="Batang"/>
          <w:lang w:val="es-ES_tradnl"/>
        </w:rPr>
        <w:t>Los recursos financieros, humanos, materiales, tecnológicos y de información utilizados para las intervenciones de desarrollo.</w:t>
      </w:r>
      <w:bookmarkEnd w:id="14"/>
    </w:p>
    <w:p w14:paraId="1A7C81A7" w14:textId="77777777" w:rsidR="00133FCF" w:rsidRPr="004F6F3E" w:rsidRDefault="00133FCF" w:rsidP="00133FCF">
      <w:pPr>
        <w:pStyle w:val="Heading4"/>
        <w:rPr>
          <w:lang w:val="es-ES_tradnl"/>
        </w:rPr>
      </w:pPr>
      <w:r w:rsidRPr="004F6F3E">
        <w:rPr>
          <w:lang w:val="es-ES_tradnl"/>
        </w:rPr>
        <w:t>Realizaciones</w:t>
      </w:r>
    </w:p>
    <w:p w14:paraId="358696B2" w14:textId="77777777" w:rsidR="00133FCF" w:rsidRPr="004F6F3E" w:rsidRDefault="00133FCF" w:rsidP="00133FCF">
      <w:pPr>
        <w:rPr>
          <w:rFonts w:eastAsia="Batang"/>
          <w:lang w:val="es-ES_tradnl"/>
        </w:rPr>
      </w:pPr>
      <w:bookmarkStart w:id="15" w:name="lt_pId040"/>
      <w:r w:rsidRPr="004F6F3E">
        <w:rPr>
          <w:rFonts w:eastAsia="Batang"/>
          <w:lang w:val="es-ES_tradnl"/>
        </w:rPr>
        <w:t>Las realizaciones representan los cambios en las capacidades institucionales y de comportamiento para las condiciones de desarrollo que se producen entre la realización de los productos y la consecución de las metas. Los resultados que se producen a este nivel son principalmente atribuibles al gobierno, aunque a veces esto puede diferir según el contexto nacional</w:t>
      </w:r>
      <w:r w:rsidRPr="004F6F3E">
        <w:rPr>
          <w:rStyle w:val="FootnoteReference"/>
          <w:rFonts w:eastAsia="Batang"/>
          <w:lang w:val="es-ES_tradnl"/>
        </w:rPr>
        <w:footnoteReference w:customMarkFollows="1" w:id="7"/>
        <w:t>7</w:t>
      </w:r>
      <w:r w:rsidRPr="004F6F3E">
        <w:rPr>
          <w:rFonts w:eastAsia="Batang"/>
          <w:lang w:val="es-ES_tradnl"/>
        </w:rPr>
        <w:t>.</w:t>
      </w:r>
      <w:bookmarkEnd w:id="15"/>
      <w:r w:rsidRPr="004F6F3E">
        <w:rPr>
          <w:rFonts w:eastAsia="Batang"/>
          <w:lang w:val="es-ES_tradnl"/>
        </w:rPr>
        <w:t xml:space="preserve"> </w:t>
      </w:r>
      <w:bookmarkStart w:id="16" w:name="lt_pId047"/>
      <w:r w:rsidRPr="004F6F3E">
        <w:rPr>
          <w:rFonts w:eastAsia="Batang"/>
          <w:lang w:val="es-ES_tradnl"/>
        </w:rPr>
        <w:t xml:space="preserve">En el Plan </w:t>
      </w:r>
      <w:r w:rsidRPr="004F6F3E">
        <w:rPr>
          <w:rFonts w:eastAsia="Batang"/>
          <w:lang w:val="es-ES_tradnl"/>
        </w:rPr>
        <w:lastRenderedPageBreak/>
        <w:t>Estratégico de la UIT para 2024-2027, por realizaciones se entienden los resultados clave que la Unión se propone alcanzar en el marco de sus prioridades temáticas</w:t>
      </w:r>
      <w:bookmarkEnd w:id="16"/>
      <w:r w:rsidRPr="004F6F3E">
        <w:rPr>
          <w:rStyle w:val="FootnoteReference"/>
          <w:rFonts w:eastAsia="Batang"/>
          <w:lang w:val="es-ES_tradnl"/>
        </w:rPr>
        <w:footnoteReference w:customMarkFollows="1" w:id="8"/>
        <w:t>8</w:t>
      </w:r>
      <w:r w:rsidRPr="004F6F3E">
        <w:rPr>
          <w:rFonts w:eastAsia="Batang"/>
          <w:lang w:val="es-ES_tradnl"/>
        </w:rPr>
        <w:t>.</w:t>
      </w:r>
    </w:p>
    <w:p w14:paraId="074FF8E5" w14:textId="77777777" w:rsidR="00133FCF" w:rsidRPr="004F6F3E" w:rsidRDefault="00133FCF" w:rsidP="00133FCF">
      <w:pPr>
        <w:pStyle w:val="Heading4"/>
        <w:rPr>
          <w:lang w:val="es-ES_tradnl"/>
        </w:rPr>
      </w:pPr>
      <w:r w:rsidRPr="004F6F3E">
        <w:rPr>
          <w:lang w:val="es-ES_tradnl"/>
        </w:rPr>
        <w:t>Productos</w:t>
      </w:r>
      <w:r w:rsidRPr="004F6F3E">
        <w:rPr>
          <w:rStyle w:val="FootnoteReference"/>
          <w:b w:val="0"/>
          <w:bCs/>
          <w:lang w:val="es-ES_tradnl"/>
        </w:rPr>
        <w:footnoteReference w:customMarkFollows="1" w:id="9"/>
        <w:t>9</w:t>
      </w:r>
    </w:p>
    <w:p w14:paraId="220C0E95" w14:textId="77777777" w:rsidR="00133FCF" w:rsidRPr="004F6F3E" w:rsidRDefault="00133FCF" w:rsidP="00133FCF">
      <w:pPr>
        <w:rPr>
          <w:rFonts w:eastAsia="Batang"/>
          <w:lang w:val="es-ES_tradnl"/>
        </w:rPr>
      </w:pPr>
      <w:bookmarkStart w:id="17" w:name="lt_pId045"/>
      <w:r w:rsidRPr="004F6F3E">
        <w:rPr>
          <w:rFonts w:eastAsia="Batang"/>
          <w:lang w:val="es-ES_tradnl"/>
        </w:rPr>
        <w:t xml:space="preserve">Los productos son cambios de las calificaciones o habilidades y capacidades de las personas o instituciones, o la disponibilidad de nuevos productos y servicios que resultan de la finalización de las actividades de una intervención de desarrollo </w:t>
      </w:r>
      <w:r w:rsidRPr="004F6F3E">
        <w:rPr>
          <w:rFonts w:eastAsia="Batang"/>
          <w:i/>
          <w:iCs/>
          <w:lang w:val="es-ES_tradnl"/>
        </w:rPr>
        <w:t>bajo el control de la Organización</w:t>
      </w:r>
      <w:r w:rsidRPr="004F6F3E">
        <w:rPr>
          <w:rFonts w:eastAsia="Batang"/>
          <w:lang w:val="es-ES_tradnl"/>
        </w:rPr>
        <w:t>. Se consiguen mediante los recursos proporcionados y en el periodo de tiempo especificado.</w:t>
      </w:r>
      <w:bookmarkEnd w:id="17"/>
    </w:p>
    <w:p w14:paraId="4398361B" w14:textId="77777777" w:rsidR="00133FCF" w:rsidRPr="004F6F3E" w:rsidRDefault="00133FCF" w:rsidP="00133FCF">
      <w:pPr>
        <w:rPr>
          <w:lang w:val="es-ES_tradnl"/>
        </w:rPr>
      </w:pPr>
      <w:bookmarkStart w:id="18" w:name="lt_pId046"/>
      <w:r w:rsidRPr="004F6F3E">
        <w:rPr>
          <w:lang w:val="es-ES_tradnl"/>
        </w:rPr>
        <w:t>En el Plan de Acción de la CMDT se indica que los productos son los "productos y servicios" especializados que se ofrecen en el marco del mandato del UIT-D, tal como se define en el Artículo 21 de la Constitución de la UIT, y que incluyen, entre otras cosas, la capacitación y la difusión de las competencias técnicas y los conocimientos de la UIT.</w:t>
      </w:r>
      <w:bookmarkEnd w:id="18"/>
    </w:p>
    <w:p w14:paraId="41608AB1" w14:textId="77777777" w:rsidR="00133FCF" w:rsidRPr="004F6F3E" w:rsidRDefault="00133FCF" w:rsidP="00133FCF">
      <w:pPr>
        <w:pStyle w:val="Heading4"/>
        <w:rPr>
          <w:lang w:val="es-ES_tradnl"/>
        </w:rPr>
      </w:pPr>
      <w:r w:rsidRPr="004F6F3E">
        <w:rPr>
          <w:lang w:val="es-ES_tradnl"/>
        </w:rPr>
        <w:t>Asociaciones</w:t>
      </w:r>
      <w:r w:rsidRPr="004F6F3E">
        <w:rPr>
          <w:rStyle w:val="FootnoteReference"/>
          <w:b w:val="0"/>
          <w:bCs/>
          <w:lang w:val="es-ES_tradnl"/>
        </w:rPr>
        <w:footnoteReference w:customMarkFollows="1" w:id="10"/>
        <w:t>10</w:t>
      </w:r>
    </w:p>
    <w:p w14:paraId="2FB57CD2" w14:textId="77777777" w:rsidR="00133FCF" w:rsidRPr="004F6F3E" w:rsidRDefault="00133FCF" w:rsidP="00133FCF">
      <w:pPr>
        <w:rPr>
          <w:lang w:val="es-ES_tradnl"/>
        </w:rPr>
      </w:pPr>
      <w:r w:rsidRPr="004F6F3E">
        <w:rPr>
          <w:lang w:val="es-ES_tradnl"/>
        </w:rPr>
        <w:t>La Oficina de Desarrollo de las Telecomunicaciones (BDT) seguirá forjando asociaciones con diversas partes interesadas, incluidos otros organismos de las Naciones Unidas, y tratará de movilizar recursos de organismos de financiación, instituciones financieras internacionales, Estados Miembros de la UIT y Miembros de Sector del UIT-D, así como de otros asociados pertinentes. Al ejecutar proyectos, deben tomarse en consideración los conocimientos especializados locales y regionales disponibles.</w:t>
      </w:r>
    </w:p>
    <w:p w14:paraId="608259EE" w14:textId="77777777" w:rsidR="00133FCF" w:rsidRPr="004F6F3E" w:rsidRDefault="00133FCF" w:rsidP="00133FCF">
      <w:pPr>
        <w:rPr>
          <w:lang w:val="es-ES_tradnl"/>
        </w:rPr>
      </w:pPr>
      <w:r w:rsidRPr="004F6F3E">
        <w:rPr>
          <w:lang w:val="es-ES_tradnl"/>
        </w:rPr>
        <w:t>Se seguirá actualizando la información sobre las actividades de asociación en el sitio web de la BDT, incluidos los resúmenes de los proyectos de la BDT y los recursos generados y consumidos. Asimismo, la BDT tratará de atraer el interés a potenciales miembros y asociados del sector académico, proponiéndoles actividades tales como la realización de publicaciones científicas y académicas en asociación con Estados Miembros, Miembros de Sector, Asociados, Instituciones Académicas y otras partes interesadas pertinentes.</w:t>
      </w:r>
    </w:p>
    <w:p w14:paraId="03C0F0E8" w14:textId="77777777" w:rsidR="00133FCF" w:rsidRPr="004F6F3E" w:rsidRDefault="00133FCF" w:rsidP="00133FCF">
      <w:pPr>
        <w:pStyle w:val="Heading4"/>
        <w:rPr>
          <w:lang w:val="es-ES_tradnl"/>
        </w:rPr>
      </w:pPr>
      <w:r w:rsidRPr="004F6F3E">
        <w:rPr>
          <w:lang w:val="es-ES_tradnl"/>
        </w:rPr>
        <w:t>Ofertas de productos y servicios</w:t>
      </w:r>
      <w:r w:rsidRPr="004F6F3E">
        <w:rPr>
          <w:rStyle w:val="FootnoteReference"/>
          <w:b w:val="0"/>
          <w:bCs/>
          <w:lang w:val="es-ES_tradnl"/>
        </w:rPr>
        <w:footnoteReference w:customMarkFollows="1" w:id="11"/>
        <w:t>11</w:t>
      </w:r>
    </w:p>
    <w:p w14:paraId="1BE6A7E9" w14:textId="77777777" w:rsidR="00133FCF" w:rsidRPr="004F6F3E" w:rsidRDefault="00133FCF" w:rsidP="00133FCF">
      <w:pPr>
        <w:rPr>
          <w:lang w:val="es-ES_tradnl"/>
        </w:rPr>
      </w:pPr>
      <w:r w:rsidRPr="004F6F3E">
        <w:rPr>
          <w:rFonts w:eastAsia="Batang"/>
          <w:lang w:val="es-ES_tradnl"/>
        </w:rPr>
        <w:t>En el Plan Estratégico de la UIT para 2024-2027, por o</w:t>
      </w:r>
      <w:r w:rsidRPr="004F6F3E">
        <w:rPr>
          <w:lang w:val="es-ES_tradnl"/>
        </w:rPr>
        <w:t>fertas de productos y servicios se entiende la gama de productos y servicios de la UIT que se despliega para apoyar los trabajos de la Unión en relación con sus prioridades temáticas.</w:t>
      </w:r>
    </w:p>
    <w:p w14:paraId="7AC44EE3" w14:textId="77777777" w:rsidR="00133FCF" w:rsidRPr="004F6F3E" w:rsidRDefault="00133FCF" w:rsidP="00133FCF">
      <w:pPr>
        <w:pStyle w:val="Heading4"/>
        <w:rPr>
          <w:lang w:val="es-ES_tradnl"/>
        </w:rPr>
      </w:pPr>
      <w:r w:rsidRPr="004F6F3E">
        <w:rPr>
          <w:lang w:val="es-ES_tradnl"/>
        </w:rPr>
        <w:t>Iniciativas regionales y otros proyectos</w:t>
      </w:r>
      <w:r w:rsidRPr="004F6F3E">
        <w:rPr>
          <w:rStyle w:val="FootnoteReference"/>
          <w:b w:val="0"/>
          <w:bCs/>
          <w:lang w:val="es-ES_tradnl"/>
        </w:rPr>
        <w:footnoteReference w:customMarkFollows="1" w:id="12"/>
        <w:t>12</w:t>
      </w:r>
    </w:p>
    <w:p w14:paraId="581351F9" w14:textId="77777777" w:rsidR="00133FCF" w:rsidRPr="004F6F3E" w:rsidRDefault="00133FCF" w:rsidP="00133FCF">
      <w:pPr>
        <w:rPr>
          <w:lang w:val="es-ES_tradnl"/>
        </w:rPr>
      </w:pPr>
      <w:r w:rsidRPr="004F6F3E">
        <w:rPr>
          <w:lang w:val="es-ES_tradnl"/>
        </w:rPr>
        <w:t xml:space="preserve">Las </w:t>
      </w:r>
      <w:r w:rsidRPr="004F6F3E">
        <w:rPr>
          <w:highlight w:val="yellow"/>
          <w:lang w:val="es-ES_tradnl"/>
        </w:rPr>
        <w:t>iniciativas/prioridades regionales [por determinar]</w:t>
      </w:r>
      <w:r w:rsidRPr="004F6F3E">
        <w:rPr>
          <w:lang w:val="es-ES_tradnl"/>
        </w:rPr>
        <w:t xml:space="preserve"> están destinadas a abordar las esferas prioritarias específicas de las telecomunicaciones/tecnologías de la información y la comunicación (TIC) a través de asociaciones y de la movilización de recursos para realizar proyectos. Para cada iniciativa regional, los proyectos se elaboran y ejecutan de modo que respondan a las necesidades de la región. Los productos y servicios que deben desarrollarse a través de iniciativas regionales </w:t>
      </w:r>
      <w:r w:rsidRPr="004F6F3E">
        <w:rPr>
          <w:lang w:val="es-ES_tradnl"/>
        </w:rPr>
        <w:lastRenderedPageBreak/>
        <w:t>para alcanzar los objetivos y realizaciones conexos de la contribución del UIT-D al Plan Estratégico de la UIT se identificarán en los documentos de proyecto pertinentes.</w:t>
      </w:r>
    </w:p>
    <w:p w14:paraId="783CB2DE" w14:textId="77777777" w:rsidR="00133FCF" w:rsidRPr="004F6F3E" w:rsidRDefault="00133FCF" w:rsidP="00133FCF">
      <w:pPr>
        <w:rPr>
          <w:lang w:val="es-ES_tradnl"/>
        </w:rPr>
      </w:pPr>
      <w:r w:rsidRPr="004F6F3E">
        <w:rPr>
          <w:lang w:val="es-ES_tradnl"/>
        </w:rPr>
        <w:t>En cumplimiento del doble cometido de la Unión como organismo especializado de las Naciones Unidas y como organismo ejecutor de proyectos del sistema de las Naciones Unidas y de otras iniciativas de financiación, y con objeto de facilitar y potenciar el desarrollo de las telecomunicaciones/TIC, el UIT-D ofrece, organiza y coordina actividades de cooperación y asistencia técnica a través de iniciativas y proyectos regionales.</w:t>
      </w:r>
    </w:p>
    <w:p w14:paraId="4BA6E0B0" w14:textId="77777777" w:rsidR="00133FCF" w:rsidRPr="004F6F3E" w:rsidRDefault="00133FCF" w:rsidP="00133FCF">
      <w:pPr>
        <w:pStyle w:val="Heading4"/>
        <w:rPr>
          <w:lang w:val="es-ES_tradnl"/>
        </w:rPr>
      </w:pPr>
      <w:bookmarkStart w:id="19" w:name="lt_pId052"/>
      <w:r w:rsidRPr="004F6F3E">
        <w:rPr>
          <w:lang w:val="es-ES_tradnl"/>
        </w:rPr>
        <w:t>Resultados</w:t>
      </w:r>
      <w:bookmarkEnd w:id="19"/>
      <w:r w:rsidRPr="00593915">
        <w:rPr>
          <w:rStyle w:val="FootnoteReference"/>
          <w:b w:val="0"/>
          <w:bCs/>
          <w:lang w:val="es-ES_tradnl"/>
        </w:rPr>
        <w:footnoteReference w:customMarkFollows="1" w:id="13"/>
        <w:t>13</w:t>
      </w:r>
    </w:p>
    <w:p w14:paraId="5C06AB75" w14:textId="77777777" w:rsidR="00133FCF" w:rsidRPr="004F6F3E" w:rsidRDefault="00133FCF" w:rsidP="00133FCF">
      <w:pPr>
        <w:rPr>
          <w:rFonts w:eastAsia="Batang"/>
          <w:lang w:val="es-ES_tradnl"/>
        </w:rPr>
      </w:pPr>
      <w:bookmarkStart w:id="20" w:name="lt_pId055"/>
      <w:r w:rsidRPr="004F6F3E">
        <w:rPr>
          <w:rFonts w:eastAsia="Batang"/>
          <w:lang w:val="es-ES_tradnl"/>
        </w:rPr>
        <w:t>Los resultados son cambios en un estado o condición derivados de una relación causa-efecto. Existen tres tipos de cambios –productos, realizaciones y repercusiones– que pueden impulsarse mediante una intervención de desarrollo. Los cambios pueden ser intencionados o no, positivos y/o negativos.</w:t>
      </w:r>
      <w:bookmarkEnd w:id="20"/>
    </w:p>
    <w:p w14:paraId="06EC9A73" w14:textId="77777777" w:rsidR="00133FCF" w:rsidRPr="004F6F3E" w:rsidRDefault="00133FCF" w:rsidP="00133FCF">
      <w:pPr>
        <w:pStyle w:val="Heading4"/>
        <w:rPr>
          <w:lang w:val="es-ES_tradnl"/>
        </w:rPr>
      </w:pPr>
      <w:bookmarkStart w:id="21" w:name="lt_pId056"/>
      <w:r w:rsidRPr="004F6F3E">
        <w:rPr>
          <w:lang w:val="es-ES_tradnl"/>
        </w:rPr>
        <w:t>Gestión basada en los resultados (GBR)</w:t>
      </w:r>
      <w:bookmarkEnd w:id="21"/>
      <w:r w:rsidRPr="00593915">
        <w:rPr>
          <w:rStyle w:val="FootnoteReference"/>
          <w:b w:val="0"/>
          <w:bCs/>
          <w:lang w:val="es-ES_tradnl"/>
        </w:rPr>
        <w:footnoteReference w:customMarkFollows="1" w:id="14"/>
        <w:t>14</w:t>
      </w:r>
    </w:p>
    <w:p w14:paraId="3DEDD351" w14:textId="77777777" w:rsidR="00133FCF" w:rsidRPr="004F6F3E" w:rsidRDefault="00133FCF" w:rsidP="00133FCF">
      <w:pPr>
        <w:rPr>
          <w:rFonts w:eastAsia="Batang"/>
          <w:lang w:val="es-ES_tradnl"/>
        </w:rPr>
      </w:pPr>
      <w:bookmarkStart w:id="22" w:name="lt_pId058"/>
      <w:r w:rsidRPr="004F6F3E">
        <w:rPr>
          <w:rFonts w:eastAsia="Batang"/>
          <w:lang w:val="es-ES_tradnl"/>
        </w:rPr>
        <w:t>La GBR es una estrategia de gestión por la que todos los actores, que contribuyen directa o indirectamente a la consecución de un conjunto de resultados, garantizan que sus procesos, productos y servicios ayuden al logro de los resultados deseados (productos, realizaciones y metas o repercusiones de mayor nivel). A su vez, los actores utilizan la información y las pruebas sobre los resultados reales para fundamentar la toma de decisiones en materia de diseño, dotación de recursos y ejecución de programas y actividades, así como para la rendición de cuentas y la presentación de informes.</w:t>
      </w:r>
      <w:bookmarkEnd w:id="22"/>
    </w:p>
    <w:p w14:paraId="67D0A456" w14:textId="257AA0E5" w:rsidR="00133FCF" w:rsidRPr="004F6F3E" w:rsidRDefault="00133FCF" w:rsidP="00133FCF">
      <w:pPr>
        <w:rPr>
          <w:rFonts w:eastAsia="Batang"/>
          <w:lang w:val="es-ES_tradnl"/>
        </w:rPr>
      </w:pPr>
      <w:bookmarkStart w:id="23" w:name="lt_pId059"/>
      <w:r w:rsidRPr="004F6F3E">
        <w:rPr>
          <w:rFonts w:eastAsia="Batang"/>
          <w:i/>
          <w:lang w:val="es-ES_tradnl"/>
        </w:rPr>
        <w:t>Armonización con la nueva Estrategia de la UIT</w:t>
      </w:r>
      <w:r w:rsidR="00593915" w:rsidRPr="00593915">
        <w:rPr>
          <w:rFonts w:eastAsia="Batang"/>
          <w:i/>
          <w:iCs/>
          <w:sz w:val="8"/>
          <w:szCs w:val="8"/>
        </w:rPr>
        <w:t> </w:t>
      </w:r>
      <w:r w:rsidRPr="004F6F3E">
        <w:rPr>
          <w:rStyle w:val="FootnoteReference"/>
          <w:rFonts w:eastAsia="Batang"/>
          <w:lang w:val="es-ES_tradnl"/>
        </w:rPr>
        <w:footnoteReference w:customMarkFollows="1" w:id="15"/>
        <w:t>15</w:t>
      </w:r>
      <w:r w:rsidRPr="004F6F3E">
        <w:rPr>
          <w:rFonts w:eastAsia="Batang"/>
          <w:lang w:val="es-ES_tradnl"/>
        </w:rPr>
        <w:t xml:space="preserve">: </w:t>
      </w:r>
      <w:bookmarkStart w:id="24" w:name="lt_pId062"/>
      <w:bookmarkEnd w:id="23"/>
      <w:r w:rsidRPr="004F6F3E">
        <w:rPr>
          <w:rFonts w:eastAsia="Batang"/>
          <w:lang w:val="es-ES_tradnl"/>
        </w:rPr>
        <w:t>el modelo que se sigue en este Plan de Acción armoniza la estructura general de la GBR con el marco previsto en el Plan Estratégico de la UIT para 2024-2027. Este modelo de GBR aplica un enfoque más orientado al cliente a las prioridades temáticas definidas por los miembros para mejorar la eficiencia de la BDT a la hora de enfocar los productos, el apoyo y los resultados con arreglo a estas vías estratégicas hacia los objetivos a más largo plazo de la Agenda Conectar 2030.</w:t>
      </w:r>
      <w:bookmarkEnd w:id="24"/>
    </w:p>
    <w:p w14:paraId="4A3D763F" w14:textId="77777777" w:rsidR="00133FCF" w:rsidRPr="004F6F3E" w:rsidRDefault="00133FCF" w:rsidP="00133FCF">
      <w:pPr>
        <w:rPr>
          <w:rFonts w:eastAsia="Batang"/>
          <w:lang w:val="es-ES_tradnl"/>
        </w:rPr>
      </w:pPr>
      <w:bookmarkStart w:id="25" w:name="lt_pId065"/>
      <w:r w:rsidRPr="004F6F3E">
        <w:rPr>
          <w:rFonts w:eastAsia="Batang"/>
          <w:lang w:val="es-ES_tradnl"/>
        </w:rPr>
        <w:t>Este modelo de GBR para las nuevas prioridades temáticas servirá de marco para la futura planificación y evaluación, aplicando una estructura común entre el Plan Estratégico y los Planes Operacionales. Esto incluirá una mayor integración de las estadísticas y los indicadores de la UIT y de las Naciones Unidas para mejorar el enfoque del análisis y la planificación de las necesidades de los países basado en pruebas empíricas. El modelo permitirá a la BDT ser más ágil a la hora de adaptar el apoyo técnico y la oferta de servicios a la evolución de las tendencias y al cambio de las necesidades de los Miembros.</w:t>
      </w:r>
      <w:bookmarkEnd w:id="25"/>
    </w:p>
    <w:p w14:paraId="32EE2428" w14:textId="77777777" w:rsidR="00133FCF" w:rsidRPr="004F6F3E" w:rsidRDefault="00133FCF" w:rsidP="004F6F3E">
      <w:pPr>
        <w:rPr>
          <w:rFonts w:eastAsia="Batang"/>
          <w:lang w:val="es-ES_tradnl"/>
        </w:rPr>
      </w:pPr>
      <w:bookmarkStart w:id="26" w:name="lt_pId066"/>
      <w:r w:rsidRPr="004F6F3E">
        <w:rPr>
          <w:rFonts w:eastAsia="Batang"/>
          <w:lang w:val="es-ES_tradnl"/>
        </w:rPr>
        <w:t xml:space="preserve">El ejercicio de readaptación del marco de GBR de la BDT a la nueva Estrategia de la UIT también afinará la secuencia y la integración de sus productos y servicios, determinando el orden más lógico para el apoyo técnico y las condiciones para el éxito siguiendo las nuevas vías de la teoría </w:t>
      </w:r>
      <w:r w:rsidRPr="004F6F3E">
        <w:rPr>
          <w:rFonts w:eastAsia="Batang"/>
          <w:lang w:val="es-ES_tradnl"/>
        </w:rPr>
        <w:lastRenderedPageBreak/>
        <w:t>del cambio en las prioridades temáticas, para una mayor adecuación de los servicios a las necesidades sobre la base de pruebas empíricas.</w:t>
      </w:r>
      <w:bookmarkEnd w:id="26"/>
    </w:p>
    <w:p w14:paraId="74EDE121" w14:textId="77777777" w:rsidR="00133FCF" w:rsidRPr="004F6F3E" w:rsidRDefault="00133FCF" w:rsidP="00133FCF">
      <w:pPr>
        <w:rPr>
          <w:rFonts w:eastAsia="Batang"/>
          <w:lang w:val="es-ES_tradnl"/>
        </w:rPr>
      </w:pPr>
      <w:bookmarkStart w:id="27" w:name="lt_pId068"/>
      <w:r w:rsidRPr="004F6F3E">
        <w:rPr>
          <w:rFonts w:eastAsia="Batang"/>
          <w:lang w:val="es-ES_tradnl"/>
        </w:rPr>
        <w:t>Para orientar aún más un enfoque programático coherente en la ejecución del mandato a todos los niveles y a través de la presencia regional de la UIT, el marco de la BDT está diseñado para la total sincronización a nivel regional de la GBR, las prioridades temáticas, la planificación operativa, las ofertas de apoyo técnico secuenciado y las evaluaciones de rendimiento de la cartera. Esto también ayudará a las regiones a ajustar estratégicamente el apoyo técnico de la BDT en función de cada una de las iniciativas/prioridades [por confirmar] regionales y de las tendencias locales específicas, manteniendo al mismo tiempo la coherencia con la visión y la misión mundiales definidas en el Plan Estratégico de la UIT.</w:t>
      </w:r>
      <w:bookmarkEnd w:id="27"/>
    </w:p>
    <w:p w14:paraId="64E29D95" w14:textId="77777777" w:rsidR="00133FCF" w:rsidRPr="004F6F3E" w:rsidRDefault="00133FCF" w:rsidP="00133FCF">
      <w:pPr>
        <w:pStyle w:val="Heading4"/>
        <w:rPr>
          <w:lang w:val="es-ES_tradnl"/>
        </w:rPr>
      </w:pPr>
      <w:r w:rsidRPr="004F6F3E">
        <w:rPr>
          <w:lang w:val="es-ES_tradnl"/>
        </w:rPr>
        <w:t>Resoluciones</w:t>
      </w:r>
      <w:r w:rsidRPr="00593915">
        <w:rPr>
          <w:rStyle w:val="FootnoteReference"/>
          <w:b w:val="0"/>
          <w:bCs/>
          <w:lang w:val="es-ES_tradnl"/>
        </w:rPr>
        <w:footnoteReference w:customMarkFollows="1" w:id="16"/>
        <w:t>16</w:t>
      </w:r>
    </w:p>
    <w:p w14:paraId="64C43ADD" w14:textId="77777777" w:rsidR="00133FCF" w:rsidRPr="004F6F3E" w:rsidRDefault="00133FCF" w:rsidP="00133FCF">
      <w:pPr>
        <w:rPr>
          <w:rFonts w:eastAsia="Batang"/>
          <w:lang w:val="es-ES_tradnl"/>
        </w:rPr>
      </w:pPr>
      <w:bookmarkStart w:id="28" w:name="lt_pId070"/>
      <w:r w:rsidRPr="004F6F3E">
        <w:rPr>
          <w:rFonts w:eastAsia="Batang"/>
          <w:lang w:val="es-ES_tradnl"/>
        </w:rPr>
        <w:t>Texto de la CMDT que contiene disposiciones sobre la organización, los métodos de trabajo y los programas del UIT-D o sobre las Cuestiones/temas que han de estudiarse.</w:t>
      </w:r>
      <w:bookmarkEnd w:id="28"/>
    </w:p>
    <w:p w14:paraId="5713130A" w14:textId="77777777" w:rsidR="00133FCF" w:rsidRPr="004F6F3E" w:rsidRDefault="00133FCF" w:rsidP="00133FCF">
      <w:pPr>
        <w:pStyle w:val="Heading4"/>
        <w:rPr>
          <w:lang w:val="es-ES_tradnl"/>
        </w:rPr>
      </w:pPr>
      <w:bookmarkStart w:id="29" w:name="lt_pId071"/>
      <w:r w:rsidRPr="004F6F3E">
        <w:rPr>
          <w:lang w:val="es-ES_tradnl"/>
        </w:rPr>
        <w:t>Cuestiones de las Comisiones de Estudio</w:t>
      </w:r>
      <w:bookmarkEnd w:id="29"/>
    </w:p>
    <w:p w14:paraId="11CE4FE9" w14:textId="77777777" w:rsidR="00133FCF" w:rsidRPr="004F6F3E" w:rsidRDefault="00133FCF" w:rsidP="00133FCF">
      <w:pPr>
        <w:rPr>
          <w:lang w:val="es-ES_tradnl"/>
        </w:rPr>
      </w:pPr>
      <w:r w:rsidRPr="004F6F3E">
        <w:rPr>
          <w:lang w:val="es-ES_tradnl"/>
        </w:rPr>
        <w:t>Descripción de un área de trabajo que ha de estudiarse y que conduce, normalmente, a la elaboración de Recomendaciones, directrices, manuales o informes nuevos o revisados</w:t>
      </w:r>
      <w:r w:rsidRPr="004F6F3E">
        <w:rPr>
          <w:rStyle w:val="FootnoteReference"/>
          <w:lang w:val="es-ES_tradnl"/>
        </w:rPr>
        <w:footnoteReference w:customMarkFollows="1" w:id="17"/>
        <w:t>17</w:t>
      </w:r>
      <w:r w:rsidRPr="004F6F3E">
        <w:rPr>
          <w:lang w:val="es-ES_tradnl"/>
        </w:rPr>
        <w:t>.</w:t>
      </w:r>
    </w:p>
    <w:p w14:paraId="32DC58FD" w14:textId="77777777" w:rsidR="00133FCF" w:rsidRPr="004F6F3E" w:rsidRDefault="00133FCF" w:rsidP="00133FCF">
      <w:pPr>
        <w:rPr>
          <w:lang w:val="es-ES_tradnl"/>
        </w:rPr>
      </w:pPr>
      <w:r w:rsidRPr="004F6F3E">
        <w:rPr>
          <w:lang w:val="es-ES_tradnl"/>
        </w:rPr>
        <w:t>Las Comisiones de Estudio del UIT-D se encargan de elaborar informes, directrices y Recomendaciones basándose en los insumos recibidos de los miembros para su análisis por el resto de los miembros. La información se reúne a través de encuestas, contribuciones y estudios de casos, y se divulga para que los miembros puedan consultarla fácilmente a través de herramientas de gestión de contenidos y de publicación en la web. Las Comisiones de Estudio examinan Cuestiones prácticas específicas de las telecomunicaciones/TIC que son prioritarias para los Miembros del UIT</w:t>
      </w:r>
      <w:r w:rsidRPr="004F6F3E">
        <w:rPr>
          <w:lang w:val="es-ES_tradnl"/>
        </w:rPr>
        <w:noBreakHyphen/>
        <w:t>D, a fin de ayudarlos a alcanzar sus metas de desarrollo.</w:t>
      </w:r>
    </w:p>
    <w:p w14:paraId="4A4EB65B" w14:textId="77777777" w:rsidR="00133FCF" w:rsidRPr="004F6F3E" w:rsidRDefault="00133FCF" w:rsidP="00133FCF">
      <w:pPr>
        <w:rPr>
          <w:rFonts w:eastAsia="Batang"/>
          <w:lang w:val="es-ES_tradnl"/>
        </w:rPr>
      </w:pPr>
      <w:r w:rsidRPr="004F6F3E">
        <w:rPr>
          <w:lang w:val="es-ES_tradnl"/>
        </w:rPr>
        <w:t>Los productos aprobados en las Comisiones de Estudio del UIT-D, así como el material de referencia conexo, se utilizan para ejecutar políticas, estrategias, proyectos e iniciativas especiales en los Estados Miembros. Esas actividades también permiten aumentar el acervo de conocimientos compartidos entre los miembros. Los temas de interés colectivo se comparten en reuniones físicas, foros electrónicos y reuniones con participación a distancia, en una atmósfera propicia al debate abierto y el intercambio de información, así como mediante las aportaciones de expertos sobre los temas objeto de estudio. Los productos que se elaborarán en relación con las Cuestiones de las Comisiones de Estudio se definirán en el plan de trabajo relativo a cada Cuestión de Comisión de Estudio</w:t>
      </w:r>
      <w:r w:rsidRPr="004F6F3E">
        <w:rPr>
          <w:rStyle w:val="FootnoteReference"/>
          <w:lang w:val="es-ES_tradnl"/>
        </w:rPr>
        <w:footnoteReference w:customMarkFollows="1" w:id="18"/>
        <w:t>18</w:t>
      </w:r>
      <w:r w:rsidRPr="004F6F3E">
        <w:rPr>
          <w:lang w:val="es-ES_tradnl"/>
        </w:rPr>
        <w:t>.</w:t>
      </w:r>
    </w:p>
    <w:p w14:paraId="48B68FBC" w14:textId="77777777" w:rsidR="00133FCF" w:rsidRPr="004F6F3E" w:rsidRDefault="00133FCF" w:rsidP="00133FCF">
      <w:pPr>
        <w:pStyle w:val="Heading4"/>
        <w:rPr>
          <w:lang w:val="es-ES_tradnl"/>
        </w:rPr>
      </w:pPr>
      <w:r w:rsidRPr="004F6F3E">
        <w:rPr>
          <w:lang w:val="es-ES_tradnl"/>
        </w:rPr>
        <w:t>Prioridades temáticas</w:t>
      </w:r>
    </w:p>
    <w:p w14:paraId="1EB4EE80" w14:textId="77777777" w:rsidR="00133FCF" w:rsidRPr="004F6F3E" w:rsidRDefault="00133FCF" w:rsidP="00593915">
      <w:pPr>
        <w:rPr>
          <w:rFonts w:eastAsia="Yu Gothic Light"/>
          <w:lang w:val="es-ES_tradnl"/>
        </w:rPr>
      </w:pPr>
      <w:bookmarkStart w:id="30" w:name="_Toc393980015"/>
      <w:bookmarkStart w:id="31" w:name="_Toc76415341"/>
      <w:bookmarkStart w:id="32" w:name="_Toc78445941"/>
      <w:r w:rsidRPr="004F6F3E">
        <w:rPr>
          <w:rFonts w:eastAsia="Yu Gothic Light"/>
          <w:lang w:val="es-ES_tradnl"/>
        </w:rPr>
        <w:t>En el Plan Estratégico de la UIT para 2024-2027, por prioridades temáticas se entienden las áreas de trabajo en las que se centra la Unión, en las que se lograrán las realizaciones para alcanzar las metas estratégicas</w:t>
      </w:r>
      <w:r w:rsidRPr="004F6F3E">
        <w:rPr>
          <w:rStyle w:val="FootnoteReference"/>
          <w:rFonts w:eastAsia="Yu Gothic Light"/>
          <w:lang w:val="es-ES_tradnl"/>
        </w:rPr>
        <w:footnoteReference w:customMarkFollows="1" w:id="19"/>
        <w:t>19</w:t>
      </w:r>
      <w:r w:rsidRPr="004F6F3E">
        <w:rPr>
          <w:rFonts w:eastAsia="Yu Gothic Light"/>
          <w:lang w:val="es-ES_tradnl"/>
        </w:rPr>
        <w:t xml:space="preserve">. </w:t>
      </w:r>
      <w:r w:rsidRPr="004F6F3E">
        <w:rPr>
          <w:lang w:val="es-ES_tradnl"/>
        </w:rPr>
        <w:t xml:space="preserve">Los Sectores y la Secretaría General colaborarán en el marco de </w:t>
      </w:r>
      <w:r w:rsidRPr="004F6F3E">
        <w:rPr>
          <w:rFonts w:eastAsia="Yu Gothic Light"/>
          <w:highlight w:val="yellow"/>
          <w:lang w:val="es-ES_tradnl"/>
        </w:rPr>
        <w:t>[cinco o seis]</w:t>
      </w:r>
      <w:r w:rsidRPr="004F6F3E">
        <w:rPr>
          <w:rFonts w:eastAsia="Yu Gothic Light"/>
          <w:lang w:val="es-ES_tradnl"/>
        </w:rPr>
        <w:t xml:space="preserve"> </w:t>
      </w:r>
      <w:r w:rsidRPr="004F6F3E">
        <w:rPr>
          <w:rFonts w:eastAsia="Yu Gothic Light"/>
          <w:lang w:val="es-ES_tradnl"/>
        </w:rPr>
        <w:lastRenderedPageBreak/>
        <w:t>prioridades temáticas, a fin de lograr realizaciones que permitan alcanzar las metas estratégicas de la Unión</w:t>
      </w:r>
      <w:r w:rsidRPr="004F6F3E">
        <w:rPr>
          <w:rStyle w:val="FootnoteReference"/>
          <w:rFonts w:eastAsia="Yu Gothic Light"/>
          <w:lang w:val="es-ES_tradnl"/>
        </w:rPr>
        <w:footnoteReference w:customMarkFollows="1" w:id="20"/>
        <w:t>20</w:t>
      </w:r>
      <w:r w:rsidRPr="004F6F3E">
        <w:rPr>
          <w:rFonts w:eastAsia="Yu Gothic Light"/>
          <w:lang w:val="es-ES_tradnl"/>
        </w:rPr>
        <w:t>. El UIT</w:t>
      </w:r>
      <w:r w:rsidRPr="004F6F3E">
        <w:rPr>
          <w:rFonts w:eastAsia="Yu Gothic Light"/>
          <w:lang w:val="es-ES_tradnl"/>
        </w:rPr>
        <w:noBreakHyphen/>
        <w:t xml:space="preserve">D contribuye a la consecución de </w:t>
      </w:r>
      <w:r w:rsidRPr="004F6F3E">
        <w:rPr>
          <w:rFonts w:eastAsia="Yu Gothic Light"/>
          <w:highlight w:val="yellow"/>
          <w:lang w:val="es-ES_tradnl"/>
        </w:rPr>
        <w:t>[tres o cuatro]</w:t>
      </w:r>
      <w:r w:rsidRPr="004F6F3E">
        <w:rPr>
          <w:rFonts w:eastAsia="Yu Gothic Light"/>
          <w:lang w:val="es-ES_tradnl"/>
        </w:rPr>
        <w:t xml:space="preserve"> prioridades temáticas de la Unión.</w:t>
      </w:r>
    </w:p>
    <w:p w14:paraId="72E943E1" w14:textId="77777777" w:rsidR="00133FCF" w:rsidRPr="004F6F3E" w:rsidRDefault="00133FCF" w:rsidP="00133FCF">
      <w:pPr>
        <w:pStyle w:val="Heading2"/>
        <w:rPr>
          <w:lang w:val="es-ES_tradnl"/>
        </w:rPr>
      </w:pPr>
      <w:bookmarkStart w:id="33" w:name="_Toc99954526"/>
      <w:r w:rsidRPr="004F6F3E">
        <w:rPr>
          <w:lang w:val="es-ES_tradnl"/>
        </w:rPr>
        <w:t>2</w:t>
      </w:r>
      <w:r w:rsidRPr="004F6F3E">
        <w:rPr>
          <w:lang w:val="es-ES_tradnl"/>
        </w:rPr>
        <w:tab/>
      </w:r>
      <w:bookmarkEnd w:id="30"/>
      <w:bookmarkEnd w:id="31"/>
      <w:bookmarkEnd w:id="32"/>
      <w:r w:rsidRPr="004F6F3E">
        <w:rPr>
          <w:lang w:val="es-ES_tradnl"/>
        </w:rPr>
        <w:t>Introducción</w:t>
      </w:r>
      <w:bookmarkEnd w:id="33"/>
    </w:p>
    <w:p w14:paraId="79DDF47D" w14:textId="77777777" w:rsidR="00133FCF" w:rsidRPr="004F6F3E" w:rsidRDefault="00133FCF" w:rsidP="00133FCF">
      <w:pPr>
        <w:rPr>
          <w:rFonts w:eastAsia="SimSun"/>
          <w:lang w:val="es-ES_tradnl"/>
        </w:rPr>
      </w:pPr>
      <w:bookmarkStart w:id="34" w:name="lt_pId090"/>
      <w:r w:rsidRPr="004F6F3E">
        <w:rPr>
          <w:rFonts w:eastAsia="Batang"/>
          <w:lang w:val="es-ES_tradnl"/>
        </w:rPr>
        <w:t xml:space="preserve">El Plan de Acción de la CMDT </w:t>
      </w:r>
      <w:bookmarkStart w:id="35" w:name="lt_pId091"/>
      <w:bookmarkEnd w:id="34"/>
      <w:r w:rsidRPr="004F6F3E">
        <w:rPr>
          <w:rFonts w:eastAsia="Batang"/>
          <w:lang w:val="es-ES_tradnl"/>
        </w:rPr>
        <w:t>es el Plan Operacional del Sector de Desarrollo de las Telecomunicaciones de la UIT (UIT-D) destinado a supervisar y alcanzar las prioridades identificadas por los Miembros del UIT-D durante la Conferencia Mundial de Desarrollo de las Telecomunicaciones (CMDT) de 2022. Se basa en los resultados, guía la implementación de estas prioridades y sigue la estructura del Plan Estratégico de la UIT para el periodo 2024-2027</w:t>
      </w:r>
      <w:r w:rsidRPr="004F6F3E">
        <w:rPr>
          <w:rFonts w:eastAsia="SimSun"/>
          <w:lang w:val="es-ES_tradnl"/>
        </w:rPr>
        <w:t>.</w:t>
      </w:r>
      <w:bookmarkEnd w:id="35"/>
    </w:p>
    <w:p w14:paraId="52F95306" w14:textId="77777777" w:rsidR="00133FCF" w:rsidRPr="004F6F3E" w:rsidRDefault="00133FCF" w:rsidP="00133FCF">
      <w:pPr>
        <w:rPr>
          <w:rFonts w:eastAsia="Batang"/>
          <w:lang w:val="es-ES_tradnl"/>
        </w:rPr>
      </w:pPr>
      <w:bookmarkStart w:id="36" w:name="lt_pId093"/>
      <w:r w:rsidRPr="004F6F3E">
        <w:rPr>
          <w:rFonts w:eastAsia="Batang"/>
          <w:lang w:val="es-ES_tradnl"/>
        </w:rPr>
        <w:t>Sobre la base de las prioridades temáticas, ofertas de productos y servicios y factores habilitadores definidos en el Plan Estratégico de la UIT para 2024-2027, el Plan de Acción de la CMDT adapta y planifica la labor del UIT-D en función de las Resoluciones y Recomendaciones de la UIT pertinentes para el mandato del UIT-D, las iniciativas regionales de la BDT y las Cuestiones de las Comisiones de Estudio. El Plan de Acción también describe su contribución a las Líneas de Acción de la Cumbre Mundial sobre la Sociedad de la Información (CMSI) y a los Objetivos de Desarrollo Sostenible (ODS) de las Naciones Unidas.</w:t>
      </w:r>
      <w:bookmarkEnd w:id="36"/>
    </w:p>
    <w:p w14:paraId="41F2F182" w14:textId="77777777" w:rsidR="00133FCF" w:rsidRPr="004F6F3E" w:rsidRDefault="00133FCF" w:rsidP="00133FCF">
      <w:pPr>
        <w:rPr>
          <w:rFonts w:eastAsia="Batang"/>
          <w:lang w:val="es-ES_tradnl"/>
        </w:rPr>
      </w:pPr>
      <w:bookmarkStart w:id="37" w:name="lt_pId094"/>
      <w:r w:rsidRPr="004F6F3E">
        <w:rPr>
          <w:rFonts w:eastAsia="Batang"/>
          <w:lang w:val="es-ES_tradnl"/>
        </w:rPr>
        <w:t xml:space="preserve">El Plan de Acción de la CMDT describe el alcance, los productos y los servicios de cada prioridad temática e incluye indicadores fundamentales de rendimiento sobre la manera de apoyar a los Miembros, y de seguir los progresos durante el periodo </w:t>
      </w:r>
      <w:r w:rsidRPr="004F6F3E">
        <w:rPr>
          <w:rFonts w:eastAsia="Batang"/>
          <w:highlight w:val="yellow"/>
          <w:lang w:val="es-ES_tradnl"/>
        </w:rPr>
        <w:t>[2022-2025]</w:t>
      </w:r>
      <w:r w:rsidRPr="004F6F3E">
        <w:rPr>
          <w:rFonts w:eastAsia="Batang"/>
          <w:lang w:val="es-ES_tradnl"/>
        </w:rPr>
        <w:t>.</w:t>
      </w:r>
      <w:bookmarkEnd w:id="37"/>
      <w:r w:rsidRPr="004F6F3E">
        <w:rPr>
          <w:rFonts w:eastAsia="Batang"/>
          <w:lang w:val="es-ES_tradnl"/>
        </w:rPr>
        <w:t xml:space="preserve"> El Grupo Asesor de Desarrollo de las Telecomunicaciones (GADT) podrá actualizar o modificar el Plan a fin de plasmar en él los cambios en el entorno de las telecomunicaciones/TIC y/o como resultado de la evaluación de resultados que se realizará cada año</w:t>
      </w:r>
      <w:r w:rsidRPr="004F6F3E">
        <w:rPr>
          <w:rStyle w:val="FootnoteReference"/>
          <w:rFonts w:eastAsia="Batang"/>
          <w:lang w:val="es-ES_tradnl"/>
        </w:rPr>
        <w:footnoteReference w:customMarkFollows="1" w:id="21"/>
        <w:t>21</w:t>
      </w:r>
      <w:r w:rsidRPr="004F6F3E">
        <w:rPr>
          <w:rFonts w:eastAsia="Batang"/>
          <w:lang w:val="es-ES_tradnl"/>
        </w:rPr>
        <w:t>.</w:t>
      </w:r>
    </w:p>
    <w:p w14:paraId="2027EA63" w14:textId="77777777" w:rsidR="00133FCF" w:rsidRPr="004F6F3E" w:rsidRDefault="00133FCF" w:rsidP="00133FCF">
      <w:pPr>
        <w:rPr>
          <w:rFonts w:eastAsia="Batang"/>
          <w:lang w:val="es-ES_tradnl"/>
        </w:rPr>
      </w:pPr>
      <w:bookmarkStart w:id="38" w:name="lt_pId097"/>
      <w:r w:rsidRPr="004F6F3E">
        <w:rPr>
          <w:rFonts w:eastAsia="Batang"/>
          <w:lang w:val="es-ES_tradnl"/>
        </w:rPr>
        <w:t>Este Plan es también la base del Plan Operacional anual renovable del UIT-D y sirve como marco de aplicación, ya que proporciona una descripción de la manera de lograr las prioridades y los objetivos del UIT-D identificados por sus miembros en la CMDT. Estas prioridades se basan en las competencias y conocimientos técnicos esenciales del UIT-D y están estrechamente vinculadas y alineadas con las prioridades y objetivos previstos en los planes/iniciativas de desarrollo más amplios de los ODS de las Naciones Unidas, el Plan Estratégico de la UIT y el Plan de Acción de la CMSI. En particular, todos ellos comparten la visión común de lograr el desarrollo sostenible aprovechando las oportunidades de las herramientas digitales y las tecnologías de la información y la comunicación.</w:t>
      </w:r>
      <w:bookmarkEnd w:id="38"/>
      <w:r w:rsidRPr="004F6F3E">
        <w:rPr>
          <w:rFonts w:eastAsia="Batang"/>
          <w:lang w:val="es-ES_tradnl"/>
        </w:rPr>
        <w:t xml:space="preserve"> En la Figura 1 se muestran los principales componentes del Marco Estratégico de la UIT para 2024-2027</w:t>
      </w:r>
      <w:r w:rsidRPr="004F6F3E">
        <w:rPr>
          <w:rStyle w:val="FootnoteReference"/>
          <w:rFonts w:eastAsia="Batang"/>
          <w:lang w:val="es-ES_tradnl"/>
        </w:rPr>
        <w:footnoteReference w:customMarkFollows="1" w:id="22"/>
        <w:t>22</w:t>
      </w:r>
      <w:r w:rsidRPr="004F6F3E">
        <w:rPr>
          <w:rFonts w:eastAsia="Batang"/>
          <w:lang w:val="es-ES_tradnl"/>
        </w:rPr>
        <w:t>.</w:t>
      </w:r>
    </w:p>
    <w:p w14:paraId="3657897E" w14:textId="77777777" w:rsidR="00133FCF" w:rsidRPr="004F6F3E" w:rsidRDefault="00133FCF" w:rsidP="003B091B">
      <w:pPr>
        <w:pStyle w:val="Figuretitle"/>
        <w:spacing w:before="480" w:after="0"/>
        <w:rPr>
          <w:rFonts w:eastAsia="Batang"/>
          <w:lang w:val="es-ES_tradnl"/>
        </w:rPr>
      </w:pPr>
      <w:bookmarkStart w:id="39" w:name="lt_pId098"/>
      <w:r w:rsidRPr="004F6F3E">
        <w:rPr>
          <w:rFonts w:eastAsia="Batang"/>
          <w:lang w:val="es-ES_tradnl"/>
        </w:rPr>
        <w:lastRenderedPageBreak/>
        <w:t>Figura 2.1: Marco Estratégico de la UIT para 2024-2027</w:t>
      </w:r>
    </w:p>
    <w:p w14:paraId="57428316" w14:textId="581D1EC8" w:rsidR="00133FCF" w:rsidRDefault="00133FCF" w:rsidP="005B36F4">
      <w:pPr>
        <w:pStyle w:val="Figure"/>
        <w:spacing w:after="480"/>
        <w:rPr>
          <w:rFonts w:eastAsia="Batang"/>
          <w:lang w:val="es-ES_tradnl"/>
        </w:rPr>
      </w:pPr>
      <w:r w:rsidRPr="004F6F3E">
        <w:rPr>
          <w:rFonts w:eastAsia="Batang"/>
          <w:lang w:val="es-ES_tradnl"/>
        </w:rPr>
        <w:object w:dxaOrig="9494" w:dyaOrig="5330" w14:anchorId="0D0C5E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266.5pt" o:ole="">
            <v:imagedata r:id="rId15" o:title="" croptop="2579f" cropbottom="1812f" cropright="3522f"/>
          </v:shape>
          <o:OLEObject Type="Embed" ProgID="PowerPoint.Slide.12" ShapeID="_x0000_i1025" DrawAspect="Content" ObjectID="_1713792633" r:id="rId16"/>
        </w:object>
      </w:r>
    </w:p>
    <w:p w14:paraId="2DABB471" w14:textId="77777777" w:rsidR="00133FCF" w:rsidRPr="004F6F3E" w:rsidRDefault="00133FCF" w:rsidP="005B36F4">
      <w:pPr>
        <w:pStyle w:val="Figuretitle"/>
        <w:spacing w:after="0"/>
        <w:rPr>
          <w:rFonts w:ascii="Calibri" w:eastAsia="Batang" w:hAnsi="Calibri"/>
          <w:sz w:val="28"/>
          <w:szCs w:val="28"/>
          <w:lang w:val="es-ES_tradnl"/>
        </w:rPr>
      </w:pPr>
      <w:r w:rsidRPr="004F6F3E">
        <w:rPr>
          <w:rFonts w:eastAsia="Batang"/>
          <w:lang w:val="es-ES_tradnl"/>
        </w:rPr>
        <w:t>Figura 2.2: Estructura y contribuciones del Plan de Acción</w:t>
      </w:r>
      <w:bookmarkEnd w:id="39"/>
      <w:r w:rsidRPr="005B36F4">
        <w:rPr>
          <w:rStyle w:val="FootnoteReference"/>
          <w:rFonts w:eastAsia="Batang"/>
          <w:b w:val="0"/>
          <w:bCs/>
          <w:szCs w:val="28"/>
          <w:lang w:val="es-ES_tradnl"/>
        </w:rPr>
        <w:footnoteReference w:customMarkFollows="1" w:id="23"/>
        <w:t>23</w:t>
      </w:r>
    </w:p>
    <w:p w14:paraId="4931BD5C" w14:textId="2D14E003" w:rsidR="00133FCF" w:rsidRPr="004F6F3E" w:rsidRDefault="00133FCF" w:rsidP="00133FCF">
      <w:pPr>
        <w:pStyle w:val="Figure"/>
        <w:rPr>
          <w:b/>
          <w:lang w:val="es-ES_tradnl"/>
        </w:rPr>
      </w:pPr>
      <w:r w:rsidRPr="004F6F3E">
        <w:rPr>
          <w:b/>
          <w:noProof/>
          <w:lang w:val="es-ES_tradnl"/>
        </w:rPr>
        <mc:AlternateContent>
          <mc:Choice Requires="wpg">
            <w:drawing>
              <wp:inline distT="0" distB="0" distL="0" distR="0" wp14:anchorId="2D3CB91E" wp14:editId="0D968426">
                <wp:extent cx="6043678" cy="4373218"/>
                <wp:effectExtent l="0" t="0" r="0" b="8890"/>
                <wp:docPr id="237" name="Group 237"/>
                <wp:cNvGraphicFramePr/>
                <a:graphic xmlns:a="http://schemas.openxmlformats.org/drawingml/2006/main">
                  <a:graphicData uri="http://schemas.microsoft.com/office/word/2010/wordprocessingGroup">
                    <wpg:wgp>
                      <wpg:cNvGrpSpPr/>
                      <wpg:grpSpPr>
                        <a:xfrm>
                          <a:off x="0" y="0"/>
                          <a:ext cx="6043678" cy="4373218"/>
                          <a:chOff x="0" y="0"/>
                          <a:chExt cx="6043678" cy="4373218"/>
                        </a:xfrm>
                      </wpg:grpSpPr>
                      <wps:wsp>
                        <wps:cNvPr id="261" name="Rectangle: Rounded Corners 3"/>
                        <wps:cNvSpPr/>
                        <wps:spPr>
                          <a:xfrm>
                            <a:off x="7952" y="962108"/>
                            <a:ext cx="4349750" cy="3411110"/>
                          </a:xfrm>
                          <a:prstGeom prst="roundRect">
                            <a:avLst/>
                          </a:prstGeom>
                          <a:solidFill>
                            <a:srgbClr val="215EAC"/>
                          </a:solidFill>
                          <a:ln w="12700" cap="flat" cmpd="sng" algn="ctr">
                            <a:noFill/>
                            <a:prstDash val="solid"/>
                            <a:miter lim="800000"/>
                          </a:ln>
                          <a:effectLst/>
                        </wps:spPr>
                        <wps:txbx>
                          <w:txbxContent>
                            <w:p w14:paraId="04E0794C" w14:textId="77777777" w:rsidR="004F6F3E" w:rsidRPr="009505DE" w:rsidRDefault="004F6F3E" w:rsidP="00133FCF">
                              <w:pPr>
                                <w:spacing w:before="0"/>
                                <w:jc w:val="center"/>
                                <w:rPr>
                                  <w:rFonts w:hAnsi="Calibri" w:cs="Arial"/>
                                  <w:color w:val="FFFFFF"/>
                                  <w:kern w:val="24"/>
                                  <w:sz w:val="28"/>
                                  <w:szCs w:val="28"/>
                                  <w:lang w:val="es-ES"/>
                                </w:rPr>
                              </w:pPr>
                              <w:r w:rsidRPr="009505DE">
                                <w:rPr>
                                  <w:rFonts w:hAnsi="Calibri" w:cs="Arial"/>
                                  <w:color w:val="FFFFFF"/>
                                  <w:kern w:val="24"/>
                                  <w:sz w:val="28"/>
                                  <w:szCs w:val="28"/>
                                  <w:lang w:val="es-ES"/>
                                </w:rPr>
                                <w:t>Plan de Acción de la CMDT</w:t>
                              </w:r>
                            </w:p>
                            <w:p w14:paraId="329A0A83" w14:textId="3D52713B" w:rsidR="004F6F3E" w:rsidRPr="00A768CE" w:rsidRDefault="004F6F3E" w:rsidP="00133FCF">
                              <w:pPr>
                                <w:spacing w:before="0"/>
                                <w:jc w:val="center"/>
                                <w:rPr>
                                  <w:rFonts w:hAnsi="Calibri" w:cs="Arial"/>
                                  <w:i/>
                                  <w:iCs/>
                                  <w:color w:val="FFFFFF"/>
                                  <w:kern w:val="24"/>
                                  <w:szCs w:val="28"/>
                                  <w:lang w:val="es-ES"/>
                                </w:rPr>
                              </w:pPr>
                              <w:r>
                                <w:rPr>
                                  <w:rFonts w:hAnsi="Calibri" w:cs="Arial"/>
                                  <w:i/>
                                  <w:iCs/>
                                  <w:color w:val="FFFFFF"/>
                                  <w:kern w:val="24"/>
                                  <w:szCs w:val="28"/>
                                  <w:lang w:val="es-ES"/>
                                </w:rPr>
                                <w:t>El UIT</w:t>
                              </w:r>
                              <w:r w:rsidRPr="00997147">
                                <w:rPr>
                                  <w:rFonts w:hAnsi="Calibri" w:cs="Arial"/>
                                  <w:i/>
                                  <w:iCs/>
                                  <w:color w:val="FFFFFF"/>
                                  <w:kern w:val="24"/>
                                  <w:szCs w:val="28"/>
                                  <w:lang w:val="es-ES"/>
                                </w:rPr>
                                <w:t xml:space="preserve">-D </w:t>
                              </w:r>
                              <w:r>
                                <w:rPr>
                                  <w:rFonts w:hAnsi="Calibri" w:cs="Arial"/>
                                  <w:i/>
                                  <w:iCs/>
                                  <w:color w:val="FFFFFF"/>
                                  <w:kern w:val="24"/>
                                  <w:szCs w:val="28"/>
                                  <w:lang w:val="es-ES"/>
                                </w:rPr>
                                <w:t>contribuye a</w:t>
                              </w:r>
                              <w:r w:rsidRPr="00997147">
                                <w:rPr>
                                  <w:rFonts w:hAnsi="Calibri" w:cs="Arial"/>
                                  <w:i/>
                                  <w:iCs/>
                                  <w:color w:val="FFFFFF"/>
                                  <w:kern w:val="24"/>
                                  <w:szCs w:val="28"/>
                                  <w:lang w:val="es-ES"/>
                                </w:rPr>
                                <w:t xml:space="preserve"> </w:t>
                              </w:r>
                              <w:r>
                                <w:rPr>
                                  <w:rFonts w:hAnsi="Calibri" w:cs="Arial"/>
                                  <w:i/>
                                  <w:iCs/>
                                  <w:color w:val="FFFFFF"/>
                                  <w:kern w:val="24"/>
                                  <w:szCs w:val="28"/>
                                  <w:lang w:val="es-ES"/>
                                </w:rPr>
                                <w:t xml:space="preserve">[3 </w:t>
                              </w:r>
                              <w:proofErr w:type="spellStart"/>
                              <w:r w:rsidR="005B36F4">
                                <w:rPr>
                                  <w:rFonts w:hAnsi="Calibri" w:cs="Arial"/>
                                  <w:i/>
                                  <w:iCs/>
                                  <w:color w:val="FFFFFF"/>
                                  <w:kern w:val="24"/>
                                  <w:szCs w:val="28"/>
                                  <w:lang w:val="es-ES"/>
                                </w:rPr>
                                <w:t>ó</w:t>
                              </w:r>
                              <w:proofErr w:type="spellEnd"/>
                              <w:r>
                                <w:rPr>
                                  <w:rFonts w:hAnsi="Calibri" w:cs="Arial"/>
                                  <w:i/>
                                  <w:iCs/>
                                  <w:color w:val="FFFFFF"/>
                                  <w:kern w:val="24"/>
                                  <w:szCs w:val="28"/>
                                  <w:lang w:val="es-ES"/>
                                </w:rPr>
                                <w:t xml:space="preserve"> </w:t>
                              </w:r>
                              <w:r w:rsidRPr="00A768CE">
                                <w:rPr>
                                  <w:rFonts w:hAnsi="Calibri" w:cs="Arial"/>
                                  <w:i/>
                                  <w:iCs/>
                                  <w:color w:val="FFFFFF"/>
                                  <w:kern w:val="24"/>
                                  <w:szCs w:val="28"/>
                                  <w:lang w:val="es-ES"/>
                                </w:rPr>
                                <w:t>4</w:t>
                              </w:r>
                              <w:r>
                                <w:rPr>
                                  <w:rFonts w:hAnsi="Calibri" w:cs="Arial"/>
                                  <w:i/>
                                  <w:iCs/>
                                  <w:color w:val="FFFFFF"/>
                                  <w:kern w:val="24"/>
                                  <w:szCs w:val="28"/>
                                  <w:lang w:val="es-ES"/>
                                </w:rPr>
                                <w:t>]</w:t>
                              </w:r>
                              <w:r w:rsidRPr="00A768CE">
                                <w:rPr>
                                  <w:rFonts w:hAnsi="Calibri" w:cs="Arial"/>
                                  <w:i/>
                                  <w:iCs/>
                                  <w:color w:val="FFFFFF"/>
                                  <w:kern w:val="24"/>
                                  <w:szCs w:val="28"/>
                                  <w:lang w:val="es-ES"/>
                                </w:rPr>
                                <w:t xml:space="preserve"> prioridades temáticas</w:t>
                              </w:r>
                            </w:p>
                          </w:txbxContent>
                        </wps:txbx>
                        <wps:bodyPr wrap="square" rtlCol="0" anchor="t">
                          <a:noAutofit/>
                        </wps:bodyPr>
                      </wps:wsp>
                      <wpg:grpSp>
                        <wpg:cNvPr id="508" name="Group 508"/>
                        <wpg:cNvGrpSpPr/>
                        <wpg:grpSpPr>
                          <a:xfrm>
                            <a:off x="0" y="1717482"/>
                            <a:ext cx="4308475" cy="2529840"/>
                            <a:chOff x="0" y="0"/>
                            <a:chExt cx="4308475" cy="2530257"/>
                          </a:xfrm>
                        </wpg:grpSpPr>
                        <wps:wsp>
                          <wps:cNvPr id="264" name="Rectangle: Rounded Corners 4"/>
                          <wps:cNvSpPr/>
                          <wps:spPr>
                            <a:xfrm>
                              <a:off x="182880" y="0"/>
                              <a:ext cx="1879600" cy="570230"/>
                            </a:xfrm>
                            <a:prstGeom prst="roundRect">
                              <a:avLst/>
                            </a:prstGeom>
                            <a:solidFill>
                              <a:sysClr val="window" lastClr="FFFFFF"/>
                            </a:solidFill>
                            <a:ln w="12700" cap="flat" cmpd="sng" algn="ctr">
                              <a:noFill/>
                              <a:prstDash val="solid"/>
                              <a:miter lim="800000"/>
                            </a:ln>
                            <a:effectLst/>
                          </wps:spPr>
                          <wps:txbx>
                            <w:txbxContent>
                              <w:p w14:paraId="32579872" w14:textId="77777777" w:rsidR="004F6F3E" w:rsidRPr="00A768CE" w:rsidRDefault="004F6F3E" w:rsidP="00133FCF">
                                <w:pPr>
                                  <w:spacing w:before="0"/>
                                  <w:jc w:val="center"/>
                                  <w:rPr>
                                    <w:rFonts w:hAnsi="Calibri" w:cs="Arial"/>
                                    <w:color w:val="215EAC"/>
                                    <w:kern w:val="24"/>
                                    <w:szCs w:val="24"/>
                                    <w:lang w:val="es-ES"/>
                                  </w:rPr>
                                </w:pPr>
                                <w:r w:rsidRPr="00997147">
                                  <w:rPr>
                                    <w:rFonts w:hAnsi="Calibri" w:cs="Arial"/>
                                    <w:color w:val="215EAC"/>
                                    <w:kern w:val="24"/>
                                    <w:szCs w:val="24"/>
                                    <w:lang w:val="es-ES"/>
                                  </w:rPr>
                                  <w:t xml:space="preserve">Infraestructura </w:t>
                                </w:r>
                                <w:r>
                                  <w:rPr>
                                    <w:rFonts w:hAnsi="Calibri" w:cs="Arial"/>
                                    <w:color w:val="215EAC"/>
                                    <w:kern w:val="24"/>
                                    <w:szCs w:val="24"/>
                                    <w:lang w:val="es-ES"/>
                                  </w:rPr>
                                  <w:t>y</w:t>
                                </w:r>
                                <w:r w:rsidRPr="00997147">
                                  <w:rPr>
                                    <w:rFonts w:hAnsi="Calibri" w:cs="Arial"/>
                                    <w:color w:val="215EAC"/>
                                    <w:kern w:val="24"/>
                                    <w:szCs w:val="24"/>
                                    <w:lang w:val="es-ES"/>
                                  </w:rPr>
                                  <w:t xml:space="preserve"> servic</w:t>
                                </w:r>
                                <w:r>
                                  <w:rPr>
                                    <w:rFonts w:hAnsi="Calibri" w:cs="Arial"/>
                                    <w:color w:val="215EAC"/>
                                    <w:kern w:val="24"/>
                                    <w:szCs w:val="24"/>
                                    <w:lang w:val="es-ES"/>
                                  </w:rPr>
                                  <w:t>io</w:t>
                                </w:r>
                                <w:r w:rsidRPr="00997147">
                                  <w:rPr>
                                    <w:rFonts w:hAnsi="Calibri" w:cs="Arial"/>
                                    <w:color w:val="215EAC"/>
                                    <w:kern w:val="24"/>
                                    <w:szCs w:val="24"/>
                                    <w:lang w:val="es-ES"/>
                                  </w:rPr>
                                  <w:t>s</w:t>
                                </w:r>
                              </w:p>
                            </w:txbxContent>
                          </wps:txbx>
                          <wps:bodyPr wrap="square" rtlCol="0" anchor="ctr"/>
                        </wps:wsp>
                        <wps:wsp>
                          <wps:cNvPr id="6" name="Rectangle: Rounded Corners 5">
                            <a:extLst>
                              <a:ext uri="{FF2B5EF4-FFF2-40B4-BE49-F238E27FC236}">
                                <a16:creationId xmlns:a16="http://schemas.microsoft.com/office/drawing/2014/main" id="{BFFA2CB8-F86B-4F92-B992-81F6410900C2}"/>
                              </a:ext>
                            </a:extLst>
                          </wps:cNvPr>
                          <wps:cNvSpPr/>
                          <wps:spPr>
                            <a:xfrm>
                              <a:off x="2266122" y="7952"/>
                              <a:ext cx="1892300" cy="570230"/>
                            </a:xfrm>
                            <a:prstGeom prst="roundRect">
                              <a:avLst/>
                            </a:prstGeom>
                            <a:solidFill>
                              <a:sysClr val="window" lastClr="FFFFFF"/>
                            </a:solidFill>
                            <a:ln w="12700" cap="flat" cmpd="sng" algn="ctr">
                              <a:noFill/>
                              <a:prstDash val="solid"/>
                              <a:miter lim="800000"/>
                            </a:ln>
                            <a:effectLst/>
                          </wps:spPr>
                          <wps:txbx>
                            <w:txbxContent>
                              <w:p w14:paraId="7D835BE8" w14:textId="77777777" w:rsidR="004F6F3E" w:rsidRPr="00A768CE" w:rsidRDefault="004F6F3E" w:rsidP="00133FCF">
                                <w:pPr>
                                  <w:spacing w:before="0"/>
                                  <w:jc w:val="center"/>
                                  <w:rPr>
                                    <w:rFonts w:hAnsi="Calibri" w:cs="Arial"/>
                                    <w:color w:val="215EAC"/>
                                    <w:kern w:val="24"/>
                                    <w:szCs w:val="24"/>
                                    <w:lang w:val="es-ES"/>
                                  </w:rPr>
                                </w:pPr>
                                <w:r w:rsidRPr="00997147">
                                  <w:rPr>
                                    <w:rFonts w:hAnsi="Calibri" w:cs="Arial"/>
                                    <w:color w:val="215EAC"/>
                                    <w:kern w:val="24"/>
                                    <w:szCs w:val="24"/>
                                    <w:lang w:val="es-ES"/>
                                  </w:rPr>
                                  <w:t>Aplica</w:t>
                                </w:r>
                                <w:r>
                                  <w:rPr>
                                    <w:rFonts w:hAnsi="Calibri" w:cs="Arial"/>
                                    <w:color w:val="215EAC"/>
                                    <w:kern w:val="24"/>
                                    <w:szCs w:val="24"/>
                                    <w:lang w:val="es-ES"/>
                                  </w:rPr>
                                  <w:t>c</w:t>
                                </w:r>
                                <w:r w:rsidRPr="00997147">
                                  <w:rPr>
                                    <w:rFonts w:hAnsi="Calibri" w:cs="Arial"/>
                                    <w:color w:val="215EAC"/>
                                    <w:kern w:val="24"/>
                                    <w:szCs w:val="24"/>
                                    <w:lang w:val="es-ES"/>
                                  </w:rPr>
                                  <w:t>ion</w:t>
                                </w:r>
                                <w:r>
                                  <w:rPr>
                                    <w:rFonts w:hAnsi="Calibri" w:cs="Arial"/>
                                    <w:color w:val="215EAC"/>
                                    <w:kern w:val="24"/>
                                    <w:szCs w:val="24"/>
                                    <w:lang w:val="es-ES"/>
                                  </w:rPr>
                                  <w:t>e</w:t>
                                </w:r>
                                <w:r w:rsidRPr="00997147">
                                  <w:rPr>
                                    <w:rFonts w:hAnsi="Calibri" w:cs="Arial"/>
                                    <w:color w:val="215EAC"/>
                                    <w:kern w:val="24"/>
                                    <w:szCs w:val="24"/>
                                    <w:lang w:val="es-ES"/>
                                  </w:rPr>
                                  <w:t>s</w:t>
                                </w:r>
                              </w:p>
                            </w:txbxContent>
                          </wps:txbx>
                          <wps:bodyPr wrap="square" rtlCol="0" anchor="ctr"/>
                        </wps:wsp>
                        <wps:wsp>
                          <wps:cNvPr id="266" name="Rectangle: Rounded Corners 6"/>
                          <wps:cNvSpPr/>
                          <wps:spPr>
                            <a:xfrm>
                              <a:off x="198783" y="675861"/>
                              <a:ext cx="1850390" cy="529590"/>
                            </a:xfrm>
                            <a:prstGeom prst="roundRect">
                              <a:avLst/>
                            </a:prstGeom>
                            <a:solidFill>
                              <a:sysClr val="window" lastClr="FFFFFF"/>
                            </a:solidFill>
                            <a:ln w="12700" cap="flat" cmpd="sng" algn="ctr">
                              <a:noFill/>
                              <a:prstDash val="solid"/>
                              <a:miter lim="800000"/>
                            </a:ln>
                            <a:effectLst/>
                          </wps:spPr>
                          <wps:txbx>
                            <w:txbxContent>
                              <w:p w14:paraId="7D6A5339" w14:textId="77777777" w:rsidR="004F6F3E" w:rsidRPr="00A768CE" w:rsidRDefault="004F6F3E" w:rsidP="00133FCF">
                                <w:pPr>
                                  <w:spacing w:before="0"/>
                                  <w:jc w:val="center"/>
                                  <w:rPr>
                                    <w:rFonts w:hAnsi="Calibri" w:cs="Arial"/>
                                    <w:color w:val="215EAC"/>
                                    <w:kern w:val="24"/>
                                    <w:szCs w:val="24"/>
                                    <w:lang w:val="es-ES"/>
                                  </w:rPr>
                                </w:pPr>
                                <w:r>
                                  <w:rPr>
                                    <w:rFonts w:hAnsi="Calibri" w:cs="Arial"/>
                                    <w:color w:val="215EAC"/>
                                    <w:kern w:val="24"/>
                                    <w:szCs w:val="24"/>
                                    <w:lang w:val="es-ES"/>
                                  </w:rPr>
                                  <w:t>Entorno propicio</w:t>
                                </w:r>
                              </w:p>
                            </w:txbxContent>
                          </wps:txbx>
                          <wps:bodyPr wrap="square" rtlCol="0" anchor="ctr"/>
                        </wps:wsp>
                        <wps:wsp>
                          <wps:cNvPr id="270" name="Rectangle: Rounded Corners 7"/>
                          <wps:cNvSpPr/>
                          <wps:spPr>
                            <a:xfrm>
                              <a:off x="2258171" y="675861"/>
                              <a:ext cx="1908000" cy="529200"/>
                            </a:xfrm>
                            <a:prstGeom prst="roundRect">
                              <a:avLst/>
                            </a:prstGeom>
                            <a:solidFill>
                              <a:sysClr val="window" lastClr="FFFFFF"/>
                            </a:solidFill>
                            <a:ln w="12700" cap="flat" cmpd="sng" algn="ctr">
                              <a:noFill/>
                              <a:prstDash val="solid"/>
                              <a:miter lim="800000"/>
                            </a:ln>
                            <a:effectLst/>
                          </wps:spPr>
                          <wps:txbx>
                            <w:txbxContent>
                              <w:p w14:paraId="076C7E66" w14:textId="77777777" w:rsidR="004F6F3E" w:rsidRPr="00A768CE" w:rsidRDefault="004F6F3E" w:rsidP="00133FCF">
                                <w:pPr>
                                  <w:spacing w:before="0"/>
                                  <w:jc w:val="center"/>
                                  <w:rPr>
                                    <w:rFonts w:hAnsi="Calibri" w:cs="Arial"/>
                                    <w:color w:val="215EAC"/>
                                    <w:kern w:val="24"/>
                                    <w:szCs w:val="24"/>
                                    <w:lang w:val="es-ES"/>
                                  </w:rPr>
                                </w:pPr>
                                <w:r w:rsidRPr="00997147">
                                  <w:rPr>
                                    <w:rFonts w:hAnsi="Calibri" w:cs="Arial"/>
                                    <w:color w:val="215EAC"/>
                                    <w:kern w:val="24"/>
                                    <w:szCs w:val="24"/>
                                    <w:highlight w:val="yellow"/>
                                    <w:lang w:val="es-ES"/>
                                  </w:rPr>
                                  <w:t>[</w:t>
                                </w:r>
                                <w:r>
                                  <w:rPr>
                                    <w:rFonts w:hAnsi="Calibri" w:cs="Arial"/>
                                    <w:color w:val="215EAC"/>
                                    <w:kern w:val="24"/>
                                    <w:szCs w:val="24"/>
                                    <w:highlight w:val="yellow"/>
                                    <w:lang w:val="es-ES"/>
                                  </w:rPr>
                                  <w:t>Ciberseguridad</w:t>
                                </w:r>
                                <w:r w:rsidRPr="00997147">
                                  <w:rPr>
                                    <w:rFonts w:hAnsi="Calibri" w:cs="Arial"/>
                                    <w:color w:val="215EAC"/>
                                    <w:kern w:val="24"/>
                                    <w:szCs w:val="24"/>
                                    <w:highlight w:val="yellow"/>
                                    <w:lang w:val="es-ES"/>
                                  </w:rPr>
                                  <w:t>]</w:t>
                                </w:r>
                              </w:p>
                            </w:txbxContent>
                          </wps:txbx>
                          <wps:bodyPr wrap="square" rtlCol="0" anchor="ctr">
                            <a:noAutofit/>
                          </wps:bodyPr>
                        </wps:wsp>
                        <wpg:grpSp>
                          <wpg:cNvPr id="51" name="Group 51"/>
                          <wpg:cNvGrpSpPr/>
                          <wpg:grpSpPr>
                            <a:xfrm>
                              <a:off x="0" y="1256307"/>
                              <a:ext cx="4308475" cy="1273950"/>
                              <a:chOff x="0" y="-47706"/>
                              <a:chExt cx="4308475" cy="1273950"/>
                            </a:xfrm>
                          </wpg:grpSpPr>
                          <wps:wsp>
                            <wps:cNvPr id="310" name="Arrow: Right 9"/>
                            <wps:cNvSpPr/>
                            <wps:spPr>
                              <a:xfrm rot="16200000">
                                <a:off x="1526539" y="-1574245"/>
                                <a:ext cx="1255397" cy="4308475"/>
                              </a:xfrm>
                              <a:prstGeom prst="rightArrow">
                                <a:avLst>
                                  <a:gd name="adj1" fmla="val 80392"/>
                                  <a:gd name="adj2" fmla="val 33608"/>
                                </a:avLst>
                              </a:prstGeom>
                              <a:solidFill>
                                <a:sysClr val="window" lastClr="FFFFFF">
                                  <a:lumMod val="75000"/>
                                </a:sysClr>
                              </a:solidFill>
                              <a:ln w="12700" cap="flat" cmpd="sng" algn="ctr">
                                <a:noFill/>
                                <a:prstDash val="solid"/>
                                <a:miter lim="800000"/>
                              </a:ln>
                              <a:effectLst/>
                            </wps:spPr>
                            <wps:bodyPr wrap="square" rtlCol="0" anchor="ctr"/>
                          </wps:wsp>
                          <wps:wsp>
                            <wps:cNvPr id="311" name="Rectangle: Rounded Corners 11"/>
                            <wps:cNvSpPr/>
                            <wps:spPr>
                              <a:xfrm>
                                <a:off x="1572977" y="316895"/>
                                <a:ext cx="1123950" cy="527050"/>
                              </a:xfrm>
                              <a:prstGeom prst="roundRect">
                                <a:avLst/>
                              </a:prstGeom>
                              <a:solidFill>
                                <a:sysClr val="window" lastClr="FFFFFF"/>
                              </a:solidFill>
                              <a:ln w="12700" cap="flat" cmpd="sng" algn="ctr">
                                <a:noFill/>
                                <a:prstDash val="solid"/>
                                <a:miter lim="800000"/>
                              </a:ln>
                              <a:effectLst/>
                            </wps:spPr>
                            <wps:txbx>
                              <w:txbxContent>
                                <w:p w14:paraId="0DC88BF9" w14:textId="77777777" w:rsidR="004F6F3E" w:rsidRPr="00E42AA3" w:rsidRDefault="004F6F3E" w:rsidP="00133FCF">
                                  <w:pPr>
                                    <w:spacing w:before="0"/>
                                    <w:jc w:val="center"/>
                                    <w:rPr>
                                      <w:rFonts w:hAnsi="Calibri" w:cs="Arial"/>
                                      <w:color w:val="215EAC"/>
                                      <w:kern w:val="24"/>
                                      <w:szCs w:val="24"/>
                                      <w:lang w:val="es-ES"/>
                                    </w:rPr>
                                  </w:pPr>
                                  <w:r w:rsidRPr="00E42AA3">
                                    <w:rPr>
                                      <w:rFonts w:hAnsi="Calibri" w:cs="Arial"/>
                                      <w:color w:val="215EAC"/>
                                      <w:kern w:val="24"/>
                                      <w:szCs w:val="24"/>
                                      <w:lang w:val="es-ES"/>
                                    </w:rPr>
                                    <w:t>Resoluciones</w:t>
                                  </w:r>
                                </w:p>
                              </w:txbxContent>
                            </wps:txbx>
                            <wps:bodyPr wrap="square" rtlCol="0" anchor="ctr"/>
                          </wps:wsp>
                          <wps:wsp>
                            <wps:cNvPr id="329" name="Rectangle: Rounded Corners 12"/>
                            <wps:cNvSpPr/>
                            <wps:spPr>
                              <a:xfrm>
                                <a:off x="539307" y="308943"/>
                                <a:ext cx="954000" cy="525600"/>
                              </a:xfrm>
                              <a:prstGeom prst="roundRect">
                                <a:avLst/>
                              </a:prstGeom>
                              <a:solidFill>
                                <a:sysClr val="window" lastClr="FFFFFF"/>
                              </a:solidFill>
                              <a:ln w="12700" cap="flat" cmpd="sng" algn="ctr">
                                <a:noFill/>
                                <a:prstDash val="solid"/>
                                <a:miter lim="800000"/>
                              </a:ln>
                              <a:effectLst/>
                            </wps:spPr>
                            <wps:txbx>
                              <w:txbxContent>
                                <w:p w14:paraId="01B07C2B" w14:textId="77777777" w:rsidR="004F6F3E" w:rsidRPr="00E42AA3" w:rsidRDefault="004F6F3E" w:rsidP="00133FCF">
                                  <w:pPr>
                                    <w:spacing w:before="0"/>
                                    <w:jc w:val="center"/>
                                    <w:rPr>
                                      <w:rFonts w:hAnsi="Calibri" w:cs="Arial"/>
                                      <w:color w:val="215EAC"/>
                                      <w:kern w:val="24"/>
                                      <w:szCs w:val="24"/>
                                      <w:lang w:val="es-ES"/>
                                    </w:rPr>
                                  </w:pPr>
                                  <w:r>
                                    <w:rPr>
                                      <w:rFonts w:hAnsi="Calibri" w:cs="Arial"/>
                                      <w:color w:val="215EAC"/>
                                      <w:kern w:val="24"/>
                                      <w:szCs w:val="24"/>
                                      <w:lang w:val="es-ES"/>
                                    </w:rPr>
                                    <w:t>Iniciativas regionales</w:t>
                                  </w:r>
                                </w:p>
                              </w:txbxContent>
                            </wps:txbx>
                            <wps:bodyPr wrap="square" rtlCol="0" anchor="ctr">
                              <a:noAutofit/>
                            </wps:bodyPr>
                          </wps:wsp>
                          <wps:wsp>
                            <wps:cNvPr id="344" name="Rectangle: Rounded Corners 13"/>
                            <wps:cNvSpPr/>
                            <wps:spPr>
                              <a:xfrm>
                                <a:off x="2789526" y="316895"/>
                                <a:ext cx="964800" cy="525600"/>
                              </a:xfrm>
                              <a:prstGeom prst="roundRect">
                                <a:avLst/>
                              </a:prstGeom>
                              <a:solidFill>
                                <a:sysClr val="window" lastClr="FFFFFF"/>
                              </a:solidFill>
                              <a:ln w="12700" cap="flat" cmpd="sng" algn="ctr">
                                <a:noFill/>
                                <a:prstDash val="solid"/>
                                <a:miter lim="800000"/>
                              </a:ln>
                              <a:effectLst/>
                            </wps:spPr>
                            <wps:txbx>
                              <w:txbxContent>
                                <w:p w14:paraId="6C63D4F6" w14:textId="77777777" w:rsidR="004F6F3E" w:rsidRPr="00E42AA3" w:rsidRDefault="004F6F3E" w:rsidP="00133FCF">
                                  <w:pPr>
                                    <w:spacing w:before="0"/>
                                    <w:jc w:val="center"/>
                                    <w:rPr>
                                      <w:rFonts w:hAnsi="Calibri" w:cs="Arial"/>
                                      <w:color w:val="215EAC"/>
                                      <w:kern w:val="24"/>
                                      <w:szCs w:val="24"/>
                                      <w:lang w:val="es-ES"/>
                                    </w:rPr>
                                  </w:pPr>
                                  <w:r>
                                    <w:rPr>
                                      <w:rFonts w:hAnsi="Calibri" w:cs="Arial"/>
                                      <w:color w:val="215EAC"/>
                                      <w:kern w:val="24"/>
                                      <w:szCs w:val="24"/>
                                      <w:lang w:val="es-ES"/>
                                    </w:rPr>
                                    <w:t>Comisiones de Estudio</w:t>
                                  </w:r>
                                </w:p>
                              </w:txbxContent>
                            </wps:txbx>
                            <wps:bodyPr wrap="square" rtlCol="0" anchor="ctr">
                              <a:noAutofit/>
                            </wps:bodyPr>
                          </wps:wsp>
                          <wps:wsp>
                            <wps:cNvPr id="345" name="TextBox 15"/>
                            <wps:cNvSpPr txBox="1"/>
                            <wps:spPr>
                              <a:xfrm>
                                <a:off x="1151558" y="881438"/>
                                <a:ext cx="2019935" cy="344806"/>
                              </a:xfrm>
                              <a:prstGeom prst="rect">
                                <a:avLst/>
                              </a:prstGeom>
                              <a:noFill/>
                            </wps:spPr>
                            <wps:txbx>
                              <w:txbxContent>
                                <w:p w14:paraId="58D47F2C" w14:textId="77777777" w:rsidR="004F6F3E" w:rsidRPr="00A8269E" w:rsidRDefault="004F6F3E" w:rsidP="00133FCF">
                                  <w:pPr>
                                    <w:spacing w:before="0"/>
                                    <w:jc w:val="center"/>
                                    <w:rPr>
                                      <w:rFonts w:hAnsi="Calibri" w:cs="Arial"/>
                                      <w:color w:val="FFFFFF"/>
                                      <w:kern w:val="24"/>
                                      <w:sz w:val="28"/>
                                      <w:szCs w:val="28"/>
                                      <w:lang w:val="es-ES"/>
                                    </w:rPr>
                                  </w:pPr>
                                  <w:r w:rsidRPr="00A8269E">
                                    <w:rPr>
                                      <w:rFonts w:hAnsi="Calibri" w:cs="Arial"/>
                                      <w:color w:val="FFFFFF"/>
                                      <w:kern w:val="24"/>
                                      <w:sz w:val="28"/>
                                      <w:szCs w:val="28"/>
                                      <w:lang w:val="es-ES"/>
                                    </w:rPr>
                                    <w:t>Miembros del UIT-D</w:t>
                                  </w:r>
                                </w:p>
                              </w:txbxContent>
                            </wps:txbx>
                            <wps:bodyPr wrap="square" rtlCol="0">
                              <a:noAutofit/>
                            </wps:bodyPr>
                          </wps:wsp>
                        </wpg:grpSp>
                      </wpg:grpSp>
                      <wpg:grpSp>
                        <wpg:cNvPr id="122" name="Group 122"/>
                        <wpg:cNvGrpSpPr/>
                        <wpg:grpSpPr>
                          <a:xfrm>
                            <a:off x="723569" y="0"/>
                            <a:ext cx="5320109" cy="946068"/>
                            <a:chOff x="0" y="0"/>
                            <a:chExt cx="5320109" cy="946068"/>
                          </a:xfrm>
                        </wpg:grpSpPr>
                        <wpg:grpSp>
                          <wpg:cNvPr id="505" name="Group 505"/>
                          <wpg:cNvGrpSpPr/>
                          <wpg:grpSpPr>
                            <a:xfrm>
                              <a:off x="429371" y="500933"/>
                              <a:ext cx="2030730" cy="445135"/>
                              <a:chOff x="0" y="0"/>
                              <a:chExt cx="2030730" cy="445135"/>
                            </a:xfrm>
                          </wpg:grpSpPr>
                          <wps:wsp>
                            <wps:cNvPr id="346" name="Arrow: Right 16"/>
                            <wps:cNvSpPr/>
                            <wps:spPr>
                              <a:xfrm rot="16200000">
                                <a:off x="792797" y="-792797"/>
                                <a:ext cx="445135" cy="2030730"/>
                              </a:xfrm>
                              <a:prstGeom prst="rightArrow">
                                <a:avLst>
                                  <a:gd name="adj1" fmla="val 80392"/>
                                  <a:gd name="adj2" fmla="val 50000"/>
                                </a:avLst>
                              </a:prstGeom>
                              <a:solidFill>
                                <a:sysClr val="window" lastClr="FFFFFF">
                                  <a:lumMod val="75000"/>
                                </a:sysClr>
                              </a:solidFill>
                              <a:ln w="12700" cap="flat" cmpd="sng" algn="ctr">
                                <a:noFill/>
                                <a:prstDash val="solid"/>
                                <a:miter lim="800000"/>
                              </a:ln>
                              <a:effectLst/>
                            </wps:spPr>
                            <wps:bodyPr rtlCol="0" anchor="ctr"/>
                          </wps:wsp>
                          <wps:wsp>
                            <wps:cNvPr id="347" name="TextBox 17"/>
                            <wps:cNvSpPr txBox="1"/>
                            <wps:spPr>
                              <a:xfrm>
                                <a:off x="188860" y="157293"/>
                                <a:ext cx="1612900" cy="277495"/>
                              </a:xfrm>
                              <a:prstGeom prst="rect">
                                <a:avLst/>
                              </a:prstGeom>
                              <a:noFill/>
                            </wps:spPr>
                            <wps:txbx>
                              <w:txbxContent>
                                <w:p w14:paraId="37FBB90A" w14:textId="77777777" w:rsidR="004F6F3E" w:rsidRPr="00A768CE" w:rsidRDefault="004F6F3E" w:rsidP="00133FCF">
                                  <w:pPr>
                                    <w:spacing w:before="0"/>
                                    <w:jc w:val="center"/>
                                    <w:rPr>
                                      <w:rFonts w:hAnsi="Calibri" w:cs="Arial"/>
                                      <w:color w:val="FFFFFF"/>
                                      <w:kern w:val="24"/>
                                      <w:szCs w:val="28"/>
                                      <w:lang w:val="es-ES"/>
                                    </w:rPr>
                                  </w:pPr>
                                  <w:r w:rsidRPr="0052521B">
                                    <w:rPr>
                                      <w:rFonts w:hAnsi="Calibri" w:cs="Arial"/>
                                      <w:color w:val="FFFFFF"/>
                                      <w:kern w:val="24"/>
                                      <w:szCs w:val="28"/>
                                      <w:lang w:val="es-ES"/>
                                    </w:rPr>
                                    <w:t>Contribución del UIT-D</w:t>
                                  </w:r>
                                </w:p>
                              </w:txbxContent>
                            </wps:txbx>
                            <wps:bodyPr wrap="square" rtlCol="0">
                              <a:spAutoFit/>
                            </wps:bodyPr>
                          </wps:wsp>
                        </wpg:grpSp>
                        <wpg:grpSp>
                          <wpg:cNvPr id="506" name="Group 506"/>
                          <wpg:cNvGrpSpPr/>
                          <wpg:grpSpPr>
                            <a:xfrm>
                              <a:off x="0" y="0"/>
                              <a:ext cx="5320109" cy="500399"/>
                              <a:chOff x="-1" y="-15921"/>
                              <a:chExt cx="5320474" cy="500494"/>
                            </a:xfrm>
                          </wpg:grpSpPr>
                          <wps:wsp>
                            <wps:cNvPr id="260" name="Rectangle: Rounded Corners 1"/>
                            <wps:cNvSpPr/>
                            <wps:spPr>
                              <a:xfrm>
                                <a:off x="-1" y="0"/>
                                <a:ext cx="2408565" cy="399675"/>
                              </a:xfrm>
                              <a:prstGeom prst="roundRect">
                                <a:avLst/>
                              </a:prstGeom>
                              <a:solidFill>
                                <a:srgbClr val="F9423A"/>
                              </a:solidFill>
                              <a:ln w="12700" cap="flat" cmpd="sng" algn="ctr">
                                <a:noFill/>
                                <a:prstDash val="solid"/>
                                <a:miter lim="800000"/>
                              </a:ln>
                              <a:effectLst/>
                            </wps:spPr>
                            <wps:txbx>
                              <w:txbxContent>
                                <w:p w14:paraId="5FE1F660" w14:textId="77777777" w:rsidR="004F6F3E" w:rsidRPr="009505DE" w:rsidRDefault="004F6F3E" w:rsidP="00133FCF">
                                  <w:pPr>
                                    <w:spacing w:before="0"/>
                                    <w:jc w:val="center"/>
                                    <w:rPr>
                                      <w:rFonts w:hAnsi="Calibri" w:cs="Arial"/>
                                      <w:color w:val="FFFFFF"/>
                                      <w:kern w:val="24"/>
                                      <w:sz w:val="28"/>
                                      <w:szCs w:val="28"/>
                                      <w:lang w:val="es-ES"/>
                                    </w:rPr>
                                  </w:pPr>
                                  <w:r w:rsidRPr="009505DE">
                                    <w:rPr>
                                      <w:rFonts w:hAnsi="Calibri" w:cs="Arial"/>
                                      <w:color w:val="FFFFFF"/>
                                      <w:kern w:val="24"/>
                                      <w:sz w:val="28"/>
                                      <w:szCs w:val="28"/>
                                      <w:lang w:val="es-ES"/>
                                    </w:rPr>
                                    <w:t>Plan Estratégico de la UIT</w:t>
                                  </w:r>
                                </w:p>
                              </w:txbxContent>
                            </wps:txbx>
                            <wps:bodyPr wrap="square" rtlCol="0" anchor="ctr">
                              <a:noAutofit/>
                            </wps:bodyPr>
                          </wps:wsp>
                          <wps:wsp>
                            <wps:cNvPr id="272" name="Rectangle: Rounded Corners 8"/>
                            <wps:cNvSpPr/>
                            <wps:spPr>
                              <a:xfrm>
                                <a:off x="3729164" y="-15921"/>
                                <a:ext cx="1591309" cy="500494"/>
                              </a:xfrm>
                              <a:prstGeom prst="roundRect">
                                <a:avLst/>
                              </a:prstGeom>
                              <a:solidFill>
                                <a:srgbClr val="00B0F0"/>
                              </a:solidFill>
                              <a:ln w="12700" cap="flat" cmpd="sng" algn="ctr">
                                <a:noFill/>
                                <a:prstDash val="solid"/>
                                <a:miter lim="800000"/>
                              </a:ln>
                              <a:effectLst/>
                            </wps:spPr>
                            <wps:txbx>
                              <w:txbxContent>
                                <w:p w14:paraId="24E325CF" w14:textId="77777777" w:rsidR="004F6F3E" w:rsidRPr="00A768CE" w:rsidRDefault="004F6F3E" w:rsidP="00133FCF">
                                  <w:pPr>
                                    <w:spacing w:before="0"/>
                                    <w:jc w:val="center"/>
                                    <w:rPr>
                                      <w:rFonts w:hAnsi="Calibri" w:cs="Arial"/>
                                      <w:color w:val="FFFFFF"/>
                                      <w:kern w:val="24"/>
                                      <w:szCs w:val="24"/>
                                      <w:lang w:val="es-ES"/>
                                    </w:rPr>
                                  </w:pPr>
                                  <w:r w:rsidRPr="00A768CE">
                                    <w:rPr>
                                      <w:rFonts w:hAnsi="Calibri" w:cs="Arial"/>
                                      <w:color w:val="FFFFFF"/>
                                      <w:kern w:val="24"/>
                                      <w:szCs w:val="24"/>
                                      <w:lang w:val="es-ES"/>
                                    </w:rPr>
                                    <w:t>ODS y Líneas de Acción de la CMSI</w:t>
                                  </w:r>
                                </w:p>
                              </w:txbxContent>
                            </wps:txbx>
                            <wps:bodyPr wrap="square" rtlCol="0" anchor="ctr">
                              <a:noAutofit/>
                            </wps:bodyPr>
                          </wps:wsp>
                          <wps:wsp>
                            <wps:cNvPr id="348" name="Arrow: Right 18"/>
                            <wps:cNvSpPr/>
                            <wps:spPr>
                              <a:xfrm>
                                <a:off x="2449003" y="-15904"/>
                                <a:ext cx="1238484" cy="468088"/>
                              </a:xfrm>
                              <a:prstGeom prst="rightArrow">
                                <a:avLst>
                                  <a:gd name="adj1" fmla="val 59595"/>
                                  <a:gd name="adj2" fmla="val 50000"/>
                                </a:avLst>
                              </a:prstGeom>
                              <a:solidFill>
                                <a:sysClr val="window" lastClr="FFFFFF">
                                  <a:lumMod val="75000"/>
                                </a:sysClr>
                              </a:solidFill>
                              <a:ln w="12700" cap="flat" cmpd="sng" algn="ctr">
                                <a:noFill/>
                                <a:prstDash val="solid"/>
                                <a:miter lim="800000"/>
                              </a:ln>
                              <a:effectLst/>
                            </wps:spPr>
                            <wps:txbx>
                              <w:txbxContent>
                                <w:p w14:paraId="3D4C0923" w14:textId="77777777" w:rsidR="004F6F3E" w:rsidRPr="00A768CE" w:rsidRDefault="004F6F3E" w:rsidP="00133FCF">
                                  <w:pPr>
                                    <w:spacing w:before="0"/>
                                    <w:jc w:val="center"/>
                                    <w:rPr>
                                      <w:rFonts w:hAnsi="Calibri" w:cs="Arial"/>
                                      <w:color w:val="FFFFFF"/>
                                      <w:kern w:val="24"/>
                                      <w:szCs w:val="24"/>
                                      <w:lang w:val="es-ES"/>
                                    </w:rPr>
                                  </w:pPr>
                                  <w:r w:rsidRPr="00A768CE">
                                    <w:rPr>
                                      <w:rFonts w:hAnsi="Calibri" w:cs="Arial"/>
                                      <w:color w:val="FFFFFF"/>
                                      <w:kern w:val="24"/>
                                      <w:szCs w:val="24"/>
                                      <w:lang w:val="es-ES"/>
                                    </w:rPr>
                                    <w:t>Lograr</w:t>
                                  </w:r>
                                </w:p>
                              </w:txbxContent>
                            </wps:txbx>
                            <wps:bodyPr wrap="square" rtlCol="0" anchor="ctr">
                              <a:noAutofit/>
                            </wps:bodyPr>
                          </wps:wsp>
                        </wpg:grpSp>
                      </wpg:grpSp>
                    </wpg:wgp>
                  </a:graphicData>
                </a:graphic>
              </wp:inline>
            </w:drawing>
          </mc:Choice>
          <mc:Fallback>
            <w:pict>
              <v:group w14:anchorId="2D3CB91E" id="Group 237" o:spid="_x0000_s1026" style="width:475.9pt;height:344.35pt;mso-position-horizontal-relative:char;mso-position-vertical-relative:line" coordsize="60436,4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">
                <v:roundrect id="Rectangle: Rounded Corners 3" o:spid="_x0000_s1027" style="position:absolute;left:79;top:9621;width:43498;height:341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" fillcolor="#215eac" stroked="f" strokeweight="1pt">
                  <v:stroke joinstyle="miter"/>
                  <v:textbox>
                    <w:txbxContent>
                      <w:p w14:paraId="04E0794C" w14:textId="77777777" w:rsidR="004F6F3E" w:rsidRPr="009505DE" w:rsidRDefault="004F6F3E" w:rsidP="00133FCF">
                        <w:pPr>
                          <w:spacing w:before="0"/>
                          <w:jc w:val="center"/>
                          <w:rPr>
                            <w:rFonts w:hAnsi="Calibri" w:cs="Arial"/>
                            <w:color w:val="FFFFFF"/>
                            <w:kern w:val="24"/>
                            <w:sz w:val="28"/>
                            <w:szCs w:val="28"/>
                            <w:lang w:val="es-ES"/>
                          </w:rPr>
                        </w:pPr>
                        <w:r w:rsidRPr="009505DE">
                          <w:rPr>
                            <w:rFonts w:hAnsi="Calibri" w:cs="Arial"/>
                            <w:color w:val="FFFFFF"/>
                            <w:kern w:val="24"/>
                            <w:sz w:val="28"/>
                            <w:szCs w:val="28"/>
                            <w:lang w:val="es-ES"/>
                          </w:rPr>
                          <w:t>Plan de Acción de la CMDT</w:t>
                        </w:r>
                      </w:p>
                      <w:p w14:paraId="329A0A83" w14:textId="3D52713B" w:rsidR="004F6F3E" w:rsidRPr="00A768CE" w:rsidRDefault="004F6F3E" w:rsidP="00133FCF">
                        <w:pPr>
                          <w:spacing w:before="0"/>
                          <w:jc w:val="center"/>
                          <w:rPr>
                            <w:rFonts w:hAnsi="Calibri" w:cs="Arial"/>
                            <w:i/>
                            <w:iCs/>
                            <w:color w:val="FFFFFF"/>
                            <w:kern w:val="24"/>
                            <w:szCs w:val="28"/>
                            <w:lang w:val="es-ES"/>
                          </w:rPr>
                        </w:pPr>
                        <w:r>
                          <w:rPr>
                            <w:rFonts w:hAnsi="Calibri" w:cs="Arial"/>
                            <w:i/>
                            <w:iCs/>
                            <w:color w:val="FFFFFF"/>
                            <w:kern w:val="24"/>
                            <w:szCs w:val="28"/>
                            <w:lang w:val="es-ES"/>
                          </w:rPr>
                          <w:t>El UIT</w:t>
                        </w:r>
                        <w:r w:rsidRPr="00997147">
                          <w:rPr>
                            <w:rFonts w:hAnsi="Calibri" w:cs="Arial"/>
                            <w:i/>
                            <w:iCs/>
                            <w:color w:val="FFFFFF"/>
                            <w:kern w:val="24"/>
                            <w:szCs w:val="28"/>
                            <w:lang w:val="es-ES"/>
                          </w:rPr>
                          <w:t xml:space="preserve">-D </w:t>
                        </w:r>
                        <w:r>
                          <w:rPr>
                            <w:rFonts w:hAnsi="Calibri" w:cs="Arial"/>
                            <w:i/>
                            <w:iCs/>
                            <w:color w:val="FFFFFF"/>
                            <w:kern w:val="24"/>
                            <w:szCs w:val="28"/>
                            <w:lang w:val="es-ES"/>
                          </w:rPr>
                          <w:t>contribuye a</w:t>
                        </w:r>
                        <w:r w:rsidRPr="00997147">
                          <w:rPr>
                            <w:rFonts w:hAnsi="Calibri" w:cs="Arial"/>
                            <w:i/>
                            <w:iCs/>
                            <w:color w:val="FFFFFF"/>
                            <w:kern w:val="24"/>
                            <w:szCs w:val="28"/>
                            <w:lang w:val="es-ES"/>
                          </w:rPr>
                          <w:t xml:space="preserve"> </w:t>
                        </w:r>
                        <w:r>
                          <w:rPr>
                            <w:rFonts w:hAnsi="Calibri" w:cs="Arial"/>
                            <w:i/>
                            <w:iCs/>
                            <w:color w:val="FFFFFF"/>
                            <w:kern w:val="24"/>
                            <w:szCs w:val="28"/>
                            <w:lang w:val="es-ES"/>
                          </w:rPr>
                          <w:t xml:space="preserve">[3 </w:t>
                        </w:r>
                        <w:proofErr w:type="spellStart"/>
                        <w:r w:rsidR="005B36F4">
                          <w:rPr>
                            <w:rFonts w:hAnsi="Calibri" w:cs="Arial"/>
                            <w:i/>
                            <w:iCs/>
                            <w:color w:val="FFFFFF"/>
                            <w:kern w:val="24"/>
                            <w:szCs w:val="28"/>
                            <w:lang w:val="es-ES"/>
                          </w:rPr>
                          <w:t>ó</w:t>
                        </w:r>
                        <w:proofErr w:type="spellEnd"/>
                        <w:r>
                          <w:rPr>
                            <w:rFonts w:hAnsi="Calibri" w:cs="Arial"/>
                            <w:i/>
                            <w:iCs/>
                            <w:color w:val="FFFFFF"/>
                            <w:kern w:val="24"/>
                            <w:szCs w:val="28"/>
                            <w:lang w:val="es-ES"/>
                          </w:rPr>
                          <w:t xml:space="preserve"> </w:t>
                        </w:r>
                        <w:r w:rsidRPr="00A768CE">
                          <w:rPr>
                            <w:rFonts w:hAnsi="Calibri" w:cs="Arial"/>
                            <w:i/>
                            <w:iCs/>
                            <w:color w:val="FFFFFF"/>
                            <w:kern w:val="24"/>
                            <w:szCs w:val="28"/>
                            <w:lang w:val="es-ES"/>
                          </w:rPr>
                          <w:t>4</w:t>
                        </w:r>
                        <w:r>
                          <w:rPr>
                            <w:rFonts w:hAnsi="Calibri" w:cs="Arial"/>
                            <w:i/>
                            <w:iCs/>
                            <w:color w:val="FFFFFF"/>
                            <w:kern w:val="24"/>
                            <w:szCs w:val="28"/>
                            <w:lang w:val="es-ES"/>
                          </w:rPr>
                          <w:t>]</w:t>
                        </w:r>
                        <w:r w:rsidRPr="00A768CE">
                          <w:rPr>
                            <w:rFonts w:hAnsi="Calibri" w:cs="Arial"/>
                            <w:i/>
                            <w:iCs/>
                            <w:color w:val="FFFFFF"/>
                            <w:kern w:val="24"/>
                            <w:szCs w:val="28"/>
                            <w:lang w:val="es-ES"/>
                          </w:rPr>
                          <w:t xml:space="preserve"> prioridades temáticas</w:t>
                        </w:r>
                      </w:p>
                    </w:txbxContent>
                  </v:textbox>
                </v:roundrect>
                <v:group id="Group 508" o:spid="_x0000_s1028" style="position:absolute;top:17174;width:43084;height:25299" coordsize="43084,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oundrect id="Rectangle: Rounded Corners 4" o:spid="_x0000_s1029" style="position:absolute;left:1828;width:18796;height:5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" fillcolor="window" stroked="f" strokeweight="1pt">
                    <v:stroke joinstyle="miter"/>
                    <v:textbox>
                      <w:txbxContent>
                        <w:p w14:paraId="32579872" w14:textId="77777777" w:rsidR="004F6F3E" w:rsidRPr="00A768CE" w:rsidRDefault="004F6F3E" w:rsidP="00133FCF">
                          <w:pPr>
                            <w:spacing w:before="0"/>
                            <w:jc w:val="center"/>
                            <w:rPr>
                              <w:rFonts w:hAnsi="Calibri" w:cs="Arial"/>
                              <w:color w:val="215EAC"/>
                              <w:kern w:val="24"/>
                              <w:szCs w:val="24"/>
                              <w:lang w:val="es-ES"/>
                            </w:rPr>
                          </w:pPr>
                          <w:r w:rsidRPr="00997147">
                            <w:rPr>
                              <w:rFonts w:hAnsi="Calibri" w:cs="Arial"/>
                              <w:color w:val="215EAC"/>
                              <w:kern w:val="24"/>
                              <w:szCs w:val="24"/>
                              <w:lang w:val="es-ES"/>
                            </w:rPr>
                            <w:t xml:space="preserve">Infraestructura </w:t>
                          </w:r>
                          <w:r>
                            <w:rPr>
                              <w:rFonts w:hAnsi="Calibri" w:cs="Arial"/>
                              <w:color w:val="215EAC"/>
                              <w:kern w:val="24"/>
                              <w:szCs w:val="24"/>
                              <w:lang w:val="es-ES"/>
                            </w:rPr>
                            <w:t>y</w:t>
                          </w:r>
                          <w:r w:rsidRPr="00997147">
                            <w:rPr>
                              <w:rFonts w:hAnsi="Calibri" w:cs="Arial"/>
                              <w:color w:val="215EAC"/>
                              <w:kern w:val="24"/>
                              <w:szCs w:val="24"/>
                              <w:lang w:val="es-ES"/>
                            </w:rPr>
                            <w:t xml:space="preserve"> servic</w:t>
                          </w:r>
                          <w:r>
                            <w:rPr>
                              <w:rFonts w:hAnsi="Calibri" w:cs="Arial"/>
                              <w:color w:val="215EAC"/>
                              <w:kern w:val="24"/>
                              <w:szCs w:val="24"/>
                              <w:lang w:val="es-ES"/>
                            </w:rPr>
                            <w:t>io</w:t>
                          </w:r>
                          <w:r w:rsidRPr="00997147">
                            <w:rPr>
                              <w:rFonts w:hAnsi="Calibri" w:cs="Arial"/>
                              <w:color w:val="215EAC"/>
                              <w:kern w:val="24"/>
                              <w:szCs w:val="24"/>
                              <w:lang w:val="es-ES"/>
                            </w:rPr>
                            <w:t>s</w:t>
                          </w:r>
                        </w:p>
                      </w:txbxContent>
                    </v:textbox>
                  </v:roundrect>
                  <v:roundrect id="Rectangle: Rounded Corners 5" o:spid="_x0000_s1030" style="position:absolute;left:22661;top:79;width:18923;height:5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" fillcolor="window" stroked="f" strokeweight="1pt">
                    <v:stroke joinstyle="miter"/>
                    <v:textbox>
                      <w:txbxContent>
                        <w:p w14:paraId="7D835BE8" w14:textId="77777777" w:rsidR="004F6F3E" w:rsidRPr="00A768CE" w:rsidRDefault="004F6F3E" w:rsidP="00133FCF">
                          <w:pPr>
                            <w:spacing w:before="0"/>
                            <w:jc w:val="center"/>
                            <w:rPr>
                              <w:rFonts w:hAnsi="Calibri" w:cs="Arial"/>
                              <w:color w:val="215EAC"/>
                              <w:kern w:val="24"/>
                              <w:szCs w:val="24"/>
                              <w:lang w:val="es-ES"/>
                            </w:rPr>
                          </w:pPr>
                          <w:r w:rsidRPr="00997147">
                            <w:rPr>
                              <w:rFonts w:hAnsi="Calibri" w:cs="Arial"/>
                              <w:color w:val="215EAC"/>
                              <w:kern w:val="24"/>
                              <w:szCs w:val="24"/>
                              <w:lang w:val="es-ES"/>
                            </w:rPr>
                            <w:t>Aplica</w:t>
                          </w:r>
                          <w:r>
                            <w:rPr>
                              <w:rFonts w:hAnsi="Calibri" w:cs="Arial"/>
                              <w:color w:val="215EAC"/>
                              <w:kern w:val="24"/>
                              <w:szCs w:val="24"/>
                              <w:lang w:val="es-ES"/>
                            </w:rPr>
                            <w:t>c</w:t>
                          </w:r>
                          <w:r w:rsidRPr="00997147">
                            <w:rPr>
                              <w:rFonts w:hAnsi="Calibri" w:cs="Arial"/>
                              <w:color w:val="215EAC"/>
                              <w:kern w:val="24"/>
                              <w:szCs w:val="24"/>
                              <w:lang w:val="es-ES"/>
                            </w:rPr>
                            <w:t>ion</w:t>
                          </w:r>
                          <w:r>
                            <w:rPr>
                              <w:rFonts w:hAnsi="Calibri" w:cs="Arial"/>
                              <w:color w:val="215EAC"/>
                              <w:kern w:val="24"/>
                              <w:szCs w:val="24"/>
                              <w:lang w:val="es-ES"/>
                            </w:rPr>
                            <w:t>e</w:t>
                          </w:r>
                          <w:r w:rsidRPr="00997147">
                            <w:rPr>
                              <w:rFonts w:hAnsi="Calibri" w:cs="Arial"/>
                              <w:color w:val="215EAC"/>
                              <w:kern w:val="24"/>
                              <w:szCs w:val="24"/>
                              <w:lang w:val="es-ES"/>
                            </w:rPr>
                            <w:t>s</w:t>
                          </w:r>
                        </w:p>
                      </w:txbxContent>
                    </v:textbox>
                  </v:roundrect>
                  <v:roundrect id="Rectangle: Rounded Corners 6" o:spid="_x0000_s1031" style="position:absolute;left:1987;top:6758;width:18504;height:5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" fillcolor="window" stroked="f" strokeweight="1pt">
                    <v:stroke joinstyle="miter"/>
                    <v:textbox>
                      <w:txbxContent>
                        <w:p w14:paraId="7D6A5339" w14:textId="77777777" w:rsidR="004F6F3E" w:rsidRPr="00A768CE" w:rsidRDefault="004F6F3E" w:rsidP="00133FCF">
                          <w:pPr>
                            <w:spacing w:before="0"/>
                            <w:jc w:val="center"/>
                            <w:rPr>
                              <w:rFonts w:hAnsi="Calibri" w:cs="Arial"/>
                              <w:color w:val="215EAC"/>
                              <w:kern w:val="24"/>
                              <w:szCs w:val="24"/>
                              <w:lang w:val="es-ES"/>
                            </w:rPr>
                          </w:pPr>
                          <w:r>
                            <w:rPr>
                              <w:rFonts w:hAnsi="Calibri" w:cs="Arial"/>
                              <w:color w:val="215EAC"/>
                              <w:kern w:val="24"/>
                              <w:szCs w:val="24"/>
                              <w:lang w:val="es-ES"/>
                            </w:rPr>
                            <w:t>Entorno propicio</w:t>
                          </w:r>
                        </w:p>
                      </w:txbxContent>
                    </v:textbox>
                  </v:roundrect>
                  <v:roundrect id="Rectangle: Rounded Corners 7" o:spid="_x0000_s1032" style="position:absolute;left:22581;top:6758;width:19080;height:5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" fillcolor="window" stroked="f" strokeweight="1pt">
                    <v:stroke joinstyle="miter"/>
                    <v:textbox>
                      <w:txbxContent>
                        <w:p w14:paraId="076C7E66" w14:textId="77777777" w:rsidR="004F6F3E" w:rsidRPr="00A768CE" w:rsidRDefault="004F6F3E" w:rsidP="00133FCF">
                          <w:pPr>
                            <w:spacing w:before="0"/>
                            <w:jc w:val="center"/>
                            <w:rPr>
                              <w:rFonts w:hAnsi="Calibri" w:cs="Arial"/>
                              <w:color w:val="215EAC"/>
                              <w:kern w:val="24"/>
                              <w:szCs w:val="24"/>
                              <w:lang w:val="es-ES"/>
                            </w:rPr>
                          </w:pPr>
                          <w:r w:rsidRPr="00997147">
                            <w:rPr>
                              <w:rFonts w:hAnsi="Calibri" w:cs="Arial"/>
                              <w:color w:val="215EAC"/>
                              <w:kern w:val="24"/>
                              <w:szCs w:val="24"/>
                              <w:highlight w:val="yellow"/>
                              <w:lang w:val="es-ES"/>
                            </w:rPr>
                            <w:t>[</w:t>
                          </w:r>
                          <w:r>
                            <w:rPr>
                              <w:rFonts w:hAnsi="Calibri" w:cs="Arial"/>
                              <w:color w:val="215EAC"/>
                              <w:kern w:val="24"/>
                              <w:szCs w:val="24"/>
                              <w:highlight w:val="yellow"/>
                              <w:lang w:val="es-ES"/>
                            </w:rPr>
                            <w:t>Ciberseguridad</w:t>
                          </w:r>
                          <w:r w:rsidRPr="00997147">
                            <w:rPr>
                              <w:rFonts w:hAnsi="Calibri" w:cs="Arial"/>
                              <w:color w:val="215EAC"/>
                              <w:kern w:val="24"/>
                              <w:szCs w:val="24"/>
                              <w:highlight w:val="yellow"/>
                              <w:lang w:val="es-ES"/>
                            </w:rPr>
                            <w:t>]</w:t>
                          </w:r>
                        </w:p>
                      </w:txbxContent>
                    </v:textbox>
                  </v:roundrect>
                  <v:group id="Group 51" o:spid="_x0000_s1033" style="position:absolute;top:12563;width:43084;height:12739" coordorigin=",-477" coordsize="43084,1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34" type="#_x0000_t13" style="position:absolute;left:15265;top:-15742;width:12553;height:430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" adj="14341,2118" fillcolor="#bfbfbf" stroked="f" strokeweight="1pt"/>
                    <v:roundrect id="Rectangle: Rounded Corners 11" o:spid="_x0000_s1035" style="position:absolute;left:15729;top:3168;width:11240;height:5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" fillcolor="window" stroked="f" strokeweight="1pt">
                      <v:stroke joinstyle="miter"/>
                      <v:textbox>
                        <w:txbxContent>
                          <w:p w14:paraId="0DC88BF9" w14:textId="77777777" w:rsidR="004F6F3E" w:rsidRPr="00E42AA3" w:rsidRDefault="004F6F3E" w:rsidP="00133FCF">
                            <w:pPr>
                              <w:spacing w:before="0"/>
                              <w:jc w:val="center"/>
                              <w:rPr>
                                <w:rFonts w:hAnsi="Calibri" w:cs="Arial"/>
                                <w:color w:val="215EAC"/>
                                <w:kern w:val="24"/>
                                <w:szCs w:val="24"/>
                                <w:lang w:val="es-ES"/>
                              </w:rPr>
                            </w:pPr>
                            <w:r w:rsidRPr="00E42AA3">
                              <w:rPr>
                                <w:rFonts w:hAnsi="Calibri" w:cs="Arial"/>
                                <w:color w:val="215EAC"/>
                                <w:kern w:val="24"/>
                                <w:szCs w:val="24"/>
                                <w:lang w:val="es-ES"/>
                              </w:rPr>
                              <w:t>Resoluciones</w:t>
                            </w:r>
                          </w:p>
                        </w:txbxContent>
                      </v:textbox>
                    </v:roundrect>
                    <v:roundrect id="Rectangle: Rounded Corners 12" o:spid="_x0000_s1036" style="position:absolute;left:5393;top:3089;width:9540;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" fillcolor="window" stroked="f" strokeweight="1pt">
                      <v:stroke joinstyle="miter"/>
                      <v:textbox>
                        <w:txbxContent>
                          <w:p w14:paraId="01B07C2B" w14:textId="77777777" w:rsidR="004F6F3E" w:rsidRPr="00E42AA3" w:rsidRDefault="004F6F3E" w:rsidP="00133FCF">
                            <w:pPr>
                              <w:spacing w:before="0"/>
                              <w:jc w:val="center"/>
                              <w:rPr>
                                <w:rFonts w:hAnsi="Calibri" w:cs="Arial"/>
                                <w:color w:val="215EAC"/>
                                <w:kern w:val="24"/>
                                <w:szCs w:val="24"/>
                                <w:lang w:val="es-ES"/>
                              </w:rPr>
                            </w:pPr>
                            <w:r>
                              <w:rPr>
                                <w:rFonts w:hAnsi="Calibri" w:cs="Arial"/>
                                <w:color w:val="215EAC"/>
                                <w:kern w:val="24"/>
                                <w:szCs w:val="24"/>
                                <w:lang w:val="es-ES"/>
                              </w:rPr>
                              <w:t>Iniciativas regionales</w:t>
                            </w:r>
                          </w:p>
                        </w:txbxContent>
                      </v:textbox>
                    </v:roundrect>
                    <v:roundrect id="Rectangle: Rounded Corners 13" o:spid="_x0000_s1037" style="position:absolute;left:27895;top:3168;width:9648;height:52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" fillcolor="window" stroked="f" strokeweight="1pt">
                      <v:stroke joinstyle="miter"/>
                      <v:textbox>
                        <w:txbxContent>
                          <w:p w14:paraId="6C63D4F6" w14:textId="77777777" w:rsidR="004F6F3E" w:rsidRPr="00E42AA3" w:rsidRDefault="004F6F3E" w:rsidP="00133FCF">
                            <w:pPr>
                              <w:spacing w:before="0"/>
                              <w:jc w:val="center"/>
                              <w:rPr>
                                <w:rFonts w:hAnsi="Calibri" w:cs="Arial"/>
                                <w:color w:val="215EAC"/>
                                <w:kern w:val="24"/>
                                <w:szCs w:val="24"/>
                                <w:lang w:val="es-ES"/>
                              </w:rPr>
                            </w:pPr>
                            <w:r>
                              <w:rPr>
                                <w:rFonts w:hAnsi="Calibri" w:cs="Arial"/>
                                <w:color w:val="215EAC"/>
                                <w:kern w:val="24"/>
                                <w:szCs w:val="24"/>
                                <w:lang w:val="es-ES"/>
                              </w:rPr>
                              <w:t>Comisiones de Estudio</w:t>
                            </w:r>
                          </w:p>
                        </w:txbxContent>
                      </v:textbox>
                    </v:roundrect>
                    <v:shapetype id="_x0000_t202" coordsize="21600,21600" o:spt="202" path="m,l,21600r21600,l21600,xe">
                      <v:stroke joinstyle="miter"/>
                      <v:path gradientshapeok="t" o:connecttype="rect"/>
                    </v:shapetype>
                    <v:shape id="TextBox 15" o:spid="_x0000_s1038" type="#_x0000_t202" style="position:absolute;left:11515;top:8814;width:2019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58D47F2C" w14:textId="77777777" w:rsidR="004F6F3E" w:rsidRPr="00A8269E" w:rsidRDefault="004F6F3E" w:rsidP="00133FCF">
                            <w:pPr>
                              <w:spacing w:before="0"/>
                              <w:jc w:val="center"/>
                              <w:rPr>
                                <w:rFonts w:hAnsi="Calibri" w:cs="Arial"/>
                                <w:color w:val="FFFFFF"/>
                                <w:kern w:val="24"/>
                                <w:sz w:val="28"/>
                                <w:szCs w:val="28"/>
                                <w:lang w:val="es-ES"/>
                              </w:rPr>
                            </w:pPr>
                            <w:r w:rsidRPr="00A8269E">
                              <w:rPr>
                                <w:rFonts w:hAnsi="Calibri" w:cs="Arial"/>
                                <w:color w:val="FFFFFF"/>
                                <w:kern w:val="24"/>
                                <w:sz w:val="28"/>
                                <w:szCs w:val="28"/>
                                <w:lang w:val="es-ES"/>
                              </w:rPr>
                              <w:t>Miembros del UIT-D</w:t>
                            </w:r>
                          </w:p>
                        </w:txbxContent>
                      </v:textbox>
                    </v:shape>
                  </v:group>
                </v:group>
                <v:group id="Group 122" o:spid="_x0000_s1039" style="position:absolute;left:7235;width:53201;height:9460" coordsize="53201,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505" o:spid="_x0000_s1040" style="position:absolute;left:4293;top:5009;width:20308;height:4451" coordsize="20307,4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Arrow: Right 16" o:spid="_x0000_s1041" type="#_x0000_t13" style="position:absolute;left:7928;top:-7928;width:4451;height:203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" adj="10800,2118" fillcolor="#bfbfbf" stroked="f" strokeweight="1pt"/>
                    <v:shape id="TextBox 17" o:spid="_x0000_s1042" type="#_x0000_t202" style="position:absolute;left:1888;top:1572;width:1612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37FBB90A" w14:textId="77777777" w:rsidR="004F6F3E" w:rsidRPr="00A768CE" w:rsidRDefault="004F6F3E" w:rsidP="00133FCF">
                            <w:pPr>
                              <w:spacing w:before="0"/>
                              <w:jc w:val="center"/>
                              <w:rPr>
                                <w:rFonts w:hAnsi="Calibri" w:cs="Arial"/>
                                <w:color w:val="FFFFFF"/>
                                <w:kern w:val="24"/>
                                <w:szCs w:val="28"/>
                                <w:lang w:val="es-ES"/>
                              </w:rPr>
                            </w:pPr>
                            <w:r w:rsidRPr="0052521B">
                              <w:rPr>
                                <w:rFonts w:hAnsi="Calibri" w:cs="Arial"/>
                                <w:color w:val="FFFFFF"/>
                                <w:kern w:val="24"/>
                                <w:szCs w:val="28"/>
                                <w:lang w:val="es-ES"/>
                              </w:rPr>
                              <w:t>Contribución del UIT-D</w:t>
                            </w:r>
                          </w:p>
                        </w:txbxContent>
                      </v:textbox>
                    </v:shape>
                  </v:group>
                  <v:group id="Group 506" o:spid="_x0000_s1043" style="position:absolute;width:53201;height:5003" coordorigin=",-159" coordsize="53204,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oundrect id="Rectangle: Rounded Corners 1" o:spid="_x0000_s1044" style="position:absolute;width:24085;height:3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" fillcolor="#f9423a" stroked="f" strokeweight="1pt">
                      <v:stroke joinstyle="miter"/>
                      <v:textbox>
                        <w:txbxContent>
                          <w:p w14:paraId="5FE1F660" w14:textId="77777777" w:rsidR="004F6F3E" w:rsidRPr="009505DE" w:rsidRDefault="004F6F3E" w:rsidP="00133FCF">
                            <w:pPr>
                              <w:spacing w:before="0"/>
                              <w:jc w:val="center"/>
                              <w:rPr>
                                <w:rFonts w:hAnsi="Calibri" w:cs="Arial"/>
                                <w:color w:val="FFFFFF"/>
                                <w:kern w:val="24"/>
                                <w:sz w:val="28"/>
                                <w:szCs w:val="28"/>
                                <w:lang w:val="es-ES"/>
                              </w:rPr>
                            </w:pPr>
                            <w:r w:rsidRPr="009505DE">
                              <w:rPr>
                                <w:rFonts w:hAnsi="Calibri" w:cs="Arial"/>
                                <w:color w:val="FFFFFF"/>
                                <w:kern w:val="24"/>
                                <w:sz w:val="28"/>
                                <w:szCs w:val="28"/>
                                <w:lang w:val="es-ES"/>
                              </w:rPr>
                              <w:t>Plan Estratégico de la UIT</w:t>
                            </w:r>
                          </w:p>
                        </w:txbxContent>
                      </v:textbox>
                    </v:roundrect>
                    <v:roundrect id="Rectangle: Rounded Corners 8" o:spid="_x0000_s1045" style="position:absolute;left:37291;top:-159;width:15913;height:5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" fillcolor="#00b0f0" stroked="f" strokeweight="1pt">
                      <v:stroke joinstyle="miter"/>
                      <v:textbox>
                        <w:txbxContent>
                          <w:p w14:paraId="24E325CF" w14:textId="77777777" w:rsidR="004F6F3E" w:rsidRPr="00A768CE" w:rsidRDefault="004F6F3E" w:rsidP="00133FCF">
                            <w:pPr>
                              <w:spacing w:before="0"/>
                              <w:jc w:val="center"/>
                              <w:rPr>
                                <w:rFonts w:hAnsi="Calibri" w:cs="Arial"/>
                                <w:color w:val="FFFFFF"/>
                                <w:kern w:val="24"/>
                                <w:szCs w:val="24"/>
                                <w:lang w:val="es-ES"/>
                              </w:rPr>
                            </w:pPr>
                            <w:r w:rsidRPr="00A768CE">
                              <w:rPr>
                                <w:rFonts w:hAnsi="Calibri" w:cs="Arial"/>
                                <w:color w:val="FFFFFF"/>
                                <w:kern w:val="24"/>
                                <w:szCs w:val="24"/>
                                <w:lang w:val="es-ES"/>
                              </w:rPr>
                              <w:t>ODS y Líneas de Acción de la CMSI</w:t>
                            </w:r>
                          </w:p>
                        </w:txbxContent>
                      </v:textbox>
                    </v:roundrect>
                    <v:shape id="Arrow: Right 18" o:spid="_x0000_s1046" type="#_x0000_t13" style="position:absolute;left:24490;top:-159;width:1238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" adj="17518,4364" fillcolor="#bfbfbf" stroked="f" strokeweight="1pt">
                      <v:textbox>
                        <w:txbxContent>
                          <w:p w14:paraId="3D4C0923" w14:textId="77777777" w:rsidR="004F6F3E" w:rsidRPr="00A768CE" w:rsidRDefault="004F6F3E" w:rsidP="00133FCF">
                            <w:pPr>
                              <w:spacing w:before="0"/>
                              <w:jc w:val="center"/>
                              <w:rPr>
                                <w:rFonts w:hAnsi="Calibri" w:cs="Arial"/>
                                <w:color w:val="FFFFFF"/>
                                <w:kern w:val="24"/>
                                <w:szCs w:val="24"/>
                                <w:lang w:val="es-ES"/>
                              </w:rPr>
                            </w:pPr>
                            <w:r w:rsidRPr="00A768CE">
                              <w:rPr>
                                <w:rFonts w:hAnsi="Calibri" w:cs="Arial"/>
                                <w:color w:val="FFFFFF"/>
                                <w:kern w:val="24"/>
                                <w:szCs w:val="24"/>
                                <w:lang w:val="es-ES"/>
                              </w:rPr>
                              <w:t>Lograr</w:t>
                            </w:r>
                          </w:p>
                        </w:txbxContent>
                      </v:textbox>
                    </v:shape>
                  </v:group>
                </v:group>
                <w10:anchorlock/>
              </v:group>
            </w:pict>
          </mc:Fallback>
        </mc:AlternateContent>
      </w:r>
      <w:bookmarkStart w:id="40" w:name="_Toc76415342"/>
      <w:bookmarkStart w:id="41" w:name="_Toc78445942"/>
      <w:bookmarkStart w:id="42" w:name="_Toc99954527"/>
    </w:p>
    <w:p w14:paraId="389D1BEA" w14:textId="77777777" w:rsidR="005B36F4" w:rsidRDefault="005B36F4" w:rsidP="005B36F4">
      <w:pPr>
        <w:spacing w:before="0"/>
        <w:rPr>
          <w:lang w:val="es-ES_tradnl"/>
        </w:rPr>
      </w:pPr>
    </w:p>
    <w:p w14:paraId="143A3D0E" w14:textId="0D2DFF05" w:rsidR="00133FCF" w:rsidRPr="004F6F3E" w:rsidRDefault="00133FCF" w:rsidP="005B36F4">
      <w:pPr>
        <w:pStyle w:val="Heading2"/>
        <w:keepLines w:val="0"/>
        <w:rPr>
          <w:lang w:val="es-ES_tradnl"/>
        </w:rPr>
      </w:pPr>
      <w:r w:rsidRPr="004F6F3E">
        <w:rPr>
          <w:lang w:val="es-ES_tradnl"/>
        </w:rPr>
        <w:lastRenderedPageBreak/>
        <w:t>3</w:t>
      </w:r>
      <w:r w:rsidRPr="004F6F3E">
        <w:rPr>
          <w:lang w:val="es-ES_tradnl"/>
        </w:rPr>
        <w:tab/>
      </w:r>
      <w:bookmarkStart w:id="43" w:name="lt_pId114"/>
      <w:r w:rsidRPr="004F6F3E">
        <w:rPr>
          <w:lang w:val="es-ES_tradnl"/>
        </w:rPr>
        <w:t xml:space="preserve">Estructura del Plan de Acción de </w:t>
      </w:r>
      <w:bookmarkEnd w:id="40"/>
      <w:bookmarkEnd w:id="41"/>
      <w:bookmarkEnd w:id="43"/>
      <w:r w:rsidRPr="004F6F3E">
        <w:rPr>
          <w:lang w:val="es-ES_tradnl"/>
        </w:rPr>
        <w:t>la CMDT</w:t>
      </w:r>
      <w:bookmarkEnd w:id="42"/>
    </w:p>
    <w:p w14:paraId="1944F244" w14:textId="77777777" w:rsidR="00133FCF" w:rsidRPr="004F6F3E" w:rsidRDefault="00133FCF" w:rsidP="00133FCF">
      <w:pPr>
        <w:spacing w:after="240"/>
        <w:rPr>
          <w:rFonts w:eastAsia="Batang"/>
          <w:lang w:val="es-ES_tradnl"/>
        </w:rPr>
      </w:pPr>
      <w:bookmarkStart w:id="44" w:name="lt_pId115"/>
      <w:r w:rsidRPr="004F6F3E">
        <w:rPr>
          <w:rFonts w:eastAsia="Batang"/>
          <w:lang w:val="es-ES_tradnl"/>
        </w:rPr>
        <w:t>El Plan de Acción de la CMDT sigue un marco de GBR basado en las prioridades temáticas identificadas como áreas de trabajo clave que apoyarán la realización del Plan Estratégico de la UIT para 2024-2027. En la Figura 3.1 se destacan las prioridades temáticas de la UIT a las que contribuirá directamente el UIT-D, así como los factores habilitadores y los productos y los servicios en torno a los que el UIT-D realizará sus intervenciones. En las secciones que siguen, se definen las prioridades temáticas y los productos y los servicios de la UIT que son pertinentes para el UIT-D.</w:t>
      </w:r>
      <w:bookmarkEnd w:id="44"/>
    </w:p>
    <w:p w14:paraId="050EECAE" w14:textId="77777777" w:rsidR="00133FCF" w:rsidRPr="004F6F3E" w:rsidRDefault="00133FCF" w:rsidP="00133FCF">
      <w:pPr>
        <w:pStyle w:val="Figuretitle"/>
        <w:rPr>
          <w:rFonts w:eastAsia="Batang"/>
          <w:lang w:val="es-ES_tradnl"/>
        </w:rPr>
      </w:pPr>
      <w:bookmarkStart w:id="45" w:name="lt_pId118"/>
      <w:r w:rsidRPr="004F6F3E">
        <w:rPr>
          <w:rFonts w:eastAsia="Batang"/>
          <w:lang w:val="es-ES_tradnl"/>
        </w:rPr>
        <w:t>Figura 3.1: Prioridades temáticas, productos y servicios de la UIT a los que contribuirá el UIT-D</w:t>
      </w:r>
    </w:p>
    <w:p w14:paraId="289A77C0" w14:textId="77777777" w:rsidR="00133FCF" w:rsidRPr="004F6F3E" w:rsidRDefault="00133FCF" w:rsidP="00133FCF">
      <w:pPr>
        <w:pStyle w:val="Figure"/>
        <w:rPr>
          <w:rFonts w:eastAsia="Batang"/>
          <w:lang w:val="es-ES_tradnl"/>
        </w:rPr>
      </w:pPr>
      <w:r w:rsidRPr="004F6F3E">
        <w:rPr>
          <w:rFonts w:eastAsia="Batang"/>
          <w:lang w:val="es-ES_tradnl"/>
        </w:rPr>
        <w:object w:dxaOrig="9605" w:dyaOrig="5393" w14:anchorId="2E8F6E77">
          <v:shape id="_x0000_i1026" type="#_x0000_t75" style="width:481.45pt;height:303.05pt" o:ole="">
            <v:imagedata r:id="rId17" o:title="" croptop="4547f" cropbottom="2136f" cropleft="9246f" cropright="3675f"/>
          </v:shape>
          <o:OLEObject Type="Embed" ProgID="PowerPoint.Slide.12" ShapeID="_x0000_i1026" DrawAspect="Content" ObjectID="_1713792634" r:id="rId18"/>
        </w:object>
      </w:r>
    </w:p>
    <w:p w14:paraId="48F0BE7E" w14:textId="77777777" w:rsidR="00133FCF" w:rsidRPr="004F6F3E" w:rsidRDefault="00133FCF" w:rsidP="00133FCF">
      <w:pPr>
        <w:pStyle w:val="Heading3"/>
        <w:rPr>
          <w:lang w:val="es-ES_tradnl"/>
        </w:rPr>
      </w:pPr>
      <w:bookmarkStart w:id="46" w:name="_Toc99954528"/>
      <w:r w:rsidRPr="004F6F3E">
        <w:rPr>
          <w:lang w:val="es-ES_tradnl"/>
        </w:rPr>
        <w:t>3.1</w:t>
      </w:r>
      <w:r w:rsidRPr="004F6F3E">
        <w:rPr>
          <w:lang w:val="es-ES_tradnl"/>
        </w:rPr>
        <w:tab/>
        <w:t>Prioridades temáticas</w:t>
      </w:r>
      <w:bookmarkEnd w:id="46"/>
    </w:p>
    <w:p w14:paraId="56C8B506" w14:textId="77777777" w:rsidR="00133FCF" w:rsidRPr="004F6F3E" w:rsidRDefault="00133FCF" w:rsidP="00133FCF">
      <w:pPr>
        <w:rPr>
          <w:rFonts w:eastAsia="Batang"/>
          <w:lang w:val="es-ES_tradnl"/>
        </w:rPr>
      </w:pPr>
      <w:r w:rsidRPr="004F6F3E">
        <w:rPr>
          <w:rFonts w:eastAsia="Batang"/>
          <w:lang w:val="es-ES_tradnl"/>
        </w:rPr>
        <w:t xml:space="preserve">De conformidad con el Plan Estratégico de la UIT para 2024-2027, los Sectores y la Secretaría General colaborarán en el marco de </w:t>
      </w:r>
      <w:r w:rsidRPr="004F6F3E">
        <w:rPr>
          <w:rFonts w:eastAsia="Batang"/>
          <w:highlight w:val="yellow"/>
          <w:lang w:val="es-ES_tradnl"/>
        </w:rPr>
        <w:t>[cinco o seis]</w:t>
      </w:r>
      <w:r w:rsidRPr="004F6F3E">
        <w:rPr>
          <w:rFonts w:eastAsia="Batang"/>
          <w:lang w:val="es-ES_tradnl"/>
        </w:rPr>
        <w:t xml:space="preserve"> prioridades temáticas, </w:t>
      </w:r>
      <w:r w:rsidRPr="004F6F3E">
        <w:rPr>
          <w:lang w:val="es-ES_tradnl"/>
        </w:rPr>
        <w:t>a fin de lograr realizaciones que permitan alcanzar las metas estratégicas de la Unión</w:t>
      </w:r>
      <w:r w:rsidRPr="004F6F3E">
        <w:rPr>
          <w:rFonts w:eastAsia="Batang"/>
          <w:lang w:val="es-ES_tradnl"/>
        </w:rPr>
        <w:t xml:space="preserve">. El UIT-D contribuirá directamente a </w:t>
      </w:r>
      <w:r w:rsidRPr="004F6F3E">
        <w:rPr>
          <w:rFonts w:eastAsia="Batang"/>
          <w:highlight w:val="yellow"/>
          <w:lang w:val="es-ES_tradnl"/>
        </w:rPr>
        <w:t>[tres o cuatro]</w:t>
      </w:r>
      <w:r w:rsidRPr="004F6F3E">
        <w:rPr>
          <w:rFonts w:eastAsia="Batang"/>
          <w:lang w:val="es-ES_tradnl"/>
        </w:rPr>
        <w:t xml:space="preserve"> prioridades temáticas de la Unión, que se indican a continuación junto con las explicaciones proporcionadas en el Plan Estratégico de la UIT para 2024-2027.</w:t>
      </w:r>
    </w:p>
    <w:p w14:paraId="6CD58B6E" w14:textId="77777777" w:rsidR="00133FCF" w:rsidRPr="004F6F3E" w:rsidRDefault="00133FCF" w:rsidP="005B36F4">
      <w:pPr>
        <w:pStyle w:val="Headingi"/>
        <w:rPr>
          <w:rFonts w:eastAsia="Batang"/>
          <w:lang w:val="es-ES_tradnl"/>
        </w:rPr>
      </w:pPr>
      <w:r w:rsidRPr="004F6F3E">
        <w:rPr>
          <w:rFonts w:eastAsia="Batang"/>
          <w:lang w:val="es-ES_tradnl"/>
        </w:rPr>
        <w:lastRenderedPageBreak/>
        <w:t>Prioridad temática relativa a la infraestructura y los servicios</w:t>
      </w:r>
      <w:r w:rsidRPr="004F6F3E">
        <w:rPr>
          <w:rStyle w:val="FootnoteReference"/>
          <w:rFonts w:eastAsia="Batang"/>
          <w:i w:val="0"/>
          <w:iCs/>
          <w:lang w:val="es-ES_tradnl"/>
        </w:rPr>
        <w:footnoteReference w:customMarkFollows="1" w:id="24"/>
        <w:t>24</w:t>
      </w:r>
    </w:p>
    <w:p w14:paraId="5752FC83" w14:textId="77777777" w:rsidR="00133FCF" w:rsidRPr="004F6F3E" w:rsidRDefault="00133FCF" w:rsidP="00133FCF">
      <w:pPr>
        <w:rPr>
          <w:rFonts w:eastAsia="Batang"/>
          <w:lang w:val="es-ES_tradnl"/>
        </w:rPr>
      </w:pPr>
      <w:bookmarkStart w:id="47" w:name="lt_pId104"/>
      <w:r w:rsidRPr="004F6F3E">
        <w:rPr>
          <w:rFonts w:eastAsia="Batang"/>
          <w:lang w:val="es-ES_tradnl"/>
        </w:rPr>
        <w:t>La infraestructura y los servicios de telecomunicaciones y TIC constituyen tanto los cimientos como los pilares de la transformación digital. En el marco de esta prioridad temática, la labor se centrará en universalizar la conectividad y la interoperabilidad, mejorar el rendimiento, la calidad y la asequibilidad, y reforzar la sostenibilidad de dichos servicios e infraestructuras. También se procurará mejorar las condiciones de compatibilidad y coexistencia de los diferentes servicios de radiocomunicaciones sin incurrir en interferencias perjudiciales</w:t>
      </w:r>
      <w:bookmarkEnd w:id="47"/>
      <w:r w:rsidRPr="004F6F3E">
        <w:rPr>
          <w:rFonts w:eastAsia="Batang"/>
          <w:lang w:val="es-ES_tradnl"/>
        </w:rPr>
        <w:t>.</w:t>
      </w:r>
    </w:p>
    <w:p w14:paraId="25AE09AE" w14:textId="77777777" w:rsidR="00133FCF" w:rsidRPr="004F6F3E" w:rsidRDefault="00133FCF" w:rsidP="00133FCF">
      <w:pPr>
        <w:rPr>
          <w:rFonts w:eastAsia="Batang"/>
          <w:lang w:val="es-ES_tradnl"/>
        </w:rPr>
      </w:pPr>
      <w:bookmarkStart w:id="48" w:name="lt_pId106"/>
      <w:r w:rsidRPr="004F6F3E">
        <w:rPr>
          <w:rFonts w:eastAsia="Batang"/>
          <w:lang w:val="es-ES_tradnl"/>
        </w:rPr>
        <w:t>A tal efecto, la Unión obrará en favor del desarrollo de los servicios e infraestructuras, por ejemplo a través del desarrollo de normas internacionales y nuevas tecnologías para los servicios de radiocomunicaciones y el interfuncionamiento de las redes de telecomunicaciones, así como de la prestación de asistencia a los miembros en relación con los servicios de telecomunicaciones nuevos e incipientes y las cuestiones ligadas a las tecnología.</w:t>
      </w:r>
      <w:bookmarkEnd w:id="48"/>
    </w:p>
    <w:p w14:paraId="20B614C1" w14:textId="77777777" w:rsidR="00133FCF" w:rsidRPr="004F6F3E" w:rsidRDefault="00133FCF" w:rsidP="004F6F3E">
      <w:pPr>
        <w:pStyle w:val="Headingi"/>
        <w:rPr>
          <w:rFonts w:eastAsia="Batang"/>
          <w:lang w:val="es-ES_tradnl"/>
        </w:rPr>
      </w:pPr>
      <w:bookmarkStart w:id="49" w:name="lt_pId112"/>
      <w:r w:rsidRPr="004F6F3E">
        <w:rPr>
          <w:lang w:val="es-ES_tradnl"/>
        </w:rPr>
        <w:t>Prioridad temática relativa a las a</w:t>
      </w:r>
      <w:r w:rsidRPr="004F6F3E">
        <w:rPr>
          <w:rFonts w:eastAsia="Batang"/>
          <w:lang w:val="es-ES_tradnl"/>
        </w:rPr>
        <w:t>plicaciones</w:t>
      </w:r>
      <w:r w:rsidRPr="004F6F3E">
        <w:rPr>
          <w:rStyle w:val="FootnoteReference"/>
          <w:rFonts w:eastAsia="Batang"/>
          <w:i w:val="0"/>
          <w:iCs/>
          <w:lang w:val="es-ES_tradnl"/>
        </w:rPr>
        <w:footnoteReference w:customMarkFollows="1" w:id="25"/>
        <w:t>25</w:t>
      </w:r>
    </w:p>
    <w:p w14:paraId="044700F7" w14:textId="77777777" w:rsidR="00133FCF" w:rsidRPr="004F6F3E" w:rsidRDefault="00133FCF" w:rsidP="00133FCF">
      <w:pPr>
        <w:rPr>
          <w:lang w:val="es-ES_tradnl"/>
        </w:rPr>
      </w:pPr>
      <w:r w:rsidRPr="004F6F3E">
        <w:rPr>
          <w:lang w:val="es-ES_tradnl"/>
        </w:rPr>
        <w:t>La amplia disponibilidad de servicios e infraestructuras de telecomunicaciones/TIC ha impulsado la adopción y la innovación de aplicaciones que mejoran la vida de las personas y empoderan a la sociedad en pos de una transformación digital sostenible. Las aplicaciones de telecomunicaciones/TIC han suscitado grandes expectativas en ámbitos tales como la atención sanitaria, la educación, la banca y la prestación de servicios públicos a los ciudadanos.</w:t>
      </w:r>
    </w:p>
    <w:p w14:paraId="32FCB6D5" w14:textId="77777777" w:rsidR="00133FCF" w:rsidRPr="004F6F3E" w:rsidRDefault="00133FCF" w:rsidP="00133FCF">
      <w:pPr>
        <w:rPr>
          <w:lang w:val="es-ES_tradnl"/>
        </w:rPr>
      </w:pPr>
      <w:bookmarkStart w:id="50" w:name="lt_pId113"/>
      <w:bookmarkEnd w:id="49"/>
      <w:r w:rsidRPr="004F6F3E">
        <w:rPr>
          <w:lang w:val="es-ES_tradnl"/>
        </w:rPr>
        <w:t>La UIT contribuye a la ampliación de la disponibilidad, la interoperabilidad, la escalabilidad y la repercusión de las aplicaciones de telecomunicaciones/TIC, por ejemplo en las zonas subatendidas, mediante la elaboración de estrategias y normas digitales internacionales y la prestación de asistencia técnica para satisfacer las necesidades y los requisitos de los miembros de la Organización</w:t>
      </w:r>
      <w:r w:rsidRPr="004F6F3E">
        <w:rPr>
          <w:rStyle w:val="FootnoteReference"/>
          <w:lang w:val="es-ES_tradnl"/>
        </w:rPr>
        <w:footnoteReference w:customMarkFollows="1" w:id="26"/>
        <w:t>26</w:t>
      </w:r>
      <w:r w:rsidRPr="004F6F3E">
        <w:rPr>
          <w:lang w:val="es-ES_tradnl"/>
        </w:rPr>
        <w:t>.</w:t>
      </w:r>
      <w:bookmarkEnd w:id="50"/>
    </w:p>
    <w:p w14:paraId="23FEDE93" w14:textId="77777777" w:rsidR="00133FCF" w:rsidRPr="004F6F3E" w:rsidRDefault="00133FCF" w:rsidP="00133FCF">
      <w:pPr>
        <w:pStyle w:val="Headingi"/>
        <w:rPr>
          <w:rFonts w:eastAsia="Batang"/>
          <w:lang w:val="es-ES_tradnl"/>
        </w:rPr>
      </w:pPr>
      <w:r w:rsidRPr="004F6F3E">
        <w:rPr>
          <w:lang w:val="es-ES_tradnl"/>
        </w:rPr>
        <w:t>Prioridad temática relativa al e</w:t>
      </w:r>
      <w:r w:rsidRPr="004F6F3E">
        <w:rPr>
          <w:rFonts w:eastAsia="Batang"/>
          <w:lang w:val="es-ES_tradnl"/>
        </w:rPr>
        <w:t>ntorno propicio</w:t>
      </w:r>
      <w:r w:rsidRPr="004F6F3E">
        <w:rPr>
          <w:rStyle w:val="FootnoteReference"/>
          <w:rFonts w:eastAsia="Batang"/>
          <w:i w:val="0"/>
          <w:iCs/>
          <w:lang w:val="es-ES_tradnl"/>
        </w:rPr>
        <w:footnoteReference w:customMarkFollows="1" w:id="27"/>
        <w:t>27</w:t>
      </w:r>
    </w:p>
    <w:p w14:paraId="03AD750A" w14:textId="77777777" w:rsidR="00133FCF" w:rsidRPr="004F6F3E" w:rsidRDefault="00133FCF" w:rsidP="00133FCF">
      <w:pPr>
        <w:rPr>
          <w:lang w:val="es-ES_tradnl"/>
        </w:rPr>
      </w:pPr>
      <w:r w:rsidRPr="004F6F3E">
        <w:rPr>
          <w:lang w:val="es-ES_tradnl"/>
        </w:rPr>
        <w:t>Por entorno propicio se entiende un entorno político y normativo que favorece el desarrollo sostenible de las telecomunicaciones/TIC, que fomenta la innovación, la inversión en infraestructuras y TIC y que mejora la tasa de adopción de las telecomunicaciones/TIC, con el objetivo de reducir la brecha digital y promueve una sociedad más inclusiva e igualitaria.</w:t>
      </w:r>
    </w:p>
    <w:p w14:paraId="306FA69F" w14:textId="77777777" w:rsidR="00133FCF" w:rsidRPr="004F6F3E" w:rsidRDefault="00133FCF" w:rsidP="00133FCF">
      <w:pPr>
        <w:rPr>
          <w:lang w:val="es-ES_tradnl"/>
        </w:rPr>
      </w:pPr>
      <w:bookmarkStart w:id="51" w:name="lt_pId120"/>
      <w:r w:rsidRPr="004F6F3E">
        <w:rPr>
          <w:lang w:val="es-ES_tradnl"/>
        </w:rPr>
        <w:t>Con miras a promover este entorno propicio, la Unión se esforzará por prestar asistencia a sus Estados Miembros en relación con los aspectos técnicos y organizativos del desarrollo de un entorno innovador y significativo, forjando nuevas asociaciones y valiéndose de los servicios de telecomunicaciones/TIC tanto existentes como nuevos y emergentes, las soluciones de conectividad y los últimos modelos de negocio, con un énfasis especial en la inclusión digital y la sostenibilidad medioambiental.</w:t>
      </w:r>
      <w:bookmarkEnd w:id="51"/>
    </w:p>
    <w:p w14:paraId="4657FF1F" w14:textId="77777777" w:rsidR="00133FCF" w:rsidRPr="004F6F3E" w:rsidRDefault="00133FCF" w:rsidP="00133FCF">
      <w:pPr>
        <w:pStyle w:val="Headingi"/>
        <w:rPr>
          <w:rFonts w:eastAsia="Batang"/>
          <w:highlight w:val="yellow"/>
          <w:lang w:val="es-ES_tradnl"/>
        </w:rPr>
      </w:pPr>
      <w:r w:rsidRPr="004F6F3E">
        <w:rPr>
          <w:rFonts w:eastAsia="Batang"/>
          <w:highlight w:val="yellow"/>
          <w:lang w:val="es-ES_tradnl"/>
        </w:rPr>
        <w:lastRenderedPageBreak/>
        <w:t>[Ciberseguridad</w:t>
      </w:r>
      <w:r w:rsidRPr="004F6F3E">
        <w:rPr>
          <w:rStyle w:val="FootnoteReference"/>
          <w:rFonts w:eastAsia="Batang"/>
          <w:i w:val="0"/>
          <w:iCs/>
          <w:highlight w:val="yellow"/>
          <w:lang w:val="es-ES_tradnl"/>
        </w:rPr>
        <w:footnoteReference w:customMarkFollows="1" w:id="28"/>
        <w:t>28</w:t>
      </w:r>
    </w:p>
    <w:p w14:paraId="38E32E8A" w14:textId="1DBFB09D" w:rsidR="00133FCF" w:rsidRPr="004F6F3E" w:rsidRDefault="00133FCF" w:rsidP="00133FCF">
      <w:pPr>
        <w:rPr>
          <w:rFonts w:eastAsia="Batang"/>
          <w:lang w:val="es-ES_tradnl"/>
        </w:rPr>
      </w:pPr>
      <w:r w:rsidRPr="004F6F3E">
        <w:rPr>
          <w:rFonts w:eastAsia="Batang"/>
          <w:highlight w:val="yellow"/>
          <w:lang w:val="es-ES_tradnl"/>
        </w:rPr>
        <w:t>En lo que respecta al Plan Estratégico de la UIT para 2024-2027, el tema de la ciberseguridad sigue siendo objeto de debate; en particular, se están examinando dos opciones de dicho Plan:</w:t>
      </w:r>
    </w:p>
    <w:p w14:paraId="7E7D3BA5" w14:textId="77777777" w:rsidR="00133FCF" w:rsidRPr="004F6F3E" w:rsidRDefault="00133FCF" w:rsidP="00133FCF">
      <w:pPr>
        <w:pStyle w:val="enumlev1"/>
        <w:rPr>
          <w:lang w:val="es-ES_tradnl"/>
        </w:rPr>
      </w:pPr>
      <w:bookmarkStart w:id="52" w:name="lt_pId129"/>
      <w:r w:rsidRPr="004F6F3E">
        <w:rPr>
          <w:bCs/>
          <w:highlight w:val="yellow"/>
          <w:lang w:val="es-ES_tradnl"/>
        </w:rPr>
        <w:t>1</w:t>
      </w:r>
      <w:r w:rsidRPr="004F6F3E">
        <w:rPr>
          <w:bCs/>
          <w:highlight w:val="yellow"/>
          <w:lang w:val="es-ES_tradnl"/>
        </w:rPr>
        <w:tab/>
      </w:r>
      <w:r w:rsidRPr="004F6F3E">
        <w:rPr>
          <w:highlight w:val="yellow"/>
          <w:lang w:val="es-ES_tradnl"/>
        </w:rPr>
        <w:t>incluir la ciberseguridad como una prioridad temática independiente</w:t>
      </w:r>
      <w:bookmarkEnd w:id="52"/>
      <w:r w:rsidRPr="004F6F3E">
        <w:rPr>
          <w:highlight w:val="yellow"/>
          <w:lang w:val="es-ES_tradnl"/>
        </w:rPr>
        <w:t>; o</w:t>
      </w:r>
    </w:p>
    <w:p w14:paraId="25662F24" w14:textId="77777777" w:rsidR="00133FCF" w:rsidRPr="004F6F3E" w:rsidRDefault="00133FCF" w:rsidP="00133FCF">
      <w:pPr>
        <w:pStyle w:val="enumlev1"/>
        <w:rPr>
          <w:lang w:val="es-ES_tradnl"/>
        </w:rPr>
      </w:pPr>
      <w:bookmarkStart w:id="53" w:name="lt_pId137"/>
      <w:r w:rsidRPr="004F6F3E">
        <w:rPr>
          <w:highlight w:val="yellow"/>
          <w:lang w:val="es-ES_tradnl"/>
        </w:rPr>
        <w:t>2</w:t>
      </w:r>
      <w:r w:rsidRPr="004F6F3E">
        <w:rPr>
          <w:highlight w:val="yellow"/>
          <w:lang w:val="es-ES_tradnl"/>
        </w:rPr>
        <w:tab/>
        <w:t>incluir la labor relativa a la ciberseguridad como tema integrado/transversal en el marco de las otras tres prioridades temáticas de la UIT: infraestructura y servicios, aplicaciones y entorno propicio.</w:t>
      </w:r>
      <w:r w:rsidRPr="004F6F3E">
        <w:rPr>
          <w:iCs/>
          <w:highlight w:val="yellow"/>
          <w:lang w:val="es-ES_tradnl"/>
        </w:rPr>
        <w:t>]</w:t>
      </w:r>
      <w:bookmarkEnd w:id="53"/>
    </w:p>
    <w:p w14:paraId="5C2B37D7" w14:textId="77777777" w:rsidR="00133FCF" w:rsidRPr="004F6F3E" w:rsidRDefault="00133FCF" w:rsidP="00133FCF">
      <w:pPr>
        <w:pStyle w:val="Heading3"/>
        <w:rPr>
          <w:lang w:val="es-ES_tradnl"/>
        </w:rPr>
      </w:pPr>
      <w:bookmarkStart w:id="54" w:name="lt_pId138"/>
      <w:bookmarkStart w:id="55" w:name="_Toc99954529"/>
      <w:r w:rsidRPr="004F6F3E">
        <w:rPr>
          <w:lang w:val="es-ES_tradnl"/>
        </w:rPr>
        <w:t>3.2</w:t>
      </w:r>
      <w:r w:rsidRPr="004F6F3E">
        <w:rPr>
          <w:lang w:val="es-ES_tradnl"/>
        </w:rPr>
        <w:tab/>
      </w:r>
      <w:bookmarkEnd w:id="54"/>
      <w:r w:rsidRPr="004F6F3E">
        <w:rPr>
          <w:lang w:val="es-ES_tradnl"/>
        </w:rPr>
        <w:t>Productos y servicios</w:t>
      </w:r>
      <w:bookmarkEnd w:id="55"/>
    </w:p>
    <w:p w14:paraId="010A230D" w14:textId="77777777" w:rsidR="00133FCF" w:rsidRPr="004F6F3E" w:rsidRDefault="00133FCF" w:rsidP="00133FCF">
      <w:pPr>
        <w:rPr>
          <w:lang w:val="es-ES_tradnl"/>
        </w:rPr>
      </w:pPr>
      <w:bookmarkStart w:id="56" w:name="lt_pId139"/>
      <w:r w:rsidRPr="004F6F3E">
        <w:rPr>
          <w:lang w:val="es-ES_tradnl"/>
        </w:rPr>
        <w:t xml:space="preserve">A fin de lograr las realizaciones enumeradas en el marco de las prioridades temáticas, la UIT desplegará una gama de productos y servicios para sus Miembros, los organismos de las Naciones Unidas y otras partes interesadas. A continuación se detalla dicha gama de productos y servicios. De conformidad con el Plan Estratégico de la UIT para 2024-2027, los Sectores y la Secretaría General proporcionarán información más detallada sobre el despliegue de estos productos y servicios en sus respectivos Planes </w:t>
      </w:r>
      <w:bookmarkEnd w:id="56"/>
      <w:r w:rsidRPr="004F6F3E">
        <w:rPr>
          <w:lang w:val="es-ES_tradnl"/>
        </w:rPr>
        <w:t>Operacionales</w:t>
      </w:r>
      <w:r w:rsidRPr="004F6F3E">
        <w:rPr>
          <w:rStyle w:val="FootnoteReference"/>
          <w:lang w:val="es-ES_tradnl"/>
        </w:rPr>
        <w:footnoteReference w:customMarkFollows="1" w:id="29"/>
        <w:t>29</w:t>
      </w:r>
      <w:r w:rsidRPr="004F6F3E">
        <w:rPr>
          <w:lang w:val="es-ES_tradnl"/>
        </w:rPr>
        <w:t>. A continuación se describen los productos y servicios específicos del UIT-D.</w:t>
      </w:r>
    </w:p>
    <w:p w14:paraId="7CEF6B6E" w14:textId="77777777" w:rsidR="00133FCF" w:rsidRPr="004F6F3E" w:rsidRDefault="00133FCF" w:rsidP="00133FCF">
      <w:pPr>
        <w:pStyle w:val="Headingi"/>
        <w:rPr>
          <w:lang w:val="es-ES_tradnl"/>
        </w:rPr>
      </w:pPr>
      <w:r w:rsidRPr="004F6F3E">
        <w:rPr>
          <w:lang w:val="es-ES_tradnl"/>
        </w:rPr>
        <w:t>Elaboración de marcos políticos y productos de conocimiento</w:t>
      </w:r>
      <w:r w:rsidRPr="004F6F3E">
        <w:rPr>
          <w:rStyle w:val="FootnoteReference"/>
          <w:lang w:val="es-ES_tradnl"/>
        </w:rPr>
        <w:footnoteReference w:customMarkFollows="1" w:id="30"/>
        <w:t>30</w:t>
      </w:r>
    </w:p>
    <w:p w14:paraId="07F966A2" w14:textId="77777777" w:rsidR="00133FCF" w:rsidRPr="004F6F3E" w:rsidRDefault="00133FCF" w:rsidP="00133FCF">
      <w:pPr>
        <w:rPr>
          <w:lang w:val="es-ES_tradnl"/>
        </w:rPr>
      </w:pPr>
      <w:r w:rsidRPr="004F6F3E">
        <w:rPr>
          <w:lang w:val="es-ES_tradnl"/>
        </w:rPr>
        <w:t>Los productos y servicios del UIT-D incluyen:</w:t>
      </w:r>
    </w:p>
    <w:p w14:paraId="05E303B0" w14:textId="7F6944A5" w:rsidR="00133FCF" w:rsidRPr="004F6F3E" w:rsidRDefault="001B5A47" w:rsidP="00133FCF">
      <w:pPr>
        <w:pStyle w:val="enumlev1"/>
        <w:rPr>
          <w:lang w:val="es-ES_tradnl"/>
        </w:rPr>
      </w:pPr>
      <w:r w:rsidRPr="004F6F3E">
        <w:rPr>
          <w:lang w:val="es-ES_tradnl"/>
        </w:rPr>
        <w:t>•</w:t>
      </w:r>
      <w:r w:rsidR="00133FCF" w:rsidRPr="004F6F3E">
        <w:rPr>
          <w:lang w:val="es-ES_tradnl"/>
        </w:rPr>
        <w:tab/>
        <w:t>la elaboración de manuales, informes técnicos y documentos sobre diversas cuestiones relacionadas con las telecomunicaciones/TIC para ayudar a los miembros de la Organización, por conducto de sus Comisiones de Estudio;</w:t>
      </w:r>
    </w:p>
    <w:p w14:paraId="71111834" w14:textId="77777777" w:rsidR="00133FCF" w:rsidRPr="004F6F3E" w:rsidRDefault="00133FCF" w:rsidP="00133FCF">
      <w:pPr>
        <w:pStyle w:val="enumlev1"/>
        <w:rPr>
          <w:lang w:val="es-ES_tradnl"/>
        </w:rPr>
      </w:pPr>
      <w:r w:rsidRPr="004F6F3E">
        <w:rPr>
          <w:lang w:val="es-ES_tradnl"/>
        </w:rPr>
        <w:t>•</w:t>
      </w:r>
      <w:r w:rsidRPr="004F6F3E">
        <w:rPr>
          <w:lang w:val="es-ES_tradnl"/>
        </w:rPr>
        <w:tab/>
        <w:t>la prestación de asistencia a los Estados Miembros para promover una mayor conectividad, colmar las brechas digitales, propiciar la transformación digital y construir sociedades digitales inteligentes elaborando y proporcionando marcos políticos y directrices de buenas prácticas;</w:t>
      </w:r>
    </w:p>
    <w:p w14:paraId="37DA759B" w14:textId="77777777" w:rsidR="00133FCF" w:rsidRPr="004F6F3E" w:rsidRDefault="00133FCF" w:rsidP="00133FCF">
      <w:pPr>
        <w:pStyle w:val="enumlev1"/>
        <w:rPr>
          <w:lang w:val="es-ES_tradnl"/>
        </w:rPr>
      </w:pPr>
      <w:r w:rsidRPr="004F6F3E">
        <w:rPr>
          <w:lang w:val="es-ES_tradnl"/>
        </w:rPr>
        <w:t>•</w:t>
      </w:r>
      <w:r w:rsidRPr="004F6F3E">
        <w:rPr>
          <w:lang w:val="es-ES_tradnl"/>
        </w:rPr>
        <w:tab/>
        <w:t>la recopilación de prácticas óptimas de los Estados Miembros, el sector privado y las instituciones académicas y de investigación y su difusión entre los Estados Miembros; y</w:t>
      </w:r>
    </w:p>
    <w:p w14:paraId="52DE98BE" w14:textId="77777777" w:rsidR="00133FCF" w:rsidRPr="004F6F3E" w:rsidRDefault="00133FCF" w:rsidP="00133FCF">
      <w:pPr>
        <w:pStyle w:val="enumlev1"/>
        <w:rPr>
          <w:lang w:val="es-ES_tradnl"/>
        </w:rPr>
      </w:pPr>
      <w:bookmarkStart w:id="57" w:name="lt_pId160"/>
      <w:r w:rsidRPr="004F6F3E">
        <w:rPr>
          <w:lang w:val="es-ES_tradnl"/>
        </w:rPr>
        <w:t>•</w:t>
      </w:r>
      <w:r w:rsidRPr="004F6F3E">
        <w:rPr>
          <w:lang w:val="es-ES_tradnl"/>
        </w:rPr>
        <w:tab/>
        <w:t>productos y herramientas de intercambio de conocimientos para facilitar un diálogo integrador y mejorar la cooperación, a fin de ayudar a los países a conseguir una sociedad más inclusiva, y el apoyo a sus miembros en la comprensión y gestión de los desafíos y oportunidades que acompañan a la promoción de la conectividad y la transformación digital.</w:t>
      </w:r>
      <w:bookmarkEnd w:id="57"/>
    </w:p>
    <w:p w14:paraId="40969E45" w14:textId="77777777" w:rsidR="00133FCF" w:rsidRPr="004F6F3E" w:rsidRDefault="00133FCF" w:rsidP="005B36F4">
      <w:pPr>
        <w:pStyle w:val="Headingi"/>
        <w:rPr>
          <w:lang w:val="es-ES_tradnl"/>
        </w:rPr>
      </w:pPr>
      <w:r w:rsidRPr="004F6F3E">
        <w:rPr>
          <w:lang w:val="es-ES_tradnl"/>
        </w:rPr>
        <w:lastRenderedPageBreak/>
        <w:t>Suministro de datos y estadísticas</w:t>
      </w:r>
      <w:r w:rsidRPr="001D0276">
        <w:rPr>
          <w:rStyle w:val="FootnoteReference"/>
          <w:i w:val="0"/>
          <w:iCs/>
          <w:lang w:val="es-ES_tradnl"/>
        </w:rPr>
        <w:footnoteReference w:customMarkFollows="1" w:id="31"/>
        <w:t>31</w:t>
      </w:r>
    </w:p>
    <w:p w14:paraId="6D429076" w14:textId="77777777" w:rsidR="00133FCF" w:rsidRPr="004F6F3E" w:rsidRDefault="00133FCF" w:rsidP="005B36F4">
      <w:pPr>
        <w:keepNext/>
        <w:keepLines/>
        <w:rPr>
          <w:lang w:val="es-ES_tradnl"/>
        </w:rPr>
      </w:pPr>
      <w:r w:rsidRPr="004F6F3E">
        <w:rPr>
          <w:lang w:val="es-ES_tradnl"/>
        </w:rPr>
        <w:t>Los productos y servicios del UIT-D incluyen:</w:t>
      </w:r>
    </w:p>
    <w:p w14:paraId="2DACDF14" w14:textId="77777777" w:rsidR="00133FCF" w:rsidRPr="004F6F3E" w:rsidRDefault="00133FCF" w:rsidP="005B36F4">
      <w:pPr>
        <w:pStyle w:val="enumlev1"/>
        <w:keepNext/>
        <w:keepLines/>
        <w:rPr>
          <w:lang w:val="es-ES_tradnl"/>
        </w:rPr>
      </w:pPr>
      <w:r w:rsidRPr="004F6F3E">
        <w:rPr>
          <w:lang w:val="es-ES_tradnl"/>
        </w:rPr>
        <w:t>•</w:t>
      </w:r>
      <w:r w:rsidRPr="004F6F3E">
        <w:rPr>
          <w:lang w:val="es-ES_tradnl"/>
        </w:rPr>
        <w:tab/>
        <w:t>la recopilación y difusión de datos vitales y de trabajos de investigación de primera línea para realizar un seguimiento de la conectividad y la transformación digital en todo el mundo y darle sentido, así como el apoyo a los Estados Miembros y a otras partes interesadas a todo lo largo del ciclo de vida de los datos, desde el establecimiento de normas y métodos para la recopilación de datos hasta la promoción del uso de los datos en los procesos de toma de decisiones;</w:t>
      </w:r>
    </w:p>
    <w:p w14:paraId="5BF6BE6F" w14:textId="77777777" w:rsidR="00133FCF" w:rsidRPr="004F6F3E" w:rsidRDefault="00133FCF" w:rsidP="00133FCF">
      <w:pPr>
        <w:pStyle w:val="enumlev1"/>
        <w:rPr>
          <w:lang w:val="es-ES_tradnl"/>
        </w:rPr>
      </w:pPr>
      <w:r w:rsidRPr="004F6F3E">
        <w:rPr>
          <w:lang w:val="es-ES_tradnl"/>
        </w:rPr>
        <w:t>•</w:t>
      </w:r>
      <w:r w:rsidRPr="004F6F3E">
        <w:rPr>
          <w:lang w:val="es-ES_tradnl"/>
        </w:rPr>
        <w:tab/>
        <w:t>la responsabilidad por las normas estadísticas internacionales que se aplican a los indicadores de las telecomunicaciones/TIC, publicando las normas, definiciones y métodos de recopilación para más de 200 indicadores, que constituyen una referencia clave para los estadísticos y los economistas interesados en medir el desarrollo digital; y</w:t>
      </w:r>
    </w:p>
    <w:p w14:paraId="23F47CB2" w14:textId="0D53E37C" w:rsidR="00133FCF" w:rsidRPr="004F6F3E" w:rsidRDefault="00133FCF" w:rsidP="00133FCF">
      <w:pPr>
        <w:pStyle w:val="enumlev1"/>
        <w:rPr>
          <w:lang w:val="es-ES_tradnl"/>
        </w:rPr>
      </w:pPr>
      <w:bookmarkStart w:id="58" w:name="lt_pId165"/>
      <w:r w:rsidRPr="004F6F3E">
        <w:rPr>
          <w:lang w:val="es-ES_tradnl"/>
        </w:rPr>
        <w:t>•</w:t>
      </w:r>
      <w:r w:rsidRPr="004F6F3E">
        <w:rPr>
          <w:lang w:val="es-ES_tradnl"/>
        </w:rPr>
        <w:tab/>
        <w:t>la contribución activa al progreso de la agenda estadística del sistema de las Naciones Unidas, como organismo custodio de varios indicadores de los Objetivos de Desarrollo Sostenible sobre conectividad y calificaciones digitales (a</w:t>
      </w:r>
      <w:r w:rsidR="001D0276">
        <w:rPr>
          <w:lang w:val="es-ES_tradnl"/>
        </w:rPr>
        <w:t xml:space="preserve"> </w:t>
      </w:r>
      <w:r w:rsidRPr="004F6F3E">
        <w:rPr>
          <w:lang w:val="es-ES_tradnl"/>
        </w:rPr>
        <w:t>saber, 4.4.1, 5.b.1, 9.c.1, 17.6.1 y 17.8.1).</w:t>
      </w:r>
      <w:bookmarkEnd w:id="58"/>
    </w:p>
    <w:p w14:paraId="7560805E" w14:textId="77777777" w:rsidR="00133FCF" w:rsidRPr="004F6F3E" w:rsidRDefault="00133FCF" w:rsidP="003B091B">
      <w:pPr>
        <w:pStyle w:val="Headingi"/>
        <w:rPr>
          <w:lang w:val="es-ES_tradnl"/>
        </w:rPr>
      </w:pPr>
      <w:r w:rsidRPr="004F6F3E">
        <w:rPr>
          <w:lang w:val="es-ES_tradnl"/>
        </w:rPr>
        <w:t>Desarrollo de capacidades</w:t>
      </w:r>
      <w:r w:rsidRPr="004F6F3E">
        <w:rPr>
          <w:rStyle w:val="FootnoteReference"/>
          <w:i w:val="0"/>
          <w:iCs/>
          <w:lang w:val="es-ES_tradnl"/>
        </w:rPr>
        <w:footnoteReference w:customMarkFollows="1" w:id="32"/>
        <w:t>32</w:t>
      </w:r>
    </w:p>
    <w:p w14:paraId="12298FD6" w14:textId="77777777" w:rsidR="00133FCF" w:rsidRPr="004F6F3E" w:rsidRDefault="00133FCF" w:rsidP="00133FCF">
      <w:pPr>
        <w:rPr>
          <w:lang w:val="es-ES_tradnl"/>
        </w:rPr>
      </w:pPr>
      <w:bookmarkStart w:id="59" w:name="lt_pId167"/>
      <w:r w:rsidRPr="004F6F3E">
        <w:rPr>
          <w:lang w:val="es-ES_tradnl"/>
        </w:rPr>
        <w:t>Los productos y servicios del UIT-D incluyen:</w:t>
      </w:r>
    </w:p>
    <w:p w14:paraId="5F7FB79E" w14:textId="77777777" w:rsidR="00133FCF" w:rsidRPr="004F6F3E" w:rsidRDefault="00133FCF" w:rsidP="00133FCF">
      <w:pPr>
        <w:pStyle w:val="enumlev1"/>
        <w:rPr>
          <w:lang w:val="es-ES_tradnl"/>
        </w:rPr>
      </w:pPr>
      <w:r w:rsidRPr="004F6F3E">
        <w:rPr>
          <w:lang w:val="es-ES_tradnl"/>
        </w:rPr>
        <w:t>•</w:t>
      </w:r>
      <w:r w:rsidRPr="004F6F3E">
        <w:rPr>
          <w:lang w:val="es-ES_tradnl"/>
        </w:rPr>
        <w:tab/>
        <w:t>el desarrollo de las capacidades de los profesionales de las telecomunicaciones/TIC, y la promoción de la alfabetización y las competencias digitales de los ciudadanos con objeto de construir una sociedad en la que todas las personas utilicen los conocimientos y las competencias en materia de tecnologías digitales de que disponen para mejorar sus medios de vida</w:t>
      </w:r>
      <w:bookmarkEnd w:id="59"/>
      <w:r w:rsidRPr="004F6F3E">
        <w:rPr>
          <w:lang w:val="es-ES_tradnl"/>
        </w:rPr>
        <w:t>; y</w:t>
      </w:r>
    </w:p>
    <w:p w14:paraId="41B40F0D" w14:textId="77777777" w:rsidR="00133FCF" w:rsidRPr="004F6F3E" w:rsidRDefault="00133FCF" w:rsidP="00133FCF">
      <w:pPr>
        <w:pStyle w:val="enumlev1"/>
        <w:rPr>
          <w:lang w:val="es-ES_tradnl"/>
        </w:rPr>
      </w:pPr>
      <w:bookmarkStart w:id="60" w:name="lt_pId171"/>
      <w:r w:rsidRPr="004F6F3E">
        <w:rPr>
          <w:lang w:val="es-ES_tradnl"/>
        </w:rPr>
        <w:t>•</w:t>
      </w:r>
      <w:r w:rsidRPr="004F6F3E">
        <w:rPr>
          <w:lang w:val="es-ES_tradnl"/>
        </w:rPr>
        <w:tab/>
        <w:t>la promoción, sobre todo mediante la creación de asociaciones, del desarrollo, la expansión y el uso de redes, servicios y aplicaciones de telecomunicaciones/TIC, especialmente en los países en desarrollo, teniendo cuenta de la labor realizada por otros organismos pertinentes, reforzando el desarrollo de capacidades.</w:t>
      </w:r>
      <w:bookmarkEnd w:id="60"/>
    </w:p>
    <w:p w14:paraId="33B239B8" w14:textId="77777777" w:rsidR="00133FCF" w:rsidRPr="004F6F3E" w:rsidRDefault="00133FCF" w:rsidP="00133FCF">
      <w:pPr>
        <w:pStyle w:val="Headingi"/>
        <w:rPr>
          <w:lang w:val="es-ES_tradnl"/>
        </w:rPr>
      </w:pPr>
      <w:r w:rsidRPr="004F6F3E">
        <w:rPr>
          <w:lang w:val="es-ES_tradnl"/>
        </w:rPr>
        <w:t>Prestación de asistencia técnica</w:t>
      </w:r>
      <w:r w:rsidRPr="004F6F3E">
        <w:rPr>
          <w:rStyle w:val="FootnoteReference"/>
          <w:i w:val="0"/>
          <w:iCs/>
          <w:lang w:val="es-ES_tradnl"/>
        </w:rPr>
        <w:footnoteReference w:customMarkFollows="1" w:id="33"/>
        <w:t>33</w:t>
      </w:r>
    </w:p>
    <w:p w14:paraId="575D1312" w14:textId="77777777" w:rsidR="00133FCF" w:rsidRPr="004F6F3E" w:rsidRDefault="00133FCF" w:rsidP="00133FCF">
      <w:pPr>
        <w:rPr>
          <w:lang w:val="es-ES_tradnl"/>
        </w:rPr>
      </w:pPr>
      <w:r w:rsidRPr="004F6F3E">
        <w:rPr>
          <w:lang w:val="es-ES_tradnl"/>
        </w:rPr>
        <w:t>Los productos y servicios del UIT-D incluyen:</w:t>
      </w:r>
    </w:p>
    <w:p w14:paraId="28B18177" w14:textId="77777777" w:rsidR="00133FCF" w:rsidRPr="004F6F3E" w:rsidRDefault="00133FCF" w:rsidP="00133FCF">
      <w:pPr>
        <w:pStyle w:val="enumlev1"/>
        <w:rPr>
          <w:lang w:val="es-ES_tradnl"/>
        </w:rPr>
      </w:pPr>
      <w:r w:rsidRPr="004F6F3E">
        <w:rPr>
          <w:lang w:val="es-ES_tradnl"/>
        </w:rPr>
        <w:t>•</w:t>
      </w:r>
      <w:r w:rsidRPr="004F6F3E">
        <w:rPr>
          <w:lang w:val="es-ES_tradnl"/>
        </w:rPr>
        <w:tab/>
        <w:t>la prestación de asistencia técnica a los Estados Miembros, en particular a los países en desarrollo, incluidos los países menos adelantados, los pequeños Estados insulares en desarrollo, los países en desarrollo sin litoral y los países con economías en transición, así como a las organizaciones regionales, en el ámbito de las telecomunicaciones;</w:t>
      </w:r>
    </w:p>
    <w:p w14:paraId="3CC08999" w14:textId="0AA2EF34" w:rsidR="00133FCF" w:rsidRPr="004F6F3E" w:rsidRDefault="00133FCF" w:rsidP="00133FCF">
      <w:pPr>
        <w:pStyle w:val="enumlev1"/>
        <w:rPr>
          <w:lang w:val="es-ES_tradnl"/>
        </w:rPr>
      </w:pPr>
      <w:r w:rsidRPr="004F6F3E">
        <w:rPr>
          <w:lang w:val="es-ES_tradnl"/>
        </w:rPr>
        <w:t>•</w:t>
      </w:r>
      <w:r w:rsidRPr="004F6F3E">
        <w:rPr>
          <w:lang w:val="es-ES_tradnl"/>
        </w:rPr>
        <w:tab/>
        <w:t xml:space="preserve">proyectos y soluciones adaptados a las necesidades de múltiples partes interesadas, partiendo de unos conocimientos técnicos abundantes y reconocidos en el ámbito de las telecomunicaciones/TIC, y de una amplia experiencia en el desarrollo, la gestión, </w:t>
      </w:r>
      <w:r w:rsidRPr="004F6F3E">
        <w:rPr>
          <w:lang w:val="es-ES_tradnl"/>
        </w:rPr>
        <w:lastRenderedPageBreak/>
        <w:t>la</w:t>
      </w:r>
      <w:r w:rsidR="00942D61">
        <w:rPr>
          <w:lang w:val="es-ES_tradnl"/>
        </w:rPr>
        <w:t> </w:t>
      </w:r>
      <w:r w:rsidRPr="004F6F3E">
        <w:rPr>
          <w:lang w:val="es-ES_tradnl"/>
        </w:rPr>
        <w:t>ejecución, la supervisión y la evaluación de proyectos, y centrándose en la gestión basada en los resultados, así como oportunidades para la creación de asociaciones público-privadas y el establecimiento de una plataforma de confianza en la que abordar las necesidades de desarrollo mediante el uso de las telecomunicaciones/TIC; y</w:t>
      </w:r>
    </w:p>
    <w:p w14:paraId="416B847B" w14:textId="77777777" w:rsidR="00133FCF" w:rsidRPr="004F6F3E" w:rsidRDefault="00133FCF" w:rsidP="00133FCF">
      <w:pPr>
        <w:pStyle w:val="enumlev1"/>
        <w:rPr>
          <w:lang w:val="es-ES_tradnl"/>
        </w:rPr>
      </w:pPr>
      <w:bookmarkStart w:id="61" w:name="lt_pId176"/>
      <w:r w:rsidRPr="004F6F3E">
        <w:rPr>
          <w:lang w:val="es-ES_tradnl"/>
        </w:rPr>
        <w:t>•</w:t>
      </w:r>
      <w:r w:rsidRPr="004F6F3E">
        <w:rPr>
          <w:lang w:val="es-ES_tradnl"/>
        </w:rPr>
        <w:tab/>
        <w:t>la asistencia a efectos de la aplicación de las decisiones de las conferencias mundiales y regionales y el apoyo a las actividades de coordinación del espectro entre los Miembros de la UIT, y herramientas informáticas para ayudar a las administraciones de los países en desarrollo a asumir de manera más efectiva sus responsabilidades en materia de gestión del espectro.</w:t>
      </w:r>
    </w:p>
    <w:bookmarkEnd w:id="61"/>
    <w:p w14:paraId="54C62A9D" w14:textId="77777777" w:rsidR="00133FCF" w:rsidRPr="004F6F3E" w:rsidRDefault="00133FCF" w:rsidP="00133FCF">
      <w:pPr>
        <w:pStyle w:val="Headingi"/>
        <w:rPr>
          <w:lang w:val="es-ES_tradnl"/>
        </w:rPr>
      </w:pPr>
      <w:r w:rsidRPr="004F6F3E">
        <w:rPr>
          <w:lang w:val="es-ES_tradnl"/>
        </w:rPr>
        <w:t>Creación de plataformas</w:t>
      </w:r>
      <w:r w:rsidRPr="001D0276">
        <w:rPr>
          <w:rStyle w:val="FootnoteReference"/>
          <w:i w:val="0"/>
          <w:iCs/>
          <w:lang w:val="es-ES_tradnl"/>
        </w:rPr>
        <w:footnoteReference w:customMarkFollows="1" w:id="34"/>
        <w:t>34</w:t>
      </w:r>
    </w:p>
    <w:p w14:paraId="515DB142" w14:textId="77777777" w:rsidR="00133FCF" w:rsidRPr="004F6F3E" w:rsidRDefault="00133FCF" w:rsidP="00133FCF">
      <w:pPr>
        <w:rPr>
          <w:lang w:val="es-ES_tradnl"/>
        </w:rPr>
      </w:pPr>
      <w:bookmarkStart w:id="62" w:name="lt_pId178"/>
      <w:r w:rsidRPr="004F6F3E">
        <w:rPr>
          <w:lang w:val="es-ES_tradnl"/>
        </w:rPr>
        <w:t>Los productos y servicios del UIT-D incluyen:</w:t>
      </w:r>
    </w:p>
    <w:p w14:paraId="12662438" w14:textId="77777777" w:rsidR="00133FCF" w:rsidRPr="004F6F3E" w:rsidRDefault="00133FCF" w:rsidP="00133FCF">
      <w:pPr>
        <w:pStyle w:val="enumlev1"/>
        <w:rPr>
          <w:lang w:val="es-ES_tradnl"/>
        </w:rPr>
      </w:pPr>
      <w:r w:rsidRPr="004F6F3E">
        <w:rPr>
          <w:lang w:val="es-ES_tradnl"/>
        </w:rPr>
        <w:t>•</w:t>
      </w:r>
      <w:r w:rsidRPr="004F6F3E">
        <w:rPr>
          <w:lang w:val="es-ES_tradnl"/>
        </w:rPr>
        <w:tab/>
        <w:t>la reunión de una amplia gama de interesados en el marco de una plataforma en el ámbito de las telecomunicaciones/TIC en la que estos puedan compartir experiencias y conocimientos, colaborar y definir los medios necesarios para que todo el mundo pueda gozar de una conectividad asequible, segura y fiable, y utilizarla; y</w:t>
      </w:r>
      <w:bookmarkEnd w:id="62"/>
    </w:p>
    <w:p w14:paraId="738839C1" w14:textId="77777777" w:rsidR="00133FCF" w:rsidRPr="004F6F3E" w:rsidRDefault="00133FCF" w:rsidP="00133FCF">
      <w:pPr>
        <w:pStyle w:val="enumlev1"/>
        <w:keepNext/>
        <w:keepLines/>
        <w:rPr>
          <w:lang w:val="es-ES_tradnl"/>
        </w:rPr>
      </w:pPr>
      <w:r w:rsidRPr="004F6F3E">
        <w:rPr>
          <w:lang w:val="es-ES_tradnl"/>
        </w:rPr>
        <w:t>•</w:t>
      </w:r>
      <w:r w:rsidRPr="004F6F3E">
        <w:rPr>
          <w:lang w:val="es-ES_tradnl"/>
        </w:rPr>
        <w:tab/>
        <w:t>el fomento de la cooperación y la creación de asociaciones internacionales para el crecimiento de las telecomunicaciones/TIC, especialmente con organizaciones regionales de telecomunicaciones e instituciones de financiación del desarrollo mundiales y regionales.</w:t>
      </w:r>
    </w:p>
    <w:p w14:paraId="4C1C90E8" w14:textId="77777777" w:rsidR="00133FCF" w:rsidRPr="004F6F3E" w:rsidRDefault="00133FCF" w:rsidP="00133FCF">
      <w:pPr>
        <w:pStyle w:val="Heading3"/>
        <w:rPr>
          <w:lang w:val="es-ES_tradnl"/>
        </w:rPr>
      </w:pPr>
      <w:bookmarkStart w:id="63" w:name="lt_pId180"/>
      <w:bookmarkStart w:id="64" w:name="_Toc99954530"/>
      <w:r w:rsidRPr="004F6F3E">
        <w:rPr>
          <w:lang w:val="es-ES_tradnl"/>
        </w:rPr>
        <w:t>3.3</w:t>
      </w:r>
      <w:r w:rsidRPr="004F6F3E">
        <w:rPr>
          <w:lang w:val="es-ES_tradnl"/>
        </w:rPr>
        <w:tab/>
      </w:r>
      <w:bookmarkEnd w:id="63"/>
      <w:r w:rsidRPr="004F6F3E">
        <w:rPr>
          <w:lang w:val="es-ES_tradnl"/>
        </w:rPr>
        <w:t>Factores habilitadores</w:t>
      </w:r>
      <w:bookmarkEnd w:id="64"/>
    </w:p>
    <w:p w14:paraId="7EEFEE6B" w14:textId="77777777" w:rsidR="00133FCF" w:rsidRPr="004F6F3E" w:rsidRDefault="00133FCF" w:rsidP="001D0276">
      <w:pPr>
        <w:rPr>
          <w:lang w:val="es-ES_tradnl"/>
        </w:rPr>
      </w:pPr>
      <w:bookmarkStart w:id="65" w:name="_Hlk90996256"/>
      <w:r w:rsidRPr="004F6F3E">
        <w:rPr>
          <w:lang w:val="es-ES_tradnl"/>
        </w:rPr>
        <w:t>El UIT-D ejecutará el Plan de Acción a través de los factores habilitadores establecidos en el Plan Estratégico de la UIT para 2024-2027, cuyas definiciones se incluyen en esta sección a efectos de referencia. Los factores habilitadores son los métodos de trabajo que permiten a la Unión cumplir sus objetivos y prioridades de manera más eficaz y eficiente. Estos reflejan tanto los valores de la Unión de eficiencia, transparencia, responsabilidad, apertura, universalidad y neutralidad, como su condición de organización antropocéntrica, orientada a los servicios y basada en los resultados, aprovechan sus principales puntos fuertes y abordan sus puntos débiles, para poder apoyar a sus miembros</w:t>
      </w:r>
      <w:r w:rsidRPr="004F6F3E">
        <w:rPr>
          <w:rStyle w:val="FootnoteReference"/>
          <w:lang w:val="es-ES_tradnl"/>
        </w:rPr>
        <w:footnoteReference w:customMarkFollows="1" w:id="35"/>
        <w:t>35</w:t>
      </w:r>
      <w:r w:rsidRPr="004F6F3E">
        <w:rPr>
          <w:lang w:val="es-ES_tradnl"/>
        </w:rPr>
        <w:t>.</w:t>
      </w:r>
    </w:p>
    <w:bookmarkEnd w:id="65"/>
    <w:p w14:paraId="559A6C6A" w14:textId="77777777" w:rsidR="00133FCF" w:rsidRPr="004F6F3E" w:rsidRDefault="00133FCF" w:rsidP="00133FCF">
      <w:pPr>
        <w:pStyle w:val="Headingi"/>
        <w:rPr>
          <w:lang w:val="es-ES_tradnl"/>
        </w:rPr>
      </w:pPr>
      <w:r w:rsidRPr="004F6F3E">
        <w:rPr>
          <w:lang w:val="es-ES_tradnl"/>
        </w:rPr>
        <w:t>Impulso de los miembros</w:t>
      </w:r>
    </w:p>
    <w:p w14:paraId="203E0DEE" w14:textId="77777777" w:rsidR="00133FCF" w:rsidRPr="004F6F3E" w:rsidRDefault="00133FCF" w:rsidP="00133FCF">
      <w:pPr>
        <w:rPr>
          <w:lang w:val="es-ES_tradnl"/>
        </w:rPr>
      </w:pPr>
      <w:bookmarkStart w:id="66" w:name="lt_pId184"/>
      <w:r w:rsidRPr="004F6F3E">
        <w:rPr>
          <w:lang w:val="es-ES_tradnl"/>
        </w:rPr>
        <w:t>La UIT seguirá trabajando como una organización impulsada por sus miembros, a fin de atender y reflejar eficazmente sus necesidades. La UIT reconoce las necesidades de todos los países, en particular las de los países en desarrollo, los países menos adelantados, los pequeños Estados insulares en desarrollo, los países en desarrollo sin litoral y los países con economías en transición, así como de las poblaciones subatendidas y vulnerables, a las que cabría dar prioridad y prestar la debida atención. La UIT también se esforzará por afianzar su compromiso con los representantes del sector de las telecomunicaciones/TIC, así como de otros sectores industriales, para demostrar su propuesta de valor en el contexto de las metas estratégicas</w:t>
      </w:r>
      <w:r w:rsidRPr="004F6F3E">
        <w:rPr>
          <w:rStyle w:val="FootnoteReference"/>
          <w:lang w:val="es-ES_tradnl"/>
        </w:rPr>
        <w:footnoteReference w:customMarkFollows="1" w:id="36"/>
        <w:t>36</w:t>
      </w:r>
      <w:r w:rsidRPr="004F6F3E">
        <w:rPr>
          <w:lang w:val="es-ES_tradnl"/>
        </w:rPr>
        <w:t>.</w:t>
      </w:r>
      <w:bookmarkEnd w:id="66"/>
    </w:p>
    <w:p w14:paraId="07A91AC3" w14:textId="77777777" w:rsidR="00133FCF" w:rsidRPr="004F6F3E" w:rsidRDefault="00133FCF" w:rsidP="00133FCF">
      <w:pPr>
        <w:pStyle w:val="Headingi"/>
        <w:rPr>
          <w:lang w:val="es-ES_tradnl"/>
        </w:rPr>
      </w:pPr>
      <w:r w:rsidRPr="004F6F3E">
        <w:rPr>
          <w:lang w:val="es-ES_tradnl"/>
        </w:rPr>
        <w:lastRenderedPageBreak/>
        <w:t>Presencia regional</w:t>
      </w:r>
    </w:p>
    <w:p w14:paraId="7D746043" w14:textId="77777777" w:rsidR="00133FCF" w:rsidRPr="004F6F3E" w:rsidRDefault="00133FCF" w:rsidP="00133FCF">
      <w:pPr>
        <w:rPr>
          <w:lang w:val="es-ES_tradnl"/>
        </w:rPr>
      </w:pPr>
      <w:r w:rsidRPr="004F6F3E">
        <w:rPr>
          <w:lang w:val="es-ES_tradnl"/>
        </w:rPr>
        <w:t>Como prolongación de la UIT en su conjunto, la presencia regional desempeña un papel decisivo en el cumplimiento de la misión de la Unión, pues mejora su comprensión de los contextos locales y su capacidad para responder a las necesidades de los países de forma eficaz. La presencia regional consolidará la planificación estratégica a nivel de las distintas Oficinas Regionales y/o Zonales, aplicando programas e iniciativas acordes con las metas estratégicas y las prioridades temáticas de la Unión y basados en ellas. Mediante la aplicación de las finalidades mundiales y la aclaración de las prioridades de los programas a escala regional, la UIT también tratará de mejorar su eficacia y repercusión globales. La presencia regional reforzará la posición de la UIT como conformadora/ejecutora y mejorará la cooperación en el seno de las Naciones Unidas, a fin de crear mayores oportunidades regionales y, de esta forma, llegar a más países y definir prioridades más claras y eficaces para los compromisos nacionales. También se procurará reforzar las capacidades en el plano regional, de tal manera que las Oficinas Regionales y Zonales puedan ejecutar los programas y compromisos establecidos en función de las metas estratégicas y las prioridades temáticas de la Unión</w:t>
      </w:r>
      <w:r w:rsidRPr="004F6F3E">
        <w:rPr>
          <w:rStyle w:val="FootnoteReference"/>
          <w:lang w:val="es-ES_tradnl"/>
        </w:rPr>
        <w:footnoteReference w:customMarkFollows="1" w:id="37"/>
        <w:t>37</w:t>
      </w:r>
      <w:r w:rsidRPr="004F6F3E">
        <w:rPr>
          <w:lang w:val="es-ES_tradnl"/>
        </w:rPr>
        <w:t>.</w:t>
      </w:r>
    </w:p>
    <w:p w14:paraId="749DD7BB" w14:textId="77777777" w:rsidR="00133FCF" w:rsidRPr="004F6F3E" w:rsidRDefault="00133FCF" w:rsidP="003B091B">
      <w:pPr>
        <w:pStyle w:val="Headingi"/>
        <w:rPr>
          <w:lang w:val="es-ES_tradnl"/>
        </w:rPr>
      </w:pPr>
      <w:r w:rsidRPr="004F6F3E">
        <w:rPr>
          <w:lang w:val="es-ES_tradnl"/>
        </w:rPr>
        <w:t>Diversidad e inclusión</w:t>
      </w:r>
    </w:p>
    <w:p w14:paraId="666A28A0" w14:textId="77777777" w:rsidR="00133FCF" w:rsidRPr="004F6F3E" w:rsidRDefault="00133FCF" w:rsidP="004230CE">
      <w:pPr>
        <w:rPr>
          <w:lang w:val="es-ES_tradnl"/>
        </w:rPr>
      </w:pPr>
      <w:bookmarkStart w:id="67" w:name="lt_pId194"/>
      <w:r w:rsidRPr="004F6F3E">
        <w:rPr>
          <w:lang w:val="es-ES_tradnl"/>
        </w:rPr>
        <w:t>La UIT sigue decidida a integrar prácticas favorables a la diversidad y la inclusión en todos sus trabajos, con el fin de garantizar la igualdad y promover los derechos de los grupos marginados. De cara a la consecución de sus objetivos, la UIT se esforzará por reducir la brecha digital y construir una sociedad digital integradora, fomentando el acceso, la asequibilidad y la utilización de las telecomunicaciones/TIC en todos los países y para todas las personas, en especial las mujeres y las niñas, los jóvenes, los pueblos indígenas, las personas de edad avanzada y las personas con discapacidad y con necesidades específicas. A nivel interno, la UIT sigue cultivando una cultura inclusiva, que promueve la diversidad entre sus trabajadores y sus Miembros</w:t>
      </w:r>
      <w:r w:rsidRPr="004F6F3E">
        <w:rPr>
          <w:rStyle w:val="FootnoteReference"/>
          <w:lang w:val="es-ES_tradnl"/>
        </w:rPr>
        <w:footnoteReference w:customMarkFollows="1" w:id="38"/>
        <w:t>38</w:t>
      </w:r>
      <w:r w:rsidRPr="004F6F3E">
        <w:rPr>
          <w:lang w:val="es-ES_tradnl"/>
        </w:rPr>
        <w:t>.</w:t>
      </w:r>
      <w:bookmarkEnd w:id="67"/>
    </w:p>
    <w:p w14:paraId="11A58088" w14:textId="77777777" w:rsidR="00133FCF" w:rsidRPr="004F6F3E" w:rsidRDefault="00133FCF" w:rsidP="00133FCF">
      <w:pPr>
        <w:pStyle w:val="Headingi"/>
        <w:rPr>
          <w:lang w:val="es-ES_tradnl"/>
        </w:rPr>
      </w:pPr>
      <w:r w:rsidRPr="004F6F3E">
        <w:rPr>
          <w:lang w:val="es-ES_tradnl"/>
        </w:rPr>
        <w:t>Compromiso con la sostenibilidad medioambiental</w:t>
      </w:r>
    </w:p>
    <w:p w14:paraId="1540A54B" w14:textId="77777777" w:rsidR="00133FCF" w:rsidRPr="004F6F3E" w:rsidRDefault="00133FCF" w:rsidP="00133FCF">
      <w:pPr>
        <w:rPr>
          <w:lang w:val="es-ES_tradnl"/>
        </w:rPr>
      </w:pPr>
      <w:bookmarkStart w:id="68" w:name="lt_pId198"/>
      <w:r w:rsidRPr="004F6F3E">
        <w:rPr>
          <w:lang w:val="es-ES_tradnl"/>
        </w:rPr>
        <w:t xml:space="preserve">La UIT reconoce que las telecomunicaciones/TIC vienen acompañadas de riesgos, retos y oportunidades para el medio ambiente. Uno de los compromisos de la UIT consiste en facilitar el uso de las telecomunicaciones/TIC con miras al seguimiento del cambio climático, la mitigación de sus efectos y la adaptación a ellos, poniendo a disposición soluciones digitales en favor de la eficiencia energética y la reducción de las emisiones de carbono y protegiendo la salud de las personas y el medio ambiente frente a los residuos electrónicos. La UIT aplicará una perspectiva medioambiental a todos sus trabajos, con objeto de promover una transformación digital sostenible, y seguirá abordando el cambio climático desde dentro e integrando sistemáticamente el tema de la sostenibilidad medioambiental en todas sus actividades, de conformidad con la </w:t>
      </w:r>
      <w:bookmarkStart w:id="69" w:name="lt_pId200"/>
      <w:bookmarkEnd w:id="68"/>
      <w:r w:rsidRPr="004F6F3E">
        <w:rPr>
          <w:lang w:val="es-ES_tradnl"/>
        </w:rPr>
        <w:t>Estrategia de Gestión de la Sostenibilidad en el Sistema de las Naciones Unidas 2020-2030</w:t>
      </w:r>
      <w:r w:rsidRPr="004F6F3E">
        <w:rPr>
          <w:rStyle w:val="FootnoteReference"/>
          <w:lang w:val="es-ES_tradnl"/>
        </w:rPr>
        <w:footnoteReference w:customMarkFollows="1" w:id="39"/>
        <w:t>39</w:t>
      </w:r>
      <w:r w:rsidRPr="004F6F3E">
        <w:rPr>
          <w:lang w:val="es-ES_tradnl"/>
        </w:rPr>
        <w:t>.</w:t>
      </w:r>
      <w:bookmarkEnd w:id="69"/>
    </w:p>
    <w:p w14:paraId="6C11F773" w14:textId="77777777" w:rsidR="00133FCF" w:rsidRPr="004F6F3E" w:rsidRDefault="00133FCF" w:rsidP="00133FCF">
      <w:pPr>
        <w:pStyle w:val="Headingi"/>
        <w:rPr>
          <w:lang w:val="es-ES_tradnl"/>
        </w:rPr>
      </w:pPr>
      <w:r w:rsidRPr="004F6F3E">
        <w:rPr>
          <w:lang w:val="es-ES_tradnl"/>
        </w:rPr>
        <w:lastRenderedPageBreak/>
        <w:t>Asociaciones y cooperación internacional</w:t>
      </w:r>
    </w:p>
    <w:p w14:paraId="084EE261" w14:textId="17F8310F" w:rsidR="00133FCF" w:rsidRPr="004F6F3E" w:rsidRDefault="00133FCF" w:rsidP="005B36F4">
      <w:pPr>
        <w:keepNext/>
        <w:keepLines/>
        <w:rPr>
          <w:lang w:val="es-ES_tradnl"/>
        </w:rPr>
      </w:pPr>
      <w:bookmarkStart w:id="70" w:name="lt_pId202"/>
      <w:r w:rsidRPr="004F6F3E">
        <w:rPr>
          <w:lang w:val="es-ES_tradnl"/>
        </w:rPr>
        <w:t>A fin de incrementar la colaboración mundial en favor de su misión, la UIT sigue reforzando las asociaciones entre sus Miembros y otras partes interesadas. A tal efecto, la Unión puede aprovechar su heterogénea composición y su poder de convocatoria multilateral para fomentar la cooperación entre Gobiernos y reguladores, entidades del sector privado y miembros de la comunidad académica. La UIT también reconoce la importancia de cultivar asociaciones estratégicas con organismos de las Naciones Unidas y organizaciones de diversa índole, incluidos organismos de normalización, para afianzar la cooperación en todo el sector de las telecomunicaciones/TIC con miras al cumplimiento de las Líneas de Acción de la CMSI y los ODS para 2030</w:t>
      </w:r>
      <w:r w:rsidRPr="004F6F3E">
        <w:rPr>
          <w:rStyle w:val="FootnoteReference"/>
          <w:lang w:val="es-ES_tradnl"/>
        </w:rPr>
        <w:footnoteReference w:customMarkFollows="1" w:id="40"/>
        <w:t>40</w:t>
      </w:r>
      <w:r w:rsidRPr="004F6F3E">
        <w:rPr>
          <w:lang w:val="es-ES_tradnl"/>
        </w:rPr>
        <w:t>.</w:t>
      </w:r>
    </w:p>
    <w:bookmarkEnd w:id="70"/>
    <w:p w14:paraId="554F506B" w14:textId="77777777" w:rsidR="00133FCF" w:rsidRPr="004F6F3E" w:rsidRDefault="00133FCF" w:rsidP="00133FCF">
      <w:pPr>
        <w:pStyle w:val="Headingi"/>
        <w:rPr>
          <w:lang w:val="es-ES_tradnl"/>
        </w:rPr>
      </w:pPr>
      <w:r w:rsidRPr="004F6F3E">
        <w:rPr>
          <w:lang w:val="es-ES_tradnl"/>
        </w:rPr>
        <w:t>Movilización de recursos</w:t>
      </w:r>
    </w:p>
    <w:p w14:paraId="5ECD0704" w14:textId="77777777" w:rsidR="00133FCF" w:rsidRPr="004F6F3E" w:rsidRDefault="00133FCF" w:rsidP="00133FCF">
      <w:pPr>
        <w:rPr>
          <w:lang w:val="es-ES_tradnl"/>
        </w:rPr>
      </w:pPr>
      <w:bookmarkStart w:id="71" w:name="lt_pId206"/>
      <w:r w:rsidRPr="004F6F3E">
        <w:rPr>
          <w:lang w:val="es-ES_tradnl"/>
        </w:rPr>
        <w:t>A fin de lograr las metas de la Unión y mejorar el apoyo que la UIT brinda a sus miembros, es fundamental acelerar las iniciativas de movilización de recursos y aumentar los niveles de financiación. Por tanto, la UIT reconoce la necesidad de determinar los procedimientos más eficaces para movilizar recursos extrapresupuestarios, desarrollar su capacidad de movilización de recursos y mejorar su actual estrategia de recaudación de fondos, aprovechando al mismo tiempo las aportaciones de los asociados para complementar estos esfuerzos</w:t>
      </w:r>
      <w:r w:rsidRPr="004F6F3E">
        <w:rPr>
          <w:rStyle w:val="FootnoteReference"/>
          <w:lang w:val="es-ES_tradnl"/>
        </w:rPr>
        <w:footnoteReference w:customMarkFollows="1" w:id="41"/>
        <w:t>41</w:t>
      </w:r>
      <w:r w:rsidRPr="004F6F3E">
        <w:rPr>
          <w:lang w:val="es-ES_tradnl"/>
        </w:rPr>
        <w:t>.</w:t>
      </w:r>
      <w:bookmarkEnd w:id="71"/>
    </w:p>
    <w:p w14:paraId="7A92FEBD" w14:textId="77777777" w:rsidR="00133FCF" w:rsidRPr="004F6F3E" w:rsidRDefault="00133FCF" w:rsidP="00133FCF">
      <w:pPr>
        <w:pStyle w:val="Headingi"/>
        <w:rPr>
          <w:lang w:val="es-ES_tradnl"/>
        </w:rPr>
      </w:pPr>
      <w:r w:rsidRPr="004F6F3E">
        <w:rPr>
          <w:lang w:val="es-ES_tradnl"/>
        </w:rPr>
        <w:t>Excelencia e innovación en materia de organización y de recursos humanos</w:t>
      </w:r>
    </w:p>
    <w:p w14:paraId="74439424" w14:textId="27BF5E8E" w:rsidR="00133FCF" w:rsidRDefault="00133FCF" w:rsidP="00133FCF">
      <w:pPr>
        <w:rPr>
          <w:lang w:val="es-ES_tradnl"/>
        </w:rPr>
      </w:pPr>
      <w:r w:rsidRPr="004F6F3E">
        <w:rPr>
          <w:lang w:val="es-ES_tradnl"/>
        </w:rPr>
        <w:t xml:space="preserve">El refuerzo de la eficiencia y la eficacia operativas permite a la UIT responder a los cambios en el panorama de las telecomunicaciones/TIC y a la evolución de las necesidades de sus miembros. Por consiguiente, el objetivo de la UIT es mejorar los procesos internos y acelerar la toma de decisiones abordando las ineficiencias operativas, la duplicación de esfuerzos y la burocracia percibida, reflejando los valores de transparencia y rendición de cuentas. La UIT también reconoce la necesidad de reforzar la eficacia de su funcionamiento, aumentando las sinergias interfuncionales, fomentando la innovación interna, proporcionando orientaciones coherentes en el ámbito de competencia de la Organización y desarrollando un enfoque más sólido de gestión del rendimiento y el talento. Para ello, la Organización pondrá en marcha un plan de transformación de la cultura y las competencias, articulado en torno a cuatro temas principales: planificación estratégica, transformación digital, innovación y gestión </w:t>
      </w:r>
      <w:bookmarkStart w:id="72" w:name="lt_pId212"/>
      <w:r w:rsidRPr="004F6F3E">
        <w:rPr>
          <w:lang w:val="es-ES_tradnl"/>
        </w:rPr>
        <w:t>de los recursos humanos</w:t>
      </w:r>
      <w:r w:rsidRPr="004F6F3E">
        <w:rPr>
          <w:rStyle w:val="FootnoteReference"/>
          <w:lang w:val="es-ES_tradnl"/>
        </w:rPr>
        <w:footnoteReference w:customMarkFollows="1" w:id="42"/>
        <w:t>42</w:t>
      </w:r>
      <w:r w:rsidRPr="004F6F3E">
        <w:rPr>
          <w:lang w:val="es-ES_tradnl"/>
        </w:rPr>
        <w:t>.</w:t>
      </w:r>
      <w:bookmarkEnd w:id="72"/>
    </w:p>
    <w:p w14:paraId="739B3E0E" w14:textId="070D2BD1" w:rsidR="00942D61" w:rsidRDefault="00942D61" w:rsidP="00942D61">
      <w:pPr>
        <w:rPr>
          <w:lang w:val="es-ES_tradnl"/>
        </w:rPr>
      </w:pPr>
      <w:r>
        <w:rPr>
          <w:lang w:val="es-ES_tradnl"/>
        </w:rPr>
        <w:br w:type="page"/>
      </w:r>
    </w:p>
    <w:p w14:paraId="5F97101A" w14:textId="77777777" w:rsidR="00133FCF" w:rsidRPr="004F6F3E" w:rsidRDefault="00133FCF" w:rsidP="00133FCF">
      <w:pPr>
        <w:pStyle w:val="Heading3"/>
        <w:rPr>
          <w:lang w:val="es-ES_tradnl"/>
        </w:rPr>
      </w:pPr>
      <w:bookmarkStart w:id="73" w:name="_Toc76415344"/>
      <w:bookmarkStart w:id="74" w:name="_Toc78445944"/>
      <w:bookmarkStart w:id="75" w:name="_Toc99954531"/>
      <w:bookmarkEnd w:id="45"/>
      <w:r w:rsidRPr="004F6F3E">
        <w:rPr>
          <w:lang w:val="es-ES_tradnl"/>
        </w:rPr>
        <w:lastRenderedPageBreak/>
        <w:t>3.</w:t>
      </w:r>
      <w:bookmarkEnd w:id="73"/>
      <w:bookmarkEnd w:id="74"/>
      <w:r w:rsidRPr="004F6F3E">
        <w:rPr>
          <w:lang w:val="es-ES_tradnl"/>
        </w:rPr>
        <w:t>4</w:t>
      </w:r>
      <w:r w:rsidRPr="004F6F3E">
        <w:rPr>
          <w:lang w:val="es-ES_tradnl"/>
        </w:rPr>
        <w:tab/>
        <w:t>Vinculaciones</w:t>
      </w:r>
      <w:bookmarkEnd w:id="75"/>
    </w:p>
    <w:p w14:paraId="4151AC5B" w14:textId="77777777" w:rsidR="00133FCF" w:rsidRPr="004F6F3E" w:rsidRDefault="00133FCF" w:rsidP="00133FCF">
      <w:pPr>
        <w:rPr>
          <w:rFonts w:eastAsia="Batang"/>
          <w:lang w:val="es-ES_tradnl"/>
        </w:rPr>
      </w:pPr>
      <w:bookmarkStart w:id="76" w:name="lt_pId122"/>
      <w:r w:rsidRPr="004F6F3E">
        <w:rPr>
          <w:rFonts w:eastAsia="Batang"/>
          <w:lang w:val="es-ES_tradnl"/>
        </w:rPr>
        <w:t>El Plan de Acción está organizado en función de las prioridades temáticas y proporciona información y vínculos entre:</w:t>
      </w:r>
      <w:bookmarkEnd w:id="76"/>
    </w:p>
    <w:p w14:paraId="754E0303" w14:textId="77777777" w:rsidR="00133FCF" w:rsidRPr="004F6F3E" w:rsidRDefault="00133FCF" w:rsidP="00133FCF">
      <w:pPr>
        <w:pStyle w:val="enumlev1"/>
        <w:rPr>
          <w:rFonts w:eastAsia="Batang"/>
          <w:lang w:val="es-ES_tradnl"/>
        </w:rPr>
      </w:pPr>
      <w:bookmarkStart w:id="77" w:name="lt_pId123"/>
      <w:r w:rsidRPr="004F6F3E">
        <w:rPr>
          <w:rFonts w:eastAsia="Batang"/>
          <w:lang w:val="es-ES_tradnl"/>
        </w:rPr>
        <w:t>•</w:t>
      </w:r>
      <w:r w:rsidRPr="004F6F3E">
        <w:rPr>
          <w:rFonts w:eastAsia="Batang"/>
          <w:lang w:val="es-ES_tradnl"/>
        </w:rPr>
        <w:tab/>
      </w:r>
      <w:bookmarkEnd w:id="77"/>
      <w:r w:rsidRPr="004F6F3E">
        <w:rPr>
          <w:rFonts w:eastAsia="Batang"/>
          <w:lang w:val="es-ES_tradnl"/>
        </w:rPr>
        <w:t>la contribución del UIT-D a las prioridades temáticas, incluida la descripción completa, y las correspondientes ofertas de productos y servicios, factores habilitadores y productos y resultados clave;</w:t>
      </w:r>
    </w:p>
    <w:p w14:paraId="4CD66FC4" w14:textId="77777777" w:rsidR="00133FCF" w:rsidRPr="004F6F3E" w:rsidRDefault="00133FCF" w:rsidP="005B36F4">
      <w:pPr>
        <w:pStyle w:val="enumlev1"/>
        <w:keepNext/>
        <w:keepLines/>
        <w:rPr>
          <w:rFonts w:eastAsia="Batang"/>
          <w:lang w:val="es-ES_tradnl"/>
        </w:rPr>
      </w:pPr>
      <w:r w:rsidRPr="004F6F3E">
        <w:rPr>
          <w:rFonts w:eastAsia="Batang"/>
          <w:lang w:val="es-ES_tradnl"/>
        </w:rPr>
        <w:t>•</w:t>
      </w:r>
      <w:r w:rsidRPr="004F6F3E">
        <w:rPr>
          <w:rFonts w:eastAsia="Batang"/>
          <w:lang w:val="es-ES_tradnl"/>
        </w:rPr>
        <w:tab/>
      </w:r>
      <w:bookmarkStart w:id="78" w:name="lt_pId124"/>
      <w:r w:rsidRPr="004F6F3E">
        <w:rPr>
          <w:rFonts w:eastAsia="Batang"/>
          <w:lang w:val="es-ES_tradnl"/>
        </w:rPr>
        <w:t>en la Figura 3 se muestran gráficamente los vínculos de las prioridades temáticas y los componentes complementarios con:</w:t>
      </w:r>
      <w:bookmarkEnd w:id="78"/>
    </w:p>
    <w:p w14:paraId="598A9EC6" w14:textId="77777777" w:rsidR="00133FCF" w:rsidRPr="004F6F3E" w:rsidRDefault="00133FCF" w:rsidP="00133FCF">
      <w:pPr>
        <w:pStyle w:val="enumlev2"/>
        <w:rPr>
          <w:rFonts w:ascii="Calibri" w:eastAsia="Batang" w:hAnsi="Calibri"/>
          <w:szCs w:val="24"/>
          <w:lang w:val="es-ES_tradnl"/>
        </w:rPr>
      </w:pPr>
      <w:r w:rsidRPr="004F6F3E">
        <w:rPr>
          <w:rFonts w:eastAsia="Batang"/>
          <w:lang w:val="es-ES_tradnl"/>
        </w:rPr>
        <w:t>–</w:t>
      </w:r>
      <w:r w:rsidRPr="004F6F3E">
        <w:rPr>
          <w:rFonts w:eastAsia="Batang"/>
          <w:lang w:val="es-ES_tradnl"/>
        </w:rPr>
        <w:tab/>
      </w:r>
      <w:r w:rsidRPr="004F6F3E">
        <w:rPr>
          <w:rFonts w:ascii="Calibri" w:eastAsia="Batang" w:hAnsi="Calibri"/>
          <w:szCs w:val="24"/>
          <w:lang w:val="es-ES_tradnl"/>
        </w:rPr>
        <w:t>los ODS y las metas;</w:t>
      </w:r>
    </w:p>
    <w:p w14:paraId="35F9F356" w14:textId="77777777" w:rsidR="00133FCF" w:rsidRPr="004F6F3E" w:rsidRDefault="00133FCF" w:rsidP="00133FCF">
      <w:pPr>
        <w:pStyle w:val="enumlev2"/>
        <w:rPr>
          <w:rFonts w:ascii="Calibri" w:eastAsia="Batang" w:hAnsi="Calibri"/>
          <w:szCs w:val="24"/>
          <w:lang w:val="es-ES_tradnl"/>
        </w:rPr>
      </w:pPr>
      <w:r w:rsidRPr="004F6F3E">
        <w:rPr>
          <w:rFonts w:ascii="Calibri" w:eastAsia="Batang" w:hAnsi="Calibri"/>
          <w:szCs w:val="24"/>
          <w:lang w:val="es-ES_tradnl"/>
        </w:rPr>
        <w:t>–</w:t>
      </w:r>
      <w:r w:rsidRPr="004F6F3E">
        <w:rPr>
          <w:rFonts w:ascii="Calibri" w:eastAsia="Batang" w:hAnsi="Calibri"/>
          <w:szCs w:val="24"/>
          <w:lang w:val="es-ES_tradnl"/>
        </w:rPr>
        <w:tab/>
      </w:r>
      <w:bookmarkStart w:id="79" w:name="lt_pId126"/>
      <w:r w:rsidRPr="004F6F3E">
        <w:rPr>
          <w:rFonts w:ascii="Calibri" w:eastAsia="Batang" w:hAnsi="Calibri"/>
          <w:szCs w:val="24"/>
          <w:lang w:val="es-ES_tradnl"/>
        </w:rPr>
        <w:t xml:space="preserve">el Plan Estratégico de la UIT y las </w:t>
      </w:r>
      <w:bookmarkEnd w:id="79"/>
      <w:r w:rsidRPr="004F6F3E">
        <w:rPr>
          <w:rFonts w:ascii="Calibri" w:eastAsia="Batang" w:hAnsi="Calibri"/>
          <w:szCs w:val="24"/>
          <w:lang w:val="es-ES_tradnl"/>
        </w:rPr>
        <w:t>metas/finalidades;</w:t>
      </w:r>
    </w:p>
    <w:p w14:paraId="50F9092D" w14:textId="77777777" w:rsidR="00133FCF" w:rsidRPr="004F6F3E" w:rsidRDefault="00133FCF" w:rsidP="00133FCF">
      <w:pPr>
        <w:pStyle w:val="enumlev2"/>
        <w:rPr>
          <w:rFonts w:ascii="Calibri" w:eastAsia="Batang" w:hAnsi="Calibri"/>
          <w:szCs w:val="24"/>
          <w:lang w:val="es-ES_tradnl"/>
        </w:rPr>
      </w:pPr>
      <w:r w:rsidRPr="004F6F3E">
        <w:rPr>
          <w:rFonts w:ascii="Calibri" w:eastAsia="Batang" w:hAnsi="Calibri"/>
          <w:szCs w:val="24"/>
          <w:lang w:val="es-ES_tradnl"/>
        </w:rPr>
        <w:t>–</w:t>
      </w:r>
      <w:r w:rsidRPr="004F6F3E">
        <w:rPr>
          <w:rFonts w:ascii="Calibri" w:eastAsia="Batang" w:hAnsi="Calibri"/>
          <w:szCs w:val="24"/>
          <w:lang w:val="es-ES_tradnl"/>
        </w:rPr>
        <w:tab/>
        <w:t>las Líneas de Acción de la CMSI;</w:t>
      </w:r>
    </w:p>
    <w:p w14:paraId="7CE1E281" w14:textId="77777777" w:rsidR="00133FCF" w:rsidRPr="004F6F3E" w:rsidRDefault="00133FCF" w:rsidP="00133FCF">
      <w:pPr>
        <w:pStyle w:val="enumlev2"/>
        <w:rPr>
          <w:rFonts w:ascii="Calibri" w:eastAsia="Batang" w:hAnsi="Calibri"/>
          <w:szCs w:val="24"/>
          <w:lang w:val="es-ES_tradnl"/>
        </w:rPr>
      </w:pPr>
      <w:r w:rsidRPr="004F6F3E">
        <w:rPr>
          <w:rFonts w:ascii="Calibri" w:eastAsia="Batang" w:hAnsi="Calibri"/>
          <w:szCs w:val="24"/>
          <w:lang w:val="es-ES_tradnl"/>
        </w:rPr>
        <w:t>–</w:t>
      </w:r>
      <w:r w:rsidRPr="004F6F3E">
        <w:rPr>
          <w:rFonts w:ascii="Calibri" w:eastAsia="Batang" w:hAnsi="Calibri"/>
          <w:szCs w:val="24"/>
          <w:lang w:val="es-ES_tradnl"/>
        </w:rPr>
        <w:tab/>
      </w:r>
      <w:bookmarkStart w:id="80" w:name="lt_pId128"/>
      <w:r w:rsidRPr="004F6F3E">
        <w:rPr>
          <w:rFonts w:ascii="Calibri" w:eastAsia="Batang" w:hAnsi="Calibri"/>
          <w:szCs w:val="24"/>
          <w:lang w:val="es-ES_tradnl"/>
        </w:rPr>
        <w:t>las Resoluciones y Recomendaciones de la CMDT y las Resoluciones de la PP</w:t>
      </w:r>
      <w:bookmarkEnd w:id="80"/>
      <w:r w:rsidRPr="004F6F3E">
        <w:rPr>
          <w:rFonts w:ascii="Calibri" w:eastAsia="Batang" w:hAnsi="Calibri"/>
          <w:szCs w:val="24"/>
          <w:lang w:val="es-ES_tradnl"/>
        </w:rPr>
        <w:t>;</w:t>
      </w:r>
    </w:p>
    <w:p w14:paraId="00BB62EE" w14:textId="77777777" w:rsidR="00133FCF" w:rsidRPr="004F6F3E" w:rsidRDefault="00133FCF" w:rsidP="00133FCF">
      <w:pPr>
        <w:pStyle w:val="enumlev2"/>
        <w:rPr>
          <w:rFonts w:ascii="Calibri" w:eastAsia="Batang" w:hAnsi="Calibri"/>
          <w:szCs w:val="24"/>
          <w:lang w:val="es-ES_tradnl"/>
        </w:rPr>
      </w:pPr>
      <w:r w:rsidRPr="004F6F3E">
        <w:rPr>
          <w:rFonts w:ascii="Calibri" w:eastAsia="Batang" w:hAnsi="Calibri"/>
          <w:szCs w:val="24"/>
          <w:lang w:val="es-ES_tradnl"/>
        </w:rPr>
        <w:t>–</w:t>
      </w:r>
      <w:r w:rsidRPr="004F6F3E">
        <w:rPr>
          <w:rFonts w:ascii="Calibri" w:eastAsia="Batang" w:hAnsi="Calibri"/>
          <w:szCs w:val="24"/>
          <w:lang w:val="es-ES_tradnl"/>
        </w:rPr>
        <w:tab/>
        <w:t>las iniciativas regionales;</w:t>
      </w:r>
    </w:p>
    <w:p w14:paraId="2FCF05E0" w14:textId="77777777" w:rsidR="00133FCF" w:rsidRPr="004F6F3E" w:rsidRDefault="00133FCF" w:rsidP="00133FCF">
      <w:pPr>
        <w:pStyle w:val="enumlev2"/>
        <w:rPr>
          <w:rFonts w:ascii="Calibri" w:eastAsia="Batang" w:hAnsi="Calibri"/>
          <w:szCs w:val="24"/>
          <w:lang w:val="es-ES_tradnl"/>
        </w:rPr>
      </w:pPr>
      <w:r w:rsidRPr="004F6F3E">
        <w:rPr>
          <w:rFonts w:ascii="Calibri" w:eastAsia="Batang" w:hAnsi="Calibri"/>
          <w:szCs w:val="24"/>
          <w:lang w:val="es-ES_tradnl"/>
        </w:rPr>
        <w:t>–</w:t>
      </w:r>
      <w:r w:rsidRPr="004F6F3E">
        <w:rPr>
          <w:rFonts w:ascii="Calibri" w:eastAsia="Batang" w:hAnsi="Calibri"/>
          <w:szCs w:val="24"/>
          <w:lang w:val="es-ES_tradnl"/>
        </w:rPr>
        <w:tab/>
        <w:t>las Cuestiones de las Comisiones de Estudio.</w:t>
      </w:r>
    </w:p>
    <w:p w14:paraId="34212BCF" w14:textId="442DD725" w:rsidR="00133FCF" w:rsidRPr="004F6F3E" w:rsidRDefault="00133FCF" w:rsidP="00133FCF">
      <w:pPr>
        <w:pStyle w:val="Figuretitle"/>
        <w:rPr>
          <w:rFonts w:eastAsia="Batang"/>
          <w:lang w:val="es-ES_tradnl"/>
        </w:rPr>
      </w:pPr>
      <w:bookmarkStart w:id="81" w:name="_Toc496269467"/>
      <w:bookmarkStart w:id="82" w:name="_Toc496806671"/>
      <w:bookmarkStart w:id="83" w:name="_Toc500343824"/>
      <w:bookmarkStart w:id="84" w:name="_Toc76415345"/>
      <w:r w:rsidRPr="004F6F3E">
        <w:rPr>
          <w:rFonts w:eastAsia="Batang"/>
          <w:lang w:val="es-ES_tradnl"/>
        </w:rPr>
        <w:t>Figura 3.2: Vínculos de las prioridades temáticas, las ofertas y los factores</w:t>
      </w:r>
      <w:r w:rsidR="002022E9">
        <w:rPr>
          <w:rFonts w:eastAsia="Batang"/>
          <w:lang w:val="es-ES_tradnl"/>
        </w:rPr>
        <w:br/>
      </w:r>
      <w:r w:rsidRPr="004F6F3E">
        <w:rPr>
          <w:rFonts w:eastAsia="Batang"/>
          <w:lang w:val="es-ES_tradnl"/>
        </w:rPr>
        <w:t>habilitadores pertinentes</w:t>
      </w:r>
      <w:r w:rsidR="002022E9">
        <w:rPr>
          <w:rFonts w:eastAsia="Batang"/>
          <w:lang w:val="es-ES_tradnl"/>
        </w:rPr>
        <w:t xml:space="preserve"> </w:t>
      </w:r>
      <w:r w:rsidRPr="004F6F3E">
        <w:rPr>
          <w:rFonts w:eastAsia="Batang"/>
          <w:lang w:val="es-ES_tradnl"/>
        </w:rPr>
        <w:t>para el UIT-D con las Resoluciones de la UIT,</w:t>
      </w:r>
      <w:r w:rsidR="002022E9">
        <w:rPr>
          <w:rFonts w:eastAsia="Batang"/>
          <w:lang w:val="es-ES_tradnl"/>
        </w:rPr>
        <w:br/>
      </w:r>
      <w:r w:rsidRPr="004F6F3E">
        <w:rPr>
          <w:rFonts w:eastAsia="Batang"/>
          <w:lang w:val="es-ES_tradnl"/>
        </w:rPr>
        <w:t>las Líneas de Acción de la CMSI y los ODS</w:t>
      </w:r>
      <w:r w:rsidRPr="004F6F3E">
        <w:rPr>
          <w:rStyle w:val="FootnoteReference"/>
          <w:rFonts w:eastAsia="Batang"/>
          <w:b w:val="0"/>
          <w:bCs/>
          <w:lang w:val="es-ES_tradnl"/>
        </w:rPr>
        <w:footnoteReference w:customMarkFollows="1" w:id="43"/>
        <w:t>43</w:t>
      </w:r>
    </w:p>
    <w:p w14:paraId="779A6379" w14:textId="77777777" w:rsidR="00133FCF" w:rsidRPr="004F6F3E" w:rsidRDefault="00133FCF" w:rsidP="00133FCF">
      <w:pPr>
        <w:pStyle w:val="Figure"/>
        <w:rPr>
          <w:rFonts w:eastAsia="Batang"/>
          <w:lang w:val="es-ES_tradnl"/>
        </w:rPr>
      </w:pPr>
      <w:r w:rsidRPr="004F6F3E">
        <w:rPr>
          <w:rFonts w:eastAsia="Batang"/>
          <w:lang w:val="es-ES_tradnl"/>
        </w:rPr>
        <w:object w:dxaOrig="9730" w:dyaOrig="5464" w14:anchorId="4F8D902A">
          <v:shape id="_x0000_i1027" type="#_x0000_t75" style="width:482.5pt;height:279.4pt" o:ole="">
            <v:imagedata r:id="rId19" o:title="" croptop="6392f" cropbottom="4148f" cropleft="6988f" cropright="5155f"/>
          </v:shape>
          <o:OLEObject Type="Embed" ProgID="PowerPoint.Slide.12" ShapeID="_x0000_i1027" DrawAspect="Content" ObjectID="_1713792635" r:id="rId20"/>
        </w:object>
      </w:r>
    </w:p>
    <w:bookmarkEnd w:id="81"/>
    <w:bookmarkEnd w:id="82"/>
    <w:bookmarkEnd w:id="83"/>
    <w:bookmarkEnd w:id="84"/>
    <w:p w14:paraId="78E71526" w14:textId="7792F6E5" w:rsidR="005B36F4" w:rsidRDefault="005B36F4" w:rsidP="005B36F4">
      <w:pPr>
        <w:spacing w:before="0"/>
        <w:rPr>
          <w:rFonts w:eastAsia="Batang"/>
          <w:lang w:val="es-ES_tradnl"/>
        </w:rPr>
      </w:pPr>
      <w:r>
        <w:rPr>
          <w:rFonts w:eastAsia="Batang"/>
          <w:lang w:val="es-ES_tradnl"/>
        </w:rPr>
        <w:br w:type="page"/>
      </w:r>
    </w:p>
    <w:p w14:paraId="54234286" w14:textId="77777777" w:rsidR="00133FCF" w:rsidRPr="004F6F3E" w:rsidRDefault="00133FCF" w:rsidP="00133FCF">
      <w:pPr>
        <w:pStyle w:val="Heading2"/>
        <w:rPr>
          <w:lang w:val="es-ES_tradnl"/>
        </w:rPr>
      </w:pPr>
      <w:bookmarkStart w:id="85" w:name="_Toc78445945"/>
      <w:bookmarkStart w:id="86" w:name="_Toc76415351"/>
      <w:bookmarkStart w:id="87" w:name="_Toc99954532"/>
      <w:r w:rsidRPr="004F6F3E">
        <w:rPr>
          <w:lang w:val="es-ES_tradnl"/>
        </w:rPr>
        <w:lastRenderedPageBreak/>
        <w:t>4</w:t>
      </w:r>
      <w:r w:rsidRPr="004F6F3E">
        <w:rPr>
          <w:lang w:val="es-ES_tradnl"/>
        </w:rPr>
        <w:tab/>
      </w:r>
      <w:bookmarkStart w:id="88" w:name="lt_pId192"/>
      <w:r w:rsidRPr="004F6F3E">
        <w:rPr>
          <w:lang w:val="es-ES_tradnl"/>
        </w:rPr>
        <w:t xml:space="preserve">Aplicación de las </w:t>
      </w:r>
      <w:bookmarkEnd w:id="85"/>
      <w:bookmarkEnd w:id="86"/>
      <w:bookmarkEnd w:id="88"/>
      <w:r w:rsidRPr="004F6F3E">
        <w:rPr>
          <w:lang w:val="es-ES_tradnl"/>
        </w:rPr>
        <w:t>prioridades temáticas</w:t>
      </w:r>
      <w:bookmarkEnd w:id="87"/>
    </w:p>
    <w:p w14:paraId="67BBE1EC" w14:textId="77777777" w:rsidR="00133FCF" w:rsidRPr="004F6F3E" w:rsidRDefault="00133FCF" w:rsidP="00133FCF">
      <w:pPr>
        <w:pStyle w:val="Heading3"/>
        <w:rPr>
          <w:lang w:val="es-ES_tradnl"/>
        </w:rPr>
      </w:pPr>
      <w:bookmarkStart w:id="89" w:name="_Toc97906350"/>
      <w:bookmarkStart w:id="90" w:name="_Toc99954533"/>
      <w:r w:rsidRPr="004F6F3E">
        <w:rPr>
          <w:lang w:val="es-ES_tradnl"/>
        </w:rPr>
        <w:t>4.1</w:t>
      </w:r>
      <w:r w:rsidRPr="004F6F3E">
        <w:rPr>
          <w:lang w:val="es-ES_tradnl"/>
        </w:rPr>
        <w:tab/>
      </w:r>
      <w:bookmarkEnd w:id="89"/>
      <w:r w:rsidRPr="004F6F3E">
        <w:rPr>
          <w:lang w:val="es-ES_tradnl"/>
        </w:rPr>
        <w:t>Aplicación de la prioridad temática relativa a las infraestructuras y los servicios</w:t>
      </w:r>
      <w:bookmarkEnd w:id="90"/>
    </w:p>
    <w:p w14:paraId="2DD7135F" w14:textId="77777777" w:rsidR="00133FCF" w:rsidRPr="004F6F3E" w:rsidRDefault="00133FCF" w:rsidP="00133FCF">
      <w:pPr>
        <w:jc w:val="center"/>
        <w:rPr>
          <w:b/>
          <w:bCs/>
          <w:lang w:val="es-ES_tradnl"/>
        </w:rPr>
      </w:pPr>
      <w:r w:rsidRPr="004F6F3E">
        <w:rPr>
          <w:b/>
          <w:bCs/>
          <w:lang w:val="es-ES_tradnl"/>
        </w:rPr>
        <w:t>Prioridad temática</w:t>
      </w:r>
    </w:p>
    <w:p w14:paraId="2F0EE7EC" w14:textId="77777777" w:rsidR="00133FCF" w:rsidRPr="004F6F3E" w:rsidRDefault="00133FCF" w:rsidP="00133FCF">
      <w:pPr>
        <w:jc w:val="center"/>
        <w:rPr>
          <w:b/>
          <w:bCs/>
          <w:lang w:val="es-ES_tradnl"/>
        </w:rPr>
      </w:pPr>
      <w:r w:rsidRPr="004F6F3E">
        <w:rPr>
          <w:b/>
          <w:bCs/>
          <w:lang w:val="es-ES_tradnl"/>
        </w:rPr>
        <w:t>Realizaciones en materia de infraestructura y servicios</w:t>
      </w:r>
    </w:p>
    <w:p w14:paraId="69E41C5A" w14:textId="77777777" w:rsidR="00133FCF" w:rsidRPr="004F6F3E" w:rsidRDefault="00133FCF" w:rsidP="00133FCF">
      <w:pPr>
        <w:pStyle w:val="enumlev1"/>
        <w:rPr>
          <w:rFonts w:eastAsia="Batang"/>
          <w:highlight w:val="yellow"/>
          <w:lang w:val="es-ES_tradnl"/>
        </w:rPr>
      </w:pPr>
      <w:r w:rsidRPr="004F6F3E">
        <w:rPr>
          <w:rFonts w:eastAsia="Batang"/>
          <w:highlight w:val="yellow"/>
          <w:lang w:val="es-ES_tradnl"/>
        </w:rPr>
        <w:t>1</w:t>
      </w:r>
      <w:r w:rsidRPr="004F6F3E">
        <w:rPr>
          <w:rFonts w:eastAsia="Batang"/>
          <w:highlight w:val="yellow"/>
          <w:lang w:val="es-ES_tradnl"/>
        </w:rPr>
        <w:tab/>
        <w:t>[Mejora de la conectividad de banda ancha en los países en desarrollo, los países menos adelantados (PMA), los pequeños Estados insulares en desarrollo (PEID) y los países en desarrollo sin litoral (PDSL), los países con economías en transición y los países con necesidades específicas]</w:t>
      </w:r>
      <w:r w:rsidRPr="004F6F3E">
        <w:rPr>
          <w:rStyle w:val="FootnoteReference"/>
          <w:rFonts w:eastAsia="Batang"/>
          <w:highlight w:val="yellow"/>
          <w:lang w:val="es-ES_tradnl"/>
        </w:rPr>
        <w:footnoteReference w:customMarkFollows="1" w:id="44"/>
        <w:t>44</w:t>
      </w:r>
      <w:r w:rsidRPr="004F6F3E">
        <w:rPr>
          <w:rFonts w:eastAsia="Batang"/>
          <w:highlight w:val="yellow"/>
          <w:lang w:val="es-ES_tradnl"/>
        </w:rPr>
        <w:t>.</w:t>
      </w:r>
    </w:p>
    <w:p w14:paraId="6F209DCE" w14:textId="77777777" w:rsidR="00133FCF" w:rsidRPr="004F6F3E" w:rsidRDefault="00133FCF" w:rsidP="00133FCF">
      <w:pPr>
        <w:pStyle w:val="enumlev1"/>
        <w:rPr>
          <w:rFonts w:eastAsia="Batang"/>
          <w:lang w:val="es-ES_tradnl"/>
        </w:rPr>
      </w:pPr>
      <w:r w:rsidRPr="004F6F3E">
        <w:rPr>
          <w:rFonts w:eastAsia="Batang"/>
          <w:highlight w:val="yellow"/>
          <w:lang w:val="es-ES_tradnl"/>
        </w:rPr>
        <w:t>2</w:t>
      </w:r>
      <w:r w:rsidRPr="004F6F3E">
        <w:rPr>
          <w:rFonts w:eastAsia="Batang"/>
          <w:highlight w:val="yellow"/>
          <w:lang w:val="es-ES_tradnl"/>
        </w:rPr>
        <w:tab/>
        <w:t>[Mejora de la infraestructura y los servicios de telecomunicaciones/TIC, en particular la cobertura de banda ancha]</w:t>
      </w:r>
      <w:r w:rsidRPr="004F6F3E">
        <w:rPr>
          <w:rStyle w:val="FootnoteReference"/>
          <w:rFonts w:eastAsia="Batang"/>
          <w:highlight w:val="yellow"/>
          <w:lang w:val="es-ES_tradnl"/>
        </w:rPr>
        <w:footnoteReference w:customMarkFollows="1" w:id="45"/>
        <w:t>45</w:t>
      </w:r>
      <w:r w:rsidRPr="004F6F3E">
        <w:rPr>
          <w:rFonts w:eastAsia="Batang"/>
          <w:highlight w:val="yellow"/>
          <w:lang w:val="es-ES_tradnl"/>
        </w:rPr>
        <w:t>.</w:t>
      </w:r>
    </w:p>
    <w:p w14:paraId="5152E45E" w14:textId="77777777" w:rsidR="00133FCF" w:rsidRPr="004F6F3E" w:rsidRDefault="00133FCF" w:rsidP="00133FCF">
      <w:pPr>
        <w:pStyle w:val="enumlev1"/>
        <w:rPr>
          <w:rFonts w:eastAsia="Batang"/>
          <w:lang w:val="es-ES_tradnl"/>
        </w:rPr>
      </w:pPr>
      <w:r w:rsidRPr="004F6F3E">
        <w:rPr>
          <w:rFonts w:eastAsia="Batang"/>
          <w:lang w:val="es-ES_tradnl"/>
        </w:rPr>
        <w:t>3</w:t>
      </w:r>
      <w:r w:rsidRPr="004F6F3E">
        <w:rPr>
          <w:rFonts w:eastAsia="Batang"/>
          <w:lang w:val="es-ES_tradnl"/>
        </w:rPr>
        <w:tab/>
        <w:t>Mejora del acceso a los servicios digitales para los habitantes de las zonas urbanas, rurales y remotas y las comunidades subatendidas</w:t>
      </w:r>
      <w:r w:rsidRPr="004F6F3E">
        <w:rPr>
          <w:rStyle w:val="FootnoteReference"/>
          <w:rFonts w:eastAsia="Batang"/>
          <w:lang w:val="es-ES_tradnl"/>
        </w:rPr>
        <w:footnoteReference w:customMarkFollows="1" w:id="46"/>
        <w:t>46</w:t>
      </w:r>
      <w:r w:rsidRPr="004F6F3E">
        <w:rPr>
          <w:rFonts w:eastAsia="Batang"/>
          <w:lang w:val="es-ES_tradnl"/>
        </w:rPr>
        <w:t>.</w:t>
      </w:r>
    </w:p>
    <w:p w14:paraId="740FBFCA" w14:textId="77777777" w:rsidR="00133FCF" w:rsidRPr="004F6F3E" w:rsidRDefault="00133FCF" w:rsidP="00133FCF">
      <w:pPr>
        <w:pStyle w:val="enumlev1"/>
        <w:rPr>
          <w:rFonts w:eastAsia="Batang"/>
          <w:lang w:val="es-ES_tradnl"/>
        </w:rPr>
      </w:pPr>
      <w:r w:rsidRPr="004F6F3E">
        <w:rPr>
          <w:rFonts w:eastAsia="Batang"/>
          <w:lang w:val="es-ES_tradnl"/>
        </w:rPr>
        <w:t>4</w:t>
      </w:r>
      <w:r w:rsidRPr="004F6F3E">
        <w:rPr>
          <w:rFonts w:eastAsia="Batang"/>
          <w:lang w:val="es-ES_tradnl"/>
        </w:rPr>
        <w:tab/>
        <w:t>Mejora del comercio electrónico para que los miembros de la UIT puedan alcanzar los ODS</w:t>
      </w:r>
      <w:r w:rsidRPr="004F6F3E">
        <w:rPr>
          <w:rStyle w:val="FootnoteReference"/>
          <w:rFonts w:eastAsia="Batang"/>
          <w:lang w:val="es-ES_tradnl"/>
        </w:rPr>
        <w:footnoteReference w:customMarkFollows="1" w:id="47"/>
        <w:t>47</w:t>
      </w:r>
      <w:r w:rsidRPr="004F6F3E">
        <w:rPr>
          <w:rFonts w:eastAsia="Batang"/>
          <w:lang w:val="es-ES_tradnl"/>
        </w:rPr>
        <w:t>.</w:t>
      </w:r>
    </w:p>
    <w:p w14:paraId="1B3D99D4" w14:textId="74B3B95E" w:rsidR="00133FCF" w:rsidRPr="004F6F3E" w:rsidRDefault="00133FCF" w:rsidP="00133FCF">
      <w:pPr>
        <w:pStyle w:val="enumlev1"/>
        <w:rPr>
          <w:rFonts w:eastAsia="Batang"/>
          <w:lang w:val="es-ES_tradnl"/>
        </w:rPr>
      </w:pPr>
      <w:r w:rsidRPr="004F6F3E">
        <w:rPr>
          <w:rFonts w:eastAsia="Batang"/>
          <w:lang w:val="es-ES_tradnl"/>
        </w:rPr>
        <w:t>5</w:t>
      </w:r>
      <w:r w:rsidRPr="004F6F3E">
        <w:rPr>
          <w:rFonts w:eastAsia="Batang"/>
          <w:lang w:val="es-ES_tradnl"/>
        </w:rPr>
        <w:tab/>
        <w:t>Refuerzo de las iniciativas de colaboración y cooperación regionales conjuntas y con otras organizaciones de telecomunicaciones regionales y otros organismos de las Naciones Unidas, así como con instituciones financieras y de desarrollo, a fin de lograr los objetivos de la Agenda Conectar 2030 que guardan relación con las telecomunicaciones/TIC a escala mundial, incluida la banda ancha, para el desarrollo sostenible</w:t>
      </w:r>
      <w:r w:rsidRPr="004F6F3E">
        <w:rPr>
          <w:rStyle w:val="FootnoteReference"/>
          <w:rFonts w:eastAsia="Batang"/>
          <w:lang w:val="es-ES_tradnl"/>
        </w:rPr>
        <w:footnoteReference w:customMarkFollows="1" w:id="48"/>
        <w:t>48</w:t>
      </w:r>
      <w:r w:rsidRPr="004F6F3E">
        <w:rPr>
          <w:rFonts w:eastAsia="Batang"/>
          <w:lang w:val="es-ES_tradnl"/>
        </w:rPr>
        <w:t>.</w:t>
      </w:r>
    </w:p>
    <w:p w14:paraId="25430DCB" w14:textId="08758EE3" w:rsidR="00133FCF" w:rsidRPr="004F6F3E" w:rsidRDefault="00133FCF" w:rsidP="00133FCF">
      <w:pPr>
        <w:pStyle w:val="enumlev1"/>
        <w:rPr>
          <w:rFonts w:eastAsia="Batang"/>
          <w:lang w:val="es-ES_tradnl"/>
        </w:rPr>
      </w:pPr>
      <w:r w:rsidRPr="004F6F3E">
        <w:rPr>
          <w:rFonts w:eastAsia="Batang"/>
          <w:highlight w:val="yellow"/>
          <w:lang w:val="es-ES_tradnl"/>
        </w:rPr>
        <w:t>6</w:t>
      </w:r>
      <w:r w:rsidRPr="004F6F3E">
        <w:rPr>
          <w:rFonts w:eastAsia="Batang"/>
          <w:highlight w:val="yellow"/>
          <w:lang w:val="es-ES_tradnl"/>
        </w:rPr>
        <w:tab/>
        <w:t>[Mejora de la conectividad de banda ancha en los países en desarrollo, los países menos adelantados (PMA), los pequeños Estados insulares en desarrollo (PEID) y los países en desarrollo sin litoral (PDSL), los países con economías en transición y los países con necesidades específicas, mediante la creación de una mayor demanda para la adopción de la banda ancha y de competencias digitales</w:t>
      </w:r>
      <w:r w:rsidRPr="004F6F3E">
        <w:rPr>
          <w:rFonts w:eastAsia="Batang"/>
          <w:highlight w:val="yellow"/>
          <w:lang w:val="es-ES_tradnl"/>
        </w:rPr>
        <w:br/>
      </w:r>
      <w:r w:rsidR="002022E9" w:rsidRPr="004F6F3E">
        <w:rPr>
          <w:rFonts w:eastAsia="Batang"/>
          <w:b/>
          <w:bCs/>
          <w:i/>
          <w:iCs/>
          <w:highlight w:val="yellow"/>
          <w:lang w:val="es-ES_tradnl"/>
        </w:rPr>
        <w:t>O</w:t>
      </w:r>
      <w:r w:rsidRPr="004F6F3E">
        <w:rPr>
          <w:rFonts w:eastAsia="Batang"/>
          <w:b/>
          <w:bCs/>
          <w:i/>
          <w:iCs/>
          <w:highlight w:val="yellow"/>
          <w:lang w:val="es-ES_tradnl"/>
        </w:rPr>
        <w:br/>
      </w:r>
      <w:r w:rsidRPr="004F6F3E">
        <w:rPr>
          <w:rFonts w:eastAsia="Batang"/>
          <w:highlight w:val="yellow"/>
          <w:lang w:val="es-ES_tradnl"/>
        </w:rPr>
        <w:t xml:space="preserve">Alternativa: mejora del crecimiento socioeconómico en los países en desarrollo, los países menos adelantados (PMA), los pequeños Estados insulares en desarrollo (PEID) </w:t>
      </w:r>
      <w:r w:rsidRPr="004F6F3E">
        <w:rPr>
          <w:rFonts w:eastAsia="Batang"/>
          <w:highlight w:val="yellow"/>
          <w:lang w:val="es-ES_tradnl"/>
        </w:rPr>
        <w:lastRenderedPageBreak/>
        <w:t>y los países en desarrollo sin litoral (PDSL), los países con economías en transición y los países con necesidades específicas, mediante la conectividad de banda ancha]</w:t>
      </w:r>
      <w:r w:rsidRPr="004F6F3E">
        <w:rPr>
          <w:rStyle w:val="FootnoteReference"/>
          <w:rFonts w:eastAsia="Batang"/>
          <w:highlight w:val="yellow"/>
          <w:lang w:val="es-ES_tradnl"/>
        </w:rPr>
        <w:footnoteReference w:customMarkFollows="1" w:id="49"/>
        <w:t>49</w:t>
      </w:r>
      <w:r w:rsidRPr="004F6F3E">
        <w:rPr>
          <w:rFonts w:eastAsia="Batang"/>
          <w:highlight w:val="yellow"/>
          <w:lang w:val="es-ES_tradnl"/>
        </w:rPr>
        <w:t>.</w:t>
      </w:r>
    </w:p>
    <w:p w14:paraId="1874EBEE" w14:textId="4B19C0DA" w:rsidR="00133FCF" w:rsidRPr="004F6F3E" w:rsidRDefault="00133FCF" w:rsidP="00133FCF">
      <w:pPr>
        <w:pStyle w:val="enumlev1"/>
        <w:rPr>
          <w:rFonts w:eastAsia="Batang"/>
          <w:lang w:val="es-ES_tradnl"/>
        </w:rPr>
      </w:pPr>
      <w:r w:rsidRPr="004F6F3E">
        <w:rPr>
          <w:rFonts w:eastAsia="Batang"/>
          <w:lang w:val="es-ES_tradnl"/>
        </w:rPr>
        <w:t>7</w:t>
      </w:r>
      <w:r w:rsidRPr="004F6F3E">
        <w:rPr>
          <w:rFonts w:eastAsia="Batang"/>
          <w:lang w:val="es-ES_tradnl"/>
        </w:rPr>
        <w:tab/>
        <w:t>Refuerzo de la capacidad de los Estados Miembros para utilizar las telecomunicaciones/TIC a efectos de la reducción y la gestión del riesgo de catástrofes, a fin de garantizar la disponibilidad de las telecomunicaciones de emergencia y facilitar la cooperación en este ámbito</w:t>
      </w:r>
      <w:r w:rsidRPr="004F6F3E">
        <w:rPr>
          <w:rStyle w:val="FootnoteReference"/>
          <w:rFonts w:eastAsia="Batang"/>
          <w:lang w:val="es-ES_tradnl"/>
        </w:rPr>
        <w:footnoteReference w:customMarkFollows="1" w:id="50"/>
        <w:t>50</w:t>
      </w:r>
      <w:r w:rsidRPr="004F6F3E">
        <w:rPr>
          <w:rFonts w:eastAsia="Batang"/>
          <w:lang w:val="es-ES_tradnl"/>
        </w:rPr>
        <w:t>.</w:t>
      </w:r>
    </w:p>
    <w:p w14:paraId="588BD25D" w14:textId="77777777" w:rsidR="00133FCF" w:rsidRPr="004F6F3E" w:rsidRDefault="00133FCF" w:rsidP="003B091B">
      <w:pPr>
        <w:pStyle w:val="Heading3"/>
        <w:rPr>
          <w:lang w:val="es-ES_tradnl"/>
        </w:rPr>
      </w:pPr>
      <w:bookmarkStart w:id="91" w:name="_Toc99954534"/>
      <w:r w:rsidRPr="004F6F3E">
        <w:rPr>
          <w:lang w:val="es-ES_tradnl"/>
        </w:rPr>
        <w:t>4.2</w:t>
      </w:r>
      <w:r w:rsidRPr="004F6F3E">
        <w:rPr>
          <w:lang w:val="es-ES_tradnl"/>
        </w:rPr>
        <w:tab/>
        <w:t>Aplicación de la prioridad temática relativa a las aplicaciones</w:t>
      </w:r>
      <w:bookmarkEnd w:id="91"/>
    </w:p>
    <w:p w14:paraId="07122FE0" w14:textId="77777777" w:rsidR="00133FCF" w:rsidRPr="004F6F3E" w:rsidRDefault="00133FCF" w:rsidP="003B091B">
      <w:pPr>
        <w:keepNext/>
        <w:keepLines/>
        <w:jc w:val="center"/>
        <w:rPr>
          <w:b/>
          <w:bCs/>
          <w:lang w:val="es-ES_tradnl"/>
        </w:rPr>
      </w:pPr>
      <w:r w:rsidRPr="004F6F3E">
        <w:rPr>
          <w:b/>
          <w:bCs/>
          <w:lang w:val="es-ES_tradnl"/>
        </w:rPr>
        <w:t>Prioridad temática</w:t>
      </w:r>
    </w:p>
    <w:p w14:paraId="5FC3620A" w14:textId="77777777" w:rsidR="00133FCF" w:rsidRPr="004F6F3E" w:rsidRDefault="00133FCF" w:rsidP="003B091B">
      <w:pPr>
        <w:keepNext/>
        <w:keepLines/>
        <w:jc w:val="center"/>
        <w:rPr>
          <w:b/>
          <w:bCs/>
          <w:lang w:val="es-ES_tradnl"/>
        </w:rPr>
      </w:pPr>
      <w:r w:rsidRPr="004F6F3E">
        <w:rPr>
          <w:b/>
          <w:bCs/>
          <w:lang w:val="es-ES_tradnl"/>
        </w:rPr>
        <w:t>Realizaciones en materia de aplicaciones</w:t>
      </w:r>
    </w:p>
    <w:p w14:paraId="65950647" w14:textId="77777777" w:rsidR="00133FCF" w:rsidRPr="004F6F3E" w:rsidRDefault="00133FCF" w:rsidP="00133FCF">
      <w:pPr>
        <w:pStyle w:val="enumlev1"/>
        <w:rPr>
          <w:rFonts w:eastAsia="Batang"/>
          <w:lang w:val="es-ES_tradnl"/>
        </w:rPr>
      </w:pPr>
      <w:r w:rsidRPr="004F6F3E">
        <w:rPr>
          <w:rFonts w:eastAsia="Batang"/>
          <w:highlight w:val="yellow"/>
          <w:lang w:val="es-ES_tradnl"/>
        </w:rPr>
        <w:t>1</w:t>
      </w:r>
      <w:r w:rsidRPr="004F6F3E">
        <w:rPr>
          <w:rFonts w:eastAsia="Batang"/>
          <w:highlight w:val="yellow"/>
          <w:lang w:val="es-ES_tradnl"/>
        </w:rPr>
        <w:tab/>
        <w:t>[Mejora de la capacidad de los miembros de la UIT para acelerar la transformación digital y el desarrollo económico y social aprovechando y utilizando las telecomunicaciones/TIC nuevas e incipientes]</w:t>
      </w:r>
      <w:r w:rsidRPr="004F6F3E">
        <w:rPr>
          <w:rStyle w:val="FootnoteReference"/>
          <w:rFonts w:eastAsia="Batang"/>
          <w:highlight w:val="yellow"/>
          <w:lang w:val="es-ES_tradnl"/>
        </w:rPr>
        <w:footnoteReference w:customMarkFollows="1" w:id="51"/>
        <w:t>51</w:t>
      </w:r>
      <w:r w:rsidRPr="004F6F3E">
        <w:rPr>
          <w:rFonts w:eastAsia="Batang"/>
          <w:highlight w:val="yellow"/>
          <w:lang w:val="es-ES_tradnl"/>
        </w:rPr>
        <w:t>.</w:t>
      </w:r>
    </w:p>
    <w:p w14:paraId="211EBA2C" w14:textId="63829AE5" w:rsidR="00133FCF" w:rsidRPr="004F6F3E" w:rsidRDefault="00133FCF" w:rsidP="00133FCF">
      <w:pPr>
        <w:pStyle w:val="enumlev1"/>
        <w:rPr>
          <w:rFonts w:eastAsia="Batang"/>
          <w:lang w:val="es-ES_tradnl"/>
        </w:rPr>
      </w:pPr>
      <w:r w:rsidRPr="004F6F3E">
        <w:rPr>
          <w:rFonts w:eastAsia="Batang"/>
          <w:lang w:val="es-ES_tradnl"/>
        </w:rPr>
        <w:t>2</w:t>
      </w:r>
      <w:r w:rsidRPr="004F6F3E">
        <w:rPr>
          <w:rFonts w:eastAsia="Batang"/>
          <w:lang w:val="es-ES_tradnl"/>
        </w:rPr>
        <w:tab/>
        <w:t>Refuerzo de la capacidad de los miembros de la UIT para integrar la innovación y la digitalización de las telecomunicaciones/TIC en los programas nacionales de desarrollo y elaborar estrategias de promoción de iniciativas innovadoras, entre otras cosas mediante asociaciones públicas, privadas y público-privadas</w:t>
      </w:r>
      <w:r w:rsidRPr="004F6F3E">
        <w:rPr>
          <w:rStyle w:val="FootnoteReference"/>
          <w:rFonts w:eastAsia="Batang"/>
          <w:lang w:val="es-ES_tradnl"/>
        </w:rPr>
        <w:footnoteReference w:customMarkFollows="1" w:id="52"/>
        <w:t>52</w:t>
      </w:r>
      <w:r w:rsidRPr="004F6F3E">
        <w:rPr>
          <w:rFonts w:eastAsia="Batang"/>
          <w:lang w:val="es-ES_tradnl"/>
        </w:rPr>
        <w:t>.</w:t>
      </w:r>
    </w:p>
    <w:p w14:paraId="32D8DE6F" w14:textId="77777777" w:rsidR="00133FCF" w:rsidRPr="004F6F3E" w:rsidRDefault="00133FCF" w:rsidP="00133FCF">
      <w:pPr>
        <w:pStyle w:val="Heading3"/>
        <w:rPr>
          <w:lang w:val="es-ES_tradnl"/>
        </w:rPr>
      </w:pPr>
      <w:bookmarkStart w:id="92" w:name="_Toc97906352"/>
      <w:bookmarkStart w:id="93" w:name="_Toc99954535"/>
      <w:r w:rsidRPr="004F6F3E">
        <w:rPr>
          <w:lang w:val="es-ES_tradnl"/>
        </w:rPr>
        <w:t>4.3</w:t>
      </w:r>
      <w:r w:rsidRPr="004F6F3E">
        <w:rPr>
          <w:lang w:val="es-ES_tradnl"/>
        </w:rPr>
        <w:tab/>
      </w:r>
      <w:bookmarkEnd w:id="92"/>
      <w:r w:rsidRPr="004F6F3E">
        <w:rPr>
          <w:lang w:val="es-ES_tradnl"/>
        </w:rPr>
        <w:t>Aplicación de la prioridad temática relativa al entorno propicio</w:t>
      </w:r>
      <w:bookmarkEnd w:id="93"/>
    </w:p>
    <w:p w14:paraId="44DA27DC" w14:textId="77777777" w:rsidR="00133FCF" w:rsidRPr="004F6F3E" w:rsidRDefault="00133FCF" w:rsidP="00133FCF">
      <w:pPr>
        <w:jc w:val="center"/>
        <w:rPr>
          <w:b/>
          <w:bCs/>
          <w:lang w:val="es-ES_tradnl"/>
        </w:rPr>
      </w:pPr>
      <w:r w:rsidRPr="004F6F3E">
        <w:rPr>
          <w:b/>
          <w:bCs/>
          <w:lang w:val="es-ES_tradnl"/>
        </w:rPr>
        <w:t>Prioridad temática</w:t>
      </w:r>
    </w:p>
    <w:p w14:paraId="0037ED1B" w14:textId="77777777" w:rsidR="00133FCF" w:rsidRPr="004F6F3E" w:rsidRDefault="00133FCF" w:rsidP="00133FCF">
      <w:pPr>
        <w:jc w:val="center"/>
        <w:rPr>
          <w:b/>
          <w:bCs/>
          <w:lang w:val="es-ES_tradnl"/>
        </w:rPr>
      </w:pPr>
      <w:r w:rsidRPr="004F6F3E">
        <w:rPr>
          <w:b/>
          <w:bCs/>
          <w:lang w:val="es-ES_tradnl"/>
        </w:rPr>
        <w:t>Realizaciones en materia de entorno propicio</w:t>
      </w:r>
    </w:p>
    <w:p w14:paraId="7C8FD18A" w14:textId="77777777" w:rsidR="00133FCF" w:rsidRPr="004F6F3E" w:rsidRDefault="00133FCF" w:rsidP="00133FCF">
      <w:pPr>
        <w:pStyle w:val="enumlev1"/>
        <w:rPr>
          <w:rFonts w:eastAsia="Batang"/>
          <w:highlight w:val="yellow"/>
          <w:lang w:val="es-ES_tradnl"/>
        </w:rPr>
      </w:pPr>
      <w:r w:rsidRPr="004F6F3E">
        <w:rPr>
          <w:rFonts w:eastAsia="Batang"/>
          <w:highlight w:val="yellow"/>
          <w:lang w:val="es-ES_tradnl"/>
        </w:rPr>
        <w:t>1</w:t>
      </w:r>
      <w:r w:rsidRPr="004F6F3E">
        <w:rPr>
          <w:rFonts w:eastAsia="Batang"/>
          <w:highlight w:val="yellow"/>
          <w:lang w:val="es-ES_tradnl"/>
        </w:rPr>
        <w:tab/>
        <w:t>[Refuerzo de la capacidad de los Estados Miembros para mejorar sus marcos políticos, jurídicos y reglamentarios en materia de telecomunicaciones/TIC, de tal manera que favorezcan el desarrollo sostenible y el crecimiento de la [economía digital/digitalización de la economía]]</w:t>
      </w:r>
      <w:r w:rsidRPr="004F6F3E">
        <w:rPr>
          <w:rStyle w:val="FootnoteReference"/>
          <w:rFonts w:eastAsia="Batang"/>
          <w:highlight w:val="yellow"/>
          <w:lang w:val="es-ES_tradnl"/>
        </w:rPr>
        <w:footnoteReference w:customMarkFollows="1" w:id="53"/>
        <w:t>53</w:t>
      </w:r>
      <w:r w:rsidRPr="004F6F3E">
        <w:rPr>
          <w:rFonts w:eastAsia="Batang"/>
          <w:highlight w:val="yellow"/>
          <w:lang w:val="es-ES_tradnl"/>
        </w:rPr>
        <w:t>.</w:t>
      </w:r>
    </w:p>
    <w:p w14:paraId="346685D5" w14:textId="77777777" w:rsidR="00133FCF" w:rsidRPr="004F6F3E" w:rsidRDefault="00133FCF" w:rsidP="00942D61">
      <w:pPr>
        <w:pStyle w:val="enumlev1"/>
        <w:rPr>
          <w:rFonts w:eastAsia="Batang"/>
          <w:highlight w:val="yellow"/>
          <w:lang w:val="es-ES_tradnl"/>
        </w:rPr>
      </w:pPr>
      <w:r w:rsidRPr="004F6F3E">
        <w:rPr>
          <w:rFonts w:eastAsia="Batang"/>
          <w:highlight w:val="yellow"/>
          <w:lang w:val="es-ES_tradnl"/>
        </w:rPr>
        <w:t>2</w:t>
      </w:r>
      <w:r w:rsidRPr="004F6F3E">
        <w:rPr>
          <w:rFonts w:eastAsia="Batang"/>
          <w:highlight w:val="yellow"/>
          <w:lang w:val="es-ES_tradnl"/>
        </w:rPr>
        <w:tab/>
        <w:t>[Refuerzo de la capacidad de los Estados Miembros para producir estadísticas relativas a la economía digital que sean de alta calidad, puedan compararse a nivel internacional y reflejen la evolución y las tendencias de las telecomunicaciones/TIC, con ayuda de las tecnologías nuevas e incipientes, conforme a las normas y metodologías acordadas]</w:t>
      </w:r>
      <w:r w:rsidRPr="004F6F3E">
        <w:rPr>
          <w:rStyle w:val="FootnoteReference"/>
          <w:rFonts w:eastAsia="Batang"/>
          <w:highlight w:val="yellow"/>
          <w:lang w:val="es-ES_tradnl"/>
        </w:rPr>
        <w:footnoteReference w:customMarkFollows="1" w:id="54"/>
        <w:t>54</w:t>
      </w:r>
      <w:r w:rsidRPr="004F6F3E">
        <w:rPr>
          <w:rFonts w:eastAsia="Batang"/>
          <w:highlight w:val="yellow"/>
          <w:lang w:val="es-ES_tradnl"/>
        </w:rPr>
        <w:t>.</w:t>
      </w:r>
    </w:p>
    <w:p w14:paraId="5C29176A" w14:textId="77777777" w:rsidR="00133FCF" w:rsidRPr="004F6F3E" w:rsidRDefault="00133FCF" w:rsidP="00133FCF">
      <w:pPr>
        <w:pStyle w:val="enumlev1"/>
        <w:rPr>
          <w:rFonts w:eastAsia="Batang"/>
          <w:highlight w:val="yellow"/>
          <w:lang w:val="es-ES_tradnl"/>
        </w:rPr>
      </w:pPr>
      <w:r w:rsidRPr="004F6F3E">
        <w:rPr>
          <w:rFonts w:eastAsia="Batang"/>
          <w:highlight w:val="yellow"/>
          <w:lang w:val="es-ES_tradnl"/>
        </w:rPr>
        <w:lastRenderedPageBreak/>
        <w:t>3</w:t>
      </w:r>
      <w:r w:rsidRPr="004F6F3E">
        <w:rPr>
          <w:rFonts w:eastAsia="Batang"/>
          <w:highlight w:val="yellow"/>
          <w:lang w:val="es-ES_tradnl"/>
        </w:rPr>
        <w:tab/>
        <w:t>[Mejora de las capacidades humanas e institucionales de los miembros de la UIT en el ámbito de las telecomunicaciones/TIC para aprovechar todo el potencial de la economía y a la sociedad digitales]</w:t>
      </w:r>
      <w:r w:rsidRPr="004F6F3E">
        <w:rPr>
          <w:rStyle w:val="FootnoteReference"/>
          <w:rFonts w:eastAsia="Batang"/>
          <w:highlight w:val="yellow"/>
          <w:lang w:val="es-ES_tradnl"/>
        </w:rPr>
        <w:footnoteReference w:customMarkFollows="1" w:id="55"/>
        <w:t>55</w:t>
      </w:r>
      <w:r w:rsidRPr="004F6F3E">
        <w:rPr>
          <w:rFonts w:eastAsia="Batang"/>
          <w:highlight w:val="yellow"/>
          <w:lang w:val="es-ES_tradnl"/>
        </w:rPr>
        <w:t>.</w:t>
      </w:r>
    </w:p>
    <w:p w14:paraId="2F7431F3" w14:textId="77777777" w:rsidR="00133FCF" w:rsidRPr="004F6F3E" w:rsidRDefault="00133FCF" w:rsidP="003B091B">
      <w:pPr>
        <w:pStyle w:val="Heading3"/>
        <w:rPr>
          <w:lang w:val="es-ES_tradnl"/>
        </w:rPr>
      </w:pPr>
      <w:bookmarkStart w:id="94" w:name="_Toc97906353"/>
      <w:bookmarkStart w:id="95" w:name="_Toc99954536"/>
      <w:r w:rsidRPr="004F6F3E">
        <w:rPr>
          <w:highlight w:val="yellow"/>
          <w:lang w:val="es-ES_tradnl"/>
        </w:rPr>
        <w:t>[4.4</w:t>
      </w:r>
      <w:r w:rsidRPr="004F6F3E">
        <w:rPr>
          <w:highlight w:val="yellow"/>
          <w:lang w:val="es-ES_tradnl"/>
        </w:rPr>
        <w:tab/>
        <w:t>Aplicación de la prioridad temática relativa a la ciberseguridad]</w:t>
      </w:r>
      <w:bookmarkEnd w:id="94"/>
      <w:bookmarkEnd w:id="95"/>
    </w:p>
    <w:p w14:paraId="17ACF519" w14:textId="77777777" w:rsidR="00133FCF" w:rsidRPr="004F6F3E" w:rsidRDefault="00133FCF" w:rsidP="003B091B">
      <w:pPr>
        <w:keepNext/>
        <w:keepLines/>
        <w:jc w:val="center"/>
        <w:rPr>
          <w:b/>
          <w:bCs/>
          <w:lang w:val="es-ES_tradnl"/>
        </w:rPr>
      </w:pPr>
      <w:r w:rsidRPr="004F6F3E">
        <w:rPr>
          <w:b/>
          <w:bCs/>
          <w:lang w:val="es-ES_tradnl"/>
        </w:rPr>
        <w:t>Prioridad temática</w:t>
      </w:r>
    </w:p>
    <w:p w14:paraId="61436DF0" w14:textId="77777777" w:rsidR="00133FCF" w:rsidRPr="004F6F3E" w:rsidRDefault="00133FCF" w:rsidP="003B091B">
      <w:pPr>
        <w:keepNext/>
        <w:keepLines/>
        <w:jc w:val="center"/>
        <w:rPr>
          <w:b/>
          <w:bCs/>
          <w:lang w:val="es-ES_tradnl"/>
        </w:rPr>
      </w:pPr>
      <w:r w:rsidRPr="004F6F3E">
        <w:rPr>
          <w:b/>
          <w:bCs/>
          <w:lang w:val="es-ES_tradnl"/>
        </w:rPr>
        <w:t>Realizaciones en materia de ciberseguridad</w:t>
      </w:r>
    </w:p>
    <w:p w14:paraId="72DD7051" w14:textId="77777777" w:rsidR="00133FCF" w:rsidRPr="004F6F3E" w:rsidRDefault="00133FCF" w:rsidP="00133FCF">
      <w:pPr>
        <w:pStyle w:val="enumlev1"/>
        <w:rPr>
          <w:rFonts w:eastAsia="Batang"/>
          <w:lang w:val="es-ES_tradnl"/>
        </w:rPr>
      </w:pPr>
      <w:r w:rsidRPr="004F6F3E">
        <w:rPr>
          <w:rFonts w:eastAsia="Batang"/>
          <w:highlight w:val="yellow"/>
          <w:lang w:val="es-ES_tradnl"/>
        </w:rPr>
        <w:t>1</w:t>
      </w:r>
      <w:r w:rsidRPr="004F6F3E">
        <w:rPr>
          <w:rFonts w:eastAsia="Batang"/>
          <w:highlight w:val="yellow"/>
          <w:lang w:val="es-ES_tradnl"/>
        </w:rPr>
        <w:tab/>
        <w:t>[Refuerzo de la capacidad de los Estados Miembros para compartir información, encontrar soluciones y responder a las amenazas a la ciberseguridad de forma eficaz, y para desarrollar y poner en práctica estrategias y capacidades nacionales, incluidas actividades de capacitación, que fomenten la cooperación nacional, regional e internacional en el ámbito de la ciberseguridad]</w:t>
      </w:r>
      <w:r w:rsidRPr="004F6F3E">
        <w:rPr>
          <w:rStyle w:val="FootnoteReference"/>
          <w:rFonts w:eastAsia="Batang"/>
          <w:highlight w:val="yellow"/>
          <w:lang w:val="es-ES_tradnl"/>
        </w:rPr>
        <w:footnoteReference w:customMarkFollows="1" w:id="56"/>
        <w:t>56</w:t>
      </w:r>
      <w:r w:rsidRPr="004F6F3E">
        <w:rPr>
          <w:rFonts w:eastAsia="Batang"/>
          <w:highlight w:val="yellow"/>
          <w:lang w:val="es-ES_tradnl"/>
        </w:rPr>
        <w:t>.</w:t>
      </w:r>
    </w:p>
    <w:p w14:paraId="342AD55A" w14:textId="29023C95" w:rsidR="00133FCF" w:rsidRPr="004F6F3E" w:rsidRDefault="00133FCF" w:rsidP="00133FCF">
      <w:pPr>
        <w:pStyle w:val="enumlev1"/>
        <w:rPr>
          <w:rFonts w:eastAsia="Batang"/>
          <w:lang w:val="es-ES_tradnl"/>
        </w:rPr>
      </w:pPr>
      <w:r w:rsidRPr="004F6F3E">
        <w:rPr>
          <w:rFonts w:eastAsia="Batang"/>
          <w:lang w:val="es-ES_tradnl"/>
        </w:rPr>
        <w:t>2</w:t>
      </w:r>
      <w:r w:rsidRPr="004F6F3E">
        <w:rPr>
          <w:rFonts w:eastAsia="Batang"/>
          <w:lang w:val="es-ES_tradnl"/>
        </w:rPr>
        <w:tab/>
        <w:t>Refuerzo de la capacidad de los miembros de la UIT para poner a disposición infraestructuras y servicios de telecomunicaciones/TIC seguros y resilientes</w:t>
      </w:r>
      <w:r w:rsidRPr="004F6F3E">
        <w:rPr>
          <w:rStyle w:val="FootnoteReference"/>
          <w:rFonts w:eastAsia="Batang"/>
          <w:lang w:val="es-ES_tradnl"/>
        </w:rPr>
        <w:footnoteReference w:customMarkFollows="1" w:id="57"/>
        <w:t>57</w:t>
      </w:r>
      <w:r w:rsidRPr="004F6F3E">
        <w:rPr>
          <w:rFonts w:eastAsia="Batang"/>
          <w:lang w:val="es-ES_tradnl"/>
        </w:rPr>
        <w:t>.</w:t>
      </w:r>
    </w:p>
    <w:p w14:paraId="6A47B655" w14:textId="77777777" w:rsidR="00133FCF" w:rsidRPr="004F6F3E" w:rsidRDefault="00133FCF" w:rsidP="00133FCF">
      <w:pPr>
        <w:pStyle w:val="enumlev1"/>
        <w:rPr>
          <w:rFonts w:eastAsia="Batang"/>
          <w:lang w:val="es-ES_tradnl"/>
        </w:rPr>
      </w:pPr>
      <w:r w:rsidRPr="004F6F3E">
        <w:rPr>
          <w:rFonts w:eastAsia="Batang"/>
          <w:lang w:val="es-ES_tradnl"/>
        </w:rPr>
        <w:t>3</w:t>
      </w:r>
      <w:r w:rsidRPr="004F6F3E">
        <w:rPr>
          <w:rFonts w:eastAsia="Batang"/>
          <w:lang w:val="es-ES_tradnl"/>
        </w:rPr>
        <w:tab/>
        <w:t>Refuerzo de la capacidad de los Estados Miembros para compartir información, encontrar soluciones y responder a las amenazas a la ciberseguridad de forma eficaz, y para desarrollar y poner en práctica estrategias y capacidades nacionales, incluidas actividades de capacitación, que fomenten la cooperación nacional, regional e internacional a fin de aumentar el compromiso de los Estados Miembros y los actores pertinentes</w:t>
      </w:r>
      <w:r w:rsidRPr="004F6F3E">
        <w:rPr>
          <w:rStyle w:val="FootnoteReference"/>
          <w:rFonts w:eastAsia="Batang"/>
          <w:lang w:val="es-ES_tradnl"/>
        </w:rPr>
        <w:footnoteReference w:customMarkFollows="1" w:id="58"/>
        <w:t>58</w:t>
      </w:r>
      <w:r w:rsidRPr="004F6F3E">
        <w:rPr>
          <w:rFonts w:eastAsia="Batang"/>
          <w:lang w:val="es-ES_tradnl"/>
        </w:rPr>
        <w:t>.</w:t>
      </w:r>
    </w:p>
    <w:p w14:paraId="5C2AD682" w14:textId="77777777" w:rsidR="00133FCF" w:rsidRPr="004F6F3E" w:rsidRDefault="00133FCF" w:rsidP="00133FCF">
      <w:pPr>
        <w:pStyle w:val="enumlev1"/>
        <w:rPr>
          <w:rFonts w:eastAsia="Batang"/>
          <w:lang w:val="es-ES_tradnl"/>
        </w:rPr>
      </w:pPr>
      <w:r w:rsidRPr="004F6F3E">
        <w:rPr>
          <w:rFonts w:eastAsia="Batang"/>
          <w:highlight w:val="yellow"/>
          <w:lang w:val="es-ES_tradnl"/>
        </w:rPr>
        <w:t>4</w:t>
      </w:r>
      <w:r w:rsidRPr="004F6F3E">
        <w:rPr>
          <w:rFonts w:eastAsia="Batang"/>
          <w:highlight w:val="yellow"/>
          <w:lang w:val="es-ES_tradnl"/>
        </w:rPr>
        <w:tab/>
        <w:t>[Refuerzo de la capacidad de los Estados Miembros para responder a la ciberdelincuencia de forma eficaz]</w:t>
      </w:r>
      <w:r w:rsidRPr="004F6F3E">
        <w:rPr>
          <w:rStyle w:val="FootnoteReference"/>
          <w:rFonts w:eastAsia="Batang"/>
          <w:highlight w:val="yellow"/>
          <w:lang w:val="es-ES_tradnl"/>
        </w:rPr>
        <w:footnoteReference w:customMarkFollows="1" w:id="59"/>
        <w:t>59</w:t>
      </w:r>
      <w:r w:rsidRPr="004F6F3E">
        <w:rPr>
          <w:rFonts w:eastAsia="Batang"/>
          <w:highlight w:val="yellow"/>
          <w:lang w:val="es-ES_tradnl"/>
        </w:rPr>
        <w:t>.</w:t>
      </w:r>
    </w:p>
    <w:p w14:paraId="72742E30" w14:textId="77777777" w:rsidR="00133FCF" w:rsidRPr="004F6F3E" w:rsidRDefault="00133FCF" w:rsidP="006D5A98">
      <w:pPr>
        <w:pStyle w:val="Heading3"/>
        <w:rPr>
          <w:lang w:val="es-ES_tradnl"/>
        </w:rPr>
      </w:pPr>
      <w:bookmarkStart w:id="96" w:name="_Toc97906354"/>
      <w:bookmarkStart w:id="97" w:name="_Toc99954537"/>
      <w:r w:rsidRPr="004F6F3E">
        <w:rPr>
          <w:lang w:val="es-ES_tradnl"/>
        </w:rPr>
        <w:t>4.5</w:t>
      </w:r>
      <w:r w:rsidRPr="004F6F3E">
        <w:rPr>
          <w:lang w:val="es-ES_tradnl"/>
        </w:rPr>
        <w:tab/>
      </w:r>
      <w:bookmarkEnd w:id="96"/>
      <w:r w:rsidRPr="004F6F3E">
        <w:rPr>
          <w:lang w:val="es-ES_tradnl"/>
        </w:rPr>
        <w:t>Realizaciones y productos de los factores habilitadores</w:t>
      </w:r>
      <w:bookmarkEnd w:id="97"/>
    </w:p>
    <w:p w14:paraId="6E1CD607" w14:textId="77777777" w:rsidR="00133FCF" w:rsidRPr="004F6F3E" w:rsidRDefault="00133FCF" w:rsidP="006D5A98">
      <w:pPr>
        <w:keepNext/>
        <w:keepLines/>
        <w:jc w:val="center"/>
        <w:rPr>
          <w:b/>
          <w:bCs/>
          <w:lang w:val="es-ES_tradnl"/>
        </w:rPr>
      </w:pPr>
      <w:r w:rsidRPr="004F6F3E">
        <w:rPr>
          <w:b/>
          <w:bCs/>
          <w:lang w:val="es-ES_tradnl"/>
        </w:rPr>
        <w:t>Factor habilitador</w:t>
      </w:r>
    </w:p>
    <w:p w14:paraId="634BCEA4" w14:textId="77777777" w:rsidR="00133FCF" w:rsidRPr="004F6F3E" w:rsidRDefault="00133FCF" w:rsidP="006D5A98">
      <w:pPr>
        <w:keepNext/>
        <w:keepLines/>
        <w:jc w:val="center"/>
        <w:rPr>
          <w:b/>
          <w:bCs/>
          <w:lang w:val="es-ES_tradnl"/>
        </w:rPr>
      </w:pPr>
      <w:r w:rsidRPr="004F6F3E">
        <w:rPr>
          <w:b/>
          <w:bCs/>
          <w:lang w:val="es-ES_tradnl"/>
        </w:rPr>
        <w:t>Realizaciones en materia de impulso de los miembros</w:t>
      </w:r>
    </w:p>
    <w:p w14:paraId="6E434C68" w14:textId="77777777" w:rsidR="00133FCF" w:rsidRPr="004F6F3E" w:rsidRDefault="00133FCF" w:rsidP="006D5A98">
      <w:pPr>
        <w:pStyle w:val="enumlev1"/>
        <w:keepNext/>
        <w:keepLines/>
        <w:rPr>
          <w:rFonts w:eastAsia="Batang"/>
          <w:lang w:val="es-ES_tradnl"/>
        </w:rPr>
      </w:pPr>
      <w:r w:rsidRPr="004F6F3E">
        <w:rPr>
          <w:rFonts w:eastAsia="Batang"/>
          <w:lang w:val="es-ES_tradnl"/>
        </w:rPr>
        <w:t>1</w:t>
      </w:r>
      <w:r w:rsidRPr="004F6F3E">
        <w:rPr>
          <w:rFonts w:eastAsia="Batang"/>
          <w:lang w:val="es-ES_tradnl"/>
        </w:rPr>
        <w:tab/>
        <w:t>Refuerzo de la aplicación de las Resoluciones de la Conferencia Mundial de Desarrollo de las Telecomunicaciones (CMDT)</w:t>
      </w:r>
      <w:r w:rsidRPr="004F6F3E">
        <w:rPr>
          <w:rStyle w:val="FootnoteReference"/>
          <w:rFonts w:eastAsia="Batang"/>
          <w:lang w:val="es-ES_tradnl"/>
        </w:rPr>
        <w:footnoteReference w:customMarkFollows="1" w:id="60"/>
        <w:t>60</w:t>
      </w:r>
      <w:r w:rsidRPr="004F6F3E">
        <w:rPr>
          <w:rFonts w:eastAsia="Batang"/>
          <w:lang w:val="es-ES_tradnl"/>
        </w:rPr>
        <w:t>.</w:t>
      </w:r>
    </w:p>
    <w:p w14:paraId="26D72207" w14:textId="77777777" w:rsidR="00133FCF" w:rsidRPr="004F6F3E" w:rsidRDefault="00133FCF" w:rsidP="00133FCF">
      <w:pPr>
        <w:pStyle w:val="enumlev1"/>
        <w:rPr>
          <w:rFonts w:eastAsia="Batang"/>
          <w:lang w:val="es-ES_tradnl"/>
        </w:rPr>
      </w:pPr>
      <w:r w:rsidRPr="004F6F3E">
        <w:rPr>
          <w:rFonts w:eastAsia="Batang"/>
          <w:highlight w:val="yellow"/>
          <w:lang w:val="es-ES_tradnl"/>
        </w:rPr>
        <w:lastRenderedPageBreak/>
        <w:t>2</w:t>
      </w:r>
      <w:r w:rsidRPr="004F6F3E">
        <w:rPr>
          <w:rFonts w:eastAsia="Batang"/>
          <w:highlight w:val="yellow"/>
          <w:lang w:val="es-ES_tradnl"/>
        </w:rPr>
        <w:tab/>
        <w:t>[Fomento de las actividades de intercambio de conocimientos, investigación y desarrollo, [transferencia de tecnología], diálogo y asociación entre los miembros de la UIT sobre cuestiones relacionadas con las telecomunicaciones/TIC]</w:t>
      </w:r>
      <w:r w:rsidRPr="004F6F3E">
        <w:rPr>
          <w:rStyle w:val="FootnoteReference"/>
          <w:rFonts w:eastAsia="Batang"/>
          <w:highlight w:val="yellow"/>
          <w:lang w:val="es-ES_tradnl"/>
        </w:rPr>
        <w:footnoteReference w:customMarkFollows="1" w:id="61"/>
        <w:t>61</w:t>
      </w:r>
      <w:r w:rsidRPr="004F6F3E">
        <w:rPr>
          <w:rFonts w:eastAsia="Batang"/>
          <w:highlight w:val="yellow"/>
          <w:lang w:val="es-ES_tradnl"/>
        </w:rPr>
        <w:t>.</w:t>
      </w:r>
    </w:p>
    <w:p w14:paraId="26411DEB" w14:textId="77777777" w:rsidR="00133FCF" w:rsidRPr="004F6F3E" w:rsidRDefault="00133FCF" w:rsidP="003B091B">
      <w:pPr>
        <w:keepNext/>
        <w:keepLines/>
        <w:jc w:val="center"/>
        <w:rPr>
          <w:b/>
          <w:bCs/>
          <w:lang w:val="es-ES_tradnl"/>
        </w:rPr>
      </w:pPr>
      <w:r w:rsidRPr="004F6F3E">
        <w:rPr>
          <w:b/>
          <w:bCs/>
          <w:lang w:val="es-ES_tradnl"/>
        </w:rPr>
        <w:t>Factor habilitador</w:t>
      </w:r>
    </w:p>
    <w:p w14:paraId="2B257CC4" w14:textId="77777777" w:rsidR="00133FCF" w:rsidRPr="004F6F3E" w:rsidRDefault="00133FCF" w:rsidP="00133FCF">
      <w:pPr>
        <w:jc w:val="center"/>
        <w:rPr>
          <w:b/>
          <w:bCs/>
          <w:lang w:val="es-ES_tradnl"/>
        </w:rPr>
      </w:pPr>
      <w:r w:rsidRPr="004F6F3E">
        <w:rPr>
          <w:b/>
          <w:bCs/>
          <w:lang w:val="es-ES_tradnl"/>
        </w:rPr>
        <w:t>Realizaciones en materia de presencia regional</w:t>
      </w:r>
    </w:p>
    <w:p w14:paraId="58302E1D" w14:textId="77777777" w:rsidR="00133FCF" w:rsidRPr="004F6F3E" w:rsidRDefault="00133FCF" w:rsidP="00133FCF">
      <w:pPr>
        <w:pStyle w:val="enumlev1"/>
        <w:rPr>
          <w:rFonts w:eastAsia="Batang"/>
          <w:lang w:val="es-ES_tradnl"/>
        </w:rPr>
      </w:pPr>
      <w:r w:rsidRPr="004F6F3E">
        <w:rPr>
          <w:rFonts w:eastAsia="Batang"/>
          <w:lang w:val="es-ES_tradnl"/>
        </w:rPr>
        <w:t>1</w:t>
      </w:r>
      <w:r w:rsidRPr="004F6F3E">
        <w:rPr>
          <w:rFonts w:eastAsia="Batang"/>
          <w:lang w:val="es-ES_tradnl"/>
        </w:rPr>
        <w:tab/>
        <w:t>Refuerzo y empoderamiento del personal y sus conocimientos técnicos a todos los niveles, en el contexto regional (Oficinas Regionales y Zonales)</w:t>
      </w:r>
      <w:r w:rsidRPr="004F6F3E">
        <w:rPr>
          <w:rStyle w:val="FootnoteReference"/>
          <w:rFonts w:eastAsia="Batang"/>
          <w:lang w:val="es-ES_tradnl"/>
        </w:rPr>
        <w:footnoteReference w:customMarkFollows="1" w:id="62"/>
        <w:t>62</w:t>
      </w:r>
      <w:r w:rsidRPr="004F6F3E">
        <w:rPr>
          <w:rFonts w:eastAsia="Batang"/>
          <w:lang w:val="es-ES_tradnl"/>
        </w:rPr>
        <w:t>.</w:t>
      </w:r>
    </w:p>
    <w:p w14:paraId="4B65F03E" w14:textId="38C97413" w:rsidR="00133FCF" w:rsidRPr="004F6F3E" w:rsidRDefault="00133FCF" w:rsidP="00133FCF">
      <w:pPr>
        <w:pStyle w:val="enumlev1"/>
        <w:rPr>
          <w:rFonts w:eastAsia="Batang"/>
          <w:lang w:val="es-ES_tradnl"/>
        </w:rPr>
      </w:pPr>
      <w:r w:rsidRPr="004F6F3E">
        <w:rPr>
          <w:rFonts w:eastAsia="Batang"/>
          <w:lang w:val="es-ES_tradnl"/>
        </w:rPr>
        <w:t>2</w:t>
      </w:r>
      <w:r w:rsidRPr="004F6F3E">
        <w:rPr>
          <w:rFonts w:eastAsia="Batang"/>
          <w:lang w:val="es-ES_tradnl"/>
        </w:rPr>
        <w:tab/>
        <w:t>Refuerzo de la doble responsabilidad de la Unión como organismo especializado de las Naciones Unidas y organismo ejecutor de proyectos</w:t>
      </w:r>
      <w:r w:rsidRPr="004F6F3E">
        <w:rPr>
          <w:rStyle w:val="FootnoteReference"/>
          <w:rFonts w:eastAsia="Batang"/>
          <w:lang w:val="es-ES_tradnl"/>
        </w:rPr>
        <w:footnoteReference w:customMarkFollows="1" w:id="63"/>
        <w:t>63</w:t>
      </w:r>
      <w:r w:rsidRPr="004F6F3E">
        <w:rPr>
          <w:rFonts w:eastAsia="Batang"/>
          <w:lang w:val="es-ES_tradnl"/>
        </w:rPr>
        <w:t>.</w:t>
      </w:r>
    </w:p>
    <w:p w14:paraId="20BE4EF8" w14:textId="77777777" w:rsidR="00133FCF" w:rsidRPr="004F6F3E" w:rsidRDefault="00133FCF" w:rsidP="00133FCF">
      <w:pPr>
        <w:pStyle w:val="enumlev1"/>
        <w:rPr>
          <w:rFonts w:eastAsia="Batang"/>
          <w:lang w:val="es-ES_tradnl"/>
        </w:rPr>
      </w:pPr>
      <w:r w:rsidRPr="004F6F3E">
        <w:rPr>
          <w:rFonts w:eastAsia="Batang"/>
          <w:highlight w:val="yellow"/>
          <w:lang w:val="es-ES_tradnl"/>
        </w:rPr>
        <w:t>3</w:t>
      </w:r>
      <w:r w:rsidRPr="004F6F3E">
        <w:rPr>
          <w:rFonts w:eastAsia="Batang"/>
          <w:highlight w:val="yellow"/>
          <w:lang w:val="es-ES_tradnl"/>
        </w:rPr>
        <w:tab/>
        <w:t>[Fomento de las actividades de intercambio de conocimientos, investigación y desarrollo, [transferencia de tecnología], diálogo y asociación entre los miembros de la UIT sobre el uso de las telecomunicaciones/TIC para apoyar la [transición al desarrollo de la economía digital y el desarrollo sostenible/transformación digital de la sociedad]</w:t>
      </w:r>
      <w:r w:rsidRPr="004F6F3E">
        <w:rPr>
          <w:rStyle w:val="FootnoteReference"/>
          <w:rFonts w:eastAsia="Batang"/>
          <w:highlight w:val="yellow"/>
          <w:lang w:val="es-ES_tradnl"/>
        </w:rPr>
        <w:footnoteReference w:customMarkFollows="1" w:id="64"/>
        <w:t>64</w:t>
      </w:r>
      <w:r w:rsidRPr="004F6F3E">
        <w:rPr>
          <w:rFonts w:eastAsia="Batang"/>
          <w:highlight w:val="yellow"/>
          <w:lang w:val="es-ES_tradnl"/>
        </w:rPr>
        <w:t>.</w:t>
      </w:r>
    </w:p>
    <w:p w14:paraId="3FE84EC5" w14:textId="77777777" w:rsidR="00133FCF" w:rsidRPr="004F6F3E" w:rsidRDefault="00133FCF" w:rsidP="00133FCF">
      <w:pPr>
        <w:pStyle w:val="enumlev1"/>
        <w:rPr>
          <w:rFonts w:eastAsia="Batang"/>
          <w:lang w:val="es-ES_tradnl"/>
        </w:rPr>
      </w:pPr>
      <w:r w:rsidRPr="004F6F3E">
        <w:rPr>
          <w:rFonts w:eastAsia="Batang"/>
          <w:lang w:val="es-ES_tradnl"/>
        </w:rPr>
        <w:t>4</w:t>
      </w:r>
      <w:r w:rsidRPr="004F6F3E">
        <w:rPr>
          <w:rFonts w:eastAsia="Batang"/>
          <w:lang w:val="es-ES_tradnl"/>
        </w:rPr>
        <w:tab/>
        <w:t>Fortalecimiento de la presencia regional con miras a la consecución de los objetivos, realizaciones y productos del UIT-D, a través de la participación y la colaboración de los Sectores de Radiocomunicaciones y Normalización de las Telecomunicaciones, y de la integración del enfoque de "Una UIT" y el método de gestión basada en los resultados (GBR)</w:t>
      </w:r>
      <w:r w:rsidRPr="004F6F3E">
        <w:rPr>
          <w:rStyle w:val="FootnoteReference"/>
          <w:rFonts w:eastAsia="Batang"/>
          <w:lang w:val="es-ES_tradnl"/>
        </w:rPr>
        <w:footnoteReference w:customMarkFollows="1" w:id="65"/>
        <w:t>65</w:t>
      </w:r>
      <w:r w:rsidRPr="004F6F3E">
        <w:rPr>
          <w:rFonts w:eastAsia="Batang"/>
          <w:lang w:val="es-ES_tradnl"/>
        </w:rPr>
        <w:t>.</w:t>
      </w:r>
    </w:p>
    <w:p w14:paraId="4E22AAC4" w14:textId="77777777" w:rsidR="00133FCF" w:rsidRPr="004F6F3E" w:rsidRDefault="00133FCF" w:rsidP="00133FCF">
      <w:pPr>
        <w:pStyle w:val="enumlev1"/>
        <w:keepNext/>
        <w:keepLines/>
        <w:rPr>
          <w:rFonts w:eastAsia="Batang"/>
          <w:lang w:val="es-ES_tradnl"/>
        </w:rPr>
      </w:pPr>
      <w:r w:rsidRPr="004F6F3E">
        <w:rPr>
          <w:rFonts w:eastAsia="Batang"/>
          <w:highlight w:val="yellow"/>
          <w:lang w:val="es-ES_tradnl"/>
        </w:rPr>
        <w:t>5</w:t>
      </w:r>
      <w:r w:rsidRPr="004F6F3E">
        <w:rPr>
          <w:rFonts w:eastAsia="Batang"/>
          <w:highlight w:val="yellow"/>
          <w:lang w:val="es-ES_tradnl"/>
        </w:rPr>
        <w:tab/>
        <w:t>[Refuerzo de las iniciativas de colaboración y cooperación regionales conjuntas y con otras organizaciones de telecomunicaciones regionales y otros organismos de las Naciones Unidas, así como con instituciones financieras y de desarrollo, a fin de lograr los Objetivos de Desarrollo Sostenible para 2030 que guardan relación con [el desarrollo [de las telecomunicaciones/TIC y la economía digital]]</w:t>
      </w:r>
      <w:r w:rsidRPr="004F6F3E">
        <w:rPr>
          <w:rStyle w:val="FootnoteReference"/>
          <w:rFonts w:eastAsia="Batang"/>
          <w:highlight w:val="yellow"/>
          <w:lang w:val="es-ES_tradnl"/>
        </w:rPr>
        <w:footnoteReference w:customMarkFollows="1" w:id="66"/>
        <w:t>66</w:t>
      </w:r>
      <w:r w:rsidRPr="004F6F3E">
        <w:rPr>
          <w:rFonts w:eastAsia="Batang"/>
          <w:highlight w:val="yellow"/>
          <w:lang w:val="es-ES_tradnl"/>
        </w:rPr>
        <w:t>.</w:t>
      </w:r>
    </w:p>
    <w:p w14:paraId="22FDFAD2" w14:textId="77777777" w:rsidR="00133FCF" w:rsidRPr="004F6F3E" w:rsidRDefault="00133FCF" w:rsidP="00133FCF">
      <w:pPr>
        <w:jc w:val="center"/>
        <w:rPr>
          <w:b/>
          <w:bCs/>
          <w:lang w:val="es-ES_tradnl"/>
        </w:rPr>
      </w:pPr>
      <w:r w:rsidRPr="004F6F3E">
        <w:rPr>
          <w:b/>
          <w:bCs/>
          <w:lang w:val="es-ES_tradnl"/>
        </w:rPr>
        <w:t>Factor habilitador</w:t>
      </w:r>
    </w:p>
    <w:p w14:paraId="048C070F" w14:textId="77777777" w:rsidR="00133FCF" w:rsidRPr="004F6F3E" w:rsidRDefault="00133FCF" w:rsidP="00133FCF">
      <w:pPr>
        <w:jc w:val="center"/>
        <w:rPr>
          <w:b/>
          <w:bCs/>
          <w:lang w:val="es-ES_tradnl"/>
        </w:rPr>
      </w:pPr>
      <w:r w:rsidRPr="004F6F3E">
        <w:rPr>
          <w:b/>
          <w:bCs/>
          <w:lang w:val="es-ES_tradnl"/>
        </w:rPr>
        <w:t>Realizaciones en materia de diversidad e inclusión</w:t>
      </w:r>
    </w:p>
    <w:p w14:paraId="0AF789D8" w14:textId="77777777" w:rsidR="00133FCF" w:rsidRPr="004F6F3E" w:rsidRDefault="00133FCF" w:rsidP="00133FCF">
      <w:pPr>
        <w:pStyle w:val="enumlev1"/>
        <w:rPr>
          <w:rFonts w:eastAsia="Batang"/>
          <w:lang w:val="es-ES_tradnl"/>
        </w:rPr>
      </w:pPr>
      <w:r w:rsidRPr="004F6F3E">
        <w:rPr>
          <w:rFonts w:eastAsia="Batang"/>
          <w:lang w:val="es-ES_tradnl"/>
        </w:rPr>
        <w:t>1</w:t>
      </w:r>
      <w:r w:rsidRPr="004F6F3E">
        <w:rPr>
          <w:rFonts w:eastAsia="Batang"/>
          <w:lang w:val="es-ES_tradnl"/>
        </w:rPr>
        <w:tab/>
        <w:t xml:space="preserve">Refuerzo de la capacidad de los miembros de la UIT para elaborar estrategias, políticas y prácticas que favorezcan la inclusión digital y la equidad, en particular el </w:t>
      </w:r>
      <w:r w:rsidRPr="004F6F3E">
        <w:rPr>
          <w:rFonts w:eastAsia="Batang"/>
          <w:lang w:val="es-ES_tradnl"/>
        </w:rPr>
        <w:lastRenderedPageBreak/>
        <w:t>empoderamiento de las mujeres y las niñas, las personas con discapacidad y otras personas con necesidades específicas y los hogares con bajos ingresos</w:t>
      </w:r>
      <w:r w:rsidRPr="004F6F3E">
        <w:rPr>
          <w:rStyle w:val="FootnoteReference"/>
          <w:rFonts w:eastAsia="Batang"/>
          <w:lang w:val="es-ES_tradnl"/>
        </w:rPr>
        <w:footnoteReference w:customMarkFollows="1" w:id="67"/>
        <w:t>67</w:t>
      </w:r>
      <w:r w:rsidRPr="004F6F3E">
        <w:rPr>
          <w:rFonts w:eastAsia="Batang"/>
          <w:lang w:val="es-ES_tradnl"/>
        </w:rPr>
        <w:t>.</w:t>
      </w:r>
    </w:p>
    <w:p w14:paraId="556FCA35" w14:textId="77777777" w:rsidR="00133FCF" w:rsidRPr="004F6F3E" w:rsidRDefault="00133FCF" w:rsidP="003B091B">
      <w:pPr>
        <w:keepNext/>
        <w:keepLines/>
        <w:jc w:val="center"/>
        <w:rPr>
          <w:b/>
          <w:bCs/>
          <w:lang w:val="es-ES_tradnl"/>
        </w:rPr>
      </w:pPr>
      <w:r w:rsidRPr="004F6F3E">
        <w:rPr>
          <w:b/>
          <w:bCs/>
          <w:lang w:val="es-ES_tradnl"/>
        </w:rPr>
        <w:t>Factor habilitador</w:t>
      </w:r>
    </w:p>
    <w:p w14:paraId="3CAD2992" w14:textId="77777777" w:rsidR="00133FCF" w:rsidRPr="004F6F3E" w:rsidRDefault="00133FCF" w:rsidP="00133FCF">
      <w:pPr>
        <w:jc w:val="center"/>
        <w:rPr>
          <w:rFonts w:eastAsia="Batang"/>
          <w:b/>
          <w:bCs/>
          <w:lang w:val="es-ES_tradnl"/>
        </w:rPr>
      </w:pPr>
      <w:r w:rsidRPr="004F6F3E">
        <w:rPr>
          <w:b/>
          <w:bCs/>
          <w:lang w:val="es-ES_tradnl"/>
        </w:rPr>
        <w:t>Realizaciones en materia de compromiso con la soste</w:t>
      </w:r>
      <w:r w:rsidRPr="004F6F3E">
        <w:rPr>
          <w:rFonts w:eastAsia="Batang"/>
          <w:b/>
          <w:bCs/>
          <w:lang w:val="es-ES_tradnl"/>
        </w:rPr>
        <w:t>nibilidad medioambiental</w:t>
      </w:r>
    </w:p>
    <w:p w14:paraId="5A20A978" w14:textId="62633D33" w:rsidR="00133FCF" w:rsidRPr="004F6F3E" w:rsidRDefault="00133FCF" w:rsidP="00133FCF">
      <w:pPr>
        <w:pStyle w:val="enumlev1"/>
        <w:rPr>
          <w:rFonts w:eastAsia="Batang"/>
          <w:lang w:val="es-ES_tradnl"/>
        </w:rPr>
      </w:pPr>
      <w:r w:rsidRPr="004F6F3E">
        <w:rPr>
          <w:rFonts w:eastAsia="Batang"/>
          <w:lang w:val="es-ES_tradnl"/>
        </w:rPr>
        <w:t>1</w:t>
      </w:r>
      <w:r w:rsidRPr="004F6F3E">
        <w:rPr>
          <w:rFonts w:eastAsia="Batang"/>
          <w:lang w:val="es-ES_tradnl"/>
        </w:rPr>
        <w:tab/>
        <w:t>Mejora de la capacidad de los miembros de la UIT para elaborar estrategias y soluciones de telecomunicaciones/TIC en materia de adaptación al cambio climático, atenuación de sus efectos y utilización de energías ecológicas/renovables</w:t>
      </w:r>
      <w:r w:rsidRPr="004F6F3E">
        <w:rPr>
          <w:rStyle w:val="FootnoteReference"/>
          <w:rFonts w:eastAsia="Batang"/>
          <w:lang w:val="es-ES_tradnl"/>
        </w:rPr>
        <w:footnoteReference w:customMarkFollows="1" w:id="68"/>
        <w:t>68</w:t>
      </w:r>
      <w:r w:rsidRPr="004F6F3E">
        <w:rPr>
          <w:rFonts w:eastAsia="Batang"/>
          <w:lang w:val="es-ES_tradnl"/>
        </w:rPr>
        <w:t>.</w:t>
      </w:r>
    </w:p>
    <w:p w14:paraId="32123BDC" w14:textId="77777777" w:rsidR="00133FCF" w:rsidRPr="004F6F3E" w:rsidRDefault="00133FCF" w:rsidP="00133FCF">
      <w:pPr>
        <w:jc w:val="center"/>
        <w:rPr>
          <w:b/>
          <w:bCs/>
          <w:lang w:val="es-ES_tradnl"/>
        </w:rPr>
      </w:pPr>
      <w:r w:rsidRPr="004F6F3E">
        <w:rPr>
          <w:b/>
          <w:bCs/>
          <w:lang w:val="es-ES_tradnl"/>
        </w:rPr>
        <w:t>Factor habilitador</w:t>
      </w:r>
    </w:p>
    <w:p w14:paraId="008F238B" w14:textId="77777777" w:rsidR="00133FCF" w:rsidRPr="004F6F3E" w:rsidRDefault="00133FCF" w:rsidP="00133FCF">
      <w:pPr>
        <w:jc w:val="center"/>
        <w:rPr>
          <w:b/>
          <w:bCs/>
          <w:lang w:val="es-ES_tradnl"/>
        </w:rPr>
      </w:pPr>
      <w:r w:rsidRPr="004F6F3E">
        <w:rPr>
          <w:b/>
          <w:bCs/>
          <w:lang w:val="es-ES_tradnl"/>
        </w:rPr>
        <w:t>Realizaciones en materia de asociaciones y cooperación internacional</w:t>
      </w:r>
    </w:p>
    <w:p w14:paraId="0E533CF4" w14:textId="77777777" w:rsidR="00133FCF" w:rsidRPr="004F6F3E" w:rsidRDefault="00133FCF" w:rsidP="00133FCF">
      <w:pPr>
        <w:pStyle w:val="enumlev1"/>
        <w:rPr>
          <w:rFonts w:eastAsia="Batang"/>
          <w:lang w:val="es-ES_tradnl"/>
        </w:rPr>
      </w:pPr>
      <w:r w:rsidRPr="004F6F3E">
        <w:rPr>
          <w:rFonts w:eastAsia="Batang"/>
          <w:highlight w:val="yellow"/>
          <w:lang w:val="es-ES_tradnl"/>
        </w:rPr>
        <w:t>1</w:t>
      </w:r>
      <w:r w:rsidRPr="004F6F3E">
        <w:rPr>
          <w:rFonts w:eastAsia="Batang"/>
          <w:highlight w:val="yellow"/>
          <w:lang w:val="es-ES_tradnl"/>
        </w:rPr>
        <w:tab/>
        <w:t>[Refuerzo de la planificación, la colaboración y la cooperación conjuntas a escala de las Naciones Unidas y con otras instituciones financieras y de desarrollo a nivel internacional y regional, a fin de lograr los Objetivos de Desarrollo Sostenible para 2030 que guardan relación con [el desarrollo [de las telecomunicaciones/TIC y la economía digital]]</w:t>
      </w:r>
      <w:r w:rsidRPr="004F6F3E">
        <w:rPr>
          <w:rStyle w:val="FootnoteReference"/>
          <w:rFonts w:eastAsia="Batang"/>
          <w:highlight w:val="yellow"/>
          <w:lang w:val="es-ES_tradnl"/>
        </w:rPr>
        <w:footnoteReference w:customMarkFollows="1" w:id="69"/>
        <w:t>69</w:t>
      </w:r>
      <w:r w:rsidRPr="004F6F3E">
        <w:rPr>
          <w:rFonts w:eastAsia="Batang"/>
          <w:highlight w:val="yellow"/>
          <w:lang w:val="es-ES_tradnl"/>
        </w:rPr>
        <w:t>.</w:t>
      </w:r>
    </w:p>
    <w:p w14:paraId="2A560BA0" w14:textId="77777777" w:rsidR="00133FCF" w:rsidRPr="004F6F3E" w:rsidRDefault="00133FCF" w:rsidP="006D5A98">
      <w:pPr>
        <w:keepNext/>
        <w:keepLines/>
        <w:jc w:val="center"/>
        <w:rPr>
          <w:b/>
          <w:bCs/>
          <w:lang w:val="es-ES_tradnl"/>
        </w:rPr>
      </w:pPr>
      <w:r w:rsidRPr="004F6F3E">
        <w:rPr>
          <w:b/>
          <w:bCs/>
          <w:lang w:val="es-ES_tradnl"/>
        </w:rPr>
        <w:t xml:space="preserve">Factor </w:t>
      </w:r>
      <w:bookmarkStart w:id="98" w:name="_GoBack"/>
      <w:bookmarkEnd w:id="98"/>
      <w:r w:rsidRPr="004F6F3E">
        <w:rPr>
          <w:b/>
          <w:bCs/>
          <w:lang w:val="es-ES_tradnl"/>
        </w:rPr>
        <w:t>habilitador</w:t>
      </w:r>
    </w:p>
    <w:p w14:paraId="4208B3D5" w14:textId="77777777" w:rsidR="00133FCF" w:rsidRPr="004F6F3E" w:rsidRDefault="00133FCF" w:rsidP="006D5A98">
      <w:pPr>
        <w:keepNext/>
        <w:keepLines/>
        <w:jc w:val="center"/>
        <w:rPr>
          <w:b/>
          <w:bCs/>
          <w:lang w:val="es-ES_tradnl"/>
        </w:rPr>
      </w:pPr>
      <w:r w:rsidRPr="004F6F3E">
        <w:rPr>
          <w:b/>
          <w:bCs/>
          <w:lang w:val="es-ES_tradnl"/>
        </w:rPr>
        <w:t>Realizaciones en materia de movilización de recursos</w:t>
      </w:r>
    </w:p>
    <w:p w14:paraId="62E7C523" w14:textId="77777777" w:rsidR="00133FCF" w:rsidRPr="004F6F3E" w:rsidRDefault="00133FCF" w:rsidP="006D5A98">
      <w:pPr>
        <w:pStyle w:val="enumlev1"/>
        <w:keepNext/>
        <w:keepLines/>
        <w:rPr>
          <w:rFonts w:eastAsia="Batang"/>
          <w:lang w:val="es-ES_tradnl"/>
        </w:rPr>
      </w:pPr>
      <w:r w:rsidRPr="004F6F3E">
        <w:rPr>
          <w:rFonts w:eastAsia="Batang"/>
          <w:lang w:val="es-ES_tradnl"/>
        </w:rPr>
        <w:t>1</w:t>
      </w:r>
      <w:r w:rsidRPr="004F6F3E">
        <w:rPr>
          <w:rFonts w:eastAsia="Batang"/>
          <w:lang w:val="es-ES_tradnl"/>
        </w:rPr>
        <w:tab/>
        <w:t>Refuerzo de la estrategia de movilización de recursos mediante la cooperación con instituciones financieras y de desarrollo internacionales y regionales</w:t>
      </w:r>
      <w:r w:rsidRPr="004F6F3E">
        <w:rPr>
          <w:rStyle w:val="FootnoteReference"/>
          <w:rFonts w:eastAsia="Batang"/>
          <w:lang w:val="es-ES_tradnl"/>
        </w:rPr>
        <w:footnoteReference w:customMarkFollows="1" w:id="70"/>
        <w:t>70</w:t>
      </w:r>
      <w:r w:rsidRPr="004F6F3E">
        <w:rPr>
          <w:rFonts w:eastAsia="Batang"/>
          <w:lang w:val="es-ES_tradnl"/>
        </w:rPr>
        <w:t>.</w:t>
      </w:r>
    </w:p>
    <w:p w14:paraId="7082AE46" w14:textId="77777777" w:rsidR="00133FCF" w:rsidRPr="004F6F3E" w:rsidRDefault="00133FCF" w:rsidP="00133FCF">
      <w:pPr>
        <w:keepNext/>
        <w:jc w:val="center"/>
        <w:rPr>
          <w:b/>
          <w:bCs/>
          <w:lang w:val="es-ES_tradnl"/>
        </w:rPr>
      </w:pPr>
      <w:r w:rsidRPr="004F6F3E">
        <w:rPr>
          <w:b/>
          <w:bCs/>
          <w:lang w:val="es-ES_tradnl"/>
        </w:rPr>
        <w:t>Factor habilitador</w:t>
      </w:r>
    </w:p>
    <w:p w14:paraId="6064961C" w14:textId="77777777" w:rsidR="00133FCF" w:rsidRPr="004F6F3E" w:rsidRDefault="00133FCF" w:rsidP="00133FCF">
      <w:pPr>
        <w:keepNext/>
        <w:jc w:val="center"/>
        <w:rPr>
          <w:b/>
          <w:bCs/>
          <w:lang w:val="es-ES_tradnl"/>
        </w:rPr>
      </w:pPr>
      <w:r w:rsidRPr="004F6F3E">
        <w:rPr>
          <w:b/>
          <w:bCs/>
          <w:lang w:val="es-ES_tradnl"/>
        </w:rPr>
        <w:t>Realizaciones en materia de eficiencia, eficacia e innovación operativas</w:t>
      </w:r>
    </w:p>
    <w:p w14:paraId="0DDF928E" w14:textId="77777777" w:rsidR="00133FCF" w:rsidRPr="004F6F3E" w:rsidRDefault="00133FCF" w:rsidP="00133FCF">
      <w:pPr>
        <w:pStyle w:val="enumlev1"/>
        <w:rPr>
          <w:rFonts w:eastAsia="Batang"/>
          <w:lang w:val="es-ES_tradnl"/>
        </w:rPr>
      </w:pPr>
      <w:r w:rsidRPr="004F6F3E">
        <w:rPr>
          <w:rFonts w:eastAsia="Batang"/>
          <w:lang w:val="es-ES_tradnl"/>
        </w:rPr>
        <w:t>1</w:t>
      </w:r>
      <w:r w:rsidRPr="004F6F3E">
        <w:rPr>
          <w:rFonts w:eastAsia="Batang"/>
          <w:lang w:val="es-ES_tradnl"/>
        </w:rPr>
        <w:tab/>
        <w:t>Refuerzo de la doble responsabilidad de la Unión como organismo especializado de las Naciones Unidas y organismo ejecutor de proyectos</w:t>
      </w:r>
      <w:r w:rsidRPr="004F6F3E">
        <w:rPr>
          <w:rStyle w:val="FootnoteReference"/>
          <w:rFonts w:eastAsia="Batang"/>
          <w:lang w:val="es-ES_tradnl"/>
        </w:rPr>
        <w:footnoteReference w:customMarkFollows="1" w:id="71"/>
        <w:t>71</w:t>
      </w:r>
      <w:r w:rsidRPr="004F6F3E">
        <w:rPr>
          <w:rFonts w:eastAsia="Batang"/>
          <w:lang w:val="es-ES_tradnl"/>
        </w:rPr>
        <w:t>.</w:t>
      </w:r>
    </w:p>
    <w:p w14:paraId="55061804" w14:textId="5D375E10" w:rsidR="00133FCF" w:rsidRPr="004F6F3E" w:rsidRDefault="00133FCF" w:rsidP="00133FCF">
      <w:pPr>
        <w:pStyle w:val="enumlev1"/>
        <w:rPr>
          <w:rFonts w:eastAsia="Batang"/>
          <w:lang w:val="es-ES_tradnl"/>
        </w:rPr>
      </w:pPr>
      <w:r w:rsidRPr="004F6F3E">
        <w:rPr>
          <w:rFonts w:eastAsia="Batang"/>
          <w:highlight w:val="yellow"/>
          <w:lang w:val="es-ES_tradnl"/>
        </w:rPr>
        <w:t>2</w:t>
      </w:r>
      <w:r w:rsidRPr="004F6F3E">
        <w:rPr>
          <w:rFonts w:eastAsia="Batang"/>
          <w:highlight w:val="yellow"/>
          <w:lang w:val="es-ES_tradnl"/>
        </w:rPr>
        <w:tab/>
        <w:t>[Refuerzo de la doble responsabilidad de la Unión como organismo especializado de las Naciones Unidas y organismo ejecutor de proyectos</w:t>
      </w:r>
      <w:r w:rsidRPr="004F6F3E">
        <w:rPr>
          <w:rFonts w:eastAsia="Batang"/>
          <w:highlight w:val="yellow"/>
          <w:lang w:val="es-ES_tradnl"/>
        </w:rPr>
        <w:br/>
      </w:r>
      <w:r w:rsidR="00D22641" w:rsidRPr="004F6F3E">
        <w:rPr>
          <w:rFonts w:eastAsia="Batang"/>
          <w:i/>
          <w:iCs/>
          <w:highlight w:val="yellow"/>
          <w:lang w:val="es-ES_tradnl"/>
        </w:rPr>
        <w:t>O</w:t>
      </w:r>
      <w:r w:rsidRPr="004F6F3E">
        <w:rPr>
          <w:rFonts w:eastAsia="Batang"/>
          <w:i/>
          <w:iCs/>
          <w:highlight w:val="yellow"/>
          <w:lang w:val="es-ES_tradnl"/>
        </w:rPr>
        <w:br/>
      </w:r>
      <w:r w:rsidRPr="004F6F3E">
        <w:rPr>
          <w:rFonts w:eastAsia="Batang"/>
          <w:highlight w:val="yellow"/>
          <w:lang w:val="es-ES_tradnl"/>
        </w:rPr>
        <w:t>Refuerzo de la función de ejecución de proyectos de la UIT]</w:t>
      </w:r>
      <w:r w:rsidRPr="004F6F3E">
        <w:rPr>
          <w:rStyle w:val="FootnoteReference"/>
          <w:rFonts w:eastAsia="Batang"/>
          <w:highlight w:val="yellow"/>
          <w:lang w:val="es-ES_tradnl"/>
        </w:rPr>
        <w:footnoteReference w:customMarkFollows="1" w:id="72"/>
        <w:t>72</w:t>
      </w:r>
      <w:r w:rsidRPr="004F6F3E">
        <w:rPr>
          <w:rFonts w:eastAsia="Batang"/>
          <w:highlight w:val="yellow"/>
          <w:lang w:val="es-ES_tradnl"/>
        </w:rPr>
        <w:t>.</w:t>
      </w:r>
    </w:p>
    <w:bookmarkEnd w:id="9"/>
    <w:p w14:paraId="65D447C3" w14:textId="77777777" w:rsidR="00133FCF" w:rsidRPr="004F6F3E" w:rsidRDefault="00133FCF" w:rsidP="00133FCF">
      <w:pPr>
        <w:pStyle w:val="Reasons"/>
        <w:rPr>
          <w:rFonts w:cstheme="minorHAnsi"/>
          <w:lang w:val="es-ES_tradnl"/>
        </w:rPr>
      </w:pPr>
    </w:p>
    <w:p w14:paraId="4A485FC2" w14:textId="77777777" w:rsidR="00832BBA" w:rsidRPr="004F6F3E" w:rsidRDefault="00832BBA">
      <w:pPr>
        <w:jc w:val="center"/>
        <w:rPr>
          <w:lang w:val="es-ES_tradnl"/>
        </w:rPr>
      </w:pPr>
      <w:r w:rsidRPr="004F6F3E">
        <w:rPr>
          <w:lang w:val="es-ES_tradnl"/>
        </w:rPr>
        <w:t>______________</w:t>
      </w:r>
    </w:p>
    <w:sectPr w:rsidR="00832BBA" w:rsidRPr="004F6F3E" w:rsidSect="0039169B">
      <w:headerReference w:type="default" r:id="rId21"/>
      <w:footerReference w:type="even" r:id="rId22"/>
      <w:footerReference w:type="default" r:id="rId23"/>
      <w:footerReference w:type="first" r:id="rId24"/>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78F69" w14:textId="77777777" w:rsidR="004F6F3E" w:rsidRDefault="004F6F3E">
      <w:r>
        <w:separator/>
      </w:r>
    </w:p>
  </w:endnote>
  <w:endnote w:type="continuationSeparator" w:id="0">
    <w:p w14:paraId="735429D1" w14:textId="77777777" w:rsidR="004F6F3E" w:rsidRDefault="004F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407" w14:textId="77777777" w:rsidR="004F6F3E" w:rsidRDefault="004F6F3E">
    <w:pPr>
      <w:framePr w:wrap="around" w:vAnchor="text" w:hAnchor="margin" w:xAlign="right" w:y="1"/>
    </w:pPr>
    <w:r>
      <w:fldChar w:fldCharType="begin"/>
    </w:r>
    <w:r>
      <w:instrText xml:space="preserve">PAGE  </w:instrText>
    </w:r>
    <w:r>
      <w:fldChar w:fldCharType="end"/>
    </w:r>
  </w:p>
  <w:p w14:paraId="4B917A1E" w14:textId="01973EF5" w:rsidR="004F6F3E" w:rsidRPr="0041348E" w:rsidRDefault="004F6F3E">
    <w:pPr>
      <w:ind w:right="360"/>
      <w:rPr>
        <w:lang w:val="en-US"/>
      </w:rPr>
    </w:pPr>
    <w:r>
      <w:fldChar w:fldCharType="begin"/>
    </w:r>
    <w:r w:rsidRPr="0041348E">
      <w:rPr>
        <w:lang w:val="en-US"/>
      </w:rPr>
      <w:instrText xml:space="preserve"> FILENAME \p  \* MERGEFORMAT </w:instrText>
    </w:r>
    <w:r>
      <w:fldChar w:fldCharType="separate"/>
    </w:r>
    <w:r w:rsidR="006D5A98">
      <w:rPr>
        <w:noProof/>
        <w:lang w:val="en-US"/>
      </w:rPr>
      <w:t>P:\ESP\ITU-D\CONF-D\WTDC21\000\008S.docx</w:t>
    </w:r>
    <w:r>
      <w:fldChar w:fldCharType="end"/>
    </w:r>
    <w:r w:rsidRPr="0041348E">
      <w:rPr>
        <w:lang w:val="en-US"/>
      </w:rPr>
      <w:tab/>
    </w:r>
    <w:r>
      <w:fldChar w:fldCharType="begin"/>
    </w:r>
    <w:r>
      <w:instrText xml:space="preserve"> SAVEDATE \@ DD.MM.YY </w:instrText>
    </w:r>
    <w:r>
      <w:fldChar w:fldCharType="separate"/>
    </w:r>
    <w:r w:rsidR="006D5A98">
      <w:rPr>
        <w:noProof/>
      </w:rPr>
      <w:t>11.05.22</w:t>
    </w:r>
    <w:r>
      <w:fldChar w:fldCharType="end"/>
    </w:r>
    <w:r w:rsidRPr="0041348E">
      <w:rPr>
        <w:lang w:val="en-US"/>
      </w:rPr>
      <w:tab/>
    </w:r>
    <w:r>
      <w:fldChar w:fldCharType="begin"/>
    </w:r>
    <w:r>
      <w:instrText xml:space="preserve"> PRINTDATE \@ DD.MM.YY </w:instrText>
    </w:r>
    <w:r>
      <w:fldChar w:fldCharType="separate"/>
    </w:r>
    <w:r w:rsidR="006D5A98">
      <w:rPr>
        <w:noProof/>
      </w:rPr>
      <w:t>09.03.17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E81ED" w14:textId="7DCFDF48" w:rsidR="004F6F3E" w:rsidRDefault="006D5A98" w:rsidP="00C01B77">
    <w:pPr>
      <w:pStyle w:val="Footer"/>
    </w:pPr>
    <w:r>
      <w:fldChar w:fldCharType="begin"/>
    </w:r>
    <w:r>
      <w:instrText xml:space="preserve"> FILENAME \p  \* MERGEFORMAT </w:instrText>
    </w:r>
    <w:r>
      <w:fldChar w:fldCharType="separate"/>
    </w:r>
    <w:r>
      <w:t>P:\ESP\ITU-D\CONF-D\WTDC21\000\008S.docx</w:t>
    </w:r>
    <w:r>
      <w:fldChar w:fldCharType="end"/>
    </w:r>
    <w:r w:rsidR="004F6F3E">
      <w:t xml:space="preserve"> (497149)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69265" w14:textId="77777777" w:rsidR="004F6F3E" w:rsidRDefault="004F6F3E" w:rsidP="00D83BF5"/>
  <w:tbl>
    <w:tblPr>
      <w:tblW w:w="9923" w:type="dxa"/>
      <w:tblLayout w:type="fixed"/>
      <w:tblLook w:val="04A0" w:firstRow="1" w:lastRow="0" w:firstColumn="1" w:lastColumn="0" w:noHBand="0" w:noVBand="1"/>
    </w:tblPr>
    <w:tblGrid>
      <w:gridCol w:w="1134"/>
      <w:gridCol w:w="2552"/>
      <w:gridCol w:w="6237"/>
    </w:tblGrid>
    <w:tr w:rsidR="004F6F3E" w:rsidRPr="004D495C" w14:paraId="35DDF46A" w14:textId="77777777" w:rsidTr="000B1248">
      <w:tc>
        <w:tcPr>
          <w:tcW w:w="1134" w:type="dxa"/>
          <w:tcBorders>
            <w:top w:val="single" w:sz="4" w:space="0" w:color="000000"/>
          </w:tcBorders>
          <w:shd w:val="clear" w:color="auto" w:fill="auto"/>
        </w:tcPr>
        <w:p w14:paraId="383B2374" w14:textId="77777777" w:rsidR="004F6F3E" w:rsidRPr="004D495C" w:rsidRDefault="004F6F3E" w:rsidP="00D83BF5">
          <w:pPr>
            <w:pStyle w:val="FirstFooter"/>
            <w:tabs>
              <w:tab w:val="left" w:pos="1559"/>
              <w:tab w:val="left" w:pos="3828"/>
            </w:tabs>
            <w:rPr>
              <w:sz w:val="18"/>
              <w:szCs w:val="18"/>
            </w:rPr>
          </w:pPr>
          <w:r w:rsidRPr="004D495C">
            <w:rPr>
              <w:sz w:val="18"/>
              <w:szCs w:val="18"/>
              <w:lang w:val="en-US"/>
            </w:rPr>
            <w:t>Contact</w:t>
          </w:r>
          <w:r>
            <w:rPr>
              <w:sz w:val="18"/>
              <w:szCs w:val="18"/>
              <w:lang w:val="en-US"/>
            </w:rPr>
            <w:t>o</w:t>
          </w:r>
          <w:r w:rsidRPr="004D495C">
            <w:rPr>
              <w:sz w:val="18"/>
              <w:szCs w:val="18"/>
              <w:lang w:val="en-US"/>
            </w:rPr>
            <w:t>:</w:t>
          </w:r>
        </w:p>
      </w:tc>
      <w:tc>
        <w:tcPr>
          <w:tcW w:w="2552" w:type="dxa"/>
          <w:tcBorders>
            <w:top w:val="single" w:sz="4" w:space="0" w:color="000000"/>
          </w:tcBorders>
          <w:shd w:val="clear" w:color="auto" w:fill="auto"/>
        </w:tcPr>
        <w:p w14:paraId="4FCBEF3C" w14:textId="77777777" w:rsidR="004F6F3E" w:rsidRPr="004D495C" w:rsidRDefault="004F6F3E" w:rsidP="000B1248">
          <w:pPr>
            <w:pStyle w:val="FirstFooter"/>
            <w:tabs>
              <w:tab w:val="left" w:pos="2302"/>
            </w:tabs>
            <w:ind w:left="2302" w:hanging="2302"/>
            <w:rPr>
              <w:sz w:val="18"/>
              <w:szCs w:val="18"/>
              <w:lang w:val="en-US"/>
            </w:rPr>
          </w:pPr>
          <w:r w:rsidRPr="004D495C">
            <w:rPr>
              <w:sz w:val="18"/>
              <w:szCs w:val="18"/>
              <w:lang w:val="en-US"/>
            </w:rPr>
            <w:t>N</w:t>
          </w:r>
          <w:r>
            <w:rPr>
              <w:sz w:val="18"/>
              <w:szCs w:val="18"/>
              <w:lang w:val="en-US"/>
            </w:rPr>
            <w:t>ombr</w:t>
          </w:r>
          <w:r w:rsidRPr="004D495C">
            <w:rPr>
              <w:sz w:val="18"/>
              <w:szCs w:val="18"/>
              <w:lang w:val="en-US"/>
            </w:rPr>
            <w:t>e/Organiza</w:t>
          </w:r>
          <w:r>
            <w:rPr>
              <w:sz w:val="18"/>
              <w:szCs w:val="18"/>
              <w:lang w:val="en-US"/>
            </w:rPr>
            <w:t>ción/Entidad</w:t>
          </w:r>
          <w:r w:rsidRPr="004D495C">
            <w:rPr>
              <w:sz w:val="18"/>
              <w:szCs w:val="18"/>
              <w:lang w:val="en-US"/>
            </w:rPr>
            <w:t>:</w:t>
          </w:r>
        </w:p>
      </w:tc>
      <w:tc>
        <w:tcPr>
          <w:tcW w:w="6237" w:type="dxa"/>
          <w:tcBorders>
            <w:top w:val="single" w:sz="4" w:space="0" w:color="000000"/>
          </w:tcBorders>
          <w:shd w:val="clear" w:color="auto" w:fill="auto"/>
        </w:tcPr>
        <w:p w14:paraId="5DA59F52" w14:textId="67F36509" w:rsidR="004F6F3E" w:rsidRPr="00133FCF" w:rsidRDefault="004F6F3E" w:rsidP="00133FCF">
          <w:pPr>
            <w:pStyle w:val="FirstFooter"/>
            <w:rPr>
              <w:sz w:val="18"/>
              <w:szCs w:val="18"/>
              <w:lang w:val="en-US"/>
            </w:rPr>
          </w:pPr>
          <w:r w:rsidRPr="00FF2FC1">
            <w:rPr>
              <w:sz w:val="18"/>
              <w:szCs w:val="18"/>
              <w:lang w:val="es-ES_tradnl"/>
            </w:rPr>
            <w:t xml:space="preserve">Sr. Stephen </w:t>
          </w:r>
          <w:proofErr w:type="spellStart"/>
          <w:r w:rsidRPr="00FF2FC1">
            <w:rPr>
              <w:sz w:val="18"/>
              <w:szCs w:val="18"/>
              <w:lang w:val="es-ES_tradnl"/>
            </w:rPr>
            <w:t>Bereaux</w:t>
          </w:r>
          <w:proofErr w:type="spellEnd"/>
          <w:r w:rsidRPr="00FF2FC1">
            <w:rPr>
              <w:sz w:val="18"/>
              <w:szCs w:val="18"/>
              <w:lang w:val="es-ES_tradnl"/>
            </w:rPr>
            <w:t>, Director Adjunto, Oficina de Desarrollo de las Telecomunicaciones</w:t>
          </w:r>
        </w:p>
      </w:tc>
    </w:tr>
    <w:tr w:rsidR="004F6F3E" w:rsidRPr="004D495C" w14:paraId="62832B08" w14:textId="77777777" w:rsidTr="000B1248">
      <w:tc>
        <w:tcPr>
          <w:tcW w:w="1134" w:type="dxa"/>
          <w:shd w:val="clear" w:color="auto" w:fill="auto"/>
        </w:tcPr>
        <w:p w14:paraId="1EF6685E" w14:textId="77777777" w:rsidR="004F6F3E" w:rsidRPr="004D495C" w:rsidRDefault="004F6F3E" w:rsidP="00D83BF5">
          <w:pPr>
            <w:pStyle w:val="FirstFooter"/>
            <w:tabs>
              <w:tab w:val="left" w:pos="1559"/>
              <w:tab w:val="left" w:pos="3828"/>
            </w:tabs>
            <w:rPr>
              <w:sz w:val="20"/>
              <w:lang w:val="en-US"/>
            </w:rPr>
          </w:pPr>
        </w:p>
      </w:tc>
      <w:tc>
        <w:tcPr>
          <w:tcW w:w="2552" w:type="dxa"/>
          <w:shd w:val="clear" w:color="auto" w:fill="auto"/>
        </w:tcPr>
        <w:p w14:paraId="6E0E9A2A" w14:textId="77777777" w:rsidR="004F6F3E" w:rsidRPr="004D495C" w:rsidRDefault="004F6F3E" w:rsidP="00D83BF5">
          <w:pPr>
            <w:pStyle w:val="FirstFooter"/>
            <w:tabs>
              <w:tab w:val="left" w:pos="2302"/>
            </w:tabs>
            <w:rPr>
              <w:sz w:val="18"/>
              <w:szCs w:val="18"/>
              <w:lang w:val="en-US"/>
            </w:rPr>
          </w:pPr>
          <w:r>
            <w:rPr>
              <w:sz w:val="18"/>
              <w:szCs w:val="18"/>
              <w:lang w:val="en-US"/>
            </w:rPr>
            <w:t>Teléfono</w:t>
          </w:r>
          <w:r w:rsidRPr="004D495C">
            <w:rPr>
              <w:sz w:val="18"/>
              <w:szCs w:val="18"/>
              <w:lang w:val="en-US"/>
            </w:rPr>
            <w:t>:</w:t>
          </w:r>
        </w:p>
      </w:tc>
      <w:tc>
        <w:tcPr>
          <w:tcW w:w="6237" w:type="dxa"/>
          <w:shd w:val="clear" w:color="auto" w:fill="auto"/>
        </w:tcPr>
        <w:p w14:paraId="413D2A0E" w14:textId="69FC7CF1" w:rsidR="004F6F3E" w:rsidRPr="00133FCF" w:rsidRDefault="004F6F3E" w:rsidP="00D83BF5">
          <w:pPr>
            <w:pStyle w:val="FirstFooter"/>
            <w:tabs>
              <w:tab w:val="left" w:pos="2302"/>
            </w:tabs>
            <w:rPr>
              <w:sz w:val="18"/>
              <w:szCs w:val="18"/>
              <w:lang w:val="en-US"/>
            </w:rPr>
          </w:pPr>
          <w:r w:rsidRPr="00133FCF">
            <w:rPr>
              <w:sz w:val="18"/>
              <w:szCs w:val="18"/>
              <w:lang w:val="en-US"/>
            </w:rPr>
            <w:t>+41 22 730 5131</w:t>
          </w:r>
        </w:p>
      </w:tc>
    </w:tr>
    <w:tr w:rsidR="004F6F3E" w:rsidRPr="004D495C" w14:paraId="38EED27B" w14:textId="77777777" w:rsidTr="000B1248">
      <w:tc>
        <w:tcPr>
          <w:tcW w:w="1134" w:type="dxa"/>
          <w:shd w:val="clear" w:color="auto" w:fill="auto"/>
        </w:tcPr>
        <w:p w14:paraId="5D16CAD7" w14:textId="77777777" w:rsidR="004F6F3E" w:rsidRPr="004D495C" w:rsidRDefault="004F6F3E" w:rsidP="00D83BF5">
          <w:pPr>
            <w:pStyle w:val="FirstFooter"/>
            <w:tabs>
              <w:tab w:val="left" w:pos="1559"/>
              <w:tab w:val="left" w:pos="3828"/>
            </w:tabs>
            <w:rPr>
              <w:sz w:val="20"/>
              <w:lang w:val="en-US"/>
            </w:rPr>
          </w:pPr>
        </w:p>
      </w:tc>
      <w:tc>
        <w:tcPr>
          <w:tcW w:w="2552" w:type="dxa"/>
          <w:shd w:val="clear" w:color="auto" w:fill="auto"/>
        </w:tcPr>
        <w:p w14:paraId="4E707A63" w14:textId="77777777" w:rsidR="004F6F3E" w:rsidRPr="004D495C" w:rsidRDefault="004F6F3E" w:rsidP="00D83BF5">
          <w:pPr>
            <w:pStyle w:val="FirstFooter"/>
            <w:tabs>
              <w:tab w:val="left" w:pos="2302"/>
            </w:tabs>
            <w:rPr>
              <w:sz w:val="18"/>
              <w:szCs w:val="18"/>
              <w:lang w:val="en-US"/>
            </w:rPr>
          </w:pPr>
          <w:r>
            <w:rPr>
              <w:sz w:val="18"/>
              <w:szCs w:val="18"/>
              <w:lang w:val="en-US"/>
            </w:rPr>
            <w:t>Correo-e</w:t>
          </w:r>
          <w:r w:rsidRPr="004D495C">
            <w:rPr>
              <w:sz w:val="18"/>
              <w:szCs w:val="18"/>
              <w:lang w:val="en-US"/>
            </w:rPr>
            <w:t>:</w:t>
          </w:r>
        </w:p>
      </w:tc>
      <w:tc>
        <w:tcPr>
          <w:tcW w:w="6237" w:type="dxa"/>
          <w:shd w:val="clear" w:color="auto" w:fill="auto"/>
        </w:tcPr>
        <w:p w14:paraId="4C141177" w14:textId="04FB1294" w:rsidR="004F6F3E" w:rsidRPr="00133FCF" w:rsidRDefault="006D5A98" w:rsidP="00D83BF5">
          <w:pPr>
            <w:pStyle w:val="FirstFooter"/>
            <w:tabs>
              <w:tab w:val="left" w:pos="2302"/>
            </w:tabs>
            <w:rPr>
              <w:sz w:val="18"/>
              <w:szCs w:val="18"/>
              <w:lang w:val="en-US"/>
            </w:rPr>
          </w:pPr>
          <w:hyperlink r:id="rId1" w:history="1">
            <w:r w:rsidR="004F6F3E" w:rsidRPr="00133FCF">
              <w:rPr>
                <w:rStyle w:val="Hyperlink"/>
                <w:sz w:val="18"/>
                <w:szCs w:val="18"/>
              </w:rPr>
              <w:t>stephen.bereaux@itu.int</w:t>
            </w:r>
          </w:hyperlink>
        </w:p>
      </w:tc>
    </w:tr>
  </w:tbl>
  <w:p w14:paraId="3D0D80C4" w14:textId="77777777" w:rsidR="004F6F3E" w:rsidRPr="00D83BF5" w:rsidRDefault="006D5A98" w:rsidP="00616175">
    <w:pPr>
      <w:jc w:val="center"/>
    </w:pPr>
    <w:hyperlink r:id="rId2" w:history="1">
      <w:r w:rsidR="004F6F3E">
        <w:rPr>
          <w:rStyle w:val="Hyperlink"/>
          <w:sz w:val="20"/>
        </w:rPr>
        <w:t>CMDT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4A476" w14:textId="77777777" w:rsidR="004F6F3E" w:rsidRDefault="004F6F3E">
      <w:r>
        <w:rPr>
          <w:b/>
        </w:rPr>
        <w:t>_______________</w:t>
      </w:r>
    </w:p>
  </w:footnote>
  <w:footnote w:type="continuationSeparator" w:id="0">
    <w:p w14:paraId="5068089F" w14:textId="77777777" w:rsidR="004F6F3E" w:rsidRDefault="004F6F3E">
      <w:r>
        <w:continuationSeparator/>
      </w:r>
    </w:p>
  </w:footnote>
  <w:footnote w:id="1">
    <w:p w14:paraId="62586DE2" w14:textId="7D264B83" w:rsidR="004F6F3E" w:rsidRPr="00D656D5" w:rsidRDefault="004F6F3E" w:rsidP="00133FCF">
      <w:pPr>
        <w:pStyle w:val="FootnoteText"/>
        <w:rPr>
          <w:lang w:val="es-ES_tradnl"/>
        </w:rPr>
      </w:pPr>
      <w:r w:rsidRPr="00133FCF">
        <w:rPr>
          <w:rStyle w:val="FootnoteReference"/>
          <w:lang w:val="es-ES"/>
        </w:rPr>
        <w:t>1</w:t>
      </w:r>
      <w:r w:rsidRPr="00D656D5">
        <w:rPr>
          <w:lang w:val="es-ES_tradnl"/>
        </w:rPr>
        <w:tab/>
      </w:r>
      <w:hyperlink r:id="rId1" w:history="1">
        <w:r w:rsidRPr="00133FCF">
          <w:rPr>
            <w:rStyle w:val="Hyperlink"/>
            <w:lang w:val="es-ES"/>
          </w:rPr>
          <w:t>CWG-SFP-4/2</w:t>
        </w:r>
      </w:hyperlink>
      <w:r w:rsidRPr="00D656D5">
        <w:rPr>
          <w:lang w:val="es-ES_tradnl"/>
        </w:rPr>
        <w:t>, pág</w:t>
      </w:r>
      <w:r>
        <w:rPr>
          <w:lang w:val="es-ES_tradnl"/>
        </w:rPr>
        <w:t>ina</w:t>
      </w:r>
      <w:r w:rsidRPr="00D656D5">
        <w:rPr>
          <w:lang w:val="es-ES_tradnl"/>
        </w:rPr>
        <w:t xml:space="preserve"> 3</w:t>
      </w:r>
      <w:r>
        <w:rPr>
          <w:lang w:val="es-ES_tradnl"/>
        </w:rPr>
        <w:t>.</w:t>
      </w:r>
    </w:p>
  </w:footnote>
  <w:footnote w:id="2">
    <w:p w14:paraId="757C6D43" w14:textId="6558CFCE" w:rsidR="004F6F3E" w:rsidRPr="00D656D5" w:rsidRDefault="004F6F3E" w:rsidP="00133FCF">
      <w:pPr>
        <w:pStyle w:val="FootnoteText"/>
        <w:rPr>
          <w:lang w:val="es-ES_tradnl"/>
        </w:rPr>
      </w:pPr>
      <w:r w:rsidRPr="00133FCF">
        <w:rPr>
          <w:rStyle w:val="FootnoteReference"/>
          <w:lang w:val="es-ES"/>
        </w:rPr>
        <w:t>2</w:t>
      </w:r>
      <w:r w:rsidRPr="00D656D5">
        <w:rPr>
          <w:lang w:val="es-ES_tradnl"/>
        </w:rPr>
        <w:tab/>
      </w:r>
      <w:hyperlink r:id="rId2" w:history="1">
        <w:r w:rsidRPr="00133FCF">
          <w:rPr>
            <w:rStyle w:val="Hyperlink"/>
            <w:lang w:val="es-ES"/>
          </w:rPr>
          <w:t>CWG-SFP-4/2</w:t>
        </w:r>
      </w:hyperlink>
      <w:r w:rsidRPr="00D656D5">
        <w:rPr>
          <w:lang w:val="es-ES_tradnl"/>
        </w:rPr>
        <w:t>, pág</w:t>
      </w:r>
      <w:r>
        <w:rPr>
          <w:lang w:val="es-ES_tradnl"/>
        </w:rPr>
        <w:t>ina</w:t>
      </w:r>
      <w:r w:rsidRPr="00D656D5">
        <w:rPr>
          <w:lang w:val="es-ES_tradnl"/>
        </w:rPr>
        <w:t xml:space="preserve"> 1</w:t>
      </w:r>
      <w:r w:rsidR="00D22641">
        <w:rPr>
          <w:lang w:val="es-ES_tradnl"/>
        </w:rPr>
        <w:t>0</w:t>
      </w:r>
      <w:r w:rsidRPr="00D656D5">
        <w:rPr>
          <w:lang w:val="es-ES_tradnl"/>
        </w:rPr>
        <w:t xml:space="preserve"> (64)</w:t>
      </w:r>
      <w:r>
        <w:rPr>
          <w:lang w:val="es-ES_tradnl"/>
        </w:rPr>
        <w:t>.</w:t>
      </w:r>
    </w:p>
  </w:footnote>
  <w:footnote w:id="3">
    <w:p w14:paraId="41788E56" w14:textId="4BC0390A" w:rsidR="004F6F3E" w:rsidRPr="00D656D5" w:rsidRDefault="004F6F3E" w:rsidP="00133FCF">
      <w:pPr>
        <w:pStyle w:val="FootnoteText"/>
        <w:rPr>
          <w:lang w:val="es-ES_tradnl"/>
        </w:rPr>
      </w:pPr>
      <w:r w:rsidRPr="00133FCF">
        <w:rPr>
          <w:rStyle w:val="FootnoteReference"/>
          <w:lang w:val="es-ES"/>
        </w:rPr>
        <w:t>3</w:t>
      </w:r>
      <w:r w:rsidRPr="00D656D5">
        <w:rPr>
          <w:lang w:val="es-ES_tradnl"/>
        </w:rPr>
        <w:tab/>
        <w:t xml:space="preserve">Grupo de las Naciones Unidas para el Desarrollo: </w:t>
      </w:r>
      <w:hyperlink r:id="rId3" w:history="1">
        <w:r w:rsidRPr="00133FCF">
          <w:rPr>
            <w:rStyle w:val="Hyperlink"/>
            <w:lang w:val="es-ES"/>
          </w:rPr>
          <w:t>Results-Based Management Handbook</w:t>
        </w:r>
      </w:hyperlink>
      <w:r w:rsidRPr="00D656D5">
        <w:rPr>
          <w:rStyle w:val="Hyperlink"/>
          <w:lang w:val="es-ES_tradnl"/>
        </w:rPr>
        <w:t xml:space="preserve"> </w:t>
      </w:r>
      <w:r w:rsidRPr="00D656D5">
        <w:rPr>
          <w:lang w:val="es-ES_tradnl"/>
        </w:rPr>
        <w:t>(Manual de gestión basada en resultados)</w:t>
      </w:r>
      <w:r>
        <w:rPr>
          <w:lang w:val="es-ES_tradnl"/>
        </w:rPr>
        <w:t>.</w:t>
      </w:r>
    </w:p>
  </w:footnote>
  <w:footnote w:id="4">
    <w:p w14:paraId="48F961C4" w14:textId="2859252D" w:rsidR="004F6F3E" w:rsidRPr="00D656D5" w:rsidRDefault="004F6F3E" w:rsidP="00133FCF">
      <w:pPr>
        <w:pStyle w:val="FootnoteText"/>
        <w:rPr>
          <w:lang w:val="es-ES_tradnl"/>
        </w:rPr>
      </w:pPr>
      <w:r w:rsidRPr="00133FCF">
        <w:rPr>
          <w:rStyle w:val="FootnoteReference"/>
          <w:lang w:val="es-ES"/>
        </w:rPr>
        <w:t>4</w:t>
      </w:r>
      <w:r w:rsidRPr="00D656D5">
        <w:rPr>
          <w:lang w:val="es-ES_tradnl"/>
        </w:rPr>
        <w:tab/>
      </w:r>
      <w:hyperlink r:id="rId4" w:history="1">
        <w:r w:rsidRPr="00D14E6B">
          <w:rPr>
            <w:rStyle w:val="Hyperlink"/>
            <w:lang w:val="es-ES_tradnl"/>
          </w:rPr>
          <w:t>CWG-SFP-4/2</w:t>
        </w:r>
      </w:hyperlink>
      <w:r w:rsidRPr="00D656D5">
        <w:rPr>
          <w:lang w:val="es-ES_tradnl"/>
        </w:rPr>
        <w:t>, pág</w:t>
      </w:r>
      <w:r>
        <w:rPr>
          <w:lang w:val="es-ES_tradnl"/>
        </w:rPr>
        <w:t>ina</w:t>
      </w:r>
      <w:r w:rsidRPr="00D656D5">
        <w:rPr>
          <w:lang w:val="es-ES_tradnl"/>
        </w:rPr>
        <w:t xml:space="preserve"> 3</w:t>
      </w:r>
      <w:r>
        <w:rPr>
          <w:lang w:val="es-ES_tradnl"/>
        </w:rPr>
        <w:t>.</w:t>
      </w:r>
    </w:p>
  </w:footnote>
  <w:footnote w:id="5">
    <w:p w14:paraId="222884F4" w14:textId="77777777" w:rsidR="004F6F3E" w:rsidRPr="00D656D5" w:rsidRDefault="004F6F3E" w:rsidP="00133FCF">
      <w:pPr>
        <w:pStyle w:val="FootnoteText"/>
        <w:rPr>
          <w:lang w:val="es-ES_tradnl"/>
        </w:rPr>
      </w:pPr>
      <w:r w:rsidRPr="00133FCF">
        <w:rPr>
          <w:rStyle w:val="FootnoteReference"/>
          <w:lang w:val="es-ES"/>
        </w:rPr>
        <w:t>5</w:t>
      </w:r>
      <w:r w:rsidRPr="00D656D5">
        <w:rPr>
          <w:lang w:val="es-ES_tradnl"/>
        </w:rPr>
        <w:tab/>
        <w:t xml:space="preserve">Grupo de las Naciones Unidas para el Desarrollo: </w:t>
      </w:r>
      <w:hyperlink r:id="rId5" w:history="1">
        <w:r w:rsidRPr="00133FCF">
          <w:rPr>
            <w:rStyle w:val="Hyperlink"/>
            <w:lang w:val="es-ES"/>
          </w:rPr>
          <w:t>Results-Based Management Handbook</w:t>
        </w:r>
      </w:hyperlink>
    </w:p>
  </w:footnote>
  <w:footnote w:id="6">
    <w:p w14:paraId="07815BF0" w14:textId="77777777" w:rsidR="004F6F3E" w:rsidRPr="00D656D5" w:rsidRDefault="004F6F3E" w:rsidP="00133FCF">
      <w:pPr>
        <w:pStyle w:val="FootnoteText"/>
        <w:rPr>
          <w:lang w:val="es-ES_tradnl"/>
        </w:rPr>
      </w:pPr>
      <w:r w:rsidRPr="00133FCF">
        <w:rPr>
          <w:rStyle w:val="FootnoteReference"/>
          <w:lang w:val="es-ES"/>
        </w:rPr>
        <w:t>6</w:t>
      </w:r>
      <w:r w:rsidRPr="00D656D5">
        <w:rPr>
          <w:lang w:val="es-ES_tradnl"/>
        </w:rPr>
        <w:tab/>
        <w:t xml:space="preserve">Grupo de las Naciones Unidas para el Desarrollo: </w:t>
      </w:r>
      <w:hyperlink r:id="rId6" w:history="1">
        <w:r w:rsidRPr="00133FCF">
          <w:rPr>
            <w:rStyle w:val="Hyperlink"/>
            <w:lang w:val="es-ES"/>
          </w:rPr>
          <w:t>Results-Based Management Handbook</w:t>
        </w:r>
      </w:hyperlink>
    </w:p>
  </w:footnote>
  <w:footnote w:id="7">
    <w:p w14:paraId="08B0AAC2" w14:textId="77777777" w:rsidR="004F6F3E" w:rsidRPr="00D656D5" w:rsidRDefault="004F6F3E" w:rsidP="00133FCF">
      <w:pPr>
        <w:pStyle w:val="FootnoteText"/>
        <w:rPr>
          <w:lang w:val="es-ES_tradnl"/>
        </w:rPr>
      </w:pPr>
      <w:r w:rsidRPr="00133FCF">
        <w:rPr>
          <w:rStyle w:val="FootnoteReference"/>
          <w:lang w:val="es-ES"/>
        </w:rPr>
        <w:t>7</w:t>
      </w:r>
      <w:r w:rsidRPr="00D656D5">
        <w:rPr>
          <w:lang w:val="es-ES_tradnl"/>
        </w:rPr>
        <w:tab/>
        <w:t xml:space="preserve">Grupo de las Naciones Unidas para el Desarrollo: </w:t>
      </w:r>
      <w:hyperlink r:id="rId7" w:history="1">
        <w:r w:rsidRPr="00133FCF">
          <w:rPr>
            <w:rStyle w:val="Hyperlink"/>
            <w:lang w:val="es-ES"/>
          </w:rPr>
          <w:t>Results-Based Management Handbook</w:t>
        </w:r>
      </w:hyperlink>
    </w:p>
  </w:footnote>
  <w:footnote w:id="8">
    <w:p w14:paraId="7C937A2A" w14:textId="2120A9FE" w:rsidR="004F6F3E" w:rsidRPr="00D656D5" w:rsidRDefault="004F6F3E" w:rsidP="00133FCF">
      <w:pPr>
        <w:pStyle w:val="FootnoteText"/>
        <w:rPr>
          <w:lang w:val="es-ES_tradnl"/>
        </w:rPr>
      </w:pPr>
      <w:r w:rsidRPr="00133FCF">
        <w:rPr>
          <w:rStyle w:val="FootnoteReference"/>
          <w:lang w:val="es-ES"/>
        </w:rPr>
        <w:t>8</w:t>
      </w:r>
      <w:r w:rsidRPr="00D656D5">
        <w:rPr>
          <w:lang w:val="es-ES_tradnl"/>
        </w:rPr>
        <w:tab/>
      </w:r>
      <w:hyperlink r:id="rId8" w:history="1">
        <w:r w:rsidRPr="00D14E6B">
          <w:rPr>
            <w:rStyle w:val="Hyperlink"/>
            <w:lang w:val="es-ES_tradnl"/>
          </w:rPr>
          <w:t>CWG-SFP-4/2</w:t>
        </w:r>
      </w:hyperlink>
      <w:r w:rsidRPr="00D656D5">
        <w:rPr>
          <w:lang w:val="es-ES_tradnl"/>
        </w:rPr>
        <w:t>, pág</w:t>
      </w:r>
      <w:r>
        <w:rPr>
          <w:lang w:val="es-ES_tradnl"/>
        </w:rPr>
        <w:t>ina</w:t>
      </w:r>
      <w:r w:rsidRPr="00D656D5">
        <w:rPr>
          <w:lang w:val="es-ES_tradnl"/>
        </w:rPr>
        <w:t xml:space="preserve"> 3</w:t>
      </w:r>
      <w:r>
        <w:rPr>
          <w:lang w:val="es-ES_tradnl"/>
        </w:rPr>
        <w:t>.</w:t>
      </w:r>
    </w:p>
  </w:footnote>
  <w:footnote w:id="9">
    <w:p w14:paraId="40C2851C" w14:textId="63ED4944" w:rsidR="004F6F3E" w:rsidRPr="00D656D5" w:rsidRDefault="004F6F3E" w:rsidP="00133FCF">
      <w:pPr>
        <w:pStyle w:val="FootnoteText"/>
        <w:rPr>
          <w:lang w:val="es-ES_tradnl"/>
        </w:rPr>
      </w:pPr>
      <w:r w:rsidRPr="00133FCF">
        <w:rPr>
          <w:rStyle w:val="FootnoteReference"/>
          <w:lang w:val="es-ES"/>
        </w:rPr>
        <w:t>9</w:t>
      </w:r>
      <w:r w:rsidRPr="00D656D5">
        <w:rPr>
          <w:lang w:val="es-ES_tradnl"/>
        </w:rPr>
        <w:tab/>
      </w:r>
      <w:hyperlink r:id="rId9" w:history="1">
        <w:r w:rsidRPr="00D656D5">
          <w:rPr>
            <w:rStyle w:val="Hyperlink"/>
            <w:lang w:val="es-ES_tradnl"/>
          </w:rPr>
          <w:t>Plan de Acción de Buenos Aires</w:t>
        </w:r>
      </w:hyperlink>
      <w:r w:rsidRPr="00D656D5">
        <w:rPr>
          <w:lang w:val="es-ES_tradnl"/>
        </w:rPr>
        <w:t>, pág</w:t>
      </w:r>
      <w:r>
        <w:rPr>
          <w:lang w:val="es-ES_tradnl"/>
        </w:rPr>
        <w:t>ina</w:t>
      </w:r>
      <w:r w:rsidRPr="00D656D5">
        <w:rPr>
          <w:lang w:val="es-ES_tradnl"/>
        </w:rPr>
        <w:t xml:space="preserve"> 69</w:t>
      </w:r>
      <w:r>
        <w:rPr>
          <w:lang w:val="es-ES_tradnl"/>
        </w:rPr>
        <w:t>.</w:t>
      </w:r>
    </w:p>
  </w:footnote>
  <w:footnote w:id="10">
    <w:p w14:paraId="017953B9" w14:textId="3A798B99" w:rsidR="004F6F3E" w:rsidRPr="00D656D5" w:rsidRDefault="004F6F3E" w:rsidP="00133FCF">
      <w:pPr>
        <w:pStyle w:val="FootnoteText"/>
        <w:rPr>
          <w:lang w:val="es-ES_tradnl"/>
        </w:rPr>
      </w:pPr>
      <w:r w:rsidRPr="00133FCF">
        <w:rPr>
          <w:rStyle w:val="FootnoteReference"/>
          <w:lang w:val="es-ES"/>
        </w:rPr>
        <w:t>10</w:t>
      </w:r>
      <w:r w:rsidRPr="00D656D5">
        <w:rPr>
          <w:lang w:val="es-ES_tradnl"/>
        </w:rPr>
        <w:tab/>
        <w:t>Plan de Acción de Buenos Aires</w:t>
      </w:r>
      <w:r>
        <w:rPr>
          <w:lang w:val="es-ES_tradnl"/>
        </w:rPr>
        <w:t>.</w:t>
      </w:r>
    </w:p>
  </w:footnote>
  <w:footnote w:id="11">
    <w:p w14:paraId="268D9DCD" w14:textId="3B11F1E4" w:rsidR="004F6F3E" w:rsidRPr="00D656D5" w:rsidRDefault="004F6F3E" w:rsidP="00133FCF">
      <w:pPr>
        <w:pStyle w:val="FootnoteText"/>
        <w:rPr>
          <w:lang w:val="es-ES_tradnl"/>
        </w:rPr>
      </w:pPr>
      <w:r w:rsidRPr="00133FCF">
        <w:rPr>
          <w:rStyle w:val="FootnoteReference"/>
          <w:lang w:val="es-ES"/>
        </w:rPr>
        <w:t>11</w:t>
      </w:r>
      <w:r w:rsidRPr="00D656D5">
        <w:rPr>
          <w:lang w:val="es-ES_tradnl"/>
        </w:rPr>
        <w:tab/>
      </w:r>
      <w:hyperlink r:id="rId10" w:history="1">
        <w:r w:rsidRPr="00D14E6B">
          <w:rPr>
            <w:rStyle w:val="Hyperlink"/>
            <w:lang w:val="es-ES_tradnl"/>
          </w:rPr>
          <w:t>CWG-SFP-4/2</w:t>
        </w:r>
      </w:hyperlink>
      <w:r w:rsidRPr="00D656D5">
        <w:rPr>
          <w:lang w:val="es-ES_tradnl"/>
        </w:rPr>
        <w:t>, pág</w:t>
      </w:r>
      <w:r>
        <w:rPr>
          <w:lang w:val="es-ES_tradnl"/>
        </w:rPr>
        <w:t>ina</w:t>
      </w:r>
      <w:r w:rsidRPr="00D656D5">
        <w:rPr>
          <w:lang w:val="es-ES_tradnl"/>
        </w:rPr>
        <w:t xml:space="preserve"> 3</w:t>
      </w:r>
      <w:r>
        <w:rPr>
          <w:lang w:val="es-ES_tradnl"/>
        </w:rPr>
        <w:t>.</w:t>
      </w:r>
    </w:p>
  </w:footnote>
  <w:footnote w:id="12">
    <w:p w14:paraId="21EB80CA" w14:textId="3DA69795" w:rsidR="004F6F3E" w:rsidRPr="00D656D5" w:rsidRDefault="004F6F3E" w:rsidP="00133FCF">
      <w:pPr>
        <w:pStyle w:val="FootnoteText"/>
        <w:rPr>
          <w:lang w:val="es-ES_tradnl"/>
        </w:rPr>
      </w:pPr>
      <w:r w:rsidRPr="00133FCF">
        <w:rPr>
          <w:rStyle w:val="FootnoteReference"/>
          <w:lang w:val="es-ES"/>
        </w:rPr>
        <w:t>12</w:t>
      </w:r>
      <w:r w:rsidRPr="00D656D5">
        <w:rPr>
          <w:lang w:val="es-ES_tradnl"/>
        </w:rPr>
        <w:tab/>
      </w:r>
      <w:hyperlink r:id="rId11" w:history="1">
        <w:r w:rsidRPr="00D656D5">
          <w:rPr>
            <w:rStyle w:val="Hyperlink"/>
            <w:lang w:val="es-ES_tradnl"/>
          </w:rPr>
          <w:t>Plan de Acción de Buenos Aires</w:t>
        </w:r>
      </w:hyperlink>
      <w:r w:rsidRPr="00D656D5">
        <w:rPr>
          <w:lang w:val="es-ES_tradnl"/>
        </w:rPr>
        <w:t>, pág</w:t>
      </w:r>
      <w:r>
        <w:rPr>
          <w:lang w:val="es-ES_tradnl"/>
        </w:rPr>
        <w:t>ina</w:t>
      </w:r>
      <w:r w:rsidRPr="00D656D5">
        <w:rPr>
          <w:lang w:val="es-ES_tradnl"/>
        </w:rPr>
        <w:t xml:space="preserve"> 64</w:t>
      </w:r>
      <w:r>
        <w:rPr>
          <w:lang w:val="es-ES_tradnl"/>
        </w:rPr>
        <w:t>.</w:t>
      </w:r>
    </w:p>
  </w:footnote>
  <w:footnote w:id="13">
    <w:p w14:paraId="62B89704" w14:textId="77777777" w:rsidR="004F6F3E" w:rsidRPr="00D656D5" w:rsidRDefault="004F6F3E" w:rsidP="00133FCF">
      <w:pPr>
        <w:pStyle w:val="FootnoteText"/>
        <w:rPr>
          <w:lang w:val="es-ES_tradnl"/>
        </w:rPr>
      </w:pPr>
      <w:r w:rsidRPr="00133FCF">
        <w:rPr>
          <w:rStyle w:val="FootnoteReference"/>
          <w:lang w:val="es-ES"/>
        </w:rPr>
        <w:t>13</w:t>
      </w:r>
      <w:r w:rsidRPr="00D656D5">
        <w:rPr>
          <w:lang w:val="es-ES_tradnl"/>
        </w:rPr>
        <w:tab/>
        <w:t xml:space="preserve">Grupo de las Naciones Unidas para el Desarrollo: </w:t>
      </w:r>
      <w:hyperlink r:id="rId12" w:history="1">
        <w:r w:rsidRPr="00133FCF">
          <w:rPr>
            <w:rStyle w:val="Hyperlink"/>
            <w:lang w:val="es-ES"/>
          </w:rPr>
          <w:t>Results-Based Management Handbook</w:t>
        </w:r>
      </w:hyperlink>
    </w:p>
  </w:footnote>
  <w:footnote w:id="14">
    <w:p w14:paraId="5E865D8A" w14:textId="77777777" w:rsidR="004F6F3E" w:rsidRPr="00D656D5" w:rsidRDefault="004F6F3E" w:rsidP="00133FCF">
      <w:pPr>
        <w:pStyle w:val="FootnoteText"/>
        <w:rPr>
          <w:lang w:val="es-ES_tradnl"/>
        </w:rPr>
      </w:pPr>
      <w:r w:rsidRPr="00133FCF">
        <w:rPr>
          <w:rStyle w:val="FootnoteReference"/>
          <w:lang w:val="es-ES"/>
        </w:rPr>
        <w:t>14</w:t>
      </w:r>
      <w:r w:rsidRPr="00D656D5">
        <w:rPr>
          <w:lang w:val="es-ES_tradnl"/>
        </w:rPr>
        <w:tab/>
        <w:t xml:space="preserve">Grupo de las Naciones Unidas para el Desarrollo: </w:t>
      </w:r>
      <w:hyperlink r:id="rId13" w:history="1">
        <w:r w:rsidRPr="00133FCF">
          <w:rPr>
            <w:rStyle w:val="Hyperlink"/>
            <w:lang w:val="es-ES"/>
          </w:rPr>
          <w:t>Results-Based Management Handbook</w:t>
        </w:r>
      </w:hyperlink>
    </w:p>
  </w:footnote>
  <w:footnote w:id="15">
    <w:p w14:paraId="63BF5AA3" w14:textId="77777777" w:rsidR="004F6F3E" w:rsidRPr="00D656D5" w:rsidRDefault="004F6F3E" w:rsidP="00133FCF">
      <w:pPr>
        <w:pStyle w:val="FootnoteText"/>
        <w:ind w:left="255" w:hanging="255"/>
        <w:rPr>
          <w:lang w:val="es-ES_tradnl"/>
        </w:rPr>
      </w:pPr>
      <w:r w:rsidRPr="00133FCF">
        <w:rPr>
          <w:rStyle w:val="FootnoteReference"/>
          <w:lang w:val="es-ES"/>
        </w:rPr>
        <w:t>15</w:t>
      </w:r>
      <w:r w:rsidRPr="00D656D5">
        <w:rPr>
          <w:lang w:val="es-ES_tradnl"/>
        </w:rPr>
        <w:tab/>
        <w:t xml:space="preserve">Adaptado a partir de la respuesta de la Secretaría al examen de la presencia regional </w:t>
      </w:r>
      <w:r>
        <w:rPr>
          <w:lang w:val="es-ES_tradnl"/>
        </w:rPr>
        <w:t xml:space="preserve">que realizó </w:t>
      </w:r>
      <w:r w:rsidRPr="00D656D5">
        <w:rPr>
          <w:lang w:val="es-ES_tradnl"/>
        </w:rPr>
        <w:t>PricewaterhouseCoopers.</w:t>
      </w:r>
    </w:p>
  </w:footnote>
  <w:footnote w:id="16">
    <w:p w14:paraId="3F050172" w14:textId="6A085FE2" w:rsidR="004F6F3E" w:rsidRPr="00D656D5" w:rsidRDefault="004F6F3E" w:rsidP="00133FCF">
      <w:pPr>
        <w:pStyle w:val="FootnoteText"/>
        <w:rPr>
          <w:lang w:val="es-ES_tradnl"/>
        </w:rPr>
      </w:pPr>
      <w:r w:rsidRPr="00133FCF">
        <w:rPr>
          <w:rStyle w:val="FootnoteReference"/>
          <w:lang w:val="es-ES"/>
        </w:rPr>
        <w:t>16</w:t>
      </w:r>
      <w:r w:rsidRPr="00D656D5">
        <w:rPr>
          <w:lang w:val="es-ES_tradnl"/>
        </w:rPr>
        <w:tab/>
      </w:r>
      <w:hyperlink r:id="rId14" w:history="1">
        <w:r w:rsidRPr="00D656D5">
          <w:rPr>
            <w:rStyle w:val="Hyperlink"/>
            <w:lang w:val="es-ES_tradnl"/>
          </w:rPr>
          <w:t>Resolución 1 de la CMDT</w:t>
        </w:r>
      </w:hyperlink>
      <w:r w:rsidRPr="00D656D5">
        <w:rPr>
          <w:lang w:val="es-ES_tradnl"/>
        </w:rPr>
        <w:t>, pág</w:t>
      </w:r>
      <w:r>
        <w:rPr>
          <w:lang w:val="es-ES_tradnl"/>
        </w:rPr>
        <w:t>ina</w:t>
      </w:r>
      <w:r w:rsidRPr="00D656D5">
        <w:rPr>
          <w:lang w:val="es-ES_tradnl"/>
        </w:rPr>
        <w:t xml:space="preserve"> 194 (2.6.1)</w:t>
      </w:r>
      <w:r>
        <w:rPr>
          <w:lang w:val="es-ES_tradnl"/>
        </w:rPr>
        <w:t>.</w:t>
      </w:r>
    </w:p>
  </w:footnote>
  <w:footnote w:id="17">
    <w:p w14:paraId="3E155146" w14:textId="5E535311" w:rsidR="004F6F3E" w:rsidRPr="00D656D5" w:rsidRDefault="004F6F3E" w:rsidP="00133FCF">
      <w:pPr>
        <w:pStyle w:val="FootnoteText"/>
        <w:rPr>
          <w:lang w:val="es-ES_tradnl"/>
        </w:rPr>
      </w:pPr>
      <w:r w:rsidRPr="00133FCF">
        <w:rPr>
          <w:rStyle w:val="FootnoteReference"/>
          <w:lang w:val="es-ES"/>
        </w:rPr>
        <w:t>17</w:t>
      </w:r>
      <w:r w:rsidRPr="00D656D5">
        <w:rPr>
          <w:lang w:val="es-ES_tradnl"/>
        </w:rPr>
        <w:tab/>
      </w:r>
      <w:hyperlink r:id="rId15" w:history="1">
        <w:r w:rsidRPr="00D656D5">
          <w:rPr>
            <w:rStyle w:val="Hyperlink"/>
            <w:lang w:val="es-ES_tradnl"/>
          </w:rPr>
          <w:t>Resolución 1 de la CMDT</w:t>
        </w:r>
      </w:hyperlink>
      <w:r w:rsidRPr="00D656D5">
        <w:rPr>
          <w:lang w:val="es-ES_tradnl"/>
        </w:rPr>
        <w:t>, Plan de Acción de Buenos Aires, pág</w:t>
      </w:r>
      <w:r>
        <w:rPr>
          <w:lang w:val="es-ES_tradnl"/>
        </w:rPr>
        <w:t>ina</w:t>
      </w:r>
      <w:r w:rsidRPr="00D656D5">
        <w:rPr>
          <w:lang w:val="es-ES_tradnl"/>
        </w:rPr>
        <w:t xml:space="preserve"> 195 (2.7.1)</w:t>
      </w:r>
      <w:r>
        <w:rPr>
          <w:lang w:val="es-ES_tradnl"/>
        </w:rPr>
        <w:t>.</w:t>
      </w:r>
    </w:p>
  </w:footnote>
  <w:footnote w:id="18">
    <w:p w14:paraId="52DBC29F" w14:textId="6CBCDE2E" w:rsidR="004F6F3E" w:rsidRPr="00D656D5" w:rsidRDefault="004F6F3E" w:rsidP="00133FCF">
      <w:pPr>
        <w:pStyle w:val="FootnoteText"/>
        <w:rPr>
          <w:lang w:val="es-ES_tradnl"/>
        </w:rPr>
      </w:pPr>
      <w:r w:rsidRPr="00133FCF">
        <w:rPr>
          <w:rStyle w:val="FootnoteReference"/>
          <w:lang w:val="es-ES"/>
        </w:rPr>
        <w:t>18</w:t>
      </w:r>
      <w:r w:rsidRPr="00D656D5">
        <w:rPr>
          <w:lang w:val="es-ES_tradnl"/>
        </w:rPr>
        <w:tab/>
      </w:r>
      <w:hyperlink r:id="rId16" w:history="1">
        <w:r w:rsidRPr="00D656D5">
          <w:rPr>
            <w:rStyle w:val="Hyperlink"/>
            <w:lang w:val="es-ES_tradnl"/>
          </w:rPr>
          <w:t>Resolución 1 de la CMDT</w:t>
        </w:r>
      </w:hyperlink>
      <w:r w:rsidRPr="00D656D5">
        <w:rPr>
          <w:lang w:val="es-ES_tradnl"/>
        </w:rPr>
        <w:t>, Plan de Acción de Buenos Aires, pág</w:t>
      </w:r>
      <w:r>
        <w:rPr>
          <w:lang w:val="es-ES_tradnl"/>
        </w:rPr>
        <w:t>ina</w:t>
      </w:r>
      <w:r w:rsidRPr="00D656D5">
        <w:rPr>
          <w:lang w:val="es-ES_tradnl"/>
        </w:rPr>
        <w:t>s 64-65</w:t>
      </w:r>
      <w:r>
        <w:rPr>
          <w:lang w:val="es-ES_tradnl"/>
        </w:rPr>
        <w:t>.</w:t>
      </w:r>
    </w:p>
  </w:footnote>
  <w:footnote w:id="19">
    <w:p w14:paraId="53C61F95" w14:textId="24A48B24" w:rsidR="004F6F3E" w:rsidRPr="00D656D5" w:rsidRDefault="004F6F3E" w:rsidP="00133FCF">
      <w:pPr>
        <w:pStyle w:val="FootnoteText"/>
        <w:rPr>
          <w:lang w:val="es-ES_tradnl"/>
        </w:rPr>
      </w:pPr>
      <w:r w:rsidRPr="00133FCF">
        <w:rPr>
          <w:rStyle w:val="FootnoteReference"/>
          <w:lang w:val="es-ES"/>
        </w:rPr>
        <w:t>19</w:t>
      </w:r>
      <w:r w:rsidRPr="00D656D5">
        <w:rPr>
          <w:lang w:val="es-ES_tradnl"/>
        </w:rPr>
        <w:tab/>
      </w:r>
      <w:hyperlink r:id="rId17" w:history="1">
        <w:r w:rsidRPr="00D14E6B">
          <w:rPr>
            <w:rStyle w:val="Hyperlink"/>
            <w:lang w:val="es-ES_tradnl"/>
          </w:rPr>
          <w:t>CWG-SFP-4/2</w:t>
        </w:r>
      </w:hyperlink>
      <w:r w:rsidRPr="00D656D5">
        <w:rPr>
          <w:lang w:val="es-ES_tradnl"/>
        </w:rPr>
        <w:t>, pág</w:t>
      </w:r>
      <w:r>
        <w:rPr>
          <w:lang w:val="es-ES_tradnl"/>
        </w:rPr>
        <w:t>ina</w:t>
      </w:r>
      <w:r w:rsidRPr="00D656D5">
        <w:rPr>
          <w:lang w:val="es-ES_tradnl"/>
        </w:rPr>
        <w:t xml:space="preserve"> 3</w:t>
      </w:r>
      <w:r>
        <w:rPr>
          <w:lang w:val="es-ES_tradnl"/>
        </w:rPr>
        <w:t>.</w:t>
      </w:r>
    </w:p>
  </w:footnote>
  <w:footnote w:id="20">
    <w:p w14:paraId="72B67E74" w14:textId="577AA471" w:rsidR="004F6F3E" w:rsidRPr="00D656D5" w:rsidRDefault="004F6F3E" w:rsidP="00133FCF">
      <w:pPr>
        <w:pStyle w:val="FootnoteText"/>
        <w:rPr>
          <w:lang w:val="es-ES_tradnl"/>
        </w:rPr>
      </w:pPr>
      <w:r w:rsidRPr="00133FCF">
        <w:rPr>
          <w:rStyle w:val="FootnoteReference"/>
          <w:lang w:val="es-ES"/>
        </w:rPr>
        <w:t>20</w:t>
      </w:r>
      <w:r w:rsidRPr="00D656D5">
        <w:rPr>
          <w:lang w:val="es-ES_tradnl"/>
        </w:rPr>
        <w:tab/>
      </w:r>
      <w:hyperlink r:id="rId18" w:history="1">
        <w:r w:rsidRPr="00D14E6B">
          <w:rPr>
            <w:rStyle w:val="Hyperlink"/>
            <w:lang w:val="es-ES_tradnl"/>
          </w:rPr>
          <w:t>CWG-SFP-4/2</w:t>
        </w:r>
      </w:hyperlink>
      <w:r w:rsidRPr="00D656D5">
        <w:rPr>
          <w:lang w:val="es-ES_tradnl"/>
        </w:rPr>
        <w:t>, pág</w:t>
      </w:r>
      <w:r>
        <w:rPr>
          <w:lang w:val="es-ES_tradnl"/>
        </w:rPr>
        <w:t>ina</w:t>
      </w:r>
      <w:r w:rsidRPr="00D656D5">
        <w:rPr>
          <w:lang w:val="es-ES_tradnl"/>
        </w:rPr>
        <w:t xml:space="preserve"> 5 (1</w:t>
      </w:r>
      <w:r>
        <w:rPr>
          <w:lang w:val="es-ES_tradnl"/>
        </w:rPr>
        <w:t>4</w:t>
      </w:r>
      <w:r w:rsidRPr="00D656D5">
        <w:rPr>
          <w:lang w:val="es-ES_tradnl"/>
        </w:rPr>
        <w:t>)</w:t>
      </w:r>
      <w:r>
        <w:rPr>
          <w:lang w:val="es-ES_tradnl"/>
        </w:rPr>
        <w:t>.</w:t>
      </w:r>
    </w:p>
  </w:footnote>
  <w:footnote w:id="21">
    <w:p w14:paraId="5E1E147C" w14:textId="17035E04" w:rsidR="004F6F3E" w:rsidRPr="00D656D5" w:rsidRDefault="004F6F3E" w:rsidP="00133FCF">
      <w:pPr>
        <w:pStyle w:val="FootnoteText"/>
        <w:rPr>
          <w:lang w:val="es-ES_tradnl"/>
        </w:rPr>
      </w:pPr>
      <w:r w:rsidRPr="00133FCF">
        <w:rPr>
          <w:rStyle w:val="FootnoteReference"/>
          <w:lang w:val="es-ES"/>
        </w:rPr>
        <w:t>21</w:t>
      </w:r>
      <w:r w:rsidRPr="00D656D5">
        <w:rPr>
          <w:lang w:val="es-ES_tradnl"/>
        </w:rPr>
        <w:tab/>
      </w:r>
      <w:hyperlink r:id="rId19" w:history="1">
        <w:r w:rsidRPr="00D656D5">
          <w:rPr>
            <w:rStyle w:val="Hyperlink"/>
            <w:lang w:val="es-ES_tradnl"/>
          </w:rPr>
          <w:t>Informe Final de la CMDT</w:t>
        </w:r>
      </w:hyperlink>
      <w:r w:rsidRPr="00D656D5">
        <w:rPr>
          <w:lang w:val="es-ES_tradnl"/>
        </w:rPr>
        <w:t>, Plan de Acción de Buenos Aires, pág</w:t>
      </w:r>
      <w:r>
        <w:rPr>
          <w:lang w:val="es-ES_tradnl"/>
        </w:rPr>
        <w:t>ina</w:t>
      </w:r>
      <w:r w:rsidRPr="00D656D5">
        <w:rPr>
          <w:lang w:val="es-ES_tradnl"/>
        </w:rPr>
        <w:t xml:space="preserve"> 59, párr</w:t>
      </w:r>
      <w:r>
        <w:rPr>
          <w:lang w:val="es-ES_tradnl"/>
        </w:rPr>
        <w:t>afo</w:t>
      </w:r>
      <w:r w:rsidRPr="00D656D5">
        <w:rPr>
          <w:lang w:val="es-ES_tradnl"/>
        </w:rPr>
        <w:t xml:space="preserve"> 5</w:t>
      </w:r>
      <w:r>
        <w:rPr>
          <w:lang w:val="es-ES_tradnl"/>
        </w:rPr>
        <w:t>.</w:t>
      </w:r>
    </w:p>
  </w:footnote>
  <w:footnote w:id="22">
    <w:p w14:paraId="4304CC10" w14:textId="19B68059" w:rsidR="004F6F3E" w:rsidRPr="00D656D5" w:rsidRDefault="004F6F3E" w:rsidP="00133FCF">
      <w:pPr>
        <w:pStyle w:val="FootnoteText"/>
        <w:rPr>
          <w:lang w:val="es-ES_tradnl"/>
        </w:rPr>
      </w:pPr>
      <w:r w:rsidRPr="00133FCF">
        <w:rPr>
          <w:rStyle w:val="FootnoteReference"/>
          <w:lang w:val="es-ES"/>
        </w:rPr>
        <w:t>22</w:t>
      </w:r>
      <w:r w:rsidRPr="00D656D5">
        <w:rPr>
          <w:lang w:val="es-ES_tradnl"/>
        </w:rPr>
        <w:tab/>
      </w:r>
      <w:hyperlink r:id="rId20" w:history="1">
        <w:r w:rsidRPr="00333F1E">
          <w:rPr>
            <w:rStyle w:val="Hyperlink"/>
            <w:lang w:val="es-ES_tradnl"/>
          </w:rPr>
          <w:t>CWG-SFP-4/2</w:t>
        </w:r>
      </w:hyperlink>
      <w:r w:rsidRPr="00D656D5">
        <w:rPr>
          <w:lang w:val="es-ES_tradnl"/>
        </w:rPr>
        <w:t>, pág</w:t>
      </w:r>
      <w:r>
        <w:rPr>
          <w:lang w:val="es-ES_tradnl"/>
        </w:rPr>
        <w:t>ina</w:t>
      </w:r>
      <w:r w:rsidRPr="00D656D5">
        <w:rPr>
          <w:lang w:val="es-ES_tradnl"/>
        </w:rPr>
        <w:t xml:space="preserve"> 3</w:t>
      </w:r>
      <w:r>
        <w:rPr>
          <w:lang w:val="es-ES_tradnl"/>
        </w:rPr>
        <w:t>.</w:t>
      </w:r>
    </w:p>
  </w:footnote>
  <w:footnote w:id="23">
    <w:p w14:paraId="2A1554AF" w14:textId="77777777" w:rsidR="004F6F3E" w:rsidRPr="00D656D5" w:rsidRDefault="004F6F3E" w:rsidP="00133FCF">
      <w:pPr>
        <w:pStyle w:val="FootnoteText"/>
        <w:ind w:left="255" w:hanging="255"/>
        <w:rPr>
          <w:lang w:val="es-ES_tradnl"/>
        </w:rPr>
      </w:pPr>
      <w:r w:rsidRPr="00133FCF">
        <w:rPr>
          <w:rStyle w:val="FootnoteReference"/>
          <w:lang w:val="es-ES"/>
        </w:rPr>
        <w:t>23</w:t>
      </w:r>
      <w:r w:rsidRPr="00D656D5">
        <w:rPr>
          <w:lang w:val="es-ES_tradnl"/>
        </w:rPr>
        <w:tab/>
        <w:t xml:space="preserve">Las prioridades temáticas que se muestran en este diagrama se ajustan a las </w:t>
      </w:r>
      <w:r>
        <w:rPr>
          <w:lang w:val="es-ES_tradnl"/>
        </w:rPr>
        <w:t>prioridades temáticas d</w:t>
      </w:r>
      <w:r w:rsidRPr="00D656D5">
        <w:rPr>
          <w:lang w:val="es-ES_tradnl"/>
        </w:rPr>
        <w:t>el Plan Estratégico de la UIT para 2024-2027 a las que el UIT-D contribuirá directamente.</w:t>
      </w:r>
    </w:p>
  </w:footnote>
  <w:footnote w:id="24">
    <w:p w14:paraId="0F5E935F" w14:textId="0966A83B" w:rsidR="004F6F3E" w:rsidRPr="00D656D5" w:rsidRDefault="004F6F3E" w:rsidP="00133FCF">
      <w:pPr>
        <w:pStyle w:val="FootnoteText"/>
        <w:rPr>
          <w:lang w:val="es-ES_tradnl"/>
        </w:rPr>
      </w:pPr>
      <w:r w:rsidRPr="00133FCF">
        <w:rPr>
          <w:rStyle w:val="FootnoteReference"/>
          <w:lang w:val="es-ES"/>
        </w:rPr>
        <w:t>24</w:t>
      </w:r>
      <w:r w:rsidRPr="00D656D5">
        <w:rPr>
          <w:lang w:val="es-ES_tradnl"/>
        </w:rPr>
        <w:tab/>
      </w:r>
      <w:hyperlink r:id="rId21" w:history="1">
        <w:r w:rsidRPr="00333F1E">
          <w:rPr>
            <w:rStyle w:val="Hyperlink"/>
            <w:lang w:val="es-ES_tradnl"/>
          </w:rPr>
          <w:t>CWG-SFP-4/2</w:t>
        </w:r>
      </w:hyperlink>
      <w:r w:rsidRPr="00D656D5">
        <w:rPr>
          <w:lang w:val="es-ES_tradnl"/>
        </w:rPr>
        <w:t>, pág</w:t>
      </w:r>
      <w:r>
        <w:rPr>
          <w:lang w:val="es-ES_tradnl"/>
        </w:rPr>
        <w:t>ina</w:t>
      </w:r>
      <w:r w:rsidRPr="00D656D5">
        <w:rPr>
          <w:lang w:val="es-ES_tradnl"/>
        </w:rPr>
        <w:t xml:space="preserve"> 6 (2</w:t>
      </w:r>
      <w:r>
        <w:rPr>
          <w:lang w:val="es-ES_tradnl"/>
        </w:rPr>
        <w:t>2-23</w:t>
      </w:r>
      <w:r w:rsidRPr="00D656D5">
        <w:rPr>
          <w:lang w:val="es-ES_tradnl"/>
        </w:rPr>
        <w:t>)</w:t>
      </w:r>
      <w:r>
        <w:rPr>
          <w:lang w:val="es-ES_tradnl"/>
        </w:rPr>
        <w:t>.</w:t>
      </w:r>
    </w:p>
  </w:footnote>
  <w:footnote w:id="25">
    <w:p w14:paraId="3A48562A" w14:textId="4250A75D" w:rsidR="004F6F3E" w:rsidRPr="00D656D5" w:rsidRDefault="004F6F3E" w:rsidP="00133FCF">
      <w:pPr>
        <w:pStyle w:val="FootnoteText"/>
        <w:rPr>
          <w:lang w:val="es-ES_tradnl"/>
        </w:rPr>
      </w:pPr>
      <w:r w:rsidRPr="00133FCF">
        <w:rPr>
          <w:rStyle w:val="FootnoteReference"/>
          <w:lang w:val="es-ES"/>
        </w:rPr>
        <w:t>25</w:t>
      </w:r>
      <w:r w:rsidRPr="00D656D5">
        <w:rPr>
          <w:lang w:val="es-ES_tradnl"/>
        </w:rPr>
        <w:tab/>
      </w:r>
      <w:hyperlink r:id="rId22" w:history="1">
        <w:r w:rsidRPr="00FC4CF6">
          <w:rPr>
            <w:rStyle w:val="Hyperlink"/>
            <w:lang w:val="es-ES_tradnl"/>
          </w:rPr>
          <w:t>CWG-SFP-4/2</w:t>
        </w:r>
      </w:hyperlink>
      <w:r w:rsidRPr="00D656D5">
        <w:rPr>
          <w:lang w:val="es-ES_tradnl"/>
        </w:rPr>
        <w:t>, pág</w:t>
      </w:r>
      <w:r>
        <w:rPr>
          <w:lang w:val="es-ES_tradnl"/>
        </w:rPr>
        <w:t>ina</w:t>
      </w:r>
      <w:r w:rsidRPr="00D656D5">
        <w:rPr>
          <w:lang w:val="es-ES_tradnl"/>
        </w:rPr>
        <w:t xml:space="preserve"> 7 (2</w:t>
      </w:r>
      <w:r>
        <w:rPr>
          <w:lang w:val="es-ES_tradnl"/>
        </w:rPr>
        <w:t>5</w:t>
      </w:r>
      <w:r w:rsidRPr="00D656D5">
        <w:rPr>
          <w:lang w:val="es-ES_tradnl"/>
        </w:rPr>
        <w:t>)</w:t>
      </w:r>
      <w:r>
        <w:rPr>
          <w:lang w:val="es-ES_tradnl"/>
        </w:rPr>
        <w:t>.</w:t>
      </w:r>
    </w:p>
  </w:footnote>
  <w:footnote w:id="26">
    <w:p w14:paraId="041E5B02" w14:textId="2B318303" w:rsidR="004F6F3E" w:rsidRPr="00D656D5" w:rsidRDefault="004F6F3E" w:rsidP="00133FCF">
      <w:pPr>
        <w:pStyle w:val="FootnoteText"/>
        <w:rPr>
          <w:lang w:val="es-ES_tradnl"/>
        </w:rPr>
      </w:pPr>
      <w:r w:rsidRPr="00133FCF">
        <w:rPr>
          <w:rStyle w:val="FootnoteReference"/>
          <w:lang w:val="es-ES"/>
        </w:rPr>
        <w:t>26</w:t>
      </w:r>
      <w:r w:rsidRPr="00D656D5">
        <w:rPr>
          <w:lang w:val="es-ES_tradnl"/>
        </w:rPr>
        <w:tab/>
      </w:r>
      <w:hyperlink r:id="rId23" w:history="1">
        <w:r w:rsidRPr="00FC4CF6">
          <w:rPr>
            <w:rStyle w:val="Hyperlink"/>
            <w:lang w:val="es-ES_tradnl"/>
          </w:rPr>
          <w:t>CWG-SFP-4/2</w:t>
        </w:r>
      </w:hyperlink>
      <w:r w:rsidRPr="00D656D5">
        <w:rPr>
          <w:lang w:val="es-ES_tradnl"/>
        </w:rPr>
        <w:t>, pág</w:t>
      </w:r>
      <w:r>
        <w:rPr>
          <w:lang w:val="es-ES_tradnl"/>
        </w:rPr>
        <w:t>ina</w:t>
      </w:r>
      <w:r w:rsidRPr="00D656D5">
        <w:rPr>
          <w:lang w:val="es-ES_tradnl"/>
        </w:rPr>
        <w:t xml:space="preserve"> 7 (2</w:t>
      </w:r>
      <w:r>
        <w:rPr>
          <w:lang w:val="es-ES_tradnl"/>
        </w:rPr>
        <w:t>6</w:t>
      </w:r>
      <w:r w:rsidRPr="00D656D5">
        <w:rPr>
          <w:lang w:val="es-ES_tradnl"/>
        </w:rPr>
        <w:t>)</w:t>
      </w:r>
      <w:r>
        <w:rPr>
          <w:lang w:val="es-ES_tradnl"/>
        </w:rPr>
        <w:t>.</w:t>
      </w:r>
    </w:p>
  </w:footnote>
  <w:footnote w:id="27">
    <w:p w14:paraId="1B9615B9" w14:textId="257BD6F8" w:rsidR="004F6F3E" w:rsidRPr="00D656D5" w:rsidRDefault="004F6F3E" w:rsidP="00133FCF">
      <w:pPr>
        <w:pStyle w:val="FootnoteText"/>
        <w:rPr>
          <w:lang w:val="es-ES_tradnl"/>
        </w:rPr>
      </w:pPr>
      <w:r w:rsidRPr="00133FCF">
        <w:rPr>
          <w:rStyle w:val="FootnoteReference"/>
          <w:lang w:val="es-ES"/>
        </w:rPr>
        <w:t>27</w:t>
      </w:r>
      <w:r w:rsidRPr="00D656D5">
        <w:rPr>
          <w:lang w:val="es-ES_tradnl"/>
        </w:rPr>
        <w:tab/>
      </w:r>
      <w:hyperlink r:id="rId24" w:history="1">
        <w:r w:rsidRPr="00FC4CF6">
          <w:rPr>
            <w:rStyle w:val="Hyperlink"/>
            <w:lang w:val="es-ES_tradnl"/>
          </w:rPr>
          <w:t>CWG-SFP-4/2</w:t>
        </w:r>
      </w:hyperlink>
      <w:r w:rsidRPr="00D656D5">
        <w:rPr>
          <w:lang w:val="es-ES_tradnl"/>
        </w:rPr>
        <w:t>, pág</w:t>
      </w:r>
      <w:r>
        <w:rPr>
          <w:lang w:val="es-ES_tradnl"/>
        </w:rPr>
        <w:t>ina</w:t>
      </w:r>
      <w:r w:rsidRPr="00D656D5">
        <w:rPr>
          <w:lang w:val="es-ES_tradnl"/>
        </w:rPr>
        <w:t xml:space="preserve"> 7 (</w:t>
      </w:r>
      <w:r>
        <w:rPr>
          <w:lang w:val="es-ES_tradnl"/>
        </w:rPr>
        <w:t>28-29</w:t>
      </w:r>
      <w:r w:rsidRPr="00D656D5">
        <w:rPr>
          <w:lang w:val="es-ES_tradnl"/>
        </w:rPr>
        <w:t>)</w:t>
      </w:r>
      <w:r>
        <w:rPr>
          <w:lang w:val="es-ES_tradnl"/>
        </w:rPr>
        <w:t>.</w:t>
      </w:r>
    </w:p>
  </w:footnote>
  <w:footnote w:id="28">
    <w:p w14:paraId="67CC244F" w14:textId="1AF2A982" w:rsidR="004F6F3E" w:rsidRPr="00D656D5" w:rsidRDefault="004F6F3E" w:rsidP="00133FCF">
      <w:pPr>
        <w:pStyle w:val="FootnoteText"/>
        <w:rPr>
          <w:lang w:val="es-ES_tradnl"/>
        </w:rPr>
      </w:pPr>
      <w:r w:rsidRPr="00133FCF">
        <w:rPr>
          <w:rStyle w:val="FootnoteReference"/>
          <w:lang w:val="es-ES"/>
        </w:rPr>
        <w:t>28</w:t>
      </w:r>
      <w:r w:rsidRPr="00D656D5">
        <w:rPr>
          <w:lang w:val="es-ES_tradnl"/>
        </w:rPr>
        <w:tab/>
      </w:r>
      <w:hyperlink r:id="rId25" w:history="1">
        <w:r w:rsidRPr="00FC4CF6">
          <w:rPr>
            <w:rStyle w:val="Hyperlink"/>
            <w:lang w:val="es-ES_tradnl"/>
          </w:rPr>
          <w:t>CWG-SFP-4/2</w:t>
        </w:r>
      </w:hyperlink>
      <w:r w:rsidRPr="00D656D5">
        <w:rPr>
          <w:lang w:val="es-ES_tradnl"/>
        </w:rPr>
        <w:t>, pág</w:t>
      </w:r>
      <w:r>
        <w:rPr>
          <w:lang w:val="es-ES_tradnl"/>
        </w:rPr>
        <w:t>ina</w:t>
      </w:r>
      <w:r w:rsidRPr="00D656D5">
        <w:rPr>
          <w:lang w:val="es-ES_tradnl"/>
        </w:rPr>
        <w:t xml:space="preserve"> 8</w:t>
      </w:r>
      <w:r>
        <w:rPr>
          <w:lang w:val="es-ES_tradnl"/>
        </w:rPr>
        <w:t>.</w:t>
      </w:r>
    </w:p>
  </w:footnote>
  <w:footnote w:id="29">
    <w:p w14:paraId="1D99DD31" w14:textId="6A5DA9A7" w:rsidR="004F6F3E" w:rsidRPr="00D656D5" w:rsidRDefault="004F6F3E" w:rsidP="00133FCF">
      <w:pPr>
        <w:pStyle w:val="FootnoteText"/>
        <w:rPr>
          <w:lang w:val="es-ES_tradnl"/>
        </w:rPr>
      </w:pPr>
      <w:r w:rsidRPr="00133FCF">
        <w:rPr>
          <w:rStyle w:val="FootnoteReference"/>
          <w:lang w:val="es-ES"/>
        </w:rPr>
        <w:t>29</w:t>
      </w:r>
      <w:r w:rsidRPr="00D656D5">
        <w:rPr>
          <w:lang w:val="es-ES_tradnl"/>
        </w:rPr>
        <w:tab/>
      </w:r>
      <w:hyperlink r:id="rId26" w:history="1">
        <w:r w:rsidRPr="00FC4CF6">
          <w:rPr>
            <w:rStyle w:val="Hyperlink"/>
            <w:lang w:val="es-ES_tradnl"/>
          </w:rPr>
          <w:t>CWG-SFP-4/2</w:t>
        </w:r>
      </w:hyperlink>
      <w:r w:rsidRPr="00D656D5">
        <w:rPr>
          <w:lang w:val="es-ES_tradnl"/>
        </w:rPr>
        <w:t>, pág</w:t>
      </w:r>
      <w:r>
        <w:rPr>
          <w:lang w:val="es-ES_tradnl"/>
        </w:rPr>
        <w:t>ina</w:t>
      </w:r>
      <w:r w:rsidRPr="00D656D5">
        <w:rPr>
          <w:lang w:val="es-ES_tradnl"/>
        </w:rPr>
        <w:t xml:space="preserve"> </w:t>
      </w:r>
      <w:r>
        <w:rPr>
          <w:lang w:val="es-ES_tradnl"/>
        </w:rPr>
        <w:t>9</w:t>
      </w:r>
      <w:r w:rsidRPr="00D656D5">
        <w:rPr>
          <w:lang w:val="es-ES_tradnl"/>
        </w:rPr>
        <w:t xml:space="preserve"> (3</w:t>
      </w:r>
      <w:r>
        <w:rPr>
          <w:lang w:val="es-ES_tradnl"/>
        </w:rPr>
        <w:t>5</w:t>
      </w:r>
      <w:r w:rsidRPr="00D656D5">
        <w:rPr>
          <w:lang w:val="es-ES_tradnl"/>
        </w:rPr>
        <w:t>)</w:t>
      </w:r>
      <w:r>
        <w:rPr>
          <w:lang w:val="es-ES_tradnl"/>
        </w:rPr>
        <w:t>.</w:t>
      </w:r>
    </w:p>
  </w:footnote>
  <w:footnote w:id="30">
    <w:p w14:paraId="32C76942" w14:textId="5D3C9B2A" w:rsidR="004F6F3E" w:rsidRPr="00D656D5" w:rsidRDefault="004F6F3E" w:rsidP="00133FCF">
      <w:pPr>
        <w:pStyle w:val="FootnoteText"/>
        <w:rPr>
          <w:lang w:val="es-ES_tradnl"/>
        </w:rPr>
      </w:pPr>
      <w:r w:rsidRPr="00133FCF">
        <w:rPr>
          <w:rStyle w:val="FootnoteReference"/>
          <w:lang w:val="es-ES"/>
        </w:rPr>
        <w:t>30</w:t>
      </w:r>
      <w:r w:rsidRPr="00D656D5">
        <w:rPr>
          <w:lang w:val="es-ES_tradnl"/>
        </w:rPr>
        <w:tab/>
      </w:r>
      <w:hyperlink r:id="rId27" w:history="1">
        <w:r w:rsidRPr="00FC4CF6">
          <w:rPr>
            <w:rStyle w:val="Hyperlink"/>
            <w:lang w:val="es-ES_tradnl"/>
          </w:rPr>
          <w:t>CWG-SFP-4/2</w:t>
        </w:r>
      </w:hyperlink>
      <w:r w:rsidRPr="00D656D5">
        <w:rPr>
          <w:lang w:val="es-ES_tradnl"/>
        </w:rPr>
        <w:t>, pág</w:t>
      </w:r>
      <w:r>
        <w:rPr>
          <w:lang w:val="es-ES_tradnl"/>
        </w:rPr>
        <w:t>ina</w:t>
      </w:r>
      <w:r w:rsidRPr="00D656D5">
        <w:rPr>
          <w:lang w:val="es-ES_tradnl"/>
        </w:rPr>
        <w:t xml:space="preserve"> 1</w:t>
      </w:r>
      <w:r>
        <w:rPr>
          <w:lang w:val="es-ES_tradnl"/>
        </w:rPr>
        <w:t>1</w:t>
      </w:r>
      <w:r w:rsidRPr="00D656D5">
        <w:rPr>
          <w:lang w:val="es-ES_tradnl"/>
        </w:rPr>
        <w:t xml:space="preserve"> (</w:t>
      </w:r>
      <w:r>
        <w:rPr>
          <w:lang w:val="es-ES_tradnl"/>
        </w:rPr>
        <w:t>48-51</w:t>
      </w:r>
      <w:r w:rsidRPr="00D656D5">
        <w:rPr>
          <w:lang w:val="es-ES_tradnl"/>
        </w:rPr>
        <w:t>)</w:t>
      </w:r>
      <w:r>
        <w:rPr>
          <w:lang w:val="es-ES_tradnl"/>
        </w:rPr>
        <w:t>.</w:t>
      </w:r>
    </w:p>
  </w:footnote>
  <w:footnote w:id="31">
    <w:p w14:paraId="271DD541" w14:textId="26426C2C" w:rsidR="004F6F3E" w:rsidRPr="00D656D5" w:rsidRDefault="004F6F3E" w:rsidP="00133FCF">
      <w:pPr>
        <w:pStyle w:val="FootnoteText"/>
        <w:rPr>
          <w:lang w:val="es-ES_tradnl"/>
        </w:rPr>
      </w:pPr>
      <w:r w:rsidRPr="00133FCF">
        <w:rPr>
          <w:rStyle w:val="FootnoteReference"/>
          <w:lang w:val="es-ES"/>
        </w:rPr>
        <w:t>31</w:t>
      </w:r>
      <w:r w:rsidRPr="00D656D5">
        <w:rPr>
          <w:lang w:val="es-ES_tradnl"/>
        </w:rPr>
        <w:tab/>
      </w:r>
      <w:hyperlink r:id="rId28" w:history="1">
        <w:r w:rsidRPr="00E24F42">
          <w:rPr>
            <w:rStyle w:val="Hyperlink"/>
            <w:lang w:val="es-ES_tradnl"/>
          </w:rPr>
          <w:t>CWG-SFP 4/2</w:t>
        </w:r>
      </w:hyperlink>
      <w:r w:rsidRPr="00D656D5">
        <w:rPr>
          <w:lang w:val="es-ES_tradnl"/>
        </w:rPr>
        <w:t>, pág</w:t>
      </w:r>
      <w:r>
        <w:rPr>
          <w:lang w:val="es-ES_tradnl"/>
        </w:rPr>
        <w:t>ina</w:t>
      </w:r>
      <w:r w:rsidRPr="00D656D5">
        <w:rPr>
          <w:lang w:val="es-ES_tradnl"/>
        </w:rPr>
        <w:t xml:space="preserve"> 1</w:t>
      </w:r>
      <w:r>
        <w:rPr>
          <w:lang w:val="es-ES_tradnl"/>
        </w:rPr>
        <w:t>1</w:t>
      </w:r>
      <w:r w:rsidRPr="00D656D5">
        <w:rPr>
          <w:lang w:val="es-ES_tradnl"/>
        </w:rPr>
        <w:t xml:space="preserve"> (</w:t>
      </w:r>
      <w:r>
        <w:rPr>
          <w:lang w:val="es-ES_tradnl"/>
        </w:rPr>
        <w:t>52-54</w:t>
      </w:r>
      <w:r w:rsidRPr="00D656D5">
        <w:rPr>
          <w:lang w:val="es-ES_tradnl"/>
        </w:rPr>
        <w:t>)</w:t>
      </w:r>
      <w:r>
        <w:rPr>
          <w:lang w:val="es-ES_tradnl"/>
        </w:rPr>
        <w:t>.</w:t>
      </w:r>
    </w:p>
  </w:footnote>
  <w:footnote w:id="32">
    <w:p w14:paraId="3E8AF502" w14:textId="79198986" w:rsidR="004F6F3E" w:rsidRPr="00D656D5" w:rsidRDefault="004F6F3E" w:rsidP="00133FCF">
      <w:pPr>
        <w:pStyle w:val="FootnoteText"/>
        <w:rPr>
          <w:lang w:val="es-ES_tradnl"/>
        </w:rPr>
      </w:pPr>
      <w:r w:rsidRPr="00133FCF">
        <w:rPr>
          <w:rStyle w:val="FootnoteReference"/>
          <w:lang w:val="es-ES"/>
        </w:rPr>
        <w:t>32</w:t>
      </w:r>
      <w:r w:rsidRPr="00D656D5">
        <w:rPr>
          <w:lang w:val="es-ES_tradnl"/>
        </w:rPr>
        <w:tab/>
      </w:r>
      <w:hyperlink r:id="rId29" w:history="1">
        <w:r w:rsidRPr="00EB0515">
          <w:rPr>
            <w:rStyle w:val="Hyperlink"/>
            <w:lang w:val="es-ES_tradnl"/>
          </w:rPr>
          <w:t>CWG-SFP-4/2</w:t>
        </w:r>
      </w:hyperlink>
      <w:r w:rsidRPr="00D656D5">
        <w:rPr>
          <w:lang w:val="es-ES_tradnl"/>
        </w:rPr>
        <w:t>, pág</w:t>
      </w:r>
      <w:r>
        <w:rPr>
          <w:lang w:val="es-ES_tradnl"/>
        </w:rPr>
        <w:t>inas</w:t>
      </w:r>
      <w:r w:rsidRPr="00D656D5">
        <w:rPr>
          <w:lang w:val="es-ES_tradnl"/>
        </w:rPr>
        <w:t xml:space="preserve"> 11</w:t>
      </w:r>
      <w:r>
        <w:rPr>
          <w:lang w:val="es-ES_tradnl"/>
        </w:rPr>
        <w:t xml:space="preserve"> y 12</w:t>
      </w:r>
      <w:r w:rsidRPr="00D656D5">
        <w:rPr>
          <w:lang w:val="es-ES_tradnl"/>
        </w:rPr>
        <w:t xml:space="preserve"> (5</w:t>
      </w:r>
      <w:r>
        <w:rPr>
          <w:lang w:val="es-ES_tradnl"/>
        </w:rPr>
        <w:t>5</w:t>
      </w:r>
      <w:r w:rsidRPr="00D656D5">
        <w:rPr>
          <w:lang w:val="es-ES_tradnl"/>
        </w:rPr>
        <w:t xml:space="preserve"> y 5</w:t>
      </w:r>
      <w:r>
        <w:rPr>
          <w:lang w:val="es-ES_tradnl"/>
        </w:rPr>
        <w:t>7</w:t>
      </w:r>
      <w:r w:rsidRPr="00D656D5">
        <w:rPr>
          <w:lang w:val="es-ES_tradnl"/>
        </w:rPr>
        <w:t>)</w:t>
      </w:r>
      <w:r>
        <w:rPr>
          <w:lang w:val="es-ES_tradnl"/>
        </w:rPr>
        <w:t>.</w:t>
      </w:r>
    </w:p>
  </w:footnote>
  <w:footnote w:id="33">
    <w:p w14:paraId="73E611C2" w14:textId="4F6B8B64" w:rsidR="004F6F3E" w:rsidRPr="00D656D5" w:rsidRDefault="004F6F3E" w:rsidP="00133FCF">
      <w:pPr>
        <w:pStyle w:val="FootnoteText"/>
        <w:rPr>
          <w:lang w:val="es-ES_tradnl"/>
        </w:rPr>
      </w:pPr>
      <w:r w:rsidRPr="00133FCF">
        <w:rPr>
          <w:rStyle w:val="FootnoteReference"/>
          <w:lang w:val="es-ES"/>
        </w:rPr>
        <w:t>33</w:t>
      </w:r>
      <w:r w:rsidRPr="00D656D5">
        <w:rPr>
          <w:lang w:val="es-ES_tradnl"/>
        </w:rPr>
        <w:tab/>
      </w:r>
      <w:hyperlink r:id="rId30" w:history="1">
        <w:r w:rsidRPr="00EB0515">
          <w:rPr>
            <w:rStyle w:val="Hyperlink"/>
            <w:lang w:val="es-ES_tradnl"/>
          </w:rPr>
          <w:t>CWG-SFP-4/2</w:t>
        </w:r>
      </w:hyperlink>
      <w:r w:rsidRPr="00D656D5">
        <w:rPr>
          <w:lang w:val="es-ES_tradnl"/>
        </w:rPr>
        <w:t>, pág</w:t>
      </w:r>
      <w:r>
        <w:rPr>
          <w:lang w:val="es-ES_tradnl"/>
        </w:rPr>
        <w:t>ina</w:t>
      </w:r>
      <w:r w:rsidRPr="00D656D5">
        <w:rPr>
          <w:lang w:val="es-ES_tradnl"/>
        </w:rPr>
        <w:t xml:space="preserve"> 1</w:t>
      </w:r>
      <w:r>
        <w:rPr>
          <w:lang w:val="es-ES_tradnl"/>
        </w:rPr>
        <w:t>2</w:t>
      </w:r>
      <w:r w:rsidRPr="00D656D5">
        <w:rPr>
          <w:lang w:val="es-ES_tradnl"/>
        </w:rPr>
        <w:t xml:space="preserve"> (</w:t>
      </w:r>
      <w:r>
        <w:rPr>
          <w:lang w:val="es-ES_tradnl"/>
        </w:rPr>
        <w:t>58-60</w:t>
      </w:r>
      <w:r w:rsidRPr="00D656D5">
        <w:rPr>
          <w:lang w:val="es-ES_tradnl"/>
        </w:rPr>
        <w:t>)</w:t>
      </w:r>
      <w:r>
        <w:rPr>
          <w:lang w:val="es-ES_tradnl"/>
        </w:rPr>
        <w:t>.</w:t>
      </w:r>
    </w:p>
  </w:footnote>
  <w:footnote w:id="34">
    <w:p w14:paraId="5C443CFB" w14:textId="6BCF5ADC" w:rsidR="004F6F3E" w:rsidRPr="00D656D5" w:rsidRDefault="004F6F3E" w:rsidP="00133FCF">
      <w:pPr>
        <w:pStyle w:val="FootnoteText"/>
        <w:rPr>
          <w:lang w:val="es-ES_tradnl"/>
        </w:rPr>
      </w:pPr>
      <w:r w:rsidRPr="00133FCF">
        <w:rPr>
          <w:rStyle w:val="FootnoteReference"/>
          <w:lang w:val="es-ES"/>
        </w:rPr>
        <w:t>34</w:t>
      </w:r>
      <w:r w:rsidRPr="00D656D5">
        <w:rPr>
          <w:lang w:val="es-ES_tradnl"/>
        </w:rPr>
        <w:tab/>
      </w:r>
      <w:hyperlink r:id="rId31" w:history="1">
        <w:r w:rsidRPr="00EB0515">
          <w:rPr>
            <w:rStyle w:val="Hyperlink"/>
            <w:lang w:val="es-ES_tradnl"/>
          </w:rPr>
          <w:t>CWG-SFP-4/2</w:t>
        </w:r>
      </w:hyperlink>
      <w:r w:rsidRPr="00D656D5">
        <w:rPr>
          <w:lang w:val="es-ES_tradnl"/>
        </w:rPr>
        <w:t>, pág</w:t>
      </w:r>
      <w:r>
        <w:rPr>
          <w:lang w:val="es-ES_tradnl"/>
        </w:rPr>
        <w:t>inas</w:t>
      </w:r>
      <w:r w:rsidRPr="00D656D5">
        <w:rPr>
          <w:lang w:val="es-ES_tradnl"/>
        </w:rPr>
        <w:t xml:space="preserve"> 1</w:t>
      </w:r>
      <w:r>
        <w:rPr>
          <w:lang w:val="es-ES_tradnl"/>
        </w:rPr>
        <w:t>2-13</w:t>
      </w:r>
      <w:r w:rsidRPr="00D656D5">
        <w:rPr>
          <w:lang w:val="es-ES_tradnl"/>
        </w:rPr>
        <w:t xml:space="preserve"> (</w:t>
      </w:r>
      <w:r>
        <w:rPr>
          <w:lang w:val="es-ES_tradnl"/>
        </w:rPr>
        <w:t>61-62</w:t>
      </w:r>
      <w:r w:rsidRPr="00D656D5">
        <w:rPr>
          <w:lang w:val="es-ES_tradnl"/>
        </w:rPr>
        <w:t>)</w:t>
      </w:r>
      <w:r>
        <w:rPr>
          <w:lang w:val="es-ES_tradnl"/>
        </w:rPr>
        <w:t>.</w:t>
      </w:r>
    </w:p>
  </w:footnote>
  <w:footnote w:id="35">
    <w:p w14:paraId="40E44C9D" w14:textId="24F0B0B0" w:rsidR="004F6F3E" w:rsidRPr="00D656D5" w:rsidRDefault="004F6F3E" w:rsidP="00133FCF">
      <w:pPr>
        <w:pStyle w:val="FootnoteText"/>
        <w:rPr>
          <w:lang w:val="es-ES_tradnl"/>
        </w:rPr>
      </w:pPr>
      <w:r w:rsidRPr="00133FCF">
        <w:rPr>
          <w:rStyle w:val="FootnoteReference"/>
          <w:lang w:val="es-ES"/>
        </w:rPr>
        <w:t>35</w:t>
      </w:r>
      <w:r w:rsidRPr="00D656D5">
        <w:rPr>
          <w:lang w:val="es-ES_tradnl"/>
        </w:rPr>
        <w:tab/>
      </w:r>
      <w:hyperlink r:id="rId32" w:history="1">
        <w:r w:rsidRPr="00E24F42">
          <w:rPr>
            <w:rStyle w:val="Hyperlink"/>
            <w:lang w:val="es-ES_tradnl"/>
          </w:rPr>
          <w:t>CWG-SFP-4/2</w:t>
        </w:r>
      </w:hyperlink>
      <w:r w:rsidRPr="00D656D5">
        <w:rPr>
          <w:lang w:val="es-ES_tradnl"/>
        </w:rPr>
        <w:t>, pág</w:t>
      </w:r>
      <w:r>
        <w:rPr>
          <w:lang w:val="es-ES_tradnl"/>
        </w:rPr>
        <w:t>ina</w:t>
      </w:r>
      <w:r w:rsidRPr="00D656D5">
        <w:rPr>
          <w:lang w:val="es-ES_tradnl"/>
        </w:rPr>
        <w:t xml:space="preserve"> 1</w:t>
      </w:r>
      <w:r>
        <w:rPr>
          <w:lang w:val="es-ES_tradnl"/>
        </w:rPr>
        <w:t>3</w:t>
      </w:r>
      <w:r w:rsidRPr="00D656D5">
        <w:rPr>
          <w:lang w:val="es-ES_tradnl"/>
        </w:rPr>
        <w:t xml:space="preserve"> (6</w:t>
      </w:r>
      <w:r>
        <w:rPr>
          <w:lang w:val="es-ES_tradnl"/>
        </w:rPr>
        <w:t>3</w:t>
      </w:r>
      <w:r w:rsidRPr="00D656D5">
        <w:rPr>
          <w:lang w:val="es-ES_tradnl"/>
        </w:rPr>
        <w:t>)</w:t>
      </w:r>
      <w:r>
        <w:rPr>
          <w:lang w:val="es-ES_tradnl"/>
        </w:rPr>
        <w:t>.</w:t>
      </w:r>
    </w:p>
  </w:footnote>
  <w:footnote w:id="36">
    <w:p w14:paraId="115BFE4D" w14:textId="40B72941" w:rsidR="004F6F3E" w:rsidRPr="00D656D5" w:rsidRDefault="004F6F3E" w:rsidP="00133FCF">
      <w:pPr>
        <w:pStyle w:val="FootnoteText"/>
        <w:rPr>
          <w:lang w:val="es-ES_tradnl"/>
        </w:rPr>
      </w:pPr>
      <w:r w:rsidRPr="00133FCF">
        <w:rPr>
          <w:rStyle w:val="FootnoteReference"/>
          <w:lang w:val="es-ES"/>
        </w:rPr>
        <w:t>36</w:t>
      </w:r>
      <w:r w:rsidRPr="00D656D5">
        <w:rPr>
          <w:lang w:val="es-ES_tradnl"/>
        </w:rPr>
        <w:tab/>
      </w:r>
      <w:hyperlink r:id="rId33" w:history="1">
        <w:r w:rsidRPr="00E24F42">
          <w:rPr>
            <w:rStyle w:val="Hyperlink"/>
            <w:lang w:val="es-ES_tradnl"/>
          </w:rPr>
          <w:t>CWG-SFP-4/2</w:t>
        </w:r>
      </w:hyperlink>
      <w:r w:rsidRPr="00D656D5">
        <w:rPr>
          <w:lang w:val="es-ES_tradnl"/>
        </w:rPr>
        <w:t>, pág</w:t>
      </w:r>
      <w:r>
        <w:rPr>
          <w:lang w:val="es-ES_tradnl"/>
        </w:rPr>
        <w:t>ina</w:t>
      </w:r>
      <w:r w:rsidRPr="00D656D5">
        <w:rPr>
          <w:lang w:val="es-ES_tradnl"/>
        </w:rPr>
        <w:t xml:space="preserve"> </w:t>
      </w:r>
      <w:r>
        <w:rPr>
          <w:lang w:val="es-ES_tradnl"/>
        </w:rPr>
        <w:t>13</w:t>
      </w:r>
      <w:r w:rsidRPr="00D656D5">
        <w:rPr>
          <w:lang w:val="es-ES_tradnl"/>
        </w:rPr>
        <w:t xml:space="preserve"> (6</w:t>
      </w:r>
      <w:r>
        <w:rPr>
          <w:lang w:val="es-ES_tradnl"/>
        </w:rPr>
        <w:t>4</w:t>
      </w:r>
      <w:r w:rsidRPr="00D656D5">
        <w:rPr>
          <w:lang w:val="es-ES_tradnl"/>
        </w:rPr>
        <w:t>)</w:t>
      </w:r>
      <w:r>
        <w:rPr>
          <w:lang w:val="es-ES_tradnl"/>
        </w:rPr>
        <w:t>.</w:t>
      </w:r>
    </w:p>
  </w:footnote>
  <w:footnote w:id="37">
    <w:p w14:paraId="11378C98" w14:textId="4DB669DF" w:rsidR="004F6F3E" w:rsidRPr="00D656D5" w:rsidRDefault="004F6F3E" w:rsidP="00133FCF">
      <w:pPr>
        <w:pStyle w:val="FootnoteText"/>
        <w:rPr>
          <w:lang w:val="es-ES_tradnl"/>
        </w:rPr>
      </w:pPr>
      <w:r w:rsidRPr="00133FCF">
        <w:rPr>
          <w:rStyle w:val="FootnoteReference"/>
          <w:lang w:val="es-ES"/>
        </w:rPr>
        <w:t>37</w:t>
      </w:r>
      <w:r w:rsidRPr="00D656D5">
        <w:rPr>
          <w:lang w:val="es-ES_tradnl"/>
        </w:rPr>
        <w:tab/>
      </w:r>
      <w:hyperlink r:id="rId34" w:history="1">
        <w:r w:rsidRPr="00E24F42">
          <w:rPr>
            <w:rStyle w:val="Hyperlink"/>
            <w:lang w:val="es-ES_tradnl"/>
          </w:rPr>
          <w:t>CWG-SFP-4/2</w:t>
        </w:r>
      </w:hyperlink>
      <w:r w:rsidRPr="00D656D5">
        <w:rPr>
          <w:lang w:val="es-ES_tradnl"/>
        </w:rPr>
        <w:t>, pág</w:t>
      </w:r>
      <w:r>
        <w:rPr>
          <w:lang w:val="es-ES_tradnl"/>
        </w:rPr>
        <w:t>ina</w:t>
      </w:r>
      <w:r w:rsidRPr="00D656D5">
        <w:rPr>
          <w:lang w:val="es-ES_tradnl"/>
        </w:rPr>
        <w:t xml:space="preserve"> </w:t>
      </w:r>
      <w:r>
        <w:rPr>
          <w:lang w:val="es-ES_tradnl"/>
        </w:rPr>
        <w:t>13</w:t>
      </w:r>
      <w:r w:rsidRPr="00D656D5">
        <w:rPr>
          <w:lang w:val="es-ES_tradnl"/>
        </w:rPr>
        <w:t xml:space="preserve"> (6</w:t>
      </w:r>
      <w:r>
        <w:rPr>
          <w:lang w:val="es-ES_tradnl"/>
        </w:rPr>
        <w:t>5</w:t>
      </w:r>
      <w:r w:rsidRPr="00D656D5">
        <w:rPr>
          <w:lang w:val="es-ES_tradnl"/>
        </w:rPr>
        <w:t>)</w:t>
      </w:r>
      <w:r>
        <w:rPr>
          <w:lang w:val="es-ES_tradnl"/>
        </w:rPr>
        <w:t>.</w:t>
      </w:r>
    </w:p>
  </w:footnote>
  <w:footnote w:id="38">
    <w:p w14:paraId="1B1954AD" w14:textId="641CDAB0" w:rsidR="004F6F3E" w:rsidRPr="00D656D5" w:rsidRDefault="004F6F3E" w:rsidP="00133FCF">
      <w:pPr>
        <w:pStyle w:val="FootnoteText"/>
        <w:rPr>
          <w:lang w:val="es-ES_tradnl"/>
        </w:rPr>
      </w:pPr>
      <w:r w:rsidRPr="00133FCF">
        <w:rPr>
          <w:rStyle w:val="FootnoteReference"/>
          <w:lang w:val="es-ES"/>
        </w:rPr>
        <w:t>38</w:t>
      </w:r>
      <w:r w:rsidRPr="00D656D5">
        <w:rPr>
          <w:lang w:val="es-ES_tradnl"/>
        </w:rPr>
        <w:tab/>
      </w:r>
      <w:hyperlink r:id="rId35" w:history="1">
        <w:r w:rsidRPr="00E24F42">
          <w:rPr>
            <w:rStyle w:val="Hyperlink"/>
            <w:lang w:val="es-ES_tradnl"/>
          </w:rPr>
          <w:t>CWG-SFP-4/2</w:t>
        </w:r>
      </w:hyperlink>
      <w:r w:rsidRPr="00D656D5">
        <w:rPr>
          <w:lang w:val="es-ES_tradnl"/>
        </w:rPr>
        <w:t>, pág</w:t>
      </w:r>
      <w:r>
        <w:rPr>
          <w:lang w:val="es-ES_tradnl"/>
        </w:rPr>
        <w:t>inas</w:t>
      </w:r>
      <w:r w:rsidRPr="00D656D5">
        <w:rPr>
          <w:lang w:val="es-ES_tradnl"/>
        </w:rPr>
        <w:t xml:space="preserve"> 1</w:t>
      </w:r>
      <w:r>
        <w:rPr>
          <w:lang w:val="es-ES_tradnl"/>
        </w:rPr>
        <w:t>3-14</w:t>
      </w:r>
      <w:r w:rsidRPr="00D656D5">
        <w:rPr>
          <w:lang w:val="es-ES_tradnl"/>
        </w:rPr>
        <w:t xml:space="preserve"> (6</w:t>
      </w:r>
      <w:r>
        <w:rPr>
          <w:lang w:val="es-ES_tradnl"/>
        </w:rPr>
        <w:t>6</w:t>
      </w:r>
      <w:r w:rsidRPr="00D656D5">
        <w:rPr>
          <w:lang w:val="es-ES_tradnl"/>
        </w:rPr>
        <w:t>)</w:t>
      </w:r>
      <w:r>
        <w:rPr>
          <w:lang w:val="es-ES_tradnl"/>
        </w:rPr>
        <w:t>.</w:t>
      </w:r>
    </w:p>
  </w:footnote>
  <w:footnote w:id="39">
    <w:p w14:paraId="35D21FD4" w14:textId="41FE75AB" w:rsidR="004F6F3E" w:rsidRPr="00D656D5" w:rsidRDefault="004F6F3E" w:rsidP="00133FCF">
      <w:pPr>
        <w:pStyle w:val="FootnoteText"/>
        <w:rPr>
          <w:lang w:val="es-ES_tradnl"/>
        </w:rPr>
      </w:pPr>
      <w:r w:rsidRPr="00133FCF">
        <w:rPr>
          <w:rStyle w:val="FootnoteReference"/>
          <w:lang w:val="es-ES"/>
        </w:rPr>
        <w:t>39</w:t>
      </w:r>
      <w:r w:rsidRPr="00D656D5">
        <w:rPr>
          <w:lang w:val="es-ES_tradnl"/>
        </w:rPr>
        <w:tab/>
      </w:r>
      <w:hyperlink r:id="rId36" w:history="1">
        <w:r w:rsidRPr="00E24F42">
          <w:rPr>
            <w:rStyle w:val="Hyperlink"/>
            <w:lang w:val="es-ES_tradnl"/>
          </w:rPr>
          <w:t>CWG-SFP-4/2</w:t>
        </w:r>
      </w:hyperlink>
      <w:r w:rsidRPr="00D656D5">
        <w:rPr>
          <w:lang w:val="es-ES_tradnl"/>
        </w:rPr>
        <w:t>, pág</w:t>
      </w:r>
      <w:r>
        <w:rPr>
          <w:lang w:val="es-ES_tradnl"/>
        </w:rPr>
        <w:t>ina</w:t>
      </w:r>
      <w:r w:rsidRPr="00D656D5">
        <w:rPr>
          <w:lang w:val="es-ES_tradnl"/>
        </w:rPr>
        <w:t xml:space="preserve"> 1</w:t>
      </w:r>
      <w:r>
        <w:rPr>
          <w:lang w:val="es-ES_tradnl"/>
        </w:rPr>
        <w:t>4</w:t>
      </w:r>
      <w:r w:rsidRPr="00D656D5">
        <w:rPr>
          <w:lang w:val="es-ES_tradnl"/>
        </w:rPr>
        <w:t xml:space="preserve"> (6</w:t>
      </w:r>
      <w:r>
        <w:rPr>
          <w:lang w:val="es-ES_tradnl"/>
        </w:rPr>
        <w:t>7</w:t>
      </w:r>
      <w:r w:rsidRPr="00D656D5">
        <w:rPr>
          <w:lang w:val="es-ES_tradnl"/>
        </w:rPr>
        <w:t>)</w:t>
      </w:r>
      <w:r>
        <w:rPr>
          <w:lang w:val="es-ES_tradnl"/>
        </w:rPr>
        <w:t>.</w:t>
      </w:r>
    </w:p>
  </w:footnote>
  <w:footnote w:id="40">
    <w:p w14:paraId="591BDD95" w14:textId="59F4F1E4" w:rsidR="004F6F3E" w:rsidRPr="00D656D5" w:rsidRDefault="004F6F3E" w:rsidP="00133FCF">
      <w:pPr>
        <w:pStyle w:val="FootnoteText"/>
        <w:rPr>
          <w:lang w:val="es-ES_tradnl"/>
        </w:rPr>
      </w:pPr>
      <w:r w:rsidRPr="00133FCF">
        <w:rPr>
          <w:rStyle w:val="FootnoteReference"/>
          <w:lang w:val="es-ES"/>
        </w:rPr>
        <w:t>40</w:t>
      </w:r>
      <w:r w:rsidRPr="00D656D5">
        <w:rPr>
          <w:lang w:val="es-ES_tradnl"/>
        </w:rPr>
        <w:tab/>
      </w:r>
      <w:hyperlink r:id="rId37" w:history="1">
        <w:r w:rsidRPr="00E24F42">
          <w:rPr>
            <w:rStyle w:val="Hyperlink"/>
            <w:lang w:val="es-ES_tradnl"/>
          </w:rPr>
          <w:t>CWG-SFP-4/2</w:t>
        </w:r>
      </w:hyperlink>
      <w:r w:rsidRPr="00D656D5">
        <w:rPr>
          <w:lang w:val="es-ES_tradnl"/>
        </w:rPr>
        <w:t>, pág</w:t>
      </w:r>
      <w:r>
        <w:rPr>
          <w:lang w:val="es-ES_tradnl"/>
        </w:rPr>
        <w:t>ina</w:t>
      </w:r>
      <w:r w:rsidRPr="00D656D5">
        <w:rPr>
          <w:lang w:val="es-ES_tradnl"/>
        </w:rPr>
        <w:t xml:space="preserve"> 1</w:t>
      </w:r>
      <w:r>
        <w:rPr>
          <w:lang w:val="es-ES_tradnl"/>
        </w:rPr>
        <w:t>4</w:t>
      </w:r>
      <w:r w:rsidRPr="00D656D5">
        <w:rPr>
          <w:lang w:val="es-ES_tradnl"/>
        </w:rPr>
        <w:t xml:space="preserve"> (6</w:t>
      </w:r>
      <w:r>
        <w:rPr>
          <w:lang w:val="es-ES_tradnl"/>
        </w:rPr>
        <w:t>8</w:t>
      </w:r>
      <w:r w:rsidRPr="00D656D5">
        <w:rPr>
          <w:lang w:val="es-ES_tradnl"/>
        </w:rPr>
        <w:t>)</w:t>
      </w:r>
      <w:r>
        <w:rPr>
          <w:lang w:val="es-ES_tradnl"/>
        </w:rPr>
        <w:t>.</w:t>
      </w:r>
    </w:p>
  </w:footnote>
  <w:footnote w:id="41">
    <w:p w14:paraId="1D10879B" w14:textId="56A41EDD" w:rsidR="004F6F3E" w:rsidRPr="00D656D5" w:rsidRDefault="004F6F3E" w:rsidP="00133FCF">
      <w:pPr>
        <w:pStyle w:val="FootnoteText"/>
        <w:rPr>
          <w:lang w:val="es-ES_tradnl"/>
        </w:rPr>
      </w:pPr>
      <w:r w:rsidRPr="00133FCF">
        <w:rPr>
          <w:rStyle w:val="FootnoteReference"/>
          <w:lang w:val="es-ES"/>
        </w:rPr>
        <w:t>41</w:t>
      </w:r>
      <w:r w:rsidRPr="00D656D5">
        <w:rPr>
          <w:lang w:val="es-ES_tradnl"/>
        </w:rPr>
        <w:tab/>
      </w:r>
      <w:hyperlink r:id="rId38" w:history="1">
        <w:r w:rsidRPr="00E24F42">
          <w:rPr>
            <w:rStyle w:val="Hyperlink"/>
            <w:lang w:val="es-ES_tradnl"/>
          </w:rPr>
          <w:t>CWG-SFP-4/2</w:t>
        </w:r>
      </w:hyperlink>
      <w:r w:rsidRPr="00D656D5">
        <w:rPr>
          <w:lang w:val="es-ES_tradnl"/>
        </w:rPr>
        <w:t>, pág</w:t>
      </w:r>
      <w:r>
        <w:rPr>
          <w:lang w:val="es-ES_tradnl"/>
        </w:rPr>
        <w:t>ina</w:t>
      </w:r>
      <w:r w:rsidRPr="00D656D5">
        <w:rPr>
          <w:lang w:val="es-ES_tradnl"/>
        </w:rPr>
        <w:t xml:space="preserve"> 1</w:t>
      </w:r>
      <w:r>
        <w:rPr>
          <w:lang w:val="es-ES_tradnl"/>
        </w:rPr>
        <w:t>4</w:t>
      </w:r>
      <w:r w:rsidRPr="00D656D5">
        <w:rPr>
          <w:lang w:val="es-ES_tradnl"/>
        </w:rPr>
        <w:t xml:space="preserve"> </w:t>
      </w:r>
      <w:r>
        <w:rPr>
          <w:lang w:val="es-ES_tradnl"/>
        </w:rPr>
        <w:t>(69</w:t>
      </w:r>
      <w:r w:rsidRPr="00D656D5">
        <w:rPr>
          <w:lang w:val="es-ES_tradnl"/>
        </w:rPr>
        <w:t>)</w:t>
      </w:r>
      <w:r>
        <w:rPr>
          <w:lang w:val="es-ES_tradnl"/>
        </w:rPr>
        <w:t>.</w:t>
      </w:r>
    </w:p>
  </w:footnote>
  <w:footnote w:id="42">
    <w:p w14:paraId="1E2EFD0F" w14:textId="7140F5A6" w:rsidR="004F6F3E" w:rsidRPr="00D656D5" w:rsidRDefault="004F6F3E" w:rsidP="00133FCF">
      <w:pPr>
        <w:pStyle w:val="FootnoteText"/>
        <w:rPr>
          <w:lang w:val="es-ES_tradnl"/>
        </w:rPr>
      </w:pPr>
      <w:r w:rsidRPr="00133FCF">
        <w:rPr>
          <w:rStyle w:val="FootnoteReference"/>
          <w:lang w:val="es-ES"/>
        </w:rPr>
        <w:t>42</w:t>
      </w:r>
      <w:r w:rsidRPr="00D656D5">
        <w:rPr>
          <w:lang w:val="es-ES_tradnl"/>
        </w:rPr>
        <w:tab/>
      </w:r>
      <w:hyperlink r:id="rId39" w:history="1">
        <w:r w:rsidRPr="004861F2">
          <w:rPr>
            <w:rStyle w:val="Hyperlink"/>
            <w:lang w:val="es-ES_tradnl"/>
          </w:rPr>
          <w:t>CWG-SFP-4/2</w:t>
        </w:r>
      </w:hyperlink>
      <w:r w:rsidRPr="00D656D5">
        <w:rPr>
          <w:lang w:val="es-ES_tradnl"/>
        </w:rPr>
        <w:t xml:space="preserve">, </w:t>
      </w:r>
      <w:r w:rsidRPr="009C0993">
        <w:rPr>
          <w:lang w:val="es-ES_tradnl"/>
        </w:rPr>
        <w:t>página 15 (70)</w:t>
      </w:r>
      <w:r>
        <w:rPr>
          <w:lang w:val="es-ES_tradnl"/>
        </w:rPr>
        <w:t>.</w:t>
      </w:r>
    </w:p>
  </w:footnote>
  <w:footnote w:id="43">
    <w:p w14:paraId="0BAEE153" w14:textId="77777777" w:rsidR="004F6F3E" w:rsidRPr="00D656D5" w:rsidRDefault="004F6F3E" w:rsidP="00133FCF">
      <w:pPr>
        <w:pStyle w:val="FootnoteText"/>
        <w:ind w:left="255" w:hanging="255"/>
        <w:rPr>
          <w:lang w:val="es-ES_tradnl"/>
        </w:rPr>
      </w:pPr>
      <w:r w:rsidRPr="00133FCF">
        <w:rPr>
          <w:rStyle w:val="FootnoteReference"/>
          <w:lang w:val="es-ES"/>
        </w:rPr>
        <w:t>43</w:t>
      </w:r>
      <w:r w:rsidRPr="00D656D5">
        <w:rPr>
          <w:lang w:val="es-ES_tradnl"/>
        </w:rPr>
        <w:tab/>
        <w:t>La numeración de los nombres de las Cuestiones de la Comisi</w:t>
      </w:r>
      <w:r>
        <w:rPr>
          <w:lang w:val="es-ES_tradnl"/>
        </w:rPr>
        <w:t>ón</w:t>
      </w:r>
      <w:r w:rsidRPr="00D656D5">
        <w:rPr>
          <w:lang w:val="es-ES_tradnl"/>
        </w:rPr>
        <w:t xml:space="preserve"> de Estudio puede cambiar en la</w:t>
      </w:r>
      <w:r>
        <w:rPr>
          <w:lang w:val="es-ES_tradnl"/>
        </w:rPr>
        <w:t> </w:t>
      </w:r>
      <w:r w:rsidRPr="00D656D5">
        <w:rPr>
          <w:lang w:val="es-ES_tradnl"/>
        </w:rPr>
        <w:t>CMDT.</w:t>
      </w:r>
    </w:p>
  </w:footnote>
  <w:footnote w:id="44">
    <w:p w14:paraId="4F06DB75" w14:textId="69C56631" w:rsidR="004F6F3E" w:rsidRPr="00D656D5" w:rsidRDefault="004F6F3E" w:rsidP="00133FCF">
      <w:pPr>
        <w:pStyle w:val="FootnoteText"/>
        <w:ind w:left="255" w:hanging="255"/>
        <w:rPr>
          <w:lang w:val="es-ES_tradnl"/>
        </w:rPr>
      </w:pPr>
      <w:r w:rsidRPr="00133FCF">
        <w:rPr>
          <w:rStyle w:val="FootnoteReference"/>
          <w:lang w:val="es-ES"/>
        </w:rPr>
        <w:t>44</w:t>
      </w:r>
      <w:r w:rsidRPr="00D656D5">
        <w:rPr>
          <w:lang w:val="es-ES_tradnl"/>
        </w:rPr>
        <w:tab/>
      </w:r>
      <w:hyperlink r:id="rId40" w:history="1">
        <w:r w:rsidRPr="00D656D5">
          <w:rPr>
            <w:rStyle w:val="Hyperlink"/>
            <w:lang w:val="es-ES_tradnl"/>
          </w:rPr>
          <w:t>Documento de trabajo TDAG 21/2: Realizaciones y productos del Plan de Acción de la CMDT</w:t>
        </w:r>
      </w:hyperlink>
      <w:r w:rsidRPr="00D656D5">
        <w:rPr>
          <w:lang w:val="es-ES_tradnl"/>
        </w:rPr>
        <w:t>, realización D.7-a</w:t>
      </w:r>
    </w:p>
  </w:footnote>
  <w:footnote w:id="45">
    <w:p w14:paraId="551DFB15" w14:textId="54EE579E" w:rsidR="004F6F3E" w:rsidRPr="00D656D5" w:rsidRDefault="004F6F3E" w:rsidP="00133FCF">
      <w:pPr>
        <w:pStyle w:val="FootnoteText"/>
        <w:ind w:left="255" w:hanging="255"/>
        <w:rPr>
          <w:lang w:val="es-ES_tradnl"/>
        </w:rPr>
      </w:pPr>
      <w:r w:rsidRPr="00133FCF">
        <w:rPr>
          <w:rStyle w:val="FootnoteReference"/>
          <w:lang w:val="es-ES"/>
        </w:rPr>
        <w:t>45</w:t>
      </w:r>
      <w:r w:rsidRPr="00D656D5">
        <w:rPr>
          <w:lang w:val="es-ES_tradnl"/>
        </w:rPr>
        <w:tab/>
      </w:r>
      <w:hyperlink r:id="rId41" w:history="1">
        <w:r w:rsidRPr="00D656D5">
          <w:rPr>
            <w:rStyle w:val="Hyperlink"/>
            <w:lang w:val="es-ES_tradnl"/>
          </w:rPr>
          <w:t>Documento de trabajo TDAG 21/2: Realizaciones y productos del Plan de Acción de la CMDT</w:t>
        </w:r>
      </w:hyperlink>
      <w:r w:rsidRPr="00D656D5">
        <w:rPr>
          <w:lang w:val="es-ES_tradnl"/>
        </w:rPr>
        <w:t>, realización D.7-b</w:t>
      </w:r>
    </w:p>
  </w:footnote>
  <w:footnote w:id="46">
    <w:p w14:paraId="7A363DD3" w14:textId="77777777" w:rsidR="004F6F3E" w:rsidRPr="00D656D5" w:rsidRDefault="004F6F3E" w:rsidP="00133FCF">
      <w:pPr>
        <w:pStyle w:val="FootnoteText"/>
        <w:ind w:left="255" w:hanging="255"/>
        <w:rPr>
          <w:lang w:val="es-ES_tradnl"/>
        </w:rPr>
      </w:pPr>
      <w:r w:rsidRPr="00133FCF">
        <w:rPr>
          <w:rStyle w:val="FootnoteReference"/>
          <w:lang w:val="es-ES"/>
        </w:rPr>
        <w:t>46</w:t>
      </w:r>
      <w:r w:rsidRPr="00D656D5">
        <w:rPr>
          <w:lang w:val="es-ES_tradnl"/>
        </w:rPr>
        <w:tab/>
      </w:r>
      <w:hyperlink r:id="rId42" w:history="1">
        <w:r w:rsidRPr="00D656D5">
          <w:rPr>
            <w:rStyle w:val="Hyperlink"/>
            <w:lang w:val="es-ES_tradnl"/>
          </w:rPr>
          <w:t>Documento de trabajo TDAG 21/2: Realizaciones y productos del Plan de Acción de la CMDT</w:t>
        </w:r>
      </w:hyperlink>
      <w:r w:rsidRPr="00D656D5">
        <w:rPr>
          <w:lang w:val="es-ES_tradnl"/>
        </w:rPr>
        <w:t>, realización D.7-c</w:t>
      </w:r>
    </w:p>
  </w:footnote>
  <w:footnote w:id="47">
    <w:p w14:paraId="0DEEC8C2" w14:textId="77777777" w:rsidR="004F6F3E" w:rsidRPr="00D656D5" w:rsidRDefault="004F6F3E" w:rsidP="00133FCF">
      <w:pPr>
        <w:pStyle w:val="FootnoteText"/>
        <w:ind w:left="255" w:hanging="255"/>
        <w:rPr>
          <w:lang w:val="es-ES_tradnl"/>
        </w:rPr>
      </w:pPr>
      <w:r w:rsidRPr="00133FCF">
        <w:rPr>
          <w:rStyle w:val="FootnoteReference"/>
          <w:lang w:val="es-ES"/>
        </w:rPr>
        <w:t>47</w:t>
      </w:r>
      <w:r w:rsidRPr="00D656D5">
        <w:rPr>
          <w:lang w:val="es-ES_tradnl"/>
        </w:rPr>
        <w:tab/>
      </w:r>
      <w:hyperlink r:id="rId43" w:history="1">
        <w:r w:rsidRPr="00D656D5">
          <w:rPr>
            <w:rStyle w:val="Hyperlink"/>
            <w:lang w:val="es-ES_tradnl"/>
          </w:rPr>
          <w:t>Documento de trabajo TDAG 21/2: Realizaciones y productos del Plan de Acción de la CMDT</w:t>
        </w:r>
      </w:hyperlink>
      <w:r w:rsidRPr="00D656D5">
        <w:rPr>
          <w:lang w:val="es-ES_tradnl"/>
        </w:rPr>
        <w:t>, realización D.7-d</w:t>
      </w:r>
    </w:p>
  </w:footnote>
  <w:footnote w:id="48">
    <w:p w14:paraId="1C986CC2" w14:textId="77777777" w:rsidR="004F6F3E" w:rsidRPr="00D656D5" w:rsidRDefault="004F6F3E" w:rsidP="00133FCF">
      <w:pPr>
        <w:pStyle w:val="FootnoteText"/>
        <w:ind w:left="255" w:hanging="255"/>
        <w:rPr>
          <w:lang w:val="es-ES_tradnl"/>
        </w:rPr>
      </w:pPr>
      <w:r w:rsidRPr="00133FCF">
        <w:rPr>
          <w:rStyle w:val="FootnoteReference"/>
          <w:lang w:val="es-ES"/>
        </w:rPr>
        <w:t>48</w:t>
      </w:r>
      <w:r w:rsidRPr="00D656D5">
        <w:rPr>
          <w:lang w:val="es-ES_tradnl"/>
        </w:rPr>
        <w:tab/>
      </w:r>
      <w:hyperlink r:id="rId44" w:history="1">
        <w:r w:rsidRPr="00D656D5">
          <w:rPr>
            <w:rStyle w:val="Hyperlink"/>
            <w:lang w:val="es-ES_tradnl"/>
          </w:rPr>
          <w:t>Documento de trabajo TDAG 21/2: Realizaciones y productos del Plan de Acción de la CMDT</w:t>
        </w:r>
      </w:hyperlink>
      <w:r w:rsidRPr="00D656D5">
        <w:rPr>
          <w:lang w:val="es-ES_tradnl"/>
        </w:rPr>
        <w:t>, realización D.7-e</w:t>
      </w:r>
    </w:p>
  </w:footnote>
  <w:footnote w:id="49">
    <w:p w14:paraId="1E90FD62" w14:textId="77777777" w:rsidR="004F6F3E" w:rsidRPr="00D656D5" w:rsidRDefault="004F6F3E" w:rsidP="00133FCF">
      <w:pPr>
        <w:pStyle w:val="FootnoteText"/>
        <w:ind w:left="255" w:hanging="255"/>
        <w:rPr>
          <w:lang w:val="es-ES_tradnl"/>
        </w:rPr>
      </w:pPr>
      <w:r w:rsidRPr="00133FCF">
        <w:rPr>
          <w:rStyle w:val="FootnoteReference"/>
          <w:lang w:val="es-ES"/>
        </w:rPr>
        <w:t>49</w:t>
      </w:r>
      <w:r w:rsidRPr="00D656D5">
        <w:rPr>
          <w:lang w:val="es-ES_tradnl"/>
        </w:rPr>
        <w:tab/>
      </w:r>
      <w:hyperlink r:id="rId45" w:history="1">
        <w:r w:rsidRPr="00D656D5">
          <w:rPr>
            <w:rStyle w:val="Hyperlink"/>
            <w:lang w:val="es-ES_tradnl"/>
          </w:rPr>
          <w:t>Documento de trabajo TDAG 21/2: Realizaciones y productos del Plan de Acción de la CMDT</w:t>
        </w:r>
      </w:hyperlink>
      <w:r w:rsidRPr="00D656D5">
        <w:rPr>
          <w:lang w:val="es-ES_tradnl"/>
        </w:rPr>
        <w:t>, realización D.3-a</w:t>
      </w:r>
    </w:p>
  </w:footnote>
  <w:footnote w:id="50">
    <w:p w14:paraId="3B556734" w14:textId="77777777" w:rsidR="004F6F3E" w:rsidRPr="00D656D5" w:rsidRDefault="004F6F3E" w:rsidP="00133FCF">
      <w:pPr>
        <w:pStyle w:val="FootnoteText"/>
        <w:ind w:left="255" w:hanging="255"/>
        <w:rPr>
          <w:lang w:val="es-ES_tradnl"/>
        </w:rPr>
      </w:pPr>
      <w:r w:rsidRPr="00133FCF">
        <w:rPr>
          <w:rStyle w:val="FootnoteReference"/>
          <w:lang w:val="es-ES"/>
        </w:rPr>
        <w:t>50</w:t>
      </w:r>
      <w:r w:rsidRPr="00D656D5">
        <w:rPr>
          <w:lang w:val="es-ES_tradnl"/>
        </w:rPr>
        <w:tab/>
      </w:r>
      <w:hyperlink r:id="rId46" w:history="1">
        <w:r w:rsidRPr="00D656D5">
          <w:rPr>
            <w:rStyle w:val="Hyperlink"/>
            <w:lang w:val="es-ES_tradnl"/>
          </w:rPr>
          <w:t>Documento de trabajo TDAG 21/2: Realizaciones y productos del Plan de Acción de la CMDT</w:t>
        </w:r>
      </w:hyperlink>
      <w:r w:rsidRPr="00D656D5">
        <w:rPr>
          <w:lang w:val="es-ES_tradnl"/>
        </w:rPr>
        <w:t>, realización D.2-f</w:t>
      </w:r>
    </w:p>
  </w:footnote>
  <w:footnote w:id="51">
    <w:p w14:paraId="5664FE1F" w14:textId="77777777" w:rsidR="004F6F3E" w:rsidRPr="00D656D5" w:rsidRDefault="004F6F3E" w:rsidP="00133FCF">
      <w:pPr>
        <w:pStyle w:val="FootnoteText"/>
        <w:ind w:left="255" w:hanging="255"/>
        <w:rPr>
          <w:lang w:val="es-ES_tradnl"/>
        </w:rPr>
      </w:pPr>
      <w:r w:rsidRPr="00133FCF">
        <w:rPr>
          <w:rStyle w:val="FootnoteReference"/>
          <w:lang w:val="es-ES"/>
        </w:rPr>
        <w:t>51</w:t>
      </w:r>
      <w:r w:rsidRPr="00D656D5">
        <w:rPr>
          <w:lang w:val="es-ES_tradnl"/>
        </w:rPr>
        <w:tab/>
      </w:r>
      <w:hyperlink r:id="rId47" w:history="1">
        <w:r w:rsidRPr="00D656D5">
          <w:rPr>
            <w:rStyle w:val="Hyperlink"/>
            <w:lang w:val="es-ES_tradnl"/>
          </w:rPr>
          <w:t>Documento de trabajo TDAG 21/2: Realizaciones y productos del Plan de Acción de la CMDT</w:t>
        </w:r>
      </w:hyperlink>
      <w:r w:rsidRPr="00D656D5">
        <w:rPr>
          <w:lang w:val="es-ES_tradnl"/>
        </w:rPr>
        <w:t>, realización D.3-b</w:t>
      </w:r>
    </w:p>
  </w:footnote>
  <w:footnote w:id="52">
    <w:p w14:paraId="7B75C8FE" w14:textId="77777777" w:rsidR="004F6F3E" w:rsidRPr="00D656D5" w:rsidRDefault="004F6F3E" w:rsidP="00133FCF">
      <w:pPr>
        <w:pStyle w:val="FootnoteText"/>
        <w:ind w:left="255" w:hanging="255"/>
        <w:rPr>
          <w:lang w:val="es-ES_tradnl"/>
        </w:rPr>
      </w:pPr>
      <w:r w:rsidRPr="00133FCF">
        <w:rPr>
          <w:rStyle w:val="FootnoteReference"/>
          <w:lang w:val="es-ES"/>
        </w:rPr>
        <w:t>52</w:t>
      </w:r>
      <w:r w:rsidRPr="00D656D5">
        <w:rPr>
          <w:lang w:val="es-ES_tradnl"/>
        </w:rPr>
        <w:tab/>
      </w:r>
      <w:hyperlink r:id="rId48" w:history="1">
        <w:r w:rsidRPr="00D656D5">
          <w:rPr>
            <w:rStyle w:val="Hyperlink"/>
            <w:lang w:val="es-ES_tradnl"/>
          </w:rPr>
          <w:t>Documento de trabajo TDAG 21/2: Realizaciones y productos del Plan de Acción de la CMDT</w:t>
        </w:r>
      </w:hyperlink>
      <w:r w:rsidRPr="00D656D5">
        <w:rPr>
          <w:lang w:val="es-ES_tradnl"/>
        </w:rPr>
        <w:t>, realización D.2-d</w:t>
      </w:r>
    </w:p>
  </w:footnote>
  <w:footnote w:id="53">
    <w:p w14:paraId="70ACC164" w14:textId="77777777" w:rsidR="004F6F3E" w:rsidRPr="00D656D5" w:rsidRDefault="004F6F3E" w:rsidP="00133FCF">
      <w:pPr>
        <w:pStyle w:val="FootnoteText"/>
        <w:ind w:left="255" w:hanging="255"/>
        <w:rPr>
          <w:lang w:val="es-ES_tradnl"/>
        </w:rPr>
      </w:pPr>
      <w:r w:rsidRPr="00133FCF">
        <w:rPr>
          <w:rStyle w:val="FootnoteReference"/>
          <w:lang w:val="es-ES"/>
        </w:rPr>
        <w:t>53</w:t>
      </w:r>
      <w:r w:rsidRPr="00D656D5">
        <w:rPr>
          <w:lang w:val="es-ES_tradnl"/>
        </w:rPr>
        <w:tab/>
      </w:r>
      <w:hyperlink r:id="rId49" w:history="1">
        <w:r w:rsidRPr="00D656D5">
          <w:rPr>
            <w:rStyle w:val="Hyperlink"/>
            <w:lang w:val="es-ES_tradnl"/>
          </w:rPr>
          <w:t>Documento de trabajo TDAG 21/2: Realizaciones y productos del Plan de Acción de la CMDT</w:t>
        </w:r>
      </w:hyperlink>
      <w:r w:rsidRPr="00D656D5">
        <w:rPr>
          <w:lang w:val="es-ES_tradnl"/>
        </w:rPr>
        <w:t>, realización D.2-a</w:t>
      </w:r>
    </w:p>
  </w:footnote>
  <w:footnote w:id="54">
    <w:p w14:paraId="2E8402C1" w14:textId="77777777" w:rsidR="004F6F3E" w:rsidRPr="00D656D5" w:rsidRDefault="004F6F3E" w:rsidP="00133FCF">
      <w:pPr>
        <w:pStyle w:val="FootnoteText"/>
        <w:ind w:left="255" w:hanging="255"/>
        <w:rPr>
          <w:lang w:val="es-ES_tradnl"/>
        </w:rPr>
      </w:pPr>
      <w:r w:rsidRPr="00133FCF">
        <w:rPr>
          <w:rStyle w:val="FootnoteReference"/>
          <w:lang w:val="es-ES"/>
        </w:rPr>
        <w:t>54</w:t>
      </w:r>
      <w:r w:rsidRPr="00D656D5">
        <w:rPr>
          <w:lang w:val="es-ES_tradnl"/>
        </w:rPr>
        <w:tab/>
      </w:r>
      <w:hyperlink r:id="rId50" w:history="1">
        <w:r w:rsidRPr="00D656D5">
          <w:rPr>
            <w:rStyle w:val="Hyperlink"/>
            <w:lang w:val="es-ES_tradnl"/>
          </w:rPr>
          <w:t>Documento de trabajo TDAG 21/2: Realizaciones y productos del Plan de Acción de la CMDT</w:t>
        </w:r>
      </w:hyperlink>
      <w:r w:rsidRPr="00D656D5">
        <w:rPr>
          <w:lang w:val="es-ES_tradnl"/>
        </w:rPr>
        <w:t>, realización D.2-b</w:t>
      </w:r>
    </w:p>
  </w:footnote>
  <w:footnote w:id="55">
    <w:p w14:paraId="196A6F79" w14:textId="77777777" w:rsidR="004F6F3E" w:rsidRPr="00D656D5" w:rsidRDefault="004F6F3E" w:rsidP="00133FCF">
      <w:pPr>
        <w:pStyle w:val="FootnoteText"/>
        <w:ind w:left="255" w:hanging="255"/>
        <w:rPr>
          <w:lang w:val="es-ES_tradnl"/>
        </w:rPr>
      </w:pPr>
      <w:r w:rsidRPr="00133FCF">
        <w:rPr>
          <w:rStyle w:val="FootnoteReference"/>
          <w:lang w:val="es-ES"/>
        </w:rPr>
        <w:t>55</w:t>
      </w:r>
      <w:r w:rsidRPr="00D656D5">
        <w:rPr>
          <w:lang w:val="es-ES_tradnl"/>
        </w:rPr>
        <w:tab/>
      </w:r>
      <w:hyperlink r:id="rId51" w:history="1">
        <w:r w:rsidRPr="00D656D5">
          <w:rPr>
            <w:rStyle w:val="Hyperlink"/>
            <w:lang w:val="es-ES_tradnl"/>
          </w:rPr>
          <w:t>Documento de trabajo TDAG 21/2: Realizaciones y productos del Plan de Acción de la CMDT</w:t>
        </w:r>
      </w:hyperlink>
      <w:r w:rsidRPr="00D656D5">
        <w:rPr>
          <w:lang w:val="es-ES_tradnl"/>
        </w:rPr>
        <w:t>, realización D.2-c</w:t>
      </w:r>
    </w:p>
  </w:footnote>
  <w:footnote w:id="56">
    <w:p w14:paraId="234321C4" w14:textId="77777777" w:rsidR="004F6F3E" w:rsidRPr="00D656D5" w:rsidRDefault="004F6F3E" w:rsidP="00133FCF">
      <w:pPr>
        <w:pStyle w:val="FootnoteText"/>
        <w:ind w:left="255" w:hanging="255"/>
        <w:rPr>
          <w:lang w:val="es-ES_tradnl"/>
        </w:rPr>
      </w:pPr>
      <w:r w:rsidRPr="00133FCF">
        <w:rPr>
          <w:rStyle w:val="FootnoteReference"/>
          <w:lang w:val="es-ES"/>
        </w:rPr>
        <w:t>56</w:t>
      </w:r>
      <w:r w:rsidRPr="00D656D5">
        <w:rPr>
          <w:lang w:val="es-ES_tradnl"/>
        </w:rPr>
        <w:tab/>
      </w:r>
      <w:hyperlink r:id="rId52" w:history="1">
        <w:r w:rsidRPr="00D656D5">
          <w:rPr>
            <w:rStyle w:val="Hyperlink"/>
            <w:lang w:val="es-ES_tradnl"/>
          </w:rPr>
          <w:t>Documento de trabajo TDAG 21/2: Realizaciones y productos del Plan de Acción de la CMDT</w:t>
        </w:r>
      </w:hyperlink>
      <w:r w:rsidRPr="00D656D5">
        <w:rPr>
          <w:lang w:val="es-ES_tradnl"/>
        </w:rPr>
        <w:t>, realización D.2-e</w:t>
      </w:r>
    </w:p>
  </w:footnote>
  <w:footnote w:id="57">
    <w:p w14:paraId="61732781" w14:textId="77777777" w:rsidR="004F6F3E" w:rsidRPr="00D656D5" w:rsidRDefault="004F6F3E" w:rsidP="00133FCF">
      <w:pPr>
        <w:pStyle w:val="FootnoteText"/>
        <w:ind w:left="255" w:hanging="255"/>
        <w:rPr>
          <w:lang w:val="es-ES_tradnl"/>
        </w:rPr>
      </w:pPr>
      <w:r w:rsidRPr="00133FCF">
        <w:rPr>
          <w:rStyle w:val="FootnoteReference"/>
          <w:lang w:val="es-ES"/>
        </w:rPr>
        <w:t>57</w:t>
      </w:r>
      <w:r w:rsidRPr="00D656D5">
        <w:rPr>
          <w:lang w:val="es-ES_tradnl"/>
        </w:rPr>
        <w:tab/>
      </w:r>
      <w:hyperlink r:id="rId53" w:history="1">
        <w:r w:rsidRPr="00D656D5">
          <w:rPr>
            <w:rStyle w:val="Hyperlink"/>
            <w:lang w:val="es-ES_tradnl"/>
          </w:rPr>
          <w:t>Documento de trabajo TDAG 21/2: Realizaciones y productos del Plan de Acción de la CMDT</w:t>
        </w:r>
      </w:hyperlink>
      <w:r w:rsidRPr="00D656D5">
        <w:rPr>
          <w:lang w:val="es-ES_tradnl"/>
        </w:rPr>
        <w:t>, realización D.6-a</w:t>
      </w:r>
    </w:p>
  </w:footnote>
  <w:footnote w:id="58">
    <w:p w14:paraId="19BF6EC3" w14:textId="77777777" w:rsidR="004F6F3E" w:rsidRPr="00D656D5" w:rsidRDefault="004F6F3E" w:rsidP="00133FCF">
      <w:pPr>
        <w:pStyle w:val="FootnoteText"/>
        <w:ind w:left="255" w:hanging="255"/>
        <w:rPr>
          <w:lang w:val="es-ES_tradnl"/>
        </w:rPr>
      </w:pPr>
      <w:r w:rsidRPr="00133FCF">
        <w:rPr>
          <w:rStyle w:val="FootnoteReference"/>
          <w:lang w:val="es-ES"/>
        </w:rPr>
        <w:t>58</w:t>
      </w:r>
      <w:r w:rsidRPr="00D656D5">
        <w:rPr>
          <w:lang w:val="es-ES_tradnl"/>
        </w:rPr>
        <w:tab/>
      </w:r>
      <w:hyperlink r:id="rId54" w:history="1">
        <w:r w:rsidRPr="00D656D5">
          <w:rPr>
            <w:rStyle w:val="Hyperlink"/>
            <w:lang w:val="es-ES_tradnl"/>
          </w:rPr>
          <w:t>Documento de trabajo TDAG 21/2: Realizaciones y productos del Plan de Acción de la CMDT</w:t>
        </w:r>
      </w:hyperlink>
      <w:r w:rsidRPr="00D656D5">
        <w:rPr>
          <w:lang w:val="es-ES_tradnl"/>
        </w:rPr>
        <w:t>, realización D.6-b</w:t>
      </w:r>
    </w:p>
  </w:footnote>
  <w:footnote w:id="59">
    <w:p w14:paraId="6008DBB8" w14:textId="77777777" w:rsidR="004F6F3E" w:rsidRPr="00D656D5" w:rsidRDefault="004F6F3E" w:rsidP="00133FCF">
      <w:pPr>
        <w:pStyle w:val="FootnoteText"/>
        <w:ind w:left="255" w:hanging="255"/>
        <w:rPr>
          <w:lang w:val="es-ES_tradnl"/>
        </w:rPr>
      </w:pPr>
      <w:r w:rsidRPr="00133FCF">
        <w:rPr>
          <w:rStyle w:val="FootnoteReference"/>
          <w:lang w:val="es-ES"/>
        </w:rPr>
        <w:t>59</w:t>
      </w:r>
      <w:r w:rsidRPr="00D656D5">
        <w:rPr>
          <w:lang w:val="es-ES_tradnl"/>
        </w:rPr>
        <w:tab/>
      </w:r>
      <w:hyperlink r:id="rId55" w:history="1">
        <w:r w:rsidRPr="00D656D5">
          <w:rPr>
            <w:rStyle w:val="Hyperlink"/>
            <w:lang w:val="es-ES_tradnl"/>
          </w:rPr>
          <w:t>Documento de trabajo TDAG 21/2: Realizaciones y productos del Plan de Acción de la CMDT</w:t>
        </w:r>
      </w:hyperlink>
      <w:r w:rsidRPr="00D656D5">
        <w:rPr>
          <w:lang w:val="es-ES_tradnl"/>
        </w:rPr>
        <w:t>, realización D.6-c</w:t>
      </w:r>
    </w:p>
  </w:footnote>
  <w:footnote w:id="60">
    <w:p w14:paraId="4EE21A7A" w14:textId="77777777" w:rsidR="004F6F3E" w:rsidRPr="00D656D5" w:rsidRDefault="004F6F3E" w:rsidP="00133FCF">
      <w:pPr>
        <w:pStyle w:val="FootnoteText"/>
        <w:ind w:left="255" w:hanging="255"/>
        <w:rPr>
          <w:lang w:val="es-ES_tradnl"/>
        </w:rPr>
      </w:pPr>
      <w:r w:rsidRPr="00133FCF">
        <w:rPr>
          <w:rStyle w:val="FootnoteReference"/>
          <w:lang w:val="es-ES"/>
        </w:rPr>
        <w:t>60</w:t>
      </w:r>
      <w:r w:rsidRPr="00D656D5">
        <w:rPr>
          <w:lang w:val="es-ES_tradnl"/>
        </w:rPr>
        <w:tab/>
      </w:r>
      <w:hyperlink r:id="rId56" w:history="1">
        <w:r w:rsidRPr="00D656D5">
          <w:rPr>
            <w:rStyle w:val="Hyperlink"/>
            <w:lang w:val="es-ES_tradnl"/>
          </w:rPr>
          <w:t>Documento de trabajo TDAG 21/2: Realizaciones y productos del Plan de Acción de la CMDT</w:t>
        </w:r>
      </w:hyperlink>
      <w:r w:rsidRPr="00D656D5">
        <w:rPr>
          <w:lang w:val="es-ES_tradnl"/>
        </w:rPr>
        <w:t>, realización D.1-d</w:t>
      </w:r>
    </w:p>
  </w:footnote>
  <w:footnote w:id="61">
    <w:p w14:paraId="531EA518" w14:textId="77777777" w:rsidR="004F6F3E" w:rsidRPr="00D656D5" w:rsidRDefault="004F6F3E" w:rsidP="00133FCF">
      <w:pPr>
        <w:pStyle w:val="FootnoteText"/>
        <w:ind w:left="255" w:hanging="255"/>
        <w:rPr>
          <w:lang w:val="es-ES_tradnl"/>
        </w:rPr>
      </w:pPr>
      <w:r w:rsidRPr="00133FCF">
        <w:rPr>
          <w:rStyle w:val="FootnoteReference"/>
          <w:lang w:val="es-ES"/>
        </w:rPr>
        <w:t>61</w:t>
      </w:r>
      <w:r w:rsidRPr="00D656D5">
        <w:rPr>
          <w:lang w:val="es-ES_tradnl"/>
        </w:rPr>
        <w:tab/>
      </w:r>
      <w:hyperlink r:id="rId57" w:history="1">
        <w:r w:rsidRPr="00D656D5">
          <w:rPr>
            <w:rStyle w:val="Hyperlink"/>
            <w:lang w:val="es-ES_tradnl"/>
          </w:rPr>
          <w:t>Documento de trabajo TDAG 21/2: Realizaciones y productos del Plan de Acción de la CMDT</w:t>
        </w:r>
      </w:hyperlink>
      <w:r w:rsidRPr="00D656D5">
        <w:rPr>
          <w:lang w:val="es-ES_tradnl"/>
        </w:rPr>
        <w:t xml:space="preserve">, </w:t>
      </w:r>
      <w:r>
        <w:rPr>
          <w:lang w:val="es-ES_tradnl"/>
        </w:rPr>
        <w:t>realizacio</w:t>
      </w:r>
      <w:r w:rsidRPr="00D656D5">
        <w:rPr>
          <w:lang w:val="es-ES_tradnl"/>
        </w:rPr>
        <w:t>n</w:t>
      </w:r>
      <w:r>
        <w:rPr>
          <w:lang w:val="es-ES_tradnl"/>
        </w:rPr>
        <w:t>es</w:t>
      </w:r>
      <w:r w:rsidRPr="00D656D5">
        <w:rPr>
          <w:lang w:val="es-ES_tradnl"/>
        </w:rPr>
        <w:t xml:space="preserve"> D.1</w:t>
      </w:r>
      <w:r w:rsidRPr="00D656D5">
        <w:rPr>
          <w:lang w:val="es-ES_tradnl"/>
        </w:rPr>
        <w:noBreakHyphen/>
        <w:t>c/D.5</w:t>
      </w:r>
      <w:r w:rsidRPr="00D656D5">
        <w:rPr>
          <w:lang w:val="es-ES_tradnl"/>
        </w:rPr>
        <w:noBreakHyphen/>
        <w:t>c</w:t>
      </w:r>
    </w:p>
  </w:footnote>
  <w:footnote w:id="62">
    <w:p w14:paraId="59B05D56" w14:textId="446F1F55" w:rsidR="004F6F3E" w:rsidRPr="00D656D5" w:rsidRDefault="004F6F3E" w:rsidP="00133FCF">
      <w:pPr>
        <w:pStyle w:val="FootnoteText"/>
        <w:ind w:left="255" w:hanging="255"/>
        <w:rPr>
          <w:lang w:val="es-ES_tradnl"/>
        </w:rPr>
      </w:pPr>
      <w:r w:rsidRPr="00133FCF">
        <w:rPr>
          <w:rStyle w:val="FootnoteReference"/>
          <w:lang w:val="es-ES"/>
        </w:rPr>
        <w:t>62</w:t>
      </w:r>
      <w:r w:rsidRPr="00D656D5">
        <w:rPr>
          <w:lang w:val="es-ES_tradnl"/>
        </w:rPr>
        <w:tab/>
      </w:r>
      <w:hyperlink r:id="rId58" w:history="1">
        <w:r w:rsidRPr="00D656D5">
          <w:rPr>
            <w:rStyle w:val="Hyperlink"/>
            <w:lang w:val="es-ES_tradnl"/>
          </w:rPr>
          <w:t>Documento de trabajo TDAG 21/2: Realizaciones y productos del Plan de Acción de la CMDT</w:t>
        </w:r>
      </w:hyperlink>
      <w:r w:rsidRPr="00D656D5">
        <w:rPr>
          <w:lang w:val="es-ES_tradnl"/>
        </w:rPr>
        <w:t>, realización D.4-a</w:t>
      </w:r>
    </w:p>
  </w:footnote>
  <w:footnote w:id="63">
    <w:p w14:paraId="5DF9A15B" w14:textId="7611D465" w:rsidR="004F6F3E" w:rsidRPr="00D656D5" w:rsidRDefault="004F6F3E" w:rsidP="00133FCF">
      <w:pPr>
        <w:pStyle w:val="FootnoteText"/>
        <w:ind w:left="255" w:hanging="255"/>
        <w:rPr>
          <w:lang w:val="es-ES_tradnl"/>
        </w:rPr>
      </w:pPr>
      <w:r w:rsidRPr="00133FCF">
        <w:rPr>
          <w:rStyle w:val="FootnoteReference"/>
          <w:lang w:val="es-ES"/>
        </w:rPr>
        <w:t>63</w:t>
      </w:r>
      <w:r w:rsidRPr="00D656D5">
        <w:rPr>
          <w:lang w:val="es-ES_tradnl"/>
        </w:rPr>
        <w:tab/>
      </w:r>
      <w:hyperlink r:id="rId59" w:history="1">
        <w:r w:rsidRPr="00D656D5">
          <w:rPr>
            <w:rStyle w:val="Hyperlink"/>
            <w:lang w:val="es-ES_tradnl"/>
          </w:rPr>
          <w:t>Documento de trabajo TDAG 21/2: Realizaciones y productos del Plan de Acción de la CMDT</w:t>
        </w:r>
      </w:hyperlink>
      <w:r w:rsidRPr="00D656D5">
        <w:rPr>
          <w:lang w:val="es-ES_tradnl"/>
        </w:rPr>
        <w:t>, realización D.4-b</w:t>
      </w:r>
    </w:p>
  </w:footnote>
  <w:footnote w:id="64">
    <w:p w14:paraId="4CAFF63A" w14:textId="250E22B3" w:rsidR="004F6F3E" w:rsidRPr="00D656D5" w:rsidRDefault="004F6F3E" w:rsidP="00133FCF">
      <w:pPr>
        <w:pStyle w:val="FootnoteText"/>
        <w:ind w:left="255" w:hanging="255"/>
        <w:rPr>
          <w:lang w:val="es-ES_tradnl"/>
        </w:rPr>
      </w:pPr>
      <w:r w:rsidRPr="00133FCF">
        <w:rPr>
          <w:rStyle w:val="FootnoteReference"/>
          <w:lang w:val="es-ES"/>
        </w:rPr>
        <w:t>64</w:t>
      </w:r>
      <w:r w:rsidRPr="00D656D5">
        <w:rPr>
          <w:lang w:val="es-ES_tradnl"/>
        </w:rPr>
        <w:tab/>
      </w:r>
      <w:hyperlink r:id="rId60" w:history="1">
        <w:r w:rsidRPr="00D656D5">
          <w:rPr>
            <w:rStyle w:val="Hyperlink"/>
            <w:lang w:val="es-ES_tradnl"/>
          </w:rPr>
          <w:t>Documento de trabajo TDAG 21/2: Realizaciones y productos del Plan de Acción de la CMDT</w:t>
        </w:r>
      </w:hyperlink>
      <w:r w:rsidRPr="00D656D5">
        <w:rPr>
          <w:lang w:val="es-ES_tradnl"/>
        </w:rPr>
        <w:t>, realización D.4-c</w:t>
      </w:r>
    </w:p>
  </w:footnote>
  <w:footnote w:id="65">
    <w:p w14:paraId="1585E491" w14:textId="2A55F82F" w:rsidR="004F6F3E" w:rsidRPr="00D656D5" w:rsidRDefault="004F6F3E" w:rsidP="00133FCF">
      <w:pPr>
        <w:pStyle w:val="FootnoteText"/>
        <w:ind w:left="255" w:hanging="255"/>
        <w:rPr>
          <w:lang w:val="es-ES_tradnl"/>
        </w:rPr>
      </w:pPr>
      <w:r w:rsidRPr="00133FCF">
        <w:rPr>
          <w:rStyle w:val="FootnoteReference"/>
          <w:lang w:val="es-ES"/>
        </w:rPr>
        <w:t>65</w:t>
      </w:r>
      <w:r w:rsidRPr="00D656D5">
        <w:rPr>
          <w:lang w:val="es-ES_tradnl"/>
        </w:rPr>
        <w:tab/>
      </w:r>
      <w:hyperlink r:id="rId61" w:history="1">
        <w:r w:rsidRPr="00D656D5">
          <w:rPr>
            <w:rStyle w:val="Hyperlink"/>
            <w:lang w:val="es-ES_tradnl"/>
          </w:rPr>
          <w:t>Documento de trabajo TDAG 21/2: Realizaciones y productos del Plan de Acción de la CMDT</w:t>
        </w:r>
      </w:hyperlink>
      <w:r w:rsidRPr="00D656D5">
        <w:rPr>
          <w:lang w:val="es-ES_tradnl"/>
        </w:rPr>
        <w:t>, realización D.4-d</w:t>
      </w:r>
    </w:p>
  </w:footnote>
  <w:footnote w:id="66">
    <w:p w14:paraId="4C9E4BD1" w14:textId="3F1EDDAB" w:rsidR="004F6F3E" w:rsidRPr="00D656D5" w:rsidRDefault="004F6F3E" w:rsidP="00133FCF">
      <w:pPr>
        <w:pStyle w:val="FootnoteText"/>
        <w:ind w:left="255" w:hanging="255"/>
        <w:rPr>
          <w:lang w:val="es-ES_tradnl"/>
        </w:rPr>
      </w:pPr>
      <w:r w:rsidRPr="00133FCF">
        <w:rPr>
          <w:rStyle w:val="FootnoteReference"/>
          <w:lang w:val="es-ES"/>
        </w:rPr>
        <w:t>66</w:t>
      </w:r>
      <w:r w:rsidRPr="00D656D5">
        <w:rPr>
          <w:lang w:val="es-ES_tradnl"/>
        </w:rPr>
        <w:tab/>
      </w:r>
      <w:hyperlink r:id="rId62" w:history="1">
        <w:r w:rsidRPr="00D656D5">
          <w:rPr>
            <w:rStyle w:val="Hyperlink"/>
            <w:lang w:val="es-ES_tradnl"/>
          </w:rPr>
          <w:t>Documento de trabajo TDAG 21/2: Realizaciones y productos del Plan de Acción de la CMDT</w:t>
        </w:r>
      </w:hyperlink>
      <w:r w:rsidRPr="00D656D5">
        <w:rPr>
          <w:lang w:val="es-ES_tradnl"/>
        </w:rPr>
        <w:t>, realización D.4-e</w:t>
      </w:r>
    </w:p>
  </w:footnote>
  <w:footnote w:id="67">
    <w:p w14:paraId="6FCF7327" w14:textId="1E2AC49C" w:rsidR="004F6F3E" w:rsidRPr="00D656D5" w:rsidRDefault="004F6F3E" w:rsidP="00133FCF">
      <w:pPr>
        <w:pStyle w:val="FootnoteText"/>
        <w:ind w:left="255" w:hanging="255"/>
        <w:rPr>
          <w:lang w:val="es-ES_tradnl"/>
        </w:rPr>
      </w:pPr>
      <w:r w:rsidRPr="00133FCF">
        <w:rPr>
          <w:rStyle w:val="FootnoteReference"/>
          <w:lang w:val="es-ES"/>
        </w:rPr>
        <w:t>67</w:t>
      </w:r>
      <w:r w:rsidRPr="00D656D5">
        <w:rPr>
          <w:lang w:val="es-ES_tradnl"/>
        </w:rPr>
        <w:tab/>
      </w:r>
      <w:hyperlink r:id="rId63" w:history="1">
        <w:r w:rsidRPr="00D656D5">
          <w:rPr>
            <w:rStyle w:val="Hyperlink"/>
            <w:lang w:val="es-ES_tradnl"/>
          </w:rPr>
          <w:t>Documento de trabajo TDAG 21/2: Realizaciones y productos del Plan de Acción de la CMDT</w:t>
        </w:r>
      </w:hyperlink>
      <w:r w:rsidRPr="00D656D5">
        <w:rPr>
          <w:lang w:val="es-ES_tradnl"/>
        </w:rPr>
        <w:t>, realización D.3-c</w:t>
      </w:r>
    </w:p>
  </w:footnote>
  <w:footnote w:id="68">
    <w:p w14:paraId="0481A465" w14:textId="17020B10" w:rsidR="004F6F3E" w:rsidRPr="00D656D5" w:rsidRDefault="004F6F3E" w:rsidP="00133FCF">
      <w:pPr>
        <w:pStyle w:val="FootnoteText"/>
        <w:ind w:left="255" w:hanging="255"/>
        <w:rPr>
          <w:lang w:val="es-ES_tradnl"/>
        </w:rPr>
      </w:pPr>
      <w:r w:rsidRPr="00133FCF">
        <w:rPr>
          <w:rStyle w:val="FootnoteReference"/>
          <w:lang w:val="es-ES"/>
        </w:rPr>
        <w:t>68</w:t>
      </w:r>
      <w:r w:rsidRPr="00D656D5">
        <w:rPr>
          <w:lang w:val="es-ES_tradnl"/>
        </w:rPr>
        <w:tab/>
      </w:r>
      <w:hyperlink r:id="rId64" w:history="1">
        <w:r w:rsidRPr="00D656D5">
          <w:rPr>
            <w:rStyle w:val="Hyperlink"/>
            <w:lang w:val="es-ES_tradnl"/>
          </w:rPr>
          <w:t>Documento de trabajo TDAG 21/2: Realizaciones y productos del Plan de Acción de la CMDT</w:t>
        </w:r>
      </w:hyperlink>
      <w:r w:rsidRPr="00D656D5">
        <w:rPr>
          <w:lang w:val="es-ES_tradnl"/>
        </w:rPr>
        <w:t>, realización D.3-d</w:t>
      </w:r>
    </w:p>
  </w:footnote>
  <w:footnote w:id="69">
    <w:p w14:paraId="7C8C68AA" w14:textId="76758F29" w:rsidR="004F6F3E" w:rsidRPr="00D656D5" w:rsidRDefault="004F6F3E" w:rsidP="00133FCF">
      <w:pPr>
        <w:pStyle w:val="FootnoteText"/>
        <w:ind w:left="255" w:hanging="255"/>
        <w:rPr>
          <w:lang w:val="es-ES_tradnl"/>
        </w:rPr>
      </w:pPr>
      <w:r w:rsidRPr="00133FCF">
        <w:rPr>
          <w:rStyle w:val="FootnoteReference"/>
          <w:lang w:val="es-ES"/>
        </w:rPr>
        <w:t>69</w:t>
      </w:r>
      <w:r w:rsidRPr="00D656D5">
        <w:rPr>
          <w:lang w:val="es-ES_tradnl"/>
        </w:rPr>
        <w:tab/>
      </w:r>
      <w:hyperlink r:id="rId65" w:history="1">
        <w:r w:rsidRPr="00D656D5">
          <w:rPr>
            <w:rStyle w:val="Hyperlink"/>
            <w:lang w:val="es-ES_tradnl"/>
          </w:rPr>
          <w:t>Documento de trabajo TDAG 21/2: Realizaciones y productos del Plan de Acción de la CMDT</w:t>
        </w:r>
      </w:hyperlink>
      <w:r w:rsidRPr="00D656D5">
        <w:rPr>
          <w:lang w:val="es-ES_tradnl"/>
        </w:rPr>
        <w:t>, realizaci</w:t>
      </w:r>
      <w:r>
        <w:rPr>
          <w:lang w:val="es-ES_tradnl"/>
        </w:rPr>
        <w:t>o</w:t>
      </w:r>
      <w:r w:rsidRPr="00D656D5">
        <w:rPr>
          <w:lang w:val="es-ES_tradnl"/>
        </w:rPr>
        <w:t>n</w:t>
      </w:r>
      <w:r>
        <w:rPr>
          <w:lang w:val="es-ES_tradnl"/>
        </w:rPr>
        <w:t>es</w:t>
      </w:r>
      <w:r w:rsidRPr="00D656D5">
        <w:rPr>
          <w:lang w:val="es-ES_tradnl"/>
        </w:rPr>
        <w:t xml:space="preserve"> D.1</w:t>
      </w:r>
      <w:r w:rsidRPr="00D656D5">
        <w:rPr>
          <w:lang w:val="es-ES_tradnl"/>
        </w:rPr>
        <w:noBreakHyphen/>
        <w:t>e/D.5</w:t>
      </w:r>
      <w:r w:rsidRPr="00D656D5">
        <w:rPr>
          <w:lang w:val="es-ES_tradnl"/>
        </w:rPr>
        <w:noBreakHyphen/>
        <w:t>d</w:t>
      </w:r>
    </w:p>
  </w:footnote>
  <w:footnote w:id="70">
    <w:p w14:paraId="319847E1" w14:textId="390B02C2" w:rsidR="004F6F3E" w:rsidRPr="00D656D5" w:rsidRDefault="004F6F3E" w:rsidP="00133FCF">
      <w:pPr>
        <w:pStyle w:val="FootnoteText"/>
        <w:ind w:left="255" w:hanging="255"/>
        <w:rPr>
          <w:lang w:val="es-ES_tradnl"/>
        </w:rPr>
      </w:pPr>
      <w:r w:rsidRPr="00133FCF">
        <w:rPr>
          <w:rStyle w:val="FootnoteReference"/>
          <w:lang w:val="es-ES"/>
        </w:rPr>
        <w:t>70</w:t>
      </w:r>
      <w:r w:rsidRPr="00D656D5">
        <w:rPr>
          <w:lang w:val="es-ES_tradnl"/>
        </w:rPr>
        <w:tab/>
      </w:r>
      <w:hyperlink r:id="rId66" w:history="1">
        <w:r w:rsidRPr="00D656D5">
          <w:rPr>
            <w:rStyle w:val="Hyperlink"/>
            <w:lang w:val="es-ES_tradnl"/>
          </w:rPr>
          <w:t>Documento de trabajo TDAG 21/2: Realizaciones y productos del Plan de Acción de la CMDT</w:t>
        </w:r>
      </w:hyperlink>
      <w:r w:rsidRPr="00D656D5">
        <w:rPr>
          <w:lang w:val="es-ES_tradnl"/>
        </w:rPr>
        <w:t>, realizaci</w:t>
      </w:r>
      <w:r>
        <w:rPr>
          <w:lang w:val="es-ES_tradnl"/>
        </w:rPr>
        <w:t>o</w:t>
      </w:r>
      <w:r w:rsidRPr="00D656D5">
        <w:rPr>
          <w:lang w:val="es-ES_tradnl"/>
        </w:rPr>
        <w:t>n</w:t>
      </w:r>
      <w:r>
        <w:rPr>
          <w:lang w:val="es-ES_tradnl"/>
        </w:rPr>
        <w:t>es</w:t>
      </w:r>
      <w:r w:rsidRPr="00D656D5">
        <w:rPr>
          <w:lang w:val="es-ES_tradnl"/>
        </w:rPr>
        <w:t xml:space="preserve"> D.1</w:t>
      </w:r>
      <w:r w:rsidRPr="00D656D5">
        <w:rPr>
          <w:lang w:val="es-ES_tradnl"/>
        </w:rPr>
        <w:noBreakHyphen/>
        <w:t>a/D.5</w:t>
      </w:r>
      <w:r w:rsidRPr="00D656D5">
        <w:rPr>
          <w:lang w:val="es-ES_tradnl"/>
        </w:rPr>
        <w:noBreakHyphen/>
        <w:t>a</w:t>
      </w:r>
    </w:p>
  </w:footnote>
  <w:footnote w:id="71">
    <w:p w14:paraId="3A0A61F9" w14:textId="4C56CD33" w:rsidR="004F6F3E" w:rsidRPr="00D656D5" w:rsidRDefault="004F6F3E" w:rsidP="00133FCF">
      <w:pPr>
        <w:pStyle w:val="FootnoteText"/>
        <w:ind w:left="255" w:hanging="255"/>
        <w:rPr>
          <w:lang w:val="es-ES_tradnl"/>
        </w:rPr>
      </w:pPr>
      <w:r w:rsidRPr="00133FCF">
        <w:rPr>
          <w:rStyle w:val="FootnoteReference"/>
          <w:lang w:val="es-ES"/>
        </w:rPr>
        <w:t>71</w:t>
      </w:r>
      <w:r w:rsidRPr="00D656D5">
        <w:rPr>
          <w:lang w:val="es-ES_tradnl"/>
        </w:rPr>
        <w:tab/>
      </w:r>
      <w:hyperlink r:id="rId67" w:history="1">
        <w:r w:rsidRPr="00D656D5">
          <w:rPr>
            <w:rStyle w:val="Hyperlink"/>
            <w:lang w:val="es-ES_tradnl"/>
          </w:rPr>
          <w:t>Documento de trabajo TDAG 21/2: Realizaciones y productos del Plan de Acción de la CMDT</w:t>
        </w:r>
      </w:hyperlink>
      <w:r w:rsidRPr="00D656D5">
        <w:rPr>
          <w:lang w:val="es-ES_tradnl"/>
        </w:rPr>
        <w:t>, realización D.1-b</w:t>
      </w:r>
    </w:p>
  </w:footnote>
  <w:footnote w:id="72">
    <w:p w14:paraId="3B5D6220" w14:textId="2EE1F760" w:rsidR="004F6F3E" w:rsidRPr="00D656D5" w:rsidRDefault="004F6F3E" w:rsidP="00133FCF">
      <w:pPr>
        <w:pStyle w:val="FootnoteText"/>
        <w:ind w:left="255" w:hanging="255"/>
        <w:rPr>
          <w:lang w:val="es-ES_tradnl"/>
        </w:rPr>
      </w:pPr>
      <w:r w:rsidRPr="00133FCF">
        <w:rPr>
          <w:rStyle w:val="FootnoteReference"/>
          <w:lang w:val="es-ES"/>
        </w:rPr>
        <w:t>72</w:t>
      </w:r>
      <w:r w:rsidRPr="00D656D5">
        <w:rPr>
          <w:lang w:val="es-ES_tradnl"/>
        </w:rPr>
        <w:tab/>
      </w:r>
      <w:hyperlink r:id="rId68" w:history="1">
        <w:r w:rsidRPr="00D656D5">
          <w:rPr>
            <w:rStyle w:val="Hyperlink"/>
            <w:lang w:val="es-ES_tradnl"/>
          </w:rPr>
          <w:t>Documento de trabajo TDAG 21/2: Realizaciones y productos del Plan de Acción de la CMDT</w:t>
        </w:r>
      </w:hyperlink>
      <w:r w:rsidRPr="00D656D5">
        <w:rPr>
          <w:lang w:val="es-ES_tradnl"/>
        </w:rPr>
        <w:t>, realización D.5-b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8C703" w14:textId="57E706FB" w:rsidR="004F6F3E" w:rsidRPr="00D83BF5" w:rsidRDefault="004F6F3E" w:rsidP="00BA70B7">
    <w:pPr>
      <w:tabs>
        <w:tab w:val="clear" w:pos="1134"/>
        <w:tab w:val="clear" w:pos="1871"/>
        <w:tab w:val="clear" w:pos="2268"/>
        <w:tab w:val="center" w:pos="5103"/>
        <w:tab w:val="right" w:pos="10206"/>
      </w:tabs>
      <w:ind w:right="1"/>
      <w:rPr>
        <w:smallCaps/>
        <w:spacing w:val="24"/>
        <w:sz w:val="22"/>
        <w:szCs w:val="22"/>
        <w:lang w:val="es-ES_tradnl"/>
      </w:rPr>
    </w:pPr>
    <w:r w:rsidRPr="004D495C">
      <w:rPr>
        <w:sz w:val="22"/>
        <w:szCs w:val="22"/>
      </w:rPr>
      <w:tab/>
    </w:r>
    <w:r>
      <w:rPr>
        <w:sz w:val="22"/>
        <w:szCs w:val="22"/>
        <w:lang w:val="es-ES_tradnl"/>
      </w:rPr>
      <w:t>WTDC-22</w:t>
    </w:r>
    <w:r w:rsidRPr="00FF089C">
      <w:rPr>
        <w:sz w:val="22"/>
        <w:szCs w:val="22"/>
        <w:lang w:val="es-ES_tradnl"/>
      </w:rPr>
      <w:t>/</w:t>
    </w:r>
    <w:bookmarkStart w:id="99" w:name="DocNo2"/>
    <w:bookmarkEnd w:id="99"/>
    <w:r>
      <w:rPr>
        <w:sz w:val="22"/>
        <w:szCs w:val="22"/>
        <w:lang w:val="es-ES_tradnl"/>
      </w:rPr>
      <w:t>8</w:t>
    </w:r>
    <w:r w:rsidRPr="00FF089C">
      <w:rPr>
        <w:sz w:val="22"/>
        <w:szCs w:val="22"/>
        <w:lang w:val="es-ES_tradnl"/>
      </w:rPr>
      <w:t>-</w:t>
    </w:r>
    <w:r>
      <w:rPr>
        <w:sz w:val="22"/>
        <w:szCs w:val="22"/>
        <w:lang w:val="es-ES_tradnl"/>
      </w:rPr>
      <w:t>S</w:t>
    </w:r>
    <w:r w:rsidRPr="00FF089C">
      <w:rPr>
        <w:sz w:val="22"/>
        <w:szCs w:val="22"/>
        <w:lang w:val="es-ES_tradnl"/>
      </w:rPr>
      <w:tab/>
      <w:t>P</w:t>
    </w:r>
    <w:r>
      <w:rPr>
        <w:sz w:val="22"/>
        <w:szCs w:val="22"/>
        <w:lang w:val="es-ES_tradnl"/>
      </w:rPr>
      <w:t>ágina</w:t>
    </w:r>
    <w:r w:rsidRPr="00FF089C">
      <w:rPr>
        <w:sz w:val="22"/>
        <w:szCs w:val="22"/>
        <w:lang w:val="es-ES_tradnl"/>
      </w:rPr>
      <w:t xml:space="preserv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Pr>
        <w:noProof/>
        <w:sz w:val="22"/>
        <w:szCs w:val="22"/>
        <w:lang w:val="es-ES_tradnl"/>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274F1D"/>
    <w:multiLevelType w:val="hybridMultilevel"/>
    <w:tmpl w:val="909297E0"/>
    <w:lvl w:ilvl="0" w:tplc="F48AF252">
      <w:start w:val="1"/>
      <w:numFmt w:val="bullet"/>
      <w:lvlText w:val="•"/>
      <w:lvlJc w:val="left"/>
      <w:pPr>
        <w:tabs>
          <w:tab w:val="num" w:pos="720"/>
        </w:tabs>
        <w:ind w:left="720" w:hanging="360"/>
      </w:pPr>
      <w:rPr>
        <w:rFonts w:ascii="Arial" w:hAnsi="Arial" w:hint="default"/>
      </w:rPr>
    </w:lvl>
    <w:lvl w:ilvl="1" w:tplc="F976B76E" w:tentative="1">
      <w:start w:val="1"/>
      <w:numFmt w:val="bullet"/>
      <w:lvlText w:val="•"/>
      <w:lvlJc w:val="left"/>
      <w:pPr>
        <w:tabs>
          <w:tab w:val="num" w:pos="1440"/>
        </w:tabs>
        <w:ind w:left="1440" w:hanging="360"/>
      </w:pPr>
      <w:rPr>
        <w:rFonts w:ascii="Arial" w:hAnsi="Arial" w:hint="default"/>
      </w:rPr>
    </w:lvl>
    <w:lvl w:ilvl="2" w:tplc="71B461DA" w:tentative="1">
      <w:start w:val="1"/>
      <w:numFmt w:val="bullet"/>
      <w:lvlText w:val="•"/>
      <w:lvlJc w:val="left"/>
      <w:pPr>
        <w:tabs>
          <w:tab w:val="num" w:pos="2160"/>
        </w:tabs>
        <w:ind w:left="2160" w:hanging="360"/>
      </w:pPr>
      <w:rPr>
        <w:rFonts w:ascii="Arial" w:hAnsi="Arial" w:hint="default"/>
      </w:rPr>
    </w:lvl>
    <w:lvl w:ilvl="3" w:tplc="78A23B02" w:tentative="1">
      <w:start w:val="1"/>
      <w:numFmt w:val="bullet"/>
      <w:lvlText w:val="•"/>
      <w:lvlJc w:val="left"/>
      <w:pPr>
        <w:tabs>
          <w:tab w:val="num" w:pos="2880"/>
        </w:tabs>
        <w:ind w:left="2880" w:hanging="360"/>
      </w:pPr>
      <w:rPr>
        <w:rFonts w:ascii="Arial" w:hAnsi="Arial" w:hint="default"/>
      </w:rPr>
    </w:lvl>
    <w:lvl w:ilvl="4" w:tplc="30F69638" w:tentative="1">
      <w:start w:val="1"/>
      <w:numFmt w:val="bullet"/>
      <w:lvlText w:val="•"/>
      <w:lvlJc w:val="left"/>
      <w:pPr>
        <w:tabs>
          <w:tab w:val="num" w:pos="3600"/>
        </w:tabs>
        <w:ind w:left="3600" w:hanging="360"/>
      </w:pPr>
      <w:rPr>
        <w:rFonts w:ascii="Arial" w:hAnsi="Arial" w:hint="default"/>
      </w:rPr>
    </w:lvl>
    <w:lvl w:ilvl="5" w:tplc="5F3E3DA8" w:tentative="1">
      <w:start w:val="1"/>
      <w:numFmt w:val="bullet"/>
      <w:lvlText w:val="•"/>
      <w:lvlJc w:val="left"/>
      <w:pPr>
        <w:tabs>
          <w:tab w:val="num" w:pos="4320"/>
        </w:tabs>
        <w:ind w:left="4320" w:hanging="360"/>
      </w:pPr>
      <w:rPr>
        <w:rFonts w:ascii="Arial" w:hAnsi="Arial" w:hint="default"/>
      </w:rPr>
    </w:lvl>
    <w:lvl w:ilvl="6" w:tplc="B93A5806" w:tentative="1">
      <w:start w:val="1"/>
      <w:numFmt w:val="bullet"/>
      <w:lvlText w:val="•"/>
      <w:lvlJc w:val="left"/>
      <w:pPr>
        <w:tabs>
          <w:tab w:val="num" w:pos="5040"/>
        </w:tabs>
        <w:ind w:left="5040" w:hanging="360"/>
      </w:pPr>
      <w:rPr>
        <w:rFonts w:ascii="Arial" w:hAnsi="Arial" w:hint="default"/>
      </w:rPr>
    </w:lvl>
    <w:lvl w:ilvl="7" w:tplc="534C0B22" w:tentative="1">
      <w:start w:val="1"/>
      <w:numFmt w:val="bullet"/>
      <w:lvlText w:val="•"/>
      <w:lvlJc w:val="left"/>
      <w:pPr>
        <w:tabs>
          <w:tab w:val="num" w:pos="5760"/>
        </w:tabs>
        <w:ind w:left="5760" w:hanging="360"/>
      </w:pPr>
      <w:rPr>
        <w:rFonts w:ascii="Arial" w:hAnsi="Arial" w:hint="default"/>
      </w:rPr>
    </w:lvl>
    <w:lvl w:ilvl="8" w:tplc="8BA0E9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A60300"/>
    <w:multiLevelType w:val="hybridMultilevel"/>
    <w:tmpl w:val="24CAD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345F9"/>
    <w:multiLevelType w:val="hybridMultilevel"/>
    <w:tmpl w:val="59C8BD70"/>
    <w:lvl w:ilvl="0" w:tplc="EBDAAE40">
      <w:start w:val="1"/>
      <w:numFmt w:val="bullet"/>
      <w:lvlText w:val="•"/>
      <w:lvlJc w:val="left"/>
      <w:pPr>
        <w:tabs>
          <w:tab w:val="num" w:pos="720"/>
        </w:tabs>
        <w:ind w:left="720" w:hanging="360"/>
      </w:pPr>
      <w:rPr>
        <w:rFonts w:ascii="Arial" w:hAnsi="Arial" w:hint="default"/>
      </w:rPr>
    </w:lvl>
    <w:lvl w:ilvl="1" w:tplc="3E48C026" w:tentative="1">
      <w:start w:val="1"/>
      <w:numFmt w:val="bullet"/>
      <w:lvlText w:val="•"/>
      <w:lvlJc w:val="left"/>
      <w:pPr>
        <w:tabs>
          <w:tab w:val="num" w:pos="1440"/>
        </w:tabs>
        <w:ind w:left="1440" w:hanging="360"/>
      </w:pPr>
      <w:rPr>
        <w:rFonts w:ascii="Arial" w:hAnsi="Arial" w:hint="default"/>
      </w:rPr>
    </w:lvl>
    <w:lvl w:ilvl="2" w:tplc="FE6C2B2A" w:tentative="1">
      <w:start w:val="1"/>
      <w:numFmt w:val="bullet"/>
      <w:lvlText w:val="•"/>
      <w:lvlJc w:val="left"/>
      <w:pPr>
        <w:tabs>
          <w:tab w:val="num" w:pos="2160"/>
        </w:tabs>
        <w:ind w:left="2160" w:hanging="360"/>
      </w:pPr>
      <w:rPr>
        <w:rFonts w:ascii="Arial" w:hAnsi="Arial" w:hint="default"/>
      </w:rPr>
    </w:lvl>
    <w:lvl w:ilvl="3" w:tplc="5EE4C7D0" w:tentative="1">
      <w:start w:val="1"/>
      <w:numFmt w:val="bullet"/>
      <w:lvlText w:val="•"/>
      <w:lvlJc w:val="left"/>
      <w:pPr>
        <w:tabs>
          <w:tab w:val="num" w:pos="2880"/>
        </w:tabs>
        <w:ind w:left="2880" w:hanging="360"/>
      </w:pPr>
      <w:rPr>
        <w:rFonts w:ascii="Arial" w:hAnsi="Arial" w:hint="default"/>
      </w:rPr>
    </w:lvl>
    <w:lvl w:ilvl="4" w:tplc="E904C06E" w:tentative="1">
      <w:start w:val="1"/>
      <w:numFmt w:val="bullet"/>
      <w:lvlText w:val="•"/>
      <w:lvlJc w:val="left"/>
      <w:pPr>
        <w:tabs>
          <w:tab w:val="num" w:pos="3600"/>
        </w:tabs>
        <w:ind w:left="3600" w:hanging="360"/>
      </w:pPr>
      <w:rPr>
        <w:rFonts w:ascii="Arial" w:hAnsi="Arial" w:hint="default"/>
      </w:rPr>
    </w:lvl>
    <w:lvl w:ilvl="5" w:tplc="B2AAB376" w:tentative="1">
      <w:start w:val="1"/>
      <w:numFmt w:val="bullet"/>
      <w:lvlText w:val="•"/>
      <w:lvlJc w:val="left"/>
      <w:pPr>
        <w:tabs>
          <w:tab w:val="num" w:pos="4320"/>
        </w:tabs>
        <w:ind w:left="4320" w:hanging="360"/>
      </w:pPr>
      <w:rPr>
        <w:rFonts w:ascii="Arial" w:hAnsi="Arial" w:hint="default"/>
      </w:rPr>
    </w:lvl>
    <w:lvl w:ilvl="6" w:tplc="52EA3610" w:tentative="1">
      <w:start w:val="1"/>
      <w:numFmt w:val="bullet"/>
      <w:lvlText w:val="•"/>
      <w:lvlJc w:val="left"/>
      <w:pPr>
        <w:tabs>
          <w:tab w:val="num" w:pos="5040"/>
        </w:tabs>
        <w:ind w:left="5040" w:hanging="360"/>
      </w:pPr>
      <w:rPr>
        <w:rFonts w:ascii="Arial" w:hAnsi="Arial" w:hint="default"/>
      </w:rPr>
    </w:lvl>
    <w:lvl w:ilvl="7" w:tplc="8DA0C134" w:tentative="1">
      <w:start w:val="1"/>
      <w:numFmt w:val="bullet"/>
      <w:lvlText w:val="•"/>
      <w:lvlJc w:val="left"/>
      <w:pPr>
        <w:tabs>
          <w:tab w:val="num" w:pos="5760"/>
        </w:tabs>
        <w:ind w:left="5760" w:hanging="360"/>
      </w:pPr>
      <w:rPr>
        <w:rFonts w:ascii="Arial" w:hAnsi="Arial" w:hint="default"/>
      </w:rPr>
    </w:lvl>
    <w:lvl w:ilvl="8" w:tplc="71E874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0C8B5B7E"/>
    <w:multiLevelType w:val="hybridMultilevel"/>
    <w:tmpl w:val="98F22096"/>
    <w:lvl w:ilvl="0" w:tplc="8C46F014">
      <w:start w:val="1"/>
      <w:numFmt w:val="bullet"/>
      <w:lvlText w:val="•"/>
      <w:lvlJc w:val="left"/>
      <w:pPr>
        <w:tabs>
          <w:tab w:val="num" w:pos="720"/>
        </w:tabs>
        <w:ind w:left="720" w:hanging="360"/>
      </w:pPr>
      <w:rPr>
        <w:rFonts w:ascii="Arial" w:hAnsi="Arial" w:hint="default"/>
      </w:rPr>
    </w:lvl>
    <w:lvl w:ilvl="1" w:tplc="C07AAEAA" w:tentative="1">
      <w:start w:val="1"/>
      <w:numFmt w:val="bullet"/>
      <w:lvlText w:val="•"/>
      <w:lvlJc w:val="left"/>
      <w:pPr>
        <w:tabs>
          <w:tab w:val="num" w:pos="1440"/>
        </w:tabs>
        <w:ind w:left="1440" w:hanging="360"/>
      </w:pPr>
      <w:rPr>
        <w:rFonts w:ascii="Arial" w:hAnsi="Arial" w:hint="default"/>
      </w:rPr>
    </w:lvl>
    <w:lvl w:ilvl="2" w:tplc="2B547912" w:tentative="1">
      <w:start w:val="1"/>
      <w:numFmt w:val="bullet"/>
      <w:lvlText w:val="•"/>
      <w:lvlJc w:val="left"/>
      <w:pPr>
        <w:tabs>
          <w:tab w:val="num" w:pos="2160"/>
        </w:tabs>
        <w:ind w:left="2160" w:hanging="360"/>
      </w:pPr>
      <w:rPr>
        <w:rFonts w:ascii="Arial" w:hAnsi="Arial" w:hint="default"/>
      </w:rPr>
    </w:lvl>
    <w:lvl w:ilvl="3" w:tplc="218654F6" w:tentative="1">
      <w:start w:val="1"/>
      <w:numFmt w:val="bullet"/>
      <w:lvlText w:val="•"/>
      <w:lvlJc w:val="left"/>
      <w:pPr>
        <w:tabs>
          <w:tab w:val="num" w:pos="2880"/>
        </w:tabs>
        <w:ind w:left="2880" w:hanging="360"/>
      </w:pPr>
      <w:rPr>
        <w:rFonts w:ascii="Arial" w:hAnsi="Arial" w:hint="default"/>
      </w:rPr>
    </w:lvl>
    <w:lvl w:ilvl="4" w:tplc="E5904FF2" w:tentative="1">
      <w:start w:val="1"/>
      <w:numFmt w:val="bullet"/>
      <w:lvlText w:val="•"/>
      <w:lvlJc w:val="left"/>
      <w:pPr>
        <w:tabs>
          <w:tab w:val="num" w:pos="3600"/>
        </w:tabs>
        <w:ind w:left="3600" w:hanging="360"/>
      </w:pPr>
      <w:rPr>
        <w:rFonts w:ascii="Arial" w:hAnsi="Arial" w:hint="default"/>
      </w:rPr>
    </w:lvl>
    <w:lvl w:ilvl="5" w:tplc="8FC031CE" w:tentative="1">
      <w:start w:val="1"/>
      <w:numFmt w:val="bullet"/>
      <w:lvlText w:val="•"/>
      <w:lvlJc w:val="left"/>
      <w:pPr>
        <w:tabs>
          <w:tab w:val="num" w:pos="4320"/>
        </w:tabs>
        <w:ind w:left="4320" w:hanging="360"/>
      </w:pPr>
      <w:rPr>
        <w:rFonts w:ascii="Arial" w:hAnsi="Arial" w:hint="default"/>
      </w:rPr>
    </w:lvl>
    <w:lvl w:ilvl="6" w:tplc="F36AC478" w:tentative="1">
      <w:start w:val="1"/>
      <w:numFmt w:val="bullet"/>
      <w:lvlText w:val="•"/>
      <w:lvlJc w:val="left"/>
      <w:pPr>
        <w:tabs>
          <w:tab w:val="num" w:pos="5040"/>
        </w:tabs>
        <w:ind w:left="5040" w:hanging="360"/>
      </w:pPr>
      <w:rPr>
        <w:rFonts w:ascii="Arial" w:hAnsi="Arial" w:hint="default"/>
      </w:rPr>
    </w:lvl>
    <w:lvl w:ilvl="7" w:tplc="C8D65BE8" w:tentative="1">
      <w:start w:val="1"/>
      <w:numFmt w:val="bullet"/>
      <w:lvlText w:val="•"/>
      <w:lvlJc w:val="left"/>
      <w:pPr>
        <w:tabs>
          <w:tab w:val="num" w:pos="5760"/>
        </w:tabs>
        <w:ind w:left="5760" w:hanging="360"/>
      </w:pPr>
      <w:rPr>
        <w:rFonts w:ascii="Arial" w:hAnsi="Arial" w:hint="default"/>
      </w:rPr>
    </w:lvl>
    <w:lvl w:ilvl="8" w:tplc="46DCB9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7454DC"/>
    <w:multiLevelType w:val="hybridMultilevel"/>
    <w:tmpl w:val="26781F1C"/>
    <w:lvl w:ilvl="0" w:tplc="859A0262">
      <w:start w:val="1"/>
      <w:numFmt w:val="bullet"/>
      <w:lvlText w:val=""/>
      <w:lvlJc w:val="left"/>
      <w:pPr>
        <w:ind w:left="216" w:hanging="144"/>
      </w:pPr>
      <w:rPr>
        <w:rFonts w:ascii="Symbol" w:hAnsi="Symbol" w:hint="default"/>
        <w:color w:val="FFFFFF" w:themeColor="background1"/>
        <w:sz w:val="18"/>
        <w:szCs w:val="18"/>
      </w:rPr>
    </w:lvl>
    <w:lvl w:ilvl="1" w:tplc="E1DAE640" w:tentative="1">
      <w:start w:val="1"/>
      <w:numFmt w:val="bullet"/>
      <w:lvlText w:val="o"/>
      <w:lvlJc w:val="left"/>
      <w:pPr>
        <w:ind w:left="1440" w:hanging="360"/>
      </w:pPr>
      <w:rPr>
        <w:rFonts w:ascii="Courier New" w:hAnsi="Courier New" w:cs="Courier New" w:hint="default"/>
      </w:rPr>
    </w:lvl>
    <w:lvl w:ilvl="2" w:tplc="C4349F0E" w:tentative="1">
      <w:start w:val="1"/>
      <w:numFmt w:val="bullet"/>
      <w:lvlText w:val=""/>
      <w:lvlJc w:val="left"/>
      <w:pPr>
        <w:ind w:left="2160" w:hanging="360"/>
      </w:pPr>
      <w:rPr>
        <w:rFonts w:ascii="Wingdings" w:hAnsi="Wingdings" w:hint="default"/>
      </w:rPr>
    </w:lvl>
    <w:lvl w:ilvl="3" w:tplc="7D20D1E2" w:tentative="1">
      <w:start w:val="1"/>
      <w:numFmt w:val="bullet"/>
      <w:lvlText w:val=""/>
      <w:lvlJc w:val="left"/>
      <w:pPr>
        <w:ind w:left="2880" w:hanging="360"/>
      </w:pPr>
      <w:rPr>
        <w:rFonts w:ascii="Symbol" w:hAnsi="Symbol" w:hint="default"/>
      </w:rPr>
    </w:lvl>
    <w:lvl w:ilvl="4" w:tplc="86F25322" w:tentative="1">
      <w:start w:val="1"/>
      <w:numFmt w:val="bullet"/>
      <w:lvlText w:val="o"/>
      <w:lvlJc w:val="left"/>
      <w:pPr>
        <w:ind w:left="3600" w:hanging="360"/>
      </w:pPr>
      <w:rPr>
        <w:rFonts w:ascii="Courier New" w:hAnsi="Courier New" w:cs="Courier New" w:hint="default"/>
      </w:rPr>
    </w:lvl>
    <w:lvl w:ilvl="5" w:tplc="BEA4186E" w:tentative="1">
      <w:start w:val="1"/>
      <w:numFmt w:val="bullet"/>
      <w:lvlText w:val=""/>
      <w:lvlJc w:val="left"/>
      <w:pPr>
        <w:ind w:left="4320" w:hanging="360"/>
      </w:pPr>
      <w:rPr>
        <w:rFonts w:ascii="Wingdings" w:hAnsi="Wingdings" w:hint="default"/>
      </w:rPr>
    </w:lvl>
    <w:lvl w:ilvl="6" w:tplc="7B7CDA3A" w:tentative="1">
      <w:start w:val="1"/>
      <w:numFmt w:val="bullet"/>
      <w:lvlText w:val=""/>
      <w:lvlJc w:val="left"/>
      <w:pPr>
        <w:ind w:left="5040" w:hanging="360"/>
      </w:pPr>
      <w:rPr>
        <w:rFonts w:ascii="Symbol" w:hAnsi="Symbol" w:hint="default"/>
      </w:rPr>
    </w:lvl>
    <w:lvl w:ilvl="7" w:tplc="94724CD6" w:tentative="1">
      <w:start w:val="1"/>
      <w:numFmt w:val="bullet"/>
      <w:lvlText w:val="o"/>
      <w:lvlJc w:val="left"/>
      <w:pPr>
        <w:ind w:left="5760" w:hanging="360"/>
      </w:pPr>
      <w:rPr>
        <w:rFonts w:ascii="Courier New" w:hAnsi="Courier New" w:cs="Courier New" w:hint="default"/>
      </w:rPr>
    </w:lvl>
    <w:lvl w:ilvl="8" w:tplc="140C5522" w:tentative="1">
      <w:start w:val="1"/>
      <w:numFmt w:val="bullet"/>
      <w:lvlText w:val=""/>
      <w:lvlJc w:val="left"/>
      <w:pPr>
        <w:ind w:left="6480" w:hanging="360"/>
      </w:pPr>
      <w:rPr>
        <w:rFonts w:ascii="Wingdings" w:hAnsi="Wingdings" w:hint="default"/>
      </w:rPr>
    </w:lvl>
  </w:abstractNum>
  <w:abstractNum w:abstractNumId="8" w15:restartNumberingAfterBreak="0">
    <w:nsid w:val="0DF77CCB"/>
    <w:multiLevelType w:val="hybridMultilevel"/>
    <w:tmpl w:val="79CAA0AA"/>
    <w:lvl w:ilvl="0" w:tplc="114267F4">
      <w:start w:val="1"/>
      <w:numFmt w:val="bullet"/>
      <w:lvlText w:val="•"/>
      <w:lvlJc w:val="left"/>
      <w:pPr>
        <w:tabs>
          <w:tab w:val="num" w:pos="720"/>
        </w:tabs>
        <w:ind w:left="720" w:hanging="360"/>
      </w:pPr>
      <w:rPr>
        <w:rFonts w:ascii="Arial" w:hAnsi="Arial" w:hint="default"/>
      </w:rPr>
    </w:lvl>
    <w:lvl w:ilvl="1" w:tplc="66CABDBE" w:tentative="1">
      <w:start w:val="1"/>
      <w:numFmt w:val="bullet"/>
      <w:lvlText w:val="•"/>
      <w:lvlJc w:val="left"/>
      <w:pPr>
        <w:tabs>
          <w:tab w:val="num" w:pos="1440"/>
        </w:tabs>
        <w:ind w:left="1440" w:hanging="360"/>
      </w:pPr>
      <w:rPr>
        <w:rFonts w:ascii="Arial" w:hAnsi="Arial" w:hint="default"/>
      </w:rPr>
    </w:lvl>
    <w:lvl w:ilvl="2" w:tplc="95CE85EC" w:tentative="1">
      <w:start w:val="1"/>
      <w:numFmt w:val="bullet"/>
      <w:lvlText w:val="•"/>
      <w:lvlJc w:val="left"/>
      <w:pPr>
        <w:tabs>
          <w:tab w:val="num" w:pos="2160"/>
        </w:tabs>
        <w:ind w:left="2160" w:hanging="360"/>
      </w:pPr>
      <w:rPr>
        <w:rFonts w:ascii="Arial" w:hAnsi="Arial" w:hint="default"/>
      </w:rPr>
    </w:lvl>
    <w:lvl w:ilvl="3" w:tplc="1AF6A48C" w:tentative="1">
      <w:start w:val="1"/>
      <w:numFmt w:val="bullet"/>
      <w:lvlText w:val="•"/>
      <w:lvlJc w:val="left"/>
      <w:pPr>
        <w:tabs>
          <w:tab w:val="num" w:pos="2880"/>
        </w:tabs>
        <w:ind w:left="2880" w:hanging="360"/>
      </w:pPr>
      <w:rPr>
        <w:rFonts w:ascii="Arial" w:hAnsi="Arial" w:hint="default"/>
      </w:rPr>
    </w:lvl>
    <w:lvl w:ilvl="4" w:tplc="3F2E18FA" w:tentative="1">
      <w:start w:val="1"/>
      <w:numFmt w:val="bullet"/>
      <w:lvlText w:val="•"/>
      <w:lvlJc w:val="left"/>
      <w:pPr>
        <w:tabs>
          <w:tab w:val="num" w:pos="3600"/>
        </w:tabs>
        <w:ind w:left="3600" w:hanging="360"/>
      </w:pPr>
      <w:rPr>
        <w:rFonts w:ascii="Arial" w:hAnsi="Arial" w:hint="default"/>
      </w:rPr>
    </w:lvl>
    <w:lvl w:ilvl="5" w:tplc="973ECA7C" w:tentative="1">
      <w:start w:val="1"/>
      <w:numFmt w:val="bullet"/>
      <w:lvlText w:val="•"/>
      <w:lvlJc w:val="left"/>
      <w:pPr>
        <w:tabs>
          <w:tab w:val="num" w:pos="4320"/>
        </w:tabs>
        <w:ind w:left="4320" w:hanging="360"/>
      </w:pPr>
      <w:rPr>
        <w:rFonts w:ascii="Arial" w:hAnsi="Arial" w:hint="default"/>
      </w:rPr>
    </w:lvl>
    <w:lvl w:ilvl="6" w:tplc="6EFA0376" w:tentative="1">
      <w:start w:val="1"/>
      <w:numFmt w:val="bullet"/>
      <w:lvlText w:val="•"/>
      <w:lvlJc w:val="left"/>
      <w:pPr>
        <w:tabs>
          <w:tab w:val="num" w:pos="5040"/>
        </w:tabs>
        <w:ind w:left="5040" w:hanging="360"/>
      </w:pPr>
      <w:rPr>
        <w:rFonts w:ascii="Arial" w:hAnsi="Arial" w:hint="default"/>
      </w:rPr>
    </w:lvl>
    <w:lvl w:ilvl="7" w:tplc="3B9C43B0" w:tentative="1">
      <w:start w:val="1"/>
      <w:numFmt w:val="bullet"/>
      <w:lvlText w:val="•"/>
      <w:lvlJc w:val="left"/>
      <w:pPr>
        <w:tabs>
          <w:tab w:val="num" w:pos="5760"/>
        </w:tabs>
        <w:ind w:left="5760" w:hanging="360"/>
      </w:pPr>
      <w:rPr>
        <w:rFonts w:ascii="Arial" w:hAnsi="Arial" w:hint="default"/>
      </w:rPr>
    </w:lvl>
    <w:lvl w:ilvl="8" w:tplc="1DEC4A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003EE5"/>
    <w:multiLevelType w:val="hybridMultilevel"/>
    <w:tmpl w:val="46BACE7E"/>
    <w:lvl w:ilvl="0" w:tplc="6D7E07F0">
      <w:start w:val="1"/>
      <w:numFmt w:val="bullet"/>
      <w:lvlText w:val="•"/>
      <w:lvlJc w:val="left"/>
      <w:pPr>
        <w:tabs>
          <w:tab w:val="num" w:pos="720"/>
        </w:tabs>
        <w:ind w:left="720" w:hanging="360"/>
      </w:pPr>
      <w:rPr>
        <w:rFonts w:ascii="Arial" w:hAnsi="Arial" w:hint="default"/>
      </w:rPr>
    </w:lvl>
    <w:lvl w:ilvl="1" w:tplc="D6A642BA" w:tentative="1">
      <w:start w:val="1"/>
      <w:numFmt w:val="bullet"/>
      <w:lvlText w:val="•"/>
      <w:lvlJc w:val="left"/>
      <w:pPr>
        <w:tabs>
          <w:tab w:val="num" w:pos="1440"/>
        </w:tabs>
        <w:ind w:left="1440" w:hanging="360"/>
      </w:pPr>
      <w:rPr>
        <w:rFonts w:ascii="Arial" w:hAnsi="Arial" w:hint="default"/>
      </w:rPr>
    </w:lvl>
    <w:lvl w:ilvl="2" w:tplc="38F8EA62" w:tentative="1">
      <w:start w:val="1"/>
      <w:numFmt w:val="bullet"/>
      <w:lvlText w:val="•"/>
      <w:lvlJc w:val="left"/>
      <w:pPr>
        <w:tabs>
          <w:tab w:val="num" w:pos="2160"/>
        </w:tabs>
        <w:ind w:left="2160" w:hanging="360"/>
      </w:pPr>
      <w:rPr>
        <w:rFonts w:ascii="Arial" w:hAnsi="Arial" w:hint="default"/>
      </w:rPr>
    </w:lvl>
    <w:lvl w:ilvl="3" w:tplc="3DD21170" w:tentative="1">
      <w:start w:val="1"/>
      <w:numFmt w:val="bullet"/>
      <w:lvlText w:val="•"/>
      <w:lvlJc w:val="left"/>
      <w:pPr>
        <w:tabs>
          <w:tab w:val="num" w:pos="2880"/>
        </w:tabs>
        <w:ind w:left="2880" w:hanging="360"/>
      </w:pPr>
      <w:rPr>
        <w:rFonts w:ascii="Arial" w:hAnsi="Arial" w:hint="default"/>
      </w:rPr>
    </w:lvl>
    <w:lvl w:ilvl="4" w:tplc="5E7E7D52" w:tentative="1">
      <w:start w:val="1"/>
      <w:numFmt w:val="bullet"/>
      <w:lvlText w:val="•"/>
      <w:lvlJc w:val="left"/>
      <w:pPr>
        <w:tabs>
          <w:tab w:val="num" w:pos="3600"/>
        </w:tabs>
        <w:ind w:left="3600" w:hanging="360"/>
      </w:pPr>
      <w:rPr>
        <w:rFonts w:ascii="Arial" w:hAnsi="Arial" w:hint="default"/>
      </w:rPr>
    </w:lvl>
    <w:lvl w:ilvl="5" w:tplc="16FE9274" w:tentative="1">
      <w:start w:val="1"/>
      <w:numFmt w:val="bullet"/>
      <w:lvlText w:val="•"/>
      <w:lvlJc w:val="left"/>
      <w:pPr>
        <w:tabs>
          <w:tab w:val="num" w:pos="4320"/>
        </w:tabs>
        <w:ind w:left="4320" w:hanging="360"/>
      </w:pPr>
      <w:rPr>
        <w:rFonts w:ascii="Arial" w:hAnsi="Arial" w:hint="default"/>
      </w:rPr>
    </w:lvl>
    <w:lvl w:ilvl="6" w:tplc="D2CEA5C2" w:tentative="1">
      <w:start w:val="1"/>
      <w:numFmt w:val="bullet"/>
      <w:lvlText w:val="•"/>
      <w:lvlJc w:val="left"/>
      <w:pPr>
        <w:tabs>
          <w:tab w:val="num" w:pos="5040"/>
        </w:tabs>
        <w:ind w:left="5040" w:hanging="360"/>
      </w:pPr>
      <w:rPr>
        <w:rFonts w:ascii="Arial" w:hAnsi="Arial" w:hint="default"/>
      </w:rPr>
    </w:lvl>
    <w:lvl w:ilvl="7" w:tplc="7B62CD14" w:tentative="1">
      <w:start w:val="1"/>
      <w:numFmt w:val="bullet"/>
      <w:lvlText w:val="•"/>
      <w:lvlJc w:val="left"/>
      <w:pPr>
        <w:tabs>
          <w:tab w:val="num" w:pos="5760"/>
        </w:tabs>
        <w:ind w:left="5760" w:hanging="360"/>
      </w:pPr>
      <w:rPr>
        <w:rFonts w:ascii="Arial" w:hAnsi="Arial" w:hint="default"/>
      </w:rPr>
    </w:lvl>
    <w:lvl w:ilvl="8" w:tplc="2DCC44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A71092"/>
    <w:multiLevelType w:val="hybridMultilevel"/>
    <w:tmpl w:val="0B4CA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283872"/>
    <w:multiLevelType w:val="hybridMultilevel"/>
    <w:tmpl w:val="0B4CA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03D3C"/>
    <w:multiLevelType w:val="hybridMultilevel"/>
    <w:tmpl w:val="E22AFFEA"/>
    <w:lvl w:ilvl="0" w:tplc="6FA0AF40">
      <w:start w:val="1"/>
      <w:numFmt w:val="bullet"/>
      <w:lvlText w:val="•"/>
      <w:lvlJc w:val="left"/>
      <w:pPr>
        <w:tabs>
          <w:tab w:val="num" w:pos="720"/>
        </w:tabs>
        <w:ind w:left="720" w:hanging="360"/>
      </w:pPr>
      <w:rPr>
        <w:rFonts w:ascii="Arial" w:hAnsi="Arial" w:hint="default"/>
      </w:rPr>
    </w:lvl>
    <w:lvl w:ilvl="1" w:tplc="B5B8D380" w:tentative="1">
      <w:start w:val="1"/>
      <w:numFmt w:val="bullet"/>
      <w:lvlText w:val="•"/>
      <w:lvlJc w:val="left"/>
      <w:pPr>
        <w:tabs>
          <w:tab w:val="num" w:pos="1440"/>
        </w:tabs>
        <w:ind w:left="1440" w:hanging="360"/>
      </w:pPr>
      <w:rPr>
        <w:rFonts w:ascii="Arial" w:hAnsi="Arial" w:hint="default"/>
      </w:rPr>
    </w:lvl>
    <w:lvl w:ilvl="2" w:tplc="4F4A40C0" w:tentative="1">
      <w:start w:val="1"/>
      <w:numFmt w:val="bullet"/>
      <w:lvlText w:val="•"/>
      <w:lvlJc w:val="left"/>
      <w:pPr>
        <w:tabs>
          <w:tab w:val="num" w:pos="2160"/>
        </w:tabs>
        <w:ind w:left="2160" w:hanging="360"/>
      </w:pPr>
      <w:rPr>
        <w:rFonts w:ascii="Arial" w:hAnsi="Arial" w:hint="default"/>
      </w:rPr>
    </w:lvl>
    <w:lvl w:ilvl="3" w:tplc="75F6BF00" w:tentative="1">
      <w:start w:val="1"/>
      <w:numFmt w:val="bullet"/>
      <w:lvlText w:val="•"/>
      <w:lvlJc w:val="left"/>
      <w:pPr>
        <w:tabs>
          <w:tab w:val="num" w:pos="2880"/>
        </w:tabs>
        <w:ind w:left="2880" w:hanging="360"/>
      </w:pPr>
      <w:rPr>
        <w:rFonts w:ascii="Arial" w:hAnsi="Arial" w:hint="default"/>
      </w:rPr>
    </w:lvl>
    <w:lvl w:ilvl="4" w:tplc="EBCA2228" w:tentative="1">
      <w:start w:val="1"/>
      <w:numFmt w:val="bullet"/>
      <w:lvlText w:val="•"/>
      <w:lvlJc w:val="left"/>
      <w:pPr>
        <w:tabs>
          <w:tab w:val="num" w:pos="3600"/>
        </w:tabs>
        <w:ind w:left="3600" w:hanging="360"/>
      </w:pPr>
      <w:rPr>
        <w:rFonts w:ascii="Arial" w:hAnsi="Arial" w:hint="default"/>
      </w:rPr>
    </w:lvl>
    <w:lvl w:ilvl="5" w:tplc="9D4AB60E" w:tentative="1">
      <w:start w:val="1"/>
      <w:numFmt w:val="bullet"/>
      <w:lvlText w:val="•"/>
      <w:lvlJc w:val="left"/>
      <w:pPr>
        <w:tabs>
          <w:tab w:val="num" w:pos="4320"/>
        </w:tabs>
        <w:ind w:left="4320" w:hanging="360"/>
      </w:pPr>
      <w:rPr>
        <w:rFonts w:ascii="Arial" w:hAnsi="Arial" w:hint="default"/>
      </w:rPr>
    </w:lvl>
    <w:lvl w:ilvl="6" w:tplc="CBE23668" w:tentative="1">
      <w:start w:val="1"/>
      <w:numFmt w:val="bullet"/>
      <w:lvlText w:val="•"/>
      <w:lvlJc w:val="left"/>
      <w:pPr>
        <w:tabs>
          <w:tab w:val="num" w:pos="5040"/>
        </w:tabs>
        <w:ind w:left="5040" w:hanging="360"/>
      </w:pPr>
      <w:rPr>
        <w:rFonts w:ascii="Arial" w:hAnsi="Arial" w:hint="default"/>
      </w:rPr>
    </w:lvl>
    <w:lvl w:ilvl="7" w:tplc="BDA618C6" w:tentative="1">
      <w:start w:val="1"/>
      <w:numFmt w:val="bullet"/>
      <w:lvlText w:val="•"/>
      <w:lvlJc w:val="left"/>
      <w:pPr>
        <w:tabs>
          <w:tab w:val="num" w:pos="5760"/>
        </w:tabs>
        <w:ind w:left="5760" w:hanging="360"/>
      </w:pPr>
      <w:rPr>
        <w:rFonts w:ascii="Arial" w:hAnsi="Arial" w:hint="default"/>
      </w:rPr>
    </w:lvl>
    <w:lvl w:ilvl="8" w:tplc="D214F78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6C10A5"/>
    <w:multiLevelType w:val="hybridMultilevel"/>
    <w:tmpl w:val="96E67814"/>
    <w:lvl w:ilvl="0" w:tplc="FAFE709E">
      <w:start w:val="1"/>
      <w:numFmt w:val="bullet"/>
      <w:lvlText w:val="•"/>
      <w:lvlJc w:val="left"/>
      <w:pPr>
        <w:tabs>
          <w:tab w:val="num" w:pos="720"/>
        </w:tabs>
        <w:ind w:left="720" w:hanging="360"/>
      </w:pPr>
      <w:rPr>
        <w:rFonts w:ascii="Arial" w:hAnsi="Arial" w:hint="default"/>
      </w:rPr>
    </w:lvl>
    <w:lvl w:ilvl="1" w:tplc="C8700AEA" w:tentative="1">
      <w:start w:val="1"/>
      <w:numFmt w:val="bullet"/>
      <w:lvlText w:val="•"/>
      <w:lvlJc w:val="left"/>
      <w:pPr>
        <w:tabs>
          <w:tab w:val="num" w:pos="1440"/>
        </w:tabs>
        <w:ind w:left="1440" w:hanging="360"/>
      </w:pPr>
      <w:rPr>
        <w:rFonts w:ascii="Arial" w:hAnsi="Arial" w:hint="default"/>
      </w:rPr>
    </w:lvl>
    <w:lvl w:ilvl="2" w:tplc="10B671E2" w:tentative="1">
      <w:start w:val="1"/>
      <w:numFmt w:val="bullet"/>
      <w:lvlText w:val="•"/>
      <w:lvlJc w:val="left"/>
      <w:pPr>
        <w:tabs>
          <w:tab w:val="num" w:pos="2160"/>
        </w:tabs>
        <w:ind w:left="2160" w:hanging="360"/>
      </w:pPr>
      <w:rPr>
        <w:rFonts w:ascii="Arial" w:hAnsi="Arial" w:hint="default"/>
      </w:rPr>
    </w:lvl>
    <w:lvl w:ilvl="3" w:tplc="69B82DDC" w:tentative="1">
      <w:start w:val="1"/>
      <w:numFmt w:val="bullet"/>
      <w:lvlText w:val="•"/>
      <w:lvlJc w:val="left"/>
      <w:pPr>
        <w:tabs>
          <w:tab w:val="num" w:pos="2880"/>
        </w:tabs>
        <w:ind w:left="2880" w:hanging="360"/>
      </w:pPr>
      <w:rPr>
        <w:rFonts w:ascii="Arial" w:hAnsi="Arial" w:hint="default"/>
      </w:rPr>
    </w:lvl>
    <w:lvl w:ilvl="4" w:tplc="AC583122" w:tentative="1">
      <w:start w:val="1"/>
      <w:numFmt w:val="bullet"/>
      <w:lvlText w:val="•"/>
      <w:lvlJc w:val="left"/>
      <w:pPr>
        <w:tabs>
          <w:tab w:val="num" w:pos="3600"/>
        </w:tabs>
        <w:ind w:left="3600" w:hanging="360"/>
      </w:pPr>
      <w:rPr>
        <w:rFonts w:ascii="Arial" w:hAnsi="Arial" w:hint="default"/>
      </w:rPr>
    </w:lvl>
    <w:lvl w:ilvl="5" w:tplc="422ACB7A" w:tentative="1">
      <w:start w:val="1"/>
      <w:numFmt w:val="bullet"/>
      <w:lvlText w:val="•"/>
      <w:lvlJc w:val="left"/>
      <w:pPr>
        <w:tabs>
          <w:tab w:val="num" w:pos="4320"/>
        </w:tabs>
        <w:ind w:left="4320" w:hanging="360"/>
      </w:pPr>
      <w:rPr>
        <w:rFonts w:ascii="Arial" w:hAnsi="Arial" w:hint="default"/>
      </w:rPr>
    </w:lvl>
    <w:lvl w:ilvl="6" w:tplc="8A6CCE32" w:tentative="1">
      <w:start w:val="1"/>
      <w:numFmt w:val="bullet"/>
      <w:lvlText w:val="•"/>
      <w:lvlJc w:val="left"/>
      <w:pPr>
        <w:tabs>
          <w:tab w:val="num" w:pos="5040"/>
        </w:tabs>
        <w:ind w:left="5040" w:hanging="360"/>
      </w:pPr>
      <w:rPr>
        <w:rFonts w:ascii="Arial" w:hAnsi="Arial" w:hint="default"/>
      </w:rPr>
    </w:lvl>
    <w:lvl w:ilvl="7" w:tplc="CC28AED6" w:tentative="1">
      <w:start w:val="1"/>
      <w:numFmt w:val="bullet"/>
      <w:lvlText w:val="•"/>
      <w:lvlJc w:val="left"/>
      <w:pPr>
        <w:tabs>
          <w:tab w:val="num" w:pos="5760"/>
        </w:tabs>
        <w:ind w:left="5760" w:hanging="360"/>
      </w:pPr>
      <w:rPr>
        <w:rFonts w:ascii="Arial" w:hAnsi="Arial" w:hint="default"/>
      </w:rPr>
    </w:lvl>
    <w:lvl w:ilvl="8" w:tplc="ED021D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E321C4"/>
    <w:multiLevelType w:val="hybridMultilevel"/>
    <w:tmpl w:val="142A0D26"/>
    <w:lvl w:ilvl="0" w:tplc="D6A4C980">
      <w:start w:val="1"/>
      <w:numFmt w:val="bullet"/>
      <w:lvlText w:val="•"/>
      <w:lvlJc w:val="left"/>
      <w:pPr>
        <w:tabs>
          <w:tab w:val="num" w:pos="720"/>
        </w:tabs>
        <w:ind w:left="720" w:hanging="360"/>
      </w:pPr>
      <w:rPr>
        <w:rFonts w:ascii="Arial" w:hAnsi="Arial" w:hint="default"/>
      </w:rPr>
    </w:lvl>
    <w:lvl w:ilvl="1" w:tplc="DBA00536" w:tentative="1">
      <w:start w:val="1"/>
      <w:numFmt w:val="bullet"/>
      <w:lvlText w:val="•"/>
      <w:lvlJc w:val="left"/>
      <w:pPr>
        <w:tabs>
          <w:tab w:val="num" w:pos="1440"/>
        </w:tabs>
        <w:ind w:left="1440" w:hanging="360"/>
      </w:pPr>
      <w:rPr>
        <w:rFonts w:ascii="Arial" w:hAnsi="Arial" w:hint="default"/>
      </w:rPr>
    </w:lvl>
    <w:lvl w:ilvl="2" w:tplc="4F922428" w:tentative="1">
      <w:start w:val="1"/>
      <w:numFmt w:val="bullet"/>
      <w:lvlText w:val="•"/>
      <w:lvlJc w:val="left"/>
      <w:pPr>
        <w:tabs>
          <w:tab w:val="num" w:pos="2160"/>
        </w:tabs>
        <w:ind w:left="2160" w:hanging="360"/>
      </w:pPr>
      <w:rPr>
        <w:rFonts w:ascii="Arial" w:hAnsi="Arial" w:hint="default"/>
      </w:rPr>
    </w:lvl>
    <w:lvl w:ilvl="3" w:tplc="90AED5D4" w:tentative="1">
      <w:start w:val="1"/>
      <w:numFmt w:val="bullet"/>
      <w:lvlText w:val="•"/>
      <w:lvlJc w:val="left"/>
      <w:pPr>
        <w:tabs>
          <w:tab w:val="num" w:pos="2880"/>
        </w:tabs>
        <w:ind w:left="2880" w:hanging="360"/>
      </w:pPr>
      <w:rPr>
        <w:rFonts w:ascii="Arial" w:hAnsi="Arial" w:hint="default"/>
      </w:rPr>
    </w:lvl>
    <w:lvl w:ilvl="4" w:tplc="CF020022" w:tentative="1">
      <w:start w:val="1"/>
      <w:numFmt w:val="bullet"/>
      <w:lvlText w:val="•"/>
      <w:lvlJc w:val="left"/>
      <w:pPr>
        <w:tabs>
          <w:tab w:val="num" w:pos="3600"/>
        </w:tabs>
        <w:ind w:left="3600" w:hanging="360"/>
      </w:pPr>
      <w:rPr>
        <w:rFonts w:ascii="Arial" w:hAnsi="Arial" w:hint="default"/>
      </w:rPr>
    </w:lvl>
    <w:lvl w:ilvl="5" w:tplc="7AEE6606" w:tentative="1">
      <w:start w:val="1"/>
      <w:numFmt w:val="bullet"/>
      <w:lvlText w:val="•"/>
      <w:lvlJc w:val="left"/>
      <w:pPr>
        <w:tabs>
          <w:tab w:val="num" w:pos="4320"/>
        </w:tabs>
        <w:ind w:left="4320" w:hanging="360"/>
      </w:pPr>
      <w:rPr>
        <w:rFonts w:ascii="Arial" w:hAnsi="Arial" w:hint="default"/>
      </w:rPr>
    </w:lvl>
    <w:lvl w:ilvl="6" w:tplc="7624A58E" w:tentative="1">
      <w:start w:val="1"/>
      <w:numFmt w:val="bullet"/>
      <w:lvlText w:val="•"/>
      <w:lvlJc w:val="left"/>
      <w:pPr>
        <w:tabs>
          <w:tab w:val="num" w:pos="5040"/>
        </w:tabs>
        <w:ind w:left="5040" w:hanging="360"/>
      </w:pPr>
      <w:rPr>
        <w:rFonts w:ascii="Arial" w:hAnsi="Arial" w:hint="default"/>
      </w:rPr>
    </w:lvl>
    <w:lvl w:ilvl="7" w:tplc="ADFAE88C" w:tentative="1">
      <w:start w:val="1"/>
      <w:numFmt w:val="bullet"/>
      <w:lvlText w:val="•"/>
      <w:lvlJc w:val="left"/>
      <w:pPr>
        <w:tabs>
          <w:tab w:val="num" w:pos="5760"/>
        </w:tabs>
        <w:ind w:left="5760" w:hanging="360"/>
      </w:pPr>
      <w:rPr>
        <w:rFonts w:ascii="Arial" w:hAnsi="Arial" w:hint="default"/>
      </w:rPr>
    </w:lvl>
    <w:lvl w:ilvl="8" w:tplc="EA94DF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8700F3"/>
    <w:multiLevelType w:val="hybridMultilevel"/>
    <w:tmpl w:val="0B4CA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E917CE"/>
    <w:multiLevelType w:val="hybridMultilevel"/>
    <w:tmpl w:val="026C2922"/>
    <w:lvl w:ilvl="0" w:tplc="6ECCF81A">
      <w:start w:val="1"/>
      <w:numFmt w:val="bullet"/>
      <w:lvlText w:val="•"/>
      <w:lvlJc w:val="left"/>
      <w:pPr>
        <w:tabs>
          <w:tab w:val="num" w:pos="720"/>
        </w:tabs>
        <w:ind w:left="720" w:hanging="360"/>
      </w:pPr>
      <w:rPr>
        <w:rFonts w:ascii="Arial" w:hAnsi="Arial" w:hint="default"/>
      </w:rPr>
    </w:lvl>
    <w:lvl w:ilvl="1" w:tplc="B5947190" w:tentative="1">
      <w:start w:val="1"/>
      <w:numFmt w:val="bullet"/>
      <w:lvlText w:val="•"/>
      <w:lvlJc w:val="left"/>
      <w:pPr>
        <w:tabs>
          <w:tab w:val="num" w:pos="1440"/>
        </w:tabs>
        <w:ind w:left="1440" w:hanging="360"/>
      </w:pPr>
      <w:rPr>
        <w:rFonts w:ascii="Arial" w:hAnsi="Arial" w:hint="default"/>
      </w:rPr>
    </w:lvl>
    <w:lvl w:ilvl="2" w:tplc="14847354" w:tentative="1">
      <w:start w:val="1"/>
      <w:numFmt w:val="bullet"/>
      <w:lvlText w:val="•"/>
      <w:lvlJc w:val="left"/>
      <w:pPr>
        <w:tabs>
          <w:tab w:val="num" w:pos="2160"/>
        </w:tabs>
        <w:ind w:left="2160" w:hanging="360"/>
      </w:pPr>
      <w:rPr>
        <w:rFonts w:ascii="Arial" w:hAnsi="Arial" w:hint="default"/>
      </w:rPr>
    </w:lvl>
    <w:lvl w:ilvl="3" w:tplc="C32E39F4" w:tentative="1">
      <w:start w:val="1"/>
      <w:numFmt w:val="bullet"/>
      <w:lvlText w:val="•"/>
      <w:lvlJc w:val="left"/>
      <w:pPr>
        <w:tabs>
          <w:tab w:val="num" w:pos="2880"/>
        </w:tabs>
        <w:ind w:left="2880" w:hanging="360"/>
      </w:pPr>
      <w:rPr>
        <w:rFonts w:ascii="Arial" w:hAnsi="Arial" w:hint="default"/>
      </w:rPr>
    </w:lvl>
    <w:lvl w:ilvl="4" w:tplc="C8E0BF04" w:tentative="1">
      <w:start w:val="1"/>
      <w:numFmt w:val="bullet"/>
      <w:lvlText w:val="•"/>
      <w:lvlJc w:val="left"/>
      <w:pPr>
        <w:tabs>
          <w:tab w:val="num" w:pos="3600"/>
        </w:tabs>
        <w:ind w:left="3600" w:hanging="360"/>
      </w:pPr>
      <w:rPr>
        <w:rFonts w:ascii="Arial" w:hAnsi="Arial" w:hint="default"/>
      </w:rPr>
    </w:lvl>
    <w:lvl w:ilvl="5" w:tplc="B4B87F84" w:tentative="1">
      <w:start w:val="1"/>
      <w:numFmt w:val="bullet"/>
      <w:lvlText w:val="•"/>
      <w:lvlJc w:val="left"/>
      <w:pPr>
        <w:tabs>
          <w:tab w:val="num" w:pos="4320"/>
        </w:tabs>
        <w:ind w:left="4320" w:hanging="360"/>
      </w:pPr>
      <w:rPr>
        <w:rFonts w:ascii="Arial" w:hAnsi="Arial" w:hint="default"/>
      </w:rPr>
    </w:lvl>
    <w:lvl w:ilvl="6" w:tplc="86804EEC" w:tentative="1">
      <w:start w:val="1"/>
      <w:numFmt w:val="bullet"/>
      <w:lvlText w:val="•"/>
      <w:lvlJc w:val="left"/>
      <w:pPr>
        <w:tabs>
          <w:tab w:val="num" w:pos="5040"/>
        </w:tabs>
        <w:ind w:left="5040" w:hanging="360"/>
      </w:pPr>
      <w:rPr>
        <w:rFonts w:ascii="Arial" w:hAnsi="Arial" w:hint="default"/>
      </w:rPr>
    </w:lvl>
    <w:lvl w:ilvl="7" w:tplc="03485AD0" w:tentative="1">
      <w:start w:val="1"/>
      <w:numFmt w:val="bullet"/>
      <w:lvlText w:val="•"/>
      <w:lvlJc w:val="left"/>
      <w:pPr>
        <w:tabs>
          <w:tab w:val="num" w:pos="5760"/>
        </w:tabs>
        <w:ind w:left="5760" w:hanging="360"/>
      </w:pPr>
      <w:rPr>
        <w:rFonts w:ascii="Arial" w:hAnsi="Arial" w:hint="default"/>
      </w:rPr>
    </w:lvl>
    <w:lvl w:ilvl="8" w:tplc="3276214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6F08B8"/>
    <w:multiLevelType w:val="hybridMultilevel"/>
    <w:tmpl w:val="24CADF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9" w15:restartNumberingAfterBreak="0">
    <w:nsid w:val="65DF6681"/>
    <w:multiLevelType w:val="hybridMultilevel"/>
    <w:tmpl w:val="0B4CA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8957036"/>
    <w:multiLevelType w:val="hybridMultilevel"/>
    <w:tmpl w:val="0B4CA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CF47EC"/>
    <w:multiLevelType w:val="hybridMultilevel"/>
    <w:tmpl w:val="E7FEB4FE"/>
    <w:lvl w:ilvl="0" w:tplc="F0C8C35C">
      <w:start w:val="1"/>
      <w:numFmt w:val="bullet"/>
      <w:lvlText w:val="•"/>
      <w:lvlJc w:val="left"/>
      <w:pPr>
        <w:tabs>
          <w:tab w:val="num" w:pos="720"/>
        </w:tabs>
        <w:ind w:left="720" w:hanging="360"/>
      </w:pPr>
      <w:rPr>
        <w:rFonts w:ascii="Arial" w:hAnsi="Arial" w:hint="default"/>
      </w:rPr>
    </w:lvl>
    <w:lvl w:ilvl="1" w:tplc="57664FAC" w:tentative="1">
      <w:start w:val="1"/>
      <w:numFmt w:val="bullet"/>
      <w:lvlText w:val="•"/>
      <w:lvlJc w:val="left"/>
      <w:pPr>
        <w:tabs>
          <w:tab w:val="num" w:pos="1440"/>
        </w:tabs>
        <w:ind w:left="1440" w:hanging="360"/>
      </w:pPr>
      <w:rPr>
        <w:rFonts w:ascii="Arial" w:hAnsi="Arial" w:hint="default"/>
      </w:rPr>
    </w:lvl>
    <w:lvl w:ilvl="2" w:tplc="F3E06572" w:tentative="1">
      <w:start w:val="1"/>
      <w:numFmt w:val="bullet"/>
      <w:lvlText w:val="•"/>
      <w:lvlJc w:val="left"/>
      <w:pPr>
        <w:tabs>
          <w:tab w:val="num" w:pos="2160"/>
        </w:tabs>
        <w:ind w:left="2160" w:hanging="360"/>
      </w:pPr>
      <w:rPr>
        <w:rFonts w:ascii="Arial" w:hAnsi="Arial" w:hint="default"/>
      </w:rPr>
    </w:lvl>
    <w:lvl w:ilvl="3" w:tplc="47CCE108" w:tentative="1">
      <w:start w:val="1"/>
      <w:numFmt w:val="bullet"/>
      <w:lvlText w:val="•"/>
      <w:lvlJc w:val="left"/>
      <w:pPr>
        <w:tabs>
          <w:tab w:val="num" w:pos="2880"/>
        </w:tabs>
        <w:ind w:left="2880" w:hanging="360"/>
      </w:pPr>
      <w:rPr>
        <w:rFonts w:ascii="Arial" w:hAnsi="Arial" w:hint="default"/>
      </w:rPr>
    </w:lvl>
    <w:lvl w:ilvl="4" w:tplc="7FDECA04" w:tentative="1">
      <w:start w:val="1"/>
      <w:numFmt w:val="bullet"/>
      <w:lvlText w:val="•"/>
      <w:lvlJc w:val="left"/>
      <w:pPr>
        <w:tabs>
          <w:tab w:val="num" w:pos="3600"/>
        </w:tabs>
        <w:ind w:left="3600" w:hanging="360"/>
      </w:pPr>
      <w:rPr>
        <w:rFonts w:ascii="Arial" w:hAnsi="Arial" w:hint="default"/>
      </w:rPr>
    </w:lvl>
    <w:lvl w:ilvl="5" w:tplc="7BE8DF24" w:tentative="1">
      <w:start w:val="1"/>
      <w:numFmt w:val="bullet"/>
      <w:lvlText w:val="•"/>
      <w:lvlJc w:val="left"/>
      <w:pPr>
        <w:tabs>
          <w:tab w:val="num" w:pos="4320"/>
        </w:tabs>
        <w:ind w:left="4320" w:hanging="360"/>
      </w:pPr>
      <w:rPr>
        <w:rFonts w:ascii="Arial" w:hAnsi="Arial" w:hint="default"/>
      </w:rPr>
    </w:lvl>
    <w:lvl w:ilvl="6" w:tplc="E9700B0E" w:tentative="1">
      <w:start w:val="1"/>
      <w:numFmt w:val="bullet"/>
      <w:lvlText w:val="•"/>
      <w:lvlJc w:val="left"/>
      <w:pPr>
        <w:tabs>
          <w:tab w:val="num" w:pos="5040"/>
        </w:tabs>
        <w:ind w:left="5040" w:hanging="360"/>
      </w:pPr>
      <w:rPr>
        <w:rFonts w:ascii="Arial" w:hAnsi="Arial" w:hint="default"/>
      </w:rPr>
    </w:lvl>
    <w:lvl w:ilvl="7" w:tplc="6D1091EC" w:tentative="1">
      <w:start w:val="1"/>
      <w:numFmt w:val="bullet"/>
      <w:lvlText w:val="•"/>
      <w:lvlJc w:val="left"/>
      <w:pPr>
        <w:tabs>
          <w:tab w:val="num" w:pos="5760"/>
        </w:tabs>
        <w:ind w:left="5760" w:hanging="360"/>
      </w:pPr>
      <w:rPr>
        <w:rFonts w:ascii="Arial" w:hAnsi="Arial" w:hint="default"/>
      </w:rPr>
    </w:lvl>
    <w:lvl w:ilvl="8" w:tplc="AB3EE25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BE43A1C"/>
    <w:multiLevelType w:val="hybridMultilevel"/>
    <w:tmpl w:val="0B4CAA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1"/>
  </w:num>
  <w:num w:numId="4">
    <w:abstractNumId w:val="5"/>
  </w:num>
  <w:num w:numId="5">
    <w:abstractNumId w:val="18"/>
  </w:num>
  <w:num w:numId="6">
    <w:abstractNumId w:val="7"/>
  </w:num>
  <w:num w:numId="7">
    <w:abstractNumId w:val="3"/>
  </w:num>
  <w:num w:numId="8">
    <w:abstractNumId w:val="17"/>
  </w:num>
  <w:num w:numId="9">
    <w:abstractNumId w:val="11"/>
  </w:num>
  <w:num w:numId="10">
    <w:abstractNumId w:val="20"/>
  </w:num>
  <w:num w:numId="11">
    <w:abstractNumId w:val="19"/>
  </w:num>
  <w:num w:numId="12">
    <w:abstractNumId w:val="15"/>
  </w:num>
  <w:num w:numId="13">
    <w:abstractNumId w:val="10"/>
  </w:num>
  <w:num w:numId="14">
    <w:abstractNumId w:val="23"/>
  </w:num>
  <w:num w:numId="15">
    <w:abstractNumId w:val="6"/>
  </w:num>
  <w:num w:numId="16">
    <w:abstractNumId w:val="4"/>
  </w:num>
  <w:num w:numId="17">
    <w:abstractNumId w:val="9"/>
  </w:num>
  <w:num w:numId="18">
    <w:abstractNumId w:val="16"/>
  </w:num>
  <w:num w:numId="19">
    <w:abstractNumId w:val="13"/>
  </w:num>
  <w:num w:numId="20">
    <w:abstractNumId w:val="14"/>
  </w:num>
  <w:num w:numId="21">
    <w:abstractNumId w:val="12"/>
  </w:num>
  <w:num w:numId="22">
    <w:abstractNumId w:val="8"/>
  </w:num>
  <w:num w:numId="23">
    <w:abstractNumId w:val="2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22A29"/>
    <w:rsid w:val="000355FD"/>
    <w:rsid w:val="00051E39"/>
    <w:rsid w:val="00075C63"/>
    <w:rsid w:val="00077239"/>
    <w:rsid w:val="00080905"/>
    <w:rsid w:val="000822BE"/>
    <w:rsid w:val="00086491"/>
    <w:rsid w:val="00091346"/>
    <w:rsid w:val="0009143A"/>
    <w:rsid w:val="000B1248"/>
    <w:rsid w:val="000F73FF"/>
    <w:rsid w:val="00114CF7"/>
    <w:rsid w:val="00123B68"/>
    <w:rsid w:val="00126F2E"/>
    <w:rsid w:val="00133FCF"/>
    <w:rsid w:val="00146F6F"/>
    <w:rsid w:val="00147DA1"/>
    <w:rsid w:val="00152957"/>
    <w:rsid w:val="00162685"/>
    <w:rsid w:val="00187BD9"/>
    <w:rsid w:val="00190B55"/>
    <w:rsid w:val="00194CFB"/>
    <w:rsid w:val="001B2ED3"/>
    <w:rsid w:val="001B5A47"/>
    <w:rsid w:val="001C3B5F"/>
    <w:rsid w:val="001D0276"/>
    <w:rsid w:val="001D058F"/>
    <w:rsid w:val="001D464C"/>
    <w:rsid w:val="002009EA"/>
    <w:rsid w:val="002022E9"/>
    <w:rsid w:val="00202CA0"/>
    <w:rsid w:val="002154A6"/>
    <w:rsid w:val="002162CD"/>
    <w:rsid w:val="002255B3"/>
    <w:rsid w:val="00236E8A"/>
    <w:rsid w:val="00243D69"/>
    <w:rsid w:val="00245A45"/>
    <w:rsid w:val="00271316"/>
    <w:rsid w:val="00294B0A"/>
    <w:rsid w:val="00296313"/>
    <w:rsid w:val="002D44C6"/>
    <w:rsid w:val="002D58BE"/>
    <w:rsid w:val="002D59BB"/>
    <w:rsid w:val="003013EE"/>
    <w:rsid w:val="00377BD3"/>
    <w:rsid w:val="00384088"/>
    <w:rsid w:val="0038489B"/>
    <w:rsid w:val="0039169B"/>
    <w:rsid w:val="003A7F8C"/>
    <w:rsid w:val="003B091B"/>
    <w:rsid w:val="003B532E"/>
    <w:rsid w:val="003B6F14"/>
    <w:rsid w:val="003D0F8B"/>
    <w:rsid w:val="004131D4"/>
    <w:rsid w:val="0041348E"/>
    <w:rsid w:val="004230CE"/>
    <w:rsid w:val="00447308"/>
    <w:rsid w:val="004765FF"/>
    <w:rsid w:val="00492075"/>
    <w:rsid w:val="004969AD"/>
    <w:rsid w:val="004B13CB"/>
    <w:rsid w:val="004B4FDF"/>
    <w:rsid w:val="004D5D5C"/>
    <w:rsid w:val="004E0523"/>
    <w:rsid w:val="004E0DD0"/>
    <w:rsid w:val="004E1E57"/>
    <w:rsid w:val="004F6F3E"/>
    <w:rsid w:val="0050139F"/>
    <w:rsid w:val="005167AB"/>
    <w:rsid w:val="00521223"/>
    <w:rsid w:val="00524DF1"/>
    <w:rsid w:val="0055140B"/>
    <w:rsid w:val="00554C4F"/>
    <w:rsid w:val="00561D72"/>
    <w:rsid w:val="00593915"/>
    <w:rsid w:val="005964AB"/>
    <w:rsid w:val="005B36F4"/>
    <w:rsid w:val="005B44F5"/>
    <w:rsid w:val="005C099A"/>
    <w:rsid w:val="005C31A5"/>
    <w:rsid w:val="005E1050"/>
    <w:rsid w:val="005E10C9"/>
    <w:rsid w:val="005E61DD"/>
    <w:rsid w:val="005E6321"/>
    <w:rsid w:val="005F15FF"/>
    <w:rsid w:val="006023DF"/>
    <w:rsid w:val="00607EF3"/>
    <w:rsid w:val="00616175"/>
    <w:rsid w:val="0064322F"/>
    <w:rsid w:val="00657DE0"/>
    <w:rsid w:val="0067199F"/>
    <w:rsid w:val="00681CBC"/>
    <w:rsid w:val="00685313"/>
    <w:rsid w:val="00687B47"/>
    <w:rsid w:val="006A6E9B"/>
    <w:rsid w:val="006B7C2A"/>
    <w:rsid w:val="006C23DA"/>
    <w:rsid w:val="006D5A98"/>
    <w:rsid w:val="006E3D45"/>
    <w:rsid w:val="006E6999"/>
    <w:rsid w:val="006E7A5E"/>
    <w:rsid w:val="006F7325"/>
    <w:rsid w:val="007149F9"/>
    <w:rsid w:val="00733A30"/>
    <w:rsid w:val="00745AEE"/>
    <w:rsid w:val="007479EA"/>
    <w:rsid w:val="00750F10"/>
    <w:rsid w:val="007742CA"/>
    <w:rsid w:val="007D06F0"/>
    <w:rsid w:val="007D2A94"/>
    <w:rsid w:val="007D45E3"/>
    <w:rsid w:val="007D5320"/>
    <w:rsid w:val="007E1CA3"/>
    <w:rsid w:val="007F735C"/>
    <w:rsid w:val="00800972"/>
    <w:rsid w:val="00804475"/>
    <w:rsid w:val="00811633"/>
    <w:rsid w:val="00821CEF"/>
    <w:rsid w:val="00832828"/>
    <w:rsid w:val="00832BBA"/>
    <w:rsid w:val="0083645A"/>
    <w:rsid w:val="00840B0F"/>
    <w:rsid w:val="00844A15"/>
    <w:rsid w:val="0086376E"/>
    <w:rsid w:val="008711AE"/>
    <w:rsid w:val="00872FC8"/>
    <w:rsid w:val="008801D3"/>
    <w:rsid w:val="008845D0"/>
    <w:rsid w:val="008B43F2"/>
    <w:rsid w:val="008B61EA"/>
    <w:rsid w:val="008B6CFF"/>
    <w:rsid w:val="00910B26"/>
    <w:rsid w:val="009274B4"/>
    <w:rsid w:val="00927ADD"/>
    <w:rsid w:val="00934EA2"/>
    <w:rsid w:val="00936AC4"/>
    <w:rsid w:val="00942D61"/>
    <w:rsid w:val="00944A5C"/>
    <w:rsid w:val="00952A66"/>
    <w:rsid w:val="009B4CEB"/>
    <w:rsid w:val="009C56E5"/>
    <w:rsid w:val="009E5FC8"/>
    <w:rsid w:val="009E687A"/>
    <w:rsid w:val="00A03C5C"/>
    <w:rsid w:val="00A066F1"/>
    <w:rsid w:val="00A141AF"/>
    <w:rsid w:val="00A16D29"/>
    <w:rsid w:val="00A20E5E"/>
    <w:rsid w:val="00A30305"/>
    <w:rsid w:val="00A31D2D"/>
    <w:rsid w:val="00A4600A"/>
    <w:rsid w:val="00A538A6"/>
    <w:rsid w:val="00A54C25"/>
    <w:rsid w:val="00A710E7"/>
    <w:rsid w:val="00A72661"/>
    <w:rsid w:val="00A7372E"/>
    <w:rsid w:val="00A7518C"/>
    <w:rsid w:val="00A93B85"/>
    <w:rsid w:val="00AA0B18"/>
    <w:rsid w:val="00AA0B6E"/>
    <w:rsid w:val="00AA666F"/>
    <w:rsid w:val="00AB4927"/>
    <w:rsid w:val="00B004E5"/>
    <w:rsid w:val="00B15F9D"/>
    <w:rsid w:val="00B2025D"/>
    <w:rsid w:val="00B408E5"/>
    <w:rsid w:val="00B639E9"/>
    <w:rsid w:val="00B817CD"/>
    <w:rsid w:val="00B911B2"/>
    <w:rsid w:val="00B951D0"/>
    <w:rsid w:val="00BA70B7"/>
    <w:rsid w:val="00BB29C8"/>
    <w:rsid w:val="00BB3A95"/>
    <w:rsid w:val="00BC0382"/>
    <w:rsid w:val="00BC77AA"/>
    <w:rsid w:val="00BD459B"/>
    <w:rsid w:val="00C0018F"/>
    <w:rsid w:val="00C01B77"/>
    <w:rsid w:val="00C20466"/>
    <w:rsid w:val="00C214ED"/>
    <w:rsid w:val="00C234E6"/>
    <w:rsid w:val="00C324A8"/>
    <w:rsid w:val="00C54517"/>
    <w:rsid w:val="00C64CD8"/>
    <w:rsid w:val="00C82CE1"/>
    <w:rsid w:val="00C97C68"/>
    <w:rsid w:val="00CA1A47"/>
    <w:rsid w:val="00CB2BB6"/>
    <w:rsid w:val="00CC247A"/>
    <w:rsid w:val="00CE5E47"/>
    <w:rsid w:val="00CF020F"/>
    <w:rsid w:val="00CF2B5B"/>
    <w:rsid w:val="00D14CE0"/>
    <w:rsid w:val="00D22641"/>
    <w:rsid w:val="00D36333"/>
    <w:rsid w:val="00D5651D"/>
    <w:rsid w:val="00D61C5B"/>
    <w:rsid w:val="00D63D02"/>
    <w:rsid w:val="00D70CE0"/>
    <w:rsid w:val="00D74898"/>
    <w:rsid w:val="00D801ED"/>
    <w:rsid w:val="00D83BF5"/>
    <w:rsid w:val="00D925C2"/>
    <w:rsid w:val="00D936BC"/>
    <w:rsid w:val="00D9621A"/>
    <w:rsid w:val="00D96530"/>
    <w:rsid w:val="00D96B4B"/>
    <w:rsid w:val="00DA2345"/>
    <w:rsid w:val="00DA453A"/>
    <w:rsid w:val="00DA7078"/>
    <w:rsid w:val="00DD08B4"/>
    <w:rsid w:val="00DD44AF"/>
    <w:rsid w:val="00DE2AC3"/>
    <w:rsid w:val="00DE434C"/>
    <w:rsid w:val="00DE5692"/>
    <w:rsid w:val="00DF6F8E"/>
    <w:rsid w:val="00E03C94"/>
    <w:rsid w:val="00E07105"/>
    <w:rsid w:val="00E1190E"/>
    <w:rsid w:val="00E245CC"/>
    <w:rsid w:val="00E26226"/>
    <w:rsid w:val="00E4165C"/>
    <w:rsid w:val="00E45D05"/>
    <w:rsid w:val="00E55816"/>
    <w:rsid w:val="00E55AEF"/>
    <w:rsid w:val="00E976C1"/>
    <w:rsid w:val="00EA12E5"/>
    <w:rsid w:val="00EF68EC"/>
    <w:rsid w:val="00F02766"/>
    <w:rsid w:val="00F04067"/>
    <w:rsid w:val="00F05BD4"/>
    <w:rsid w:val="00F11A98"/>
    <w:rsid w:val="00F21A1D"/>
    <w:rsid w:val="00F31F3C"/>
    <w:rsid w:val="00F65C19"/>
    <w:rsid w:val="00FB2280"/>
    <w:rsid w:val="00FD2546"/>
    <w:rsid w:val="00FD772E"/>
    <w:rsid w:val="00FE3926"/>
    <w:rsid w:val="00FE78C7"/>
    <w:rsid w:val="00FF2FC1"/>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F3575A4"/>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6F4"/>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Appel note de bas de p + 11 pt,Appel note de bas de p1,Appel note de bas de p2,Appel note de bas de p3,Footnote Reference/,Footnote symbol,Italic,Ref,Style 12,Style 124,de nota al pie,o"/>
    <w:basedOn w:val="DefaultParagraphFont"/>
    <w:qFormat/>
    <w:rsid w:val="002154A6"/>
    <w:rPr>
      <w:rFonts w:asciiTheme="minorHAnsi" w:hAnsiTheme="minorHAnsi"/>
      <w:position w:val="6"/>
      <w:sz w:val="18"/>
    </w:rPr>
  </w:style>
  <w:style w:type="paragraph" w:styleId="FootnoteText">
    <w:name w:val="footnote text"/>
    <w:aliases w:val="ALTS FOOTNOTE,Char1,DN,DNV,DNV-FT,Footnote Text Char Char1,Footnote Text Char Char1 Char1 Char Char,Footnote Text Char1,Footnote Text Char1 Char1 Char1 Char,Footnote Text Char1 Char1 Char1 Char Char Char1,Footnote Text Char4 Char Char,fn"/>
    <w:basedOn w:val="Normal"/>
    <w:link w:val="FootnoteTextChar"/>
    <w:rsid w:val="00745AEE"/>
    <w:pPr>
      <w:keepLines/>
      <w:tabs>
        <w:tab w:val="left" w:pos="255"/>
      </w:tabs>
    </w:pPr>
  </w:style>
  <w:style w:type="character" w:customStyle="1" w:styleId="FootnoteTextChar">
    <w:name w:val="Footnote Text Char"/>
    <w:aliases w:val="ALTS FOOTNOTE Char,Char1 Char,DN Char,DNV Char,DNV-FT Char,Footnote Text Char Char1 Char,Footnote Text Char Char1 Char1 Char Char Char,Footnote Text Char1 Char,Footnote Text Char1 Char1 Char1 Char Char,fn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uiPriority w:val="39"/>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5B36F4"/>
    <w:pPr>
      <w:keepNext/>
      <w:keepLines/>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List Paragraph11,Recommendation"/>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
    <w:uiPriority w:val="99"/>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unhideWhenUsed/>
    <w:rsid w:val="00616175"/>
    <w:rPr>
      <w:color w:val="605E5C"/>
      <w:shd w:val="clear" w:color="auto" w:fill="E1DFDD"/>
    </w:rPr>
  </w:style>
  <w:style w:type="character" w:customStyle="1" w:styleId="UnresolvedMention2">
    <w:name w:val="Unresolved Mention2"/>
    <w:basedOn w:val="DefaultParagraphFont"/>
    <w:uiPriority w:val="99"/>
    <w:semiHidden/>
    <w:unhideWhenUsed/>
    <w:rsid w:val="00133FCF"/>
    <w:rPr>
      <w:color w:val="605E5C"/>
      <w:shd w:val="clear" w:color="auto" w:fill="E1DFDD"/>
    </w:rPr>
  </w:style>
  <w:style w:type="character" w:customStyle="1" w:styleId="Heading1Char">
    <w:name w:val="Heading 1 Char"/>
    <w:basedOn w:val="DefaultParagraphFont"/>
    <w:link w:val="Heading1"/>
    <w:rsid w:val="00133FCF"/>
    <w:rPr>
      <w:rFonts w:asciiTheme="minorHAnsi" w:hAnsiTheme="minorHAnsi"/>
      <w:b/>
      <w:sz w:val="28"/>
      <w:lang w:val="en-GB" w:eastAsia="en-US"/>
    </w:rPr>
  </w:style>
  <w:style w:type="character" w:customStyle="1" w:styleId="Heading2Char">
    <w:name w:val="Heading 2 Char"/>
    <w:basedOn w:val="DefaultParagraphFont"/>
    <w:link w:val="Heading2"/>
    <w:rsid w:val="00133FCF"/>
    <w:rPr>
      <w:rFonts w:asciiTheme="minorHAnsi" w:hAnsiTheme="minorHAnsi"/>
      <w:b/>
      <w:sz w:val="24"/>
      <w:lang w:val="en-GB" w:eastAsia="en-US"/>
    </w:rPr>
  </w:style>
  <w:style w:type="character" w:customStyle="1" w:styleId="Heading3Char">
    <w:name w:val="Heading 3 Char"/>
    <w:basedOn w:val="DefaultParagraphFont"/>
    <w:link w:val="Heading3"/>
    <w:rsid w:val="00133FCF"/>
    <w:rPr>
      <w:rFonts w:asciiTheme="minorHAnsi" w:hAnsiTheme="minorHAnsi"/>
      <w:b/>
      <w:sz w:val="24"/>
      <w:lang w:val="en-GB" w:eastAsia="en-US"/>
    </w:rPr>
  </w:style>
  <w:style w:type="character" w:customStyle="1" w:styleId="Heading4Char">
    <w:name w:val="Heading 4 Char"/>
    <w:basedOn w:val="DefaultParagraphFont"/>
    <w:link w:val="Heading4"/>
    <w:rsid w:val="00133FCF"/>
    <w:rPr>
      <w:rFonts w:asciiTheme="minorHAnsi" w:hAnsiTheme="minorHAnsi"/>
      <w:b/>
      <w:sz w:val="24"/>
      <w:lang w:val="en-GB" w:eastAsia="en-US"/>
    </w:rPr>
  </w:style>
  <w:style w:type="character" w:customStyle="1" w:styleId="Heading5Char">
    <w:name w:val="Heading 5 Char"/>
    <w:basedOn w:val="DefaultParagraphFont"/>
    <w:link w:val="Heading5"/>
    <w:uiPriority w:val="9"/>
    <w:rsid w:val="00133FCF"/>
    <w:rPr>
      <w:rFonts w:asciiTheme="minorHAnsi" w:hAnsiTheme="minorHAnsi"/>
      <w:b/>
      <w:sz w:val="24"/>
      <w:lang w:val="en-GB" w:eastAsia="en-US"/>
    </w:rPr>
  </w:style>
  <w:style w:type="character" w:customStyle="1" w:styleId="Heading6Char">
    <w:name w:val="Heading 6 Char"/>
    <w:basedOn w:val="DefaultParagraphFont"/>
    <w:link w:val="Heading6"/>
    <w:uiPriority w:val="9"/>
    <w:rsid w:val="00133FCF"/>
    <w:rPr>
      <w:rFonts w:asciiTheme="minorHAnsi" w:hAnsiTheme="minorHAnsi"/>
      <w:b/>
      <w:sz w:val="24"/>
      <w:lang w:val="en-GB" w:eastAsia="en-US"/>
    </w:rPr>
  </w:style>
  <w:style w:type="character" w:customStyle="1" w:styleId="Heading7Char">
    <w:name w:val="Heading 7 Char"/>
    <w:basedOn w:val="DefaultParagraphFont"/>
    <w:link w:val="Heading7"/>
    <w:uiPriority w:val="9"/>
    <w:rsid w:val="00133FCF"/>
    <w:rPr>
      <w:rFonts w:asciiTheme="minorHAnsi" w:hAnsiTheme="minorHAnsi"/>
      <w:b/>
      <w:sz w:val="24"/>
      <w:lang w:val="en-GB" w:eastAsia="en-US"/>
    </w:rPr>
  </w:style>
  <w:style w:type="character" w:customStyle="1" w:styleId="Heading8Char">
    <w:name w:val="Heading 8 Char"/>
    <w:basedOn w:val="DefaultParagraphFont"/>
    <w:link w:val="Heading8"/>
    <w:uiPriority w:val="9"/>
    <w:rsid w:val="00133FCF"/>
    <w:rPr>
      <w:rFonts w:asciiTheme="minorHAnsi" w:hAnsiTheme="minorHAnsi"/>
      <w:b/>
      <w:sz w:val="24"/>
      <w:lang w:val="en-GB" w:eastAsia="en-US"/>
    </w:rPr>
  </w:style>
  <w:style w:type="character" w:customStyle="1" w:styleId="Heading9Char">
    <w:name w:val="Heading 9 Char"/>
    <w:basedOn w:val="DefaultParagraphFont"/>
    <w:link w:val="Heading9"/>
    <w:rsid w:val="00133FCF"/>
    <w:rPr>
      <w:rFonts w:asciiTheme="minorHAnsi" w:hAnsiTheme="minorHAnsi"/>
      <w:b/>
      <w:sz w:val="24"/>
      <w:lang w:val="en-GB" w:eastAsia="en-US"/>
    </w:rPr>
  </w:style>
  <w:style w:type="character" w:styleId="FollowedHyperlink">
    <w:name w:val="FollowedHyperlink"/>
    <w:basedOn w:val="DefaultParagraphFont"/>
    <w:uiPriority w:val="99"/>
    <w:semiHidden/>
    <w:unhideWhenUsed/>
    <w:rsid w:val="00133FCF"/>
    <w:rPr>
      <w:color w:val="800080" w:themeColor="followedHyperlink"/>
      <w:u w:val="single"/>
    </w:rPr>
  </w:style>
  <w:style w:type="paragraph" w:customStyle="1" w:styleId="msonormal0">
    <w:name w:val="msonormal"/>
    <w:basedOn w:val="Normal"/>
    <w:rsid w:val="00133FCF"/>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styleId="Index1">
    <w:name w:val="index 1"/>
    <w:basedOn w:val="Normal"/>
    <w:next w:val="Normal"/>
    <w:autoRedefine/>
    <w:semiHidden/>
    <w:unhideWhenUsed/>
    <w:rsid w:val="00133FCF"/>
    <w:pPr>
      <w:tabs>
        <w:tab w:val="clear" w:pos="1134"/>
        <w:tab w:val="clear" w:pos="1871"/>
        <w:tab w:val="clear" w:pos="2268"/>
        <w:tab w:val="left" w:pos="794"/>
        <w:tab w:val="left" w:pos="1191"/>
        <w:tab w:val="left" w:pos="1588"/>
        <w:tab w:val="left" w:pos="1985"/>
      </w:tabs>
      <w:textAlignment w:val="auto"/>
    </w:pPr>
    <w:rPr>
      <w:lang w:val="es-ES_tradnl"/>
    </w:rPr>
  </w:style>
  <w:style w:type="paragraph" w:styleId="Index2">
    <w:name w:val="index 2"/>
    <w:basedOn w:val="Normal"/>
    <w:next w:val="Normal"/>
    <w:autoRedefine/>
    <w:semiHidden/>
    <w:unhideWhenUsed/>
    <w:rsid w:val="00133FCF"/>
    <w:pPr>
      <w:tabs>
        <w:tab w:val="clear" w:pos="1134"/>
        <w:tab w:val="clear" w:pos="1871"/>
        <w:tab w:val="clear" w:pos="2268"/>
        <w:tab w:val="left" w:pos="794"/>
        <w:tab w:val="left" w:pos="1191"/>
        <w:tab w:val="left" w:pos="1588"/>
        <w:tab w:val="left" w:pos="1985"/>
      </w:tabs>
      <w:ind w:left="283"/>
      <w:textAlignment w:val="auto"/>
    </w:pPr>
    <w:rPr>
      <w:lang w:val="es-ES_tradnl"/>
    </w:rPr>
  </w:style>
  <w:style w:type="paragraph" w:styleId="Index3">
    <w:name w:val="index 3"/>
    <w:basedOn w:val="Normal"/>
    <w:next w:val="Normal"/>
    <w:autoRedefine/>
    <w:semiHidden/>
    <w:unhideWhenUsed/>
    <w:rsid w:val="00133FCF"/>
    <w:pPr>
      <w:tabs>
        <w:tab w:val="clear" w:pos="1134"/>
        <w:tab w:val="clear" w:pos="1871"/>
        <w:tab w:val="clear" w:pos="2268"/>
        <w:tab w:val="left" w:pos="794"/>
        <w:tab w:val="left" w:pos="1191"/>
        <w:tab w:val="left" w:pos="1588"/>
        <w:tab w:val="left" w:pos="1985"/>
      </w:tabs>
      <w:ind w:left="566"/>
      <w:textAlignment w:val="auto"/>
    </w:pPr>
    <w:rPr>
      <w:lang w:val="es-ES_tradnl"/>
    </w:rPr>
  </w:style>
  <w:style w:type="paragraph" w:styleId="Index4">
    <w:name w:val="index 4"/>
    <w:basedOn w:val="Normal"/>
    <w:next w:val="Normal"/>
    <w:autoRedefine/>
    <w:semiHidden/>
    <w:unhideWhenUsed/>
    <w:rsid w:val="00133FCF"/>
    <w:pPr>
      <w:tabs>
        <w:tab w:val="clear" w:pos="1134"/>
        <w:tab w:val="clear" w:pos="1871"/>
        <w:tab w:val="clear" w:pos="2268"/>
        <w:tab w:val="left" w:pos="794"/>
        <w:tab w:val="left" w:pos="1191"/>
        <w:tab w:val="left" w:pos="1588"/>
        <w:tab w:val="left" w:pos="1985"/>
      </w:tabs>
      <w:ind w:left="849"/>
      <w:textAlignment w:val="auto"/>
    </w:pPr>
    <w:rPr>
      <w:lang w:val="es-ES_tradnl"/>
    </w:rPr>
  </w:style>
  <w:style w:type="paragraph" w:styleId="Index5">
    <w:name w:val="index 5"/>
    <w:basedOn w:val="Normal"/>
    <w:next w:val="Normal"/>
    <w:autoRedefine/>
    <w:semiHidden/>
    <w:unhideWhenUsed/>
    <w:rsid w:val="00133FCF"/>
    <w:pPr>
      <w:tabs>
        <w:tab w:val="clear" w:pos="1134"/>
        <w:tab w:val="clear" w:pos="1871"/>
        <w:tab w:val="clear" w:pos="2268"/>
        <w:tab w:val="left" w:pos="794"/>
        <w:tab w:val="left" w:pos="1191"/>
        <w:tab w:val="left" w:pos="1588"/>
        <w:tab w:val="left" w:pos="1985"/>
      </w:tabs>
      <w:ind w:left="1132"/>
      <w:textAlignment w:val="auto"/>
    </w:pPr>
    <w:rPr>
      <w:lang w:val="es-ES_tradnl"/>
    </w:rPr>
  </w:style>
  <w:style w:type="paragraph" w:styleId="Index6">
    <w:name w:val="index 6"/>
    <w:basedOn w:val="Normal"/>
    <w:next w:val="Normal"/>
    <w:autoRedefine/>
    <w:semiHidden/>
    <w:unhideWhenUsed/>
    <w:rsid w:val="00133FCF"/>
    <w:pPr>
      <w:tabs>
        <w:tab w:val="clear" w:pos="1134"/>
        <w:tab w:val="clear" w:pos="1871"/>
        <w:tab w:val="clear" w:pos="2268"/>
        <w:tab w:val="left" w:pos="794"/>
        <w:tab w:val="left" w:pos="1191"/>
        <w:tab w:val="left" w:pos="1588"/>
        <w:tab w:val="left" w:pos="1985"/>
      </w:tabs>
      <w:ind w:left="1415"/>
      <w:textAlignment w:val="auto"/>
    </w:pPr>
    <w:rPr>
      <w:lang w:val="es-ES_tradnl"/>
    </w:rPr>
  </w:style>
  <w:style w:type="paragraph" w:styleId="Index7">
    <w:name w:val="index 7"/>
    <w:basedOn w:val="Normal"/>
    <w:next w:val="Normal"/>
    <w:autoRedefine/>
    <w:semiHidden/>
    <w:unhideWhenUsed/>
    <w:rsid w:val="00133FCF"/>
    <w:pPr>
      <w:tabs>
        <w:tab w:val="clear" w:pos="1134"/>
        <w:tab w:val="clear" w:pos="1871"/>
        <w:tab w:val="clear" w:pos="2268"/>
        <w:tab w:val="left" w:pos="794"/>
        <w:tab w:val="left" w:pos="1191"/>
        <w:tab w:val="left" w:pos="1588"/>
        <w:tab w:val="left" w:pos="1985"/>
      </w:tabs>
      <w:ind w:left="1698"/>
      <w:textAlignment w:val="auto"/>
    </w:pPr>
    <w:rPr>
      <w:lang w:val="es-ES_tradnl"/>
    </w:rPr>
  </w:style>
  <w:style w:type="paragraph" w:styleId="TOC9">
    <w:name w:val="toc 9"/>
    <w:basedOn w:val="TOC3"/>
    <w:autoRedefine/>
    <w:semiHidden/>
    <w:unhideWhenUsed/>
    <w:rsid w:val="00133FCF"/>
    <w:pPr>
      <w:tabs>
        <w:tab w:val="clear" w:pos="1871"/>
        <w:tab w:val="clear" w:pos="7938"/>
        <w:tab w:val="left" w:pos="964"/>
        <w:tab w:val="left" w:leader="dot" w:pos="8647"/>
      </w:tabs>
      <w:ind w:left="964" w:hanging="964"/>
      <w:textAlignment w:val="auto"/>
    </w:pPr>
  </w:style>
  <w:style w:type="paragraph" w:styleId="IndexHeading">
    <w:name w:val="index heading"/>
    <w:basedOn w:val="Normal"/>
    <w:next w:val="Index1"/>
    <w:semiHidden/>
    <w:unhideWhenUsed/>
    <w:rsid w:val="00133FCF"/>
    <w:pPr>
      <w:tabs>
        <w:tab w:val="clear" w:pos="1134"/>
        <w:tab w:val="clear" w:pos="1871"/>
        <w:tab w:val="clear" w:pos="2268"/>
        <w:tab w:val="left" w:pos="794"/>
        <w:tab w:val="left" w:pos="1191"/>
        <w:tab w:val="left" w:pos="1588"/>
        <w:tab w:val="left" w:pos="1985"/>
      </w:tabs>
      <w:textAlignment w:val="auto"/>
    </w:pPr>
    <w:rPr>
      <w:lang w:val="es-ES_tradnl"/>
    </w:rPr>
  </w:style>
  <w:style w:type="paragraph" w:customStyle="1" w:styleId="toc0">
    <w:name w:val="toc 0"/>
    <w:basedOn w:val="Normal"/>
    <w:next w:val="TOC1"/>
    <w:rsid w:val="00133FCF"/>
    <w:pPr>
      <w:tabs>
        <w:tab w:val="clear" w:pos="1134"/>
        <w:tab w:val="clear" w:pos="1871"/>
        <w:tab w:val="clear" w:pos="2268"/>
        <w:tab w:val="right" w:pos="9781"/>
      </w:tabs>
      <w:textAlignment w:val="auto"/>
    </w:pPr>
    <w:rPr>
      <w:b/>
      <w:lang w:val="es-ES_tradnl"/>
    </w:rPr>
  </w:style>
  <w:style w:type="paragraph" w:customStyle="1" w:styleId="ASN1">
    <w:name w:val="ASN.1"/>
    <w:basedOn w:val="Normal"/>
    <w:rsid w:val="00133FCF"/>
    <w:pPr>
      <w:tabs>
        <w:tab w:val="clear" w:pos="1871"/>
        <w:tab w:val="left" w:pos="567"/>
        <w:tab w:val="left" w:pos="1701"/>
        <w:tab w:val="left" w:pos="2835"/>
        <w:tab w:val="left" w:pos="3402"/>
        <w:tab w:val="left" w:pos="3969"/>
        <w:tab w:val="left" w:pos="4536"/>
        <w:tab w:val="left" w:pos="5103"/>
        <w:tab w:val="left" w:pos="5670"/>
      </w:tabs>
      <w:spacing w:before="0"/>
      <w:textAlignment w:val="auto"/>
    </w:pPr>
    <w:rPr>
      <w:rFonts w:ascii="Times New Roman Bold" w:hAnsi="Times New Roman Bold"/>
      <w:b/>
      <w:noProof/>
      <w:sz w:val="20"/>
      <w:lang w:val="es-ES_tradnl"/>
    </w:rPr>
  </w:style>
  <w:style w:type="paragraph" w:customStyle="1" w:styleId="ddate">
    <w:name w:val="ddate"/>
    <w:basedOn w:val="Normal"/>
    <w:rsid w:val="00133FCF"/>
    <w:pPr>
      <w:framePr w:hSpace="181" w:wrap="around" w:vAnchor="page" w:hAnchor="margin" w:y="852"/>
      <w:shd w:val="solid" w:color="FFFFFF" w:fill="FFFFFF"/>
      <w:spacing w:before="0"/>
      <w:textAlignment w:val="auto"/>
    </w:pPr>
    <w:rPr>
      <w:b/>
      <w:bCs/>
      <w:lang w:val="es-ES_tradnl"/>
    </w:rPr>
  </w:style>
  <w:style w:type="paragraph" w:customStyle="1" w:styleId="dnum">
    <w:name w:val="dnum"/>
    <w:basedOn w:val="Normal"/>
    <w:rsid w:val="00133FCF"/>
    <w:pPr>
      <w:framePr w:hSpace="181" w:wrap="around" w:vAnchor="page" w:hAnchor="margin" w:y="852"/>
      <w:shd w:val="solid" w:color="FFFFFF" w:fill="FFFFFF"/>
      <w:textAlignment w:val="auto"/>
    </w:pPr>
    <w:rPr>
      <w:b/>
      <w:bCs/>
      <w:lang w:val="es-ES_tradnl"/>
    </w:rPr>
  </w:style>
  <w:style w:type="paragraph" w:customStyle="1" w:styleId="dorlang">
    <w:name w:val="dorlang"/>
    <w:basedOn w:val="Normal"/>
    <w:rsid w:val="00133FCF"/>
    <w:pPr>
      <w:framePr w:hSpace="181" w:wrap="around" w:vAnchor="page" w:hAnchor="margin" w:y="852"/>
      <w:shd w:val="solid" w:color="FFFFFF" w:fill="FFFFFF"/>
      <w:spacing w:before="0"/>
      <w:textAlignment w:val="auto"/>
    </w:pPr>
    <w:rPr>
      <w:b/>
      <w:bCs/>
      <w:lang w:val="es-ES_tradnl"/>
    </w:rPr>
  </w:style>
  <w:style w:type="paragraph" w:customStyle="1" w:styleId="Recref">
    <w:name w:val="Rec_ref"/>
    <w:basedOn w:val="Rectitle"/>
    <w:next w:val="Recdate"/>
    <w:rsid w:val="00133FCF"/>
    <w:pPr>
      <w:tabs>
        <w:tab w:val="clear" w:pos="1134"/>
        <w:tab w:val="clear" w:pos="1871"/>
        <w:tab w:val="clear" w:pos="2268"/>
      </w:tabs>
      <w:spacing w:before="120"/>
      <w:textAlignment w:val="auto"/>
    </w:pPr>
    <w:rPr>
      <w:b w:val="0"/>
      <w:i/>
      <w:sz w:val="24"/>
      <w:lang w:val="es-ES_tradnl"/>
    </w:rPr>
  </w:style>
  <w:style w:type="paragraph" w:customStyle="1" w:styleId="Questionref">
    <w:name w:val="Question_ref"/>
    <w:basedOn w:val="Recref"/>
    <w:next w:val="Questiondate"/>
    <w:rsid w:val="00133FCF"/>
  </w:style>
  <w:style w:type="paragraph" w:customStyle="1" w:styleId="Reftext">
    <w:name w:val="Ref_text"/>
    <w:basedOn w:val="Normal"/>
    <w:rsid w:val="00133FCF"/>
    <w:pPr>
      <w:tabs>
        <w:tab w:val="clear" w:pos="1134"/>
        <w:tab w:val="clear" w:pos="1871"/>
        <w:tab w:val="clear" w:pos="2268"/>
        <w:tab w:val="left" w:pos="794"/>
        <w:tab w:val="left" w:pos="1191"/>
        <w:tab w:val="left" w:pos="1588"/>
        <w:tab w:val="left" w:pos="1985"/>
      </w:tabs>
      <w:ind w:left="794" w:hanging="794"/>
      <w:textAlignment w:val="auto"/>
    </w:pPr>
    <w:rPr>
      <w:lang w:val="es-ES_tradnl"/>
    </w:rPr>
  </w:style>
  <w:style w:type="paragraph" w:customStyle="1" w:styleId="Reftitle">
    <w:name w:val="Ref_title"/>
    <w:basedOn w:val="Normal"/>
    <w:next w:val="Reftext"/>
    <w:rsid w:val="00133FCF"/>
    <w:pPr>
      <w:tabs>
        <w:tab w:val="clear" w:pos="1134"/>
        <w:tab w:val="clear" w:pos="1871"/>
        <w:tab w:val="clear" w:pos="2268"/>
        <w:tab w:val="left" w:pos="794"/>
        <w:tab w:val="left" w:pos="1191"/>
        <w:tab w:val="left" w:pos="1588"/>
        <w:tab w:val="left" w:pos="1985"/>
      </w:tabs>
      <w:spacing w:before="480"/>
      <w:jc w:val="center"/>
      <w:textAlignment w:val="auto"/>
    </w:pPr>
    <w:rPr>
      <w:caps/>
      <w:lang w:val="es-ES_tradnl"/>
    </w:rPr>
  </w:style>
  <w:style w:type="paragraph" w:customStyle="1" w:styleId="Repdate">
    <w:name w:val="Rep_date"/>
    <w:basedOn w:val="Recdate"/>
    <w:next w:val="Normalaftertitle"/>
    <w:rsid w:val="00133FCF"/>
    <w:pPr>
      <w:tabs>
        <w:tab w:val="clear" w:pos="1134"/>
        <w:tab w:val="clear" w:pos="1871"/>
        <w:tab w:val="clear" w:pos="2268"/>
      </w:tabs>
      <w:textAlignment w:val="auto"/>
    </w:pPr>
    <w:rPr>
      <w:i/>
      <w:lang w:val="es-ES_tradnl"/>
    </w:rPr>
  </w:style>
  <w:style w:type="paragraph" w:customStyle="1" w:styleId="Reptitle">
    <w:name w:val="Rep_title"/>
    <w:basedOn w:val="Rectitle"/>
    <w:next w:val="Repref"/>
    <w:rsid w:val="00133FCF"/>
    <w:pPr>
      <w:tabs>
        <w:tab w:val="clear" w:pos="1134"/>
        <w:tab w:val="clear" w:pos="1871"/>
        <w:tab w:val="clear" w:pos="2268"/>
        <w:tab w:val="left" w:pos="794"/>
        <w:tab w:val="left" w:pos="1191"/>
        <w:tab w:val="left" w:pos="1588"/>
        <w:tab w:val="left" w:pos="1985"/>
      </w:tabs>
      <w:textAlignment w:val="auto"/>
    </w:pPr>
    <w:rPr>
      <w:lang w:val="es-ES_tradnl"/>
    </w:rPr>
  </w:style>
  <w:style w:type="paragraph" w:customStyle="1" w:styleId="RepNo">
    <w:name w:val="Rep_No"/>
    <w:basedOn w:val="RecNo"/>
    <w:next w:val="Reptitle"/>
    <w:rsid w:val="00133FCF"/>
    <w:pPr>
      <w:tabs>
        <w:tab w:val="clear" w:pos="1134"/>
        <w:tab w:val="clear" w:pos="1871"/>
        <w:tab w:val="clear" w:pos="2268"/>
        <w:tab w:val="left" w:pos="794"/>
        <w:tab w:val="left" w:pos="1191"/>
        <w:tab w:val="left" w:pos="1588"/>
        <w:tab w:val="left" w:pos="1985"/>
      </w:tabs>
      <w:textAlignment w:val="auto"/>
    </w:pPr>
    <w:rPr>
      <w:lang w:val="es-ES_tradnl"/>
    </w:rPr>
  </w:style>
  <w:style w:type="paragraph" w:customStyle="1" w:styleId="Repref">
    <w:name w:val="Rep_ref"/>
    <w:basedOn w:val="Recref"/>
    <w:next w:val="Repdate"/>
    <w:rsid w:val="00133FCF"/>
  </w:style>
  <w:style w:type="paragraph" w:customStyle="1" w:styleId="Resdate">
    <w:name w:val="Res_date"/>
    <w:basedOn w:val="Recdate"/>
    <w:next w:val="Normalaftertitle"/>
    <w:rsid w:val="00133FCF"/>
    <w:pPr>
      <w:tabs>
        <w:tab w:val="clear" w:pos="1134"/>
        <w:tab w:val="clear" w:pos="1871"/>
        <w:tab w:val="clear" w:pos="2268"/>
      </w:tabs>
      <w:textAlignment w:val="auto"/>
    </w:pPr>
    <w:rPr>
      <w:i/>
      <w:lang w:val="es-ES_tradnl"/>
    </w:rPr>
  </w:style>
  <w:style w:type="paragraph" w:customStyle="1" w:styleId="Resref">
    <w:name w:val="Res_ref"/>
    <w:basedOn w:val="Recref"/>
    <w:next w:val="Resdate"/>
    <w:rsid w:val="00133FCF"/>
  </w:style>
  <w:style w:type="paragraph" w:customStyle="1" w:styleId="Priorityarea">
    <w:name w:val="Priorityarea"/>
    <w:basedOn w:val="Normal"/>
    <w:qFormat/>
    <w:rsid w:val="00133FCF"/>
    <w:pPr>
      <w:tabs>
        <w:tab w:val="clear" w:pos="1134"/>
        <w:tab w:val="clear" w:pos="1871"/>
        <w:tab w:val="left" w:pos="1985"/>
      </w:tabs>
      <w:spacing w:before="20"/>
      <w:textAlignment w:val="auto"/>
    </w:pPr>
    <w:rPr>
      <w:lang w:val="es-ES_tradnl"/>
    </w:rPr>
  </w:style>
  <w:style w:type="paragraph" w:customStyle="1" w:styleId="Section10">
    <w:name w:val="Section 1"/>
    <w:basedOn w:val="ChapNo"/>
    <w:next w:val="Normal"/>
    <w:rsid w:val="00133FCF"/>
    <w:pPr>
      <w:tabs>
        <w:tab w:val="clear" w:pos="1134"/>
        <w:tab w:val="clear" w:pos="1871"/>
        <w:tab w:val="clear" w:pos="2268"/>
        <w:tab w:val="left" w:pos="794"/>
        <w:tab w:val="left" w:pos="1191"/>
        <w:tab w:val="left" w:pos="1588"/>
        <w:tab w:val="left" w:pos="1985"/>
      </w:tabs>
      <w:textAlignment w:val="auto"/>
    </w:pPr>
    <w:rPr>
      <w:caps w:val="0"/>
      <w:lang w:val="es-ES_tradnl"/>
    </w:rPr>
  </w:style>
  <w:style w:type="character" w:styleId="PageNumber">
    <w:name w:val="page number"/>
    <w:basedOn w:val="DefaultParagraphFont"/>
    <w:unhideWhenUsed/>
    <w:rsid w:val="00133FCF"/>
    <w:rPr>
      <w:rFonts w:asciiTheme="minorHAnsi" w:hAnsiTheme="minorHAnsi" w:cs="Calibri" w:hint="default"/>
    </w:rPr>
  </w:style>
  <w:style w:type="character" w:styleId="EndnoteReference">
    <w:name w:val="endnote reference"/>
    <w:basedOn w:val="DefaultParagraphFont"/>
    <w:semiHidden/>
    <w:unhideWhenUsed/>
    <w:rsid w:val="00133FCF"/>
    <w:rPr>
      <w:vertAlign w:val="superscript"/>
    </w:rPr>
  </w:style>
  <w:style w:type="character" w:customStyle="1" w:styleId="Recdef">
    <w:name w:val="Rec_def"/>
    <w:basedOn w:val="DefaultParagraphFont"/>
    <w:rsid w:val="00133FCF"/>
    <w:rPr>
      <w:rFonts w:asciiTheme="minorHAnsi" w:hAnsiTheme="minorHAnsi" w:cs="Calibri" w:hint="default"/>
      <w:b/>
      <w:bCs w:val="0"/>
    </w:rPr>
  </w:style>
  <w:style w:type="character" w:customStyle="1" w:styleId="Resdef">
    <w:name w:val="Res_def"/>
    <w:basedOn w:val="DefaultParagraphFont"/>
    <w:rsid w:val="00133FCF"/>
    <w:rPr>
      <w:rFonts w:asciiTheme="minorHAnsi" w:hAnsiTheme="minorHAnsi" w:cs="Calibri" w:hint="default"/>
      <w:b/>
      <w:bCs w:val="0"/>
    </w:rPr>
  </w:style>
  <w:style w:type="table" w:styleId="TableGrid">
    <w:name w:val="Table Grid"/>
    <w:basedOn w:val="TableNormal"/>
    <w:uiPriority w:val="39"/>
    <w:rsid w:val="00133FCF"/>
    <w:rPr>
      <w:rFonts w:ascii="CG Times" w:hAnsi="CG Time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rsid w:val="00133FCF"/>
    <w:rPr>
      <w:rFonts w:asciiTheme="minorHAnsi" w:hAnsiTheme="minorHAnsi"/>
    </w:rPr>
  </w:style>
  <w:style w:type="paragraph" w:styleId="BodyText">
    <w:name w:val="Body Text"/>
    <w:basedOn w:val="Normal"/>
    <w:link w:val="BodyTextChar"/>
    <w:uiPriority w:val="99"/>
    <w:unhideWhenUsed/>
    <w:rsid w:val="00133FCF"/>
    <w:pPr>
      <w:framePr w:hSpace="180" w:wrap="around" w:hAnchor="margin" w:y="-492"/>
      <w:tabs>
        <w:tab w:val="clear" w:pos="1134"/>
        <w:tab w:val="clear" w:pos="1871"/>
        <w:tab w:val="clear" w:pos="2268"/>
        <w:tab w:val="left" w:pos="794"/>
        <w:tab w:val="left" w:pos="1191"/>
        <w:tab w:val="left" w:pos="1588"/>
        <w:tab w:val="left" w:pos="1985"/>
      </w:tabs>
      <w:spacing w:after="120"/>
    </w:pPr>
    <w:rPr>
      <w:rFonts w:eastAsia="Batang"/>
      <w:color w:val="242424"/>
      <w:szCs w:val="24"/>
      <w:shd w:val="clear" w:color="auto" w:fill="FFFFFF"/>
    </w:rPr>
  </w:style>
  <w:style w:type="character" w:customStyle="1" w:styleId="BodyTextChar">
    <w:name w:val="Body Text Char"/>
    <w:basedOn w:val="DefaultParagraphFont"/>
    <w:link w:val="BodyText"/>
    <w:uiPriority w:val="99"/>
    <w:rsid w:val="00133FCF"/>
    <w:rPr>
      <w:rFonts w:asciiTheme="minorHAnsi" w:eastAsia="Batang" w:hAnsiTheme="minorHAnsi"/>
      <w:color w:val="242424"/>
      <w:sz w:val="24"/>
      <w:szCs w:val="24"/>
      <w:lang w:val="en-GB" w:eastAsia="en-US"/>
    </w:rPr>
  </w:style>
  <w:style w:type="paragraph" w:styleId="TOCHeading">
    <w:name w:val="TOC Heading"/>
    <w:basedOn w:val="Heading1"/>
    <w:next w:val="Normal"/>
    <w:uiPriority w:val="39"/>
    <w:unhideWhenUsed/>
    <w:qFormat/>
    <w:rsid w:val="00133FCF"/>
    <w:pPr>
      <w:tabs>
        <w:tab w:val="clear" w:pos="1134"/>
        <w:tab w:val="clear" w:pos="1871"/>
        <w:tab w:val="clear" w:pos="2268"/>
        <w:tab w:val="left" w:pos="794"/>
        <w:tab w:val="left" w:pos="1191"/>
        <w:tab w:val="left" w:pos="1588"/>
        <w:tab w:val="left" w:pos="1985"/>
      </w:tabs>
      <w:spacing w:before="240"/>
      <w:ind w:left="0" w:firstLine="0"/>
      <w:outlineLvl w:val="9"/>
    </w:pPr>
    <w:rPr>
      <w:rFonts w:asciiTheme="majorHAnsi" w:eastAsiaTheme="majorEastAsia" w:hAnsiTheme="majorHAnsi" w:cstheme="majorBidi"/>
      <w:b w:val="0"/>
      <w:color w:val="365F91" w:themeColor="accent1" w:themeShade="BF"/>
      <w:sz w:val="32"/>
      <w:szCs w:val="32"/>
      <w:lang w:val="fr-FR"/>
    </w:rPr>
  </w:style>
  <w:style w:type="numbering" w:customStyle="1" w:styleId="NoList1">
    <w:name w:val="No List1"/>
    <w:next w:val="NoList"/>
    <w:uiPriority w:val="99"/>
    <w:semiHidden/>
    <w:unhideWhenUsed/>
    <w:rsid w:val="00133FCF"/>
  </w:style>
  <w:style w:type="character" w:styleId="CommentReference">
    <w:name w:val="annotation reference"/>
    <w:basedOn w:val="DefaultParagraphFont"/>
    <w:uiPriority w:val="99"/>
    <w:unhideWhenUsed/>
    <w:rsid w:val="00133FCF"/>
    <w:rPr>
      <w:sz w:val="16"/>
      <w:szCs w:val="16"/>
    </w:rPr>
  </w:style>
  <w:style w:type="paragraph" w:styleId="CommentText">
    <w:name w:val="annotation text"/>
    <w:basedOn w:val="Normal"/>
    <w:link w:val="CommentTextChar"/>
    <w:uiPriority w:val="99"/>
    <w:unhideWhenUsed/>
    <w:rsid w:val="00133FCF"/>
    <w:pPr>
      <w:widowControl w:val="0"/>
      <w:tabs>
        <w:tab w:val="clear" w:pos="1134"/>
        <w:tab w:val="clear" w:pos="1871"/>
        <w:tab w:val="clear" w:pos="2268"/>
        <w:tab w:val="left" w:pos="794"/>
        <w:tab w:val="left" w:pos="1191"/>
        <w:tab w:val="left" w:pos="1588"/>
        <w:tab w:val="left" w:pos="1985"/>
      </w:tabs>
      <w:spacing w:before="0"/>
      <w:jc w:val="both"/>
    </w:pPr>
    <w:rPr>
      <w:rFonts w:eastAsia="Batang"/>
      <w:sz w:val="20"/>
    </w:rPr>
  </w:style>
  <w:style w:type="character" w:customStyle="1" w:styleId="CommentTextChar">
    <w:name w:val="Comment Text Char"/>
    <w:basedOn w:val="DefaultParagraphFont"/>
    <w:link w:val="CommentText"/>
    <w:uiPriority w:val="99"/>
    <w:rsid w:val="00133FCF"/>
    <w:rPr>
      <w:rFonts w:asciiTheme="minorHAnsi" w:eastAsia="Batang" w:hAnsiTheme="minorHAnsi"/>
      <w:lang w:val="en-GB" w:eastAsia="en-US"/>
    </w:rPr>
  </w:style>
  <w:style w:type="character" w:customStyle="1" w:styleId="normaltextrun">
    <w:name w:val="normaltextrun"/>
    <w:basedOn w:val="DefaultParagraphFont"/>
    <w:rsid w:val="00133FCF"/>
  </w:style>
  <w:style w:type="character" w:customStyle="1" w:styleId="ListParagraphChar">
    <w:name w:val="List Paragraph Char"/>
    <w:aliases w:val="List Paragraph1 Char,List Paragraph11 Char,Recommendation Char"/>
    <w:basedOn w:val="DefaultParagraphFont"/>
    <w:link w:val="ListParagraph"/>
    <w:uiPriority w:val="34"/>
    <w:rsid w:val="00133FCF"/>
    <w:rPr>
      <w:rFonts w:asciiTheme="minorHAnsi" w:hAnsiTheme="minorHAnsi"/>
      <w:sz w:val="24"/>
      <w:lang w:val="en-GB" w:eastAsia="en-US"/>
    </w:rPr>
  </w:style>
  <w:style w:type="paragraph" w:styleId="CommentSubject">
    <w:name w:val="annotation subject"/>
    <w:basedOn w:val="CommentText"/>
    <w:next w:val="CommentText"/>
    <w:link w:val="CommentSubjectChar"/>
    <w:uiPriority w:val="99"/>
    <w:semiHidden/>
    <w:unhideWhenUsed/>
    <w:rsid w:val="00133FCF"/>
    <w:pPr>
      <w:widowControl/>
    </w:pPr>
    <w:rPr>
      <w:b/>
      <w:bCs/>
    </w:rPr>
  </w:style>
  <w:style w:type="character" w:customStyle="1" w:styleId="CommentSubjectChar">
    <w:name w:val="Comment Subject Char"/>
    <w:basedOn w:val="CommentTextChar"/>
    <w:link w:val="CommentSubject"/>
    <w:uiPriority w:val="99"/>
    <w:semiHidden/>
    <w:rsid w:val="00133FCF"/>
    <w:rPr>
      <w:rFonts w:asciiTheme="minorHAnsi" w:eastAsia="Batang" w:hAnsiTheme="minorHAnsi"/>
      <w:b/>
      <w:bCs/>
      <w:lang w:val="en-GB" w:eastAsia="en-US"/>
    </w:rPr>
  </w:style>
  <w:style w:type="paragraph" w:styleId="Revision">
    <w:name w:val="Revision"/>
    <w:hidden/>
    <w:uiPriority w:val="99"/>
    <w:semiHidden/>
    <w:rsid w:val="00133FCF"/>
    <w:rPr>
      <w:rFonts w:asciiTheme="minorHAnsi" w:eastAsia="Batang" w:hAnsiTheme="minorHAnsi"/>
      <w:sz w:val="28"/>
      <w:lang w:val="en-GB" w:eastAsia="en-US"/>
    </w:rPr>
  </w:style>
  <w:style w:type="paragraph" w:styleId="NormalWeb">
    <w:name w:val="Normal (Web)"/>
    <w:basedOn w:val="Normal"/>
    <w:uiPriority w:val="99"/>
    <w:unhideWhenUsed/>
    <w:rsid w:val="00133FCF"/>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Footnote">
    <w:name w:val="Footnote"/>
    <w:basedOn w:val="FootnoteText"/>
    <w:link w:val="FootnoteChar"/>
    <w:qFormat/>
    <w:rsid w:val="00133FCF"/>
    <w:pPr>
      <w:tabs>
        <w:tab w:val="clear" w:pos="255"/>
        <w:tab w:val="clear" w:pos="1134"/>
        <w:tab w:val="clear" w:pos="1871"/>
        <w:tab w:val="clear" w:pos="2268"/>
        <w:tab w:val="left" w:pos="284"/>
        <w:tab w:val="left" w:pos="794"/>
        <w:tab w:val="left" w:pos="1191"/>
        <w:tab w:val="left" w:pos="1588"/>
        <w:tab w:val="left" w:pos="1985"/>
      </w:tabs>
      <w:spacing w:before="0"/>
      <w:ind w:left="284" w:hanging="284"/>
      <w:jc w:val="both"/>
    </w:pPr>
    <w:rPr>
      <w:rFonts w:eastAsia="Batang"/>
      <w:bCs/>
    </w:rPr>
  </w:style>
  <w:style w:type="character" w:customStyle="1" w:styleId="FootnoteChar">
    <w:name w:val="Footnote Char"/>
    <w:basedOn w:val="FootnoteTextChar"/>
    <w:link w:val="Footnote"/>
    <w:rsid w:val="00133FCF"/>
    <w:rPr>
      <w:rFonts w:asciiTheme="minorHAnsi" w:eastAsia="Batang" w:hAnsiTheme="minorHAnsi"/>
      <w:bCs/>
      <w:sz w:val="24"/>
      <w:lang w:val="en-GB" w:eastAsia="en-US"/>
    </w:rPr>
  </w:style>
  <w:style w:type="character" w:customStyle="1" w:styleId="FollowedHyperlink1">
    <w:name w:val="FollowedHyperlink1"/>
    <w:basedOn w:val="DefaultParagraphFont"/>
    <w:uiPriority w:val="99"/>
    <w:semiHidden/>
    <w:unhideWhenUsed/>
    <w:rsid w:val="00133FCF"/>
    <w:rPr>
      <w:color w:val="954F72"/>
      <w:u w:val="single"/>
    </w:rPr>
  </w:style>
  <w:style w:type="character" w:customStyle="1" w:styleId="Mention1">
    <w:name w:val="Mention1"/>
    <w:basedOn w:val="DefaultParagraphFont"/>
    <w:uiPriority w:val="99"/>
    <w:unhideWhenUsed/>
    <w:rsid w:val="00133FCF"/>
    <w:rPr>
      <w:color w:val="2B579A"/>
      <w:shd w:val="clear" w:color="auto" w:fill="E6E6E6"/>
    </w:rPr>
  </w:style>
  <w:style w:type="character" w:customStyle="1" w:styleId="SourceChar">
    <w:name w:val="Source Char"/>
    <w:link w:val="Source"/>
    <w:locked/>
    <w:rsid w:val="00133FCF"/>
    <w:rPr>
      <w:rFonts w:asciiTheme="minorHAnsi" w:hAnsiTheme="minorHAnsi"/>
      <w:b/>
      <w:sz w:val="28"/>
      <w:lang w:val="en-GB" w:eastAsia="en-US"/>
    </w:rPr>
  </w:style>
  <w:style w:type="character" w:customStyle="1" w:styleId="Title1Char">
    <w:name w:val="Title 1 Char"/>
    <w:basedOn w:val="DefaultParagraphFont"/>
    <w:link w:val="Title1"/>
    <w:qFormat/>
    <w:locked/>
    <w:rsid w:val="00133FCF"/>
    <w:rPr>
      <w:rFonts w:asciiTheme="minorHAnsi" w:hAnsiTheme="minorHAnsi"/>
      <w:caps/>
      <w:sz w:val="28"/>
      <w:lang w:val="en-GB" w:eastAsia="en-US"/>
    </w:rPr>
  </w:style>
  <w:style w:type="table" w:customStyle="1" w:styleId="GridTable1Light-Accent11">
    <w:name w:val="Grid Table 1 Light - Accent 11"/>
    <w:basedOn w:val="TableNormal"/>
    <w:next w:val="GridTable1Light-Accent1"/>
    <w:uiPriority w:val="46"/>
    <w:rsid w:val="00133FCF"/>
    <w:rPr>
      <w:rFonts w:asciiTheme="minorHAnsi" w:eastAsia="Calibri" w:hAnsiTheme="minorHAnsi" w:cstheme="minorBidi"/>
      <w:sz w:val="22"/>
      <w:szCs w:val="22"/>
      <w:lang w:val="fr-CH"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33FCF"/>
    <w:rPr>
      <w:rFonts w:asciiTheme="minorHAnsi" w:eastAsiaTheme="minorEastAsia" w:hAnsiTheme="minorHAnsi" w:cstheme="minorBidi"/>
      <w:sz w:val="22"/>
      <w:szCs w:val="22"/>
      <w:lang w:val="fr-F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33FCF"/>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Notitle">
    <w:name w:val="Figure_No &amp; title"/>
    <w:basedOn w:val="Normal"/>
    <w:next w:val="Normal"/>
    <w:rsid w:val="00133FCF"/>
    <w:pPr>
      <w:keepNext/>
      <w:keepLines/>
      <w:tabs>
        <w:tab w:val="clear" w:pos="1134"/>
        <w:tab w:val="clear" w:pos="1871"/>
        <w:tab w:val="clear" w:pos="2268"/>
        <w:tab w:val="left" w:pos="794"/>
        <w:tab w:val="left" w:pos="1191"/>
        <w:tab w:val="left" w:pos="1588"/>
        <w:tab w:val="left" w:pos="1985"/>
      </w:tabs>
      <w:spacing w:before="240" w:after="120"/>
      <w:jc w:val="center"/>
    </w:pPr>
    <w:rPr>
      <w:b/>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07334425">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674994571">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package" Target="embeddings/Microsoft_PowerPoint_Slide1.sl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Slide.sldx"/><Relationship Id="rId20"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tu.int/go/wtdc17cpi" TargetMode="External"/><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s://www.itu.int/es/ITU-D/Conferences/WTDC/WTDC21/Pages/default.aspx" TargetMode="External"/><Relationship Id="rId1" Type="http://schemas.openxmlformats.org/officeDocument/2006/relationships/hyperlink" Target="mailto:stephen.bereaux@itu.in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unsdg.un.org/sites/default/files/UNDG-RBM-Handbook-2012.pdf" TargetMode="External"/><Relationship Id="rId18" Type="http://schemas.openxmlformats.org/officeDocument/2006/relationships/hyperlink" Target="https://www.itu.int/md/S22-CWGSFP4-C-0002/es" TargetMode="External"/><Relationship Id="rId26" Type="http://schemas.openxmlformats.org/officeDocument/2006/relationships/hyperlink" Target="https://www.itu.int/md/S22-CWGSFP4-C-0002/es" TargetMode="External"/><Relationship Id="rId39" Type="http://schemas.openxmlformats.org/officeDocument/2006/relationships/hyperlink" Target="https://www.itu.int/md/S22-CWGSFP4-C-0002/es" TargetMode="External"/><Relationship Id="rId21" Type="http://schemas.openxmlformats.org/officeDocument/2006/relationships/hyperlink" Target="https://www.itu.int/md/S22-CWGSFP4-C-0002/es" TargetMode="External"/><Relationship Id="rId34" Type="http://schemas.openxmlformats.org/officeDocument/2006/relationships/hyperlink" Target="https://www.itu.int/md/S22-CWGSFP4-C-0002/es" TargetMode="External"/><Relationship Id="rId42" Type="http://schemas.openxmlformats.org/officeDocument/2006/relationships/hyperlink" Target="https://www.itu.int/md/D18-TDAG29-211108-TD-0013/es" TargetMode="External"/><Relationship Id="rId47" Type="http://schemas.openxmlformats.org/officeDocument/2006/relationships/hyperlink" Target="https://www.itu.int/md/D18-TDAG29-211108-TD-0013/es" TargetMode="External"/><Relationship Id="rId50" Type="http://schemas.openxmlformats.org/officeDocument/2006/relationships/hyperlink" Target="https://www.itu.int/md/D18-TDAG29-211108-TD-0013/es" TargetMode="External"/><Relationship Id="rId55" Type="http://schemas.openxmlformats.org/officeDocument/2006/relationships/hyperlink" Target="https://www.itu.int/md/D18-TDAG29-211108-TD-0013/es" TargetMode="External"/><Relationship Id="rId63" Type="http://schemas.openxmlformats.org/officeDocument/2006/relationships/hyperlink" Target="https://www.itu.int/md/D18-TDAG29-211108-TD-0013/es" TargetMode="External"/><Relationship Id="rId68" Type="http://schemas.openxmlformats.org/officeDocument/2006/relationships/hyperlink" Target="https://www.itu.int/md/D18-TDAG29-211108-TD-0013/es" TargetMode="External"/><Relationship Id="rId7" Type="http://schemas.openxmlformats.org/officeDocument/2006/relationships/hyperlink" Target="https://unsdg.un.org/sites/default/files/UNDG-RBM-Handbook-2012.pdf" TargetMode="External"/><Relationship Id="rId2" Type="http://schemas.openxmlformats.org/officeDocument/2006/relationships/hyperlink" Target="https://www.itu.int/md/S22-CWGSFP4-C-0002/es" TargetMode="External"/><Relationship Id="rId16" Type="http://schemas.openxmlformats.org/officeDocument/2006/relationships/hyperlink" Target="https://www.itu.int/en/ITU-D/Conferences/WTDC/WTDC17/Documents/WTDC17_FinalReport_en.pdf" TargetMode="External"/><Relationship Id="rId29" Type="http://schemas.openxmlformats.org/officeDocument/2006/relationships/hyperlink" Target="https://www.itu.int/md/S22-CWGSFP4-C-0002/es" TargetMode="External"/><Relationship Id="rId1" Type="http://schemas.openxmlformats.org/officeDocument/2006/relationships/hyperlink" Target="https://www.itu.int/md/S22-CWGSFP4-C-0002/es" TargetMode="External"/><Relationship Id="rId6" Type="http://schemas.openxmlformats.org/officeDocument/2006/relationships/hyperlink" Target="https://unsdg.un.org/sites/default/files/UNDG-RBM-Handbook-2012.pdf" TargetMode="External"/><Relationship Id="rId11" Type="http://schemas.openxmlformats.org/officeDocument/2006/relationships/hyperlink" Target="https://www.itu.int/en/ITU-D/Conferences/WTDC/WTDC17/Documents/WTDC17_final_report_es.pdf" TargetMode="External"/><Relationship Id="rId24" Type="http://schemas.openxmlformats.org/officeDocument/2006/relationships/hyperlink" Target="https://www.itu.int/md/S22-CWGSFP4-C-0002/es" TargetMode="External"/><Relationship Id="rId32" Type="http://schemas.openxmlformats.org/officeDocument/2006/relationships/hyperlink" Target="https://www.itu.int/md/S22-CWGSFP4-C-0002/es" TargetMode="External"/><Relationship Id="rId37" Type="http://schemas.openxmlformats.org/officeDocument/2006/relationships/hyperlink" Target="https://www.itu.int/md/S22-CWGSFP4-C-0002/es" TargetMode="External"/><Relationship Id="rId40" Type="http://schemas.openxmlformats.org/officeDocument/2006/relationships/hyperlink" Target="https://www.itu.int/md/D18-TDAG29-211108-TD-0013/es" TargetMode="External"/><Relationship Id="rId45" Type="http://schemas.openxmlformats.org/officeDocument/2006/relationships/hyperlink" Target="https://www.itu.int/md/D18-TDAG29-211108-TD-0013/es" TargetMode="External"/><Relationship Id="rId53" Type="http://schemas.openxmlformats.org/officeDocument/2006/relationships/hyperlink" Target="https://www.itu.int/md/D18-TDAG29-211108-TD-0013/es" TargetMode="External"/><Relationship Id="rId58" Type="http://schemas.openxmlformats.org/officeDocument/2006/relationships/hyperlink" Target="https://www.itu.int/md/D18-TDAG29-211108-TD-0013/es" TargetMode="External"/><Relationship Id="rId66" Type="http://schemas.openxmlformats.org/officeDocument/2006/relationships/hyperlink" Target="https://www.itu.int/md/D18-TDAG29-211108-TD-0013/es" TargetMode="External"/><Relationship Id="rId5" Type="http://schemas.openxmlformats.org/officeDocument/2006/relationships/hyperlink" Target="https://unsdg.un.org/sites/default/files/UNDG-RBM-Handbook-2012.pdf" TargetMode="External"/><Relationship Id="rId15" Type="http://schemas.openxmlformats.org/officeDocument/2006/relationships/hyperlink" Target="https://www.itu.int/en/ITU-D/Conferences/WTDC/WTDC17/Documents/WTDC17_FinalReport_en.pdf" TargetMode="External"/><Relationship Id="rId23" Type="http://schemas.openxmlformats.org/officeDocument/2006/relationships/hyperlink" Target="https://www.itu.int/md/S22-CWGSFP4-C-0002/es" TargetMode="External"/><Relationship Id="rId28" Type="http://schemas.openxmlformats.org/officeDocument/2006/relationships/hyperlink" Target="https://www.itu.int/md/S22-CWGSFP4-C-0002/es" TargetMode="External"/><Relationship Id="rId36" Type="http://schemas.openxmlformats.org/officeDocument/2006/relationships/hyperlink" Target="https://www.itu.int/md/S22-CWGSFP4-C-0002/es" TargetMode="External"/><Relationship Id="rId49" Type="http://schemas.openxmlformats.org/officeDocument/2006/relationships/hyperlink" Target="https://www.itu.int/md/D18-TDAG29-211108-TD-0013/es" TargetMode="External"/><Relationship Id="rId57" Type="http://schemas.openxmlformats.org/officeDocument/2006/relationships/hyperlink" Target="https://www.itu.int/md/D18-TDAG29-211108-TD-0013/es" TargetMode="External"/><Relationship Id="rId61" Type="http://schemas.openxmlformats.org/officeDocument/2006/relationships/hyperlink" Target="https://www.itu.int/md/D18-TDAG29-211108-TD-0013/es" TargetMode="External"/><Relationship Id="rId10" Type="http://schemas.openxmlformats.org/officeDocument/2006/relationships/hyperlink" Target="https://www.itu.int/md/S22-CWGSFP4-C-0002/es" TargetMode="External"/><Relationship Id="rId19" Type="http://schemas.openxmlformats.org/officeDocument/2006/relationships/hyperlink" Target="https://www.itu.int/en/ITU-D/Conferences/WTDC/WTDC17/Documents/WTDC17_final_report_es.pdf" TargetMode="External"/><Relationship Id="rId31" Type="http://schemas.openxmlformats.org/officeDocument/2006/relationships/hyperlink" Target="https://www.itu.int/md/S22-CWGSFP4-C-0002/es" TargetMode="External"/><Relationship Id="rId44" Type="http://schemas.openxmlformats.org/officeDocument/2006/relationships/hyperlink" Target="https://www.itu.int/md/D18-TDAG29-211108-TD-0013/es" TargetMode="External"/><Relationship Id="rId52" Type="http://schemas.openxmlformats.org/officeDocument/2006/relationships/hyperlink" Target="https://www.itu.int/md/D18-TDAG29-211108-TD-0013/es" TargetMode="External"/><Relationship Id="rId60" Type="http://schemas.openxmlformats.org/officeDocument/2006/relationships/hyperlink" Target="https://www.itu.int/md/D18-TDAG29-211108-TD-0013/es" TargetMode="External"/><Relationship Id="rId65" Type="http://schemas.openxmlformats.org/officeDocument/2006/relationships/hyperlink" Target="https://www.itu.int/md/D18-TDAG29-211108-TD-0013/es" TargetMode="External"/><Relationship Id="rId4" Type="http://schemas.openxmlformats.org/officeDocument/2006/relationships/hyperlink" Target="https://www.itu.int/md/S22-CWGSFP4-C-0002/es" TargetMode="External"/><Relationship Id="rId9" Type="http://schemas.openxmlformats.org/officeDocument/2006/relationships/hyperlink" Target="https://www.itu.int/en/ITU-D/Conferences/WTDC/WTDC17/Documents/WTDC17_final_report_es.pdf" TargetMode="External"/><Relationship Id="rId14" Type="http://schemas.openxmlformats.org/officeDocument/2006/relationships/hyperlink" Target="https://www.itu.int/en/ITU-D/Conferences/WTDC/WTDC17/Documents/WTDC17_FinalReport_en.pdf" TargetMode="External"/><Relationship Id="rId22" Type="http://schemas.openxmlformats.org/officeDocument/2006/relationships/hyperlink" Target="https://www.itu.int/md/S22-CWGSFP4-C-0002/es" TargetMode="External"/><Relationship Id="rId27" Type="http://schemas.openxmlformats.org/officeDocument/2006/relationships/hyperlink" Target="https://www.itu.int/md/S22-CWGSFP4-C-0002/es" TargetMode="External"/><Relationship Id="rId30" Type="http://schemas.openxmlformats.org/officeDocument/2006/relationships/hyperlink" Target="https://www.itu.int/md/S22-CWGSFP4-C-0002/es" TargetMode="External"/><Relationship Id="rId35" Type="http://schemas.openxmlformats.org/officeDocument/2006/relationships/hyperlink" Target="https://www.itu.int/md/S22-CWGSFP4-C-0002/es" TargetMode="External"/><Relationship Id="rId43" Type="http://schemas.openxmlformats.org/officeDocument/2006/relationships/hyperlink" Target="https://www.itu.int/md/D18-TDAG29-211108-TD-0013/es" TargetMode="External"/><Relationship Id="rId48" Type="http://schemas.openxmlformats.org/officeDocument/2006/relationships/hyperlink" Target="https://www.itu.int/md/D18-TDAG29-211108-TD-0013/es" TargetMode="External"/><Relationship Id="rId56" Type="http://schemas.openxmlformats.org/officeDocument/2006/relationships/hyperlink" Target="https://www.itu.int/md/D18-TDAG29-211108-TD-0013/es" TargetMode="External"/><Relationship Id="rId64" Type="http://schemas.openxmlformats.org/officeDocument/2006/relationships/hyperlink" Target="https://www.itu.int/md/D18-TDAG29-211108-TD-0013/es" TargetMode="External"/><Relationship Id="rId8" Type="http://schemas.openxmlformats.org/officeDocument/2006/relationships/hyperlink" Target="https://www.itu.int/md/S22-CWGSFP4-C-0002/es" TargetMode="External"/><Relationship Id="rId51" Type="http://schemas.openxmlformats.org/officeDocument/2006/relationships/hyperlink" Target="https://www.itu.int/md/D18-TDAG29-211108-TD-0013/es" TargetMode="External"/><Relationship Id="rId3" Type="http://schemas.openxmlformats.org/officeDocument/2006/relationships/hyperlink" Target="https://unsdg.un.org/sites/default/files/UNDG-RBM-Handbook-2012.pdf" TargetMode="External"/><Relationship Id="rId12" Type="http://schemas.openxmlformats.org/officeDocument/2006/relationships/hyperlink" Target="https://unsdg.un.org/sites/default/files/UNDG-RBM-Handbook-2012.pdf" TargetMode="External"/><Relationship Id="rId17" Type="http://schemas.openxmlformats.org/officeDocument/2006/relationships/hyperlink" Target="https://www.itu.int/md/S22-CWGSFP4-C-0002/es" TargetMode="External"/><Relationship Id="rId25" Type="http://schemas.openxmlformats.org/officeDocument/2006/relationships/hyperlink" Target="https://www.itu.int/md/S22-CWGSFP4-C-0002/es" TargetMode="External"/><Relationship Id="rId33" Type="http://schemas.openxmlformats.org/officeDocument/2006/relationships/hyperlink" Target="https://www.itu.int/md/S22-CWGSFP4-C-0002/es" TargetMode="External"/><Relationship Id="rId38" Type="http://schemas.openxmlformats.org/officeDocument/2006/relationships/hyperlink" Target="https://www.itu.int/md/S22-CWGSFP4-C-0002/es" TargetMode="External"/><Relationship Id="rId46" Type="http://schemas.openxmlformats.org/officeDocument/2006/relationships/hyperlink" Target="https://www.itu.int/md/D18-TDAG29-211108-TD-0013/es" TargetMode="External"/><Relationship Id="rId59" Type="http://schemas.openxmlformats.org/officeDocument/2006/relationships/hyperlink" Target="https://www.itu.int/md/D18-TDAG29-211108-TD-0013/es" TargetMode="External"/><Relationship Id="rId67" Type="http://schemas.openxmlformats.org/officeDocument/2006/relationships/hyperlink" Target="https://www.itu.int/md/D18-TDAG29-211108-TD-0013/es" TargetMode="External"/><Relationship Id="rId20" Type="http://schemas.openxmlformats.org/officeDocument/2006/relationships/hyperlink" Target="https://www.itu.int/md/S22-CWGSFP4-C-0002/es" TargetMode="External"/><Relationship Id="rId41" Type="http://schemas.openxmlformats.org/officeDocument/2006/relationships/hyperlink" Target="https://www.itu.int/md/D18-TDAG29-211108-TD-0013/es" TargetMode="External"/><Relationship Id="rId54" Type="http://schemas.openxmlformats.org/officeDocument/2006/relationships/hyperlink" Target="https://www.itu.int/md/D18-TDAG29-211108-TD-0013/es" TargetMode="External"/><Relationship Id="rId62" Type="http://schemas.openxmlformats.org/officeDocument/2006/relationships/hyperlink" Target="https://www.itu.int/md/D18-TDAG29-211108-TD-0013/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C67D6-CEFE-4AFE-8EC3-4585BFEF5BAE}">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32a1a8c5-2265-4ebc-b7a0-2071e2c5c9bb"/>
    <ds:schemaRef ds:uri="http://schemas.openxmlformats.org/package/2006/metadata/core-properties"/>
    <ds:schemaRef ds:uri="996b2e75-67fd-4955-a3b0-5ab9934cb50b"/>
    <ds:schemaRef ds:uri="http://purl.org/dc/elements/1.1/"/>
  </ds:schemaRefs>
</ds:datastoreItem>
</file>

<file path=customXml/itemProps2.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4.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5.xml><?xml version="1.0" encoding="utf-8"?>
<ds:datastoreItem xmlns:ds="http://schemas.openxmlformats.org/officeDocument/2006/customXml" ds:itemID="{70C29717-0650-4097-9274-D00C088D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22</Pages>
  <Words>6496</Words>
  <Characters>37472</Characters>
  <Application>Microsoft Office Word</Application>
  <DocSecurity>0</DocSecurity>
  <Lines>681</Lines>
  <Paragraphs>295</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43673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Spanish</dc:creator>
  <cp:keywords>WTDC-21</cp:keywords>
  <dc:description/>
  <cp:lastModifiedBy>Spanish</cp:lastModifiedBy>
  <cp:revision>15</cp:revision>
  <cp:lastPrinted>2017-03-09T15:07:00Z</cp:lastPrinted>
  <dcterms:created xsi:type="dcterms:W3CDTF">2022-05-11T09:37:00Z</dcterms:created>
  <dcterms:modified xsi:type="dcterms:W3CDTF">2022-05-11T14:39:00Z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