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0AC12C6E" w14:textId="77777777" w:rsidTr="00F6685B">
        <w:trPr>
          <w:cantSplit/>
          <w:trHeight w:val="1134"/>
        </w:trPr>
        <w:tc>
          <w:tcPr>
            <w:tcW w:w="2268" w:type="dxa"/>
          </w:tcPr>
          <w:p w14:paraId="5515FFC8" w14:textId="146801D2" w:rsidR="00F6685B" w:rsidRPr="001875A6" w:rsidRDefault="004B1375" w:rsidP="00F6685B">
            <w:pPr>
              <w:tabs>
                <w:tab w:val="clear" w:pos="1134"/>
              </w:tabs>
              <w:spacing w:before="60" w:after="8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35D2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80.4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3E0264B2" w14:textId="738781F3" w:rsidR="00F6685B" w:rsidRDefault="00F6685B" w:rsidP="00F6685B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-21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15C3ED6" w14:textId="3B4F630F" w:rsidR="00F6685B" w:rsidRPr="00C63427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s-E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4AE33DA8" w14:textId="117A2DD6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73D2C28" wp14:editId="20D3C3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328542E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FD22119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4C8B35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14:paraId="69D45A9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3D6458CE" w14:textId="6C7512E7" w:rsidR="00D83BF5" w:rsidRPr="00D96B4B" w:rsidRDefault="00F9433D" w:rsidP="00F9433D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DAFBC37" w14:textId="725737F2" w:rsidR="00D83BF5" w:rsidRPr="00F9433D" w:rsidRDefault="00F9433D" w:rsidP="005B3E1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</w:t>
            </w:r>
            <w:bookmarkStart w:id="4" w:name="DocRef1"/>
            <w:bookmarkEnd w:id="4"/>
            <w:r w:rsidR="009C65D9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38489B" w:rsidRPr="00F9433D">
              <w:rPr>
                <w:b/>
                <w:bCs/>
                <w:szCs w:val="24"/>
                <w:lang w:val="en-US"/>
              </w:rPr>
              <w:t>WTDC</w:t>
            </w:r>
            <w:r w:rsidR="00F50017">
              <w:rPr>
                <w:b/>
                <w:bCs/>
                <w:szCs w:val="24"/>
                <w:lang w:val="en-US"/>
              </w:rPr>
              <w:t>-</w:t>
            </w:r>
            <w:r w:rsidR="0091388A">
              <w:rPr>
                <w:b/>
                <w:bCs/>
                <w:szCs w:val="24"/>
                <w:lang w:val="en-US"/>
              </w:rPr>
              <w:t>21</w:t>
            </w:r>
            <w:r w:rsidR="00D83BF5" w:rsidRPr="00F9433D">
              <w:rPr>
                <w:b/>
                <w:bCs/>
                <w:szCs w:val="24"/>
                <w:lang w:val="en-US"/>
              </w:rPr>
              <w:t>/</w:t>
            </w:r>
            <w:r w:rsidR="009C65D9">
              <w:rPr>
                <w:b/>
                <w:bCs/>
                <w:szCs w:val="24"/>
                <w:lang w:val="en-US"/>
              </w:rPr>
              <w:t>5(Ann.4)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14:paraId="5DBAB5C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2A4B0DF" w14:textId="77777777"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53221634" w14:textId="596CA9AE" w:rsidR="00D83BF5" w:rsidRPr="00D96B4B" w:rsidRDefault="009C65D9" w:rsidP="00F9433D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2022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14:paraId="23CD14C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EDBD0C1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31E470ED" w14:textId="44DB5561" w:rsidR="00D83BF5" w:rsidRPr="00D96B4B" w:rsidRDefault="00F9433D" w:rsidP="00AB539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D83BF5" w:rsidRPr="00C324A8" w14:paraId="1E36525D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A21618" w14:textId="1F1DA907" w:rsidR="00D83BF5" w:rsidRPr="00D83BF5" w:rsidRDefault="009C65D9" w:rsidP="009C65D9">
            <w:pPr>
              <w:pStyle w:val="Source"/>
              <w:spacing w:before="240" w:after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电信发展顾问组（</w:t>
            </w:r>
            <w:r>
              <w:rPr>
                <w:rFonts w:hint="eastAsia"/>
                <w:lang w:eastAsia="zh-CN"/>
              </w:rPr>
              <w:t>TDAG</w:t>
            </w:r>
            <w:r>
              <w:rPr>
                <w:rFonts w:hint="eastAsia"/>
                <w:lang w:eastAsia="zh-CN"/>
              </w:rPr>
              <w:t>）世界电信发展大会（</w:t>
            </w:r>
            <w:r>
              <w:rPr>
                <w:rFonts w:hint="eastAsia"/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）决议、宣言和</w:t>
            </w:r>
            <w:r w:rsidR="00050A71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主题重点工作组（</w:t>
            </w:r>
            <w:r>
              <w:rPr>
                <w:rFonts w:hint="eastAsia"/>
                <w:lang w:eastAsia="zh-CN"/>
              </w:rPr>
              <w:t>TDAG-WG-RDTP</w:t>
            </w:r>
            <w:r>
              <w:rPr>
                <w:rFonts w:hint="eastAsia"/>
                <w:lang w:eastAsia="zh-CN"/>
              </w:rPr>
              <w:t>）主席</w:t>
            </w:r>
          </w:p>
        </w:tc>
      </w:tr>
      <w:tr w:rsidR="00D83BF5" w:rsidRPr="00C324A8" w14:paraId="6C84CE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50283BE" w14:textId="0FA3246A" w:rsidR="00D83BF5" w:rsidRDefault="003C3210" w:rsidP="00B10248">
            <w:pPr>
              <w:pStyle w:val="Title1"/>
              <w:spacing w:before="120" w:after="120"/>
              <w:rPr>
                <w:lang w:eastAsia="zh-CN"/>
              </w:rPr>
            </w:pPr>
            <w:r w:rsidRPr="003C3210">
              <w:rPr>
                <w:rFonts w:hint="eastAsia"/>
                <w:szCs w:val="28"/>
                <w:lang w:eastAsia="zh-CN"/>
              </w:rPr>
              <w:t>修订</w:t>
            </w:r>
            <w:r w:rsidRPr="003C3210">
              <w:rPr>
                <w:rFonts w:hint="eastAsia"/>
                <w:szCs w:val="28"/>
                <w:lang w:eastAsia="zh-CN"/>
              </w:rPr>
              <w:t>WTDC</w:t>
            </w:r>
            <w:r w:rsidRPr="003C3210">
              <w:rPr>
                <w:rFonts w:hint="eastAsia"/>
                <w:szCs w:val="28"/>
                <w:lang w:eastAsia="zh-CN"/>
              </w:rPr>
              <w:t>第</w:t>
            </w:r>
            <w:r w:rsidRPr="003C3210">
              <w:rPr>
                <w:rFonts w:hint="eastAsia"/>
                <w:szCs w:val="28"/>
                <w:lang w:eastAsia="zh-CN"/>
              </w:rPr>
              <w:t>2</w:t>
            </w:r>
            <w:r w:rsidRPr="003C3210">
              <w:rPr>
                <w:rFonts w:hint="eastAsia"/>
                <w:szCs w:val="28"/>
                <w:lang w:eastAsia="zh-CN"/>
              </w:rPr>
              <w:t>号决议</w:t>
            </w:r>
            <w:r>
              <w:rPr>
                <w:rFonts w:hint="eastAsia"/>
                <w:szCs w:val="28"/>
                <w:lang w:eastAsia="zh-CN"/>
              </w:rPr>
              <w:t>中的研究议题</w:t>
            </w:r>
          </w:p>
        </w:tc>
      </w:tr>
      <w:tr w:rsidR="00D83BF5" w:rsidRPr="00C324A8" w14:paraId="043CB2D1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E7E4AE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64322F" w:rsidRPr="00C324A8" w14:paraId="160ABEF3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0F3A" w14:textId="407E75A0" w:rsidR="00296313" w:rsidRPr="00050A71" w:rsidRDefault="00B10248" w:rsidP="004B1375">
            <w:pPr>
              <w:pStyle w:val="Title1"/>
              <w:tabs>
                <w:tab w:val="clear" w:pos="1134"/>
                <w:tab w:val="clear" w:pos="1871"/>
                <w:tab w:val="clear" w:pos="2268"/>
                <w:tab w:val="left" w:pos="1985"/>
                <w:tab w:val="left" w:pos="2444"/>
              </w:tabs>
              <w:spacing w:before="120"/>
              <w:jc w:val="left"/>
              <w:rPr>
                <w:szCs w:val="24"/>
                <w:lang w:eastAsia="zh-CN"/>
              </w:rPr>
            </w:pPr>
            <w:r w:rsidRPr="00C63427">
              <w:rPr>
                <w:rFonts w:asciiTheme="minorEastAsia" w:hAnsiTheme="minorEastAsia" w:cs="Microsoft YaHei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 w:rsidRPr="00C63427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210BB5" w:rsidRPr="00210BB5">
              <w:rPr>
                <w:lang w:eastAsia="zh-CN"/>
              </w:rPr>
              <w:tab/>
              <w:t>–</w:t>
            </w:r>
            <w:r w:rsidR="00210BB5" w:rsidRPr="00210BB5">
              <w:rPr>
                <w:lang w:eastAsia="zh-CN"/>
              </w:rPr>
              <w:tab/>
            </w:r>
            <w:r w:rsidR="00C63427" w:rsidRPr="00050A71">
              <w:rPr>
                <w:rFonts w:hint="eastAsia"/>
                <w:sz w:val="24"/>
                <w:szCs w:val="24"/>
                <w:lang w:eastAsia="zh-CN"/>
              </w:rPr>
              <w:t>主题重点、行动计划、区域性举措和研究组课题</w:t>
            </w:r>
          </w:p>
          <w:p w14:paraId="60841A88" w14:textId="1B6AF4EC" w:rsidR="00D9621A" w:rsidRPr="00813644" w:rsidRDefault="00D04007" w:rsidP="00813644">
            <w:pPr>
              <w:rPr>
                <w:b/>
                <w:bCs/>
                <w:lang w:eastAsia="zh-CN"/>
              </w:rPr>
            </w:pPr>
            <w:r w:rsidRPr="00813644">
              <w:rPr>
                <w:rFonts w:hint="eastAsia"/>
                <w:b/>
                <w:bCs/>
                <w:lang w:eastAsia="zh-CN"/>
              </w:rPr>
              <w:t>概</w:t>
            </w:r>
            <w:r w:rsidR="00B10248" w:rsidRPr="00813644">
              <w:rPr>
                <w:rFonts w:hint="eastAsia"/>
                <w:b/>
                <w:bCs/>
                <w:lang w:eastAsia="zh-CN"/>
              </w:rPr>
              <w:t>要：</w:t>
            </w:r>
          </w:p>
          <w:p w14:paraId="46FAB3EA" w14:textId="0A62F52D" w:rsidR="00D9621A" w:rsidRPr="00D9621A" w:rsidRDefault="003C3210" w:rsidP="00050A7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3C3210">
              <w:rPr>
                <w:rFonts w:hint="eastAsia"/>
                <w:szCs w:val="24"/>
                <w:lang w:eastAsia="zh-CN"/>
              </w:rPr>
              <w:t>本文件包含关于下一研究期研究课题的提案，该提案基于</w:t>
            </w:r>
            <w:r w:rsidRPr="003C3210">
              <w:rPr>
                <w:rFonts w:hint="eastAsia"/>
                <w:szCs w:val="24"/>
                <w:lang w:eastAsia="zh-CN"/>
              </w:rPr>
              <w:t>TDAG-WG-RDTP</w:t>
            </w:r>
            <w:r w:rsidRPr="003C3210">
              <w:rPr>
                <w:rFonts w:hint="eastAsia"/>
                <w:szCs w:val="24"/>
                <w:lang w:eastAsia="zh-CN"/>
              </w:rPr>
              <w:t>开展并提交</w:t>
            </w:r>
            <w:r w:rsidRPr="003C3210">
              <w:rPr>
                <w:rFonts w:hint="eastAsia"/>
                <w:szCs w:val="24"/>
                <w:lang w:eastAsia="zh-CN"/>
              </w:rPr>
              <w:t>TDAG-21/2</w:t>
            </w:r>
            <w:r>
              <w:rPr>
                <w:rFonts w:hint="eastAsia"/>
                <w:szCs w:val="24"/>
                <w:lang w:eastAsia="zh-CN"/>
              </w:rPr>
              <w:t>会议</w:t>
            </w:r>
            <w:r w:rsidRPr="003C3210">
              <w:rPr>
                <w:rFonts w:hint="eastAsia"/>
                <w:szCs w:val="24"/>
                <w:lang w:eastAsia="zh-CN"/>
              </w:rPr>
              <w:t>的主题</w:t>
            </w:r>
            <w:r w:rsidR="00876D88">
              <w:rPr>
                <w:rFonts w:hint="eastAsia"/>
                <w:szCs w:val="24"/>
                <w:lang w:eastAsia="zh-CN"/>
              </w:rPr>
              <w:t>重点</w:t>
            </w:r>
            <w:r w:rsidRPr="003C3210">
              <w:rPr>
                <w:rFonts w:hint="eastAsia"/>
                <w:szCs w:val="24"/>
                <w:lang w:eastAsia="zh-CN"/>
              </w:rPr>
              <w:t>工作。</w:t>
            </w:r>
          </w:p>
          <w:p w14:paraId="1AD4F00D" w14:textId="77777777" w:rsidR="00D9621A" w:rsidRPr="00813644" w:rsidRDefault="00B10248" w:rsidP="00C63427">
            <w:pPr>
              <w:rPr>
                <w:b/>
                <w:bCs/>
                <w:szCs w:val="24"/>
                <w:lang w:eastAsia="zh-CN"/>
              </w:rPr>
            </w:pPr>
            <w:r w:rsidRPr="00813644">
              <w:rPr>
                <w:rFonts w:hint="eastAsia"/>
                <w:b/>
                <w:bCs/>
                <w:szCs w:val="24"/>
                <w:lang w:eastAsia="zh-CN"/>
              </w:rPr>
              <w:t>预期结果：</w:t>
            </w:r>
          </w:p>
          <w:p w14:paraId="7609E69B" w14:textId="22E56F76" w:rsidR="00D9621A" w:rsidRPr="00D9621A" w:rsidRDefault="00876D88" w:rsidP="00050A71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proofErr w:type="gramStart"/>
            <w:r w:rsidRPr="00876D88">
              <w:rPr>
                <w:rFonts w:hint="eastAsia"/>
                <w:szCs w:val="24"/>
                <w:lang w:val="en-US" w:eastAsia="zh-CN"/>
              </w:rPr>
              <w:t>请成员</w:t>
            </w:r>
            <w:proofErr w:type="gramEnd"/>
            <w:r>
              <w:rPr>
                <w:rFonts w:hint="eastAsia"/>
                <w:szCs w:val="24"/>
                <w:lang w:val="en-US" w:eastAsia="zh-CN"/>
              </w:rPr>
              <w:t>基于</w:t>
            </w:r>
            <w:r w:rsidRPr="00876D88">
              <w:rPr>
                <w:rFonts w:hint="eastAsia"/>
                <w:szCs w:val="24"/>
                <w:lang w:val="en-US" w:eastAsia="zh-CN"/>
              </w:rPr>
              <w:t>本附件</w:t>
            </w:r>
            <w:r>
              <w:rPr>
                <w:rFonts w:hint="eastAsia"/>
                <w:szCs w:val="24"/>
                <w:lang w:val="en-US" w:eastAsia="zh-CN"/>
              </w:rPr>
              <w:t>起草</w:t>
            </w:r>
            <w:r w:rsidRPr="00876D88">
              <w:rPr>
                <w:rFonts w:hint="eastAsia"/>
                <w:szCs w:val="24"/>
                <w:lang w:val="en-US" w:eastAsia="zh-CN"/>
              </w:rPr>
              <w:t>关于修订第</w:t>
            </w:r>
            <w:r w:rsidRPr="00876D88">
              <w:rPr>
                <w:rFonts w:hint="eastAsia"/>
                <w:szCs w:val="24"/>
                <w:lang w:val="en-US" w:eastAsia="zh-CN"/>
              </w:rPr>
              <w:t>2</w:t>
            </w:r>
            <w:r w:rsidRPr="00876D88">
              <w:rPr>
                <w:rFonts w:hint="eastAsia"/>
                <w:szCs w:val="24"/>
                <w:lang w:val="en-US" w:eastAsia="zh-CN"/>
              </w:rPr>
              <w:t>号决议的提案。</w:t>
            </w:r>
          </w:p>
          <w:p w14:paraId="74E0B7E0" w14:textId="77777777" w:rsidR="00D9621A" w:rsidRPr="00813644" w:rsidRDefault="00B10248" w:rsidP="00C63427">
            <w:pPr>
              <w:rPr>
                <w:b/>
                <w:bCs/>
                <w:szCs w:val="24"/>
                <w:lang w:eastAsia="zh-CN"/>
              </w:rPr>
            </w:pPr>
            <w:r w:rsidRPr="00813644"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6BFAF80B" w14:textId="0AA79DC6" w:rsidR="00D9621A" w:rsidRPr="00D9621A" w:rsidRDefault="00876D88" w:rsidP="00050A71">
            <w:pPr>
              <w:ind w:firstLineChars="200" w:firstLine="480"/>
              <w:rPr>
                <w:lang w:eastAsia="zh-CN"/>
              </w:rPr>
            </w:pPr>
            <w:r w:rsidRPr="00876D88">
              <w:rPr>
                <w:rFonts w:hint="eastAsia"/>
                <w:lang w:val="en-US" w:eastAsia="zh-CN"/>
              </w:rPr>
              <w:t>第</w:t>
            </w:r>
            <w:r w:rsidRPr="00876D88">
              <w:rPr>
                <w:rFonts w:hint="eastAsia"/>
                <w:lang w:val="en-US" w:eastAsia="zh-CN"/>
              </w:rPr>
              <w:t>2</w:t>
            </w:r>
            <w:r w:rsidRPr="00876D88">
              <w:rPr>
                <w:rFonts w:hint="eastAsia"/>
                <w:lang w:val="en-US" w:eastAsia="zh-CN"/>
              </w:rPr>
              <w:t>号决议（</w:t>
            </w:r>
            <w:r w:rsidRPr="00876D88">
              <w:rPr>
                <w:rFonts w:hint="eastAsia"/>
                <w:lang w:val="en-US" w:eastAsia="zh-CN"/>
              </w:rPr>
              <w:t>2017</w:t>
            </w:r>
            <w:r w:rsidRPr="00876D88">
              <w:rPr>
                <w:rFonts w:hint="eastAsia"/>
                <w:lang w:val="en-US" w:eastAsia="zh-CN"/>
              </w:rPr>
              <w:t>年，布宜诺斯艾利斯，修订版）</w:t>
            </w:r>
          </w:p>
        </w:tc>
      </w:tr>
    </w:tbl>
    <w:bookmarkEnd w:id="7"/>
    <w:bookmarkEnd w:id="8"/>
    <w:p w14:paraId="18D14C8C" w14:textId="669845A8" w:rsidR="009C65D9" w:rsidRPr="009B5E94" w:rsidRDefault="00E357DA" w:rsidP="004B1375">
      <w:pPr>
        <w:pStyle w:val="Normalaftertitle"/>
        <w:ind w:firstLineChars="200" w:firstLine="480"/>
        <w:rPr>
          <w:lang w:eastAsia="zh-CN"/>
        </w:rPr>
      </w:pPr>
      <w:r w:rsidRPr="00E357DA">
        <w:rPr>
          <w:rFonts w:hint="eastAsia"/>
          <w:lang w:eastAsia="zh-CN"/>
        </w:rPr>
        <w:t>在</w:t>
      </w:r>
      <w:r w:rsidRPr="00E357DA">
        <w:rPr>
          <w:rFonts w:hint="eastAsia"/>
          <w:lang w:eastAsia="zh-CN"/>
        </w:rPr>
        <w:t>TDAG-WG-RDTP</w:t>
      </w:r>
      <w:r w:rsidRPr="00E357DA">
        <w:rPr>
          <w:rFonts w:hint="eastAsia"/>
          <w:lang w:eastAsia="zh-CN"/>
        </w:rPr>
        <w:t>工作的基础上，</w:t>
      </w:r>
      <w:r w:rsidRPr="00E357DA">
        <w:rPr>
          <w:rFonts w:hint="eastAsia"/>
          <w:lang w:eastAsia="zh-CN"/>
        </w:rPr>
        <w:t>ITU-D</w:t>
      </w:r>
      <w:r w:rsidRPr="00E357DA">
        <w:rPr>
          <w:rFonts w:hint="eastAsia"/>
          <w:lang w:eastAsia="zh-CN"/>
        </w:rPr>
        <w:t>研究组</w:t>
      </w:r>
      <w:proofErr w:type="spellStart"/>
      <w:r w:rsidRPr="004B1375">
        <w:rPr>
          <w:rFonts w:hint="eastAsia"/>
        </w:rPr>
        <w:t>提出</w:t>
      </w:r>
      <w:proofErr w:type="spellEnd"/>
      <w:r w:rsidRPr="00E357DA">
        <w:rPr>
          <w:rFonts w:hint="eastAsia"/>
          <w:lang w:eastAsia="zh-CN"/>
        </w:rPr>
        <w:t>了以下</w:t>
      </w:r>
      <w:r>
        <w:rPr>
          <w:rFonts w:hint="eastAsia"/>
          <w:lang w:eastAsia="zh-CN"/>
        </w:rPr>
        <w:t>议题</w:t>
      </w:r>
      <w:r w:rsidRPr="00E357DA">
        <w:rPr>
          <w:rFonts w:hint="eastAsia"/>
          <w:lang w:eastAsia="zh-CN"/>
        </w:rPr>
        <w:t>作为下一个研究期</w:t>
      </w:r>
      <w:r>
        <w:rPr>
          <w:rFonts w:hint="eastAsia"/>
          <w:lang w:eastAsia="zh-CN"/>
        </w:rPr>
        <w:t>的</w:t>
      </w:r>
      <w:r w:rsidRPr="00E357DA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议题</w:t>
      </w:r>
      <w:r w:rsidRPr="00E357DA">
        <w:rPr>
          <w:rFonts w:hint="eastAsia"/>
          <w:lang w:eastAsia="zh-CN"/>
        </w:rPr>
        <w:t>。每个</w:t>
      </w:r>
      <w:r>
        <w:rPr>
          <w:rFonts w:hint="eastAsia"/>
          <w:lang w:eastAsia="zh-CN"/>
        </w:rPr>
        <w:t>议题均</w:t>
      </w:r>
      <w:r w:rsidRPr="00E357DA">
        <w:rPr>
          <w:rFonts w:hint="eastAsia"/>
          <w:lang w:eastAsia="zh-CN"/>
        </w:rPr>
        <w:t>可以视为一个研究课题，每个研究</w:t>
      </w:r>
      <w:proofErr w:type="gramStart"/>
      <w:r w:rsidRPr="00E357DA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分配</w:t>
      </w:r>
      <w:proofErr w:type="gramEnd"/>
      <w:r>
        <w:rPr>
          <w:rFonts w:hint="eastAsia"/>
          <w:lang w:eastAsia="zh-CN"/>
        </w:rPr>
        <w:t>了</w:t>
      </w:r>
      <w:r w:rsidRPr="00E357DA">
        <w:rPr>
          <w:rFonts w:hint="eastAsia"/>
          <w:lang w:eastAsia="zh-CN"/>
        </w:rPr>
        <w:t>五个</w:t>
      </w:r>
      <w:r>
        <w:rPr>
          <w:rFonts w:hint="eastAsia"/>
          <w:lang w:eastAsia="zh-CN"/>
        </w:rPr>
        <w:t>议题</w:t>
      </w:r>
      <w:r w:rsidRPr="00E357DA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课题</w:t>
      </w:r>
      <w:r w:rsidRPr="00E357DA">
        <w:rPr>
          <w:rFonts w:hint="eastAsia"/>
          <w:lang w:eastAsia="zh-CN"/>
        </w:rPr>
        <w:t>。</w:t>
      </w:r>
    </w:p>
    <w:p w14:paraId="307256D9" w14:textId="2BEDE148" w:rsidR="009C65D9" w:rsidRPr="009B5E94" w:rsidRDefault="00E357DA" w:rsidP="00210BB5">
      <w:pPr>
        <w:ind w:firstLineChars="200" w:firstLine="480"/>
        <w:rPr>
          <w:lang w:eastAsia="zh-CN"/>
        </w:rPr>
      </w:pPr>
      <w:r w:rsidRPr="00E357DA">
        <w:rPr>
          <w:rFonts w:hint="eastAsia"/>
          <w:lang w:eastAsia="zh-CN"/>
        </w:rPr>
        <w:t>该提案的目标是使该决议与在同一</w:t>
      </w:r>
      <w:r w:rsidR="00B87B91">
        <w:rPr>
          <w:rFonts w:hint="eastAsia"/>
          <w:lang w:eastAsia="zh-CN"/>
        </w:rPr>
        <w:t>研究组</w:t>
      </w:r>
      <w:r w:rsidRPr="00E357DA">
        <w:rPr>
          <w:rFonts w:hint="eastAsia"/>
          <w:lang w:eastAsia="zh-CN"/>
        </w:rPr>
        <w:t>的</w:t>
      </w:r>
      <w:r w:rsidR="00B87B91">
        <w:rPr>
          <w:rFonts w:hint="eastAsia"/>
          <w:lang w:eastAsia="zh-CN"/>
        </w:rPr>
        <w:t>职权</w:t>
      </w:r>
      <w:r w:rsidRPr="00E357DA">
        <w:rPr>
          <w:rFonts w:hint="eastAsia"/>
          <w:lang w:eastAsia="zh-CN"/>
        </w:rPr>
        <w:t>范围内制定并提交给</w:t>
      </w:r>
      <w:r w:rsidRPr="00E357DA">
        <w:rPr>
          <w:rFonts w:hint="eastAsia"/>
          <w:lang w:eastAsia="zh-CN"/>
        </w:rPr>
        <w:t>TDAG-21/2</w:t>
      </w:r>
      <w:r w:rsidRPr="00E357DA">
        <w:rPr>
          <w:rFonts w:hint="eastAsia"/>
          <w:lang w:eastAsia="zh-CN"/>
        </w:rPr>
        <w:t>的主题</w:t>
      </w:r>
      <w:r w:rsidR="00B87B91">
        <w:rPr>
          <w:rFonts w:hint="eastAsia"/>
          <w:lang w:eastAsia="zh-CN"/>
        </w:rPr>
        <w:t>重点工作</w:t>
      </w:r>
      <w:r w:rsidRPr="00E357DA">
        <w:rPr>
          <w:rFonts w:hint="eastAsia"/>
          <w:lang w:eastAsia="zh-CN"/>
        </w:rPr>
        <w:t>草案保持一致。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65D9" w:rsidRPr="009B5E94" w14:paraId="34998471" w14:textId="77777777" w:rsidTr="004363AC">
        <w:trPr>
          <w:cantSplit/>
        </w:trPr>
        <w:tc>
          <w:tcPr>
            <w:tcW w:w="9629" w:type="dxa"/>
          </w:tcPr>
          <w:p w14:paraId="2D7AA151" w14:textId="6B5E479A" w:rsidR="009C65D9" w:rsidRPr="009B5E94" w:rsidRDefault="009C65D9" w:rsidP="00050A71">
            <w:pPr>
              <w:pStyle w:val="enumlev1"/>
              <w:pageBreakBefore/>
              <w:rPr>
                <w:lang w:eastAsia="zh-CN"/>
              </w:rPr>
            </w:pPr>
            <w:r w:rsidRPr="009C65D9">
              <w:rPr>
                <w:lang w:eastAsia="zh-CN"/>
              </w:rPr>
              <w:lastRenderedPageBreak/>
              <w:t>1</w:t>
            </w:r>
            <w:r w:rsidR="004B1375">
              <w:rPr>
                <w:lang w:eastAsia="zh-CN"/>
              </w:rPr>
              <w:t>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在城市、农村和偏远地区部署宽带网络和</w:t>
            </w:r>
            <w:r w:rsidR="00276611">
              <w:rPr>
                <w:rFonts w:ascii="SimSun" w:eastAsia="SimSun" w:hAnsi="SimSun" w:cs="SimSun" w:hint="eastAsia"/>
                <w:lang w:eastAsia="zh-CN"/>
              </w:rPr>
              <w:t>业务</w:t>
            </w:r>
          </w:p>
          <w:p w14:paraId="548B7C23" w14:textId="2E582777" w:rsidR="009C65D9" w:rsidRPr="009B5E94" w:rsidRDefault="009C65D9" w:rsidP="009C65D9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4B1375">
              <w:rPr>
                <w:lang w:eastAsia="zh-CN"/>
              </w:rPr>
              <w:t>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广播网络和服务</w:t>
            </w:r>
          </w:p>
          <w:p w14:paraId="06263125" w14:textId="06EEC8EA" w:rsidR="009C65D9" w:rsidRPr="009B5E94" w:rsidRDefault="009C65D9" w:rsidP="009C65D9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4B1375">
              <w:rPr>
                <w:lang w:eastAsia="zh-CN"/>
              </w:rPr>
              <w:t>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有具体需求的群体对电信</w:t>
            </w:r>
            <w:r w:rsidRPr="009B5E94">
              <w:rPr>
                <w:rFonts w:hint="eastAsia"/>
                <w:lang w:eastAsia="zh-CN"/>
              </w:rPr>
              <w:t>/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信息通信技术（</w:t>
            </w:r>
            <w:r w:rsidRPr="009B5E94">
              <w:rPr>
                <w:rFonts w:hint="eastAsia"/>
                <w:lang w:eastAsia="zh-CN"/>
              </w:rPr>
              <w:t>ICT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）网络和服务的无障碍获取</w:t>
            </w:r>
          </w:p>
          <w:p w14:paraId="02381789" w14:textId="119E73D4" w:rsidR="009C65D9" w:rsidRPr="009B5E94" w:rsidRDefault="009C65D9" w:rsidP="009C65D9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4B1375">
              <w:rPr>
                <w:lang w:eastAsia="zh-CN"/>
              </w:rPr>
              <w:t>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消费者保护，包括一致性</w:t>
            </w:r>
            <w:r>
              <w:rPr>
                <w:rFonts w:ascii="SimSun" w:eastAsia="SimSun" w:hAnsi="SimSun" w:cs="SimSun" w:hint="eastAsia"/>
                <w:lang w:eastAsia="zh-CN"/>
              </w:rPr>
              <w:t>、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互操作性、设备真实性、保障用户隐私和数据以及服务成本</w:t>
            </w:r>
          </w:p>
          <w:p w14:paraId="4C4CEF93" w14:textId="06CE560C" w:rsidR="009C65D9" w:rsidRDefault="009C65D9" w:rsidP="009C65D9">
            <w:pPr>
              <w:pStyle w:val="enumlev1"/>
              <w:rPr>
                <w:rFonts w:ascii="SimSun" w:eastAsia="SimSun" w:hAnsi="SimSun" w:cs="SimSun"/>
                <w:lang w:eastAsia="zh-CN"/>
              </w:rPr>
            </w:pPr>
            <w:r>
              <w:rPr>
                <w:lang w:eastAsia="zh-CN"/>
              </w:rPr>
              <w:t>5</w:t>
            </w:r>
            <w:r w:rsidR="004B1375">
              <w:rPr>
                <w:lang w:eastAsia="zh-CN"/>
              </w:rPr>
              <w:t>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缓解</w:t>
            </w:r>
            <w:r w:rsidR="00276611">
              <w:rPr>
                <w:rFonts w:ascii="SimSun" w:eastAsia="SimSun" w:hAnsi="SimSun" w:cs="SimSun" w:hint="eastAsia"/>
                <w:lang w:eastAsia="zh-CN"/>
              </w:rPr>
              <w:t>疫情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和其他灾害的应急通信</w:t>
            </w:r>
          </w:p>
          <w:p w14:paraId="3D5DF459" w14:textId="34C7CF85" w:rsidR="004B1375" w:rsidRPr="009B5E94" w:rsidRDefault="004B1375" w:rsidP="004B1375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6)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新兴技术、应用、平台和用例（例如，物联网、机器学习、</w:t>
            </w:r>
            <w:r w:rsidRPr="009B5E94">
              <w:rPr>
                <w:rFonts w:hint="eastAsia"/>
                <w:lang w:eastAsia="zh-CN"/>
              </w:rPr>
              <w:t>OTT</w:t>
            </w:r>
            <w:r>
              <w:rPr>
                <w:rFonts w:ascii="SimSun" w:eastAsia="SimSun" w:hAnsi="SimSun" w:cs="SimSun" w:hint="eastAsia"/>
                <w:lang w:eastAsia="zh-CN"/>
              </w:rPr>
              <w:t>等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）</w:t>
            </w:r>
          </w:p>
          <w:p w14:paraId="5873DC1D" w14:textId="7070EDE4" w:rsidR="004B1375" w:rsidRPr="009B5E94" w:rsidRDefault="004B1375" w:rsidP="004B1375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7)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电子卫生</w:t>
            </w:r>
          </w:p>
          <w:p w14:paraId="6FD01FF2" w14:textId="37633618" w:rsidR="004B1375" w:rsidRPr="009B5E94" w:rsidRDefault="004B1375" w:rsidP="004B1375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8)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网络安全</w:t>
            </w:r>
          </w:p>
          <w:p w14:paraId="1E6677D5" w14:textId="741F10B4" w:rsidR="004B1375" w:rsidRPr="009B5E94" w:rsidRDefault="004B1375" w:rsidP="004B1375">
            <w:pPr>
              <w:pStyle w:val="enumlev1"/>
              <w:rPr>
                <w:lang w:eastAsia="zh-CN"/>
              </w:rPr>
            </w:pPr>
            <w:r>
              <w:rPr>
                <w:lang w:eastAsia="zh-CN"/>
              </w:rPr>
              <w:t>9)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保护环境（电子废弃物、其他行业</w:t>
            </w:r>
            <w:r>
              <w:rPr>
                <w:rFonts w:ascii="SimSun" w:eastAsia="SimSun" w:hAnsi="SimSun" w:cs="SimSun" w:hint="eastAsia"/>
                <w:lang w:eastAsia="zh-CN"/>
              </w:rPr>
              <w:t>中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基于</w:t>
            </w:r>
            <w:r w:rsidRPr="009B5E94">
              <w:rPr>
                <w:rFonts w:hint="eastAsia"/>
                <w:lang w:eastAsia="zh-CN"/>
              </w:rPr>
              <w:t>ICT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的应用和</w:t>
            </w:r>
            <w:r>
              <w:rPr>
                <w:rFonts w:ascii="SimSun" w:eastAsia="SimSun" w:hAnsi="SimSun" w:cs="SimSun" w:hint="eastAsia"/>
                <w:lang w:eastAsia="zh-CN"/>
              </w:rPr>
              <w:t>业务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，如农业）</w:t>
            </w:r>
          </w:p>
          <w:p w14:paraId="3CEB93FF" w14:textId="66D0CF5C" w:rsidR="004B1375" w:rsidRPr="009B5E94" w:rsidRDefault="004B1375" w:rsidP="004B1375">
            <w:pPr>
              <w:pStyle w:val="enumlev1"/>
              <w:rPr>
                <w:rFonts w:hint="eastAsia"/>
                <w:lang w:eastAsia="zh-CN"/>
              </w:rPr>
            </w:pPr>
            <w:r w:rsidRPr="009C65D9">
              <w:rPr>
                <w:lang w:eastAsia="zh-CN"/>
              </w:rPr>
              <w:t>1</w:t>
            </w:r>
            <w:r>
              <w:rPr>
                <w:lang w:eastAsia="zh-CN"/>
              </w:rPr>
              <w:t>0)</w:t>
            </w:r>
            <w:r w:rsidRPr="009C65D9">
              <w:rPr>
                <w:lang w:eastAsia="zh-CN"/>
              </w:rPr>
              <w:tab/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人体暴露于电磁场，重点是</w:t>
            </w:r>
            <w:r w:rsidRPr="009B5E94">
              <w:rPr>
                <w:rFonts w:hint="eastAsia"/>
                <w:lang w:eastAsia="zh-CN"/>
              </w:rPr>
              <w:t>2.5GHz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以上的频段</w:t>
            </w:r>
            <w:r>
              <w:rPr>
                <w:rFonts w:ascii="SimSun" w:eastAsia="SimSun" w:hAnsi="SimSun" w:cs="SimSun" w:hint="eastAsia"/>
                <w:lang w:eastAsia="zh-CN"/>
              </w:rPr>
              <w:t>（</w:t>
            </w:r>
            <w:r w:rsidRPr="009B5E94">
              <w:rPr>
                <w:rFonts w:hint="eastAsia"/>
                <w:lang w:eastAsia="zh-CN"/>
              </w:rPr>
              <w:t>5G/6G</w:t>
            </w:r>
            <w:r w:rsidRPr="009B5E94">
              <w:rPr>
                <w:rFonts w:ascii="SimSun" w:eastAsia="SimSun" w:hAnsi="SimSun" w:cs="SimSun" w:hint="eastAsia"/>
                <w:lang w:eastAsia="zh-CN"/>
              </w:rPr>
              <w:t>网络和</w:t>
            </w:r>
            <w:r>
              <w:rPr>
                <w:rFonts w:ascii="SimSun" w:eastAsia="SimSun" w:hAnsi="SimSun" w:cs="SimSun" w:hint="eastAsia"/>
                <w:lang w:eastAsia="zh-CN"/>
              </w:rPr>
              <w:t>业务）</w:t>
            </w:r>
          </w:p>
        </w:tc>
      </w:tr>
    </w:tbl>
    <w:p w14:paraId="0B0E94A6" w14:textId="77777777" w:rsidR="009C65D9" w:rsidRPr="009B5E94" w:rsidRDefault="009C65D9" w:rsidP="00050A71">
      <w:pPr>
        <w:pStyle w:val="Reasons"/>
        <w:rPr>
          <w:lang w:eastAsia="zh-CN"/>
        </w:rPr>
      </w:pPr>
    </w:p>
    <w:p w14:paraId="191DCFAE" w14:textId="14A89394" w:rsidR="00D83BF5" w:rsidRPr="0084734D" w:rsidRDefault="005551F1" w:rsidP="0091388A">
      <w:pPr>
        <w:jc w:val="center"/>
        <w:rPr>
          <w:szCs w:val="24"/>
        </w:rPr>
      </w:pPr>
      <w:r>
        <w:t>______________</w:t>
      </w:r>
    </w:p>
    <w:sectPr w:rsidR="00D83BF5" w:rsidRPr="0084734D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F6A5" w14:textId="77777777" w:rsidR="007E74F9" w:rsidRDefault="007E74F9">
      <w:r>
        <w:separator/>
      </w:r>
    </w:p>
  </w:endnote>
  <w:endnote w:type="continuationSeparator" w:id="0">
    <w:p w14:paraId="08ADFB07" w14:textId="77777777" w:rsidR="007E74F9" w:rsidRDefault="007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625F1AA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375">
      <w:rPr>
        <w:noProof/>
      </w:rPr>
      <w:t>19.04.22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66CD" w14:textId="3CF94BDE" w:rsidR="0021457D" w:rsidRDefault="00DA0A75" w:rsidP="0021457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P:\CHI\ITU-D\CONF-D\WTDC21\000\005ANN4C.docx</w:t>
    </w:r>
    <w:r>
      <w:fldChar w:fldCharType="end"/>
    </w:r>
    <w:r w:rsidR="0021457D">
      <w:t xml:space="preserve"> (50</w:t>
    </w:r>
    <w:r w:rsidR="00B60FE6">
      <w:t>3626</w:t>
    </w:r>
    <w:r w:rsidR="0021457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C65D9" w:rsidRPr="0091388A" w14:paraId="7DFA1D7C" w14:textId="77777777" w:rsidTr="009C65D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78E202" w14:textId="77777777" w:rsidR="009C65D9" w:rsidRPr="0091388A" w:rsidRDefault="009C65D9" w:rsidP="009C65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836B20" w14:textId="77777777" w:rsidR="009C65D9" w:rsidRPr="0091388A" w:rsidRDefault="009C65D9" w:rsidP="009C65D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9D038B3" w14:textId="224D835A" w:rsidR="009C65D9" w:rsidRPr="0091388A" w:rsidRDefault="007E2739" w:rsidP="009C65D9">
          <w:pPr>
            <w:pStyle w:val="FirstFooter"/>
            <w:tabs>
              <w:tab w:val="clear" w:pos="1871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lang w:eastAsia="zh-CN"/>
            </w:rPr>
            <w:t>电信发展顾问组（</w:t>
          </w:r>
          <w:r>
            <w:rPr>
              <w:rFonts w:hint="eastAsia"/>
              <w:lang w:eastAsia="zh-CN"/>
            </w:rPr>
            <w:t>TDAG</w:t>
          </w:r>
          <w:r>
            <w:rPr>
              <w:rFonts w:hint="eastAsia"/>
              <w:lang w:eastAsia="zh-CN"/>
            </w:rPr>
            <w:t>）世界电信发展大会（</w:t>
          </w:r>
          <w:r>
            <w:rPr>
              <w:rFonts w:hint="eastAsia"/>
              <w:lang w:eastAsia="zh-CN"/>
            </w:rPr>
            <w:t>WTDC</w:t>
          </w:r>
          <w:r>
            <w:rPr>
              <w:rFonts w:hint="eastAsia"/>
              <w:lang w:eastAsia="zh-CN"/>
            </w:rPr>
            <w:t>）决议、宣言和主题重点工作组（</w:t>
          </w:r>
          <w:r>
            <w:rPr>
              <w:rFonts w:hint="eastAsia"/>
              <w:lang w:eastAsia="zh-CN"/>
            </w:rPr>
            <w:t>TDAG-WG-RDTP</w:t>
          </w:r>
          <w:r>
            <w:rPr>
              <w:rFonts w:hint="eastAsia"/>
              <w:lang w:eastAsia="zh-CN"/>
            </w:rPr>
            <w:t>）主席</w:t>
          </w:r>
          <w:r w:rsidR="009C65D9">
            <w:rPr>
              <w:sz w:val="18"/>
              <w:szCs w:val="18"/>
            </w:rPr>
            <w:t xml:space="preserve">Ahmad Reza </w:t>
          </w:r>
          <w:proofErr w:type="spellStart"/>
          <w:r w:rsidR="009C65D9">
            <w:rPr>
              <w:sz w:val="18"/>
              <w:szCs w:val="18"/>
            </w:rPr>
            <w:t>Sharafat</w:t>
          </w:r>
          <w:proofErr w:type="spellEnd"/>
          <w:r>
            <w:rPr>
              <w:rFonts w:hint="eastAsia"/>
              <w:sz w:val="18"/>
              <w:szCs w:val="18"/>
              <w:lang w:eastAsia="zh-CN"/>
            </w:rPr>
            <w:t>先生</w:t>
          </w:r>
        </w:p>
      </w:tc>
      <w:bookmarkStart w:id="13" w:name="OrgName"/>
      <w:bookmarkEnd w:id="13"/>
    </w:tr>
    <w:tr w:rsidR="009C65D9" w:rsidRPr="0091388A" w14:paraId="7E290ACD" w14:textId="77777777" w:rsidTr="009C65D9">
      <w:tc>
        <w:tcPr>
          <w:tcW w:w="1526" w:type="dxa"/>
          <w:shd w:val="clear" w:color="auto" w:fill="auto"/>
        </w:tcPr>
        <w:p w14:paraId="7F4A237E" w14:textId="77777777" w:rsidR="009C65D9" w:rsidRPr="0091388A" w:rsidRDefault="009C65D9" w:rsidP="009C65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4085F1" w14:textId="77777777" w:rsidR="009C65D9" w:rsidRPr="0091388A" w:rsidRDefault="009C65D9" w:rsidP="009C65D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736099E5" w14:textId="0E964710" w:rsidR="009C65D9" w:rsidRPr="0091388A" w:rsidRDefault="009C65D9" w:rsidP="009C65D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</w:rPr>
            <w:t>+98 912 106 1716</w:t>
          </w:r>
          <w:r w:rsidR="007E2739">
            <w:rPr>
              <w:rFonts w:hint="eastAsia"/>
              <w:sz w:val="18"/>
              <w:szCs w:val="18"/>
              <w:lang w:eastAsia="zh-CN"/>
            </w:rPr>
            <w:t>（伊朗）；</w:t>
          </w:r>
          <w:r>
            <w:rPr>
              <w:sz w:val="18"/>
              <w:szCs w:val="18"/>
            </w:rPr>
            <w:t>+41 76 622 7447</w:t>
          </w:r>
          <w:r w:rsidR="007E2739">
            <w:rPr>
              <w:rFonts w:hint="eastAsia"/>
              <w:sz w:val="18"/>
              <w:szCs w:val="18"/>
              <w:lang w:eastAsia="zh-CN"/>
            </w:rPr>
            <w:t>（瑞士）</w:t>
          </w:r>
        </w:p>
      </w:tc>
      <w:bookmarkStart w:id="14" w:name="PhoneNo"/>
      <w:bookmarkEnd w:id="14"/>
    </w:tr>
    <w:tr w:rsidR="009C65D9" w:rsidRPr="0091388A" w14:paraId="42651E3A" w14:textId="77777777" w:rsidTr="009C65D9">
      <w:tc>
        <w:tcPr>
          <w:tcW w:w="1526" w:type="dxa"/>
          <w:shd w:val="clear" w:color="auto" w:fill="auto"/>
        </w:tcPr>
        <w:p w14:paraId="07905EE0" w14:textId="77777777" w:rsidR="009C65D9" w:rsidRPr="0091388A" w:rsidRDefault="009C65D9" w:rsidP="009C65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94695A" w14:textId="77777777" w:rsidR="009C65D9" w:rsidRPr="0091388A" w:rsidRDefault="009C65D9" w:rsidP="009C65D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0C5F6DA3" w14:textId="070E5ECD" w:rsidR="009C65D9" w:rsidRPr="0091388A" w:rsidRDefault="00DA0A75" w:rsidP="009C65D9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C65D9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15" w:name="Email"/>
      <w:bookmarkEnd w:id="15"/>
    </w:tr>
  </w:tbl>
  <w:p w14:paraId="4C2C78C2" w14:textId="1C3CCBF6" w:rsidR="00E45D05" w:rsidRPr="009C65D9" w:rsidRDefault="00DA0A75" w:rsidP="009C65D9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2" w:history="1">
      <w:r w:rsidR="009C65D9" w:rsidRPr="00BE53BF">
        <w:rPr>
          <w:rStyle w:val="Hyperlink"/>
          <w:sz w:val="18"/>
          <w:szCs w:val="18"/>
        </w:rPr>
        <w:t>TDAG-WG-</w:t>
      </w:r>
      <w:r w:rsidR="009C65D9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A064" w14:textId="77777777" w:rsidR="007E74F9" w:rsidRDefault="007E74F9">
      <w:r>
        <w:rPr>
          <w:b/>
        </w:rPr>
        <w:t>_______________</w:t>
      </w:r>
    </w:p>
  </w:footnote>
  <w:footnote w:type="continuationSeparator" w:id="0">
    <w:p w14:paraId="4428BD3A" w14:textId="77777777" w:rsidR="007E74F9" w:rsidRDefault="007E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3BBF" w14:textId="6AB99978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bookmarkStart w:id="9" w:name="_Hlk56755748"/>
    <w:r w:rsidR="009C65D9" w:rsidRPr="009C65D9">
      <w:rPr>
        <w:sz w:val="22"/>
        <w:szCs w:val="22"/>
        <w:lang w:val="de-CH"/>
      </w:rPr>
      <w:t>WTDC-21/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9C65D9" w:rsidRPr="009C65D9">
      <w:rPr>
        <w:sz w:val="22"/>
        <w:szCs w:val="22"/>
        <w:lang w:val="de-CH"/>
      </w:rPr>
      <w:t>5(Ann.4)</w:t>
    </w:r>
    <w:r w:rsidR="0091388A" w:rsidRPr="0091388A">
      <w:rPr>
        <w:sz w:val="22"/>
        <w:szCs w:val="22"/>
      </w:rPr>
      <w:t>-</w:t>
    </w:r>
    <w:bookmarkEnd w:id="9"/>
    <w:r w:rsidR="0091388A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5B3E1A" w:rsidRPr="0091388A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B815763"/>
    <w:multiLevelType w:val="multilevel"/>
    <w:tmpl w:val="D324BE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5FD9"/>
    <w:rsid w:val="00050A71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82664"/>
    <w:rsid w:val="001875A6"/>
    <w:rsid w:val="00187BD9"/>
    <w:rsid w:val="00190B55"/>
    <w:rsid w:val="00194CFB"/>
    <w:rsid w:val="001A3CFA"/>
    <w:rsid w:val="001B2ED3"/>
    <w:rsid w:val="001C3B5F"/>
    <w:rsid w:val="001D058F"/>
    <w:rsid w:val="001D31EE"/>
    <w:rsid w:val="002009EA"/>
    <w:rsid w:val="00202CA0"/>
    <w:rsid w:val="00210BB5"/>
    <w:rsid w:val="0021457D"/>
    <w:rsid w:val="002154A6"/>
    <w:rsid w:val="002162CD"/>
    <w:rsid w:val="002255B3"/>
    <w:rsid w:val="00236E8A"/>
    <w:rsid w:val="00271316"/>
    <w:rsid w:val="00276611"/>
    <w:rsid w:val="00296313"/>
    <w:rsid w:val="002D58BE"/>
    <w:rsid w:val="002F415A"/>
    <w:rsid w:val="003013EE"/>
    <w:rsid w:val="00377BD3"/>
    <w:rsid w:val="00384088"/>
    <w:rsid w:val="0038489B"/>
    <w:rsid w:val="0039169B"/>
    <w:rsid w:val="003A7F8C"/>
    <w:rsid w:val="003B532E"/>
    <w:rsid w:val="003B6F14"/>
    <w:rsid w:val="003C3210"/>
    <w:rsid w:val="003D0F8B"/>
    <w:rsid w:val="004131D4"/>
    <w:rsid w:val="0041348E"/>
    <w:rsid w:val="00430667"/>
    <w:rsid w:val="00434169"/>
    <w:rsid w:val="00447308"/>
    <w:rsid w:val="004765FF"/>
    <w:rsid w:val="00492075"/>
    <w:rsid w:val="004969AD"/>
    <w:rsid w:val="004B1375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49F7"/>
    <w:rsid w:val="007742CA"/>
    <w:rsid w:val="007866D5"/>
    <w:rsid w:val="007D06F0"/>
    <w:rsid w:val="007D45E3"/>
    <w:rsid w:val="007D5320"/>
    <w:rsid w:val="007E2739"/>
    <w:rsid w:val="007E74F9"/>
    <w:rsid w:val="007F735C"/>
    <w:rsid w:val="00800972"/>
    <w:rsid w:val="00804475"/>
    <w:rsid w:val="00811633"/>
    <w:rsid w:val="00813644"/>
    <w:rsid w:val="00821CEF"/>
    <w:rsid w:val="00832828"/>
    <w:rsid w:val="0083645A"/>
    <w:rsid w:val="00840B0F"/>
    <w:rsid w:val="008711AE"/>
    <w:rsid w:val="00872FC8"/>
    <w:rsid w:val="00876D88"/>
    <w:rsid w:val="008801D3"/>
    <w:rsid w:val="008845D0"/>
    <w:rsid w:val="00890524"/>
    <w:rsid w:val="008B43F2"/>
    <w:rsid w:val="008B61EA"/>
    <w:rsid w:val="008B6CFF"/>
    <w:rsid w:val="00910B26"/>
    <w:rsid w:val="0091388A"/>
    <w:rsid w:val="009274B4"/>
    <w:rsid w:val="00933808"/>
    <w:rsid w:val="00934EA2"/>
    <w:rsid w:val="00944A5C"/>
    <w:rsid w:val="00952A66"/>
    <w:rsid w:val="00954A08"/>
    <w:rsid w:val="009C56E5"/>
    <w:rsid w:val="009C65D9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5F9D"/>
    <w:rsid w:val="00B60FE6"/>
    <w:rsid w:val="00B639E9"/>
    <w:rsid w:val="00B817CD"/>
    <w:rsid w:val="00B87B91"/>
    <w:rsid w:val="00B911B2"/>
    <w:rsid w:val="00B951D0"/>
    <w:rsid w:val="00BB0E0E"/>
    <w:rsid w:val="00BB29C8"/>
    <w:rsid w:val="00BB3A95"/>
    <w:rsid w:val="00BC0382"/>
    <w:rsid w:val="00C0018F"/>
    <w:rsid w:val="00C20466"/>
    <w:rsid w:val="00C214ED"/>
    <w:rsid w:val="00C234E6"/>
    <w:rsid w:val="00C324A8"/>
    <w:rsid w:val="00C34C1E"/>
    <w:rsid w:val="00C54517"/>
    <w:rsid w:val="00C63427"/>
    <w:rsid w:val="00C64CD8"/>
    <w:rsid w:val="00C97C68"/>
    <w:rsid w:val="00CA1A47"/>
    <w:rsid w:val="00CC247A"/>
    <w:rsid w:val="00CE5E47"/>
    <w:rsid w:val="00CF020F"/>
    <w:rsid w:val="00CF2B5B"/>
    <w:rsid w:val="00D0400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0A75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357DA"/>
    <w:rsid w:val="00E4165C"/>
    <w:rsid w:val="00E45D05"/>
    <w:rsid w:val="00E55816"/>
    <w:rsid w:val="00E55AEF"/>
    <w:rsid w:val="00E976C1"/>
    <w:rsid w:val="00EA12E5"/>
    <w:rsid w:val="00EB52CA"/>
    <w:rsid w:val="00EC111E"/>
    <w:rsid w:val="00EE289E"/>
    <w:rsid w:val="00F02766"/>
    <w:rsid w:val="00F04067"/>
    <w:rsid w:val="00F05BD4"/>
    <w:rsid w:val="00F11A98"/>
    <w:rsid w:val="00F21A1D"/>
    <w:rsid w:val="00F50017"/>
    <w:rsid w:val="00F65C19"/>
    <w:rsid w:val="00F6685B"/>
    <w:rsid w:val="00F9433D"/>
    <w:rsid w:val="00FD2546"/>
    <w:rsid w:val="00FD2CFD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388A"/>
    <w:pPr>
      <w:keepNext/>
      <w:keepLines/>
      <w:spacing w:before="160"/>
      <w:ind w:left="1134"/>
    </w:pPr>
    <w:rPr>
      <w:rFonts w:eastAsia="STKaiti"/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C65D9"/>
    <w:rPr>
      <w:rFonts w:ascii="CG Times" w:eastAsia="Times New Roman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9C65D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89024CF-C964-48F9-AA9D-6A3F5297D2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Zheng bingyue</cp:lastModifiedBy>
  <cp:revision>4</cp:revision>
  <cp:lastPrinted>2017-03-10T13:45:00Z</cp:lastPrinted>
  <dcterms:created xsi:type="dcterms:W3CDTF">2022-04-19T09:47:00Z</dcterms:created>
  <dcterms:modified xsi:type="dcterms:W3CDTF">2022-04-19T12:01:00Z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