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942CC4" w:rsidRPr="004D58B1" w14:paraId="64885158" w14:textId="77777777" w:rsidTr="00A91B89">
        <w:trPr>
          <w:cantSplit/>
          <w:trHeight w:val="1134"/>
        </w:trPr>
        <w:tc>
          <w:tcPr>
            <w:tcW w:w="2410" w:type="dxa"/>
          </w:tcPr>
          <w:p w14:paraId="26CBCD88" w14:textId="44A0D254" w:rsidR="00942CC4" w:rsidRPr="004D58B1" w:rsidRDefault="009A7103" w:rsidP="00D1140E">
            <w:pPr>
              <w:spacing w:after="120"/>
              <w:ind w:left="34"/>
              <w:rPr>
                <w:rFonts w:cstheme="minorHAnsi"/>
                <w:b/>
                <w:bCs/>
                <w:sz w:val="32"/>
                <w:szCs w:val="32"/>
              </w:rPr>
            </w:pPr>
            <w:r>
              <w:rPr>
                <w:noProof/>
                <w:lang w:val="en-US"/>
              </w:rPr>
              <w:drawing>
                <wp:inline distT="0" distB="0" distL="0" distR="0" wp14:anchorId="68B1B09D" wp14:editId="03D1578C">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41F736DB" w14:textId="131A8034" w:rsidR="009A7103" w:rsidRDefault="009A7103" w:rsidP="00D1140E">
            <w:pPr>
              <w:spacing w:before="280" w:after="120"/>
              <w:ind w:left="34"/>
              <w:rPr>
                <w:b/>
                <w:bCs/>
                <w:sz w:val="32"/>
                <w:szCs w:val="32"/>
              </w:rPr>
            </w:pPr>
            <w:r w:rsidRPr="006F3D93">
              <w:rPr>
                <w:b/>
                <w:bCs/>
                <w:sz w:val="32"/>
                <w:szCs w:val="32"/>
              </w:rPr>
              <w:t>Telecommunication</w:t>
            </w:r>
            <w:r w:rsidR="00296088">
              <w:rPr>
                <w:b/>
                <w:bCs/>
                <w:sz w:val="32"/>
                <w:szCs w:val="32"/>
              </w:rPr>
              <w:t xml:space="preserve"> </w:t>
            </w:r>
            <w:r>
              <w:rPr>
                <w:b/>
                <w:bCs/>
                <w:sz w:val="32"/>
                <w:szCs w:val="32"/>
              </w:rPr>
              <w:t>Development</w:t>
            </w:r>
            <w:r>
              <w:br/>
            </w:r>
            <w:r>
              <w:rPr>
                <w:b/>
                <w:bCs/>
                <w:sz w:val="32"/>
                <w:szCs w:val="32"/>
              </w:rPr>
              <w:t>Advisory</w:t>
            </w:r>
            <w:r w:rsidR="00296088">
              <w:rPr>
                <w:b/>
                <w:bCs/>
                <w:sz w:val="32"/>
                <w:szCs w:val="32"/>
              </w:rPr>
              <w:t xml:space="preserve"> </w:t>
            </w:r>
            <w:r>
              <w:rPr>
                <w:b/>
                <w:bCs/>
                <w:sz w:val="32"/>
                <w:szCs w:val="32"/>
              </w:rPr>
              <w:t>Group</w:t>
            </w:r>
            <w:r w:rsidR="00296088">
              <w:rPr>
                <w:b/>
                <w:bCs/>
                <w:sz w:val="32"/>
                <w:szCs w:val="32"/>
              </w:rPr>
              <w:t xml:space="preserve"> </w:t>
            </w:r>
            <w:r>
              <w:rPr>
                <w:b/>
                <w:bCs/>
                <w:sz w:val="32"/>
                <w:szCs w:val="32"/>
              </w:rPr>
              <w:t>(TDAG)</w:t>
            </w:r>
          </w:p>
          <w:p w14:paraId="4136E9DD" w14:textId="3A350A1F" w:rsidR="00942CC4" w:rsidRPr="004D58B1" w:rsidRDefault="009A7103" w:rsidP="00D1140E">
            <w:pPr>
              <w:spacing w:before="100" w:after="120"/>
              <w:ind w:left="34"/>
              <w:rPr>
                <w:rFonts w:cstheme="minorHAnsi"/>
                <w:sz w:val="28"/>
                <w:szCs w:val="28"/>
              </w:rPr>
            </w:pPr>
            <w:r>
              <w:rPr>
                <w:b/>
                <w:bCs/>
                <w:sz w:val="26"/>
                <w:szCs w:val="26"/>
              </w:rPr>
              <w:t>29th</w:t>
            </w:r>
            <w:r w:rsidR="00296088">
              <w:rPr>
                <w:b/>
                <w:bCs/>
                <w:sz w:val="26"/>
                <w:szCs w:val="26"/>
              </w:rPr>
              <w:t xml:space="preserve"> </w:t>
            </w:r>
            <w:r>
              <w:rPr>
                <w:b/>
                <w:bCs/>
                <w:sz w:val="26"/>
                <w:szCs w:val="26"/>
              </w:rPr>
              <w:t>Meeting,</w:t>
            </w:r>
            <w:r w:rsidR="00296088">
              <w:rPr>
                <w:b/>
                <w:bCs/>
                <w:sz w:val="26"/>
                <w:szCs w:val="26"/>
              </w:rPr>
              <w:t xml:space="preserve"> </w:t>
            </w:r>
            <w:r>
              <w:rPr>
                <w:b/>
                <w:bCs/>
                <w:sz w:val="26"/>
                <w:szCs w:val="26"/>
              </w:rPr>
              <w:t>Virtual,</w:t>
            </w:r>
            <w:r w:rsidR="00296088">
              <w:rPr>
                <w:b/>
                <w:bCs/>
                <w:sz w:val="26"/>
                <w:szCs w:val="26"/>
              </w:rPr>
              <w:t xml:space="preserve"> </w:t>
            </w:r>
            <w:r>
              <w:rPr>
                <w:b/>
                <w:bCs/>
                <w:sz w:val="26"/>
                <w:szCs w:val="26"/>
              </w:rPr>
              <w:t>8-12</w:t>
            </w:r>
            <w:r w:rsidR="00296088">
              <w:rPr>
                <w:b/>
                <w:bCs/>
                <w:sz w:val="26"/>
                <w:szCs w:val="26"/>
              </w:rPr>
              <w:t xml:space="preserve"> </w:t>
            </w:r>
            <w:r>
              <w:rPr>
                <w:b/>
                <w:bCs/>
                <w:sz w:val="26"/>
                <w:szCs w:val="26"/>
              </w:rPr>
              <w:t>November</w:t>
            </w:r>
            <w:r w:rsidR="00296088">
              <w:rPr>
                <w:b/>
                <w:bCs/>
                <w:sz w:val="26"/>
                <w:szCs w:val="26"/>
              </w:rPr>
              <w:t xml:space="preserve"> </w:t>
            </w:r>
            <w:r>
              <w:rPr>
                <w:b/>
                <w:bCs/>
                <w:sz w:val="26"/>
                <w:szCs w:val="26"/>
              </w:rPr>
              <w:t>2021</w:t>
            </w:r>
          </w:p>
        </w:tc>
        <w:tc>
          <w:tcPr>
            <w:tcW w:w="1524" w:type="dxa"/>
          </w:tcPr>
          <w:p w14:paraId="72B6A943" w14:textId="77777777" w:rsidR="00942CC4" w:rsidRPr="004D58B1" w:rsidRDefault="00942CC4" w:rsidP="00D1140E">
            <w:pPr>
              <w:spacing w:before="240"/>
              <w:ind w:right="142"/>
              <w:jc w:val="right"/>
              <w:rPr>
                <w:rFonts w:cstheme="minorHAnsi"/>
              </w:rPr>
            </w:pPr>
            <w:r w:rsidRPr="004D58B1">
              <w:rPr>
                <w:rFonts w:cstheme="minorHAnsi"/>
                <w:noProof/>
                <w:lang w:val="en-US"/>
              </w:rPr>
              <w:drawing>
                <wp:inline distT="0" distB="0" distL="0" distR="0" wp14:anchorId="1D80A5E3" wp14:editId="6B68B70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42CC4" w:rsidRPr="004D58B1" w14:paraId="266ABF9A" w14:textId="77777777" w:rsidTr="00A91B89">
        <w:trPr>
          <w:cantSplit/>
        </w:trPr>
        <w:tc>
          <w:tcPr>
            <w:tcW w:w="6379" w:type="dxa"/>
            <w:gridSpan w:val="2"/>
            <w:tcBorders>
              <w:top w:val="single" w:sz="12" w:space="0" w:color="auto"/>
            </w:tcBorders>
          </w:tcPr>
          <w:p w14:paraId="5CA58D49" w14:textId="77777777" w:rsidR="00942CC4" w:rsidRPr="004D58B1" w:rsidRDefault="00942CC4" w:rsidP="00D1140E">
            <w:pPr>
              <w:spacing w:before="0"/>
              <w:rPr>
                <w:rFonts w:cstheme="minorHAnsi"/>
                <w:b/>
                <w:bCs/>
                <w:sz w:val="20"/>
              </w:rPr>
            </w:pPr>
          </w:p>
        </w:tc>
        <w:tc>
          <w:tcPr>
            <w:tcW w:w="3509" w:type="dxa"/>
            <w:gridSpan w:val="2"/>
            <w:tcBorders>
              <w:top w:val="single" w:sz="12" w:space="0" w:color="auto"/>
            </w:tcBorders>
          </w:tcPr>
          <w:p w14:paraId="562A0E13" w14:textId="685692BB" w:rsidR="00942CC4" w:rsidRPr="004D58B1" w:rsidRDefault="00942CC4" w:rsidP="00D1140E">
            <w:pPr>
              <w:spacing w:before="0"/>
              <w:rPr>
                <w:rFonts w:cstheme="minorHAnsi"/>
                <w:b/>
                <w:bCs/>
                <w:szCs w:val="24"/>
              </w:rPr>
            </w:pPr>
          </w:p>
        </w:tc>
      </w:tr>
      <w:tr w:rsidR="00942CC4" w:rsidRPr="004D58B1" w14:paraId="4D535E93" w14:textId="77777777" w:rsidTr="00A91B89">
        <w:trPr>
          <w:cantSplit/>
        </w:trPr>
        <w:tc>
          <w:tcPr>
            <w:tcW w:w="6379" w:type="dxa"/>
            <w:gridSpan w:val="2"/>
          </w:tcPr>
          <w:p w14:paraId="68454279" w14:textId="77777777" w:rsidR="00942CC4" w:rsidRPr="004D58B1" w:rsidRDefault="00942CC4" w:rsidP="00D1140E">
            <w:pPr>
              <w:pStyle w:val="Committee"/>
              <w:framePr w:hSpace="0" w:wrap="auto" w:hAnchor="text" w:yAlign="inline"/>
              <w:rPr>
                <w:b w:val="0"/>
              </w:rPr>
            </w:pPr>
          </w:p>
        </w:tc>
        <w:tc>
          <w:tcPr>
            <w:tcW w:w="3509" w:type="dxa"/>
            <w:gridSpan w:val="2"/>
          </w:tcPr>
          <w:p w14:paraId="4413F965" w14:textId="3868ED1A" w:rsidR="00942CC4" w:rsidRPr="004D58B1" w:rsidRDefault="00942CC4" w:rsidP="00D1140E">
            <w:pPr>
              <w:spacing w:before="0"/>
              <w:jc w:val="both"/>
              <w:rPr>
                <w:rFonts w:cstheme="minorHAnsi"/>
                <w:bCs/>
                <w:szCs w:val="24"/>
                <w:lang w:val="en-US"/>
              </w:rPr>
            </w:pPr>
            <w:r w:rsidRPr="004D58B1">
              <w:rPr>
                <w:rFonts w:cstheme="minorHAnsi"/>
                <w:b/>
                <w:bCs/>
                <w:lang w:val="en-US"/>
              </w:rPr>
              <w:t>Document</w:t>
            </w:r>
            <w:r w:rsidR="00296088">
              <w:rPr>
                <w:rFonts w:cstheme="minorHAnsi"/>
                <w:b/>
                <w:bCs/>
                <w:lang w:val="en-US"/>
              </w:rPr>
              <w:t xml:space="preserve"> </w:t>
            </w:r>
            <w:r w:rsidRPr="004D58B1">
              <w:rPr>
                <w:rFonts w:cstheme="minorHAnsi"/>
                <w:b/>
                <w:bCs/>
                <w:lang w:val="en-US"/>
              </w:rPr>
              <w:t>TDAG-21/</w:t>
            </w:r>
            <w:r w:rsidR="009A7103">
              <w:rPr>
                <w:rFonts w:cstheme="minorHAnsi"/>
                <w:b/>
                <w:bCs/>
                <w:lang w:val="en-US"/>
              </w:rPr>
              <w:t>2/</w:t>
            </w:r>
            <w:r w:rsidR="00D81C68">
              <w:rPr>
                <w:rFonts w:cstheme="minorHAnsi"/>
                <w:b/>
                <w:bCs/>
                <w:lang w:val="en-US"/>
              </w:rPr>
              <w:t>34</w:t>
            </w:r>
            <w:r w:rsidRPr="004D58B1">
              <w:rPr>
                <w:rFonts w:cstheme="minorHAnsi"/>
                <w:b/>
                <w:bCs/>
                <w:lang w:val="en-US"/>
              </w:rPr>
              <w:t>-E</w:t>
            </w:r>
          </w:p>
        </w:tc>
      </w:tr>
      <w:tr w:rsidR="00942CC4" w:rsidRPr="004D58B1" w14:paraId="3A2D6FF5" w14:textId="77777777" w:rsidTr="00A91B89">
        <w:trPr>
          <w:cantSplit/>
        </w:trPr>
        <w:tc>
          <w:tcPr>
            <w:tcW w:w="6379" w:type="dxa"/>
            <w:gridSpan w:val="2"/>
          </w:tcPr>
          <w:p w14:paraId="126000CD" w14:textId="77777777" w:rsidR="00942CC4" w:rsidRPr="002C2756" w:rsidRDefault="00942CC4" w:rsidP="00D1140E">
            <w:pPr>
              <w:spacing w:before="0"/>
              <w:rPr>
                <w:rFonts w:cstheme="minorHAnsi"/>
                <w:b/>
                <w:bCs/>
                <w:smallCaps/>
                <w:szCs w:val="24"/>
                <w:lang w:val="en-US"/>
              </w:rPr>
            </w:pPr>
          </w:p>
        </w:tc>
        <w:tc>
          <w:tcPr>
            <w:tcW w:w="3509" w:type="dxa"/>
            <w:gridSpan w:val="2"/>
          </w:tcPr>
          <w:p w14:paraId="080B7252" w14:textId="2C6AB406" w:rsidR="00942CC4" w:rsidRPr="002C2756" w:rsidRDefault="006C0D1D" w:rsidP="00D1140E">
            <w:pPr>
              <w:spacing w:before="0"/>
              <w:rPr>
                <w:rFonts w:cstheme="minorHAnsi"/>
                <w:b/>
                <w:szCs w:val="24"/>
              </w:rPr>
            </w:pPr>
            <w:bookmarkStart w:id="0" w:name="CreationDate"/>
            <w:bookmarkEnd w:id="0"/>
            <w:r w:rsidRPr="002C2756">
              <w:rPr>
                <w:rFonts w:cstheme="minorHAnsi"/>
                <w:b/>
                <w:bCs/>
                <w:szCs w:val="28"/>
              </w:rPr>
              <w:t>7 February 2022</w:t>
            </w:r>
          </w:p>
        </w:tc>
      </w:tr>
      <w:tr w:rsidR="00942CC4" w:rsidRPr="004D58B1" w14:paraId="3D5DB786" w14:textId="77777777" w:rsidTr="00A91B89">
        <w:trPr>
          <w:cantSplit/>
        </w:trPr>
        <w:tc>
          <w:tcPr>
            <w:tcW w:w="6379" w:type="dxa"/>
            <w:gridSpan w:val="2"/>
          </w:tcPr>
          <w:p w14:paraId="7C2CDE5F" w14:textId="77777777" w:rsidR="00942CC4" w:rsidRPr="004D58B1" w:rsidRDefault="00942CC4" w:rsidP="00D1140E">
            <w:pPr>
              <w:spacing w:before="0"/>
              <w:rPr>
                <w:rFonts w:cstheme="minorHAnsi"/>
                <w:b/>
                <w:bCs/>
                <w:smallCaps/>
                <w:szCs w:val="24"/>
              </w:rPr>
            </w:pPr>
          </w:p>
        </w:tc>
        <w:tc>
          <w:tcPr>
            <w:tcW w:w="3509" w:type="dxa"/>
            <w:gridSpan w:val="2"/>
          </w:tcPr>
          <w:p w14:paraId="605BD094" w14:textId="78E5EBC2" w:rsidR="00942CC4" w:rsidRPr="004D58B1" w:rsidRDefault="00942CC4" w:rsidP="00D1140E">
            <w:pPr>
              <w:spacing w:before="0"/>
              <w:rPr>
                <w:rFonts w:cstheme="minorHAnsi"/>
                <w:szCs w:val="24"/>
              </w:rPr>
            </w:pPr>
            <w:r w:rsidRPr="004D58B1">
              <w:rPr>
                <w:rFonts w:cstheme="minorHAnsi"/>
                <w:b/>
              </w:rPr>
              <w:t>Original:</w:t>
            </w:r>
            <w:bookmarkStart w:id="1" w:name="Original"/>
            <w:bookmarkEnd w:id="1"/>
            <w:r w:rsidR="00296088">
              <w:rPr>
                <w:rFonts w:cstheme="minorHAnsi"/>
                <w:b/>
              </w:rPr>
              <w:t xml:space="preserve"> </w:t>
            </w:r>
            <w:r w:rsidRPr="004D58B1">
              <w:rPr>
                <w:rFonts w:cstheme="minorHAnsi"/>
                <w:b/>
              </w:rPr>
              <w:t>English</w:t>
            </w:r>
          </w:p>
        </w:tc>
      </w:tr>
      <w:tr w:rsidR="00942CC4" w:rsidRPr="004D58B1" w14:paraId="420F39FF" w14:textId="77777777" w:rsidTr="00A91B89">
        <w:trPr>
          <w:cantSplit/>
          <w:trHeight w:val="852"/>
        </w:trPr>
        <w:tc>
          <w:tcPr>
            <w:tcW w:w="9888" w:type="dxa"/>
            <w:gridSpan w:val="4"/>
          </w:tcPr>
          <w:p w14:paraId="4F566FE3" w14:textId="1CD5B25F" w:rsidR="00942CC4" w:rsidRPr="004D58B1" w:rsidRDefault="00942CC4" w:rsidP="00D1140E">
            <w:pPr>
              <w:pStyle w:val="Source"/>
              <w:spacing w:before="240" w:after="240"/>
              <w:rPr>
                <w:rFonts w:cstheme="minorHAnsi"/>
              </w:rPr>
            </w:pPr>
            <w:bookmarkStart w:id="2" w:name="Source"/>
            <w:bookmarkStart w:id="3" w:name="_GoBack"/>
            <w:bookmarkEnd w:id="2"/>
            <w:r w:rsidRPr="004D58B1">
              <w:rPr>
                <w:rFonts w:cstheme="minorHAnsi"/>
              </w:rPr>
              <w:t>Chairman,</w:t>
            </w:r>
            <w:r w:rsidR="00296088">
              <w:rPr>
                <w:rFonts w:cstheme="minorHAnsi"/>
              </w:rPr>
              <w:t xml:space="preserve"> </w:t>
            </w:r>
            <w:bookmarkEnd w:id="3"/>
            <w:r w:rsidRPr="004D58B1">
              <w:rPr>
                <w:rFonts w:cstheme="minorHAnsi"/>
              </w:rPr>
              <w:t>Telecommunication</w:t>
            </w:r>
            <w:r w:rsidR="00296088">
              <w:rPr>
                <w:rFonts w:cstheme="minorHAnsi"/>
              </w:rPr>
              <w:t xml:space="preserve"> </w:t>
            </w:r>
            <w:r w:rsidRPr="004D58B1">
              <w:rPr>
                <w:rFonts w:cstheme="minorHAnsi"/>
              </w:rPr>
              <w:t>Development</w:t>
            </w:r>
            <w:r w:rsidR="00296088">
              <w:rPr>
                <w:rFonts w:cstheme="minorHAnsi"/>
              </w:rPr>
              <w:t xml:space="preserve"> </w:t>
            </w:r>
            <w:r w:rsidRPr="004D58B1">
              <w:rPr>
                <w:rFonts w:cstheme="minorHAnsi"/>
              </w:rPr>
              <w:t>Advisory</w:t>
            </w:r>
            <w:r w:rsidR="00296088">
              <w:rPr>
                <w:rFonts w:cstheme="minorHAnsi"/>
              </w:rPr>
              <w:t xml:space="preserve"> </w:t>
            </w:r>
            <w:r w:rsidRPr="004D58B1">
              <w:rPr>
                <w:rFonts w:cstheme="minorHAnsi"/>
              </w:rPr>
              <w:t>Group</w:t>
            </w:r>
            <w:r w:rsidR="00296088">
              <w:rPr>
                <w:rFonts w:cstheme="minorHAnsi"/>
              </w:rPr>
              <w:t xml:space="preserve"> </w:t>
            </w:r>
            <w:r w:rsidRPr="004D58B1">
              <w:rPr>
                <w:rFonts w:cstheme="minorHAnsi"/>
              </w:rPr>
              <w:t>(TDAG)</w:t>
            </w:r>
          </w:p>
        </w:tc>
      </w:tr>
      <w:tr w:rsidR="00942CC4" w:rsidRPr="004D58B1" w14:paraId="3242D46F" w14:textId="77777777" w:rsidTr="00A91B89">
        <w:trPr>
          <w:cantSplit/>
        </w:trPr>
        <w:tc>
          <w:tcPr>
            <w:tcW w:w="9888" w:type="dxa"/>
            <w:gridSpan w:val="4"/>
          </w:tcPr>
          <w:p w14:paraId="5D30C001" w14:textId="0D582830" w:rsidR="00942CC4" w:rsidRPr="004D58B1" w:rsidRDefault="00942CC4" w:rsidP="00D1140E">
            <w:pPr>
              <w:pStyle w:val="Title1"/>
              <w:spacing w:before="120" w:after="120"/>
              <w:rPr>
                <w:rFonts w:cstheme="minorHAnsi"/>
                <w:caps w:val="0"/>
              </w:rPr>
            </w:pPr>
            <w:bookmarkStart w:id="4" w:name="Title"/>
            <w:bookmarkEnd w:id="4"/>
            <w:r w:rsidRPr="004D58B1">
              <w:rPr>
                <w:rFonts w:cstheme="minorHAnsi"/>
                <w:caps w:val="0"/>
              </w:rPr>
              <w:t>Report</w:t>
            </w:r>
            <w:r w:rsidR="00296088">
              <w:rPr>
                <w:rFonts w:cstheme="minorHAnsi"/>
                <w:caps w:val="0"/>
              </w:rPr>
              <w:t xml:space="preserve"> </w:t>
            </w:r>
            <w:r w:rsidRPr="004D58B1">
              <w:rPr>
                <w:rFonts w:cstheme="minorHAnsi"/>
                <w:caps w:val="0"/>
              </w:rPr>
              <w:t>of</w:t>
            </w:r>
            <w:r w:rsidR="00296088">
              <w:rPr>
                <w:rFonts w:cstheme="minorHAnsi"/>
                <w:caps w:val="0"/>
              </w:rPr>
              <w:t xml:space="preserve"> </w:t>
            </w:r>
            <w:r w:rsidRPr="004D58B1">
              <w:rPr>
                <w:rFonts w:cstheme="minorHAnsi"/>
                <w:caps w:val="0"/>
              </w:rPr>
              <w:t>the</w:t>
            </w:r>
            <w:r w:rsidR="00296088">
              <w:rPr>
                <w:rFonts w:cstheme="minorHAnsi"/>
                <w:caps w:val="0"/>
              </w:rPr>
              <w:t xml:space="preserve"> </w:t>
            </w:r>
            <w:r w:rsidRPr="004D58B1">
              <w:rPr>
                <w:rFonts w:cstheme="minorHAnsi"/>
                <w:caps w:val="0"/>
              </w:rPr>
              <w:t>2</w:t>
            </w:r>
            <w:r w:rsidR="009A7103">
              <w:rPr>
                <w:rFonts w:cstheme="minorHAnsi"/>
                <w:caps w:val="0"/>
              </w:rPr>
              <w:t>9</w:t>
            </w:r>
            <w:r w:rsidRPr="004D58B1">
              <w:rPr>
                <w:rFonts w:cstheme="minorHAnsi"/>
                <w:caps w:val="0"/>
              </w:rPr>
              <w:t>th</w:t>
            </w:r>
            <w:r w:rsidR="00296088">
              <w:rPr>
                <w:rFonts w:cstheme="minorHAnsi"/>
                <w:caps w:val="0"/>
              </w:rPr>
              <w:t xml:space="preserve"> </w:t>
            </w:r>
            <w:r w:rsidRPr="004D58B1">
              <w:rPr>
                <w:rFonts w:cstheme="minorHAnsi"/>
                <w:caps w:val="0"/>
              </w:rPr>
              <w:t>TDAG</w:t>
            </w:r>
            <w:r w:rsidR="00296088">
              <w:rPr>
                <w:rFonts w:cstheme="minorHAnsi"/>
                <w:caps w:val="0"/>
              </w:rPr>
              <w:t xml:space="preserve"> </w:t>
            </w:r>
            <w:r w:rsidRPr="004D58B1">
              <w:rPr>
                <w:rFonts w:cstheme="minorHAnsi"/>
                <w:caps w:val="0"/>
              </w:rPr>
              <w:t>Meeting</w:t>
            </w:r>
          </w:p>
        </w:tc>
      </w:tr>
      <w:tr w:rsidR="00942CC4" w:rsidRPr="004D58B1" w14:paraId="4D33882E" w14:textId="77777777" w:rsidTr="00A91B89">
        <w:trPr>
          <w:cantSplit/>
        </w:trPr>
        <w:tc>
          <w:tcPr>
            <w:tcW w:w="9888" w:type="dxa"/>
            <w:gridSpan w:val="4"/>
            <w:tcBorders>
              <w:bottom w:val="single" w:sz="4" w:space="0" w:color="auto"/>
            </w:tcBorders>
          </w:tcPr>
          <w:p w14:paraId="48DC79A5" w14:textId="77777777" w:rsidR="00942CC4" w:rsidRPr="004D58B1" w:rsidRDefault="00942CC4" w:rsidP="00D1140E">
            <w:pPr>
              <w:rPr>
                <w:rFonts w:cstheme="minorHAnsi"/>
              </w:rPr>
            </w:pPr>
          </w:p>
        </w:tc>
      </w:tr>
    </w:tbl>
    <w:p w14:paraId="20D1AC4D" w14:textId="77777777" w:rsidR="00942CC4" w:rsidRPr="004D58B1" w:rsidRDefault="00942CC4" w:rsidP="00D1140E">
      <w:pPr>
        <w:rPr>
          <w:rFonts w:cstheme="minorHAnsi"/>
        </w:rPr>
      </w:pPr>
    </w:p>
    <w:p w14:paraId="54F9DCE9" w14:textId="09FCC449" w:rsidR="00942CC4" w:rsidRPr="001E60D9" w:rsidRDefault="00942CC4" w:rsidP="0011639E">
      <w:pPr>
        <w:keepNext/>
        <w:spacing w:after="120"/>
        <w:rPr>
          <w:rFonts w:cstheme="minorHAnsi"/>
          <w:b/>
          <w:bCs/>
          <w:szCs w:val="24"/>
        </w:rPr>
      </w:pPr>
      <w:r w:rsidRPr="001E60D9">
        <w:rPr>
          <w:rFonts w:cstheme="minorHAnsi"/>
          <w:b/>
          <w:bCs/>
          <w:szCs w:val="24"/>
        </w:rPr>
        <w:t>Introduction</w:t>
      </w:r>
      <w:r w:rsidR="00296088" w:rsidRPr="001E60D9">
        <w:rPr>
          <w:rFonts w:cstheme="minorHAnsi"/>
          <w:b/>
          <w:bCs/>
          <w:szCs w:val="24"/>
        </w:rPr>
        <w:t xml:space="preserve"> </w:t>
      </w:r>
      <w:r w:rsidRPr="001E60D9">
        <w:rPr>
          <w:rFonts w:cstheme="minorHAnsi"/>
          <w:b/>
          <w:bCs/>
          <w:szCs w:val="24"/>
        </w:rPr>
        <w:t>and</w:t>
      </w:r>
      <w:r w:rsidR="00296088" w:rsidRPr="001E60D9">
        <w:rPr>
          <w:rFonts w:cstheme="minorHAnsi"/>
          <w:b/>
          <w:bCs/>
          <w:szCs w:val="24"/>
        </w:rPr>
        <w:t xml:space="preserve"> </w:t>
      </w:r>
      <w:r w:rsidRPr="001E60D9">
        <w:rPr>
          <w:rFonts w:cstheme="minorHAnsi"/>
          <w:b/>
          <w:bCs/>
          <w:szCs w:val="24"/>
        </w:rPr>
        <w:t>highlights</w:t>
      </w:r>
      <w:r w:rsidR="00296088" w:rsidRPr="001E60D9">
        <w:rPr>
          <w:rFonts w:cstheme="minorHAnsi"/>
          <w:b/>
          <w:bCs/>
          <w:szCs w:val="24"/>
        </w:rPr>
        <w:t xml:space="preserve"> </w:t>
      </w:r>
    </w:p>
    <w:p w14:paraId="023417DE" w14:textId="5FAF2A4E" w:rsidR="00CE6F09" w:rsidRPr="004C6EF9" w:rsidRDefault="00942CC4" w:rsidP="00D1140E">
      <w:pPr>
        <w:spacing w:after="120"/>
        <w:rPr>
          <w:rFonts w:cstheme="minorHAnsi"/>
          <w:szCs w:val="24"/>
        </w:rPr>
      </w:pPr>
      <w:r w:rsidRPr="001E60D9">
        <w:rPr>
          <w:rFonts w:cstheme="minorHAnsi"/>
          <w:szCs w:val="24"/>
        </w:rPr>
        <w:t>The</w:t>
      </w:r>
      <w:r w:rsidR="00296088" w:rsidRPr="001E60D9">
        <w:rPr>
          <w:rFonts w:cstheme="minorHAnsi"/>
          <w:szCs w:val="24"/>
        </w:rPr>
        <w:t xml:space="preserve"> </w:t>
      </w:r>
      <w:r w:rsidRPr="001E60D9">
        <w:rPr>
          <w:rFonts w:cstheme="minorHAnsi"/>
          <w:szCs w:val="24"/>
        </w:rPr>
        <w:t>2</w:t>
      </w:r>
      <w:r w:rsidR="001E60D9" w:rsidRPr="001E60D9">
        <w:rPr>
          <w:rFonts w:cstheme="minorHAnsi"/>
          <w:szCs w:val="24"/>
        </w:rPr>
        <w:t>9</w:t>
      </w:r>
      <w:r w:rsidRPr="001E60D9">
        <w:rPr>
          <w:rFonts w:cstheme="minorHAnsi"/>
          <w:szCs w:val="24"/>
        </w:rPr>
        <w:t>th</w:t>
      </w:r>
      <w:r w:rsidR="00296088" w:rsidRPr="001E60D9">
        <w:rPr>
          <w:rFonts w:cstheme="minorHAnsi"/>
          <w:szCs w:val="24"/>
        </w:rPr>
        <w:t xml:space="preserve"> </w:t>
      </w:r>
      <w:r w:rsidRPr="001E60D9">
        <w:rPr>
          <w:rFonts w:cstheme="minorHAnsi"/>
          <w:szCs w:val="24"/>
        </w:rPr>
        <w:t>meeting</w:t>
      </w:r>
      <w:r w:rsidR="00296088" w:rsidRPr="001E60D9">
        <w:rPr>
          <w:rFonts w:cstheme="minorHAnsi"/>
          <w:szCs w:val="24"/>
        </w:rPr>
        <w:t xml:space="preserve"> </w:t>
      </w:r>
      <w:r w:rsidRPr="001E60D9">
        <w:rPr>
          <w:rFonts w:cstheme="minorHAnsi"/>
          <w:szCs w:val="24"/>
        </w:rPr>
        <w:t>of</w:t>
      </w:r>
      <w:r w:rsidR="00296088" w:rsidRPr="001E60D9">
        <w:rPr>
          <w:rFonts w:cstheme="minorHAnsi"/>
          <w:szCs w:val="24"/>
        </w:rPr>
        <w:t xml:space="preserve"> </w:t>
      </w:r>
      <w:r w:rsidRPr="001E60D9">
        <w:rPr>
          <w:rFonts w:cstheme="minorHAnsi"/>
          <w:szCs w:val="24"/>
        </w:rPr>
        <w:t>the</w:t>
      </w:r>
      <w:r w:rsidR="00296088" w:rsidRPr="001E60D9">
        <w:rPr>
          <w:rFonts w:cstheme="minorHAnsi"/>
          <w:szCs w:val="24"/>
        </w:rPr>
        <w:t xml:space="preserve"> </w:t>
      </w:r>
      <w:r w:rsidRPr="001E60D9">
        <w:rPr>
          <w:rFonts w:cstheme="minorHAnsi"/>
          <w:szCs w:val="24"/>
        </w:rPr>
        <w:t>Telecommunication</w:t>
      </w:r>
      <w:r w:rsidR="00296088" w:rsidRPr="001E60D9">
        <w:rPr>
          <w:rFonts w:cstheme="minorHAnsi"/>
          <w:szCs w:val="24"/>
        </w:rPr>
        <w:t xml:space="preserve"> </w:t>
      </w:r>
      <w:r w:rsidRPr="001E60D9">
        <w:rPr>
          <w:rFonts w:cstheme="minorHAnsi"/>
          <w:szCs w:val="24"/>
        </w:rPr>
        <w:t>Development</w:t>
      </w:r>
      <w:r w:rsidR="00296088" w:rsidRPr="001E60D9">
        <w:rPr>
          <w:rFonts w:cstheme="minorHAnsi"/>
          <w:szCs w:val="24"/>
        </w:rPr>
        <w:t xml:space="preserve"> </w:t>
      </w:r>
      <w:r w:rsidRPr="001E60D9">
        <w:rPr>
          <w:rFonts w:cstheme="minorHAnsi"/>
          <w:szCs w:val="24"/>
        </w:rPr>
        <w:t>Advisory</w:t>
      </w:r>
      <w:r w:rsidR="00296088" w:rsidRPr="001E60D9">
        <w:rPr>
          <w:rFonts w:cstheme="minorHAnsi"/>
          <w:szCs w:val="24"/>
        </w:rPr>
        <w:t xml:space="preserve"> </w:t>
      </w:r>
      <w:r w:rsidRPr="001E60D9">
        <w:rPr>
          <w:rFonts w:cstheme="minorHAnsi"/>
          <w:szCs w:val="24"/>
        </w:rPr>
        <w:t>Group</w:t>
      </w:r>
      <w:r w:rsidR="00296088" w:rsidRPr="001E60D9">
        <w:rPr>
          <w:rFonts w:cstheme="minorHAnsi"/>
          <w:szCs w:val="24"/>
        </w:rPr>
        <w:t xml:space="preserve"> </w:t>
      </w:r>
      <w:r w:rsidRPr="001E60D9">
        <w:rPr>
          <w:rFonts w:cstheme="minorHAnsi"/>
          <w:szCs w:val="24"/>
        </w:rPr>
        <w:t>(TDAG</w:t>
      </w:r>
      <w:r w:rsidR="001E60D9" w:rsidRPr="001E60D9">
        <w:rPr>
          <w:rFonts w:cstheme="minorHAnsi"/>
          <w:szCs w:val="24"/>
        </w:rPr>
        <w:t>-21/2</w:t>
      </w:r>
      <w:r w:rsidRPr="001E60D9">
        <w:rPr>
          <w:rFonts w:cstheme="minorHAnsi"/>
          <w:szCs w:val="24"/>
        </w:rPr>
        <w:t>)</w:t>
      </w:r>
      <w:r w:rsidR="00296088" w:rsidRPr="001E60D9">
        <w:rPr>
          <w:rFonts w:cstheme="minorHAnsi"/>
          <w:szCs w:val="24"/>
        </w:rPr>
        <w:t xml:space="preserve"> </w:t>
      </w:r>
      <w:r w:rsidRPr="001E60D9">
        <w:rPr>
          <w:rFonts w:cstheme="minorHAnsi"/>
          <w:szCs w:val="24"/>
        </w:rPr>
        <w:t>was</w:t>
      </w:r>
      <w:r w:rsidR="00296088" w:rsidRPr="001E60D9">
        <w:rPr>
          <w:rFonts w:cstheme="minorHAnsi"/>
          <w:szCs w:val="24"/>
        </w:rPr>
        <w:t xml:space="preserve"> </w:t>
      </w:r>
      <w:r w:rsidRPr="001E60D9">
        <w:rPr>
          <w:rFonts w:cstheme="minorHAnsi"/>
          <w:szCs w:val="24"/>
        </w:rPr>
        <w:t>conducted</w:t>
      </w:r>
      <w:r w:rsidR="00296088" w:rsidRPr="001E60D9">
        <w:rPr>
          <w:rFonts w:cstheme="minorHAnsi"/>
          <w:szCs w:val="24"/>
        </w:rPr>
        <w:t xml:space="preserve"> </w:t>
      </w:r>
      <w:r w:rsidRPr="001E60D9">
        <w:rPr>
          <w:rFonts w:cstheme="minorHAnsi"/>
          <w:szCs w:val="24"/>
        </w:rPr>
        <w:t>virtually</w:t>
      </w:r>
      <w:r w:rsidR="00296088" w:rsidRPr="001E60D9">
        <w:rPr>
          <w:rFonts w:cstheme="minorHAnsi"/>
          <w:szCs w:val="24"/>
        </w:rPr>
        <w:t xml:space="preserve"> </w:t>
      </w:r>
      <w:r w:rsidRPr="001E60D9">
        <w:rPr>
          <w:rFonts w:cstheme="minorHAnsi"/>
          <w:szCs w:val="24"/>
        </w:rPr>
        <w:t>from</w:t>
      </w:r>
      <w:r w:rsidR="00296088" w:rsidRPr="001E60D9">
        <w:rPr>
          <w:rFonts w:cstheme="minorHAnsi"/>
          <w:szCs w:val="24"/>
        </w:rPr>
        <w:t xml:space="preserve"> </w:t>
      </w:r>
      <w:r w:rsidR="001E60D9" w:rsidRPr="001E60D9">
        <w:rPr>
          <w:rFonts w:cstheme="minorHAnsi"/>
          <w:szCs w:val="24"/>
        </w:rPr>
        <w:t>8</w:t>
      </w:r>
      <w:r w:rsidR="00296088" w:rsidRPr="001E60D9">
        <w:rPr>
          <w:rFonts w:cstheme="minorHAnsi"/>
          <w:szCs w:val="24"/>
        </w:rPr>
        <w:t xml:space="preserve"> </w:t>
      </w:r>
      <w:r w:rsidRPr="001E60D9">
        <w:rPr>
          <w:rFonts w:cstheme="minorHAnsi"/>
          <w:szCs w:val="24"/>
        </w:rPr>
        <w:t>to</w:t>
      </w:r>
      <w:r w:rsidR="00296088" w:rsidRPr="001E60D9">
        <w:rPr>
          <w:rFonts w:cstheme="minorHAnsi"/>
          <w:szCs w:val="24"/>
        </w:rPr>
        <w:t xml:space="preserve"> </w:t>
      </w:r>
      <w:r w:rsidR="001E60D9" w:rsidRPr="001E60D9">
        <w:rPr>
          <w:rFonts w:cstheme="minorHAnsi"/>
          <w:szCs w:val="24"/>
        </w:rPr>
        <w:t>12</w:t>
      </w:r>
      <w:r w:rsidR="00296088" w:rsidRPr="001E60D9">
        <w:rPr>
          <w:rFonts w:cstheme="minorHAnsi"/>
          <w:szCs w:val="24"/>
        </w:rPr>
        <w:t xml:space="preserve"> </w:t>
      </w:r>
      <w:r w:rsidR="001E60D9" w:rsidRPr="001E60D9">
        <w:rPr>
          <w:rFonts w:cstheme="minorHAnsi"/>
          <w:szCs w:val="24"/>
        </w:rPr>
        <w:t>November</w:t>
      </w:r>
      <w:r w:rsidR="00296088" w:rsidRPr="001E60D9">
        <w:rPr>
          <w:rFonts w:cstheme="minorHAnsi"/>
          <w:szCs w:val="24"/>
        </w:rPr>
        <w:t xml:space="preserve"> </w:t>
      </w:r>
      <w:r w:rsidRPr="001E60D9">
        <w:rPr>
          <w:rFonts w:cstheme="minorHAnsi"/>
          <w:szCs w:val="24"/>
        </w:rPr>
        <w:t>2021,</w:t>
      </w:r>
      <w:r w:rsidR="00296088" w:rsidRPr="001E60D9">
        <w:rPr>
          <w:rFonts w:cstheme="minorHAnsi"/>
          <w:szCs w:val="24"/>
        </w:rPr>
        <w:t xml:space="preserve"> </w:t>
      </w:r>
      <w:r w:rsidRPr="001E60D9">
        <w:rPr>
          <w:rFonts w:cstheme="minorHAnsi"/>
          <w:szCs w:val="24"/>
        </w:rPr>
        <w:t>under</w:t>
      </w:r>
      <w:r w:rsidR="00296088" w:rsidRPr="001E60D9">
        <w:rPr>
          <w:rFonts w:cstheme="minorHAnsi"/>
          <w:szCs w:val="24"/>
        </w:rPr>
        <w:t xml:space="preserve"> </w:t>
      </w:r>
      <w:r w:rsidRPr="001E60D9">
        <w:rPr>
          <w:rFonts w:cstheme="minorHAnsi"/>
          <w:szCs w:val="24"/>
        </w:rPr>
        <w:t>the</w:t>
      </w:r>
      <w:r w:rsidR="00296088" w:rsidRPr="001E60D9">
        <w:rPr>
          <w:rFonts w:cstheme="minorHAnsi"/>
          <w:szCs w:val="24"/>
        </w:rPr>
        <w:t xml:space="preserve"> </w:t>
      </w:r>
      <w:r w:rsidRPr="001E60D9">
        <w:rPr>
          <w:rFonts w:cstheme="minorHAnsi"/>
          <w:szCs w:val="24"/>
        </w:rPr>
        <w:t>chairmanship</w:t>
      </w:r>
      <w:r w:rsidR="00296088" w:rsidRPr="001E60D9">
        <w:rPr>
          <w:rFonts w:cstheme="minorHAnsi"/>
          <w:szCs w:val="24"/>
        </w:rPr>
        <w:t xml:space="preserve"> </w:t>
      </w:r>
      <w:r w:rsidRPr="001E60D9">
        <w:rPr>
          <w:rFonts w:cstheme="minorHAnsi"/>
          <w:szCs w:val="24"/>
        </w:rPr>
        <w:t>of</w:t>
      </w:r>
      <w:r w:rsidR="00296088" w:rsidRPr="001E60D9">
        <w:rPr>
          <w:rFonts w:cstheme="minorHAnsi"/>
          <w:szCs w:val="24"/>
        </w:rPr>
        <w:t xml:space="preserve"> </w:t>
      </w:r>
      <w:r w:rsidRPr="001E60D9">
        <w:rPr>
          <w:rFonts w:cstheme="minorHAnsi"/>
          <w:szCs w:val="24"/>
        </w:rPr>
        <w:t>Ms</w:t>
      </w:r>
      <w:r w:rsidR="00296088" w:rsidRPr="001E60D9">
        <w:rPr>
          <w:rFonts w:cstheme="minorHAnsi"/>
          <w:szCs w:val="24"/>
        </w:rPr>
        <w:t xml:space="preserve"> </w:t>
      </w:r>
      <w:r w:rsidRPr="001E60D9">
        <w:rPr>
          <w:rFonts w:cstheme="minorHAnsi"/>
          <w:szCs w:val="24"/>
        </w:rPr>
        <w:t>Roxanne</w:t>
      </w:r>
      <w:r w:rsidR="00296088" w:rsidRPr="001E60D9">
        <w:rPr>
          <w:rFonts w:cstheme="minorHAnsi"/>
          <w:szCs w:val="24"/>
        </w:rPr>
        <w:t xml:space="preserve"> </w:t>
      </w:r>
      <w:r w:rsidRPr="004C6EF9">
        <w:rPr>
          <w:rFonts w:cstheme="minorHAnsi"/>
          <w:szCs w:val="24"/>
        </w:rPr>
        <w:t>McElvane</w:t>
      </w:r>
      <w:r w:rsidR="00296088" w:rsidRPr="004C6EF9">
        <w:rPr>
          <w:rFonts w:cstheme="minorHAnsi"/>
          <w:szCs w:val="24"/>
        </w:rPr>
        <w:t xml:space="preserve"> </w:t>
      </w:r>
      <w:r w:rsidRPr="004C6EF9">
        <w:rPr>
          <w:rFonts w:cstheme="minorHAnsi"/>
          <w:szCs w:val="24"/>
        </w:rPr>
        <w:t>Webber</w:t>
      </w:r>
      <w:r w:rsidR="00296088" w:rsidRPr="004C6EF9">
        <w:rPr>
          <w:rFonts w:cstheme="minorHAnsi"/>
          <w:szCs w:val="24"/>
        </w:rPr>
        <w:t xml:space="preserve"> </w:t>
      </w:r>
      <w:r w:rsidR="007E7680" w:rsidRPr="004C6EF9">
        <w:rPr>
          <w:rFonts w:cstheme="minorHAnsi"/>
          <w:szCs w:val="24"/>
        </w:rPr>
        <w:t>(</w:t>
      </w:r>
      <w:r w:rsidR="007E7680" w:rsidRPr="004C6EF9">
        <w:rPr>
          <w:rFonts w:cstheme="minorHAnsi"/>
          <w:b/>
          <w:bCs/>
          <w:szCs w:val="24"/>
        </w:rPr>
        <w:t>United</w:t>
      </w:r>
      <w:r w:rsidR="00296088" w:rsidRPr="004C6EF9">
        <w:rPr>
          <w:rFonts w:cstheme="minorHAnsi"/>
          <w:b/>
          <w:bCs/>
          <w:szCs w:val="24"/>
        </w:rPr>
        <w:t xml:space="preserve"> </w:t>
      </w:r>
      <w:r w:rsidR="007E7680" w:rsidRPr="004C6EF9">
        <w:rPr>
          <w:rFonts w:cstheme="minorHAnsi"/>
          <w:b/>
          <w:bCs/>
          <w:szCs w:val="24"/>
        </w:rPr>
        <w:t>States</w:t>
      </w:r>
      <w:r w:rsidR="007E7680" w:rsidRPr="004C6EF9">
        <w:rPr>
          <w:rFonts w:cstheme="minorHAnsi"/>
          <w:szCs w:val="24"/>
        </w:rPr>
        <w:t>)</w:t>
      </w:r>
      <w:r w:rsidRPr="004C6EF9">
        <w:rPr>
          <w:rFonts w:cstheme="minorHAnsi"/>
          <w:szCs w:val="24"/>
        </w:rPr>
        <w:t>.</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Pr="004C6EF9">
        <w:rPr>
          <w:rFonts w:cstheme="minorHAnsi"/>
          <w:szCs w:val="24"/>
        </w:rPr>
        <w:t>meeting</w:t>
      </w:r>
      <w:r w:rsidR="00296088" w:rsidRPr="004C6EF9">
        <w:rPr>
          <w:rFonts w:cstheme="minorHAnsi"/>
          <w:szCs w:val="24"/>
        </w:rPr>
        <w:t xml:space="preserve"> </w:t>
      </w:r>
      <w:r w:rsidRPr="004C6EF9">
        <w:rPr>
          <w:rFonts w:cstheme="minorHAnsi"/>
          <w:szCs w:val="24"/>
        </w:rPr>
        <w:t>attracted</w:t>
      </w:r>
      <w:r w:rsidR="00296088" w:rsidRPr="004C6EF9">
        <w:rPr>
          <w:rFonts w:eastAsiaTheme="minorEastAsia" w:cstheme="minorHAnsi"/>
          <w:color w:val="000000" w:themeColor="text1"/>
          <w:szCs w:val="24"/>
          <w:lang w:val="en-US"/>
        </w:rPr>
        <w:t xml:space="preserve"> </w:t>
      </w:r>
      <w:r w:rsidR="006A4C42" w:rsidRPr="004C6EF9">
        <w:rPr>
          <w:rFonts w:cstheme="minorHAnsi"/>
          <w:b/>
          <w:bCs/>
          <w:iCs/>
          <w:szCs w:val="24"/>
        </w:rPr>
        <w:t>313</w:t>
      </w:r>
      <w:r w:rsidR="00296088" w:rsidRPr="004C6EF9">
        <w:rPr>
          <w:rFonts w:eastAsiaTheme="minorEastAsia" w:cstheme="minorHAnsi"/>
          <w:color w:val="000000" w:themeColor="text1"/>
          <w:szCs w:val="24"/>
          <w:lang w:val="en-US"/>
        </w:rPr>
        <w:t xml:space="preserve"> </w:t>
      </w:r>
      <w:r w:rsidRPr="004C6EF9">
        <w:rPr>
          <w:rFonts w:cstheme="minorHAnsi"/>
          <w:szCs w:val="24"/>
        </w:rPr>
        <w:t>participants</w:t>
      </w:r>
      <w:r w:rsidR="006A4C42" w:rsidRPr="004C6EF9">
        <w:rPr>
          <w:rFonts w:cstheme="minorHAnsi"/>
          <w:szCs w:val="24"/>
        </w:rPr>
        <w:t xml:space="preserve">, including </w:t>
      </w:r>
      <w:r w:rsidR="006A4C42" w:rsidRPr="004C6EF9">
        <w:rPr>
          <w:b/>
          <w:bCs/>
          <w:lang w:val="en-US"/>
        </w:rPr>
        <w:t>144 female</w:t>
      </w:r>
      <w:r w:rsidR="006A4C42" w:rsidRPr="004C6EF9">
        <w:rPr>
          <w:lang w:val="en-US"/>
        </w:rPr>
        <w:t xml:space="preserve"> participant</w:t>
      </w:r>
      <w:r w:rsidR="00CE2A5F" w:rsidRPr="004C6EF9">
        <w:rPr>
          <w:lang w:val="en-US"/>
        </w:rPr>
        <w:t>s</w:t>
      </w:r>
      <w:r w:rsidR="006A4C42" w:rsidRPr="004C6EF9">
        <w:rPr>
          <w:lang w:val="en-US"/>
        </w:rPr>
        <w:t xml:space="preserve"> and </w:t>
      </w:r>
      <w:r w:rsidR="006A4C42" w:rsidRPr="004C6EF9">
        <w:rPr>
          <w:b/>
          <w:bCs/>
          <w:lang w:val="en-US"/>
        </w:rPr>
        <w:t>169</w:t>
      </w:r>
      <w:r w:rsidR="006A4C42" w:rsidRPr="004C6EF9">
        <w:rPr>
          <w:lang w:val="en-US"/>
        </w:rPr>
        <w:t xml:space="preserve"> </w:t>
      </w:r>
      <w:r w:rsidR="006A4C42" w:rsidRPr="004C6EF9">
        <w:rPr>
          <w:b/>
          <w:bCs/>
          <w:lang w:val="en-US"/>
        </w:rPr>
        <w:t>male</w:t>
      </w:r>
      <w:r w:rsidR="006A4C42" w:rsidRPr="004C6EF9">
        <w:rPr>
          <w:lang w:val="en-US"/>
        </w:rPr>
        <w:t xml:space="preserve"> participants. Of those,</w:t>
      </w:r>
      <w:r w:rsidR="00296088" w:rsidRPr="004C6EF9">
        <w:rPr>
          <w:rFonts w:eastAsiaTheme="minorEastAsia" w:cstheme="minorHAnsi"/>
          <w:color w:val="000000" w:themeColor="text1"/>
          <w:szCs w:val="24"/>
          <w:lang w:val="en-US"/>
        </w:rPr>
        <w:t xml:space="preserve"> </w:t>
      </w:r>
      <w:r w:rsidR="006A4C42" w:rsidRPr="004C6EF9">
        <w:rPr>
          <w:rFonts w:cstheme="minorHAnsi"/>
          <w:b/>
          <w:bCs/>
          <w:iCs/>
          <w:szCs w:val="24"/>
        </w:rPr>
        <w:t>248</w:t>
      </w:r>
      <w:r w:rsidR="00296088" w:rsidRPr="004C6EF9">
        <w:rPr>
          <w:rFonts w:eastAsiaTheme="minorEastAsia" w:cstheme="minorHAnsi"/>
          <w:color w:val="000000" w:themeColor="text1"/>
          <w:szCs w:val="24"/>
          <w:lang w:val="en-US"/>
        </w:rPr>
        <w:t xml:space="preserve"> </w:t>
      </w:r>
      <w:r w:rsidR="006A4C42" w:rsidRPr="004C6EF9">
        <w:rPr>
          <w:rFonts w:eastAsiaTheme="minorEastAsia" w:cstheme="minorHAnsi"/>
          <w:color w:val="000000" w:themeColor="text1"/>
          <w:szCs w:val="24"/>
          <w:lang w:val="en-US"/>
        </w:rPr>
        <w:t xml:space="preserve">were </w:t>
      </w:r>
      <w:r w:rsidRPr="004C6EF9">
        <w:rPr>
          <w:rFonts w:cstheme="minorHAnsi"/>
          <w:szCs w:val="24"/>
        </w:rPr>
        <w:t>delegates</w:t>
      </w:r>
      <w:r w:rsidR="00296088" w:rsidRPr="004C6EF9">
        <w:rPr>
          <w:rFonts w:cstheme="minorHAnsi"/>
          <w:szCs w:val="24"/>
        </w:rPr>
        <w:t xml:space="preserve"> </w:t>
      </w:r>
      <w:r w:rsidRPr="004C6EF9">
        <w:rPr>
          <w:rFonts w:cstheme="minorHAnsi"/>
          <w:szCs w:val="24"/>
        </w:rPr>
        <w:t>representing</w:t>
      </w:r>
      <w:r w:rsidR="00296088" w:rsidRPr="004C6EF9">
        <w:rPr>
          <w:rFonts w:eastAsiaTheme="minorEastAsia" w:cstheme="minorHAnsi"/>
          <w:color w:val="000000" w:themeColor="text1"/>
          <w:szCs w:val="24"/>
          <w:lang w:val="en-US"/>
        </w:rPr>
        <w:t xml:space="preserve"> </w:t>
      </w:r>
      <w:r w:rsidR="006A4C42" w:rsidRPr="004C6EF9">
        <w:rPr>
          <w:rFonts w:eastAsiaTheme="minorEastAsia" w:cstheme="minorHAnsi"/>
          <w:b/>
          <w:bCs/>
          <w:color w:val="000000" w:themeColor="text1"/>
          <w:szCs w:val="24"/>
          <w:lang w:val="en-US"/>
        </w:rPr>
        <w:t>77</w:t>
      </w:r>
      <w:r w:rsidR="00296088" w:rsidRPr="004C6EF9">
        <w:rPr>
          <w:rFonts w:cstheme="minorHAnsi"/>
          <w:iCs/>
          <w:szCs w:val="24"/>
        </w:rPr>
        <w:t xml:space="preserve"> </w:t>
      </w:r>
      <w:r w:rsidRPr="004C6EF9">
        <w:rPr>
          <w:rFonts w:cstheme="minorHAnsi"/>
          <w:szCs w:val="24"/>
        </w:rPr>
        <w:t>Member</w:t>
      </w:r>
      <w:r w:rsidR="00296088" w:rsidRPr="004C6EF9">
        <w:rPr>
          <w:rFonts w:cstheme="minorHAnsi"/>
          <w:szCs w:val="24"/>
        </w:rPr>
        <w:t xml:space="preserve"> </w:t>
      </w:r>
      <w:r w:rsidRPr="004C6EF9">
        <w:rPr>
          <w:rFonts w:cstheme="minorHAnsi"/>
          <w:szCs w:val="24"/>
        </w:rPr>
        <w:t>States,</w:t>
      </w:r>
      <w:r w:rsidR="00296088" w:rsidRPr="004C6EF9">
        <w:rPr>
          <w:rFonts w:eastAsiaTheme="minorEastAsia" w:cstheme="minorHAnsi"/>
          <w:color w:val="000000" w:themeColor="text1"/>
          <w:szCs w:val="24"/>
          <w:lang w:val="en-US"/>
        </w:rPr>
        <w:t xml:space="preserve"> </w:t>
      </w:r>
      <w:r w:rsidR="006A4C42" w:rsidRPr="004C6EF9">
        <w:rPr>
          <w:rFonts w:eastAsiaTheme="minorEastAsia" w:cstheme="minorHAnsi"/>
          <w:b/>
          <w:bCs/>
          <w:color w:val="000000" w:themeColor="text1"/>
          <w:szCs w:val="24"/>
          <w:lang w:val="en-US"/>
        </w:rPr>
        <w:t>42</w:t>
      </w:r>
      <w:r w:rsidR="00296088" w:rsidRPr="004C6EF9">
        <w:rPr>
          <w:rFonts w:eastAsiaTheme="minorEastAsia" w:cstheme="minorHAnsi"/>
          <w:b/>
          <w:color w:val="000000" w:themeColor="text1"/>
          <w:szCs w:val="24"/>
          <w:lang w:val="en-US"/>
        </w:rPr>
        <w:t xml:space="preserve"> </w:t>
      </w:r>
      <w:r w:rsidR="00A52180" w:rsidRPr="004C6EF9">
        <w:rPr>
          <w:rFonts w:cstheme="minorHAnsi"/>
          <w:szCs w:val="24"/>
        </w:rPr>
        <w:t>participants</w:t>
      </w:r>
      <w:r w:rsidR="00296088" w:rsidRPr="004C6EF9">
        <w:rPr>
          <w:rFonts w:cstheme="minorHAnsi"/>
          <w:szCs w:val="24"/>
        </w:rPr>
        <w:t xml:space="preserve"> </w:t>
      </w:r>
      <w:r w:rsidR="00A52180" w:rsidRPr="004C6EF9">
        <w:rPr>
          <w:rFonts w:cstheme="minorHAnsi"/>
          <w:szCs w:val="24"/>
        </w:rPr>
        <w:t>from</w:t>
      </w:r>
      <w:r w:rsidR="00296088" w:rsidRPr="004C6EF9">
        <w:rPr>
          <w:rFonts w:cstheme="minorHAnsi"/>
          <w:szCs w:val="24"/>
        </w:rPr>
        <w:t xml:space="preserve"> </w:t>
      </w:r>
      <w:r w:rsidR="006A4C42" w:rsidRPr="004C6EF9">
        <w:rPr>
          <w:rFonts w:cstheme="minorHAnsi"/>
          <w:b/>
          <w:bCs/>
          <w:szCs w:val="24"/>
        </w:rPr>
        <w:t xml:space="preserve">30 </w:t>
      </w:r>
      <w:r w:rsidRPr="004C6EF9">
        <w:rPr>
          <w:rFonts w:cstheme="minorHAnsi"/>
          <w:szCs w:val="24"/>
        </w:rPr>
        <w:t>ITU-D</w:t>
      </w:r>
      <w:r w:rsidR="00296088" w:rsidRPr="004C6EF9">
        <w:rPr>
          <w:rFonts w:cstheme="minorHAnsi"/>
          <w:szCs w:val="24"/>
        </w:rPr>
        <w:t xml:space="preserve"> </w:t>
      </w:r>
      <w:r w:rsidRPr="004C6EF9">
        <w:rPr>
          <w:rFonts w:cstheme="minorHAnsi"/>
          <w:szCs w:val="24"/>
        </w:rPr>
        <w:t>Sector</w:t>
      </w:r>
      <w:r w:rsidR="00296088" w:rsidRPr="004C6EF9">
        <w:rPr>
          <w:rFonts w:cstheme="minorHAnsi"/>
          <w:szCs w:val="24"/>
        </w:rPr>
        <w:t xml:space="preserve"> </w:t>
      </w:r>
      <w:r w:rsidRPr="004C6EF9">
        <w:rPr>
          <w:rFonts w:cstheme="minorHAnsi"/>
          <w:szCs w:val="24"/>
        </w:rPr>
        <w:t>Members,</w:t>
      </w:r>
      <w:r w:rsidR="00296088" w:rsidRPr="004C6EF9">
        <w:rPr>
          <w:rFonts w:eastAsiaTheme="minorEastAsia" w:cstheme="minorHAnsi"/>
          <w:color w:val="000000" w:themeColor="text1"/>
          <w:szCs w:val="24"/>
          <w:lang w:val="en-US"/>
        </w:rPr>
        <w:t xml:space="preserve"> </w:t>
      </w:r>
      <w:r w:rsidR="006A4C42" w:rsidRPr="004C6EF9">
        <w:rPr>
          <w:rFonts w:eastAsiaTheme="minorEastAsia" w:cstheme="minorHAnsi"/>
          <w:b/>
          <w:color w:val="000000" w:themeColor="text1"/>
          <w:szCs w:val="24"/>
          <w:lang w:val="en-US"/>
        </w:rPr>
        <w:t>2</w:t>
      </w:r>
      <w:r w:rsidR="00296088" w:rsidRPr="004C6EF9">
        <w:rPr>
          <w:rFonts w:eastAsiaTheme="minorEastAsia" w:cstheme="minorHAnsi"/>
          <w:b/>
          <w:color w:val="000000" w:themeColor="text1"/>
          <w:szCs w:val="24"/>
          <w:lang w:val="en-US"/>
        </w:rPr>
        <w:t xml:space="preserve"> </w:t>
      </w:r>
      <w:r w:rsidR="00A52180" w:rsidRPr="004C6EF9">
        <w:rPr>
          <w:rFonts w:cstheme="minorHAnsi"/>
          <w:szCs w:val="24"/>
        </w:rPr>
        <w:t>participant</w:t>
      </w:r>
      <w:r w:rsidR="00EE1BEA">
        <w:rPr>
          <w:rFonts w:cstheme="minorHAnsi"/>
          <w:szCs w:val="24"/>
        </w:rPr>
        <w:t xml:space="preserve">s </w:t>
      </w:r>
      <w:r w:rsidR="00A52180" w:rsidRPr="004C6EF9">
        <w:rPr>
          <w:rFonts w:cstheme="minorHAnsi"/>
          <w:szCs w:val="24"/>
        </w:rPr>
        <w:t>f</w:t>
      </w:r>
      <w:r w:rsidRPr="004C6EF9">
        <w:rPr>
          <w:rFonts w:cstheme="minorHAnsi"/>
          <w:szCs w:val="24"/>
        </w:rPr>
        <w:t>rom</w:t>
      </w:r>
      <w:r w:rsidR="00296088" w:rsidRPr="004C6EF9">
        <w:rPr>
          <w:rFonts w:cstheme="minorHAnsi"/>
          <w:szCs w:val="24"/>
        </w:rPr>
        <w:t xml:space="preserve"> </w:t>
      </w:r>
      <w:r w:rsidRPr="004C6EF9">
        <w:rPr>
          <w:rFonts w:cstheme="minorHAnsi"/>
          <w:szCs w:val="24"/>
        </w:rPr>
        <w:t>Academia</w:t>
      </w:r>
      <w:r w:rsidR="00A52180" w:rsidRPr="004C6EF9">
        <w:rPr>
          <w:rFonts w:cstheme="minorHAnsi"/>
          <w:szCs w:val="24"/>
        </w:rPr>
        <w:t>,</w:t>
      </w:r>
      <w:r w:rsidR="00296088" w:rsidRPr="004C6EF9">
        <w:rPr>
          <w:rFonts w:eastAsiaTheme="minorEastAsia" w:cstheme="minorHAnsi"/>
          <w:color w:val="000000" w:themeColor="text1"/>
          <w:szCs w:val="24"/>
          <w:lang w:val="en-US"/>
        </w:rPr>
        <w:t xml:space="preserve"> </w:t>
      </w:r>
      <w:r w:rsidR="006A4C42" w:rsidRPr="004C6EF9">
        <w:rPr>
          <w:rFonts w:cstheme="minorHAnsi"/>
          <w:b/>
          <w:bCs/>
          <w:iCs/>
          <w:szCs w:val="24"/>
        </w:rPr>
        <w:t>4</w:t>
      </w:r>
      <w:r w:rsidR="00296088" w:rsidRPr="004C6EF9">
        <w:rPr>
          <w:rFonts w:cstheme="minorHAnsi"/>
          <w:iCs/>
          <w:szCs w:val="24"/>
        </w:rPr>
        <w:t xml:space="preserve"> </w:t>
      </w:r>
      <w:r w:rsidR="00A52180" w:rsidRPr="004C6EF9">
        <w:rPr>
          <w:rFonts w:cstheme="minorHAnsi"/>
          <w:szCs w:val="24"/>
        </w:rPr>
        <w:t>participants</w:t>
      </w:r>
      <w:r w:rsidR="00296088" w:rsidRPr="004C6EF9">
        <w:rPr>
          <w:rFonts w:cstheme="minorHAnsi"/>
          <w:szCs w:val="24"/>
        </w:rPr>
        <w:t xml:space="preserve"> </w:t>
      </w:r>
      <w:r w:rsidR="00A52180" w:rsidRPr="004C6EF9">
        <w:rPr>
          <w:rFonts w:cstheme="minorHAnsi"/>
          <w:szCs w:val="24"/>
        </w:rPr>
        <w:t>from</w:t>
      </w:r>
      <w:r w:rsidR="00296088" w:rsidRPr="004C6EF9">
        <w:rPr>
          <w:rFonts w:cstheme="minorHAnsi"/>
          <w:szCs w:val="24"/>
        </w:rPr>
        <w:t xml:space="preserve"> </w:t>
      </w:r>
      <w:r w:rsidR="006A4C42" w:rsidRPr="004C6EF9">
        <w:rPr>
          <w:lang w:val="en-US"/>
        </w:rPr>
        <w:t>Regional Telecommunication Organization</w:t>
      </w:r>
      <w:r w:rsidR="00A52180" w:rsidRPr="004C6EF9">
        <w:rPr>
          <w:rFonts w:cstheme="minorHAnsi"/>
          <w:szCs w:val="24"/>
        </w:rPr>
        <w:t>s</w:t>
      </w:r>
      <w:r w:rsidR="006A4C42" w:rsidRPr="004C6EF9">
        <w:rPr>
          <w:rFonts w:cstheme="minorHAnsi"/>
          <w:szCs w:val="24"/>
        </w:rPr>
        <w:t xml:space="preserve"> (RTOs)</w:t>
      </w:r>
      <w:r w:rsidR="00296088" w:rsidRPr="004C6EF9">
        <w:rPr>
          <w:rFonts w:cstheme="minorHAnsi"/>
          <w:szCs w:val="24"/>
        </w:rPr>
        <w:t xml:space="preserve"> </w:t>
      </w:r>
      <w:r w:rsidR="00A52180" w:rsidRPr="004C6EF9">
        <w:rPr>
          <w:rFonts w:cstheme="minorHAnsi"/>
          <w:szCs w:val="24"/>
        </w:rPr>
        <w:t>and</w:t>
      </w:r>
      <w:r w:rsidR="00296088" w:rsidRPr="004C6EF9">
        <w:rPr>
          <w:rFonts w:cstheme="minorHAnsi"/>
          <w:iCs/>
          <w:szCs w:val="24"/>
        </w:rPr>
        <w:t xml:space="preserve"> </w:t>
      </w:r>
      <w:r w:rsidR="006A4C42" w:rsidRPr="004C6EF9">
        <w:rPr>
          <w:rFonts w:cstheme="minorHAnsi"/>
          <w:b/>
          <w:bCs/>
          <w:iCs/>
          <w:szCs w:val="24"/>
        </w:rPr>
        <w:t>14</w:t>
      </w:r>
      <w:r w:rsidR="00296088" w:rsidRPr="004C6EF9">
        <w:rPr>
          <w:rFonts w:cstheme="minorHAnsi"/>
          <w:b/>
          <w:bCs/>
          <w:iCs/>
          <w:szCs w:val="24"/>
        </w:rPr>
        <w:t xml:space="preserve"> </w:t>
      </w:r>
      <w:r w:rsidR="00A52180" w:rsidRPr="004C6EF9">
        <w:rPr>
          <w:rFonts w:cstheme="minorHAnsi"/>
          <w:szCs w:val="24"/>
        </w:rPr>
        <w:t>guests.</w:t>
      </w:r>
      <w:r w:rsidR="00296088" w:rsidRPr="004C6EF9">
        <w:rPr>
          <w:rFonts w:cstheme="minorHAnsi"/>
          <w:szCs w:val="24"/>
        </w:rPr>
        <w:t xml:space="preserve"> </w:t>
      </w:r>
      <w:r w:rsidRPr="004C6EF9">
        <w:rPr>
          <w:rFonts w:cstheme="minorHAnsi"/>
          <w:szCs w:val="24"/>
        </w:rPr>
        <w:t>TDAG</w:t>
      </w:r>
      <w:r w:rsidR="00296088" w:rsidRPr="004C6EF9">
        <w:rPr>
          <w:rFonts w:cstheme="minorHAnsi"/>
          <w:szCs w:val="24"/>
        </w:rPr>
        <w:t xml:space="preserve"> </w:t>
      </w:r>
      <w:r w:rsidRPr="004C6EF9">
        <w:rPr>
          <w:rFonts w:cstheme="minorHAnsi"/>
          <w:szCs w:val="24"/>
        </w:rPr>
        <w:t>Vice-Chairmen</w:t>
      </w:r>
      <w:r w:rsidR="00296088" w:rsidRPr="004C6EF9">
        <w:rPr>
          <w:rFonts w:cstheme="minorHAnsi"/>
          <w:szCs w:val="24"/>
        </w:rPr>
        <w:t xml:space="preserve"> </w:t>
      </w:r>
      <w:r w:rsidR="008120D4" w:rsidRPr="004C6EF9">
        <w:rPr>
          <w:rFonts w:cstheme="minorHAnsi"/>
          <w:szCs w:val="24"/>
        </w:rPr>
        <w:t>Mr </w:t>
      </w:r>
      <w:r w:rsidR="00C6002D" w:rsidRPr="004C6EF9">
        <w:rPr>
          <w:rFonts w:cstheme="minorHAnsi"/>
          <w:szCs w:val="24"/>
        </w:rPr>
        <w:t>Nicolás</w:t>
      </w:r>
      <w:r w:rsidR="00296088" w:rsidRPr="004C6EF9">
        <w:rPr>
          <w:rFonts w:cstheme="minorHAnsi"/>
          <w:szCs w:val="24"/>
        </w:rPr>
        <w:t xml:space="preserve"> </w:t>
      </w:r>
      <w:proofErr w:type="spellStart"/>
      <w:r w:rsidR="00C6002D" w:rsidRPr="004C6EF9">
        <w:rPr>
          <w:rFonts w:cstheme="minorHAnsi"/>
          <w:szCs w:val="24"/>
        </w:rPr>
        <w:t>Karavaski</w:t>
      </w:r>
      <w:proofErr w:type="spellEnd"/>
      <w:r w:rsidR="00296088" w:rsidRPr="004C6EF9">
        <w:rPr>
          <w:rFonts w:cstheme="minorHAnsi"/>
          <w:szCs w:val="24"/>
        </w:rPr>
        <w:t xml:space="preserve"> </w:t>
      </w:r>
      <w:r w:rsidR="00C6002D" w:rsidRPr="004C6EF9">
        <w:rPr>
          <w:rFonts w:cstheme="minorHAnsi"/>
          <w:szCs w:val="24"/>
        </w:rPr>
        <w:t>(</w:t>
      </w:r>
      <w:r w:rsidR="00C6002D" w:rsidRPr="004C6EF9">
        <w:rPr>
          <w:rFonts w:cstheme="minorHAnsi"/>
          <w:b/>
          <w:szCs w:val="24"/>
        </w:rPr>
        <w:t>Argentina</w:t>
      </w:r>
      <w:r w:rsidR="00C6002D" w:rsidRPr="004C6EF9">
        <w:rPr>
          <w:rFonts w:cstheme="minorHAnsi"/>
          <w:szCs w:val="24"/>
        </w:rPr>
        <w:t>),</w:t>
      </w:r>
      <w:r w:rsidR="00296088" w:rsidRPr="004C6EF9">
        <w:rPr>
          <w:rFonts w:cstheme="minorHAnsi"/>
          <w:color w:val="FF0000"/>
          <w:szCs w:val="24"/>
        </w:rPr>
        <w:t xml:space="preserve"> </w:t>
      </w:r>
      <w:proofErr w:type="spellStart"/>
      <w:r w:rsidR="008120D4" w:rsidRPr="004C6EF9">
        <w:rPr>
          <w:rFonts w:cstheme="minorHAnsi"/>
          <w:bCs/>
          <w:szCs w:val="24"/>
          <w:bdr w:val="none" w:sz="0" w:space="0" w:color="auto" w:frame="1"/>
          <w:lang w:val="en-US"/>
        </w:rPr>
        <w:t>Mr</w:t>
      </w:r>
      <w:proofErr w:type="spellEnd"/>
      <w:r w:rsidR="008120D4" w:rsidRPr="004C6EF9">
        <w:rPr>
          <w:rFonts w:cstheme="minorHAnsi"/>
          <w:bCs/>
          <w:szCs w:val="24"/>
          <w:bdr w:val="none" w:sz="0" w:space="0" w:color="auto" w:frame="1"/>
          <w:lang w:val="en-US"/>
        </w:rPr>
        <w:t> </w:t>
      </w:r>
      <w:r w:rsidR="00686A1A" w:rsidRPr="004C6EF9">
        <w:rPr>
          <w:rFonts w:cstheme="minorHAnsi"/>
          <w:bCs/>
          <w:szCs w:val="24"/>
          <w:bdr w:val="none" w:sz="0" w:space="0" w:color="auto" w:frame="1"/>
          <w:lang w:val="en-US"/>
        </w:rPr>
        <w:t>Neil</w:t>
      </w:r>
      <w:r w:rsidR="00296088" w:rsidRPr="004C6EF9">
        <w:rPr>
          <w:rFonts w:cstheme="minorHAnsi"/>
          <w:bCs/>
          <w:szCs w:val="24"/>
          <w:bdr w:val="none" w:sz="0" w:space="0" w:color="auto" w:frame="1"/>
          <w:lang w:val="en-US"/>
        </w:rPr>
        <w:t xml:space="preserve"> </w:t>
      </w:r>
      <w:proofErr w:type="spellStart"/>
      <w:r w:rsidR="00686A1A" w:rsidRPr="004C6EF9">
        <w:rPr>
          <w:rFonts w:cstheme="minorHAnsi"/>
          <w:bCs/>
          <w:szCs w:val="24"/>
          <w:bdr w:val="none" w:sz="0" w:space="0" w:color="auto" w:frame="1"/>
          <w:lang w:val="en-US"/>
        </w:rPr>
        <w:t>Checo</w:t>
      </w:r>
      <w:proofErr w:type="spellEnd"/>
      <w:r w:rsidR="00296088" w:rsidRPr="004C6EF9">
        <w:rPr>
          <w:rFonts w:cstheme="minorHAnsi"/>
          <w:bCs/>
          <w:szCs w:val="24"/>
          <w:bdr w:val="none" w:sz="0" w:space="0" w:color="auto" w:frame="1"/>
          <w:lang w:val="en-US"/>
        </w:rPr>
        <w:t xml:space="preserve"> </w:t>
      </w:r>
      <w:r w:rsidR="00686A1A" w:rsidRPr="004C6EF9">
        <w:rPr>
          <w:rFonts w:cstheme="minorHAnsi"/>
          <w:bCs/>
          <w:szCs w:val="24"/>
          <w:bdr w:val="none" w:sz="0" w:space="0" w:color="auto" w:frame="1"/>
          <w:lang w:val="en-US"/>
        </w:rPr>
        <w:t>Valera</w:t>
      </w:r>
      <w:r w:rsidR="00296088" w:rsidRPr="004C6EF9">
        <w:rPr>
          <w:rFonts w:cstheme="minorHAnsi"/>
          <w:bCs/>
          <w:szCs w:val="24"/>
          <w:bdr w:val="none" w:sz="0" w:space="0" w:color="auto" w:frame="1"/>
          <w:lang w:val="en-US"/>
        </w:rPr>
        <w:t xml:space="preserve"> </w:t>
      </w:r>
      <w:r w:rsidR="00686A1A" w:rsidRPr="004C6EF9">
        <w:rPr>
          <w:rFonts w:cstheme="minorHAnsi"/>
          <w:bCs/>
          <w:szCs w:val="24"/>
          <w:bdr w:val="none" w:sz="0" w:space="0" w:color="auto" w:frame="1"/>
          <w:lang w:val="en-US"/>
        </w:rPr>
        <w:t>(</w:t>
      </w:r>
      <w:r w:rsidR="00686A1A" w:rsidRPr="004C6EF9">
        <w:rPr>
          <w:rFonts w:cstheme="minorHAnsi"/>
          <w:b/>
          <w:szCs w:val="24"/>
        </w:rPr>
        <w:t>Dominican</w:t>
      </w:r>
      <w:r w:rsidR="00296088" w:rsidRPr="004C6EF9">
        <w:rPr>
          <w:rFonts w:cstheme="minorHAnsi"/>
          <w:b/>
          <w:szCs w:val="24"/>
        </w:rPr>
        <w:t xml:space="preserve"> </w:t>
      </w:r>
      <w:r w:rsidR="00686A1A" w:rsidRPr="004C6EF9">
        <w:rPr>
          <w:rFonts w:cstheme="minorHAnsi"/>
          <w:b/>
          <w:szCs w:val="24"/>
        </w:rPr>
        <w:t>Republic</w:t>
      </w:r>
      <w:r w:rsidR="00686A1A" w:rsidRPr="004C6EF9">
        <w:rPr>
          <w:rFonts w:cstheme="minorHAnsi"/>
          <w:szCs w:val="24"/>
        </w:rPr>
        <w:t>),</w:t>
      </w:r>
      <w:r w:rsidR="00296088" w:rsidRPr="004C6EF9">
        <w:rPr>
          <w:rFonts w:cstheme="minorHAnsi"/>
          <w:bCs/>
          <w:szCs w:val="24"/>
          <w:bdr w:val="none" w:sz="0" w:space="0" w:color="auto" w:frame="1"/>
          <w:lang w:val="en-US"/>
        </w:rPr>
        <w:t xml:space="preserve"> </w:t>
      </w:r>
      <w:r w:rsidR="008120D4" w:rsidRPr="004C6EF9">
        <w:rPr>
          <w:rFonts w:cstheme="minorHAnsi"/>
          <w:szCs w:val="24"/>
        </w:rPr>
        <w:t>Mr </w:t>
      </w:r>
      <w:r w:rsidRPr="004C6EF9">
        <w:rPr>
          <w:rFonts w:cstheme="minorHAnsi"/>
          <w:szCs w:val="24"/>
        </w:rPr>
        <w:t>Al-</w:t>
      </w:r>
      <w:proofErr w:type="spellStart"/>
      <w:r w:rsidRPr="004C6EF9">
        <w:rPr>
          <w:rFonts w:cstheme="minorHAnsi"/>
          <w:szCs w:val="24"/>
        </w:rPr>
        <w:t>ansari</w:t>
      </w:r>
      <w:proofErr w:type="spellEnd"/>
      <w:r w:rsidR="00296088" w:rsidRPr="004C6EF9">
        <w:rPr>
          <w:rFonts w:cstheme="minorHAnsi"/>
          <w:szCs w:val="24"/>
        </w:rPr>
        <w:t xml:space="preserve"> </w:t>
      </w:r>
      <w:proofErr w:type="spellStart"/>
      <w:r w:rsidRPr="004C6EF9">
        <w:rPr>
          <w:rFonts w:cstheme="minorHAnsi"/>
          <w:szCs w:val="24"/>
        </w:rPr>
        <w:t>Almashakbeh</w:t>
      </w:r>
      <w:proofErr w:type="spellEnd"/>
      <w:r w:rsidR="00296088" w:rsidRPr="004C6EF9">
        <w:rPr>
          <w:rFonts w:cstheme="minorHAnsi"/>
          <w:szCs w:val="24"/>
        </w:rPr>
        <w:t xml:space="preserve"> </w:t>
      </w:r>
      <w:r w:rsidRPr="004C6EF9">
        <w:rPr>
          <w:rFonts w:cstheme="minorHAnsi"/>
          <w:szCs w:val="24"/>
        </w:rPr>
        <w:t>(</w:t>
      </w:r>
      <w:r w:rsidRPr="004C6EF9">
        <w:rPr>
          <w:rFonts w:cstheme="minorHAnsi"/>
          <w:b/>
          <w:szCs w:val="24"/>
        </w:rPr>
        <w:t>Jordan</w:t>
      </w:r>
      <w:r w:rsidRPr="004C6EF9">
        <w:rPr>
          <w:rFonts w:cstheme="minorHAnsi"/>
          <w:bCs/>
          <w:szCs w:val="24"/>
        </w:rPr>
        <w:t>)</w:t>
      </w:r>
      <w:r w:rsidRPr="004C6EF9">
        <w:rPr>
          <w:rFonts w:cstheme="minorHAnsi"/>
          <w:szCs w:val="24"/>
        </w:rPr>
        <w:t>,</w:t>
      </w:r>
      <w:r w:rsidR="00296088" w:rsidRPr="004C6EF9">
        <w:rPr>
          <w:rFonts w:cstheme="minorHAnsi"/>
          <w:szCs w:val="24"/>
        </w:rPr>
        <w:t xml:space="preserve"> </w:t>
      </w:r>
      <w:r w:rsidR="00266F7A" w:rsidRPr="004C6EF9">
        <w:rPr>
          <w:rFonts w:cstheme="minorHAnsi"/>
          <w:szCs w:val="24"/>
        </w:rPr>
        <w:t>Mr Christopher Kemei (</w:t>
      </w:r>
      <w:r w:rsidR="00266F7A" w:rsidRPr="004C6EF9">
        <w:rPr>
          <w:rFonts w:cstheme="minorHAnsi"/>
          <w:b/>
          <w:szCs w:val="24"/>
        </w:rPr>
        <w:t>Kenya</w:t>
      </w:r>
      <w:r w:rsidR="00266F7A" w:rsidRPr="004C6EF9">
        <w:rPr>
          <w:rFonts w:cstheme="minorHAnsi"/>
          <w:szCs w:val="24"/>
        </w:rPr>
        <w:t>), Mr Abdulkarim Oloyede (</w:t>
      </w:r>
      <w:r w:rsidR="00266F7A" w:rsidRPr="004C6EF9">
        <w:rPr>
          <w:rFonts w:cstheme="minorHAnsi"/>
          <w:b/>
          <w:szCs w:val="24"/>
        </w:rPr>
        <w:t>Nigeria</w:t>
      </w:r>
      <w:r w:rsidR="00266F7A" w:rsidRPr="004C6EF9">
        <w:rPr>
          <w:rFonts w:cstheme="minorHAnsi"/>
          <w:szCs w:val="24"/>
        </w:rPr>
        <w:t xml:space="preserve">), </w:t>
      </w:r>
      <w:r w:rsidR="008120D4" w:rsidRPr="004C6EF9">
        <w:rPr>
          <w:rFonts w:cstheme="minorHAnsi"/>
          <w:szCs w:val="24"/>
        </w:rPr>
        <w:t>Mr </w:t>
      </w:r>
      <w:proofErr w:type="spellStart"/>
      <w:r w:rsidRPr="004C6EF9">
        <w:rPr>
          <w:rFonts w:cstheme="minorHAnsi"/>
          <w:szCs w:val="24"/>
        </w:rPr>
        <w:t>Arseny</w:t>
      </w:r>
      <w:proofErr w:type="spellEnd"/>
      <w:r w:rsidR="00296088" w:rsidRPr="004C6EF9">
        <w:rPr>
          <w:rFonts w:cstheme="minorHAnsi"/>
          <w:szCs w:val="24"/>
        </w:rPr>
        <w:t xml:space="preserve"> </w:t>
      </w:r>
      <w:proofErr w:type="spellStart"/>
      <w:r w:rsidRPr="004C6EF9">
        <w:rPr>
          <w:rFonts w:cstheme="minorHAnsi"/>
          <w:szCs w:val="24"/>
        </w:rPr>
        <w:t>Plossky</w:t>
      </w:r>
      <w:proofErr w:type="spellEnd"/>
      <w:r w:rsidR="00296088" w:rsidRPr="004C6EF9">
        <w:rPr>
          <w:rFonts w:cstheme="minorHAnsi"/>
          <w:szCs w:val="24"/>
        </w:rPr>
        <w:t xml:space="preserve"> </w:t>
      </w:r>
      <w:r w:rsidRPr="004C6EF9">
        <w:rPr>
          <w:rFonts w:cstheme="minorHAnsi"/>
          <w:szCs w:val="24"/>
        </w:rPr>
        <w:t>(</w:t>
      </w:r>
      <w:r w:rsidRPr="004C6EF9">
        <w:rPr>
          <w:rFonts w:cstheme="minorHAnsi"/>
          <w:b/>
          <w:szCs w:val="24"/>
        </w:rPr>
        <w:t>Russian</w:t>
      </w:r>
      <w:r w:rsidR="00296088" w:rsidRPr="004C6EF9">
        <w:rPr>
          <w:rFonts w:cstheme="minorHAnsi"/>
          <w:b/>
          <w:szCs w:val="24"/>
        </w:rPr>
        <w:t xml:space="preserve"> </w:t>
      </w:r>
      <w:r w:rsidRPr="004C6EF9">
        <w:rPr>
          <w:rFonts w:cstheme="minorHAnsi"/>
          <w:b/>
          <w:szCs w:val="24"/>
        </w:rPr>
        <w:t>Federation</w:t>
      </w:r>
      <w:r w:rsidRPr="004C6EF9">
        <w:rPr>
          <w:rFonts w:cstheme="minorHAnsi"/>
          <w:szCs w:val="24"/>
        </w:rPr>
        <w:t>),</w:t>
      </w:r>
      <w:r w:rsidR="00296088" w:rsidRPr="004C6EF9">
        <w:rPr>
          <w:rFonts w:cstheme="minorHAnsi"/>
          <w:szCs w:val="24"/>
        </w:rPr>
        <w:t xml:space="preserve"> </w:t>
      </w:r>
      <w:r w:rsidRPr="004C6EF9">
        <w:rPr>
          <w:rFonts w:cstheme="minorHAnsi"/>
          <w:szCs w:val="24"/>
        </w:rPr>
        <w:t>and</w:t>
      </w:r>
      <w:r w:rsidR="00296088" w:rsidRPr="004C6EF9">
        <w:rPr>
          <w:rFonts w:cstheme="minorHAnsi"/>
          <w:szCs w:val="24"/>
        </w:rPr>
        <w:t xml:space="preserve"> </w:t>
      </w:r>
      <w:r w:rsidR="008120D4" w:rsidRPr="004C6EF9">
        <w:rPr>
          <w:rFonts w:cstheme="minorHAnsi"/>
          <w:szCs w:val="24"/>
        </w:rPr>
        <w:t>Ms </w:t>
      </w:r>
      <w:r w:rsidRPr="004C6EF9">
        <w:rPr>
          <w:rFonts w:cstheme="minorHAnsi"/>
          <w:szCs w:val="24"/>
        </w:rPr>
        <w:t>Blanca</w:t>
      </w:r>
      <w:r w:rsidR="00296088" w:rsidRPr="004C6EF9">
        <w:rPr>
          <w:rFonts w:cstheme="minorHAnsi"/>
          <w:szCs w:val="24"/>
        </w:rPr>
        <w:t xml:space="preserve"> </w:t>
      </w:r>
      <w:r w:rsidRPr="004C6EF9">
        <w:rPr>
          <w:rFonts w:cstheme="minorHAnsi"/>
          <w:szCs w:val="24"/>
        </w:rPr>
        <w:t>Gonzalez</w:t>
      </w:r>
      <w:r w:rsidR="00296088" w:rsidRPr="004C6EF9">
        <w:rPr>
          <w:rFonts w:cstheme="minorHAnsi"/>
          <w:szCs w:val="24"/>
        </w:rPr>
        <w:t xml:space="preserve"> </w:t>
      </w:r>
      <w:r w:rsidRPr="004C6EF9">
        <w:rPr>
          <w:rFonts w:cstheme="minorHAnsi"/>
          <w:szCs w:val="24"/>
        </w:rPr>
        <w:t>(</w:t>
      </w:r>
      <w:r w:rsidRPr="004C6EF9">
        <w:rPr>
          <w:rFonts w:cstheme="minorHAnsi"/>
          <w:b/>
          <w:bCs/>
          <w:szCs w:val="24"/>
        </w:rPr>
        <w:t>Spain</w:t>
      </w:r>
      <w:r w:rsidRPr="004C6EF9">
        <w:rPr>
          <w:rFonts w:cstheme="minorHAnsi"/>
          <w:szCs w:val="24"/>
        </w:rPr>
        <w:t>)</w:t>
      </w:r>
      <w:r w:rsidR="00296088" w:rsidRPr="004C6EF9">
        <w:rPr>
          <w:rFonts w:cstheme="minorHAnsi"/>
          <w:szCs w:val="24"/>
        </w:rPr>
        <w:t xml:space="preserve"> </w:t>
      </w:r>
      <w:r w:rsidRPr="004C6EF9">
        <w:rPr>
          <w:rFonts w:cstheme="minorHAnsi"/>
          <w:szCs w:val="24"/>
        </w:rPr>
        <w:t>were</w:t>
      </w:r>
      <w:r w:rsidR="00296088" w:rsidRPr="004C6EF9">
        <w:rPr>
          <w:rFonts w:cstheme="minorHAnsi"/>
          <w:szCs w:val="24"/>
        </w:rPr>
        <w:t xml:space="preserve"> </w:t>
      </w:r>
      <w:r w:rsidRPr="004C6EF9">
        <w:rPr>
          <w:rFonts w:cstheme="minorHAnsi"/>
          <w:szCs w:val="24"/>
        </w:rPr>
        <w:t>present</w:t>
      </w:r>
      <w:r w:rsidR="00296088" w:rsidRPr="004C6EF9">
        <w:rPr>
          <w:rFonts w:cstheme="minorHAnsi"/>
          <w:szCs w:val="24"/>
        </w:rPr>
        <w:t xml:space="preserve"> </w:t>
      </w:r>
      <w:r w:rsidRPr="004C6EF9">
        <w:rPr>
          <w:rFonts w:cstheme="minorHAnsi"/>
          <w:szCs w:val="24"/>
        </w:rPr>
        <w:t>for</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Pr="004C6EF9">
        <w:rPr>
          <w:rFonts w:cstheme="minorHAnsi"/>
          <w:szCs w:val="24"/>
        </w:rPr>
        <w:t>meeting,</w:t>
      </w:r>
      <w:r w:rsidR="00296088" w:rsidRPr="004C6EF9">
        <w:rPr>
          <w:rFonts w:cstheme="minorHAnsi"/>
          <w:szCs w:val="24"/>
        </w:rPr>
        <w:t xml:space="preserve"> </w:t>
      </w:r>
      <w:r w:rsidRPr="004C6EF9">
        <w:rPr>
          <w:rFonts w:cstheme="minorHAnsi"/>
          <w:szCs w:val="24"/>
        </w:rPr>
        <w:t>as</w:t>
      </w:r>
      <w:r w:rsidR="00296088" w:rsidRPr="004C6EF9">
        <w:rPr>
          <w:rFonts w:cstheme="minorHAnsi"/>
          <w:szCs w:val="24"/>
        </w:rPr>
        <w:t xml:space="preserve"> </w:t>
      </w:r>
      <w:r w:rsidRPr="004C6EF9">
        <w:rPr>
          <w:rFonts w:cstheme="minorHAnsi"/>
          <w:szCs w:val="24"/>
        </w:rPr>
        <w:t>were</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Pr="004C6EF9">
        <w:rPr>
          <w:rFonts w:cstheme="minorHAnsi"/>
          <w:szCs w:val="24"/>
        </w:rPr>
        <w:t>chairmen</w:t>
      </w:r>
      <w:r w:rsidR="00296088" w:rsidRPr="004C6EF9">
        <w:rPr>
          <w:rFonts w:cstheme="minorHAnsi"/>
          <w:szCs w:val="24"/>
        </w:rPr>
        <w:t xml:space="preserve"> </w:t>
      </w:r>
      <w:r w:rsidRPr="004C6EF9">
        <w:rPr>
          <w:rFonts w:cstheme="minorHAnsi"/>
          <w:szCs w:val="24"/>
        </w:rPr>
        <w:t>of</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Pr="004C6EF9">
        <w:rPr>
          <w:rFonts w:cstheme="minorHAnsi"/>
          <w:szCs w:val="24"/>
        </w:rPr>
        <w:t>ITU-D</w:t>
      </w:r>
      <w:r w:rsidR="00296088" w:rsidRPr="004C6EF9">
        <w:rPr>
          <w:rFonts w:cstheme="minorHAnsi"/>
          <w:szCs w:val="24"/>
        </w:rPr>
        <w:t xml:space="preserve"> </w:t>
      </w:r>
      <w:r w:rsidR="00266F7A" w:rsidRPr="004C6EF9">
        <w:rPr>
          <w:rFonts w:cstheme="minorHAnsi"/>
          <w:szCs w:val="24"/>
        </w:rPr>
        <w:t>s</w:t>
      </w:r>
      <w:r w:rsidRPr="004C6EF9">
        <w:rPr>
          <w:rFonts w:cstheme="minorHAnsi"/>
          <w:szCs w:val="24"/>
        </w:rPr>
        <w:t>tudy</w:t>
      </w:r>
      <w:r w:rsidR="00296088" w:rsidRPr="004C6EF9">
        <w:rPr>
          <w:rFonts w:cstheme="minorHAnsi"/>
          <w:szCs w:val="24"/>
        </w:rPr>
        <w:t xml:space="preserve"> </w:t>
      </w:r>
      <w:r w:rsidR="00266F7A" w:rsidRPr="004C6EF9">
        <w:rPr>
          <w:rFonts w:cstheme="minorHAnsi"/>
          <w:szCs w:val="24"/>
        </w:rPr>
        <w:t>g</w:t>
      </w:r>
      <w:r w:rsidRPr="004C6EF9">
        <w:rPr>
          <w:rFonts w:cstheme="minorHAnsi"/>
          <w:szCs w:val="24"/>
        </w:rPr>
        <w:t>roups:</w:t>
      </w:r>
      <w:r w:rsidR="00296088" w:rsidRPr="004C6EF9">
        <w:rPr>
          <w:rFonts w:cstheme="minorHAnsi"/>
          <w:szCs w:val="24"/>
        </w:rPr>
        <w:t xml:space="preserve"> </w:t>
      </w:r>
      <w:r w:rsidR="008120D4" w:rsidRPr="004C6EF9">
        <w:rPr>
          <w:rFonts w:cstheme="minorHAnsi"/>
          <w:szCs w:val="24"/>
        </w:rPr>
        <w:t>Ms </w:t>
      </w:r>
      <w:r w:rsidRPr="004C6EF9">
        <w:rPr>
          <w:rFonts w:cstheme="minorHAnsi"/>
          <w:szCs w:val="24"/>
        </w:rPr>
        <w:t>Regina</w:t>
      </w:r>
      <w:r w:rsidR="00296088" w:rsidRPr="004C6EF9">
        <w:rPr>
          <w:rFonts w:cstheme="minorHAnsi"/>
          <w:szCs w:val="24"/>
        </w:rPr>
        <w:t xml:space="preserve"> </w:t>
      </w:r>
      <w:r w:rsidRPr="004C6EF9">
        <w:rPr>
          <w:rFonts w:cstheme="minorHAnsi"/>
          <w:szCs w:val="24"/>
        </w:rPr>
        <w:t>Fleur</w:t>
      </w:r>
      <w:r w:rsidR="00296088" w:rsidRPr="004C6EF9">
        <w:rPr>
          <w:rFonts w:cstheme="minorHAnsi"/>
          <w:szCs w:val="24"/>
        </w:rPr>
        <w:t xml:space="preserve"> </w:t>
      </w:r>
      <w:proofErr w:type="spellStart"/>
      <w:r w:rsidRPr="004C6EF9">
        <w:rPr>
          <w:rFonts w:cstheme="minorHAnsi"/>
          <w:szCs w:val="24"/>
        </w:rPr>
        <w:t>Assoumou</w:t>
      </w:r>
      <w:proofErr w:type="spellEnd"/>
      <w:r w:rsidR="00296088" w:rsidRPr="004C6EF9">
        <w:rPr>
          <w:rFonts w:cstheme="minorHAnsi"/>
          <w:szCs w:val="24"/>
        </w:rPr>
        <w:t xml:space="preserve"> </w:t>
      </w:r>
      <w:proofErr w:type="spellStart"/>
      <w:r w:rsidRPr="004C6EF9">
        <w:rPr>
          <w:rFonts w:cstheme="minorHAnsi"/>
          <w:szCs w:val="24"/>
        </w:rPr>
        <w:t>Bessou</w:t>
      </w:r>
      <w:proofErr w:type="spellEnd"/>
      <w:r w:rsidR="00296088" w:rsidRPr="004C6EF9">
        <w:rPr>
          <w:rFonts w:cstheme="minorHAnsi"/>
          <w:szCs w:val="24"/>
        </w:rPr>
        <w:t xml:space="preserve"> </w:t>
      </w:r>
      <w:r w:rsidRPr="004C6EF9">
        <w:rPr>
          <w:rFonts w:cstheme="minorHAnsi"/>
          <w:szCs w:val="24"/>
        </w:rPr>
        <w:t>(</w:t>
      </w:r>
      <w:r w:rsidRPr="004C6EF9">
        <w:rPr>
          <w:rFonts w:cstheme="minorHAnsi"/>
          <w:b/>
          <w:bCs/>
          <w:szCs w:val="24"/>
        </w:rPr>
        <w:t>C</w:t>
      </w:r>
      <w:r w:rsidR="00C6002D" w:rsidRPr="004C6EF9">
        <w:rPr>
          <w:rFonts w:cstheme="minorHAnsi"/>
          <w:b/>
          <w:bCs/>
          <w:szCs w:val="24"/>
        </w:rPr>
        <w:t>ô</w:t>
      </w:r>
      <w:r w:rsidRPr="004C6EF9">
        <w:rPr>
          <w:rFonts w:cstheme="minorHAnsi"/>
          <w:b/>
          <w:bCs/>
          <w:szCs w:val="24"/>
        </w:rPr>
        <w:t>te</w:t>
      </w:r>
      <w:r w:rsidR="00296088" w:rsidRPr="004C6EF9">
        <w:rPr>
          <w:rFonts w:cstheme="minorHAnsi"/>
          <w:b/>
          <w:bCs/>
          <w:szCs w:val="24"/>
        </w:rPr>
        <w:t xml:space="preserve"> </w:t>
      </w:r>
      <w:r w:rsidRPr="004C6EF9">
        <w:rPr>
          <w:rFonts w:cstheme="minorHAnsi"/>
          <w:b/>
          <w:bCs/>
          <w:szCs w:val="24"/>
        </w:rPr>
        <w:t>d’Ivoire</w:t>
      </w:r>
      <w:r w:rsidRPr="004C6EF9">
        <w:rPr>
          <w:rFonts w:cstheme="minorHAnsi"/>
          <w:szCs w:val="24"/>
        </w:rPr>
        <w:t>)</w:t>
      </w:r>
      <w:r w:rsidR="0024442B" w:rsidRPr="004C6EF9">
        <w:rPr>
          <w:rFonts w:cstheme="minorHAnsi"/>
          <w:szCs w:val="24"/>
        </w:rPr>
        <w:t>,</w:t>
      </w:r>
      <w:r w:rsidR="00296088" w:rsidRPr="004C6EF9">
        <w:rPr>
          <w:rFonts w:cstheme="minorHAnsi"/>
          <w:szCs w:val="24"/>
        </w:rPr>
        <w:t xml:space="preserve"> </w:t>
      </w:r>
      <w:r w:rsidRPr="004C6EF9">
        <w:rPr>
          <w:rFonts w:cstheme="minorHAnsi"/>
          <w:szCs w:val="24"/>
        </w:rPr>
        <w:t>Chairman</w:t>
      </w:r>
      <w:r w:rsidR="00296088" w:rsidRPr="004C6EF9">
        <w:rPr>
          <w:rFonts w:cstheme="minorHAnsi"/>
          <w:szCs w:val="24"/>
        </w:rPr>
        <w:t xml:space="preserve"> </w:t>
      </w:r>
      <w:r w:rsidRPr="004C6EF9">
        <w:rPr>
          <w:rFonts w:cstheme="minorHAnsi"/>
          <w:szCs w:val="24"/>
        </w:rPr>
        <w:t>of</w:t>
      </w:r>
      <w:r w:rsidR="00296088" w:rsidRPr="004C6EF9">
        <w:rPr>
          <w:rFonts w:cstheme="minorHAnsi"/>
          <w:szCs w:val="24"/>
        </w:rPr>
        <w:t xml:space="preserve"> </w:t>
      </w:r>
      <w:r w:rsidRPr="004C6EF9">
        <w:rPr>
          <w:rFonts w:cstheme="minorHAnsi"/>
          <w:szCs w:val="24"/>
        </w:rPr>
        <w:t>Study</w:t>
      </w:r>
      <w:r w:rsidR="00296088" w:rsidRPr="004C6EF9">
        <w:rPr>
          <w:rFonts w:cstheme="minorHAnsi"/>
          <w:szCs w:val="24"/>
        </w:rPr>
        <w:t xml:space="preserve"> </w:t>
      </w:r>
      <w:r w:rsidRPr="004C6EF9">
        <w:rPr>
          <w:rFonts w:cstheme="minorHAnsi"/>
          <w:szCs w:val="24"/>
        </w:rPr>
        <w:t>Group</w:t>
      </w:r>
      <w:r w:rsidR="00296088" w:rsidRPr="004C6EF9">
        <w:rPr>
          <w:rFonts w:cstheme="minorHAnsi"/>
          <w:szCs w:val="24"/>
        </w:rPr>
        <w:t xml:space="preserve"> </w:t>
      </w:r>
      <w:r w:rsidRPr="004C6EF9">
        <w:rPr>
          <w:rFonts w:cstheme="minorHAnsi"/>
          <w:szCs w:val="24"/>
        </w:rPr>
        <w:t>1,</w:t>
      </w:r>
      <w:r w:rsidR="00296088" w:rsidRPr="004C6EF9">
        <w:rPr>
          <w:rFonts w:cstheme="minorHAnsi"/>
          <w:szCs w:val="24"/>
        </w:rPr>
        <w:t xml:space="preserve"> </w:t>
      </w:r>
      <w:r w:rsidRPr="004C6EF9">
        <w:rPr>
          <w:rFonts w:cstheme="minorHAnsi"/>
          <w:szCs w:val="24"/>
        </w:rPr>
        <w:t>and</w:t>
      </w:r>
      <w:r w:rsidR="00296088" w:rsidRPr="004C6EF9">
        <w:rPr>
          <w:rFonts w:cstheme="minorHAnsi"/>
          <w:szCs w:val="24"/>
        </w:rPr>
        <w:t xml:space="preserve"> </w:t>
      </w:r>
      <w:r w:rsidR="0024442B" w:rsidRPr="004C6EF9">
        <w:rPr>
          <w:rFonts w:cstheme="minorHAnsi"/>
          <w:szCs w:val="24"/>
        </w:rPr>
        <w:t>Dr </w:t>
      </w:r>
      <w:r w:rsidRPr="004C6EF9">
        <w:rPr>
          <w:rFonts w:cstheme="minorHAnsi"/>
          <w:szCs w:val="24"/>
        </w:rPr>
        <w:t>Ahmad</w:t>
      </w:r>
      <w:r w:rsidR="00296088" w:rsidRPr="004C6EF9">
        <w:rPr>
          <w:rFonts w:cstheme="minorHAnsi"/>
          <w:szCs w:val="24"/>
        </w:rPr>
        <w:t xml:space="preserve"> </w:t>
      </w:r>
      <w:r w:rsidR="00907CE0" w:rsidRPr="004C6EF9">
        <w:rPr>
          <w:rFonts w:cstheme="minorHAnsi"/>
          <w:szCs w:val="24"/>
        </w:rPr>
        <w:t xml:space="preserve">Reza </w:t>
      </w:r>
      <w:r w:rsidRPr="004C6EF9">
        <w:rPr>
          <w:rFonts w:cstheme="minorHAnsi"/>
          <w:szCs w:val="24"/>
        </w:rPr>
        <w:t>Sharafat</w:t>
      </w:r>
      <w:r w:rsidR="00296088" w:rsidRPr="004C6EF9">
        <w:rPr>
          <w:rFonts w:cstheme="minorHAnsi"/>
          <w:szCs w:val="24"/>
        </w:rPr>
        <w:t xml:space="preserve"> </w:t>
      </w:r>
      <w:r w:rsidRPr="004C6EF9">
        <w:rPr>
          <w:rFonts w:cstheme="minorHAnsi"/>
          <w:szCs w:val="24"/>
        </w:rPr>
        <w:t>(</w:t>
      </w:r>
      <w:r w:rsidRPr="004C6EF9">
        <w:rPr>
          <w:rFonts w:cstheme="minorHAnsi"/>
          <w:b/>
          <w:bCs/>
          <w:szCs w:val="24"/>
        </w:rPr>
        <w:t>Islamic</w:t>
      </w:r>
      <w:r w:rsidR="00296088" w:rsidRPr="004C6EF9">
        <w:rPr>
          <w:rFonts w:cstheme="minorHAnsi"/>
          <w:b/>
          <w:bCs/>
          <w:szCs w:val="24"/>
        </w:rPr>
        <w:t xml:space="preserve"> </w:t>
      </w:r>
      <w:r w:rsidRPr="004C6EF9">
        <w:rPr>
          <w:rFonts w:cstheme="minorHAnsi"/>
          <w:b/>
          <w:bCs/>
          <w:szCs w:val="24"/>
        </w:rPr>
        <w:t>Republic</w:t>
      </w:r>
      <w:r w:rsidR="00296088" w:rsidRPr="004C6EF9">
        <w:rPr>
          <w:rFonts w:cstheme="minorHAnsi"/>
          <w:b/>
          <w:bCs/>
          <w:szCs w:val="24"/>
        </w:rPr>
        <w:t xml:space="preserve"> </w:t>
      </w:r>
      <w:r w:rsidRPr="004C6EF9">
        <w:rPr>
          <w:rFonts w:cstheme="minorHAnsi"/>
          <w:b/>
          <w:bCs/>
          <w:szCs w:val="24"/>
        </w:rPr>
        <w:t>of</w:t>
      </w:r>
      <w:r w:rsidR="00296088" w:rsidRPr="004C6EF9">
        <w:rPr>
          <w:rFonts w:cstheme="minorHAnsi"/>
          <w:b/>
          <w:bCs/>
          <w:szCs w:val="24"/>
        </w:rPr>
        <w:t xml:space="preserve"> </w:t>
      </w:r>
      <w:r w:rsidRPr="004C6EF9">
        <w:rPr>
          <w:rFonts w:cstheme="minorHAnsi"/>
          <w:b/>
          <w:bCs/>
          <w:szCs w:val="24"/>
        </w:rPr>
        <w:t>Iran</w:t>
      </w:r>
      <w:r w:rsidRPr="004C6EF9">
        <w:rPr>
          <w:rFonts w:cstheme="minorHAnsi"/>
          <w:szCs w:val="24"/>
        </w:rPr>
        <w:t>)</w:t>
      </w:r>
      <w:r w:rsidR="0024442B" w:rsidRPr="004C6EF9">
        <w:rPr>
          <w:rFonts w:cstheme="minorHAnsi"/>
          <w:szCs w:val="24"/>
        </w:rPr>
        <w:t>,</w:t>
      </w:r>
      <w:r w:rsidR="00296088" w:rsidRPr="004C6EF9">
        <w:rPr>
          <w:rFonts w:cstheme="minorHAnsi"/>
          <w:szCs w:val="24"/>
        </w:rPr>
        <w:t xml:space="preserve"> </w:t>
      </w:r>
      <w:r w:rsidRPr="004C6EF9">
        <w:rPr>
          <w:rFonts w:cstheme="minorHAnsi"/>
          <w:szCs w:val="24"/>
        </w:rPr>
        <w:t>Chairman</w:t>
      </w:r>
      <w:r w:rsidR="00296088" w:rsidRPr="004C6EF9">
        <w:rPr>
          <w:rFonts w:cstheme="minorHAnsi"/>
          <w:szCs w:val="24"/>
        </w:rPr>
        <w:t xml:space="preserve"> </w:t>
      </w:r>
      <w:r w:rsidRPr="004C6EF9">
        <w:rPr>
          <w:rFonts w:cstheme="minorHAnsi"/>
          <w:szCs w:val="24"/>
        </w:rPr>
        <w:t>of</w:t>
      </w:r>
      <w:r w:rsidR="00296088" w:rsidRPr="004C6EF9">
        <w:rPr>
          <w:rFonts w:cstheme="minorHAnsi"/>
          <w:szCs w:val="24"/>
        </w:rPr>
        <w:t xml:space="preserve"> </w:t>
      </w:r>
      <w:r w:rsidRPr="004C6EF9">
        <w:rPr>
          <w:rFonts w:cstheme="minorHAnsi"/>
          <w:szCs w:val="24"/>
        </w:rPr>
        <w:t>Study</w:t>
      </w:r>
      <w:r w:rsidR="00296088" w:rsidRPr="004C6EF9">
        <w:rPr>
          <w:rFonts w:cstheme="minorHAnsi"/>
          <w:szCs w:val="24"/>
        </w:rPr>
        <w:t xml:space="preserve"> </w:t>
      </w:r>
      <w:r w:rsidRPr="004C6EF9">
        <w:rPr>
          <w:rFonts w:cstheme="minorHAnsi"/>
          <w:szCs w:val="24"/>
        </w:rPr>
        <w:t>Group</w:t>
      </w:r>
      <w:r w:rsidR="00296088" w:rsidRPr="004C6EF9">
        <w:rPr>
          <w:rFonts w:cstheme="minorHAnsi"/>
          <w:szCs w:val="24"/>
        </w:rPr>
        <w:t xml:space="preserve"> </w:t>
      </w:r>
      <w:r w:rsidRPr="004C6EF9">
        <w:rPr>
          <w:rFonts w:cstheme="minorHAnsi"/>
          <w:szCs w:val="24"/>
        </w:rPr>
        <w:t>2.</w:t>
      </w:r>
      <w:r w:rsidR="00296088" w:rsidRPr="004C6EF9">
        <w:rPr>
          <w:rFonts w:cstheme="minorHAnsi"/>
          <w:szCs w:val="24"/>
        </w:rPr>
        <w:t xml:space="preserve"> </w:t>
      </w:r>
      <w:r w:rsidRPr="004C6EF9">
        <w:rPr>
          <w:rFonts w:cstheme="minorHAnsi"/>
          <w:szCs w:val="24"/>
        </w:rPr>
        <w:t>TDAG</w:t>
      </w:r>
      <w:r w:rsidR="00907CE0" w:rsidRPr="004C6EF9">
        <w:rPr>
          <w:rFonts w:cstheme="minorHAnsi"/>
          <w:szCs w:val="24"/>
        </w:rPr>
        <w:t>-21/2</w:t>
      </w:r>
      <w:r w:rsidR="00296088" w:rsidRPr="004C6EF9">
        <w:rPr>
          <w:rFonts w:cstheme="minorHAnsi"/>
          <w:szCs w:val="24"/>
        </w:rPr>
        <w:t xml:space="preserve"> </w:t>
      </w:r>
      <w:r w:rsidRPr="004C6EF9">
        <w:rPr>
          <w:rFonts w:cstheme="minorHAnsi"/>
          <w:szCs w:val="24"/>
        </w:rPr>
        <w:t>participants</w:t>
      </w:r>
      <w:r w:rsidR="00296088" w:rsidRPr="004C6EF9">
        <w:rPr>
          <w:rFonts w:cstheme="minorHAnsi"/>
          <w:szCs w:val="24"/>
        </w:rPr>
        <w:t xml:space="preserve"> </w:t>
      </w:r>
      <w:r w:rsidRPr="004C6EF9">
        <w:rPr>
          <w:rFonts w:cstheme="minorHAnsi"/>
          <w:szCs w:val="24"/>
        </w:rPr>
        <w:t>considered</w:t>
      </w:r>
      <w:r w:rsidR="00296088" w:rsidRPr="004C6EF9">
        <w:rPr>
          <w:rFonts w:cstheme="minorHAnsi"/>
          <w:szCs w:val="24"/>
        </w:rPr>
        <w:t xml:space="preserve"> </w:t>
      </w:r>
      <w:r w:rsidR="0024442B" w:rsidRPr="004C6EF9">
        <w:rPr>
          <w:rFonts w:cstheme="minorHAnsi"/>
          <w:b/>
          <w:bCs/>
          <w:szCs w:val="24"/>
        </w:rPr>
        <w:t>44</w:t>
      </w:r>
      <w:r w:rsidR="0024442B" w:rsidRPr="004C6EF9">
        <w:rPr>
          <w:rFonts w:cstheme="minorHAnsi"/>
          <w:szCs w:val="24"/>
        </w:rPr>
        <w:t> </w:t>
      </w:r>
      <w:r w:rsidRPr="004C6EF9">
        <w:rPr>
          <w:rFonts w:cstheme="minorHAnsi"/>
          <w:szCs w:val="24"/>
        </w:rPr>
        <w:t>written</w:t>
      </w:r>
      <w:r w:rsidR="00296088" w:rsidRPr="004C6EF9">
        <w:rPr>
          <w:rFonts w:cstheme="minorHAnsi"/>
          <w:szCs w:val="24"/>
        </w:rPr>
        <w:t xml:space="preserve"> </w:t>
      </w:r>
      <w:r w:rsidRPr="004C6EF9">
        <w:rPr>
          <w:rFonts w:cstheme="minorHAnsi"/>
          <w:szCs w:val="24"/>
        </w:rPr>
        <w:t>contributions</w:t>
      </w:r>
      <w:r w:rsidR="00D02058" w:rsidRPr="004C6EF9">
        <w:rPr>
          <w:rFonts w:cstheme="minorHAnsi"/>
          <w:szCs w:val="24"/>
        </w:rPr>
        <w:t xml:space="preserve"> (including temporary documents)</w:t>
      </w:r>
      <w:r w:rsidRPr="004C6EF9">
        <w:rPr>
          <w:rFonts w:cstheme="minorHAnsi"/>
          <w:szCs w:val="24"/>
        </w:rPr>
        <w:t>,</w:t>
      </w:r>
      <w:r w:rsidR="00296088" w:rsidRPr="004C6EF9">
        <w:rPr>
          <w:rFonts w:cstheme="minorHAnsi"/>
          <w:szCs w:val="24"/>
        </w:rPr>
        <w:t xml:space="preserve"> </w:t>
      </w:r>
      <w:r w:rsidRPr="004C6EF9">
        <w:rPr>
          <w:rFonts w:cstheme="minorHAnsi"/>
          <w:szCs w:val="24"/>
        </w:rPr>
        <w:t>of</w:t>
      </w:r>
      <w:r w:rsidR="00296088" w:rsidRPr="004C6EF9">
        <w:rPr>
          <w:rFonts w:cstheme="minorHAnsi"/>
          <w:szCs w:val="24"/>
        </w:rPr>
        <w:t xml:space="preserve"> </w:t>
      </w:r>
      <w:r w:rsidRPr="004C6EF9">
        <w:rPr>
          <w:rFonts w:cstheme="minorHAnsi"/>
          <w:szCs w:val="24"/>
        </w:rPr>
        <w:t>which</w:t>
      </w:r>
      <w:r w:rsidR="00296088" w:rsidRPr="004C6EF9">
        <w:rPr>
          <w:rFonts w:cstheme="minorHAnsi"/>
          <w:szCs w:val="24"/>
        </w:rPr>
        <w:t xml:space="preserve"> </w:t>
      </w:r>
      <w:r w:rsidR="00F3734E" w:rsidRPr="004C6EF9">
        <w:rPr>
          <w:rFonts w:cstheme="minorHAnsi"/>
          <w:b/>
          <w:bCs/>
          <w:szCs w:val="24"/>
        </w:rPr>
        <w:t>10</w:t>
      </w:r>
      <w:r w:rsidR="00296088" w:rsidRPr="004C6EF9">
        <w:rPr>
          <w:rFonts w:cstheme="minorHAnsi"/>
          <w:szCs w:val="24"/>
        </w:rPr>
        <w:t xml:space="preserve"> </w:t>
      </w:r>
      <w:r w:rsidRPr="004C6EF9">
        <w:rPr>
          <w:rFonts w:cstheme="minorHAnsi"/>
          <w:szCs w:val="24"/>
        </w:rPr>
        <w:t>were</w:t>
      </w:r>
      <w:r w:rsidR="00296088" w:rsidRPr="004C6EF9">
        <w:rPr>
          <w:rFonts w:cstheme="minorHAnsi"/>
          <w:szCs w:val="24"/>
        </w:rPr>
        <w:t xml:space="preserve"> </w:t>
      </w:r>
      <w:r w:rsidRPr="004C6EF9">
        <w:rPr>
          <w:rFonts w:cstheme="minorHAnsi"/>
          <w:szCs w:val="24"/>
        </w:rPr>
        <w:t>submitted</w:t>
      </w:r>
      <w:r w:rsidR="00296088" w:rsidRPr="004C6EF9">
        <w:rPr>
          <w:rFonts w:cstheme="minorHAnsi"/>
          <w:szCs w:val="24"/>
        </w:rPr>
        <w:t xml:space="preserve"> </w:t>
      </w:r>
      <w:r w:rsidRPr="004C6EF9">
        <w:rPr>
          <w:rFonts w:cstheme="minorHAnsi"/>
          <w:szCs w:val="24"/>
        </w:rPr>
        <w:t>by</w:t>
      </w:r>
      <w:r w:rsidR="00296088" w:rsidRPr="004C6EF9">
        <w:rPr>
          <w:rFonts w:cstheme="minorHAnsi"/>
          <w:szCs w:val="24"/>
        </w:rPr>
        <w:t xml:space="preserve"> </w:t>
      </w:r>
      <w:r w:rsidRPr="004C6EF9">
        <w:rPr>
          <w:rFonts w:cstheme="minorHAnsi"/>
          <w:szCs w:val="24"/>
        </w:rPr>
        <w:t>membership.</w:t>
      </w:r>
      <w:r w:rsidR="00296088" w:rsidRPr="004C6EF9">
        <w:rPr>
          <w:rFonts w:cstheme="minorHAnsi"/>
          <w:szCs w:val="24"/>
        </w:rPr>
        <w:t xml:space="preserve"> </w:t>
      </w:r>
    </w:p>
    <w:p w14:paraId="633DF722" w14:textId="34DEC441" w:rsidR="003F186F" w:rsidRPr="004C6EF9" w:rsidRDefault="00BD73B5" w:rsidP="0011639E">
      <w:pPr>
        <w:pStyle w:val="ListParagraph"/>
        <w:keepNext/>
        <w:numPr>
          <w:ilvl w:val="0"/>
          <w:numId w:val="2"/>
        </w:numPr>
        <w:spacing w:after="120"/>
        <w:ind w:left="357" w:hanging="357"/>
        <w:contextualSpacing w:val="0"/>
        <w:rPr>
          <w:rFonts w:cstheme="minorHAnsi"/>
          <w:b/>
          <w:bCs/>
          <w:szCs w:val="24"/>
        </w:rPr>
      </w:pPr>
      <w:r w:rsidRPr="004C6EF9">
        <w:rPr>
          <w:rFonts w:cstheme="minorHAnsi"/>
          <w:b/>
          <w:bCs/>
          <w:szCs w:val="24"/>
        </w:rPr>
        <w:t>Address</w:t>
      </w:r>
      <w:r w:rsidR="00296088" w:rsidRPr="004C6EF9">
        <w:rPr>
          <w:rFonts w:cstheme="minorHAnsi"/>
          <w:b/>
          <w:bCs/>
          <w:szCs w:val="24"/>
        </w:rPr>
        <w:t xml:space="preserve"> </w:t>
      </w:r>
      <w:r w:rsidRPr="004C6EF9">
        <w:rPr>
          <w:rFonts w:cstheme="minorHAnsi"/>
          <w:b/>
          <w:bCs/>
          <w:szCs w:val="24"/>
        </w:rPr>
        <w:t>by</w:t>
      </w:r>
      <w:r w:rsidR="00296088" w:rsidRPr="004C6EF9">
        <w:rPr>
          <w:rFonts w:cstheme="minorHAnsi"/>
          <w:b/>
          <w:bCs/>
          <w:szCs w:val="24"/>
        </w:rPr>
        <w:t xml:space="preserve"> </w:t>
      </w:r>
      <w:r w:rsidRPr="004C6EF9">
        <w:rPr>
          <w:rFonts w:cstheme="minorHAnsi"/>
          <w:b/>
          <w:bCs/>
          <w:szCs w:val="24"/>
        </w:rPr>
        <w:t>the</w:t>
      </w:r>
      <w:r w:rsidR="00296088" w:rsidRPr="004C6EF9">
        <w:rPr>
          <w:rFonts w:cstheme="minorHAnsi"/>
          <w:b/>
          <w:bCs/>
          <w:szCs w:val="24"/>
        </w:rPr>
        <w:t xml:space="preserve"> </w:t>
      </w:r>
      <w:r w:rsidRPr="004C6EF9">
        <w:rPr>
          <w:rFonts w:cstheme="minorHAnsi"/>
          <w:b/>
          <w:bCs/>
          <w:szCs w:val="24"/>
        </w:rPr>
        <w:t>Secretary-General</w:t>
      </w:r>
    </w:p>
    <w:p w14:paraId="1D73B0EE" w14:textId="44DC8540" w:rsidR="003505D6" w:rsidRPr="004C6EF9" w:rsidRDefault="00580C41" w:rsidP="00D1140E">
      <w:pPr>
        <w:spacing w:after="120"/>
        <w:rPr>
          <w:rFonts w:cstheme="minorHAnsi"/>
          <w:szCs w:val="24"/>
        </w:rPr>
      </w:pPr>
      <w:r w:rsidRPr="004C6EF9">
        <w:rPr>
          <w:rFonts w:cstheme="minorHAnsi"/>
          <w:b/>
          <w:szCs w:val="24"/>
        </w:rPr>
        <w:t>Mr</w:t>
      </w:r>
      <w:r w:rsidR="00296088" w:rsidRPr="004C6EF9">
        <w:rPr>
          <w:rFonts w:cstheme="minorHAnsi"/>
          <w:b/>
          <w:szCs w:val="24"/>
        </w:rPr>
        <w:t xml:space="preserve"> </w:t>
      </w:r>
      <w:r w:rsidRPr="004C6EF9">
        <w:rPr>
          <w:rFonts w:cstheme="minorHAnsi"/>
          <w:b/>
          <w:szCs w:val="24"/>
        </w:rPr>
        <w:t>Houlin</w:t>
      </w:r>
      <w:r w:rsidR="00296088" w:rsidRPr="004C6EF9">
        <w:rPr>
          <w:rFonts w:cstheme="minorHAnsi"/>
          <w:b/>
          <w:szCs w:val="24"/>
        </w:rPr>
        <w:t xml:space="preserve"> </w:t>
      </w:r>
      <w:r w:rsidRPr="004C6EF9">
        <w:rPr>
          <w:rFonts w:cstheme="minorHAnsi"/>
          <w:b/>
          <w:szCs w:val="24"/>
        </w:rPr>
        <w:t>Zhao,</w:t>
      </w:r>
      <w:r w:rsidR="00296088" w:rsidRPr="004C6EF9">
        <w:rPr>
          <w:rFonts w:cstheme="minorHAnsi"/>
          <w:b/>
          <w:szCs w:val="24"/>
        </w:rPr>
        <w:t xml:space="preserve"> </w:t>
      </w:r>
      <w:r w:rsidRPr="004C6EF9">
        <w:rPr>
          <w:rFonts w:cstheme="minorHAnsi"/>
          <w:b/>
          <w:szCs w:val="24"/>
        </w:rPr>
        <w:t>ITU</w:t>
      </w:r>
      <w:r w:rsidR="00296088" w:rsidRPr="004C6EF9">
        <w:rPr>
          <w:rFonts w:cstheme="minorHAnsi"/>
          <w:b/>
          <w:szCs w:val="24"/>
        </w:rPr>
        <w:t xml:space="preserve"> </w:t>
      </w:r>
      <w:r w:rsidRPr="004C6EF9">
        <w:rPr>
          <w:rFonts w:cstheme="minorHAnsi"/>
          <w:b/>
          <w:szCs w:val="24"/>
        </w:rPr>
        <w:t>Secretary-General</w:t>
      </w:r>
      <w:r w:rsidR="00301A62" w:rsidRPr="004C6EF9">
        <w:rPr>
          <w:rFonts w:cstheme="minorHAnsi"/>
          <w:szCs w:val="24"/>
        </w:rPr>
        <w:t>,</w:t>
      </w:r>
      <w:r w:rsidR="00296088" w:rsidRPr="004C6EF9">
        <w:rPr>
          <w:rFonts w:eastAsia="Calibri" w:cstheme="minorHAnsi"/>
          <w:szCs w:val="24"/>
        </w:rPr>
        <w:t xml:space="preserve"> </w:t>
      </w:r>
      <w:r w:rsidR="00C6002D" w:rsidRPr="004C6EF9">
        <w:rPr>
          <w:rFonts w:eastAsia="Calibri" w:cstheme="minorHAnsi"/>
          <w:szCs w:val="24"/>
        </w:rPr>
        <w:t>opened</w:t>
      </w:r>
      <w:r w:rsidR="00296088" w:rsidRPr="004C6EF9">
        <w:rPr>
          <w:rFonts w:eastAsia="Calibri" w:cstheme="minorHAnsi"/>
          <w:szCs w:val="24"/>
        </w:rPr>
        <w:t xml:space="preserve"> </w:t>
      </w:r>
      <w:r w:rsidR="00C6002D" w:rsidRPr="004C6EF9">
        <w:rPr>
          <w:rFonts w:eastAsia="Calibri" w:cstheme="minorHAnsi"/>
          <w:szCs w:val="24"/>
        </w:rPr>
        <w:t>t</w:t>
      </w:r>
      <w:r w:rsidR="00686A1A" w:rsidRPr="004C6EF9">
        <w:rPr>
          <w:rFonts w:eastAsia="Calibri" w:cstheme="minorHAnsi"/>
          <w:szCs w:val="24"/>
        </w:rPr>
        <w:t>he</w:t>
      </w:r>
      <w:r w:rsidR="00296088" w:rsidRPr="004C6EF9">
        <w:rPr>
          <w:rFonts w:eastAsia="Calibri" w:cstheme="minorHAnsi"/>
          <w:szCs w:val="24"/>
        </w:rPr>
        <w:t xml:space="preserve"> </w:t>
      </w:r>
      <w:r w:rsidR="00686A1A" w:rsidRPr="004C6EF9">
        <w:rPr>
          <w:rFonts w:eastAsia="Calibri" w:cstheme="minorHAnsi"/>
          <w:szCs w:val="24"/>
        </w:rPr>
        <w:t>2</w:t>
      </w:r>
      <w:r w:rsidR="003505D6" w:rsidRPr="004C6EF9">
        <w:rPr>
          <w:rFonts w:eastAsia="Calibri" w:cstheme="minorHAnsi"/>
          <w:szCs w:val="24"/>
        </w:rPr>
        <w:t>9</w:t>
      </w:r>
      <w:r w:rsidR="00C6002D" w:rsidRPr="004C6EF9">
        <w:rPr>
          <w:rFonts w:eastAsia="Calibri" w:cstheme="minorHAnsi"/>
          <w:szCs w:val="24"/>
        </w:rPr>
        <w:t>th</w:t>
      </w:r>
      <w:r w:rsidR="00296088" w:rsidRPr="004C6EF9">
        <w:rPr>
          <w:rFonts w:eastAsia="Calibri" w:cstheme="minorHAnsi"/>
          <w:szCs w:val="24"/>
        </w:rPr>
        <w:t xml:space="preserve"> </w:t>
      </w:r>
      <w:r w:rsidR="00C6002D" w:rsidRPr="004C6EF9">
        <w:rPr>
          <w:rFonts w:eastAsia="Calibri" w:cstheme="minorHAnsi"/>
          <w:szCs w:val="24"/>
        </w:rPr>
        <w:t>meeting</w:t>
      </w:r>
      <w:r w:rsidR="00296088" w:rsidRPr="004C6EF9">
        <w:rPr>
          <w:rFonts w:eastAsia="Calibri" w:cstheme="minorHAnsi"/>
          <w:szCs w:val="24"/>
        </w:rPr>
        <w:t xml:space="preserve"> </w:t>
      </w:r>
      <w:r w:rsidR="00C6002D" w:rsidRPr="004C6EF9">
        <w:rPr>
          <w:rFonts w:eastAsia="Calibri" w:cstheme="minorHAnsi"/>
          <w:szCs w:val="24"/>
        </w:rPr>
        <w:t>of</w:t>
      </w:r>
      <w:r w:rsidR="00296088" w:rsidRPr="004C6EF9">
        <w:rPr>
          <w:rFonts w:eastAsia="Calibri" w:cstheme="minorHAnsi"/>
          <w:szCs w:val="24"/>
        </w:rPr>
        <w:t xml:space="preserve"> </w:t>
      </w:r>
      <w:r w:rsidR="00C6002D" w:rsidRPr="004C6EF9">
        <w:rPr>
          <w:rFonts w:eastAsia="Calibri" w:cstheme="minorHAnsi"/>
          <w:szCs w:val="24"/>
        </w:rPr>
        <w:t>TDAG</w:t>
      </w:r>
      <w:r w:rsidR="00296088" w:rsidRPr="004C6EF9">
        <w:rPr>
          <w:rFonts w:eastAsia="Calibri" w:cstheme="minorHAnsi"/>
          <w:szCs w:val="24"/>
        </w:rPr>
        <w:t xml:space="preserve"> </w:t>
      </w:r>
      <w:r w:rsidR="00A32405" w:rsidRPr="004C6EF9">
        <w:rPr>
          <w:rFonts w:eastAsia="Calibri" w:cstheme="minorHAnsi"/>
          <w:szCs w:val="24"/>
        </w:rPr>
        <w:t>and</w:t>
      </w:r>
      <w:r w:rsidR="00296088" w:rsidRPr="004C6EF9">
        <w:rPr>
          <w:rFonts w:eastAsia="Calibri" w:cstheme="minorHAnsi"/>
          <w:szCs w:val="24"/>
        </w:rPr>
        <w:t xml:space="preserve"> </w:t>
      </w:r>
      <w:r w:rsidR="00855D9B" w:rsidRPr="004C6EF9">
        <w:rPr>
          <w:rFonts w:eastAsia="Calibri" w:cstheme="minorHAnsi"/>
          <w:szCs w:val="24"/>
        </w:rPr>
        <w:t>stressed that connecting the billions of people who remain unconnected is one the most pressing challenges of our times, and the work of TDAG – and</w:t>
      </w:r>
      <w:r w:rsidR="00171890" w:rsidRPr="004C6EF9">
        <w:rPr>
          <w:rFonts w:eastAsia="Calibri" w:cstheme="minorHAnsi"/>
          <w:szCs w:val="24"/>
        </w:rPr>
        <w:t>, importantly,</w:t>
      </w:r>
      <w:r w:rsidR="00855D9B" w:rsidRPr="004C6EF9">
        <w:rPr>
          <w:rFonts w:eastAsia="Calibri" w:cstheme="minorHAnsi"/>
          <w:szCs w:val="24"/>
        </w:rPr>
        <w:t xml:space="preserve"> </w:t>
      </w:r>
      <w:r w:rsidR="00771898" w:rsidRPr="004C6EF9">
        <w:rPr>
          <w:rFonts w:eastAsia="Calibri" w:cstheme="minorHAnsi"/>
          <w:szCs w:val="24"/>
        </w:rPr>
        <w:t>the World Telecommunication Development Conference (</w:t>
      </w:r>
      <w:r w:rsidR="00855D9B" w:rsidRPr="004C6EF9">
        <w:rPr>
          <w:rFonts w:eastAsia="Calibri" w:cstheme="minorHAnsi"/>
          <w:szCs w:val="24"/>
        </w:rPr>
        <w:t>WTDC</w:t>
      </w:r>
      <w:r w:rsidR="00771898" w:rsidRPr="004C6EF9">
        <w:rPr>
          <w:rFonts w:eastAsia="Calibri" w:cstheme="minorHAnsi"/>
          <w:szCs w:val="24"/>
        </w:rPr>
        <w:t>)</w:t>
      </w:r>
      <w:r w:rsidR="00855D9B" w:rsidRPr="004C6EF9">
        <w:rPr>
          <w:rFonts w:eastAsia="Calibri" w:cstheme="minorHAnsi"/>
          <w:szCs w:val="24"/>
        </w:rPr>
        <w:t xml:space="preserve"> – in shaping the </w:t>
      </w:r>
      <w:r w:rsidR="00266F7A" w:rsidRPr="004C6EF9">
        <w:rPr>
          <w:rFonts w:eastAsia="Calibri" w:cstheme="minorHAnsi"/>
          <w:szCs w:val="24"/>
        </w:rPr>
        <w:t xml:space="preserve">global </w:t>
      </w:r>
      <w:r w:rsidR="00855D9B" w:rsidRPr="004C6EF9">
        <w:rPr>
          <w:rFonts w:eastAsia="Calibri" w:cstheme="minorHAnsi"/>
          <w:szCs w:val="24"/>
        </w:rPr>
        <w:t xml:space="preserve">digital development agenda is critical. </w:t>
      </w:r>
    </w:p>
    <w:p w14:paraId="61E943A9" w14:textId="6213A92A" w:rsidR="00544207" w:rsidRPr="004C6EF9" w:rsidRDefault="00855D9B" w:rsidP="00544207">
      <w:pPr>
        <w:spacing w:after="120"/>
        <w:rPr>
          <w:rFonts w:cstheme="minorHAnsi"/>
          <w:szCs w:val="24"/>
        </w:rPr>
      </w:pPr>
      <w:r w:rsidRPr="004C6EF9">
        <w:rPr>
          <w:rFonts w:cstheme="minorHAnsi"/>
          <w:szCs w:val="24"/>
        </w:rPr>
        <w:t xml:space="preserve">Mr Zhao reiterated ITU’s </w:t>
      </w:r>
      <w:r w:rsidRPr="004C6EF9">
        <w:rPr>
          <w:rFonts w:cstheme="minorHAnsi"/>
          <w:szCs w:val="24"/>
          <w:lang w:val="en-US"/>
        </w:rPr>
        <w:t xml:space="preserve">commitment in the preparations for </w:t>
      </w:r>
      <w:r w:rsidR="00171890" w:rsidRPr="004C6EF9">
        <w:rPr>
          <w:rFonts w:cstheme="minorHAnsi"/>
          <w:szCs w:val="24"/>
          <w:lang w:val="en-US"/>
        </w:rPr>
        <w:t xml:space="preserve">a successful </w:t>
      </w:r>
      <w:r w:rsidRPr="004C6EF9">
        <w:rPr>
          <w:rFonts w:cstheme="minorHAnsi"/>
          <w:szCs w:val="24"/>
          <w:lang w:val="en-US"/>
        </w:rPr>
        <w:t>W</w:t>
      </w:r>
      <w:r w:rsidR="006D79EA" w:rsidRPr="004C6EF9">
        <w:rPr>
          <w:rFonts w:cstheme="minorHAnsi"/>
          <w:szCs w:val="24"/>
          <w:lang w:val="en-US"/>
        </w:rPr>
        <w:t>T</w:t>
      </w:r>
      <w:r w:rsidRPr="004C6EF9">
        <w:rPr>
          <w:rFonts w:cstheme="minorHAnsi"/>
          <w:szCs w:val="24"/>
          <w:lang w:val="en-US"/>
        </w:rPr>
        <w:t>DC. He informed the meeting that, in light of the introduction of a</w:t>
      </w:r>
      <w:r w:rsidR="00544207" w:rsidRPr="004C6EF9">
        <w:rPr>
          <w:rFonts w:cstheme="minorHAnsi"/>
          <w:szCs w:val="24"/>
          <w:lang w:val="en-US"/>
        </w:rPr>
        <w:t xml:space="preserve"> six-month State of Emergency by the Government of Ethiopia, the United Nations </w:t>
      </w:r>
      <w:r w:rsidR="00171890" w:rsidRPr="004C6EF9">
        <w:rPr>
          <w:rFonts w:cstheme="minorHAnsi"/>
          <w:szCs w:val="24"/>
          <w:lang w:val="en-US"/>
        </w:rPr>
        <w:t xml:space="preserve">had </w:t>
      </w:r>
      <w:r w:rsidR="00544207" w:rsidRPr="004C6EF9">
        <w:rPr>
          <w:rFonts w:cstheme="minorHAnsi"/>
          <w:szCs w:val="24"/>
          <w:lang w:val="en-US"/>
        </w:rPr>
        <w:t xml:space="preserve">issued a decision severely restricting travel for UN staff to Ethiopia and </w:t>
      </w:r>
      <w:r w:rsidR="00EE1BEA">
        <w:rPr>
          <w:rFonts w:cstheme="minorHAnsi"/>
          <w:szCs w:val="24"/>
          <w:lang w:val="en-US"/>
        </w:rPr>
        <w:t xml:space="preserve">on </w:t>
      </w:r>
      <w:r w:rsidR="00544207" w:rsidRPr="004C6EF9">
        <w:rPr>
          <w:rFonts w:cstheme="minorHAnsi"/>
          <w:szCs w:val="24"/>
          <w:lang w:val="en-US"/>
        </w:rPr>
        <w:t xml:space="preserve">holding UN activities in </w:t>
      </w:r>
      <w:r w:rsidR="00171890" w:rsidRPr="004C6EF9">
        <w:rPr>
          <w:rFonts w:cstheme="minorHAnsi"/>
          <w:szCs w:val="24"/>
          <w:lang w:val="en-US"/>
        </w:rPr>
        <w:t>the country</w:t>
      </w:r>
      <w:r w:rsidR="00544207" w:rsidRPr="004C6EF9">
        <w:rPr>
          <w:rFonts w:cstheme="minorHAnsi"/>
          <w:szCs w:val="24"/>
          <w:lang w:val="en-US"/>
        </w:rPr>
        <w:t xml:space="preserve"> until further notice. </w:t>
      </w:r>
      <w:r w:rsidR="002203E2">
        <w:rPr>
          <w:rFonts w:cstheme="minorHAnsi"/>
          <w:szCs w:val="24"/>
          <w:lang w:val="en-US"/>
        </w:rPr>
        <w:t xml:space="preserve">He reported that </w:t>
      </w:r>
      <w:r w:rsidR="00544207" w:rsidRPr="004C6EF9">
        <w:rPr>
          <w:rFonts w:cstheme="minorHAnsi"/>
          <w:szCs w:val="24"/>
          <w:lang w:val="en-US"/>
        </w:rPr>
        <w:t>ITU security</w:t>
      </w:r>
      <w:r w:rsidR="00171890" w:rsidRPr="004C6EF9">
        <w:rPr>
          <w:rFonts w:cstheme="minorHAnsi"/>
          <w:szCs w:val="24"/>
          <w:lang w:val="en-US"/>
        </w:rPr>
        <w:t xml:space="preserve"> services </w:t>
      </w:r>
      <w:r w:rsidR="001A3645">
        <w:rPr>
          <w:rFonts w:cstheme="minorHAnsi"/>
          <w:szCs w:val="24"/>
          <w:lang w:val="en-US"/>
        </w:rPr>
        <w:t>we</w:t>
      </w:r>
      <w:r w:rsidR="00171890" w:rsidRPr="004C6EF9">
        <w:rPr>
          <w:rFonts w:cstheme="minorHAnsi"/>
          <w:szCs w:val="24"/>
          <w:lang w:val="en-US"/>
        </w:rPr>
        <w:t>re</w:t>
      </w:r>
      <w:r w:rsidR="00544207" w:rsidRPr="004C6EF9">
        <w:rPr>
          <w:rFonts w:cstheme="minorHAnsi"/>
          <w:szCs w:val="24"/>
          <w:lang w:val="en-US"/>
        </w:rPr>
        <w:t xml:space="preserve"> closely monitoring the U</w:t>
      </w:r>
      <w:r w:rsidR="002203E2">
        <w:rPr>
          <w:rFonts w:cstheme="minorHAnsi"/>
          <w:szCs w:val="24"/>
          <w:lang w:val="en-US"/>
        </w:rPr>
        <w:t xml:space="preserve">nited </w:t>
      </w:r>
      <w:r w:rsidR="00544207" w:rsidRPr="004C6EF9">
        <w:rPr>
          <w:rFonts w:cstheme="minorHAnsi"/>
          <w:szCs w:val="24"/>
          <w:lang w:val="en-US"/>
        </w:rPr>
        <w:t>N</w:t>
      </w:r>
      <w:r w:rsidR="002203E2">
        <w:rPr>
          <w:rFonts w:cstheme="minorHAnsi"/>
          <w:szCs w:val="24"/>
          <w:lang w:val="en-US"/>
        </w:rPr>
        <w:t xml:space="preserve">ations </w:t>
      </w:r>
      <w:r w:rsidR="00544207" w:rsidRPr="004C6EF9">
        <w:rPr>
          <w:rFonts w:cstheme="minorHAnsi"/>
          <w:szCs w:val="24"/>
          <w:lang w:val="en-US"/>
        </w:rPr>
        <w:t>D</w:t>
      </w:r>
      <w:r w:rsidR="002203E2">
        <w:rPr>
          <w:rFonts w:cstheme="minorHAnsi"/>
          <w:szCs w:val="24"/>
          <w:lang w:val="en-US"/>
        </w:rPr>
        <w:t xml:space="preserve">epartment of </w:t>
      </w:r>
      <w:r w:rsidR="00544207" w:rsidRPr="004C6EF9">
        <w:rPr>
          <w:rFonts w:cstheme="minorHAnsi"/>
          <w:szCs w:val="24"/>
          <w:lang w:val="en-US"/>
        </w:rPr>
        <w:t>S</w:t>
      </w:r>
      <w:r w:rsidR="002203E2">
        <w:rPr>
          <w:rFonts w:cstheme="minorHAnsi"/>
          <w:szCs w:val="24"/>
          <w:lang w:val="en-US"/>
        </w:rPr>
        <w:t xml:space="preserve">afety and </w:t>
      </w:r>
      <w:r w:rsidR="00544207" w:rsidRPr="004C6EF9">
        <w:rPr>
          <w:rFonts w:cstheme="minorHAnsi"/>
          <w:szCs w:val="24"/>
          <w:lang w:val="en-US"/>
        </w:rPr>
        <w:t>S</w:t>
      </w:r>
      <w:r w:rsidR="002203E2">
        <w:rPr>
          <w:rFonts w:cstheme="minorHAnsi"/>
          <w:szCs w:val="24"/>
          <w:lang w:val="en-US"/>
        </w:rPr>
        <w:t>ecurity</w:t>
      </w:r>
      <w:r w:rsidR="00544207" w:rsidRPr="004C6EF9">
        <w:rPr>
          <w:rFonts w:cstheme="minorHAnsi"/>
          <w:szCs w:val="24"/>
          <w:lang w:val="en-US"/>
        </w:rPr>
        <w:t xml:space="preserve"> deliberations on this issue. </w:t>
      </w:r>
      <w:proofErr w:type="spellStart"/>
      <w:r w:rsidR="006D79EA" w:rsidRPr="004C6EF9">
        <w:rPr>
          <w:rFonts w:cstheme="minorHAnsi"/>
          <w:szCs w:val="24"/>
          <w:lang w:val="en-US"/>
        </w:rPr>
        <w:t>Mr</w:t>
      </w:r>
      <w:proofErr w:type="spellEnd"/>
      <w:r w:rsidR="006D79EA" w:rsidRPr="004C6EF9">
        <w:rPr>
          <w:rFonts w:cstheme="minorHAnsi"/>
          <w:szCs w:val="24"/>
          <w:lang w:val="en-US"/>
        </w:rPr>
        <w:t xml:space="preserve"> Zhao recognized the excellent collaboration with the </w:t>
      </w:r>
      <w:r w:rsidR="00544207" w:rsidRPr="004C6EF9">
        <w:rPr>
          <w:rFonts w:cstheme="minorHAnsi"/>
          <w:szCs w:val="24"/>
          <w:lang w:val="en-US"/>
        </w:rPr>
        <w:t>host country</w:t>
      </w:r>
      <w:r w:rsidR="006D79EA" w:rsidRPr="004C6EF9">
        <w:rPr>
          <w:rFonts w:cstheme="minorHAnsi"/>
          <w:szCs w:val="24"/>
          <w:lang w:val="en-US"/>
        </w:rPr>
        <w:t xml:space="preserve"> </w:t>
      </w:r>
      <w:r w:rsidR="001A3645">
        <w:rPr>
          <w:rFonts w:cstheme="minorHAnsi"/>
          <w:szCs w:val="24"/>
          <w:lang w:val="en-US"/>
        </w:rPr>
        <w:t xml:space="preserve">to </w:t>
      </w:r>
      <w:r w:rsidR="00A93E09" w:rsidRPr="004C6EF9">
        <w:rPr>
          <w:rFonts w:cstheme="minorHAnsi"/>
          <w:szCs w:val="24"/>
          <w:lang w:val="en-US"/>
        </w:rPr>
        <w:t>arrange for the conference and the efforts to mitigate the current situation</w:t>
      </w:r>
      <w:r w:rsidR="00544207" w:rsidRPr="004C6EF9">
        <w:rPr>
          <w:rFonts w:cstheme="minorHAnsi"/>
          <w:szCs w:val="24"/>
          <w:lang w:val="en-US"/>
        </w:rPr>
        <w:t>. </w:t>
      </w:r>
      <w:r w:rsidR="006D79EA" w:rsidRPr="004C6EF9">
        <w:rPr>
          <w:rFonts w:cstheme="minorHAnsi"/>
          <w:szCs w:val="24"/>
          <w:lang w:val="en-US"/>
        </w:rPr>
        <w:t xml:space="preserve">He </w:t>
      </w:r>
      <w:r w:rsidR="00171890" w:rsidRPr="004C6EF9">
        <w:rPr>
          <w:rFonts w:cstheme="minorHAnsi"/>
          <w:szCs w:val="24"/>
          <w:lang w:val="en-US"/>
        </w:rPr>
        <w:t>indicated</w:t>
      </w:r>
      <w:r w:rsidR="006D79EA" w:rsidRPr="004C6EF9">
        <w:rPr>
          <w:rFonts w:cstheme="minorHAnsi"/>
          <w:szCs w:val="24"/>
          <w:lang w:val="en-US"/>
        </w:rPr>
        <w:t xml:space="preserve"> that </w:t>
      </w:r>
      <w:r w:rsidR="006D79EA" w:rsidRPr="004C6EF9">
        <w:rPr>
          <w:rFonts w:cstheme="minorHAnsi"/>
          <w:szCs w:val="24"/>
          <w:lang w:val="en-US"/>
        </w:rPr>
        <w:lastRenderedPageBreak/>
        <w:t xml:space="preserve">the Secretariat </w:t>
      </w:r>
      <w:r w:rsidR="001A3645">
        <w:rPr>
          <w:rFonts w:cstheme="minorHAnsi"/>
          <w:szCs w:val="24"/>
          <w:lang w:val="en-US"/>
        </w:rPr>
        <w:t>wa</w:t>
      </w:r>
      <w:r w:rsidR="006D79EA" w:rsidRPr="004C6EF9">
        <w:rPr>
          <w:rFonts w:cstheme="minorHAnsi"/>
          <w:szCs w:val="24"/>
          <w:lang w:val="en-US"/>
        </w:rPr>
        <w:t xml:space="preserve">s ready to </w:t>
      </w:r>
      <w:r w:rsidR="00544207" w:rsidRPr="004C6EF9">
        <w:rPr>
          <w:rFonts w:cstheme="minorHAnsi"/>
          <w:szCs w:val="24"/>
          <w:lang w:val="en-US"/>
        </w:rPr>
        <w:t>begin developing possible alternate arrangements</w:t>
      </w:r>
      <w:r w:rsidR="00D02058" w:rsidRPr="004C6EF9">
        <w:rPr>
          <w:rFonts w:cstheme="minorHAnsi"/>
          <w:szCs w:val="24"/>
          <w:lang w:val="en-US"/>
        </w:rPr>
        <w:t xml:space="preserve"> </w:t>
      </w:r>
      <w:r w:rsidR="00544207" w:rsidRPr="004C6EF9">
        <w:rPr>
          <w:rFonts w:cstheme="minorHAnsi"/>
          <w:szCs w:val="24"/>
          <w:lang w:val="en-US"/>
        </w:rPr>
        <w:t>while continuing to engage with Ethiopia</w:t>
      </w:r>
      <w:r w:rsidR="00EE6FDB" w:rsidRPr="004C6EF9">
        <w:rPr>
          <w:rFonts w:cstheme="minorHAnsi"/>
          <w:szCs w:val="24"/>
          <w:lang w:val="en-US"/>
        </w:rPr>
        <w:t xml:space="preserve">, in </w:t>
      </w:r>
      <w:r w:rsidR="002203E2">
        <w:rPr>
          <w:rFonts w:cstheme="minorHAnsi"/>
          <w:szCs w:val="24"/>
          <w:lang w:val="en-US"/>
        </w:rPr>
        <w:t>order t</w:t>
      </w:r>
      <w:r w:rsidR="00EE6FDB" w:rsidRPr="004C6EF9">
        <w:rPr>
          <w:rFonts w:cstheme="minorHAnsi"/>
          <w:szCs w:val="24"/>
          <w:lang w:val="en-US"/>
        </w:rPr>
        <w:t>o e</w:t>
      </w:r>
      <w:r w:rsidR="00544207" w:rsidRPr="004C6EF9">
        <w:rPr>
          <w:rFonts w:cstheme="minorHAnsi"/>
          <w:szCs w:val="24"/>
          <w:lang w:val="en-US"/>
        </w:rPr>
        <w:t>nsur</w:t>
      </w:r>
      <w:r w:rsidR="002203E2">
        <w:rPr>
          <w:rFonts w:cstheme="minorHAnsi"/>
          <w:szCs w:val="24"/>
          <w:lang w:val="en-US"/>
        </w:rPr>
        <w:t xml:space="preserve">e </w:t>
      </w:r>
      <w:r w:rsidR="00EE6FDB" w:rsidRPr="004C6EF9">
        <w:rPr>
          <w:rFonts w:cstheme="minorHAnsi"/>
          <w:szCs w:val="24"/>
          <w:lang w:val="en-US"/>
        </w:rPr>
        <w:t xml:space="preserve">viable options for WTDC. </w:t>
      </w:r>
      <w:r w:rsidR="001A3645">
        <w:rPr>
          <w:rFonts w:cstheme="minorHAnsi"/>
          <w:szCs w:val="24"/>
          <w:lang w:val="en-US"/>
        </w:rPr>
        <w:t xml:space="preserve">He </w:t>
      </w:r>
      <w:r w:rsidR="00461666">
        <w:rPr>
          <w:rFonts w:cstheme="minorHAnsi"/>
          <w:szCs w:val="24"/>
          <w:lang w:val="en-US"/>
        </w:rPr>
        <w:t>further stated</w:t>
      </w:r>
      <w:r w:rsidR="001A3645">
        <w:rPr>
          <w:rFonts w:cstheme="minorHAnsi"/>
          <w:szCs w:val="24"/>
          <w:lang w:val="en-US"/>
        </w:rPr>
        <w:t xml:space="preserve"> that t</w:t>
      </w:r>
      <w:r w:rsidR="00544207" w:rsidRPr="004C6EF9">
        <w:rPr>
          <w:rFonts w:cstheme="minorHAnsi"/>
          <w:szCs w:val="24"/>
          <w:lang w:val="en-US"/>
        </w:rPr>
        <w:t>he Secretariat w</w:t>
      </w:r>
      <w:r w:rsidR="001A3645">
        <w:rPr>
          <w:rFonts w:cstheme="minorHAnsi"/>
          <w:szCs w:val="24"/>
          <w:lang w:val="en-US"/>
        </w:rPr>
        <w:t xml:space="preserve">ould </w:t>
      </w:r>
      <w:r w:rsidR="00544207" w:rsidRPr="004C6EF9">
        <w:rPr>
          <w:rFonts w:cstheme="minorHAnsi"/>
          <w:szCs w:val="24"/>
          <w:lang w:val="en-US"/>
        </w:rPr>
        <w:t>aim to communicate a clear and confirmed position to membership no later than 6 Dec</w:t>
      </w:r>
      <w:r w:rsidR="00171890" w:rsidRPr="004C6EF9">
        <w:rPr>
          <w:rFonts w:cstheme="minorHAnsi"/>
          <w:szCs w:val="24"/>
          <w:lang w:val="en-US"/>
        </w:rPr>
        <w:t>ember</w:t>
      </w:r>
      <w:r w:rsidR="00544207" w:rsidRPr="004C6EF9">
        <w:rPr>
          <w:rFonts w:cstheme="minorHAnsi"/>
          <w:szCs w:val="24"/>
          <w:lang w:val="en-US"/>
        </w:rPr>
        <w:t xml:space="preserve"> 2021. </w:t>
      </w:r>
      <w:r w:rsidR="00544207" w:rsidRPr="004C6EF9">
        <w:rPr>
          <w:rFonts w:cstheme="minorHAnsi"/>
          <w:szCs w:val="24"/>
        </w:rPr>
        <w:t> </w:t>
      </w:r>
    </w:p>
    <w:p w14:paraId="5E1F2B1B" w14:textId="274D9975" w:rsidR="004378BA" w:rsidRPr="004C6EF9" w:rsidRDefault="00EE6FDB" w:rsidP="004378BA">
      <w:pPr>
        <w:spacing w:after="120"/>
        <w:rPr>
          <w:rFonts w:cstheme="minorHAnsi"/>
          <w:szCs w:val="24"/>
        </w:rPr>
      </w:pPr>
      <w:proofErr w:type="spellStart"/>
      <w:r w:rsidRPr="004C6EF9">
        <w:rPr>
          <w:rFonts w:cstheme="minorHAnsi"/>
          <w:szCs w:val="24"/>
          <w:lang w:val="en-US"/>
        </w:rPr>
        <w:t>Mr</w:t>
      </w:r>
      <w:proofErr w:type="spellEnd"/>
      <w:r w:rsidRPr="004C6EF9">
        <w:rPr>
          <w:rFonts w:cstheme="minorHAnsi"/>
          <w:szCs w:val="24"/>
          <w:lang w:val="en-US"/>
        </w:rPr>
        <w:t xml:space="preserve"> Zhao indicated that</w:t>
      </w:r>
      <w:r w:rsidR="004378BA" w:rsidRPr="004C6EF9">
        <w:rPr>
          <w:rFonts w:cstheme="minorHAnsi"/>
          <w:szCs w:val="24"/>
          <w:lang w:val="en-US"/>
        </w:rPr>
        <w:t xml:space="preserve"> 2022 w</w:t>
      </w:r>
      <w:r w:rsidR="001A3645">
        <w:rPr>
          <w:rFonts w:cstheme="minorHAnsi"/>
          <w:szCs w:val="24"/>
          <w:lang w:val="en-US"/>
        </w:rPr>
        <w:t>ould</w:t>
      </w:r>
      <w:r w:rsidR="004378BA" w:rsidRPr="004C6EF9">
        <w:rPr>
          <w:rFonts w:cstheme="minorHAnsi"/>
          <w:szCs w:val="24"/>
          <w:lang w:val="en-US"/>
        </w:rPr>
        <w:t xml:space="preserve"> be a significant year for ITU, with three major conferences </w:t>
      </w:r>
      <w:r w:rsidR="00771898" w:rsidRPr="004C6EF9">
        <w:rPr>
          <w:rFonts w:cstheme="minorHAnsi"/>
          <w:szCs w:val="24"/>
          <w:lang w:val="en-US"/>
        </w:rPr>
        <w:t>– the World Telecommunication Standardization Assembly (</w:t>
      </w:r>
      <w:r w:rsidR="004378BA" w:rsidRPr="004C6EF9">
        <w:rPr>
          <w:rFonts w:cstheme="minorHAnsi"/>
          <w:szCs w:val="24"/>
          <w:lang w:val="en-US"/>
        </w:rPr>
        <w:t>WTSA</w:t>
      </w:r>
      <w:r w:rsidR="00771898" w:rsidRPr="004C6EF9">
        <w:rPr>
          <w:rFonts w:cstheme="minorHAnsi"/>
          <w:szCs w:val="24"/>
          <w:lang w:val="en-US"/>
        </w:rPr>
        <w:t>),</w:t>
      </w:r>
      <w:r w:rsidR="004378BA" w:rsidRPr="004C6EF9">
        <w:rPr>
          <w:rFonts w:cstheme="minorHAnsi"/>
          <w:szCs w:val="24"/>
          <w:lang w:val="en-US"/>
        </w:rPr>
        <w:t xml:space="preserve"> WTDC and </w:t>
      </w:r>
      <w:r w:rsidR="00771898" w:rsidRPr="004C6EF9">
        <w:rPr>
          <w:rFonts w:cstheme="minorHAnsi"/>
          <w:szCs w:val="24"/>
          <w:lang w:val="en-US"/>
        </w:rPr>
        <w:t>the Plenipotentiary Conference (</w:t>
      </w:r>
      <w:r w:rsidR="004378BA" w:rsidRPr="004C6EF9">
        <w:rPr>
          <w:rFonts w:cstheme="minorHAnsi"/>
          <w:szCs w:val="24"/>
          <w:lang w:val="en-US"/>
        </w:rPr>
        <w:t>PP</w:t>
      </w:r>
      <w:r w:rsidR="00771898" w:rsidRPr="004C6EF9">
        <w:rPr>
          <w:rFonts w:cstheme="minorHAnsi"/>
          <w:szCs w:val="24"/>
          <w:lang w:val="en-US"/>
        </w:rPr>
        <w:t>)</w:t>
      </w:r>
      <w:r w:rsidR="004378BA" w:rsidRPr="004C6EF9">
        <w:rPr>
          <w:rFonts w:cstheme="minorHAnsi"/>
          <w:szCs w:val="24"/>
          <w:lang w:val="en-US"/>
        </w:rPr>
        <w:t>. </w:t>
      </w:r>
      <w:r w:rsidRPr="004C6EF9">
        <w:rPr>
          <w:rFonts w:cstheme="minorHAnsi"/>
          <w:szCs w:val="24"/>
          <w:lang w:val="en-US"/>
        </w:rPr>
        <w:t xml:space="preserve">He </w:t>
      </w:r>
      <w:r w:rsidR="00916786" w:rsidRPr="004C6EF9">
        <w:rPr>
          <w:rFonts w:cstheme="minorHAnsi"/>
          <w:szCs w:val="24"/>
          <w:lang w:val="en-US"/>
        </w:rPr>
        <w:t>conveyed that this is</w:t>
      </w:r>
      <w:r w:rsidR="004378BA" w:rsidRPr="004C6EF9">
        <w:rPr>
          <w:rFonts w:cstheme="minorHAnsi"/>
          <w:szCs w:val="24"/>
          <w:lang w:val="en-US"/>
        </w:rPr>
        <w:t xml:space="preserve"> a golden opportunity to make use of the spotlight that</w:t>
      </w:r>
      <w:r w:rsidR="00771898" w:rsidRPr="004C6EF9">
        <w:rPr>
          <w:rFonts w:cstheme="minorHAnsi"/>
          <w:szCs w:val="24"/>
          <w:lang w:val="en-US"/>
        </w:rPr>
        <w:t xml:space="preserve"> ha</w:t>
      </w:r>
      <w:r w:rsidR="004378BA" w:rsidRPr="004C6EF9">
        <w:rPr>
          <w:rFonts w:cstheme="minorHAnsi"/>
          <w:szCs w:val="24"/>
          <w:lang w:val="en-US"/>
        </w:rPr>
        <w:t>s been shone on connectivity, connect the dots between the important work of each of the conferences, and truly revitalize the global connectivity agenda.</w:t>
      </w:r>
      <w:r w:rsidR="004378BA" w:rsidRPr="004C6EF9">
        <w:rPr>
          <w:rFonts w:cstheme="minorHAnsi"/>
          <w:szCs w:val="24"/>
        </w:rPr>
        <w:t> </w:t>
      </w:r>
    </w:p>
    <w:p w14:paraId="3D938D9B" w14:textId="23778C2F" w:rsidR="00CA1BE1" w:rsidRPr="004C6EF9" w:rsidRDefault="00CA1BE1" w:rsidP="0011639E">
      <w:pPr>
        <w:pStyle w:val="ListParagraph"/>
        <w:keepNext/>
        <w:numPr>
          <w:ilvl w:val="0"/>
          <w:numId w:val="2"/>
        </w:numPr>
        <w:spacing w:after="120"/>
        <w:ind w:left="357" w:hanging="357"/>
        <w:contextualSpacing w:val="0"/>
        <w:rPr>
          <w:rFonts w:cstheme="minorHAnsi"/>
          <w:b/>
          <w:bCs/>
          <w:szCs w:val="24"/>
        </w:rPr>
      </w:pPr>
      <w:r w:rsidRPr="004C6EF9">
        <w:rPr>
          <w:rFonts w:cstheme="minorHAnsi"/>
          <w:b/>
          <w:bCs/>
          <w:szCs w:val="24"/>
        </w:rPr>
        <w:t>Address by the Director of the ITU Telecommunication Development Bureau</w:t>
      </w:r>
      <w:r w:rsidR="00557323" w:rsidRPr="004C6EF9">
        <w:rPr>
          <w:rFonts w:cstheme="minorHAnsi"/>
          <w:b/>
          <w:bCs/>
          <w:szCs w:val="24"/>
        </w:rPr>
        <w:t xml:space="preserve"> </w:t>
      </w:r>
    </w:p>
    <w:p w14:paraId="56277202" w14:textId="06859B17" w:rsidR="009860EA" w:rsidRPr="004C6EF9" w:rsidRDefault="00CA1BE1" w:rsidP="00CA1BE1">
      <w:pPr>
        <w:pStyle w:val="PlainText"/>
        <w:spacing w:before="120" w:after="120"/>
        <w:rPr>
          <w:rFonts w:asciiTheme="minorHAnsi" w:hAnsiTheme="minorHAnsi" w:cstheme="minorHAnsi"/>
          <w:sz w:val="24"/>
          <w:szCs w:val="24"/>
        </w:rPr>
      </w:pPr>
      <w:r w:rsidRPr="004C6EF9">
        <w:rPr>
          <w:rFonts w:asciiTheme="minorHAnsi" w:hAnsiTheme="minorHAnsi" w:cstheme="minorHAnsi"/>
          <w:b/>
          <w:bCs/>
          <w:sz w:val="24"/>
          <w:szCs w:val="24"/>
        </w:rPr>
        <w:t>Ms Doreen Bogdan-Martin</w:t>
      </w:r>
      <w:r w:rsidR="00557323" w:rsidRPr="004C6EF9">
        <w:rPr>
          <w:rFonts w:asciiTheme="minorHAnsi" w:hAnsiTheme="minorHAnsi" w:cstheme="minorHAnsi"/>
          <w:b/>
          <w:bCs/>
          <w:sz w:val="24"/>
          <w:szCs w:val="24"/>
        </w:rPr>
        <w:t>, Director of the ITU Telecommunication Development Bureau (BDT),</w:t>
      </w:r>
      <w:r w:rsidRPr="004C6EF9">
        <w:rPr>
          <w:rFonts w:asciiTheme="minorHAnsi" w:hAnsiTheme="minorHAnsi" w:cstheme="minorHAnsi"/>
          <w:b/>
          <w:bCs/>
          <w:sz w:val="24"/>
          <w:szCs w:val="24"/>
        </w:rPr>
        <w:t xml:space="preserve"> </w:t>
      </w:r>
      <w:r w:rsidRPr="004C6EF9">
        <w:rPr>
          <w:rFonts w:asciiTheme="minorHAnsi" w:hAnsiTheme="minorHAnsi" w:cstheme="minorHAnsi"/>
          <w:sz w:val="24"/>
          <w:szCs w:val="24"/>
        </w:rPr>
        <w:t>highlighted the importance of breaking through the challenge</w:t>
      </w:r>
      <w:r w:rsidR="00771898" w:rsidRPr="004C6EF9">
        <w:rPr>
          <w:rFonts w:asciiTheme="minorHAnsi" w:hAnsiTheme="minorHAnsi" w:cstheme="minorHAnsi"/>
          <w:sz w:val="24"/>
          <w:szCs w:val="24"/>
        </w:rPr>
        <w:t>s</w:t>
      </w:r>
      <w:r w:rsidRPr="004C6EF9">
        <w:rPr>
          <w:rFonts w:asciiTheme="minorHAnsi" w:hAnsiTheme="minorHAnsi" w:cstheme="minorHAnsi"/>
          <w:sz w:val="24"/>
          <w:szCs w:val="24"/>
        </w:rPr>
        <w:t xml:space="preserve"> of the </w:t>
      </w:r>
      <w:r w:rsidR="00771898" w:rsidRPr="004C6EF9">
        <w:rPr>
          <w:rFonts w:asciiTheme="minorHAnsi" w:hAnsiTheme="minorHAnsi" w:cstheme="minorHAnsi"/>
          <w:sz w:val="24"/>
          <w:szCs w:val="24"/>
        </w:rPr>
        <w:t>d</w:t>
      </w:r>
      <w:r w:rsidRPr="004C6EF9">
        <w:rPr>
          <w:rFonts w:asciiTheme="minorHAnsi" w:hAnsiTheme="minorHAnsi" w:cstheme="minorHAnsi"/>
          <w:sz w:val="24"/>
          <w:szCs w:val="24"/>
        </w:rPr>
        <w:t xml:space="preserve">igital divide – one of the grand canyons highlighted by the UN Secretary-General in his Common Agenda. Digital solutions, she said, offer one of the greatest opportunities of our generation to address great social divide and build a UN 2.0. Today, there is strong global consensus on the role of digital in global development. </w:t>
      </w:r>
    </w:p>
    <w:p w14:paraId="60AC358B" w14:textId="4D74E1FF" w:rsidR="00CA1BE1" w:rsidRPr="004C6EF9" w:rsidRDefault="00CA1BE1" w:rsidP="00CA1BE1">
      <w:pPr>
        <w:pStyle w:val="PlainText"/>
        <w:spacing w:before="120" w:after="120"/>
        <w:rPr>
          <w:rFonts w:asciiTheme="minorHAnsi" w:hAnsiTheme="minorHAnsi" w:cstheme="minorHAnsi"/>
          <w:sz w:val="24"/>
          <w:szCs w:val="24"/>
        </w:rPr>
      </w:pPr>
      <w:r w:rsidRPr="004C6EF9">
        <w:rPr>
          <w:rFonts w:asciiTheme="minorHAnsi" w:hAnsiTheme="minorHAnsi" w:cstheme="minorHAnsi"/>
          <w:sz w:val="24"/>
          <w:szCs w:val="24"/>
        </w:rPr>
        <w:t xml:space="preserve">Reminding members that this is the last TDAG of the current cycle, </w:t>
      </w:r>
      <w:r w:rsidR="009860EA" w:rsidRPr="004C6EF9">
        <w:rPr>
          <w:rFonts w:asciiTheme="minorHAnsi" w:hAnsiTheme="minorHAnsi" w:cstheme="minorHAnsi"/>
          <w:sz w:val="24"/>
          <w:szCs w:val="24"/>
        </w:rPr>
        <w:t>Ms Bogdan-Martin</w:t>
      </w:r>
      <w:r w:rsidRPr="004C6EF9">
        <w:rPr>
          <w:rFonts w:asciiTheme="minorHAnsi" w:hAnsiTheme="minorHAnsi" w:cstheme="minorHAnsi"/>
          <w:sz w:val="24"/>
          <w:szCs w:val="24"/>
        </w:rPr>
        <w:t xml:space="preserve"> highlighted major milestones and achievements of the work of the Bureau, and especially the efforts to</w:t>
      </w:r>
      <w:r w:rsidR="00557323" w:rsidRPr="004C6EF9">
        <w:rPr>
          <w:rFonts w:asciiTheme="minorHAnsi" w:hAnsiTheme="minorHAnsi" w:cstheme="minorHAnsi"/>
          <w:sz w:val="24"/>
          <w:szCs w:val="24"/>
        </w:rPr>
        <w:t>wards</w:t>
      </w:r>
      <w:r w:rsidRPr="004C6EF9">
        <w:rPr>
          <w:rFonts w:asciiTheme="minorHAnsi" w:hAnsiTheme="minorHAnsi" w:cstheme="minorHAnsi"/>
          <w:sz w:val="24"/>
          <w:szCs w:val="24"/>
        </w:rPr>
        <w:t xml:space="preserve"> building a fit-for-purpose BDT that have been mobilized despite the COVID</w:t>
      </w:r>
      <w:r w:rsidR="00557323" w:rsidRPr="004C6EF9">
        <w:rPr>
          <w:rFonts w:asciiTheme="minorHAnsi" w:hAnsiTheme="minorHAnsi" w:cstheme="minorHAnsi"/>
          <w:sz w:val="24"/>
          <w:szCs w:val="24"/>
        </w:rPr>
        <w:t>-19</w:t>
      </w:r>
      <w:r w:rsidRPr="004C6EF9">
        <w:rPr>
          <w:rFonts w:asciiTheme="minorHAnsi" w:hAnsiTheme="minorHAnsi" w:cstheme="minorHAnsi"/>
          <w:sz w:val="24"/>
          <w:szCs w:val="24"/>
        </w:rPr>
        <w:t xml:space="preserve"> pandemic. </w:t>
      </w:r>
      <w:r w:rsidR="009860EA" w:rsidRPr="004C6EF9">
        <w:rPr>
          <w:rFonts w:asciiTheme="minorHAnsi" w:hAnsiTheme="minorHAnsi" w:cstheme="minorHAnsi"/>
          <w:sz w:val="24"/>
          <w:szCs w:val="24"/>
        </w:rPr>
        <w:t>She reiterated that t</w:t>
      </w:r>
      <w:r w:rsidRPr="004C6EF9">
        <w:rPr>
          <w:rFonts w:asciiTheme="minorHAnsi" w:hAnsiTheme="minorHAnsi" w:cstheme="minorHAnsi"/>
          <w:sz w:val="24"/>
          <w:szCs w:val="24"/>
        </w:rPr>
        <w:t xml:space="preserve">he </w:t>
      </w:r>
      <w:r w:rsidR="009860EA" w:rsidRPr="004C6EF9">
        <w:rPr>
          <w:rFonts w:asciiTheme="minorHAnsi" w:hAnsiTheme="minorHAnsi" w:cstheme="minorHAnsi"/>
          <w:sz w:val="24"/>
          <w:szCs w:val="24"/>
        </w:rPr>
        <w:t>upcoming</w:t>
      </w:r>
      <w:r w:rsidRPr="004C6EF9">
        <w:rPr>
          <w:rFonts w:asciiTheme="minorHAnsi" w:hAnsiTheme="minorHAnsi" w:cstheme="minorHAnsi"/>
          <w:sz w:val="24"/>
          <w:szCs w:val="24"/>
        </w:rPr>
        <w:t xml:space="preserve"> WTDC might be the most important </w:t>
      </w:r>
      <w:r w:rsidR="00557323" w:rsidRPr="004C6EF9">
        <w:rPr>
          <w:rFonts w:asciiTheme="minorHAnsi" w:hAnsiTheme="minorHAnsi" w:cstheme="minorHAnsi"/>
          <w:sz w:val="24"/>
          <w:szCs w:val="24"/>
        </w:rPr>
        <w:t xml:space="preserve">development conference </w:t>
      </w:r>
      <w:r w:rsidRPr="004C6EF9">
        <w:rPr>
          <w:rFonts w:asciiTheme="minorHAnsi" w:hAnsiTheme="minorHAnsi" w:cstheme="minorHAnsi"/>
          <w:sz w:val="24"/>
          <w:szCs w:val="24"/>
        </w:rPr>
        <w:t>ever held</w:t>
      </w:r>
      <w:r w:rsidR="00557323" w:rsidRPr="004C6EF9">
        <w:rPr>
          <w:rFonts w:asciiTheme="minorHAnsi" w:hAnsiTheme="minorHAnsi" w:cstheme="minorHAnsi"/>
          <w:sz w:val="24"/>
          <w:szCs w:val="24"/>
        </w:rPr>
        <w:t>,</w:t>
      </w:r>
      <w:r w:rsidRPr="004C6EF9">
        <w:rPr>
          <w:rFonts w:asciiTheme="minorHAnsi" w:hAnsiTheme="minorHAnsi" w:cstheme="minorHAnsi"/>
          <w:sz w:val="24"/>
          <w:szCs w:val="24"/>
        </w:rPr>
        <w:t xml:space="preserve"> </w:t>
      </w:r>
      <w:r w:rsidR="009860EA" w:rsidRPr="004C6EF9">
        <w:rPr>
          <w:rFonts w:asciiTheme="minorHAnsi" w:hAnsiTheme="minorHAnsi" w:cstheme="minorHAnsi"/>
          <w:sz w:val="24"/>
          <w:szCs w:val="24"/>
        </w:rPr>
        <w:t xml:space="preserve">and will require effective </w:t>
      </w:r>
      <w:r w:rsidRPr="004C6EF9">
        <w:rPr>
          <w:rFonts w:asciiTheme="minorHAnsi" w:hAnsiTheme="minorHAnsi" w:cstheme="minorHAnsi"/>
          <w:sz w:val="24"/>
          <w:szCs w:val="24"/>
        </w:rPr>
        <w:t>coordinat</w:t>
      </w:r>
      <w:r w:rsidR="009860EA" w:rsidRPr="004C6EF9">
        <w:rPr>
          <w:rFonts w:asciiTheme="minorHAnsi" w:hAnsiTheme="minorHAnsi" w:cstheme="minorHAnsi"/>
          <w:sz w:val="24"/>
          <w:szCs w:val="24"/>
        </w:rPr>
        <w:t>ion</w:t>
      </w:r>
      <w:r w:rsidRPr="004C6EF9">
        <w:rPr>
          <w:rFonts w:asciiTheme="minorHAnsi" w:hAnsiTheme="minorHAnsi" w:cstheme="minorHAnsi"/>
          <w:sz w:val="24"/>
          <w:szCs w:val="24"/>
        </w:rPr>
        <w:t xml:space="preserve">, </w:t>
      </w:r>
      <w:r w:rsidR="009860EA" w:rsidRPr="004C6EF9">
        <w:rPr>
          <w:rFonts w:asciiTheme="minorHAnsi" w:hAnsiTheme="minorHAnsi" w:cstheme="minorHAnsi"/>
          <w:sz w:val="24"/>
          <w:szCs w:val="24"/>
        </w:rPr>
        <w:t xml:space="preserve">broad </w:t>
      </w:r>
      <w:r w:rsidRPr="004C6EF9">
        <w:rPr>
          <w:rFonts w:asciiTheme="minorHAnsi" w:hAnsiTheme="minorHAnsi" w:cstheme="minorHAnsi"/>
          <w:sz w:val="24"/>
          <w:szCs w:val="24"/>
        </w:rPr>
        <w:t>collaborat</w:t>
      </w:r>
      <w:r w:rsidR="009860EA" w:rsidRPr="004C6EF9">
        <w:rPr>
          <w:rFonts w:asciiTheme="minorHAnsi" w:hAnsiTheme="minorHAnsi" w:cstheme="minorHAnsi"/>
          <w:sz w:val="24"/>
          <w:szCs w:val="24"/>
        </w:rPr>
        <w:t>ion and strong com</w:t>
      </w:r>
      <w:r w:rsidRPr="004C6EF9">
        <w:rPr>
          <w:rFonts w:asciiTheme="minorHAnsi" w:hAnsiTheme="minorHAnsi" w:cstheme="minorHAnsi"/>
          <w:sz w:val="24"/>
          <w:szCs w:val="24"/>
        </w:rPr>
        <w:t>mit</w:t>
      </w:r>
      <w:r w:rsidR="009860EA" w:rsidRPr="004C6EF9">
        <w:rPr>
          <w:rFonts w:asciiTheme="minorHAnsi" w:hAnsiTheme="minorHAnsi" w:cstheme="minorHAnsi"/>
          <w:sz w:val="24"/>
          <w:szCs w:val="24"/>
        </w:rPr>
        <w:t xml:space="preserve">ment from both the ITU-D membership and the BDT Secretariat. </w:t>
      </w:r>
    </w:p>
    <w:p w14:paraId="51885D0C" w14:textId="79695B57" w:rsidR="003505D6" w:rsidRPr="004C6EF9" w:rsidRDefault="003505D6" w:rsidP="0011639E">
      <w:pPr>
        <w:pStyle w:val="ListParagraph"/>
        <w:keepNext/>
        <w:numPr>
          <w:ilvl w:val="0"/>
          <w:numId w:val="2"/>
        </w:numPr>
        <w:spacing w:after="120"/>
        <w:ind w:left="357" w:hanging="357"/>
        <w:contextualSpacing w:val="0"/>
        <w:rPr>
          <w:rFonts w:cstheme="minorHAnsi"/>
          <w:b/>
          <w:bCs/>
          <w:szCs w:val="24"/>
        </w:rPr>
      </w:pPr>
      <w:r w:rsidRPr="004C6EF9">
        <w:rPr>
          <w:rFonts w:cstheme="minorHAnsi"/>
          <w:b/>
          <w:bCs/>
          <w:szCs w:val="24"/>
        </w:rPr>
        <w:t>Address</w:t>
      </w:r>
      <w:r w:rsidR="00296088" w:rsidRPr="004C6EF9">
        <w:rPr>
          <w:rFonts w:cstheme="minorHAnsi"/>
          <w:b/>
          <w:bCs/>
          <w:szCs w:val="24"/>
        </w:rPr>
        <w:t xml:space="preserve"> </w:t>
      </w:r>
      <w:r w:rsidRPr="004C6EF9">
        <w:rPr>
          <w:rFonts w:cstheme="minorHAnsi"/>
          <w:b/>
          <w:bCs/>
          <w:szCs w:val="24"/>
        </w:rPr>
        <w:t>by</w:t>
      </w:r>
      <w:r w:rsidR="00296088" w:rsidRPr="004C6EF9">
        <w:rPr>
          <w:rFonts w:cstheme="minorHAnsi"/>
          <w:b/>
          <w:bCs/>
          <w:szCs w:val="24"/>
        </w:rPr>
        <w:t xml:space="preserve"> </w:t>
      </w:r>
      <w:r w:rsidRPr="004C6EF9">
        <w:rPr>
          <w:rFonts w:cstheme="minorHAnsi"/>
          <w:b/>
          <w:bCs/>
          <w:szCs w:val="24"/>
        </w:rPr>
        <w:t>other</w:t>
      </w:r>
      <w:r w:rsidR="00296088" w:rsidRPr="004C6EF9">
        <w:rPr>
          <w:rFonts w:cstheme="minorHAnsi"/>
          <w:b/>
          <w:bCs/>
          <w:szCs w:val="24"/>
        </w:rPr>
        <w:t xml:space="preserve"> </w:t>
      </w:r>
      <w:r w:rsidRPr="004C6EF9">
        <w:rPr>
          <w:rFonts w:cstheme="minorHAnsi"/>
          <w:b/>
          <w:bCs/>
          <w:szCs w:val="24"/>
        </w:rPr>
        <w:t>Elected</w:t>
      </w:r>
      <w:r w:rsidR="00296088" w:rsidRPr="004C6EF9">
        <w:rPr>
          <w:rFonts w:cstheme="minorHAnsi"/>
          <w:b/>
          <w:bCs/>
          <w:szCs w:val="24"/>
        </w:rPr>
        <w:t xml:space="preserve"> </w:t>
      </w:r>
      <w:r w:rsidRPr="004C6EF9">
        <w:rPr>
          <w:rFonts w:cstheme="minorHAnsi"/>
          <w:b/>
          <w:bCs/>
          <w:szCs w:val="24"/>
        </w:rPr>
        <w:t>Officials</w:t>
      </w:r>
      <w:r w:rsidR="00296088" w:rsidRPr="004C6EF9">
        <w:rPr>
          <w:rFonts w:cstheme="minorHAnsi"/>
          <w:b/>
          <w:bCs/>
          <w:szCs w:val="24"/>
        </w:rPr>
        <w:t xml:space="preserve"> </w:t>
      </w:r>
    </w:p>
    <w:p w14:paraId="4A5FECDE" w14:textId="6704F83D" w:rsidR="00CB36FE" w:rsidRPr="004C6EF9" w:rsidRDefault="00F871AF" w:rsidP="00F871AF">
      <w:pPr>
        <w:pStyle w:val="PlainText"/>
        <w:spacing w:before="120" w:after="120"/>
        <w:rPr>
          <w:rFonts w:asciiTheme="minorHAnsi" w:hAnsiTheme="minorHAnsi" w:cstheme="minorHAnsi"/>
          <w:sz w:val="24"/>
          <w:szCs w:val="24"/>
          <w:shd w:val="clear" w:color="auto" w:fill="FFFFFF"/>
        </w:rPr>
      </w:pPr>
      <w:r w:rsidRPr="004C6EF9">
        <w:rPr>
          <w:rFonts w:asciiTheme="minorHAnsi" w:hAnsiTheme="minorHAnsi" w:cstheme="minorHAnsi"/>
          <w:b/>
          <w:sz w:val="24"/>
          <w:szCs w:val="24"/>
        </w:rPr>
        <w:t xml:space="preserve">Mr </w:t>
      </w:r>
      <w:r w:rsidRPr="004C6EF9">
        <w:rPr>
          <w:rFonts w:asciiTheme="minorHAnsi" w:hAnsiTheme="minorHAnsi" w:cstheme="minorHAnsi"/>
          <w:b/>
          <w:sz w:val="24"/>
          <w:szCs w:val="24"/>
          <w:shd w:val="clear" w:color="auto" w:fill="FFFFFF"/>
        </w:rPr>
        <w:t xml:space="preserve">Mario Maniewicz, Director of the ITU Radiocommunication Bureau </w:t>
      </w:r>
      <w:r w:rsidRPr="004C6EF9">
        <w:rPr>
          <w:rFonts w:asciiTheme="minorHAnsi" w:hAnsiTheme="minorHAnsi" w:cstheme="minorHAnsi"/>
          <w:b/>
          <w:bCs/>
          <w:sz w:val="24"/>
          <w:szCs w:val="24"/>
          <w:shd w:val="clear" w:color="auto" w:fill="FFFFFF"/>
        </w:rPr>
        <w:t>(</w:t>
      </w:r>
      <w:r w:rsidRPr="004C6EF9">
        <w:rPr>
          <w:rFonts w:asciiTheme="minorHAnsi" w:hAnsiTheme="minorHAnsi" w:cstheme="minorHAnsi"/>
          <w:b/>
          <w:bCs/>
          <w:sz w:val="24"/>
          <w:szCs w:val="24"/>
        </w:rPr>
        <w:t>BR)</w:t>
      </w:r>
      <w:r w:rsidRPr="004C6EF9">
        <w:rPr>
          <w:rFonts w:asciiTheme="minorHAnsi" w:hAnsiTheme="minorHAnsi" w:cstheme="minorHAnsi"/>
          <w:sz w:val="24"/>
          <w:szCs w:val="24"/>
          <w:shd w:val="clear" w:color="auto" w:fill="FFFFFF"/>
        </w:rPr>
        <w:t>, reminded participants that COVID has shown that connectivity is key for all people to have access to the digital world</w:t>
      </w:r>
      <w:r w:rsidR="00264939" w:rsidRPr="004C6EF9">
        <w:rPr>
          <w:rFonts w:asciiTheme="minorHAnsi" w:hAnsiTheme="minorHAnsi" w:cstheme="minorHAnsi"/>
          <w:sz w:val="24"/>
          <w:szCs w:val="24"/>
          <w:shd w:val="clear" w:color="auto" w:fill="FFFFFF"/>
        </w:rPr>
        <w:t xml:space="preserve"> and ITU </w:t>
      </w:r>
      <w:r w:rsidR="00E4206D" w:rsidRPr="004C6EF9">
        <w:rPr>
          <w:rFonts w:asciiTheme="minorHAnsi" w:hAnsiTheme="minorHAnsi" w:cstheme="minorHAnsi"/>
          <w:sz w:val="24"/>
          <w:szCs w:val="24"/>
          <w:shd w:val="clear" w:color="auto" w:fill="FFFFFF"/>
        </w:rPr>
        <w:t xml:space="preserve">Bureaux </w:t>
      </w:r>
      <w:r w:rsidR="00264939" w:rsidRPr="004C6EF9">
        <w:rPr>
          <w:rFonts w:asciiTheme="minorHAnsi" w:hAnsiTheme="minorHAnsi" w:cstheme="minorHAnsi"/>
          <w:sz w:val="24"/>
          <w:szCs w:val="24"/>
          <w:shd w:val="clear" w:color="auto" w:fill="FFFFFF"/>
        </w:rPr>
        <w:t xml:space="preserve">shall </w:t>
      </w:r>
      <w:r w:rsidRPr="004C6EF9">
        <w:rPr>
          <w:rFonts w:asciiTheme="minorHAnsi" w:hAnsiTheme="minorHAnsi" w:cstheme="minorHAnsi"/>
          <w:sz w:val="24"/>
          <w:szCs w:val="24"/>
          <w:shd w:val="clear" w:color="auto" w:fill="FFFFFF"/>
        </w:rPr>
        <w:t xml:space="preserve">continue to </w:t>
      </w:r>
      <w:r w:rsidR="00E82EB5" w:rsidRPr="004C6EF9">
        <w:rPr>
          <w:rFonts w:asciiTheme="minorHAnsi" w:hAnsiTheme="minorHAnsi" w:cstheme="minorHAnsi"/>
          <w:sz w:val="24"/>
          <w:szCs w:val="24"/>
          <w:shd w:val="clear" w:color="auto" w:fill="FFFFFF"/>
        </w:rPr>
        <w:t>leverage</w:t>
      </w:r>
      <w:r w:rsidRPr="004C6EF9">
        <w:rPr>
          <w:rFonts w:asciiTheme="minorHAnsi" w:hAnsiTheme="minorHAnsi" w:cstheme="minorHAnsi"/>
          <w:sz w:val="24"/>
          <w:szCs w:val="24"/>
          <w:shd w:val="clear" w:color="auto" w:fill="FFFFFF"/>
        </w:rPr>
        <w:t xml:space="preserve"> synergies </w:t>
      </w:r>
      <w:r w:rsidR="00264939" w:rsidRPr="004C6EF9">
        <w:rPr>
          <w:rFonts w:asciiTheme="minorHAnsi" w:hAnsiTheme="minorHAnsi" w:cstheme="minorHAnsi"/>
          <w:sz w:val="24"/>
          <w:szCs w:val="24"/>
          <w:shd w:val="clear" w:color="auto" w:fill="FFFFFF"/>
        </w:rPr>
        <w:t>across the board to</w:t>
      </w:r>
      <w:r w:rsidR="0096439F" w:rsidRPr="004C6EF9">
        <w:rPr>
          <w:rFonts w:asciiTheme="minorHAnsi" w:hAnsiTheme="minorHAnsi" w:cstheme="minorHAnsi"/>
          <w:sz w:val="24"/>
          <w:szCs w:val="24"/>
          <w:shd w:val="clear" w:color="auto" w:fill="FFFFFF"/>
        </w:rPr>
        <w:t>wards connecting the unconnected</w:t>
      </w:r>
      <w:r w:rsidRPr="004C6EF9">
        <w:rPr>
          <w:rFonts w:asciiTheme="minorHAnsi" w:hAnsiTheme="minorHAnsi" w:cstheme="minorHAnsi"/>
          <w:sz w:val="24"/>
          <w:szCs w:val="24"/>
          <w:shd w:val="clear" w:color="auto" w:fill="FFFFFF"/>
        </w:rPr>
        <w:t>.</w:t>
      </w:r>
      <w:r w:rsidR="00E82EB5" w:rsidRPr="004C6EF9">
        <w:rPr>
          <w:rFonts w:asciiTheme="minorHAnsi" w:hAnsiTheme="minorHAnsi" w:cstheme="minorHAnsi"/>
          <w:sz w:val="24"/>
          <w:szCs w:val="24"/>
          <w:shd w:val="clear" w:color="auto" w:fill="FFFFFF"/>
        </w:rPr>
        <w:t xml:space="preserve"> The</w:t>
      </w:r>
      <w:r w:rsidRPr="004C6EF9">
        <w:rPr>
          <w:rFonts w:asciiTheme="minorHAnsi" w:hAnsiTheme="minorHAnsi" w:cstheme="minorHAnsi"/>
          <w:sz w:val="24"/>
          <w:szCs w:val="24"/>
          <w:shd w:val="clear" w:color="auto" w:fill="FFFFFF"/>
        </w:rPr>
        <w:t xml:space="preserve"> </w:t>
      </w:r>
      <w:r w:rsidRPr="004C6EF9">
        <w:rPr>
          <w:rFonts w:asciiTheme="minorHAnsi" w:hAnsiTheme="minorHAnsi" w:cstheme="minorHAnsi"/>
          <w:bCs/>
          <w:sz w:val="24"/>
          <w:szCs w:val="24"/>
          <w:shd w:val="clear" w:color="auto" w:fill="FFFFFF"/>
        </w:rPr>
        <w:t>Radiocommunication Bureau</w:t>
      </w:r>
      <w:r w:rsidRPr="004C6EF9">
        <w:rPr>
          <w:rFonts w:asciiTheme="minorHAnsi" w:hAnsiTheme="minorHAnsi" w:cstheme="minorHAnsi"/>
          <w:sz w:val="24"/>
          <w:szCs w:val="24"/>
        </w:rPr>
        <w:t xml:space="preserve"> </w:t>
      </w:r>
      <w:r w:rsidRPr="004C6EF9">
        <w:rPr>
          <w:rFonts w:asciiTheme="minorHAnsi" w:hAnsiTheme="minorHAnsi" w:cstheme="minorHAnsi"/>
          <w:sz w:val="24"/>
          <w:szCs w:val="24"/>
          <w:shd w:val="clear" w:color="auto" w:fill="FFFFFF"/>
        </w:rPr>
        <w:t xml:space="preserve">and </w:t>
      </w:r>
      <w:r w:rsidR="0024795C" w:rsidRPr="004C6EF9">
        <w:rPr>
          <w:rFonts w:asciiTheme="minorHAnsi" w:hAnsiTheme="minorHAnsi" w:cstheme="minorHAnsi"/>
          <w:sz w:val="24"/>
          <w:szCs w:val="24"/>
          <w:shd w:val="clear" w:color="auto" w:fill="FFFFFF"/>
        </w:rPr>
        <w:t xml:space="preserve">the </w:t>
      </w:r>
      <w:r w:rsidRPr="004C6EF9">
        <w:rPr>
          <w:rFonts w:asciiTheme="minorHAnsi" w:hAnsiTheme="minorHAnsi" w:cstheme="minorHAnsi"/>
          <w:sz w:val="24"/>
          <w:szCs w:val="24"/>
          <w:shd w:val="clear" w:color="auto" w:fill="FFFFFF"/>
        </w:rPr>
        <w:t>Development Bureau</w:t>
      </w:r>
      <w:r w:rsidR="0096439F" w:rsidRPr="004C6EF9">
        <w:rPr>
          <w:rFonts w:asciiTheme="minorHAnsi" w:hAnsiTheme="minorHAnsi" w:cstheme="minorHAnsi"/>
          <w:sz w:val="24"/>
          <w:szCs w:val="24"/>
          <w:shd w:val="clear" w:color="auto" w:fill="FFFFFF"/>
        </w:rPr>
        <w:t xml:space="preserve"> </w:t>
      </w:r>
      <w:r w:rsidRPr="004C6EF9">
        <w:rPr>
          <w:rFonts w:asciiTheme="minorHAnsi" w:hAnsiTheme="minorHAnsi" w:cstheme="minorHAnsi"/>
          <w:sz w:val="24"/>
          <w:szCs w:val="24"/>
          <w:shd w:val="clear" w:color="auto" w:fill="FFFFFF"/>
        </w:rPr>
        <w:t xml:space="preserve">have been working together to support </w:t>
      </w:r>
      <w:r w:rsidR="00CB36FE" w:rsidRPr="004C6EF9">
        <w:rPr>
          <w:rFonts w:asciiTheme="minorHAnsi" w:hAnsiTheme="minorHAnsi" w:cstheme="minorHAnsi"/>
          <w:sz w:val="24"/>
          <w:szCs w:val="24"/>
          <w:shd w:val="clear" w:color="auto" w:fill="FFFFFF"/>
        </w:rPr>
        <w:t xml:space="preserve">ITU Member States </w:t>
      </w:r>
      <w:r w:rsidR="00264939" w:rsidRPr="004C6EF9">
        <w:rPr>
          <w:rFonts w:asciiTheme="minorHAnsi" w:hAnsiTheme="minorHAnsi" w:cstheme="minorHAnsi"/>
          <w:sz w:val="24"/>
          <w:szCs w:val="24"/>
          <w:shd w:val="clear" w:color="auto" w:fill="FFFFFF"/>
        </w:rPr>
        <w:t>in the area of</w:t>
      </w:r>
      <w:r w:rsidR="00CB36FE" w:rsidRPr="004C6EF9">
        <w:rPr>
          <w:rFonts w:asciiTheme="minorHAnsi" w:hAnsiTheme="minorHAnsi" w:cstheme="minorHAnsi"/>
          <w:sz w:val="24"/>
          <w:szCs w:val="24"/>
          <w:shd w:val="clear" w:color="auto" w:fill="FFFFFF"/>
        </w:rPr>
        <w:t xml:space="preserve"> spectrum management </w:t>
      </w:r>
      <w:r w:rsidRPr="004C6EF9">
        <w:rPr>
          <w:rFonts w:asciiTheme="minorHAnsi" w:hAnsiTheme="minorHAnsi" w:cstheme="minorHAnsi"/>
          <w:sz w:val="24"/>
          <w:szCs w:val="24"/>
          <w:shd w:val="clear" w:color="auto" w:fill="FFFFFF"/>
        </w:rPr>
        <w:t xml:space="preserve">through </w:t>
      </w:r>
      <w:r w:rsidR="00E82EB5" w:rsidRPr="004C6EF9">
        <w:rPr>
          <w:rFonts w:asciiTheme="minorHAnsi" w:hAnsiTheme="minorHAnsi" w:cstheme="minorHAnsi"/>
          <w:sz w:val="24"/>
          <w:szCs w:val="24"/>
          <w:shd w:val="clear" w:color="auto" w:fill="FFFFFF"/>
        </w:rPr>
        <w:t xml:space="preserve">concrete </w:t>
      </w:r>
      <w:r w:rsidRPr="004C6EF9">
        <w:rPr>
          <w:rFonts w:asciiTheme="minorHAnsi" w:hAnsiTheme="minorHAnsi" w:cstheme="minorHAnsi"/>
          <w:sz w:val="24"/>
          <w:szCs w:val="24"/>
          <w:shd w:val="clear" w:color="auto" w:fill="FFFFFF"/>
        </w:rPr>
        <w:t>projects</w:t>
      </w:r>
      <w:r w:rsidR="00E82EB5" w:rsidRPr="004C6EF9">
        <w:rPr>
          <w:rFonts w:asciiTheme="minorHAnsi" w:hAnsiTheme="minorHAnsi" w:cstheme="minorHAnsi"/>
          <w:sz w:val="24"/>
          <w:szCs w:val="24"/>
          <w:shd w:val="clear" w:color="auto" w:fill="FFFFFF"/>
        </w:rPr>
        <w:t xml:space="preserve"> and initiatives</w:t>
      </w:r>
      <w:r w:rsidRPr="004C6EF9">
        <w:rPr>
          <w:rFonts w:asciiTheme="minorHAnsi" w:hAnsiTheme="minorHAnsi" w:cstheme="minorHAnsi"/>
          <w:sz w:val="24"/>
          <w:szCs w:val="24"/>
          <w:shd w:val="clear" w:color="auto" w:fill="FFFFFF"/>
        </w:rPr>
        <w:t xml:space="preserve"> such as PRIDA, REG4COVID and the Economic Experts Roundtable</w:t>
      </w:r>
      <w:r w:rsidR="0024795C" w:rsidRPr="004C6EF9">
        <w:rPr>
          <w:rFonts w:asciiTheme="minorHAnsi" w:hAnsiTheme="minorHAnsi" w:cstheme="minorHAnsi"/>
          <w:sz w:val="24"/>
          <w:szCs w:val="24"/>
          <w:shd w:val="clear" w:color="auto" w:fill="FFFFFF"/>
        </w:rPr>
        <w:t>s</w:t>
      </w:r>
      <w:r w:rsidRPr="004C6EF9">
        <w:rPr>
          <w:rFonts w:asciiTheme="minorHAnsi" w:hAnsiTheme="minorHAnsi" w:cstheme="minorHAnsi"/>
          <w:sz w:val="24"/>
          <w:szCs w:val="24"/>
          <w:shd w:val="clear" w:color="auto" w:fill="FFFFFF"/>
        </w:rPr>
        <w:t xml:space="preserve">. </w:t>
      </w:r>
      <w:r w:rsidR="00CB36FE" w:rsidRPr="004C6EF9">
        <w:rPr>
          <w:rFonts w:asciiTheme="minorHAnsi" w:hAnsiTheme="minorHAnsi" w:cstheme="minorHAnsi"/>
          <w:sz w:val="24"/>
          <w:szCs w:val="24"/>
          <w:shd w:val="clear" w:color="auto" w:fill="FFFFFF"/>
        </w:rPr>
        <w:t xml:space="preserve">As the </w:t>
      </w:r>
      <w:r w:rsidR="00264939" w:rsidRPr="004C6EF9">
        <w:rPr>
          <w:rFonts w:asciiTheme="minorHAnsi" w:hAnsiTheme="minorHAnsi" w:cstheme="minorHAnsi"/>
          <w:sz w:val="24"/>
          <w:szCs w:val="24"/>
          <w:shd w:val="clear" w:color="auto" w:fill="FFFFFF"/>
        </w:rPr>
        <w:t xml:space="preserve">ITU </w:t>
      </w:r>
      <w:r w:rsidR="00CB36FE" w:rsidRPr="004C6EF9">
        <w:rPr>
          <w:rFonts w:asciiTheme="minorHAnsi" w:hAnsiTheme="minorHAnsi" w:cstheme="minorHAnsi"/>
          <w:sz w:val="24"/>
          <w:szCs w:val="24"/>
          <w:shd w:val="clear" w:color="auto" w:fill="FFFFFF"/>
        </w:rPr>
        <w:t>Secretariat L</w:t>
      </w:r>
      <w:proofErr w:type="spellStart"/>
      <w:r w:rsidR="00CB36FE" w:rsidRPr="004C6EF9">
        <w:rPr>
          <w:rFonts w:asciiTheme="minorHAnsi" w:hAnsiTheme="minorHAnsi" w:cstheme="minorHAnsi"/>
          <w:sz w:val="24"/>
          <w:szCs w:val="24"/>
          <w:shd w:val="clear" w:color="auto" w:fill="FFFFFF"/>
          <w:lang w:val="en-US"/>
        </w:rPr>
        <w:t>ead</w:t>
      </w:r>
      <w:proofErr w:type="spellEnd"/>
      <w:r w:rsidR="00CB36FE" w:rsidRPr="004C6EF9">
        <w:rPr>
          <w:rFonts w:asciiTheme="minorHAnsi" w:hAnsiTheme="minorHAnsi" w:cstheme="minorHAnsi"/>
          <w:sz w:val="24"/>
          <w:szCs w:val="24"/>
          <w:shd w:val="clear" w:color="auto" w:fill="FFFFFF"/>
          <w:lang w:val="en-US"/>
        </w:rPr>
        <w:t xml:space="preserve"> on supporting the Council Working Group on Strategic and Financial Plans</w:t>
      </w:r>
      <w:r w:rsidR="00264939" w:rsidRPr="004C6EF9">
        <w:rPr>
          <w:rFonts w:asciiTheme="minorHAnsi" w:hAnsiTheme="minorHAnsi" w:cstheme="minorHAnsi"/>
          <w:sz w:val="24"/>
          <w:szCs w:val="24"/>
          <w:shd w:val="clear" w:color="auto" w:fill="FFFFFF"/>
          <w:lang w:val="en-US"/>
        </w:rPr>
        <w:t xml:space="preserve"> (CWG-SFP)</w:t>
      </w:r>
      <w:r w:rsidR="00CB36FE" w:rsidRPr="004C6EF9">
        <w:rPr>
          <w:rFonts w:asciiTheme="minorHAnsi" w:hAnsiTheme="minorHAnsi" w:cstheme="minorHAnsi"/>
          <w:sz w:val="24"/>
          <w:szCs w:val="24"/>
          <w:shd w:val="clear" w:color="auto" w:fill="FFFFFF"/>
          <w:lang w:val="en-US"/>
        </w:rPr>
        <w:t xml:space="preserve"> and the development of the draft ITU </w:t>
      </w:r>
      <w:r w:rsidR="00671A82" w:rsidRPr="004C6EF9">
        <w:rPr>
          <w:rFonts w:asciiTheme="minorHAnsi" w:hAnsiTheme="minorHAnsi" w:cstheme="minorHAnsi"/>
          <w:sz w:val="24"/>
          <w:szCs w:val="24"/>
          <w:shd w:val="clear" w:color="auto" w:fill="FFFFFF"/>
          <w:lang w:val="en-US"/>
        </w:rPr>
        <w:t>S</w:t>
      </w:r>
      <w:r w:rsidR="00CB36FE" w:rsidRPr="004C6EF9">
        <w:rPr>
          <w:rFonts w:asciiTheme="minorHAnsi" w:hAnsiTheme="minorHAnsi" w:cstheme="minorHAnsi"/>
          <w:sz w:val="24"/>
          <w:szCs w:val="24"/>
          <w:shd w:val="clear" w:color="auto" w:fill="FFFFFF"/>
          <w:lang w:val="en-US"/>
        </w:rPr>
        <w:t xml:space="preserve">trategic </w:t>
      </w:r>
      <w:r w:rsidR="00671A82" w:rsidRPr="004C6EF9">
        <w:rPr>
          <w:rFonts w:asciiTheme="minorHAnsi" w:hAnsiTheme="minorHAnsi" w:cstheme="minorHAnsi"/>
          <w:sz w:val="24"/>
          <w:szCs w:val="24"/>
          <w:shd w:val="clear" w:color="auto" w:fill="FFFFFF"/>
          <w:lang w:val="en-US"/>
        </w:rPr>
        <w:t>P</w:t>
      </w:r>
      <w:r w:rsidR="00CB36FE" w:rsidRPr="004C6EF9">
        <w:rPr>
          <w:rFonts w:asciiTheme="minorHAnsi" w:hAnsiTheme="minorHAnsi" w:cstheme="minorHAnsi"/>
          <w:sz w:val="24"/>
          <w:szCs w:val="24"/>
          <w:shd w:val="clear" w:color="auto" w:fill="FFFFFF"/>
          <w:lang w:val="en-US"/>
        </w:rPr>
        <w:t>lan for 2024</w:t>
      </w:r>
      <w:r w:rsidR="00CB36FE" w:rsidRPr="004C6EF9">
        <w:rPr>
          <w:rFonts w:asciiTheme="minorHAnsi" w:hAnsiTheme="minorHAnsi" w:cstheme="minorHAnsi"/>
          <w:sz w:val="24"/>
          <w:szCs w:val="24"/>
          <w:shd w:val="clear" w:color="auto" w:fill="FFFFFF"/>
          <w:lang w:val="en-US"/>
        </w:rPr>
        <w:noBreakHyphen/>
        <w:t xml:space="preserve">2027, </w:t>
      </w:r>
      <w:proofErr w:type="spellStart"/>
      <w:r w:rsidR="00CB36FE" w:rsidRPr="004C6EF9">
        <w:rPr>
          <w:rFonts w:asciiTheme="minorHAnsi" w:hAnsiTheme="minorHAnsi" w:cstheme="minorHAnsi"/>
          <w:sz w:val="24"/>
          <w:szCs w:val="24"/>
          <w:shd w:val="clear" w:color="auto" w:fill="FFFFFF"/>
          <w:lang w:val="en-US"/>
        </w:rPr>
        <w:t>Mr</w:t>
      </w:r>
      <w:proofErr w:type="spellEnd"/>
      <w:r w:rsidR="005A4179">
        <w:rPr>
          <w:rFonts w:asciiTheme="minorHAnsi" w:hAnsiTheme="minorHAnsi" w:cstheme="minorHAnsi"/>
          <w:sz w:val="24"/>
          <w:szCs w:val="24"/>
          <w:shd w:val="clear" w:color="auto" w:fill="FFFFFF"/>
          <w:lang w:val="en-US"/>
        </w:rPr>
        <w:t> </w:t>
      </w:r>
      <w:proofErr w:type="spellStart"/>
      <w:r w:rsidR="00975BB5" w:rsidRPr="004C6EF9">
        <w:rPr>
          <w:rFonts w:asciiTheme="minorHAnsi" w:hAnsiTheme="minorHAnsi" w:cstheme="minorHAnsi"/>
          <w:sz w:val="24"/>
          <w:szCs w:val="24"/>
          <w:shd w:val="clear" w:color="auto" w:fill="FFFFFF"/>
          <w:lang w:val="en-US"/>
        </w:rPr>
        <w:t>M</w:t>
      </w:r>
      <w:r w:rsidR="00CB36FE" w:rsidRPr="004C6EF9">
        <w:rPr>
          <w:rFonts w:asciiTheme="minorHAnsi" w:hAnsiTheme="minorHAnsi" w:cstheme="minorHAnsi"/>
          <w:sz w:val="24"/>
          <w:szCs w:val="24"/>
          <w:shd w:val="clear" w:color="auto" w:fill="FFFFFF"/>
          <w:lang w:val="en-US"/>
        </w:rPr>
        <w:t>aniewicz</w:t>
      </w:r>
      <w:proofErr w:type="spellEnd"/>
      <w:r w:rsidR="00CB36FE" w:rsidRPr="004C6EF9">
        <w:rPr>
          <w:rFonts w:asciiTheme="minorHAnsi" w:hAnsiTheme="minorHAnsi" w:cstheme="minorHAnsi"/>
          <w:sz w:val="24"/>
          <w:szCs w:val="24"/>
          <w:shd w:val="clear" w:color="auto" w:fill="FFFFFF"/>
          <w:lang w:val="en-US"/>
        </w:rPr>
        <w:t xml:space="preserve"> </w:t>
      </w:r>
      <w:r w:rsidR="0096439F" w:rsidRPr="004C6EF9">
        <w:rPr>
          <w:rFonts w:asciiTheme="minorHAnsi" w:hAnsiTheme="minorHAnsi" w:cstheme="minorHAnsi"/>
          <w:sz w:val="24"/>
          <w:szCs w:val="24"/>
          <w:shd w:val="clear" w:color="auto" w:fill="FFFFFF"/>
          <w:lang w:val="en-US"/>
        </w:rPr>
        <w:t>expressed his anticipation</w:t>
      </w:r>
      <w:r w:rsidR="00CB36FE" w:rsidRPr="004C6EF9">
        <w:rPr>
          <w:rFonts w:asciiTheme="minorHAnsi" w:hAnsiTheme="minorHAnsi" w:cstheme="minorHAnsi"/>
          <w:sz w:val="24"/>
          <w:szCs w:val="24"/>
          <w:shd w:val="clear" w:color="auto" w:fill="FFFFFF"/>
          <w:lang w:val="en-US"/>
        </w:rPr>
        <w:t xml:space="preserve"> </w:t>
      </w:r>
      <w:r w:rsidR="0096439F" w:rsidRPr="004C6EF9">
        <w:rPr>
          <w:rFonts w:asciiTheme="minorHAnsi" w:hAnsiTheme="minorHAnsi" w:cstheme="minorHAnsi"/>
          <w:sz w:val="24"/>
          <w:szCs w:val="24"/>
          <w:shd w:val="clear" w:color="auto" w:fill="FFFFFF"/>
          <w:lang w:val="en-US"/>
        </w:rPr>
        <w:t>for</w:t>
      </w:r>
      <w:r w:rsidR="00CB36FE" w:rsidRPr="004C6EF9">
        <w:rPr>
          <w:rFonts w:asciiTheme="minorHAnsi" w:hAnsiTheme="minorHAnsi" w:cstheme="minorHAnsi"/>
          <w:sz w:val="24"/>
          <w:szCs w:val="24"/>
          <w:shd w:val="clear" w:color="auto" w:fill="FFFFFF"/>
          <w:lang w:val="en-US"/>
        </w:rPr>
        <w:t xml:space="preserve"> receiving </w:t>
      </w:r>
      <w:r w:rsidR="00671A82" w:rsidRPr="004C6EF9">
        <w:rPr>
          <w:rFonts w:asciiTheme="minorHAnsi" w:hAnsiTheme="minorHAnsi" w:cstheme="minorHAnsi"/>
          <w:sz w:val="24"/>
          <w:szCs w:val="24"/>
          <w:shd w:val="clear" w:color="auto" w:fill="FFFFFF"/>
          <w:lang w:val="en-US"/>
        </w:rPr>
        <w:t xml:space="preserve">the </w:t>
      </w:r>
      <w:r w:rsidR="00CB36FE" w:rsidRPr="004C6EF9">
        <w:rPr>
          <w:rFonts w:asciiTheme="minorHAnsi" w:hAnsiTheme="minorHAnsi" w:cstheme="minorHAnsi"/>
          <w:sz w:val="24"/>
          <w:szCs w:val="24"/>
          <w:shd w:val="clear" w:color="auto" w:fill="FFFFFF"/>
          <w:lang w:val="en-US"/>
        </w:rPr>
        <w:t>ITU</w:t>
      </w:r>
      <w:r w:rsidR="00CB36FE" w:rsidRPr="004C6EF9">
        <w:rPr>
          <w:rFonts w:asciiTheme="minorHAnsi" w:hAnsiTheme="minorHAnsi" w:cstheme="minorHAnsi"/>
          <w:sz w:val="24"/>
          <w:szCs w:val="24"/>
          <w:shd w:val="clear" w:color="auto" w:fill="FFFFFF"/>
          <w:lang w:val="en-US"/>
        </w:rPr>
        <w:noBreakHyphen/>
        <w:t xml:space="preserve">D contribution to the new strategic plan as well as </w:t>
      </w:r>
      <w:r w:rsidR="00975BB5" w:rsidRPr="004C6EF9">
        <w:rPr>
          <w:rFonts w:asciiTheme="minorHAnsi" w:hAnsiTheme="minorHAnsi" w:cstheme="minorHAnsi"/>
          <w:sz w:val="24"/>
          <w:szCs w:val="24"/>
          <w:shd w:val="clear" w:color="auto" w:fill="FFFFFF"/>
          <w:lang w:val="en-US"/>
        </w:rPr>
        <w:t>Member States</w:t>
      </w:r>
      <w:r w:rsidR="002203E2">
        <w:rPr>
          <w:rFonts w:asciiTheme="minorHAnsi" w:hAnsiTheme="minorHAnsi" w:cstheme="minorHAnsi"/>
          <w:sz w:val="24"/>
          <w:szCs w:val="24"/>
          <w:shd w:val="clear" w:color="auto" w:fill="FFFFFF"/>
          <w:lang w:val="en-US"/>
        </w:rPr>
        <w:t>’</w:t>
      </w:r>
      <w:r w:rsidR="00CB36FE" w:rsidRPr="004C6EF9">
        <w:rPr>
          <w:rFonts w:asciiTheme="minorHAnsi" w:hAnsiTheme="minorHAnsi" w:cstheme="minorHAnsi"/>
          <w:sz w:val="24"/>
          <w:szCs w:val="24"/>
          <w:shd w:val="clear" w:color="auto" w:fill="FFFFFF"/>
          <w:lang w:val="en-US"/>
        </w:rPr>
        <w:t xml:space="preserve"> recommendations for the draft operational plan </w:t>
      </w:r>
      <w:r w:rsidR="00975BB5" w:rsidRPr="004C6EF9">
        <w:rPr>
          <w:rFonts w:asciiTheme="minorHAnsi" w:hAnsiTheme="minorHAnsi" w:cstheme="minorHAnsi"/>
          <w:sz w:val="24"/>
          <w:szCs w:val="24"/>
          <w:shd w:val="clear" w:color="auto" w:fill="FFFFFF"/>
          <w:lang w:val="en-US"/>
        </w:rPr>
        <w:t>in</w:t>
      </w:r>
      <w:r w:rsidR="00CB36FE" w:rsidRPr="004C6EF9">
        <w:rPr>
          <w:rFonts w:asciiTheme="minorHAnsi" w:hAnsiTheme="minorHAnsi" w:cstheme="minorHAnsi"/>
          <w:sz w:val="24"/>
          <w:szCs w:val="24"/>
          <w:shd w:val="clear" w:color="auto" w:fill="FFFFFF"/>
          <w:lang w:val="en-US"/>
        </w:rPr>
        <w:t xml:space="preserve"> developing a</w:t>
      </w:r>
      <w:r w:rsidR="00975BB5" w:rsidRPr="004C6EF9">
        <w:rPr>
          <w:rFonts w:asciiTheme="minorHAnsi" w:hAnsiTheme="minorHAnsi" w:cstheme="minorHAnsi"/>
          <w:sz w:val="24"/>
          <w:szCs w:val="24"/>
          <w:shd w:val="clear" w:color="auto" w:fill="FFFFFF"/>
          <w:lang w:val="en-US"/>
        </w:rPr>
        <w:t>n</w:t>
      </w:r>
      <w:r w:rsidR="00CB36FE" w:rsidRPr="004C6EF9">
        <w:rPr>
          <w:rFonts w:asciiTheme="minorHAnsi" w:hAnsiTheme="minorHAnsi" w:cstheme="minorHAnsi"/>
          <w:sz w:val="24"/>
          <w:szCs w:val="24"/>
          <w:shd w:val="clear" w:color="auto" w:fill="FFFFFF"/>
          <w:lang w:val="en-US"/>
        </w:rPr>
        <w:t xml:space="preserve"> overarching plan for the Union</w:t>
      </w:r>
      <w:r w:rsidR="00975BB5" w:rsidRPr="004C6EF9">
        <w:rPr>
          <w:rFonts w:asciiTheme="minorHAnsi" w:hAnsiTheme="minorHAnsi" w:cstheme="minorHAnsi"/>
          <w:sz w:val="24"/>
          <w:szCs w:val="24"/>
          <w:shd w:val="clear" w:color="auto" w:fill="FFFFFF"/>
          <w:lang w:val="en-US"/>
        </w:rPr>
        <w:t xml:space="preserve"> towards </w:t>
      </w:r>
      <w:r w:rsidR="00CB36FE" w:rsidRPr="004C6EF9">
        <w:rPr>
          <w:rFonts w:asciiTheme="minorHAnsi" w:hAnsiTheme="minorHAnsi" w:cstheme="minorHAnsi"/>
          <w:sz w:val="24"/>
          <w:szCs w:val="24"/>
          <w:shd w:val="clear" w:color="auto" w:fill="FFFFFF"/>
          <w:lang w:val="en-US"/>
        </w:rPr>
        <w:t>shap</w:t>
      </w:r>
      <w:r w:rsidR="00975BB5" w:rsidRPr="004C6EF9">
        <w:rPr>
          <w:rFonts w:asciiTheme="minorHAnsi" w:hAnsiTheme="minorHAnsi" w:cstheme="minorHAnsi"/>
          <w:sz w:val="24"/>
          <w:szCs w:val="24"/>
          <w:shd w:val="clear" w:color="auto" w:fill="FFFFFF"/>
          <w:lang w:val="en-US"/>
        </w:rPr>
        <w:t>ing</w:t>
      </w:r>
      <w:r w:rsidR="00CB36FE" w:rsidRPr="004C6EF9">
        <w:rPr>
          <w:rFonts w:asciiTheme="minorHAnsi" w:hAnsiTheme="minorHAnsi" w:cstheme="minorHAnsi"/>
          <w:sz w:val="24"/>
          <w:szCs w:val="24"/>
          <w:shd w:val="clear" w:color="auto" w:fill="FFFFFF"/>
          <w:lang w:val="en-US"/>
        </w:rPr>
        <w:t xml:space="preserve"> a more united and fit</w:t>
      </w:r>
      <w:r w:rsidR="00CB36FE" w:rsidRPr="004C6EF9">
        <w:rPr>
          <w:rFonts w:asciiTheme="minorHAnsi" w:hAnsiTheme="minorHAnsi" w:cstheme="minorHAnsi"/>
          <w:sz w:val="24"/>
          <w:szCs w:val="24"/>
          <w:shd w:val="clear" w:color="auto" w:fill="FFFFFF"/>
          <w:lang w:val="en-US"/>
        </w:rPr>
        <w:noBreakHyphen/>
        <w:t>for</w:t>
      </w:r>
      <w:r w:rsidR="00CB36FE" w:rsidRPr="004C6EF9">
        <w:rPr>
          <w:rFonts w:asciiTheme="minorHAnsi" w:hAnsiTheme="minorHAnsi" w:cstheme="minorHAnsi"/>
          <w:sz w:val="24"/>
          <w:szCs w:val="24"/>
          <w:shd w:val="clear" w:color="auto" w:fill="FFFFFF"/>
          <w:lang w:val="en-US"/>
        </w:rPr>
        <w:noBreakHyphen/>
        <w:t>purpose organization</w:t>
      </w:r>
      <w:r w:rsidR="00975BB5" w:rsidRPr="004C6EF9">
        <w:rPr>
          <w:rFonts w:asciiTheme="minorHAnsi" w:hAnsiTheme="minorHAnsi" w:cstheme="minorHAnsi"/>
          <w:sz w:val="24"/>
          <w:szCs w:val="24"/>
          <w:shd w:val="clear" w:color="auto" w:fill="FFFFFF"/>
          <w:lang w:val="en-US"/>
        </w:rPr>
        <w:t>.</w:t>
      </w:r>
    </w:p>
    <w:p w14:paraId="6E8A3D0C" w14:textId="08076012" w:rsidR="00F871AF" w:rsidRPr="004C6EF9" w:rsidRDefault="00F871AF" w:rsidP="00F871AF">
      <w:pPr>
        <w:pStyle w:val="PlainText"/>
        <w:spacing w:before="120" w:after="120"/>
        <w:rPr>
          <w:rFonts w:asciiTheme="minorHAnsi" w:hAnsiTheme="minorHAnsi" w:cstheme="minorHAnsi"/>
          <w:sz w:val="24"/>
          <w:szCs w:val="24"/>
        </w:rPr>
      </w:pPr>
      <w:r w:rsidRPr="004C6EF9">
        <w:rPr>
          <w:rFonts w:asciiTheme="minorHAnsi" w:hAnsiTheme="minorHAnsi" w:cstheme="minorHAnsi"/>
          <w:b/>
          <w:sz w:val="24"/>
          <w:szCs w:val="24"/>
          <w:shd w:val="clear" w:color="auto" w:fill="FFFFFF"/>
        </w:rPr>
        <w:t xml:space="preserve">Mr Chaesub Lee, </w:t>
      </w:r>
      <w:r w:rsidRPr="004C6EF9">
        <w:rPr>
          <w:rFonts w:asciiTheme="minorHAnsi" w:hAnsiTheme="minorHAnsi" w:cstheme="minorHAnsi"/>
          <w:b/>
          <w:sz w:val="24"/>
          <w:szCs w:val="24"/>
        </w:rPr>
        <w:t>Director</w:t>
      </w:r>
      <w:r w:rsidRPr="004C6EF9">
        <w:rPr>
          <w:rFonts w:asciiTheme="minorHAnsi" w:hAnsiTheme="minorHAnsi" w:cstheme="minorHAnsi"/>
          <w:b/>
          <w:sz w:val="24"/>
          <w:szCs w:val="24"/>
          <w:shd w:val="clear" w:color="auto" w:fill="FFFFFF"/>
        </w:rPr>
        <w:t xml:space="preserve"> of the ITU Telecommunication Standardization Bureau (TSB)</w:t>
      </w:r>
      <w:r w:rsidRPr="004C6EF9">
        <w:rPr>
          <w:rFonts w:asciiTheme="minorHAnsi" w:hAnsiTheme="minorHAnsi" w:cstheme="minorHAnsi"/>
          <w:sz w:val="24"/>
          <w:szCs w:val="24"/>
          <w:shd w:val="clear" w:color="auto" w:fill="FFFFFF"/>
        </w:rPr>
        <w:t>,</w:t>
      </w:r>
      <w:r w:rsidRPr="004C6EF9">
        <w:rPr>
          <w:rFonts w:asciiTheme="minorHAnsi" w:hAnsiTheme="minorHAnsi" w:cstheme="minorHAnsi"/>
          <w:sz w:val="24"/>
          <w:szCs w:val="24"/>
        </w:rPr>
        <w:t xml:space="preserve"> highlighted that the Telecommunication Standardization Sector (ITU-T) and </w:t>
      </w:r>
      <w:r w:rsidR="0096439F" w:rsidRPr="004C6EF9">
        <w:rPr>
          <w:rFonts w:asciiTheme="minorHAnsi" w:hAnsiTheme="minorHAnsi" w:cstheme="minorHAnsi"/>
          <w:sz w:val="24"/>
          <w:szCs w:val="24"/>
        </w:rPr>
        <w:t>ITU-D</w:t>
      </w:r>
      <w:r w:rsidRPr="004C6EF9">
        <w:rPr>
          <w:rFonts w:asciiTheme="minorHAnsi" w:hAnsiTheme="minorHAnsi" w:cstheme="minorHAnsi"/>
          <w:sz w:val="24"/>
          <w:szCs w:val="24"/>
        </w:rPr>
        <w:t xml:space="preserve"> </w:t>
      </w:r>
      <w:r w:rsidR="00E82EB5" w:rsidRPr="004C6EF9">
        <w:rPr>
          <w:rFonts w:asciiTheme="minorHAnsi" w:hAnsiTheme="minorHAnsi" w:cstheme="minorHAnsi"/>
          <w:sz w:val="24"/>
          <w:szCs w:val="24"/>
        </w:rPr>
        <w:t>align towards a</w:t>
      </w:r>
      <w:r w:rsidRPr="004C6EF9">
        <w:rPr>
          <w:rFonts w:asciiTheme="minorHAnsi" w:hAnsiTheme="minorHAnsi" w:cstheme="minorHAnsi"/>
          <w:sz w:val="24"/>
          <w:szCs w:val="24"/>
        </w:rPr>
        <w:t xml:space="preserve"> shared mission to make sure everyone everywhere can benefit from ICTs</w:t>
      </w:r>
      <w:r w:rsidR="00E82EB5" w:rsidRPr="004C6EF9">
        <w:rPr>
          <w:rFonts w:asciiTheme="minorHAnsi" w:hAnsiTheme="minorHAnsi" w:cstheme="minorHAnsi"/>
          <w:sz w:val="24"/>
          <w:szCs w:val="24"/>
        </w:rPr>
        <w:t xml:space="preserve"> and digital technologies</w:t>
      </w:r>
      <w:r w:rsidRPr="004C6EF9">
        <w:rPr>
          <w:rFonts w:asciiTheme="minorHAnsi" w:hAnsiTheme="minorHAnsi" w:cstheme="minorHAnsi"/>
          <w:sz w:val="24"/>
          <w:szCs w:val="24"/>
        </w:rPr>
        <w:t xml:space="preserve">. </w:t>
      </w:r>
      <w:r w:rsidR="009C3EC8">
        <w:rPr>
          <w:rFonts w:asciiTheme="minorHAnsi" w:hAnsiTheme="minorHAnsi" w:cstheme="minorHAnsi"/>
          <w:sz w:val="24"/>
          <w:szCs w:val="24"/>
        </w:rPr>
        <w:t xml:space="preserve">He noted that </w:t>
      </w:r>
      <w:r w:rsidRPr="004C6EF9">
        <w:rPr>
          <w:rFonts w:asciiTheme="minorHAnsi" w:hAnsiTheme="minorHAnsi" w:cstheme="minorHAnsi"/>
          <w:sz w:val="24"/>
          <w:szCs w:val="24"/>
        </w:rPr>
        <w:t>COVID has highlighted</w:t>
      </w:r>
      <w:r w:rsidR="00E82EB5" w:rsidRPr="004C6EF9">
        <w:rPr>
          <w:rFonts w:asciiTheme="minorHAnsi" w:hAnsiTheme="minorHAnsi" w:cstheme="minorHAnsi"/>
          <w:sz w:val="24"/>
          <w:szCs w:val="24"/>
        </w:rPr>
        <w:t xml:space="preserve"> the</w:t>
      </w:r>
      <w:r w:rsidRPr="004C6EF9">
        <w:rPr>
          <w:rFonts w:asciiTheme="minorHAnsi" w:hAnsiTheme="minorHAnsi" w:cstheme="minorHAnsi"/>
          <w:sz w:val="24"/>
          <w:szCs w:val="24"/>
        </w:rPr>
        <w:t xml:space="preserve"> importance of </w:t>
      </w:r>
      <w:r w:rsidR="00E82EB5" w:rsidRPr="004C6EF9">
        <w:rPr>
          <w:rFonts w:asciiTheme="minorHAnsi" w:hAnsiTheme="minorHAnsi" w:cstheme="minorHAnsi"/>
          <w:sz w:val="24"/>
          <w:szCs w:val="24"/>
        </w:rPr>
        <w:t xml:space="preserve">a </w:t>
      </w:r>
      <w:r w:rsidRPr="004C6EF9">
        <w:rPr>
          <w:rFonts w:asciiTheme="minorHAnsi" w:hAnsiTheme="minorHAnsi" w:cstheme="minorHAnsi"/>
          <w:sz w:val="24"/>
          <w:szCs w:val="24"/>
        </w:rPr>
        <w:t xml:space="preserve">trusted environment for </w:t>
      </w:r>
      <w:r w:rsidR="00E82EB5" w:rsidRPr="004C6EF9">
        <w:rPr>
          <w:rFonts w:asciiTheme="minorHAnsi" w:hAnsiTheme="minorHAnsi" w:cstheme="minorHAnsi"/>
          <w:sz w:val="24"/>
          <w:szCs w:val="24"/>
        </w:rPr>
        <w:t>e</w:t>
      </w:r>
      <w:r w:rsidRPr="004C6EF9">
        <w:rPr>
          <w:rFonts w:asciiTheme="minorHAnsi" w:hAnsiTheme="minorHAnsi" w:cstheme="minorHAnsi"/>
          <w:sz w:val="24"/>
          <w:szCs w:val="24"/>
        </w:rPr>
        <w:t>conomic and social development a</w:t>
      </w:r>
      <w:r w:rsidR="00E82EB5" w:rsidRPr="004C6EF9">
        <w:rPr>
          <w:rFonts w:asciiTheme="minorHAnsi" w:hAnsiTheme="minorHAnsi" w:cstheme="minorHAnsi"/>
          <w:sz w:val="24"/>
          <w:szCs w:val="24"/>
        </w:rPr>
        <w:t>s well as the value and</w:t>
      </w:r>
      <w:r w:rsidR="00555B73" w:rsidRPr="004C6EF9">
        <w:rPr>
          <w:rFonts w:asciiTheme="minorHAnsi" w:hAnsiTheme="minorHAnsi" w:cstheme="minorHAnsi"/>
          <w:sz w:val="24"/>
          <w:szCs w:val="24"/>
        </w:rPr>
        <w:t xml:space="preserve"> benefits</w:t>
      </w:r>
      <w:r w:rsidR="00E82EB5" w:rsidRPr="004C6EF9">
        <w:rPr>
          <w:rFonts w:asciiTheme="minorHAnsi" w:hAnsiTheme="minorHAnsi" w:cstheme="minorHAnsi"/>
          <w:sz w:val="24"/>
          <w:szCs w:val="24"/>
        </w:rPr>
        <w:t xml:space="preserve"> </w:t>
      </w:r>
      <w:r w:rsidRPr="004C6EF9">
        <w:rPr>
          <w:rFonts w:asciiTheme="minorHAnsi" w:hAnsiTheme="minorHAnsi" w:cstheme="minorHAnsi"/>
          <w:sz w:val="24"/>
          <w:szCs w:val="24"/>
        </w:rPr>
        <w:t xml:space="preserve">of collaboration within ITU. </w:t>
      </w:r>
      <w:r w:rsidR="0096439F" w:rsidRPr="004C6EF9">
        <w:rPr>
          <w:rFonts w:asciiTheme="minorHAnsi" w:hAnsiTheme="minorHAnsi" w:cstheme="minorHAnsi"/>
          <w:sz w:val="24"/>
          <w:szCs w:val="24"/>
        </w:rPr>
        <w:t>Mr</w:t>
      </w:r>
      <w:r w:rsidR="00D81C68">
        <w:rPr>
          <w:rFonts w:asciiTheme="minorHAnsi" w:hAnsiTheme="minorHAnsi" w:cstheme="minorHAnsi"/>
          <w:sz w:val="24"/>
          <w:szCs w:val="24"/>
        </w:rPr>
        <w:t> </w:t>
      </w:r>
      <w:r w:rsidR="0096439F" w:rsidRPr="004C6EF9">
        <w:rPr>
          <w:rFonts w:asciiTheme="minorHAnsi" w:hAnsiTheme="minorHAnsi" w:cstheme="minorHAnsi"/>
          <w:sz w:val="24"/>
          <w:szCs w:val="24"/>
        </w:rPr>
        <w:t>Lee emphasized that the upcoming h</w:t>
      </w:r>
      <w:r w:rsidR="00555B73" w:rsidRPr="004C6EF9">
        <w:rPr>
          <w:rFonts w:asciiTheme="minorHAnsi" w:hAnsiTheme="minorHAnsi" w:cstheme="minorHAnsi"/>
          <w:sz w:val="24"/>
          <w:szCs w:val="24"/>
        </w:rPr>
        <w:t>igh-level decision-</w:t>
      </w:r>
      <w:r w:rsidR="00555B73" w:rsidRPr="009C3EC8">
        <w:rPr>
          <w:rFonts w:asciiTheme="minorHAnsi" w:hAnsiTheme="minorHAnsi" w:cstheme="minorHAnsi"/>
          <w:sz w:val="24"/>
          <w:szCs w:val="24"/>
        </w:rPr>
        <w:t>making c</w:t>
      </w:r>
      <w:r w:rsidRPr="00D63AC5">
        <w:rPr>
          <w:rFonts w:asciiTheme="minorHAnsi" w:hAnsiTheme="minorHAnsi" w:cstheme="minorHAnsi"/>
          <w:sz w:val="24"/>
          <w:szCs w:val="24"/>
        </w:rPr>
        <w:t>onferences are</w:t>
      </w:r>
      <w:r w:rsidRPr="004C6EF9">
        <w:rPr>
          <w:rFonts w:asciiTheme="minorHAnsi" w:hAnsiTheme="minorHAnsi" w:cstheme="minorHAnsi"/>
          <w:sz w:val="24"/>
          <w:szCs w:val="24"/>
        </w:rPr>
        <w:t xml:space="preserve"> key opportunities to demonstrate leadership in international cooperation</w:t>
      </w:r>
      <w:r w:rsidR="00FB5A0D" w:rsidRPr="004C6EF9">
        <w:rPr>
          <w:rFonts w:asciiTheme="minorHAnsi" w:hAnsiTheme="minorHAnsi" w:cstheme="minorHAnsi"/>
          <w:sz w:val="24"/>
          <w:szCs w:val="24"/>
        </w:rPr>
        <w:t>, especially in the aftermath of the C</w:t>
      </w:r>
      <w:r w:rsidR="0096439F" w:rsidRPr="004C6EF9">
        <w:rPr>
          <w:rFonts w:asciiTheme="minorHAnsi" w:hAnsiTheme="minorHAnsi" w:cstheme="minorHAnsi"/>
          <w:sz w:val="24"/>
          <w:szCs w:val="24"/>
        </w:rPr>
        <w:t>OVID</w:t>
      </w:r>
      <w:r w:rsidR="00FB5A0D" w:rsidRPr="004C6EF9">
        <w:rPr>
          <w:rFonts w:asciiTheme="minorHAnsi" w:hAnsiTheme="minorHAnsi" w:cstheme="minorHAnsi"/>
          <w:sz w:val="24"/>
          <w:szCs w:val="24"/>
        </w:rPr>
        <w:t>-19 pandemic</w:t>
      </w:r>
      <w:r w:rsidRPr="004C6EF9">
        <w:rPr>
          <w:rFonts w:asciiTheme="minorHAnsi" w:hAnsiTheme="minorHAnsi" w:cstheme="minorHAnsi"/>
          <w:sz w:val="24"/>
          <w:szCs w:val="24"/>
        </w:rPr>
        <w:t xml:space="preserve">. </w:t>
      </w:r>
    </w:p>
    <w:p w14:paraId="52655FEF" w14:textId="57F74206" w:rsidR="00B41642" w:rsidRPr="004C6EF9" w:rsidRDefault="00BD73B5" w:rsidP="0011639E">
      <w:pPr>
        <w:pStyle w:val="ListParagraph"/>
        <w:keepNext/>
        <w:numPr>
          <w:ilvl w:val="0"/>
          <w:numId w:val="2"/>
        </w:numPr>
        <w:spacing w:after="120"/>
        <w:ind w:left="357" w:hanging="357"/>
        <w:contextualSpacing w:val="0"/>
        <w:rPr>
          <w:rFonts w:cstheme="minorHAnsi"/>
          <w:b/>
          <w:bCs/>
          <w:szCs w:val="24"/>
        </w:rPr>
      </w:pPr>
      <w:r w:rsidRPr="004C6EF9">
        <w:rPr>
          <w:rFonts w:cstheme="minorHAnsi"/>
          <w:b/>
          <w:bCs/>
          <w:szCs w:val="24"/>
        </w:rPr>
        <w:lastRenderedPageBreak/>
        <w:t>Opening</w:t>
      </w:r>
      <w:r w:rsidR="00296088" w:rsidRPr="004C6EF9">
        <w:rPr>
          <w:rFonts w:cstheme="minorHAnsi"/>
          <w:b/>
          <w:bCs/>
          <w:szCs w:val="24"/>
        </w:rPr>
        <w:t xml:space="preserve"> </w:t>
      </w:r>
      <w:r w:rsidRPr="004C6EF9">
        <w:rPr>
          <w:rFonts w:cstheme="minorHAnsi"/>
          <w:b/>
          <w:bCs/>
          <w:szCs w:val="24"/>
        </w:rPr>
        <w:t>remarks</w:t>
      </w:r>
      <w:r w:rsidR="00296088" w:rsidRPr="004C6EF9">
        <w:rPr>
          <w:rFonts w:cstheme="minorHAnsi"/>
          <w:b/>
          <w:bCs/>
          <w:szCs w:val="24"/>
        </w:rPr>
        <w:t xml:space="preserve"> </w:t>
      </w:r>
      <w:r w:rsidRPr="004C6EF9">
        <w:rPr>
          <w:rFonts w:cstheme="minorHAnsi"/>
          <w:b/>
          <w:bCs/>
          <w:szCs w:val="24"/>
        </w:rPr>
        <w:t>by</w:t>
      </w:r>
      <w:r w:rsidR="00296088" w:rsidRPr="004C6EF9">
        <w:rPr>
          <w:rFonts w:cstheme="minorHAnsi"/>
          <w:b/>
          <w:bCs/>
          <w:szCs w:val="24"/>
        </w:rPr>
        <w:t xml:space="preserve"> </w:t>
      </w:r>
      <w:r w:rsidRPr="004C6EF9">
        <w:rPr>
          <w:rFonts w:cstheme="minorHAnsi"/>
          <w:b/>
          <w:bCs/>
          <w:szCs w:val="24"/>
        </w:rPr>
        <w:t>the</w:t>
      </w:r>
      <w:r w:rsidR="00296088" w:rsidRPr="004C6EF9">
        <w:rPr>
          <w:rFonts w:cstheme="minorHAnsi"/>
          <w:b/>
          <w:bCs/>
          <w:szCs w:val="24"/>
        </w:rPr>
        <w:t xml:space="preserve"> </w:t>
      </w:r>
      <w:r w:rsidRPr="004C6EF9">
        <w:rPr>
          <w:rFonts w:cstheme="minorHAnsi"/>
          <w:b/>
          <w:bCs/>
          <w:szCs w:val="24"/>
        </w:rPr>
        <w:t>Chairman</w:t>
      </w:r>
      <w:r w:rsidR="00296088" w:rsidRPr="004C6EF9">
        <w:rPr>
          <w:rFonts w:cstheme="minorHAnsi"/>
          <w:b/>
          <w:bCs/>
          <w:szCs w:val="24"/>
        </w:rPr>
        <w:t xml:space="preserve"> </w:t>
      </w:r>
      <w:r w:rsidRPr="004C6EF9">
        <w:rPr>
          <w:rFonts w:cstheme="minorHAnsi"/>
          <w:b/>
          <w:bCs/>
          <w:szCs w:val="24"/>
        </w:rPr>
        <w:t>of</w:t>
      </w:r>
      <w:r w:rsidR="00296088" w:rsidRPr="004C6EF9">
        <w:rPr>
          <w:rFonts w:cstheme="minorHAnsi"/>
          <w:b/>
          <w:bCs/>
          <w:szCs w:val="24"/>
        </w:rPr>
        <w:t xml:space="preserve"> </w:t>
      </w:r>
      <w:r w:rsidRPr="004C6EF9">
        <w:rPr>
          <w:rFonts w:cstheme="minorHAnsi"/>
          <w:b/>
          <w:bCs/>
          <w:szCs w:val="24"/>
        </w:rPr>
        <w:t>TDAG</w:t>
      </w:r>
    </w:p>
    <w:p w14:paraId="40EB28E4" w14:textId="0E09C072" w:rsidR="004C2D2D" w:rsidRPr="004C6EF9" w:rsidRDefault="00AE0991" w:rsidP="00D036F4">
      <w:pPr>
        <w:spacing w:after="120"/>
        <w:rPr>
          <w:rFonts w:eastAsiaTheme="minorEastAsia" w:cstheme="minorHAnsi"/>
          <w:color w:val="000000" w:themeColor="text1"/>
          <w:szCs w:val="24"/>
          <w:lang w:val="en-US"/>
        </w:rPr>
      </w:pPr>
      <w:r w:rsidRPr="004C6EF9">
        <w:rPr>
          <w:rFonts w:eastAsiaTheme="minorEastAsia" w:cstheme="minorHAnsi"/>
          <w:color w:val="000000" w:themeColor="text1"/>
          <w:szCs w:val="24"/>
          <w:lang w:val="en-US"/>
        </w:rPr>
        <w:t xml:space="preserve">Ms Roxanne McElvane Webber </w:t>
      </w:r>
      <w:r w:rsidRPr="004C6EF9">
        <w:rPr>
          <w:rFonts w:eastAsiaTheme="minorEastAsia" w:cstheme="minorHAnsi"/>
          <w:b/>
          <w:color w:val="000000" w:themeColor="text1"/>
          <w:szCs w:val="24"/>
          <w:lang w:val="en-US"/>
        </w:rPr>
        <w:t>(United States</w:t>
      </w:r>
      <w:r w:rsidRPr="004C6EF9">
        <w:rPr>
          <w:rFonts w:eastAsiaTheme="minorEastAsia" w:cstheme="minorHAnsi"/>
          <w:color w:val="000000" w:themeColor="text1"/>
          <w:szCs w:val="24"/>
          <w:lang w:val="en-US"/>
        </w:rPr>
        <w:t>), Chairman of TDAG,</w:t>
      </w:r>
      <w:r w:rsidRPr="004C6EF9">
        <w:rPr>
          <w:rFonts w:cstheme="minorHAnsi"/>
          <w:color w:val="000000" w:themeColor="text1"/>
          <w:szCs w:val="24"/>
          <w:lang w:val="en-US"/>
        </w:rPr>
        <w:t xml:space="preserve"> </w:t>
      </w:r>
      <w:r w:rsidRPr="004C6EF9">
        <w:rPr>
          <w:rFonts w:cstheme="minorHAnsi"/>
          <w:szCs w:val="24"/>
        </w:rPr>
        <w:t>on behalf of the membership and all participants, thanked the BDT Director and team for the comprehensive and impressive on-going work to make the Bureau fit for purpose</w:t>
      </w:r>
      <w:r w:rsidR="0096439F" w:rsidRPr="004C6EF9">
        <w:rPr>
          <w:rFonts w:cstheme="minorHAnsi"/>
          <w:szCs w:val="24"/>
        </w:rPr>
        <w:t xml:space="preserve">. Ms </w:t>
      </w:r>
      <w:r w:rsidR="0096439F" w:rsidRPr="004C6EF9">
        <w:rPr>
          <w:rFonts w:eastAsiaTheme="minorEastAsia" w:cstheme="minorHAnsi"/>
          <w:color w:val="000000" w:themeColor="text1"/>
          <w:szCs w:val="24"/>
          <w:lang w:val="en-US"/>
        </w:rPr>
        <w:t>McElvane Webber</w:t>
      </w:r>
      <w:r w:rsidRPr="004C6EF9">
        <w:rPr>
          <w:rFonts w:cstheme="minorHAnsi"/>
          <w:szCs w:val="24"/>
        </w:rPr>
        <w:t xml:space="preserve"> expressed the support of TDAG </w:t>
      </w:r>
      <w:r w:rsidR="009C3EC8">
        <w:rPr>
          <w:rFonts w:cstheme="minorHAnsi"/>
          <w:szCs w:val="24"/>
        </w:rPr>
        <w:t>f</w:t>
      </w:r>
      <w:r w:rsidR="00671A82" w:rsidRPr="004C6EF9">
        <w:rPr>
          <w:rFonts w:cstheme="minorHAnsi"/>
          <w:szCs w:val="24"/>
        </w:rPr>
        <w:t>o</w:t>
      </w:r>
      <w:r w:rsidR="009C3EC8">
        <w:rPr>
          <w:rFonts w:cstheme="minorHAnsi"/>
          <w:szCs w:val="24"/>
        </w:rPr>
        <w:t>r</w:t>
      </w:r>
      <w:r w:rsidRPr="004C6EF9">
        <w:rPr>
          <w:rFonts w:cstheme="minorHAnsi"/>
          <w:szCs w:val="24"/>
        </w:rPr>
        <w:t xml:space="preserve"> the innovation occurring and </w:t>
      </w:r>
      <w:r w:rsidR="00F871AF" w:rsidRPr="004C6EF9">
        <w:rPr>
          <w:rFonts w:cstheme="minorHAnsi"/>
          <w:szCs w:val="24"/>
        </w:rPr>
        <w:t xml:space="preserve">the work </w:t>
      </w:r>
      <w:r w:rsidRPr="004C6EF9">
        <w:rPr>
          <w:rFonts w:cstheme="minorHAnsi"/>
          <w:szCs w:val="24"/>
        </w:rPr>
        <w:t>of</w:t>
      </w:r>
      <w:r w:rsidR="00F871AF" w:rsidRPr="004C6EF9">
        <w:rPr>
          <w:rFonts w:cstheme="minorHAnsi"/>
          <w:szCs w:val="24"/>
        </w:rPr>
        <w:t xml:space="preserve"> BDT </w:t>
      </w:r>
      <w:r w:rsidRPr="004C6EF9">
        <w:rPr>
          <w:rFonts w:cstheme="minorHAnsi"/>
          <w:szCs w:val="24"/>
        </w:rPr>
        <w:t>more broadly</w:t>
      </w:r>
      <w:r w:rsidR="00F871AF" w:rsidRPr="004C6EF9">
        <w:rPr>
          <w:rFonts w:cstheme="minorHAnsi"/>
          <w:szCs w:val="24"/>
        </w:rPr>
        <w:t xml:space="preserve">, despite the pandemic and the challenges </w:t>
      </w:r>
      <w:r w:rsidR="00671A82" w:rsidRPr="004C6EF9">
        <w:rPr>
          <w:rFonts w:cstheme="minorHAnsi"/>
          <w:szCs w:val="24"/>
        </w:rPr>
        <w:t>it</w:t>
      </w:r>
      <w:r w:rsidR="00F871AF" w:rsidRPr="004C6EF9">
        <w:rPr>
          <w:rFonts w:cstheme="minorHAnsi"/>
          <w:szCs w:val="24"/>
        </w:rPr>
        <w:t xml:space="preserve"> posed. She </w:t>
      </w:r>
      <w:r w:rsidR="00D036F4" w:rsidRPr="004C6EF9">
        <w:rPr>
          <w:rFonts w:cstheme="minorHAnsi"/>
          <w:szCs w:val="24"/>
        </w:rPr>
        <w:t>stressed</w:t>
      </w:r>
      <w:r w:rsidR="00F871AF" w:rsidRPr="004C6EF9">
        <w:rPr>
          <w:rFonts w:cstheme="minorHAnsi"/>
          <w:szCs w:val="24"/>
        </w:rPr>
        <w:t xml:space="preserve"> the importance of </w:t>
      </w:r>
      <w:r w:rsidR="00671A82" w:rsidRPr="004C6EF9">
        <w:rPr>
          <w:rFonts w:cstheme="minorHAnsi"/>
          <w:szCs w:val="24"/>
        </w:rPr>
        <w:t xml:space="preserve">the upcoming </w:t>
      </w:r>
      <w:r w:rsidR="00F871AF" w:rsidRPr="004C6EF9">
        <w:rPr>
          <w:rFonts w:cstheme="minorHAnsi"/>
          <w:szCs w:val="24"/>
        </w:rPr>
        <w:t xml:space="preserve">WTDC and urged members </w:t>
      </w:r>
      <w:r w:rsidR="00671A82" w:rsidRPr="004C6EF9">
        <w:rPr>
          <w:rFonts w:cstheme="minorHAnsi"/>
          <w:szCs w:val="24"/>
        </w:rPr>
        <w:t>t</w:t>
      </w:r>
      <w:r w:rsidR="00F871AF" w:rsidRPr="004C6EF9">
        <w:rPr>
          <w:rFonts w:cstheme="minorHAnsi"/>
          <w:szCs w:val="24"/>
        </w:rPr>
        <w:t xml:space="preserve">o work together to make the conference a success. She </w:t>
      </w:r>
      <w:r w:rsidR="00671A82" w:rsidRPr="004C6EF9">
        <w:rPr>
          <w:rFonts w:cstheme="minorHAnsi"/>
          <w:szCs w:val="24"/>
        </w:rPr>
        <w:t>also expressed</w:t>
      </w:r>
      <w:r w:rsidR="00F871AF" w:rsidRPr="004C6EF9">
        <w:rPr>
          <w:rFonts w:cstheme="minorHAnsi"/>
          <w:szCs w:val="24"/>
        </w:rPr>
        <w:t xml:space="preserve"> her hope that </w:t>
      </w:r>
      <w:r w:rsidR="009C3EC8">
        <w:rPr>
          <w:rFonts w:cstheme="minorHAnsi"/>
          <w:szCs w:val="24"/>
        </w:rPr>
        <w:t xml:space="preserve">consensus could be reached on several </w:t>
      </w:r>
      <w:r w:rsidR="00671A82" w:rsidRPr="004C6EF9">
        <w:rPr>
          <w:rFonts w:cstheme="minorHAnsi"/>
          <w:szCs w:val="24"/>
        </w:rPr>
        <w:t>outputs</w:t>
      </w:r>
      <w:r w:rsidR="00D036F4" w:rsidRPr="004C6EF9">
        <w:rPr>
          <w:rFonts w:cstheme="minorHAnsi"/>
          <w:szCs w:val="24"/>
        </w:rPr>
        <w:t xml:space="preserve"> of </w:t>
      </w:r>
      <w:r w:rsidR="00F871AF" w:rsidRPr="004C6EF9">
        <w:rPr>
          <w:rFonts w:cstheme="minorHAnsi"/>
          <w:szCs w:val="24"/>
        </w:rPr>
        <w:t>TDAG</w:t>
      </w:r>
      <w:r w:rsidR="00D036F4" w:rsidRPr="004C6EF9">
        <w:rPr>
          <w:rFonts w:cstheme="minorHAnsi"/>
          <w:szCs w:val="24"/>
        </w:rPr>
        <w:t>-21/2</w:t>
      </w:r>
      <w:r w:rsidR="00F871AF" w:rsidRPr="004C6EF9">
        <w:rPr>
          <w:rFonts w:cstheme="minorHAnsi"/>
          <w:szCs w:val="24"/>
        </w:rPr>
        <w:t xml:space="preserve"> </w:t>
      </w:r>
      <w:r w:rsidR="009C3EC8">
        <w:rPr>
          <w:rFonts w:cstheme="minorHAnsi"/>
          <w:szCs w:val="24"/>
        </w:rPr>
        <w:t>which could advance WTDC preparations by serving</w:t>
      </w:r>
      <w:r w:rsidR="00D036F4" w:rsidRPr="004C6EF9">
        <w:rPr>
          <w:rFonts w:cstheme="minorHAnsi"/>
          <w:szCs w:val="24"/>
        </w:rPr>
        <w:t xml:space="preserve"> as</w:t>
      </w:r>
      <w:r w:rsidR="00F871AF" w:rsidRPr="004C6EF9">
        <w:rPr>
          <w:rFonts w:cstheme="minorHAnsi"/>
          <w:szCs w:val="24"/>
        </w:rPr>
        <w:t xml:space="preserve"> base documents in the Conference</w:t>
      </w:r>
      <w:r w:rsidR="00D036F4" w:rsidRPr="004C6EF9">
        <w:rPr>
          <w:rFonts w:cstheme="minorHAnsi"/>
          <w:szCs w:val="24"/>
        </w:rPr>
        <w:t xml:space="preserve"> preparatory process</w:t>
      </w:r>
      <w:r w:rsidR="00F871AF" w:rsidRPr="004C6EF9">
        <w:rPr>
          <w:rFonts w:cstheme="minorHAnsi"/>
          <w:szCs w:val="24"/>
        </w:rPr>
        <w:t xml:space="preserve">, </w:t>
      </w:r>
      <w:r w:rsidR="009C3EC8">
        <w:rPr>
          <w:rFonts w:cstheme="minorHAnsi"/>
          <w:szCs w:val="24"/>
        </w:rPr>
        <w:t>specifically,</w:t>
      </w:r>
      <w:r w:rsidR="00F871AF" w:rsidRPr="004C6EF9">
        <w:rPr>
          <w:rFonts w:cstheme="minorHAnsi"/>
          <w:szCs w:val="24"/>
        </w:rPr>
        <w:t xml:space="preserve"> the draft </w:t>
      </w:r>
      <w:r w:rsidR="00D036F4" w:rsidRPr="004C6EF9">
        <w:rPr>
          <w:rFonts w:cstheme="minorHAnsi"/>
          <w:szCs w:val="24"/>
        </w:rPr>
        <w:t xml:space="preserve">WTDC </w:t>
      </w:r>
      <w:r w:rsidR="00F871AF" w:rsidRPr="004C6EF9">
        <w:rPr>
          <w:rFonts w:cstheme="minorHAnsi"/>
          <w:szCs w:val="24"/>
        </w:rPr>
        <w:t>Declaration, the</w:t>
      </w:r>
      <w:r w:rsidR="009C3EC8">
        <w:rPr>
          <w:rFonts w:cstheme="minorHAnsi"/>
          <w:szCs w:val="24"/>
        </w:rPr>
        <w:t xml:space="preserve"> </w:t>
      </w:r>
      <w:r w:rsidR="00F871AF" w:rsidRPr="004C6EF9">
        <w:rPr>
          <w:rFonts w:cstheme="minorHAnsi"/>
          <w:szCs w:val="24"/>
        </w:rPr>
        <w:t xml:space="preserve">new </w:t>
      </w:r>
      <w:r w:rsidR="009C3EC8">
        <w:rPr>
          <w:rFonts w:cstheme="minorHAnsi"/>
          <w:szCs w:val="24"/>
        </w:rPr>
        <w:t xml:space="preserve">BDT </w:t>
      </w:r>
      <w:r w:rsidR="00F871AF" w:rsidRPr="004C6EF9">
        <w:rPr>
          <w:rFonts w:cstheme="minorHAnsi"/>
          <w:szCs w:val="24"/>
        </w:rPr>
        <w:t xml:space="preserve">Thematic Priorities, </w:t>
      </w:r>
      <w:r w:rsidR="00146AA6">
        <w:rPr>
          <w:rFonts w:cstheme="minorHAnsi"/>
          <w:szCs w:val="24"/>
        </w:rPr>
        <w:t xml:space="preserve">revisions to </w:t>
      </w:r>
      <w:r w:rsidR="00F871AF" w:rsidRPr="004C6EF9">
        <w:rPr>
          <w:rFonts w:cstheme="minorHAnsi"/>
          <w:szCs w:val="24"/>
        </w:rPr>
        <w:t xml:space="preserve">the Study Group Questions, and the draft </w:t>
      </w:r>
      <w:r w:rsidR="00D036F4" w:rsidRPr="004C6EF9">
        <w:rPr>
          <w:rFonts w:cstheme="minorHAnsi"/>
          <w:szCs w:val="24"/>
        </w:rPr>
        <w:t>WTDC</w:t>
      </w:r>
      <w:r w:rsidR="00F871AF" w:rsidRPr="004C6EF9">
        <w:rPr>
          <w:rFonts w:cstheme="minorHAnsi"/>
          <w:szCs w:val="24"/>
        </w:rPr>
        <w:t xml:space="preserve"> Action Plan, among others</w:t>
      </w:r>
      <w:r w:rsidR="00146AA6">
        <w:rPr>
          <w:rFonts w:cstheme="minorHAnsi"/>
          <w:szCs w:val="24"/>
        </w:rPr>
        <w:t>. M</w:t>
      </w:r>
      <w:r w:rsidR="00D036F4" w:rsidRPr="004C6EF9">
        <w:rPr>
          <w:rFonts w:cstheme="minorHAnsi"/>
          <w:szCs w:val="24"/>
        </w:rPr>
        <w:t>embership</w:t>
      </w:r>
      <w:r w:rsidR="00146AA6">
        <w:rPr>
          <w:rFonts w:cstheme="minorHAnsi"/>
          <w:szCs w:val="24"/>
        </w:rPr>
        <w:t>, she noted</w:t>
      </w:r>
      <w:r w:rsidR="00D036F4" w:rsidRPr="004C6EF9">
        <w:rPr>
          <w:rFonts w:cstheme="minorHAnsi"/>
          <w:szCs w:val="24"/>
        </w:rPr>
        <w:t xml:space="preserve"> </w:t>
      </w:r>
      <w:r w:rsidR="00CD157C">
        <w:rPr>
          <w:rFonts w:cstheme="minorHAnsi"/>
          <w:szCs w:val="24"/>
        </w:rPr>
        <w:t>c</w:t>
      </w:r>
      <w:r w:rsidR="00146AA6">
        <w:rPr>
          <w:rFonts w:cstheme="minorHAnsi"/>
          <w:szCs w:val="24"/>
        </w:rPr>
        <w:t xml:space="preserve">ould of course </w:t>
      </w:r>
      <w:r w:rsidR="004C2D2D" w:rsidRPr="004C6EF9">
        <w:rPr>
          <w:rFonts w:cstheme="minorHAnsi"/>
          <w:szCs w:val="24"/>
        </w:rPr>
        <w:t xml:space="preserve">continue </w:t>
      </w:r>
      <w:r w:rsidR="00146AA6">
        <w:rPr>
          <w:rFonts w:cstheme="minorHAnsi"/>
          <w:szCs w:val="24"/>
        </w:rPr>
        <w:t xml:space="preserve">to </w:t>
      </w:r>
      <w:r w:rsidR="00D036F4" w:rsidRPr="004C6EF9">
        <w:rPr>
          <w:rFonts w:cstheme="minorHAnsi"/>
          <w:szCs w:val="24"/>
        </w:rPr>
        <w:t>refin</w:t>
      </w:r>
      <w:r w:rsidR="00146AA6">
        <w:rPr>
          <w:rFonts w:cstheme="minorHAnsi"/>
          <w:szCs w:val="24"/>
        </w:rPr>
        <w:t xml:space="preserve">e such outputs and </w:t>
      </w:r>
      <w:r w:rsidR="00D036F4" w:rsidRPr="004C6EF9">
        <w:rPr>
          <w:rFonts w:cstheme="minorHAnsi"/>
          <w:szCs w:val="24"/>
        </w:rPr>
        <w:t xml:space="preserve">bring new proposals to the table in the lead up to and at </w:t>
      </w:r>
      <w:r w:rsidR="004C2D2D" w:rsidRPr="004C6EF9">
        <w:rPr>
          <w:rFonts w:cstheme="minorHAnsi"/>
          <w:szCs w:val="24"/>
        </w:rPr>
        <w:t xml:space="preserve">WTDC. </w:t>
      </w:r>
    </w:p>
    <w:p w14:paraId="25043444" w14:textId="11B5D81E" w:rsidR="00F871AF" w:rsidRPr="004C6EF9" w:rsidRDefault="004C2D2D" w:rsidP="00F871AF">
      <w:pPr>
        <w:spacing w:after="120"/>
        <w:rPr>
          <w:rFonts w:cstheme="minorHAnsi"/>
          <w:szCs w:val="24"/>
        </w:rPr>
      </w:pPr>
      <w:r w:rsidRPr="004C6EF9">
        <w:rPr>
          <w:rFonts w:cstheme="minorHAnsi"/>
          <w:b/>
          <w:bCs/>
          <w:szCs w:val="24"/>
        </w:rPr>
        <w:t xml:space="preserve">H.E. Mr </w:t>
      </w:r>
      <w:proofErr w:type="spellStart"/>
      <w:r w:rsidRPr="004C6EF9">
        <w:rPr>
          <w:rFonts w:cstheme="minorHAnsi"/>
          <w:b/>
          <w:bCs/>
          <w:szCs w:val="24"/>
        </w:rPr>
        <w:t>Zenebe</w:t>
      </w:r>
      <w:proofErr w:type="spellEnd"/>
      <w:r w:rsidRPr="004C6EF9">
        <w:rPr>
          <w:rFonts w:cstheme="minorHAnsi"/>
          <w:b/>
          <w:bCs/>
          <w:szCs w:val="24"/>
        </w:rPr>
        <w:t xml:space="preserve"> Kebede </w:t>
      </w:r>
      <w:proofErr w:type="spellStart"/>
      <w:r w:rsidRPr="004C6EF9">
        <w:rPr>
          <w:rFonts w:cstheme="minorHAnsi"/>
          <w:b/>
          <w:bCs/>
          <w:szCs w:val="24"/>
        </w:rPr>
        <w:t>Korcho</w:t>
      </w:r>
      <w:proofErr w:type="spellEnd"/>
      <w:r w:rsidRPr="004C6EF9">
        <w:rPr>
          <w:rFonts w:cstheme="minorHAnsi"/>
          <w:b/>
          <w:bCs/>
          <w:szCs w:val="24"/>
        </w:rPr>
        <w:t xml:space="preserve">, </w:t>
      </w:r>
      <w:r w:rsidR="00220625" w:rsidRPr="004C6EF9">
        <w:rPr>
          <w:rFonts w:cstheme="minorHAnsi"/>
          <w:b/>
          <w:bCs/>
          <w:szCs w:val="24"/>
        </w:rPr>
        <w:t>Ambassador Extraordinary and Plenipotentiary of Ethiopia to the United Nations Office and other international organizations in Geneva,</w:t>
      </w:r>
      <w:r w:rsidR="00220625" w:rsidRPr="004C6EF9">
        <w:rPr>
          <w:rFonts w:cstheme="minorHAnsi"/>
          <w:szCs w:val="24"/>
        </w:rPr>
        <w:t xml:space="preserve"> </w:t>
      </w:r>
      <w:r w:rsidRPr="004C6EF9">
        <w:rPr>
          <w:rFonts w:cstheme="minorHAnsi"/>
          <w:szCs w:val="24"/>
        </w:rPr>
        <w:t xml:space="preserve">was invited to address the meeting </w:t>
      </w:r>
      <w:r w:rsidR="00D036F4" w:rsidRPr="004C6EF9">
        <w:rPr>
          <w:rFonts w:cstheme="minorHAnsi"/>
          <w:szCs w:val="24"/>
        </w:rPr>
        <w:t xml:space="preserve">to provide an update </w:t>
      </w:r>
      <w:r w:rsidRPr="004C6EF9">
        <w:rPr>
          <w:rFonts w:cstheme="minorHAnsi"/>
          <w:szCs w:val="24"/>
        </w:rPr>
        <w:t xml:space="preserve">on the situation in Addis Ababa and the state of host-country preparations for WTDC. He confirmed that the capital </w:t>
      </w:r>
      <w:r w:rsidR="003E6669">
        <w:rPr>
          <w:rFonts w:cstheme="minorHAnsi"/>
          <w:szCs w:val="24"/>
        </w:rPr>
        <w:t>wa</w:t>
      </w:r>
      <w:r w:rsidRPr="004C6EF9">
        <w:rPr>
          <w:rFonts w:cstheme="minorHAnsi"/>
          <w:szCs w:val="24"/>
        </w:rPr>
        <w:t xml:space="preserve">s still the </w:t>
      </w:r>
      <w:proofErr w:type="spellStart"/>
      <w:r w:rsidR="002F0A6D" w:rsidRPr="004C6EF9">
        <w:rPr>
          <w:rFonts w:cstheme="minorHAnsi"/>
          <w:szCs w:val="24"/>
        </w:rPr>
        <w:t>cente</w:t>
      </w:r>
      <w:r w:rsidR="00CD157C">
        <w:rPr>
          <w:rFonts w:cstheme="minorHAnsi"/>
          <w:szCs w:val="24"/>
        </w:rPr>
        <w:t>r</w:t>
      </w:r>
      <w:proofErr w:type="spellEnd"/>
      <w:r w:rsidRPr="004C6EF9">
        <w:rPr>
          <w:rFonts w:cstheme="minorHAnsi"/>
          <w:szCs w:val="24"/>
        </w:rPr>
        <w:t xml:space="preserve"> of UN operations </w:t>
      </w:r>
      <w:r w:rsidR="00A93E09" w:rsidRPr="004C6EF9">
        <w:rPr>
          <w:rFonts w:cstheme="minorHAnsi"/>
          <w:szCs w:val="24"/>
        </w:rPr>
        <w:t>and stressed Ethiopia’s confidence in its ability to host the conference</w:t>
      </w:r>
      <w:r w:rsidRPr="004C6EF9">
        <w:rPr>
          <w:rFonts w:cstheme="minorHAnsi"/>
          <w:szCs w:val="24"/>
        </w:rPr>
        <w:t>.</w:t>
      </w:r>
      <w:r w:rsidR="00CD157C">
        <w:rPr>
          <w:rFonts w:cstheme="minorHAnsi"/>
          <w:szCs w:val="24"/>
        </w:rPr>
        <w:t xml:space="preserve"> </w:t>
      </w:r>
      <w:r w:rsidR="003E6669">
        <w:rPr>
          <w:rFonts w:cstheme="minorHAnsi"/>
          <w:szCs w:val="24"/>
        </w:rPr>
        <w:t>H</w:t>
      </w:r>
      <w:r w:rsidR="00CD157C">
        <w:rPr>
          <w:rFonts w:cstheme="minorHAnsi"/>
          <w:szCs w:val="24"/>
        </w:rPr>
        <w:t xml:space="preserve">e noted that the host country team in Addis would </w:t>
      </w:r>
      <w:r w:rsidR="00F871AF" w:rsidRPr="004C6EF9">
        <w:rPr>
          <w:rFonts w:cstheme="minorHAnsi"/>
          <w:szCs w:val="24"/>
        </w:rPr>
        <w:t xml:space="preserve">continue </w:t>
      </w:r>
      <w:r w:rsidR="00CD157C">
        <w:rPr>
          <w:rFonts w:cstheme="minorHAnsi"/>
          <w:szCs w:val="24"/>
        </w:rPr>
        <w:t xml:space="preserve">to work </w:t>
      </w:r>
      <w:r w:rsidR="00F871AF" w:rsidRPr="004C6EF9">
        <w:rPr>
          <w:rFonts w:cstheme="minorHAnsi"/>
          <w:szCs w:val="24"/>
        </w:rPr>
        <w:t xml:space="preserve">together with the ITU Secretariat on </w:t>
      </w:r>
      <w:r w:rsidRPr="004C6EF9">
        <w:rPr>
          <w:rFonts w:cstheme="minorHAnsi"/>
          <w:szCs w:val="24"/>
        </w:rPr>
        <w:t xml:space="preserve">WTDC </w:t>
      </w:r>
      <w:r w:rsidR="00F871AF" w:rsidRPr="004C6EF9">
        <w:rPr>
          <w:rFonts w:cstheme="minorHAnsi"/>
          <w:szCs w:val="24"/>
        </w:rPr>
        <w:t>preparations</w:t>
      </w:r>
      <w:r w:rsidRPr="004C6EF9">
        <w:rPr>
          <w:rFonts w:cstheme="minorHAnsi"/>
          <w:szCs w:val="24"/>
        </w:rPr>
        <w:t xml:space="preserve"> and ITU </w:t>
      </w:r>
      <w:r w:rsidR="00220625" w:rsidRPr="004C6EF9">
        <w:rPr>
          <w:rFonts w:cstheme="minorHAnsi"/>
          <w:szCs w:val="24"/>
        </w:rPr>
        <w:t>m</w:t>
      </w:r>
      <w:r w:rsidRPr="004C6EF9">
        <w:rPr>
          <w:rFonts w:cstheme="minorHAnsi"/>
          <w:szCs w:val="24"/>
        </w:rPr>
        <w:t xml:space="preserve">embership will be provided an update on the situation </w:t>
      </w:r>
      <w:r w:rsidR="00775BF3" w:rsidRPr="004C6EF9">
        <w:rPr>
          <w:rFonts w:cstheme="minorHAnsi"/>
          <w:szCs w:val="24"/>
        </w:rPr>
        <w:t>in due course</w:t>
      </w:r>
      <w:r w:rsidR="00F871AF" w:rsidRPr="004C6EF9">
        <w:rPr>
          <w:rFonts w:cstheme="minorHAnsi"/>
          <w:szCs w:val="24"/>
        </w:rPr>
        <w:t>.</w:t>
      </w:r>
    </w:p>
    <w:p w14:paraId="27B07EA2" w14:textId="238FE9D2" w:rsidR="00120CA2" w:rsidRPr="004C6EF9" w:rsidRDefault="00942CC4" w:rsidP="0011639E">
      <w:pPr>
        <w:pStyle w:val="ListParagraph"/>
        <w:keepNext/>
        <w:numPr>
          <w:ilvl w:val="0"/>
          <w:numId w:val="2"/>
        </w:numPr>
        <w:spacing w:after="120"/>
        <w:ind w:left="357" w:hanging="357"/>
        <w:contextualSpacing w:val="0"/>
        <w:rPr>
          <w:rFonts w:cstheme="minorHAnsi"/>
          <w:b/>
          <w:bCs/>
          <w:szCs w:val="24"/>
        </w:rPr>
      </w:pPr>
      <w:r w:rsidRPr="004C6EF9">
        <w:rPr>
          <w:rFonts w:cstheme="minorHAnsi"/>
          <w:b/>
          <w:bCs/>
          <w:szCs w:val="24"/>
        </w:rPr>
        <w:t>Adoption</w:t>
      </w:r>
      <w:r w:rsidR="00296088" w:rsidRPr="004C6EF9">
        <w:rPr>
          <w:rFonts w:cstheme="minorHAnsi"/>
          <w:b/>
          <w:bCs/>
          <w:szCs w:val="24"/>
        </w:rPr>
        <w:t xml:space="preserve"> </w:t>
      </w:r>
      <w:r w:rsidRPr="004C6EF9">
        <w:rPr>
          <w:rFonts w:cstheme="minorHAnsi"/>
          <w:b/>
          <w:bCs/>
          <w:szCs w:val="24"/>
        </w:rPr>
        <w:t>of</w:t>
      </w:r>
      <w:r w:rsidR="00296088" w:rsidRPr="004C6EF9">
        <w:rPr>
          <w:rFonts w:cstheme="minorHAnsi"/>
          <w:b/>
          <w:bCs/>
          <w:szCs w:val="24"/>
        </w:rPr>
        <w:t xml:space="preserve"> </w:t>
      </w:r>
      <w:r w:rsidRPr="004C6EF9">
        <w:rPr>
          <w:rFonts w:cstheme="minorHAnsi"/>
          <w:b/>
          <w:bCs/>
          <w:szCs w:val="24"/>
        </w:rPr>
        <w:t>the</w:t>
      </w:r>
      <w:r w:rsidR="00296088" w:rsidRPr="004C6EF9">
        <w:rPr>
          <w:rFonts w:cstheme="minorHAnsi"/>
          <w:b/>
          <w:bCs/>
          <w:szCs w:val="24"/>
        </w:rPr>
        <w:t xml:space="preserve"> </w:t>
      </w:r>
      <w:r w:rsidRPr="004C6EF9">
        <w:rPr>
          <w:rFonts w:cstheme="minorHAnsi"/>
          <w:b/>
          <w:bCs/>
          <w:szCs w:val="24"/>
        </w:rPr>
        <w:t>agenda</w:t>
      </w:r>
      <w:r w:rsidR="00296088" w:rsidRPr="004C6EF9">
        <w:rPr>
          <w:rFonts w:cstheme="minorHAnsi"/>
          <w:b/>
          <w:bCs/>
          <w:szCs w:val="24"/>
        </w:rPr>
        <w:t xml:space="preserve"> </w:t>
      </w:r>
      <w:r w:rsidRPr="004C6EF9">
        <w:rPr>
          <w:rFonts w:cstheme="minorHAnsi"/>
          <w:b/>
          <w:bCs/>
          <w:szCs w:val="24"/>
        </w:rPr>
        <w:t>and</w:t>
      </w:r>
      <w:r w:rsidR="00296088" w:rsidRPr="004C6EF9">
        <w:rPr>
          <w:rFonts w:cstheme="minorHAnsi"/>
          <w:b/>
          <w:bCs/>
          <w:szCs w:val="24"/>
        </w:rPr>
        <w:t xml:space="preserve"> </w:t>
      </w:r>
      <w:r w:rsidRPr="004C6EF9">
        <w:rPr>
          <w:rFonts w:cstheme="minorHAnsi"/>
          <w:b/>
          <w:bCs/>
          <w:szCs w:val="24"/>
        </w:rPr>
        <w:t>Time</w:t>
      </w:r>
      <w:r w:rsidR="00296088" w:rsidRPr="004C6EF9">
        <w:rPr>
          <w:rFonts w:cstheme="minorHAnsi"/>
          <w:b/>
          <w:bCs/>
          <w:szCs w:val="24"/>
        </w:rPr>
        <w:t xml:space="preserve"> </w:t>
      </w:r>
      <w:r w:rsidRPr="004C6EF9">
        <w:rPr>
          <w:rFonts w:cstheme="minorHAnsi"/>
          <w:b/>
          <w:bCs/>
          <w:szCs w:val="24"/>
        </w:rPr>
        <w:t>Management</w:t>
      </w:r>
      <w:r w:rsidR="00296088" w:rsidRPr="004C6EF9">
        <w:rPr>
          <w:rFonts w:cstheme="minorHAnsi"/>
          <w:b/>
          <w:bCs/>
          <w:szCs w:val="24"/>
        </w:rPr>
        <w:t xml:space="preserve"> </w:t>
      </w:r>
      <w:r w:rsidRPr="004C6EF9">
        <w:rPr>
          <w:rFonts w:cstheme="minorHAnsi"/>
          <w:b/>
          <w:bCs/>
          <w:szCs w:val="24"/>
        </w:rPr>
        <w:t>Plan</w:t>
      </w:r>
    </w:p>
    <w:p w14:paraId="10038878" w14:textId="40D12C7A" w:rsidR="00B45206" w:rsidRPr="004C6EF9" w:rsidRDefault="00120CA2" w:rsidP="00D1140E">
      <w:pPr>
        <w:spacing w:after="120"/>
        <w:rPr>
          <w:rFonts w:cstheme="minorHAnsi"/>
          <w:szCs w:val="24"/>
        </w:rPr>
      </w:pPr>
      <w:r w:rsidRPr="004C6EF9">
        <w:rPr>
          <w:rFonts w:cstheme="minorHAnsi"/>
          <w:bCs/>
          <w:szCs w:val="24"/>
        </w:rPr>
        <w:t>The</w:t>
      </w:r>
      <w:r w:rsidR="00296088" w:rsidRPr="004C6EF9">
        <w:rPr>
          <w:rFonts w:cstheme="minorHAnsi"/>
          <w:bCs/>
          <w:szCs w:val="24"/>
        </w:rPr>
        <w:t xml:space="preserve"> </w:t>
      </w:r>
      <w:r w:rsidRPr="004C6EF9">
        <w:rPr>
          <w:rFonts w:cstheme="minorHAnsi"/>
          <w:bCs/>
          <w:szCs w:val="24"/>
        </w:rPr>
        <w:t>meeting</w:t>
      </w:r>
      <w:r w:rsidR="00296088" w:rsidRPr="004C6EF9">
        <w:rPr>
          <w:rFonts w:cstheme="minorHAnsi"/>
          <w:bCs/>
          <w:szCs w:val="24"/>
        </w:rPr>
        <w:t xml:space="preserve"> </w:t>
      </w:r>
      <w:r w:rsidRPr="004C6EF9">
        <w:rPr>
          <w:rFonts w:cstheme="minorHAnsi"/>
          <w:bCs/>
          <w:szCs w:val="24"/>
        </w:rPr>
        <w:t>agenda</w:t>
      </w:r>
      <w:r w:rsidR="00296088" w:rsidRPr="004C6EF9">
        <w:rPr>
          <w:rFonts w:cstheme="minorHAnsi"/>
          <w:bCs/>
          <w:szCs w:val="24"/>
        </w:rPr>
        <w:t xml:space="preserve"> </w:t>
      </w:r>
      <w:r w:rsidRPr="004C6EF9">
        <w:rPr>
          <w:rFonts w:cstheme="minorHAnsi"/>
          <w:bCs/>
          <w:szCs w:val="24"/>
        </w:rPr>
        <w:t>and</w:t>
      </w:r>
      <w:r w:rsidR="00296088" w:rsidRPr="004C6EF9">
        <w:rPr>
          <w:rFonts w:cstheme="minorHAnsi"/>
          <w:bCs/>
          <w:szCs w:val="24"/>
        </w:rPr>
        <w:t xml:space="preserve"> </w:t>
      </w:r>
      <w:r w:rsidRPr="004C6EF9">
        <w:rPr>
          <w:rFonts w:cstheme="minorHAnsi"/>
          <w:bCs/>
          <w:szCs w:val="24"/>
        </w:rPr>
        <w:t>time</w:t>
      </w:r>
      <w:r w:rsidR="00296088" w:rsidRPr="004C6EF9">
        <w:rPr>
          <w:rFonts w:cstheme="minorHAnsi"/>
          <w:bCs/>
          <w:szCs w:val="24"/>
        </w:rPr>
        <w:t xml:space="preserve"> </w:t>
      </w:r>
      <w:r w:rsidRPr="004C6EF9">
        <w:rPr>
          <w:rFonts w:cstheme="minorHAnsi"/>
          <w:bCs/>
          <w:szCs w:val="24"/>
        </w:rPr>
        <w:t>management</w:t>
      </w:r>
      <w:r w:rsidR="00296088" w:rsidRPr="004C6EF9">
        <w:rPr>
          <w:rFonts w:cstheme="minorHAnsi"/>
          <w:bCs/>
          <w:szCs w:val="24"/>
        </w:rPr>
        <w:t xml:space="preserve"> </w:t>
      </w:r>
      <w:r w:rsidRPr="004C6EF9">
        <w:rPr>
          <w:rFonts w:cstheme="minorHAnsi"/>
          <w:bCs/>
          <w:szCs w:val="24"/>
        </w:rPr>
        <w:t>plan</w:t>
      </w:r>
      <w:r w:rsidR="00296088" w:rsidRPr="004C6EF9">
        <w:rPr>
          <w:rFonts w:cstheme="minorHAnsi"/>
          <w:bCs/>
          <w:szCs w:val="24"/>
        </w:rPr>
        <w:t xml:space="preserve"> </w:t>
      </w:r>
      <w:r w:rsidRPr="004C6EF9">
        <w:rPr>
          <w:rFonts w:cstheme="minorHAnsi"/>
          <w:bCs/>
          <w:szCs w:val="24"/>
        </w:rPr>
        <w:t>are</w:t>
      </w:r>
      <w:r w:rsidR="00296088" w:rsidRPr="004C6EF9">
        <w:rPr>
          <w:rFonts w:cstheme="minorHAnsi"/>
          <w:bCs/>
          <w:szCs w:val="24"/>
        </w:rPr>
        <w:t xml:space="preserve"> </w:t>
      </w:r>
      <w:r w:rsidRPr="004C6EF9">
        <w:rPr>
          <w:rFonts w:cstheme="minorHAnsi"/>
          <w:bCs/>
          <w:szCs w:val="24"/>
        </w:rPr>
        <w:t>contained</w:t>
      </w:r>
      <w:r w:rsidR="00F3734E" w:rsidRPr="004C6EF9">
        <w:rPr>
          <w:rFonts w:cstheme="minorHAnsi"/>
          <w:bCs/>
          <w:szCs w:val="24"/>
        </w:rPr>
        <w:t xml:space="preserve"> respectively</w:t>
      </w:r>
      <w:r w:rsidR="00296088" w:rsidRPr="004C6EF9">
        <w:rPr>
          <w:rFonts w:cstheme="minorHAnsi"/>
          <w:bCs/>
          <w:szCs w:val="24"/>
        </w:rPr>
        <w:t xml:space="preserve"> </w:t>
      </w:r>
      <w:r w:rsidRPr="004C6EF9">
        <w:rPr>
          <w:rFonts w:cstheme="minorHAnsi"/>
          <w:bCs/>
          <w:szCs w:val="24"/>
        </w:rPr>
        <w:t>in</w:t>
      </w:r>
      <w:r w:rsidR="00296088" w:rsidRPr="004C6EF9">
        <w:rPr>
          <w:rFonts w:cstheme="minorHAnsi"/>
          <w:bCs/>
          <w:szCs w:val="24"/>
        </w:rPr>
        <w:t xml:space="preserve"> </w:t>
      </w:r>
      <w:hyperlink r:id="rId10" w:history="1">
        <w:r w:rsidR="00942CC4" w:rsidRPr="004C6EF9">
          <w:rPr>
            <w:rStyle w:val="Hyperlink"/>
            <w:rFonts w:cstheme="minorHAnsi"/>
            <w:szCs w:val="24"/>
          </w:rPr>
          <w:t>Document</w:t>
        </w:r>
        <w:r w:rsidR="00296088" w:rsidRPr="004C6EF9">
          <w:rPr>
            <w:rStyle w:val="Hyperlink"/>
            <w:rFonts w:cstheme="minorHAnsi"/>
            <w:szCs w:val="24"/>
          </w:rPr>
          <w:t xml:space="preserve"> </w:t>
        </w:r>
        <w:r w:rsidR="00326ECA" w:rsidRPr="004C6EF9">
          <w:rPr>
            <w:rStyle w:val="Hyperlink"/>
            <w:rFonts w:cstheme="minorHAnsi"/>
            <w:szCs w:val="24"/>
          </w:rPr>
          <w:t>1(Rev.2)</w:t>
        </w:r>
      </w:hyperlink>
      <w:r w:rsidR="00296088" w:rsidRPr="004C6EF9">
        <w:rPr>
          <w:rFonts w:cstheme="minorHAnsi"/>
          <w:szCs w:val="24"/>
        </w:rPr>
        <w:t xml:space="preserve"> </w:t>
      </w:r>
      <w:r w:rsidRPr="004C6EF9">
        <w:rPr>
          <w:rFonts w:cstheme="minorHAnsi"/>
          <w:szCs w:val="24"/>
        </w:rPr>
        <w:t>and</w:t>
      </w:r>
      <w:r w:rsidR="00296088" w:rsidRPr="004C6EF9">
        <w:rPr>
          <w:rFonts w:cstheme="minorHAnsi"/>
          <w:szCs w:val="24"/>
        </w:rPr>
        <w:t xml:space="preserve"> </w:t>
      </w:r>
      <w:hyperlink r:id="rId11" w:history="1">
        <w:r w:rsidR="00942CC4" w:rsidRPr="004C6EF9">
          <w:rPr>
            <w:rStyle w:val="Hyperlink"/>
            <w:rFonts w:cstheme="minorHAnsi"/>
            <w:szCs w:val="24"/>
          </w:rPr>
          <w:t>Document</w:t>
        </w:r>
        <w:r w:rsidR="00296088" w:rsidRPr="004C6EF9">
          <w:rPr>
            <w:rStyle w:val="Hyperlink"/>
            <w:rFonts w:cstheme="minorHAnsi"/>
            <w:szCs w:val="24"/>
          </w:rPr>
          <w:t xml:space="preserve"> </w:t>
        </w:r>
        <w:r w:rsidR="00942CC4" w:rsidRPr="004C6EF9">
          <w:rPr>
            <w:rStyle w:val="Hyperlink"/>
            <w:rFonts w:cstheme="minorHAnsi"/>
            <w:szCs w:val="24"/>
          </w:rPr>
          <w:t>DT/</w:t>
        </w:r>
        <w:r w:rsidR="00F3734E" w:rsidRPr="004C6EF9">
          <w:rPr>
            <w:rStyle w:val="Hyperlink"/>
            <w:rFonts w:cstheme="minorHAnsi"/>
            <w:szCs w:val="24"/>
          </w:rPr>
          <w:t>1(Rev.9)</w:t>
        </w:r>
      </w:hyperlink>
      <w:r w:rsidR="0058579B" w:rsidRPr="004C6EF9">
        <w:rPr>
          <w:rFonts w:cstheme="minorHAnsi"/>
          <w:szCs w:val="24"/>
          <w:lang w:val="pt-BR"/>
        </w:rPr>
        <w:t>.</w:t>
      </w:r>
      <w:r w:rsidR="00296088" w:rsidRPr="004C6EF9">
        <w:rPr>
          <w:rFonts w:cstheme="minorHAnsi"/>
          <w:szCs w:val="24"/>
        </w:rPr>
        <w:t xml:space="preserve"> </w:t>
      </w:r>
    </w:p>
    <w:tbl>
      <w:tblPr>
        <w:tblStyle w:val="TableGrid"/>
        <w:tblW w:w="0" w:type="auto"/>
        <w:tblLook w:val="04A0" w:firstRow="1" w:lastRow="0" w:firstColumn="1" w:lastColumn="0" w:noHBand="0" w:noVBand="1"/>
      </w:tblPr>
      <w:tblGrid>
        <w:gridCol w:w="9629"/>
      </w:tblGrid>
      <w:tr w:rsidR="00E123EF" w:rsidRPr="004C6EF9" w14:paraId="3B30FCBC" w14:textId="77777777" w:rsidTr="003E3D71">
        <w:tc>
          <w:tcPr>
            <w:tcW w:w="9629" w:type="dxa"/>
          </w:tcPr>
          <w:p w14:paraId="716B4488" w14:textId="62CC086C" w:rsidR="00E123EF" w:rsidRPr="004C6EF9" w:rsidRDefault="00AA44A4" w:rsidP="00D1140E">
            <w:pPr>
              <w:spacing w:after="120"/>
              <w:rPr>
                <w:rFonts w:cstheme="minorHAnsi"/>
                <w:color w:val="000000" w:themeColor="text1"/>
                <w:szCs w:val="24"/>
              </w:rPr>
            </w:pPr>
            <w:r w:rsidRPr="004C6EF9">
              <w:rPr>
                <w:rFonts w:cstheme="minorHAnsi"/>
                <w:color w:val="000000" w:themeColor="text1"/>
                <w:szCs w:val="24"/>
              </w:rPr>
              <w:t>TDAG adopted the Draft Agenda and the Draft Time Management Plan.</w:t>
            </w:r>
          </w:p>
        </w:tc>
      </w:tr>
    </w:tbl>
    <w:p w14:paraId="4046EF9C" w14:textId="202C9E4B" w:rsidR="00062D6A" w:rsidRPr="004C6EF9" w:rsidRDefault="00604DD1" w:rsidP="0011639E">
      <w:pPr>
        <w:pStyle w:val="ListParagraph"/>
        <w:keepNext/>
        <w:numPr>
          <w:ilvl w:val="0"/>
          <w:numId w:val="2"/>
        </w:numPr>
        <w:spacing w:after="120"/>
        <w:ind w:left="357" w:hanging="357"/>
        <w:contextualSpacing w:val="0"/>
        <w:rPr>
          <w:rFonts w:cstheme="minorHAnsi"/>
          <w:b/>
          <w:bCs/>
          <w:szCs w:val="24"/>
        </w:rPr>
      </w:pPr>
      <w:r w:rsidRPr="004C6EF9">
        <w:rPr>
          <w:rFonts w:cstheme="minorHAnsi"/>
          <w:b/>
          <w:bCs/>
          <w:szCs w:val="24"/>
        </w:rPr>
        <w:t>Reporting</w:t>
      </w:r>
      <w:r w:rsidR="00296088" w:rsidRPr="004C6EF9">
        <w:rPr>
          <w:rFonts w:cstheme="minorHAnsi"/>
          <w:b/>
          <w:bCs/>
          <w:szCs w:val="24"/>
        </w:rPr>
        <w:t xml:space="preserve"> </w:t>
      </w:r>
      <w:r w:rsidRPr="004C6EF9">
        <w:rPr>
          <w:rFonts w:cstheme="minorHAnsi"/>
          <w:b/>
          <w:bCs/>
          <w:szCs w:val="24"/>
        </w:rPr>
        <w:t>on</w:t>
      </w:r>
      <w:r w:rsidR="00296088" w:rsidRPr="004C6EF9">
        <w:rPr>
          <w:rFonts w:cstheme="minorHAnsi"/>
          <w:b/>
          <w:bCs/>
          <w:szCs w:val="24"/>
        </w:rPr>
        <w:t xml:space="preserve"> </w:t>
      </w:r>
      <w:r w:rsidRPr="004C6EF9">
        <w:rPr>
          <w:rFonts w:cstheme="minorHAnsi"/>
          <w:b/>
          <w:bCs/>
          <w:szCs w:val="24"/>
        </w:rPr>
        <w:t>the</w:t>
      </w:r>
      <w:r w:rsidR="00296088" w:rsidRPr="004C6EF9">
        <w:rPr>
          <w:rFonts w:cstheme="minorHAnsi"/>
          <w:b/>
          <w:bCs/>
          <w:szCs w:val="24"/>
        </w:rPr>
        <w:t xml:space="preserve"> </w:t>
      </w:r>
      <w:r w:rsidRPr="004C6EF9">
        <w:rPr>
          <w:rFonts w:cstheme="minorHAnsi"/>
          <w:b/>
          <w:bCs/>
          <w:szCs w:val="24"/>
        </w:rPr>
        <w:t>implementation</w:t>
      </w:r>
      <w:r w:rsidR="00296088" w:rsidRPr="004C6EF9">
        <w:rPr>
          <w:rFonts w:cstheme="minorHAnsi"/>
          <w:b/>
          <w:bCs/>
          <w:szCs w:val="24"/>
        </w:rPr>
        <w:t xml:space="preserve"> </w:t>
      </w:r>
      <w:r w:rsidRPr="004C6EF9">
        <w:rPr>
          <w:rFonts w:cstheme="minorHAnsi"/>
          <w:b/>
          <w:bCs/>
          <w:szCs w:val="24"/>
        </w:rPr>
        <w:t>of</w:t>
      </w:r>
      <w:r w:rsidR="00296088" w:rsidRPr="004C6EF9">
        <w:rPr>
          <w:rFonts w:cstheme="minorHAnsi"/>
          <w:b/>
          <w:bCs/>
          <w:szCs w:val="24"/>
        </w:rPr>
        <w:t xml:space="preserve"> </w:t>
      </w:r>
      <w:r w:rsidRPr="004C6EF9">
        <w:rPr>
          <w:rFonts w:cstheme="minorHAnsi"/>
          <w:b/>
          <w:bCs/>
          <w:szCs w:val="24"/>
        </w:rPr>
        <w:t>the</w:t>
      </w:r>
      <w:r w:rsidR="00296088" w:rsidRPr="004C6EF9">
        <w:rPr>
          <w:rFonts w:cstheme="minorHAnsi"/>
          <w:b/>
          <w:bCs/>
          <w:szCs w:val="24"/>
        </w:rPr>
        <w:t xml:space="preserve"> </w:t>
      </w:r>
      <w:r w:rsidRPr="004C6EF9">
        <w:rPr>
          <w:rFonts w:cstheme="minorHAnsi"/>
          <w:b/>
          <w:bCs/>
          <w:szCs w:val="24"/>
        </w:rPr>
        <w:t>WTDC-17</w:t>
      </w:r>
      <w:r w:rsidR="00296088" w:rsidRPr="004C6EF9">
        <w:rPr>
          <w:rFonts w:cstheme="minorHAnsi"/>
          <w:b/>
          <w:bCs/>
          <w:szCs w:val="24"/>
        </w:rPr>
        <w:t xml:space="preserve"> </w:t>
      </w:r>
      <w:r w:rsidRPr="004C6EF9">
        <w:rPr>
          <w:rFonts w:cstheme="minorHAnsi"/>
          <w:b/>
          <w:bCs/>
          <w:szCs w:val="24"/>
        </w:rPr>
        <w:t>Buenos</w:t>
      </w:r>
      <w:r w:rsidR="00296088" w:rsidRPr="004C6EF9">
        <w:rPr>
          <w:rFonts w:cstheme="minorHAnsi"/>
          <w:b/>
          <w:bCs/>
          <w:szCs w:val="24"/>
        </w:rPr>
        <w:t xml:space="preserve"> </w:t>
      </w:r>
      <w:r w:rsidRPr="004C6EF9">
        <w:rPr>
          <w:rFonts w:cstheme="minorHAnsi"/>
          <w:b/>
          <w:bCs/>
          <w:szCs w:val="24"/>
        </w:rPr>
        <w:t>Aires</w:t>
      </w:r>
      <w:r w:rsidR="00296088" w:rsidRPr="004C6EF9">
        <w:rPr>
          <w:rFonts w:cstheme="minorHAnsi"/>
          <w:b/>
          <w:bCs/>
          <w:szCs w:val="24"/>
        </w:rPr>
        <w:t xml:space="preserve"> </w:t>
      </w:r>
      <w:r w:rsidRPr="004C6EF9">
        <w:rPr>
          <w:rFonts w:cstheme="minorHAnsi"/>
          <w:b/>
          <w:bCs/>
          <w:szCs w:val="24"/>
        </w:rPr>
        <w:t>Action</w:t>
      </w:r>
      <w:r w:rsidR="00296088" w:rsidRPr="004C6EF9">
        <w:rPr>
          <w:rFonts w:cstheme="minorHAnsi"/>
          <w:b/>
          <w:bCs/>
          <w:szCs w:val="24"/>
        </w:rPr>
        <w:t xml:space="preserve"> </w:t>
      </w:r>
      <w:r w:rsidRPr="004C6EF9">
        <w:rPr>
          <w:rFonts w:cstheme="minorHAnsi"/>
          <w:b/>
          <w:bCs/>
          <w:szCs w:val="24"/>
        </w:rPr>
        <w:t>Plan</w:t>
      </w:r>
      <w:r w:rsidR="00296088" w:rsidRPr="004C6EF9">
        <w:rPr>
          <w:rFonts w:cstheme="minorHAnsi"/>
          <w:b/>
          <w:bCs/>
          <w:szCs w:val="24"/>
        </w:rPr>
        <w:t xml:space="preserve"> </w:t>
      </w:r>
      <w:r w:rsidRPr="004C6EF9">
        <w:rPr>
          <w:rFonts w:cstheme="minorHAnsi"/>
          <w:b/>
          <w:bCs/>
          <w:szCs w:val="24"/>
        </w:rPr>
        <w:t>(including</w:t>
      </w:r>
      <w:r w:rsidR="00296088" w:rsidRPr="004C6EF9">
        <w:rPr>
          <w:rFonts w:cstheme="minorHAnsi"/>
          <w:b/>
          <w:bCs/>
          <w:szCs w:val="24"/>
        </w:rPr>
        <w:t xml:space="preserve"> </w:t>
      </w:r>
      <w:r w:rsidRPr="004C6EF9">
        <w:rPr>
          <w:rFonts w:cstheme="minorHAnsi"/>
          <w:b/>
          <w:bCs/>
          <w:szCs w:val="24"/>
        </w:rPr>
        <w:t>the</w:t>
      </w:r>
      <w:r w:rsidR="00296088" w:rsidRPr="004C6EF9">
        <w:rPr>
          <w:rFonts w:cstheme="minorHAnsi"/>
          <w:b/>
          <w:bCs/>
          <w:szCs w:val="24"/>
        </w:rPr>
        <w:t xml:space="preserve"> </w:t>
      </w:r>
      <w:r w:rsidRPr="004C6EF9">
        <w:rPr>
          <w:rFonts w:cstheme="minorHAnsi"/>
          <w:b/>
          <w:bCs/>
          <w:szCs w:val="24"/>
        </w:rPr>
        <w:t>Regional</w:t>
      </w:r>
      <w:r w:rsidR="00296088" w:rsidRPr="004C6EF9">
        <w:rPr>
          <w:rFonts w:cstheme="minorHAnsi"/>
          <w:b/>
          <w:bCs/>
          <w:szCs w:val="24"/>
        </w:rPr>
        <w:t xml:space="preserve"> </w:t>
      </w:r>
      <w:r w:rsidRPr="004C6EF9">
        <w:rPr>
          <w:rFonts w:cstheme="minorHAnsi"/>
          <w:b/>
          <w:bCs/>
          <w:szCs w:val="24"/>
        </w:rPr>
        <w:t>Initiatives),</w:t>
      </w:r>
      <w:r w:rsidR="00296088" w:rsidRPr="004C6EF9">
        <w:rPr>
          <w:rFonts w:cstheme="minorHAnsi"/>
          <w:b/>
          <w:bCs/>
          <w:szCs w:val="24"/>
        </w:rPr>
        <w:t xml:space="preserve"> </w:t>
      </w:r>
      <w:r w:rsidRPr="004C6EF9">
        <w:rPr>
          <w:rFonts w:cstheme="minorHAnsi"/>
          <w:b/>
          <w:bCs/>
          <w:szCs w:val="24"/>
        </w:rPr>
        <w:t>and</w:t>
      </w:r>
      <w:r w:rsidR="00296088" w:rsidRPr="004C6EF9">
        <w:rPr>
          <w:rFonts w:cstheme="minorHAnsi"/>
          <w:b/>
          <w:bCs/>
          <w:szCs w:val="24"/>
        </w:rPr>
        <w:t xml:space="preserve"> </w:t>
      </w:r>
      <w:r w:rsidRPr="004C6EF9">
        <w:rPr>
          <w:rFonts w:cstheme="minorHAnsi"/>
          <w:b/>
          <w:bCs/>
          <w:szCs w:val="24"/>
        </w:rPr>
        <w:t>contribution</w:t>
      </w:r>
      <w:r w:rsidR="00296088" w:rsidRPr="004C6EF9">
        <w:rPr>
          <w:rFonts w:cstheme="minorHAnsi"/>
          <w:b/>
          <w:bCs/>
          <w:szCs w:val="24"/>
        </w:rPr>
        <w:t xml:space="preserve"> </w:t>
      </w:r>
      <w:r w:rsidRPr="004C6EF9">
        <w:rPr>
          <w:rFonts w:cstheme="minorHAnsi"/>
          <w:b/>
          <w:bCs/>
          <w:szCs w:val="24"/>
        </w:rPr>
        <w:t>to</w:t>
      </w:r>
      <w:r w:rsidR="00296088" w:rsidRPr="004C6EF9">
        <w:rPr>
          <w:rFonts w:cstheme="minorHAnsi"/>
          <w:b/>
          <w:bCs/>
          <w:szCs w:val="24"/>
        </w:rPr>
        <w:t xml:space="preserve"> </w:t>
      </w:r>
      <w:r w:rsidRPr="004C6EF9">
        <w:rPr>
          <w:rFonts w:cstheme="minorHAnsi"/>
          <w:b/>
          <w:bCs/>
          <w:szCs w:val="24"/>
        </w:rPr>
        <w:t>the</w:t>
      </w:r>
      <w:r w:rsidR="00296088" w:rsidRPr="004C6EF9">
        <w:rPr>
          <w:rFonts w:cstheme="minorHAnsi"/>
          <w:b/>
          <w:bCs/>
          <w:szCs w:val="24"/>
        </w:rPr>
        <w:t xml:space="preserve"> </w:t>
      </w:r>
      <w:r w:rsidRPr="004C6EF9">
        <w:rPr>
          <w:rFonts w:cstheme="minorHAnsi"/>
          <w:b/>
          <w:bCs/>
          <w:szCs w:val="24"/>
        </w:rPr>
        <w:t>implementation</w:t>
      </w:r>
      <w:r w:rsidR="00296088" w:rsidRPr="004C6EF9">
        <w:rPr>
          <w:rFonts w:cstheme="minorHAnsi"/>
          <w:b/>
          <w:bCs/>
          <w:szCs w:val="24"/>
        </w:rPr>
        <w:t xml:space="preserve"> </w:t>
      </w:r>
      <w:r w:rsidRPr="004C6EF9">
        <w:rPr>
          <w:rFonts w:cstheme="minorHAnsi"/>
          <w:b/>
          <w:bCs/>
          <w:szCs w:val="24"/>
        </w:rPr>
        <w:t>of</w:t>
      </w:r>
      <w:r w:rsidR="00296088" w:rsidRPr="004C6EF9">
        <w:rPr>
          <w:rFonts w:cstheme="minorHAnsi"/>
          <w:b/>
          <w:bCs/>
          <w:szCs w:val="24"/>
        </w:rPr>
        <w:t xml:space="preserve"> </w:t>
      </w:r>
      <w:r w:rsidRPr="004C6EF9">
        <w:rPr>
          <w:rFonts w:cstheme="minorHAnsi"/>
          <w:b/>
          <w:bCs/>
          <w:szCs w:val="24"/>
        </w:rPr>
        <w:t>the</w:t>
      </w:r>
      <w:r w:rsidR="00296088" w:rsidRPr="004C6EF9">
        <w:rPr>
          <w:rFonts w:cstheme="minorHAnsi"/>
          <w:b/>
          <w:bCs/>
          <w:szCs w:val="24"/>
        </w:rPr>
        <w:t xml:space="preserve"> </w:t>
      </w:r>
      <w:r w:rsidRPr="004C6EF9">
        <w:rPr>
          <w:rFonts w:cstheme="minorHAnsi"/>
          <w:b/>
          <w:bCs/>
          <w:szCs w:val="24"/>
        </w:rPr>
        <w:t>WSIS</w:t>
      </w:r>
      <w:r w:rsidR="00296088" w:rsidRPr="004C6EF9">
        <w:rPr>
          <w:rFonts w:cstheme="minorHAnsi"/>
          <w:b/>
          <w:bCs/>
          <w:szCs w:val="24"/>
        </w:rPr>
        <w:t xml:space="preserve"> </w:t>
      </w:r>
      <w:r w:rsidRPr="004C6EF9">
        <w:rPr>
          <w:rFonts w:cstheme="minorHAnsi"/>
          <w:b/>
          <w:bCs/>
          <w:szCs w:val="24"/>
        </w:rPr>
        <w:t>Plan</w:t>
      </w:r>
      <w:r w:rsidR="00296088" w:rsidRPr="004C6EF9">
        <w:rPr>
          <w:rFonts w:cstheme="minorHAnsi"/>
          <w:b/>
          <w:bCs/>
          <w:szCs w:val="24"/>
        </w:rPr>
        <w:t xml:space="preserve"> </w:t>
      </w:r>
      <w:r w:rsidRPr="004C6EF9">
        <w:rPr>
          <w:rFonts w:cstheme="minorHAnsi"/>
          <w:b/>
          <w:bCs/>
          <w:szCs w:val="24"/>
        </w:rPr>
        <w:t>of</w:t>
      </w:r>
      <w:r w:rsidR="00296088" w:rsidRPr="004C6EF9">
        <w:rPr>
          <w:rFonts w:cstheme="minorHAnsi"/>
          <w:b/>
          <w:bCs/>
          <w:szCs w:val="24"/>
        </w:rPr>
        <w:t xml:space="preserve"> </w:t>
      </w:r>
      <w:r w:rsidRPr="004C6EF9">
        <w:rPr>
          <w:rFonts w:cstheme="minorHAnsi"/>
          <w:b/>
          <w:bCs/>
          <w:szCs w:val="24"/>
        </w:rPr>
        <w:t>Action</w:t>
      </w:r>
      <w:r w:rsidR="00296088" w:rsidRPr="004C6EF9">
        <w:rPr>
          <w:rFonts w:cstheme="minorHAnsi"/>
          <w:b/>
          <w:bCs/>
          <w:szCs w:val="24"/>
        </w:rPr>
        <w:t xml:space="preserve"> </w:t>
      </w:r>
      <w:r w:rsidRPr="004C6EF9">
        <w:rPr>
          <w:rFonts w:cstheme="minorHAnsi"/>
          <w:b/>
          <w:bCs/>
          <w:szCs w:val="24"/>
        </w:rPr>
        <w:t>and</w:t>
      </w:r>
      <w:r w:rsidR="00296088" w:rsidRPr="004C6EF9">
        <w:rPr>
          <w:rFonts w:cstheme="minorHAnsi"/>
          <w:b/>
          <w:bCs/>
          <w:szCs w:val="24"/>
        </w:rPr>
        <w:t xml:space="preserve"> </w:t>
      </w:r>
      <w:r w:rsidRPr="004C6EF9">
        <w:rPr>
          <w:rFonts w:cstheme="minorHAnsi"/>
          <w:b/>
          <w:bCs/>
          <w:szCs w:val="24"/>
        </w:rPr>
        <w:t>the</w:t>
      </w:r>
      <w:r w:rsidR="00296088" w:rsidRPr="004C6EF9">
        <w:rPr>
          <w:rFonts w:cstheme="minorHAnsi"/>
          <w:b/>
          <w:bCs/>
          <w:szCs w:val="24"/>
        </w:rPr>
        <w:t xml:space="preserve"> </w:t>
      </w:r>
      <w:r w:rsidRPr="004C6EF9">
        <w:rPr>
          <w:rFonts w:cstheme="minorHAnsi"/>
          <w:b/>
          <w:bCs/>
          <w:szCs w:val="24"/>
        </w:rPr>
        <w:t>Sustainable</w:t>
      </w:r>
      <w:r w:rsidR="00296088" w:rsidRPr="004C6EF9">
        <w:rPr>
          <w:rFonts w:cstheme="minorHAnsi"/>
          <w:b/>
          <w:bCs/>
          <w:szCs w:val="24"/>
        </w:rPr>
        <w:t xml:space="preserve"> </w:t>
      </w:r>
      <w:r w:rsidRPr="004C6EF9">
        <w:rPr>
          <w:rFonts w:cstheme="minorHAnsi"/>
          <w:b/>
          <w:bCs/>
          <w:szCs w:val="24"/>
        </w:rPr>
        <w:t>Development</w:t>
      </w:r>
      <w:r w:rsidR="00296088" w:rsidRPr="004C6EF9">
        <w:rPr>
          <w:rFonts w:cstheme="minorHAnsi"/>
          <w:b/>
          <w:bCs/>
          <w:szCs w:val="24"/>
        </w:rPr>
        <w:t xml:space="preserve"> </w:t>
      </w:r>
      <w:r w:rsidRPr="004C6EF9">
        <w:rPr>
          <w:rFonts w:cstheme="minorHAnsi"/>
          <w:b/>
          <w:bCs/>
          <w:szCs w:val="24"/>
        </w:rPr>
        <w:t>Goals</w:t>
      </w:r>
      <w:r w:rsidR="00296088" w:rsidRPr="004C6EF9">
        <w:rPr>
          <w:rFonts w:cstheme="minorHAnsi"/>
          <w:b/>
          <w:bCs/>
          <w:szCs w:val="24"/>
        </w:rPr>
        <w:t xml:space="preserve"> </w:t>
      </w:r>
      <w:r w:rsidRPr="004C6EF9">
        <w:rPr>
          <w:rFonts w:cstheme="minorHAnsi"/>
          <w:b/>
          <w:bCs/>
          <w:szCs w:val="24"/>
        </w:rPr>
        <w:t>(SDGs)</w:t>
      </w:r>
    </w:p>
    <w:p w14:paraId="34B57440" w14:textId="2EF47EAE" w:rsidR="00D1140E" w:rsidRPr="004C6EF9" w:rsidRDefault="0035295E" w:rsidP="0011639E">
      <w:pPr>
        <w:keepNext/>
        <w:tabs>
          <w:tab w:val="left" w:pos="306"/>
        </w:tabs>
        <w:spacing w:after="120"/>
        <w:rPr>
          <w:rFonts w:cstheme="minorHAnsi"/>
          <w:b/>
          <w:bCs/>
          <w:szCs w:val="24"/>
        </w:rPr>
      </w:pPr>
      <w:r w:rsidRPr="004C6EF9">
        <w:rPr>
          <w:rFonts w:cstheme="minorHAnsi"/>
          <w:b/>
          <w:bCs/>
          <w:szCs w:val="24"/>
        </w:rPr>
        <w:t>Document</w:t>
      </w:r>
      <w:r w:rsidR="00296088" w:rsidRPr="004C6EF9">
        <w:rPr>
          <w:rFonts w:cstheme="minorHAnsi"/>
          <w:b/>
          <w:bCs/>
          <w:szCs w:val="24"/>
        </w:rPr>
        <w:t xml:space="preserve"> </w:t>
      </w:r>
      <w:hyperlink r:id="rId12" w:history="1">
        <w:r w:rsidRPr="004C6EF9">
          <w:rPr>
            <w:rStyle w:val="Hyperlink"/>
            <w:rFonts w:cstheme="minorHAnsi"/>
            <w:b/>
            <w:bCs/>
            <w:szCs w:val="24"/>
          </w:rPr>
          <w:t>2</w:t>
        </w:r>
      </w:hyperlink>
      <w:r w:rsidR="00296088" w:rsidRPr="004C6EF9">
        <w:rPr>
          <w:rFonts w:cstheme="minorHAnsi"/>
          <w:b/>
          <w:bCs/>
          <w:szCs w:val="24"/>
        </w:rPr>
        <w:t xml:space="preserve"> </w:t>
      </w:r>
    </w:p>
    <w:p w14:paraId="70E20D6E" w14:textId="37E12A2B" w:rsidR="0028768D" w:rsidRPr="004C6EF9" w:rsidRDefault="004629EB" w:rsidP="004629EB">
      <w:pPr>
        <w:pStyle w:val="paragraph"/>
        <w:rPr>
          <w:rFonts w:asciiTheme="minorHAnsi" w:hAnsiTheme="minorHAnsi" w:cstheme="minorHAnsi"/>
          <w:color w:val="000000" w:themeColor="text1"/>
          <w:lang w:eastAsia="en-US"/>
        </w:rPr>
      </w:pPr>
      <w:r w:rsidRPr="004C6EF9">
        <w:rPr>
          <w:rFonts w:asciiTheme="minorHAnsi" w:hAnsiTheme="minorHAnsi" w:cstheme="minorHAnsi"/>
          <w:color w:val="000000" w:themeColor="text1"/>
          <w:lang w:eastAsia="en-US"/>
        </w:rPr>
        <w:t>This report</w:t>
      </w:r>
      <w:r w:rsidR="0089016B">
        <w:rPr>
          <w:rFonts w:asciiTheme="minorHAnsi" w:hAnsiTheme="minorHAnsi" w:cstheme="minorHAnsi"/>
          <w:color w:val="000000" w:themeColor="text1"/>
          <w:lang w:eastAsia="en-US"/>
        </w:rPr>
        <w:t xml:space="preserve">, an update to the one presented at TDAG-21, </w:t>
      </w:r>
      <w:r w:rsidR="00CD157C">
        <w:rPr>
          <w:rFonts w:asciiTheme="minorHAnsi" w:hAnsiTheme="minorHAnsi" w:cstheme="minorHAnsi"/>
          <w:color w:val="000000" w:themeColor="text1"/>
          <w:lang w:eastAsia="en-US"/>
        </w:rPr>
        <w:t>described</w:t>
      </w:r>
      <w:r w:rsidRPr="004C6EF9">
        <w:rPr>
          <w:rFonts w:asciiTheme="minorHAnsi" w:hAnsiTheme="minorHAnsi" w:cstheme="minorHAnsi"/>
          <w:color w:val="000000" w:themeColor="text1"/>
          <w:lang w:eastAsia="en-US"/>
        </w:rPr>
        <w:t xml:space="preserve"> </w:t>
      </w:r>
      <w:r w:rsidR="0089016B">
        <w:rPr>
          <w:rFonts w:asciiTheme="minorHAnsi" w:hAnsiTheme="minorHAnsi" w:cstheme="minorHAnsi"/>
          <w:color w:val="000000" w:themeColor="text1"/>
          <w:lang w:eastAsia="en-US"/>
        </w:rPr>
        <w:t xml:space="preserve">actions taken to </w:t>
      </w:r>
      <w:r w:rsidRPr="004C6EF9">
        <w:rPr>
          <w:rFonts w:asciiTheme="minorHAnsi" w:hAnsiTheme="minorHAnsi" w:cstheme="minorHAnsi"/>
          <w:color w:val="000000" w:themeColor="text1"/>
          <w:lang w:eastAsia="en-US"/>
        </w:rPr>
        <w:t>implemen</w:t>
      </w:r>
      <w:r w:rsidR="0089016B">
        <w:rPr>
          <w:rFonts w:asciiTheme="minorHAnsi" w:hAnsiTheme="minorHAnsi" w:cstheme="minorHAnsi"/>
          <w:color w:val="000000" w:themeColor="text1"/>
          <w:lang w:eastAsia="en-US"/>
        </w:rPr>
        <w:t>t</w:t>
      </w:r>
      <w:r w:rsidRPr="004C6EF9">
        <w:rPr>
          <w:rFonts w:asciiTheme="minorHAnsi" w:hAnsiTheme="minorHAnsi" w:cstheme="minorHAnsi"/>
          <w:color w:val="000000" w:themeColor="text1"/>
          <w:lang w:eastAsia="en-US"/>
        </w:rPr>
        <w:t xml:space="preserve"> the Buenos Aires Action Plan (BaAP) and </w:t>
      </w:r>
      <w:r w:rsidR="0089016B">
        <w:rPr>
          <w:rFonts w:asciiTheme="minorHAnsi" w:hAnsiTheme="minorHAnsi" w:cstheme="minorHAnsi"/>
          <w:color w:val="000000" w:themeColor="text1"/>
          <w:lang w:eastAsia="en-US"/>
        </w:rPr>
        <w:t xml:space="preserve">how these efforts in turn </w:t>
      </w:r>
      <w:r w:rsidRPr="004C6EF9">
        <w:rPr>
          <w:rFonts w:asciiTheme="minorHAnsi" w:hAnsiTheme="minorHAnsi" w:cstheme="minorHAnsi"/>
          <w:color w:val="000000" w:themeColor="text1"/>
          <w:lang w:eastAsia="en-US"/>
        </w:rPr>
        <w:t>contribut</w:t>
      </w:r>
      <w:r w:rsidR="0089016B">
        <w:rPr>
          <w:rFonts w:asciiTheme="minorHAnsi" w:hAnsiTheme="minorHAnsi" w:cstheme="minorHAnsi"/>
          <w:color w:val="000000" w:themeColor="text1"/>
          <w:lang w:eastAsia="en-US"/>
        </w:rPr>
        <w:t>e</w:t>
      </w:r>
      <w:r w:rsidR="00172530">
        <w:rPr>
          <w:rFonts w:asciiTheme="minorHAnsi" w:hAnsiTheme="minorHAnsi" w:cstheme="minorHAnsi"/>
          <w:color w:val="000000" w:themeColor="text1"/>
          <w:lang w:eastAsia="en-US"/>
        </w:rPr>
        <w:t xml:space="preserve">d </w:t>
      </w:r>
      <w:r w:rsidRPr="004C6EF9">
        <w:rPr>
          <w:rFonts w:asciiTheme="minorHAnsi" w:hAnsiTheme="minorHAnsi" w:cstheme="minorHAnsi"/>
          <w:color w:val="000000" w:themeColor="text1"/>
          <w:lang w:eastAsia="en-US"/>
        </w:rPr>
        <w:t xml:space="preserve">to </w:t>
      </w:r>
      <w:r w:rsidR="0089016B">
        <w:rPr>
          <w:rFonts w:asciiTheme="minorHAnsi" w:hAnsiTheme="minorHAnsi" w:cstheme="minorHAnsi"/>
          <w:color w:val="000000" w:themeColor="text1"/>
          <w:lang w:eastAsia="en-US"/>
        </w:rPr>
        <w:t>both</w:t>
      </w:r>
      <w:r w:rsidRPr="004C6EF9">
        <w:rPr>
          <w:rFonts w:asciiTheme="minorHAnsi" w:hAnsiTheme="minorHAnsi" w:cstheme="minorHAnsi"/>
          <w:color w:val="000000" w:themeColor="text1"/>
          <w:lang w:eastAsia="en-US"/>
        </w:rPr>
        <w:t xml:space="preserve"> the WSIS Plan of Action and the Sustainable Development Goals (SDGs). </w:t>
      </w:r>
      <w:r w:rsidR="0028768D" w:rsidRPr="004C6EF9">
        <w:rPr>
          <w:rFonts w:asciiTheme="minorHAnsi" w:hAnsiTheme="minorHAnsi" w:cstheme="minorHAnsi"/>
          <w:color w:val="000000" w:themeColor="text1"/>
          <w:lang w:eastAsia="en-US"/>
        </w:rPr>
        <w:t xml:space="preserve">The document </w:t>
      </w:r>
      <w:r w:rsidR="00172530">
        <w:rPr>
          <w:rFonts w:asciiTheme="minorHAnsi" w:hAnsiTheme="minorHAnsi" w:cstheme="minorHAnsi"/>
          <w:color w:val="000000" w:themeColor="text1"/>
          <w:lang w:eastAsia="en-US"/>
        </w:rPr>
        <w:t>recount</w:t>
      </w:r>
      <w:r w:rsidR="003E6669">
        <w:rPr>
          <w:rFonts w:asciiTheme="minorHAnsi" w:hAnsiTheme="minorHAnsi" w:cstheme="minorHAnsi"/>
          <w:color w:val="000000" w:themeColor="text1"/>
          <w:lang w:eastAsia="en-US"/>
        </w:rPr>
        <w:t xml:space="preserve">s </w:t>
      </w:r>
      <w:r w:rsidR="0028768D" w:rsidRPr="004C6EF9">
        <w:rPr>
          <w:rFonts w:asciiTheme="minorHAnsi" w:hAnsiTheme="minorHAnsi" w:cstheme="minorHAnsi"/>
          <w:color w:val="000000" w:themeColor="text1"/>
          <w:lang w:eastAsia="en-US"/>
        </w:rPr>
        <w:t xml:space="preserve">the progress and achievements made in the Thematic Priorities, the </w:t>
      </w:r>
      <w:r w:rsidR="00266F7A" w:rsidRPr="004C6EF9">
        <w:rPr>
          <w:rFonts w:asciiTheme="minorHAnsi" w:hAnsiTheme="minorHAnsi" w:cstheme="minorHAnsi"/>
          <w:color w:val="000000" w:themeColor="text1"/>
          <w:lang w:eastAsia="en-US"/>
        </w:rPr>
        <w:t>ITU-D s</w:t>
      </w:r>
      <w:r w:rsidR="0028768D" w:rsidRPr="004C6EF9">
        <w:rPr>
          <w:rFonts w:asciiTheme="minorHAnsi" w:hAnsiTheme="minorHAnsi" w:cstheme="minorHAnsi"/>
          <w:color w:val="000000" w:themeColor="text1"/>
          <w:lang w:eastAsia="en-US"/>
        </w:rPr>
        <w:t xml:space="preserve">tudy </w:t>
      </w:r>
      <w:r w:rsidR="00266F7A" w:rsidRPr="004C6EF9">
        <w:rPr>
          <w:rFonts w:asciiTheme="minorHAnsi" w:hAnsiTheme="minorHAnsi" w:cstheme="minorHAnsi"/>
          <w:color w:val="000000" w:themeColor="text1"/>
          <w:lang w:eastAsia="en-US"/>
        </w:rPr>
        <w:t>g</w:t>
      </w:r>
      <w:r w:rsidR="0028768D" w:rsidRPr="004C6EF9">
        <w:rPr>
          <w:rFonts w:asciiTheme="minorHAnsi" w:hAnsiTheme="minorHAnsi" w:cstheme="minorHAnsi"/>
          <w:color w:val="000000" w:themeColor="text1"/>
          <w:lang w:eastAsia="en-US"/>
        </w:rPr>
        <w:t xml:space="preserve">roups, </w:t>
      </w:r>
      <w:r w:rsidRPr="004C6EF9">
        <w:rPr>
          <w:rFonts w:asciiTheme="minorHAnsi" w:hAnsiTheme="minorHAnsi" w:cstheme="minorHAnsi"/>
          <w:color w:val="000000" w:themeColor="text1"/>
          <w:lang w:eastAsia="en-US"/>
        </w:rPr>
        <w:t xml:space="preserve">new strategic initiatives, </w:t>
      </w:r>
      <w:r w:rsidR="0028768D" w:rsidRPr="004C6EF9">
        <w:rPr>
          <w:rFonts w:asciiTheme="minorHAnsi" w:hAnsiTheme="minorHAnsi" w:cstheme="minorHAnsi"/>
          <w:color w:val="000000" w:themeColor="text1"/>
          <w:lang w:eastAsia="en-US"/>
        </w:rPr>
        <w:t>and the Regional Initiatives between 2018 and September 2021. The document also highlight</w:t>
      </w:r>
      <w:r w:rsidR="00650B3E">
        <w:rPr>
          <w:rFonts w:asciiTheme="minorHAnsi" w:hAnsiTheme="minorHAnsi" w:cstheme="minorHAnsi"/>
          <w:color w:val="000000" w:themeColor="text1"/>
          <w:lang w:eastAsia="en-US"/>
        </w:rPr>
        <w:t>s</w:t>
      </w:r>
      <w:r w:rsidR="0028768D" w:rsidRPr="004C6EF9">
        <w:rPr>
          <w:rFonts w:asciiTheme="minorHAnsi" w:hAnsiTheme="minorHAnsi" w:cstheme="minorHAnsi"/>
          <w:color w:val="000000" w:themeColor="text1"/>
          <w:lang w:eastAsia="en-US"/>
        </w:rPr>
        <w:t xml:space="preserve"> key links between BDT/ITU’s work and international development plans</w:t>
      </w:r>
      <w:r w:rsidR="0089016B">
        <w:rPr>
          <w:rFonts w:asciiTheme="minorHAnsi" w:hAnsiTheme="minorHAnsi" w:cstheme="minorHAnsi"/>
          <w:color w:val="000000" w:themeColor="text1"/>
          <w:lang w:eastAsia="en-US"/>
        </w:rPr>
        <w:t>.</w:t>
      </w:r>
      <w:r w:rsidR="0028768D" w:rsidRPr="004C6EF9">
        <w:rPr>
          <w:rFonts w:asciiTheme="minorHAnsi" w:hAnsiTheme="minorHAnsi" w:cstheme="minorHAnsi"/>
          <w:color w:val="000000" w:themeColor="text1"/>
          <w:lang w:eastAsia="en-US"/>
        </w:rPr>
        <w:t xml:space="preserve"> Annex 1 </w:t>
      </w:r>
      <w:r w:rsidR="0089016B">
        <w:rPr>
          <w:rFonts w:asciiTheme="minorHAnsi" w:hAnsiTheme="minorHAnsi" w:cstheme="minorHAnsi"/>
          <w:color w:val="000000" w:themeColor="text1"/>
          <w:lang w:eastAsia="en-US"/>
        </w:rPr>
        <w:t xml:space="preserve">displays </w:t>
      </w:r>
      <w:r w:rsidR="0028768D" w:rsidRPr="004C6EF9">
        <w:rPr>
          <w:rFonts w:asciiTheme="minorHAnsi" w:hAnsiTheme="minorHAnsi" w:cstheme="minorHAnsi"/>
          <w:color w:val="000000" w:themeColor="text1"/>
          <w:lang w:eastAsia="en-US"/>
        </w:rPr>
        <w:t>link</w:t>
      </w:r>
      <w:r w:rsidR="0089016B">
        <w:rPr>
          <w:rFonts w:asciiTheme="minorHAnsi" w:hAnsiTheme="minorHAnsi" w:cstheme="minorHAnsi"/>
          <w:color w:val="000000" w:themeColor="text1"/>
          <w:lang w:eastAsia="en-US"/>
        </w:rPr>
        <w:t>s</w:t>
      </w:r>
      <w:r w:rsidR="0028768D" w:rsidRPr="004C6EF9">
        <w:rPr>
          <w:rFonts w:asciiTheme="minorHAnsi" w:hAnsiTheme="minorHAnsi" w:cstheme="minorHAnsi"/>
          <w:color w:val="000000" w:themeColor="text1"/>
          <w:lang w:eastAsia="en-US"/>
        </w:rPr>
        <w:t xml:space="preserve"> between thematic priorities, study groups, ITU Resolutions, BDT projects, BDT regional initiatives, SDGs and WSIS Action Lines</w:t>
      </w:r>
      <w:r w:rsidR="00775BF3" w:rsidRPr="004C6EF9">
        <w:rPr>
          <w:rFonts w:asciiTheme="minorHAnsi" w:hAnsiTheme="minorHAnsi" w:cstheme="minorHAnsi"/>
          <w:color w:val="000000" w:themeColor="text1"/>
          <w:lang w:eastAsia="en-US"/>
        </w:rPr>
        <w:t>,</w:t>
      </w:r>
      <w:r w:rsidR="0028768D" w:rsidRPr="004C6EF9">
        <w:rPr>
          <w:rFonts w:asciiTheme="minorHAnsi" w:hAnsiTheme="minorHAnsi" w:cstheme="minorHAnsi"/>
          <w:color w:val="000000" w:themeColor="text1"/>
          <w:lang w:eastAsia="en-US"/>
        </w:rPr>
        <w:t xml:space="preserve"> and the ITU Connect 2030 Agenda.  </w:t>
      </w:r>
    </w:p>
    <w:tbl>
      <w:tblPr>
        <w:tblStyle w:val="TableGrid"/>
        <w:tblW w:w="0" w:type="auto"/>
        <w:tblLook w:val="04A0" w:firstRow="1" w:lastRow="0" w:firstColumn="1" w:lastColumn="0" w:noHBand="0" w:noVBand="1"/>
      </w:tblPr>
      <w:tblGrid>
        <w:gridCol w:w="9629"/>
      </w:tblGrid>
      <w:tr w:rsidR="00244E09" w:rsidRPr="004C6EF9" w14:paraId="1F7D9540" w14:textId="77777777" w:rsidTr="004D36C6">
        <w:tc>
          <w:tcPr>
            <w:tcW w:w="9629" w:type="dxa"/>
          </w:tcPr>
          <w:p w14:paraId="3807D4DB" w14:textId="1DFD3635" w:rsidR="00244E09" w:rsidRPr="004C6EF9" w:rsidRDefault="00AA44A4" w:rsidP="004D36C6">
            <w:pPr>
              <w:pStyle w:val="CEONormal"/>
              <w:rPr>
                <w:rFonts w:asciiTheme="minorHAnsi" w:hAnsiTheme="minorHAnsi" w:cstheme="minorHAnsi"/>
                <w:color w:val="000000" w:themeColor="text1"/>
                <w:sz w:val="24"/>
                <w:szCs w:val="24"/>
              </w:rPr>
            </w:pPr>
            <w:r w:rsidRPr="004C6EF9">
              <w:rPr>
                <w:rFonts w:asciiTheme="minorHAnsi" w:hAnsiTheme="minorHAnsi" w:cstheme="minorHAnsi"/>
                <w:color w:val="000000" w:themeColor="text1"/>
                <w:sz w:val="24"/>
                <w:szCs w:val="24"/>
              </w:rPr>
              <w:t>TDAG noted the document and thanked BDT for all the efforts t</w:t>
            </w:r>
            <w:r w:rsidR="002203E2">
              <w:rPr>
                <w:rFonts w:asciiTheme="minorHAnsi" w:hAnsiTheme="minorHAnsi" w:cstheme="minorHAnsi"/>
                <w:color w:val="000000" w:themeColor="text1"/>
                <w:sz w:val="24"/>
                <w:szCs w:val="24"/>
              </w:rPr>
              <w:t xml:space="preserve">o </w:t>
            </w:r>
            <w:r w:rsidRPr="004C6EF9">
              <w:rPr>
                <w:rFonts w:asciiTheme="minorHAnsi" w:hAnsiTheme="minorHAnsi" w:cstheme="minorHAnsi"/>
                <w:color w:val="000000" w:themeColor="text1"/>
                <w:sz w:val="24"/>
                <w:szCs w:val="24"/>
              </w:rPr>
              <w:t xml:space="preserve">implement </w:t>
            </w:r>
            <w:r w:rsidR="002203E2">
              <w:rPr>
                <w:rFonts w:asciiTheme="minorHAnsi" w:hAnsiTheme="minorHAnsi" w:cstheme="minorHAnsi"/>
                <w:color w:val="000000" w:themeColor="text1"/>
                <w:sz w:val="24"/>
                <w:szCs w:val="24"/>
              </w:rPr>
              <w:t>the</w:t>
            </w:r>
            <w:r w:rsidRPr="004C6EF9">
              <w:rPr>
                <w:rFonts w:asciiTheme="minorHAnsi" w:hAnsiTheme="minorHAnsi" w:cstheme="minorHAnsi"/>
                <w:color w:val="000000" w:themeColor="text1"/>
                <w:sz w:val="24"/>
                <w:szCs w:val="24"/>
              </w:rPr>
              <w:t xml:space="preserve"> B</w:t>
            </w:r>
            <w:r w:rsidR="00894846">
              <w:rPr>
                <w:rFonts w:asciiTheme="minorHAnsi" w:hAnsiTheme="minorHAnsi" w:cstheme="minorHAnsi"/>
                <w:color w:val="000000" w:themeColor="text1"/>
                <w:sz w:val="24"/>
                <w:szCs w:val="24"/>
              </w:rPr>
              <w:t>a</w:t>
            </w:r>
            <w:r w:rsidRPr="004C6EF9">
              <w:rPr>
                <w:rFonts w:asciiTheme="minorHAnsi" w:hAnsiTheme="minorHAnsi" w:cstheme="minorHAnsi"/>
                <w:color w:val="000000" w:themeColor="text1"/>
                <w:sz w:val="24"/>
                <w:szCs w:val="24"/>
              </w:rPr>
              <w:t>AP. Further updates on the ongoing work and outcomes will be made available in the lead up to WTDC.</w:t>
            </w:r>
          </w:p>
        </w:tc>
      </w:tr>
    </w:tbl>
    <w:p w14:paraId="1F99B7B1" w14:textId="7E3259B4" w:rsidR="0035295E" w:rsidRPr="004C6EF9" w:rsidRDefault="00D1140E" w:rsidP="0011639E">
      <w:pPr>
        <w:keepNext/>
        <w:tabs>
          <w:tab w:val="left" w:pos="306"/>
        </w:tabs>
        <w:spacing w:after="120"/>
        <w:rPr>
          <w:rFonts w:cstheme="minorHAnsi"/>
          <w:b/>
          <w:bCs/>
          <w:szCs w:val="24"/>
        </w:rPr>
      </w:pPr>
      <w:r w:rsidRPr="004C6EF9">
        <w:rPr>
          <w:rFonts w:cstheme="minorHAnsi"/>
          <w:b/>
          <w:bCs/>
          <w:szCs w:val="24"/>
        </w:rPr>
        <w:t>Document</w:t>
      </w:r>
      <w:r w:rsidR="00296088" w:rsidRPr="004C6EF9">
        <w:rPr>
          <w:rFonts w:cstheme="minorHAnsi"/>
          <w:b/>
          <w:bCs/>
          <w:szCs w:val="24"/>
        </w:rPr>
        <w:t xml:space="preserve"> </w:t>
      </w:r>
      <w:hyperlink r:id="rId13" w:history="1">
        <w:r w:rsidR="0035295E" w:rsidRPr="004C6EF9">
          <w:rPr>
            <w:rStyle w:val="Hyperlink"/>
            <w:rFonts w:cstheme="minorHAnsi"/>
            <w:b/>
            <w:bCs/>
            <w:szCs w:val="24"/>
          </w:rPr>
          <w:t>19</w:t>
        </w:r>
      </w:hyperlink>
    </w:p>
    <w:p w14:paraId="792C5B9B" w14:textId="3D3B5C7A" w:rsidR="00D1140E" w:rsidRPr="004C6EF9" w:rsidRDefault="00D1140E" w:rsidP="00D1140E">
      <w:pPr>
        <w:spacing w:after="120"/>
        <w:rPr>
          <w:rFonts w:cstheme="minorHAnsi"/>
          <w:szCs w:val="24"/>
        </w:rPr>
      </w:pPr>
      <w:r w:rsidRPr="004C6EF9">
        <w:rPr>
          <w:rFonts w:cstheme="minorHAnsi"/>
          <w:szCs w:val="24"/>
        </w:rPr>
        <w:t>The</w:t>
      </w:r>
      <w:r w:rsidR="00296088" w:rsidRPr="004C6EF9">
        <w:rPr>
          <w:rFonts w:cstheme="minorHAnsi"/>
          <w:szCs w:val="24"/>
        </w:rPr>
        <w:t xml:space="preserve"> </w:t>
      </w:r>
      <w:r w:rsidRPr="004C6EF9">
        <w:rPr>
          <w:rFonts w:cstheme="minorHAnsi"/>
          <w:szCs w:val="24"/>
        </w:rPr>
        <w:t>ITU</w:t>
      </w:r>
      <w:r w:rsidR="00296088" w:rsidRPr="004C6EF9">
        <w:rPr>
          <w:rFonts w:cstheme="minorHAnsi"/>
          <w:szCs w:val="24"/>
        </w:rPr>
        <w:t xml:space="preserve"> </w:t>
      </w:r>
      <w:r w:rsidRPr="004C6EF9">
        <w:rPr>
          <w:rFonts w:cstheme="minorHAnsi"/>
          <w:szCs w:val="24"/>
        </w:rPr>
        <w:t>Youth</w:t>
      </w:r>
      <w:r w:rsidR="00296088" w:rsidRPr="004C6EF9">
        <w:rPr>
          <w:rFonts w:cstheme="minorHAnsi"/>
          <w:szCs w:val="24"/>
        </w:rPr>
        <w:t xml:space="preserve"> </w:t>
      </w:r>
      <w:r w:rsidRPr="004C6EF9">
        <w:rPr>
          <w:rFonts w:cstheme="minorHAnsi"/>
          <w:szCs w:val="24"/>
        </w:rPr>
        <w:t>Strategy</w:t>
      </w:r>
      <w:r w:rsidR="00296088" w:rsidRPr="004C6EF9">
        <w:rPr>
          <w:rFonts w:cstheme="minorHAnsi"/>
          <w:szCs w:val="24"/>
        </w:rPr>
        <w:t xml:space="preserve"> </w:t>
      </w:r>
      <w:r w:rsidRPr="004C6EF9">
        <w:rPr>
          <w:rFonts w:cstheme="minorHAnsi"/>
          <w:szCs w:val="24"/>
        </w:rPr>
        <w:t>was</w:t>
      </w:r>
      <w:r w:rsidR="00296088" w:rsidRPr="004C6EF9">
        <w:rPr>
          <w:rFonts w:cstheme="minorHAnsi"/>
          <w:szCs w:val="24"/>
        </w:rPr>
        <w:t xml:space="preserve"> </w:t>
      </w:r>
      <w:r w:rsidRPr="004C6EF9">
        <w:rPr>
          <w:rFonts w:cstheme="minorHAnsi"/>
          <w:szCs w:val="24"/>
        </w:rPr>
        <w:t>presented</w:t>
      </w:r>
      <w:r w:rsidR="00296088" w:rsidRPr="004C6EF9">
        <w:rPr>
          <w:rFonts w:cstheme="minorHAnsi"/>
          <w:szCs w:val="24"/>
        </w:rPr>
        <w:t xml:space="preserve"> </w:t>
      </w:r>
      <w:r w:rsidRPr="004C6EF9">
        <w:rPr>
          <w:rFonts w:cstheme="minorHAnsi"/>
          <w:szCs w:val="24"/>
        </w:rPr>
        <w:t>and</w:t>
      </w:r>
      <w:r w:rsidR="00296088" w:rsidRPr="004C6EF9">
        <w:rPr>
          <w:rFonts w:cstheme="minorHAnsi"/>
          <w:szCs w:val="24"/>
        </w:rPr>
        <w:t xml:space="preserve"> </w:t>
      </w:r>
      <w:r w:rsidRPr="004C6EF9">
        <w:rPr>
          <w:rFonts w:cstheme="minorHAnsi"/>
          <w:szCs w:val="24"/>
        </w:rPr>
        <w:t>adopted</w:t>
      </w:r>
      <w:r w:rsidR="00296088" w:rsidRPr="004C6EF9">
        <w:rPr>
          <w:rFonts w:cstheme="minorHAnsi"/>
          <w:szCs w:val="24"/>
        </w:rPr>
        <w:t xml:space="preserve"> </w:t>
      </w:r>
      <w:r w:rsidRPr="004C6EF9">
        <w:rPr>
          <w:rFonts w:cstheme="minorHAnsi"/>
          <w:szCs w:val="24"/>
        </w:rPr>
        <w:t>by</w:t>
      </w:r>
      <w:r w:rsidR="00296088" w:rsidRPr="004C6EF9">
        <w:rPr>
          <w:rFonts w:cstheme="minorHAnsi"/>
          <w:szCs w:val="24"/>
        </w:rPr>
        <w:t xml:space="preserve"> </w:t>
      </w:r>
      <w:r w:rsidRPr="004C6EF9">
        <w:rPr>
          <w:rFonts w:cstheme="minorHAnsi"/>
          <w:szCs w:val="24"/>
        </w:rPr>
        <w:t>ITU</w:t>
      </w:r>
      <w:r w:rsidR="00296088" w:rsidRPr="004C6EF9">
        <w:rPr>
          <w:rFonts w:cstheme="minorHAnsi"/>
          <w:szCs w:val="24"/>
        </w:rPr>
        <w:t xml:space="preserve"> </w:t>
      </w:r>
      <w:r w:rsidRPr="004C6EF9">
        <w:rPr>
          <w:rFonts w:cstheme="minorHAnsi"/>
          <w:szCs w:val="24"/>
        </w:rPr>
        <w:t>Members</w:t>
      </w:r>
      <w:r w:rsidR="00296088" w:rsidRPr="004C6EF9">
        <w:rPr>
          <w:rFonts w:cstheme="minorHAnsi"/>
          <w:szCs w:val="24"/>
        </w:rPr>
        <w:t xml:space="preserve"> </w:t>
      </w:r>
      <w:r w:rsidRPr="004C6EF9">
        <w:rPr>
          <w:rFonts w:cstheme="minorHAnsi"/>
          <w:szCs w:val="24"/>
        </w:rPr>
        <w:t>at</w:t>
      </w:r>
      <w:r w:rsidR="00296088" w:rsidRPr="004C6EF9">
        <w:rPr>
          <w:rFonts w:cstheme="minorHAnsi"/>
          <w:szCs w:val="24"/>
        </w:rPr>
        <w:t xml:space="preserve"> </w:t>
      </w:r>
      <w:r w:rsidRPr="004C6EF9">
        <w:rPr>
          <w:rFonts w:cstheme="minorHAnsi"/>
          <w:szCs w:val="24"/>
        </w:rPr>
        <w:t>TDAG</w:t>
      </w:r>
      <w:r w:rsidR="00775BF3" w:rsidRPr="004C6EF9">
        <w:rPr>
          <w:rFonts w:cstheme="minorHAnsi"/>
          <w:szCs w:val="24"/>
        </w:rPr>
        <w:t>-20</w:t>
      </w:r>
      <w:r w:rsidR="00296088" w:rsidRPr="004C6EF9">
        <w:rPr>
          <w:rFonts w:cstheme="minorHAnsi"/>
          <w:szCs w:val="24"/>
        </w:rPr>
        <w:t xml:space="preserve"> </w:t>
      </w:r>
      <w:r w:rsidR="00775BF3" w:rsidRPr="004C6EF9">
        <w:rPr>
          <w:rFonts w:cstheme="minorHAnsi"/>
          <w:szCs w:val="24"/>
        </w:rPr>
        <w:t>(</w:t>
      </w:r>
      <w:r w:rsidRPr="004C6EF9">
        <w:rPr>
          <w:rFonts w:cstheme="minorHAnsi"/>
          <w:szCs w:val="24"/>
        </w:rPr>
        <w:t>2-5</w:t>
      </w:r>
      <w:r w:rsidR="00296088" w:rsidRPr="004C6EF9">
        <w:rPr>
          <w:rFonts w:cstheme="minorHAnsi"/>
          <w:szCs w:val="24"/>
        </w:rPr>
        <w:t xml:space="preserve"> </w:t>
      </w:r>
      <w:r w:rsidRPr="004C6EF9">
        <w:rPr>
          <w:rFonts w:cstheme="minorHAnsi"/>
          <w:szCs w:val="24"/>
        </w:rPr>
        <w:t>June</w:t>
      </w:r>
      <w:r w:rsidR="00296088" w:rsidRPr="004C6EF9">
        <w:rPr>
          <w:rFonts w:cstheme="minorHAnsi"/>
          <w:szCs w:val="24"/>
        </w:rPr>
        <w:t xml:space="preserve"> </w:t>
      </w:r>
      <w:r w:rsidRPr="004C6EF9">
        <w:rPr>
          <w:rFonts w:cstheme="minorHAnsi"/>
          <w:szCs w:val="24"/>
        </w:rPr>
        <w:t>2020</w:t>
      </w:r>
      <w:r w:rsidR="00775BF3" w:rsidRPr="004C6EF9">
        <w:rPr>
          <w:rFonts w:cstheme="minorHAnsi"/>
          <w:szCs w:val="24"/>
        </w:rPr>
        <w:t>)</w:t>
      </w:r>
      <w:r w:rsidRPr="004C6EF9">
        <w:rPr>
          <w:rFonts w:cstheme="minorHAnsi"/>
          <w:szCs w:val="24"/>
        </w:rPr>
        <w:t>.</w:t>
      </w:r>
      <w:r w:rsidR="00296088" w:rsidRPr="004C6EF9">
        <w:rPr>
          <w:rFonts w:cstheme="minorHAnsi"/>
          <w:szCs w:val="24"/>
        </w:rPr>
        <w:t xml:space="preserve"> </w:t>
      </w:r>
      <w:r w:rsidRPr="004C6EF9">
        <w:rPr>
          <w:rFonts w:cstheme="minorHAnsi"/>
          <w:szCs w:val="24"/>
        </w:rPr>
        <w:t>Its</w:t>
      </w:r>
      <w:r w:rsidR="00296088" w:rsidRPr="004C6EF9">
        <w:rPr>
          <w:rFonts w:cstheme="minorHAnsi"/>
          <w:szCs w:val="24"/>
        </w:rPr>
        <w:t xml:space="preserve"> </w:t>
      </w:r>
      <w:r w:rsidRPr="004C6EF9">
        <w:rPr>
          <w:rFonts w:cstheme="minorHAnsi"/>
          <w:szCs w:val="24"/>
        </w:rPr>
        <w:t>aim</w:t>
      </w:r>
      <w:r w:rsidR="00296088" w:rsidRPr="004C6EF9">
        <w:rPr>
          <w:rFonts w:cstheme="minorHAnsi"/>
          <w:szCs w:val="24"/>
        </w:rPr>
        <w:t xml:space="preserve"> </w:t>
      </w:r>
      <w:r w:rsidRPr="004C6EF9">
        <w:rPr>
          <w:rFonts w:cstheme="minorHAnsi"/>
          <w:szCs w:val="24"/>
        </w:rPr>
        <w:t>is</w:t>
      </w:r>
      <w:r w:rsidR="00296088" w:rsidRPr="004C6EF9">
        <w:rPr>
          <w:rFonts w:cstheme="minorHAnsi"/>
          <w:szCs w:val="24"/>
        </w:rPr>
        <w:t xml:space="preserve"> </w:t>
      </w:r>
      <w:r w:rsidRPr="004C6EF9">
        <w:rPr>
          <w:rFonts w:cstheme="minorHAnsi"/>
          <w:szCs w:val="24"/>
        </w:rPr>
        <w:t>to</w:t>
      </w:r>
      <w:r w:rsidR="00296088" w:rsidRPr="004C6EF9">
        <w:rPr>
          <w:rFonts w:cstheme="minorHAnsi"/>
          <w:szCs w:val="24"/>
        </w:rPr>
        <w:t xml:space="preserve"> </w:t>
      </w:r>
      <w:r w:rsidRPr="004C6EF9">
        <w:rPr>
          <w:rFonts w:cstheme="minorHAnsi"/>
          <w:szCs w:val="24"/>
        </w:rPr>
        <w:t>improve</w:t>
      </w:r>
      <w:r w:rsidR="00296088" w:rsidRPr="004C6EF9">
        <w:rPr>
          <w:rFonts w:cstheme="minorHAnsi"/>
          <w:szCs w:val="24"/>
        </w:rPr>
        <w:t xml:space="preserve"> </w:t>
      </w:r>
      <w:r w:rsidRPr="004C6EF9">
        <w:rPr>
          <w:rFonts w:cstheme="minorHAnsi"/>
          <w:szCs w:val="24"/>
        </w:rPr>
        <w:t>and</w:t>
      </w:r>
      <w:r w:rsidR="00296088" w:rsidRPr="004C6EF9">
        <w:rPr>
          <w:rFonts w:cstheme="minorHAnsi"/>
          <w:szCs w:val="24"/>
        </w:rPr>
        <w:t xml:space="preserve"> </w:t>
      </w:r>
      <w:r w:rsidRPr="004C6EF9">
        <w:rPr>
          <w:rFonts w:cstheme="minorHAnsi"/>
          <w:szCs w:val="24"/>
        </w:rPr>
        <w:t>have</w:t>
      </w:r>
      <w:r w:rsidR="00296088" w:rsidRPr="004C6EF9">
        <w:rPr>
          <w:rFonts w:cstheme="minorHAnsi"/>
          <w:szCs w:val="24"/>
        </w:rPr>
        <w:t xml:space="preserve"> </w:t>
      </w:r>
      <w:r w:rsidRPr="004C6EF9">
        <w:rPr>
          <w:rFonts w:cstheme="minorHAnsi"/>
          <w:szCs w:val="24"/>
        </w:rPr>
        <w:t>real</w:t>
      </w:r>
      <w:r w:rsidR="00296088" w:rsidRPr="004C6EF9">
        <w:rPr>
          <w:rFonts w:cstheme="minorHAnsi"/>
          <w:szCs w:val="24"/>
        </w:rPr>
        <w:t xml:space="preserve"> </w:t>
      </w:r>
      <w:r w:rsidRPr="004C6EF9">
        <w:rPr>
          <w:rFonts w:cstheme="minorHAnsi"/>
          <w:szCs w:val="24"/>
        </w:rPr>
        <w:t>impact</w:t>
      </w:r>
      <w:r w:rsidR="00296088" w:rsidRPr="004C6EF9">
        <w:rPr>
          <w:rFonts w:cstheme="minorHAnsi"/>
          <w:szCs w:val="24"/>
        </w:rPr>
        <w:t xml:space="preserve"> </w:t>
      </w:r>
      <w:r w:rsidRPr="004C6EF9">
        <w:rPr>
          <w:rFonts w:cstheme="minorHAnsi"/>
          <w:szCs w:val="24"/>
        </w:rPr>
        <w:t>on</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Pr="004C6EF9">
        <w:rPr>
          <w:rFonts w:cstheme="minorHAnsi"/>
          <w:szCs w:val="24"/>
        </w:rPr>
        <w:t>lives</w:t>
      </w:r>
      <w:r w:rsidR="00296088" w:rsidRPr="004C6EF9">
        <w:rPr>
          <w:rFonts w:cstheme="minorHAnsi"/>
          <w:szCs w:val="24"/>
        </w:rPr>
        <w:t xml:space="preserve"> </w:t>
      </w:r>
      <w:r w:rsidRPr="004C6EF9">
        <w:rPr>
          <w:rFonts w:cstheme="minorHAnsi"/>
          <w:szCs w:val="24"/>
        </w:rPr>
        <w:t>of</w:t>
      </w:r>
      <w:r w:rsidR="00296088" w:rsidRPr="004C6EF9">
        <w:rPr>
          <w:rFonts w:cstheme="minorHAnsi"/>
          <w:szCs w:val="24"/>
        </w:rPr>
        <w:t xml:space="preserve"> </w:t>
      </w:r>
      <w:r w:rsidRPr="004C6EF9">
        <w:rPr>
          <w:rFonts w:cstheme="minorHAnsi"/>
          <w:szCs w:val="24"/>
        </w:rPr>
        <w:t>young</w:t>
      </w:r>
      <w:r w:rsidR="00296088" w:rsidRPr="004C6EF9">
        <w:rPr>
          <w:rFonts w:cstheme="minorHAnsi"/>
          <w:szCs w:val="24"/>
        </w:rPr>
        <w:t xml:space="preserve"> </w:t>
      </w:r>
      <w:r w:rsidRPr="004C6EF9">
        <w:rPr>
          <w:rFonts w:cstheme="minorHAnsi"/>
          <w:szCs w:val="24"/>
        </w:rPr>
        <w:t>people</w:t>
      </w:r>
      <w:r w:rsidR="00296088" w:rsidRPr="004C6EF9">
        <w:rPr>
          <w:rFonts w:cstheme="minorHAnsi"/>
          <w:szCs w:val="24"/>
        </w:rPr>
        <w:t xml:space="preserve"> </w:t>
      </w:r>
      <w:r w:rsidRPr="004C6EF9">
        <w:rPr>
          <w:rFonts w:cstheme="minorHAnsi"/>
          <w:szCs w:val="24"/>
        </w:rPr>
        <w:t>around</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Pr="004C6EF9">
        <w:rPr>
          <w:rFonts w:cstheme="minorHAnsi"/>
          <w:szCs w:val="24"/>
        </w:rPr>
        <w:t>world</w:t>
      </w:r>
      <w:r w:rsidR="00296088" w:rsidRPr="004C6EF9">
        <w:rPr>
          <w:rFonts w:cstheme="minorHAnsi"/>
          <w:szCs w:val="24"/>
        </w:rPr>
        <w:t xml:space="preserve"> </w:t>
      </w:r>
      <w:r w:rsidRPr="004C6EF9">
        <w:rPr>
          <w:rFonts w:cstheme="minorHAnsi"/>
          <w:szCs w:val="24"/>
        </w:rPr>
        <w:t>and</w:t>
      </w:r>
      <w:r w:rsidR="00296088" w:rsidRPr="004C6EF9">
        <w:rPr>
          <w:rFonts w:cstheme="minorHAnsi"/>
          <w:szCs w:val="24"/>
        </w:rPr>
        <w:t xml:space="preserve"> </w:t>
      </w:r>
      <w:r w:rsidRPr="004C6EF9">
        <w:rPr>
          <w:rFonts w:cstheme="minorHAnsi"/>
          <w:szCs w:val="24"/>
        </w:rPr>
        <w:t>to</w:t>
      </w:r>
      <w:r w:rsidR="00296088" w:rsidRPr="004C6EF9">
        <w:rPr>
          <w:rFonts w:cstheme="minorHAnsi"/>
          <w:szCs w:val="24"/>
        </w:rPr>
        <w:t xml:space="preserve"> </w:t>
      </w:r>
      <w:r w:rsidRPr="004C6EF9">
        <w:rPr>
          <w:rFonts w:cstheme="minorHAnsi"/>
          <w:szCs w:val="24"/>
        </w:rPr>
        <w:t>ensure</w:t>
      </w:r>
      <w:r w:rsidR="00296088" w:rsidRPr="004C6EF9">
        <w:rPr>
          <w:rFonts w:cstheme="minorHAnsi"/>
          <w:szCs w:val="24"/>
        </w:rPr>
        <w:t xml:space="preserve"> </w:t>
      </w:r>
      <w:r w:rsidRPr="004C6EF9">
        <w:rPr>
          <w:rFonts w:cstheme="minorHAnsi"/>
          <w:szCs w:val="24"/>
        </w:rPr>
        <w:t>meaningful</w:t>
      </w:r>
      <w:r w:rsidR="00296088" w:rsidRPr="004C6EF9">
        <w:rPr>
          <w:rFonts w:cstheme="minorHAnsi"/>
          <w:szCs w:val="24"/>
        </w:rPr>
        <w:t xml:space="preserve"> </w:t>
      </w:r>
      <w:r w:rsidRPr="004C6EF9">
        <w:rPr>
          <w:rFonts w:cstheme="minorHAnsi"/>
          <w:szCs w:val="24"/>
        </w:rPr>
        <w:t>participation</w:t>
      </w:r>
      <w:r w:rsidR="00296088" w:rsidRPr="004C6EF9">
        <w:rPr>
          <w:rFonts w:cstheme="minorHAnsi"/>
          <w:szCs w:val="24"/>
        </w:rPr>
        <w:t xml:space="preserve"> </w:t>
      </w:r>
      <w:r w:rsidRPr="004C6EF9">
        <w:rPr>
          <w:rFonts w:cstheme="minorHAnsi"/>
          <w:szCs w:val="24"/>
        </w:rPr>
        <w:t>of</w:t>
      </w:r>
      <w:r w:rsidR="00296088" w:rsidRPr="004C6EF9">
        <w:rPr>
          <w:rFonts w:cstheme="minorHAnsi"/>
          <w:szCs w:val="24"/>
        </w:rPr>
        <w:t xml:space="preserve"> </w:t>
      </w:r>
      <w:r w:rsidRPr="004C6EF9">
        <w:rPr>
          <w:rFonts w:cstheme="minorHAnsi"/>
          <w:szCs w:val="24"/>
        </w:rPr>
        <w:t>youth</w:t>
      </w:r>
      <w:r w:rsidR="00296088" w:rsidRPr="004C6EF9">
        <w:rPr>
          <w:rFonts w:cstheme="minorHAnsi"/>
          <w:szCs w:val="24"/>
        </w:rPr>
        <w:t xml:space="preserve"> </w:t>
      </w:r>
      <w:r w:rsidRPr="004C6EF9">
        <w:rPr>
          <w:rFonts w:cstheme="minorHAnsi"/>
          <w:szCs w:val="24"/>
        </w:rPr>
        <w:t>in</w:t>
      </w:r>
      <w:r w:rsidR="00296088" w:rsidRPr="004C6EF9">
        <w:rPr>
          <w:rFonts w:cstheme="minorHAnsi"/>
          <w:szCs w:val="24"/>
        </w:rPr>
        <w:t xml:space="preserve"> </w:t>
      </w:r>
      <w:r w:rsidRPr="004C6EF9">
        <w:rPr>
          <w:rFonts w:cstheme="minorHAnsi"/>
          <w:szCs w:val="24"/>
        </w:rPr>
        <w:t>ITU</w:t>
      </w:r>
      <w:r w:rsidR="00296088" w:rsidRPr="004C6EF9">
        <w:rPr>
          <w:rFonts w:cstheme="minorHAnsi"/>
          <w:szCs w:val="24"/>
        </w:rPr>
        <w:t xml:space="preserve"> </w:t>
      </w:r>
      <w:r w:rsidRPr="004C6EF9">
        <w:rPr>
          <w:rFonts w:cstheme="minorHAnsi"/>
          <w:szCs w:val="24"/>
        </w:rPr>
        <w:t>as</w:t>
      </w:r>
      <w:r w:rsidR="00296088" w:rsidRPr="004C6EF9">
        <w:rPr>
          <w:rFonts w:cstheme="minorHAnsi"/>
          <w:szCs w:val="24"/>
        </w:rPr>
        <w:t xml:space="preserve"> </w:t>
      </w:r>
      <w:r w:rsidRPr="004C6EF9">
        <w:rPr>
          <w:rFonts w:cstheme="minorHAnsi"/>
          <w:szCs w:val="24"/>
        </w:rPr>
        <w:t>key</w:t>
      </w:r>
      <w:r w:rsidR="00296088" w:rsidRPr="004C6EF9">
        <w:rPr>
          <w:rFonts w:cstheme="minorHAnsi"/>
          <w:szCs w:val="24"/>
        </w:rPr>
        <w:t xml:space="preserve"> </w:t>
      </w:r>
      <w:r w:rsidRPr="004C6EF9">
        <w:rPr>
          <w:rFonts w:cstheme="minorHAnsi"/>
          <w:szCs w:val="24"/>
        </w:rPr>
        <w:t>stakeholders</w:t>
      </w:r>
      <w:r w:rsidR="00296088" w:rsidRPr="004C6EF9">
        <w:rPr>
          <w:rFonts w:cstheme="minorHAnsi"/>
          <w:szCs w:val="24"/>
        </w:rPr>
        <w:t xml:space="preserve"> </w:t>
      </w:r>
      <w:r w:rsidRPr="004C6EF9">
        <w:rPr>
          <w:rFonts w:cstheme="minorHAnsi"/>
          <w:szCs w:val="24"/>
        </w:rPr>
        <w:t>in</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Pr="004C6EF9">
        <w:rPr>
          <w:rFonts w:cstheme="minorHAnsi"/>
          <w:szCs w:val="24"/>
        </w:rPr>
        <w:t>implementation</w:t>
      </w:r>
      <w:r w:rsidR="00296088" w:rsidRPr="004C6EF9">
        <w:rPr>
          <w:rFonts w:cstheme="minorHAnsi"/>
          <w:szCs w:val="24"/>
        </w:rPr>
        <w:t xml:space="preserve"> </w:t>
      </w:r>
      <w:r w:rsidRPr="004C6EF9">
        <w:rPr>
          <w:rFonts w:cstheme="minorHAnsi"/>
          <w:szCs w:val="24"/>
        </w:rPr>
        <w:t>of</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Pr="004C6EF9">
        <w:rPr>
          <w:rFonts w:cstheme="minorHAnsi"/>
          <w:szCs w:val="24"/>
        </w:rPr>
        <w:lastRenderedPageBreak/>
        <w:t>2030</w:t>
      </w:r>
      <w:r w:rsidR="00296088" w:rsidRPr="004C6EF9">
        <w:rPr>
          <w:rFonts w:cstheme="minorHAnsi"/>
          <w:szCs w:val="24"/>
        </w:rPr>
        <w:t xml:space="preserve"> </w:t>
      </w:r>
      <w:r w:rsidRPr="004C6EF9">
        <w:rPr>
          <w:rFonts w:cstheme="minorHAnsi"/>
          <w:szCs w:val="24"/>
        </w:rPr>
        <w:t>Agenda</w:t>
      </w:r>
      <w:r w:rsidR="00296088" w:rsidRPr="004C6EF9">
        <w:rPr>
          <w:rFonts w:cstheme="minorHAnsi"/>
          <w:szCs w:val="24"/>
        </w:rPr>
        <w:t xml:space="preserve"> </w:t>
      </w:r>
      <w:r w:rsidRPr="004C6EF9">
        <w:rPr>
          <w:rFonts w:cstheme="minorHAnsi"/>
          <w:szCs w:val="24"/>
        </w:rPr>
        <w:t>for</w:t>
      </w:r>
      <w:r w:rsidR="00296088" w:rsidRPr="004C6EF9">
        <w:rPr>
          <w:rFonts w:cstheme="minorHAnsi"/>
          <w:szCs w:val="24"/>
        </w:rPr>
        <w:t xml:space="preserve"> </w:t>
      </w:r>
      <w:r w:rsidRPr="004C6EF9">
        <w:rPr>
          <w:rFonts w:cstheme="minorHAnsi"/>
          <w:szCs w:val="24"/>
        </w:rPr>
        <w:t>Sustainable</w:t>
      </w:r>
      <w:r w:rsidR="00296088" w:rsidRPr="004C6EF9">
        <w:rPr>
          <w:rFonts w:cstheme="minorHAnsi"/>
          <w:szCs w:val="24"/>
        </w:rPr>
        <w:t xml:space="preserve"> </w:t>
      </w:r>
      <w:r w:rsidRPr="004C6EF9">
        <w:rPr>
          <w:rFonts w:cstheme="minorHAnsi"/>
          <w:szCs w:val="24"/>
        </w:rPr>
        <w:t>Development.</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Pr="004C6EF9">
        <w:rPr>
          <w:rFonts w:cstheme="minorHAnsi"/>
          <w:szCs w:val="24"/>
        </w:rPr>
        <w:t>three</w:t>
      </w:r>
      <w:r w:rsidR="00296088" w:rsidRPr="004C6EF9">
        <w:rPr>
          <w:rFonts w:cstheme="minorHAnsi"/>
          <w:szCs w:val="24"/>
        </w:rPr>
        <w:t xml:space="preserve"> </w:t>
      </w:r>
      <w:r w:rsidRPr="004C6EF9">
        <w:rPr>
          <w:rFonts w:cstheme="minorHAnsi"/>
          <w:szCs w:val="24"/>
        </w:rPr>
        <w:t>pillars</w:t>
      </w:r>
      <w:r w:rsidR="00296088" w:rsidRPr="004C6EF9">
        <w:rPr>
          <w:rFonts w:cstheme="minorHAnsi"/>
          <w:szCs w:val="24"/>
        </w:rPr>
        <w:t xml:space="preserve"> </w:t>
      </w:r>
      <w:r w:rsidRPr="004C6EF9">
        <w:rPr>
          <w:rFonts w:cstheme="minorHAnsi"/>
          <w:szCs w:val="24"/>
        </w:rPr>
        <w:t>of</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Pr="004C6EF9">
        <w:rPr>
          <w:rFonts w:cstheme="minorHAnsi"/>
          <w:szCs w:val="24"/>
        </w:rPr>
        <w:t>Strategy</w:t>
      </w:r>
      <w:r w:rsidR="00296088" w:rsidRPr="004C6EF9">
        <w:rPr>
          <w:rFonts w:cstheme="minorHAnsi"/>
          <w:szCs w:val="24"/>
        </w:rPr>
        <w:t xml:space="preserve"> </w:t>
      </w:r>
      <w:r w:rsidRPr="004C6EF9">
        <w:rPr>
          <w:rFonts w:cstheme="minorHAnsi"/>
          <w:szCs w:val="24"/>
        </w:rPr>
        <w:t>are:</w:t>
      </w:r>
      <w:r w:rsidR="00296088" w:rsidRPr="004C6EF9">
        <w:rPr>
          <w:rFonts w:cstheme="minorHAnsi"/>
          <w:szCs w:val="24"/>
        </w:rPr>
        <w:t xml:space="preserve"> </w:t>
      </w:r>
      <w:r w:rsidRPr="004C6EF9">
        <w:rPr>
          <w:rFonts w:cstheme="minorHAnsi"/>
          <w:szCs w:val="24"/>
        </w:rPr>
        <w:t>Empower,</w:t>
      </w:r>
      <w:r w:rsidR="00296088" w:rsidRPr="004C6EF9">
        <w:rPr>
          <w:rFonts w:cstheme="minorHAnsi"/>
          <w:szCs w:val="24"/>
        </w:rPr>
        <w:t xml:space="preserve"> </w:t>
      </w:r>
      <w:r w:rsidRPr="004C6EF9">
        <w:rPr>
          <w:rFonts w:cstheme="minorHAnsi"/>
          <w:szCs w:val="24"/>
        </w:rPr>
        <w:t>Engage</w:t>
      </w:r>
      <w:r w:rsidR="00296088" w:rsidRPr="004C6EF9">
        <w:rPr>
          <w:rFonts w:cstheme="minorHAnsi"/>
          <w:szCs w:val="24"/>
        </w:rPr>
        <w:t xml:space="preserve"> </w:t>
      </w:r>
      <w:r w:rsidRPr="004C6EF9">
        <w:rPr>
          <w:rFonts w:cstheme="minorHAnsi"/>
          <w:szCs w:val="24"/>
        </w:rPr>
        <w:t>and</w:t>
      </w:r>
      <w:r w:rsidR="00296088" w:rsidRPr="004C6EF9">
        <w:rPr>
          <w:rFonts w:cstheme="minorHAnsi"/>
          <w:szCs w:val="24"/>
        </w:rPr>
        <w:t xml:space="preserve"> </w:t>
      </w:r>
      <w:r w:rsidRPr="004C6EF9">
        <w:rPr>
          <w:rFonts w:cstheme="minorHAnsi"/>
          <w:szCs w:val="24"/>
        </w:rPr>
        <w:t>Participate.</w:t>
      </w:r>
      <w:r w:rsidR="00296088" w:rsidRPr="004C6EF9">
        <w:rPr>
          <w:rFonts w:cstheme="minorHAnsi"/>
          <w:szCs w:val="24"/>
        </w:rPr>
        <w:t xml:space="preserve"> </w:t>
      </w:r>
      <w:r w:rsidR="006D4F89" w:rsidRPr="004C6EF9">
        <w:rPr>
          <w:rFonts w:cstheme="minorHAnsi"/>
          <w:szCs w:val="24"/>
        </w:rPr>
        <w:t>It seeks to support a fit-for-purpose ITU and to reduce the youth digital divide.</w:t>
      </w:r>
    </w:p>
    <w:p w14:paraId="39FD7A80" w14:textId="68FAAE5D" w:rsidR="0030330B" w:rsidRPr="004C6EF9" w:rsidRDefault="00D1140E" w:rsidP="001D5D08">
      <w:pPr>
        <w:overflowPunct/>
        <w:autoSpaceDE/>
        <w:autoSpaceDN/>
        <w:adjustRightInd/>
        <w:spacing w:after="120"/>
        <w:textAlignment w:val="auto"/>
        <w:rPr>
          <w:rFonts w:cstheme="minorHAnsi"/>
          <w:szCs w:val="24"/>
        </w:rPr>
      </w:pPr>
      <w:r w:rsidRPr="004C6EF9">
        <w:rPr>
          <w:rFonts w:cstheme="minorHAnsi"/>
          <w:szCs w:val="24"/>
        </w:rPr>
        <w:t>This</w:t>
      </w:r>
      <w:r w:rsidR="00296088" w:rsidRPr="004C6EF9">
        <w:rPr>
          <w:rFonts w:cstheme="minorHAnsi"/>
          <w:szCs w:val="24"/>
        </w:rPr>
        <w:t xml:space="preserve"> </w:t>
      </w:r>
      <w:r w:rsidRPr="004C6EF9">
        <w:rPr>
          <w:rFonts w:cstheme="minorHAnsi"/>
          <w:szCs w:val="24"/>
        </w:rPr>
        <w:t>document,</w:t>
      </w:r>
      <w:r w:rsidR="00296088" w:rsidRPr="004C6EF9">
        <w:rPr>
          <w:rFonts w:cstheme="minorHAnsi"/>
          <w:szCs w:val="24"/>
        </w:rPr>
        <w:t xml:space="preserve"> </w:t>
      </w:r>
      <w:r w:rsidRPr="004C6EF9">
        <w:rPr>
          <w:rFonts w:cstheme="minorHAnsi"/>
          <w:szCs w:val="24"/>
        </w:rPr>
        <w:t>which</w:t>
      </w:r>
      <w:r w:rsidR="00296088" w:rsidRPr="004C6EF9">
        <w:rPr>
          <w:rFonts w:cstheme="minorHAnsi"/>
          <w:szCs w:val="24"/>
        </w:rPr>
        <w:t xml:space="preserve"> </w:t>
      </w:r>
      <w:r w:rsidRPr="004C6EF9">
        <w:rPr>
          <w:rFonts w:cstheme="minorHAnsi"/>
          <w:szCs w:val="24"/>
        </w:rPr>
        <w:t>was</w:t>
      </w:r>
      <w:r w:rsidR="00296088" w:rsidRPr="004C6EF9">
        <w:rPr>
          <w:rFonts w:cstheme="minorHAnsi"/>
          <w:szCs w:val="24"/>
        </w:rPr>
        <w:t xml:space="preserve"> </w:t>
      </w:r>
      <w:r w:rsidRPr="004C6EF9">
        <w:rPr>
          <w:rFonts w:cstheme="minorHAnsi"/>
          <w:szCs w:val="24"/>
        </w:rPr>
        <w:t>initially</w:t>
      </w:r>
      <w:r w:rsidR="00296088" w:rsidRPr="004C6EF9">
        <w:rPr>
          <w:rFonts w:cstheme="minorHAnsi"/>
          <w:szCs w:val="24"/>
        </w:rPr>
        <w:t xml:space="preserve"> </w:t>
      </w:r>
      <w:r w:rsidRPr="004C6EF9">
        <w:rPr>
          <w:rFonts w:cstheme="minorHAnsi"/>
          <w:szCs w:val="24"/>
        </w:rPr>
        <w:t>submitted</w:t>
      </w:r>
      <w:r w:rsidR="00296088" w:rsidRPr="004C6EF9">
        <w:rPr>
          <w:rFonts w:cstheme="minorHAnsi"/>
          <w:szCs w:val="24"/>
        </w:rPr>
        <w:t xml:space="preserve"> </w:t>
      </w:r>
      <w:r w:rsidRPr="004C6EF9">
        <w:rPr>
          <w:rFonts w:cstheme="minorHAnsi"/>
          <w:szCs w:val="24"/>
        </w:rPr>
        <w:t>to</w:t>
      </w:r>
      <w:r w:rsidR="00296088" w:rsidRPr="004C6EF9">
        <w:rPr>
          <w:rFonts w:cstheme="minorHAnsi"/>
          <w:szCs w:val="24"/>
        </w:rPr>
        <w:t xml:space="preserve"> </w:t>
      </w:r>
      <w:r w:rsidRPr="004C6EF9">
        <w:rPr>
          <w:rFonts w:cstheme="minorHAnsi"/>
          <w:szCs w:val="24"/>
        </w:rPr>
        <w:t>TDAG-21</w:t>
      </w:r>
      <w:r w:rsidR="00296088" w:rsidRPr="004C6EF9">
        <w:rPr>
          <w:rFonts w:cstheme="minorHAnsi"/>
          <w:szCs w:val="24"/>
        </w:rPr>
        <w:t xml:space="preserve"> </w:t>
      </w:r>
      <w:r w:rsidRPr="004C6EF9">
        <w:rPr>
          <w:rFonts w:cstheme="minorHAnsi"/>
          <w:szCs w:val="24"/>
        </w:rPr>
        <w:t>in</w:t>
      </w:r>
      <w:r w:rsidR="00296088" w:rsidRPr="004C6EF9">
        <w:rPr>
          <w:rFonts w:cstheme="minorHAnsi"/>
          <w:szCs w:val="24"/>
        </w:rPr>
        <w:t xml:space="preserve"> </w:t>
      </w:r>
      <w:r w:rsidRPr="004C6EF9">
        <w:rPr>
          <w:rFonts w:cstheme="minorHAnsi"/>
          <w:szCs w:val="24"/>
        </w:rPr>
        <w:t>May</w:t>
      </w:r>
      <w:r w:rsidR="00296088" w:rsidRPr="004C6EF9">
        <w:rPr>
          <w:rFonts w:cstheme="minorHAnsi"/>
          <w:szCs w:val="24"/>
        </w:rPr>
        <w:t xml:space="preserve"> </w:t>
      </w:r>
      <w:r w:rsidRPr="004C6EF9">
        <w:rPr>
          <w:rFonts w:cstheme="minorHAnsi"/>
          <w:szCs w:val="24"/>
        </w:rPr>
        <w:t>2021,</w:t>
      </w:r>
      <w:r w:rsidR="00296088" w:rsidRPr="004C6EF9">
        <w:rPr>
          <w:rFonts w:cstheme="minorHAnsi"/>
          <w:szCs w:val="24"/>
        </w:rPr>
        <w:t xml:space="preserve"> </w:t>
      </w:r>
      <w:r w:rsidRPr="004C6EF9">
        <w:rPr>
          <w:rFonts w:cstheme="minorHAnsi"/>
          <w:szCs w:val="24"/>
        </w:rPr>
        <w:t>has</w:t>
      </w:r>
      <w:r w:rsidR="00296088" w:rsidRPr="004C6EF9">
        <w:rPr>
          <w:rFonts w:cstheme="minorHAnsi"/>
          <w:szCs w:val="24"/>
        </w:rPr>
        <w:t xml:space="preserve"> </w:t>
      </w:r>
      <w:r w:rsidRPr="004C6EF9">
        <w:rPr>
          <w:rFonts w:cstheme="minorHAnsi"/>
          <w:szCs w:val="24"/>
        </w:rPr>
        <w:t>been</w:t>
      </w:r>
      <w:r w:rsidR="00296088" w:rsidRPr="004C6EF9">
        <w:rPr>
          <w:rFonts w:cstheme="minorHAnsi"/>
          <w:szCs w:val="24"/>
        </w:rPr>
        <w:t xml:space="preserve"> </w:t>
      </w:r>
      <w:r w:rsidRPr="004C6EF9">
        <w:rPr>
          <w:rFonts w:cstheme="minorHAnsi"/>
          <w:szCs w:val="24"/>
        </w:rPr>
        <w:t>updated</w:t>
      </w:r>
      <w:r w:rsidR="00296088" w:rsidRPr="004C6EF9">
        <w:rPr>
          <w:rFonts w:cstheme="minorHAnsi"/>
          <w:szCs w:val="24"/>
        </w:rPr>
        <w:t xml:space="preserve"> </w:t>
      </w:r>
      <w:r w:rsidRPr="004C6EF9">
        <w:rPr>
          <w:rFonts w:cstheme="minorHAnsi"/>
          <w:szCs w:val="24"/>
        </w:rPr>
        <w:t>with</w:t>
      </w:r>
      <w:r w:rsidR="00296088" w:rsidRPr="004C6EF9">
        <w:rPr>
          <w:rFonts w:cstheme="minorHAnsi"/>
          <w:szCs w:val="24"/>
        </w:rPr>
        <w:t xml:space="preserve"> </w:t>
      </w:r>
      <w:r w:rsidR="001D5D08" w:rsidRPr="004C6EF9">
        <w:rPr>
          <w:rFonts w:cstheme="minorHAnsi"/>
          <w:szCs w:val="24"/>
        </w:rPr>
        <w:t xml:space="preserve">activities and events carried out </w:t>
      </w:r>
      <w:r w:rsidR="00810CF9" w:rsidRPr="004C6EF9">
        <w:rPr>
          <w:rFonts w:cstheme="minorHAnsi"/>
          <w:szCs w:val="24"/>
        </w:rPr>
        <w:t xml:space="preserve">towards </w:t>
      </w:r>
      <w:r w:rsidRPr="004C6EF9">
        <w:rPr>
          <w:rFonts w:cstheme="minorHAnsi"/>
          <w:szCs w:val="24"/>
        </w:rPr>
        <w:t>the</w:t>
      </w:r>
      <w:r w:rsidR="00296088" w:rsidRPr="004C6EF9">
        <w:rPr>
          <w:rFonts w:cstheme="minorHAnsi"/>
          <w:szCs w:val="24"/>
        </w:rPr>
        <w:t xml:space="preserve"> </w:t>
      </w:r>
      <w:r w:rsidRPr="004C6EF9">
        <w:rPr>
          <w:rFonts w:cstheme="minorHAnsi"/>
          <w:szCs w:val="24"/>
        </w:rPr>
        <w:t>implementation</w:t>
      </w:r>
      <w:r w:rsidR="00296088" w:rsidRPr="004C6EF9">
        <w:rPr>
          <w:rFonts w:cstheme="minorHAnsi"/>
          <w:szCs w:val="24"/>
        </w:rPr>
        <w:t xml:space="preserve"> </w:t>
      </w:r>
      <w:r w:rsidRPr="004C6EF9">
        <w:rPr>
          <w:rFonts w:cstheme="minorHAnsi"/>
          <w:szCs w:val="24"/>
        </w:rPr>
        <w:t>of</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006D4F89" w:rsidRPr="004C6EF9">
        <w:rPr>
          <w:rFonts w:cstheme="minorHAnsi"/>
          <w:szCs w:val="24"/>
        </w:rPr>
        <w:t>S</w:t>
      </w:r>
      <w:r w:rsidRPr="004C6EF9">
        <w:rPr>
          <w:rFonts w:cstheme="minorHAnsi"/>
          <w:szCs w:val="24"/>
        </w:rPr>
        <w:t>trategy</w:t>
      </w:r>
      <w:r w:rsidR="00296088" w:rsidRPr="004C6EF9">
        <w:rPr>
          <w:rFonts w:cstheme="minorHAnsi"/>
          <w:szCs w:val="24"/>
        </w:rPr>
        <w:t xml:space="preserve"> </w:t>
      </w:r>
      <w:r w:rsidRPr="004C6EF9">
        <w:rPr>
          <w:rFonts w:cstheme="minorHAnsi"/>
          <w:szCs w:val="24"/>
        </w:rPr>
        <w:t>since</w:t>
      </w:r>
      <w:r w:rsidR="00296088" w:rsidRPr="004C6EF9">
        <w:rPr>
          <w:rFonts w:cstheme="minorHAnsi"/>
          <w:szCs w:val="24"/>
        </w:rPr>
        <w:t xml:space="preserve"> </w:t>
      </w:r>
      <w:r w:rsidRPr="004C6EF9">
        <w:rPr>
          <w:rFonts w:cstheme="minorHAnsi"/>
          <w:szCs w:val="24"/>
        </w:rPr>
        <w:t>then</w:t>
      </w:r>
      <w:r w:rsidR="00610458" w:rsidRPr="004C6EF9">
        <w:rPr>
          <w:rFonts w:cstheme="minorHAnsi"/>
          <w:szCs w:val="24"/>
        </w:rPr>
        <w:t xml:space="preserve">, including </w:t>
      </w:r>
      <w:r w:rsidR="001D5D08" w:rsidRPr="004C6EF9">
        <w:rPr>
          <w:rFonts w:cstheme="minorHAnsi"/>
          <w:szCs w:val="24"/>
        </w:rPr>
        <w:t xml:space="preserve">at </w:t>
      </w:r>
      <w:r w:rsidR="001D5D08" w:rsidRPr="004C6EF9">
        <w:rPr>
          <w:rFonts w:cstheme="minorHAnsi"/>
          <w:szCs w:val="24"/>
          <w:lang w:val="en-US"/>
        </w:rPr>
        <w:t>GSR-21, Road to Addis, Emerging Technologies Week, ECOSOC Youth Forum, WSIS Forum, Kofi Annan Change Makers Week, Youth Lead Innovation Festival, UNIDO LKDF Forum 2021, among others.</w:t>
      </w:r>
      <w:r w:rsidR="00E96C8A" w:rsidRPr="004C6EF9">
        <w:rPr>
          <w:rFonts w:cstheme="minorHAnsi"/>
          <w:szCs w:val="24"/>
        </w:rPr>
        <w:t xml:space="preserve"> </w:t>
      </w:r>
    </w:p>
    <w:tbl>
      <w:tblPr>
        <w:tblStyle w:val="TableGrid"/>
        <w:tblW w:w="0" w:type="auto"/>
        <w:tblLook w:val="04A0" w:firstRow="1" w:lastRow="0" w:firstColumn="1" w:lastColumn="0" w:noHBand="0" w:noVBand="1"/>
      </w:tblPr>
      <w:tblGrid>
        <w:gridCol w:w="9629"/>
      </w:tblGrid>
      <w:tr w:rsidR="00062D6A" w:rsidRPr="004C6EF9" w14:paraId="345F1094" w14:textId="77777777" w:rsidTr="001F70F3">
        <w:tc>
          <w:tcPr>
            <w:tcW w:w="9629" w:type="dxa"/>
          </w:tcPr>
          <w:p w14:paraId="002F5F13" w14:textId="1615546A" w:rsidR="00062D6A" w:rsidRPr="004C6EF9" w:rsidRDefault="00AA44A4" w:rsidP="00D1140E">
            <w:pPr>
              <w:spacing w:after="120"/>
              <w:rPr>
                <w:rFonts w:cstheme="minorHAnsi"/>
                <w:color w:val="000000" w:themeColor="text1"/>
                <w:szCs w:val="24"/>
              </w:rPr>
            </w:pPr>
            <w:r w:rsidRPr="004C6EF9">
              <w:rPr>
                <w:rFonts w:cstheme="minorHAnsi"/>
                <w:color w:val="000000" w:themeColor="text1"/>
                <w:szCs w:val="24"/>
              </w:rPr>
              <w:t>TDAG noted the document</w:t>
            </w:r>
            <w:r w:rsidR="003C7793">
              <w:rPr>
                <w:rFonts w:cstheme="minorHAnsi"/>
                <w:color w:val="000000" w:themeColor="text1"/>
                <w:szCs w:val="24"/>
              </w:rPr>
              <w:t xml:space="preserve"> with </w:t>
            </w:r>
            <w:r w:rsidR="00F04D88">
              <w:rPr>
                <w:rFonts w:cstheme="minorHAnsi"/>
                <w:color w:val="000000" w:themeColor="text1"/>
                <w:szCs w:val="24"/>
              </w:rPr>
              <w:t xml:space="preserve">interest and </w:t>
            </w:r>
            <w:r w:rsidR="003C7793">
              <w:rPr>
                <w:rFonts w:cstheme="minorHAnsi"/>
                <w:color w:val="000000" w:themeColor="text1"/>
                <w:szCs w:val="24"/>
              </w:rPr>
              <w:t>appreciation</w:t>
            </w:r>
            <w:r w:rsidRPr="004C6EF9">
              <w:rPr>
                <w:rFonts w:cstheme="minorHAnsi"/>
                <w:color w:val="000000" w:themeColor="text1"/>
                <w:szCs w:val="24"/>
              </w:rPr>
              <w:t xml:space="preserve">. BDT </w:t>
            </w:r>
            <w:r w:rsidR="003C7793">
              <w:rPr>
                <w:rFonts w:cstheme="minorHAnsi"/>
                <w:color w:val="000000" w:themeColor="text1"/>
                <w:szCs w:val="24"/>
              </w:rPr>
              <w:t xml:space="preserve">indicated that it </w:t>
            </w:r>
            <w:r w:rsidRPr="004C6EF9">
              <w:rPr>
                <w:rFonts w:cstheme="minorHAnsi"/>
                <w:color w:val="000000" w:themeColor="text1"/>
                <w:szCs w:val="24"/>
              </w:rPr>
              <w:t>w</w:t>
            </w:r>
            <w:r w:rsidR="003C7793">
              <w:rPr>
                <w:rFonts w:cstheme="minorHAnsi"/>
                <w:color w:val="000000" w:themeColor="text1"/>
                <w:szCs w:val="24"/>
              </w:rPr>
              <w:t xml:space="preserve">ould </w:t>
            </w:r>
            <w:r w:rsidRPr="004C6EF9">
              <w:rPr>
                <w:rFonts w:cstheme="minorHAnsi"/>
                <w:color w:val="000000" w:themeColor="text1"/>
                <w:szCs w:val="24"/>
              </w:rPr>
              <w:t>continue t</w:t>
            </w:r>
            <w:r w:rsidR="003C7793">
              <w:rPr>
                <w:rFonts w:cstheme="minorHAnsi"/>
                <w:color w:val="000000" w:themeColor="text1"/>
                <w:szCs w:val="24"/>
              </w:rPr>
              <w:t>o</w:t>
            </w:r>
            <w:r w:rsidRPr="004C6EF9">
              <w:rPr>
                <w:rFonts w:cstheme="minorHAnsi"/>
                <w:color w:val="000000" w:themeColor="text1"/>
                <w:szCs w:val="24"/>
              </w:rPr>
              <w:t xml:space="preserve"> implement the ITU Youth Strategy and will provide further updates in due course.</w:t>
            </w:r>
          </w:p>
        </w:tc>
      </w:tr>
    </w:tbl>
    <w:p w14:paraId="3E0BCBD8" w14:textId="738A28DD" w:rsidR="00EB02E7" w:rsidRPr="004C6EF9" w:rsidRDefault="00604DD1" w:rsidP="0011639E">
      <w:pPr>
        <w:pStyle w:val="ListParagraph"/>
        <w:keepNext/>
        <w:numPr>
          <w:ilvl w:val="0"/>
          <w:numId w:val="2"/>
        </w:numPr>
        <w:spacing w:after="120"/>
        <w:ind w:left="357" w:hanging="357"/>
        <w:contextualSpacing w:val="0"/>
        <w:rPr>
          <w:rFonts w:cstheme="minorHAnsi"/>
          <w:b/>
          <w:bCs/>
          <w:szCs w:val="24"/>
        </w:rPr>
      </w:pPr>
      <w:r w:rsidRPr="004C6EF9">
        <w:rPr>
          <w:rFonts w:cstheme="minorHAnsi"/>
          <w:b/>
          <w:bCs/>
          <w:szCs w:val="24"/>
        </w:rPr>
        <w:t>Preparations</w:t>
      </w:r>
      <w:r w:rsidR="00296088" w:rsidRPr="004C6EF9">
        <w:rPr>
          <w:rFonts w:cstheme="minorHAnsi"/>
          <w:b/>
          <w:bCs/>
          <w:szCs w:val="24"/>
        </w:rPr>
        <w:t xml:space="preserve"> </w:t>
      </w:r>
      <w:r w:rsidRPr="004C6EF9">
        <w:rPr>
          <w:rFonts w:cstheme="minorHAnsi"/>
          <w:b/>
          <w:bCs/>
          <w:szCs w:val="24"/>
        </w:rPr>
        <w:t>for</w:t>
      </w:r>
      <w:r w:rsidR="00296088" w:rsidRPr="004C6EF9">
        <w:rPr>
          <w:rFonts w:cstheme="minorHAnsi"/>
          <w:b/>
          <w:bCs/>
          <w:szCs w:val="24"/>
        </w:rPr>
        <w:t xml:space="preserve"> </w:t>
      </w:r>
      <w:r w:rsidRPr="004C6EF9">
        <w:rPr>
          <w:rFonts w:cstheme="minorHAnsi"/>
          <w:b/>
          <w:bCs/>
          <w:szCs w:val="24"/>
        </w:rPr>
        <w:t>WTDC</w:t>
      </w:r>
    </w:p>
    <w:p w14:paraId="41BB6DE2" w14:textId="56237058" w:rsidR="00604DD1" w:rsidRPr="004C6EF9" w:rsidRDefault="00604DD1" w:rsidP="0011639E">
      <w:pPr>
        <w:pStyle w:val="ListParagraph"/>
        <w:keepNext/>
        <w:numPr>
          <w:ilvl w:val="1"/>
          <w:numId w:val="2"/>
        </w:numPr>
        <w:spacing w:after="120"/>
        <w:ind w:left="431" w:hanging="431"/>
        <w:contextualSpacing w:val="0"/>
        <w:rPr>
          <w:rFonts w:cstheme="minorHAnsi"/>
          <w:b/>
          <w:bCs/>
          <w:szCs w:val="24"/>
        </w:rPr>
      </w:pPr>
      <w:r w:rsidRPr="004C6EF9">
        <w:rPr>
          <w:rFonts w:cstheme="minorHAnsi"/>
          <w:b/>
          <w:bCs/>
          <w:szCs w:val="24"/>
        </w:rPr>
        <w:t>Update</w:t>
      </w:r>
      <w:r w:rsidR="00296088" w:rsidRPr="004C6EF9">
        <w:rPr>
          <w:rFonts w:cstheme="minorHAnsi"/>
          <w:b/>
          <w:bCs/>
          <w:szCs w:val="24"/>
        </w:rPr>
        <w:t xml:space="preserve"> </w:t>
      </w:r>
      <w:r w:rsidRPr="004C6EF9">
        <w:rPr>
          <w:rFonts w:cstheme="minorHAnsi"/>
          <w:b/>
          <w:bCs/>
          <w:szCs w:val="24"/>
        </w:rPr>
        <w:t>on</w:t>
      </w:r>
      <w:r w:rsidR="00296088" w:rsidRPr="004C6EF9">
        <w:rPr>
          <w:rFonts w:cstheme="minorHAnsi"/>
          <w:b/>
          <w:bCs/>
          <w:szCs w:val="24"/>
        </w:rPr>
        <w:t xml:space="preserve"> </w:t>
      </w:r>
      <w:r w:rsidRPr="004C6EF9">
        <w:rPr>
          <w:rFonts w:cstheme="minorHAnsi"/>
          <w:b/>
          <w:bCs/>
          <w:szCs w:val="24"/>
        </w:rPr>
        <w:t>the</w:t>
      </w:r>
      <w:r w:rsidR="00296088" w:rsidRPr="004C6EF9">
        <w:rPr>
          <w:rFonts w:cstheme="minorHAnsi"/>
          <w:b/>
          <w:bCs/>
          <w:szCs w:val="24"/>
        </w:rPr>
        <w:t xml:space="preserve"> </w:t>
      </w:r>
      <w:r w:rsidRPr="004C6EF9">
        <w:rPr>
          <w:rFonts w:cstheme="minorHAnsi"/>
          <w:b/>
          <w:bCs/>
          <w:szCs w:val="24"/>
        </w:rPr>
        <w:t>preparations</w:t>
      </w:r>
      <w:r w:rsidR="00296088" w:rsidRPr="004C6EF9">
        <w:rPr>
          <w:rFonts w:cstheme="minorHAnsi"/>
          <w:b/>
          <w:bCs/>
          <w:szCs w:val="24"/>
        </w:rPr>
        <w:t xml:space="preserve"> </w:t>
      </w:r>
      <w:r w:rsidRPr="004C6EF9">
        <w:rPr>
          <w:rFonts w:cstheme="minorHAnsi"/>
          <w:b/>
          <w:bCs/>
          <w:szCs w:val="24"/>
        </w:rPr>
        <w:t>for</w:t>
      </w:r>
      <w:r w:rsidR="00296088" w:rsidRPr="004C6EF9">
        <w:rPr>
          <w:rFonts w:cstheme="minorHAnsi"/>
          <w:b/>
          <w:bCs/>
          <w:szCs w:val="24"/>
        </w:rPr>
        <w:t xml:space="preserve"> </w:t>
      </w:r>
      <w:r w:rsidRPr="004C6EF9">
        <w:rPr>
          <w:rFonts w:cstheme="minorHAnsi"/>
          <w:b/>
          <w:bCs/>
          <w:szCs w:val="24"/>
        </w:rPr>
        <w:t>WTDC,</w:t>
      </w:r>
      <w:r w:rsidR="00296088" w:rsidRPr="004C6EF9">
        <w:rPr>
          <w:rFonts w:cstheme="minorHAnsi"/>
          <w:b/>
          <w:bCs/>
          <w:szCs w:val="24"/>
        </w:rPr>
        <w:t xml:space="preserve"> </w:t>
      </w:r>
      <w:r w:rsidRPr="004C6EF9">
        <w:rPr>
          <w:rFonts w:cstheme="minorHAnsi"/>
          <w:b/>
          <w:bCs/>
          <w:szCs w:val="24"/>
        </w:rPr>
        <w:t>including</w:t>
      </w:r>
      <w:r w:rsidR="00296088" w:rsidRPr="004C6EF9">
        <w:rPr>
          <w:rFonts w:cstheme="minorHAnsi"/>
          <w:b/>
          <w:bCs/>
          <w:szCs w:val="24"/>
        </w:rPr>
        <w:t xml:space="preserve"> </w:t>
      </w:r>
      <w:r w:rsidRPr="004C6EF9">
        <w:rPr>
          <w:rFonts w:cstheme="minorHAnsi"/>
          <w:b/>
          <w:bCs/>
          <w:szCs w:val="24"/>
        </w:rPr>
        <w:t>COVID-19</w:t>
      </w:r>
      <w:r w:rsidR="00296088" w:rsidRPr="004C6EF9">
        <w:rPr>
          <w:rFonts w:cstheme="minorHAnsi"/>
          <w:b/>
          <w:bCs/>
          <w:szCs w:val="24"/>
        </w:rPr>
        <w:t xml:space="preserve"> </w:t>
      </w:r>
      <w:r w:rsidRPr="004C6EF9">
        <w:rPr>
          <w:rFonts w:cstheme="minorHAnsi"/>
          <w:b/>
          <w:bCs/>
          <w:szCs w:val="24"/>
        </w:rPr>
        <w:t>mitigation</w:t>
      </w:r>
      <w:r w:rsidR="00296088" w:rsidRPr="004C6EF9">
        <w:rPr>
          <w:rFonts w:cstheme="minorHAnsi"/>
          <w:b/>
          <w:bCs/>
          <w:szCs w:val="24"/>
        </w:rPr>
        <w:t xml:space="preserve"> </w:t>
      </w:r>
      <w:r w:rsidRPr="004C6EF9">
        <w:rPr>
          <w:rFonts w:cstheme="minorHAnsi"/>
          <w:b/>
          <w:bCs/>
          <w:szCs w:val="24"/>
        </w:rPr>
        <w:t>and</w:t>
      </w:r>
      <w:r w:rsidR="00296088" w:rsidRPr="004C6EF9">
        <w:rPr>
          <w:rFonts w:cstheme="minorHAnsi"/>
          <w:b/>
          <w:bCs/>
          <w:szCs w:val="24"/>
        </w:rPr>
        <w:t xml:space="preserve"> </w:t>
      </w:r>
      <w:r w:rsidRPr="004C6EF9">
        <w:rPr>
          <w:rFonts w:cstheme="minorHAnsi"/>
          <w:b/>
          <w:bCs/>
          <w:szCs w:val="24"/>
        </w:rPr>
        <w:t>contingency</w:t>
      </w:r>
      <w:r w:rsidR="00296088" w:rsidRPr="004C6EF9">
        <w:rPr>
          <w:rFonts w:cstheme="minorHAnsi"/>
          <w:b/>
          <w:bCs/>
          <w:szCs w:val="24"/>
        </w:rPr>
        <w:t xml:space="preserve"> </w:t>
      </w:r>
      <w:r w:rsidRPr="004C6EF9">
        <w:rPr>
          <w:rFonts w:cstheme="minorHAnsi"/>
          <w:b/>
          <w:bCs/>
          <w:szCs w:val="24"/>
        </w:rPr>
        <w:t>measures</w:t>
      </w:r>
    </w:p>
    <w:p w14:paraId="14D237E1" w14:textId="7EB201D3" w:rsidR="0035295E" w:rsidRPr="004C6EF9" w:rsidRDefault="0035295E" w:rsidP="0011639E">
      <w:pPr>
        <w:keepNext/>
        <w:spacing w:after="120"/>
        <w:rPr>
          <w:rFonts w:cstheme="minorHAnsi"/>
          <w:szCs w:val="24"/>
        </w:rPr>
      </w:pPr>
      <w:r w:rsidRPr="004C6EF9">
        <w:rPr>
          <w:rFonts w:cstheme="minorHAnsi"/>
          <w:b/>
          <w:bCs/>
          <w:szCs w:val="24"/>
          <w:lang w:val="pt-BR"/>
        </w:rPr>
        <w:t>Document</w:t>
      </w:r>
      <w:r w:rsidR="00296088" w:rsidRPr="004C6EF9">
        <w:rPr>
          <w:rFonts w:cstheme="minorHAnsi"/>
          <w:szCs w:val="24"/>
          <w:lang w:val="pt-BR"/>
        </w:rPr>
        <w:t xml:space="preserve"> </w:t>
      </w:r>
      <w:hyperlink r:id="rId14" w:history="1">
        <w:r w:rsidRPr="004C6EF9">
          <w:rPr>
            <w:rStyle w:val="Hyperlink"/>
            <w:rFonts w:cstheme="minorHAnsi"/>
            <w:szCs w:val="24"/>
            <w:lang w:val="pt-BR"/>
          </w:rPr>
          <w:t>12</w:t>
        </w:r>
      </w:hyperlink>
    </w:p>
    <w:p w14:paraId="7BAD00E5" w14:textId="3FC0B064" w:rsidR="0086058A" w:rsidRPr="004C6EF9" w:rsidRDefault="003C7793" w:rsidP="0011639E">
      <w:pPr>
        <w:keepNext/>
        <w:spacing w:after="120"/>
        <w:rPr>
          <w:rFonts w:cstheme="minorHAnsi"/>
          <w:b/>
          <w:bCs/>
          <w:szCs w:val="24"/>
        </w:rPr>
      </w:pPr>
      <w:r>
        <w:t>P</w:t>
      </w:r>
      <w:r w:rsidR="002F12F4" w:rsidRPr="004C6EF9">
        <w:t>repared by the Secretariat</w:t>
      </w:r>
      <w:r w:rsidR="00650B3E">
        <w:t>,</w:t>
      </w:r>
      <w:r w:rsidR="00D14FC9" w:rsidRPr="004C6EF9">
        <w:t xml:space="preserve"> </w:t>
      </w:r>
      <w:r>
        <w:t>the report described</w:t>
      </w:r>
      <w:r w:rsidR="001D5D08" w:rsidRPr="004C6EF9">
        <w:t xml:space="preserve"> the preparations for the </w:t>
      </w:r>
      <w:r w:rsidR="00AB641F" w:rsidRPr="004C6EF9">
        <w:t xml:space="preserve">upcoming WTDC </w:t>
      </w:r>
      <w:r>
        <w:t xml:space="preserve">through </w:t>
      </w:r>
      <w:r w:rsidR="00AB641F" w:rsidRPr="004C6EF9">
        <w:t xml:space="preserve">the end of October 2021. </w:t>
      </w:r>
      <w:r w:rsidR="00AB641F" w:rsidRPr="004C6EF9">
        <w:rPr>
          <w:rFonts w:cstheme="minorHAnsi"/>
          <w:b/>
          <w:bCs/>
          <w:szCs w:val="24"/>
        </w:rPr>
        <w:t xml:space="preserve">Document </w:t>
      </w:r>
      <w:hyperlink r:id="rId15" w:history="1">
        <w:r w:rsidR="0086058A" w:rsidRPr="004C6EF9">
          <w:rPr>
            <w:rStyle w:val="Hyperlink"/>
            <w:rFonts w:cstheme="minorHAnsi"/>
            <w:b/>
            <w:bCs/>
            <w:szCs w:val="24"/>
          </w:rPr>
          <w:t>DT/8</w:t>
        </w:r>
      </w:hyperlink>
    </w:p>
    <w:p w14:paraId="0A419623" w14:textId="185E2B7B" w:rsidR="00AB641F" w:rsidRPr="00D81C68" w:rsidRDefault="003C7793" w:rsidP="00AB641F">
      <w:pPr>
        <w:spacing w:after="120"/>
        <w:rPr>
          <w:rFonts w:cstheme="minorHAnsi"/>
          <w:szCs w:val="24"/>
        </w:rPr>
      </w:pPr>
      <w:r>
        <w:t>S</w:t>
      </w:r>
      <w:r w:rsidR="00B0748D" w:rsidRPr="004C6EF9">
        <w:t xml:space="preserve">ubmitted by </w:t>
      </w:r>
      <w:r w:rsidR="00D14FC9" w:rsidRPr="004C6EF9">
        <w:t>Ethiopia</w:t>
      </w:r>
      <w:r>
        <w:t>, the report</w:t>
      </w:r>
      <w:r w:rsidR="00D14FC9" w:rsidRPr="004C6EF9">
        <w:t xml:space="preserve"> </w:t>
      </w:r>
      <w:r w:rsidR="00AB641F" w:rsidRPr="004C6EF9">
        <w:t>cover</w:t>
      </w:r>
      <w:r>
        <w:t>ed</w:t>
      </w:r>
      <w:r w:rsidR="00AB641F" w:rsidRPr="004C6EF9">
        <w:t xml:space="preserve"> the</w:t>
      </w:r>
      <w:r w:rsidR="00D14FC9" w:rsidRPr="004C6EF9">
        <w:t xml:space="preserve"> host</w:t>
      </w:r>
      <w:r w:rsidR="00885236" w:rsidRPr="004C6EF9">
        <w:t>-</w:t>
      </w:r>
      <w:r w:rsidR="00D14FC9" w:rsidRPr="004C6EF9">
        <w:t xml:space="preserve">country </w:t>
      </w:r>
      <w:r w:rsidR="00AB641F" w:rsidRPr="004C6EF9">
        <w:t xml:space="preserve">preparations for the upcoming WTDC </w:t>
      </w:r>
      <w:r>
        <w:t xml:space="preserve">through </w:t>
      </w:r>
      <w:r w:rsidR="00AB641F" w:rsidRPr="004C6EF9">
        <w:t xml:space="preserve">the </w:t>
      </w:r>
      <w:r w:rsidR="00AB641F" w:rsidRPr="00D81C68">
        <w:t xml:space="preserve">end of October 2021. </w:t>
      </w:r>
    </w:p>
    <w:tbl>
      <w:tblPr>
        <w:tblStyle w:val="TableGrid"/>
        <w:tblW w:w="0" w:type="auto"/>
        <w:tblLook w:val="04A0" w:firstRow="1" w:lastRow="0" w:firstColumn="1" w:lastColumn="0" w:noHBand="0" w:noVBand="1"/>
      </w:tblPr>
      <w:tblGrid>
        <w:gridCol w:w="9629"/>
      </w:tblGrid>
      <w:tr w:rsidR="00D81C68" w:rsidRPr="00D81C68" w14:paraId="18BCD972" w14:textId="77777777" w:rsidTr="0066214A">
        <w:tc>
          <w:tcPr>
            <w:tcW w:w="9629" w:type="dxa"/>
          </w:tcPr>
          <w:p w14:paraId="59A48CDD" w14:textId="0E0202C1" w:rsidR="00AA44A4" w:rsidRPr="00D81C68" w:rsidRDefault="00650B3E" w:rsidP="0066214A">
            <w:pPr>
              <w:spacing w:after="120"/>
              <w:rPr>
                <w:rFonts w:eastAsiaTheme="minorEastAsia" w:cstheme="minorHAnsi"/>
                <w:szCs w:val="24"/>
              </w:rPr>
            </w:pPr>
            <w:r w:rsidRPr="00D81C68">
              <w:rPr>
                <w:rFonts w:eastAsiaTheme="minorEastAsia" w:cstheme="minorHAnsi"/>
                <w:szCs w:val="24"/>
              </w:rPr>
              <w:t>D</w:t>
            </w:r>
            <w:r w:rsidR="00AA44A4" w:rsidRPr="00D81C68">
              <w:rPr>
                <w:rFonts w:eastAsiaTheme="minorEastAsia" w:cstheme="minorHAnsi"/>
                <w:szCs w:val="24"/>
              </w:rPr>
              <w:t>ue to the evolving situation in the host country</w:t>
            </w:r>
            <w:r w:rsidRPr="00D81C68">
              <w:rPr>
                <w:rFonts w:eastAsiaTheme="minorEastAsia" w:cstheme="minorHAnsi"/>
                <w:szCs w:val="24"/>
              </w:rPr>
              <w:t xml:space="preserve">, </w:t>
            </w:r>
            <w:r w:rsidR="00F8666B" w:rsidRPr="00D81C68">
              <w:rPr>
                <w:rFonts w:eastAsiaTheme="minorEastAsia" w:cstheme="minorHAnsi"/>
                <w:szCs w:val="24"/>
              </w:rPr>
              <w:t>D</w:t>
            </w:r>
            <w:r w:rsidRPr="00D81C68">
              <w:rPr>
                <w:rFonts w:eastAsiaTheme="minorEastAsia" w:cstheme="minorHAnsi"/>
                <w:szCs w:val="24"/>
              </w:rPr>
              <w:t>ocument</w:t>
            </w:r>
            <w:r w:rsidR="00F8666B" w:rsidRPr="00D81C68">
              <w:rPr>
                <w:rFonts w:eastAsiaTheme="minorEastAsia" w:cstheme="minorHAnsi"/>
                <w:szCs w:val="24"/>
              </w:rPr>
              <w:t xml:space="preserve"> 12 a</w:t>
            </w:r>
            <w:r w:rsidR="00894846" w:rsidRPr="00D81C68">
              <w:rPr>
                <w:rFonts w:eastAsiaTheme="minorEastAsia" w:cstheme="minorHAnsi"/>
                <w:szCs w:val="24"/>
              </w:rPr>
              <w:t>n</w:t>
            </w:r>
            <w:r w:rsidR="00F8666B" w:rsidRPr="00D81C68">
              <w:rPr>
                <w:rFonts w:eastAsiaTheme="minorEastAsia" w:cstheme="minorHAnsi"/>
                <w:szCs w:val="24"/>
              </w:rPr>
              <w:t>d DT/8</w:t>
            </w:r>
            <w:r w:rsidRPr="00D81C68">
              <w:rPr>
                <w:rFonts w:eastAsiaTheme="minorEastAsia" w:cstheme="minorHAnsi"/>
                <w:szCs w:val="24"/>
              </w:rPr>
              <w:t xml:space="preserve"> were tabled</w:t>
            </w:r>
            <w:r w:rsidR="00AA44A4" w:rsidRPr="00D81C68">
              <w:rPr>
                <w:rFonts w:eastAsiaTheme="minorEastAsia" w:cstheme="minorHAnsi"/>
                <w:szCs w:val="24"/>
              </w:rPr>
              <w:t xml:space="preserve">. </w:t>
            </w:r>
            <w:r w:rsidRPr="00D81C68">
              <w:rPr>
                <w:rFonts w:eastAsiaTheme="minorEastAsia" w:cstheme="minorHAnsi"/>
                <w:szCs w:val="24"/>
              </w:rPr>
              <w:t xml:space="preserve">As the Secretary General noted in his opening remarks, </w:t>
            </w:r>
            <w:r w:rsidR="00AA44A4" w:rsidRPr="00D81C68">
              <w:rPr>
                <w:rFonts w:eastAsiaTheme="minorEastAsia" w:cstheme="minorHAnsi"/>
                <w:szCs w:val="24"/>
              </w:rPr>
              <w:t xml:space="preserve">the ITU Secretariat </w:t>
            </w:r>
            <w:r w:rsidRPr="00D81C68">
              <w:rPr>
                <w:rFonts w:eastAsiaTheme="minorEastAsia" w:cstheme="minorHAnsi"/>
                <w:szCs w:val="24"/>
              </w:rPr>
              <w:t xml:space="preserve">would provide further information </w:t>
            </w:r>
            <w:r w:rsidR="00AA44A4" w:rsidRPr="00D81C68">
              <w:rPr>
                <w:rFonts w:eastAsiaTheme="minorEastAsia" w:cstheme="minorHAnsi"/>
                <w:szCs w:val="24"/>
              </w:rPr>
              <w:t>by 6 December 2021.</w:t>
            </w:r>
          </w:p>
        </w:tc>
      </w:tr>
    </w:tbl>
    <w:p w14:paraId="7CB9E1A9" w14:textId="409A549E" w:rsidR="00604DD1" w:rsidRPr="004C6EF9" w:rsidRDefault="00604DD1" w:rsidP="0011639E">
      <w:pPr>
        <w:pStyle w:val="ListParagraph"/>
        <w:keepNext/>
        <w:numPr>
          <w:ilvl w:val="1"/>
          <w:numId w:val="2"/>
        </w:numPr>
        <w:spacing w:after="120"/>
        <w:ind w:left="431" w:hanging="431"/>
        <w:contextualSpacing w:val="0"/>
        <w:rPr>
          <w:rFonts w:cstheme="minorHAnsi"/>
          <w:b/>
          <w:bCs/>
          <w:szCs w:val="24"/>
        </w:rPr>
      </w:pPr>
      <w:r w:rsidRPr="004C6EF9">
        <w:rPr>
          <w:rFonts w:cstheme="minorHAnsi"/>
          <w:b/>
          <w:bCs/>
          <w:szCs w:val="24"/>
        </w:rPr>
        <w:t>Draft</w:t>
      </w:r>
      <w:r w:rsidR="00296088" w:rsidRPr="004C6EF9">
        <w:rPr>
          <w:rFonts w:cstheme="minorHAnsi"/>
          <w:b/>
          <w:bCs/>
          <w:szCs w:val="24"/>
        </w:rPr>
        <w:t xml:space="preserve"> </w:t>
      </w:r>
      <w:r w:rsidRPr="004C6EF9">
        <w:rPr>
          <w:rFonts w:cstheme="minorHAnsi"/>
          <w:b/>
          <w:bCs/>
          <w:szCs w:val="24"/>
        </w:rPr>
        <w:t>agenda</w:t>
      </w:r>
      <w:r w:rsidR="00296088" w:rsidRPr="004C6EF9">
        <w:rPr>
          <w:rFonts w:cstheme="minorHAnsi"/>
          <w:b/>
          <w:bCs/>
          <w:szCs w:val="24"/>
        </w:rPr>
        <w:t xml:space="preserve"> </w:t>
      </w:r>
      <w:r w:rsidRPr="004C6EF9">
        <w:rPr>
          <w:rFonts w:cstheme="minorHAnsi"/>
          <w:b/>
          <w:bCs/>
          <w:szCs w:val="24"/>
        </w:rPr>
        <w:t>for</w:t>
      </w:r>
      <w:r w:rsidR="00296088" w:rsidRPr="004C6EF9">
        <w:rPr>
          <w:rFonts w:cstheme="minorHAnsi"/>
          <w:b/>
          <w:bCs/>
          <w:szCs w:val="24"/>
        </w:rPr>
        <w:t xml:space="preserve"> </w:t>
      </w:r>
      <w:r w:rsidRPr="004C6EF9">
        <w:rPr>
          <w:rFonts w:cstheme="minorHAnsi"/>
          <w:b/>
          <w:bCs/>
          <w:szCs w:val="24"/>
        </w:rPr>
        <w:t>WTDC</w:t>
      </w:r>
    </w:p>
    <w:p w14:paraId="793AA57D" w14:textId="5B3D058A" w:rsidR="0035295E" w:rsidRPr="004C6EF9" w:rsidRDefault="0035295E" w:rsidP="0011639E">
      <w:pPr>
        <w:keepNext/>
        <w:spacing w:after="120"/>
        <w:rPr>
          <w:rFonts w:cstheme="minorHAnsi"/>
          <w:b/>
          <w:bCs/>
          <w:szCs w:val="24"/>
        </w:rPr>
      </w:pPr>
      <w:r w:rsidRPr="004C6EF9">
        <w:rPr>
          <w:rFonts w:cstheme="minorHAnsi"/>
          <w:b/>
          <w:bCs/>
          <w:szCs w:val="24"/>
          <w:lang w:val="pt-BR"/>
        </w:rPr>
        <w:t>Document</w:t>
      </w:r>
      <w:r w:rsidR="00296088" w:rsidRPr="004C6EF9">
        <w:rPr>
          <w:rFonts w:cstheme="minorHAnsi"/>
          <w:b/>
          <w:bCs/>
          <w:szCs w:val="24"/>
          <w:lang w:val="pt-BR"/>
        </w:rPr>
        <w:t xml:space="preserve"> </w:t>
      </w:r>
      <w:hyperlink r:id="rId16" w:history="1">
        <w:r w:rsidRPr="004C6EF9">
          <w:rPr>
            <w:rStyle w:val="Hyperlink"/>
            <w:rFonts w:cstheme="minorHAnsi"/>
            <w:b/>
            <w:bCs/>
            <w:szCs w:val="24"/>
            <w:lang w:val="pt-BR"/>
          </w:rPr>
          <w:t>1</w:t>
        </w:r>
        <w:r w:rsidR="0052131C" w:rsidRPr="004C6EF9">
          <w:rPr>
            <w:rStyle w:val="Hyperlink"/>
            <w:rFonts w:cstheme="minorHAnsi"/>
            <w:b/>
            <w:bCs/>
            <w:szCs w:val="24"/>
            <w:lang w:val="pt-BR"/>
          </w:rPr>
          <w:t>3(Rev.1)</w:t>
        </w:r>
      </w:hyperlink>
    </w:p>
    <w:p w14:paraId="6F5D4D2E" w14:textId="70BD0B94" w:rsidR="00360778" w:rsidRPr="004C6EF9" w:rsidRDefault="00D1140E" w:rsidP="00D1140E">
      <w:pPr>
        <w:spacing w:after="120"/>
        <w:rPr>
          <w:rFonts w:cstheme="minorHAnsi"/>
          <w:szCs w:val="24"/>
        </w:rPr>
      </w:pPr>
      <w:r w:rsidRPr="004C6EF9">
        <w:rPr>
          <w:rFonts w:cstheme="minorHAnsi"/>
          <w:szCs w:val="24"/>
        </w:rPr>
        <w:t>The</w:t>
      </w:r>
      <w:r w:rsidR="00296088" w:rsidRPr="004C6EF9">
        <w:rPr>
          <w:rFonts w:cstheme="minorHAnsi"/>
          <w:szCs w:val="24"/>
        </w:rPr>
        <w:t xml:space="preserve"> </w:t>
      </w:r>
      <w:r w:rsidRPr="004C6EF9">
        <w:rPr>
          <w:rFonts w:cstheme="minorHAnsi"/>
          <w:szCs w:val="24"/>
        </w:rPr>
        <w:t>draft</w:t>
      </w:r>
      <w:r w:rsidR="00296088" w:rsidRPr="004C6EF9">
        <w:rPr>
          <w:rFonts w:cstheme="minorHAnsi"/>
          <w:szCs w:val="24"/>
        </w:rPr>
        <w:t xml:space="preserve"> </w:t>
      </w:r>
      <w:r w:rsidRPr="004C6EF9">
        <w:rPr>
          <w:rFonts w:cstheme="minorHAnsi"/>
          <w:szCs w:val="24"/>
        </w:rPr>
        <w:t>agenda</w:t>
      </w:r>
      <w:r w:rsidR="00296088" w:rsidRPr="004C6EF9">
        <w:rPr>
          <w:rFonts w:cstheme="minorHAnsi"/>
          <w:szCs w:val="24"/>
        </w:rPr>
        <w:t xml:space="preserve"> </w:t>
      </w:r>
      <w:r w:rsidRPr="004C6EF9">
        <w:rPr>
          <w:rFonts w:cstheme="minorHAnsi"/>
          <w:szCs w:val="24"/>
        </w:rPr>
        <w:t>for</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0052131C" w:rsidRPr="004C6EF9">
        <w:rPr>
          <w:rFonts w:cstheme="minorHAnsi"/>
          <w:szCs w:val="24"/>
        </w:rPr>
        <w:t xml:space="preserve">upcoming </w:t>
      </w:r>
      <w:r w:rsidRPr="004C6EF9">
        <w:rPr>
          <w:rFonts w:cstheme="minorHAnsi"/>
          <w:szCs w:val="24"/>
        </w:rPr>
        <w:t>WTD</w:t>
      </w:r>
      <w:r w:rsidR="003C7793">
        <w:rPr>
          <w:rFonts w:cstheme="minorHAnsi"/>
          <w:szCs w:val="24"/>
        </w:rPr>
        <w:t xml:space="preserve">C </w:t>
      </w:r>
      <w:r w:rsidR="0052131C" w:rsidRPr="004C6EF9">
        <w:rPr>
          <w:rFonts w:cstheme="minorHAnsi"/>
          <w:szCs w:val="24"/>
        </w:rPr>
        <w:t>is currently composed of three main segments</w:t>
      </w:r>
      <w:r w:rsidR="0030706E">
        <w:rPr>
          <w:rFonts w:cstheme="minorHAnsi"/>
          <w:szCs w:val="24"/>
        </w:rPr>
        <w:t>: a</w:t>
      </w:r>
      <w:r w:rsidR="0052131C" w:rsidRPr="004C6EF9">
        <w:rPr>
          <w:rFonts w:cstheme="minorHAnsi"/>
          <w:szCs w:val="24"/>
        </w:rPr>
        <w:t xml:space="preserve"> Report on the implementation of the B</w:t>
      </w:r>
      <w:r w:rsidR="00885236" w:rsidRPr="004C6EF9">
        <w:rPr>
          <w:rFonts w:cstheme="minorHAnsi"/>
          <w:szCs w:val="24"/>
        </w:rPr>
        <w:t>aAP</w:t>
      </w:r>
      <w:r w:rsidR="0052131C" w:rsidRPr="004C6EF9">
        <w:rPr>
          <w:rFonts w:cstheme="minorHAnsi"/>
          <w:szCs w:val="24"/>
        </w:rPr>
        <w:t xml:space="preserve">, </w:t>
      </w:r>
      <w:r w:rsidR="0030706E">
        <w:rPr>
          <w:rFonts w:cstheme="minorHAnsi"/>
          <w:szCs w:val="24"/>
        </w:rPr>
        <w:t xml:space="preserve">the </w:t>
      </w:r>
      <w:r w:rsidR="0052131C" w:rsidRPr="004C6EF9">
        <w:rPr>
          <w:rFonts w:cstheme="minorHAnsi"/>
          <w:szCs w:val="24"/>
        </w:rPr>
        <w:t>ITU-D work plan for 2022-2025</w:t>
      </w:r>
      <w:r w:rsidR="00360778" w:rsidRPr="004C6EF9">
        <w:rPr>
          <w:rFonts w:cstheme="minorHAnsi"/>
          <w:szCs w:val="24"/>
        </w:rPr>
        <w:t>,</w:t>
      </w:r>
      <w:r w:rsidR="0052131C" w:rsidRPr="004C6EF9">
        <w:rPr>
          <w:rFonts w:cstheme="minorHAnsi"/>
          <w:szCs w:val="24"/>
        </w:rPr>
        <w:t xml:space="preserve"> and </w:t>
      </w:r>
      <w:r w:rsidR="007C73FF">
        <w:rPr>
          <w:rFonts w:cstheme="minorHAnsi"/>
          <w:szCs w:val="24"/>
        </w:rPr>
        <w:t xml:space="preserve">the </w:t>
      </w:r>
      <w:r w:rsidR="0052131C" w:rsidRPr="004C6EF9">
        <w:rPr>
          <w:rFonts w:cstheme="minorHAnsi"/>
          <w:szCs w:val="24"/>
        </w:rPr>
        <w:t xml:space="preserve">Partner to Connect Digital Coalition (P2C) </w:t>
      </w:r>
      <w:r w:rsidR="00360778" w:rsidRPr="004C6EF9">
        <w:rPr>
          <w:rFonts w:cstheme="minorHAnsi"/>
          <w:szCs w:val="24"/>
        </w:rPr>
        <w:t>(</w:t>
      </w:r>
      <w:r w:rsidR="002657D6" w:rsidRPr="004C6EF9">
        <w:rPr>
          <w:rFonts w:cstheme="minorHAnsi"/>
          <w:szCs w:val="24"/>
        </w:rPr>
        <w:t>non-</w:t>
      </w:r>
      <w:r w:rsidR="0052131C" w:rsidRPr="004C6EF9">
        <w:rPr>
          <w:rFonts w:cstheme="minorHAnsi"/>
          <w:szCs w:val="24"/>
        </w:rPr>
        <w:t>statutory</w:t>
      </w:r>
      <w:r w:rsidR="00360778" w:rsidRPr="004C6EF9">
        <w:rPr>
          <w:rFonts w:cstheme="minorHAnsi"/>
          <w:szCs w:val="24"/>
        </w:rPr>
        <w:t xml:space="preserve">). </w:t>
      </w:r>
      <w:proofErr w:type="gramStart"/>
      <w:r w:rsidR="00B57943" w:rsidRPr="004C6EF9">
        <w:rPr>
          <w:rFonts w:cstheme="minorHAnsi"/>
          <w:szCs w:val="24"/>
        </w:rPr>
        <w:t>Despite the fact that</w:t>
      </w:r>
      <w:proofErr w:type="gramEnd"/>
      <w:r w:rsidR="00B57943" w:rsidRPr="004C6EF9">
        <w:rPr>
          <w:rFonts w:cstheme="minorHAnsi"/>
          <w:szCs w:val="24"/>
        </w:rPr>
        <w:t xml:space="preserve"> current conference dates are shorter than in previous editions</w:t>
      </w:r>
      <w:r w:rsidR="0030706E">
        <w:rPr>
          <w:rFonts w:cstheme="minorHAnsi"/>
          <w:szCs w:val="24"/>
        </w:rPr>
        <w:t xml:space="preserve"> (an inadvertent occurrence that is expected to be corrected)</w:t>
      </w:r>
      <w:r w:rsidR="00B57943" w:rsidRPr="004C6EF9">
        <w:rPr>
          <w:rFonts w:cstheme="minorHAnsi"/>
          <w:szCs w:val="24"/>
        </w:rPr>
        <w:t xml:space="preserve">, </w:t>
      </w:r>
      <w:r w:rsidR="00527919" w:rsidRPr="004C6EF9">
        <w:rPr>
          <w:rFonts w:cstheme="minorHAnsi"/>
          <w:szCs w:val="24"/>
        </w:rPr>
        <w:t>P2C</w:t>
      </w:r>
      <w:r w:rsidR="007A2055" w:rsidRPr="004C6EF9">
        <w:rPr>
          <w:rFonts w:cstheme="minorHAnsi"/>
          <w:szCs w:val="24"/>
        </w:rPr>
        <w:t xml:space="preserve"> </w:t>
      </w:r>
      <w:r w:rsidR="0030706E">
        <w:rPr>
          <w:rFonts w:cstheme="minorHAnsi"/>
          <w:szCs w:val="24"/>
        </w:rPr>
        <w:t xml:space="preserve">events </w:t>
      </w:r>
      <w:r w:rsidR="007A2055" w:rsidRPr="004C6EF9">
        <w:rPr>
          <w:rFonts w:cstheme="minorHAnsi"/>
          <w:szCs w:val="24"/>
        </w:rPr>
        <w:t xml:space="preserve">will not </w:t>
      </w:r>
      <w:r w:rsidR="0030706E">
        <w:rPr>
          <w:rFonts w:cstheme="minorHAnsi"/>
          <w:szCs w:val="24"/>
        </w:rPr>
        <w:t>impose</w:t>
      </w:r>
      <w:r w:rsidR="007A2055" w:rsidRPr="004C6EF9">
        <w:rPr>
          <w:rFonts w:cstheme="minorHAnsi"/>
          <w:szCs w:val="24"/>
        </w:rPr>
        <w:t xml:space="preserve"> any </w:t>
      </w:r>
      <w:r w:rsidR="00360778" w:rsidRPr="004C6EF9">
        <w:rPr>
          <w:rFonts w:cstheme="minorHAnsi"/>
          <w:szCs w:val="24"/>
        </w:rPr>
        <w:t xml:space="preserve">parallel sessions </w:t>
      </w:r>
      <w:r w:rsidR="00966D19" w:rsidRPr="004C6EF9">
        <w:rPr>
          <w:rFonts w:cstheme="minorHAnsi"/>
          <w:szCs w:val="24"/>
        </w:rPr>
        <w:t xml:space="preserve">of plenaries or committees </w:t>
      </w:r>
      <w:r w:rsidR="007A2055" w:rsidRPr="004C6EF9">
        <w:rPr>
          <w:rFonts w:cstheme="minorHAnsi"/>
          <w:szCs w:val="24"/>
        </w:rPr>
        <w:t xml:space="preserve">during </w:t>
      </w:r>
      <w:r w:rsidR="00360778" w:rsidRPr="004C6EF9">
        <w:rPr>
          <w:rFonts w:cstheme="minorHAnsi"/>
          <w:szCs w:val="24"/>
        </w:rPr>
        <w:t>the Conference.</w:t>
      </w:r>
    </w:p>
    <w:p w14:paraId="00B2ADD1" w14:textId="1D5FCD3B" w:rsidR="00D34DFB" w:rsidRPr="004C6EF9" w:rsidRDefault="00360778" w:rsidP="00D1140E">
      <w:pPr>
        <w:spacing w:after="120"/>
        <w:rPr>
          <w:rFonts w:cstheme="minorHAnsi"/>
          <w:szCs w:val="24"/>
        </w:rPr>
      </w:pPr>
      <w:r w:rsidRPr="004C6EF9">
        <w:rPr>
          <w:rFonts w:cstheme="minorHAnsi"/>
          <w:szCs w:val="24"/>
        </w:rPr>
        <w:t xml:space="preserve">On the request of the delegate from Kuwait, the Deputy Director of BDT clarified that the policy statements by </w:t>
      </w:r>
      <w:r w:rsidR="00D34DFB" w:rsidRPr="004C6EF9">
        <w:rPr>
          <w:rFonts w:cstheme="minorHAnsi"/>
          <w:szCs w:val="24"/>
        </w:rPr>
        <w:t>high-level participants</w:t>
      </w:r>
      <w:r w:rsidRPr="004C6EF9">
        <w:rPr>
          <w:rFonts w:cstheme="minorHAnsi"/>
          <w:szCs w:val="24"/>
        </w:rPr>
        <w:t xml:space="preserve"> </w:t>
      </w:r>
      <w:r w:rsidR="007C73FF">
        <w:rPr>
          <w:rFonts w:cstheme="minorHAnsi"/>
          <w:szCs w:val="24"/>
        </w:rPr>
        <w:t xml:space="preserve">at WTDC </w:t>
      </w:r>
      <w:r w:rsidRPr="004C6EF9">
        <w:rPr>
          <w:rFonts w:cstheme="minorHAnsi"/>
          <w:szCs w:val="24"/>
        </w:rPr>
        <w:t xml:space="preserve">will </w:t>
      </w:r>
      <w:r w:rsidR="00790F37">
        <w:rPr>
          <w:rFonts w:cstheme="minorHAnsi"/>
          <w:szCs w:val="24"/>
        </w:rPr>
        <w:t>occur as part of</w:t>
      </w:r>
      <w:r w:rsidRPr="007C73FF">
        <w:rPr>
          <w:rFonts w:cstheme="minorHAnsi"/>
          <w:szCs w:val="24"/>
        </w:rPr>
        <w:t xml:space="preserve"> the</w:t>
      </w:r>
      <w:r w:rsidRPr="004C6EF9">
        <w:rPr>
          <w:rFonts w:cstheme="minorHAnsi"/>
          <w:szCs w:val="24"/>
        </w:rPr>
        <w:t xml:space="preserve"> P2C event </w:t>
      </w:r>
      <w:r w:rsidR="00790F37">
        <w:rPr>
          <w:rFonts w:cstheme="minorHAnsi"/>
          <w:szCs w:val="24"/>
        </w:rPr>
        <w:t>with</w:t>
      </w:r>
      <w:r w:rsidRPr="004C6EF9">
        <w:rPr>
          <w:rFonts w:cstheme="minorHAnsi"/>
          <w:szCs w:val="24"/>
        </w:rPr>
        <w:t>in the format of interactive round tables</w:t>
      </w:r>
      <w:r w:rsidR="00790F37">
        <w:rPr>
          <w:rFonts w:cstheme="minorHAnsi"/>
          <w:szCs w:val="24"/>
        </w:rPr>
        <w:t xml:space="preserve"> (see also 7.4 below).</w:t>
      </w:r>
    </w:p>
    <w:tbl>
      <w:tblPr>
        <w:tblStyle w:val="TableGrid"/>
        <w:tblW w:w="0" w:type="auto"/>
        <w:tblLook w:val="04A0" w:firstRow="1" w:lastRow="0" w:firstColumn="1" w:lastColumn="0" w:noHBand="0" w:noVBand="1"/>
      </w:tblPr>
      <w:tblGrid>
        <w:gridCol w:w="9629"/>
      </w:tblGrid>
      <w:tr w:rsidR="00604DD1" w:rsidRPr="004C6EF9" w14:paraId="7BA06367" w14:textId="77777777" w:rsidTr="004D36C6">
        <w:tc>
          <w:tcPr>
            <w:tcW w:w="9629" w:type="dxa"/>
          </w:tcPr>
          <w:p w14:paraId="0978D56D" w14:textId="0D63052E" w:rsidR="00604DD1" w:rsidRPr="004C6EF9" w:rsidRDefault="006D4F89" w:rsidP="00D1140E">
            <w:pPr>
              <w:spacing w:after="120"/>
              <w:rPr>
                <w:rFonts w:eastAsiaTheme="minorEastAsia" w:cstheme="minorHAnsi"/>
                <w:szCs w:val="24"/>
              </w:rPr>
            </w:pPr>
            <w:bookmarkStart w:id="5" w:name="_Hlk86848031"/>
            <w:r w:rsidRPr="004C6EF9">
              <w:rPr>
                <w:rFonts w:eastAsiaTheme="minorEastAsia" w:cstheme="minorHAnsi"/>
                <w:szCs w:val="24"/>
              </w:rPr>
              <w:t>TDAG endorsed the proposed agenda. It will be submitted to the ITU Council for approval by correspondence, and then to all ITU Member States, also by correspondence.</w:t>
            </w:r>
          </w:p>
        </w:tc>
      </w:tr>
    </w:tbl>
    <w:bookmarkEnd w:id="5"/>
    <w:p w14:paraId="696F2606" w14:textId="5198090F" w:rsidR="00604DD1" w:rsidRPr="004C6EF9" w:rsidRDefault="00604DD1" w:rsidP="0011639E">
      <w:pPr>
        <w:pStyle w:val="ListParagraph"/>
        <w:keepNext/>
        <w:numPr>
          <w:ilvl w:val="1"/>
          <w:numId w:val="2"/>
        </w:numPr>
        <w:spacing w:after="120"/>
        <w:ind w:left="431" w:hanging="431"/>
        <w:contextualSpacing w:val="0"/>
        <w:rPr>
          <w:rFonts w:cstheme="minorHAnsi"/>
          <w:b/>
          <w:bCs/>
          <w:szCs w:val="24"/>
        </w:rPr>
      </w:pPr>
      <w:r w:rsidRPr="004C6EF9">
        <w:rPr>
          <w:rFonts w:cstheme="minorHAnsi"/>
          <w:b/>
          <w:bCs/>
          <w:szCs w:val="24"/>
        </w:rPr>
        <w:t>Youth</w:t>
      </w:r>
      <w:r w:rsidR="00296088" w:rsidRPr="004C6EF9">
        <w:rPr>
          <w:rFonts w:cstheme="minorHAnsi"/>
          <w:b/>
          <w:bCs/>
          <w:szCs w:val="24"/>
        </w:rPr>
        <w:t xml:space="preserve"> </w:t>
      </w:r>
      <w:r w:rsidRPr="004C6EF9">
        <w:rPr>
          <w:rFonts w:cstheme="minorHAnsi"/>
          <w:b/>
          <w:bCs/>
          <w:szCs w:val="24"/>
        </w:rPr>
        <w:t>Summit</w:t>
      </w:r>
    </w:p>
    <w:p w14:paraId="377884C6" w14:textId="2522562C" w:rsidR="0035295E" w:rsidRPr="004C6EF9" w:rsidRDefault="0035295E" w:rsidP="0011639E">
      <w:pPr>
        <w:keepNext/>
        <w:spacing w:after="120"/>
        <w:rPr>
          <w:rStyle w:val="Hyperlink"/>
          <w:rFonts w:cstheme="minorHAnsi"/>
          <w:b/>
          <w:bCs/>
          <w:szCs w:val="24"/>
          <w:lang w:val="pt-BR"/>
        </w:rPr>
      </w:pPr>
      <w:r w:rsidRPr="004C6EF9">
        <w:rPr>
          <w:rFonts w:cstheme="minorHAnsi"/>
          <w:b/>
          <w:bCs/>
          <w:szCs w:val="24"/>
          <w:lang w:val="pt-BR"/>
        </w:rPr>
        <w:t>Document</w:t>
      </w:r>
      <w:r w:rsidR="00296088" w:rsidRPr="004C6EF9">
        <w:rPr>
          <w:rFonts w:cstheme="minorHAnsi"/>
          <w:b/>
          <w:bCs/>
          <w:szCs w:val="24"/>
          <w:lang w:val="pt-BR"/>
        </w:rPr>
        <w:t xml:space="preserve"> </w:t>
      </w:r>
      <w:hyperlink r:id="rId17" w:history="1">
        <w:r w:rsidRPr="004C6EF9">
          <w:rPr>
            <w:rStyle w:val="Hyperlink"/>
            <w:rFonts w:cstheme="minorHAnsi"/>
            <w:b/>
            <w:bCs/>
            <w:szCs w:val="24"/>
            <w:lang w:val="pt-BR"/>
          </w:rPr>
          <w:t>14</w:t>
        </w:r>
      </w:hyperlink>
    </w:p>
    <w:p w14:paraId="1AD7C986" w14:textId="3D115ABB" w:rsidR="00D1140E" w:rsidRPr="004C6EF9" w:rsidRDefault="00F16AB4" w:rsidP="00D1140E">
      <w:pPr>
        <w:spacing w:after="120"/>
        <w:rPr>
          <w:rFonts w:cstheme="minorHAnsi"/>
          <w:szCs w:val="24"/>
        </w:rPr>
      </w:pPr>
      <w:r w:rsidRPr="004C6EF9">
        <w:rPr>
          <w:rStyle w:val="normaltextrun"/>
          <w:rFonts w:ascii="Calibri" w:hAnsi="Calibri" w:cs="Calibri"/>
          <w:color w:val="000000"/>
          <w:shd w:val="clear" w:color="auto" w:fill="FFFFFF"/>
          <w:lang w:val="en-US"/>
        </w:rPr>
        <w:t>Th</w:t>
      </w:r>
      <w:r w:rsidR="0030706E">
        <w:rPr>
          <w:rStyle w:val="normaltextrun"/>
          <w:rFonts w:ascii="Calibri" w:hAnsi="Calibri" w:cs="Calibri"/>
          <w:color w:val="000000"/>
          <w:shd w:val="clear" w:color="auto" w:fill="FFFFFF"/>
          <w:lang w:val="en-US"/>
        </w:rPr>
        <w:t xml:space="preserve">e BDT provided </w:t>
      </w:r>
      <w:r w:rsidR="000D2161" w:rsidRPr="004C6EF9">
        <w:rPr>
          <w:rStyle w:val="normaltextrun"/>
          <w:rFonts w:ascii="Calibri" w:hAnsi="Calibri" w:cs="Calibri"/>
          <w:color w:val="000000"/>
          <w:shd w:val="clear" w:color="auto" w:fill="FFFFFF"/>
          <w:lang w:val="en-US"/>
        </w:rPr>
        <w:t>an update on the organization of the “Generation Connect Global Youth Summit”</w:t>
      </w:r>
      <w:r w:rsidR="00456EAB" w:rsidRPr="004C6EF9">
        <w:rPr>
          <w:rStyle w:val="normaltextrun"/>
          <w:rFonts w:ascii="Calibri" w:hAnsi="Calibri" w:cs="Calibri"/>
          <w:color w:val="000000"/>
          <w:shd w:val="clear" w:color="auto" w:fill="FFFFFF"/>
          <w:lang w:val="en-US"/>
        </w:rPr>
        <w:t xml:space="preserve"> which will </w:t>
      </w:r>
      <w:r w:rsidR="0030706E">
        <w:rPr>
          <w:rStyle w:val="normaltextrun"/>
          <w:rFonts w:ascii="Calibri" w:hAnsi="Calibri" w:cs="Calibri"/>
          <w:color w:val="000000"/>
          <w:shd w:val="clear" w:color="auto" w:fill="FFFFFF"/>
          <w:lang w:val="en-US"/>
        </w:rPr>
        <w:t xml:space="preserve">immediately precede </w:t>
      </w:r>
      <w:r w:rsidR="00456EAB" w:rsidRPr="004C6EF9">
        <w:rPr>
          <w:rStyle w:val="normaltextrun"/>
          <w:rFonts w:ascii="Calibri" w:hAnsi="Calibri" w:cs="Calibri"/>
          <w:color w:val="000000"/>
          <w:shd w:val="clear" w:color="auto" w:fill="FFFFFF"/>
          <w:lang w:val="en-US"/>
        </w:rPr>
        <w:t>t</w:t>
      </w:r>
      <w:r w:rsidR="000D2161" w:rsidRPr="004C6EF9">
        <w:rPr>
          <w:rStyle w:val="normaltextrun"/>
          <w:rFonts w:ascii="Calibri" w:hAnsi="Calibri" w:cs="Calibri"/>
          <w:color w:val="000000"/>
          <w:shd w:val="clear" w:color="auto" w:fill="FFFFFF"/>
          <w:lang w:val="en-US"/>
        </w:rPr>
        <w:t>h</w:t>
      </w:r>
      <w:r w:rsidR="0030706E">
        <w:rPr>
          <w:rStyle w:val="normaltextrun"/>
          <w:rFonts w:ascii="Calibri" w:hAnsi="Calibri" w:cs="Calibri"/>
          <w:color w:val="000000"/>
          <w:shd w:val="clear" w:color="auto" w:fill="FFFFFF"/>
          <w:lang w:val="en-US"/>
        </w:rPr>
        <w:t>e</w:t>
      </w:r>
      <w:r w:rsidR="000D2161" w:rsidRPr="004C6EF9">
        <w:rPr>
          <w:rStyle w:val="normaltextrun"/>
          <w:rFonts w:ascii="Calibri" w:hAnsi="Calibri" w:cs="Calibri"/>
          <w:color w:val="000000"/>
          <w:shd w:val="clear" w:color="auto" w:fill="FFFFFF"/>
          <w:lang w:val="en-US"/>
        </w:rPr>
        <w:t xml:space="preserve"> WTDC. The Summit </w:t>
      </w:r>
      <w:r w:rsidRPr="004C6EF9">
        <w:rPr>
          <w:rStyle w:val="normaltextrun"/>
          <w:rFonts w:ascii="Calibri" w:hAnsi="Calibri" w:cs="Calibri"/>
          <w:color w:val="000000"/>
          <w:shd w:val="clear" w:color="auto" w:fill="FFFFFF"/>
          <w:lang w:val="en-US"/>
        </w:rPr>
        <w:t xml:space="preserve">will offer opportunities for young people to participate in </w:t>
      </w:r>
      <w:r w:rsidR="0030706E">
        <w:rPr>
          <w:rStyle w:val="normaltextrun"/>
          <w:rFonts w:ascii="Calibri" w:hAnsi="Calibri" w:cs="Calibri"/>
          <w:color w:val="000000"/>
          <w:shd w:val="clear" w:color="auto" w:fill="FFFFFF"/>
          <w:lang w:val="en-US"/>
        </w:rPr>
        <w:t>the conferenc</w:t>
      </w:r>
      <w:r w:rsidRPr="004C6EF9">
        <w:rPr>
          <w:rStyle w:val="normaltextrun"/>
          <w:rFonts w:ascii="Calibri" w:hAnsi="Calibri" w:cs="Calibri"/>
          <w:color w:val="000000"/>
          <w:shd w:val="clear" w:color="auto" w:fill="FFFFFF"/>
          <w:lang w:val="en-US"/>
        </w:rPr>
        <w:t xml:space="preserve">e, make their voices heard, engage with ITU members, and contribute to ITU’s work. </w:t>
      </w:r>
      <w:r w:rsidR="00456EAB" w:rsidRPr="004C6EF9">
        <w:rPr>
          <w:rStyle w:val="normaltextrun"/>
          <w:rFonts w:ascii="Calibri" w:hAnsi="Calibri" w:cs="Calibri"/>
          <w:color w:val="000000"/>
          <w:shd w:val="clear" w:color="auto" w:fill="FFFFFF"/>
          <w:lang w:val="en-US"/>
        </w:rPr>
        <w:t>It</w:t>
      </w:r>
      <w:r w:rsidRPr="004C6EF9">
        <w:rPr>
          <w:rStyle w:val="normaltextrun"/>
          <w:rFonts w:ascii="Calibri" w:hAnsi="Calibri" w:cs="Calibri"/>
          <w:color w:val="000000"/>
          <w:shd w:val="clear" w:color="auto" w:fill="FFFFFF"/>
          <w:lang w:val="en-US"/>
        </w:rPr>
        <w:t xml:space="preserve"> will focus on building </w:t>
      </w:r>
      <w:r w:rsidR="00456EAB" w:rsidRPr="004C6EF9">
        <w:rPr>
          <w:rStyle w:val="normaltextrun"/>
          <w:rFonts w:ascii="Calibri" w:hAnsi="Calibri" w:cs="Calibri"/>
          <w:color w:val="000000"/>
          <w:shd w:val="clear" w:color="auto" w:fill="FFFFFF"/>
          <w:lang w:val="en-US"/>
        </w:rPr>
        <w:t xml:space="preserve">a </w:t>
      </w:r>
      <w:r w:rsidRPr="004C6EF9">
        <w:rPr>
          <w:rStyle w:val="normaltextrun"/>
          <w:rFonts w:ascii="Calibri" w:hAnsi="Calibri" w:cs="Calibri"/>
          <w:color w:val="000000"/>
          <w:shd w:val="clear" w:color="auto" w:fill="FFFFFF"/>
          <w:lang w:val="en-US"/>
        </w:rPr>
        <w:t xml:space="preserve">strong engagement of youth </w:t>
      </w:r>
      <w:r w:rsidR="0030706E">
        <w:rPr>
          <w:rStyle w:val="normaltextrun"/>
          <w:rFonts w:ascii="Calibri" w:hAnsi="Calibri" w:cs="Calibri"/>
          <w:color w:val="000000"/>
          <w:shd w:val="clear" w:color="auto" w:fill="FFFFFF"/>
          <w:lang w:val="en-US"/>
        </w:rPr>
        <w:t>to</w:t>
      </w:r>
      <w:r w:rsidRPr="004C6EF9">
        <w:rPr>
          <w:rStyle w:val="normaltextrun"/>
          <w:rFonts w:ascii="Calibri" w:hAnsi="Calibri" w:cs="Calibri"/>
          <w:color w:val="000000"/>
          <w:shd w:val="clear" w:color="auto" w:fill="FFFFFF"/>
          <w:lang w:val="en-US"/>
        </w:rPr>
        <w:t xml:space="preserve"> prepar</w:t>
      </w:r>
      <w:r w:rsidR="0030706E">
        <w:rPr>
          <w:rStyle w:val="normaltextrun"/>
          <w:rFonts w:ascii="Calibri" w:hAnsi="Calibri" w:cs="Calibri"/>
          <w:color w:val="000000"/>
          <w:shd w:val="clear" w:color="auto" w:fill="FFFFFF"/>
          <w:lang w:val="en-US"/>
        </w:rPr>
        <w:t>e</w:t>
      </w:r>
      <w:r w:rsidRPr="004C6EF9">
        <w:rPr>
          <w:rStyle w:val="normaltextrun"/>
          <w:rFonts w:ascii="Calibri" w:hAnsi="Calibri" w:cs="Calibri"/>
          <w:color w:val="000000"/>
          <w:shd w:val="clear" w:color="auto" w:fill="FFFFFF"/>
          <w:lang w:val="en-US"/>
        </w:rPr>
        <w:t xml:space="preserve"> for </w:t>
      </w:r>
      <w:r w:rsidRPr="004C6EF9">
        <w:rPr>
          <w:rStyle w:val="normaltextrun"/>
          <w:rFonts w:ascii="Calibri" w:hAnsi="Calibri" w:cs="Calibri"/>
          <w:color w:val="000000"/>
          <w:shd w:val="clear" w:color="auto" w:fill="FFFFFF"/>
          <w:lang w:val="en-US"/>
        </w:rPr>
        <w:lastRenderedPageBreak/>
        <w:t>the Conference</w:t>
      </w:r>
      <w:r w:rsidR="00F91414" w:rsidRPr="004C6EF9">
        <w:rPr>
          <w:rStyle w:val="normaltextrun"/>
          <w:rFonts w:ascii="Calibri" w:hAnsi="Calibri" w:cs="Calibri"/>
          <w:color w:val="000000"/>
          <w:shd w:val="clear" w:color="auto" w:fill="FFFFFF"/>
          <w:lang w:val="en-US"/>
        </w:rPr>
        <w:t>,</w:t>
      </w:r>
      <w:r w:rsidRPr="004C6EF9">
        <w:rPr>
          <w:rStyle w:val="normaltextrun"/>
          <w:rFonts w:ascii="Calibri" w:hAnsi="Calibri" w:cs="Calibri"/>
          <w:color w:val="000000"/>
          <w:shd w:val="clear" w:color="auto" w:fill="FFFFFF"/>
          <w:lang w:val="en-US"/>
        </w:rPr>
        <w:t xml:space="preserve"> bringing the voices of young people into the WTDC discussions, sessions, and activities. Preparations for the Youth Summit are underway and coordinated by the ITU Youth Task Force and the Generation Connect Youth Summit co-design team</w:t>
      </w:r>
      <w:r w:rsidR="000D2161" w:rsidRPr="004C6EF9">
        <w:rPr>
          <w:rStyle w:val="normaltextrun"/>
          <w:rFonts w:ascii="Calibri" w:hAnsi="Calibri" w:cs="Calibri"/>
          <w:color w:val="000000"/>
          <w:shd w:val="clear" w:color="auto" w:fill="FFFFFF"/>
          <w:lang w:val="en-US"/>
        </w:rPr>
        <w:t>, including efforts such as the Emerging Technologies Week and the newly launched Generation Connect podcast</w:t>
      </w:r>
      <w:r w:rsidRPr="004C6EF9">
        <w:rPr>
          <w:rStyle w:val="normaltextrun"/>
          <w:rFonts w:ascii="Calibri" w:hAnsi="Calibri" w:cs="Calibri"/>
          <w:color w:val="000000"/>
          <w:shd w:val="clear" w:color="auto" w:fill="FFFFFF"/>
          <w:lang w:val="en-US"/>
        </w:rPr>
        <w:t>.</w:t>
      </w:r>
      <w:r w:rsidRPr="004C6EF9">
        <w:rPr>
          <w:rStyle w:val="eop"/>
          <w:rFonts w:ascii="Calibri" w:hAnsi="Calibri" w:cs="Calibri"/>
          <w:color w:val="000000"/>
          <w:shd w:val="clear" w:color="auto" w:fill="FFFFFF"/>
        </w:rPr>
        <w:t> </w:t>
      </w:r>
      <w:r w:rsidR="00296088" w:rsidRPr="004C6EF9">
        <w:rPr>
          <w:rFonts w:cstheme="minorHAnsi"/>
          <w:szCs w:val="24"/>
        </w:rPr>
        <w:t xml:space="preserve"> </w:t>
      </w:r>
    </w:p>
    <w:tbl>
      <w:tblPr>
        <w:tblStyle w:val="TableGrid"/>
        <w:tblW w:w="0" w:type="auto"/>
        <w:tblLook w:val="04A0" w:firstRow="1" w:lastRow="0" w:firstColumn="1" w:lastColumn="0" w:noHBand="0" w:noVBand="1"/>
      </w:tblPr>
      <w:tblGrid>
        <w:gridCol w:w="9629"/>
      </w:tblGrid>
      <w:tr w:rsidR="00604DD1" w:rsidRPr="004C6EF9" w14:paraId="194CB286" w14:textId="77777777" w:rsidTr="004D36C6">
        <w:tc>
          <w:tcPr>
            <w:tcW w:w="9629" w:type="dxa"/>
          </w:tcPr>
          <w:p w14:paraId="47BF848B" w14:textId="16841B4C" w:rsidR="00604DD1" w:rsidRPr="004C6EF9" w:rsidRDefault="006D4F89" w:rsidP="00D1140E">
            <w:pPr>
              <w:spacing w:after="120"/>
              <w:rPr>
                <w:rFonts w:eastAsiaTheme="minorEastAsia" w:cstheme="minorHAnsi"/>
                <w:szCs w:val="24"/>
              </w:rPr>
            </w:pPr>
            <w:r w:rsidRPr="004C6EF9">
              <w:rPr>
                <w:rFonts w:eastAsiaTheme="minorEastAsia" w:cstheme="minorHAnsi"/>
                <w:szCs w:val="24"/>
              </w:rPr>
              <w:t xml:space="preserve">TDAG noted the report and commended BDT on the initiative and for promoting participation by youth and women in ITU events, and in </w:t>
            </w:r>
            <w:proofErr w:type="gramStart"/>
            <w:r w:rsidRPr="004C6EF9">
              <w:rPr>
                <w:rFonts w:eastAsiaTheme="minorEastAsia" w:cstheme="minorHAnsi"/>
                <w:szCs w:val="24"/>
              </w:rPr>
              <w:t>WTDC, in particular</w:t>
            </w:r>
            <w:proofErr w:type="gramEnd"/>
            <w:r w:rsidRPr="004C6EF9">
              <w:rPr>
                <w:rFonts w:eastAsiaTheme="minorEastAsia" w:cstheme="minorHAnsi"/>
                <w:szCs w:val="24"/>
              </w:rPr>
              <w:t>. Updates on the organization of the Summit will be provided in due course.</w:t>
            </w:r>
          </w:p>
        </w:tc>
      </w:tr>
    </w:tbl>
    <w:p w14:paraId="2BBCDEB5" w14:textId="60426AB4" w:rsidR="00604DD1" w:rsidRPr="004C6EF9" w:rsidRDefault="00604DD1" w:rsidP="0011639E">
      <w:pPr>
        <w:pStyle w:val="ListParagraph"/>
        <w:keepNext/>
        <w:numPr>
          <w:ilvl w:val="1"/>
          <w:numId w:val="2"/>
        </w:numPr>
        <w:spacing w:after="120"/>
        <w:ind w:left="431" w:hanging="431"/>
        <w:contextualSpacing w:val="0"/>
        <w:rPr>
          <w:rFonts w:cstheme="minorHAnsi"/>
          <w:b/>
          <w:bCs/>
          <w:szCs w:val="24"/>
        </w:rPr>
      </w:pPr>
      <w:r w:rsidRPr="004C6EF9">
        <w:rPr>
          <w:rFonts w:cstheme="minorHAnsi"/>
          <w:b/>
          <w:bCs/>
          <w:szCs w:val="24"/>
        </w:rPr>
        <w:t>Partner2Connect</w:t>
      </w:r>
    </w:p>
    <w:p w14:paraId="1D56344D" w14:textId="719D1345" w:rsidR="0035295E" w:rsidRPr="004C6EF9" w:rsidRDefault="0035295E" w:rsidP="0011639E">
      <w:pPr>
        <w:keepNext/>
        <w:spacing w:after="120"/>
        <w:rPr>
          <w:rStyle w:val="Hyperlink"/>
          <w:rFonts w:cstheme="minorHAnsi"/>
          <w:szCs w:val="24"/>
          <w:lang w:val="pt-BR"/>
        </w:rPr>
      </w:pPr>
      <w:r w:rsidRPr="004C6EF9">
        <w:rPr>
          <w:rFonts w:cstheme="minorHAnsi"/>
          <w:b/>
          <w:bCs/>
          <w:szCs w:val="24"/>
          <w:lang w:val="pt-BR"/>
        </w:rPr>
        <w:t>Document:</w:t>
      </w:r>
      <w:r w:rsidR="00296088" w:rsidRPr="004C6EF9">
        <w:rPr>
          <w:rFonts w:cstheme="minorHAnsi"/>
          <w:szCs w:val="24"/>
          <w:lang w:val="pt-BR"/>
        </w:rPr>
        <w:t xml:space="preserve"> </w:t>
      </w:r>
      <w:hyperlink r:id="rId18" w:history="1">
        <w:r w:rsidRPr="004C6EF9">
          <w:rPr>
            <w:rStyle w:val="Hyperlink"/>
            <w:rFonts w:cstheme="minorHAnsi"/>
            <w:b/>
            <w:bCs/>
            <w:szCs w:val="24"/>
            <w:lang w:val="pt-BR"/>
          </w:rPr>
          <w:t>15</w:t>
        </w:r>
      </w:hyperlink>
    </w:p>
    <w:p w14:paraId="218A8D18" w14:textId="70F018F4" w:rsidR="00994035" w:rsidRPr="004C6EF9" w:rsidRDefault="006F50CD" w:rsidP="00D1140E">
      <w:pPr>
        <w:spacing w:after="120"/>
        <w:rPr>
          <w:rFonts w:cstheme="minorHAnsi"/>
          <w:szCs w:val="24"/>
        </w:rPr>
      </w:pPr>
      <w:r w:rsidRPr="004C6EF9">
        <w:rPr>
          <w:rStyle w:val="normaltextrun"/>
          <w:rFonts w:ascii="Calibri" w:hAnsi="Calibri" w:cs="Calibri"/>
          <w:color w:val="000000"/>
          <w:shd w:val="clear" w:color="auto" w:fill="FFFFFF"/>
          <w:lang w:val="en-US"/>
        </w:rPr>
        <w:t>The ITU Partner2Connect Digital Development Roundtable scheduled to take place at the upcoming WTDC will offer ITU-D Members and other stakeholders an opportunity to engage in high-level discussions on the challenges and opportunities related to digital development.</w:t>
      </w:r>
      <w:r w:rsidRPr="004C6EF9">
        <w:rPr>
          <w:rStyle w:val="eop"/>
          <w:rFonts w:ascii="Calibri" w:hAnsi="Calibri" w:cs="Calibri"/>
          <w:color w:val="000000"/>
          <w:shd w:val="clear" w:color="auto" w:fill="FFFFFF"/>
        </w:rPr>
        <w:t xml:space="preserve"> A dedicated side event on the P2C </w:t>
      </w:r>
      <w:r w:rsidR="006D4F89" w:rsidRPr="004C6EF9">
        <w:rPr>
          <w:rStyle w:val="eop"/>
          <w:rFonts w:ascii="Calibri" w:hAnsi="Calibri" w:cs="Calibri"/>
          <w:color w:val="000000"/>
          <w:shd w:val="clear" w:color="auto" w:fill="FFFFFF"/>
        </w:rPr>
        <w:t xml:space="preserve">Digital </w:t>
      </w:r>
      <w:r w:rsidRPr="004C6EF9">
        <w:rPr>
          <w:rStyle w:val="eop"/>
          <w:rFonts w:ascii="Calibri" w:hAnsi="Calibri" w:cs="Calibri"/>
          <w:color w:val="000000"/>
          <w:shd w:val="clear" w:color="auto" w:fill="FFFFFF"/>
        </w:rPr>
        <w:t xml:space="preserve">Coalition was also held </w:t>
      </w:r>
      <w:r w:rsidR="007E69F7" w:rsidRPr="004C6EF9">
        <w:rPr>
          <w:rStyle w:val="eop"/>
          <w:rFonts w:ascii="Calibri" w:hAnsi="Calibri" w:cs="Calibri"/>
          <w:color w:val="000000"/>
          <w:shd w:val="clear" w:color="auto" w:fill="FFFFFF"/>
        </w:rPr>
        <w:t xml:space="preserve">on </w:t>
      </w:r>
      <w:r w:rsidRPr="004C6EF9">
        <w:rPr>
          <w:rStyle w:val="eop"/>
          <w:rFonts w:ascii="Calibri" w:hAnsi="Calibri" w:cs="Calibri"/>
          <w:color w:val="000000"/>
          <w:shd w:val="clear" w:color="auto" w:fill="FFFFFF"/>
        </w:rPr>
        <w:t xml:space="preserve">the margins </w:t>
      </w:r>
      <w:r w:rsidRPr="004C6EF9">
        <w:rPr>
          <w:rStyle w:val="eop"/>
          <w:rFonts w:ascii="Calibri" w:hAnsi="Calibri" w:cs="Calibri"/>
          <w:shd w:val="clear" w:color="auto" w:fill="FFFFFF"/>
        </w:rPr>
        <w:t xml:space="preserve">of TDAG-21/2 to </w:t>
      </w:r>
      <w:r w:rsidR="00D06257" w:rsidRPr="004C6EF9">
        <w:rPr>
          <w:rStyle w:val="eop"/>
          <w:rFonts w:ascii="Calibri" w:hAnsi="Calibri" w:cs="Calibri"/>
          <w:shd w:val="clear" w:color="auto" w:fill="FFFFFF"/>
        </w:rPr>
        <w:t>provide more information on the rationale and objectives of the new initiative</w:t>
      </w:r>
      <w:r w:rsidRPr="004C6EF9">
        <w:rPr>
          <w:rStyle w:val="eop"/>
          <w:rFonts w:ascii="Calibri" w:hAnsi="Calibri" w:cs="Calibri"/>
          <w:shd w:val="clear" w:color="auto" w:fill="FFFFFF"/>
        </w:rPr>
        <w:t xml:space="preserve">.  </w:t>
      </w:r>
      <w:r w:rsidRPr="004C6EF9">
        <w:rPr>
          <w:rFonts w:cstheme="minorHAnsi"/>
          <w:szCs w:val="24"/>
        </w:rPr>
        <w:t xml:space="preserve"> </w:t>
      </w:r>
    </w:p>
    <w:tbl>
      <w:tblPr>
        <w:tblStyle w:val="TableGrid"/>
        <w:tblW w:w="0" w:type="auto"/>
        <w:tblLook w:val="04A0" w:firstRow="1" w:lastRow="0" w:firstColumn="1" w:lastColumn="0" w:noHBand="0" w:noVBand="1"/>
      </w:tblPr>
      <w:tblGrid>
        <w:gridCol w:w="9629"/>
      </w:tblGrid>
      <w:tr w:rsidR="00604DD1" w:rsidRPr="004C6EF9" w14:paraId="1ED1FA52" w14:textId="77777777" w:rsidTr="004D36C6">
        <w:tc>
          <w:tcPr>
            <w:tcW w:w="9629" w:type="dxa"/>
          </w:tcPr>
          <w:p w14:paraId="3E64099F" w14:textId="223EFA96" w:rsidR="00604DD1" w:rsidRPr="004C6EF9" w:rsidRDefault="00326ECA" w:rsidP="00D1140E">
            <w:pPr>
              <w:spacing w:after="120"/>
              <w:rPr>
                <w:rFonts w:eastAsiaTheme="minorEastAsia" w:cstheme="minorHAnsi"/>
                <w:szCs w:val="24"/>
              </w:rPr>
            </w:pPr>
            <w:r w:rsidRPr="004C6EF9">
              <w:rPr>
                <w:rFonts w:eastAsiaTheme="minorEastAsia" w:cstheme="minorHAnsi"/>
                <w:szCs w:val="24"/>
              </w:rPr>
              <w:t>TDAG noted the document with appreciation. More information on the Partner2Connect initiative will be provided as the initiative gains momentum.</w:t>
            </w:r>
          </w:p>
        </w:tc>
      </w:tr>
    </w:tbl>
    <w:p w14:paraId="78ECE22F" w14:textId="67501E42" w:rsidR="00FC2232" w:rsidRPr="004C6EF9" w:rsidRDefault="00604DD1" w:rsidP="0011639E">
      <w:pPr>
        <w:pStyle w:val="ListParagraph"/>
        <w:keepNext/>
        <w:numPr>
          <w:ilvl w:val="0"/>
          <w:numId w:val="2"/>
        </w:numPr>
        <w:spacing w:after="120"/>
        <w:ind w:left="357" w:hanging="357"/>
        <w:contextualSpacing w:val="0"/>
        <w:rPr>
          <w:rFonts w:cstheme="minorHAnsi"/>
          <w:b/>
          <w:bCs/>
          <w:szCs w:val="24"/>
        </w:rPr>
      </w:pPr>
      <w:bookmarkStart w:id="6" w:name="_Hlk88735462"/>
      <w:r w:rsidRPr="004C6EF9">
        <w:rPr>
          <w:rFonts w:cstheme="minorHAnsi"/>
          <w:b/>
          <w:bCs/>
          <w:szCs w:val="24"/>
        </w:rPr>
        <w:t>Preparatory</w:t>
      </w:r>
      <w:r w:rsidR="00296088" w:rsidRPr="004C6EF9">
        <w:rPr>
          <w:rFonts w:cstheme="minorHAnsi"/>
          <w:b/>
          <w:bCs/>
          <w:szCs w:val="24"/>
        </w:rPr>
        <w:t xml:space="preserve"> </w:t>
      </w:r>
      <w:r w:rsidRPr="004C6EF9">
        <w:rPr>
          <w:rFonts w:cstheme="minorHAnsi"/>
          <w:b/>
          <w:bCs/>
          <w:szCs w:val="24"/>
        </w:rPr>
        <w:t>process</w:t>
      </w:r>
      <w:r w:rsidR="00296088" w:rsidRPr="004C6EF9">
        <w:rPr>
          <w:rFonts w:cstheme="minorHAnsi"/>
          <w:b/>
          <w:bCs/>
          <w:szCs w:val="24"/>
        </w:rPr>
        <w:t xml:space="preserve"> </w:t>
      </w:r>
      <w:r w:rsidRPr="004C6EF9">
        <w:rPr>
          <w:rFonts w:cstheme="minorHAnsi"/>
          <w:b/>
          <w:bCs/>
          <w:szCs w:val="24"/>
        </w:rPr>
        <w:t>for</w:t>
      </w:r>
      <w:r w:rsidR="00296088" w:rsidRPr="004C6EF9">
        <w:rPr>
          <w:rFonts w:cstheme="minorHAnsi"/>
          <w:b/>
          <w:bCs/>
          <w:szCs w:val="24"/>
        </w:rPr>
        <w:t xml:space="preserve"> </w:t>
      </w:r>
      <w:r w:rsidRPr="004C6EF9">
        <w:rPr>
          <w:rFonts w:cstheme="minorHAnsi"/>
          <w:b/>
          <w:bCs/>
          <w:szCs w:val="24"/>
        </w:rPr>
        <w:t>WTDC</w:t>
      </w:r>
    </w:p>
    <w:p w14:paraId="1712208A" w14:textId="73BDF422" w:rsidR="00F43133" w:rsidRPr="004C6EF9" w:rsidRDefault="00604DD1" w:rsidP="0011639E">
      <w:pPr>
        <w:pStyle w:val="ListParagraph"/>
        <w:keepNext/>
        <w:numPr>
          <w:ilvl w:val="1"/>
          <w:numId w:val="2"/>
        </w:numPr>
        <w:spacing w:after="120"/>
        <w:ind w:left="431" w:hanging="431"/>
        <w:contextualSpacing w:val="0"/>
        <w:rPr>
          <w:rFonts w:cstheme="minorHAnsi"/>
          <w:b/>
          <w:bCs/>
          <w:szCs w:val="24"/>
        </w:rPr>
      </w:pPr>
      <w:r w:rsidRPr="004C6EF9">
        <w:rPr>
          <w:rFonts w:cstheme="minorHAnsi"/>
          <w:b/>
          <w:bCs/>
          <w:szCs w:val="24"/>
        </w:rPr>
        <w:t>Report</w:t>
      </w:r>
      <w:r w:rsidR="00296088" w:rsidRPr="004C6EF9">
        <w:rPr>
          <w:rFonts w:cstheme="minorHAnsi"/>
          <w:b/>
          <w:bCs/>
          <w:szCs w:val="24"/>
        </w:rPr>
        <w:t xml:space="preserve"> </w:t>
      </w:r>
      <w:r w:rsidRPr="004C6EF9">
        <w:rPr>
          <w:rFonts w:cstheme="minorHAnsi"/>
          <w:b/>
          <w:bCs/>
          <w:szCs w:val="24"/>
        </w:rPr>
        <w:t>on</w:t>
      </w:r>
      <w:r w:rsidR="00296088" w:rsidRPr="004C6EF9">
        <w:rPr>
          <w:rFonts w:cstheme="minorHAnsi"/>
          <w:b/>
          <w:bCs/>
          <w:szCs w:val="24"/>
        </w:rPr>
        <w:t xml:space="preserve"> </w:t>
      </w:r>
      <w:r w:rsidRPr="004C6EF9">
        <w:rPr>
          <w:rFonts w:cstheme="minorHAnsi"/>
          <w:b/>
          <w:bCs/>
          <w:szCs w:val="24"/>
        </w:rPr>
        <w:t>the</w:t>
      </w:r>
      <w:r w:rsidR="00296088" w:rsidRPr="004C6EF9">
        <w:rPr>
          <w:rFonts w:cstheme="minorHAnsi"/>
          <w:b/>
          <w:bCs/>
          <w:szCs w:val="24"/>
        </w:rPr>
        <w:t xml:space="preserve"> </w:t>
      </w:r>
      <w:r w:rsidRPr="004C6EF9">
        <w:rPr>
          <w:rFonts w:cstheme="minorHAnsi"/>
          <w:b/>
          <w:bCs/>
          <w:szCs w:val="24"/>
        </w:rPr>
        <w:t>work</w:t>
      </w:r>
      <w:r w:rsidR="00296088" w:rsidRPr="004C6EF9">
        <w:rPr>
          <w:rFonts w:cstheme="minorHAnsi"/>
          <w:b/>
          <w:bCs/>
          <w:szCs w:val="24"/>
        </w:rPr>
        <w:t xml:space="preserve"> </w:t>
      </w:r>
      <w:r w:rsidRPr="004C6EF9">
        <w:rPr>
          <w:rFonts w:cstheme="minorHAnsi"/>
          <w:b/>
          <w:bCs/>
          <w:szCs w:val="24"/>
        </w:rPr>
        <w:t>of</w:t>
      </w:r>
      <w:r w:rsidR="00296088" w:rsidRPr="004C6EF9">
        <w:rPr>
          <w:rFonts w:cstheme="minorHAnsi"/>
          <w:b/>
          <w:bCs/>
          <w:szCs w:val="24"/>
        </w:rPr>
        <w:t xml:space="preserve"> </w:t>
      </w:r>
      <w:r w:rsidRPr="004C6EF9">
        <w:rPr>
          <w:rFonts w:cstheme="minorHAnsi"/>
          <w:b/>
          <w:bCs/>
          <w:szCs w:val="24"/>
        </w:rPr>
        <w:t>the</w:t>
      </w:r>
      <w:r w:rsidR="00296088" w:rsidRPr="004C6EF9">
        <w:rPr>
          <w:rFonts w:cstheme="minorHAnsi"/>
          <w:b/>
          <w:bCs/>
          <w:szCs w:val="24"/>
        </w:rPr>
        <w:t xml:space="preserve"> </w:t>
      </w:r>
      <w:r w:rsidRPr="004C6EF9">
        <w:rPr>
          <w:rFonts w:cstheme="minorHAnsi"/>
          <w:b/>
          <w:bCs/>
          <w:szCs w:val="24"/>
        </w:rPr>
        <w:t>TDAG-WG-RDTP</w:t>
      </w:r>
    </w:p>
    <w:p w14:paraId="1F30BDC5" w14:textId="0CC678CE" w:rsidR="00D1140E" w:rsidRPr="004C6EF9" w:rsidRDefault="0035295E" w:rsidP="0011639E">
      <w:pPr>
        <w:keepNext/>
        <w:spacing w:after="120"/>
        <w:rPr>
          <w:rStyle w:val="Hyperlink"/>
          <w:rFonts w:cstheme="minorHAnsi"/>
          <w:b/>
          <w:bCs/>
          <w:szCs w:val="24"/>
          <w:lang w:val="pt-BR"/>
        </w:rPr>
      </w:pPr>
      <w:r w:rsidRPr="004C6EF9">
        <w:rPr>
          <w:rFonts w:cstheme="minorHAnsi"/>
          <w:b/>
          <w:bCs/>
          <w:szCs w:val="24"/>
          <w:lang w:val="pt-BR"/>
        </w:rPr>
        <w:t>Document</w:t>
      </w:r>
      <w:r w:rsidR="00296088" w:rsidRPr="004C6EF9">
        <w:rPr>
          <w:rFonts w:cstheme="minorHAnsi"/>
          <w:b/>
          <w:bCs/>
          <w:szCs w:val="24"/>
          <w:lang w:val="pt-BR"/>
        </w:rPr>
        <w:t xml:space="preserve"> </w:t>
      </w:r>
      <w:hyperlink r:id="rId19" w:history="1">
        <w:r w:rsidRPr="004C6EF9">
          <w:rPr>
            <w:rStyle w:val="Hyperlink"/>
            <w:rFonts w:cstheme="minorHAnsi"/>
            <w:b/>
            <w:bCs/>
            <w:szCs w:val="24"/>
            <w:lang w:val="pt-BR"/>
          </w:rPr>
          <w:t>1</w:t>
        </w:r>
        <w:r w:rsidR="00326ECA" w:rsidRPr="004C6EF9">
          <w:rPr>
            <w:rStyle w:val="Hyperlink"/>
            <w:rFonts w:cstheme="minorHAnsi"/>
            <w:b/>
            <w:bCs/>
            <w:szCs w:val="24"/>
            <w:lang w:val="pt-BR"/>
          </w:rPr>
          <w:t>7(Rev.1)</w:t>
        </w:r>
      </w:hyperlink>
    </w:p>
    <w:p w14:paraId="33B362BD" w14:textId="3845BE2A" w:rsidR="00D1140E" w:rsidRPr="004C6EF9" w:rsidRDefault="00D1140E" w:rsidP="00D1140E">
      <w:pPr>
        <w:spacing w:after="120"/>
        <w:rPr>
          <w:rStyle w:val="Hyperlink"/>
          <w:rFonts w:cstheme="minorHAnsi"/>
          <w:color w:val="auto"/>
          <w:szCs w:val="24"/>
          <w:u w:val="none"/>
          <w:lang w:val="pt-BR"/>
        </w:rPr>
      </w:pPr>
      <w:r w:rsidRPr="004C6EF9">
        <w:rPr>
          <w:rStyle w:val="Hyperlink"/>
          <w:rFonts w:cstheme="minorHAnsi"/>
          <w:color w:val="auto"/>
          <w:szCs w:val="24"/>
          <w:u w:val="none"/>
          <w:lang w:val="pt-BR"/>
        </w:rPr>
        <w:t>The</w:t>
      </w:r>
      <w:r w:rsidR="00F8666B">
        <w:rPr>
          <w:rStyle w:val="Hyperlink"/>
          <w:rFonts w:cstheme="minorHAnsi"/>
          <w:color w:val="auto"/>
          <w:szCs w:val="24"/>
          <w:u w:val="none"/>
          <w:lang w:val="pt-BR"/>
        </w:rPr>
        <w:t xml:space="preserve"> </w:t>
      </w:r>
      <w:r w:rsidRPr="004C6EF9">
        <w:rPr>
          <w:rStyle w:val="Hyperlink"/>
          <w:rFonts w:cstheme="minorHAnsi"/>
          <w:color w:val="auto"/>
          <w:szCs w:val="24"/>
          <w:u w:val="none"/>
          <w:lang w:val="pt-BR"/>
        </w:rPr>
        <w:t>final</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report</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of</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the</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TDAG</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Working</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Group</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on</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WTDC</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Resolutions,</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Declaration</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and</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Thematic</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Priorities</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(TDAG-WG-RDTP)</w:t>
      </w:r>
      <w:r w:rsidR="00F8666B">
        <w:rPr>
          <w:rStyle w:val="Hyperlink"/>
          <w:rFonts w:cstheme="minorHAnsi"/>
          <w:color w:val="auto"/>
          <w:szCs w:val="24"/>
          <w:u w:val="none"/>
          <w:lang w:val="pt-BR"/>
        </w:rPr>
        <w:t xml:space="preserve">, presented by its Chairman, </w:t>
      </w:r>
      <w:r w:rsidR="00D81C68">
        <w:rPr>
          <w:rStyle w:val="Hyperlink"/>
          <w:rFonts w:cstheme="minorHAnsi"/>
          <w:color w:val="auto"/>
          <w:szCs w:val="24"/>
          <w:u w:val="none"/>
          <w:lang w:val="pt-BR"/>
        </w:rPr>
        <w:t>Dr</w:t>
      </w:r>
      <w:r w:rsidR="00F8666B">
        <w:rPr>
          <w:rStyle w:val="Hyperlink"/>
          <w:rFonts w:cstheme="minorHAnsi"/>
          <w:color w:val="auto"/>
          <w:szCs w:val="24"/>
          <w:u w:val="none"/>
          <w:lang w:val="pt-BR"/>
        </w:rPr>
        <w:t xml:space="preserve"> Ahmad Sharafat,</w:t>
      </w:r>
      <w:r w:rsidR="0074120F" w:rsidRPr="004C6EF9">
        <w:rPr>
          <w:rStyle w:val="Hyperlink"/>
          <w:rFonts w:cstheme="minorHAnsi"/>
          <w:color w:val="auto"/>
          <w:szCs w:val="24"/>
          <w:u w:val="none"/>
          <w:lang w:val="pt-BR"/>
        </w:rPr>
        <w:t xml:space="preserve"> </w:t>
      </w:r>
      <w:r w:rsidR="005751BB">
        <w:rPr>
          <w:rStyle w:val="Hyperlink"/>
          <w:rFonts w:cstheme="minorHAnsi"/>
          <w:color w:val="auto"/>
          <w:szCs w:val="24"/>
          <w:u w:val="none"/>
          <w:lang w:val="pt-BR"/>
        </w:rPr>
        <w:t xml:space="preserve">comprehensively described </w:t>
      </w:r>
      <w:r w:rsidR="0074120F" w:rsidRPr="004C6EF9">
        <w:rPr>
          <w:rStyle w:val="Hyperlink"/>
          <w:rFonts w:cstheme="minorHAnsi"/>
          <w:color w:val="auto"/>
          <w:szCs w:val="24"/>
          <w:u w:val="none"/>
          <w:lang w:val="pt-BR"/>
        </w:rPr>
        <w:t xml:space="preserve">the </w:t>
      </w:r>
      <w:r w:rsidR="005751BB">
        <w:rPr>
          <w:rStyle w:val="Hyperlink"/>
          <w:rFonts w:cstheme="minorHAnsi"/>
          <w:color w:val="auto"/>
          <w:szCs w:val="24"/>
          <w:u w:val="none"/>
          <w:lang w:val="pt-BR"/>
        </w:rPr>
        <w:t xml:space="preserve">work undertaken, the outcomes produced </w:t>
      </w:r>
      <w:r w:rsidR="0074120F" w:rsidRPr="004C6EF9">
        <w:rPr>
          <w:rStyle w:val="Hyperlink"/>
          <w:rFonts w:cstheme="minorHAnsi"/>
          <w:color w:val="auto"/>
          <w:szCs w:val="24"/>
          <w:u w:val="none"/>
          <w:lang w:val="pt-BR"/>
        </w:rPr>
        <w:t>and the seven meetings</w:t>
      </w:r>
      <w:r w:rsidR="005751BB">
        <w:rPr>
          <w:rStyle w:val="Hyperlink"/>
          <w:rFonts w:cstheme="minorHAnsi"/>
          <w:color w:val="auto"/>
          <w:szCs w:val="24"/>
          <w:u w:val="none"/>
          <w:lang w:val="pt-BR"/>
        </w:rPr>
        <w:t xml:space="preserve"> held to advance the work</w:t>
      </w:r>
      <w:r w:rsidR="0074120F" w:rsidRPr="004C6EF9">
        <w:rPr>
          <w:rStyle w:val="Hyperlink"/>
          <w:rFonts w:cstheme="minorHAnsi"/>
          <w:color w:val="auto"/>
          <w:szCs w:val="24"/>
          <w:u w:val="none"/>
          <w:lang w:val="pt-BR"/>
        </w:rPr>
        <w:t xml:space="preserve">. </w:t>
      </w:r>
      <w:r w:rsidR="0082753A" w:rsidRPr="004C6EF9">
        <w:rPr>
          <w:rStyle w:val="Hyperlink"/>
          <w:rFonts w:cstheme="minorHAnsi"/>
          <w:color w:val="auto"/>
          <w:szCs w:val="24"/>
          <w:u w:val="none"/>
          <w:lang w:val="pt-BR"/>
        </w:rPr>
        <w:t xml:space="preserve">The report </w:t>
      </w:r>
      <w:r w:rsidR="00894846">
        <w:rPr>
          <w:rStyle w:val="Hyperlink"/>
          <w:rFonts w:cstheme="minorHAnsi"/>
          <w:color w:val="auto"/>
          <w:szCs w:val="24"/>
          <w:u w:val="none"/>
          <w:lang w:val="pt-BR"/>
        </w:rPr>
        <w:t>highlights</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the</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main</w:t>
      </w:r>
      <w:r w:rsidR="00296088" w:rsidRPr="004C6EF9">
        <w:rPr>
          <w:rStyle w:val="Hyperlink"/>
          <w:rFonts w:cstheme="minorHAnsi"/>
          <w:color w:val="auto"/>
          <w:szCs w:val="24"/>
          <w:u w:val="none"/>
          <w:lang w:val="pt-BR"/>
        </w:rPr>
        <w:t xml:space="preserve"> </w:t>
      </w:r>
      <w:r w:rsidR="00326ECA" w:rsidRPr="004C6EF9">
        <w:rPr>
          <w:rStyle w:val="Hyperlink"/>
          <w:rFonts w:cstheme="minorHAnsi"/>
          <w:color w:val="auto"/>
          <w:szCs w:val="24"/>
          <w:u w:val="none"/>
          <w:lang w:val="pt-BR"/>
        </w:rPr>
        <w:t>outputs</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of</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the</w:t>
      </w:r>
      <w:r w:rsidR="00296088" w:rsidRPr="004C6EF9">
        <w:rPr>
          <w:rStyle w:val="Hyperlink"/>
          <w:rFonts w:cstheme="minorHAnsi"/>
          <w:color w:val="auto"/>
          <w:szCs w:val="24"/>
          <w:u w:val="none"/>
          <w:lang w:val="pt-BR"/>
        </w:rPr>
        <w:t xml:space="preserve"> </w:t>
      </w:r>
      <w:r w:rsidRPr="004C6EF9">
        <w:rPr>
          <w:rStyle w:val="Hyperlink"/>
          <w:rFonts w:cstheme="minorHAnsi"/>
          <w:color w:val="auto"/>
          <w:szCs w:val="24"/>
          <w:u w:val="none"/>
          <w:lang w:val="pt-BR"/>
        </w:rPr>
        <w:t>group</w:t>
      </w:r>
      <w:r w:rsidR="003872C6">
        <w:rPr>
          <w:rStyle w:val="Hyperlink"/>
          <w:rFonts w:cstheme="minorHAnsi"/>
          <w:color w:val="auto"/>
          <w:szCs w:val="24"/>
          <w:u w:val="none"/>
          <w:lang w:val="pt-BR"/>
        </w:rPr>
        <w:t xml:space="preserve">: </w:t>
      </w:r>
      <w:r w:rsidR="0082753A" w:rsidRPr="004C6EF9">
        <w:rPr>
          <w:rStyle w:val="Hyperlink"/>
          <w:rFonts w:cstheme="minorHAnsi"/>
          <w:color w:val="auto"/>
          <w:szCs w:val="24"/>
          <w:u w:val="none"/>
          <w:lang w:val="pt-BR"/>
        </w:rPr>
        <w:t>the draft WTDC Declaration</w:t>
      </w:r>
      <w:r w:rsidR="009A7CD7">
        <w:rPr>
          <w:rStyle w:val="Hyperlink"/>
          <w:rFonts w:cstheme="minorHAnsi"/>
          <w:color w:val="auto"/>
          <w:szCs w:val="24"/>
          <w:u w:val="none"/>
          <w:lang w:val="pt-BR"/>
        </w:rPr>
        <w:t xml:space="preserve">, </w:t>
      </w:r>
      <w:r w:rsidR="0082753A" w:rsidRPr="004C6EF9">
        <w:rPr>
          <w:rStyle w:val="Hyperlink"/>
          <w:rFonts w:cstheme="minorHAnsi"/>
          <w:color w:val="auto"/>
          <w:szCs w:val="24"/>
          <w:u w:val="none"/>
          <w:lang w:val="pt-BR"/>
        </w:rPr>
        <w:t>the draft alternative sets of ITU-D Thematic Priorities</w:t>
      </w:r>
      <w:r w:rsidR="009A7CD7">
        <w:rPr>
          <w:rStyle w:val="Hyperlink"/>
          <w:rFonts w:cstheme="minorHAnsi"/>
          <w:color w:val="auto"/>
          <w:szCs w:val="24"/>
          <w:u w:val="none"/>
          <w:lang w:val="pt-BR"/>
        </w:rPr>
        <w:t xml:space="preserve"> which </w:t>
      </w:r>
      <w:r w:rsidR="003872C6">
        <w:rPr>
          <w:rStyle w:val="Hyperlink"/>
          <w:rFonts w:cstheme="minorHAnsi"/>
          <w:color w:val="auto"/>
          <w:szCs w:val="24"/>
          <w:u w:val="none"/>
          <w:lang w:val="pt-BR"/>
        </w:rPr>
        <w:t>also guided discussions on the BDT action and strategic plans</w:t>
      </w:r>
      <w:r w:rsidR="00790F37">
        <w:rPr>
          <w:rStyle w:val="Hyperlink"/>
          <w:rFonts w:cstheme="minorHAnsi"/>
          <w:color w:val="auto"/>
          <w:szCs w:val="24"/>
          <w:u w:val="none"/>
          <w:lang w:val="pt-BR"/>
        </w:rPr>
        <w:t xml:space="preserve">, and significant discussions on Resolutions 1 and 2.  </w:t>
      </w:r>
      <w:r w:rsidR="00BD7B79">
        <w:rPr>
          <w:rStyle w:val="Hyperlink"/>
          <w:rFonts w:cstheme="minorHAnsi"/>
          <w:color w:val="auto"/>
          <w:szCs w:val="24"/>
          <w:u w:val="none"/>
          <w:lang w:val="pt-BR"/>
        </w:rPr>
        <w:t>While t</w:t>
      </w:r>
      <w:r w:rsidR="00E412B0" w:rsidRPr="004C6EF9">
        <w:rPr>
          <w:rStyle w:val="Hyperlink"/>
          <w:rFonts w:cstheme="minorHAnsi"/>
          <w:color w:val="auto"/>
          <w:szCs w:val="24"/>
          <w:u w:val="none"/>
          <w:lang w:val="pt-BR"/>
        </w:rPr>
        <w:t>he</w:t>
      </w:r>
      <w:r w:rsidR="005751BB">
        <w:rPr>
          <w:rStyle w:val="Hyperlink"/>
          <w:rFonts w:cstheme="minorHAnsi"/>
          <w:color w:val="auto"/>
          <w:szCs w:val="24"/>
          <w:u w:val="none"/>
          <w:lang w:val="pt-BR"/>
        </w:rPr>
        <w:t>re was insufficient time</w:t>
      </w:r>
      <w:r w:rsidR="00E412B0" w:rsidRPr="004C6EF9">
        <w:rPr>
          <w:rStyle w:val="Hyperlink"/>
          <w:rFonts w:cstheme="minorHAnsi"/>
          <w:color w:val="auto"/>
          <w:szCs w:val="24"/>
          <w:u w:val="none"/>
          <w:lang w:val="pt-BR"/>
        </w:rPr>
        <w:t xml:space="preserve"> </w:t>
      </w:r>
      <w:r w:rsidR="005751BB">
        <w:rPr>
          <w:rStyle w:val="Hyperlink"/>
          <w:rFonts w:cstheme="minorHAnsi"/>
          <w:color w:val="auto"/>
          <w:szCs w:val="24"/>
          <w:u w:val="none"/>
          <w:lang w:val="pt-BR"/>
        </w:rPr>
        <w:t>for</w:t>
      </w:r>
      <w:r w:rsidR="00BD7B79">
        <w:rPr>
          <w:rStyle w:val="Hyperlink"/>
          <w:rFonts w:cstheme="minorHAnsi"/>
          <w:color w:val="auto"/>
          <w:szCs w:val="24"/>
          <w:u w:val="none"/>
          <w:lang w:val="pt-BR"/>
        </w:rPr>
        <w:t xml:space="preserve"> the </w:t>
      </w:r>
      <w:r w:rsidR="00E412B0" w:rsidRPr="004C6EF9">
        <w:rPr>
          <w:rStyle w:val="Hyperlink"/>
          <w:rFonts w:cstheme="minorHAnsi"/>
          <w:color w:val="auto"/>
          <w:szCs w:val="24"/>
          <w:u w:val="none"/>
          <w:lang w:val="pt-BR"/>
        </w:rPr>
        <w:t xml:space="preserve">group </w:t>
      </w:r>
      <w:r w:rsidR="005751BB">
        <w:rPr>
          <w:rStyle w:val="Hyperlink"/>
          <w:rFonts w:cstheme="minorHAnsi"/>
          <w:color w:val="auto"/>
          <w:szCs w:val="24"/>
          <w:u w:val="none"/>
          <w:lang w:val="pt-BR"/>
        </w:rPr>
        <w:t xml:space="preserve">to </w:t>
      </w:r>
      <w:r w:rsidR="00E412B0" w:rsidRPr="004C6EF9">
        <w:rPr>
          <w:rStyle w:val="Hyperlink"/>
          <w:rFonts w:cstheme="minorHAnsi"/>
          <w:color w:val="auto"/>
          <w:szCs w:val="24"/>
          <w:u w:val="none"/>
          <w:lang w:val="pt-BR"/>
        </w:rPr>
        <w:t>complete</w:t>
      </w:r>
      <w:r w:rsidR="00BD7B79">
        <w:rPr>
          <w:rStyle w:val="Hyperlink"/>
          <w:rFonts w:cstheme="minorHAnsi"/>
          <w:color w:val="auto"/>
          <w:szCs w:val="24"/>
          <w:u w:val="none"/>
          <w:lang w:val="pt-BR"/>
        </w:rPr>
        <w:t xml:space="preserve"> its</w:t>
      </w:r>
      <w:r w:rsidR="00E412B0" w:rsidRPr="004C6EF9">
        <w:rPr>
          <w:rStyle w:val="Hyperlink"/>
          <w:rFonts w:cstheme="minorHAnsi"/>
          <w:color w:val="auto"/>
          <w:szCs w:val="24"/>
          <w:u w:val="none"/>
          <w:lang w:val="pt-BR"/>
        </w:rPr>
        <w:t xml:space="preserve"> review </w:t>
      </w:r>
      <w:r w:rsidR="009A7CD7">
        <w:rPr>
          <w:rStyle w:val="Hyperlink"/>
          <w:rFonts w:cstheme="minorHAnsi"/>
          <w:color w:val="auto"/>
          <w:szCs w:val="24"/>
          <w:u w:val="none"/>
          <w:lang w:val="pt-BR"/>
        </w:rPr>
        <w:t xml:space="preserve">of </w:t>
      </w:r>
      <w:r w:rsidR="00BD7B79">
        <w:rPr>
          <w:rStyle w:val="Hyperlink"/>
          <w:rFonts w:cstheme="minorHAnsi"/>
          <w:color w:val="auto"/>
          <w:szCs w:val="24"/>
          <w:u w:val="none"/>
          <w:lang w:val="pt-BR"/>
        </w:rPr>
        <w:t xml:space="preserve">the extensive changes proposed to </w:t>
      </w:r>
      <w:r w:rsidR="009A7CD7">
        <w:rPr>
          <w:rStyle w:val="Hyperlink"/>
          <w:rFonts w:cstheme="minorHAnsi"/>
          <w:color w:val="auto"/>
          <w:szCs w:val="24"/>
          <w:u w:val="none"/>
          <w:lang w:val="pt-BR"/>
        </w:rPr>
        <w:t>Resolution 1</w:t>
      </w:r>
      <w:r w:rsidR="00BD7B79">
        <w:rPr>
          <w:rStyle w:val="Hyperlink"/>
          <w:rFonts w:cstheme="minorHAnsi"/>
          <w:color w:val="auto"/>
          <w:szCs w:val="24"/>
          <w:u w:val="none"/>
          <w:lang w:val="pt-BR"/>
        </w:rPr>
        <w:t xml:space="preserve">, the exchanges, reflections, and review will support </w:t>
      </w:r>
      <w:r w:rsidR="00F8666B">
        <w:rPr>
          <w:rStyle w:val="Hyperlink"/>
          <w:rFonts w:cstheme="minorHAnsi"/>
          <w:color w:val="auto"/>
          <w:szCs w:val="24"/>
          <w:u w:val="none"/>
          <w:lang w:val="pt-BR"/>
        </w:rPr>
        <w:t xml:space="preserve">and benefit </w:t>
      </w:r>
      <w:r w:rsidR="00BD7B79">
        <w:rPr>
          <w:rStyle w:val="Hyperlink"/>
          <w:rFonts w:cstheme="minorHAnsi"/>
          <w:color w:val="auto"/>
          <w:szCs w:val="24"/>
          <w:u w:val="none"/>
          <w:lang w:val="pt-BR"/>
        </w:rPr>
        <w:t>membership proposals in this regard</w:t>
      </w:r>
      <w:r w:rsidR="00E412B0" w:rsidRPr="004C6EF9">
        <w:rPr>
          <w:rStyle w:val="Hyperlink"/>
          <w:rFonts w:cstheme="minorHAnsi"/>
          <w:color w:val="auto"/>
          <w:szCs w:val="24"/>
          <w:u w:val="none"/>
          <w:lang w:val="pt-BR"/>
        </w:rPr>
        <w:t xml:space="preserve">. </w:t>
      </w:r>
      <w:r w:rsidR="003872C6">
        <w:rPr>
          <w:rStyle w:val="Hyperlink"/>
          <w:rFonts w:cstheme="minorHAnsi"/>
          <w:color w:val="auto"/>
          <w:szCs w:val="24"/>
          <w:u w:val="none"/>
          <w:lang w:val="pt-BR"/>
        </w:rPr>
        <w:t>The d</w:t>
      </w:r>
      <w:r w:rsidR="005751BB">
        <w:rPr>
          <w:rStyle w:val="Hyperlink"/>
          <w:rFonts w:cstheme="minorHAnsi"/>
          <w:color w:val="auto"/>
          <w:szCs w:val="24"/>
          <w:u w:val="none"/>
          <w:lang w:val="pt-BR"/>
        </w:rPr>
        <w:t>iscussions</w:t>
      </w:r>
      <w:r w:rsidR="00BD7B79">
        <w:rPr>
          <w:rStyle w:val="Hyperlink"/>
          <w:rFonts w:cstheme="minorHAnsi"/>
          <w:color w:val="auto"/>
          <w:szCs w:val="24"/>
          <w:u w:val="none"/>
          <w:lang w:val="pt-BR"/>
        </w:rPr>
        <w:t xml:space="preserve"> held</w:t>
      </w:r>
      <w:r w:rsidR="003872C6">
        <w:rPr>
          <w:rStyle w:val="Hyperlink"/>
          <w:rFonts w:cstheme="minorHAnsi"/>
          <w:color w:val="auto"/>
          <w:szCs w:val="24"/>
          <w:u w:val="none"/>
          <w:lang w:val="pt-BR"/>
        </w:rPr>
        <w:t xml:space="preserve"> </w:t>
      </w:r>
      <w:r w:rsidR="005751BB">
        <w:rPr>
          <w:rStyle w:val="Hyperlink"/>
          <w:rFonts w:cstheme="minorHAnsi"/>
          <w:color w:val="auto"/>
          <w:szCs w:val="24"/>
          <w:u w:val="none"/>
          <w:lang w:val="pt-BR"/>
        </w:rPr>
        <w:t xml:space="preserve">on </w:t>
      </w:r>
      <w:r w:rsidR="00E412B0" w:rsidRPr="00B42163">
        <w:rPr>
          <w:rStyle w:val="Hyperlink"/>
          <w:rFonts w:cstheme="minorHAnsi"/>
          <w:color w:val="auto"/>
          <w:szCs w:val="24"/>
          <w:u w:val="none"/>
          <w:lang w:val="pt-BR"/>
        </w:rPr>
        <w:t>Resolution 2</w:t>
      </w:r>
      <w:r w:rsidR="009A7CD7" w:rsidRPr="0011639E">
        <w:rPr>
          <w:rStyle w:val="Hyperlink"/>
          <w:rFonts w:cstheme="minorHAnsi"/>
          <w:color w:val="auto"/>
          <w:szCs w:val="24"/>
          <w:u w:val="none"/>
          <w:lang w:val="pt-BR"/>
        </w:rPr>
        <w:t xml:space="preserve"> contributed to </w:t>
      </w:r>
      <w:r w:rsidR="00E412B0" w:rsidRPr="004C6EF9">
        <w:rPr>
          <w:rStyle w:val="Hyperlink"/>
          <w:rFonts w:cstheme="minorHAnsi"/>
          <w:color w:val="auto"/>
          <w:szCs w:val="24"/>
          <w:u w:val="none"/>
          <w:lang w:val="pt-BR"/>
        </w:rPr>
        <w:t xml:space="preserve">the </w:t>
      </w:r>
      <w:r w:rsidR="00BD7B79">
        <w:rPr>
          <w:rStyle w:val="Hyperlink"/>
          <w:rFonts w:cstheme="minorHAnsi"/>
          <w:color w:val="auto"/>
          <w:szCs w:val="24"/>
          <w:u w:val="none"/>
          <w:lang w:val="pt-BR"/>
        </w:rPr>
        <w:t xml:space="preserve">ToR’s and other </w:t>
      </w:r>
      <w:r w:rsidR="00E412B0" w:rsidRPr="004C6EF9">
        <w:rPr>
          <w:rStyle w:val="Hyperlink"/>
          <w:rFonts w:cstheme="minorHAnsi"/>
          <w:color w:val="auto"/>
          <w:szCs w:val="24"/>
          <w:u w:val="none"/>
          <w:lang w:val="pt-BR"/>
        </w:rPr>
        <w:t xml:space="preserve">outcomes </w:t>
      </w:r>
      <w:r w:rsidR="003872C6">
        <w:rPr>
          <w:rStyle w:val="Hyperlink"/>
          <w:rFonts w:cstheme="minorHAnsi"/>
          <w:color w:val="auto"/>
          <w:szCs w:val="24"/>
          <w:u w:val="none"/>
          <w:lang w:val="pt-BR"/>
        </w:rPr>
        <w:t xml:space="preserve">presented to TDAG by </w:t>
      </w:r>
      <w:r w:rsidR="00E412B0" w:rsidRPr="004C6EF9">
        <w:rPr>
          <w:rStyle w:val="Hyperlink"/>
          <w:rFonts w:cstheme="minorHAnsi"/>
          <w:color w:val="auto"/>
          <w:szCs w:val="24"/>
          <w:u w:val="none"/>
          <w:lang w:val="pt-BR"/>
        </w:rPr>
        <w:t>ITU-D S</w:t>
      </w:r>
      <w:r w:rsidR="00326ECA" w:rsidRPr="004C6EF9">
        <w:rPr>
          <w:rStyle w:val="Hyperlink"/>
          <w:rFonts w:cstheme="minorHAnsi"/>
          <w:color w:val="auto"/>
          <w:szCs w:val="24"/>
          <w:u w:val="none"/>
          <w:lang w:val="pt-BR"/>
        </w:rPr>
        <w:t xml:space="preserve">tudy </w:t>
      </w:r>
      <w:r w:rsidR="00E412B0" w:rsidRPr="004C6EF9">
        <w:rPr>
          <w:rStyle w:val="Hyperlink"/>
          <w:rFonts w:cstheme="minorHAnsi"/>
          <w:color w:val="auto"/>
          <w:szCs w:val="24"/>
          <w:u w:val="none"/>
          <w:lang w:val="pt-BR"/>
        </w:rPr>
        <w:t>G</w:t>
      </w:r>
      <w:r w:rsidR="00326ECA" w:rsidRPr="004C6EF9">
        <w:rPr>
          <w:rStyle w:val="Hyperlink"/>
          <w:rFonts w:cstheme="minorHAnsi"/>
          <w:color w:val="auto"/>
          <w:szCs w:val="24"/>
          <w:u w:val="none"/>
          <w:lang w:val="pt-BR"/>
        </w:rPr>
        <w:t>roup</w:t>
      </w:r>
      <w:r w:rsidR="00BD7B79">
        <w:rPr>
          <w:rStyle w:val="Hyperlink"/>
          <w:rFonts w:cstheme="minorHAnsi"/>
          <w:color w:val="auto"/>
          <w:szCs w:val="24"/>
          <w:u w:val="none"/>
          <w:lang w:val="pt-BR"/>
        </w:rPr>
        <w:t>s</w:t>
      </w:r>
      <w:r w:rsidR="00E412B0" w:rsidRPr="004C6EF9">
        <w:rPr>
          <w:rStyle w:val="Hyperlink"/>
          <w:rFonts w:cstheme="minorHAnsi"/>
          <w:color w:val="auto"/>
          <w:szCs w:val="24"/>
          <w:u w:val="none"/>
          <w:lang w:val="pt-BR"/>
        </w:rPr>
        <w:t xml:space="preserve"> 1 and 2</w:t>
      </w:r>
      <w:r w:rsidR="008D7027" w:rsidRPr="004C6EF9">
        <w:rPr>
          <w:rStyle w:val="Hyperlink"/>
          <w:rFonts w:cstheme="minorHAnsi"/>
          <w:color w:val="auto"/>
          <w:szCs w:val="24"/>
          <w:u w:val="none"/>
          <w:lang w:val="pt-BR"/>
        </w:rPr>
        <w:t xml:space="preserve"> </w:t>
      </w:r>
      <w:r w:rsidR="003872C6">
        <w:rPr>
          <w:rStyle w:val="Hyperlink"/>
          <w:rFonts w:cstheme="minorHAnsi"/>
          <w:color w:val="auto"/>
          <w:szCs w:val="24"/>
          <w:u w:val="none"/>
          <w:lang w:val="pt-BR"/>
        </w:rPr>
        <w:t xml:space="preserve">on these issues </w:t>
      </w:r>
      <w:r w:rsidR="008D7027" w:rsidRPr="004C6EF9">
        <w:rPr>
          <w:rStyle w:val="Hyperlink"/>
          <w:rFonts w:cstheme="minorHAnsi"/>
          <w:color w:val="auto"/>
          <w:szCs w:val="24"/>
          <w:u w:val="none"/>
          <w:lang w:val="pt-BR"/>
        </w:rPr>
        <w:t xml:space="preserve">(respectively, Documents </w:t>
      </w:r>
      <w:hyperlink r:id="rId20" w:history="1">
        <w:r w:rsidR="008D7027" w:rsidRPr="004C6EF9">
          <w:rPr>
            <w:rStyle w:val="Hyperlink"/>
            <w:rFonts w:cstheme="minorHAnsi"/>
            <w:szCs w:val="24"/>
            <w:lang w:val="pt-BR"/>
          </w:rPr>
          <w:t>DT/4(Rev.1)</w:t>
        </w:r>
      </w:hyperlink>
      <w:r w:rsidR="008D7027" w:rsidRPr="004C6EF9">
        <w:rPr>
          <w:rStyle w:val="Hyperlink"/>
          <w:rFonts w:cstheme="minorHAnsi"/>
          <w:color w:val="auto"/>
          <w:szCs w:val="24"/>
          <w:u w:val="none"/>
          <w:lang w:val="pt-BR"/>
        </w:rPr>
        <w:t xml:space="preserve"> and </w:t>
      </w:r>
      <w:hyperlink r:id="rId21" w:history="1">
        <w:r w:rsidR="008D7027" w:rsidRPr="004C6EF9">
          <w:rPr>
            <w:rStyle w:val="Hyperlink"/>
            <w:rFonts w:cstheme="minorHAnsi"/>
            <w:szCs w:val="24"/>
            <w:lang w:val="pt-BR"/>
          </w:rPr>
          <w:t>DT/5</w:t>
        </w:r>
      </w:hyperlink>
      <w:r w:rsidR="008D7027" w:rsidRPr="004C6EF9">
        <w:rPr>
          <w:rStyle w:val="Hyperlink"/>
          <w:rFonts w:cstheme="minorHAnsi"/>
          <w:color w:val="auto"/>
          <w:szCs w:val="24"/>
          <w:u w:val="none"/>
          <w:lang w:val="pt-BR"/>
        </w:rPr>
        <w:t>).</w:t>
      </w:r>
      <w:r w:rsidR="00E412B0" w:rsidRPr="004C6EF9">
        <w:rPr>
          <w:rStyle w:val="Hyperlink"/>
          <w:rFonts w:cstheme="minorHAnsi"/>
          <w:color w:val="auto"/>
          <w:szCs w:val="24"/>
          <w:u w:val="none"/>
          <w:lang w:val="pt-BR"/>
        </w:rPr>
        <w:t xml:space="preserve">  </w:t>
      </w:r>
      <w:r w:rsidR="00C50F7D" w:rsidRPr="004C6EF9">
        <w:rPr>
          <w:rStyle w:val="Hyperlink"/>
          <w:rFonts w:cstheme="minorHAnsi"/>
          <w:color w:val="auto"/>
          <w:szCs w:val="24"/>
          <w:u w:val="none"/>
          <w:lang w:val="pt-BR"/>
        </w:rPr>
        <w:t xml:space="preserve"> </w:t>
      </w:r>
    </w:p>
    <w:p w14:paraId="0A2BE18D" w14:textId="0652C2AB" w:rsidR="0082753A" w:rsidRPr="004C6EF9" w:rsidRDefault="0083765B" w:rsidP="00D1140E">
      <w:pPr>
        <w:spacing w:after="120"/>
        <w:rPr>
          <w:rStyle w:val="Hyperlink"/>
          <w:rFonts w:cstheme="minorHAnsi"/>
          <w:color w:val="auto"/>
          <w:szCs w:val="24"/>
          <w:u w:val="none"/>
          <w:lang w:val="pt-BR"/>
        </w:rPr>
      </w:pPr>
      <w:r w:rsidRPr="004C6EF9">
        <w:rPr>
          <w:rStyle w:val="Hyperlink"/>
          <w:rFonts w:cstheme="minorHAnsi"/>
          <w:color w:val="auto"/>
          <w:szCs w:val="24"/>
          <w:u w:val="none"/>
          <w:lang w:val="pt-BR"/>
        </w:rPr>
        <w:t xml:space="preserve">Various delegations took the floor to express their appreciation for the </w:t>
      </w:r>
      <w:r w:rsidR="005024EA">
        <w:rPr>
          <w:rStyle w:val="Hyperlink"/>
          <w:rFonts w:cstheme="minorHAnsi"/>
          <w:color w:val="auto"/>
          <w:szCs w:val="24"/>
          <w:u w:val="none"/>
          <w:lang w:val="pt-BR"/>
        </w:rPr>
        <w:t>substantial a</w:t>
      </w:r>
      <w:r w:rsidR="00BD7B79">
        <w:rPr>
          <w:rStyle w:val="Hyperlink"/>
          <w:rFonts w:cstheme="minorHAnsi"/>
          <w:color w:val="auto"/>
          <w:szCs w:val="24"/>
          <w:u w:val="none"/>
          <w:lang w:val="pt-BR"/>
        </w:rPr>
        <w:t>nd important</w:t>
      </w:r>
      <w:r w:rsidR="003872C6">
        <w:rPr>
          <w:rStyle w:val="Hyperlink"/>
          <w:rFonts w:cstheme="minorHAnsi"/>
          <w:color w:val="auto"/>
          <w:szCs w:val="24"/>
          <w:u w:val="none"/>
          <w:lang w:val="pt-BR"/>
        </w:rPr>
        <w:t xml:space="preserve"> </w:t>
      </w:r>
      <w:r w:rsidRPr="004C6EF9">
        <w:rPr>
          <w:rStyle w:val="Hyperlink"/>
          <w:rFonts w:cstheme="minorHAnsi"/>
          <w:color w:val="auto"/>
          <w:szCs w:val="24"/>
          <w:u w:val="none"/>
          <w:lang w:val="pt-BR"/>
        </w:rPr>
        <w:t>work completed under the leadership of Dr Sharafat, the broad consultative process undertaken and the substantive outcomes, which will serve as a basis for further di</w:t>
      </w:r>
      <w:r w:rsidR="00326ECA" w:rsidRPr="004C6EF9">
        <w:rPr>
          <w:rStyle w:val="Hyperlink"/>
          <w:rFonts w:cstheme="minorHAnsi"/>
          <w:color w:val="auto"/>
          <w:szCs w:val="24"/>
          <w:u w:val="none"/>
          <w:lang w:val="pt-BR"/>
        </w:rPr>
        <w:t>s</w:t>
      </w:r>
      <w:r w:rsidRPr="004C6EF9">
        <w:rPr>
          <w:rStyle w:val="Hyperlink"/>
          <w:rFonts w:cstheme="minorHAnsi"/>
          <w:color w:val="auto"/>
          <w:szCs w:val="24"/>
          <w:u w:val="none"/>
          <w:lang w:val="pt-BR"/>
        </w:rPr>
        <w:t xml:space="preserve">cussion and refinement of Member States’ and regional proposals in the lead up to WTDC.  </w:t>
      </w:r>
    </w:p>
    <w:tbl>
      <w:tblPr>
        <w:tblStyle w:val="TableGrid"/>
        <w:tblW w:w="0" w:type="auto"/>
        <w:tblLook w:val="04A0" w:firstRow="1" w:lastRow="0" w:firstColumn="1" w:lastColumn="0" w:noHBand="0" w:noVBand="1"/>
      </w:tblPr>
      <w:tblGrid>
        <w:gridCol w:w="9629"/>
      </w:tblGrid>
      <w:tr w:rsidR="0054498D" w:rsidRPr="004C6EF9" w14:paraId="7F1B17EC" w14:textId="77777777" w:rsidTr="004D36C6">
        <w:tc>
          <w:tcPr>
            <w:tcW w:w="9629" w:type="dxa"/>
          </w:tcPr>
          <w:p w14:paraId="011AE04A" w14:textId="17944B11" w:rsidR="0054498D" w:rsidRPr="004C6EF9" w:rsidRDefault="00326ECA" w:rsidP="00751A04">
            <w:pPr>
              <w:spacing w:after="120"/>
              <w:rPr>
                <w:rFonts w:eastAsiaTheme="minorEastAsia" w:cstheme="minorHAnsi"/>
                <w:szCs w:val="24"/>
              </w:rPr>
            </w:pPr>
            <w:r w:rsidRPr="004C6EF9">
              <w:rPr>
                <w:rFonts w:eastAsiaTheme="minorEastAsia" w:cstheme="minorHAnsi"/>
                <w:szCs w:val="24"/>
              </w:rPr>
              <w:t xml:space="preserve">TDAG noted the report with appreciation and commended Dr Sharafat, Chairman of TDAG-WG-RDTP, for his exceptional commitment and for the significant amount of work </w:t>
            </w:r>
            <w:r w:rsidR="005751BB">
              <w:rPr>
                <w:rFonts w:eastAsiaTheme="minorEastAsia" w:cstheme="minorHAnsi"/>
                <w:szCs w:val="24"/>
              </w:rPr>
              <w:t>a</w:t>
            </w:r>
            <w:r w:rsidR="005751BB">
              <w:rPr>
                <w:rFonts w:eastAsiaTheme="minorEastAsia"/>
              </w:rPr>
              <w:t xml:space="preserve">chieved for ITU-D and its membership. </w:t>
            </w:r>
          </w:p>
        </w:tc>
      </w:tr>
    </w:tbl>
    <w:p w14:paraId="4DB67835" w14:textId="39887DCF" w:rsidR="0086058A" w:rsidRPr="004C6EF9" w:rsidRDefault="00972339" w:rsidP="0011639E">
      <w:pPr>
        <w:keepNext/>
        <w:spacing w:after="120"/>
        <w:rPr>
          <w:rFonts w:cstheme="minorHAnsi"/>
          <w:b/>
          <w:bCs/>
          <w:szCs w:val="24"/>
          <w:u w:val="single"/>
        </w:rPr>
      </w:pPr>
      <w:r w:rsidRPr="004C6EF9">
        <w:rPr>
          <w:rFonts w:cstheme="minorHAnsi"/>
          <w:b/>
          <w:bCs/>
          <w:szCs w:val="24"/>
          <w:u w:val="single"/>
          <w:lang w:val="pt-BR"/>
        </w:rPr>
        <w:lastRenderedPageBreak/>
        <w:t xml:space="preserve">WTDC </w:t>
      </w:r>
      <w:r w:rsidR="0086058A" w:rsidRPr="004C6EF9">
        <w:rPr>
          <w:rFonts w:cstheme="minorHAnsi"/>
          <w:b/>
          <w:bCs/>
          <w:szCs w:val="24"/>
          <w:u w:val="single"/>
        </w:rPr>
        <w:t>D</w:t>
      </w:r>
      <w:r w:rsidRPr="004C6EF9">
        <w:rPr>
          <w:rFonts w:cstheme="minorHAnsi"/>
          <w:b/>
          <w:bCs/>
          <w:szCs w:val="24"/>
          <w:u w:val="single"/>
        </w:rPr>
        <w:t>eclaration</w:t>
      </w:r>
    </w:p>
    <w:p w14:paraId="6C2E5E4C" w14:textId="77777777" w:rsidR="0086058A" w:rsidRPr="004C6EF9" w:rsidRDefault="0086058A" w:rsidP="0011639E">
      <w:pPr>
        <w:keepNext/>
        <w:spacing w:after="120"/>
        <w:rPr>
          <w:rFonts w:cstheme="minorHAnsi"/>
          <w:b/>
          <w:bCs/>
          <w:szCs w:val="24"/>
        </w:rPr>
      </w:pPr>
      <w:r w:rsidRPr="004C6EF9">
        <w:rPr>
          <w:rFonts w:cstheme="minorHAnsi"/>
          <w:b/>
          <w:bCs/>
          <w:szCs w:val="24"/>
        </w:rPr>
        <w:t xml:space="preserve">Document </w:t>
      </w:r>
      <w:hyperlink r:id="rId22" w:history="1">
        <w:r w:rsidRPr="004C6EF9">
          <w:rPr>
            <w:rStyle w:val="Hyperlink"/>
            <w:rFonts w:cstheme="minorHAnsi"/>
            <w:b/>
            <w:bCs/>
            <w:szCs w:val="24"/>
            <w:lang w:val="pt-BR"/>
          </w:rPr>
          <w:t>32</w:t>
        </w:r>
      </w:hyperlink>
      <w:r w:rsidRPr="004C6EF9">
        <w:rPr>
          <w:rFonts w:cstheme="minorHAnsi"/>
          <w:b/>
          <w:bCs/>
          <w:szCs w:val="24"/>
        </w:rPr>
        <w:t xml:space="preserve"> </w:t>
      </w:r>
    </w:p>
    <w:p w14:paraId="2A399DD6" w14:textId="631193C4" w:rsidR="0086058A" w:rsidRPr="004C6EF9" w:rsidRDefault="0086058A" w:rsidP="0086058A">
      <w:pPr>
        <w:spacing w:after="120"/>
        <w:rPr>
          <w:rFonts w:cstheme="minorHAnsi"/>
          <w:szCs w:val="24"/>
        </w:rPr>
      </w:pPr>
      <w:r w:rsidRPr="004C6EF9">
        <w:rPr>
          <w:rFonts w:cstheme="minorHAnsi"/>
          <w:szCs w:val="24"/>
        </w:rPr>
        <w:t>Th</w:t>
      </w:r>
      <w:r w:rsidR="00B42163" w:rsidRPr="004C6EF9">
        <w:rPr>
          <w:rFonts w:cstheme="minorHAnsi"/>
          <w:szCs w:val="24"/>
        </w:rPr>
        <w:t>e Chairman of TDAG-WG-RDTP</w:t>
      </w:r>
      <w:r w:rsidRPr="004C6EF9">
        <w:rPr>
          <w:rFonts w:cstheme="minorHAnsi"/>
          <w:szCs w:val="24"/>
        </w:rPr>
        <w:t xml:space="preserve"> </w:t>
      </w:r>
      <w:r w:rsidR="00B42163">
        <w:rPr>
          <w:rFonts w:cstheme="minorHAnsi"/>
          <w:szCs w:val="24"/>
        </w:rPr>
        <w:t xml:space="preserve">prepared and </w:t>
      </w:r>
      <w:r w:rsidRPr="004C6EF9">
        <w:rPr>
          <w:rFonts w:cstheme="minorHAnsi"/>
          <w:szCs w:val="24"/>
        </w:rPr>
        <w:t>present</w:t>
      </w:r>
      <w:r w:rsidR="00B42163">
        <w:rPr>
          <w:rFonts w:cstheme="minorHAnsi"/>
          <w:szCs w:val="24"/>
        </w:rPr>
        <w:t>ed</w:t>
      </w:r>
      <w:r w:rsidRPr="004C6EF9">
        <w:rPr>
          <w:rFonts w:cstheme="minorHAnsi"/>
          <w:szCs w:val="24"/>
        </w:rPr>
        <w:t xml:space="preserve"> the working draft of the </w:t>
      </w:r>
      <w:r w:rsidR="001C6CF3" w:rsidRPr="004C6EF9">
        <w:rPr>
          <w:rFonts w:cstheme="minorHAnsi"/>
          <w:szCs w:val="24"/>
        </w:rPr>
        <w:t>WTDC</w:t>
      </w:r>
      <w:r w:rsidRPr="004C6EF9">
        <w:rPr>
          <w:rFonts w:cstheme="minorHAnsi"/>
          <w:szCs w:val="24"/>
        </w:rPr>
        <w:t xml:space="preserve"> Declaration </w:t>
      </w:r>
      <w:r w:rsidR="00B42163">
        <w:rPr>
          <w:rFonts w:cstheme="minorHAnsi"/>
          <w:szCs w:val="24"/>
        </w:rPr>
        <w:t xml:space="preserve">which </w:t>
      </w:r>
      <w:r w:rsidRPr="004C6EF9">
        <w:rPr>
          <w:rFonts w:cstheme="minorHAnsi"/>
          <w:szCs w:val="24"/>
        </w:rPr>
        <w:t>incorporat</w:t>
      </w:r>
      <w:r w:rsidR="00B42163">
        <w:rPr>
          <w:rFonts w:cstheme="minorHAnsi"/>
          <w:szCs w:val="24"/>
        </w:rPr>
        <w:t xml:space="preserve">ed </w:t>
      </w:r>
      <w:r w:rsidRPr="004C6EF9">
        <w:rPr>
          <w:rFonts w:cstheme="minorHAnsi"/>
          <w:szCs w:val="24"/>
        </w:rPr>
        <w:t xml:space="preserve">membership views expressed since the 5th meeting of TDAG-WG-RDTP held on 9 April 2021. It was originally contained in document TDAG-WG-RDTP/52. The </w:t>
      </w:r>
      <w:r w:rsidR="00BE18E1" w:rsidRPr="004C6EF9">
        <w:rPr>
          <w:rFonts w:cstheme="minorHAnsi"/>
          <w:szCs w:val="24"/>
        </w:rPr>
        <w:t xml:space="preserve">proposed </w:t>
      </w:r>
      <w:r w:rsidRPr="004C6EF9">
        <w:rPr>
          <w:rFonts w:cstheme="minorHAnsi"/>
          <w:szCs w:val="24"/>
        </w:rPr>
        <w:t>draft</w:t>
      </w:r>
      <w:r w:rsidR="00BE18E1" w:rsidRPr="004C6EF9">
        <w:rPr>
          <w:rFonts w:cstheme="minorHAnsi"/>
          <w:szCs w:val="24"/>
        </w:rPr>
        <w:t xml:space="preserve"> </w:t>
      </w:r>
      <w:r w:rsidR="00936F57" w:rsidRPr="004C6EF9">
        <w:rPr>
          <w:rFonts w:cstheme="minorHAnsi"/>
          <w:szCs w:val="24"/>
        </w:rPr>
        <w:t xml:space="preserve">shows the broad agreement on the format, structure and issues addressed that had been reached by </w:t>
      </w:r>
      <w:r w:rsidR="00C2613A">
        <w:rPr>
          <w:rFonts w:cstheme="minorHAnsi"/>
          <w:szCs w:val="24"/>
        </w:rPr>
        <w:t>TDAG-WG-RDTP</w:t>
      </w:r>
      <w:r w:rsidR="00936F57" w:rsidRPr="004C6EF9">
        <w:rPr>
          <w:rFonts w:cstheme="minorHAnsi"/>
          <w:szCs w:val="24"/>
        </w:rPr>
        <w:t>. This document</w:t>
      </w:r>
      <w:r w:rsidR="00BE18E1" w:rsidRPr="004C6EF9">
        <w:rPr>
          <w:rFonts w:cstheme="minorHAnsi"/>
          <w:szCs w:val="24"/>
        </w:rPr>
        <w:t xml:space="preserve"> can serve</w:t>
      </w:r>
      <w:r w:rsidRPr="004C6EF9">
        <w:rPr>
          <w:rFonts w:cstheme="minorHAnsi"/>
          <w:szCs w:val="24"/>
        </w:rPr>
        <w:t xml:space="preserve"> as a basis for contributions </w:t>
      </w:r>
      <w:r w:rsidR="00BE18E1" w:rsidRPr="004C6EF9">
        <w:rPr>
          <w:rFonts w:cstheme="minorHAnsi"/>
          <w:szCs w:val="24"/>
        </w:rPr>
        <w:t xml:space="preserve">by </w:t>
      </w:r>
      <w:r w:rsidR="00ED4E18" w:rsidRPr="004C6EF9">
        <w:rPr>
          <w:rFonts w:cstheme="minorHAnsi"/>
          <w:szCs w:val="24"/>
        </w:rPr>
        <w:t>membership</w:t>
      </w:r>
      <w:r w:rsidR="00BE18E1" w:rsidRPr="004C6EF9">
        <w:rPr>
          <w:rFonts w:cstheme="minorHAnsi"/>
          <w:szCs w:val="24"/>
        </w:rPr>
        <w:t xml:space="preserve"> </w:t>
      </w:r>
      <w:r w:rsidRPr="004C6EF9">
        <w:rPr>
          <w:rFonts w:cstheme="minorHAnsi"/>
          <w:szCs w:val="24"/>
        </w:rPr>
        <w:t xml:space="preserve">to revise and refine further in the lead up to WTDC. </w:t>
      </w:r>
    </w:p>
    <w:p w14:paraId="24D91CC9" w14:textId="36FDD7BB" w:rsidR="000809BB" w:rsidRPr="004C6EF9" w:rsidRDefault="000809BB" w:rsidP="0086058A">
      <w:pPr>
        <w:spacing w:after="120"/>
        <w:rPr>
          <w:rFonts w:cstheme="minorHAnsi"/>
          <w:szCs w:val="24"/>
        </w:rPr>
      </w:pPr>
      <w:r w:rsidRPr="004C6EF9">
        <w:rPr>
          <w:rFonts w:cstheme="minorHAnsi"/>
          <w:szCs w:val="24"/>
        </w:rPr>
        <w:t xml:space="preserve">The proposal from Intel to replace references to “broadband” with “high-speed broadband” </w:t>
      </w:r>
      <w:r w:rsidR="007611A7" w:rsidRPr="004C6EF9">
        <w:rPr>
          <w:rFonts w:cstheme="minorHAnsi"/>
          <w:szCs w:val="24"/>
        </w:rPr>
        <w:t xml:space="preserve">throughout the draft proposal </w:t>
      </w:r>
      <w:r w:rsidRPr="004C6EF9">
        <w:rPr>
          <w:rFonts w:cstheme="minorHAnsi"/>
          <w:szCs w:val="24"/>
        </w:rPr>
        <w:t xml:space="preserve">generated </w:t>
      </w:r>
      <w:r w:rsidR="007611A7" w:rsidRPr="004C6EF9">
        <w:rPr>
          <w:rFonts w:cstheme="minorHAnsi"/>
          <w:szCs w:val="24"/>
        </w:rPr>
        <w:t>a fair amount of debate. While the importance of high-quality broadband</w:t>
      </w:r>
      <w:r w:rsidR="00233270" w:rsidRPr="004C6EF9">
        <w:rPr>
          <w:rFonts w:cstheme="minorHAnsi"/>
          <w:szCs w:val="24"/>
        </w:rPr>
        <w:t xml:space="preserve"> access</w:t>
      </w:r>
      <w:r w:rsidR="007611A7" w:rsidRPr="004C6EF9">
        <w:rPr>
          <w:rFonts w:cstheme="minorHAnsi"/>
          <w:szCs w:val="24"/>
        </w:rPr>
        <w:t xml:space="preserve"> was underscored by all delegates who took the floor, the majority </w:t>
      </w:r>
      <w:proofErr w:type="gramStart"/>
      <w:r w:rsidR="007611A7" w:rsidRPr="004C6EF9">
        <w:rPr>
          <w:rFonts w:cstheme="minorHAnsi"/>
          <w:szCs w:val="24"/>
        </w:rPr>
        <w:t>was of the opinion that</w:t>
      </w:r>
      <w:proofErr w:type="gramEnd"/>
      <w:r w:rsidR="007611A7" w:rsidRPr="004C6EF9">
        <w:rPr>
          <w:rFonts w:cstheme="minorHAnsi"/>
          <w:szCs w:val="24"/>
        </w:rPr>
        <w:t xml:space="preserve"> such a modification to the language </w:t>
      </w:r>
      <w:r w:rsidR="00B42163">
        <w:rPr>
          <w:rFonts w:cstheme="minorHAnsi"/>
          <w:szCs w:val="24"/>
        </w:rPr>
        <w:t>wa</w:t>
      </w:r>
      <w:r w:rsidR="007611A7" w:rsidRPr="004C6EF9">
        <w:rPr>
          <w:rFonts w:cstheme="minorHAnsi"/>
          <w:szCs w:val="24"/>
        </w:rPr>
        <w:t>s not required at the current stage.</w:t>
      </w:r>
    </w:p>
    <w:p w14:paraId="78294E8B" w14:textId="1EF38060" w:rsidR="002F2235" w:rsidRPr="004C6EF9" w:rsidRDefault="002F2235" w:rsidP="0086058A">
      <w:pPr>
        <w:spacing w:after="120"/>
        <w:rPr>
          <w:rFonts w:cstheme="minorHAnsi"/>
          <w:szCs w:val="24"/>
        </w:rPr>
      </w:pPr>
      <w:r w:rsidRPr="004C6EF9">
        <w:rPr>
          <w:rFonts w:cstheme="minorHAnsi"/>
          <w:szCs w:val="24"/>
        </w:rPr>
        <w:t xml:space="preserve">The proposal of </w:t>
      </w:r>
      <w:r w:rsidR="0066214A">
        <w:rPr>
          <w:rFonts w:cstheme="minorHAnsi"/>
          <w:szCs w:val="24"/>
        </w:rPr>
        <w:t xml:space="preserve">the </w:t>
      </w:r>
      <w:r w:rsidRPr="004C6EF9">
        <w:rPr>
          <w:rFonts w:cstheme="minorHAnsi"/>
          <w:szCs w:val="24"/>
        </w:rPr>
        <w:t xml:space="preserve">Russian Federation to reflect in the draft Declaration the mandate of the three ITU </w:t>
      </w:r>
      <w:r w:rsidR="00556C52" w:rsidRPr="004C6EF9">
        <w:rPr>
          <w:rFonts w:cstheme="minorHAnsi"/>
          <w:szCs w:val="24"/>
        </w:rPr>
        <w:t>S</w:t>
      </w:r>
      <w:r w:rsidRPr="004C6EF9">
        <w:rPr>
          <w:rFonts w:cstheme="minorHAnsi"/>
          <w:szCs w:val="24"/>
        </w:rPr>
        <w:t xml:space="preserve">ectors </w:t>
      </w:r>
      <w:r w:rsidR="00556C52" w:rsidRPr="004C6EF9">
        <w:rPr>
          <w:rFonts w:cstheme="minorHAnsi"/>
          <w:szCs w:val="24"/>
        </w:rPr>
        <w:t xml:space="preserve">(and in particular spectrum management) </w:t>
      </w:r>
      <w:r w:rsidR="00633195" w:rsidRPr="004C6EF9">
        <w:rPr>
          <w:rFonts w:cstheme="minorHAnsi"/>
          <w:szCs w:val="24"/>
        </w:rPr>
        <w:t xml:space="preserve">was also extensively discussed; however, no </w:t>
      </w:r>
      <w:r w:rsidR="00556C52" w:rsidRPr="004C6EF9">
        <w:rPr>
          <w:rFonts w:cstheme="minorHAnsi"/>
          <w:szCs w:val="24"/>
        </w:rPr>
        <w:t>consensus</w:t>
      </w:r>
      <w:r w:rsidR="00633195" w:rsidRPr="004C6EF9">
        <w:rPr>
          <w:rFonts w:cstheme="minorHAnsi"/>
          <w:szCs w:val="24"/>
        </w:rPr>
        <w:t xml:space="preserve"> was reached on the issue and no further modifications were made to the proposed text.</w:t>
      </w:r>
    </w:p>
    <w:tbl>
      <w:tblPr>
        <w:tblStyle w:val="TableGrid"/>
        <w:tblW w:w="0" w:type="auto"/>
        <w:tblLook w:val="04A0" w:firstRow="1" w:lastRow="0" w:firstColumn="1" w:lastColumn="0" w:noHBand="0" w:noVBand="1"/>
      </w:tblPr>
      <w:tblGrid>
        <w:gridCol w:w="9629"/>
      </w:tblGrid>
      <w:tr w:rsidR="00D466BF" w:rsidRPr="004C6EF9" w14:paraId="0F43D3D8" w14:textId="77777777" w:rsidTr="0066214A">
        <w:tc>
          <w:tcPr>
            <w:tcW w:w="9629" w:type="dxa"/>
          </w:tcPr>
          <w:p w14:paraId="1B3D070A" w14:textId="4349F155" w:rsidR="00D466BF" w:rsidRPr="004C6EF9" w:rsidRDefault="00233270" w:rsidP="0066214A">
            <w:pPr>
              <w:spacing w:after="120"/>
              <w:rPr>
                <w:rFonts w:eastAsiaTheme="minorEastAsia" w:cstheme="minorHAnsi"/>
                <w:szCs w:val="24"/>
              </w:rPr>
            </w:pPr>
            <w:r w:rsidRPr="004C6EF9">
              <w:rPr>
                <w:rFonts w:eastAsiaTheme="minorEastAsia" w:cstheme="minorHAnsi"/>
                <w:szCs w:val="24"/>
              </w:rPr>
              <w:t xml:space="preserve">TDAG noted the </w:t>
            </w:r>
            <w:r w:rsidR="0066214A">
              <w:rPr>
                <w:rFonts w:eastAsiaTheme="minorEastAsia" w:cstheme="minorHAnsi"/>
                <w:szCs w:val="24"/>
              </w:rPr>
              <w:t>o</w:t>
            </w:r>
            <w:r w:rsidR="0066214A">
              <w:rPr>
                <w:rFonts w:eastAsiaTheme="minorEastAsia"/>
              </w:rPr>
              <w:t xml:space="preserve">utput </w:t>
            </w:r>
            <w:r w:rsidRPr="004C6EF9">
              <w:rPr>
                <w:rFonts w:eastAsiaTheme="minorEastAsia" w:cstheme="minorHAnsi"/>
                <w:szCs w:val="24"/>
              </w:rPr>
              <w:t>and thanked the Chairman of TDAG-WG-RDTP and all participants in the group for their substantial and fruitful efforts which had continued over 18 months and had produced a very good draft Declaration for ITU membership.</w:t>
            </w:r>
          </w:p>
        </w:tc>
      </w:tr>
    </w:tbl>
    <w:p w14:paraId="05159CB6" w14:textId="77777777" w:rsidR="0086058A" w:rsidRPr="004C6EF9" w:rsidRDefault="0086058A" w:rsidP="0011639E">
      <w:pPr>
        <w:keepNext/>
        <w:spacing w:after="120"/>
        <w:rPr>
          <w:rStyle w:val="Hyperlink"/>
          <w:rFonts w:cstheme="minorHAnsi"/>
          <w:b/>
          <w:bCs/>
          <w:szCs w:val="24"/>
          <w:lang w:val="pt-BR"/>
        </w:rPr>
      </w:pPr>
      <w:r w:rsidRPr="004C6EF9">
        <w:rPr>
          <w:rFonts w:cstheme="minorHAnsi"/>
          <w:b/>
          <w:bCs/>
          <w:szCs w:val="24"/>
          <w:lang w:val="pt-BR"/>
        </w:rPr>
        <w:t xml:space="preserve">Document </w:t>
      </w:r>
      <w:hyperlink r:id="rId23" w:history="1">
        <w:r w:rsidRPr="004C6EF9">
          <w:rPr>
            <w:rStyle w:val="Hyperlink"/>
            <w:rFonts w:cstheme="minorHAnsi"/>
            <w:b/>
            <w:bCs/>
            <w:szCs w:val="24"/>
            <w:lang w:val="pt-BR"/>
          </w:rPr>
          <w:t>22</w:t>
        </w:r>
      </w:hyperlink>
    </w:p>
    <w:p w14:paraId="29299316" w14:textId="797841E5" w:rsidR="0086058A" w:rsidRPr="004C6EF9" w:rsidRDefault="0086058A" w:rsidP="0086058A">
      <w:pPr>
        <w:spacing w:after="120"/>
        <w:rPr>
          <w:rStyle w:val="Hyperlink"/>
          <w:rFonts w:cstheme="minorHAnsi"/>
          <w:color w:val="auto"/>
          <w:szCs w:val="24"/>
          <w:u w:val="none"/>
          <w:lang w:val="pt-BR"/>
        </w:rPr>
      </w:pPr>
      <w:r w:rsidRPr="004C6EF9">
        <w:rPr>
          <w:rStyle w:val="Hyperlink"/>
          <w:rFonts w:cstheme="minorHAnsi"/>
          <w:color w:val="auto"/>
          <w:szCs w:val="24"/>
          <w:u w:val="none"/>
          <w:lang w:val="pt-BR"/>
        </w:rPr>
        <w:t xml:space="preserve">This contribution contains the common proposal by 13 APT countries </w:t>
      </w:r>
      <w:r w:rsidR="000809BB" w:rsidRPr="004C6EF9">
        <w:rPr>
          <w:rStyle w:val="Hyperlink"/>
          <w:rFonts w:cstheme="minorHAnsi"/>
          <w:color w:val="auto"/>
          <w:szCs w:val="24"/>
          <w:u w:val="none"/>
          <w:lang w:val="pt-BR"/>
        </w:rPr>
        <w:t xml:space="preserve">to lend full support to the </w:t>
      </w:r>
      <w:r w:rsidRPr="004C6EF9">
        <w:rPr>
          <w:rStyle w:val="Hyperlink"/>
          <w:rFonts w:cstheme="minorHAnsi"/>
          <w:color w:val="auto"/>
          <w:szCs w:val="24"/>
          <w:u w:val="none"/>
          <w:lang w:val="pt-BR"/>
        </w:rPr>
        <w:t xml:space="preserve">draft </w:t>
      </w:r>
      <w:r w:rsidR="0035421C" w:rsidRPr="004C6EF9">
        <w:rPr>
          <w:rStyle w:val="Hyperlink"/>
          <w:rFonts w:cstheme="minorHAnsi"/>
          <w:color w:val="auto"/>
          <w:szCs w:val="24"/>
          <w:u w:val="none"/>
          <w:lang w:val="pt-BR"/>
        </w:rPr>
        <w:t>WTDC</w:t>
      </w:r>
      <w:r w:rsidRPr="004C6EF9">
        <w:rPr>
          <w:rStyle w:val="Hyperlink"/>
          <w:rFonts w:cstheme="minorHAnsi"/>
          <w:color w:val="auto"/>
          <w:szCs w:val="24"/>
          <w:u w:val="none"/>
          <w:lang w:val="pt-BR"/>
        </w:rPr>
        <w:t xml:space="preserve"> Declaration</w:t>
      </w:r>
      <w:r w:rsidR="000809BB" w:rsidRPr="004C6EF9">
        <w:rPr>
          <w:rStyle w:val="Hyperlink"/>
          <w:rFonts w:cstheme="minorHAnsi"/>
          <w:color w:val="auto"/>
          <w:szCs w:val="24"/>
          <w:u w:val="none"/>
          <w:lang w:val="pt-BR"/>
        </w:rPr>
        <w:t xml:space="preserve"> as submitted by the Chairman of </w:t>
      </w:r>
      <w:r w:rsidR="00CC2BC2" w:rsidRPr="004C6EF9">
        <w:rPr>
          <w:rStyle w:val="Hyperlink"/>
          <w:rFonts w:cstheme="minorHAnsi"/>
          <w:color w:val="auto"/>
          <w:szCs w:val="24"/>
          <w:u w:val="none"/>
          <w:lang w:val="pt-BR"/>
        </w:rPr>
        <w:t>TDAG-</w:t>
      </w:r>
      <w:r w:rsidR="000809BB" w:rsidRPr="004C6EF9">
        <w:rPr>
          <w:rStyle w:val="Hyperlink"/>
          <w:rFonts w:cstheme="minorHAnsi"/>
          <w:color w:val="auto"/>
          <w:szCs w:val="24"/>
          <w:u w:val="none"/>
          <w:lang w:val="pt-BR"/>
        </w:rPr>
        <w:t>WG-RDTP (contained in Document 32)</w:t>
      </w:r>
      <w:r w:rsidRPr="004C6EF9">
        <w:rPr>
          <w:rStyle w:val="Hyperlink"/>
          <w:rFonts w:cstheme="minorHAnsi"/>
          <w:color w:val="auto"/>
          <w:szCs w:val="24"/>
          <w:u w:val="none"/>
          <w:lang w:val="pt-BR"/>
        </w:rPr>
        <w:t xml:space="preserve">.  </w:t>
      </w:r>
    </w:p>
    <w:tbl>
      <w:tblPr>
        <w:tblStyle w:val="TableGrid"/>
        <w:tblW w:w="0" w:type="auto"/>
        <w:tblLook w:val="04A0" w:firstRow="1" w:lastRow="0" w:firstColumn="1" w:lastColumn="0" w:noHBand="0" w:noVBand="1"/>
      </w:tblPr>
      <w:tblGrid>
        <w:gridCol w:w="9629"/>
      </w:tblGrid>
      <w:tr w:rsidR="0086058A" w:rsidRPr="004C6EF9" w14:paraId="05409E3A" w14:textId="77777777" w:rsidTr="0066214A">
        <w:tc>
          <w:tcPr>
            <w:tcW w:w="9629" w:type="dxa"/>
          </w:tcPr>
          <w:p w14:paraId="3AFC89D6" w14:textId="44E56BB8" w:rsidR="0086058A" w:rsidRPr="004C6EF9" w:rsidRDefault="00AE26DC" w:rsidP="0066214A">
            <w:pPr>
              <w:spacing w:after="120"/>
              <w:rPr>
                <w:rFonts w:eastAsiaTheme="minorEastAsia" w:cstheme="minorHAnsi"/>
                <w:szCs w:val="24"/>
              </w:rPr>
            </w:pPr>
            <w:r w:rsidRPr="004C6EF9">
              <w:rPr>
                <w:rFonts w:eastAsiaTheme="minorEastAsia" w:cstheme="minorHAnsi"/>
                <w:szCs w:val="24"/>
              </w:rPr>
              <w:t>TDAG noted Document 22 and thanked APT for sharing their views in the contribution, which supported the draft Declaration expressed in Document 32 with no changes.</w:t>
            </w:r>
          </w:p>
        </w:tc>
      </w:tr>
    </w:tbl>
    <w:p w14:paraId="56C4DBA6" w14:textId="77777777" w:rsidR="0086058A" w:rsidRPr="004C6EF9" w:rsidRDefault="0086058A" w:rsidP="0011639E">
      <w:pPr>
        <w:keepNext/>
        <w:spacing w:after="120"/>
        <w:rPr>
          <w:rFonts w:cstheme="minorHAnsi"/>
          <w:b/>
          <w:bCs/>
          <w:szCs w:val="24"/>
        </w:rPr>
      </w:pPr>
      <w:r w:rsidRPr="004C6EF9">
        <w:rPr>
          <w:rFonts w:cstheme="minorHAnsi"/>
          <w:b/>
          <w:bCs/>
          <w:szCs w:val="24"/>
        </w:rPr>
        <w:t xml:space="preserve">Document </w:t>
      </w:r>
      <w:hyperlink r:id="rId24" w:history="1">
        <w:r w:rsidRPr="004C6EF9">
          <w:rPr>
            <w:rStyle w:val="Hyperlink"/>
            <w:rFonts w:cstheme="minorHAnsi"/>
            <w:b/>
            <w:bCs/>
            <w:szCs w:val="24"/>
          </w:rPr>
          <w:t>28</w:t>
        </w:r>
      </w:hyperlink>
    </w:p>
    <w:p w14:paraId="592B54D5" w14:textId="7A20821C" w:rsidR="0086058A" w:rsidRPr="004C6EF9" w:rsidRDefault="0086058A" w:rsidP="00C2613A">
      <w:pPr>
        <w:rPr>
          <w:rFonts w:cstheme="minorHAnsi"/>
          <w:szCs w:val="24"/>
        </w:rPr>
      </w:pPr>
      <w:r w:rsidRPr="004C6EF9">
        <w:rPr>
          <w:rFonts w:cstheme="minorHAnsi"/>
          <w:szCs w:val="24"/>
        </w:rPr>
        <w:t xml:space="preserve">This </w:t>
      </w:r>
      <w:r w:rsidR="003056BE">
        <w:rPr>
          <w:rFonts w:cstheme="minorHAnsi"/>
          <w:szCs w:val="24"/>
        </w:rPr>
        <w:t xml:space="preserve">contribution </w:t>
      </w:r>
      <w:r w:rsidR="004C7E24" w:rsidRPr="004C6EF9">
        <w:rPr>
          <w:rFonts w:cstheme="minorHAnsi"/>
          <w:szCs w:val="24"/>
        </w:rPr>
        <w:t xml:space="preserve">contains </w:t>
      </w:r>
      <w:r w:rsidRPr="004C6EF9">
        <w:rPr>
          <w:rFonts w:cstheme="minorHAnsi"/>
          <w:szCs w:val="24"/>
        </w:rPr>
        <w:t xml:space="preserve">a common proposal </w:t>
      </w:r>
      <w:r w:rsidR="003056BE" w:rsidRPr="004C6EF9">
        <w:rPr>
          <w:rFonts w:cstheme="minorHAnsi"/>
          <w:szCs w:val="24"/>
        </w:rPr>
        <w:t xml:space="preserve">from 11 European countries (Bulgaria, Czech Republic, France, Germany, Lithuania, the Netherlands, Poland, Portugal, Spain, Sweden, United </w:t>
      </w:r>
      <w:proofErr w:type="gramStart"/>
      <w:r w:rsidR="003056BE" w:rsidRPr="004C6EF9">
        <w:rPr>
          <w:rFonts w:cstheme="minorHAnsi"/>
          <w:szCs w:val="24"/>
        </w:rPr>
        <w:t>Kingdom)</w:t>
      </w:r>
      <w:r w:rsidRPr="004C6EF9">
        <w:rPr>
          <w:rFonts w:cstheme="minorHAnsi"/>
          <w:szCs w:val="24"/>
        </w:rPr>
        <w:t>on</w:t>
      </w:r>
      <w:proofErr w:type="gramEnd"/>
      <w:r w:rsidRPr="004C6EF9">
        <w:rPr>
          <w:rFonts w:cstheme="minorHAnsi"/>
          <w:szCs w:val="24"/>
        </w:rPr>
        <w:t xml:space="preserve"> the </w:t>
      </w:r>
      <w:r w:rsidR="00233270" w:rsidRPr="004C6EF9">
        <w:rPr>
          <w:rFonts w:cstheme="minorHAnsi"/>
          <w:szCs w:val="24"/>
        </w:rPr>
        <w:t>WTDC</w:t>
      </w:r>
      <w:r w:rsidRPr="004C6EF9">
        <w:rPr>
          <w:rFonts w:cstheme="minorHAnsi"/>
          <w:szCs w:val="24"/>
        </w:rPr>
        <w:t xml:space="preserve"> Declaration developed by the TDAG-WG-RDTP.  </w:t>
      </w:r>
    </w:p>
    <w:p w14:paraId="6E624DF0" w14:textId="2700FA9F" w:rsidR="0086058A" w:rsidRPr="004C6EF9" w:rsidRDefault="0086058A" w:rsidP="00C2613A">
      <w:pPr>
        <w:rPr>
          <w:rFonts w:cstheme="minorHAnsi"/>
          <w:szCs w:val="24"/>
        </w:rPr>
      </w:pPr>
      <w:r w:rsidRPr="004C6EF9">
        <w:rPr>
          <w:rFonts w:cstheme="minorHAnsi"/>
          <w:szCs w:val="24"/>
        </w:rPr>
        <w:t xml:space="preserve">The proposal supports the general approach taken by the </w:t>
      </w:r>
      <w:r w:rsidR="004C7E24" w:rsidRPr="004C6EF9">
        <w:rPr>
          <w:rFonts w:cstheme="minorHAnsi"/>
          <w:szCs w:val="24"/>
        </w:rPr>
        <w:t>TDAG-</w:t>
      </w:r>
      <w:r w:rsidRPr="004C6EF9">
        <w:rPr>
          <w:rFonts w:cstheme="minorHAnsi"/>
          <w:szCs w:val="24"/>
        </w:rPr>
        <w:t xml:space="preserve">WG-RDTP Chairman in the working draft of the </w:t>
      </w:r>
      <w:r w:rsidR="00950431" w:rsidRPr="004C6EF9">
        <w:rPr>
          <w:rFonts w:cstheme="minorHAnsi"/>
          <w:szCs w:val="24"/>
        </w:rPr>
        <w:t>WTDC</w:t>
      </w:r>
      <w:r w:rsidRPr="004C6EF9">
        <w:rPr>
          <w:rFonts w:cstheme="minorHAnsi"/>
          <w:szCs w:val="24"/>
        </w:rPr>
        <w:t xml:space="preserve"> Declaration while suggesting further topics for inclusion</w:t>
      </w:r>
      <w:r w:rsidR="00055798" w:rsidRPr="004C6EF9">
        <w:rPr>
          <w:rFonts w:cstheme="minorHAnsi"/>
          <w:szCs w:val="24"/>
        </w:rPr>
        <w:t>, such as the need to develop simple and human</w:t>
      </w:r>
      <w:r w:rsidR="001C6CF3" w:rsidRPr="004C6EF9">
        <w:rPr>
          <w:rFonts w:cstheme="minorHAnsi"/>
          <w:szCs w:val="24"/>
        </w:rPr>
        <w:t>-</w:t>
      </w:r>
      <w:r w:rsidR="00055798" w:rsidRPr="004C6EF9">
        <w:rPr>
          <w:rFonts w:cstheme="minorHAnsi"/>
          <w:szCs w:val="24"/>
        </w:rPr>
        <w:t>centred solutions, sustainable development</w:t>
      </w:r>
      <w:r w:rsidR="00364D51" w:rsidRPr="004C6EF9">
        <w:rPr>
          <w:rFonts w:cstheme="minorHAnsi"/>
          <w:szCs w:val="24"/>
        </w:rPr>
        <w:t>,</w:t>
      </w:r>
      <w:r w:rsidR="00055798" w:rsidRPr="004C6EF9">
        <w:rPr>
          <w:rFonts w:cstheme="minorHAnsi"/>
          <w:szCs w:val="24"/>
        </w:rPr>
        <w:t xml:space="preserve"> and </w:t>
      </w:r>
      <w:r w:rsidR="00364D51" w:rsidRPr="004C6EF9">
        <w:rPr>
          <w:rFonts w:cstheme="minorHAnsi"/>
          <w:szCs w:val="24"/>
        </w:rPr>
        <w:t>leaving no one behind as a policy imperative</w:t>
      </w:r>
      <w:r w:rsidRPr="004C6EF9">
        <w:rPr>
          <w:rFonts w:cstheme="minorHAnsi"/>
          <w:szCs w:val="24"/>
        </w:rPr>
        <w:t>.</w:t>
      </w:r>
    </w:p>
    <w:p w14:paraId="7DCDC0A2" w14:textId="4C2C57EB" w:rsidR="007F5017" w:rsidRPr="004C6EF9" w:rsidRDefault="007F5017" w:rsidP="00C2613A">
      <w:r w:rsidRPr="004C6EF9">
        <w:t>T</w:t>
      </w:r>
      <w:r w:rsidR="002F2235" w:rsidRPr="004C6EF9">
        <w:t>hree</w:t>
      </w:r>
      <w:r w:rsidRPr="004C6EF9">
        <w:t xml:space="preserve"> concrete proposals for further revision were p</w:t>
      </w:r>
      <w:r w:rsidR="003056BE">
        <w:t>resented</w:t>
      </w:r>
      <w:r w:rsidRPr="004C6EF9">
        <w:t xml:space="preserve"> during the discussion:</w:t>
      </w:r>
    </w:p>
    <w:p w14:paraId="4C54D2DE" w14:textId="6B9B7B67" w:rsidR="0086058A" w:rsidRPr="004C6EF9" w:rsidRDefault="007F5017" w:rsidP="00C2613A">
      <w:pPr>
        <w:pStyle w:val="ListParagraph"/>
        <w:numPr>
          <w:ilvl w:val="0"/>
          <w:numId w:val="17"/>
        </w:numPr>
        <w:spacing w:before="80"/>
        <w:ind w:left="567" w:hanging="567"/>
        <w:contextualSpacing w:val="0"/>
      </w:pPr>
      <w:r w:rsidRPr="004C6EF9">
        <w:t>Algeria</w:t>
      </w:r>
      <w:r w:rsidR="002F586C" w:rsidRPr="004C6EF9">
        <w:t xml:space="preserve"> suggested replacing the reference to “green digital solutions” with “environment-friendly digital solutions” (in paragraph 2);</w:t>
      </w:r>
    </w:p>
    <w:p w14:paraId="401C4201" w14:textId="46DA0FDC" w:rsidR="002F586C" w:rsidRPr="004C6EF9" w:rsidRDefault="002F586C" w:rsidP="00C2613A">
      <w:pPr>
        <w:pStyle w:val="ListParagraph"/>
        <w:numPr>
          <w:ilvl w:val="0"/>
          <w:numId w:val="17"/>
        </w:numPr>
        <w:spacing w:before="80"/>
        <w:ind w:left="567" w:hanging="567"/>
        <w:contextualSpacing w:val="0"/>
      </w:pPr>
      <w:r w:rsidRPr="004C6EF9">
        <w:t>Saudi Arabia suggested replacing “whole-of-society approach” to “well-coordinated approach” (in paragraph b);</w:t>
      </w:r>
    </w:p>
    <w:p w14:paraId="65E99E24" w14:textId="5C35B400" w:rsidR="0086058A" w:rsidRPr="004C6EF9" w:rsidRDefault="003056BE" w:rsidP="00C2613A">
      <w:pPr>
        <w:pStyle w:val="ListParagraph"/>
        <w:numPr>
          <w:ilvl w:val="0"/>
          <w:numId w:val="17"/>
        </w:numPr>
        <w:spacing w:before="80" w:after="120"/>
        <w:ind w:left="567" w:hanging="567"/>
        <w:contextualSpacing w:val="0"/>
      </w:pPr>
      <w:r>
        <w:lastRenderedPageBreak/>
        <w:t xml:space="preserve">The </w:t>
      </w:r>
      <w:r w:rsidR="007F5017" w:rsidRPr="004C6EF9">
        <w:t>U</w:t>
      </w:r>
      <w:r>
        <w:t xml:space="preserve">nited </w:t>
      </w:r>
      <w:r w:rsidR="007F5017" w:rsidRPr="004C6EF9">
        <w:t>S</w:t>
      </w:r>
      <w:r>
        <w:t>tates</w:t>
      </w:r>
      <w:r w:rsidR="0019720F" w:rsidRPr="004C6EF9">
        <w:t xml:space="preserve"> suggested that </w:t>
      </w:r>
      <w:proofErr w:type="gramStart"/>
      <w:r w:rsidR="0019720F" w:rsidRPr="004C6EF9">
        <w:t>with regard to</w:t>
      </w:r>
      <w:proofErr w:type="gramEnd"/>
      <w:r w:rsidR="0019720F" w:rsidRPr="004C6EF9">
        <w:t xml:space="preserve"> ICTs and the environment, the </w:t>
      </w:r>
      <w:r w:rsidR="0086058A" w:rsidRPr="004C6EF9">
        <w:t xml:space="preserve">text should focus on solutions to climate change as opposed to simply the impact of </w:t>
      </w:r>
      <w:r w:rsidR="0019720F" w:rsidRPr="004C6EF9">
        <w:t>ICTs</w:t>
      </w:r>
      <w:r w:rsidR="0086058A" w:rsidRPr="004C6EF9">
        <w:t xml:space="preserve"> on climate change</w:t>
      </w:r>
      <w:r w:rsidR="002F586C" w:rsidRPr="004C6EF9">
        <w:t xml:space="preserve"> (in paragraph b)</w:t>
      </w:r>
      <w:r w:rsidR="007A731D" w:rsidRPr="004C6EF9">
        <w:t>.</w:t>
      </w:r>
    </w:p>
    <w:tbl>
      <w:tblPr>
        <w:tblStyle w:val="TableGrid"/>
        <w:tblW w:w="0" w:type="auto"/>
        <w:tblLook w:val="04A0" w:firstRow="1" w:lastRow="0" w:firstColumn="1" w:lastColumn="0" w:noHBand="0" w:noVBand="1"/>
      </w:tblPr>
      <w:tblGrid>
        <w:gridCol w:w="9629"/>
      </w:tblGrid>
      <w:tr w:rsidR="0086058A" w:rsidRPr="004C6EF9" w14:paraId="0BACD8A2" w14:textId="77777777" w:rsidTr="0066214A">
        <w:tc>
          <w:tcPr>
            <w:tcW w:w="9629" w:type="dxa"/>
          </w:tcPr>
          <w:p w14:paraId="08E7660A" w14:textId="0C839F3B" w:rsidR="0086058A" w:rsidRPr="004C6EF9" w:rsidRDefault="00364D51" w:rsidP="0066214A">
            <w:pPr>
              <w:spacing w:after="120"/>
              <w:rPr>
                <w:rFonts w:eastAsiaTheme="minorEastAsia" w:cstheme="minorHAnsi"/>
                <w:szCs w:val="24"/>
              </w:rPr>
            </w:pPr>
            <w:r w:rsidRPr="004C6EF9">
              <w:rPr>
                <w:rFonts w:eastAsiaTheme="minorEastAsia" w:cstheme="minorHAnsi"/>
                <w:szCs w:val="24"/>
              </w:rPr>
              <w:t>TDAG discussed revisions to the draft Declaration proposed by several CEPT countries in Document 28 along with additional text proposed by Algeria</w:t>
            </w:r>
            <w:r w:rsidR="002F2235" w:rsidRPr="004C6EF9">
              <w:rPr>
                <w:rFonts w:eastAsiaTheme="minorEastAsia" w:cstheme="minorHAnsi"/>
                <w:szCs w:val="24"/>
              </w:rPr>
              <w:t xml:space="preserve">, Saudi Arabia and </w:t>
            </w:r>
            <w:r w:rsidR="003056BE">
              <w:rPr>
                <w:rFonts w:eastAsiaTheme="minorEastAsia" w:cstheme="minorHAnsi"/>
                <w:szCs w:val="24"/>
              </w:rPr>
              <w:t xml:space="preserve">the </w:t>
            </w:r>
            <w:r w:rsidR="002F2235" w:rsidRPr="004C6EF9">
              <w:rPr>
                <w:rFonts w:eastAsiaTheme="minorEastAsia" w:cstheme="minorHAnsi"/>
                <w:szCs w:val="24"/>
              </w:rPr>
              <w:t>U</w:t>
            </w:r>
            <w:r w:rsidR="003056BE">
              <w:rPr>
                <w:rFonts w:eastAsiaTheme="minorEastAsia" w:cstheme="minorHAnsi"/>
                <w:szCs w:val="24"/>
              </w:rPr>
              <w:t xml:space="preserve">nited </w:t>
            </w:r>
            <w:r w:rsidR="002F2235" w:rsidRPr="004C6EF9">
              <w:rPr>
                <w:rFonts w:eastAsiaTheme="minorEastAsia" w:cstheme="minorHAnsi"/>
                <w:szCs w:val="24"/>
              </w:rPr>
              <w:t>S</w:t>
            </w:r>
            <w:r w:rsidR="003056BE">
              <w:rPr>
                <w:rFonts w:eastAsiaTheme="minorEastAsia" w:cstheme="minorHAnsi"/>
                <w:szCs w:val="24"/>
              </w:rPr>
              <w:t>tates</w:t>
            </w:r>
            <w:r w:rsidRPr="004C6EF9">
              <w:rPr>
                <w:rFonts w:eastAsiaTheme="minorEastAsia" w:cstheme="minorHAnsi"/>
                <w:szCs w:val="24"/>
              </w:rPr>
              <w:t xml:space="preserve"> from the floor</w:t>
            </w:r>
            <w:r w:rsidR="00076EB6" w:rsidRPr="004C6EF9">
              <w:rPr>
                <w:rFonts w:eastAsiaTheme="minorEastAsia" w:cstheme="minorHAnsi"/>
                <w:szCs w:val="24"/>
              </w:rPr>
              <w:t>, as above</w:t>
            </w:r>
            <w:r w:rsidRPr="004C6EF9">
              <w:rPr>
                <w:rFonts w:eastAsiaTheme="minorEastAsia" w:cstheme="minorHAnsi"/>
                <w:szCs w:val="24"/>
              </w:rPr>
              <w:t>. TDAG agreed to include the revisions proffered by CEPT countries (except those in item d), the U</w:t>
            </w:r>
            <w:r w:rsidR="00F8666B">
              <w:rPr>
                <w:rFonts w:eastAsiaTheme="minorEastAsia" w:cstheme="minorHAnsi"/>
                <w:szCs w:val="24"/>
              </w:rPr>
              <w:t>n</w:t>
            </w:r>
            <w:r w:rsidR="00F8666B">
              <w:rPr>
                <w:rFonts w:eastAsiaTheme="minorEastAsia"/>
              </w:rPr>
              <w:t xml:space="preserve">ited </w:t>
            </w:r>
            <w:r w:rsidRPr="004C6EF9">
              <w:rPr>
                <w:rFonts w:eastAsiaTheme="minorEastAsia" w:cstheme="minorHAnsi"/>
                <w:szCs w:val="24"/>
              </w:rPr>
              <w:t>S</w:t>
            </w:r>
            <w:r w:rsidR="00F8666B">
              <w:rPr>
                <w:rFonts w:eastAsiaTheme="minorEastAsia" w:cstheme="minorHAnsi"/>
                <w:szCs w:val="24"/>
              </w:rPr>
              <w:t>t</w:t>
            </w:r>
            <w:r w:rsidR="00F8666B">
              <w:rPr>
                <w:rFonts w:eastAsiaTheme="minorEastAsia"/>
              </w:rPr>
              <w:t>ates</w:t>
            </w:r>
            <w:r w:rsidRPr="004C6EF9">
              <w:rPr>
                <w:rFonts w:eastAsiaTheme="minorEastAsia" w:cstheme="minorHAnsi"/>
                <w:szCs w:val="24"/>
              </w:rPr>
              <w:t xml:space="preserve"> and Algeria. The revised proposal for the draft TDAG output on the WTDC Declaration is contained in Document DT/11. </w:t>
            </w:r>
          </w:p>
          <w:p w14:paraId="0853A350" w14:textId="134757D8" w:rsidR="007F5017" w:rsidRPr="004C6EF9" w:rsidRDefault="007F5017" w:rsidP="0066214A">
            <w:pPr>
              <w:spacing w:after="120"/>
              <w:rPr>
                <w:rFonts w:eastAsiaTheme="minorEastAsia" w:cstheme="minorHAnsi"/>
                <w:szCs w:val="24"/>
              </w:rPr>
            </w:pPr>
            <w:r w:rsidRPr="004C6EF9">
              <w:rPr>
                <w:rFonts w:eastAsiaTheme="minorEastAsia" w:cstheme="minorHAnsi"/>
                <w:szCs w:val="24"/>
              </w:rPr>
              <w:t xml:space="preserve">TDAG agreed that </w:t>
            </w:r>
            <w:r w:rsidRPr="004C6EF9">
              <w:rPr>
                <w:rFonts w:eastAsiaTheme="minorEastAsia" w:cstheme="minorHAnsi"/>
                <w:b/>
                <w:bCs/>
                <w:szCs w:val="24"/>
              </w:rPr>
              <w:t xml:space="preserve">Document </w:t>
            </w:r>
            <w:hyperlink r:id="rId25" w:history="1">
              <w:r w:rsidRPr="004C6EF9">
                <w:rPr>
                  <w:rStyle w:val="Hyperlink"/>
                  <w:rFonts w:eastAsiaTheme="minorEastAsia" w:cstheme="minorHAnsi"/>
                  <w:b/>
                  <w:bCs/>
                  <w:szCs w:val="24"/>
                </w:rPr>
                <w:t>DT/11</w:t>
              </w:r>
            </w:hyperlink>
            <w:r w:rsidRPr="004C6EF9">
              <w:rPr>
                <w:rFonts w:eastAsiaTheme="minorEastAsia" w:cstheme="minorHAnsi"/>
                <w:szCs w:val="24"/>
              </w:rPr>
              <w:t xml:space="preserve"> </w:t>
            </w:r>
            <w:r w:rsidR="0066214A">
              <w:rPr>
                <w:rFonts w:eastAsiaTheme="minorEastAsia" w:cstheme="minorHAnsi"/>
                <w:szCs w:val="24"/>
              </w:rPr>
              <w:t>m</w:t>
            </w:r>
            <w:r w:rsidR="0066214A">
              <w:rPr>
                <w:rFonts w:eastAsiaTheme="minorEastAsia"/>
              </w:rPr>
              <w:t xml:space="preserve">ay </w:t>
            </w:r>
            <w:r w:rsidRPr="004C6EF9">
              <w:rPr>
                <w:rFonts w:eastAsiaTheme="minorEastAsia" w:cstheme="minorHAnsi"/>
                <w:szCs w:val="24"/>
              </w:rPr>
              <w:t xml:space="preserve">serve as the basis for further proposals and refinement by ITU </w:t>
            </w:r>
            <w:r w:rsidR="00B25A97" w:rsidRPr="004C6EF9">
              <w:rPr>
                <w:rFonts w:eastAsiaTheme="minorEastAsia" w:cstheme="minorHAnsi"/>
                <w:szCs w:val="24"/>
              </w:rPr>
              <w:t>membership</w:t>
            </w:r>
            <w:r w:rsidRPr="004C6EF9">
              <w:rPr>
                <w:rFonts w:eastAsiaTheme="minorEastAsia" w:cstheme="minorHAnsi"/>
                <w:szCs w:val="24"/>
              </w:rPr>
              <w:t xml:space="preserve"> in preparation for the WTDC, where it will be finalized.</w:t>
            </w:r>
          </w:p>
        </w:tc>
      </w:tr>
    </w:tbl>
    <w:p w14:paraId="30852FA6" w14:textId="2532E2D3" w:rsidR="00123F64" w:rsidRPr="004C6EF9" w:rsidRDefault="00C50F7D" w:rsidP="00C2613A">
      <w:pPr>
        <w:keepNext/>
        <w:rPr>
          <w:rFonts w:cstheme="minorHAnsi"/>
          <w:b/>
          <w:bCs/>
          <w:szCs w:val="24"/>
          <w:u w:val="single"/>
        </w:rPr>
      </w:pPr>
      <w:r w:rsidRPr="004C6EF9">
        <w:rPr>
          <w:rFonts w:cstheme="minorHAnsi"/>
          <w:b/>
          <w:bCs/>
          <w:szCs w:val="24"/>
          <w:u w:val="single"/>
        </w:rPr>
        <w:t xml:space="preserve">WTDC </w:t>
      </w:r>
      <w:r w:rsidR="00123F64" w:rsidRPr="004C6EF9">
        <w:rPr>
          <w:rFonts w:cstheme="minorHAnsi"/>
          <w:b/>
          <w:bCs/>
          <w:szCs w:val="24"/>
          <w:u w:val="single"/>
        </w:rPr>
        <w:t>R</w:t>
      </w:r>
      <w:r w:rsidRPr="004C6EF9">
        <w:rPr>
          <w:rFonts w:cstheme="minorHAnsi"/>
          <w:b/>
          <w:bCs/>
          <w:szCs w:val="24"/>
          <w:u w:val="single"/>
        </w:rPr>
        <w:t xml:space="preserve">esolution </w:t>
      </w:r>
      <w:r w:rsidR="00123F64" w:rsidRPr="004C6EF9">
        <w:rPr>
          <w:rFonts w:cstheme="minorHAnsi"/>
          <w:b/>
          <w:bCs/>
          <w:szCs w:val="24"/>
          <w:u w:val="single"/>
        </w:rPr>
        <w:t>1</w:t>
      </w:r>
    </w:p>
    <w:p w14:paraId="2FC45A2B" w14:textId="7204783A" w:rsidR="00D1140E" w:rsidRPr="004C6EF9" w:rsidRDefault="00D1140E" w:rsidP="00C2613A">
      <w:pPr>
        <w:keepNext/>
        <w:rPr>
          <w:rStyle w:val="Hyperlink"/>
          <w:rFonts w:cstheme="minorHAnsi"/>
          <w:b/>
          <w:bCs/>
          <w:szCs w:val="24"/>
          <w:lang w:val="en-US"/>
        </w:rPr>
      </w:pPr>
      <w:r w:rsidRPr="004C6EF9">
        <w:rPr>
          <w:rFonts w:cstheme="minorHAnsi"/>
          <w:b/>
          <w:bCs/>
          <w:szCs w:val="24"/>
        </w:rPr>
        <w:t>Document</w:t>
      </w:r>
      <w:r w:rsidR="00296088" w:rsidRPr="004C6EF9">
        <w:rPr>
          <w:rFonts w:cstheme="minorHAnsi"/>
          <w:b/>
          <w:bCs/>
          <w:szCs w:val="24"/>
        </w:rPr>
        <w:t xml:space="preserve"> </w:t>
      </w:r>
      <w:hyperlink r:id="rId26" w:history="1">
        <w:r w:rsidR="0035295E" w:rsidRPr="004C6EF9">
          <w:rPr>
            <w:rStyle w:val="Hyperlink"/>
            <w:rFonts w:cstheme="minorHAnsi"/>
            <w:b/>
            <w:bCs/>
            <w:szCs w:val="24"/>
          </w:rPr>
          <w:t>25</w:t>
        </w:r>
      </w:hyperlink>
      <w:r w:rsidR="00296088" w:rsidRPr="004C6EF9">
        <w:rPr>
          <w:rStyle w:val="Hyperlink"/>
          <w:rFonts w:cstheme="minorHAnsi"/>
          <w:b/>
          <w:bCs/>
          <w:szCs w:val="24"/>
          <w:lang w:val="en-US"/>
        </w:rPr>
        <w:t xml:space="preserve"> </w:t>
      </w:r>
    </w:p>
    <w:p w14:paraId="775ECD75" w14:textId="26395014" w:rsidR="00E12DB6" w:rsidRPr="004C6EF9" w:rsidRDefault="00884BD4" w:rsidP="00C2613A">
      <w:pPr>
        <w:rPr>
          <w:rStyle w:val="Hyperlink"/>
          <w:rFonts w:cstheme="minorHAnsi"/>
          <w:color w:val="auto"/>
          <w:szCs w:val="24"/>
          <w:u w:val="none"/>
          <w:lang w:val="en-US"/>
        </w:rPr>
      </w:pPr>
      <w:r w:rsidRPr="004C6EF9">
        <w:rPr>
          <w:rStyle w:val="Hyperlink"/>
          <w:rFonts w:cstheme="minorHAnsi"/>
          <w:color w:val="auto"/>
          <w:szCs w:val="24"/>
          <w:u w:val="none"/>
          <w:lang w:val="en-US"/>
        </w:rPr>
        <w:t>This</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contribution</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from</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the</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Russian</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Fed</w:t>
      </w:r>
      <w:r w:rsidR="00A31DEE" w:rsidRPr="004C6EF9">
        <w:rPr>
          <w:rStyle w:val="Hyperlink"/>
          <w:rFonts w:cstheme="minorHAnsi"/>
          <w:color w:val="auto"/>
          <w:szCs w:val="24"/>
          <w:u w:val="none"/>
          <w:lang w:val="en-US"/>
        </w:rPr>
        <w:t>eration</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contains</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the</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draft</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proposals</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for</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revision</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of</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Resolution</w:t>
      </w:r>
      <w:r w:rsidR="00296088" w:rsidRPr="004C6EF9">
        <w:rPr>
          <w:rStyle w:val="Hyperlink"/>
          <w:rFonts w:cstheme="minorHAnsi"/>
          <w:color w:val="auto"/>
          <w:szCs w:val="24"/>
          <w:u w:val="none"/>
          <w:lang w:val="en-US"/>
        </w:rPr>
        <w:t xml:space="preserve"> </w:t>
      </w:r>
      <w:r w:rsidRPr="004C6EF9">
        <w:rPr>
          <w:rStyle w:val="Hyperlink"/>
          <w:rFonts w:cstheme="minorHAnsi"/>
          <w:color w:val="auto"/>
          <w:szCs w:val="24"/>
          <w:u w:val="none"/>
          <w:lang w:val="en-US"/>
        </w:rPr>
        <w:t>1</w:t>
      </w:r>
      <w:r w:rsidR="0069363C" w:rsidRPr="004C6EF9">
        <w:rPr>
          <w:rStyle w:val="Hyperlink"/>
          <w:rFonts w:cstheme="minorHAnsi"/>
          <w:color w:val="auto"/>
          <w:szCs w:val="24"/>
          <w:u w:val="none"/>
          <w:lang w:val="en-US"/>
        </w:rPr>
        <w:t xml:space="preserve">. </w:t>
      </w:r>
      <w:r w:rsidR="0089538F" w:rsidRPr="004C6EF9">
        <w:rPr>
          <w:rStyle w:val="Hyperlink"/>
          <w:rFonts w:cstheme="minorHAnsi"/>
          <w:color w:val="auto"/>
          <w:szCs w:val="24"/>
          <w:u w:val="none"/>
          <w:lang w:val="en-US"/>
        </w:rPr>
        <w:t>TDAG-</w:t>
      </w:r>
      <w:r w:rsidR="00252FD9" w:rsidRPr="004C6EF9">
        <w:rPr>
          <w:rStyle w:val="Hyperlink"/>
          <w:rFonts w:cstheme="minorHAnsi"/>
          <w:color w:val="auto"/>
          <w:szCs w:val="24"/>
          <w:u w:val="none"/>
          <w:lang w:val="en-US"/>
        </w:rPr>
        <w:t xml:space="preserve">WG-RDTP </w:t>
      </w:r>
      <w:r w:rsidR="00A31DEE" w:rsidRPr="004C6EF9">
        <w:rPr>
          <w:rStyle w:val="Hyperlink"/>
          <w:rFonts w:cstheme="minorHAnsi"/>
          <w:color w:val="auto"/>
          <w:szCs w:val="24"/>
          <w:u w:val="none"/>
          <w:lang w:val="en-US"/>
        </w:rPr>
        <w:t>rev</w:t>
      </w:r>
      <w:r w:rsidR="00252FD9" w:rsidRPr="004C6EF9">
        <w:rPr>
          <w:rStyle w:val="Hyperlink"/>
          <w:rFonts w:cstheme="minorHAnsi"/>
          <w:color w:val="auto"/>
          <w:szCs w:val="24"/>
          <w:u w:val="none"/>
          <w:lang w:val="en-US"/>
        </w:rPr>
        <w:t>iew</w:t>
      </w:r>
      <w:r w:rsidR="00A31DEE" w:rsidRPr="004C6EF9">
        <w:rPr>
          <w:rStyle w:val="Hyperlink"/>
          <w:rFonts w:cstheme="minorHAnsi"/>
          <w:color w:val="auto"/>
          <w:szCs w:val="24"/>
          <w:u w:val="none"/>
          <w:lang w:val="en-US"/>
        </w:rPr>
        <w:t xml:space="preserve">ed </w:t>
      </w:r>
      <w:r w:rsidR="00BA2770" w:rsidRPr="004C6EF9">
        <w:rPr>
          <w:rStyle w:val="Hyperlink"/>
          <w:rFonts w:cstheme="minorHAnsi"/>
          <w:color w:val="auto"/>
          <w:szCs w:val="24"/>
          <w:u w:val="none"/>
          <w:lang w:val="en-US"/>
        </w:rPr>
        <w:t>Sections</w:t>
      </w:r>
      <w:r w:rsidR="00A31DEE" w:rsidRPr="004C6EF9">
        <w:rPr>
          <w:rStyle w:val="Hyperlink"/>
          <w:rFonts w:cstheme="minorHAnsi"/>
          <w:color w:val="auto"/>
          <w:szCs w:val="24"/>
          <w:u w:val="none"/>
          <w:lang w:val="en-US"/>
        </w:rPr>
        <w:t xml:space="preserve"> 1 through 3 of</w:t>
      </w:r>
      <w:r w:rsidR="00252FD9" w:rsidRPr="004C6EF9">
        <w:rPr>
          <w:rStyle w:val="Hyperlink"/>
          <w:rFonts w:cstheme="minorHAnsi"/>
          <w:color w:val="auto"/>
          <w:szCs w:val="24"/>
          <w:u w:val="none"/>
          <w:lang w:val="en-US"/>
        </w:rPr>
        <w:t xml:space="preserve"> the initial proposal</w:t>
      </w:r>
      <w:r w:rsidR="00667ED2" w:rsidRPr="004C6EF9">
        <w:rPr>
          <w:rStyle w:val="Hyperlink"/>
          <w:rFonts w:cstheme="minorHAnsi"/>
          <w:color w:val="auto"/>
          <w:szCs w:val="24"/>
          <w:u w:val="none"/>
          <w:lang w:val="en-US"/>
        </w:rPr>
        <w:t xml:space="preserve"> </w:t>
      </w:r>
      <w:r w:rsidR="00BA2770" w:rsidRPr="004C6EF9">
        <w:rPr>
          <w:rStyle w:val="Hyperlink"/>
          <w:rFonts w:cstheme="minorHAnsi"/>
          <w:color w:val="auto"/>
          <w:szCs w:val="24"/>
          <w:u w:val="none"/>
          <w:lang w:val="en-US"/>
        </w:rPr>
        <w:t xml:space="preserve">for revision </w:t>
      </w:r>
      <w:r w:rsidR="00667ED2" w:rsidRPr="004C6EF9">
        <w:rPr>
          <w:rStyle w:val="Hyperlink"/>
          <w:rFonts w:cstheme="minorHAnsi"/>
          <w:color w:val="auto"/>
          <w:szCs w:val="24"/>
          <w:u w:val="none"/>
          <w:lang w:val="en-US"/>
        </w:rPr>
        <w:t>o</w:t>
      </w:r>
      <w:r w:rsidR="00BA2770" w:rsidRPr="004C6EF9">
        <w:rPr>
          <w:rStyle w:val="Hyperlink"/>
          <w:rFonts w:cstheme="minorHAnsi"/>
          <w:color w:val="auto"/>
          <w:szCs w:val="24"/>
          <w:u w:val="none"/>
          <w:lang w:val="en-US"/>
        </w:rPr>
        <w:t>f</w:t>
      </w:r>
      <w:r w:rsidR="00667ED2" w:rsidRPr="004C6EF9">
        <w:rPr>
          <w:rStyle w:val="Hyperlink"/>
          <w:rFonts w:cstheme="minorHAnsi"/>
          <w:color w:val="auto"/>
          <w:szCs w:val="24"/>
          <w:u w:val="none"/>
          <w:lang w:val="en-US"/>
        </w:rPr>
        <w:t xml:space="preserve"> Resolution 1 </w:t>
      </w:r>
      <w:r w:rsidR="00252FD9" w:rsidRPr="004C6EF9">
        <w:rPr>
          <w:rStyle w:val="Hyperlink"/>
          <w:rFonts w:cstheme="minorHAnsi"/>
          <w:color w:val="auto"/>
          <w:szCs w:val="24"/>
          <w:u w:val="none"/>
          <w:lang w:val="en-US"/>
        </w:rPr>
        <w:t>from the Russian Federation</w:t>
      </w:r>
      <w:r w:rsidR="00A31DEE" w:rsidRPr="004C6EF9">
        <w:rPr>
          <w:rStyle w:val="Hyperlink"/>
          <w:rFonts w:cstheme="minorHAnsi"/>
          <w:color w:val="auto"/>
          <w:szCs w:val="24"/>
          <w:u w:val="none"/>
          <w:lang w:val="en-US"/>
        </w:rPr>
        <w:t xml:space="preserve"> at its meeting in June 2021; however, the review was not completed due to the lack of time</w:t>
      </w:r>
      <w:r w:rsidR="0066214A">
        <w:rPr>
          <w:rStyle w:val="Hyperlink"/>
          <w:rFonts w:cstheme="minorHAnsi"/>
          <w:color w:val="auto"/>
          <w:szCs w:val="24"/>
          <w:u w:val="none"/>
          <w:lang w:val="en-US"/>
        </w:rPr>
        <w:t xml:space="preserve"> and the extensive nature of the proposed changes</w:t>
      </w:r>
      <w:r w:rsidR="00A31DEE" w:rsidRPr="004C6EF9">
        <w:rPr>
          <w:rStyle w:val="Hyperlink"/>
          <w:rFonts w:cstheme="minorHAnsi"/>
          <w:color w:val="auto"/>
          <w:szCs w:val="24"/>
          <w:u w:val="none"/>
          <w:lang w:val="en-US"/>
        </w:rPr>
        <w:t>.</w:t>
      </w:r>
      <w:r w:rsidR="00667ED2" w:rsidRPr="004C6EF9">
        <w:rPr>
          <w:rStyle w:val="Hyperlink"/>
          <w:rFonts w:cstheme="minorHAnsi"/>
          <w:color w:val="auto"/>
          <w:szCs w:val="24"/>
          <w:u w:val="none"/>
          <w:lang w:val="en-US"/>
        </w:rPr>
        <w:t xml:space="preserve"> Some of the issues that the proposal </w:t>
      </w:r>
      <w:r w:rsidR="0069363C" w:rsidRPr="004C6EF9">
        <w:rPr>
          <w:rStyle w:val="Hyperlink"/>
          <w:rFonts w:cstheme="minorHAnsi"/>
          <w:color w:val="auto"/>
          <w:szCs w:val="24"/>
          <w:u w:val="none"/>
          <w:lang w:val="en-US"/>
        </w:rPr>
        <w:t>aims</w:t>
      </w:r>
      <w:r w:rsidR="00667ED2" w:rsidRPr="004C6EF9">
        <w:rPr>
          <w:rStyle w:val="Hyperlink"/>
          <w:rFonts w:cstheme="minorHAnsi"/>
          <w:color w:val="auto"/>
          <w:szCs w:val="24"/>
          <w:u w:val="none"/>
          <w:lang w:val="en-US"/>
        </w:rPr>
        <w:t xml:space="preserve"> to tackle </w:t>
      </w:r>
      <w:r w:rsidR="00684670" w:rsidRPr="004C6EF9">
        <w:rPr>
          <w:rStyle w:val="Hyperlink"/>
          <w:rFonts w:cstheme="minorHAnsi"/>
          <w:color w:val="auto"/>
          <w:szCs w:val="24"/>
          <w:u w:val="none"/>
          <w:lang w:val="en-US"/>
        </w:rPr>
        <w:t>are</w:t>
      </w:r>
      <w:r w:rsidR="00667ED2" w:rsidRPr="004C6EF9">
        <w:rPr>
          <w:rStyle w:val="Hyperlink"/>
          <w:rFonts w:cstheme="minorHAnsi"/>
          <w:color w:val="auto"/>
          <w:szCs w:val="24"/>
          <w:u w:val="none"/>
          <w:lang w:val="en-US"/>
        </w:rPr>
        <w:t xml:space="preserve"> the active engagement </w:t>
      </w:r>
      <w:r w:rsidR="00684670" w:rsidRPr="004C6EF9">
        <w:rPr>
          <w:rStyle w:val="Hyperlink"/>
          <w:rFonts w:cstheme="minorHAnsi"/>
          <w:color w:val="auto"/>
          <w:szCs w:val="24"/>
          <w:u w:val="none"/>
          <w:lang w:val="en-US"/>
        </w:rPr>
        <w:t xml:space="preserve">and contribution </w:t>
      </w:r>
      <w:r w:rsidR="00667ED2" w:rsidRPr="004C6EF9">
        <w:rPr>
          <w:rStyle w:val="Hyperlink"/>
          <w:rFonts w:cstheme="minorHAnsi"/>
          <w:color w:val="auto"/>
          <w:szCs w:val="24"/>
          <w:u w:val="none"/>
          <w:lang w:val="en-US"/>
        </w:rPr>
        <w:t>of ITU-D S</w:t>
      </w:r>
      <w:r w:rsidR="0069363C" w:rsidRPr="004C6EF9">
        <w:rPr>
          <w:rStyle w:val="Hyperlink"/>
          <w:rFonts w:cstheme="minorHAnsi"/>
          <w:color w:val="auto"/>
          <w:szCs w:val="24"/>
          <w:u w:val="none"/>
          <w:lang w:val="en-US"/>
        </w:rPr>
        <w:t xml:space="preserve">tudy </w:t>
      </w:r>
      <w:r w:rsidR="00667ED2" w:rsidRPr="004C6EF9">
        <w:rPr>
          <w:rStyle w:val="Hyperlink"/>
          <w:rFonts w:cstheme="minorHAnsi"/>
          <w:color w:val="auto"/>
          <w:szCs w:val="24"/>
          <w:u w:val="none"/>
          <w:lang w:val="en-US"/>
        </w:rPr>
        <w:t>G</w:t>
      </w:r>
      <w:r w:rsidR="0069363C" w:rsidRPr="004C6EF9">
        <w:rPr>
          <w:rStyle w:val="Hyperlink"/>
          <w:rFonts w:cstheme="minorHAnsi"/>
          <w:color w:val="auto"/>
          <w:szCs w:val="24"/>
          <w:u w:val="none"/>
          <w:lang w:val="en-US"/>
        </w:rPr>
        <w:t>roup</w:t>
      </w:r>
      <w:r w:rsidR="00667ED2" w:rsidRPr="004C6EF9">
        <w:rPr>
          <w:rStyle w:val="Hyperlink"/>
          <w:rFonts w:cstheme="minorHAnsi"/>
          <w:color w:val="auto"/>
          <w:szCs w:val="24"/>
          <w:u w:val="none"/>
          <w:lang w:val="en-US"/>
        </w:rPr>
        <w:t xml:space="preserve"> Rapporteurs and Vice-Rapporteurs</w:t>
      </w:r>
      <w:r w:rsidR="0069363C" w:rsidRPr="004C6EF9">
        <w:rPr>
          <w:rStyle w:val="Hyperlink"/>
          <w:rFonts w:cstheme="minorHAnsi"/>
          <w:color w:val="auto"/>
          <w:szCs w:val="24"/>
          <w:u w:val="none"/>
          <w:lang w:val="en-US"/>
        </w:rPr>
        <w:t>, and the provisions for remote collaboration</w:t>
      </w:r>
      <w:r w:rsidR="00667ED2" w:rsidRPr="004C6EF9">
        <w:rPr>
          <w:rStyle w:val="Hyperlink"/>
          <w:rFonts w:cstheme="minorHAnsi"/>
          <w:color w:val="auto"/>
          <w:szCs w:val="24"/>
          <w:u w:val="none"/>
          <w:lang w:val="en-US"/>
        </w:rPr>
        <w:t>,</w:t>
      </w:r>
      <w:r w:rsidR="0069363C" w:rsidRPr="004C6EF9">
        <w:rPr>
          <w:rStyle w:val="Hyperlink"/>
          <w:rFonts w:cstheme="minorHAnsi"/>
          <w:color w:val="auto"/>
          <w:szCs w:val="24"/>
          <w:u w:val="none"/>
          <w:lang w:val="en-US"/>
        </w:rPr>
        <w:t xml:space="preserve"> reflecting the experience of the past cycle of ITU-D </w:t>
      </w:r>
      <w:r w:rsidR="00684670" w:rsidRPr="004C6EF9">
        <w:rPr>
          <w:rStyle w:val="Hyperlink"/>
          <w:rFonts w:cstheme="minorHAnsi"/>
          <w:color w:val="auto"/>
          <w:szCs w:val="24"/>
          <w:u w:val="none"/>
          <w:lang w:val="en-US"/>
        </w:rPr>
        <w:t>S</w:t>
      </w:r>
      <w:r w:rsidR="0069363C" w:rsidRPr="004C6EF9">
        <w:rPr>
          <w:rStyle w:val="Hyperlink"/>
          <w:rFonts w:cstheme="minorHAnsi"/>
          <w:color w:val="auto"/>
          <w:szCs w:val="24"/>
          <w:u w:val="none"/>
          <w:lang w:val="en-US"/>
        </w:rPr>
        <w:t xml:space="preserve">tudy </w:t>
      </w:r>
      <w:r w:rsidR="00684670" w:rsidRPr="004C6EF9">
        <w:rPr>
          <w:rStyle w:val="Hyperlink"/>
          <w:rFonts w:cstheme="minorHAnsi"/>
          <w:color w:val="auto"/>
          <w:szCs w:val="24"/>
          <w:u w:val="none"/>
          <w:lang w:val="en-US"/>
        </w:rPr>
        <w:t>G</w:t>
      </w:r>
      <w:r w:rsidR="0069363C" w:rsidRPr="004C6EF9">
        <w:rPr>
          <w:rStyle w:val="Hyperlink"/>
          <w:rFonts w:cstheme="minorHAnsi"/>
          <w:color w:val="auto"/>
          <w:szCs w:val="24"/>
          <w:u w:val="none"/>
          <w:lang w:val="en-US"/>
        </w:rPr>
        <w:t xml:space="preserve">roups as well as the experience of the other ITU Sectors. </w:t>
      </w:r>
      <w:r w:rsidR="00667ED2" w:rsidRPr="004C6EF9">
        <w:rPr>
          <w:rStyle w:val="Hyperlink"/>
          <w:rFonts w:cstheme="minorHAnsi"/>
          <w:color w:val="auto"/>
          <w:szCs w:val="24"/>
          <w:u w:val="none"/>
          <w:lang w:val="en-US"/>
        </w:rPr>
        <w:t xml:space="preserve"> </w:t>
      </w:r>
    </w:p>
    <w:p w14:paraId="1F6EA033" w14:textId="38ACD0B2" w:rsidR="00123F64" w:rsidRPr="004C6EF9" w:rsidRDefault="00A31DEE" w:rsidP="00884BD4">
      <w:pPr>
        <w:spacing w:after="120"/>
        <w:rPr>
          <w:rStyle w:val="Hyperlink"/>
          <w:rFonts w:cstheme="minorHAnsi"/>
          <w:color w:val="auto"/>
          <w:szCs w:val="24"/>
          <w:u w:val="none"/>
          <w:lang w:val="en-US"/>
        </w:rPr>
      </w:pPr>
      <w:r w:rsidRPr="004C6EF9">
        <w:rPr>
          <w:rStyle w:val="Hyperlink"/>
          <w:rFonts w:cstheme="minorHAnsi"/>
          <w:color w:val="auto"/>
          <w:szCs w:val="24"/>
          <w:u w:val="none"/>
          <w:lang w:val="en-US"/>
        </w:rPr>
        <w:t xml:space="preserve">The draft proposal </w:t>
      </w:r>
      <w:r w:rsidR="00894846">
        <w:rPr>
          <w:rStyle w:val="Hyperlink"/>
          <w:rFonts w:cstheme="minorHAnsi"/>
          <w:color w:val="auto"/>
          <w:szCs w:val="24"/>
          <w:u w:val="none"/>
          <w:lang w:val="en-US"/>
        </w:rPr>
        <w:t xml:space="preserve">would </w:t>
      </w:r>
      <w:r w:rsidR="00667ED2" w:rsidRPr="004C6EF9">
        <w:rPr>
          <w:rStyle w:val="Hyperlink"/>
          <w:rFonts w:cstheme="minorHAnsi"/>
          <w:color w:val="auto"/>
          <w:szCs w:val="24"/>
          <w:u w:val="none"/>
          <w:lang w:val="en-US"/>
        </w:rPr>
        <w:t xml:space="preserve">also </w:t>
      </w:r>
      <w:r w:rsidR="00A60F20">
        <w:rPr>
          <w:rStyle w:val="Hyperlink"/>
          <w:rFonts w:cstheme="minorHAnsi"/>
          <w:color w:val="auto"/>
          <w:szCs w:val="24"/>
          <w:u w:val="none"/>
          <w:lang w:val="en-US"/>
        </w:rPr>
        <w:t xml:space="preserve">suppress </w:t>
      </w:r>
      <w:r w:rsidR="00884BD4" w:rsidRPr="004C6EF9">
        <w:rPr>
          <w:rStyle w:val="Hyperlink"/>
          <w:rFonts w:cstheme="minorHAnsi"/>
          <w:color w:val="auto"/>
          <w:szCs w:val="24"/>
          <w:u w:val="none"/>
          <w:lang w:val="en-US"/>
        </w:rPr>
        <w:t>relevant</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provisions</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of</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WTDC</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Resolutions</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61,</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81</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and</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86</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in</w:t>
      </w:r>
      <w:r w:rsidR="00296088" w:rsidRPr="004C6EF9">
        <w:rPr>
          <w:rStyle w:val="Hyperlink"/>
          <w:rFonts w:cstheme="minorHAnsi"/>
          <w:color w:val="auto"/>
          <w:szCs w:val="24"/>
          <w:u w:val="none"/>
          <w:lang w:val="en-US"/>
        </w:rPr>
        <w:t xml:space="preserve"> </w:t>
      </w:r>
      <w:r w:rsidR="00A60F20">
        <w:rPr>
          <w:rStyle w:val="Hyperlink"/>
          <w:rFonts w:cstheme="minorHAnsi"/>
          <w:color w:val="auto"/>
          <w:szCs w:val="24"/>
          <w:u w:val="none"/>
          <w:lang w:val="en-US"/>
        </w:rPr>
        <w:t>order t</w:t>
      </w:r>
      <w:r w:rsidR="00884BD4" w:rsidRPr="004C6EF9">
        <w:rPr>
          <w:rStyle w:val="Hyperlink"/>
          <w:rFonts w:cstheme="minorHAnsi"/>
          <w:color w:val="auto"/>
          <w:szCs w:val="24"/>
          <w:u w:val="none"/>
          <w:lang w:val="en-US"/>
        </w:rPr>
        <w:t>o</w:t>
      </w:r>
      <w:r w:rsidR="00296088" w:rsidRPr="004C6EF9">
        <w:rPr>
          <w:rStyle w:val="Hyperlink"/>
          <w:rFonts w:cstheme="minorHAnsi"/>
          <w:color w:val="auto"/>
          <w:szCs w:val="24"/>
          <w:u w:val="none"/>
          <w:lang w:val="en-US"/>
        </w:rPr>
        <w:t xml:space="preserve"> </w:t>
      </w:r>
      <w:r w:rsidR="0069363C" w:rsidRPr="004C6EF9">
        <w:rPr>
          <w:rStyle w:val="Hyperlink"/>
          <w:rFonts w:cstheme="minorHAnsi"/>
          <w:color w:val="auto"/>
          <w:szCs w:val="24"/>
          <w:u w:val="none"/>
          <w:lang w:val="en-US"/>
        </w:rPr>
        <w:t>streamlin</w:t>
      </w:r>
      <w:r w:rsidR="00A60F20">
        <w:rPr>
          <w:rStyle w:val="Hyperlink"/>
          <w:rFonts w:cstheme="minorHAnsi"/>
          <w:color w:val="auto"/>
          <w:szCs w:val="24"/>
          <w:u w:val="none"/>
          <w:lang w:val="en-US"/>
        </w:rPr>
        <w:t>e</w:t>
      </w:r>
      <w:r w:rsidR="00845640">
        <w:rPr>
          <w:rStyle w:val="Hyperlink"/>
          <w:rFonts w:cstheme="minorHAnsi"/>
          <w:color w:val="auto"/>
          <w:szCs w:val="24"/>
          <w:u w:val="none"/>
          <w:lang w:val="en-US"/>
        </w:rPr>
        <w:t xml:space="preserve"> </w:t>
      </w:r>
      <w:r w:rsidR="0069363C" w:rsidRPr="004C6EF9">
        <w:rPr>
          <w:rStyle w:val="Hyperlink"/>
          <w:rFonts w:cstheme="minorHAnsi"/>
          <w:color w:val="auto"/>
          <w:szCs w:val="24"/>
          <w:u w:val="none"/>
          <w:lang w:val="en-US"/>
        </w:rPr>
        <w:t xml:space="preserve">and </w:t>
      </w:r>
      <w:r w:rsidR="00884BD4" w:rsidRPr="004C6EF9">
        <w:rPr>
          <w:rStyle w:val="Hyperlink"/>
          <w:rFonts w:cstheme="minorHAnsi"/>
          <w:color w:val="auto"/>
          <w:szCs w:val="24"/>
          <w:u w:val="none"/>
          <w:lang w:val="en-US"/>
        </w:rPr>
        <w:t>merg</w:t>
      </w:r>
      <w:r w:rsidR="00845640">
        <w:rPr>
          <w:rStyle w:val="Hyperlink"/>
          <w:rFonts w:cstheme="minorHAnsi"/>
          <w:color w:val="auto"/>
          <w:szCs w:val="24"/>
          <w:u w:val="none"/>
          <w:lang w:val="en-US"/>
        </w:rPr>
        <w:t xml:space="preserve">e </w:t>
      </w:r>
      <w:r w:rsidR="00884BD4" w:rsidRPr="004C6EF9">
        <w:rPr>
          <w:rStyle w:val="Hyperlink"/>
          <w:rFonts w:cstheme="minorHAnsi"/>
          <w:color w:val="auto"/>
          <w:szCs w:val="24"/>
          <w:u w:val="none"/>
          <w:lang w:val="en-US"/>
        </w:rPr>
        <w:t>those</w:t>
      </w:r>
      <w:r w:rsidR="00296088" w:rsidRPr="004C6EF9">
        <w:rPr>
          <w:rStyle w:val="Hyperlink"/>
          <w:rFonts w:cstheme="minorHAnsi"/>
          <w:color w:val="auto"/>
          <w:szCs w:val="24"/>
          <w:u w:val="none"/>
          <w:lang w:val="en-US"/>
        </w:rPr>
        <w:t xml:space="preserve"> </w:t>
      </w:r>
      <w:r w:rsidR="00845640">
        <w:rPr>
          <w:rStyle w:val="Hyperlink"/>
          <w:rFonts w:cstheme="minorHAnsi"/>
          <w:color w:val="auto"/>
          <w:szCs w:val="24"/>
          <w:u w:val="none"/>
          <w:lang w:val="en-US"/>
        </w:rPr>
        <w:t xml:space="preserve">Resolutions </w:t>
      </w:r>
      <w:r w:rsidR="00884BD4" w:rsidRPr="004C6EF9">
        <w:rPr>
          <w:rStyle w:val="Hyperlink"/>
          <w:rFonts w:cstheme="minorHAnsi"/>
          <w:color w:val="auto"/>
          <w:szCs w:val="24"/>
          <w:u w:val="none"/>
          <w:lang w:val="en-US"/>
        </w:rPr>
        <w:t>with</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th</w:t>
      </w:r>
      <w:r w:rsidR="00845640">
        <w:rPr>
          <w:rStyle w:val="Hyperlink"/>
          <w:rFonts w:cstheme="minorHAnsi"/>
          <w:color w:val="auto"/>
          <w:szCs w:val="24"/>
          <w:u w:val="none"/>
          <w:lang w:val="en-US"/>
        </w:rPr>
        <w:t>ose of</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PP</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(e.g.,</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use</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of</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the</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six</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official</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languages</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on</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an</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equal</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footing,</w:t>
      </w:r>
      <w:r w:rsidR="00296088" w:rsidRPr="004C6EF9">
        <w:rPr>
          <w:rStyle w:val="Hyperlink"/>
          <w:rFonts w:cstheme="minorHAnsi"/>
          <w:color w:val="auto"/>
          <w:szCs w:val="24"/>
          <w:u w:val="none"/>
          <w:lang w:val="en-US"/>
        </w:rPr>
        <w:t xml:space="preserve"> </w:t>
      </w:r>
      <w:r w:rsidR="00884BD4" w:rsidRPr="004C6EF9">
        <w:rPr>
          <w:rStyle w:val="Hyperlink"/>
          <w:rFonts w:cstheme="minorHAnsi"/>
          <w:color w:val="auto"/>
          <w:szCs w:val="24"/>
          <w:u w:val="none"/>
          <w:lang w:val="en-US"/>
        </w:rPr>
        <w:t>terminology).</w:t>
      </w:r>
      <w:r w:rsidRPr="004C6EF9">
        <w:rPr>
          <w:rStyle w:val="Hyperlink"/>
          <w:rFonts w:cstheme="minorHAnsi"/>
          <w:color w:val="auto"/>
          <w:szCs w:val="24"/>
          <w:u w:val="none"/>
          <w:lang w:val="en-US"/>
        </w:rPr>
        <w:t xml:space="preserve"> The contribution reflects discussions and input received from CEPT and RCC.</w:t>
      </w:r>
    </w:p>
    <w:tbl>
      <w:tblPr>
        <w:tblStyle w:val="TableGrid"/>
        <w:tblW w:w="0" w:type="auto"/>
        <w:tblLook w:val="04A0" w:firstRow="1" w:lastRow="0" w:firstColumn="1" w:lastColumn="0" w:noHBand="0" w:noVBand="1"/>
      </w:tblPr>
      <w:tblGrid>
        <w:gridCol w:w="9629"/>
      </w:tblGrid>
      <w:tr w:rsidR="0054498D" w:rsidRPr="004C6EF9" w14:paraId="2F2A93CC" w14:textId="77777777" w:rsidTr="004D36C6">
        <w:tc>
          <w:tcPr>
            <w:tcW w:w="9629" w:type="dxa"/>
          </w:tcPr>
          <w:p w14:paraId="24B42CE2" w14:textId="7EA7581A" w:rsidR="0054498D" w:rsidRPr="004C6EF9" w:rsidRDefault="00C50F7D" w:rsidP="004D36C6">
            <w:pPr>
              <w:spacing w:after="120"/>
              <w:rPr>
                <w:rFonts w:eastAsiaTheme="minorEastAsia" w:cstheme="minorHAnsi"/>
                <w:szCs w:val="24"/>
                <w:lang w:val="en-US"/>
              </w:rPr>
            </w:pPr>
            <w:r w:rsidRPr="004C6EF9">
              <w:rPr>
                <w:rFonts w:eastAsiaTheme="minorEastAsia" w:cstheme="minorHAnsi"/>
                <w:szCs w:val="24"/>
              </w:rPr>
              <w:t xml:space="preserve">TDAG thanked the Russian Federation for their efforts and noted the document, which may be considered by Member States in preparing their proposals </w:t>
            </w:r>
            <w:r w:rsidR="00845640">
              <w:rPr>
                <w:rFonts w:eastAsiaTheme="minorEastAsia" w:cstheme="minorHAnsi"/>
                <w:szCs w:val="24"/>
              </w:rPr>
              <w:t>t</w:t>
            </w:r>
            <w:r w:rsidRPr="004C6EF9">
              <w:rPr>
                <w:rFonts w:eastAsiaTheme="minorEastAsia" w:cstheme="minorHAnsi"/>
                <w:szCs w:val="24"/>
              </w:rPr>
              <w:t>o revis</w:t>
            </w:r>
            <w:r w:rsidR="00845640">
              <w:rPr>
                <w:rFonts w:eastAsiaTheme="minorEastAsia" w:cstheme="minorHAnsi"/>
                <w:szCs w:val="24"/>
              </w:rPr>
              <w:t>e</w:t>
            </w:r>
            <w:r w:rsidR="00845640">
              <w:rPr>
                <w:rFonts w:eastAsiaTheme="minorEastAsia"/>
              </w:rPr>
              <w:t xml:space="preserve"> </w:t>
            </w:r>
            <w:r w:rsidRPr="004C6EF9">
              <w:rPr>
                <w:rFonts w:eastAsiaTheme="minorEastAsia" w:cstheme="minorHAnsi"/>
                <w:szCs w:val="24"/>
              </w:rPr>
              <w:t>Resolution 1 in the lead up to WTDC.</w:t>
            </w:r>
          </w:p>
        </w:tc>
      </w:tr>
    </w:tbl>
    <w:p w14:paraId="21DE1F2D" w14:textId="550AFD0C" w:rsidR="00F67C10" w:rsidRPr="004C6EF9" w:rsidRDefault="00F67C10" w:rsidP="0011639E">
      <w:pPr>
        <w:keepNext/>
        <w:spacing w:after="120"/>
        <w:rPr>
          <w:rFonts w:cstheme="minorHAnsi"/>
          <w:b/>
          <w:bCs/>
          <w:szCs w:val="24"/>
          <w:u w:val="single"/>
        </w:rPr>
      </w:pPr>
      <w:r w:rsidRPr="004C6EF9">
        <w:rPr>
          <w:rFonts w:cstheme="minorHAnsi"/>
          <w:b/>
          <w:bCs/>
          <w:szCs w:val="24"/>
          <w:u w:val="single"/>
        </w:rPr>
        <w:t>S</w:t>
      </w:r>
      <w:r w:rsidR="00E12DB6" w:rsidRPr="004C6EF9">
        <w:rPr>
          <w:rFonts w:cstheme="minorHAnsi"/>
          <w:b/>
          <w:bCs/>
          <w:szCs w:val="24"/>
          <w:u w:val="single"/>
        </w:rPr>
        <w:t>treamlining Resolutions</w:t>
      </w:r>
    </w:p>
    <w:p w14:paraId="436FD751" w14:textId="0B9302C6" w:rsidR="00D1140E" w:rsidRPr="004C6EF9" w:rsidRDefault="00D1140E" w:rsidP="0011639E">
      <w:pPr>
        <w:keepNext/>
        <w:spacing w:after="120"/>
        <w:rPr>
          <w:rFonts w:cstheme="minorHAnsi"/>
          <w:b/>
          <w:bCs/>
          <w:szCs w:val="24"/>
        </w:rPr>
      </w:pPr>
      <w:r w:rsidRPr="004C6EF9">
        <w:rPr>
          <w:rFonts w:cstheme="minorHAnsi"/>
          <w:b/>
          <w:bCs/>
          <w:szCs w:val="24"/>
        </w:rPr>
        <w:t>Document</w:t>
      </w:r>
      <w:r w:rsidR="00296088" w:rsidRPr="004C6EF9">
        <w:rPr>
          <w:rFonts w:cstheme="minorHAnsi"/>
          <w:b/>
          <w:bCs/>
          <w:szCs w:val="24"/>
        </w:rPr>
        <w:t xml:space="preserve"> </w:t>
      </w:r>
      <w:hyperlink r:id="rId27" w:history="1">
        <w:r w:rsidR="0035295E" w:rsidRPr="004C6EF9">
          <w:rPr>
            <w:rStyle w:val="Hyperlink"/>
            <w:rFonts w:cstheme="minorHAnsi"/>
            <w:b/>
            <w:bCs/>
            <w:szCs w:val="24"/>
          </w:rPr>
          <w:t>27</w:t>
        </w:r>
      </w:hyperlink>
      <w:r w:rsidR="00296088" w:rsidRPr="004C6EF9">
        <w:rPr>
          <w:rFonts w:cstheme="minorHAnsi"/>
          <w:b/>
          <w:bCs/>
          <w:szCs w:val="24"/>
        </w:rPr>
        <w:t xml:space="preserve"> </w:t>
      </w:r>
    </w:p>
    <w:p w14:paraId="6A2C18C8" w14:textId="0012FCAB" w:rsidR="00D1140E" w:rsidRPr="004C6EF9" w:rsidRDefault="00B627D8" w:rsidP="00D1140E">
      <w:pPr>
        <w:spacing w:after="120"/>
        <w:rPr>
          <w:rFonts w:cstheme="minorHAnsi"/>
          <w:szCs w:val="24"/>
        </w:rPr>
      </w:pPr>
      <w:r w:rsidRPr="004C6EF9">
        <w:rPr>
          <w:rFonts w:cstheme="minorHAnsi"/>
          <w:szCs w:val="24"/>
        </w:rPr>
        <w:t>This</w:t>
      </w:r>
      <w:r w:rsidR="00D45A64" w:rsidRPr="004C6EF9">
        <w:rPr>
          <w:rFonts w:cstheme="minorHAnsi"/>
          <w:szCs w:val="24"/>
        </w:rPr>
        <w:t xml:space="preserve"> document</w:t>
      </w:r>
      <w:r w:rsidR="00296088" w:rsidRPr="004C6EF9">
        <w:rPr>
          <w:rFonts w:cstheme="minorHAnsi"/>
          <w:szCs w:val="24"/>
        </w:rPr>
        <w:t xml:space="preserve"> </w:t>
      </w:r>
      <w:r w:rsidRPr="004C6EF9">
        <w:rPr>
          <w:rFonts w:cstheme="minorHAnsi"/>
          <w:szCs w:val="24"/>
        </w:rPr>
        <w:t>is</w:t>
      </w:r>
      <w:r w:rsidR="00296088" w:rsidRPr="004C6EF9">
        <w:rPr>
          <w:rFonts w:cstheme="minorHAnsi"/>
          <w:szCs w:val="24"/>
        </w:rPr>
        <w:t xml:space="preserve"> </w:t>
      </w:r>
      <w:r w:rsidRPr="004C6EF9">
        <w:rPr>
          <w:rFonts w:cstheme="minorHAnsi"/>
          <w:szCs w:val="24"/>
        </w:rPr>
        <w:t>a</w:t>
      </w:r>
      <w:r w:rsidR="00296088" w:rsidRPr="004C6EF9">
        <w:rPr>
          <w:rFonts w:cstheme="minorHAnsi"/>
          <w:szCs w:val="24"/>
        </w:rPr>
        <w:t xml:space="preserve"> </w:t>
      </w:r>
      <w:r w:rsidRPr="004C6EF9">
        <w:rPr>
          <w:rFonts w:cstheme="minorHAnsi"/>
          <w:szCs w:val="24"/>
        </w:rPr>
        <w:t>contribution</w:t>
      </w:r>
      <w:r w:rsidR="00296088" w:rsidRPr="004C6EF9">
        <w:rPr>
          <w:rFonts w:cstheme="minorHAnsi"/>
          <w:szCs w:val="24"/>
        </w:rPr>
        <w:t xml:space="preserve"> </w:t>
      </w:r>
      <w:r w:rsidRPr="004C6EF9">
        <w:rPr>
          <w:rFonts w:cstheme="minorHAnsi"/>
          <w:szCs w:val="24"/>
        </w:rPr>
        <w:t>from</w:t>
      </w:r>
      <w:r w:rsidR="00296088" w:rsidRPr="004C6EF9">
        <w:rPr>
          <w:rFonts w:cstheme="minorHAnsi"/>
          <w:szCs w:val="24"/>
        </w:rPr>
        <w:t xml:space="preserve"> </w:t>
      </w:r>
      <w:r w:rsidR="002E01F8" w:rsidRPr="004C6EF9">
        <w:rPr>
          <w:rFonts w:cstheme="minorHAnsi"/>
          <w:szCs w:val="24"/>
        </w:rPr>
        <w:t xml:space="preserve">the </w:t>
      </w:r>
      <w:r w:rsidRPr="004C6EF9">
        <w:rPr>
          <w:rFonts w:cstheme="minorHAnsi"/>
          <w:szCs w:val="24"/>
        </w:rPr>
        <w:t>Russian</w:t>
      </w:r>
      <w:r w:rsidR="00296088" w:rsidRPr="004C6EF9">
        <w:rPr>
          <w:rFonts w:cstheme="minorHAnsi"/>
          <w:szCs w:val="24"/>
        </w:rPr>
        <w:t xml:space="preserve"> </w:t>
      </w:r>
      <w:r w:rsidRPr="004C6EF9">
        <w:rPr>
          <w:rFonts w:cstheme="minorHAnsi"/>
          <w:szCs w:val="24"/>
        </w:rPr>
        <w:t>Federation</w:t>
      </w:r>
      <w:r w:rsidR="00296088" w:rsidRPr="004C6EF9">
        <w:rPr>
          <w:rFonts w:cstheme="minorHAnsi"/>
          <w:szCs w:val="24"/>
        </w:rPr>
        <w:t xml:space="preserve"> </w:t>
      </w:r>
      <w:r w:rsidRPr="004C6EF9">
        <w:rPr>
          <w:rFonts w:cstheme="minorHAnsi"/>
          <w:szCs w:val="24"/>
        </w:rPr>
        <w:t>proposing</w:t>
      </w:r>
      <w:r w:rsidR="00296088" w:rsidRPr="004C6EF9">
        <w:rPr>
          <w:rFonts w:cstheme="minorHAnsi"/>
          <w:szCs w:val="24"/>
        </w:rPr>
        <w:t xml:space="preserve"> </w:t>
      </w:r>
      <w:r w:rsidRPr="004C6EF9">
        <w:rPr>
          <w:rFonts w:cstheme="minorHAnsi"/>
          <w:szCs w:val="24"/>
        </w:rPr>
        <w:t>to</w:t>
      </w:r>
      <w:r w:rsidR="00296088" w:rsidRPr="004C6EF9">
        <w:rPr>
          <w:rFonts w:cstheme="minorHAnsi"/>
          <w:szCs w:val="24"/>
        </w:rPr>
        <w:t xml:space="preserve"> </w:t>
      </w:r>
      <w:r w:rsidRPr="004C6EF9">
        <w:rPr>
          <w:rFonts w:cstheme="minorHAnsi"/>
          <w:szCs w:val="24"/>
        </w:rPr>
        <w:t>determine</w:t>
      </w:r>
      <w:r w:rsidR="00296088" w:rsidRPr="004C6EF9">
        <w:rPr>
          <w:rFonts w:cstheme="minorHAnsi"/>
          <w:szCs w:val="24"/>
        </w:rPr>
        <w:t xml:space="preserve"> </w:t>
      </w:r>
      <w:r w:rsidRPr="004C6EF9">
        <w:rPr>
          <w:rFonts w:cstheme="minorHAnsi"/>
          <w:szCs w:val="24"/>
        </w:rPr>
        <w:t>at</w:t>
      </w:r>
      <w:r w:rsidR="00296088" w:rsidRPr="004C6EF9">
        <w:rPr>
          <w:rFonts w:cstheme="minorHAnsi"/>
          <w:szCs w:val="24"/>
        </w:rPr>
        <w:t xml:space="preserve"> </w:t>
      </w:r>
      <w:r w:rsidR="008027CD" w:rsidRPr="004C6EF9">
        <w:rPr>
          <w:rFonts w:cstheme="minorHAnsi"/>
          <w:szCs w:val="24"/>
        </w:rPr>
        <w:t>the upcoming W</w:t>
      </w:r>
      <w:r w:rsidRPr="004C6EF9">
        <w:rPr>
          <w:rFonts w:cstheme="minorHAnsi"/>
          <w:szCs w:val="24"/>
        </w:rPr>
        <w:t>TDC</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Pr="004C6EF9">
        <w:rPr>
          <w:rFonts w:cstheme="minorHAnsi"/>
          <w:szCs w:val="24"/>
        </w:rPr>
        <w:t>list</w:t>
      </w:r>
      <w:r w:rsidR="00296088" w:rsidRPr="004C6EF9">
        <w:rPr>
          <w:rFonts w:cstheme="minorHAnsi"/>
          <w:szCs w:val="24"/>
        </w:rPr>
        <w:t xml:space="preserve"> </w:t>
      </w:r>
      <w:r w:rsidRPr="004C6EF9">
        <w:rPr>
          <w:rFonts w:cstheme="minorHAnsi"/>
          <w:szCs w:val="24"/>
        </w:rPr>
        <w:t>of</w:t>
      </w:r>
      <w:r w:rsidR="00296088" w:rsidRPr="004C6EF9">
        <w:rPr>
          <w:rFonts w:cstheme="minorHAnsi"/>
          <w:szCs w:val="24"/>
        </w:rPr>
        <w:t xml:space="preserve"> </w:t>
      </w:r>
      <w:r w:rsidRPr="004C6EF9">
        <w:rPr>
          <w:rFonts w:cstheme="minorHAnsi"/>
          <w:szCs w:val="24"/>
        </w:rPr>
        <w:t>WTDC</w:t>
      </w:r>
      <w:r w:rsidR="00296088" w:rsidRPr="004C6EF9">
        <w:rPr>
          <w:rFonts w:cstheme="minorHAnsi"/>
          <w:szCs w:val="24"/>
        </w:rPr>
        <w:t xml:space="preserve"> </w:t>
      </w:r>
      <w:r w:rsidR="00BD319C" w:rsidRPr="004C6EF9">
        <w:rPr>
          <w:rFonts w:cstheme="minorHAnsi"/>
          <w:szCs w:val="24"/>
        </w:rPr>
        <w:t>R</w:t>
      </w:r>
      <w:r w:rsidRPr="004C6EF9">
        <w:rPr>
          <w:rFonts w:cstheme="minorHAnsi"/>
          <w:szCs w:val="24"/>
        </w:rPr>
        <w:t>esolutions</w:t>
      </w:r>
      <w:r w:rsidR="00296088" w:rsidRPr="004C6EF9">
        <w:rPr>
          <w:rFonts w:cstheme="minorHAnsi"/>
          <w:szCs w:val="24"/>
        </w:rPr>
        <w:t xml:space="preserve"> </w:t>
      </w:r>
      <w:r w:rsidRPr="004C6EF9">
        <w:rPr>
          <w:rFonts w:cstheme="minorHAnsi"/>
          <w:szCs w:val="24"/>
        </w:rPr>
        <w:t>that</w:t>
      </w:r>
      <w:r w:rsidR="00296088" w:rsidRPr="004C6EF9">
        <w:rPr>
          <w:rFonts w:cstheme="minorHAnsi"/>
          <w:szCs w:val="24"/>
        </w:rPr>
        <w:t xml:space="preserve"> </w:t>
      </w:r>
      <w:r w:rsidRPr="004C6EF9">
        <w:rPr>
          <w:rFonts w:cstheme="minorHAnsi"/>
          <w:szCs w:val="24"/>
        </w:rPr>
        <w:t>c</w:t>
      </w:r>
      <w:r w:rsidR="00845640">
        <w:rPr>
          <w:rFonts w:cstheme="minorHAnsi"/>
          <w:szCs w:val="24"/>
        </w:rPr>
        <w:t xml:space="preserve">ould </w:t>
      </w:r>
      <w:r w:rsidR="00D45A64" w:rsidRPr="004C6EF9">
        <w:rPr>
          <w:rFonts w:cstheme="minorHAnsi"/>
          <w:szCs w:val="24"/>
        </w:rPr>
        <w:t xml:space="preserve">be </w:t>
      </w:r>
      <w:r w:rsidRPr="004C6EF9">
        <w:rPr>
          <w:rFonts w:cstheme="minorHAnsi"/>
          <w:szCs w:val="24"/>
        </w:rPr>
        <w:t>streamline</w:t>
      </w:r>
      <w:r w:rsidR="00D45A64" w:rsidRPr="004C6EF9">
        <w:rPr>
          <w:rFonts w:cstheme="minorHAnsi"/>
          <w:szCs w:val="24"/>
        </w:rPr>
        <w:t>d</w:t>
      </w:r>
      <w:r w:rsidR="00D60356" w:rsidRPr="004C6EF9">
        <w:rPr>
          <w:rFonts w:cstheme="minorHAnsi"/>
          <w:szCs w:val="24"/>
        </w:rPr>
        <w:t xml:space="preserve"> or supressed</w:t>
      </w:r>
      <w:r w:rsidR="00296088" w:rsidRPr="004C6EF9">
        <w:rPr>
          <w:rFonts w:cstheme="minorHAnsi"/>
          <w:szCs w:val="24"/>
        </w:rPr>
        <w:t xml:space="preserve"> </w:t>
      </w:r>
      <w:r w:rsidRPr="004C6EF9">
        <w:rPr>
          <w:rFonts w:cstheme="minorHAnsi"/>
          <w:szCs w:val="24"/>
        </w:rPr>
        <w:t>at</w:t>
      </w:r>
      <w:r w:rsidR="00296088" w:rsidRPr="004C6EF9">
        <w:rPr>
          <w:rFonts w:cstheme="minorHAnsi"/>
          <w:szCs w:val="24"/>
        </w:rPr>
        <w:t xml:space="preserve"> </w:t>
      </w:r>
      <w:r w:rsidRPr="004C6EF9">
        <w:rPr>
          <w:rFonts w:cstheme="minorHAnsi"/>
          <w:szCs w:val="24"/>
        </w:rPr>
        <w:t>WTDC-2</w:t>
      </w:r>
      <w:r w:rsidR="00845640">
        <w:rPr>
          <w:rFonts w:cstheme="minorHAnsi"/>
          <w:szCs w:val="24"/>
        </w:rPr>
        <w:t>2</w:t>
      </w:r>
      <w:r w:rsidR="00D45A64" w:rsidRPr="004C6EF9">
        <w:rPr>
          <w:rFonts w:cstheme="minorHAnsi"/>
          <w:szCs w:val="24"/>
        </w:rPr>
        <w:t>,</w:t>
      </w:r>
      <w:r w:rsidR="00296088" w:rsidRPr="004C6EF9">
        <w:rPr>
          <w:rFonts w:cstheme="minorHAnsi"/>
          <w:szCs w:val="24"/>
        </w:rPr>
        <w:t xml:space="preserve"> </w:t>
      </w:r>
      <w:r w:rsidRPr="004C6EF9">
        <w:rPr>
          <w:rFonts w:cstheme="minorHAnsi"/>
          <w:szCs w:val="24"/>
        </w:rPr>
        <w:t>if</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Pr="004C6EF9">
        <w:rPr>
          <w:rFonts w:cstheme="minorHAnsi"/>
          <w:szCs w:val="24"/>
        </w:rPr>
        <w:t>necessary</w:t>
      </w:r>
      <w:r w:rsidR="00296088" w:rsidRPr="004C6EF9">
        <w:rPr>
          <w:rFonts w:cstheme="minorHAnsi"/>
          <w:szCs w:val="24"/>
        </w:rPr>
        <w:t xml:space="preserve"> </w:t>
      </w:r>
      <w:r w:rsidRPr="004C6EF9">
        <w:rPr>
          <w:rFonts w:cstheme="minorHAnsi"/>
          <w:szCs w:val="24"/>
        </w:rPr>
        <w:t>provisions</w:t>
      </w:r>
      <w:r w:rsidR="00296088" w:rsidRPr="004C6EF9">
        <w:rPr>
          <w:rFonts w:cstheme="minorHAnsi"/>
          <w:szCs w:val="24"/>
        </w:rPr>
        <w:t xml:space="preserve"> </w:t>
      </w:r>
      <w:r w:rsidRPr="004C6EF9">
        <w:rPr>
          <w:rFonts w:cstheme="minorHAnsi"/>
          <w:szCs w:val="24"/>
        </w:rPr>
        <w:t>are</w:t>
      </w:r>
      <w:r w:rsidR="00296088" w:rsidRPr="004C6EF9">
        <w:rPr>
          <w:rFonts w:cstheme="minorHAnsi"/>
          <w:szCs w:val="24"/>
        </w:rPr>
        <w:t xml:space="preserve"> </w:t>
      </w:r>
      <w:r w:rsidRPr="004C6EF9">
        <w:rPr>
          <w:rFonts w:cstheme="minorHAnsi"/>
          <w:szCs w:val="24"/>
        </w:rPr>
        <w:t>introduced</w:t>
      </w:r>
      <w:r w:rsidR="00296088" w:rsidRPr="004C6EF9">
        <w:rPr>
          <w:rFonts w:cstheme="minorHAnsi"/>
          <w:szCs w:val="24"/>
        </w:rPr>
        <w:t xml:space="preserve"> </w:t>
      </w:r>
      <w:r w:rsidRPr="004C6EF9">
        <w:rPr>
          <w:rFonts w:cstheme="minorHAnsi"/>
          <w:szCs w:val="24"/>
        </w:rPr>
        <w:t>into</w:t>
      </w:r>
      <w:r w:rsidR="00296088" w:rsidRPr="004C6EF9">
        <w:rPr>
          <w:rFonts w:cstheme="minorHAnsi"/>
          <w:szCs w:val="24"/>
        </w:rPr>
        <w:t xml:space="preserve"> </w:t>
      </w:r>
      <w:r w:rsidRPr="004C6EF9">
        <w:rPr>
          <w:rFonts w:cstheme="minorHAnsi"/>
          <w:szCs w:val="24"/>
        </w:rPr>
        <w:t>the</w:t>
      </w:r>
      <w:r w:rsidR="00296088" w:rsidRPr="004C6EF9">
        <w:rPr>
          <w:rFonts w:cstheme="minorHAnsi"/>
          <w:szCs w:val="24"/>
        </w:rPr>
        <w:t xml:space="preserve"> </w:t>
      </w:r>
      <w:r w:rsidRPr="004C6EF9">
        <w:rPr>
          <w:rFonts w:cstheme="minorHAnsi"/>
          <w:szCs w:val="24"/>
        </w:rPr>
        <w:t>corresponding</w:t>
      </w:r>
      <w:r w:rsidR="00296088" w:rsidRPr="004C6EF9">
        <w:rPr>
          <w:rFonts w:cstheme="minorHAnsi"/>
          <w:szCs w:val="24"/>
        </w:rPr>
        <w:t xml:space="preserve"> </w:t>
      </w:r>
      <w:r w:rsidR="00BD319C" w:rsidRPr="004C6EF9">
        <w:rPr>
          <w:rFonts w:cstheme="minorHAnsi"/>
          <w:szCs w:val="24"/>
        </w:rPr>
        <w:t>PP R</w:t>
      </w:r>
      <w:r w:rsidRPr="004C6EF9">
        <w:rPr>
          <w:rFonts w:cstheme="minorHAnsi"/>
          <w:szCs w:val="24"/>
        </w:rPr>
        <w:t>esolutions</w:t>
      </w:r>
      <w:r w:rsidR="00FD5157" w:rsidRPr="004C6EF9">
        <w:rPr>
          <w:rFonts w:cstheme="minorHAnsi"/>
          <w:szCs w:val="24"/>
        </w:rPr>
        <w:t xml:space="preserve"> at PP</w:t>
      </w:r>
      <w:r w:rsidR="00D45A64" w:rsidRPr="004C6EF9">
        <w:rPr>
          <w:rFonts w:cstheme="minorHAnsi"/>
          <w:szCs w:val="24"/>
        </w:rPr>
        <w:t>-22</w:t>
      </w:r>
      <w:r w:rsidRPr="004C6EF9">
        <w:rPr>
          <w:rFonts w:cstheme="minorHAnsi"/>
          <w:szCs w:val="24"/>
        </w:rPr>
        <w:t>.</w:t>
      </w:r>
    </w:p>
    <w:p w14:paraId="122F0864" w14:textId="78FD000E" w:rsidR="00F67C10" w:rsidRPr="004C6EF9" w:rsidRDefault="00A77D65" w:rsidP="00D1140E">
      <w:pPr>
        <w:spacing w:after="120"/>
        <w:rPr>
          <w:rFonts w:cstheme="minorHAnsi"/>
          <w:szCs w:val="24"/>
        </w:rPr>
      </w:pPr>
      <w:r>
        <w:t>T</w:t>
      </w:r>
      <w:r w:rsidR="00E66F68" w:rsidRPr="004C6EF9">
        <w:t xml:space="preserve">here was a general support to </w:t>
      </w:r>
      <w:r w:rsidR="006C163D" w:rsidRPr="004C6EF9">
        <w:t>continue</w:t>
      </w:r>
      <w:r w:rsidR="00E66F68" w:rsidRPr="004C6EF9">
        <w:t xml:space="preserve"> the work on streamlining resolutions within and across all ITU Sectors</w:t>
      </w:r>
      <w:r>
        <w:t>.</w:t>
      </w:r>
    </w:p>
    <w:tbl>
      <w:tblPr>
        <w:tblStyle w:val="TableGrid"/>
        <w:tblW w:w="0" w:type="auto"/>
        <w:tblLook w:val="04A0" w:firstRow="1" w:lastRow="0" w:firstColumn="1" w:lastColumn="0" w:noHBand="0" w:noVBand="1"/>
      </w:tblPr>
      <w:tblGrid>
        <w:gridCol w:w="9629"/>
      </w:tblGrid>
      <w:tr w:rsidR="0054498D" w:rsidRPr="004C6EF9" w14:paraId="43AE4427" w14:textId="77777777" w:rsidTr="004D36C6">
        <w:tc>
          <w:tcPr>
            <w:tcW w:w="9629" w:type="dxa"/>
          </w:tcPr>
          <w:p w14:paraId="3357A052" w14:textId="429F50ED" w:rsidR="008027CD" w:rsidRPr="004C6EF9" w:rsidRDefault="00D45A64" w:rsidP="004D36C6">
            <w:pPr>
              <w:spacing w:after="120"/>
              <w:rPr>
                <w:rFonts w:eastAsiaTheme="minorEastAsia" w:cstheme="minorHAnsi"/>
                <w:szCs w:val="24"/>
                <w:lang w:val="en-US"/>
              </w:rPr>
            </w:pPr>
            <w:r w:rsidRPr="004C6EF9">
              <w:rPr>
                <w:rFonts w:eastAsiaTheme="minorEastAsia" w:cstheme="minorHAnsi"/>
                <w:szCs w:val="24"/>
              </w:rPr>
              <w:t>TDAG noted the document and observed that it provides useful food for thought as Member States proceed further with their individual country proposals and within regional preparations for the upcoming WTDC and beyond. TDAG thanked the Russian Federation for sharing its views in the contribution.</w:t>
            </w:r>
          </w:p>
        </w:tc>
      </w:tr>
    </w:tbl>
    <w:p w14:paraId="2A2DE525" w14:textId="68404E79" w:rsidR="002D65C2" w:rsidRPr="004C6EF9" w:rsidRDefault="002D65C2" w:rsidP="0011639E">
      <w:pPr>
        <w:keepNext/>
        <w:spacing w:after="120"/>
        <w:rPr>
          <w:b/>
          <w:bCs/>
          <w:u w:val="single"/>
        </w:rPr>
      </w:pPr>
      <w:r w:rsidRPr="004C6EF9">
        <w:rPr>
          <w:b/>
          <w:bCs/>
          <w:u w:val="single"/>
        </w:rPr>
        <w:lastRenderedPageBreak/>
        <w:t>Thematic Priorities</w:t>
      </w:r>
    </w:p>
    <w:p w14:paraId="0D012897" w14:textId="0F7582F7" w:rsidR="006E781F" w:rsidRPr="004C6EF9" w:rsidRDefault="006E781F" w:rsidP="0011639E">
      <w:pPr>
        <w:keepNext/>
        <w:spacing w:after="120"/>
        <w:rPr>
          <w:rStyle w:val="Hyperlink"/>
          <w:rFonts w:cstheme="minorHAnsi"/>
          <w:b/>
          <w:bCs/>
          <w:szCs w:val="24"/>
          <w:lang w:val="en-US"/>
        </w:rPr>
      </w:pPr>
      <w:r w:rsidRPr="004C6EF9">
        <w:rPr>
          <w:b/>
          <w:bCs/>
        </w:rPr>
        <w:t xml:space="preserve">Document </w:t>
      </w:r>
      <w:hyperlink r:id="rId28" w:history="1">
        <w:r w:rsidRPr="004C6EF9">
          <w:rPr>
            <w:rStyle w:val="Hyperlink"/>
            <w:rFonts w:cstheme="minorHAnsi"/>
            <w:b/>
            <w:bCs/>
            <w:szCs w:val="24"/>
          </w:rPr>
          <w:t>31</w:t>
        </w:r>
      </w:hyperlink>
    </w:p>
    <w:p w14:paraId="007EEBC5" w14:textId="09A7868A" w:rsidR="006E781F" w:rsidRPr="004C6EF9" w:rsidRDefault="006E781F" w:rsidP="006E781F">
      <w:pPr>
        <w:spacing w:after="120"/>
        <w:rPr>
          <w:rFonts w:cstheme="minorHAnsi"/>
          <w:b/>
          <w:bCs/>
          <w:szCs w:val="24"/>
          <w:lang w:val="pt-BR"/>
        </w:rPr>
      </w:pPr>
      <w:r w:rsidRPr="004C6EF9">
        <w:rPr>
          <w:rFonts w:cstheme="minorHAnsi"/>
          <w:szCs w:val="24"/>
        </w:rPr>
        <w:t>Th</w:t>
      </w:r>
      <w:r w:rsidR="00CE7D9F">
        <w:rPr>
          <w:rFonts w:cstheme="minorHAnsi"/>
          <w:szCs w:val="24"/>
        </w:rPr>
        <w:t xml:space="preserve">e Chairman </w:t>
      </w:r>
      <w:r w:rsidR="000A6B14">
        <w:rPr>
          <w:rFonts w:cstheme="minorHAnsi"/>
          <w:szCs w:val="24"/>
        </w:rPr>
        <w:t xml:space="preserve">of </w:t>
      </w:r>
      <w:r w:rsidR="00C2613A">
        <w:rPr>
          <w:rFonts w:cstheme="minorHAnsi"/>
          <w:szCs w:val="24"/>
        </w:rPr>
        <w:t>TDAG-WG-RDTP</w:t>
      </w:r>
      <w:r w:rsidR="001C37D8">
        <w:rPr>
          <w:rFonts w:cstheme="minorHAnsi"/>
          <w:szCs w:val="24"/>
        </w:rPr>
        <w:t xml:space="preserve">, </w:t>
      </w:r>
      <w:r w:rsidR="00D81C68">
        <w:rPr>
          <w:rFonts w:cstheme="minorHAnsi"/>
          <w:szCs w:val="24"/>
        </w:rPr>
        <w:t>Dr</w:t>
      </w:r>
      <w:r w:rsidR="001C37D8">
        <w:rPr>
          <w:rFonts w:cstheme="minorHAnsi"/>
          <w:szCs w:val="24"/>
        </w:rPr>
        <w:t xml:space="preserve"> Ahmad Sharafat,</w:t>
      </w:r>
      <w:r w:rsidR="00CE7D9F">
        <w:rPr>
          <w:rFonts w:cstheme="minorHAnsi"/>
          <w:szCs w:val="24"/>
        </w:rPr>
        <w:t xml:space="preserve"> presented</w:t>
      </w:r>
      <w:r w:rsidRPr="004C6EF9">
        <w:rPr>
          <w:rFonts w:cstheme="minorHAnsi"/>
          <w:szCs w:val="24"/>
        </w:rPr>
        <w:t xml:space="preserve"> a revised version of </w:t>
      </w:r>
      <w:r w:rsidR="00D84F32">
        <w:rPr>
          <w:rFonts w:cstheme="minorHAnsi"/>
          <w:szCs w:val="24"/>
        </w:rPr>
        <w:t xml:space="preserve">the proposed </w:t>
      </w:r>
      <w:r w:rsidRPr="004C6EF9">
        <w:rPr>
          <w:rFonts w:cstheme="minorHAnsi"/>
          <w:szCs w:val="24"/>
        </w:rPr>
        <w:t xml:space="preserve">ITU-D Thematic Priorities (WTDC) </w:t>
      </w:r>
      <w:r w:rsidR="00D84F32">
        <w:rPr>
          <w:rFonts w:cstheme="minorHAnsi"/>
          <w:szCs w:val="24"/>
        </w:rPr>
        <w:t xml:space="preserve">consistent with </w:t>
      </w:r>
      <w:r w:rsidRPr="004C6EF9">
        <w:rPr>
          <w:rFonts w:cstheme="minorHAnsi"/>
          <w:szCs w:val="24"/>
        </w:rPr>
        <w:t>discussions held at the 6th meeting of TDAG-WG-RDTP on 30 June 2021, as contained in document TDAG-WG-RDTP/53(Rev.1).</w:t>
      </w:r>
      <w:r w:rsidR="00700B89" w:rsidRPr="004C6EF9">
        <w:rPr>
          <w:rStyle w:val="Hyperlink"/>
          <w:rFonts w:cstheme="minorHAnsi"/>
          <w:color w:val="auto"/>
          <w:szCs w:val="24"/>
          <w:u w:val="none"/>
          <w:lang w:val="pt-BR"/>
        </w:rPr>
        <w:t xml:space="preserve"> </w:t>
      </w:r>
      <w:r w:rsidR="00D84F32">
        <w:rPr>
          <w:rStyle w:val="Hyperlink"/>
          <w:rFonts w:cstheme="minorHAnsi"/>
          <w:color w:val="auto"/>
          <w:szCs w:val="24"/>
          <w:u w:val="none"/>
          <w:lang w:val="pt-BR"/>
        </w:rPr>
        <w:t>As reported, t</w:t>
      </w:r>
      <w:r w:rsidR="00700B89" w:rsidRPr="004C6EF9">
        <w:rPr>
          <w:rFonts w:cstheme="minorHAnsi"/>
        </w:rPr>
        <w:t xml:space="preserve">he proposed </w:t>
      </w:r>
      <w:r w:rsidR="009572CE" w:rsidRPr="004C6EF9">
        <w:rPr>
          <w:rFonts w:cstheme="minorHAnsi"/>
        </w:rPr>
        <w:t>T</w:t>
      </w:r>
      <w:r w:rsidR="00700B89" w:rsidRPr="004C6EF9">
        <w:rPr>
          <w:rFonts w:cstheme="minorHAnsi"/>
        </w:rPr>
        <w:t xml:space="preserve">hematic </w:t>
      </w:r>
      <w:r w:rsidR="009572CE" w:rsidRPr="004C6EF9">
        <w:rPr>
          <w:rFonts w:cstheme="minorHAnsi"/>
        </w:rPr>
        <w:t>P</w:t>
      </w:r>
      <w:r w:rsidR="00700B89" w:rsidRPr="004C6EF9">
        <w:rPr>
          <w:rFonts w:cstheme="minorHAnsi"/>
        </w:rPr>
        <w:t>riorities</w:t>
      </w:r>
      <w:r w:rsidR="00D84F32">
        <w:rPr>
          <w:rFonts w:cstheme="minorHAnsi"/>
        </w:rPr>
        <w:t xml:space="preserve"> are</w:t>
      </w:r>
      <w:r w:rsidR="00F37E99" w:rsidRPr="004C6EF9">
        <w:rPr>
          <w:rFonts w:ascii="Calibri" w:hAnsi="Calibri" w:cs="Calibri"/>
          <w:szCs w:val="24"/>
          <w:lang w:val="en-US" w:eastAsia="en-GB"/>
        </w:rPr>
        <w:t>: 1) Connectivity</w:t>
      </w:r>
      <w:r w:rsidR="009E3A9F">
        <w:rPr>
          <w:rFonts w:ascii="Calibri" w:hAnsi="Calibri" w:cs="Calibri"/>
          <w:szCs w:val="24"/>
          <w:lang w:val="en-US" w:eastAsia="en-GB"/>
        </w:rPr>
        <w:t xml:space="preserve"> (which includes </w:t>
      </w:r>
      <w:r w:rsidR="00F10BC8">
        <w:rPr>
          <w:rFonts w:ascii="Calibri" w:hAnsi="Calibri" w:cs="Calibri"/>
          <w:szCs w:val="24"/>
          <w:lang w:val="en-US" w:eastAsia="en-GB"/>
        </w:rPr>
        <w:t xml:space="preserve">elements of </w:t>
      </w:r>
      <w:r w:rsidR="009E3A9F">
        <w:rPr>
          <w:rFonts w:ascii="Calibri" w:hAnsi="Calibri" w:cs="Calibri"/>
          <w:szCs w:val="24"/>
          <w:lang w:val="en-US" w:eastAsia="en-GB"/>
        </w:rPr>
        <w:t>cybersecurity)</w:t>
      </w:r>
      <w:r w:rsidR="00F37E99" w:rsidRPr="004C6EF9">
        <w:rPr>
          <w:rFonts w:ascii="Calibri" w:hAnsi="Calibri" w:cs="Calibri"/>
          <w:szCs w:val="24"/>
          <w:lang w:val="en-US" w:eastAsia="en-GB"/>
        </w:rPr>
        <w:t xml:space="preserve">, </w:t>
      </w:r>
      <w:r w:rsidR="00156466" w:rsidRPr="004C6EF9">
        <w:rPr>
          <w:rFonts w:ascii="Calibri" w:hAnsi="Calibri" w:cs="Calibri"/>
          <w:szCs w:val="24"/>
          <w:lang w:val="en-US" w:eastAsia="en-GB"/>
        </w:rPr>
        <w:t xml:space="preserve">2) </w:t>
      </w:r>
      <w:r w:rsidR="00F37E99" w:rsidRPr="004C6EF9">
        <w:rPr>
          <w:rFonts w:ascii="Calibri" w:hAnsi="Calibri" w:cs="Calibri"/>
          <w:szCs w:val="24"/>
          <w:lang w:val="en-US" w:eastAsia="en-GB"/>
        </w:rPr>
        <w:t>Digital transformation, 3) Enabling environment, and 4) Resource mobilization and international cooperation. Th</w:t>
      </w:r>
      <w:r w:rsidR="00BD319C" w:rsidRPr="004C6EF9">
        <w:rPr>
          <w:rFonts w:ascii="Calibri" w:hAnsi="Calibri" w:cs="Calibri"/>
          <w:szCs w:val="24"/>
          <w:lang w:val="en-US" w:eastAsia="en-GB"/>
        </w:rPr>
        <w:t xml:space="preserve">e Thematic Priorities were </w:t>
      </w:r>
      <w:r w:rsidR="00D84F32">
        <w:rPr>
          <w:rFonts w:ascii="Calibri" w:hAnsi="Calibri" w:cs="Calibri"/>
          <w:szCs w:val="24"/>
          <w:lang w:val="en-US" w:eastAsia="en-GB"/>
        </w:rPr>
        <w:t xml:space="preserve">shared with </w:t>
      </w:r>
      <w:r w:rsidR="00EC2F38" w:rsidRPr="004C6EF9">
        <w:rPr>
          <w:rFonts w:ascii="Calibri" w:hAnsi="Calibri" w:cs="Calibri"/>
          <w:szCs w:val="24"/>
          <w:lang w:val="en-US" w:eastAsia="en-GB"/>
        </w:rPr>
        <w:t>the</w:t>
      </w:r>
      <w:r w:rsidR="00BD319C" w:rsidRPr="004C6EF9">
        <w:rPr>
          <w:rFonts w:ascii="Calibri" w:hAnsi="Calibri" w:cs="Calibri"/>
          <w:szCs w:val="24"/>
          <w:lang w:val="en-US" w:eastAsia="en-GB"/>
        </w:rPr>
        <w:t xml:space="preserve"> TDAG-WG-SOP</w:t>
      </w:r>
      <w:r w:rsidR="00700B89" w:rsidRPr="004C6EF9">
        <w:rPr>
          <w:rFonts w:cstheme="minorHAnsi"/>
        </w:rPr>
        <w:t xml:space="preserve"> to </w:t>
      </w:r>
      <w:r w:rsidR="00D84F32">
        <w:rPr>
          <w:rFonts w:cstheme="minorHAnsi"/>
        </w:rPr>
        <w:t xml:space="preserve">help </w:t>
      </w:r>
      <w:r w:rsidR="00700B89" w:rsidRPr="004C6EF9">
        <w:rPr>
          <w:rFonts w:cstheme="minorHAnsi"/>
        </w:rPr>
        <w:t xml:space="preserve">guide </w:t>
      </w:r>
      <w:r w:rsidR="00D84F32">
        <w:rPr>
          <w:rFonts w:cstheme="minorHAnsi"/>
        </w:rPr>
        <w:t xml:space="preserve">how </w:t>
      </w:r>
      <w:r w:rsidR="00700B89" w:rsidRPr="004C6EF9">
        <w:rPr>
          <w:rFonts w:cstheme="minorHAnsi"/>
        </w:rPr>
        <w:t xml:space="preserve">the </w:t>
      </w:r>
      <w:r w:rsidR="00D84F32">
        <w:rPr>
          <w:rFonts w:cstheme="minorHAnsi"/>
        </w:rPr>
        <w:t>Objectives in the</w:t>
      </w:r>
      <w:r w:rsidR="00700B89" w:rsidRPr="004C6EF9">
        <w:rPr>
          <w:rFonts w:cstheme="minorHAnsi"/>
        </w:rPr>
        <w:t xml:space="preserve"> ITU</w:t>
      </w:r>
      <w:r w:rsidR="00700B89" w:rsidRPr="004C6EF9">
        <w:rPr>
          <w:rFonts w:cstheme="minorHAnsi"/>
        </w:rPr>
        <w:noBreakHyphen/>
        <w:t xml:space="preserve">D </w:t>
      </w:r>
      <w:r w:rsidR="00D567CB" w:rsidRPr="004C6EF9">
        <w:rPr>
          <w:rFonts w:cstheme="minorHAnsi"/>
        </w:rPr>
        <w:t>Action</w:t>
      </w:r>
      <w:r w:rsidR="00700B89" w:rsidRPr="004C6EF9">
        <w:rPr>
          <w:rFonts w:cstheme="minorHAnsi"/>
        </w:rPr>
        <w:t xml:space="preserve"> </w:t>
      </w:r>
      <w:r w:rsidR="009572CE" w:rsidRPr="004C6EF9">
        <w:rPr>
          <w:rFonts w:cstheme="minorHAnsi"/>
        </w:rPr>
        <w:t>P</w:t>
      </w:r>
      <w:r w:rsidR="00700B89" w:rsidRPr="004C6EF9">
        <w:rPr>
          <w:rFonts w:cstheme="minorHAnsi"/>
        </w:rPr>
        <w:t xml:space="preserve">lan </w:t>
      </w:r>
      <w:r w:rsidR="00894846">
        <w:rPr>
          <w:rFonts w:cstheme="minorHAnsi"/>
        </w:rPr>
        <w:t>c</w:t>
      </w:r>
      <w:r w:rsidR="00D84F32">
        <w:rPr>
          <w:rFonts w:cstheme="minorHAnsi"/>
        </w:rPr>
        <w:t>ould be framed</w:t>
      </w:r>
      <w:r w:rsidR="00700B89" w:rsidRPr="004C6EF9">
        <w:rPr>
          <w:rFonts w:cstheme="minorHAnsi"/>
        </w:rPr>
        <w:t xml:space="preserve">, </w:t>
      </w:r>
      <w:r w:rsidR="006A0F6E" w:rsidRPr="004C6EF9">
        <w:rPr>
          <w:rFonts w:cstheme="minorHAnsi"/>
        </w:rPr>
        <w:t xml:space="preserve">with the </w:t>
      </w:r>
      <w:r w:rsidR="00700B89" w:rsidRPr="004C6EF9">
        <w:rPr>
          <w:rFonts w:cstheme="minorHAnsi"/>
        </w:rPr>
        <w:t xml:space="preserve">proposed supporting components </w:t>
      </w:r>
      <w:r w:rsidR="006A0F6E" w:rsidRPr="004C6EF9">
        <w:rPr>
          <w:rFonts w:cstheme="minorHAnsi"/>
        </w:rPr>
        <w:t xml:space="preserve">becoming </w:t>
      </w:r>
      <w:r w:rsidR="00D84F32">
        <w:rPr>
          <w:rFonts w:cstheme="minorHAnsi"/>
        </w:rPr>
        <w:t>“</w:t>
      </w:r>
      <w:r w:rsidR="00EC2F38" w:rsidRPr="004C6EF9">
        <w:rPr>
          <w:rFonts w:cstheme="minorHAnsi"/>
        </w:rPr>
        <w:t>Outcomes</w:t>
      </w:r>
      <w:r w:rsidR="00D84F32">
        <w:rPr>
          <w:rFonts w:cstheme="minorHAnsi"/>
        </w:rPr>
        <w:t>”</w:t>
      </w:r>
      <w:r w:rsidR="006A0F6E" w:rsidRPr="004C6EF9">
        <w:rPr>
          <w:rFonts w:cstheme="minorHAnsi"/>
        </w:rPr>
        <w:t xml:space="preserve"> in the new</w:t>
      </w:r>
      <w:r w:rsidR="00EC2F38" w:rsidRPr="004C6EF9">
        <w:rPr>
          <w:rFonts w:cstheme="minorHAnsi"/>
        </w:rPr>
        <w:t xml:space="preserve"> draft</w:t>
      </w:r>
      <w:r w:rsidR="006A0F6E" w:rsidRPr="004C6EF9">
        <w:rPr>
          <w:rFonts w:cstheme="minorHAnsi"/>
        </w:rPr>
        <w:t xml:space="preserve"> Action Plan</w:t>
      </w:r>
      <w:r w:rsidR="00700B89" w:rsidRPr="004C6EF9">
        <w:rPr>
          <w:rFonts w:cstheme="minorHAnsi"/>
        </w:rPr>
        <w:t>.</w:t>
      </w:r>
      <w:r w:rsidR="00D567CB" w:rsidRPr="004C6EF9">
        <w:rPr>
          <w:rFonts w:cstheme="minorHAnsi"/>
        </w:rPr>
        <w:t xml:space="preserve"> </w:t>
      </w:r>
      <w:r w:rsidR="0095077C" w:rsidRPr="004C6EF9">
        <w:rPr>
          <w:rFonts w:cstheme="minorHAnsi"/>
        </w:rPr>
        <w:t xml:space="preserve">The Thematic Priorities </w:t>
      </w:r>
      <w:r w:rsidR="009E3A9F">
        <w:rPr>
          <w:rFonts w:cstheme="minorHAnsi"/>
        </w:rPr>
        <w:t>were also relevant to</w:t>
      </w:r>
      <w:r w:rsidR="00D567CB" w:rsidRPr="004C6EF9">
        <w:rPr>
          <w:rFonts w:cstheme="minorHAnsi"/>
        </w:rPr>
        <w:t xml:space="preserve"> </w:t>
      </w:r>
      <w:r w:rsidR="009E3A9F">
        <w:rPr>
          <w:rFonts w:cstheme="minorHAnsi"/>
        </w:rPr>
        <w:t xml:space="preserve">and </w:t>
      </w:r>
      <w:r w:rsidR="00894846">
        <w:rPr>
          <w:rFonts w:cstheme="minorHAnsi"/>
        </w:rPr>
        <w:t xml:space="preserve">were </w:t>
      </w:r>
      <w:r w:rsidR="009E3A9F">
        <w:rPr>
          <w:rFonts w:cstheme="minorHAnsi"/>
        </w:rPr>
        <w:t xml:space="preserve">included in </w:t>
      </w:r>
      <w:r w:rsidR="00EC2F38" w:rsidRPr="004C6EF9">
        <w:rPr>
          <w:rFonts w:cstheme="minorHAnsi"/>
        </w:rPr>
        <w:t xml:space="preserve">the </w:t>
      </w:r>
      <w:r w:rsidR="00D567CB" w:rsidRPr="004C6EF9">
        <w:rPr>
          <w:rFonts w:cstheme="minorHAnsi"/>
        </w:rPr>
        <w:t>ITU-D contribution to the ITU Strategic Plan.</w:t>
      </w:r>
      <w:r w:rsidR="00700B89" w:rsidRPr="004C6EF9">
        <w:rPr>
          <w:rFonts w:cstheme="minorHAnsi"/>
        </w:rPr>
        <w:t xml:space="preserve"> </w:t>
      </w:r>
    </w:p>
    <w:tbl>
      <w:tblPr>
        <w:tblStyle w:val="TableGrid"/>
        <w:tblW w:w="0" w:type="auto"/>
        <w:tblLook w:val="04A0" w:firstRow="1" w:lastRow="0" w:firstColumn="1" w:lastColumn="0" w:noHBand="0" w:noVBand="1"/>
      </w:tblPr>
      <w:tblGrid>
        <w:gridCol w:w="9629"/>
      </w:tblGrid>
      <w:tr w:rsidR="006E781F" w:rsidRPr="004C6EF9" w14:paraId="2B2E8217" w14:textId="77777777" w:rsidTr="0066214A">
        <w:tc>
          <w:tcPr>
            <w:tcW w:w="9629" w:type="dxa"/>
          </w:tcPr>
          <w:p w14:paraId="20279FE9" w14:textId="3842DB09" w:rsidR="006E781F" w:rsidRPr="004C6EF9" w:rsidRDefault="00AE26DC" w:rsidP="0066214A">
            <w:pPr>
              <w:spacing w:after="120"/>
              <w:rPr>
                <w:rFonts w:eastAsiaTheme="minorEastAsia" w:cstheme="minorHAnsi"/>
                <w:szCs w:val="24"/>
              </w:rPr>
            </w:pPr>
            <w:r w:rsidRPr="004C6EF9">
              <w:rPr>
                <w:rFonts w:eastAsiaTheme="minorEastAsia" w:cstheme="minorHAnsi"/>
                <w:szCs w:val="24"/>
              </w:rPr>
              <w:t>TDAG noted Document 21 and thanked the Chairman of TDAG-WG-RDTP and all participants in the group for their substantial efforts and contributions to the outcomes of the group.</w:t>
            </w:r>
          </w:p>
        </w:tc>
      </w:tr>
    </w:tbl>
    <w:p w14:paraId="7D0F1653" w14:textId="3DCF6B4F" w:rsidR="00F67C10" w:rsidRPr="004C6EF9" w:rsidRDefault="00F67C10" w:rsidP="0011639E">
      <w:pPr>
        <w:keepNext/>
        <w:spacing w:after="120"/>
        <w:rPr>
          <w:rStyle w:val="Hyperlink"/>
          <w:rFonts w:cstheme="minorHAnsi"/>
          <w:b/>
          <w:bCs/>
          <w:szCs w:val="24"/>
          <w:lang w:val="pt-BR"/>
        </w:rPr>
      </w:pPr>
      <w:r w:rsidRPr="004C6EF9">
        <w:rPr>
          <w:rFonts w:cstheme="minorHAnsi"/>
          <w:b/>
          <w:bCs/>
          <w:szCs w:val="24"/>
          <w:lang w:val="pt-BR"/>
        </w:rPr>
        <w:t xml:space="preserve">Document </w:t>
      </w:r>
      <w:hyperlink r:id="rId29" w:history="1">
        <w:r w:rsidRPr="004C6EF9">
          <w:rPr>
            <w:rStyle w:val="Hyperlink"/>
            <w:rFonts w:cstheme="minorHAnsi"/>
            <w:b/>
            <w:bCs/>
            <w:szCs w:val="24"/>
            <w:lang w:val="pt-BR"/>
          </w:rPr>
          <w:t>21</w:t>
        </w:r>
      </w:hyperlink>
    </w:p>
    <w:p w14:paraId="7E94CFCE" w14:textId="27F572C5" w:rsidR="00F67C10" w:rsidRPr="004C6EF9" w:rsidRDefault="00F67C10" w:rsidP="00F67C10">
      <w:pPr>
        <w:spacing w:after="120"/>
        <w:rPr>
          <w:rFonts w:ascii="Calibri" w:hAnsi="Calibri" w:cs="Calibri"/>
          <w:szCs w:val="24"/>
          <w:lang w:val="en-US" w:eastAsia="en-GB"/>
        </w:rPr>
      </w:pPr>
      <w:r w:rsidRPr="004C6EF9">
        <w:rPr>
          <w:rFonts w:ascii="Calibri" w:hAnsi="Calibri" w:cs="Calibri"/>
          <w:szCs w:val="24"/>
          <w:lang w:val="en-US" w:eastAsia="en-GB"/>
        </w:rPr>
        <w:t>The APT Preparatory Group for WTDC-21 led by Dr Sharafat propose</w:t>
      </w:r>
      <w:r w:rsidR="00D84F32">
        <w:rPr>
          <w:rFonts w:ascii="Calibri" w:hAnsi="Calibri" w:cs="Calibri"/>
          <w:szCs w:val="24"/>
          <w:lang w:val="en-US" w:eastAsia="en-GB"/>
        </w:rPr>
        <w:t>d</w:t>
      </w:r>
      <w:r w:rsidRPr="004C6EF9">
        <w:rPr>
          <w:rFonts w:ascii="Calibri" w:hAnsi="Calibri" w:cs="Calibri"/>
          <w:szCs w:val="24"/>
          <w:lang w:val="en-US" w:eastAsia="en-GB"/>
        </w:rPr>
        <w:t xml:space="preserve"> to retain </w:t>
      </w:r>
      <w:r w:rsidR="00C712A7" w:rsidRPr="004C6EF9">
        <w:rPr>
          <w:rFonts w:ascii="Calibri" w:hAnsi="Calibri" w:cs="Calibri"/>
          <w:szCs w:val="24"/>
          <w:lang w:val="en-US" w:eastAsia="en-GB"/>
        </w:rPr>
        <w:t xml:space="preserve">the set of </w:t>
      </w:r>
      <w:r w:rsidR="00EC2F38" w:rsidRPr="004C6EF9">
        <w:rPr>
          <w:rFonts w:ascii="Calibri" w:hAnsi="Calibri" w:cs="Calibri"/>
          <w:szCs w:val="24"/>
          <w:lang w:val="en-US" w:eastAsia="en-GB"/>
        </w:rPr>
        <w:t>four</w:t>
      </w:r>
      <w:r w:rsidR="0095077C" w:rsidRPr="004C6EF9">
        <w:rPr>
          <w:rFonts w:ascii="Calibri" w:hAnsi="Calibri" w:cs="Calibri"/>
          <w:szCs w:val="24"/>
          <w:lang w:val="en-US" w:eastAsia="en-GB"/>
        </w:rPr>
        <w:t> </w:t>
      </w:r>
      <w:r w:rsidRPr="004C6EF9">
        <w:rPr>
          <w:rFonts w:ascii="Calibri" w:hAnsi="Calibri" w:cs="Calibri"/>
          <w:szCs w:val="24"/>
          <w:lang w:val="en-US" w:eastAsia="en-GB"/>
        </w:rPr>
        <w:t xml:space="preserve">Thematic Priorities for </w:t>
      </w:r>
      <w:r w:rsidR="00EC2F38" w:rsidRPr="004C6EF9">
        <w:rPr>
          <w:rFonts w:ascii="Calibri" w:hAnsi="Calibri" w:cs="Calibri"/>
          <w:szCs w:val="24"/>
          <w:lang w:val="en-US" w:eastAsia="en-GB"/>
        </w:rPr>
        <w:t>ITU-D</w:t>
      </w:r>
      <w:r w:rsidRPr="004C6EF9">
        <w:rPr>
          <w:rFonts w:ascii="Calibri" w:hAnsi="Calibri" w:cs="Calibri"/>
          <w:szCs w:val="24"/>
          <w:lang w:val="en-US" w:eastAsia="en-GB"/>
        </w:rPr>
        <w:t xml:space="preserve">. This proposal </w:t>
      </w:r>
      <w:r w:rsidR="00C712A7" w:rsidRPr="004C6EF9">
        <w:rPr>
          <w:rFonts w:ascii="Calibri" w:hAnsi="Calibri" w:cs="Calibri"/>
          <w:szCs w:val="24"/>
          <w:lang w:val="en-US" w:eastAsia="en-GB"/>
        </w:rPr>
        <w:t>l</w:t>
      </w:r>
      <w:r w:rsidR="00D84F32">
        <w:rPr>
          <w:rFonts w:ascii="Calibri" w:hAnsi="Calibri" w:cs="Calibri"/>
          <w:szCs w:val="24"/>
          <w:lang w:val="en-US" w:eastAsia="en-GB"/>
        </w:rPr>
        <w:t>e</w:t>
      </w:r>
      <w:r w:rsidR="00C712A7" w:rsidRPr="004C6EF9">
        <w:rPr>
          <w:rFonts w:ascii="Calibri" w:hAnsi="Calibri" w:cs="Calibri"/>
          <w:szCs w:val="24"/>
          <w:lang w:val="en-US" w:eastAsia="en-GB"/>
        </w:rPr>
        <w:t xml:space="preserve">nds </w:t>
      </w:r>
      <w:r w:rsidR="00EC2F38" w:rsidRPr="004C6EF9">
        <w:rPr>
          <w:rFonts w:ascii="Calibri" w:hAnsi="Calibri" w:cs="Calibri"/>
          <w:szCs w:val="24"/>
          <w:lang w:val="en-US" w:eastAsia="en-GB"/>
        </w:rPr>
        <w:t xml:space="preserve">the </w:t>
      </w:r>
      <w:r w:rsidR="00F37E99" w:rsidRPr="004C6EF9">
        <w:rPr>
          <w:rFonts w:ascii="Calibri" w:hAnsi="Calibri" w:cs="Calibri"/>
          <w:szCs w:val="24"/>
          <w:lang w:val="en-US" w:eastAsia="en-GB"/>
        </w:rPr>
        <w:t xml:space="preserve">full </w:t>
      </w:r>
      <w:r w:rsidRPr="004C6EF9">
        <w:rPr>
          <w:rFonts w:ascii="Calibri" w:hAnsi="Calibri" w:cs="Calibri"/>
          <w:szCs w:val="24"/>
          <w:lang w:val="en-US" w:eastAsia="en-GB"/>
        </w:rPr>
        <w:t>support</w:t>
      </w:r>
      <w:r w:rsidR="00EC2F38" w:rsidRPr="004C6EF9">
        <w:rPr>
          <w:rFonts w:ascii="Calibri" w:hAnsi="Calibri" w:cs="Calibri"/>
          <w:szCs w:val="24"/>
          <w:lang w:val="en-US" w:eastAsia="en-GB"/>
        </w:rPr>
        <w:t xml:space="preserve"> of APT </w:t>
      </w:r>
      <w:r w:rsidR="00C712A7" w:rsidRPr="004C6EF9">
        <w:rPr>
          <w:rFonts w:ascii="Calibri" w:hAnsi="Calibri" w:cs="Calibri"/>
          <w:szCs w:val="24"/>
          <w:lang w:val="en-US" w:eastAsia="en-GB"/>
        </w:rPr>
        <w:t>to</w:t>
      </w:r>
      <w:r w:rsidRPr="004C6EF9">
        <w:rPr>
          <w:rFonts w:ascii="Calibri" w:hAnsi="Calibri" w:cs="Calibri"/>
          <w:szCs w:val="24"/>
          <w:lang w:val="en-US" w:eastAsia="en-GB"/>
        </w:rPr>
        <w:t xml:space="preserve"> the draft</w:t>
      </w:r>
      <w:r w:rsidR="00C712A7" w:rsidRPr="004C6EF9">
        <w:rPr>
          <w:rFonts w:ascii="Calibri" w:hAnsi="Calibri" w:cs="Calibri"/>
          <w:szCs w:val="24"/>
          <w:lang w:val="en-US" w:eastAsia="en-GB"/>
        </w:rPr>
        <w:t xml:space="preserve"> proposal</w:t>
      </w:r>
      <w:r w:rsidRPr="004C6EF9">
        <w:rPr>
          <w:rFonts w:ascii="Calibri" w:hAnsi="Calibri" w:cs="Calibri"/>
          <w:szCs w:val="24"/>
          <w:lang w:val="en-US" w:eastAsia="en-GB"/>
        </w:rPr>
        <w:t xml:space="preserve"> by the</w:t>
      </w:r>
      <w:r w:rsidR="00C712A7" w:rsidRPr="004C6EF9">
        <w:rPr>
          <w:rFonts w:ascii="Calibri" w:hAnsi="Calibri" w:cs="Calibri"/>
          <w:szCs w:val="24"/>
          <w:lang w:val="en-US" w:eastAsia="en-GB"/>
        </w:rPr>
        <w:t xml:space="preserve"> </w:t>
      </w:r>
      <w:r w:rsidR="00C2613A">
        <w:rPr>
          <w:rFonts w:ascii="Calibri" w:hAnsi="Calibri" w:cs="Calibri"/>
          <w:szCs w:val="24"/>
          <w:lang w:val="en-US" w:eastAsia="en-GB"/>
        </w:rPr>
        <w:t>TDAG-WG-RDTP</w:t>
      </w:r>
      <w:r w:rsidRPr="004C6EF9">
        <w:rPr>
          <w:rFonts w:ascii="Calibri" w:hAnsi="Calibri" w:cs="Calibri"/>
          <w:szCs w:val="24"/>
          <w:lang w:val="en-US" w:eastAsia="en-GB"/>
        </w:rPr>
        <w:t xml:space="preserve"> Chairman </w:t>
      </w:r>
      <w:r w:rsidR="00F03F0C">
        <w:rPr>
          <w:rFonts w:ascii="Calibri" w:hAnsi="Calibri" w:cs="Calibri"/>
          <w:szCs w:val="24"/>
          <w:lang w:val="en-US" w:eastAsia="en-GB"/>
        </w:rPr>
        <w:t>with no change</w:t>
      </w:r>
      <w:r w:rsidRPr="004C6EF9">
        <w:rPr>
          <w:rFonts w:ascii="Calibri" w:hAnsi="Calibri" w:cs="Calibri"/>
          <w:szCs w:val="24"/>
          <w:lang w:val="en-US" w:eastAsia="en-GB"/>
        </w:rPr>
        <w:t xml:space="preserve">s.  </w:t>
      </w:r>
    </w:p>
    <w:tbl>
      <w:tblPr>
        <w:tblStyle w:val="TableGrid"/>
        <w:tblW w:w="0" w:type="auto"/>
        <w:tblLook w:val="04A0" w:firstRow="1" w:lastRow="0" w:firstColumn="1" w:lastColumn="0" w:noHBand="0" w:noVBand="1"/>
      </w:tblPr>
      <w:tblGrid>
        <w:gridCol w:w="9629"/>
      </w:tblGrid>
      <w:tr w:rsidR="00F67C10" w:rsidRPr="004C6EF9" w14:paraId="2F572912" w14:textId="77777777" w:rsidTr="004D36C6">
        <w:tc>
          <w:tcPr>
            <w:tcW w:w="9629" w:type="dxa"/>
          </w:tcPr>
          <w:p w14:paraId="2DF51C9B" w14:textId="22130DF6" w:rsidR="00F67C10" w:rsidRPr="004C6EF9" w:rsidRDefault="00AE26DC" w:rsidP="004D36C6">
            <w:pPr>
              <w:spacing w:after="120"/>
              <w:rPr>
                <w:rFonts w:eastAsiaTheme="minorEastAsia" w:cstheme="minorHAnsi"/>
                <w:szCs w:val="24"/>
              </w:rPr>
            </w:pPr>
            <w:r w:rsidRPr="004C6EF9">
              <w:rPr>
                <w:rFonts w:eastAsiaTheme="minorEastAsia" w:cstheme="minorHAnsi"/>
                <w:szCs w:val="24"/>
              </w:rPr>
              <w:t xml:space="preserve">TDAG noted </w:t>
            </w:r>
            <w:r w:rsidR="00F8666B">
              <w:rPr>
                <w:rFonts w:eastAsiaTheme="minorEastAsia" w:cstheme="minorHAnsi"/>
                <w:szCs w:val="24"/>
              </w:rPr>
              <w:t>t</w:t>
            </w:r>
            <w:r w:rsidR="00F8666B">
              <w:rPr>
                <w:rFonts w:eastAsiaTheme="minorEastAsia"/>
              </w:rPr>
              <w:t xml:space="preserve">he views presented </w:t>
            </w:r>
            <w:r w:rsidRPr="004C6EF9">
              <w:rPr>
                <w:rFonts w:eastAsiaTheme="minorEastAsia" w:cstheme="minorHAnsi"/>
                <w:szCs w:val="24"/>
              </w:rPr>
              <w:t>and thanked APT for sharing their views in the contribution.</w:t>
            </w:r>
          </w:p>
        </w:tc>
      </w:tr>
    </w:tbl>
    <w:p w14:paraId="4436C8ED" w14:textId="77777777" w:rsidR="00F67C10" w:rsidRPr="004C6EF9" w:rsidRDefault="00F67C10" w:rsidP="0011639E">
      <w:pPr>
        <w:keepNext/>
        <w:spacing w:after="120"/>
        <w:rPr>
          <w:rFonts w:cstheme="minorHAnsi"/>
          <w:b/>
          <w:bCs/>
          <w:szCs w:val="24"/>
        </w:rPr>
      </w:pPr>
      <w:r w:rsidRPr="004C6EF9">
        <w:rPr>
          <w:rFonts w:cstheme="minorHAnsi"/>
          <w:b/>
          <w:bCs/>
          <w:szCs w:val="24"/>
        </w:rPr>
        <w:t xml:space="preserve">Document </w:t>
      </w:r>
      <w:hyperlink r:id="rId30" w:history="1">
        <w:r w:rsidRPr="004C6EF9">
          <w:rPr>
            <w:rStyle w:val="Hyperlink"/>
            <w:rFonts w:cstheme="minorHAnsi"/>
            <w:b/>
            <w:bCs/>
            <w:szCs w:val="24"/>
          </w:rPr>
          <w:t>26</w:t>
        </w:r>
      </w:hyperlink>
    </w:p>
    <w:p w14:paraId="04C6F202" w14:textId="783B7F79" w:rsidR="00F67C10" w:rsidRPr="004C6EF9" w:rsidRDefault="00F67C10" w:rsidP="00F67C10">
      <w:pPr>
        <w:spacing w:after="120"/>
        <w:rPr>
          <w:rFonts w:cstheme="minorHAnsi"/>
          <w:szCs w:val="24"/>
        </w:rPr>
      </w:pPr>
      <w:r w:rsidRPr="004C6EF9">
        <w:rPr>
          <w:rFonts w:cstheme="minorHAnsi"/>
          <w:szCs w:val="24"/>
        </w:rPr>
        <w:t>T</w:t>
      </w:r>
      <w:r w:rsidR="00476407">
        <w:rPr>
          <w:rFonts w:cstheme="minorHAnsi"/>
          <w:szCs w:val="24"/>
        </w:rPr>
        <w:t xml:space="preserve">o </w:t>
      </w:r>
      <w:r w:rsidR="00476407" w:rsidRPr="004C6EF9">
        <w:rPr>
          <w:rFonts w:cstheme="minorHAnsi"/>
          <w:szCs w:val="24"/>
        </w:rPr>
        <w:t xml:space="preserve">the draft </w:t>
      </w:r>
      <w:r w:rsidR="00476407" w:rsidRPr="004C6EF9">
        <w:rPr>
          <w:rFonts w:ascii="Calibri" w:hAnsi="Calibri" w:cs="Calibri"/>
          <w:szCs w:val="24"/>
          <w:lang w:val="en-US" w:eastAsia="en-GB"/>
        </w:rPr>
        <w:t xml:space="preserve">proposal by the TDAG-WG-RDTP Chairman </w:t>
      </w:r>
      <w:r w:rsidR="00476407">
        <w:rPr>
          <w:rFonts w:ascii="Calibri" w:hAnsi="Calibri" w:cs="Calibri"/>
          <w:szCs w:val="24"/>
          <w:lang w:val="en-US" w:eastAsia="en-GB"/>
        </w:rPr>
        <w:t xml:space="preserve">for a </w:t>
      </w:r>
      <w:r w:rsidR="00476407" w:rsidRPr="004C6EF9">
        <w:rPr>
          <w:rFonts w:ascii="Calibri" w:hAnsi="Calibri" w:cs="Calibri"/>
          <w:szCs w:val="24"/>
          <w:lang w:val="en-US" w:eastAsia="en-GB"/>
        </w:rPr>
        <w:t>set of four Thematic Priorities</w:t>
      </w:r>
      <w:r w:rsidR="001C37D8">
        <w:rPr>
          <w:rFonts w:ascii="Calibri" w:hAnsi="Calibri" w:cs="Calibri"/>
          <w:szCs w:val="24"/>
          <w:lang w:val="en-US" w:eastAsia="en-GB"/>
        </w:rPr>
        <w:t>,</w:t>
      </w:r>
      <w:r w:rsidR="00476407" w:rsidRPr="004C6EF9">
        <w:rPr>
          <w:rFonts w:cstheme="minorHAnsi"/>
          <w:szCs w:val="24"/>
        </w:rPr>
        <w:t xml:space="preserve"> </w:t>
      </w:r>
      <w:r w:rsidR="00476407">
        <w:rPr>
          <w:rFonts w:cstheme="minorHAnsi"/>
          <w:szCs w:val="24"/>
        </w:rPr>
        <w:t>t</w:t>
      </w:r>
      <w:r w:rsidRPr="004C6EF9">
        <w:rPr>
          <w:rFonts w:cstheme="minorHAnsi"/>
          <w:szCs w:val="24"/>
        </w:rPr>
        <w:t xml:space="preserve">his </w:t>
      </w:r>
      <w:r w:rsidR="00D84F32">
        <w:rPr>
          <w:rFonts w:cstheme="minorHAnsi"/>
          <w:szCs w:val="24"/>
        </w:rPr>
        <w:t xml:space="preserve">contribution </w:t>
      </w:r>
      <w:r w:rsidR="00D567CB" w:rsidRPr="004C6EF9">
        <w:rPr>
          <w:rFonts w:cstheme="minorHAnsi"/>
          <w:szCs w:val="24"/>
        </w:rPr>
        <w:t xml:space="preserve">from the Russian Federation </w:t>
      </w:r>
      <w:r w:rsidR="00476407">
        <w:rPr>
          <w:rFonts w:cstheme="minorHAnsi"/>
          <w:szCs w:val="24"/>
        </w:rPr>
        <w:t xml:space="preserve">proposes an </w:t>
      </w:r>
      <w:r w:rsidR="00D84F32">
        <w:rPr>
          <w:rFonts w:cstheme="minorHAnsi"/>
          <w:szCs w:val="24"/>
        </w:rPr>
        <w:t>additional</w:t>
      </w:r>
      <w:r w:rsidRPr="004C6EF9">
        <w:rPr>
          <w:rFonts w:cstheme="minorHAnsi"/>
          <w:szCs w:val="24"/>
        </w:rPr>
        <w:t xml:space="preserve"> </w:t>
      </w:r>
      <w:r w:rsidR="00EC2F38" w:rsidRPr="004C6EF9">
        <w:rPr>
          <w:rFonts w:cstheme="minorHAnsi"/>
          <w:szCs w:val="24"/>
        </w:rPr>
        <w:t>T</w:t>
      </w:r>
      <w:r w:rsidRPr="004C6EF9">
        <w:rPr>
          <w:rFonts w:cstheme="minorHAnsi"/>
          <w:szCs w:val="24"/>
        </w:rPr>
        <w:t xml:space="preserve">hematic </w:t>
      </w:r>
      <w:r w:rsidR="00EC2F38" w:rsidRPr="004C6EF9">
        <w:rPr>
          <w:rFonts w:cstheme="minorHAnsi"/>
          <w:szCs w:val="24"/>
        </w:rPr>
        <w:t>P</w:t>
      </w:r>
      <w:r w:rsidRPr="004C6EF9">
        <w:rPr>
          <w:rFonts w:cstheme="minorHAnsi"/>
          <w:szCs w:val="24"/>
        </w:rPr>
        <w:t>riority</w:t>
      </w:r>
      <w:r w:rsidR="00F03F0C">
        <w:rPr>
          <w:rFonts w:cstheme="minorHAnsi"/>
          <w:szCs w:val="24"/>
        </w:rPr>
        <w:t xml:space="preserve"> titled</w:t>
      </w:r>
      <w:r w:rsidR="00C712A7" w:rsidRPr="004C6EF9">
        <w:rPr>
          <w:rFonts w:cstheme="minorHAnsi"/>
          <w:szCs w:val="24"/>
        </w:rPr>
        <w:t xml:space="preserve"> </w:t>
      </w:r>
      <w:r w:rsidR="00E9716D" w:rsidRPr="004C6EF9">
        <w:rPr>
          <w:rFonts w:cstheme="minorHAnsi"/>
          <w:szCs w:val="24"/>
        </w:rPr>
        <w:t xml:space="preserve">“Building confidence, trust and security in the use of ICTs” </w:t>
      </w:r>
      <w:r w:rsidRPr="004C6EF9">
        <w:rPr>
          <w:rFonts w:cstheme="minorHAnsi"/>
          <w:szCs w:val="24"/>
        </w:rPr>
        <w:t>for</w:t>
      </w:r>
      <w:r w:rsidR="00D84F32">
        <w:rPr>
          <w:rFonts w:cstheme="minorHAnsi"/>
          <w:szCs w:val="24"/>
        </w:rPr>
        <w:t xml:space="preserve"> a set of five </w:t>
      </w:r>
      <w:proofErr w:type="spellStart"/>
      <w:r w:rsidR="00F10BC8">
        <w:rPr>
          <w:rFonts w:cstheme="minorHAnsi"/>
          <w:szCs w:val="24"/>
        </w:rPr>
        <w:t>p</w:t>
      </w:r>
      <w:r w:rsidR="00D84F32">
        <w:rPr>
          <w:rFonts w:cstheme="minorHAnsi"/>
          <w:szCs w:val="24"/>
        </w:rPr>
        <w:t>riorites</w:t>
      </w:r>
      <w:proofErr w:type="spellEnd"/>
      <w:r w:rsidR="00D84F32">
        <w:rPr>
          <w:rFonts w:cstheme="minorHAnsi"/>
          <w:szCs w:val="24"/>
        </w:rPr>
        <w:t xml:space="preserve"> that would be </w:t>
      </w:r>
      <w:r w:rsidR="00D567CB" w:rsidRPr="004C6EF9">
        <w:rPr>
          <w:rFonts w:cstheme="minorHAnsi"/>
          <w:szCs w:val="24"/>
        </w:rPr>
        <w:t>inclu</w:t>
      </w:r>
      <w:r w:rsidR="00D84F32">
        <w:rPr>
          <w:rFonts w:cstheme="minorHAnsi"/>
          <w:szCs w:val="24"/>
        </w:rPr>
        <w:t>ded</w:t>
      </w:r>
      <w:r w:rsidR="00D567CB" w:rsidRPr="004C6EF9">
        <w:rPr>
          <w:rFonts w:cstheme="minorHAnsi"/>
          <w:szCs w:val="24"/>
        </w:rPr>
        <w:t xml:space="preserve"> in </w:t>
      </w:r>
      <w:r w:rsidRPr="004C6EF9">
        <w:rPr>
          <w:rFonts w:cstheme="minorHAnsi"/>
          <w:szCs w:val="24"/>
        </w:rPr>
        <w:t xml:space="preserve">the draft </w:t>
      </w:r>
      <w:r w:rsidR="00C712A7" w:rsidRPr="004C6EF9">
        <w:rPr>
          <w:rFonts w:cstheme="minorHAnsi"/>
          <w:szCs w:val="24"/>
        </w:rPr>
        <w:t>WTDC</w:t>
      </w:r>
      <w:r w:rsidRPr="004C6EF9">
        <w:rPr>
          <w:rFonts w:cstheme="minorHAnsi"/>
          <w:szCs w:val="24"/>
        </w:rPr>
        <w:t xml:space="preserve"> Action </w:t>
      </w:r>
      <w:r w:rsidR="00C712A7" w:rsidRPr="004C6EF9">
        <w:rPr>
          <w:rFonts w:cstheme="minorHAnsi"/>
          <w:szCs w:val="24"/>
        </w:rPr>
        <w:t>P</w:t>
      </w:r>
      <w:r w:rsidRPr="004C6EF9">
        <w:rPr>
          <w:rFonts w:cstheme="minorHAnsi"/>
          <w:szCs w:val="24"/>
        </w:rPr>
        <w:t>lan.</w:t>
      </w:r>
      <w:r w:rsidR="00AB5C04" w:rsidRPr="004C6EF9">
        <w:rPr>
          <w:rFonts w:cstheme="minorHAnsi"/>
          <w:szCs w:val="24"/>
        </w:rPr>
        <w:t xml:space="preserve"> The proposal </w:t>
      </w:r>
      <w:r w:rsidR="00F03F0C">
        <w:rPr>
          <w:rFonts w:cstheme="minorHAnsi"/>
          <w:szCs w:val="24"/>
        </w:rPr>
        <w:t>wa</w:t>
      </w:r>
      <w:r w:rsidR="00AB5C04" w:rsidRPr="004C6EF9">
        <w:rPr>
          <w:rFonts w:cstheme="minorHAnsi"/>
          <w:szCs w:val="24"/>
        </w:rPr>
        <w:t>s supported by countries in the CIS region</w:t>
      </w:r>
      <w:r w:rsidR="00476407">
        <w:rPr>
          <w:rFonts w:cstheme="minorHAnsi"/>
          <w:szCs w:val="24"/>
        </w:rPr>
        <w:t>, the African region</w:t>
      </w:r>
      <w:r w:rsidR="00D84F32">
        <w:rPr>
          <w:rFonts w:cstheme="minorHAnsi"/>
          <w:szCs w:val="24"/>
        </w:rPr>
        <w:t xml:space="preserve"> and </w:t>
      </w:r>
      <w:r w:rsidR="00F03F0C">
        <w:rPr>
          <w:rFonts w:cstheme="minorHAnsi"/>
          <w:szCs w:val="24"/>
        </w:rPr>
        <w:t xml:space="preserve">by </w:t>
      </w:r>
      <w:r w:rsidR="00D84F32">
        <w:rPr>
          <w:rFonts w:cstheme="minorHAnsi"/>
          <w:szCs w:val="24"/>
        </w:rPr>
        <w:t>the Arab Group</w:t>
      </w:r>
      <w:r w:rsidR="00AB5C04" w:rsidRPr="004C6EF9">
        <w:rPr>
          <w:rFonts w:cstheme="minorHAnsi"/>
          <w:szCs w:val="24"/>
        </w:rPr>
        <w:t xml:space="preserve">. </w:t>
      </w:r>
    </w:p>
    <w:tbl>
      <w:tblPr>
        <w:tblStyle w:val="TableGrid"/>
        <w:tblW w:w="0" w:type="auto"/>
        <w:tblLook w:val="04A0" w:firstRow="1" w:lastRow="0" w:firstColumn="1" w:lastColumn="0" w:noHBand="0" w:noVBand="1"/>
      </w:tblPr>
      <w:tblGrid>
        <w:gridCol w:w="9629"/>
      </w:tblGrid>
      <w:tr w:rsidR="00F67C10" w:rsidRPr="004C6EF9" w14:paraId="0E605F66" w14:textId="77777777" w:rsidTr="004D36C6">
        <w:tc>
          <w:tcPr>
            <w:tcW w:w="9629" w:type="dxa"/>
          </w:tcPr>
          <w:p w14:paraId="5F3EFC42" w14:textId="1D9646A9" w:rsidR="00F67C10" w:rsidRPr="004C6EF9" w:rsidRDefault="00AE26DC" w:rsidP="004D36C6">
            <w:pPr>
              <w:spacing w:after="120"/>
              <w:rPr>
                <w:rFonts w:eastAsiaTheme="minorEastAsia" w:cstheme="minorHAnsi"/>
                <w:szCs w:val="24"/>
              </w:rPr>
            </w:pPr>
            <w:r w:rsidRPr="004C6EF9">
              <w:rPr>
                <w:rFonts w:eastAsiaTheme="minorEastAsia" w:cstheme="minorHAnsi"/>
                <w:szCs w:val="24"/>
              </w:rPr>
              <w:t xml:space="preserve">TDAG noted </w:t>
            </w:r>
            <w:r w:rsidR="00F8666B">
              <w:rPr>
                <w:rFonts w:eastAsiaTheme="minorEastAsia" w:cstheme="minorHAnsi"/>
                <w:szCs w:val="24"/>
              </w:rPr>
              <w:t>the views presented</w:t>
            </w:r>
            <w:r w:rsidRPr="004C6EF9">
              <w:rPr>
                <w:rFonts w:eastAsiaTheme="minorEastAsia" w:cstheme="minorHAnsi"/>
                <w:szCs w:val="24"/>
              </w:rPr>
              <w:t xml:space="preserve"> and thanked the Russian Federation for sharing their views in the contribution.</w:t>
            </w:r>
          </w:p>
        </w:tc>
      </w:tr>
    </w:tbl>
    <w:p w14:paraId="3A3AF7D8" w14:textId="77777777" w:rsidR="007D3949" w:rsidRPr="004C6EF9" w:rsidRDefault="007D3949" w:rsidP="0011639E">
      <w:pPr>
        <w:keepNext/>
        <w:spacing w:after="120"/>
        <w:rPr>
          <w:rStyle w:val="Hyperlink"/>
          <w:rFonts w:cstheme="minorHAnsi"/>
          <w:b/>
          <w:bCs/>
          <w:szCs w:val="24"/>
          <w:lang w:val="en-US"/>
        </w:rPr>
      </w:pPr>
      <w:r w:rsidRPr="004C6EF9">
        <w:rPr>
          <w:rFonts w:cstheme="minorHAnsi"/>
          <w:b/>
          <w:bCs/>
          <w:szCs w:val="24"/>
        </w:rPr>
        <w:t xml:space="preserve">Document </w:t>
      </w:r>
      <w:hyperlink r:id="rId31" w:history="1">
        <w:r w:rsidRPr="004C6EF9">
          <w:rPr>
            <w:rStyle w:val="Hyperlink"/>
            <w:rFonts w:cstheme="minorHAnsi"/>
            <w:b/>
            <w:bCs/>
            <w:szCs w:val="24"/>
          </w:rPr>
          <w:t>29</w:t>
        </w:r>
      </w:hyperlink>
    </w:p>
    <w:p w14:paraId="0342DDA8" w14:textId="05FA44C1" w:rsidR="007D3949" w:rsidRPr="004C6EF9" w:rsidRDefault="007D3949" w:rsidP="007D3949">
      <w:pPr>
        <w:spacing w:after="120"/>
        <w:rPr>
          <w:rFonts w:cstheme="minorHAnsi"/>
          <w:szCs w:val="24"/>
        </w:rPr>
      </w:pPr>
      <w:r w:rsidRPr="004C6EF9">
        <w:rPr>
          <w:rFonts w:cstheme="minorHAnsi"/>
          <w:szCs w:val="24"/>
        </w:rPr>
        <w:t>Thi</w:t>
      </w:r>
      <w:r w:rsidR="00D84F32">
        <w:rPr>
          <w:rFonts w:cstheme="minorHAnsi"/>
          <w:szCs w:val="24"/>
        </w:rPr>
        <w:t xml:space="preserve">s </w:t>
      </w:r>
      <w:r w:rsidRPr="004C6EF9">
        <w:rPr>
          <w:rFonts w:cstheme="minorHAnsi"/>
          <w:szCs w:val="24"/>
        </w:rPr>
        <w:t xml:space="preserve">multi-country contribution on the Thematic Priorities developed by TDAG-WG-RDTP </w:t>
      </w:r>
      <w:r w:rsidR="00D84F32">
        <w:rPr>
          <w:rFonts w:cstheme="minorHAnsi"/>
          <w:szCs w:val="24"/>
        </w:rPr>
        <w:t xml:space="preserve">was submitted by </w:t>
      </w:r>
      <w:r w:rsidRPr="004C6EF9">
        <w:rPr>
          <w:rFonts w:cstheme="minorHAnsi"/>
          <w:szCs w:val="24"/>
        </w:rPr>
        <w:t>11 European countries</w:t>
      </w:r>
      <w:r w:rsidR="00AB5C04" w:rsidRPr="004C6EF9">
        <w:rPr>
          <w:rFonts w:cstheme="minorHAnsi"/>
          <w:szCs w:val="24"/>
        </w:rPr>
        <w:t xml:space="preserve"> members of CEPT</w:t>
      </w:r>
      <w:r w:rsidRPr="004C6EF9">
        <w:rPr>
          <w:rFonts w:cstheme="minorHAnsi"/>
          <w:szCs w:val="24"/>
        </w:rPr>
        <w:t xml:space="preserve"> (Bulgaria, Czech Republic, France, Lithuania, the Netherlands, Poland, Portugal, Romania, Spain, Sweden, United Kingdom), </w:t>
      </w:r>
      <w:r w:rsidR="00D84F32">
        <w:rPr>
          <w:rFonts w:cstheme="minorHAnsi"/>
          <w:szCs w:val="24"/>
        </w:rPr>
        <w:t xml:space="preserve">and was </w:t>
      </w:r>
      <w:r w:rsidRPr="004C6EF9">
        <w:rPr>
          <w:rFonts w:cstheme="minorHAnsi"/>
          <w:szCs w:val="24"/>
        </w:rPr>
        <w:t xml:space="preserve">agreed during the Europe region WTDC preparations.  </w:t>
      </w:r>
    </w:p>
    <w:p w14:paraId="412F3C92" w14:textId="379A5101" w:rsidR="007D3949" w:rsidRPr="004C6EF9" w:rsidRDefault="007D3949" w:rsidP="0043711C">
      <w:pPr>
        <w:spacing w:before="60" w:after="60"/>
        <w:ind w:right="-44"/>
        <w:rPr>
          <w:rFonts w:cstheme="minorHAnsi"/>
          <w:szCs w:val="24"/>
        </w:rPr>
      </w:pPr>
      <w:r w:rsidRPr="004C6EF9">
        <w:rPr>
          <w:rFonts w:cstheme="minorHAnsi"/>
          <w:szCs w:val="24"/>
        </w:rPr>
        <w:t xml:space="preserve">The contribution supports the </w:t>
      </w:r>
      <w:r w:rsidR="00AB5C04" w:rsidRPr="004C6EF9">
        <w:rPr>
          <w:rFonts w:cstheme="minorHAnsi"/>
          <w:szCs w:val="24"/>
        </w:rPr>
        <w:t xml:space="preserve">set of </w:t>
      </w:r>
      <w:r w:rsidRPr="004C6EF9">
        <w:rPr>
          <w:rFonts w:cstheme="minorHAnsi"/>
          <w:szCs w:val="24"/>
        </w:rPr>
        <w:t xml:space="preserve">four </w:t>
      </w:r>
      <w:r w:rsidR="00AB5C04" w:rsidRPr="004C6EF9">
        <w:rPr>
          <w:rFonts w:cstheme="minorHAnsi"/>
          <w:szCs w:val="24"/>
        </w:rPr>
        <w:t>T</w:t>
      </w:r>
      <w:r w:rsidRPr="004C6EF9">
        <w:rPr>
          <w:rFonts w:cstheme="minorHAnsi"/>
          <w:szCs w:val="24"/>
        </w:rPr>
        <w:t xml:space="preserve">hematic </w:t>
      </w:r>
      <w:r w:rsidR="00AB5C04" w:rsidRPr="004C6EF9">
        <w:rPr>
          <w:rFonts w:cstheme="minorHAnsi"/>
          <w:szCs w:val="24"/>
        </w:rPr>
        <w:t>P</w:t>
      </w:r>
      <w:r w:rsidRPr="004C6EF9">
        <w:rPr>
          <w:rFonts w:cstheme="minorHAnsi"/>
          <w:szCs w:val="24"/>
        </w:rPr>
        <w:t xml:space="preserve">riorities: </w:t>
      </w:r>
      <w:r w:rsidR="00F37E99" w:rsidRPr="004C6EF9">
        <w:rPr>
          <w:rFonts w:cstheme="minorHAnsi"/>
          <w:szCs w:val="24"/>
        </w:rPr>
        <w:t>1) C</w:t>
      </w:r>
      <w:r w:rsidRPr="004C6EF9">
        <w:rPr>
          <w:rFonts w:cstheme="minorHAnsi"/>
          <w:szCs w:val="24"/>
        </w:rPr>
        <w:t xml:space="preserve">onnectivity; </w:t>
      </w:r>
      <w:r w:rsidR="00F37E99" w:rsidRPr="004C6EF9">
        <w:rPr>
          <w:rFonts w:cstheme="minorHAnsi"/>
          <w:szCs w:val="24"/>
        </w:rPr>
        <w:t>2) D</w:t>
      </w:r>
      <w:r w:rsidRPr="004C6EF9">
        <w:rPr>
          <w:rFonts w:cstheme="minorHAnsi"/>
          <w:szCs w:val="24"/>
        </w:rPr>
        <w:t xml:space="preserve">igital transformation; </w:t>
      </w:r>
      <w:r w:rsidR="00F37E99" w:rsidRPr="004C6EF9">
        <w:rPr>
          <w:rFonts w:cstheme="minorHAnsi"/>
          <w:szCs w:val="24"/>
        </w:rPr>
        <w:t>3) E</w:t>
      </w:r>
      <w:r w:rsidRPr="004C6EF9">
        <w:rPr>
          <w:rFonts w:cstheme="minorHAnsi"/>
          <w:szCs w:val="24"/>
        </w:rPr>
        <w:t>nabling environment, and</w:t>
      </w:r>
      <w:r w:rsidR="00AB5C04" w:rsidRPr="004C6EF9">
        <w:rPr>
          <w:rFonts w:cstheme="minorHAnsi"/>
          <w:szCs w:val="24"/>
        </w:rPr>
        <w:t xml:space="preserve"> </w:t>
      </w:r>
      <w:r w:rsidR="00F37E99" w:rsidRPr="004C6EF9">
        <w:rPr>
          <w:rFonts w:cstheme="minorHAnsi"/>
          <w:szCs w:val="24"/>
        </w:rPr>
        <w:t>4) R</w:t>
      </w:r>
      <w:r w:rsidRPr="004C6EF9">
        <w:rPr>
          <w:rFonts w:cstheme="minorHAnsi"/>
          <w:szCs w:val="24"/>
        </w:rPr>
        <w:t>esource mobilization and international cooperation</w:t>
      </w:r>
      <w:r w:rsidR="00EF7811" w:rsidRPr="004C6EF9">
        <w:rPr>
          <w:rFonts w:cstheme="minorHAnsi"/>
          <w:szCs w:val="24"/>
        </w:rPr>
        <w:t>,</w:t>
      </w:r>
      <w:r w:rsidR="00AB5C04" w:rsidRPr="004C6EF9">
        <w:rPr>
          <w:rFonts w:cstheme="minorHAnsi"/>
          <w:szCs w:val="24"/>
        </w:rPr>
        <w:t xml:space="preserve"> </w:t>
      </w:r>
      <w:r w:rsidR="00B93B70">
        <w:rPr>
          <w:rFonts w:cstheme="minorHAnsi"/>
          <w:szCs w:val="24"/>
        </w:rPr>
        <w:t>and acknowledges</w:t>
      </w:r>
      <w:r w:rsidR="00AB5C04" w:rsidRPr="004C6EF9">
        <w:rPr>
          <w:rFonts w:cstheme="minorHAnsi"/>
          <w:szCs w:val="24"/>
        </w:rPr>
        <w:t xml:space="preserve"> </w:t>
      </w:r>
      <w:r w:rsidRPr="004C6EF9">
        <w:rPr>
          <w:rFonts w:cstheme="minorHAnsi"/>
          <w:szCs w:val="24"/>
        </w:rPr>
        <w:t>the importance of cybersecurity</w:t>
      </w:r>
      <w:r w:rsidR="00AB5C04" w:rsidRPr="004C6EF9">
        <w:rPr>
          <w:rFonts w:cstheme="minorHAnsi"/>
          <w:szCs w:val="24"/>
        </w:rPr>
        <w:t xml:space="preserve"> in ITU-D’s work, as part of the proposed T</w:t>
      </w:r>
      <w:r w:rsidR="00B93B70">
        <w:rPr>
          <w:rFonts w:cstheme="minorHAnsi"/>
          <w:szCs w:val="24"/>
        </w:rPr>
        <w:t xml:space="preserve">hematic </w:t>
      </w:r>
      <w:r w:rsidR="00AB5C04" w:rsidRPr="004C6EF9">
        <w:rPr>
          <w:rFonts w:cstheme="minorHAnsi"/>
          <w:szCs w:val="24"/>
        </w:rPr>
        <w:t>P</w:t>
      </w:r>
      <w:r w:rsidR="00B93B70">
        <w:rPr>
          <w:rFonts w:cstheme="minorHAnsi"/>
          <w:szCs w:val="24"/>
        </w:rPr>
        <w:t>riority</w:t>
      </w:r>
      <w:r w:rsidR="00F37E99" w:rsidRPr="004C6EF9">
        <w:rPr>
          <w:rFonts w:cstheme="minorHAnsi"/>
          <w:szCs w:val="24"/>
        </w:rPr>
        <w:t xml:space="preserve"> </w:t>
      </w:r>
      <w:r w:rsidR="00AB5C04" w:rsidRPr="004C6EF9">
        <w:rPr>
          <w:rFonts w:cstheme="minorHAnsi"/>
          <w:szCs w:val="24"/>
        </w:rPr>
        <w:t>1</w:t>
      </w:r>
      <w:r w:rsidR="00B93B70">
        <w:rPr>
          <w:rFonts w:cstheme="minorHAnsi"/>
          <w:szCs w:val="24"/>
        </w:rPr>
        <w:t xml:space="preserve"> (</w:t>
      </w:r>
      <w:r w:rsidR="00F37E99" w:rsidRPr="004C6EF9">
        <w:rPr>
          <w:rFonts w:cstheme="minorHAnsi"/>
          <w:szCs w:val="24"/>
        </w:rPr>
        <w:t>C</w:t>
      </w:r>
      <w:r w:rsidR="00AB5C04" w:rsidRPr="004C6EF9">
        <w:rPr>
          <w:rFonts w:cstheme="minorHAnsi"/>
          <w:szCs w:val="24"/>
        </w:rPr>
        <w:t>onnectivity</w:t>
      </w:r>
      <w:r w:rsidR="00B93B70">
        <w:rPr>
          <w:rFonts w:cstheme="minorHAnsi"/>
          <w:szCs w:val="24"/>
        </w:rPr>
        <w:t>)</w:t>
      </w:r>
      <w:r w:rsidRPr="004C6EF9">
        <w:rPr>
          <w:rFonts w:cstheme="minorHAnsi"/>
          <w:szCs w:val="24"/>
        </w:rPr>
        <w:t>.</w:t>
      </w:r>
      <w:r w:rsidR="0043711C" w:rsidRPr="004C6EF9">
        <w:rPr>
          <w:rFonts w:cstheme="minorHAnsi"/>
          <w:szCs w:val="24"/>
        </w:rPr>
        <w:t xml:space="preserve"> </w:t>
      </w:r>
      <w:proofErr w:type="gramStart"/>
      <w:r w:rsidR="009E3A9F">
        <w:rPr>
          <w:rFonts w:cstheme="minorHAnsi"/>
          <w:szCs w:val="24"/>
        </w:rPr>
        <w:t>It</w:t>
      </w:r>
      <w:proofErr w:type="gramEnd"/>
      <w:r w:rsidR="009E3A9F">
        <w:rPr>
          <w:rFonts w:cstheme="minorHAnsi"/>
          <w:szCs w:val="24"/>
        </w:rPr>
        <w:t xml:space="preserve"> further notes that k</w:t>
      </w:r>
      <w:r w:rsidR="0043711C" w:rsidRPr="004C6EF9">
        <w:rPr>
          <w:rFonts w:cstheme="minorHAnsi"/>
          <w:szCs w:val="24"/>
        </w:rPr>
        <w:t>ey cybersecurity issues c</w:t>
      </w:r>
      <w:r w:rsidR="009E3A9F">
        <w:rPr>
          <w:rFonts w:cstheme="minorHAnsi"/>
          <w:szCs w:val="24"/>
        </w:rPr>
        <w:t>ould</w:t>
      </w:r>
      <w:r w:rsidR="0043711C" w:rsidRPr="004C6EF9">
        <w:rPr>
          <w:rFonts w:cstheme="minorHAnsi"/>
          <w:szCs w:val="24"/>
        </w:rPr>
        <w:t xml:space="preserve"> be addressed in the outcomes and outputs of the WTDC Action Plan</w:t>
      </w:r>
      <w:r w:rsidR="009E3A9F">
        <w:rPr>
          <w:rFonts w:cstheme="minorHAnsi"/>
          <w:szCs w:val="24"/>
        </w:rPr>
        <w:t>,</w:t>
      </w:r>
      <w:r w:rsidR="0043711C" w:rsidRPr="004C6EF9">
        <w:rPr>
          <w:rFonts w:cstheme="minorHAnsi"/>
          <w:szCs w:val="24"/>
        </w:rPr>
        <w:t xml:space="preserve"> and c</w:t>
      </w:r>
      <w:r w:rsidR="009E3A9F">
        <w:rPr>
          <w:rFonts w:cstheme="minorHAnsi"/>
          <w:szCs w:val="24"/>
        </w:rPr>
        <w:t>ould</w:t>
      </w:r>
      <w:r w:rsidR="0043711C" w:rsidRPr="004C6EF9">
        <w:rPr>
          <w:rFonts w:cstheme="minorHAnsi"/>
          <w:szCs w:val="24"/>
        </w:rPr>
        <w:t xml:space="preserve"> form a strong foundation from which to work towards consensus in the lead up to and at WTDC.</w:t>
      </w:r>
    </w:p>
    <w:tbl>
      <w:tblPr>
        <w:tblStyle w:val="TableGrid"/>
        <w:tblW w:w="0" w:type="auto"/>
        <w:tblLook w:val="04A0" w:firstRow="1" w:lastRow="0" w:firstColumn="1" w:lastColumn="0" w:noHBand="0" w:noVBand="1"/>
      </w:tblPr>
      <w:tblGrid>
        <w:gridCol w:w="9629"/>
      </w:tblGrid>
      <w:tr w:rsidR="007D3949" w:rsidRPr="004C6EF9" w14:paraId="71AD21AE" w14:textId="77777777" w:rsidTr="004D36C6">
        <w:tc>
          <w:tcPr>
            <w:tcW w:w="9629" w:type="dxa"/>
          </w:tcPr>
          <w:p w14:paraId="4C339377" w14:textId="71C1AA18" w:rsidR="007D3949" w:rsidRPr="004C6EF9" w:rsidRDefault="00AE26DC" w:rsidP="004D36C6">
            <w:pPr>
              <w:spacing w:after="120"/>
              <w:rPr>
                <w:rFonts w:eastAsiaTheme="minorEastAsia" w:cstheme="minorHAnsi"/>
                <w:szCs w:val="24"/>
              </w:rPr>
            </w:pPr>
            <w:r w:rsidRPr="004C6EF9">
              <w:rPr>
                <w:rFonts w:eastAsiaTheme="minorEastAsia" w:cstheme="minorHAnsi"/>
                <w:szCs w:val="24"/>
              </w:rPr>
              <w:lastRenderedPageBreak/>
              <w:t xml:space="preserve">TDAG noted </w:t>
            </w:r>
            <w:r w:rsidR="00F10BC8">
              <w:rPr>
                <w:rFonts w:eastAsiaTheme="minorEastAsia" w:cstheme="minorHAnsi"/>
                <w:szCs w:val="24"/>
              </w:rPr>
              <w:t>the views presented a</w:t>
            </w:r>
            <w:r w:rsidRPr="004C6EF9">
              <w:rPr>
                <w:rFonts w:eastAsiaTheme="minorEastAsia" w:cstheme="minorHAnsi"/>
                <w:szCs w:val="24"/>
              </w:rPr>
              <w:t>nd thanked</w:t>
            </w:r>
            <w:r w:rsidR="00F37E99" w:rsidRPr="004C6EF9">
              <w:rPr>
                <w:rFonts w:eastAsiaTheme="minorEastAsia" w:cstheme="minorHAnsi"/>
                <w:szCs w:val="24"/>
              </w:rPr>
              <w:t xml:space="preserve"> the 11</w:t>
            </w:r>
            <w:r w:rsidRPr="004C6EF9">
              <w:rPr>
                <w:rFonts w:eastAsiaTheme="minorEastAsia" w:cstheme="minorHAnsi"/>
                <w:szCs w:val="24"/>
              </w:rPr>
              <w:t xml:space="preserve"> CEPT </w:t>
            </w:r>
            <w:r w:rsidR="00AB5C04" w:rsidRPr="004C6EF9">
              <w:rPr>
                <w:rFonts w:eastAsiaTheme="minorEastAsia" w:cstheme="minorHAnsi"/>
                <w:szCs w:val="24"/>
              </w:rPr>
              <w:t xml:space="preserve">countries </w:t>
            </w:r>
            <w:r w:rsidRPr="004C6EF9">
              <w:rPr>
                <w:rFonts w:eastAsiaTheme="minorEastAsia" w:cstheme="minorHAnsi"/>
                <w:szCs w:val="24"/>
              </w:rPr>
              <w:t>for sharing their views in the contribution.</w:t>
            </w:r>
          </w:p>
        </w:tc>
      </w:tr>
    </w:tbl>
    <w:p w14:paraId="18E93CD5" w14:textId="77777777" w:rsidR="00B87B44" w:rsidRPr="004C6EF9" w:rsidRDefault="00B87B44" w:rsidP="0011639E">
      <w:pPr>
        <w:keepNext/>
        <w:spacing w:after="120"/>
        <w:rPr>
          <w:rFonts w:cstheme="minorHAnsi"/>
          <w:b/>
          <w:bCs/>
          <w:szCs w:val="24"/>
        </w:rPr>
      </w:pPr>
      <w:r w:rsidRPr="004C6EF9">
        <w:rPr>
          <w:rFonts w:cstheme="minorHAnsi"/>
          <w:b/>
          <w:bCs/>
          <w:szCs w:val="24"/>
        </w:rPr>
        <w:t xml:space="preserve">Document </w:t>
      </w:r>
      <w:hyperlink r:id="rId32" w:history="1">
        <w:r w:rsidRPr="004C6EF9">
          <w:rPr>
            <w:rStyle w:val="Hyperlink"/>
            <w:rFonts w:cstheme="minorHAnsi"/>
            <w:b/>
            <w:bCs/>
            <w:szCs w:val="24"/>
            <w:lang w:val="pt-BR"/>
          </w:rPr>
          <w:t>DT/3</w:t>
        </w:r>
      </w:hyperlink>
    </w:p>
    <w:p w14:paraId="46CF7B1D" w14:textId="4378BF3A" w:rsidR="00B87B44" w:rsidRPr="004C6EF9" w:rsidRDefault="00B87B44" w:rsidP="00B87B44">
      <w:pPr>
        <w:spacing w:after="120"/>
        <w:rPr>
          <w:rFonts w:cstheme="minorHAnsi"/>
          <w:szCs w:val="24"/>
        </w:rPr>
      </w:pPr>
      <w:r w:rsidRPr="004C6EF9">
        <w:rPr>
          <w:rStyle w:val="normaltextrun"/>
          <w:rFonts w:ascii="Calibri" w:hAnsi="Calibri" w:cs="Calibri"/>
          <w:color w:val="000000"/>
          <w:shd w:val="clear" w:color="auto" w:fill="FFFFFF"/>
          <w:lang w:val="en-US"/>
        </w:rPr>
        <w:t>Th</w:t>
      </w:r>
      <w:r w:rsidR="00E9716D" w:rsidRPr="004C6EF9">
        <w:rPr>
          <w:rStyle w:val="normaltextrun"/>
          <w:rFonts w:ascii="Calibri" w:hAnsi="Calibri" w:cs="Calibri"/>
          <w:color w:val="000000"/>
          <w:shd w:val="clear" w:color="auto" w:fill="FFFFFF"/>
          <w:lang w:val="en-US"/>
        </w:rPr>
        <w:t>is</w:t>
      </w:r>
      <w:r w:rsidRPr="004C6EF9">
        <w:rPr>
          <w:rStyle w:val="normaltextrun"/>
          <w:rFonts w:ascii="Calibri" w:hAnsi="Calibri" w:cs="Calibri"/>
          <w:color w:val="000000"/>
          <w:shd w:val="clear" w:color="auto" w:fill="FFFFFF"/>
          <w:lang w:val="en-US"/>
        </w:rPr>
        <w:t xml:space="preserve"> </w:t>
      </w:r>
      <w:r w:rsidR="00D84F32">
        <w:rPr>
          <w:rStyle w:val="normaltextrun"/>
          <w:rFonts w:ascii="Calibri" w:hAnsi="Calibri" w:cs="Calibri"/>
          <w:color w:val="000000"/>
          <w:shd w:val="clear" w:color="auto" w:fill="FFFFFF"/>
          <w:lang w:val="en-US"/>
        </w:rPr>
        <w:t>contribution</w:t>
      </w:r>
      <w:r w:rsidRPr="004C6EF9">
        <w:rPr>
          <w:rStyle w:val="normaltextrun"/>
          <w:rFonts w:ascii="Calibri" w:hAnsi="Calibri" w:cs="Calibri"/>
          <w:color w:val="000000"/>
          <w:shd w:val="clear" w:color="auto" w:fill="FFFFFF"/>
          <w:lang w:val="en-US"/>
        </w:rPr>
        <w:t xml:space="preserve"> presents CITEL views on the working draft of the Thematic Priorities following the last meeting of </w:t>
      </w:r>
      <w:r w:rsidR="00077A7C" w:rsidRPr="004C6EF9">
        <w:rPr>
          <w:rStyle w:val="normaltextrun"/>
          <w:rFonts w:ascii="Calibri" w:hAnsi="Calibri" w:cs="Calibri"/>
          <w:color w:val="000000"/>
          <w:shd w:val="clear" w:color="auto" w:fill="FFFFFF"/>
          <w:lang w:val="en-US"/>
        </w:rPr>
        <w:t>TDAG-</w:t>
      </w:r>
      <w:r w:rsidRPr="004C6EF9">
        <w:rPr>
          <w:rStyle w:val="normaltextrun"/>
          <w:rFonts w:ascii="Calibri" w:hAnsi="Calibri" w:cs="Calibri"/>
          <w:color w:val="000000"/>
          <w:shd w:val="clear" w:color="auto" w:fill="FFFFFF"/>
          <w:lang w:val="en-US"/>
        </w:rPr>
        <w:t xml:space="preserve">WG-RDTP. This Inter-American </w:t>
      </w:r>
      <w:r w:rsidR="009E3A9F">
        <w:rPr>
          <w:rStyle w:val="normaltextrun"/>
          <w:rFonts w:ascii="Calibri" w:hAnsi="Calibri" w:cs="Calibri"/>
          <w:color w:val="000000"/>
          <w:shd w:val="clear" w:color="auto" w:fill="FFFFFF"/>
          <w:lang w:val="en-US"/>
        </w:rPr>
        <w:t>c</w:t>
      </w:r>
      <w:r w:rsidRPr="004C6EF9">
        <w:rPr>
          <w:rStyle w:val="normaltextrun"/>
          <w:rFonts w:ascii="Calibri" w:hAnsi="Calibri" w:cs="Calibri"/>
          <w:color w:val="000000"/>
          <w:shd w:val="clear" w:color="auto" w:fill="FFFFFF"/>
          <w:lang w:val="en-US"/>
        </w:rPr>
        <w:t>ontribution address</w:t>
      </w:r>
      <w:r w:rsidR="009E3A9F">
        <w:rPr>
          <w:rStyle w:val="normaltextrun"/>
          <w:rFonts w:ascii="Calibri" w:hAnsi="Calibri" w:cs="Calibri"/>
          <w:color w:val="000000"/>
          <w:shd w:val="clear" w:color="auto" w:fill="FFFFFF"/>
          <w:lang w:val="en-US"/>
        </w:rPr>
        <w:t>es</w:t>
      </w:r>
      <w:r w:rsidRPr="004C6EF9">
        <w:rPr>
          <w:rStyle w:val="normaltextrun"/>
          <w:rFonts w:ascii="Calibri" w:hAnsi="Calibri" w:cs="Calibri"/>
          <w:color w:val="000000"/>
          <w:shd w:val="clear" w:color="auto" w:fill="FFFFFF"/>
          <w:lang w:val="en-US"/>
        </w:rPr>
        <w:t xml:space="preserve"> the bracketed sections, add</w:t>
      </w:r>
      <w:r w:rsidR="00DD06E4" w:rsidRPr="004C6EF9">
        <w:rPr>
          <w:rStyle w:val="normaltextrun"/>
          <w:rFonts w:ascii="Calibri" w:hAnsi="Calibri" w:cs="Calibri"/>
          <w:color w:val="000000"/>
          <w:shd w:val="clear" w:color="auto" w:fill="FFFFFF"/>
          <w:lang w:val="en-US"/>
        </w:rPr>
        <w:t>ing</w:t>
      </w:r>
      <w:r w:rsidRPr="004C6EF9">
        <w:rPr>
          <w:rStyle w:val="normaltextrun"/>
          <w:rFonts w:ascii="Calibri" w:hAnsi="Calibri" w:cs="Calibri"/>
          <w:color w:val="000000"/>
          <w:shd w:val="clear" w:color="auto" w:fill="FFFFFF"/>
          <w:lang w:val="en-US"/>
        </w:rPr>
        <w:t xml:space="preserve"> emphasis to future BDT work in support of broadband adoption and affordability,</w:t>
      </w:r>
      <w:r w:rsidR="0043711C" w:rsidRPr="004C6EF9">
        <w:rPr>
          <w:rStyle w:val="normaltextrun"/>
          <w:rFonts w:ascii="Calibri" w:hAnsi="Calibri" w:cs="Calibri"/>
          <w:color w:val="000000"/>
          <w:shd w:val="clear" w:color="auto" w:fill="FFFFFF"/>
          <w:lang w:val="en-US"/>
        </w:rPr>
        <w:t xml:space="preserve"> </w:t>
      </w:r>
      <w:r w:rsidR="00DD06E4" w:rsidRPr="004C6EF9">
        <w:rPr>
          <w:rStyle w:val="normaltextrun"/>
          <w:rFonts w:ascii="Calibri" w:hAnsi="Calibri" w:cs="Calibri"/>
          <w:color w:val="000000"/>
          <w:shd w:val="clear" w:color="auto" w:fill="FFFFFF"/>
          <w:lang w:val="en-US"/>
        </w:rPr>
        <w:t>a</w:t>
      </w:r>
      <w:r w:rsidR="009E3A9F">
        <w:rPr>
          <w:rStyle w:val="normaltextrun"/>
          <w:rFonts w:ascii="Calibri" w:hAnsi="Calibri" w:cs="Calibri"/>
          <w:color w:val="000000"/>
          <w:shd w:val="clear" w:color="auto" w:fill="FFFFFF"/>
          <w:lang w:val="en-US"/>
        </w:rPr>
        <w:t xml:space="preserve">nd </w:t>
      </w:r>
      <w:r w:rsidR="0043711C" w:rsidRPr="004C6EF9">
        <w:rPr>
          <w:rStyle w:val="normaltextrun"/>
          <w:rFonts w:ascii="Calibri" w:hAnsi="Calibri" w:cs="Calibri"/>
          <w:color w:val="000000"/>
          <w:shd w:val="clear" w:color="auto" w:fill="FFFFFF"/>
          <w:lang w:val="en-US"/>
        </w:rPr>
        <w:t>refine</w:t>
      </w:r>
      <w:r w:rsidR="009E3A9F">
        <w:rPr>
          <w:rStyle w:val="normaltextrun"/>
          <w:rFonts w:ascii="Calibri" w:hAnsi="Calibri" w:cs="Calibri"/>
          <w:color w:val="000000"/>
          <w:shd w:val="clear" w:color="auto" w:fill="FFFFFF"/>
          <w:lang w:val="en-US"/>
        </w:rPr>
        <w:t>s</w:t>
      </w:r>
      <w:r w:rsidRPr="004C6EF9">
        <w:rPr>
          <w:rStyle w:val="normaltextrun"/>
          <w:rFonts w:ascii="Calibri" w:hAnsi="Calibri" w:cs="Calibri"/>
          <w:color w:val="000000"/>
          <w:shd w:val="clear" w:color="auto" w:fill="FFFFFF"/>
          <w:lang w:val="en-US"/>
        </w:rPr>
        <w:t xml:space="preserve"> </w:t>
      </w:r>
      <w:r w:rsidR="00DD06E4" w:rsidRPr="004C6EF9">
        <w:rPr>
          <w:rStyle w:val="normaltextrun"/>
          <w:rFonts w:ascii="Calibri" w:hAnsi="Calibri" w:cs="Calibri"/>
          <w:color w:val="000000"/>
          <w:shd w:val="clear" w:color="auto" w:fill="FFFFFF"/>
          <w:lang w:val="en-US"/>
        </w:rPr>
        <w:t xml:space="preserve">the </w:t>
      </w:r>
      <w:r w:rsidRPr="004C6EF9">
        <w:rPr>
          <w:rStyle w:val="normaltextrun"/>
          <w:rFonts w:ascii="Calibri" w:hAnsi="Calibri" w:cs="Calibri"/>
          <w:color w:val="000000"/>
          <w:shd w:val="clear" w:color="auto" w:fill="FFFFFF"/>
          <w:lang w:val="en-US"/>
        </w:rPr>
        <w:t xml:space="preserve">language </w:t>
      </w:r>
      <w:r w:rsidR="00DD06E4" w:rsidRPr="004C6EF9">
        <w:rPr>
          <w:rFonts w:cstheme="minorHAnsi"/>
          <w:szCs w:val="24"/>
        </w:rPr>
        <w:t xml:space="preserve">for </w:t>
      </w:r>
      <w:r w:rsidR="0043711C" w:rsidRPr="004C6EF9">
        <w:rPr>
          <w:rFonts w:cstheme="minorHAnsi"/>
          <w:szCs w:val="24"/>
        </w:rPr>
        <w:t>the supporting components</w:t>
      </w:r>
      <w:r w:rsidR="0043711C" w:rsidRPr="004C6EF9">
        <w:rPr>
          <w:rStyle w:val="normaltextrun"/>
          <w:rFonts w:ascii="Calibri" w:hAnsi="Calibri" w:cs="Calibri"/>
          <w:color w:val="000000"/>
          <w:shd w:val="clear" w:color="auto" w:fill="FFFFFF"/>
          <w:lang w:val="en-US"/>
        </w:rPr>
        <w:t xml:space="preserve"> </w:t>
      </w:r>
      <w:r w:rsidR="00624ABC">
        <w:rPr>
          <w:rStyle w:val="normaltextrun"/>
          <w:rFonts w:ascii="Calibri" w:hAnsi="Calibri" w:cs="Calibri"/>
          <w:color w:val="000000"/>
          <w:shd w:val="clear" w:color="auto" w:fill="FFFFFF"/>
          <w:lang w:val="en-US"/>
        </w:rPr>
        <w:t>t</w:t>
      </w:r>
      <w:r w:rsidR="0043711C" w:rsidRPr="004C6EF9">
        <w:rPr>
          <w:rStyle w:val="normaltextrun"/>
          <w:rFonts w:ascii="Calibri" w:hAnsi="Calibri" w:cs="Calibri"/>
          <w:color w:val="000000"/>
          <w:shd w:val="clear" w:color="auto" w:fill="FFFFFF"/>
          <w:lang w:val="en-US"/>
        </w:rPr>
        <w:t xml:space="preserve">o </w:t>
      </w:r>
      <w:r w:rsidR="004B5C55" w:rsidRPr="004C6EF9">
        <w:rPr>
          <w:rFonts w:cstheme="minorHAnsi"/>
          <w:szCs w:val="24"/>
        </w:rPr>
        <w:t xml:space="preserve">better </w:t>
      </w:r>
      <w:r w:rsidR="0043711C" w:rsidRPr="004C6EF9">
        <w:rPr>
          <w:rFonts w:cstheme="minorHAnsi"/>
          <w:szCs w:val="24"/>
        </w:rPr>
        <w:t>captur</w:t>
      </w:r>
      <w:r w:rsidR="00624ABC">
        <w:rPr>
          <w:rFonts w:cstheme="minorHAnsi"/>
          <w:szCs w:val="24"/>
        </w:rPr>
        <w:t>e</w:t>
      </w:r>
      <w:r w:rsidR="00FE5853" w:rsidRPr="004C6EF9">
        <w:rPr>
          <w:rFonts w:cstheme="minorHAnsi"/>
          <w:szCs w:val="24"/>
        </w:rPr>
        <w:t xml:space="preserve"> </w:t>
      </w:r>
      <w:r w:rsidR="0043711C" w:rsidRPr="004C6EF9">
        <w:rPr>
          <w:rFonts w:cstheme="minorHAnsi"/>
          <w:szCs w:val="24"/>
        </w:rPr>
        <w:t xml:space="preserve">the work of BDT </w:t>
      </w:r>
      <w:r w:rsidR="00FE5853" w:rsidRPr="004C6EF9">
        <w:rPr>
          <w:rFonts w:cstheme="minorHAnsi"/>
          <w:szCs w:val="24"/>
        </w:rPr>
        <w:t>and</w:t>
      </w:r>
      <w:r w:rsidR="0043711C" w:rsidRPr="004C6EF9">
        <w:rPr>
          <w:rFonts w:cstheme="minorHAnsi"/>
          <w:szCs w:val="24"/>
        </w:rPr>
        <w:t xml:space="preserve"> </w:t>
      </w:r>
      <w:r w:rsidR="00624ABC">
        <w:rPr>
          <w:rFonts w:cstheme="minorHAnsi"/>
          <w:szCs w:val="24"/>
        </w:rPr>
        <w:t xml:space="preserve">to </w:t>
      </w:r>
      <w:r w:rsidR="0043711C" w:rsidRPr="004C6EF9">
        <w:rPr>
          <w:rFonts w:cstheme="minorHAnsi"/>
          <w:szCs w:val="24"/>
        </w:rPr>
        <w:t xml:space="preserve">focus on the needs of </w:t>
      </w:r>
      <w:r w:rsidR="00FE5853" w:rsidRPr="004C6EF9">
        <w:rPr>
          <w:rFonts w:cstheme="minorHAnsi"/>
          <w:szCs w:val="24"/>
        </w:rPr>
        <w:t xml:space="preserve">developing and least-developed </w:t>
      </w:r>
      <w:r w:rsidR="0043711C" w:rsidRPr="004C6EF9">
        <w:rPr>
          <w:rFonts w:cstheme="minorHAnsi"/>
          <w:szCs w:val="24"/>
        </w:rPr>
        <w:t>countries</w:t>
      </w:r>
      <w:r w:rsidR="00FE5853" w:rsidRPr="004C6EF9">
        <w:rPr>
          <w:rFonts w:cstheme="minorHAnsi"/>
          <w:szCs w:val="24"/>
        </w:rPr>
        <w:t>. The contribution</w:t>
      </w:r>
      <w:r w:rsidRPr="004C6EF9">
        <w:rPr>
          <w:rStyle w:val="normaltextrun"/>
          <w:rFonts w:ascii="Calibri" w:hAnsi="Calibri" w:cs="Calibri"/>
          <w:color w:val="000000"/>
          <w:shd w:val="clear" w:color="auto" w:fill="FFFFFF"/>
          <w:lang w:val="en-US"/>
        </w:rPr>
        <w:t xml:space="preserve"> confirm</w:t>
      </w:r>
      <w:r w:rsidR="00FE5853" w:rsidRPr="004C6EF9">
        <w:rPr>
          <w:rStyle w:val="normaltextrun"/>
          <w:rFonts w:ascii="Calibri" w:hAnsi="Calibri" w:cs="Calibri"/>
          <w:color w:val="000000"/>
          <w:shd w:val="clear" w:color="auto" w:fill="FFFFFF"/>
          <w:lang w:val="en-US"/>
        </w:rPr>
        <w:t xml:space="preserve">s </w:t>
      </w:r>
      <w:r w:rsidRPr="004C6EF9">
        <w:rPr>
          <w:rStyle w:val="normaltextrun"/>
          <w:rFonts w:ascii="Calibri" w:hAnsi="Calibri" w:cs="Calibri"/>
          <w:color w:val="000000"/>
          <w:shd w:val="clear" w:color="auto" w:fill="FFFFFF"/>
          <w:lang w:val="en-US"/>
        </w:rPr>
        <w:t xml:space="preserve">support for the four </w:t>
      </w:r>
      <w:r w:rsidR="00AD5DB6" w:rsidRPr="004C6EF9">
        <w:rPr>
          <w:rStyle w:val="normaltextrun"/>
          <w:rFonts w:ascii="Calibri" w:hAnsi="Calibri" w:cs="Calibri"/>
          <w:color w:val="000000"/>
          <w:shd w:val="clear" w:color="auto" w:fill="FFFFFF"/>
          <w:lang w:val="en-US"/>
        </w:rPr>
        <w:t>T</w:t>
      </w:r>
      <w:r w:rsidRPr="004C6EF9">
        <w:rPr>
          <w:rStyle w:val="normaltextrun"/>
          <w:rFonts w:ascii="Calibri" w:hAnsi="Calibri" w:cs="Calibri"/>
          <w:color w:val="000000"/>
          <w:shd w:val="clear" w:color="auto" w:fill="FFFFFF"/>
          <w:lang w:val="en-US"/>
        </w:rPr>
        <w:t xml:space="preserve">hematic </w:t>
      </w:r>
      <w:r w:rsidR="00AD5DB6" w:rsidRPr="004C6EF9">
        <w:rPr>
          <w:rStyle w:val="normaltextrun"/>
          <w:rFonts w:ascii="Calibri" w:hAnsi="Calibri" w:cs="Calibri"/>
          <w:color w:val="000000"/>
          <w:shd w:val="clear" w:color="auto" w:fill="FFFFFF"/>
          <w:lang w:val="en-US"/>
        </w:rPr>
        <w:t>P</w:t>
      </w:r>
      <w:r w:rsidRPr="004C6EF9">
        <w:rPr>
          <w:rStyle w:val="normaltextrun"/>
          <w:rFonts w:ascii="Calibri" w:hAnsi="Calibri" w:cs="Calibri"/>
          <w:color w:val="000000"/>
          <w:shd w:val="clear" w:color="auto" w:fill="FFFFFF"/>
          <w:lang w:val="en-US"/>
        </w:rPr>
        <w:t xml:space="preserve">riorities as identified in the </w:t>
      </w:r>
      <w:r w:rsidRPr="004C6EF9">
        <w:rPr>
          <w:rStyle w:val="normaltextrun"/>
          <w:rFonts w:ascii="Calibri" w:hAnsi="Calibri" w:cs="Calibri"/>
          <w:color w:val="000000"/>
          <w:shd w:val="clear" w:color="auto" w:fill="FFFFFF"/>
        </w:rPr>
        <w:t xml:space="preserve">the working draft by the </w:t>
      </w:r>
      <w:r w:rsidR="004B5C55" w:rsidRPr="004C6EF9">
        <w:rPr>
          <w:rStyle w:val="normaltextrun"/>
          <w:rFonts w:ascii="Calibri" w:hAnsi="Calibri" w:cs="Calibri"/>
          <w:color w:val="000000"/>
          <w:shd w:val="clear" w:color="auto" w:fill="FFFFFF"/>
        </w:rPr>
        <w:t>TDAG-</w:t>
      </w:r>
      <w:r w:rsidRPr="004C6EF9">
        <w:rPr>
          <w:rStyle w:val="normaltextrun"/>
          <w:rFonts w:ascii="Calibri" w:hAnsi="Calibri" w:cs="Calibri"/>
          <w:color w:val="000000"/>
          <w:shd w:val="clear" w:color="auto" w:fill="FFFFFF"/>
        </w:rPr>
        <w:t>WG-RDTP Chairman (</w:t>
      </w:r>
      <w:hyperlink r:id="rId33" w:tgtFrame="_blank" w:history="1">
        <w:r w:rsidRPr="004C6EF9">
          <w:rPr>
            <w:rStyle w:val="normaltextrun"/>
            <w:rFonts w:ascii="Calibri" w:hAnsi="Calibri" w:cs="Calibri"/>
            <w:color w:val="0000FF"/>
            <w:u w:val="single"/>
            <w:shd w:val="clear" w:color="auto" w:fill="FFFFFF"/>
          </w:rPr>
          <w:t>Document 31</w:t>
        </w:r>
      </w:hyperlink>
      <w:r w:rsidRPr="004C6EF9">
        <w:rPr>
          <w:rStyle w:val="normaltextrun"/>
          <w:rFonts w:ascii="Calibri" w:hAnsi="Calibri" w:cs="Calibri"/>
          <w:color w:val="000000"/>
          <w:shd w:val="clear" w:color="auto" w:fill="FFFFFF"/>
        </w:rPr>
        <w:t>)</w:t>
      </w:r>
      <w:r w:rsidR="00F10BC8">
        <w:rPr>
          <w:rStyle w:val="normaltextrun"/>
          <w:rFonts w:ascii="Calibri" w:hAnsi="Calibri" w:cs="Calibri"/>
          <w:color w:val="000000"/>
          <w:shd w:val="clear" w:color="auto" w:fill="FFFFFF"/>
        </w:rPr>
        <w:t xml:space="preserve">: </w:t>
      </w:r>
      <w:r w:rsidRPr="004C6EF9">
        <w:rPr>
          <w:rStyle w:val="normaltextrun"/>
          <w:rFonts w:ascii="Calibri" w:hAnsi="Calibri" w:cs="Calibri"/>
          <w:color w:val="000000"/>
          <w:shd w:val="clear" w:color="auto" w:fill="FFFFFF"/>
          <w:lang w:val="en-US"/>
        </w:rPr>
        <w:t xml:space="preserve"> 1) Connectivity</w:t>
      </w:r>
      <w:r w:rsidR="00AD5DB6" w:rsidRPr="004C6EF9">
        <w:rPr>
          <w:rStyle w:val="normaltextrun"/>
          <w:rFonts w:ascii="Calibri" w:hAnsi="Calibri" w:cs="Calibri"/>
          <w:color w:val="000000"/>
          <w:shd w:val="clear" w:color="auto" w:fill="FFFFFF"/>
          <w:lang w:val="en-US"/>
        </w:rPr>
        <w:t xml:space="preserve"> (</w:t>
      </w:r>
      <w:r w:rsidR="009E3A9F">
        <w:rPr>
          <w:rStyle w:val="normaltextrun"/>
          <w:rFonts w:ascii="Calibri" w:hAnsi="Calibri" w:cs="Calibri"/>
          <w:color w:val="000000"/>
          <w:shd w:val="clear" w:color="auto" w:fill="FFFFFF"/>
          <w:lang w:val="en-US"/>
        </w:rPr>
        <w:t xml:space="preserve">which </w:t>
      </w:r>
      <w:r w:rsidR="00AD5DB6" w:rsidRPr="004C6EF9">
        <w:rPr>
          <w:rStyle w:val="normaltextrun"/>
          <w:rFonts w:ascii="Calibri" w:hAnsi="Calibri" w:cs="Calibri"/>
          <w:color w:val="000000"/>
          <w:shd w:val="clear" w:color="auto" w:fill="FFFFFF"/>
          <w:lang w:val="en-US"/>
        </w:rPr>
        <w:t>includ</w:t>
      </w:r>
      <w:r w:rsidR="009E3A9F">
        <w:rPr>
          <w:rStyle w:val="normaltextrun"/>
          <w:rFonts w:ascii="Calibri" w:hAnsi="Calibri" w:cs="Calibri"/>
          <w:color w:val="000000"/>
          <w:shd w:val="clear" w:color="auto" w:fill="FFFFFF"/>
          <w:lang w:val="en-US"/>
        </w:rPr>
        <w:t>es</w:t>
      </w:r>
      <w:r w:rsidR="00AD5DB6" w:rsidRPr="004C6EF9">
        <w:rPr>
          <w:rStyle w:val="normaltextrun"/>
          <w:rFonts w:ascii="Calibri" w:hAnsi="Calibri" w:cs="Calibri"/>
          <w:color w:val="000000"/>
          <w:shd w:val="clear" w:color="auto" w:fill="FFFFFF"/>
          <w:lang w:val="en-US"/>
        </w:rPr>
        <w:t xml:space="preserve"> </w:t>
      </w:r>
      <w:r w:rsidR="009E3A9F">
        <w:rPr>
          <w:rStyle w:val="normaltextrun"/>
          <w:rFonts w:ascii="Calibri" w:hAnsi="Calibri" w:cs="Calibri"/>
          <w:color w:val="000000"/>
          <w:shd w:val="clear" w:color="auto" w:fill="FFFFFF"/>
          <w:lang w:val="en-US"/>
        </w:rPr>
        <w:t>c</w:t>
      </w:r>
      <w:r w:rsidR="00AD5DB6" w:rsidRPr="004C6EF9">
        <w:rPr>
          <w:rStyle w:val="normaltextrun"/>
          <w:rFonts w:ascii="Calibri" w:hAnsi="Calibri" w:cs="Calibri"/>
          <w:color w:val="000000"/>
          <w:shd w:val="clear" w:color="auto" w:fill="FFFFFF"/>
          <w:lang w:val="en-US"/>
        </w:rPr>
        <w:t>ybersecurity</w:t>
      </w:r>
      <w:r w:rsidR="00F10BC8">
        <w:rPr>
          <w:rStyle w:val="normaltextrun"/>
          <w:rFonts w:ascii="Calibri" w:hAnsi="Calibri" w:cs="Calibri"/>
          <w:color w:val="000000"/>
          <w:shd w:val="clear" w:color="auto" w:fill="FFFFFF"/>
          <w:lang w:val="en-US"/>
        </w:rPr>
        <w:t xml:space="preserve"> elements</w:t>
      </w:r>
      <w:r w:rsidR="00AD5DB6" w:rsidRPr="004C6EF9">
        <w:rPr>
          <w:rStyle w:val="normaltextrun"/>
          <w:rFonts w:ascii="Calibri" w:hAnsi="Calibri" w:cs="Calibri"/>
          <w:color w:val="000000"/>
          <w:shd w:val="clear" w:color="auto" w:fill="FFFFFF"/>
          <w:lang w:val="en-US"/>
        </w:rPr>
        <w:t>)</w:t>
      </w:r>
      <w:r w:rsidRPr="004C6EF9">
        <w:rPr>
          <w:rStyle w:val="normaltextrun"/>
          <w:rFonts w:ascii="Calibri" w:hAnsi="Calibri" w:cs="Calibri"/>
          <w:color w:val="000000"/>
          <w:shd w:val="clear" w:color="auto" w:fill="FFFFFF"/>
          <w:lang w:val="en-US"/>
        </w:rPr>
        <w:t xml:space="preserve">, 2) Digital </w:t>
      </w:r>
      <w:r w:rsidR="00F37E99" w:rsidRPr="004C6EF9">
        <w:rPr>
          <w:rStyle w:val="normaltextrun"/>
          <w:rFonts w:ascii="Calibri" w:hAnsi="Calibri" w:cs="Calibri"/>
          <w:color w:val="000000"/>
          <w:shd w:val="clear" w:color="auto" w:fill="FFFFFF"/>
          <w:lang w:val="en-US"/>
        </w:rPr>
        <w:t>t</w:t>
      </w:r>
      <w:r w:rsidRPr="004C6EF9">
        <w:rPr>
          <w:rStyle w:val="normaltextrun"/>
          <w:rFonts w:ascii="Calibri" w:hAnsi="Calibri" w:cs="Calibri"/>
          <w:color w:val="000000"/>
          <w:shd w:val="clear" w:color="auto" w:fill="FFFFFF"/>
          <w:lang w:val="en-US"/>
        </w:rPr>
        <w:t xml:space="preserve">ransformation, 3) Enabling </w:t>
      </w:r>
      <w:r w:rsidR="00F37E99" w:rsidRPr="004C6EF9">
        <w:rPr>
          <w:rStyle w:val="normaltextrun"/>
          <w:rFonts w:ascii="Calibri" w:hAnsi="Calibri" w:cs="Calibri"/>
          <w:color w:val="000000"/>
          <w:shd w:val="clear" w:color="auto" w:fill="FFFFFF"/>
          <w:lang w:val="en-US"/>
        </w:rPr>
        <w:t>e</w:t>
      </w:r>
      <w:r w:rsidRPr="004C6EF9">
        <w:rPr>
          <w:rStyle w:val="normaltextrun"/>
          <w:rFonts w:ascii="Calibri" w:hAnsi="Calibri" w:cs="Calibri"/>
          <w:color w:val="000000"/>
          <w:shd w:val="clear" w:color="auto" w:fill="FFFFFF"/>
          <w:lang w:val="en-US"/>
        </w:rPr>
        <w:t xml:space="preserve">nvironment and 4) Resource </w:t>
      </w:r>
      <w:r w:rsidR="00F37E99" w:rsidRPr="004C6EF9">
        <w:rPr>
          <w:rStyle w:val="normaltextrun"/>
          <w:rFonts w:ascii="Calibri" w:hAnsi="Calibri" w:cs="Calibri"/>
          <w:color w:val="000000"/>
          <w:shd w:val="clear" w:color="auto" w:fill="FFFFFF"/>
          <w:lang w:val="en-US"/>
        </w:rPr>
        <w:t>m</w:t>
      </w:r>
      <w:r w:rsidRPr="004C6EF9">
        <w:rPr>
          <w:rStyle w:val="normaltextrun"/>
          <w:rFonts w:ascii="Calibri" w:hAnsi="Calibri" w:cs="Calibri"/>
          <w:color w:val="000000"/>
          <w:shd w:val="clear" w:color="auto" w:fill="FFFFFF"/>
          <w:lang w:val="en-US"/>
        </w:rPr>
        <w:t xml:space="preserve">obilization and </w:t>
      </w:r>
      <w:r w:rsidR="00F37E99" w:rsidRPr="004C6EF9">
        <w:rPr>
          <w:rStyle w:val="normaltextrun"/>
          <w:rFonts w:ascii="Calibri" w:hAnsi="Calibri" w:cs="Calibri"/>
          <w:color w:val="000000"/>
          <w:shd w:val="clear" w:color="auto" w:fill="FFFFFF"/>
          <w:lang w:val="en-US"/>
        </w:rPr>
        <w:t>i</w:t>
      </w:r>
      <w:r w:rsidRPr="004C6EF9">
        <w:rPr>
          <w:rStyle w:val="normaltextrun"/>
          <w:rFonts w:ascii="Calibri" w:hAnsi="Calibri" w:cs="Calibri"/>
          <w:color w:val="000000"/>
          <w:shd w:val="clear" w:color="auto" w:fill="FFFFFF"/>
          <w:lang w:val="en-US"/>
        </w:rPr>
        <w:t xml:space="preserve">nternational </w:t>
      </w:r>
      <w:r w:rsidR="00F37E99" w:rsidRPr="004C6EF9">
        <w:rPr>
          <w:rStyle w:val="normaltextrun"/>
          <w:rFonts w:ascii="Calibri" w:hAnsi="Calibri" w:cs="Calibri"/>
          <w:color w:val="000000"/>
          <w:shd w:val="clear" w:color="auto" w:fill="FFFFFF"/>
          <w:lang w:val="en-US"/>
        </w:rPr>
        <w:t>c</w:t>
      </w:r>
      <w:r w:rsidRPr="004C6EF9">
        <w:rPr>
          <w:rStyle w:val="normaltextrun"/>
          <w:rFonts w:ascii="Calibri" w:hAnsi="Calibri" w:cs="Calibri"/>
          <w:color w:val="000000"/>
          <w:shd w:val="clear" w:color="auto" w:fill="FFFFFF"/>
          <w:lang w:val="en-US"/>
        </w:rPr>
        <w:t>ooperation.</w:t>
      </w:r>
      <w:r w:rsidRPr="004C6EF9">
        <w:rPr>
          <w:rStyle w:val="eop"/>
          <w:rFonts w:ascii="Calibri" w:hAnsi="Calibri" w:cs="Calibri"/>
          <w:color w:val="000000"/>
          <w:shd w:val="clear" w:color="auto" w:fill="FFFFFF"/>
        </w:rPr>
        <w:t xml:space="preserve"> </w:t>
      </w:r>
    </w:p>
    <w:tbl>
      <w:tblPr>
        <w:tblStyle w:val="TableGrid"/>
        <w:tblW w:w="0" w:type="auto"/>
        <w:tblLook w:val="04A0" w:firstRow="1" w:lastRow="0" w:firstColumn="1" w:lastColumn="0" w:noHBand="0" w:noVBand="1"/>
      </w:tblPr>
      <w:tblGrid>
        <w:gridCol w:w="9629"/>
      </w:tblGrid>
      <w:tr w:rsidR="00B87B44" w:rsidRPr="004C6EF9" w14:paraId="0AA7E41A" w14:textId="77777777" w:rsidTr="004D36C6">
        <w:tc>
          <w:tcPr>
            <w:tcW w:w="9629" w:type="dxa"/>
          </w:tcPr>
          <w:p w14:paraId="20B2E92B" w14:textId="0A4CEFA3" w:rsidR="00B87B44" w:rsidRPr="004C6EF9" w:rsidRDefault="00AE26DC" w:rsidP="004D36C6">
            <w:pPr>
              <w:pStyle w:val="ListParagraph"/>
              <w:spacing w:after="120"/>
              <w:ind w:left="0"/>
              <w:contextualSpacing w:val="0"/>
              <w:rPr>
                <w:rFonts w:cstheme="minorHAnsi"/>
                <w:color w:val="000000" w:themeColor="text1"/>
                <w:szCs w:val="24"/>
              </w:rPr>
            </w:pPr>
            <w:bookmarkStart w:id="7" w:name="_Hlk88583537"/>
            <w:r w:rsidRPr="004C6EF9">
              <w:rPr>
                <w:rFonts w:eastAsiaTheme="minorEastAsia" w:cstheme="minorHAnsi"/>
                <w:szCs w:val="24"/>
              </w:rPr>
              <w:t xml:space="preserve">TDAG noted </w:t>
            </w:r>
            <w:r w:rsidR="00F10BC8">
              <w:rPr>
                <w:rFonts w:eastAsiaTheme="minorEastAsia" w:cstheme="minorHAnsi"/>
                <w:szCs w:val="24"/>
              </w:rPr>
              <w:t xml:space="preserve">the views presented </w:t>
            </w:r>
            <w:r w:rsidRPr="004C6EF9">
              <w:rPr>
                <w:rFonts w:eastAsiaTheme="minorEastAsia" w:cstheme="minorHAnsi"/>
                <w:szCs w:val="24"/>
              </w:rPr>
              <w:t>and thanked CITEL for sharing their views in the contribution.</w:t>
            </w:r>
          </w:p>
        </w:tc>
      </w:tr>
    </w:tbl>
    <w:bookmarkEnd w:id="7"/>
    <w:p w14:paraId="4B439349" w14:textId="4E2AC6F5" w:rsidR="004C62A4" w:rsidRPr="004C6EF9" w:rsidRDefault="003F44FD" w:rsidP="0011639E">
      <w:pPr>
        <w:keepNext/>
        <w:spacing w:after="120"/>
        <w:rPr>
          <w:rFonts w:cstheme="minorHAnsi"/>
          <w:b/>
          <w:bCs/>
          <w:szCs w:val="24"/>
        </w:rPr>
      </w:pPr>
      <w:r w:rsidRPr="004C6EF9">
        <w:rPr>
          <w:rFonts w:cstheme="minorHAnsi"/>
          <w:b/>
          <w:bCs/>
          <w:szCs w:val="24"/>
        </w:rPr>
        <w:t xml:space="preserve">Document </w:t>
      </w:r>
      <w:hyperlink r:id="rId34" w:history="1">
        <w:r w:rsidR="004C62A4" w:rsidRPr="004C6EF9">
          <w:rPr>
            <w:rStyle w:val="Hyperlink"/>
            <w:rFonts w:cstheme="minorHAnsi"/>
            <w:b/>
            <w:bCs/>
            <w:szCs w:val="24"/>
          </w:rPr>
          <w:t>DT</w:t>
        </w:r>
        <w:r w:rsidRPr="004C6EF9">
          <w:rPr>
            <w:rStyle w:val="Hyperlink"/>
            <w:rFonts w:cstheme="minorHAnsi"/>
            <w:b/>
            <w:bCs/>
            <w:szCs w:val="24"/>
          </w:rPr>
          <w:t>/</w:t>
        </w:r>
        <w:r w:rsidR="004C62A4" w:rsidRPr="004C6EF9">
          <w:rPr>
            <w:rStyle w:val="Hyperlink"/>
            <w:rFonts w:cstheme="minorHAnsi"/>
            <w:b/>
            <w:bCs/>
            <w:szCs w:val="24"/>
          </w:rPr>
          <w:t>12</w:t>
        </w:r>
        <w:r w:rsidR="006E781F" w:rsidRPr="004C6EF9">
          <w:rPr>
            <w:rStyle w:val="Hyperlink"/>
            <w:rFonts w:cstheme="minorHAnsi"/>
            <w:b/>
            <w:bCs/>
            <w:szCs w:val="24"/>
          </w:rPr>
          <w:t>(Rev.1)</w:t>
        </w:r>
      </w:hyperlink>
    </w:p>
    <w:p w14:paraId="281143BE" w14:textId="03C68F70" w:rsidR="003D0E4F" w:rsidRPr="004C6EF9" w:rsidRDefault="009E3A9F" w:rsidP="003D0E4F">
      <w:pPr>
        <w:spacing w:after="120"/>
        <w:rPr>
          <w:rFonts w:eastAsiaTheme="minorEastAsia" w:cstheme="minorHAnsi"/>
          <w:szCs w:val="24"/>
        </w:rPr>
      </w:pPr>
      <w:r>
        <w:rPr>
          <w:rFonts w:eastAsiaTheme="minorEastAsia" w:cstheme="minorHAnsi"/>
          <w:szCs w:val="24"/>
        </w:rPr>
        <w:t>S</w:t>
      </w:r>
      <w:r w:rsidRPr="004C6EF9">
        <w:rPr>
          <w:rFonts w:eastAsiaTheme="minorEastAsia" w:cstheme="minorHAnsi"/>
          <w:szCs w:val="24"/>
        </w:rPr>
        <w:t>ubmitted by the TDAG Chairman and based on the extensive discussions that took place during Agenda item 8.1</w:t>
      </w:r>
      <w:r w:rsidR="00894846">
        <w:rPr>
          <w:rFonts w:eastAsiaTheme="minorEastAsia" w:cstheme="minorHAnsi"/>
          <w:szCs w:val="24"/>
        </w:rPr>
        <w:t xml:space="preserve"> (Preparations for WTDC)</w:t>
      </w:r>
      <w:r>
        <w:rPr>
          <w:rFonts w:eastAsiaTheme="minorEastAsia" w:cstheme="minorHAnsi"/>
          <w:szCs w:val="24"/>
        </w:rPr>
        <w:t>, t</w:t>
      </w:r>
      <w:r w:rsidR="002C5B2E" w:rsidRPr="004C6EF9">
        <w:rPr>
          <w:rFonts w:eastAsiaTheme="minorEastAsia" w:cstheme="minorHAnsi"/>
          <w:szCs w:val="24"/>
        </w:rPr>
        <w:t xml:space="preserve">his document contains a compilation of </w:t>
      </w:r>
      <w:r w:rsidR="00F10BC8">
        <w:rPr>
          <w:rFonts w:eastAsiaTheme="minorEastAsia" w:cstheme="minorHAnsi"/>
          <w:szCs w:val="24"/>
        </w:rPr>
        <w:t xml:space="preserve">the </w:t>
      </w:r>
      <w:r w:rsidR="002C5B2E" w:rsidRPr="004C6EF9">
        <w:rPr>
          <w:rFonts w:eastAsiaTheme="minorEastAsia" w:cstheme="minorHAnsi"/>
          <w:szCs w:val="24"/>
        </w:rPr>
        <w:t xml:space="preserve">proposals and views </w:t>
      </w:r>
      <w:r w:rsidR="00624ABC">
        <w:rPr>
          <w:rFonts w:eastAsiaTheme="minorEastAsia" w:cstheme="minorHAnsi"/>
          <w:szCs w:val="24"/>
        </w:rPr>
        <w:t xml:space="preserve">to </w:t>
      </w:r>
      <w:r w:rsidR="002C5B2E" w:rsidRPr="004C6EF9">
        <w:rPr>
          <w:rFonts w:eastAsiaTheme="minorEastAsia" w:cstheme="minorHAnsi"/>
          <w:szCs w:val="24"/>
        </w:rPr>
        <w:t>revis</w:t>
      </w:r>
      <w:r w:rsidR="00624ABC">
        <w:rPr>
          <w:rFonts w:eastAsiaTheme="minorEastAsia" w:cstheme="minorHAnsi"/>
          <w:szCs w:val="24"/>
        </w:rPr>
        <w:t xml:space="preserve">e the </w:t>
      </w:r>
      <w:r w:rsidR="002C5B2E" w:rsidRPr="004C6EF9">
        <w:rPr>
          <w:rFonts w:eastAsiaTheme="minorEastAsia" w:cstheme="minorHAnsi"/>
          <w:szCs w:val="24"/>
        </w:rPr>
        <w:t>ITU-D Thematic Priorities</w:t>
      </w:r>
      <w:r w:rsidR="00D63AC5">
        <w:rPr>
          <w:rFonts w:eastAsiaTheme="minorEastAsia" w:cstheme="minorHAnsi"/>
          <w:szCs w:val="24"/>
        </w:rPr>
        <w:t xml:space="preserve">.  </w:t>
      </w:r>
      <w:r w:rsidR="00F10BC8">
        <w:rPr>
          <w:rFonts w:eastAsiaTheme="minorEastAsia" w:cstheme="minorHAnsi"/>
          <w:szCs w:val="24"/>
        </w:rPr>
        <w:t xml:space="preserve">Specifically, </w:t>
      </w:r>
      <w:r w:rsidR="00DB705A">
        <w:rPr>
          <w:rFonts w:eastAsiaTheme="minorEastAsia" w:cstheme="minorHAnsi"/>
          <w:szCs w:val="24"/>
        </w:rPr>
        <w:t>t</w:t>
      </w:r>
      <w:r w:rsidR="00D63AC5">
        <w:rPr>
          <w:rFonts w:eastAsiaTheme="minorEastAsia" w:cstheme="minorHAnsi"/>
          <w:szCs w:val="24"/>
        </w:rPr>
        <w:t>he contribution was</w:t>
      </w:r>
      <w:r>
        <w:rPr>
          <w:rFonts w:eastAsiaTheme="minorEastAsia" w:cstheme="minorHAnsi"/>
          <w:szCs w:val="24"/>
        </w:rPr>
        <w:t xml:space="preserve"> </w:t>
      </w:r>
      <w:r w:rsidR="002C5B2E" w:rsidRPr="004C6EF9">
        <w:rPr>
          <w:rFonts w:eastAsiaTheme="minorEastAsia" w:cstheme="minorHAnsi"/>
          <w:szCs w:val="24"/>
        </w:rPr>
        <w:t>based on t</w:t>
      </w:r>
      <w:r w:rsidR="003D0E4F" w:rsidRPr="004C6EF9">
        <w:rPr>
          <w:rFonts w:eastAsiaTheme="minorEastAsia" w:cstheme="minorHAnsi"/>
          <w:szCs w:val="24"/>
        </w:rPr>
        <w:t>he Proposal for ITU-D Thematic Priorities submitted by the TDAG-WG-RDTP Chairman (Document 31) and incorporat</w:t>
      </w:r>
      <w:r w:rsidR="002C5B2E" w:rsidRPr="004C6EF9">
        <w:rPr>
          <w:rFonts w:eastAsiaTheme="minorEastAsia" w:cstheme="minorHAnsi"/>
          <w:szCs w:val="24"/>
        </w:rPr>
        <w:t>es</w:t>
      </w:r>
      <w:r w:rsidR="003D0E4F" w:rsidRPr="004C6EF9">
        <w:rPr>
          <w:rFonts w:eastAsiaTheme="minorEastAsia" w:cstheme="minorHAnsi"/>
          <w:szCs w:val="24"/>
        </w:rPr>
        <w:t xml:space="preserve"> suggested revisions by APT, CEPT, RCC and CITEL (Documents 21, 26, 29 and DT/3) as well as relevant text from the report of </w:t>
      </w:r>
      <w:r w:rsidR="001225E1" w:rsidRPr="004C6EF9">
        <w:rPr>
          <w:rFonts w:eastAsiaTheme="minorEastAsia" w:cstheme="minorHAnsi"/>
          <w:szCs w:val="24"/>
        </w:rPr>
        <w:t>TDAG-</w:t>
      </w:r>
      <w:r w:rsidR="003D0E4F" w:rsidRPr="004C6EF9">
        <w:rPr>
          <w:rFonts w:eastAsiaTheme="minorEastAsia" w:cstheme="minorHAnsi"/>
          <w:szCs w:val="24"/>
        </w:rPr>
        <w:t>WG-SOP, which</w:t>
      </w:r>
      <w:r w:rsidR="001225E1" w:rsidRPr="004C6EF9">
        <w:rPr>
          <w:rFonts w:eastAsiaTheme="minorEastAsia" w:cstheme="minorHAnsi"/>
          <w:szCs w:val="24"/>
        </w:rPr>
        <w:t>,</w:t>
      </w:r>
      <w:r w:rsidR="003D0E4F" w:rsidRPr="004C6EF9">
        <w:rPr>
          <w:rFonts w:eastAsiaTheme="minorEastAsia" w:cstheme="minorHAnsi"/>
          <w:szCs w:val="24"/>
        </w:rPr>
        <w:t xml:space="preserve"> among other things</w:t>
      </w:r>
      <w:r w:rsidR="001225E1" w:rsidRPr="004C6EF9">
        <w:rPr>
          <w:rFonts w:eastAsiaTheme="minorEastAsia" w:cstheme="minorHAnsi"/>
          <w:szCs w:val="24"/>
        </w:rPr>
        <w:t>,</w:t>
      </w:r>
      <w:r w:rsidR="003D0E4F" w:rsidRPr="004C6EF9">
        <w:rPr>
          <w:rFonts w:eastAsiaTheme="minorEastAsia" w:cstheme="minorHAnsi"/>
          <w:szCs w:val="24"/>
        </w:rPr>
        <w:t xml:space="preserve"> reflected the views of ATU (Document </w:t>
      </w:r>
      <w:hyperlink r:id="rId35" w:history="1">
        <w:r w:rsidR="00BB731E" w:rsidRPr="004C6EF9">
          <w:rPr>
            <w:rStyle w:val="Hyperlink"/>
            <w:rFonts w:eastAsiaTheme="minorEastAsia" w:cstheme="minorHAnsi"/>
            <w:szCs w:val="24"/>
          </w:rPr>
          <w:t>TDAG-WG-SOP/14</w:t>
        </w:r>
      </w:hyperlink>
      <w:r w:rsidR="003D0E4F" w:rsidRPr="004C6EF9">
        <w:rPr>
          <w:rFonts w:eastAsiaTheme="minorEastAsia" w:cstheme="minorHAnsi"/>
          <w:szCs w:val="24"/>
        </w:rPr>
        <w:t xml:space="preserve">). </w:t>
      </w:r>
    </w:p>
    <w:p w14:paraId="396098A1" w14:textId="6082FA6F" w:rsidR="003D0E4F" w:rsidRPr="003A4174" w:rsidRDefault="003D0E4F" w:rsidP="003D0E4F">
      <w:pPr>
        <w:spacing w:after="120"/>
        <w:rPr>
          <w:rFonts w:eastAsiaTheme="minorEastAsia" w:cstheme="minorHAnsi"/>
          <w:b/>
          <w:bCs/>
          <w:szCs w:val="24"/>
        </w:rPr>
      </w:pPr>
      <w:r w:rsidRPr="00F10BC8">
        <w:rPr>
          <w:rFonts w:eastAsiaTheme="minorEastAsia" w:cstheme="minorHAnsi"/>
          <w:szCs w:val="24"/>
        </w:rPr>
        <w:t xml:space="preserve">In sum, three regions supported a set of </w:t>
      </w:r>
      <w:r w:rsidR="00BB731E" w:rsidRPr="0011639E">
        <w:rPr>
          <w:rFonts w:eastAsiaTheme="minorEastAsia" w:cstheme="minorHAnsi"/>
          <w:szCs w:val="24"/>
          <w:u w:val="single"/>
        </w:rPr>
        <w:t>four</w:t>
      </w:r>
      <w:r w:rsidRPr="00F10BC8">
        <w:rPr>
          <w:rFonts w:eastAsiaTheme="minorEastAsia" w:cstheme="minorHAnsi"/>
          <w:szCs w:val="24"/>
        </w:rPr>
        <w:t xml:space="preserve"> Thematic Priorities</w:t>
      </w:r>
      <w:r w:rsidR="00DB705A">
        <w:rPr>
          <w:rFonts w:eastAsiaTheme="minorEastAsia" w:cstheme="minorHAnsi"/>
          <w:szCs w:val="24"/>
        </w:rPr>
        <w:t>:</w:t>
      </w:r>
      <w:r w:rsidRPr="00F10BC8">
        <w:rPr>
          <w:rFonts w:eastAsiaTheme="minorEastAsia" w:cstheme="minorHAnsi"/>
          <w:szCs w:val="24"/>
        </w:rPr>
        <w:t xml:space="preserve"> (</w:t>
      </w:r>
      <w:r w:rsidR="00E26F55" w:rsidRPr="00F10BC8">
        <w:rPr>
          <w:rFonts w:eastAsiaTheme="minorEastAsia" w:cstheme="minorHAnsi"/>
          <w:szCs w:val="24"/>
        </w:rPr>
        <w:t xml:space="preserve">1) </w:t>
      </w:r>
      <w:r w:rsidRPr="00F10BC8">
        <w:rPr>
          <w:rFonts w:eastAsiaTheme="minorEastAsia" w:cstheme="minorHAnsi"/>
          <w:szCs w:val="24"/>
        </w:rPr>
        <w:t xml:space="preserve">Connectivity, </w:t>
      </w:r>
      <w:r w:rsidR="00E26F55" w:rsidRPr="00F10BC8">
        <w:rPr>
          <w:rFonts w:eastAsiaTheme="minorEastAsia" w:cstheme="minorHAnsi"/>
          <w:szCs w:val="24"/>
        </w:rPr>
        <w:t xml:space="preserve">2) </w:t>
      </w:r>
      <w:r w:rsidRPr="00F10BC8">
        <w:rPr>
          <w:rFonts w:eastAsiaTheme="minorEastAsia" w:cstheme="minorHAnsi"/>
          <w:szCs w:val="24"/>
        </w:rPr>
        <w:t xml:space="preserve">Digital Transformation, </w:t>
      </w:r>
      <w:r w:rsidR="00E26F55" w:rsidRPr="00F10BC8">
        <w:rPr>
          <w:rFonts w:eastAsiaTheme="minorEastAsia" w:cstheme="minorHAnsi"/>
          <w:szCs w:val="24"/>
        </w:rPr>
        <w:t xml:space="preserve">3) </w:t>
      </w:r>
      <w:r w:rsidRPr="00F10BC8">
        <w:rPr>
          <w:rFonts w:eastAsiaTheme="minorEastAsia" w:cstheme="minorHAnsi"/>
          <w:szCs w:val="24"/>
        </w:rPr>
        <w:t xml:space="preserve">Enabling Environment and Resource Mobilization and </w:t>
      </w:r>
      <w:r w:rsidR="00E26F55" w:rsidRPr="00F10BC8">
        <w:rPr>
          <w:rFonts w:eastAsiaTheme="minorEastAsia" w:cstheme="minorHAnsi"/>
          <w:szCs w:val="24"/>
        </w:rPr>
        <w:t xml:space="preserve">4) </w:t>
      </w:r>
      <w:r w:rsidRPr="00F10BC8">
        <w:rPr>
          <w:rFonts w:eastAsiaTheme="minorEastAsia" w:cstheme="minorHAnsi"/>
          <w:szCs w:val="24"/>
        </w:rPr>
        <w:t>International Cooperation), and three regions expresse</w:t>
      </w:r>
      <w:r w:rsidR="00624ABC" w:rsidRPr="00F10BC8">
        <w:rPr>
          <w:rFonts w:eastAsiaTheme="minorEastAsia" w:cstheme="minorHAnsi"/>
          <w:szCs w:val="24"/>
        </w:rPr>
        <w:t>d</w:t>
      </w:r>
      <w:r w:rsidRPr="00F10BC8">
        <w:rPr>
          <w:rFonts w:eastAsiaTheme="minorEastAsia" w:cstheme="minorHAnsi"/>
          <w:szCs w:val="24"/>
        </w:rPr>
        <w:t xml:space="preserve"> support for a set of</w:t>
      </w:r>
      <w:r w:rsidRPr="00DB705A">
        <w:rPr>
          <w:rFonts w:eastAsiaTheme="minorEastAsia" w:cstheme="minorHAnsi"/>
          <w:szCs w:val="24"/>
        </w:rPr>
        <w:t xml:space="preserve"> </w:t>
      </w:r>
      <w:r w:rsidR="00BB731E" w:rsidRPr="0011639E">
        <w:rPr>
          <w:rFonts w:eastAsiaTheme="minorEastAsia" w:cstheme="minorHAnsi"/>
          <w:szCs w:val="24"/>
          <w:u w:val="single"/>
        </w:rPr>
        <w:t>five</w:t>
      </w:r>
      <w:r w:rsidRPr="00DB705A">
        <w:rPr>
          <w:rFonts w:eastAsiaTheme="minorEastAsia" w:cstheme="minorHAnsi"/>
          <w:szCs w:val="24"/>
        </w:rPr>
        <w:t xml:space="preserve"> </w:t>
      </w:r>
      <w:r w:rsidRPr="00F10BC8">
        <w:rPr>
          <w:rFonts w:eastAsiaTheme="minorEastAsia" w:cstheme="minorHAnsi"/>
          <w:szCs w:val="24"/>
        </w:rPr>
        <w:t>Thematic Priorities</w:t>
      </w:r>
      <w:r w:rsidR="00DB705A">
        <w:rPr>
          <w:rFonts w:eastAsiaTheme="minorEastAsia" w:cstheme="minorHAnsi"/>
          <w:szCs w:val="24"/>
        </w:rPr>
        <w:t>:</w:t>
      </w:r>
      <w:r w:rsidRPr="00F10BC8">
        <w:rPr>
          <w:rFonts w:eastAsiaTheme="minorEastAsia" w:cstheme="minorHAnsi"/>
          <w:szCs w:val="24"/>
        </w:rPr>
        <w:t xml:space="preserve"> (</w:t>
      </w:r>
      <w:r w:rsidR="00E26F55" w:rsidRPr="00F10BC8">
        <w:rPr>
          <w:rFonts w:eastAsiaTheme="minorEastAsia" w:cstheme="minorHAnsi"/>
          <w:szCs w:val="24"/>
        </w:rPr>
        <w:t xml:space="preserve">1) </w:t>
      </w:r>
      <w:r w:rsidRPr="00F10BC8">
        <w:rPr>
          <w:rFonts w:eastAsiaTheme="minorEastAsia" w:cstheme="minorHAnsi"/>
          <w:szCs w:val="24"/>
        </w:rPr>
        <w:t xml:space="preserve">Connectivity, </w:t>
      </w:r>
      <w:r w:rsidR="00E26F55" w:rsidRPr="00F10BC8">
        <w:rPr>
          <w:rFonts w:eastAsiaTheme="minorEastAsia" w:cstheme="minorHAnsi"/>
          <w:szCs w:val="24"/>
        </w:rPr>
        <w:t xml:space="preserve">2) </w:t>
      </w:r>
      <w:r w:rsidRPr="00F10BC8">
        <w:rPr>
          <w:rFonts w:eastAsiaTheme="minorEastAsia" w:cstheme="minorHAnsi"/>
          <w:szCs w:val="24"/>
        </w:rPr>
        <w:t xml:space="preserve">Digital Transformation, </w:t>
      </w:r>
      <w:r w:rsidR="00E26F55" w:rsidRPr="00F10BC8">
        <w:rPr>
          <w:rFonts w:eastAsiaTheme="minorEastAsia" w:cstheme="minorHAnsi"/>
          <w:szCs w:val="24"/>
        </w:rPr>
        <w:t xml:space="preserve">3) </w:t>
      </w:r>
      <w:r w:rsidRPr="00F10BC8">
        <w:rPr>
          <w:rFonts w:eastAsiaTheme="minorEastAsia" w:cstheme="minorHAnsi"/>
          <w:szCs w:val="24"/>
        </w:rPr>
        <w:t xml:space="preserve">Enabling Environment, </w:t>
      </w:r>
      <w:r w:rsidR="00E26F55" w:rsidRPr="00F10BC8">
        <w:rPr>
          <w:rFonts w:eastAsiaTheme="minorEastAsia" w:cstheme="minorHAnsi"/>
          <w:szCs w:val="24"/>
        </w:rPr>
        <w:t xml:space="preserve">4) </w:t>
      </w:r>
      <w:r w:rsidRPr="00F10BC8">
        <w:rPr>
          <w:rFonts w:eastAsiaTheme="minorEastAsia" w:cstheme="minorHAnsi"/>
          <w:szCs w:val="24"/>
        </w:rPr>
        <w:t xml:space="preserve">Resource Mobilization and International Cooperation and </w:t>
      </w:r>
      <w:r w:rsidR="00E26F55" w:rsidRPr="00F10BC8">
        <w:rPr>
          <w:rFonts w:eastAsiaTheme="minorEastAsia" w:cstheme="minorHAnsi"/>
          <w:szCs w:val="24"/>
        </w:rPr>
        <w:t xml:space="preserve">5) </w:t>
      </w:r>
      <w:r w:rsidRPr="00F10BC8">
        <w:rPr>
          <w:rFonts w:eastAsiaTheme="minorEastAsia" w:cstheme="minorHAnsi"/>
          <w:szCs w:val="24"/>
        </w:rPr>
        <w:t>Building Confidence, Trust and Security in the Use of ICTs). CEPT, AP</w:t>
      </w:r>
      <w:r w:rsidR="00DB705A">
        <w:rPr>
          <w:rFonts w:eastAsiaTheme="minorEastAsia" w:cstheme="minorHAnsi"/>
          <w:szCs w:val="24"/>
        </w:rPr>
        <w:t>T</w:t>
      </w:r>
      <w:r w:rsidRPr="00F10BC8">
        <w:rPr>
          <w:rFonts w:eastAsiaTheme="minorEastAsia" w:cstheme="minorHAnsi"/>
          <w:szCs w:val="24"/>
        </w:rPr>
        <w:t xml:space="preserve"> and CITEL supported the former and RCC, ATU and the Arab States support</w:t>
      </w:r>
      <w:r w:rsidR="00624ABC" w:rsidRPr="00F10BC8">
        <w:rPr>
          <w:rFonts w:eastAsiaTheme="minorEastAsia" w:cstheme="minorHAnsi"/>
          <w:szCs w:val="24"/>
        </w:rPr>
        <w:t>ed</w:t>
      </w:r>
      <w:r w:rsidRPr="00F10BC8">
        <w:rPr>
          <w:rFonts w:eastAsiaTheme="minorEastAsia" w:cstheme="minorHAnsi"/>
          <w:szCs w:val="24"/>
        </w:rPr>
        <w:t xml:space="preserve"> the latter.</w:t>
      </w:r>
      <w:r w:rsidR="00624ABC" w:rsidRPr="00F10BC8">
        <w:rPr>
          <w:rFonts w:eastAsiaTheme="minorEastAsia" w:cstheme="minorHAnsi"/>
          <w:szCs w:val="24"/>
        </w:rPr>
        <w:t xml:space="preserve"> </w:t>
      </w:r>
      <w:r w:rsidR="00624ABC" w:rsidRPr="003A4174">
        <w:rPr>
          <w:rFonts w:eastAsiaTheme="minorEastAsia" w:cstheme="minorHAnsi"/>
          <w:szCs w:val="24"/>
        </w:rPr>
        <w:t xml:space="preserve">Those members that supported the set of four Thematic Priorities would include cybersecurity issues within Thematic Priority 1 </w:t>
      </w:r>
      <w:r w:rsidR="00DB705A" w:rsidRPr="003A4174">
        <w:rPr>
          <w:rFonts w:eastAsiaTheme="minorEastAsia" w:cstheme="minorHAnsi"/>
          <w:szCs w:val="24"/>
        </w:rPr>
        <w:t>on c</w:t>
      </w:r>
      <w:r w:rsidR="00624ABC" w:rsidRPr="003A4174">
        <w:rPr>
          <w:rFonts w:eastAsiaTheme="minorEastAsia" w:cstheme="minorHAnsi"/>
          <w:szCs w:val="24"/>
        </w:rPr>
        <w:t>onnectivity.</w:t>
      </w:r>
    </w:p>
    <w:tbl>
      <w:tblPr>
        <w:tblStyle w:val="TableGrid"/>
        <w:tblW w:w="0" w:type="auto"/>
        <w:tblLook w:val="04A0" w:firstRow="1" w:lastRow="0" w:firstColumn="1" w:lastColumn="0" w:noHBand="0" w:noVBand="1"/>
      </w:tblPr>
      <w:tblGrid>
        <w:gridCol w:w="9629"/>
      </w:tblGrid>
      <w:tr w:rsidR="003F44FD" w:rsidRPr="003A4174" w14:paraId="2DE52F50" w14:textId="77777777" w:rsidTr="002C5B2E">
        <w:tc>
          <w:tcPr>
            <w:tcW w:w="9629" w:type="dxa"/>
          </w:tcPr>
          <w:p w14:paraId="4DD98C38" w14:textId="1BCE57D5" w:rsidR="00AB4C35" w:rsidRPr="003A4174" w:rsidRDefault="003F44FD" w:rsidP="0066214A">
            <w:pPr>
              <w:pStyle w:val="ListParagraph"/>
              <w:spacing w:after="120"/>
              <w:ind w:left="0"/>
              <w:contextualSpacing w:val="0"/>
              <w:rPr>
                <w:rFonts w:eastAsiaTheme="minorEastAsia" w:cstheme="minorHAnsi"/>
                <w:szCs w:val="24"/>
              </w:rPr>
            </w:pPr>
            <w:r w:rsidRPr="003A4174">
              <w:rPr>
                <w:rFonts w:eastAsiaTheme="minorEastAsia" w:cstheme="minorHAnsi"/>
                <w:szCs w:val="24"/>
              </w:rPr>
              <w:t xml:space="preserve">TDAG agreed that the document as modified during the TDAG-21/2 Closing Plenary </w:t>
            </w:r>
            <w:r w:rsidR="00624ABC" w:rsidRPr="003A4174">
              <w:rPr>
                <w:rFonts w:eastAsiaTheme="minorEastAsia" w:cstheme="minorHAnsi"/>
                <w:szCs w:val="24"/>
              </w:rPr>
              <w:t>c</w:t>
            </w:r>
            <w:r w:rsidR="00DD4896" w:rsidRPr="003A4174">
              <w:rPr>
                <w:rFonts w:eastAsiaTheme="minorEastAsia" w:cstheme="minorHAnsi"/>
                <w:szCs w:val="24"/>
              </w:rPr>
              <w:t>ould</w:t>
            </w:r>
            <w:r w:rsidRPr="003A4174">
              <w:rPr>
                <w:rFonts w:eastAsiaTheme="minorEastAsia" w:cstheme="minorHAnsi"/>
                <w:szCs w:val="24"/>
              </w:rPr>
              <w:t xml:space="preserve"> serve as the basis for further proposals by </w:t>
            </w:r>
            <w:r w:rsidR="00A30942" w:rsidRPr="003A4174">
              <w:rPr>
                <w:rFonts w:eastAsiaTheme="minorEastAsia" w:cstheme="minorHAnsi"/>
                <w:szCs w:val="24"/>
              </w:rPr>
              <w:t>membership</w:t>
            </w:r>
            <w:r w:rsidRPr="003A4174">
              <w:rPr>
                <w:rFonts w:eastAsiaTheme="minorEastAsia" w:cstheme="minorHAnsi"/>
                <w:szCs w:val="24"/>
              </w:rPr>
              <w:t xml:space="preserve"> </w:t>
            </w:r>
            <w:r w:rsidR="00FE5853" w:rsidRPr="003A4174">
              <w:rPr>
                <w:rFonts w:eastAsiaTheme="minorEastAsia" w:cstheme="minorHAnsi"/>
                <w:szCs w:val="24"/>
              </w:rPr>
              <w:t xml:space="preserve">and the work of regional telecommunication organizations </w:t>
            </w:r>
            <w:r w:rsidRPr="003A4174">
              <w:rPr>
                <w:rFonts w:eastAsiaTheme="minorEastAsia" w:cstheme="minorHAnsi"/>
                <w:szCs w:val="24"/>
              </w:rPr>
              <w:t xml:space="preserve">in preparation for WTDC. </w:t>
            </w:r>
          </w:p>
        </w:tc>
      </w:tr>
    </w:tbl>
    <w:bookmarkEnd w:id="6"/>
    <w:p w14:paraId="5F80DC6D" w14:textId="04DA86CC" w:rsidR="00875209" w:rsidRPr="003A4174" w:rsidRDefault="00604DD1" w:rsidP="0011639E">
      <w:pPr>
        <w:pStyle w:val="ListParagraph"/>
        <w:keepNext/>
        <w:numPr>
          <w:ilvl w:val="1"/>
          <w:numId w:val="2"/>
        </w:numPr>
        <w:spacing w:after="120"/>
        <w:ind w:left="431" w:hanging="431"/>
        <w:contextualSpacing w:val="0"/>
        <w:rPr>
          <w:rFonts w:cstheme="minorHAnsi"/>
          <w:b/>
          <w:bCs/>
          <w:szCs w:val="24"/>
        </w:rPr>
      </w:pPr>
      <w:r w:rsidRPr="003A4174">
        <w:rPr>
          <w:rFonts w:cstheme="minorHAnsi"/>
          <w:b/>
          <w:bCs/>
          <w:szCs w:val="24"/>
        </w:rPr>
        <w:t>Report</w:t>
      </w:r>
      <w:r w:rsidR="00296088" w:rsidRPr="003A4174">
        <w:rPr>
          <w:rFonts w:cstheme="minorHAnsi"/>
          <w:b/>
          <w:bCs/>
          <w:szCs w:val="24"/>
        </w:rPr>
        <w:t xml:space="preserve"> </w:t>
      </w:r>
      <w:r w:rsidRPr="003A4174">
        <w:rPr>
          <w:rFonts w:cstheme="minorHAnsi"/>
          <w:b/>
          <w:bCs/>
          <w:szCs w:val="24"/>
        </w:rPr>
        <w:t>on</w:t>
      </w:r>
      <w:r w:rsidR="00296088" w:rsidRPr="003A4174">
        <w:rPr>
          <w:rFonts w:cstheme="minorHAnsi"/>
          <w:b/>
          <w:bCs/>
          <w:szCs w:val="24"/>
        </w:rPr>
        <w:t xml:space="preserve"> </w:t>
      </w:r>
      <w:r w:rsidRPr="003A4174">
        <w:rPr>
          <w:rFonts w:cstheme="minorHAnsi"/>
          <w:b/>
          <w:bCs/>
          <w:szCs w:val="24"/>
        </w:rPr>
        <w:t>the</w:t>
      </w:r>
      <w:r w:rsidR="00296088" w:rsidRPr="003A4174">
        <w:rPr>
          <w:rFonts w:cstheme="minorHAnsi"/>
          <w:b/>
          <w:bCs/>
          <w:szCs w:val="24"/>
        </w:rPr>
        <w:t xml:space="preserve"> </w:t>
      </w:r>
      <w:r w:rsidRPr="003A4174">
        <w:rPr>
          <w:rFonts w:cstheme="minorHAnsi"/>
          <w:b/>
          <w:bCs/>
          <w:szCs w:val="24"/>
        </w:rPr>
        <w:t>work</w:t>
      </w:r>
      <w:r w:rsidR="00296088" w:rsidRPr="003A4174">
        <w:rPr>
          <w:rFonts w:cstheme="minorHAnsi"/>
          <w:b/>
          <w:bCs/>
          <w:szCs w:val="24"/>
        </w:rPr>
        <w:t xml:space="preserve"> </w:t>
      </w:r>
      <w:r w:rsidRPr="003A4174">
        <w:rPr>
          <w:rFonts w:cstheme="minorHAnsi"/>
          <w:b/>
          <w:bCs/>
          <w:szCs w:val="24"/>
        </w:rPr>
        <w:t>of</w:t>
      </w:r>
      <w:r w:rsidR="00296088" w:rsidRPr="003A4174">
        <w:rPr>
          <w:rFonts w:cstheme="minorHAnsi"/>
          <w:b/>
          <w:bCs/>
          <w:szCs w:val="24"/>
        </w:rPr>
        <w:t xml:space="preserve"> </w:t>
      </w:r>
      <w:r w:rsidRPr="003A4174">
        <w:rPr>
          <w:rFonts w:cstheme="minorHAnsi"/>
          <w:b/>
          <w:bCs/>
          <w:szCs w:val="24"/>
        </w:rPr>
        <w:t>the</w:t>
      </w:r>
      <w:r w:rsidR="00296088" w:rsidRPr="003A4174">
        <w:rPr>
          <w:rFonts w:cstheme="minorHAnsi"/>
          <w:b/>
          <w:bCs/>
          <w:szCs w:val="24"/>
        </w:rPr>
        <w:t xml:space="preserve"> </w:t>
      </w:r>
      <w:r w:rsidRPr="003A4174">
        <w:rPr>
          <w:rFonts w:cstheme="minorHAnsi"/>
          <w:b/>
          <w:bCs/>
          <w:szCs w:val="24"/>
        </w:rPr>
        <w:t>TDAG-WG-SOP</w:t>
      </w:r>
    </w:p>
    <w:p w14:paraId="41F405E8" w14:textId="6528CEE2" w:rsidR="0035295E" w:rsidRPr="004C6EF9" w:rsidRDefault="0035295E" w:rsidP="0011639E">
      <w:pPr>
        <w:keepNext/>
        <w:spacing w:after="120"/>
        <w:rPr>
          <w:rFonts w:cstheme="minorHAnsi"/>
          <w:b/>
          <w:bCs/>
          <w:szCs w:val="24"/>
        </w:rPr>
      </w:pPr>
      <w:r w:rsidRPr="003A4174">
        <w:rPr>
          <w:rFonts w:cstheme="minorHAnsi"/>
          <w:b/>
          <w:bCs/>
          <w:szCs w:val="24"/>
          <w:lang w:val="pt-BR"/>
        </w:rPr>
        <w:t>Document</w:t>
      </w:r>
      <w:r w:rsidR="00296088" w:rsidRPr="003A4174">
        <w:rPr>
          <w:rFonts w:cstheme="minorHAnsi"/>
          <w:b/>
          <w:bCs/>
          <w:szCs w:val="24"/>
          <w:lang w:val="pt-BR"/>
        </w:rPr>
        <w:t xml:space="preserve"> </w:t>
      </w:r>
      <w:hyperlink r:id="rId36" w:history="1">
        <w:r w:rsidRPr="003A4174">
          <w:rPr>
            <w:rStyle w:val="Hyperlink"/>
            <w:rFonts w:cstheme="minorHAnsi"/>
            <w:b/>
            <w:bCs/>
            <w:szCs w:val="24"/>
            <w:lang w:val="pt-BR"/>
          </w:rPr>
          <w:t>18</w:t>
        </w:r>
      </w:hyperlink>
    </w:p>
    <w:p w14:paraId="6B9187DA" w14:textId="0A0E75E2" w:rsidR="00817AFC" w:rsidRPr="004C6EF9" w:rsidRDefault="00817AFC" w:rsidP="00817AFC">
      <w:pPr>
        <w:tabs>
          <w:tab w:val="clear" w:pos="1134"/>
          <w:tab w:val="clear" w:pos="1871"/>
          <w:tab w:val="clear" w:pos="2268"/>
        </w:tabs>
        <w:overflowPunct/>
        <w:autoSpaceDE/>
        <w:autoSpaceDN/>
        <w:adjustRightInd/>
        <w:spacing w:after="120"/>
        <w:rPr>
          <w:rFonts w:ascii="Segoe UI" w:hAnsi="Segoe UI" w:cs="Segoe UI"/>
          <w:szCs w:val="24"/>
          <w:lang w:eastAsia="en-GB"/>
        </w:rPr>
      </w:pPr>
      <w:r w:rsidRPr="004C6EF9">
        <w:rPr>
          <w:rFonts w:ascii="Calibri" w:hAnsi="Calibri" w:cs="Calibri"/>
          <w:szCs w:val="24"/>
          <w:lang w:val="en-US" w:eastAsia="en-GB"/>
        </w:rPr>
        <w:t>Th</w:t>
      </w:r>
      <w:r w:rsidR="00FD7BF9" w:rsidRPr="004C6EF9">
        <w:rPr>
          <w:rFonts w:ascii="Calibri" w:hAnsi="Calibri" w:cs="Calibri"/>
          <w:szCs w:val="24"/>
          <w:lang w:val="en-US" w:eastAsia="en-GB"/>
        </w:rPr>
        <w:t>is</w:t>
      </w:r>
      <w:r w:rsidR="00296088" w:rsidRPr="004C6EF9">
        <w:rPr>
          <w:rFonts w:ascii="Calibri" w:hAnsi="Calibri" w:cs="Calibri"/>
          <w:szCs w:val="24"/>
          <w:lang w:val="en-US" w:eastAsia="en-GB"/>
        </w:rPr>
        <w:t xml:space="preserve"> </w:t>
      </w:r>
      <w:r w:rsidR="00D63AC5">
        <w:rPr>
          <w:rFonts w:ascii="Calibri" w:hAnsi="Calibri" w:cs="Calibri"/>
          <w:szCs w:val="24"/>
          <w:lang w:val="en-US" w:eastAsia="en-GB"/>
        </w:rPr>
        <w:t xml:space="preserve">contribution from the </w:t>
      </w:r>
      <w:r w:rsidR="00D63AC5" w:rsidRPr="0011639E">
        <w:rPr>
          <w:rFonts w:ascii="Calibri" w:hAnsi="Calibri" w:cs="Calibri"/>
          <w:szCs w:val="24"/>
          <w:lang w:val="en-US" w:eastAsia="en-GB"/>
        </w:rPr>
        <w:t>Chairman of TDAG-WG-SOP</w:t>
      </w:r>
      <w:r w:rsidR="00D63AC5">
        <w:rPr>
          <w:rFonts w:ascii="Calibri" w:hAnsi="Calibri" w:cs="Calibri"/>
          <w:szCs w:val="24"/>
          <w:lang w:val="en-US" w:eastAsia="en-GB"/>
        </w:rPr>
        <w:t>, TDAG Vice Chair Ms. Blanc</w:t>
      </w:r>
      <w:r w:rsidR="00DB705A">
        <w:rPr>
          <w:rFonts w:ascii="Calibri" w:hAnsi="Calibri" w:cs="Calibri"/>
          <w:szCs w:val="24"/>
          <w:lang w:val="en-US" w:eastAsia="en-GB"/>
        </w:rPr>
        <w:t>a</w:t>
      </w:r>
      <w:r w:rsidR="00D63AC5">
        <w:rPr>
          <w:rFonts w:ascii="Calibri" w:hAnsi="Calibri" w:cs="Calibri"/>
          <w:szCs w:val="24"/>
          <w:lang w:val="en-US" w:eastAsia="en-GB"/>
        </w:rPr>
        <w:t xml:space="preserve"> Gonzales</w:t>
      </w:r>
      <w:r w:rsidR="00D63AC5" w:rsidRPr="0011639E">
        <w:rPr>
          <w:rFonts w:ascii="Calibri" w:hAnsi="Calibri" w:cs="Calibri"/>
          <w:szCs w:val="24"/>
          <w:lang w:val="en-US" w:eastAsia="en-GB"/>
        </w:rPr>
        <w:t xml:space="preserve"> </w:t>
      </w:r>
      <w:r w:rsidRPr="004C6EF9">
        <w:rPr>
          <w:rFonts w:ascii="Calibri" w:hAnsi="Calibri" w:cs="Calibri"/>
          <w:szCs w:val="24"/>
          <w:lang w:val="en-US" w:eastAsia="en-GB"/>
        </w:rPr>
        <w:t>summarize</w:t>
      </w:r>
      <w:r w:rsidR="00634F0C">
        <w:rPr>
          <w:rFonts w:ascii="Calibri" w:hAnsi="Calibri" w:cs="Calibri"/>
          <w:szCs w:val="24"/>
          <w:lang w:val="en-US" w:eastAsia="en-GB"/>
        </w:rPr>
        <w:t>d</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the</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work</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of</w:t>
      </w:r>
      <w:r w:rsidR="00296088" w:rsidRPr="004C6EF9">
        <w:rPr>
          <w:rFonts w:ascii="Calibri" w:hAnsi="Calibri" w:cs="Calibri"/>
          <w:szCs w:val="24"/>
          <w:lang w:val="en-US" w:eastAsia="en-GB"/>
        </w:rPr>
        <w:t xml:space="preserve"> </w:t>
      </w:r>
      <w:r w:rsidR="00C621E5" w:rsidRPr="004C6EF9">
        <w:rPr>
          <w:rFonts w:ascii="Calibri" w:hAnsi="Calibri" w:cs="Calibri"/>
          <w:szCs w:val="24"/>
          <w:lang w:val="en-US" w:eastAsia="en-GB"/>
        </w:rPr>
        <w:t>the TDAG Working Group on the Strategic and Operational Plans (</w:t>
      </w:r>
      <w:r w:rsidRPr="004C6EF9">
        <w:rPr>
          <w:rFonts w:ascii="Calibri" w:hAnsi="Calibri" w:cs="Calibri"/>
          <w:szCs w:val="24"/>
          <w:lang w:val="en-US" w:eastAsia="en-GB"/>
        </w:rPr>
        <w:t>TDAG-WG-SOP</w:t>
      </w:r>
      <w:r w:rsidR="00C621E5" w:rsidRPr="004C6EF9">
        <w:rPr>
          <w:rFonts w:ascii="Calibri" w:hAnsi="Calibri" w:cs="Calibri"/>
          <w:szCs w:val="24"/>
          <w:lang w:val="en-US" w:eastAsia="en-GB"/>
        </w:rPr>
        <w:t>)</w:t>
      </w:r>
      <w:r w:rsidR="00296088" w:rsidRPr="004C6EF9">
        <w:rPr>
          <w:rFonts w:ascii="Calibri" w:hAnsi="Calibri" w:cs="Calibri"/>
          <w:szCs w:val="24"/>
          <w:lang w:val="en-US" w:eastAsia="en-GB"/>
        </w:rPr>
        <w:t xml:space="preserve"> </w:t>
      </w:r>
      <w:r w:rsidR="00C621E5" w:rsidRPr="004C6EF9">
        <w:rPr>
          <w:rFonts w:ascii="Calibri" w:hAnsi="Calibri" w:cs="Calibri"/>
          <w:szCs w:val="24"/>
          <w:lang w:val="en-US" w:eastAsia="en-GB"/>
        </w:rPr>
        <w:t>from</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July</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2020</w:t>
      </w:r>
      <w:r w:rsidR="00296088" w:rsidRPr="004C6EF9">
        <w:rPr>
          <w:rFonts w:ascii="Calibri" w:hAnsi="Calibri" w:cs="Calibri"/>
          <w:szCs w:val="24"/>
          <w:lang w:val="en-US" w:eastAsia="en-GB"/>
        </w:rPr>
        <w:t xml:space="preserve"> </w:t>
      </w:r>
      <w:r w:rsidR="00C621E5" w:rsidRPr="004C6EF9">
        <w:rPr>
          <w:rFonts w:ascii="Calibri" w:hAnsi="Calibri" w:cs="Calibri"/>
          <w:szCs w:val="24"/>
          <w:lang w:val="en-US" w:eastAsia="en-GB"/>
        </w:rPr>
        <w:t>through</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October</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2021</w:t>
      </w:r>
      <w:r w:rsidR="00D63AC5">
        <w:rPr>
          <w:rFonts w:ascii="Calibri" w:hAnsi="Calibri" w:cs="Calibri"/>
          <w:szCs w:val="24"/>
          <w:lang w:val="en-US" w:eastAsia="en-GB"/>
        </w:rPr>
        <w:t xml:space="preserve">. During this period, the group </w:t>
      </w:r>
      <w:r w:rsidR="00634F0C">
        <w:rPr>
          <w:rFonts w:ascii="Calibri" w:hAnsi="Calibri" w:cs="Calibri"/>
          <w:szCs w:val="24"/>
          <w:lang w:val="en-US" w:eastAsia="en-GB"/>
        </w:rPr>
        <w:t>develop</w:t>
      </w:r>
      <w:r w:rsidR="00D63AC5">
        <w:rPr>
          <w:rFonts w:ascii="Calibri" w:hAnsi="Calibri" w:cs="Calibri"/>
          <w:szCs w:val="24"/>
          <w:lang w:val="en-US" w:eastAsia="en-GB"/>
        </w:rPr>
        <w:t>ed</w:t>
      </w:r>
      <w:r w:rsidR="00C621E5" w:rsidRPr="004C6EF9">
        <w:rPr>
          <w:rFonts w:ascii="Calibri" w:hAnsi="Calibri" w:cs="Calibri"/>
          <w:szCs w:val="24"/>
          <w:lang w:val="en-US" w:eastAsia="en-GB"/>
        </w:rPr>
        <w:t xml:space="preserve"> a draft WTDC Action Plan</w:t>
      </w:r>
      <w:r w:rsidR="00B610E1" w:rsidRPr="004C6EF9">
        <w:rPr>
          <w:rFonts w:ascii="Calibri" w:hAnsi="Calibri" w:cs="Calibri"/>
          <w:szCs w:val="24"/>
          <w:lang w:val="en-US" w:eastAsia="en-GB"/>
        </w:rPr>
        <w:t xml:space="preserve"> a</w:t>
      </w:r>
      <w:r w:rsidR="00634F0C">
        <w:rPr>
          <w:rFonts w:ascii="Calibri" w:hAnsi="Calibri" w:cs="Calibri"/>
          <w:szCs w:val="24"/>
          <w:lang w:val="en-US" w:eastAsia="en-GB"/>
        </w:rPr>
        <w:t xml:space="preserve">s well as other </w:t>
      </w:r>
      <w:r w:rsidR="00B610E1" w:rsidRPr="004C6EF9">
        <w:rPr>
          <w:rFonts w:ascii="Calibri" w:hAnsi="Calibri" w:cs="Calibri"/>
          <w:szCs w:val="24"/>
          <w:lang w:val="en-US" w:eastAsia="en-GB"/>
        </w:rPr>
        <w:t xml:space="preserve">recommendations </w:t>
      </w:r>
      <w:r w:rsidR="00634F0C">
        <w:rPr>
          <w:rFonts w:ascii="Calibri" w:hAnsi="Calibri" w:cs="Calibri"/>
          <w:szCs w:val="24"/>
          <w:lang w:val="en-US" w:eastAsia="en-GB"/>
        </w:rPr>
        <w:t>rel</w:t>
      </w:r>
      <w:r w:rsidR="00962B05">
        <w:rPr>
          <w:rFonts w:ascii="Calibri" w:hAnsi="Calibri" w:cs="Calibri"/>
          <w:szCs w:val="24"/>
          <w:lang w:val="en-US" w:eastAsia="en-GB"/>
        </w:rPr>
        <w:t xml:space="preserve">evant </w:t>
      </w:r>
      <w:r w:rsidR="00634F0C">
        <w:rPr>
          <w:rFonts w:ascii="Calibri" w:hAnsi="Calibri" w:cs="Calibri"/>
          <w:szCs w:val="24"/>
          <w:lang w:val="en-US" w:eastAsia="en-GB"/>
        </w:rPr>
        <w:t xml:space="preserve">to the ITU-D </w:t>
      </w:r>
      <w:r w:rsidR="00B97799">
        <w:rPr>
          <w:rFonts w:ascii="Calibri" w:hAnsi="Calibri" w:cs="Calibri"/>
          <w:szCs w:val="24"/>
          <w:lang w:val="en-US" w:eastAsia="en-GB"/>
        </w:rPr>
        <w:t>contribution t</w:t>
      </w:r>
      <w:r w:rsidR="00634F0C">
        <w:rPr>
          <w:rFonts w:ascii="Calibri" w:hAnsi="Calibri" w:cs="Calibri"/>
          <w:szCs w:val="24"/>
          <w:lang w:val="en-US" w:eastAsia="en-GB"/>
        </w:rPr>
        <w:t xml:space="preserve">o the ITU strategic plan. </w:t>
      </w:r>
      <w:r w:rsidR="00592587" w:rsidRPr="004C6EF9">
        <w:rPr>
          <w:rFonts w:ascii="Calibri" w:hAnsi="Calibri" w:cs="Calibri"/>
          <w:szCs w:val="24"/>
          <w:lang w:val="en-US" w:eastAsia="en-GB"/>
        </w:rPr>
        <w:t xml:space="preserve">The </w:t>
      </w:r>
      <w:r w:rsidR="00B610E1" w:rsidRPr="004C6EF9">
        <w:rPr>
          <w:rFonts w:ascii="Calibri" w:hAnsi="Calibri" w:cs="Calibri"/>
          <w:szCs w:val="24"/>
          <w:lang w:val="en-US" w:eastAsia="en-GB"/>
        </w:rPr>
        <w:t xml:space="preserve">draft WTDC Action Plan </w:t>
      </w:r>
      <w:r w:rsidR="00962B05">
        <w:rPr>
          <w:rFonts w:ascii="Calibri" w:hAnsi="Calibri" w:cs="Calibri"/>
          <w:szCs w:val="24"/>
          <w:lang w:val="en-US" w:eastAsia="en-GB"/>
        </w:rPr>
        <w:t xml:space="preserve">presented by the group </w:t>
      </w:r>
      <w:r w:rsidR="00592587" w:rsidRPr="004C6EF9">
        <w:rPr>
          <w:rFonts w:ascii="Calibri" w:hAnsi="Calibri" w:cs="Calibri"/>
          <w:szCs w:val="24"/>
          <w:lang w:val="en-US" w:eastAsia="en-GB"/>
        </w:rPr>
        <w:t xml:space="preserve">is based on the outcomes of the discussions in </w:t>
      </w:r>
      <w:r w:rsidR="004D0F28" w:rsidRPr="004C6EF9">
        <w:rPr>
          <w:rFonts w:ascii="Calibri" w:hAnsi="Calibri" w:cs="Calibri"/>
          <w:szCs w:val="24"/>
          <w:lang w:val="en-US" w:eastAsia="en-GB"/>
        </w:rPr>
        <w:t>TDAG-</w:t>
      </w:r>
      <w:r w:rsidR="00592587" w:rsidRPr="004C6EF9">
        <w:rPr>
          <w:rFonts w:ascii="Calibri" w:hAnsi="Calibri" w:cs="Calibri"/>
          <w:szCs w:val="24"/>
          <w:lang w:val="en-US" w:eastAsia="en-GB"/>
        </w:rPr>
        <w:t>WG-RDTP w</w:t>
      </w:r>
      <w:r w:rsidR="00962B05">
        <w:rPr>
          <w:rFonts w:ascii="Calibri" w:hAnsi="Calibri" w:cs="Calibri"/>
          <w:szCs w:val="24"/>
          <w:lang w:val="en-US" w:eastAsia="en-GB"/>
        </w:rPr>
        <w:t>hic</w:t>
      </w:r>
      <w:r w:rsidR="00592587" w:rsidRPr="004C6EF9">
        <w:rPr>
          <w:rFonts w:ascii="Calibri" w:hAnsi="Calibri" w:cs="Calibri"/>
          <w:szCs w:val="24"/>
          <w:lang w:val="en-US" w:eastAsia="en-GB"/>
        </w:rPr>
        <w:t xml:space="preserve">h </w:t>
      </w:r>
      <w:r w:rsidR="00962B05">
        <w:rPr>
          <w:rFonts w:ascii="Calibri" w:hAnsi="Calibri" w:cs="Calibri"/>
          <w:szCs w:val="24"/>
          <w:lang w:val="en-US" w:eastAsia="en-GB"/>
        </w:rPr>
        <w:t xml:space="preserve">defined </w:t>
      </w:r>
      <w:r w:rsidR="00592587" w:rsidRPr="004C6EF9">
        <w:rPr>
          <w:rFonts w:ascii="Calibri" w:hAnsi="Calibri" w:cs="Calibri"/>
          <w:szCs w:val="24"/>
          <w:lang w:val="en-US" w:eastAsia="en-GB"/>
        </w:rPr>
        <w:t>new ITU-D Thematic Priorities</w:t>
      </w:r>
      <w:r w:rsidR="008242B8">
        <w:rPr>
          <w:rFonts w:ascii="Calibri" w:hAnsi="Calibri" w:cs="Calibri"/>
          <w:szCs w:val="24"/>
          <w:lang w:val="en-US" w:eastAsia="en-GB"/>
        </w:rPr>
        <w:t>,</w:t>
      </w:r>
      <w:r w:rsidR="00592587" w:rsidRPr="004C6EF9">
        <w:rPr>
          <w:rFonts w:ascii="Calibri" w:hAnsi="Calibri" w:cs="Calibri"/>
          <w:szCs w:val="24"/>
          <w:lang w:val="en-US" w:eastAsia="en-GB"/>
        </w:rPr>
        <w:t xml:space="preserve"> tak</w:t>
      </w:r>
      <w:r w:rsidR="008242B8">
        <w:rPr>
          <w:rFonts w:ascii="Calibri" w:hAnsi="Calibri" w:cs="Calibri"/>
          <w:szCs w:val="24"/>
          <w:lang w:val="en-US" w:eastAsia="en-GB"/>
        </w:rPr>
        <w:t xml:space="preserve">ing </w:t>
      </w:r>
      <w:r w:rsidR="00592587" w:rsidRPr="004C6EF9">
        <w:rPr>
          <w:rFonts w:ascii="Calibri" w:hAnsi="Calibri" w:cs="Calibri"/>
          <w:szCs w:val="24"/>
          <w:lang w:val="en-US" w:eastAsia="en-GB"/>
        </w:rPr>
        <w:t xml:space="preserve">a modular approach </w:t>
      </w:r>
      <w:r w:rsidR="00962B05">
        <w:rPr>
          <w:rFonts w:ascii="Calibri" w:hAnsi="Calibri" w:cs="Calibri"/>
          <w:szCs w:val="24"/>
          <w:lang w:val="en-US" w:eastAsia="en-GB"/>
        </w:rPr>
        <w:t xml:space="preserve">to </w:t>
      </w:r>
      <w:r w:rsidR="00592587" w:rsidRPr="004C6EF9">
        <w:rPr>
          <w:rFonts w:ascii="Calibri" w:hAnsi="Calibri" w:cs="Calibri"/>
          <w:szCs w:val="24"/>
          <w:lang w:val="en-US" w:eastAsia="en-GB"/>
        </w:rPr>
        <w:t>accommodat</w:t>
      </w:r>
      <w:r w:rsidR="00962B05">
        <w:rPr>
          <w:rFonts w:ascii="Calibri" w:hAnsi="Calibri" w:cs="Calibri"/>
          <w:szCs w:val="24"/>
          <w:lang w:val="en-US" w:eastAsia="en-GB"/>
        </w:rPr>
        <w:t xml:space="preserve">e </w:t>
      </w:r>
      <w:r w:rsidR="00592587" w:rsidRPr="004C6EF9">
        <w:rPr>
          <w:rFonts w:ascii="Calibri" w:hAnsi="Calibri" w:cs="Calibri"/>
          <w:szCs w:val="24"/>
          <w:lang w:val="en-US" w:eastAsia="en-GB"/>
        </w:rPr>
        <w:t xml:space="preserve">two alternative sets of </w:t>
      </w:r>
      <w:r w:rsidR="00B610E1" w:rsidRPr="004C6EF9">
        <w:rPr>
          <w:rFonts w:ascii="Calibri" w:hAnsi="Calibri" w:cs="Calibri"/>
          <w:szCs w:val="24"/>
          <w:lang w:val="en-US" w:eastAsia="en-GB"/>
        </w:rPr>
        <w:t>TP</w:t>
      </w:r>
      <w:r w:rsidR="00592587" w:rsidRPr="004C6EF9">
        <w:rPr>
          <w:rFonts w:ascii="Calibri" w:hAnsi="Calibri" w:cs="Calibri"/>
          <w:szCs w:val="24"/>
          <w:lang w:val="en-US" w:eastAsia="en-GB"/>
        </w:rPr>
        <w:t xml:space="preserve">s (the sets of four </w:t>
      </w:r>
      <w:r w:rsidR="00FB5C1A" w:rsidRPr="004C6EF9">
        <w:rPr>
          <w:rFonts w:ascii="Calibri" w:hAnsi="Calibri" w:cs="Calibri"/>
          <w:szCs w:val="24"/>
          <w:lang w:val="en-US" w:eastAsia="en-GB"/>
        </w:rPr>
        <w:t>and</w:t>
      </w:r>
      <w:r w:rsidR="00592587" w:rsidRPr="004C6EF9">
        <w:rPr>
          <w:rFonts w:ascii="Calibri" w:hAnsi="Calibri" w:cs="Calibri"/>
          <w:szCs w:val="24"/>
          <w:lang w:val="en-US" w:eastAsia="en-GB"/>
        </w:rPr>
        <w:t xml:space="preserve"> </w:t>
      </w:r>
      <w:r w:rsidR="008242B8">
        <w:rPr>
          <w:rFonts w:ascii="Calibri" w:hAnsi="Calibri" w:cs="Calibri"/>
          <w:szCs w:val="24"/>
          <w:lang w:val="en-US" w:eastAsia="en-GB"/>
        </w:rPr>
        <w:t xml:space="preserve">of </w:t>
      </w:r>
      <w:r w:rsidR="00592587" w:rsidRPr="004C6EF9">
        <w:rPr>
          <w:rFonts w:ascii="Calibri" w:hAnsi="Calibri" w:cs="Calibri"/>
          <w:szCs w:val="24"/>
          <w:lang w:val="en-US" w:eastAsia="en-GB"/>
        </w:rPr>
        <w:t xml:space="preserve">five </w:t>
      </w:r>
      <w:r w:rsidR="00FB5C1A" w:rsidRPr="004C6EF9">
        <w:rPr>
          <w:rFonts w:ascii="Calibri" w:hAnsi="Calibri" w:cs="Calibri"/>
          <w:szCs w:val="24"/>
          <w:lang w:val="en-US" w:eastAsia="en-GB"/>
        </w:rPr>
        <w:t>TPs)</w:t>
      </w:r>
      <w:r w:rsidR="00592587" w:rsidRPr="004C6EF9">
        <w:rPr>
          <w:rFonts w:ascii="Calibri" w:hAnsi="Calibri" w:cs="Calibri"/>
          <w:szCs w:val="24"/>
          <w:lang w:val="en-US" w:eastAsia="en-GB"/>
        </w:rPr>
        <w:t xml:space="preserve">. </w:t>
      </w:r>
      <w:r w:rsidR="00FB5C1A" w:rsidRPr="004C6EF9">
        <w:rPr>
          <w:rFonts w:ascii="Calibri" w:hAnsi="Calibri" w:cs="Calibri"/>
          <w:szCs w:val="24"/>
          <w:lang w:val="en-US" w:eastAsia="en-GB"/>
        </w:rPr>
        <w:t xml:space="preserve">The </w:t>
      </w:r>
      <w:r w:rsidR="00FB5C1A" w:rsidRPr="004C6EF9">
        <w:rPr>
          <w:rFonts w:ascii="Calibri" w:hAnsi="Calibri" w:cs="Calibri"/>
          <w:szCs w:val="24"/>
          <w:lang w:val="en-US" w:eastAsia="en-GB"/>
        </w:rPr>
        <w:lastRenderedPageBreak/>
        <w:t xml:space="preserve">proposal </w:t>
      </w:r>
      <w:r w:rsidR="008242B8">
        <w:rPr>
          <w:rFonts w:ascii="Calibri" w:hAnsi="Calibri" w:cs="Calibri"/>
          <w:szCs w:val="24"/>
          <w:lang w:val="en-US" w:eastAsia="en-GB"/>
        </w:rPr>
        <w:t xml:space="preserve">also </w:t>
      </w:r>
      <w:r w:rsidR="00FB5C1A" w:rsidRPr="004C6EF9">
        <w:rPr>
          <w:rFonts w:ascii="Calibri" w:hAnsi="Calibri" w:cs="Calibri"/>
          <w:szCs w:val="24"/>
          <w:lang w:val="en-US" w:eastAsia="en-GB"/>
        </w:rPr>
        <w:t>outlines Objectives, Outcomes and Outputs</w:t>
      </w:r>
      <w:r w:rsidR="008242B8">
        <w:rPr>
          <w:rFonts w:ascii="Calibri" w:hAnsi="Calibri" w:cs="Calibri"/>
          <w:szCs w:val="24"/>
          <w:lang w:val="en-US" w:eastAsia="en-GB"/>
        </w:rPr>
        <w:t xml:space="preserve"> many of which had</w:t>
      </w:r>
      <w:r w:rsidR="00FB5C1A" w:rsidRPr="004C6EF9">
        <w:rPr>
          <w:rFonts w:ascii="Calibri" w:hAnsi="Calibri" w:cs="Calibri"/>
          <w:szCs w:val="24"/>
          <w:lang w:val="en-US" w:eastAsia="en-GB"/>
        </w:rPr>
        <w:t xml:space="preserve"> been agreed by participants in the </w:t>
      </w:r>
      <w:r w:rsidR="00733BAA" w:rsidRPr="004C6EF9">
        <w:rPr>
          <w:rFonts w:ascii="Calibri" w:hAnsi="Calibri" w:cs="Calibri"/>
          <w:szCs w:val="24"/>
          <w:lang w:val="en-US" w:eastAsia="en-GB"/>
        </w:rPr>
        <w:t>TDAG-</w:t>
      </w:r>
      <w:r w:rsidR="00FB5C1A" w:rsidRPr="004C6EF9">
        <w:rPr>
          <w:rFonts w:ascii="Calibri" w:hAnsi="Calibri" w:cs="Calibri"/>
          <w:szCs w:val="24"/>
          <w:lang w:val="en-US" w:eastAsia="en-GB"/>
        </w:rPr>
        <w:t>WG-SOP</w:t>
      </w:r>
      <w:r w:rsidR="006E2278" w:rsidRPr="004C6EF9">
        <w:rPr>
          <w:rFonts w:ascii="Calibri" w:hAnsi="Calibri" w:cs="Calibri"/>
          <w:szCs w:val="24"/>
          <w:lang w:val="en-US" w:eastAsia="en-GB"/>
        </w:rPr>
        <w:t xml:space="preserve"> </w:t>
      </w:r>
      <w:r w:rsidR="006E2278" w:rsidRPr="004C6EF9">
        <w:rPr>
          <w:szCs w:val="24"/>
          <w:lang w:val="en-US" w:eastAsia="en-GB"/>
        </w:rPr>
        <w:t>by consensu</w:t>
      </w:r>
      <w:r w:rsidR="00D63AC5">
        <w:rPr>
          <w:rFonts w:ascii="Calibri" w:hAnsi="Calibri" w:cs="Calibri"/>
          <w:szCs w:val="24"/>
          <w:lang w:val="en-US" w:eastAsia="en-GB"/>
        </w:rPr>
        <w:t>s</w:t>
      </w:r>
      <w:r w:rsidR="00FB5C1A" w:rsidRPr="004C6EF9">
        <w:rPr>
          <w:rFonts w:ascii="Calibri" w:hAnsi="Calibri" w:cs="Calibri"/>
          <w:szCs w:val="24"/>
          <w:lang w:val="en-US" w:eastAsia="en-GB"/>
        </w:rPr>
        <w:t>.</w:t>
      </w:r>
      <w:r w:rsidR="00296088" w:rsidRPr="004C6EF9">
        <w:rPr>
          <w:rFonts w:ascii="Calibri" w:hAnsi="Calibri" w:cs="Calibri"/>
          <w:szCs w:val="24"/>
          <w:lang w:val="en-US" w:eastAsia="en-GB"/>
        </w:rPr>
        <w:t xml:space="preserve"> </w:t>
      </w:r>
      <w:r w:rsidR="00296088" w:rsidRPr="004C6EF9">
        <w:rPr>
          <w:rFonts w:ascii="Calibri" w:hAnsi="Calibri" w:cs="Calibri"/>
          <w:szCs w:val="24"/>
          <w:lang w:eastAsia="en-GB"/>
        </w:rPr>
        <w:t xml:space="preserve"> </w:t>
      </w:r>
    </w:p>
    <w:p w14:paraId="3E83F029" w14:textId="7820E362" w:rsidR="00A62BF7" w:rsidRPr="004C6EF9" w:rsidRDefault="007E2E0E" w:rsidP="00A62BF7">
      <w:pPr>
        <w:tabs>
          <w:tab w:val="clear" w:pos="1134"/>
          <w:tab w:val="clear" w:pos="1871"/>
          <w:tab w:val="clear" w:pos="2268"/>
        </w:tabs>
        <w:overflowPunct/>
        <w:autoSpaceDE/>
        <w:autoSpaceDN/>
        <w:adjustRightInd/>
        <w:spacing w:before="0" w:after="240"/>
        <w:rPr>
          <w:rFonts w:ascii="Calibri" w:hAnsi="Calibri" w:cs="Calibri"/>
          <w:szCs w:val="24"/>
          <w:lang w:eastAsia="en-GB"/>
        </w:rPr>
      </w:pPr>
      <w:r>
        <w:rPr>
          <w:rFonts w:ascii="Calibri" w:hAnsi="Calibri" w:cs="Calibri"/>
          <w:szCs w:val="24"/>
          <w:lang w:val="en-US" w:eastAsia="en-GB"/>
        </w:rPr>
        <w:t xml:space="preserve">In the context of </w:t>
      </w:r>
      <w:r w:rsidR="00A62BF7" w:rsidRPr="004C6EF9">
        <w:rPr>
          <w:rFonts w:ascii="Calibri" w:hAnsi="Calibri" w:cs="Calibri"/>
          <w:szCs w:val="24"/>
          <w:lang w:val="en-US" w:eastAsia="en-GB"/>
        </w:rPr>
        <w:t xml:space="preserve">continued disagreement over whether TDAG should </w:t>
      </w:r>
      <w:r w:rsidR="00B97799">
        <w:rPr>
          <w:rFonts w:ascii="Calibri" w:hAnsi="Calibri" w:cs="Calibri"/>
          <w:szCs w:val="24"/>
          <w:lang w:val="en-US" w:eastAsia="en-GB"/>
        </w:rPr>
        <w:t xml:space="preserve">recommend </w:t>
      </w:r>
      <w:r w:rsidR="00E26F55" w:rsidRPr="004C6EF9">
        <w:rPr>
          <w:rFonts w:ascii="Calibri" w:hAnsi="Calibri" w:cs="Calibri"/>
          <w:szCs w:val="24"/>
          <w:lang w:val="en-US" w:eastAsia="en-GB"/>
        </w:rPr>
        <w:t>four</w:t>
      </w:r>
      <w:r w:rsidR="00A62BF7" w:rsidRPr="004C6EF9">
        <w:rPr>
          <w:rFonts w:ascii="Calibri" w:hAnsi="Calibri" w:cs="Calibri"/>
          <w:szCs w:val="24"/>
          <w:lang w:val="en-US" w:eastAsia="en-GB"/>
        </w:rPr>
        <w:t xml:space="preserve"> or </w:t>
      </w:r>
      <w:r w:rsidR="00E26F55" w:rsidRPr="004C6EF9">
        <w:rPr>
          <w:rFonts w:ascii="Calibri" w:hAnsi="Calibri" w:cs="Calibri"/>
          <w:szCs w:val="24"/>
          <w:lang w:val="en-US" w:eastAsia="en-GB"/>
        </w:rPr>
        <w:t>five</w:t>
      </w:r>
      <w:r w:rsidR="00A62BF7" w:rsidRPr="004C6EF9">
        <w:rPr>
          <w:rFonts w:ascii="Calibri" w:hAnsi="Calibri" w:cs="Calibri"/>
          <w:szCs w:val="24"/>
          <w:lang w:val="en-US" w:eastAsia="en-GB"/>
        </w:rPr>
        <w:t xml:space="preserve"> Thematic Priorities, the Chairman of TDAG-WG-SOP demonstrated how the seven ATU-proposed Objectives and their Outcomes integrate well with </w:t>
      </w:r>
      <w:r w:rsidR="00B97799">
        <w:rPr>
          <w:rFonts w:ascii="Calibri" w:hAnsi="Calibri" w:cs="Calibri"/>
          <w:szCs w:val="24"/>
          <w:lang w:val="en-US" w:eastAsia="en-GB"/>
        </w:rPr>
        <w:t xml:space="preserve">both </w:t>
      </w:r>
      <w:r w:rsidR="00A62BF7" w:rsidRPr="004C6EF9">
        <w:rPr>
          <w:rFonts w:ascii="Calibri" w:hAnsi="Calibri" w:cs="Calibri"/>
          <w:szCs w:val="24"/>
          <w:lang w:val="en-US" w:eastAsia="en-GB"/>
        </w:rPr>
        <w:t xml:space="preserve">sets </w:t>
      </w:r>
      <w:r w:rsidR="00B97799">
        <w:rPr>
          <w:rFonts w:ascii="Calibri" w:hAnsi="Calibri" w:cs="Calibri"/>
          <w:szCs w:val="24"/>
          <w:lang w:val="en-US" w:eastAsia="en-GB"/>
        </w:rPr>
        <w:t>(</w:t>
      </w:r>
      <w:r w:rsidR="00E26F55" w:rsidRPr="004C6EF9">
        <w:rPr>
          <w:rFonts w:ascii="Calibri" w:hAnsi="Calibri" w:cs="Calibri"/>
          <w:szCs w:val="24"/>
          <w:lang w:val="en-US" w:eastAsia="en-GB"/>
        </w:rPr>
        <w:t>four</w:t>
      </w:r>
      <w:r w:rsidR="00A62BF7" w:rsidRPr="004C6EF9">
        <w:rPr>
          <w:rFonts w:ascii="Calibri" w:hAnsi="Calibri" w:cs="Calibri"/>
          <w:szCs w:val="24"/>
          <w:lang w:val="en-US" w:eastAsia="en-GB"/>
        </w:rPr>
        <w:t xml:space="preserve"> </w:t>
      </w:r>
      <w:proofErr w:type="gramStart"/>
      <w:r w:rsidR="00A62BF7" w:rsidRPr="004C6EF9">
        <w:rPr>
          <w:rFonts w:ascii="Calibri" w:hAnsi="Calibri" w:cs="Calibri"/>
          <w:szCs w:val="24"/>
          <w:lang w:val="en-US" w:eastAsia="en-GB"/>
        </w:rPr>
        <w:t>or</w:t>
      </w:r>
      <w:proofErr w:type="gramEnd"/>
      <w:r w:rsidR="00A62BF7" w:rsidRPr="004C6EF9">
        <w:rPr>
          <w:rFonts w:ascii="Calibri" w:hAnsi="Calibri" w:cs="Calibri"/>
          <w:szCs w:val="24"/>
          <w:lang w:val="en-US" w:eastAsia="en-GB"/>
        </w:rPr>
        <w:t xml:space="preserve"> </w:t>
      </w:r>
      <w:r w:rsidR="00E26F55" w:rsidRPr="004C6EF9">
        <w:rPr>
          <w:rFonts w:ascii="Calibri" w:hAnsi="Calibri" w:cs="Calibri"/>
          <w:szCs w:val="24"/>
          <w:lang w:val="en-US" w:eastAsia="en-GB"/>
        </w:rPr>
        <w:t>five</w:t>
      </w:r>
      <w:r w:rsidR="00B97799">
        <w:rPr>
          <w:rFonts w:ascii="Calibri" w:hAnsi="Calibri" w:cs="Calibri"/>
          <w:szCs w:val="24"/>
          <w:lang w:val="en-US" w:eastAsia="en-GB"/>
        </w:rPr>
        <w:t>)</w:t>
      </w:r>
      <w:r w:rsidR="00A62BF7" w:rsidRPr="004C6EF9">
        <w:rPr>
          <w:rFonts w:ascii="Calibri" w:hAnsi="Calibri" w:cs="Calibri"/>
          <w:szCs w:val="24"/>
          <w:lang w:val="en-US" w:eastAsia="en-GB"/>
        </w:rPr>
        <w:t xml:space="preserve"> </w:t>
      </w:r>
      <w:r w:rsidR="00DB705A">
        <w:rPr>
          <w:rFonts w:ascii="Calibri" w:hAnsi="Calibri" w:cs="Calibri"/>
          <w:szCs w:val="24"/>
          <w:lang w:val="en-US" w:eastAsia="en-GB"/>
        </w:rPr>
        <w:t xml:space="preserve">of </w:t>
      </w:r>
      <w:r w:rsidR="00A62BF7" w:rsidRPr="004C6EF9">
        <w:rPr>
          <w:rFonts w:ascii="Calibri" w:hAnsi="Calibri" w:cs="Calibri"/>
          <w:szCs w:val="24"/>
          <w:lang w:val="en-US" w:eastAsia="en-GB"/>
        </w:rPr>
        <w:t>Thematic Priorities. </w:t>
      </w:r>
      <w:r w:rsidR="00A62BF7" w:rsidRPr="004C6EF9">
        <w:rPr>
          <w:rFonts w:ascii="Calibri" w:hAnsi="Calibri" w:cs="Calibri"/>
          <w:szCs w:val="24"/>
          <w:lang w:eastAsia="en-GB"/>
        </w:rPr>
        <w:t> </w:t>
      </w:r>
    </w:p>
    <w:p w14:paraId="0BCA2DBB" w14:textId="20C01101" w:rsidR="004B4DEC" w:rsidRPr="004C6EF9" w:rsidRDefault="004B4DEC" w:rsidP="004B4DEC">
      <w:pPr>
        <w:pStyle w:val="PlainText"/>
        <w:tabs>
          <w:tab w:val="left" w:pos="1290"/>
        </w:tabs>
        <w:spacing w:before="120" w:after="120"/>
        <w:rPr>
          <w:rFonts w:asciiTheme="minorHAnsi" w:hAnsiTheme="minorHAnsi" w:cstheme="minorHAnsi"/>
          <w:color w:val="000000" w:themeColor="text1"/>
          <w:sz w:val="24"/>
          <w:szCs w:val="24"/>
        </w:rPr>
      </w:pPr>
      <w:r w:rsidRPr="004C6EF9">
        <w:rPr>
          <w:rFonts w:asciiTheme="minorHAnsi" w:hAnsiTheme="minorHAnsi" w:cstheme="minorHAnsi"/>
          <w:color w:val="000000" w:themeColor="text1"/>
          <w:sz w:val="24"/>
          <w:szCs w:val="24"/>
        </w:rPr>
        <w:t xml:space="preserve">Following extensive discussions on the proposal for </w:t>
      </w:r>
      <w:r w:rsidR="00733BAA" w:rsidRPr="004C6EF9">
        <w:rPr>
          <w:rFonts w:asciiTheme="minorHAnsi" w:hAnsiTheme="minorHAnsi" w:cstheme="minorHAnsi"/>
          <w:color w:val="000000" w:themeColor="text1"/>
          <w:sz w:val="24"/>
          <w:szCs w:val="24"/>
        </w:rPr>
        <w:t xml:space="preserve">a </w:t>
      </w:r>
      <w:r w:rsidRPr="004C6EF9">
        <w:rPr>
          <w:rFonts w:asciiTheme="minorHAnsi" w:hAnsiTheme="minorHAnsi" w:cstheme="minorHAnsi"/>
          <w:color w:val="000000" w:themeColor="text1"/>
          <w:sz w:val="24"/>
          <w:szCs w:val="24"/>
        </w:rPr>
        <w:t>draft WTDC Action Plan, an offline drafting group led by the Chair</w:t>
      </w:r>
      <w:r w:rsidR="0011416A" w:rsidRPr="004C6EF9">
        <w:rPr>
          <w:rFonts w:asciiTheme="minorHAnsi" w:hAnsiTheme="minorHAnsi" w:cstheme="minorHAnsi"/>
          <w:color w:val="000000" w:themeColor="text1"/>
          <w:sz w:val="24"/>
          <w:szCs w:val="24"/>
        </w:rPr>
        <w:t>man</w:t>
      </w:r>
      <w:r w:rsidRPr="004C6EF9">
        <w:rPr>
          <w:rFonts w:asciiTheme="minorHAnsi" w:hAnsiTheme="minorHAnsi" w:cstheme="minorHAnsi"/>
          <w:color w:val="000000" w:themeColor="text1"/>
          <w:sz w:val="24"/>
          <w:szCs w:val="24"/>
        </w:rPr>
        <w:t xml:space="preserve"> of </w:t>
      </w:r>
      <w:r w:rsidR="0011416A" w:rsidRPr="004C6EF9">
        <w:rPr>
          <w:rFonts w:asciiTheme="minorHAnsi" w:hAnsiTheme="minorHAnsi" w:cstheme="minorHAnsi"/>
          <w:color w:val="000000" w:themeColor="text1"/>
          <w:sz w:val="24"/>
          <w:szCs w:val="24"/>
        </w:rPr>
        <w:t xml:space="preserve">the </w:t>
      </w:r>
      <w:r w:rsidRPr="004C6EF9">
        <w:rPr>
          <w:rFonts w:asciiTheme="minorHAnsi" w:hAnsiTheme="minorHAnsi" w:cstheme="minorHAnsi"/>
          <w:color w:val="000000" w:themeColor="text1"/>
          <w:sz w:val="24"/>
          <w:szCs w:val="24"/>
        </w:rPr>
        <w:t xml:space="preserve">TDAG-WG-SOP collected, compiled, and </w:t>
      </w:r>
      <w:proofErr w:type="spellStart"/>
      <w:r w:rsidRPr="004C6EF9">
        <w:rPr>
          <w:rFonts w:asciiTheme="minorHAnsi" w:hAnsiTheme="minorHAnsi" w:cstheme="minorHAnsi"/>
          <w:color w:val="000000" w:themeColor="text1"/>
          <w:sz w:val="24"/>
          <w:szCs w:val="24"/>
        </w:rPr>
        <w:t>analy</w:t>
      </w:r>
      <w:r w:rsidR="00B97799">
        <w:rPr>
          <w:rFonts w:asciiTheme="minorHAnsi" w:hAnsiTheme="minorHAnsi" w:cstheme="minorHAnsi"/>
          <w:color w:val="000000" w:themeColor="text1"/>
          <w:sz w:val="24"/>
          <w:szCs w:val="24"/>
        </w:rPr>
        <w:t>z</w:t>
      </w:r>
      <w:r w:rsidRPr="004C6EF9">
        <w:rPr>
          <w:rFonts w:asciiTheme="minorHAnsi" w:hAnsiTheme="minorHAnsi" w:cstheme="minorHAnsi"/>
          <w:color w:val="000000" w:themeColor="text1"/>
          <w:sz w:val="24"/>
          <w:szCs w:val="24"/>
        </w:rPr>
        <w:t>ed</w:t>
      </w:r>
      <w:proofErr w:type="spellEnd"/>
      <w:r w:rsidRPr="004C6EF9">
        <w:rPr>
          <w:rFonts w:asciiTheme="minorHAnsi" w:hAnsiTheme="minorHAnsi" w:cstheme="minorHAnsi"/>
          <w:color w:val="000000" w:themeColor="text1"/>
          <w:sz w:val="24"/>
          <w:szCs w:val="24"/>
        </w:rPr>
        <w:t xml:space="preserve"> input for the draft WTDC Action Plan and for the ITU-D </w:t>
      </w:r>
      <w:r w:rsidR="0011416A" w:rsidRPr="004C6EF9">
        <w:rPr>
          <w:rFonts w:asciiTheme="minorHAnsi" w:hAnsiTheme="minorHAnsi" w:cstheme="minorHAnsi"/>
          <w:color w:val="000000" w:themeColor="text1"/>
          <w:sz w:val="24"/>
          <w:szCs w:val="24"/>
        </w:rPr>
        <w:t>contribution to</w:t>
      </w:r>
      <w:r w:rsidRPr="004C6EF9">
        <w:rPr>
          <w:rFonts w:asciiTheme="minorHAnsi" w:hAnsiTheme="minorHAnsi" w:cstheme="minorHAnsi"/>
          <w:color w:val="000000" w:themeColor="text1"/>
          <w:sz w:val="24"/>
          <w:szCs w:val="24"/>
        </w:rPr>
        <w:t xml:space="preserve"> the ITU Strategic Plan. This output of TDAG </w:t>
      </w:r>
      <w:r w:rsidR="00496BE1" w:rsidRPr="004C6EF9">
        <w:rPr>
          <w:rFonts w:asciiTheme="minorHAnsi" w:hAnsiTheme="minorHAnsi" w:cstheme="minorHAnsi"/>
          <w:color w:val="000000" w:themeColor="text1"/>
          <w:sz w:val="24"/>
          <w:szCs w:val="24"/>
        </w:rPr>
        <w:t>will</w:t>
      </w:r>
      <w:r w:rsidRPr="004C6EF9">
        <w:rPr>
          <w:rFonts w:asciiTheme="minorHAnsi" w:hAnsiTheme="minorHAnsi" w:cstheme="minorHAnsi"/>
          <w:color w:val="000000" w:themeColor="text1"/>
          <w:sz w:val="24"/>
          <w:szCs w:val="24"/>
        </w:rPr>
        <w:t xml:space="preserve"> be available for the Council Working Group on Strategic and Financial Plans (CWG-SFP), which had been coordinating closely with </w:t>
      </w:r>
      <w:r w:rsidR="00AC0856" w:rsidRPr="004C6EF9">
        <w:rPr>
          <w:rFonts w:asciiTheme="minorHAnsi" w:hAnsiTheme="minorHAnsi" w:cstheme="minorHAnsi"/>
          <w:color w:val="000000" w:themeColor="text1"/>
          <w:sz w:val="24"/>
          <w:szCs w:val="24"/>
        </w:rPr>
        <w:t>TDAG-</w:t>
      </w:r>
      <w:r w:rsidRPr="004C6EF9">
        <w:rPr>
          <w:rFonts w:asciiTheme="minorHAnsi" w:hAnsiTheme="minorHAnsi" w:cstheme="minorHAnsi"/>
          <w:color w:val="000000" w:themeColor="text1"/>
          <w:sz w:val="24"/>
          <w:szCs w:val="24"/>
        </w:rPr>
        <w:t>WG-SOP and TDAG. The revised proposal for the draft TDAG output on the WTDC Action Plan is contained in Document DT/13.</w:t>
      </w:r>
    </w:p>
    <w:p w14:paraId="4C118771" w14:textId="607E53CA" w:rsidR="00E941C2" w:rsidRPr="004C6EF9" w:rsidRDefault="00E941C2" w:rsidP="00E941C2">
      <w:pPr>
        <w:tabs>
          <w:tab w:val="clear" w:pos="1134"/>
          <w:tab w:val="clear" w:pos="1871"/>
          <w:tab w:val="clear" w:pos="2268"/>
        </w:tabs>
        <w:overflowPunct/>
        <w:autoSpaceDE/>
        <w:autoSpaceDN/>
        <w:adjustRightInd/>
        <w:spacing w:before="0" w:after="240"/>
        <w:rPr>
          <w:rFonts w:ascii="Calibri" w:hAnsi="Calibri" w:cs="Calibri"/>
          <w:szCs w:val="24"/>
          <w:lang w:eastAsia="en-GB"/>
        </w:rPr>
      </w:pPr>
      <w:r w:rsidRPr="004C6EF9">
        <w:rPr>
          <w:rFonts w:ascii="Calibri" w:hAnsi="Calibri" w:cs="Calibri"/>
          <w:szCs w:val="24"/>
          <w:lang w:eastAsia="en-GB"/>
        </w:rPr>
        <w:t xml:space="preserve">With regards to </w:t>
      </w:r>
      <w:r w:rsidR="00FC791B" w:rsidRPr="004C6EF9">
        <w:rPr>
          <w:rFonts w:ascii="Calibri" w:hAnsi="Calibri" w:cs="Calibri"/>
          <w:szCs w:val="24"/>
          <w:lang w:eastAsia="en-GB"/>
        </w:rPr>
        <w:t xml:space="preserve">Outcomes and Outputs, further work will be required to reach agreement on language remaining in square brackets. Some of the main issues to be further clarified are the references to “digital economy” as opposed to “telecommunications/ICTs” as well as aligning the terminology referring to developing countries (including LDCs, LLDCs and economies in transition). </w:t>
      </w:r>
    </w:p>
    <w:tbl>
      <w:tblPr>
        <w:tblStyle w:val="TableGrid"/>
        <w:tblW w:w="0" w:type="auto"/>
        <w:tblLook w:val="04A0" w:firstRow="1" w:lastRow="0" w:firstColumn="1" w:lastColumn="0" w:noHBand="0" w:noVBand="1"/>
      </w:tblPr>
      <w:tblGrid>
        <w:gridCol w:w="9629"/>
      </w:tblGrid>
      <w:tr w:rsidR="00AE3CD7" w:rsidRPr="004C6EF9" w14:paraId="399B151D" w14:textId="77777777" w:rsidTr="0066214A">
        <w:tc>
          <w:tcPr>
            <w:tcW w:w="9629" w:type="dxa"/>
          </w:tcPr>
          <w:p w14:paraId="6E52A8D4" w14:textId="5622CD2C" w:rsidR="00AE3CD7" w:rsidRPr="004C6EF9" w:rsidRDefault="00AE3CD7" w:rsidP="00AE3CD7">
            <w:pPr>
              <w:pStyle w:val="PlainText"/>
              <w:tabs>
                <w:tab w:val="left" w:pos="1290"/>
              </w:tabs>
              <w:spacing w:after="120"/>
              <w:rPr>
                <w:rFonts w:asciiTheme="minorHAnsi" w:hAnsiTheme="minorHAnsi" w:cstheme="minorHAnsi"/>
                <w:color w:val="000000" w:themeColor="text1"/>
                <w:sz w:val="24"/>
                <w:szCs w:val="24"/>
              </w:rPr>
            </w:pPr>
            <w:r w:rsidRPr="004C6EF9">
              <w:rPr>
                <w:rFonts w:asciiTheme="minorHAnsi" w:hAnsiTheme="minorHAnsi" w:cstheme="minorHAnsi"/>
                <w:color w:val="000000" w:themeColor="text1"/>
                <w:sz w:val="24"/>
                <w:szCs w:val="24"/>
              </w:rPr>
              <w:t xml:space="preserve">Acknowledging that </w:t>
            </w:r>
            <w:r w:rsidR="00246121" w:rsidRPr="004C6EF9">
              <w:rPr>
                <w:rFonts w:asciiTheme="minorHAnsi" w:hAnsiTheme="minorHAnsi" w:cstheme="minorHAnsi"/>
                <w:color w:val="000000" w:themeColor="text1"/>
                <w:sz w:val="24"/>
                <w:szCs w:val="24"/>
              </w:rPr>
              <w:t>TDAG-</w:t>
            </w:r>
            <w:r w:rsidRPr="004C6EF9">
              <w:rPr>
                <w:rFonts w:asciiTheme="minorHAnsi" w:hAnsiTheme="minorHAnsi" w:cstheme="minorHAnsi"/>
                <w:color w:val="000000" w:themeColor="text1"/>
                <w:sz w:val="24"/>
                <w:szCs w:val="24"/>
              </w:rPr>
              <w:t xml:space="preserve">WG-SOP was tasked with coordinating the TDAG input </w:t>
            </w:r>
            <w:r w:rsidR="00373CEE" w:rsidRPr="004C6EF9">
              <w:rPr>
                <w:rFonts w:asciiTheme="minorHAnsi" w:hAnsiTheme="minorHAnsi" w:cstheme="minorHAnsi"/>
                <w:color w:val="000000" w:themeColor="text1"/>
                <w:sz w:val="24"/>
                <w:szCs w:val="24"/>
              </w:rPr>
              <w:t>to</w:t>
            </w:r>
            <w:r w:rsidRPr="004C6EF9">
              <w:rPr>
                <w:rFonts w:asciiTheme="minorHAnsi" w:hAnsiTheme="minorHAnsi" w:cstheme="minorHAnsi"/>
                <w:color w:val="000000" w:themeColor="text1"/>
                <w:sz w:val="24"/>
                <w:szCs w:val="24"/>
              </w:rPr>
              <w:t xml:space="preserve"> the ITU Strategic Plan and with preparing a draft of the WTDC Action Plan, TDAG noted the report, expressing appreciation for the work conducted and outcomes achieved by the </w:t>
            </w:r>
            <w:r w:rsidR="00246121" w:rsidRPr="004C6EF9">
              <w:rPr>
                <w:rFonts w:asciiTheme="minorHAnsi" w:hAnsiTheme="minorHAnsi" w:cstheme="minorHAnsi"/>
                <w:color w:val="000000" w:themeColor="text1"/>
                <w:sz w:val="24"/>
                <w:szCs w:val="24"/>
              </w:rPr>
              <w:t>TDAG-</w:t>
            </w:r>
            <w:r w:rsidRPr="004C6EF9">
              <w:rPr>
                <w:rFonts w:asciiTheme="minorHAnsi" w:hAnsiTheme="minorHAnsi" w:cstheme="minorHAnsi"/>
                <w:color w:val="000000" w:themeColor="text1"/>
                <w:sz w:val="24"/>
                <w:szCs w:val="24"/>
              </w:rPr>
              <w:t>WG</w:t>
            </w:r>
            <w:r w:rsidR="00246121" w:rsidRPr="004C6EF9">
              <w:rPr>
                <w:rFonts w:asciiTheme="minorHAnsi" w:hAnsiTheme="minorHAnsi" w:cstheme="minorHAnsi"/>
                <w:color w:val="000000" w:themeColor="text1"/>
                <w:sz w:val="24"/>
                <w:szCs w:val="24"/>
              </w:rPr>
              <w:t xml:space="preserve">-SOP </w:t>
            </w:r>
            <w:r w:rsidRPr="004C6EF9">
              <w:rPr>
                <w:rFonts w:asciiTheme="minorHAnsi" w:hAnsiTheme="minorHAnsi" w:cstheme="minorHAnsi"/>
                <w:color w:val="000000" w:themeColor="text1"/>
                <w:sz w:val="24"/>
                <w:szCs w:val="24"/>
              </w:rPr>
              <w:t>Chair</w:t>
            </w:r>
            <w:r w:rsidR="00F11FA2" w:rsidRPr="004C6EF9">
              <w:rPr>
                <w:rFonts w:asciiTheme="minorHAnsi" w:hAnsiTheme="minorHAnsi" w:cstheme="minorHAnsi"/>
                <w:color w:val="000000" w:themeColor="text1"/>
                <w:sz w:val="24"/>
                <w:szCs w:val="24"/>
              </w:rPr>
              <w:t>man</w:t>
            </w:r>
            <w:r w:rsidRPr="004C6EF9">
              <w:rPr>
                <w:rFonts w:asciiTheme="minorHAnsi" w:hAnsiTheme="minorHAnsi" w:cstheme="minorHAnsi"/>
                <w:color w:val="000000" w:themeColor="text1"/>
                <w:sz w:val="24"/>
                <w:szCs w:val="24"/>
              </w:rPr>
              <w:t xml:space="preserve">, the Vice </w:t>
            </w:r>
            <w:r w:rsidR="00F11FA2" w:rsidRPr="004C6EF9">
              <w:rPr>
                <w:rFonts w:asciiTheme="minorHAnsi" w:hAnsiTheme="minorHAnsi" w:cstheme="minorHAnsi"/>
                <w:color w:val="000000" w:themeColor="text1"/>
                <w:sz w:val="24"/>
                <w:szCs w:val="24"/>
              </w:rPr>
              <w:t>Chairmen</w:t>
            </w:r>
            <w:r w:rsidRPr="004C6EF9">
              <w:rPr>
                <w:rFonts w:asciiTheme="minorHAnsi" w:hAnsiTheme="minorHAnsi" w:cstheme="minorHAnsi"/>
                <w:color w:val="000000" w:themeColor="text1"/>
                <w:sz w:val="24"/>
                <w:szCs w:val="24"/>
              </w:rPr>
              <w:t>, and all participants in the group.</w:t>
            </w:r>
          </w:p>
          <w:p w14:paraId="4E69A384" w14:textId="03590425" w:rsidR="00AE3CD7" w:rsidRPr="004C6EF9" w:rsidRDefault="00AE3CD7" w:rsidP="00AE3CD7">
            <w:pPr>
              <w:pStyle w:val="PlainText"/>
              <w:tabs>
                <w:tab w:val="left" w:pos="1290"/>
              </w:tabs>
              <w:spacing w:after="120"/>
              <w:rPr>
                <w:rFonts w:asciiTheme="minorHAnsi" w:hAnsiTheme="minorHAnsi" w:cstheme="minorHAnsi"/>
                <w:color w:val="000000" w:themeColor="text1"/>
                <w:sz w:val="24"/>
                <w:szCs w:val="24"/>
              </w:rPr>
            </w:pPr>
            <w:r w:rsidRPr="004C6EF9">
              <w:rPr>
                <w:rFonts w:asciiTheme="minorHAnsi" w:hAnsiTheme="minorHAnsi" w:cstheme="minorHAnsi"/>
                <w:color w:val="000000" w:themeColor="text1"/>
                <w:sz w:val="24"/>
                <w:szCs w:val="24"/>
              </w:rPr>
              <w:t>TDAG agreed that the Outcomes and Outputs listed in the document, as revised during the TDAG-21/2</w:t>
            </w:r>
            <w:r w:rsidR="00866D7D" w:rsidRPr="004C6EF9">
              <w:rPr>
                <w:rFonts w:asciiTheme="minorHAnsi" w:hAnsiTheme="minorHAnsi" w:cstheme="minorHAnsi"/>
                <w:color w:val="000000" w:themeColor="text1"/>
                <w:sz w:val="24"/>
                <w:szCs w:val="24"/>
              </w:rPr>
              <w:t xml:space="preserve"> and contained in </w:t>
            </w:r>
            <w:r w:rsidR="00866D7D" w:rsidRPr="004C6EF9">
              <w:rPr>
                <w:rFonts w:asciiTheme="minorHAnsi" w:hAnsiTheme="minorHAnsi" w:cstheme="minorHAnsi"/>
                <w:b/>
                <w:bCs/>
                <w:color w:val="000000" w:themeColor="text1"/>
                <w:sz w:val="24"/>
                <w:szCs w:val="24"/>
              </w:rPr>
              <w:t xml:space="preserve">Document </w:t>
            </w:r>
            <w:hyperlink r:id="rId37" w:history="1">
              <w:r w:rsidR="00866D7D" w:rsidRPr="004C6EF9">
                <w:rPr>
                  <w:rStyle w:val="Hyperlink"/>
                  <w:rFonts w:asciiTheme="minorHAnsi" w:hAnsiTheme="minorHAnsi" w:cstheme="minorHAnsi"/>
                  <w:b/>
                  <w:bCs/>
                  <w:sz w:val="24"/>
                  <w:szCs w:val="24"/>
                </w:rPr>
                <w:t>DT/13</w:t>
              </w:r>
            </w:hyperlink>
            <w:r w:rsidRPr="004C6EF9">
              <w:rPr>
                <w:rFonts w:asciiTheme="minorHAnsi" w:hAnsiTheme="minorHAnsi" w:cstheme="minorHAnsi"/>
                <w:color w:val="000000" w:themeColor="text1"/>
                <w:sz w:val="24"/>
                <w:szCs w:val="24"/>
              </w:rPr>
              <w:t xml:space="preserve">, </w:t>
            </w:r>
            <w:r w:rsidR="00DE3F04">
              <w:rPr>
                <w:rFonts w:asciiTheme="minorHAnsi" w:hAnsiTheme="minorHAnsi" w:cstheme="minorHAnsi"/>
                <w:color w:val="000000" w:themeColor="text1"/>
                <w:sz w:val="24"/>
                <w:szCs w:val="24"/>
              </w:rPr>
              <w:t>may</w:t>
            </w:r>
            <w:r w:rsidR="004D2D62">
              <w:rPr>
                <w:rFonts w:asciiTheme="minorHAnsi" w:hAnsiTheme="minorHAnsi" w:cstheme="minorHAnsi"/>
                <w:color w:val="000000" w:themeColor="text1"/>
                <w:sz w:val="24"/>
                <w:szCs w:val="24"/>
              </w:rPr>
              <w:t xml:space="preserve"> </w:t>
            </w:r>
            <w:r w:rsidRPr="004C6EF9">
              <w:rPr>
                <w:rFonts w:asciiTheme="minorHAnsi" w:hAnsiTheme="minorHAnsi" w:cstheme="minorHAnsi"/>
                <w:color w:val="000000" w:themeColor="text1"/>
                <w:sz w:val="24"/>
                <w:szCs w:val="24"/>
              </w:rPr>
              <w:t xml:space="preserve">serve as the basis for further proposals for revision and refinement by ITU Member States and their delegations in preparation for WTDC. The areas highlighted in red signify areas that lack consensus and will remain in square brackets to identify them as such for all negotiations and discussions in the lead up to WTDC.  </w:t>
            </w:r>
          </w:p>
          <w:p w14:paraId="0E1AEA4C" w14:textId="0900BC70" w:rsidR="00AE3CD7" w:rsidRPr="004C6EF9" w:rsidRDefault="00AE3CD7" w:rsidP="0066214A">
            <w:pPr>
              <w:pStyle w:val="PlainText"/>
              <w:tabs>
                <w:tab w:val="left" w:pos="1290"/>
              </w:tabs>
              <w:spacing w:before="120" w:after="120"/>
              <w:rPr>
                <w:rFonts w:asciiTheme="minorHAnsi" w:hAnsiTheme="minorHAnsi" w:cstheme="minorHAnsi"/>
                <w:color w:val="000000" w:themeColor="text1"/>
                <w:sz w:val="24"/>
                <w:szCs w:val="24"/>
              </w:rPr>
            </w:pPr>
            <w:r w:rsidRPr="004C6EF9">
              <w:rPr>
                <w:rFonts w:asciiTheme="minorHAnsi" w:hAnsiTheme="minorHAnsi" w:cstheme="minorHAnsi"/>
                <w:color w:val="000000" w:themeColor="text1"/>
                <w:sz w:val="24"/>
                <w:szCs w:val="24"/>
              </w:rPr>
              <w:t xml:space="preserve">The revised Outcomes and Outputs will be available to the Council Working Group on Strategic and Financial Plans (CWG-SFP) which has committed to reflect the substance appropriately in the new </w:t>
            </w:r>
            <w:r w:rsidR="00E941C2" w:rsidRPr="004C6EF9">
              <w:rPr>
                <w:rFonts w:asciiTheme="minorHAnsi" w:hAnsiTheme="minorHAnsi" w:cstheme="minorHAnsi"/>
                <w:color w:val="000000" w:themeColor="text1"/>
                <w:sz w:val="24"/>
                <w:szCs w:val="24"/>
              </w:rPr>
              <w:t xml:space="preserve">ITU </w:t>
            </w:r>
            <w:r w:rsidRPr="004C6EF9">
              <w:rPr>
                <w:rFonts w:asciiTheme="minorHAnsi" w:hAnsiTheme="minorHAnsi" w:cstheme="minorHAnsi"/>
                <w:color w:val="000000" w:themeColor="text1"/>
                <w:sz w:val="24"/>
                <w:szCs w:val="24"/>
              </w:rPr>
              <w:t xml:space="preserve">Strategic Plan. Following the first draft of the new ITU Strategic Plan which will be available in December 2021 for the January 2022 meetings of </w:t>
            </w:r>
            <w:r w:rsidR="00E941C2" w:rsidRPr="004C6EF9">
              <w:rPr>
                <w:rFonts w:asciiTheme="minorHAnsi" w:hAnsiTheme="minorHAnsi" w:cstheme="minorHAnsi"/>
                <w:color w:val="000000" w:themeColor="text1"/>
                <w:sz w:val="24"/>
                <w:szCs w:val="24"/>
              </w:rPr>
              <w:t>CWG-SFP</w:t>
            </w:r>
            <w:r w:rsidRPr="004C6EF9">
              <w:rPr>
                <w:rFonts w:asciiTheme="minorHAnsi" w:hAnsiTheme="minorHAnsi" w:cstheme="minorHAnsi"/>
                <w:color w:val="000000" w:themeColor="text1"/>
                <w:sz w:val="24"/>
                <w:szCs w:val="24"/>
              </w:rPr>
              <w:t xml:space="preserve">, BDT </w:t>
            </w:r>
            <w:r w:rsidR="00F10BC8">
              <w:rPr>
                <w:rFonts w:asciiTheme="minorHAnsi" w:hAnsiTheme="minorHAnsi" w:cstheme="minorHAnsi"/>
                <w:color w:val="000000" w:themeColor="text1"/>
                <w:sz w:val="24"/>
                <w:szCs w:val="24"/>
              </w:rPr>
              <w:t xml:space="preserve">indicated that it could </w:t>
            </w:r>
            <w:r w:rsidRPr="004C6EF9">
              <w:rPr>
                <w:rFonts w:asciiTheme="minorHAnsi" w:hAnsiTheme="minorHAnsi" w:cstheme="minorHAnsi"/>
                <w:color w:val="000000" w:themeColor="text1"/>
                <w:sz w:val="24"/>
                <w:szCs w:val="24"/>
              </w:rPr>
              <w:t xml:space="preserve">provide an updated draft WTDC Action Plan with necessary adjustments to align with the framework of the Strategic Plan. </w:t>
            </w:r>
          </w:p>
        </w:tc>
      </w:tr>
    </w:tbl>
    <w:p w14:paraId="201013C7" w14:textId="77777777" w:rsidR="006F32CA" w:rsidRPr="004C6EF9" w:rsidRDefault="006F32CA" w:rsidP="0011639E">
      <w:pPr>
        <w:keepNext/>
        <w:tabs>
          <w:tab w:val="clear" w:pos="1134"/>
        </w:tabs>
        <w:spacing w:after="120"/>
        <w:rPr>
          <w:rFonts w:cstheme="minorHAnsi"/>
          <w:b/>
          <w:bCs/>
          <w:szCs w:val="24"/>
        </w:rPr>
      </w:pPr>
      <w:r w:rsidRPr="004C6EF9">
        <w:rPr>
          <w:rFonts w:cstheme="minorHAnsi"/>
          <w:b/>
          <w:bCs/>
          <w:szCs w:val="24"/>
        </w:rPr>
        <w:t xml:space="preserve">Document </w:t>
      </w:r>
      <w:hyperlink r:id="rId38" w:history="1">
        <w:r w:rsidRPr="004C6EF9">
          <w:rPr>
            <w:rStyle w:val="Hyperlink"/>
            <w:rFonts w:cstheme="minorHAnsi"/>
            <w:b/>
            <w:bCs/>
            <w:szCs w:val="24"/>
          </w:rPr>
          <w:t>DT/6</w:t>
        </w:r>
      </w:hyperlink>
    </w:p>
    <w:p w14:paraId="23D37C81" w14:textId="2E6BE416" w:rsidR="006F32CA" w:rsidRPr="004C6EF9" w:rsidRDefault="006F32CA" w:rsidP="006F32CA">
      <w:pPr>
        <w:tabs>
          <w:tab w:val="clear" w:pos="1134"/>
        </w:tabs>
        <w:spacing w:after="120"/>
        <w:rPr>
          <w:rStyle w:val="normaltextrun"/>
          <w:rFonts w:ascii="Calibri" w:hAnsi="Calibri" w:cs="Calibri"/>
          <w:color w:val="000000"/>
          <w:shd w:val="clear" w:color="auto" w:fill="FFFFFF"/>
        </w:rPr>
      </w:pPr>
      <w:r w:rsidRPr="004C6EF9">
        <w:rPr>
          <w:rStyle w:val="normaltextrun"/>
          <w:rFonts w:ascii="Calibri" w:hAnsi="Calibri" w:cs="Calibri"/>
          <w:color w:val="000000"/>
          <w:shd w:val="clear" w:color="auto" w:fill="FFFFFF"/>
        </w:rPr>
        <w:t>Th</w:t>
      </w:r>
      <w:r w:rsidR="00FD7BF9" w:rsidRPr="004C6EF9">
        <w:rPr>
          <w:rStyle w:val="normaltextrun"/>
          <w:rFonts w:ascii="Calibri" w:hAnsi="Calibri" w:cs="Calibri"/>
          <w:color w:val="000000"/>
          <w:shd w:val="clear" w:color="auto" w:fill="FFFFFF"/>
        </w:rPr>
        <w:t>is</w:t>
      </w:r>
      <w:r w:rsidRPr="004C6EF9">
        <w:rPr>
          <w:rStyle w:val="normaltextrun"/>
          <w:rFonts w:ascii="Calibri" w:hAnsi="Calibri" w:cs="Calibri"/>
          <w:color w:val="000000"/>
          <w:shd w:val="clear" w:color="auto" w:fill="FFFFFF"/>
        </w:rPr>
        <w:t xml:space="preserve"> document contains the first draft of the WTDC Action Plan, aiming to outline how the document could look if it follows the framework crafted in TDAG-WG-SOP. The proposal follow</w:t>
      </w:r>
      <w:r w:rsidR="004D2D62">
        <w:rPr>
          <w:rStyle w:val="normaltextrun"/>
          <w:rFonts w:ascii="Calibri" w:hAnsi="Calibri" w:cs="Calibri"/>
          <w:color w:val="000000"/>
          <w:shd w:val="clear" w:color="auto" w:fill="FFFFFF"/>
        </w:rPr>
        <w:t>s</w:t>
      </w:r>
      <w:r w:rsidRPr="004C6EF9">
        <w:rPr>
          <w:rStyle w:val="normaltextrun"/>
          <w:rFonts w:ascii="Calibri" w:hAnsi="Calibri" w:cs="Calibri"/>
          <w:color w:val="000000"/>
          <w:shd w:val="clear" w:color="auto" w:fill="FFFFFF"/>
        </w:rPr>
        <w:t xml:space="preserve"> a simplified and more focused format, with increased use of infographics.</w:t>
      </w:r>
      <w:r w:rsidR="00570284">
        <w:rPr>
          <w:rStyle w:val="normaltextrun"/>
          <w:rFonts w:ascii="Calibri" w:hAnsi="Calibri" w:cs="Calibri"/>
          <w:color w:val="000000"/>
          <w:shd w:val="clear" w:color="auto" w:fill="FFFFFF"/>
        </w:rPr>
        <w:t xml:space="preserve">  </w:t>
      </w:r>
      <w:r w:rsidRPr="004C6EF9">
        <w:rPr>
          <w:rStyle w:val="normaltextrun"/>
          <w:rFonts w:ascii="Calibri" w:hAnsi="Calibri" w:cs="Calibri"/>
          <w:color w:val="000000"/>
          <w:shd w:val="clear" w:color="auto" w:fill="FFFFFF"/>
        </w:rPr>
        <w:t xml:space="preserve">This draft is superseded by the revised version developed during TDAG-21/2 and contained in </w:t>
      </w:r>
      <w:r w:rsidRPr="004C6EF9">
        <w:rPr>
          <w:rStyle w:val="normaltextrun"/>
          <w:rFonts w:ascii="Calibri" w:hAnsi="Calibri" w:cs="Calibri"/>
          <w:b/>
          <w:bCs/>
          <w:color w:val="000000"/>
          <w:shd w:val="clear" w:color="auto" w:fill="FFFFFF"/>
        </w:rPr>
        <w:t xml:space="preserve">Document </w:t>
      </w:r>
      <w:hyperlink r:id="rId39" w:history="1">
        <w:r w:rsidRPr="004C6EF9">
          <w:rPr>
            <w:rStyle w:val="Hyperlink"/>
            <w:rFonts w:ascii="Calibri" w:hAnsi="Calibri" w:cs="Calibri"/>
            <w:b/>
            <w:bCs/>
            <w:shd w:val="clear" w:color="auto" w:fill="FFFFFF"/>
          </w:rPr>
          <w:t>DT/</w:t>
        </w:r>
        <w:r w:rsidR="00246121" w:rsidRPr="004C6EF9">
          <w:rPr>
            <w:rStyle w:val="Hyperlink"/>
            <w:rFonts w:ascii="Calibri" w:hAnsi="Calibri" w:cs="Calibri"/>
            <w:b/>
            <w:bCs/>
            <w:shd w:val="clear" w:color="auto" w:fill="FFFFFF"/>
          </w:rPr>
          <w:t>1</w:t>
        </w:r>
        <w:r w:rsidRPr="004C6EF9">
          <w:rPr>
            <w:rStyle w:val="Hyperlink"/>
            <w:rFonts w:ascii="Calibri" w:hAnsi="Calibri" w:cs="Calibri"/>
            <w:b/>
            <w:bCs/>
            <w:shd w:val="clear" w:color="auto" w:fill="FFFFFF"/>
          </w:rPr>
          <w:t>3</w:t>
        </w:r>
      </w:hyperlink>
      <w:r w:rsidRPr="004C6EF9">
        <w:rPr>
          <w:rStyle w:val="normaltextrun"/>
          <w:rFonts w:ascii="Calibri" w:hAnsi="Calibri" w:cs="Calibri"/>
          <w:color w:val="000000"/>
          <w:shd w:val="clear" w:color="auto" w:fill="FFFFFF"/>
        </w:rPr>
        <w:t>.</w:t>
      </w:r>
    </w:p>
    <w:p w14:paraId="035C3815" w14:textId="78389EE4" w:rsidR="006F32CA" w:rsidRPr="004C6EF9" w:rsidRDefault="006F32CA" w:rsidP="00570284">
      <w:pPr>
        <w:tabs>
          <w:tab w:val="clear" w:pos="1134"/>
          <w:tab w:val="clear" w:pos="1871"/>
          <w:tab w:val="clear" w:pos="2268"/>
        </w:tabs>
        <w:overflowPunct/>
        <w:autoSpaceDE/>
        <w:autoSpaceDN/>
        <w:adjustRightInd/>
        <w:spacing w:before="0" w:after="120"/>
        <w:rPr>
          <w:rFonts w:ascii="Segoe UI" w:hAnsi="Segoe UI" w:cs="Segoe UI"/>
          <w:sz w:val="18"/>
          <w:szCs w:val="18"/>
          <w:lang w:eastAsia="en-GB"/>
        </w:rPr>
      </w:pPr>
      <w:r w:rsidRPr="004C6EF9">
        <w:rPr>
          <w:rFonts w:ascii="Calibri" w:hAnsi="Calibri" w:cs="Calibri"/>
          <w:szCs w:val="24"/>
          <w:lang w:val="en-US" w:eastAsia="en-GB"/>
        </w:rPr>
        <w:t>The Chair</w:t>
      </w:r>
      <w:r w:rsidR="00744D9C" w:rsidRPr="004C6EF9">
        <w:rPr>
          <w:rFonts w:ascii="Calibri" w:hAnsi="Calibri" w:cs="Calibri"/>
          <w:szCs w:val="24"/>
          <w:lang w:val="en-US" w:eastAsia="en-GB"/>
        </w:rPr>
        <w:t>man</w:t>
      </w:r>
      <w:r w:rsidRPr="004C6EF9">
        <w:rPr>
          <w:rFonts w:ascii="Calibri" w:hAnsi="Calibri" w:cs="Calibri"/>
          <w:szCs w:val="24"/>
          <w:lang w:val="en-US" w:eastAsia="en-GB"/>
        </w:rPr>
        <w:t xml:space="preserve"> of CWG-</w:t>
      </w:r>
      <w:r w:rsidRPr="00DE3F04">
        <w:rPr>
          <w:rFonts w:ascii="Calibri" w:hAnsi="Calibri" w:cs="Calibri"/>
          <w:szCs w:val="24"/>
          <w:lang w:val="en-US" w:eastAsia="en-GB"/>
        </w:rPr>
        <w:t>SFP</w:t>
      </w:r>
      <w:r w:rsidR="00D63AC5" w:rsidRPr="00DE3F04">
        <w:rPr>
          <w:rFonts w:ascii="Calibri" w:hAnsi="Calibri" w:cs="Calibri"/>
          <w:szCs w:val="24"/>
          <w:lang w:val="en-US" w:eastAsia="en-GB"/>
        </w:rPr>
        <w:t xml:space="preserve">, </w:t>
      </w:r>
      <w:proofErr w:type="spellStart"/>
      <w:r w:rsidR="00D81C68">
        <w:rPr>
          <w:rFonts w:ascii="Calibri" w:hAnsi="Calibri" w:cs="Calibri"/>
          <w:szCs w:val="24"/>
          <w:lang w:val="en-US" w:eastAsia="en-GB"/>
        </w:rPr>
        <w:t>Mr</w:t>
      </w:r>
      <w:proofErr w:type="spellEnd"/>
      <w:r w:rsidR="00D63AC5" w:rsidRPr="00DE3F04">
        <w:rPr>
          <w:rFonts w:ascii="Calibri" w:hAnsi="Calibri" w:cs="Calibri"/>
          <w:szCs w:val="24"/>
          <w:lang w:val="en-US" w:eastAsia="en-GB"/>
        </w:rPr>
        <w:t xml:space="preserve"> Frederic </w:t>
      </w:r>
      <w:proofErr w:type="spellStart"/>
      <w:r w:rsidR="00DE3F04" w:rsidRPr="00DE3F04">
        <w:rPr>
          <w:rFonts w:ascii="Calibri" w:hAnsi="Calibri" w:cs="Calibri"/>
          <w:szCs w:val="24"/>
          <w:lang w:val="en-US" w:eastAsia="en-GB"/>
        </w:rPr>
        <w:t>Sauvage</w:t>
      </w:r>
      <w:proofErr w:type="spellEnd"/>
      <w:r w:rsidR="00DE3F04">
        <w:rPr>
          <w:rFonts w:ascii="Calibri" w:hAnsi="Calibri" w:cs="Calibri"/>
          <w:szCs w:val="24"/>
          <w:lang w:val="en-US" w:eastAsia="en-GB"/>
        </w:rPr>
        <w:t>,</w:t>
      </w:r>
      <w:r w:rsidR="00D63AC5">
        <w:rPr>
          <w:rFonts w:ascii="Calibri" w:hAnsi="Calibri" w:cs="Calibri"/>
          <w:szCs w:val="24"/>
          <w:lang w:val="en-US" w:eastAsia="en-GB"/>
        </w:rPr>
        <w:t xml:space="preserve"> </w:t>
      </w:r>
      <w:r w:rsidRPr="004C6EF9">
        <w:rPr>
          <w:rFonts w:ascii="Calibri" w:hAnsi="Calibri" w:cs="Calibri"/>
          <w:szCs w:val="24"/>
          <w:lang w:val="en-US" w:eastAsia="en-GB"/>
        </w:rPr>
        <w:t>emphasized how the work undertaken by TDAG on Thematic Priorities ha</w:t>
      </w:r>
      <w:r w:rsidR="00D63AC5">
        <w:rPr>
          <w:rFonts w:ascii="Calibri" w:hAnsi="Calibri" w:cs="Calibri"/>
          <w:szCs w:val="24"/>
          <w:lang w:val="en-US" w:eastAsia="en-GB"/>
        </w:rPr>
        <w:t>d</w:t>
      </w:r>
      <w:r w:rsidRPr="004C6EF9">
        <w:rPr>
          <w:rFonts w:ascii="Calibri" w:hAnsi="Calibri" w:cs="Calibri"/>
          <w:szCs w:val="24"/>
          <w:lang w:val="en-US" w:eastAsia="en-GB"/>
        </w:rPr>
        <w:t> served as an inspiration to review the Strategic Goals of the Union</w:t>
      </w:r>
      <w:r w:rsidR="00D63AC5">
        <w:rPr>
          <w:rFonts w:ascii="Calibri" w:hAnsi="Calibri" w:cs="Calibri"/>
          <w:szCs w:val="24"/>
          <w:lang w:val="en-US" w:eastAsia="en-GB"/>
        </w:rPr>
        <w:t>. He also</w:t>
      </w:r>
      <w:r w:rsidRPr="004C6EF9">
        <w:rPr>
          <w:rFonts w:ascii="Calibri" w:hAnsi="Calibri" w:cs="Calibri"/>
          <w:szCs w:val="24"/>
          <w:lang w:val="en-US" w:eastAsia="en-GB"/>
        </w:rPr>
        <w:t xml:space="preserve"> explained how the contributions of </w:t>
      </w:r>
      <w:r w:rsidR="00FD7BF9" w:rsidRPr="004C6EF9">
        <w:rPr>
          <w:rFonts w:ascii="Calibri" w:hAnsi="Calibri" w:cs="Calibri"/>
          <w:szCs w:val="24"/>
          <w:lang w:val="en-US" w:eastAsia="en-GB"/>
        </w:rPr>
        <w:t xml:space="preserve">ITU-D to the Strategy process </w:t>
      </w:r>
      <w:r w:rsidRPr="004C6EF9">
        <w:rPr>
          <w:rFonts w:ascii="Calibri" w:hAnsi="Calibri" w:cs="Calibri"/>
          <w:szCs w:val="24"/>
          <w:lang w:val="en-US" w:eastAsia="en-GB"/>
        </w:rPr>
        <w:t>would be reflected in the new framework.</w:t>
      </w:r>
    </w:p>
    <w:tbl>
      <w:tblPr>
        <w:tblStyle w:val="TableGrid"/>
        <w:tblW w:w="0" w:type="auto"/>
        <w:tblLook w:val="04A0" w:firstRow="1" w:lastRow="0" w:firstColumn="1" w:lastColumn="0" w:noHBand="0" w:noVBand="1"/>
      </w:tblPr>
      <w:tblGrid>
        <w:gridCol w:w="9629"/>
      </w:tblGrid>
      <w:tr w:rsidR="006F32CA" w:rsidRPr="004C6EF9" w14:paraId="4D410E07" w14:textId="77777777" w:rsidTr="0066214A">
        <w:tc>
          <w:tcPr>
            <w:tcW w:w="9629" w:type="dxa"/>
          </w:tcPr>
          <w:p w14:paraId="03E04198" w14:textId="69AB2BA0" w:rsidR="006F32CA" w:rsidRPr="004C6EF9" w:rsidRDefault="006F32CA" w:rsidP="0066214A">
            <w:pPr>
              <w:spacing w:after="120"/>
              <w:rPr>
                <w:rFonts w:eastAsiaTheme="minorEastAsia" w:cstheme="minorHAnsi"/>
                <w:szCs w:val="24"/>
              </w:rPr>
            </w:pPr>
            <w:r w:rsidRPr="004C6EF9">
              <w:rPr>
                <w:rStyle w:val="normaltextrun"/>
                <w:rFonts w:ascii="Calibri" w:hAnsi="Calibri" w:cs="Calibri"/>
                <w:color w:val="000000"/>
                <w:shd w:val="clear" w:color="auto" w:fill="FFFFFF"/>
              </w:rPr>
              <w:t xml:space="preserve">TDAG noted the document and supported the proposed simplified structure for the draft </w:t>
            </w:r>
            <w:r w:rsidR="00FD7BF9" w:rsidRPr="004C6EF9">
              <w:rPr>
                <w:rStyle w:val="normaltextrun"/>
                <w:rFonts w:ascii="Calibri" w:hAnsi="Calibri" w:cs="Calibri"/>
                <w:color w:val="000000"/>
                <w:shd w:val="clear" w:color="auto" w:fill="FFFFFF"/>
              </w:rPr>
              <w:t xml:space="preserve">WTDC </w:t>
            </w:r>
            <w:r w:rsidRPr="004C6EF9">
              <w:rPr>
                <w:rStyle w:val="normaltextrun"/>
                <w:rFonts w:ascii="Calibri" w:hAnsi="Calibri" w:cs="Calibri"/>
                <w:color w:val="000000"/>
                <w:shd w:val="clear" w:color="auto" w:fill="FFFFFF"/>
              </w:rPr>
              <w:t>Action Plan, and</w:t>
            </w:r>
            <w:r w:rsidR="003362AA" w:rsidRPr="004C6EF9">
              <w:rPr>
                <w:rStyle w:val="normaltextrun"/>
                <w:rFonts w:ascii="Calibri" w:hAnsi="Calibri" w:cs="Calibri"/>
                <w:color w:val="000000"/>
                <w:shd w:val="clear" w:color="auto" w:fill="FFFFFF"/>
              </w:rPr>
              <w:t xml:space="preserve"> the</w:t>
            </w:r>
            <w:r w:rsidRPr="004C6EF9">
              <w:rPr>
                <w:rStyle w:val="normaltextrun"/>
                <w:rFonts w:ascii="Calibri" w:hAnsi="Calibri" w:cs="Calibri"/>
                <w:color w:val="000000"/>
                <w:shd w:val="clear" w:color="auto" w:fill="FFFFFF"/>
              </w:rPr>
              <w:t xml:space="preserve"> increased use of infographics.</w:t>
            </w:r>
          </w:p>
        </w:tc>
      </w:tr>
    </w:tbl>
    <w:p w14:paraId="5D1E4BD7" w14:textId="77777777" w:rsidR="0086058A" w:rsidRPr="004C6EF9" w:rsidRDefault="0086058A" w:rsidP="0011639E">
      <w:pPr>
        <w:keepNext/>
        <w:spacing w:after="120"/>
        <w:rPr>
          <w:rFonts w:cstheme="minorHAnsi"/>
          <w:b/>
          <w:bCs/>
          <w:szCs w:val="24"/>
        </w:rPr>
      </w:pPr>
      <w:r w:rsidRPr="004C6EF9">
        <w:rPr>
          <w:rFonts w:cstheme="minorHAnsi"/>
          <w:b/>
          <w:bCs/>
          <w:szCs w:val="24"/>
          <w:lang w:val="pt-BR"/>
        </w:rPr>
        <w:lastRenderedPageBreak/>
        <w:t xml:space="preserve">Document </w:t>
      </w:r>
      <w:hyperlink r:id="rId40" w:history="1">
        <w:r w:rsidRPr="004C6EF9">
          <w:rPr>
            <w:rStyle w:val="Hyperlink"/>
            <w:rFonts w:cstheme="minorHAnsi"/>
            <w:b/>
            <w:bCs/>
            <w:szCs w:val="24"/>
            <w:lang w:val="pt-BR"/>
          </w:rPr>
          <w:t>23</w:t>
        </w:r>
      </w:hyperlink>
      <w:r w:rsidRPr="004C6EF9">
        <w:rPr>
          <w:rFonts w:cstheme="minorHAnsi"/>
          <w:b/>
          <w:bCs/>
          <w:szCs w:val="24"/>
        </w:rPr>
        <w:t xml:space="preserve"> </w:t>
      </w:r>
    </w:p>
    <w:p w14:paraId="51B15B22" w14:textId="05D9B85B" w:rsidR="000B567A" w:rsidRPr="004C6EF9" w:rsidRDefault="000B567A" w:rsidP="000B567A">
      <w:pPr>
        <w:tabs>
          <w:tab w:val="clear" w:pos="1134"/>
          <w:tab w:val="clear" w:pos="1871"/>
          <w:tab w:val="clear" w:pos="2268"/>
        </w:tabs>
        <w:overflowPunct/>
        <w:autoSpaceDE/>
        <w:autoSpaceDN/>
        <w:adjustRightInd/>
        <w:spacing w:before="0"/>
        <w:rPr>
          <w:rFonts w:ascii="Calibri" w:hAnsi="Calibri" w:cs="Calibri"/>
          <w:szCs w:val="24"/>
          <w:lang w:eastAsia="en-GB"/>
        </w:rPr>
      </w:pPr>
      <w:r w:rsidRPr="004C6EF9">
        <w:rPr>
          <w:rFonts w:ascii="Calibri" w:hAnsi="Calibri" w:cs="Calibri"/>
          <w:szCs w:val="24"/>
          <w:lang w:val="en-US" w:eastAsia="en-GB"/>
        </w:rPr>
        <w:t>Th</w:t>
      </w:r>
      <w:r w:rsidR="00FD7BF9" w:rsidRPr="004C6EF9">
        <w:rPr>
          <w:rFonts w:ascii="Calibri" w:hAnsi="Calibri" w:cs="Calibri"/>
          <w:szCs w:val="24"/>
          <w:lang w:val="en-US" w:eastAsia="en-GB"/>
        </w:rPr>
        <w:t>is</w:t>
      </w:r>
      <w:r w:rsidRPr="004C6EF9">
        <w:rPr>
          <w:rFonts w:ascii="Calibri" w:hAnsi="Calibri" w:cs="Calibri"/>
          <w:szCs w:val="24"/>
          <w:lang w:val="en-US" w:eastAsia="en-GB"/>
        </w:rPr>
        <w:t xml:space="preserve"> document from APT outlines the Asia-Pacific Vison for the ITU Development Sector, which proposes the following building blocks: </w:t>
      </w:r>
      <w:r w:rsidRPr="004C6EF9">
        <w:rPr>
          <w:rFonts w:ascii="Calibri" w:hAnsi="Calibri" w:cs="Calibri"/>
          <w:szCs w:val="24"/>
          <w:lang w:eastAsia="en-GB"/>
        </w:rPr>
        <w:t> </w:t>
      </w:r>
    </w:p>
    <w:p w14:paraId="1C020491" w14:textId="77777777" w:rsidR="000B567A" w:rsidRPr="004C6EF9" w:rsidRDefault="000B567A" w:rsidP="00425B22">
      <w:pPr>
        <w:numPr>
          <w:ilvl w:val="0"/>
          <w:numId w:val="18"/>
        </w:numPr>
        <w:tabs>
          <w:tab w:val="clear" w:pos="1134"/>
          <w:tab w:val="clear" w:pos="1871"/>
          <w:tab w:val="clear" w:pos="2268"/>
        </w:tabs>
        <w:overflowPunct/>
        <w:autoSpaceDE/>
        <w:autoSpaceDN/>
        <w:adjustRightInd/>
        <w:spacing w:before="40"/>
        <w:ind w:left="567" w:hanging="567"/>
        <w:rPr>
          <w:rFonts w:ascii="Calibri" w:hAnsi="Calibri" w:cs="Calibri"/>
          <w:szCs w:val="24"/>
          <w:lang w:eastAsia="en-GB"/>
        </w:rPr>
      </w:pPr>
      <w:r w:rsidRPr="004C6EF9">
        <w:rPr>
          <w:rFonts w:ascii="Calibri" w:hAnsi="Calibri" w:cs="Calibri"/>
          <w:szCs w:val="24"/>
          <w:lang w:val="en-US" w:eastAsia="en-GB"/>
        </w:rPr>
        <w:t>Focuses on reducing the telecommunications/ICT divide between developing and developed countries;</w:t>
      </w:r>
      <w:r w:rsidRPr="004C6EF9">
        <w:rPr>
          <w:rFonts w:ascii="Calibri" w:hAnsi="Calibri" w:cs="Calibri"/>
          <w:szCs w:val="24"/>
          <w:lang w:eastAsia="en-GB"/>
        </w:rPr>
        <w:t> </w:t>
      </w:r>
    </w:p>
    <w:p w14:paraId="1475E0A8" w14:textId="77777777" w:rsidR="000B567A" w:rsidRPr="004C6EF9" w:rsidRDefault="000B567A" w:rsidP="00425B22">
      <w:pPr>
        <w:numPr>
          <w:ilvl w:val="0"/>
          <w:numId w:val="19"/>
        </w:numPr>
        <w:tabs>
          <w:tab w:val="clear" w:pos="1134"/>
          <w:tab w:val="clear" w:pos="1871"/>
          <w:tab w:val="clear" w:pos="2268"/>
        </w:tabs>
        <w:overflowPunct/>
        <w:autoSpaceDE/>
        <w:autoSpaceDN/>
        <w:adjustRightInd/>
        <w:spacing w:before="40"/>
        <w:ind w:left="567" w:hanging="567"/>
        <w:rPr>
          <w:rFonts w:ascii="Calibri" w:hAnsi="Calibri" w:cs="Calibri"/>
          <w:szCs w:val="24"/>
          <w:lang w:eastAsia="en-GB"/>
        </w:rPr>
      </w:pPr>
      <w:r w:rsidRPr="004C6EF9">
        <w:rPr>
          <w:rFonts w:ascii="Calibri" w:hAnsi="Calibri" w:cs="Calibri"/>
          <w:szCs w:val="24"/>
          <w:lang w:val="en-US" w:eastAsia="en-GB"/>
        </w:rPr>
        <w:t>Supports a successful WTDC with clear outputs and goals;</w:t>
      </w:r>
      <w:r w:rsidRPr="004C6EF9">
        <w:rPr>
          <w:rFonts w:ascii="Calibri" w:hAnsi="Calibri" w:cs="Calibri"/>
          <w:szCs w:val="24"/>
          <w:lang w:eastAsia="en-GB"/>
        </w:rPr>
        <w:t> </w:t>
      </w:r>
    </w:p>
    <w:p w14:paraId="0938466E" w14:textId="77777777" w:rsidR="000B567A" w:rsidRPr="004C6EF9" w:rsidRDefault="000B567A" w:rsidP="00425B22">
      <w:pPr>
        <w:numPr>
          <w:ilvl w:val="0"/>
          <w:numId w:val="20"/>
        </w:numPr>
        <w:tabs>
          <w:tab w:val="clear" w:pos="1134"/>
          <w:tab w:val="clear" w:pos="1871"/>
          <w:tab w:val="clear" w:pos="2268"/>
        </w:tabs>
        <w:overflowPunct/>
        <w:autoSpaceDE/>
        <w:autoSpaceDN/>
        <w:adjustRightInd/>
        <w:spacing w:before="40"/>
        <w:ind w:left="567" w:hanging="567"/>
        <w:rPr>
          <w:rFonts w:ascii="Calibri" w:hAnsi="Calibri" w:cs="Calibri"/>
          <w:szCs w:val="24"/>
          <w:lang w:eastAsia="en-GB"/>
        </w:rPr>
      </w:pPr>
      <w:r w:rsidRPr="004C6EF9">
        <w:rPr>
          <w:rFonts w:ascii="Calibri" w:hAnsi="Calibri" w:cs="Calibri"/>
          <w:szCs w:val="24"/>
          <w:lang w:val="en-US" w:eastAsia="en-GB"/>
        </w:rPr>
        <w:t>Is results-focused; and</w:t>
      </w:r>
      <w:r w:rsidRPr="004C6EF9">
        <w:rPr>
          <w:rFonts w:ascii="Calibri" w:hAnsi="Calibri" w:cs="Calibri"/>
          <w:szCs w:val="24"/>
          <w:lang w:eastAsia="en-GB"/>
        </w:rPr>
        <w:t> </w:t>
      </w:r>
    </w:p>
    <w:p w14:paraId="4EF2A2AE" w14:textId="77777777" w:rsidR="000B567A" w:rsidRPr="004C6EF9" w:rsidRDefault="000B567A" w:rsidP="00425B22">
      <w:pPr>
        <w:numPr>
          <w:ilvl w:val="0"/>
          <w:numId w:val="21"/>
        </w:numPr>
        <w:tabs>
          <w:tab w:val="clear" w:pos="1134"/>
          <w:tab w:val="clear" w:pos="1871"/>
          <w:tab w:val="clear" w:pos="2268"/>
        </w:tabs>
        <w:overflowPunct/>
        <w:autoSpaceDE/>
        <w:autoSpaceDN/>
        <w:adjustRightInd/>
        <w:spacing w:before="40" w:after="120"/>
        <w:ind w:left="567" w:hanging="567"/>
        <w:rPr>
          <w:rFonts w:ascii="Calibri" w:hAnsi="Calibri" w:cs="Calibri"/>
          <w:szCs w:val="24"/>
          <w:lang w:eastAsia="en-GB"/>
        </w:rPr>
      </w:pPr>
      <w:r w:rsidRPr="004C6EF9">
        <w:rPr>
          <w:rFonts w:ascii="Calibri" w:hAnsi="Calibri" w:cs="Calibri"/>
          <w:szCs w:val="24"/>
          <w:lang w:eastAsia="en-GB"/>
        </w:rPr>
        <w:t>Continues to strengthen the efficient, transparent and accountable operation of the BDT. </w:t>
      </w:r>
    </w:p>
    <w:tbl>
      <w:tblPr>
        <w:tblStyle w:val="TableGrid"/>
        <w:tblW w:w="0" w:type="auto"/>
        <w:tblLook w:val="04A0" w:firstRow="1" w:lastRow="0" w:firstColumn="1" w:lastColumn="0" w:noHBand="0" w:noVBand="1"/>
      </w:tblPr>
      <w:tblGrid>
        <w:gridCol w:w="9629"/>
      </w:tblGrid>
      <w:tr w:rsidR="0086058A" w:rsidRPr="004C6EF9" w14:paraId="653D80CE" w14:textId="77777777" w:rsidTr="0066214A">
        <w:tc>
          <w:tcPr>
            <w:tcW w:w="9629" w:type="dxa"/>
          </w:tcPr>
          <w:p w14:paraId="58AC4E1D" w14:textId="59BEA0E4" w:rsidR="0086058A" w:rsidRPr="004C6EF9" w:rsidRDefault="000B567A" w:rsidP="0066214A">
            <w:pPr>
              <w:spacing w:after="120"/>
              <w:rPr>
                <w:rFonts w:eastAsiaTheme="minorEastAsia" w:cstheme="minorHAnsi"/>
                <w:szCs w:val="24"/>
              </w:rPr>
            </w:pPr>
            <w:bookmarkStart w:id="8" w:name="_Hlk88583590"/>
            <w:r w:rsidRPr="004C6EF9">
              <w:rPr>
                <w:rFonts w:eastAsiaTheme="minorEastAsia" w:cstheme="minorHAnsi"/>
                <w:szCs w:val="24"/>
              </w:rPr>
              <w:t>TDAG noted the views presented with appreciation and thanked APT for their contribution.</w:t>
            </w:r>
          </w:p>
        </w:tc>
      </w:tr>
    </w:tbl>
    <w:bookmarkEnd w:id="8"/>
    <w:p w14:paraId="4475EAA3" w14:textId="205A0415" w:rsidR="00A4292F" w:rsidRPr="00FF769A" w:rsidRDefault="00604DD1" w:rsidP="0011639E">
      <w:pPr>
        <w:pStyle w:val="ListParagraph"/>
        <w:keepNext/>
        <w:numPr>
          <w:ilvl w:val="1"/>
          <w:numId w:val="2"/>
        </w:numPr>
        <w:tabs>
          <w:tab w:val="clear" w:pos="1134"/>
        </w:tabs>
        <w:spacing w:after="120"/>
        <w:ind w:left="425" w:hanging="425"/>
        <w:contextualSpacing w:val="0"/>
        <w:rPr>
          <w:rFonts w:cstheme="minorHAnsi"/>
          <w:b/>
          <w:bCs/>
          <w:szCs w:val="24"/>
        </w:rPr>
      </w:pPr>
      <w:r w:rsidRPr="00FF769A">
        <w:rPr>
          <w:rFonts w:cstheme="minorHAnsi"/>
          <w:b/>
          <w:szCs w:val="24"/>
        </w:rPr>
        <w:t>Report</w:t>
      </w:r>
      <w:r w:rsidR="00296088" w:rsidRPr="00FF769A">
        <w:rPr>
          <w:rFonts w:cstheme="minorHAnsi"/>
          <w:b/>
          <w:szCs w:val="24"/>
        </w:rPr>
        <w:t xml:space="preserve"> </w:t>
      </w:r>
      <w:r w:rsidRPr="00FF769A">
        <w:rPr>
          <w:rFonts w:cstheme="minorHAnsi"/>
          <w:b/>
          <w:szCs w:val="24"/>
        </w:rPr>
        <w:t>to</w:t>
      </w:r>
      <w:r w:rsidR="00296088" w:rsidRPr="00FF769A">
        <w:rPr>
          <w:rFonts w:cstheme="minorHAnsi"/>
          <w:b/>
          <w:szCs w:val="24"/>
        </w:rPr>
        <w:t xml:space="preserve"> </w:t>
      </w:r>
      <w:r w:rsidRPr="00FF769A">
        <w:rPr>
          <w:rFonts w:cstheme="minorHAnsi"/>
          <w:b/>
          <w:szCs w:val="24"/>
        </w:rPr>
        <w:t>WTDC</w:t>
      </w:r>
      <w:r w:rsidR="00296088" w:rsidRPr="00FF769A">
        <w:rPr>
          <w:rFonts w:cstheme="minorHAnsi"/>
          <w:b/>
          <w:szCs w:val="24"/>
        </w:rPr>
        <w:t xml:space="preserve"> </w:t>
      </w:r>
      <w:r w:rsidRPr="00FF769A">
        <w:rPr>
          <w:rFonts w:cstheme="minorHAnsi"/>
          <w:b/>
          <w:szCs w:val="24"/>
        </w:rPr>
        <w:t>on</w:t>
      </w:r>
      <w:r w:rsidR="00296088" w:rsidRPr="00FF769A">
        <w:rPr>
          <w:rFonts w:cstheme="minorHAnsi"/>
          <w:b/>
          <w:szCs w:val="24"/>
        </w:rPr>
        <w:t xml:space="preserve"> </w:t>
      </w:r>
      <w:r w:rsidRPr="00FF769A">
        <w:rPr>
          <w:rFonts w:cstheme="minorHAnsi"/>
          <w:b/>
          <w:szCs w:val="24"/>
        </w:rPr>
        <w:t>TDAG</w:t>
      </w:r>
      <w:r w:rsidR="00296088" w:rsidRPr="00FF769A">
        <w:rPr>
          <w:rFonts w:cstheme="minorHAnsi"/>
          <w:b/>
          <w:szCs w:val="24"/>
        </w:rPr>
        <w:t xml:space="preserve"> </w:t>
      </w:r>
      <w:r w:rsidRPr="00FF769A">
        <w:rPr>
          <w:rFonts w:cstheme="minorHAnsi"/>
          <w:b/>
          <w:szCs w:val="24"/>
        </w:rPr>
        <w:t>activities</w:t>
      </w:r>
      <w:r w:rsidR="00296088" w:rsidRPr="00FF769A">
        <w:rPr>
          <w:rFonts w:cstheme="minorHAnsi"/>
          <w:b/>
          <w:szCs w:val="24"/>
        </w:rPr>
        <w:t xml:space="preserve"> </w:t>
      </w:r>
      <w:r w:rsidRPr="00FF769A">
        <w:rPr>
          <w:rFonts w:cstheme="minorHAnsi"/>
          <w:b/>
          <w:szCs w:val="24"/>
        </w:rPr>
        <w:t>(as</w:t>
      </w:r>
      <w:r w:rsidR="00296088" w:rsidRPr="00FF769A">
        <w:rPr>
          <w:rFonts w:cstheme="minorHAnsi"/>
          <w:b/>
          <w:szCs w:val="24"/>
        </w:rPr>
        <w:t xml:space="preserve"> </w:t>
      </w:r>
      <w:r w:rsidRPr="00FF769A">
        <w:rPr>
          <w:rFonts w:cstheme="minorHAnsi"/>
          <w:b/>
          <w:szCs w:val="24"/>
        </w:rPr>
        <w:t>per</w:t>
      </w:r>
      <w:r w:rsidR="00296088" w:rsidRPr="00FF769A">
        <w:rPr>
          <w:rFonts w:cstheme="minorHAnsi"/>
          <w:b/>
          <w:szCs w:val="24"/>
        </w:rPr>
        <w:t xml:space="preserve"> </w:t>
      </w:r>
      <w:r w:rsidRPr="00FF769A">
        <w:rPr>
          <w:rFonts w:cstheme="minorHAnsi"/>
          <w:b/>
          <w:szCs w:val="24"/>
        </w:rPr>
        <w:t>Resolution</w:t>
      </w:r>
      <w:r w:rsidR="00296088" w:rsidRPr="00FF769A">
        <w:rPr>
          <w:rFonts w:cstheme="minorHAnsi"/>
          <w:b/>
          <w:szCs w:val="24"/>
        </w:rPr>
        <w:t xml:space="preserve"> </w:t>
      </w:r>
      <w:r w:rsidRPr="00FF769A">
        <w:rPr>
          <w:rFonts w:cstheme="minorHAnsi"/>
          <w:b/>
          <w:szCs w:val="24"/>
        </w:rPr>
        <w:t>24</w:t>
      </w:r>
      <w:r w:rsidR="00296088" w:rsidRPr="00FF769A">
        <w:rPr>
          <w:rFonts w:cstheme="minorHAnsi"/>
          <w:b/>
          <w:szCs w:val="24"/>
        </w:rPr>
        <w:t xml:space="preserve"> </w:t>
      </w:r>
      <w:r w:rsidRPr="00FF769A">
        <w:rPr>
          <w:rFonts w:cstheme="minorHAnsi"/>
          <w:b/>
          <w:szCs w:val="24"/>
        </w:rPr>
        <w:t>(Rev.</w:t>
      </w:r>
      <w:r w:rsidR="00296088" w:rsidRPr="00FF769A">
        <w:rPr>
          <w:rFonts w:cstheme="minorHAnsi"/>
          <w:b/>
          <w:szCs w:val="24"/>
        </w:rPr>
        <w:t xml:space="preserve"> </w:t>
      </w:r>
      <w:r w:rsidRPr="00FF769A">
        <w:rPr>
          <w:rFonts w:cstheme="minorHAnsi"/>
          <w:b/>
          <w:szCs w:val="24"/>
        </w:rPr>
        <w:t>Dubai</w:t>
      </w:r>
      <w:r w:rsidR="00296088" w:rsidRPr="00FF769A">
        <w:rPr>
          <w:rFonts w:cstheme="minorHAnsi"/>
          <w:b/>
          <w:szCs w:val="24"/>
        </w:rPr>
        <w:t xml:space="preserve"> </w:t>
      </w:r>
      <w:r w:rsidRPr="00FF769A">
        <w:rPr>
          <w:rFonts w:cstheme="minorHAnsi"/>
          <w:b/>
          <w:szCs w:val="24"/>
        </w:rPr>
        <w:t>(2014)))</w:t>
      </w:r>
    </w:p>
    <w:p w14:paraId="21BCB89F" w14:textId="01548D27" w:rsidR="0035295E" w:rsidRPr="004C6EF9" w:rsidRDefault="0035295E" w:rsidP="0011639E">
      <w:pPr>
        <w:keepNext/>
        <w:tabs>
          <w:tab w:val="left" w:pos="567"/>
          <w:tab w:val="left" w:leader="underscore" w:pos="1701"/>
        </w:tabs>
        <w:spacing w:after="120"/>
        <w:rPr>
          <w:rFonts w:cstheme="minorHAnsi"/>
          <w:b/>
          <w:bCs/>
          <w:szCs w:val="24"/>
        </w:rPr>
      </w:pPr>
      <w:r w:rsidRPr="00FF769A">
        <w:rPr>
          <w:rFonts w:cstheme="minorHAnsi"/>
          <w:b/>
          <w:bCs/>
          <w:szCs w:val="24"/>
          <w:lang w:val="pt-BR"/>
        </w:rPr>
        <w:t>Document</w:t>
      </w:r>
      <w:r w:rsidR="00296088" w:rsidRPr="00FF769A">
        <w:rPr>
          <w:rFonts w:cstheme="minorHAnsi"/>
          <w:b/>
          <w:bCs/>
          <w:szCs w:val="24"/>
          <w:lang w:val="pt-BR"/>
        </w:rPr>
        <w:t xml:space="preserve"> </w:t>
      </w:r>
      <w:hyperlink r:id="rId41" w:history="1">
        <w:r w:rsidRPr="00FF769A">
          <w:rPr>
            <w:rStyle w:val="Hyperlink"/>
            <w:rFonts w:cstheme="minorHAnsi"/>
            <w:b/>
            <w:bCs/>
            <w:szCs w:val="24"/>
            <w:lang w:val="pt-BR"/>
          </w:rPr>
          <w:t>16</w:t>
        </w:r>
      </w:hyperlink>
    </w:p>
    <w:p w14:paraId="61938180" w14:textId="237C28EB" w:rsidR="00FD708C" w:rsidRPr="004C6EF9" w:rsidRDefault="00FD708C" w:rsidP="00425B22">
      <w:pPr>
        <w:spacing w:after="120"/>
      </w:pPr>
      <w:r w:rsidRPr="004C6EF9">
        <w:t xml:space="preserve">This report contains a </w:t>
      </w:r>
      <w:r w:rsidR="003F4871" w:rsidRPr="004C6EF9">
        <w:t xml:space="preserve">detailed </w:t>
      </w:r>
      <w:r w:rsidRPr="004C6EF9">
        <w:t>summary of the work carried out by the Telecommunication Development Advisory Group (TDAG) during the period 2018-2021</w:t>
      </w:r>
      <w:r w:rsidR="003F4871" w:rsidRPr="004C6EF9">
        <w:t>, including meetings, matters assigned to TDAG by WTDC Resolution 24 (Rev. Dubai, 2014), and inter-Sector coordination and collaboration</w:t>
      </w:r>
      <w:r w:rsidR="00D63AC5">
        <w:t>, with the exception of the report on TDAG</w:t>
      </w:r>
      <w:r w:rsidR="00DA270C">
        <w:t>-21</w:t>
      </w:r>
      <w:r w:rsidR="00FF769A">
        <w:t>/2, t</w:t>
      </w:r>
      <w:r w:rsidR="00DA270C">
        <w:t xml:space="preserve">he outcomes of </w:t>
      </w:r>
      <w:r w:rsidR="00FF769A">
        <w:t>which</w:t>
      </w:r>
      <w:r w:rsidR="00DA270C">
        <w:t xml:space="preserve"> will be added </w:t>
      </w:r>
      <w:r w:rsidR="00FF769A">
        <w:t xml:space="preserve">in due course, and following comment from membership on </w:t>
      </w:r>
      <w:r w:rsidR="00DA270C">
        <w:t xml:space="preserve">the final report </w:t>
      </w:r>
      <w:r w:rsidR="00FF769A">
        <w:t xml:space="preserve">of the complete period </w:t>
      </w:r>
      <w:r w:rsidR="00DA270C">
        <w:t>will be submitted to the WTDC.</w:t>
      </w:r>
    </w:p>
    <w:p w14:paraId="61114FD2" w14:textId="7C19EF7D" w:rsidR="00F36A4A" w:rsidRPr="004C6EF9" w:rsidRDefault="00F36A4A" w:rsidP="00425B22">
      <w:pPr>
        <w:spacing w:after="120"/>
        <w:rPr>
          <w:rFonts w:ascii="Segoe UI" w:hAnsi="Segoe UI" w:cs="Segoe UI"/>
          <w:sz w:val="18"/>
          <w:szCs w:val="18"/>
          <w:lang w:eastAsia="en-GB"/>
        </w:rPr>
      </w:pPr>
      <w:r w:rsidRPr="004C6EF9">
        <w:t xml:space="preserve">Following the discussion on the report and a clarification provided by the Secretariat, </w:t>
      </w:r>
      <w:r w:rsidR="001C37D8">
        <w:t xml:space="preserve">TDAG agreed that </w:t>
      </w:r>
      <w:r w:rsidRPr="004C6EF9">
        <w:t>t</w:t>
      </w:r>
      <w:r w:rsidRPr="004C6EF9">
        <w:rPr>
          <w:rFonts w:ascii="Calibri" w:hAnsi="Calibri" w:cs="Calibri"/>
          <w:szCs w:val="24"/>
          <w:lang w:val="en-US" w:eastAsia="en-GB"/>
        </w:rPr>
        <w:t xml:space="preserve">he </w:t>
      </w:r>
      <w:r w:rsidR="00DA270C">
        <w:rPr>
          <w:rFonts w:ascii="Calibri" w:hAnsi="Calibri" w:cs="Calibri"/>
          <w:szCs w:val="24"/>
          <w:lang w:val="en-US" w:eastAsia="en-GB"/>
        </w:rPr>
        <w:t>chart</w:t>
      </w:r>
      <w:r w:rsidRPr="004C6EF9">
        <w:rPr>
          <w:rFonts w:ascii="Calibri" w:hAnsi="Calibri" w:cs="Calibri"/>
          <w:szCs w:val="24"/>
          <w:lang w:val="en-US" w:eastAsia="en-GB"/>
        </w:rPr>
        <w:t xml:space="preserve"> </w:t>
      </w:r>
      <w:r w:rsidR="001C37D8">
        <w:rPr>
          <w:rFonts w:ascii="Calibri" w:hAnsi="Calibri" w:cs="Calibri"/>
          <w:szCs w:val="24"/>
          <w:lang w:val="en-US" w:eastAsia="en-GB"/>
        </w:rPr>
        <w:t xml:space="preserve">in the report </w:t>
      </w:r>
      <w:r w:rsidR="00DA270C">
        <w:rPr>
          <w:rFonts w:ascii="Calibri" w:hAnsi="Calibri" w:cs="Calibri"/>
          <w:szCs w:val="24"/>
          <w:lang w:val="en-US" w:eastAsia="en-GB"/>
        </w:rPr>
        <w:t xml:space="preserve">summarizing </w:t>
      </w:r>
      <w:r w:rsidRPr="004C6EF9">
        <w:rPr>
          <w:rFonts w:ascii="Calibri" w:hAnsi="Calibri" w:cs="Calibri"/>
          <w:szCs w:val="24"/>
          <w:lang w:val="en-US" w:eastAsia="en-GB"/>
        </w:rPr>
        <w:t>t</w:t>
      </w:r>
      <w:r w:rsidR="00DA270C">
        <w:rPr>
          <w:rFonts w:ascii="Calibri" w:hAnsi="Calibri" w:cs="Calibri"/>
          <w:szCs w:val="24"/>
          <w:lang w:val="en-US" w:eastAsia="en-GB"/>
        </w:rPr>
        <w:t xml:space="preserve">he </w:t>
      </w:r>
      <w:r w:rsidRPr="004C6EF9">
        <w:rPr>
          <w:rFonts w:ascii="Calibri" w:hAnsi="Calibri" w:cs="Calibri"/>
          <w:szCs w:val="24"/>
          <w:lang w:val="en-US" w:eastAsia="en-GB"/>
        </w:rPr>
        <w:t xml:space="preserve">gender </w:t>
      </w:r>
      <w:r w:rsidR="00DA270C">
        <w:rPr>
          <w:rFonts w:ascii="Calibri" w:hAnsi="Calibri" w:cs="Calibri"/>
          <w:szCs w:val="24"/>
          <w:lang w:val="en-US" w:eastAsia="en-GB"/>
        </w:rPr>
        <w:t xml:space="preserve">of </w:t>
      </w:r>
      <w:r w:rsidR="001F3D86">
        <w:rPr>
          <w:rFonts w:ascii="Calibri" w:hAnsi="Calibri" w:cs="Calibri"/>
          <w:szCs w:val="24"/>
          <w:lang w:val="en-US" w:eastAsia="en-GB"/>
        </w:rPr>
        <w:t xml:space="preserve">all </w:t>
      </w:r>
      <w:r w:rsidR="00DA270C">
        <w:rPr>
          <w:rFonts w:ascii="Calibri" w:hAnsi="Calibri" w:cs="Calibri"/>
          <w:szCs w:val="24"/>
          <w:lang w:val="en-US" w:eastAsia="en-GB"/>
        </w:rPr>
        <w:t xml:space="preserve">TDAG meeting participants would identify those </w:t>
      </w:r>
      <w:r w:rsidR="00DA270C" w:rsidRPr="004C6EF9">
        <w:rPr>
          <w:rFonts w:ascii="Calibri" w:hAnsi="Calibri" w:cs="Calibri"/>
          <w:szCs w:val="24"/>
          <w:lang w:val="en-US" w:eastAsia="en-GB"/>
        </w:rPr>
        <w:t xml:space="preserve">who </w:t>
      </w:r>
      <w:r w:rsidR="00DA270C">
        <w:rPr>
          <w:rFonts w:ascii="Calibri" w:hAnsi="Calibri" w:cs="Calibri"/>
          <w:szCs w:val="24"/>
          <w:lang w:val="en-US" w:eastAsia="en-GB"/>
        </w:rPr>
        <w:t xml:space="preserve">did </w:t>
      </w:r>
      <w:r w:rsidR="00DA270C" w:rsidRPr="004C6EF9">
        <w:rPr>
          <w:rFonts w:ascii="Calibri" w:hAnsi="Calibri" w:cs="Calibri"/>
          <w:szCs w:val="24"/>
          <w:lang w:val="en-US" w:eastAsia="en-GB"/>
        </w:rPr>
        <w:t>not select either </w:t>
      </w:r>
      <w:proofErr w:type="spellStart"/>
      <w:r w:rsidR="00DA270C" w:rsidRPr="004C6EF9">
        <w:rPr>
          <w:rFonts w:ascii="Calibri" w:hAnsi="Calibri" w:cs="Calibri"/>
          <w:szCs w:val="24"/>
          <w:lang w:val="en-US" w:eastAsia="en-GB"/>
        </w:rPr>
        <w:t>Mr</w:t>
      </w:r>
      <w:proofErr w:type="spellEnd"/>
      <w:r w:rsidR="00DA270C" w:rsidRPr="004C6EF9">
        <w:rPr>
          <w:rFonts w:ascii="Calibri" w:hAnsi="Calibri" w:cs="Calibri"/>
          <w:szCs w:val="24"/>
          <w:lang w:val="en-US" w:eastAsia="en-GB"/>
        </w:rPr>
        <w:t>/</w:t>
      </w:r>
      <w:proofErr w:type="spellStart"/>
      <w:r w:rsidR="00DA270C" w:rsidRPr="004C6EF9">
        <w:rPr>
          <w:rFonts w:ascii="Calibri" w:hAnsi="Calibri" w:cs="Calibri"/>
          <w:szCs w:val="24"/>
          <w:lang w:val="en-US" w:eastAsia="en-GB"/>
        </w:rPr>
        <w:t>Ms</w:t>
      </w:r>
      <w:proofErr w:type="spellEnd"/>
      <w:r w:rsidR="00DA270C" w:rsidRPr="004C6EF9">
        <w:rPr>
          <w:rFonts w:ascii="Calibri" w:hAnsi="Calibri" w:cs="Calibri"/>
          <w:szCs w:val="24"/>
          <w:lang w:val="en-US" w:eastAsia="en-GB"/>
        </w:rPr>
        <w:t xml:space="preserve"> during their user account creation</w:t>
      </w:r>
      <w:r w:rsidR="00DA270C">
        <w:rPr>
          <w:rFonts w:ascii="Calibri" w:hAnsi="Calibri" w:cs="Calibri"/>
          <w:szCs w:val="24"/>
          <w:lang w:val="en-US" w:eastAsia="en-GB"/>
        </w:rPr>
        <w:t xml:space="preserve"> under a category titled </w:t>
      </w:r>
      <w:r w:rsidRPr="004C6EF9">
        <w:rPr>
          <w:rFonts w:ascii="Calibri" w:hAnsi="Calibri" w:cs="Calibri"/>
          <w:szCs w:val="24"/>
          <w:lang w:val="en-US" w:eastAsia="en-GB"/>
        </w:rPr>
        <w:t>“not provided</w:t>
      </w:r>
      <w:r w:rsidR="001C37D8">
        <w:rPr>
          <w:rFonts w:ascii="Calibri" w:hAnsi="Calibri" w:cs="Calibri"/>
          <w:szCs w:val="24"/>
          <w:lang w:val="en-US" w:eastAsia="en-GB"/>
        </w:rPr>
        <w:t>.</w:t>
      </w:r>
      <w:r w:rsidRPr="004C6EF9">
        <w:rPr>
          <w:rFonts w:ascii="Calibri" w:hAnsi="Calibri" w:cs="Calibri"/>
          <w:szCs w:val="24"/>
          <w:lang w:val="en-US" w:eastAsia="en-GB"/>
        </w:rPr>
        <w:t>” </w:t>
      </w:r>
      <w:r w:rsidR="00DA270C">
        <w:rPr>
          <w:rFonts w:ascii="Calibri" w:hAnsi="Calibri" w:cs="Calibri"/>
          <w:szCs w:val="24"/>
          <w:lang w:val="en-US" w:eastAsia="en-GB"/>
        </w:rPr>
        <w:t xml:space="preserve"> </w:t>
      </w:r>
    </w:p>
    <w:tbl>
      <w:tblPr>
        <w:tblStyle w:val="TableGrid"/>
        <w:tblW w:w="0" w:type="auto"/>
        <w:tblLook w:val="04A0" w:firstRow="1" w:lastRow="0" w:firstColumn="1" w:lastColumn="0" w:noHBand="0" w:noVBand="1"/>
      </w:tblPr>
      <w:tblGrid>
        <w:gridCol w:w="9629"/>
      </w:tblGrid>
      <w:tr w:rsidR="00984B1B" w:rsidRPr="004C6EF9" w14:paraId="1013938A" w14:textId="77777777" w:rsidTr="00004B9A">
        <w:tc>
          <w:tcPr>
            <w:tcW w:w="9629" w:type="dxa"/>
          </w:tcPr>
          <w:p w14:paraId="44017C2C" w14:textId="296D3547" w:rsidR="00FD708C" w:rsidRPr="004C6EF9" w:rsidRDefault="00FD708C" w:rsidP="00FD708C">
            <w:pPr>
              <w:spacing w:after="120"/>
              <w:rPr>
                <w:rFonts w:eastAsiaTheme="minorEastAsia" w:cstheme="minorHAnsi"/>
                <w:szCs w:val="24"/>
              </w:rPr>
            </w:pPr>
            <w:r w:rsidRPr="004C6EF9">
              <w:rPr>
                <w:rFonts w:eastAsiaTheme="minorEastAsia" w:cstheme="minorHAnsi"/>
                <w:szCs w:val="24"/>
              </w:rPr>
              <w:t xml:space="preserve">TDAG noted the report. The TDAG Chairman recognized the outstanding support and commitment of the BDT Director, the TDAG Vice-Chairmen, the BDT Secretariat, and all participants. </w:t>
            </w:r>
          </w:p>
          <w:p w14:paraId="240933C3" w14:textId="7F78E623" w:rsidR="00984B1B" w:rsidRPr="004C6EF9" w:rsidRDefault="00FD708C" w:rsidP="00FD708C">
            <w:pPr>
              <w:spacing w:after="120"/>
              <w:rPr>
                <w:rFonts w:cstheme="minorHAnsi"/>
                <w:color w:val="000000" w:themeColor="text1"/>
                <w:szCs w:val="24"/>
              </w:rPr>
            </w:pPr>
            <w:r w:rsidRPr="004C6EF9">
              <w:rPr>
                <w:rFonts w:eastAsiaTheme="minorEastAsia" w:cstheme="minorHAnsi"/>
                <w:szCs w:val="24"/>
              </w:rPr>
              <w:t xml:space="preserve">TDAG agreed that the draft report will be updated as requested by the meeting participants </w:t>
            </w:r>
            <w:r w:rsidR="0094273A" w:rsidRPr="004C6EF9">
              <w:rPr>
                <w:rFonts w:eastAsiaTheme="minorEastAsia" w:cstheme="minorHAnsi"/>
                <w:szCs w:val="24"/>
              </w:rPr>
              <w:t>to</w:t>
            </w:r>
            <w:r w:rsidRPr="004C6EF9">
              <w:rPr>
                <w:rFonts w:eastAsiaTheme="minorEastAsia" w:cstheme="minorHAnsi"/>
                <w:szCs w:val="24"/>
              </w:rPr>
              <w:t xml:space="preserve"> reflect the discussions and decisions of TDAG-21/2. Membership will have the opportunity to comment by correspondence within two weeks after its posting.  At the end of this period, the report will be considered as endorsed</w:t>
            </w:r>
            <w:r w:rsidR="00F36A4A" w:rsidRPr="004C6EF9">
              <w:rPr>
                <w:rFonts w:eastAsiaTheme="minorEastAsia" w:cstheme="minorHAnsi"/>
                <w:szCs w:val="24"/>
              </w:rPr>
              <w:t xml:space="preserve"> and will be submitted as input to WTDC</w:t>
            </w:r>
            <w:r w:rsidRPr="004C6EF9">
              <w:rPr>
                <w:rFonts w:eastAsiaTheme="minorEastAsia" w:cstheme="minorHAnsi"/>
                <w:szCs w:val="24"/>
              </w:rPr>
              <w:t>.</w:t>
            </w:r>
          </w:p>
        </w:tc>
      </w:tr>
    </w:tbl>
    <w:p w14:paraId="5F117250" w14:textId="5FC015DC" w:rsidR="00065AE5" w:rsidRPr="004C6EF9" w:rsidRDefault="00604DD1" w:rsidP="0011639E">
      <w:pPr>
        <w:pStyle w:val="ListParagraph"/>
        <w:keepNext/>
        <w:numPr>
          <w:ilvl w:val="0"/>
          <w:numId w:val="2"/>
        </w:numPr>
        <w:spacing w:after="120"/>
        <w:ind w:left="357" w:hanging="357"/>
        <w:contextualSpacing w:val="0"/>
        <w:rPr>
          <w:rFonts w:cstheme="minorHAnsi"/>
          <w:b/>
          <w:bCs/>
          <w:szCs w:val="24"/>
        </w:rPr>
      </w:pPr>
      <w:r w:rsidRPr="004C6EF9">
        <w:rPr>
          <w:rFonts w:cstheme="minorHAnsi"/>
          <w:b/>
          <w:bCs/>
          <w:szCs w:val="24"/>
        </w:rPr>
        <w:t>Study</w:t>
      </w:r>
      <w:r w:rsidR="00296088" w:rsidRPr="004C6EF9">
        <w:rPr>
          <w:rFonts w:cstheme="minorHAnsi"/>
          <w:b/>
          <w:bCs/>
          <w:szCs w:val="24"/>
        </w:rPr>
        <w:t xml:space="preserve"> </w:t>
      </w:r>
      <w:r w:rsidRPr="004C6EF9">
        <w:rPr>
          <w:rFonts w:cstheme="minorHAnsi"/>
          <w:b/>
          <w:bCs/>
          <w:szCs w:val="24"/>
        </w:rPr>
        <w:t>Group</w:t>
      </w:r>
      <w:r w:rsidR="00296088" w:rsidRPr="004C6EF9">
        <w:rPr>
          <w:rFonts w:cstheme="minorHAnsi"/>
          <w:b/>
          <w:bCs/>
          <w:szCs w:val="24"/>
        </w:rPr>
        <w:t xml:space="preserve"> </w:t>
      </w:r>
      <w:r w:rsidRPr="004C6EF9">
        <w:rPr>
          <w:rFonts w:cstheme="minorHAnsi"/>
          <w:b/>
          <w:bCs/>
          <w:szCs w:val="24"/>
        </w:rPr>
        <w:t>activities</w:t>
      </w:r>
    </w:p>
    <w:p w14:paraId="07F4D4B1" w14:textId="09B73FBA" w:rsidR="007D6ACA" w:rsidRPr="004C6EF9" w:rsidRDefault="0035295E" w:rsidP="0011639E">
      <w:pPr>
        <w:keepNext/>
        <w:tabs>
          <w:tab w:val="clear" w:pos="1134"/>
          <w:tab w:val="clear" w:pos="1871"/>
          <w:tab w:val="left" w:pos="709"/>
        </w:tabs>
        <w:spacing w:after="120"/>
        <w:rPr>
          <w:rFonts w:cstheme="minorHAnsi"/>
          <w:b/>
          <w:bCs/>
          <w:szCs w:val="24"/>
          <w:lang w:val="pt-BR"/>
        </w:rPr>
      </w:pPr>
      <w:r w:rsidRPr="004C6EF9">
        <w:rPr>
          <w:rFonts w:cstheme="minorHAnsi"/>
          <w:b/>
          <w:bCs/>
          <w:szCs w:val="24"/>
          <w:lang w:val="pt-BR"/>
        </w:rPr>
        <w:t>Document</w:t>
      </w:r>
      <w:r w:rsidR="00296088" w:rsidRPr="004C6EF9">
        <w:rPr>
          <w:rFonts w:cstheme="minorHAnsi"/>
          <w:b/>
          <w:bCs/>
          <w:szCs w:val="24"/>
          <w:lang w:val="pt-BR"/>
        </w:rPr>
        <w:t xml:space="preserve"> </w:t>
      </w:r>
      <w:hyperlink r:id="rId42" w:history="1">
        <w:r w:rsidRPr="004C6EF9">
          <w:rPr>
            <w:rStyle w:val="Hyperlink"/>
            <w:rFonts w:cstheme="minorHAnsi"/>
            <w:b/>
            <w:bCs/>
            <w:szCs w:val="24"/>
            <w:lang w:val="pt-BR"/>
          </w:rPr>
          <w:t>5</w:t>
        </w:r>
      </w:hyperlink>
      <w:r w:rsidR="00F92CA1" w:rsidRPr="004C6EF9">
        <w:rPr>
          <w:rStyle w:val="Hyperlink"/>
          <w:rFonts w:cstheme="minorHAnsi"/>
          <w:b/>
          <w:bCs/>
          <w:szCs w:val="24"/>
          <w:lang w:val="pt-BR"/>
        </w:rPr>
        <w:t>(Rev.3)</w:t>
      </w:r>
      <w:r w:rsidR="00296088" w:rsidRPr="004C6EF9">
        <w:rPr>
          <w:rFonts w:cstheme="minorHAnsi"/>
          <w:b/>
          <w:bCs/>
          <w:szCs w:val="24"/>
          <w:lang w:val="pt-BR"/>
        </w:rPr>
        <w:t xml:space="preserve"> </w:t>
      </w:r>
    </w:p>
    <w:p w14:paraId="3C05588F" w14:textId="1F109CA7" w:rsidR="00690A91" w:rsidRPr="004C6EF9" w:rsidRDefault="00286AAF" w:rsidP="00C5445E">
      <w:pPr>
        <w:tabs>
          <w:tab w:val="clear" w:pos="1134"/>
          <w:tab w:val="clear" w:pos="1871"/>
          <w:tab w:val="clear" w:pos="2268"/>
        </w:tabs>
        <w:overflowPunct/>
        <w:autoSpaceDE/>
        <w:autoSpaceDN/>
        <w:adjustRightInd/>
        <w:spacing w:after="120"/>
        <w:rPr>
          <w:rFonts w:ascii="Calibri" w:hAnsi="Calibri" w:cs="Calibri"/>
          <w:szCs w:val="24"/>
          <w:lang w:val="en-US" w:eastAsia="en-GB"/>
        </w:rPr>
      </w:pPr>
      <w:r w:rsidRPr="004C6EF9">
        <w:rPr>
          <w:rFonts w:ascii="Calibri" w:hAnsi="Calibri" w:cs="Calibri"/>
          <w:szCs w:val="24"/>
          <w:lang w:val="en-US" w:eastAsia="en-GB"/>
        </w:rPr>
        <w:t>This</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report</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is</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an</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update</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to</w:t>
      </w:r>
      <w:r w:rsidR="00296088" w:rsidRPr="004C6EF9">
        <w:rPr>
          <w:rFonts w:ascii="Calibri" w:hAnsi="Calibri" w:cs="Calibri"/>
          <w:szCs w:val="24"/>
          <w:lang w:val="en-US" w:eastAsia="en-GB"/>
        </w:rPr>
        <w:t xml:space="preserve"> </w:t>
      </w:r>
      <w:hyperlink r:id="rId43" w:history="1">
        <w:r w:rsidRPr="004C6EF9">
          <w:rPr>
            <w:rStyle w:val="Hyperlink"/>
            <w:rFonts w:ascii="Calibri" w:hAnsi="Calibri" w:cs="Calibri"/>
            <w:szCs w:val="24"/>
            <w:lang w:val="en-US" w:eastAsia="en-GB"/>
          </w:rPr>
          <w:t>TDAG-21/8</w:t>
        </w:r>
      </w:hyperlink>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on</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the</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activities</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carried</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out</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by</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Study</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Group</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1</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for</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the</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seventh</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study</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period</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which</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was</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extended</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as</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a</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result</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of</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the</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postponement</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of</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WTDC</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to</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June</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2022.</w:t>
      </w:r>
      <w:r w:rsidR="00296088" w:rsidRPr="004C6EF9">
        <w:rPr>
          <w:rFonts w:ascii="Calibri" w:hAnsi="Calibri" w:cs="Calibri"/>
          <w:szCs w:val="24"/>
          <w:lang w:val="en-US" w:eastAsia="en-GB"/>
        </w:rPr>
        <w:t xml:space="preserve"> </w:t>
      </w:r>
      <w:r w:rsidR="00690A91" w:rsidRPr="004C6EF9">
        <w:rPr>
          <w:rFonts w:ascii="Calibri" w:hAnsi="Calibri" w:cs="Calibri"/>
          <w:szCs w:val="24"/>
          <w:lang w:val="en-US" w:eastAsia="en-GB"/>
        </w:rPr>
        <w:t xml:space="preserve">The report provides useful detail on the outcomes, annual deliverables, participation and contribution statistics, and collaboration between </w:t>
      </w:r>
      <w:r w:rsidR="00017E94" w:rsidRPr="004C6EF9">
        <w:rPr>
          <w:rFonts w:ascii="Calibri" w:hAnsi="Calibri" w:cs="Calibri"/>
          <w:szCs w:val="24"/>
          <w:lang w:val="en-US" w:eastAsia="en-GB"/>
        </w:rPr>
        <w:t>SG1 and SG2 Questions and with other Sectors</w:t>
      </w:r>
      <w:r w:rsidR="00690A91" w:rsidRPr="004C6EF9">
        <w:rPr>
          <w:rFonts w:ascii="Calibri" w:hAnsi="Calibri" w:cs="Calibri"/>
          <w:szCs w:val="24"/>
          <w:lang w:val="en-US" w:eastAsia="en-GB"/>
        </w:rPr>
        <w:t xml:space="preserve">.  </w:t>
      </w:r>
    </w:p>
    <w:p w14:paraId="76D4B6C7" w14:textId="2D4948C8" w:rsidR="00C5445E" w:rsidRPr="004C6EF9" w:rsidRDefault="00286AAF" w:rsidP="00C5445E">
      <w:pPr>
        <w:tabs>
          <w:tab w:val="clear" w:pos="1134"/>
          <w:tab w:val="clear" w:pos="1871"/>
          <w:tab w:val="clear" w:pos="2268"/>
        </w:tabs>
        <w:overflowPunct/>
        <w:autoSpaceDE/>
        <w:autoSpaceDN/>
        <w:adjustRightInd/>
        <w:spacing w:after="120"/>
        <w:rPr>
          <w:rFonts w:ascii="Calibri" w:hAnsi="Calibri" w:cs="Calibri"/>
          <w:szCs w:val="24"/>
          <w:lang w:eastAsia="en-GB"/>
        </w:rPr>
      </w:pPr>
      <w:r w:rsidRPr="004C6EF9">
        <w:rPr>
          <w:rFonts w:ascii="Calibri" w:hAnsi="Calibri" w:cs="Calibri"/>
          <w:szCs w:val="24"/>
          <w:lang w:val="en-US" w:eastAsia="en-GB"/>
        </w:rPr>
        <w:t>As</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per</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TDAG</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decision</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taken</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at</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its</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28</w:t>
      </w:r>
      <w:r w:rsidR="007F7CCB" w:rsidRPr="004C6EF9">
        <w:rPr>
          <w:rFonts w:ascii="Calibri" w:hAnsi="Calibri" w:cs="Calibri"/>
          <w:szCs w:val="24"/>
          <w:lang w:val="en-US" w:eastAsia="en-GB"/>
        </w:rPr>
        <w:t>th</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meeting,</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an</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additional</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set</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of</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Study</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Group</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1</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meetings</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were</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held</w:t>
      </w:r>
      <w:r w:rsidR="00296088" w:rsidRPr="004C6EF9">
        <w:rPr>
          <w:rFonts w:ascii="Calibri" w:hAnsi="Calibri" w:cs="Calibri"/>
          <w:szCs w:val="24"/>
          <w:lang w:val="en-US" w:eastAsia="en-GB"/>
        </w:rPr>
        <w:t xml:space="preserve"> </w:t>
      </w:r>
      <w:r w:rsidR="00690A91" w:rsidRPr="004C6EF9">
        <w:rPr>
          <w:rFonts w:ascii="Calibri" w:hAnsi="Calibri" w:cs="Calibri"/>
          <w:szCs w:val="24"/>
          <w:lang w:val="en-US" w:eastAsia="en-GB"/>
        </w:rPr>
        <w:t>in</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October</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2021</w:t>
      </w:r>
      <w:r w:rsidR="00EB2A7E">
        <w:rPr>
          <w:rFonts w:ascii="Calibri" w:hAnsi="Calibri" w:cs="Calibri"/>
          <w:szCs w:val="24"/>
          <w:lang w:val="en-US" w:eastAsia="en-GB"/>
        </w:rPr>
        <w:t>, principally</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to</w:t>
      </w:r>
      <w:r w:rsidR="00EB2A7E">
        <w:rPr>
          <w:rFonts w:ascii="Calibri" w:hAnsi="Calibri" w:cs="Calibri"/>
          <w:szCs w:val="24"/>
          <w:lang w:val="en-US" w:eastAsia="en-GB"/>
        </w:rPr>
        <w:t xml:space="preserve"> </w:t>
      </w:r>
      <w:r w:rsidRPr="004C6EF9">
        <w:rPr>
          <w:rFonts w:ascii="Calibri" w:hAnsi="Calibri" w:cs="Calibri"/>
          <w:szCs w:val="24"/>
          <w:lang w:val="en-US" w:eastAsia="en-GB"/>
        </w:rPr>
        <w:t>refine</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the</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terms</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of</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reference</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w:t>
      </w:r>
      <w:proofErr w:type="spellStart"/>
      <w:r w:rsidRPr="004C6EF9">
        <w:rPr>
          <w:rFonts w:ascii="Calibri" w:hAnsi="Calibri" w:cs="Calibri"/>
          <w:szCs w:val="24"/>
          <w:lang w:val="en-US" w:eastAsia="en-GB"/>
        </w:rPr>
        <w:t>ToRs</w:t>
      </w:r>
      <w:proofErr w:type="spellEnd"/>
      <w:r w:rsidRPr="004C6EF9">
        <w:rPr>
          <w:rFonts w:ascii="Calibri" w:hAnsi="Calibri" w:cs="Calibri"/>
          <w:szCs w:val="24"/>
          <w:lang w:val="en-US" w:eastAsia="en-GB"/>
        </w:rPr>
        <w:t>)</w:t>
      </w:r>
      <w:r w:rsidR="00296088" w:rsidRPr="004C6EF9">
        <w:rPr>
          <w:rFonts w:ascii="Calibri" w:hAnsi="Calibri" w:cs="Calibri"/>
          <w:szCs w:val="24"/>
          <w:lang w:val="en-US" w:eastAsia="en-GB"/>
        </w:rPr>
        <w:t xml:space="preserve"> </w:t>
      </w:r>
      <w:r w:rsidRPr="004C6EF9">
        <w:rPr>
          <w:rFonts w:ascii="Calibri" w:hAnsi="Calibri" w:cs="Calibri"/>
          <w:szCs w:val="24"/>
          <w:lang w:val="en-US" w:eastAsia="en-GB"/>
        </w:rPr>
        <w:t>of</w:t>
      </w:r>
      <w:r w:rsidR="00296088" w:rsidRPr="004C6EF9">
        <w:rPr>
          <w:rFonts w:ascii="Calibri" w:hAnsi="Calibri" w:cs="Calibri"/>
          <w:szCs w:val="24"/>
          <w:lang w:val="en-US" w:eastAsia="en-GB"/>
        </w:rPr>
        <w:t xml:space="preserve"> </w:t>
      </w:r>
      <w:r w:rsidR="0039310A" w:rsidRPr="004C6EF9">
        <w:rPr>
          <w:rFonts w:ascii="Calibri" w:hAnsi="Calibri" w:cs="Calibri"/>
          <w:szCs w:val="24"/>
          <w:lang w:val="en-US" w:eastAsia="en-GB"/>
        </w:rPr>
        <w:t xml:space="preserve">study </w:t>
      </w:r>
      <w:r w:rsidRPr="004C6EF9">
        <w:rPr>
          <w:rFonts w:ascii="Calibri" w:hAnsi="Calibri" w:cs="Calibri"/>
          <w:szCs w:val="24"/>
          <w:lang w:val="en-US" w:eastAsia="en-GB"/>
        </w:rPr>
        <w:t>Questions.</w:t>
      </w:r>
      <w:r w:rsidR="00296088" w:rsidRPr="004C6EF9">
        <w:rPr>
          <w:rFonts w:ascii="Calibri" w:hAnsi="Calibri" w:cs="Calibri"/>
          <w:szCs w:val="24"/>
          <w:lang w:eastAsia="en-GB"/>
        </w:rPr>
        <w:t xml:space="preserve"> </w:t>
      </w:r>
      <w:r w:rsidR="007F7CCB" w:rsidRPr="004C6EF9">
        <w:rPr>
          <w:rFonts w:ascii="Calibri" w:hAnsi="Calibri" w:cs="Calibri"/>
          <w:szCs w:val="24"/>
          <w:lang w:val="en-US" w:eastAsia="en-GB"/>
        </w:rPr>
        <w:t>Decisions on the submitted revised </w:t>
      </w:r>
      <w:proofErr w:type="spellStart"/>
      <w:r w:rsidR="0072522C" w:rsidRPr="004C6EF9">
        <w:rPr>
          <w:rFonts w:ascii="Calibri" w:hAnsi="Calibri" w:cs="Calibri"/>
          <w:szCs w:val="24"/>
          <w:lang w:val="en-US" w:eastAsia="en-GB"/>
        </w:rPr>
        <w:t>ToRs</w:t>
      </w:r>
      <w:proofErr w:type="spellEnd"/>
      <w:r w:rsidR="007F7CCB" w:rsidRPr="004C6EF9">
        <w:rPr>
          <w:rFonts w:ascii="Calibri" w:hAnsi="Calibri" w:cs="Calibri"/>
          <w:szCs w:val="24"/>
          <w:lang w:val="en-US" w:eastAsia="en-GB"/>
        </w:rPr>
        <w:t xml:space="preserve"> can be found in </w:t>
      </w:r>
      <w:r w:rsidR="00017E94" w:rsidRPr="004C6EF9">
        <w:rPr>
          <w:rFonts w:ascii="Calibri" w:hAnsi="Calibri" w:cs="Calibri"/>
          <w:szCs w:val="24"/>
          <w:lang w:val="en-US" w:eastAsia="en-GB"/>
        </w:rPr>
        <w:t>d</w:t>
      </w:r>
      <w:r w:rsidR="007F7CCB" w:rsidRPr="004C6EF9">
        <w:rPr>
          <w:rFonts w:ascii="Calibri" w:hAnsi="Calibri" w:cs="Calibri"/>
          <w:szCs w:val="24"/>
          <w:lang w:val="en-US" w:eastAsia="en-GB"/>
        </w:rPr>
        <w:t>ocument </w:t>
      </w:r>
      <w:hyperlink r:id="rId44" w:history="1">
        <w:r w:rsidR="007F7CCB" w:rsidRPr="004C6EF9">
          <w:rPr>
            <w:rStyle w:val="Hyperlink"/>
            <w:rFonts w:ascii="Calibri" w:hAnsi="Calibri" w:cs="Calibri"/>
            <w:szCs w:val="24"/>
            <w:lang w:val="en-US" w:eastAsia="en-GB"/>
          </w:rPr>
          <w:t>DT/4</w:t>
        </w:r>
      </w:hyperlink>
      <w:r w:rsidR="007F7CCB" w:rsidRPr="004C6EF9">
        <w:rPr>
          <w:rFonts w:ascii="Calibri" w:hAnsi="Calibri" w:cs="Calibri"/>
          <w:szCs w:val="24"/>
          <w:lang w:val="en-US" w:eastAsia="en-GB"/>
        </w:rPr>
        <w:t>.</w:t>
      </w:r>
    </w:p>
    <w:tbl>
      <w:tblPr>
        <w:tblStyle w:val="TableGrid"/>
        <w:tblW w:w="0" w:type="auto"/>
        <w:tblLook w:val="04A0" w:firstRow="1" w:lastRow="0" w:firstColumn="1" w:lastColumn="0" w:noHBand="0" w:noVBand="1"/>
      </w:tblPr>
      <w:tblGrid>
        <w:gridCol w:w="9629"/>
      </w:tblGrid>
      <w:tr w:rsidR="0054498D" w:rsidRPr="004C6EF9" w14:paraId="28D7DC06" w14:textId="77777777" w:rsidTr="004D36C6">
        <w:tc>
          <w:tcPr>
            <w:tcW w:w="9629" w:type="dxa"/>
          </w:tcPr>
          <w:p w14:paraId="388030AB" w14:textId="40C3479E" w:rsidR="0054498D" w:rsidRPr="004C6EF9" w:rsidRDefault="00F92CA1" w:rsidP="004D36C6">
            <w:pPr>
              <w:spacing w:after="120"/>
              <w:rPr>
                <w:rFonts w:eastAsiaTheme="minorEastAsia" w:cstheme="minorHAnsi"/>
                <w:szCs w:val="24"/>
                <w:lang w:val="en-US"/>
              </w:rPr>
            </w:pPr>
            <w:r w:rsidRPr="004C6EF9">
              <w:rPr>
                <w:rFonts w:eastAsiaTheme="minorEastAsia" w:cstheme="minorHAnsi"/>
                <w:szCs w:val="24"/>
              </w:rPr>
              <w:t xml:space="preserve">TDAG noted the report with appreciation and recognized the important and comprehensive work accomplished by ITU-D membership, supported by BDT staff and Focal Points and led by </w:t>
            </w:r>
            <w:r w:rsidRPr="004C6EF9">
              <w:rPr>
                <w:rFonts w:eastAsiaTheme="minorEastAsia" w:cstheme="minorHAnsi"/>
                <w:szCs w:val="24"/>
              </w:rPr>
              <w:lastRenderedPageBreak/>
              <w:t xml:space="preserve">the ITU-D Study Group 1 Chair Ms Regina Fleur </w:t>
            </w:r>
            <w:proofErr w:type="spellStart"/>
            <w:r w:rsidRPr="004C6EF9">
              <w:rPr>
                <w:rFonts w:eastAsiaTheme="minorEastAsia" w:cstheme="minorHAnsi"/>
                <w:szCs w:val="24"/>
              </w:rPr>
              <w:t>Assoumou</w:t>
            </w:r>
            <w:proofErr w:type="spellEnd"/>
            <w:r w:rsidRPr="004C6EF9">
              <w:rPr>
                <w:rFonts w:eastAsiaTheme="minorEastAsia" w:cstheme="minorHAnsi"/>
                <w:szCs w:val="24"/>
              </w:rPr>
              <w:t xml:space="preserve"> </w:t>
            </w:r>
            <w:proofErr w:type="spellStart"/>
            <w:r w:rsidRPr="004C6EF9">
              <w:rPr>
                <w:rFonts w:eastAsiaTheme="minorEastAsia" w:cstheme="minorHAnsi"/>
                <w:szCs w:val="24"/>
              </w:rPr>
              <w:t>Bessou</w:t>
            </w:r>
            <w:proofErr w:type="spellEnd"/>
            <w:r w:rsidRPr="004C6EF9">
              <w:rPr>
                <w:rFonts w:eastAsiaTheme="minorEastAsia" w:cstheme="minorHAnsi"/>
                <w:szCs w:val="24"/>
              </w:rPr>
              <w:t xml:space="preserve"> with professionalism, fairness and tenacity.  </w:t>
            </w:r>
          </w:p>
        </w:tc>
      </w:tr>
    </w:tbl>
    <w:p w14:paraId="17701010" w14:textId="2E0D40A3" w:rsidR="006E781F" w:rsidRPr="004C6EF9" w:rsidRDefault="006E781F" w:rsidP="0011639E">
      <w:pPr>
        <w:keepNext/>
        <w:tabs>
          <w:tab w:val="clear" w:pos="1134"/>
          <w:tab w:val="clear" w:pos="1871"/>
          <w:tab w:val="left" w:pos="709"/>
        </w:tabs>
        <w:spacing w:after="120"/>
        <w:rPr>
          <w:rStyle w:val="Hyperlink"/>
          <w:rFonts w:cstheme="minorHAnsi"/>
          <w:b/>
          <w:bCs/>
          <w:szCs w:val="24"/>
          <w:lang w:val="pt-BR"/>
        </w:rPr>
      </w:pPr>
      <w:r w:rsidRPr="004C6EF9">
        <w:rPr>
          <w:rFonts w:cstheme="minorHAnsi"/>
          <w:b/>
          <w:bCs/>
          <w:szCs w:val="24"/>
          <w:lang w:val="pt-BR"/>
        </w:rPr>
        <w:lastRenderedPageBreak/>
        <w:t xml:space="preserve">Document </w:t>
      </w:r>
      <w:r w:rsidR="00570284">
        <w:fldChar w:fldCharType="begin"/>
      </w:r>
      <w:r w:rsidR="00570284">
        <w:instrText xml:space="preserve"> HYPERLINK "https://www.itu.int/md/D18-TDAG29-C-0006" </w:instrText>
      </w:r>
      <w:r w:rsidR="00570284">
        <w:fldChar w:fldCharType="separate"/>
      </w:r>
      <w:r w:rsidRPr="004C6EF9">
        <w:rPr>
          <w:rStyle w:val="Hyperlink"/>
          <w:rFonts w:cstheme="minorHAnsi"/>
          <w:b/>
          <w:bCs/>
          <w:szCs w:val="24"/>
          <w:lang w:val="pt-BR"/>
        </w:rPr>
        <w:t>6</w:t>
      </w:r>
      <w:r w:rsidR="00570284">
        <w:rPr>
          <w:rStyle w:val="Hyperlink"/>
          <w:rFonts w:cstheme="minorHAnsi"/>
          <w:b/>
          <w:bCs/>
          <w:szCs w:val="24"/>
          <w:lang w:val="pt-BR"/>
        </w:rPr>
        <w:fldChar w:fldCharType="end"/>
      </w:r>
      <w:r w:rsidR="00F92CA1" w:rsidRPr="004C6EF9">
        <w:rPr>
          <w:rStyle w:val="Hyperlink"/>
          <w:rFonts w:cstheme="minorHAnsi"/>
          <w:b/>
          <w:bCs/>
          <w:szCs w:val="24"/>
          <w:lang w:val="pt-BR"/>
        </w:rPr>
        <w:t>(Rev.1)</w:t>
      </w:r>
    </w:p>
    <w:p w14:paraId="2642B761" w14:textId="2200B59A" w:rsidR="00690A91" w:rsidRPr="004C6EF9" w:rsidRDefault="006E781F" w:rsidP="006E781F">
      <w:pPr>
        <w:tabs>
          <w:tab w:val="clear" w:pos="1134"/>
          <w:tab w:val="clear" w:pos="1871"/>
          <w:tab w:val="clear" w:pos="2268"/>
        </w:tabs>
        <w:overflowPunct/>
        <w:autoSpaceDE/>
        <w:autoSpaceDN/>
        <w:adjustRightInd/>
        <w:spacing w:after="120"/>
        <w:rPr>
          <w:rFonts w:ascii="Calibri" w:hAnsi="Calibri" w:cs="Calibri"/>
          <w:szCs w:val="24"/>
          <w:lang w:val="en-US" w:eastAsia="en-GB"/>
        </w:rPr>
      </w:pPr>
      <w:r w:rsidRPr="004C6EF9">
        <w:rPr>
          <w:rFonts w:ascii="Calibri" w:hAnsi="Calibri" w:cs="Calibri"/>
          <w:szCs w:val="24"/>
          <w:lang w:val="en-US" w:eastAsia="en-GB"/>
        </w:rPr>
        <w:t xml:space="preserve">This report is an update to the last meeting report to TDAG (Revision 1 to Document </w:t>
      </w:r>
      <w:hyperlink r:id="rId45" w:tgtFrame="_blank" w:history="1">
        <w:r w:rsidRPr="004C6EF9">
          <w:rPr>
            <w:rFonts w:ascii="Calibri" w:hAnsi="Calibri" w:cs="Calibri"/>
            <w:color w:val="0000FF"/>
            <w:szCs w:val="24"/>
            <w:u w:val="single"/>
            <w:lang w:eastAsia="en-GB"/>
          </w:rPr>
          <w:t>TDAG-21/9</w:t>
        </w:r>
      </w:hyperlink>
      <w:r w:rsidRPr="004C6EF9">
        <w:rPr>
          <w:rFonts w:ascii="Calibri" w:hAnsi="Calibri" w:cs="Calibri"/>
          <w:szCs w:val="24"/>
          <w:lang w:val="en-US" w:eastAsia="en-GB"/>
        </w:rPr>
        <w:t>) on the activities carried out by Study Group 2 for the seventh study period</w:t>
      </w:r>
      <w:r w:rsidR="005223D3" w:rsidRPr="004C6EF9">
        <w:rPr>
          <w:rFonts w:ascii="Calibri" w:hAnsi="Calibri" w:cs="Calibri"/>
          <w:szCs w:val="24"/>
          <w:lang w:val="en-US" w:eastAsia="en-GB"/>
        </w:rPr>
        <w:t xml:space="preserve"> which was extended as a result of the postponement of WTDC</w:t>
      </w:r>
      <w:r w:rsidR="00CE7D77" w:rsidRPr="004C6EF9">
        <w:rPr>
          <w:rFonts w:ascii="Calibri" w:hAnsi="Calibri" w:cs="Calibri"/>
          <w:szCs w:val="24"/>
          <w:lang w:val="en-US" w:eastAsia="en-GB"/>
        </w:rPr>
        <w:t xml:space="preserve"> </w:t>
      </w:r>
      <w:r w:rsidR="005223D3" w:rsidRPr="004C6EF9">
        <w:rPr>
          <w:rFonts w:ascii="Calibri" w:hAnsi="Calibri" w:cs="Calibri"/>
          <w:szCs w:val="24"/>
          <w:lang w:val="en-US" w:eastAsia="en-GB"/>
        </w:rPr>
        <w:t xml:space="preserve">to June 2022. The report provides useful detail on the outcomes, annual deliverables, participation and contribution statistics, and collaboration between </w:t>
      </w:r>
      <w:r w:rsidR="00017E94" w:rsidRPr="004C6EF9">
        <w:rPr>
          <w:rFonts w:ascii="Calibri" w:hAnsi="Calibri" w:cs="Calibri"/>
          <w:szCs w:val="24"/>
          <w:lang w:val="en-US" w:eastAsia="en-GB"/>
        </w:rPr>
        <w:t xml:space="preserve">SG1 and </w:t>
      </w:r>
      <w:r w:rsidR="005223D3" w:rsidRPr="004C6EF9">
        <w:rPr>
          <w:rFonts w:ascii="Calibri" w:hAnsi="Calibri" w:cs="Calibri"/>
          <w:szCs w:val="24"/>
          <w:lang w:val="en-US" w:eastAsia="en-GB"/>
        </w:rPr>
        <w:t>SG2 Questions and with other Sector</w:t>
      </w:r>
      <w:r w:rsidR="00017E94" w:rsidRPr="004C6EF9">
        <w:rPr>
          <w:rFonts w:ascii="Calibri" w:hAnsi="Calibri" w:cs="Calibri"/>
          <w:szCs w:val="24"/>
          <w:lang w:val="en-US" w:eastAsia="en-GB"/>
        </w:rPr>
        <w:t>s</w:t>
      </w:r>
      <w:r w:rsidR="005223D3" w:rsidRPr="004C6EF9">
        <w:rPr>
          <w:rFonts w:ascii="Calibri" w:hAnsi="Calibri" w:cs="Calibri"/>
          <w:szCs w:val="24"/>
          <w:lang w:val="en-US" w:eastAsia="en-GB"/>
        </w:rPr>
        <w:t xml:space="preserve">.  </w:t>
      </w:r>
      <w:r w:rsidRPr="004C6EF9">
        <w:rPr>
          <w:rFonts w:ascii="Calibri" w:hAnsi="Calibri" w:cs="Calibri"/>
          <w:szCs w:val="24"/>
          <w:lang w:val="en-US" w:eastAsia="en-GB"/>
        </w:rPr>
        <w:t xml:space="preserve"> </w:t>
      </w:r>
    </w:p>
    <w:p w14:paraId="44D7AB8D" w14:textId="5781845B" w:rsidR="0039310A" w:rsidRPr="004C6EF9" w:rsidRDefault="00690A91" w:rsidP="0039310A">
      <w:pPr>
        <w:tabs>
          <w:tab w:val="clear" w:pos="1134"/>
          <w:tab w:val="clear" w:pos="1871"/>
          <w:tab w:val="clear" w:pos="2268"/>
        </w:tabs>
        <w:overflowPunct/>
        <w:autoSpaceDE/>
        <w:autoSpaceDN/>
        <w:adjustRightInd/>
        <w:spacing w:after="120"/>
        <w:rPr>
          <w:rFonts w:ascii="Calibri" w:hAnsi="Calibri" w:cs="Calibri"/>
          <w:szCs w:val="24"/>
          <w:lang w:eastAsia="en-GB"/>
        </w:rPr>
      </w:pPr>
      <w:r w:rsidRPr="004C6EF9">
        <w:rPr>
          <w:rFonts w:ascii="Calibri" w:hAnsi="Calibri" w:cs="Calibri"/>
          <w:szCs w:val="24"/>
          <w:lang w:val="en-US" w:eastAsia="en-GB"/>
        </w:rPr>
        <w:t xml:space="preserve">As per </w:t>
      </w:r>
      <w:r w:rsidR="001F3D86">
        <w:rPr>
          <w:rFonts w:ascii="Calibri" w:hAnsi="Calibri" w:cs="Calibri"/>
          <w:szCs w:val="24"/>
          <w:lang w:val="en-US" w:eastAsia="en-GB"/>
        </w:rPr>
        <w:t xml:space="preserve">the </w:t>
      </w:r>
      <w:r w:rsidRPr="004C6EF9">
        <w:rPr>
          <w:rFonts w:ascii="Calibri" w:hAnsi="Calibri" w:cs="Calibri"/>
          <w:szCs w:val="24"/>
          <w:lang w:val="en-US" w:eastAsia="en-GB"/>
        </w:rPr>
        <w:t xml:space="preserve">TDAG decision </w:t>
      </w:r>
      <w:r w:rsidR="001F3D86">
        <w:rPr>
          <w:rFonts w:ascii="Calibri" w:hAnsi="Calibri" w:cs="Calibri"/>
          <w:szCs w:val="24"/>
          <w:lang w:val="en-US" w:eastAsia="en-GB"/>
        </w:rPr>
        <w:t>made</w:t>
      </w:r>
      <w:r w:rsidRPr="004C6EF9">
        <w:rPr>
          <w:rFonts w:ascii="Calibri" w:hAnsi="Calibri" w:cs="Calibri"/>
          <w:szCs w:val="24"/>
          <w:lang w:val="en-US" w:eastAsia="en-GB"/>
        </w:rPr>
        <w:t xml:space="preserve"> at its 28th meeting</w:t>
      </w:r>
      <w:r w:rsidR="006E781F" w:rsidRPr="004C6EF9">
        <w:rPr>
          <w:rFonts w:ascii="Calibri" w:hAnsi="Calibri" w:cs="Calibri"/>
          <w:szCs w:val="24"/>
          <w:lang w:val="en-US" w:eastAsia="en-GB"/>
        </w:rPr>
        <w:t xml:space="preserve">, an additional set of Study Group 2 meetings were held </w:t>
      </w:r>
      <w:r w:rsidR="0036003B" w:rsidRPr="004C6EF9">
        <w:rPr>
          <w:rFonts w:ascii="Calibri" w:hAnsi="Calibri" w:cs="Calibri"/>
          <w:szCs w:val="24"/>
          <w:lang w:val="en-US" w:eastAsia="en-GB"/>
        </w:rPr>
        <w:t>in</w:t>
      </w:r>
      <w:r w:rsidR="006E781F" w:rsidRPr="004C6EF9">
        <w:rPr>
          <w:rFonts w:ascii="Calibri" w:hAnsi="Calibri" w:cs="Calibri"/>
          <w:szCs w:val="24"/>
          <w:lang w:val="en-US" w:eastAsia="en-GB"/>
        </w:rPr>
        <w:t xml:space="preserve"> October 2021, principally with the aim of reaching consensus on the revised </w:t>
      </w:r>
      <w:proofErr w:type="spellStart"/>
      <w:r w:rsidR="006E781F" w:rsidRPr="004C6EF9">
        <w:rPr>
          <w:rFonts w:ascii="Calibri" w:hAnsi="Calibri" w:cs="Calibri"/>
          <w:szCs w:val="24"/>
          <w:lang w:val="en-US" w:eastAsia="en-GB"/>
        </w:rPr>
        <w:t>ToRs</w:t>
      </w:r>
      <w:proofErr w:type="spellEnd"/>
      <w:r w:rsidR="006E781F" w:rsidRPr="004C6EF9">
        <w:rPr>
          <w:rFonts w:ascii="Calibri" w:hAnsi="Calibri" w:cs="Calibri"/>
          <w:szCs w:val="24"/>
          <w:lang w:val="en-US" w:eastAsia="en-GB"/>
        </w:rPr>
        <w:t xml:space="preserve"> for study Questions. </w:t>
      </w:r>
      <w:r w:rsidR="0039310A" w:rsidRPr="004C6EF9">
        <w:rPr>
          <w:rStyle w:val="normaltextrun"/>
          <w:rFonts w:ascii="Calibri" w:hAnsi="Calibri" w:cs="Calibri"/>
          <w:color w:val="000000"/>
          <w:shd w:val="clear" w:color="auto" w:fill="FFFFFF"/>
          <w:lang w:val="en-US"/>
        </w:rPr>
        <w:t>Decisions on the submitted revised </w:t>
      </w:r>
      <w:proofErr w:type="spellStart"/>
      <w:r w:rsidR="0072522C" w:rsidRPr="004C6EF9">
        <w:rPr>
          <w:rStyle w:val="normaltextrun"/>
          <w:rFonts w:ascii="Calibri" w:hAnsi="Calibri" w:cs="Calibri"/>
          <w:color w:val="000000"/>
          <w:shd w:val="clear" w:color="auto" w:fill="FFFFFF"/>
          <w:lang w:val="en-US"/>
        </w:rPr>
        <w:t>ToRs</w:t>
      </w:r>
      <w:proofErr w:type="spellEnd"/>
      <w:r w:rsidR="0039310A" w:rsidRPr="004C6EF9">
        <w:rPr>
          <w:rStyle w:val="normaltextrun"/>
          <w:rFonts w:ascii="Calibri" w:hAnsi="Calibri" w:cs="Calibri"/>
          <w:color w:val="000000"/>
          <w:shd w:val="clear" w:color="auto" w:fill="FFFFFF"/>
          <w:lang w:val="en-US"/>
        </w:rPr>
        <w:t xml:space="preserve"> can be found in the relevant section of the report for </w:t>
      </w:r>
      <w:r w:rsidR="00CE7D77" w:rsidRPr="004C6EF9">
        <w:rPr>
          <w:rStyle w:val="normaltextrun"/>
          <w:rFonts w:ascii="Calibri" w:hAnsi="Calibri" w:cs="Calibri"/>
          <w:color w:val="000000"/>
          <w:shd w:val="clear" w:color="auto" w:fill="FFFFFF"/>
          <w:lang w:val="en-US"/>
        </w:rPr>
        <w:t>D</w:t>
      </w:r>
      <w:r w:rsidR="0039310A" w:rsidRPr="004C6EF9">
        <w:rPr>
          <w:rStyle w:val="normaltextrun"/>
          <w:rFonts w:ascii="Calibri" w:hAnsi="Calibri" w:cs="Calibri"/>
          <w:color w:val="000000"/>
          <w:shd w:val="clear" w:color="auto" w:fill="FFFFFF"/>
          <w:lang w:val="en-US"/>
        </w:rPr>
        <w:t xml:space="preserve">ocument </w:t>
      </w:r>
      <w:hyperlink r:id="rId46" w:history="1">
        <w:r w:rsidR="0039310A" w:rsidRPr="004C6EF9">
          <w:rPr>
            <w:rStyle w:val="Hyperlink"/>
            <w:rFonts w:ascii="Calibri" w:hAnsi="Calibri" w:cs="Calibri"/>
            <w:shd w:val="clear" w:color="auto" w:fill="FFFFFF"/>
            <w:lang w:val="en-US"/>
          </w:rPr>
          <w:t>DT/5</w:t>
        </w:r>
      </w:hyperlink>
      <w:r w:rsidR="0039310A" w:rsidRPr="004C6EF9">
        <w:rPr>
          <w:rStyle w:val="normaltextrun"/>
          <w:rFonts w:ascii="Calibri" w:hAnsi="Calibri" w:cs="Calibri"/>
          <w:color w:val="000000"/>
          <w:shd w:val="clear" w:color="auto" w:fill="FFFFFF"/>
          <w:lang w:val="en-US"/>
        </w:rPr>
        <w:t>. </w:t>
      </w:r>
      <w:r w:rsidR="0039310A" w:rsidRPr="004C6EF9">
        <w:rPr>
          <w:rStyle w:val="eop"/>
          <w:rFonts w:ascii="Calibri" w:hAnsi="Calibri" w:cs="Calibri"/>
          <w:color w:val="000000"/>
          <w:shd w:val="clear" w:color="auto" w:fill="FFFFFF"/>
        </w:rPr>
        <w:t> </w:t>
      </w:r>
    </w:p>
    <w:tbl>
      <w:tblPr>
        <w:tblStyle w:val="TableGrid"/>
        <w:tblW w:w="0" w:type="auto"/>
        <w:tblLook w:val="04A0" w:firstRow="1" w:lastRow="0" w:firstColumn="1" w:lastColumn="0" w:noHBand="0" w:noVBand="1"/>
      </w:tblPr>
      <w:tblGrid>
        <w:gridCol w:w="9629"/>
      </w:tblGrid>
      <w:tr w:rsidR="00F92CA1" w:rsidRPr="004C6EF9" w14:paraId="43AA42A9" w14:textId="77777777" w:rsidTr="0066214A">
        <w:tc>
          <w:tcPr>
            <w:tcW w:w="9629" w:type="dxa"/>
          </w:tcPr>
          <w:p w14:paraId="679E6C36" w14:textId="58DD2E4D" w:rsidR="00F92CA1" w:rsidRPr="004C6EF9" w:rsidRDefault="00F92CA1" w:rsidP="0066214A">
            <w:pPr>
              <w:spacing w:after="120"/>
              <w:rPr>
                <w:rFonts w:eastAsiaTheme="minorEastAsia" w:cstheme="minorHAnsi"/>
                <w:szCs w:val="24"/>
                <w:lang w:val="en-US"/>
              </w:rPr>
            </w:pPr>
            <w:r w:rsidRPr="004C6EF9">
              <w:rPr>
                <w:rFonts w:eastAsiaTheme="minorEastAsia" w:cstheme="minorHAnsi"/>
                <w:szCs w:val="24"/>
              </w:rPr>
              <w:t>TDAG noted the report with appreciation and recognized the important and comprehensive work accomplished by ITU-D membership, supported by the BDT staff and Focal Points and led by the ITU-D Study Group 2 Chair, Dr Ahmad Reza Sharafat with professionalism, fairness and tenacity.</w:t>
            </w:r>
          </w:p>
        </w:tc>
      </w:tr>
    </w:tbl>
    <w:p w14:paraId="2BB1F22E" w14:textId="3DB16BF7" w:rsidR="006E781F" w:rsidRPr="004C6EF9" w:rsidRDefault="006E781F" w:rsidP="0011639E">
      <w:pPr>
        <w:keepNext/>
        <w:tabs>
          <w:tab w:val="clear" w:pos="1134"/>
          <w:tab w:val="clear" w:pos="1871"/>
          <w:tab w:val="left" w:pos="709"/>
        </w:tabs>
        <w:spacing w:after="120"/>
        <w:rPr>
          <w:rFonts w:cstheme="minorHAnsi"/>
          <w:b/>
          <w:bCs/>
          <w:szCs w:val="24"/>
          <w:lang w:val="pt-BR"/>
        </w:rPr>
      </w:pPr>
      <w:r w:rsidRPr="004C6EF9">
        <w:rPr>
          <w:rFonts w:cstheme="minorHAnsi"/>
          <w:b/>
          <w:bCs/>
          <w:szCs w:val="24"/>
          <w:lang w:val="pt-BR"/>
        </w:rPr>
        <w:t xml:space="preserve">Document </w:t>
      </w:r>
      <w:hyperlink r:id="rId47" w:history="1">
        <w:r w:rsidRPr="004C6EF9">
          <w:rPr>
            <w:rStyle w:val="Hyperlink"/>
            <w:rFonts w:cstheme="minorHAnsi"/>
            <w:b/>
            <w:bCs/>
            <w:szCs w:val="24"/>
            <w:lang w:val="pt-BR"/>
          </w:rPr>
          <w:t>DT/4</w:t>
        </w:r>
        <w:r w:rsidR="00F92CA1" w:rsidRPr="004C6EF9">
          <w:rPr>
            <w:rStyle w:val="Hyperlink"/>
            <w:rFonts w:cstheme="minorHAnsi"/>
            <w:b/>
            <w:bCs/>
            <w:szCs w:val="24"/>
            <w:lang w:val="pt-BR"/>
          </w:rPr>
          <w:t>(Rev.1)</w:t>
        </w:r>
      </w:hyperlink>
      <w:r w:rsidRPr="004C6EF9">
        <w:rPr>
          <w:rFonts w:cstheme="minorHAnsi"/>
          <w:b/>
          <w:bCs/>
          <w:szCs w:val="24"/>
          <w:lang w:val="pt-BR"/>
        </w:rPr>
        <w:t xml:space="preserve"> </w:t>
      </w:r>
      <w:r w:rsidR="009E6D6C">
        <w:rPr>
          <w:rFonts w:cstheme="minorHAnsi"/>
          <w:b/>
          <w:bCs/>
          <w:szCs w:val="24"/>
          <w:lang w:val="pt-BR"/>
        </w:rPr>
        <w:t>and D</w:t>
      </w:r>
      <w:r w:rsidR="001C37D8">
        <w:rPr>
          <w:rFonts w:cstheme="minorHAnsi"/>
          <w:b/>
          <w:bCs/>
          <w:szCs w:val="24"/>
          <w:lang w:val="pt-BR"/>
        </w:rPr>
        <w:t>T</w:t>
      </w:r>
      <w:r w:rsidR="009E6D6C">
        <w:rPr>
          <w:rFonts w:cstheme="minorHAnsi"/>
          <w:b/>
          <w:bCs/>
          <w:szCs w:val="24"/>
          <w:lang w:val="pt-BR"/>
        </w:rPr>
        <w:t>/5</w:t>
      </w:r>
    </w:p>
    <w:p w14:paraId="3C9B69AC" w14:textId="310A7CD9" w:rsidR="00DF1CDF" w:rsidRPr="004C6EF9" w:rsidRDefault="00DF1CDF" w:rsidP="00DF1CDF">
      <w:pPr>
        <w:spacing w:after="120"/>
        <w:rPr>
          <w:color w:val="242424"/>
          <w:szCs w:val="24"/>
          <w:shd w:val="clear" w:color="auto" w:fill="FFFFFF"/>
          <w:lang w:val="en-US"/>
        </w:rPr>
      </w:pPr>
      <w:r w:rsidRPr="004C6EF9">
        <w:rPr>
          <w:color w:val="242424"/>
          <w:szCs w:val="24"/>
          <w:shd w:val="clear" w:color="auto" w:fill="FFFFFF"/>
          <w:lang w:val="en-US"/>
        </w:rPr>
        <w:t xml:space="preserve">As per </w:t>
      </w:r>
      <w:r w:rsidR="00674DCE">
        <w:rPr>
          <w:color w:val="242424"/>
          <w:szCs w:val="24"/>
          <w:shd w:val="clear" w:color="auto" w:fill="FFFFFF"/>
          <w:lang w:val="en-US"/>
        </w:rPr>
        <w:t xml:space="preserve">the </w:t>
      </w:r>
      <w:r w:rsidRPr="004C6EF9">
        <w:rPr>
          <w:color w:val="242424"/>
          <w:szCs w:val="24"/>
          <w:shd w:val="clear" w:color="auto" w:fill="FFFFFF"/>
          <w:lang w:val="en-US"/>
        </w:rPr>
        <w:t xml:space="preserve">TDAG decision </w:t>
      </w:r>
      <w:r w:rsidR="001F3D86">
        <w:rPr>
          <w:color w:val="242424"/>
          <w:szCs w:val="24"/>
          <w:shd w:val="clear" w:color="auto" w:fill="FFFFFF"/>
          <w:lang w:val="en-US"/>
        </w:rPr>
        <w:t>made</w:t>
      </w:r>
      <w:r w:rsidRPr="004C6EF9">
        <w:rPr>
          <w:color w:val="242424"/>
          <w:szCs w:val="24"/>
          <w:shd w:val="clear" w:color="auto" w:fill="FFFFFF"/>
          <w:lang w:val="en-US"/>
        </w:rPr>
        <w:t xml:space="preserve"> at its 28th</w:t>
      </w:r>
      <w:r w:rsidRPr="004C6EF9">
        <w:rPr>
          <w:color w:val="242424"/>
          <w:szCs w:val="24"/>
          <w:shd w:val="clear" w:color="auto" w:fill="FFFFFF"/>
          <w:vertAlign w:val="superscript"/>
          <w:lang w:val="en-US"/>
        </w:rPr>
        <w:t xml:space="preserve"> </w:t>
      </w:r>
      <w:r w:rsidRPr="004C6EF9">
        <w:rPr>
          <w:color w:val="242424"/>
          <w:szCs w:val="24"/>
          <w:shd w:val="clear" w:color="auto" w:fill="FFFFFF"/>
          <w:lang w:val="en-US"/>
        </w:rPr>
        <w:t xml:space="preserve">meeting, an additional set of Study Group 1 meetings were held from </w:t>
      </w:r>
      <w:r w:rsidRPr="004C6EF9">
        <w:rPr>
          <w:szCs w:val="24"/>
          <w:lang w:val="en-US"/>
        </w:rPr>
        <w:t>11 to 15 October 2021</w:t>
      </w:r>
      <w:r w:rsidRPr="004C6EF9">
        <w:rPr>
          <w:color w:val="242424"/>
          <w:szCs w:val="24"/>
          <w:shd w:val="clear" w:color="auto" w:fill="FFFFFF"/>
          <w:lang w:val="en-US"/>
        </w:rPr>
        <w:t xml:space="preserve"> </w:t>
      </w:r>
      <w:r w:rsidR="00B947D0">
        <w:rPr>
          <w:color w:val="242424"/>
          <w:szCs w:val="24"/>
          <w:shd w:val="clear" w:color="auto" w:fill="FFFFFF"/>
          <w:lang w:val="en-US"/>
        </w:rPr>
        <w:t xml:space="preserve">principally </w:t>
      </w:r>
      <w:r w:rsidRPr="004C6EF9">
        <w:rPr>
          <w:color w:val="242424"/>
          <w:szCs w:val="24"/>
          <w:shd w:val="clear" w:color="auto" w:fill="FFFFFF"/>
          <w:lang w:val="en-US"/>
        </w:rPr>
        <w:t>to refine</w:t>
      </w:r>
      <w:r w:rsidR="00B947D0">
        <w:rPr>
          <w:color w:val="242424"/>
          <w:szCs w:val="24"/>
          <w:shd w:val="clear" w:color="auto" w:fill="FFFFFF"/>
          <w:lang w:val="en-US"/>
        </w:rPr>
        <w:t xml:space="preserve"> the</w:t>
      </w:r>
      <w:r w:rsidRPr="004C6EF9">
        <w:rPr>
          <w:color w:val="242424"/>
          <w:szCs w:val="24"/>
          <w:shd w:val="clear" w:color="auto" w:fill="FFFFFF"/>
          <w:lang w:val="en-US"/>
        </w:rPr>
        <w:t xml:space="preserve"> </w:t>
      </w:r>
      <w:proofErr w:type="spellStart"/>
      <w:r w:rsidRPr="004C6EF9">
        <w:rPr>
          <w:color w:val="242424"/>
          <w:szCs w:val="24"/>
          <w:shd w:val="clear" w:color="auto" w:fill="FFFFFF"/>
          <w:lang w:val="en-US"/>
        </w:rPr>
        <w:t>ToRs</w:t>
      </w:r>
      <w:proofErr w:type="spellEnd"/>
      <w:r w:rsidRPr="004C6EF9">
        <w:rPr>
          <w:color w:val="242424"/>
          <w:szCs w:val="24"/>
          <w:shd w:val="clear" w:color="auto" w:fill="FFFFFF"/>
          <w:lang w:val="en-US"/>
        </w:rPr>
        <w:t xml:space="preserve"> of </w:t>
      </w:r>
      <w:r w:rsidR="00D968A0">
        <w:rPr>
          <w:color w:val="242424"/>
          <w:szCs w:val="24"/>
          <w:shd w:val="clear" w:color="auto" w:fill="FFFFFF"/>
          <w:lang w:val="en-US"/>
        </w:rPr>
        <w:t xml:space="preserve">revised study </w:t>
      </w:r>
      <w:r w:rsidRPr="004C6EF9">
        <w:rPr>
          <w:color w:val="242424"/>
          <w:szCs w:val="24"/>
          <w:shd w:val="clear" w:color="auto" w:fill="FFFFFF"/>
          <w:lang w:val="en-US"/>
        </w:rPr>
        <w:t xml:space="preserve">Questions which were submitted </w:t>
      </w:r>
      <w:r w:rsidR="00D968A0">
        <w:rPr>
          <w:color w:val="242424"/>
          <w:szCs w:val="24"/>
          <w:shd w:val="clear" w:color="auto" w:fill="FFFFFF"/>
          <w:lang w:val="en-US"/>
        </w:rPr>
        <w:t xml:space="preserve">to inform TDAG of the views of the study groups, and which were included </w:t>
      </w:r>
      <w:r w:rsidRPr="004C6EF9">
        <w:rPr>
          <w:color w:val="242424"/>
          <w:szCs w:val="24"/>
          <w:shd w:val="clear" w:color="auto" w:fill="FFFFFF"/>
          <w:lang w:val="en-US"/>
        </w:rPr>
        <w:t xml:space="preserve">as part of the contingency proposals in Document </w:t>
      </w:r>
      <w:hyperlink r:id="rId48" w:tgtFrame="_blank" w:tooltip="https://www.itu.int/md/d18-tdag28-c-0010/en" w:history="1">
        <w:r w:rsidRPr="004C6EF9">
          <w:rPr>
            <w:rStyle w:val="Hyperlink"/>
            <w:szCs w:val="24"/>
            <w:lang w:val="en-US"/>
          </w:rPr>
          <w:t>TDAG-21/10</w:t>
        </w:r>
      </w:hyperlink>
      <w:r w:rsidRPr="004C6EF9">
        <w:rPr>
          <w:rStyle w:val="Hyperlink"/>
          <w:szCs w:val="24"/>
          <w:lang w:val="en-US"/>
        </w:rPr>
        <w:t xml:space="preserve"> </w:t>
      </w:r>
      <w:r w:rsidR="0072522C" w:rsidRPr="004C6EF9">
        <w:rPr>
          <w:rStyle w:val="Hyperlink"/>
          <w:szCs w:val="24"/>
          <w:lang w:val="en-US"/>
        </w:rPr>
        <w:t>(</w:t>
      </w:r>
      <w:r w:rsidRPr="004C6EF9">
        <w:rPr>
          <w:color w:val="242424"/>
          <w:szCs w:val="24"/>
          <w:shd w:val="clear" w:color="auto" w:fill="FFFFFF"/>
          <w:lang w:val="en-US"/>
        </w:rPr>
        <w:t>Item 2</w:t>
      </w:r>
      <w:r w:rsidR="0072522C" w:rsidRPr="004C6EF9">
        <w:rPr>
          <w:color w:val="242424"/>
          <w:szCs w:val="24"/>
          <w:shd w:val="clear" w:color="auto" w:fill="FFFFFF"/>
          <w:lang w:val="en-US"/>
        </w:rPr>
        <w:t>)</w:t>
      </w:r>
      <w:r w:rsidRPr="004C6EF9">
        <w:rPr>
          <w:color w:val="242424"/>
          <w:szCs w:val="24"/>
          <w:shd w:val="clear" w:color="auto" w:fill="FFFFFF"/>
          <w:lang w:val="en-US"/>
        </w:rPr>
        <w:t>.</w:t>
      </w:r>
    </w:p>
    <w:p w14:paraId="3131CD1E" w14:textId="79575A69" w:rsidR="00DF1CDF" w:rsidRPr="004C6EF9" w:rsidRDefault="00DF1CDF" w:rsidP="00DF1CDF">
      <w:pPr>
        <w:spacing w:after="120"/>
        <w:rPr>
          <w:szCs w:val="24"/>
          <w:lang w:val="en-US"/>
        </w:rPr>
      </w:pPr>
      <w:r w:rsidRPr="004C6EF9">
        <w:rPr>
          <w:szCs w:val="24"/>
          <w:lang w:val="en-US"/>
        </w:rPr>
        <w:t xml:space="preserve">During the </w:t>
      </w:r>
      <w:r w:rsidR="00D968A0">
        <w:rPr>
          <w:szCs w:val="24"/>
          <w:lang w:val="en-US"/>
        </w:rPr>
        <w:t>October</w:t>
      </w:r>
      <w:r w:rsidRPr="004C6EF9">
        <w:rPr>
          <w:szCs w:val="24"/>
          <w:lang w:val="en-US"/>
        </w:rPr>
        <w:t xml:space="preserve"> meetings, </w:t>
      </w:r>
      <w:r w:rsidR="009E6D6C">
        <w:rPr>
          <w:szCs w:val="24"/>
          <w:lang w:val="en-US"/>
        </w:rPr>
        <w:t xml:space="preserve">the Study Group reached </w:t>
      </w:r>
      <w:r w:rsidRPr="004C6EF9">
        <w:rPr>
          <w:szCs w:val="24"/>
          <w:lang w:val="en-US"/>
        </w:rPr>
        <w:t xml:space="preserve">consensus on the revised </w:t>
      </w:r>
      <w:proofErr w:type="spellStart"/>
      <w:r w:rsidRPr="004C6EF9">
        <w:rPr>
          <w:szCs w:val="24"/>
          <w:lang w:val="en-US"/>
        </w:rPr>
        <w:t>ToRs</w:t>
      </w:r>
      <w:proofErr w:type="spellEnd"/>
      <w:r w:rsidRPr="004C6EF9">
        <w:rPr>
          <w:szCs w:val="24"/>
          <w:lang w:val="en-US"/>
        </w:rPr>
        <w:t xml:space="preserve"> for the seven Study Group 1 Questions. The agreed </w:t>
      </w:r>
      <w:proofErr w:type="spellStart"/>
      <w:r w:rsidRPr="004C6EF9">
        <w:rPr>
          <w:szCs w:val="24"/>
          <w:lang w:val="en-US"/>
        </w:rPr>
        <w:t>ToRs</w:t>
      </w:r>
      <w:proofErr w:type="spellEnd"/>
      <w:r w:rsidRPr="004C6EF9">
        <w:rPr>
          <w:szCs w:val="24"/>
          <w:lang w:val="en-US"/>
        </w:rPr>
        <w:t xml:space="preserve"> are </w:t>
      </w:r>
      <w:r w:rsidR="00017E94" w:rsidRPr="004C6EF9">
        <w:rPr>
          <w:szCs w:val="24"/>
          <w:lang w:val="en-US"/>
        </w:rPr>
        <w:t>contain</w:t>
      </w:r>
      <w:r w:rsidRPr="004C6EF9">
        <w:rPr>
          <w:szCs w:val="24"/>
          <w:lang w:val="en-US"/>
        </w:rPr>
        <w:t>ed in th</w:t>
      </w:r>
      <w:r w:rsidR="0072522C" w:rsidRPr="004C6EF9">
        <w:rPr>
          <w:szCs w:val="24"/>
          <w:lang w:val="en-US"/>
        </w:rPr>
        <w:t>is</w:t>
      </w:r>
      <w:r w:rsidRPr="004C6EF9">
        <w:rPr>
          <w:szCs w:val="24"/>
          <w:lang w:val="en-US"/>
        </w:rPr>
        <w:t xml:space="preserve"> document. The revision marks indicate changes between the approved </w:t>
      </w:r>
      <w:proofErr w:type="spellStart"/>
      <w:r w:rsidRPr="004C6EF9">
        <w:rPr>
          <w:szCs w:val="24"/>
          <w:lang w:val="en-US"/>
        </w:rPr>
        <w:t>ToRs</w:t>
      </w:r>
      <w:proofErr w:type="spellEnd"/>
      <w:r w:rsidRPr="004C6EF9">
        <w:rPr>
          <w:szCs w:val="24"/>
          <w:lang w:val="en-US"/>
        </w:rPr>
        <w:t xml:space="preserve"> at WTDC-17 and the revised </w:t>
      </w:r>
      <w:proofErr w:type="spellStart"/>
      <w:r w:rsidRPr="004C6EF9">
        <w:rPr>
          <w:szCs w:val="24"/>
          <w:lang w:val="en-US"/>
        </w:rPr>
        <w:t>ToRs</w:t>
      </w:r>
      <w:proofErr w:type="spellEnd"/>
      <w:r w:rsidRPr="004C6EF9">
        <w:rPr>
          <w:szCs w:val="24"/>
          <w:lang w:val="en-US"/>
        </w:rPr>
        <w:t xml:space="preserve"> agreed at the SG1 meetings held in October 2021.</w:t>
      </w:r>
    </w:p>
    <w:p w14:paraId="7662A003" w14:textId="22A510A2" w:rsidR="00FB69D0" w:rsidRPr="004C6EF9" w:rsidRDefault="00FB69D0" w:rsidP="00DF1CDF">
      <w:pPr>
        <w:spacing w:after="120"/>
        <w:rPr>
          <w:szCs w:val="24"/>
          <w:lang w:val="en-US"/>
        </w:rPr>
      </w:pPr>
      <w:r w:rsidRPr="004C6EF9">
        <w:rPr>
          <w:szCs w:val="24"/>
          <w:lang w:val="en-US"/>
        </w:rPr>
        <w:t xml:space="preserve">The draft proposed </w:t>
      </w:r>
      <w:proofErr w:type="spellStart"/>
      <w:r w:rsidRPr="004C6EF9">
        <w:rPr>
          <w:szCs w:val="24"/>
          <w:lang w:val="en-US"/>
        </w:rPr>
        <w:t>ToRs</w:t>
      </w:r>
      <w:proofErr w:type="spellEnd"/>
      <w:r w:rsidRPr="004C6EF9">
        <w:rPr>
          <w:szCs w:val="24"/>
          <w:lang w:val="en-US"/>
        </w:rPr>
        <w:t xml:space="preserve"> for SG1 Study Questions generated extensive debate. Many delegations were of the opinion that the work </w:t>
      </w:r>
      <w:r w:rsidR="009E6D6C">
        <w:rPr>
          <w:szCs w:val="24"/>
          <w:lang w:val="en-US"/>
        </w:rPr>
        <w:t>t</w:t>
      </w:r>
      <w:r w:rsidRPr="004C6EF9">
        <w:rPr>
          <w:szCs w:val="24"/>
          <w:lang w:val="en-US"/>
        </w:rPr>
        <w:t xml:space="preserve">o </w:t>
      </w:r>
      <w:r w:rsidR="00F377F5" w:rsidRPr="004C6EF9">
        <w:rPr>
          <w:szCs w:val="24"/>
          <w:lang w:val="en-US"/>
        </w:rPr>
        <w:t>revis</w:t>
      </w:r>
      <w:r w:rsidR="009E6D6C">
        <w:rPr>
          <w:szCs w:val="24"/>
          <w:lang w:val="en-US"/>
        </w:rPr>
        <w:t xml:space="preserve">e </w:t>
      </w:r>
      <w:r w:rsidR="00F377F5" w:rsidRPr="004C6EF9">
        <w:rPr>
          <w:szCs w:val="24"/>
          <w:lang w:val="en-US"/>
        </w:rPr>
        <w:t xml:space="preserve">Resolution 2 and </w:t>
      </w:r>
      <w:r w:rsidRPr="004C6EF9">
        <w:rPr>
          <w:szCs w:val="24"/>
          <w:lang w:val="en-US"/>
        </w:rPr>
        <w:t xml:space="preserve">refining the </w:t>
      </w:r>
      <w:proofErr w:type="spellStart"/>
      <w:r w:rsidRPr="004C6EF9">
        <w:rPr>
          <w:szCs w:val="24"/>
          <w:lang w:val="en-US"/>
        </w:rPr>
        <w:t>ToR</w:t>
      </w:r>
      <w:r w:rsidR="00F377F5" w:rsidRPr="004C6EF9">
        <w:rPr>
          <w:szCs w:val="24"/>
          <w:lang w:val="en-US"/>
        </w:rPr>
        <w:t>s</w:t>
      </w:r>
      <w:proofErr w:type="spellEnd"/>
      <w:r w:rsidRPr="004C6EF9">
        <w:rPr>
          <w:szCs w:val="24"/>
          <w:lang w:val="en-US"/>
        </w:rPr>
        <w:t xml:space="preserve"> should continue in the lead up to and at WTDC based on the current draft proposal, which can be used as a starting point for negotiation between Member States.</w:t>
      </w:r>
    </w:p>
    <w:tbl>
      <w:tblPr>
        <w:tblStyle w:val="TableGrid"/>
        <w:tblW w:w="0" w:type="auto"/>
        <w:tblLook w:val="04A0" w:firstRow="1" w:lastRow="0" w:firstColumn="1" w:lastColumn="0" w:noHBand="0" w:noVBand="1"/>
      </w:tblPr>
      <w:tblGrid>
        <w:gridCol w:w="9629"/>
      </w:tblGrid>
      <w:tr w:rsidR="006E781F" w:rsidRPr="004C6EF9" w14:paraId="645CA55E" w14:textId="77777777" w:rsidTr="0066214A">
        <w:tc>
          <w:tcPr>
            <w:tcW w:w="9629" w:type="dxa"/>
          </w:tcPr>
          <w:p w14:paraId="64E23F68" w14:textId="317BCA41" w:rsidR="00F92CA1" w:rsidRPr="004C6EF9" w:rsidRDefault="00F92CA1" w:rsidP="00F92CA1">
            <w:pPr>
              <w:spacing w:after="120"/>
              <w:rPr>
                <w:rFonts w:eastAsiaTheme="minorEastAsia" w:cstheme="minorHAnsi"/>
                <w:szCs w:val="24"/>
              </w:rPr>
            </w:pPr>
            <w:r w:rsidRPr="004C6EF9">
              <w:rPr>
                <w:rFonts w:eastAsiaTheme="minorEastAsia" w:cstheme="minorHAnsi"/>
                <w:szCs w:val="24"/>
              </w:rPr>
              <w:t>TDAG noted that the revised Terms of Reference (</w:t>
            </w:r>
            <w:proofErr w:type="spellStart"/>
            <w:r w:rsidRPr="004C6EF9">
              <w:rPr>
                <w:rFonts w:eastAsiaTheme="minorEastAsia" w:cstheme="minorHAnsi"/>
                <w:szCs w:val="24"/>
              </w:rPr>
              <w:t>ToR</w:t>
            </w:r>
            <w:proofErr w:type="spellEnd"/>
            <w:r w:rsidRPr="004C6EF9">
              <w:rPr>
                <w:rFonts w:eastAsiaTheme="minorEastAsia" w:cstheme="minorHAnsi"/>
                <w:szCs w:val="24"/>
              </w:rPr>
              <w:t>) for the Study Group 1 Questions were agreed by Study Group 1 at their October 2021 Plenary meetings.</w:t>
            </w:r>
          </w:p>
          <w:p w14:paraId="56A7661A" w14:textId="750AEA50" w:rsidR="00F92CA1" w:rsidRPr="004C6EF9" w:rsidRDefault="00F92CA1" w:rsidP="00F92CA1">
            <w:pPr>
              <w:spacing w:after="120"/>
              <w:rPr>
                <w:rFonts w:eastAsiaTheme="minorEastAsia" w:cstheme="minorHAnsi"/>
                <w:szCs w:val="24"/>
              </w:rPr>
            </w:pPr>
            <w:r w:rsidRPr="004C6EF9">
              <w:rPr>
                <w:rFonts w:eastAsiaTheme="minorEastAsia" w:cstheme="minorHAnsi"/>
                <w:szCs w:val="24"/>
              </w:rPr>
              <w:t xml:space="preserve">Recognizing that all study </w:t>
            </w:r>
            <w:r w:rsidR="008E409C" w:rsidRPr="004C6EF9">
              <w:rPr>
                <w:rFonts w:eastAsiaTheme="minorEastAsia" w:cstheme="minorHAnsi"/>
                <w:szCs w:val="24"/>
              </w:rPr>
              <w:t>Q</w:t>
            </w:r>
            <w:r w:rsidRPr="004C6EF9">
              <w:rPr>
                <w:rFonts w:eastAsiaTheme="minorEastAsia" w:cstheme="minorHAnsi"/>
                <w:szCs w:val="24"/>
              </w:rPr>
              <w:t>uestions will be finalized at WTDC, and in accordance with Article 19 of WTDC Resolution 1 (Rev. Buenos Aires</w:t>
            </w:r>
            <w:r w:rsidR="00017E94" w:rsidRPr="004C6EF9">
              <w:rPr>
                <w:rFonts w:eastAsiaTheme="minorEastAsia" w:cstheme="minorHAnsi"/>
                <w:szCs w:val="24"/>
              </w:rPr>
              <w:t>,</w:t>
            </w:r>
            <w:r w:rsidRPr="004C6EF9">
              <w:rPr>
                <w:rFonts w:eastAsiaTheme="minorEastAsia" w:cstheme="minorHAnsi"/>
                <w:szCs w:val="24"/>
              </w:rPr>
              <w:t xml:space="preserve"> 2017), TDAG recommended that the revisions to the </w:t>
            </w:r>
            <w:proofErr w:type="spellStart"/>
            <w:r w:rsidRPr="004C6EF9">
              <w:rPr>
                <w:rFonts w:eastAsiaTheme="minorEastAsia" w:cstheme="minorHAnsi"/>
                <w:szCs w:val="24"/>
              </w:rPr>
              <w:t>ToRs</w:t>
            </w:r>
            <w:proofErr w:type="spellEnd"/>
            <w:r w:rsidRPr="004C6EF9">
              <w:rPr>
                <w:rFonts w:eastAsiaTheme="minorEastAsia" w:cstheme="minorHAnsi"/>
                <w:szCs w:val="24"/>
              </w:rPr>
              <w:t xml:space="preserve"> </w:t>
            </w:r>
            <w:r w:rsidR="00F75FA2">
              <w:rPr>
                <w:rFonts w:eastAsiaTheme="minorEastAsia" w:cstheme="minorHAnsi"/>
                <w:szCs w:val="24"/>
              </w:rPr>
              <w:t>c</w:t>
            </w:r>
            <w:r w:rsidRPr="004C6EF9">
              <w:rPr>
                <w:rFonts w:eastAsiaTheme="minorEastAsia" w:cstheme="minorHAnsi"/>
                <w:szCs w:val="24"/>
              </w:rPr>
              <w:t xml:space="preserve">ould be used as base text for further membership proposals on study </w:t>
            </w:r>
            <w:r w:rsidR="00017E94" w:rsidRPr="004C6EF9">
              <w:rPr>
                <w:rFonts w:eastAsiaTheme="minorEastAsia" w:cstheme="minorHAnsi"/>
                <w:szCs w:val="24"/>
              </w:rPr>
              <w:t>Q</w:t>
            </w:r>
            <w:r w:rsidRPr="004C6EF9">
              <w:rPr>
                <w:rFonts w:eastAsiaTheme="minorEastAsia" w:cstheme="minorHAnsi"/>
                <w:szCs w:val="24"/>
              </w:rPr>
              <w:t>uestions in the lead up to and at WTDC.</w:t>
            </w:r>
          </w:p>
          <w:p w14:paraId="1922BA95" w14:textId="3ECC02F0" w:rsidR="004D3B60" w:rsidRPr="004C6EF9" w:rsidRDefault="00F92CA1" w:rsidP="004D3B60">
            <w:pPr>
              <w:spacing w:after="120"/>
              <w:rPr>
                <w:rFonts w:eastAsiaTheme="minorEastAsia" w:cstheme="minorHAnsi"/>
                <w:szCs w:val="24"/>
              </w:rPr>
            </w:pPr>
            <w:r w:rsidRPr="004C6EF9">
              <w:rPr>
                <w:rFonts w:eastAsiaTheme="minorEastAsia" w:cstheme="minorHAnsi"/>
                <w:szCs w:val="24"/>
              </w:rPr>
              <w:t xml:space="preserve">TDAG also agreed that if the upcoming WTDC is significantly postponed such that it does not take place before the 2022 Plenipotentiary Conference, the revised </w:t>
            </w:r>
            <w:proofErr w:type="spellStart"/>
            <w:r w:rsidRPr="004C6EF9">
              <w:rPr>
                <w:rFonts w:eastAsiaTheme="minorEastAsia" w:cstheme="minorHAnsi"/>
                <w:szCs w:val="24"/>
              </w:rPr>
              <w:t>ToRs</w:t>
            </w:r>
            <w:proofErr w:type="spellEnd"/>
            <w:r w:rsidRPr="004C6EF9">
              <w:rPr>
                <w:rFonts w:eastAsiaTheme="minorEastAsia" w:cstheme="minorHAnsi"/>
                <w:szCs w:val="24"/>
              </w:rPr>
              <w:t xml:space="preserve"> would be considered </w:t>
            </w:r>
            <w:r w:rsidR="00F75FA2">
              <w:rPr>
                <w:rFonts w:eastAsiaTheme="minorEastAsia" w:cstheme="minorHAnsi"/>
                <w:szCs w:val="24"/>
              </w:rPr>
              <w:t xml:space="preserve">to be </w:t>
            </w:r>
            <w:r w:rsidRPr="004C6EF9">
              <w:rPr>
                <w:rFonts w:eastAsiaTheme="minorEastAsia" w:cstheme="minorHAnsi"/>
                <w:szCs w:val="24"/>
              </w:rPr>
              <w:t>adopted by TDAG</w:t>
            </w:r>
            <w:r w:rsidR="004D3B60" w:rsidRPr="004C6EF9">
              <w:rPr>
                <w:rFonts w:eastAsiaTheme="minorEastAsia" w:cstheme="minorHAnsi"/>
                <w:szCs w:val="24"/>
              </w:rPr>
              <w:t xml:space="preserve"> and would be circulated by BDT for membership approval in accordance with Article 20 of WTDC Resolution 1 (Rev. Buenos Aires, 2017).</w:t>
            </w:r>
          </w:p>
        </w:tc>
      </w:tr>
    </w:tbl>
    <w:p w14:paraId="1155D987" w14:textId="77777777" w:rsidR="0036003B" w:rsidRPr="004C6EF9" w:rsidRDefault="0036003B" w:rsidP="0011639E">
      <w:pPr>
        <w:keepNext/>
        <w:tabs>
          <w:tab w:val="clear" w:pos="1134"/>
          <w:tab w:val="clear" w:pos="1871"/>
          <w:tab w:val="left" w:pos="709"/>
        </w:tabs>
        <w:spacing w:after="120"/>
        <w:rPr>
          <w:rFonts w:eastAsiaTheme="minorEastAsia" w:cstheme="minorHAnsi"/>
          <w:b/>
          <w:bCs/>
          <w:szCs w:val="24"/>
        </w:rPr>
      </w:pPr>
      <w:r w:rsidRPr="004C6EF9">
        <w:rPr>
          <w:rFonts w:cstheme="minorHAnsi"/>
          <w:b/>
          <w:bCs/>
          <w:szCs w:val="24"/>
          <w:lang w:val="pt-BR"/>
        </w:rPr>
        <w:lastRenderedPageBreak/>
        <w:t xml:space="preserve">Document </w:t>
      </w:r>
      <w:hyperlink r:id="rId49" w:history="1">
        <w:r w:rsidRPr="004C6EF9">
          <w:rPr>
            <w:rStyle w:val="Hyperlink"/>
            <w:rFonts w:cstheme="minorHAnsi"/>
            <w:b/>
            <w:bCs/>
            <w:szCs w:val="24"/>
            <w:lang w:val="pt-BR"/>
          </w:rPr>
          <w:t>DT/5</w:t>
        </w:r>
      </w:hyperlink>
    </w:p>
    <w:p w14:paraId="44527050" w14:textId="22AB71E9" w:rsidR="0036003B" w:rsidRPr="004C6EF9" w:rsidRDefault="0036003B" w:rsidP="0036003B">
      <w:pPr>
        <w:spacing w:after="120"/>
        <w:rPr>
          <w:szCs w:val="24"/>
          <w:lang w:val="en-US"/>
        </w:rPr>
      </w:pPr>
      <w:r w:rsidRPr="004C6EF9">
        <w:rPr>
          <w:color w:val="242424"/>
          <w:szCs w:val="24"/>
          <w:shd w:val="clear" w:color="auto" w:fill="FFFFFF"/>
          <w:lang w:val="en-US"/>
        </w:rPr>
        <w:t xml:space="preserve">As per TDAG decision taken at its 28th meeting, an additional set of Study Group 2 meetings were held from </w:t>
      </w:r>
      <w:r w:rsidRPr="004C6EF9">
        <w:rPr>
          <w:szCs w:val="24"/>
          <w:lang w:val="en-US"/>
        </w:rPr>
        <w:t>18 to 22 October 2021</w:t>
      </w:r>
      <w:r w:rsidR="009E6D6C">
        <w:rPr>
          <w:szCs w:val="24"/>
          <w:lang w:val="en-US"/>
        </w:rPr>
        <w:t>, principally</w:t>
      </w:r>
      <w:r w:rsidRPr="004C6EF9">
        <w:rPr>
          <w:color w:val="242424"/>
          <w:szCs w:val="24"/>
          <w:shd w:val="clear" w:color="auto" w:fill="FFFFFF"/>
          <w:lang w:val="en-US"/>
        </w:rPr>
        <w:t xml:space="preserve"> to</w:t>
      </w:r>
      <w:r w:rsidR="009E6D6C">
        <w:rPr>
          <w:color w:val="242424"/>
          <w:szCs w:val="24"/>
          <w:shd w:val="clear" w:color="auto" w:fill="FFFFFF"/>
          <w:lang w:val="en-US"/>
        </w:rPr>
        <w:t xml:space="preserve"> </w:t>
      </w:r>
      <w:r w:rsidRPr="004C6EF9">
        <w:rPr>
          <w:color w:val="242424"/>
          <w:szCs w:val="24"/>
          <w:shd w:val="clear" w:color="auto" w:fill="FFFFFF"/>
          <w:lang w:val="en-US"/>
        </w:rPr>
        <w:t>refine the terms of reference (</w:t>
      </w:r>
      <w:proofErr w:type="spellStart"/>
      <w:r w:rsidRPr="004C6EF9">
        <w:rPr>
          <w:color w:val="242424"/>
          <w:szCs w:val="24"/>
          <w:shd w:val="clear" w:color="auto" w:fill="FFFFFF"/>
          <w:lang w:val="en-US"/>
        </w:rPr>
        <w:t>ToRs</w:t>
      </w:r>
      <w:proofErr w:type="spellEnd"/>
      <w:r w:rsidRPr="004C6EF9">
        <w:rPr>
          <w:color w:val="242424"/>
          <w:szCs w:val="24"/>
          <w:shd w:val="clear" w:color="auto" w:fill="FFFFFF"/>
          <w:lang w:val="en-US"/>
        </w:rPr>
        <w:t xml:space="preserve">) of Questions which were submitted as part of the contingency proposals in Document </w:t>
      </w:r>
      <w:hyperlink r:id="rId50" w:tgtFrame="_blank" w:tooltip="https://www.itu.int/md/d18-tdag28-c-0010/en" w:history="1">
        <w:r w:rsidRPr="004C6EF9">
          <w:rPr>
            <w:rStyle w:val="Hyperlink"/>
            <w:szCs w:val="24"/>
            <w:lang w:val="en-US"/>
          </w:rPr>
          <w:t>TDAG-21/10</w:t>
        </w:r>
      </w:hyperlink>
      <w:r w:rsidRPr="004C6EF9">
        <w:rPr>
          <w:color w:val="242424"/>
          <w:szCs w:val="24"/>
          <w:shd w:val="clear" w:color="auto" w:fill="FFFFFF"/>
          <w:lang w:val="en-US"/>
        </w:rPr>
        <w:t> </w:t>
      </w:r>
      <w:r w:rsidR="0072522C" w:rsidRPr="004C6EF9">
        <w:rPr>
          <w:color w:val="242424"/>
          <w:szCs w:val="24"/>
          <w:shd w:val="clear" w:color="auto" w:fill="FFFFFF"/>
          <w:lang w:val="en-US"/>
        </w:rPr>
        <w:t>(</w:t>
      </w:r>
      <w:r w:rsidRPr="004C6EF9">
        <w:rPr>
          <w:color w:val="242424"/>
          <w:szCs w:val="24"/>
          <w:shd w:val="clear" w:color="auto" w:fill="FFFFFF"/>
          <w:lang w:val="en-US"/>
        </w:rPr>
        <w:t>Item 2</w:t>
      </w:r>
      <w:r w:rsidR="0072522C" w:rsidRPr="004C6EF9">
        <w:rPr>
          <w:color w:val="242424"/>
          <w:szCs w:val="24"/>
          <w:shd w:val="clear" w:color="auto" w:fill="FFFFFF"/>
          <w:lang w:val="en-US"/>
        </w:rPr>
        <w:t>)</w:t>
      </w:r>
      <w:r w:rsidRPr="004C6EF9">
        <w:rPr>
          <w:color w:val="242424"/>
          <w:szCs w:val="24"/>
          <w:shd w:val="clear" w:color="auto" w:fill="FFFFFF"/>
          <w:lang w:val="en-US"/>
        </w:rPr>
        <w:t>.</w:t>
      </w:r>
    </w:p>
    <w:p w14:paraId="29AB894D" w14:textId="29557983" w:rsidR="0036003B" w:rsidRPr="004C6EF9" w:rsidRDefault="0036003B" w:rsidP="0036003B">
      <w:pPr>
        <w:spacing w:after="120"/>
        <w:rPr>
          <w:szCs w:val="24"/>
          <w:lang w:val="en-US"/>
        </w:rPr>
      </w:pPr>
      <w:r w:rsidRPr="004C6EF9">
        <w:rPr>
          <w:szCs w:val="24"/>
          <w:lang w:val="en-US"/>
        </w:rPr>
        <w:t xml:space="preserve">During the last Study Group meetings, consensus was reached on the revised </w:t>
      </w:r>
      <w:proofErr w:type="spellStart"/>
      <w:r w:rsidRPr="004C6EF9">
        <w:rPr>
          <w:szCs w:val="24"/>
          <w:lang w:val="en-US"/>
        </w:rPr>
        <w:t>ToRs</w:t>
      </w:r>
      <w:proofErr w:type="spellEnd"/>
      <w:r w:rsidRPr="004C6EF9">
        <w:rPr>
          <w:szCs w:val="24"/>
          <w:lang w:val="en-US"/>
        </w:rPr>
        <w:t xml:space="preserve"> for the seven Study Group 2 Questions. The agreed </w:t>
      </w:r>
      <w:proofErr w:type="spellStart"/>
      <w:r w:rsidRPr="004C6EF9">
        <w:rPr>
          <w:szCs w:val="24"/>
          <w:lang w:val="en-US"/>
        </w:rPr>
        <w:t>ToRs</w:t>
      </w:r>
      <w:proofErr w:type="spellEnd"/>
      <w:r w:rsidRPr="004C6EF9">
        <w:rPr>
          <w:szCs w:val="24"/>
          <w:lang w:val="en-US"/>
        </w:rPr>
        <w:t xml:space="preserve"> are </w:t>
      </w:r>
      <w:r w:rsidR="00017E94" w:rsidRPr="004C6EF9">
        <w:rPr>
          <w:szCs w:val="24"/>
          <w:lang w:val="en-US"/>
        </w:rPr>
        <w:t>contained</w:t>
      </w:r>
      <w:r w:rsidRPr="004C6EF9">
        <w:rPr>
          <w:szCs w:val="24"/>
          <w:lang w:val="en-US"/>
        </w:rPr>
        <w:t xml:space="preserve"> in this document. The revision marks indicate changes between the approved </w:t>
      </w:r>
      <w:proofErr w:type="spellStart"/>
      <w:r w:rsidRPr="004C6EF9">
        <w:rPr>
          <w:szCs w:val="24"/>
          <w:lang w:val="en-US"/>
        </w:rPr>
        <w:t>ToRs</w:t>
      </w:r>
      <w:proofErr w:type="spellEnd"/>
      <w:r w:rsidRPr="004C6EF9">
        <w:rPr>
          <w:szCs w:val="24"/>
          <w:lang w:val="en-US"/>
        </w:rPr>
        <w:t xml:space="preserve"> at WTDC-17 and the revised </w:t>
      </w:r>
      <w:proofErr w:type="spellStart"/>
      <w:r w:rsidRPr="004C6EF9">
        <w:rPr>
          <w:szCs w:val="24"/>
          <w:lang w:val="en-US"/>
        </w:rPr>
        <w:t>ToRs</w:t>
      </w:r>
      <w:proofErr w:type="spellEnd"/>
      <w:r w:rsidRPr="004C6EF9">
        <w:rPr>
          <w:szCs w:val="24"/>
          <w:lang w:val="en-US"/>
        </w:rPr>
        <w:t xml:space="preserve"> agreed at the SG2 meetings held in October 2021.</w:t>
      </w:r>
    </w:p>
    <w:p w14:paraId="6B08E355" w14:textId="41DE7FB6" w:rsidR="00F733D4" w:rsidRPr="004C6EF9" w:rsidRDefault="00F733D4" w:rsidP="00F733D4">
      <w:pPr>
        <w:spacing w:after="120"/>
        <w:rPr>
          <w:szCs w:val="24"/>
          <w:lang w:val="en-US"/>
        </w:rPr>
      </w:pPr>
      <w:r w:rsidRPr="004C6EF9">
        <w:rPr>
          <w:szCs w:val="24"/>
          <w:lang w:val="en-US"/>
        </w:rPr>
        <w:t xml:space="preserve">The draft proposed </w:t>
      </w:r>
      <w:proofErr w:type="spellStart"/>
      <w:r w:rsidRPr="004C6EF9">
        <w:rPr>
          <w:szCs w:val="24"/>
          <w:lang w:val="en-US"/>
        </w:rPr>
        <w:t>ToRs</w:t>
      </w:r>
      <w:proofErr w:type="spellEnd"/>
      <w:r w:rsidRPr="004C6EF9">
        <w:rPr>
          <w:szCs w:val="24"/>
          <w:lang w:val="en-US"/>
        </w:rPr>
        <w:t xml:space="preserve"> for SG1 </w:t>
      </w:r>
      <w:r w:rsidR="008E409C" w:rsidRPr="004C6EF9">
        <w:rPr>
          <w:szCs w:val="24"/>
          <w:lang w:val="en-US"/>
        </w:rPr>
        <w:t>s</w:t>
      </w:r>
      <w:r w:rsidRPr="004C6EF9">
        <w:rPr>
          <w:szCs w:val="24"/>
          <w:lang w:val="en-US"/>
        </w:rPr>
        <w:t xml:space="preserve">tudy Questions generated extensive debate. Many delegations were of the opinion that the work on revising Resolution 2 and refining the </w:t>
      </w:r>
      <w:proofErr w:type="spellStart"/>
      <w:r w:rsidRPr="004C6EF9">
        <w:rPr>
          <w:szCs w:val="24"/>
          <w:lang w:val="en-US"/>
        </w:rPr>
        <w:t>ToRs</w:t>
      </w:r>
      <w:proofErr w:type="spellEnd"/>
      <w:r w:rsidRPr="004C6EF9">
        <w:rPr>
          <w:szCs w:val="24"/>
          <w:lang w:val="en-US"/>
        </w:rPr>
        <w:t xml:space="preserve"> should continue in the lead up to and at WTDC based on the current draft proposal, which can be used as a starting point for negotiation between Member States.</w:t>
      </w:r>
    </w:p>
    <w:tbl>
      <w:tblPr>
        <w:tblStyle w:val="TableGrid"/>
        <w:tblW w:w="0" w:type="auto"/>
        <w:tblLook w:val="04A0" w:firstRow="1" w:lastRow="0" w:firstColumn="1" w:lastColumn="0" w:noHBand="0" w:noVBand="1"/>
      </w:tblPr>
      <w:tblGrid>
        <w:gridCol w:w="9629"/>
      </w:tblGrid>
      <w:tr w:rsidR="0036003B" w:rsidRPr="004C6EF9" w14:paraId="4BAB0C52" w14:textId="77777777" w:rsidTr="0066214A">
        <w:tc>
          <w:tcPr>
            <w:tcW w:w="9629" w:type="dxa"/>
          </w:tcPr>
          <w:p w14:paraId="4E28D170" w14:textId="77777777" w:rsidR="0036003B" w:rsidRPr="004C6EF9" w:rsidRDefault="0036003B" w:rsidP="00425B22">
            <w:pPr>
              <w:pStyle w:val="ListParagraph"/>
              <w:spacing w:after="120"/>
              <w:ind w:left="-20"/>
              <w:contextualSpacing w:val="0"/>
              <w:rPr>
                <w:rFonts w:eastAsiaTheme="minorEastAsia" w:cstheme="minorHAnsi"/>
                <w:szCs w:val="24"/>
              </w:rPr>
            </w:pPr>
            <w:r w:rsidRPr="004C6EF9">
              <w:rPr>
                <w:rFonts w:eastAsiaTheme="minorEastAsia" w:cstheme="minorHAnsi"/>
                <w:szCs w:val="24"/>
              </w:rPr>
              <w:t>TDAG noted that the revised Terms of Reference (</w:t>
            </w:r>
            <w:proofErr w:type="spellStart"/>
            <w:r w:rsidRPr="004C6EF9">
              <w:rPr>
                <w:rFonts w:eastAsiaTheme="minorEastAsia" w:cstheme="minorHAnsi"/>
                <w:szCs w:val="24"/>
              </w:rPr>
              <w:t>ToR</w:t>
            </w:r>
            <w:proofErr w:type="spellEnd"/>
            <w:r w:rsidRPr="004C6EF9">
              <w:rPr>
                <w:rFonts w:eastAsiaTheme="minorEastAsia" w:cstheme="minorHAnsi"/>
                <w:szCs w:val="24"/>
              </w:rPr>
              <w:t>) of Study Group 2 Questions were agreed by Study Group 2 at their October 2021 Plenary meetings.</w:t>
            </w:r>
          </w:p>
          <w:p w14:paraId="14310046" w14:textId="3318EAEC" w:rsidR="0036003B" w:rsidRPr="004C6EF9" w:rsidRDefault="0036003B" w:rsidP="00425B22">
            <w:pPr>
              <w:pStyle w:val="ListParagraph"/>
              <w:spacing w:after="120"/>
              <w:ind w:left="-20"/>
              <w:contextualSpacing w:val="0"/>
              <w:rPr>
                <w:rFonts w:eastAsiaTheme="minorEastAsia" w:cstheme="minorHAnsi"/>
                <w:szCs w:val="24"/>
              </w:rPr>
            </w:pPr>
            <w:r w:rsidRPr="004C6EF9">
              <w:rPr>
                <w:rFonts w:eastAsiaTheme="minorEastAsia" w:cstheme="minorHAnsi"/>
                <w:szCs w:val="24"/>
              </w:rPr>
              <w:t>Recognizing that all study Questions will be finalized at WTDC, and in accordance with Article 19 of WTDC Resolution 1 (Rev. Buenos Aires</w:t>
            </w:r>
            <w:r w:rsidR="00017E94" w:rsidRPr="004C6EF9">
              <w:rPr>
                <w:rFonts w:eastAsiaTheme="minorEastAsia" w:cstheme="minorHAnsi"/>
                <w:szCs w:val="24"/>
              </w:rPr>
              <w:t>,</w:t>
            </w:r>
            <w:r w:rsidRPr="004C6EF9">
              <w:rPr>
                <w:rFonts w:eastAsiaTheme="minorEastAsia" w:cstheme="minorHAnsi"/>
                <w:szCs w:val="24"/>
              </w:rPr>
              <w:t xml:space="preserve"> 2017), TDAG recommended that the revisions to the </w:t>
            </w:r>
            <w:proofErr w:type="spellStart"/>
            <w:r w:rsidRPr="004C6EF9">
              <w:rPr>
                <w:rFonts w:eastAsiaTheme="minorEastAsia" w:cstheme="minorHAnsi"/>
                <w:szCs w:val="24"/>
              </w:rPr>
              <w:t>ToRs</w:t>
            </w:r>
            <w:proofErr w:type="spellEnd"/>
            <w:r w:rsidRPr="004C6EF9">
              <w:rPr>
                <w:rFonts w:eastAsiaTheme="minorEastAsia" w:cstheme="minorHAnsi"/>
                <w:szCs w:val="24"/>
              </w:rPr>
              <w:t xml:space="preserve"> would be used as base text for further membership proposals on study </w:t>
            </w:r>
            <w:r w:rsidR="00017E94" w:rsidRPr="004C6EF9">
              <w:rPr>
                <w:rFonts w:eastAsiaTheme="minorEastAsia" w:cstheme="minorHAnsi"/>
                <w:szCs w:val="24"/>
              </w:rPr>
              <w:t>Q</w:t>
            </w:r>
            <w:r w:rsidRPr="004C6EF9">
              <w:rPr>
                <w:rFonts w:eastAsiaTheme="minorEastAsia" w:cstheme="minorHAnsi"/>
                <w:szCs w:val="24"/>
              </w:rPr>
              <w:t>uestions in the lead up to and at WTDC.</w:t>
            </w:r>
          </w:p>
          <w:p w14:paraId="4CE015A4" w14:textId="27020323" w:rsidR="0036003B" w:rsidRPr="004C6EF9" w:rsidRDefault="0036003B">
            <w:pPr>
              <w:pStyle w:val="ListParagraph"/>
              <w:spacing w:after="120"/>
              <w:ind w:left="0"/>
              <w:contextualSpacing w:val="0"/>
              <w:rPr>
                <w:rFonts w:cstheme="minorHAnsi"/>
                <w:color w:val="000000" w:themeColor="text1"/>
                <w:szCs w:val="24"/>
              </w:rPr>
            </w:pPr>
            <w:r w:rsidRPr="004C6EF9">
              <w:rPr>
                <w:rFonts w:eastAsiaTheme="minorEastAsia" w:cstheme="minorHAnsi"/>
                <w:szCs w:val="24"/>
              </w:rPr>
              <w:t xml:space="preserve">TDAG also agreed that if the upcoming WTDC is significantly postponed such that it does not take place before the 2022 Plenipotentiary Conference, the revised </w:t>
            </w:r>
            <w:proofErr w:type="spellStart"/>
            <w:r w:rsidRPr="004C6EF9">
              <w:rPr>
                <w:rFonts w:eastAsiaTheme="minorEastAsia" w:cstheme="minorHAnsi"/>
                <w:szCs w:val="24"/>
              </w:rPr>
              <w:t>ToRs</w:t>
            </w:r>
            <w:proofErr w:type="spellEnd"/>
            <w:r w:rsidRPr="004C6EF9">
              <w:rPr>
                <w:rFonts w:eastAsiaTheme="minorEastAsia" w:cstheme="minorHAnsi"/>
                <w:szCs w:val="24"/>
              </w:rPr>
              <w:t xml:space="preserve"> would be considered as adopted by TDAG and would be circulated by BDT for membership approval in accordance with Article 20 of WTDC Resolution 1 (Rev. Buenos Aires, 2017).</w:t>
            </w:r>
          </w:p>
        </w:tc>
      </w:tr>
    </w:tbl>
    <w:p w14:paraId="51E948F2" w14:textId="77777777" w:rsidR="0036003B" w:rsidRPr="004C6EF9" w:rsidRDefault="0036003B" w:rsidP="0011639E">
      <w:pPr>
        <w:keepNext/>
        <w:spacing w:after="120"/>
        <w:rPr>
          <w:rFonts w:cstheme="minorHAnsi"/>
          <w:b/>
          <w:bCs/>
          <w:szCs w:val="24"/>
        </w:rPr>
      </w:pPr>
      <w:r w:rsidRPr="004C6EF9">
        <w:rPr>
          <w:rFonts w:cstheme="minorHAnsi"/>
          <w:b/>
          <w:bCs/>
          <w:szCs w:val="24"/>
        </w:rPr>
        <w:t xml:space="preserve">Document </w:t>
      </w:r>
      <w:hyperlink r:id="rId51" w:history="1">
        <w:r w:rsidRPr="004C6EF9">
          <w:rPr>
            <w:rStyle w:val="Hyperlink"/>
            <w:rFonts w:cstheme="minorHAnsi"/>
            <w:b/>
            <w:bCs/>
            <w:szCs w:val="24"/>
          </w:rPr>
          <w:t>30</w:t>
        </w:r>
      </w:hyperlink>
      <w:r w:rsidRPr="004C6EF9">
        <w:rPr>
          <w:rFonts w:cstheme="minorHAnsi"/>
          <w:b/>
          <w:bCs/>
          <w:szCs w:val="24"/>
        </w:rPr>
        <w:t xml:space="preserve"> </w:t>
      </w:r>
    </w:p>
    <w:p w14:paraId="7DA05616" w14:textId="6F78055F" w:rsidR="0036003B" w:rsidRPr="004C6EF9" w:rsidRDefault="0036003B" w:rsidP="0036003B">
      <w:pPr>
        <w:spacing w:after="120"/>
        <w:rPr>
          <w:rFonts w:cstheme="minorHAnsi"/>
          <w:szCs w:val="24"/>
        </w:rPr>
      </w:pPr>
      <w:r w:rsidRPr="004C6EF9">
        <w:rPr>
          <w:rFonts w:cstheme="minorHAnsi"/>
          <w:szCs w:val="24"/>
        </w:rPr>
        <w:t>Th</w:t>
      </w:r>
      <w:r w:rsidR="00F75FA2">
        <w:rPr>
          <w:rFonts w:cstheme="minorHAnsi"/>
          <w:szCs w:val="24"/>
        </w:rPr>
        <w:t xml:space="preserve">rough this </w:t>
      </w:r>
      <w:r w:rsidRPr="004C6EF9">
        <w:rPr>
          <w:rFonts w:cstheme="minorHAnsi"/>
          <w:szCs w:val="24"/>
        </w:rPr>
        <w:t>contribution</w:t>
      </w:r>
      <w:r w:rsidR="00F75FA2">
        <w:rPr>
          <w:rFonts w:cstheme="minorHAnsi"/>
          <w:szCs w:val="24"/>
        </w:rPr>
        <w:t>,</w:t>
      </w:r>
      <w:r w:rsidRPr="004C6EF9">
        <w:rPr>
          <w:rFonts w:cstheme="minorHAnsi"/>
          <w:szCs w:val="24"/>
        </w:rPr>
        <w:t xml:space="preserve"> the United States propos</w:t>
      </w:r>
      <w:r w:rsidR="009E6D6C">
        <w:rPr>
          <w:rFonts w:cstheme="minorHAnsi"/>
          <w:szCs w:val="24"/>
        </w:rPr>
        <w:t>ed</w:t>
      </w:r>
      <w:r w:rsidRPr="004C6EF9">
        <w:rPr>
          <w:rFonts w:cstheme="minorHAnsi"/>
          <w:szCs w:val="24"/>
        </w:rPr>
        <w:t xml:space="preserve"> a new study </w:t>
      </w:r>
      <w:r w:rsidR="00017E94" w:rsidRPr="004C6EF9">
        <w:rPr>
          <w:rFonts w:cstheme="minorHAnsi"/>
          <w:szCs w:val="24"/>
        </w:rPr>
        <w:t>Q</w:t>
      </w:r>
      <w:r w:rsidRPr="004C6EF9">
        <w:rPr>
          <w:rFonts w:cstheme="minorHAnsi"/>
          <w:szCs w:val="24"/>
        </w:rPr>
        <w:t>uestion titled “Strategies to Increase the Adoption of Broadband Technologies and Services and Improve Digital Skills, Particularly for Vulnerable Populations” to be adopted at the upcoming WTDC for the study period 2022-2025.</w:t>
      </w:r>
    </w:p>
    <w:p w14:paraId="59DCAC92" w14:textId="6F79DFAB" w:rsidR="0036003B" w:rsidRPr="004C6EF9" w:rsidRDefault="00237291" w:rsidP="0036003B">
      <w:pPr>
        <w:spacing w:after="120"/>
        <w:rPr>
          <w:rFonts w:cstheme="minorHAnsi"/>
          <w:szCs w:val="24"/>
        </w:rPr>
      </w:pPr>
      <w:r w:rsidRPr="004C6EF9">
        <w:rPr>
          <w:rFonts w:cstheme="minorHAnsi"/>
          <w:szCs w:val="24"/>
        </w:rPr>
        <w:t xml:space="preserve">In the discussion on the proposed new Study Group Question, </w:t>
      </w:r>
      <w:proofErr w:type="gramStart"/>
      <w:r w:rsidRPr="004C6EF9">
        <w:rPr>
          <w:rFonts w:cstheme="minorHAnsi"/>
          <w:szCs w:val="24"/>
        </w:rPr>
        <w:t>a number of</w:t>
      </w:r>
      <w:proofErr w:type="gramEnd"/>
      <w:r w:rsidRPr="004C6EF9">
        <w:rPr>
          <w:rFonts w:cstheme="minorHAnsi"/>
          <w:szCs w:val="24"/>
        </w:rPr>
        <w:t xml:space="preserve"> delegations acknowledged </w:t>
      </w:r>
      <w:r w:rsidR="000F1918" w:rsidRPr="004C6EF9">
        <w:rPr>
          <w:rFonts w:cstheme="minorHAnsi"/>
          <w:szCs w:val="24"/>
        </w:rPr>
        <w:t>the</w:t>
      </w:r>
      <w:r w:rsidRPr="004C6EF9">
        <w:rPr>
          <w:rFonts w:cstheme="minorHAnsi"/>
          <w:szCs w:val="24"/>
        </w:rPr>
        <w:t xml:space="preserve"> importance</w:t>
      </w:r>
      <w:r w:rsidR="000F1918" w:rsidRPr="004C6EF9">
        <w:rPr>
          <w:rFonts w:cstheme="minorHAnsi"/>
          <w:szCs w:val="24"/>
        </w:rPr>
        <w:t xml:space="preserve"> of the topic</w:t>
      </w:r>
      <w:r w:rsidRPr="004C6EF9">
        <w:rPr>
          <w:rFonts w:cstheme="minorHAnsi"/>
          <w:szCs w:val="24"/>
        </w:rPr>
        <w:t xml:space="preserve">. </w:t>
      </w:r>
      <w:r w:rsidRPr="00FF769A">
        <w:rPr>
          <w:rFonts w:cstheme="minorHAnsi"/>
          <w:szCs w:val="24"/>
        </w:rPr>
        <w:t>The</w:t>
      </w:r>
      <w:r w:rsidR="00FF769A" w:rsidRPr="0011639E">
        <w:rPr>
          <w:rFonts w:cstheme="minorHAnsi"/>
          <w:szCs w:val="24"/>
        </w:rPr>
        <w:t xml:space="preserve"> proposal was supported by Canada</w:t>
      </w:r>
      <w:r w:rsidR="00443B12">
        <w:rPr>
          <w:rFonts w:cstheme="minorHAnsi"/>
          <w:szCs w:val="24"/>
        </w:rPr>
        <w:t xml:space="preserve">, Indonesia and </w:t>
      </w:r>
      <w:r w:rsidR="006F73FE">
        <w:rPr>
          <w:rFonts w:cstheme="minorHAnsi"/>
          <w:szCs w:val="24"/>
        </w:rPr>
        <w:t xml:space="preserve">Sector Member </w:t>
      </w:r>
      <w:r w:rsidR="00443B12">
        <w:rPr>
          <w:rFonts w:cstheme="minorHAnsi"/>
          <w:szCs w:val="24"/>
        </w:rPr>
        <w:t>Intel</w:t>
      </w:r>
      <w:r w:rsidR="00FF769A" w:rsidRPr="0011639E">
        <w:rPr>
          <w:rFonts w:cstheme="minorHAnsi"/>
          <w:szCs w:val="24"/>
        </w:rPr>
        <w:t xml:space="preserve"> and discussion ensued, without conclusion, on</w:t>
      </w:r>
      <w:r w:rsidR="000F1918" w:rsidRPr="00FF769A">
        <w:rPr>
          <w:rFonts w:cstheme="minorHAnsi"/>
          <w:szCs w:val="24"/>
        </w:rPr>
        <w:t xml:space="preserve"> </w:t>
      </w:r>
      <w:r w:rsidRPr="00FF769A">
        <w:rPr>
          <w:rFonts w:cstheme="minorHAnsi"/>
          <w:szCs w:val="24"/>
        </w:rPr>
        <w:t xml:space="preserve">whether </w:t>
      </w:r>
      <w:r w:rsidR="000F1918" w:rsidRPr="00FF769A">
        <w:rPr>
          <w:rFonts w:cstheme="minorHAnsi"/>
          <w:szCs w:val="24"/>
        </w:rPr>
        <w:t xml:space="preserve">it would be </w:t>
      </w:r>
      <w:r w:rsidR="00FF769A" w:rsidRPr="0011639E">
        <w:rPr>
          <w:rFonts w:cstheme="minorHAnsi"/>
          <w:szCs w:val="24"/>
        </w:rPr>
        <w:t>more optimal</w:t>
      </w:r>
      <w:r w:rsidR="000F1918" w:rsidRPr="00FF769A">
        <w:rPr>
          <w:rFonts w:cstheme="minorHAnsi"/>
          <w:szCs w:val="24"/>
        </w:rPr>
        <w:t xml:space="preserve"> to have </w:t>
      </w:r>
      <w:r w:rsidR="00FF769A" w:rsidRPr="0011639E">
        <w:rPr>
          <w:rFonts w:cstheme="minorHAnsi"/>
          <w:szCs w:val="24"/>
        </w:rPr>
        <w:t xml:space="preserve">broadband adoption and digital skills </w:t>
      </w:r>
      <w:r w:rsidR="000F1918" w:rsidRPr="00FF769A">
        <w:rPr>
          <w:rFonts w:cstheme="minorHAnsi"/>
          <w:szCs w:val="24"/>
        </w:rPr>
        <w:t xml:space="preserve">addressed </w:t>
      </w:r>
      <w:r w:rsidR="00FF769A" w:rsidRPr="0011639E">
        <w:rPr>
          <w:rFonts w:cstheme="minorHAnsi"/>
          <w:szCs w:val="24"/>
        </w:rPr>
        <w:t>in</w:t>
      </w:r>
      <w:r w:rsidR="000F1918" w:rsidRPr="00FF769A">
        <w:rPr>
          <w:rFonts w:cstheme="minorHAnsi"/>
          <w:szCs w:val="24"/>
        </w:rPr>
        <w:t xml:space="preserve"> a</w:t>
      </w:r>
      <w:r w:rsidRPr="00FF769A">
        <w:rPr>
          <w:rFonts w:cstheme="minorHAnsi"/>
          <w:szCs w:val="24"/>
        </w:rPr>
        <w:t xml:space="preserve"> stand-alone</w:t>
      </w:r>
      <w:r w:rsidR="000F1918" w:rsidRPr="00FF769A">
        <w:rPr>
          <w:rFonts w:cstheme="minorHAnsi"/>
          <w:szCs w:val="24"/>
        </w:rPr>
        <w:t xml:space="preserve"> </w:t>
      </w:r>
      <w:r w:rsidR="00C46991" w:rsidRPr="00FF769A">
        <w:rPr>
          <w:rFonts w:cstheme="minorHAnsi"/>
          <w:szCs w:val="24"/>
        </w:rPr>
        <w:t>Q</w:t>
      </w:r>
      <w:r w:rsidR="000F1918" w:rsidRPr="00FF769A">
        <w:rPr>
          <w:rFonts w:cstheme="minorHAnsi"/>
          <w:szCs w:val="24"/>
        </w:rPr>
        <w:t xml:space="preserve">uestion or integrated into </w:t>
      </w:r>
      <w:r w:rsidR="00017E94" w:rsidRPr="00FF769A">
        <w:rPr>
          <w:rFonts w:cstheme="minorHAnsi"/>
          <w:szCs w:val="24"/>
        </w:rPr>
        <w:t xml:space="preserve">one or more </w:t>
      </w:r>
      <w:r w:rsidR="000F1918" w:rsidRPr="00FF769A">
        <w:rPr>
          <w:rFonts w:cstheme="minorHAnsi"/>
          <w:szCs w:val="24"/>
        </w:rPr>
        <w:t xml:space="preserve">existing </w:t>
      </w:r>
      <w:r w:rsidR="00017E94" w:rsidRPr="00FF769A">
        <w:rPr>
          <w:rFonts w:cstheme="minorHAnsi"/>
          <w:szCs w:val="24"/>
        </w:rPr>
        <w:t>Questions</w:t>
      </w:r>
      <w:r w:rsidR="000F1918" w:rsidRPr="00FF769A">
        <w:rPr>
          <w:rFonts w:cstheme="minorHAnsi"/>
          <w:szCs w:val="24"/>
        </w:rPr>
        <w:t>.</w:t>
      </w:r>
      <w:r w:rsidR="000F1918" w:rsidRPr="004C6EF9">
        <w:rPr>
          <w:rFonts w:cstheme="minorHAnsi"/>
          <w:szCs w:val="24"/>
        </w:rPr>
        <w:t xml:space="preserve"> </w:t>
      </w:r>
    </w:p>
    <w:tbl>
      <w:tblPr>
        <w:tblStyle w:val="TableGrid"/>
        <w:tblW w:w="0" w:type="auto"/>
        <w:tblLook w:val="04A0" w:firstRow="1" w:lastRow="0" w:firstColumn="1" w:lastColumn="0" w:noHBand="0" w:noVBand="1"/>
      </w:tblPr>
      <w:tblGrid>
        <w:gridCol w:w="9629"/>
      </w:tblGrid>
      <w:tr w:rsidR="0036003B" w:rsidRPr="004C6EF9" w14:paraId="6F393E48" w14:textId="77777777" w:rsidTr="0066214A">
        <w:tc>
          <w:tcPr>
            <w:tcW w:w="9629" w:type="dxa"/>
          </w:tcPr>
          <w:p w14:paraId="01D54EB6" w14:textId="77777777" w:rsidR="0036003B" w:rsidRPr="004C6EF9" w:rsidRDefault="0036003B" w:rsidP="0066214A">
            <w:pPr>
              <w:spacing w:after="120"/>
              <w:rPr>
                <w:rFonts w:eastAsiaTheme="minorEastAsia" w:cstheme="minorHAnsi"/>
                <w:szCs w:val="24"/>
              </w:rPr>
            </w:pPr>
            <w:r w:rsidRPr="004C6EF9">
              <w:rPr>
                <w:rFonts w:eastAsiaTheme="minorEastAsia" w:cstheme="minorHAnsi"/>
                <w:szCs w:val="24"/>
              </w:rPr>
              <w:t>TDAG noted the proposal in Document 30 and thanked the United States for sharing its views in the contribution.</w:t>
            </w:r>
          </w:p>
        </w:tc>
      </w:tr>
    </w:tbl>
    <w:p w14:paraId="19FFA37D" w14:textId="167564ED" w:rsidR="00FC2232" w:rsidRPr="004C6EF9" w:rsidRDefault="00604DD1" w:rsidP="0011639E">
      <w:pPr>
        <w:pStyle w:val="ListParagraph"/>
        <w:keepNext/>
        <w:numPr>
          <w:ilvl w:val="0"/>
          <w:numId w:val="2"/>
        </w:numPr>
        <w:tabs>
          <w:tab w:val="clear" w:pos="1134"/>
          <w:tab w:val="clear" w:pos="1871"/>
          <w:tab w:val="left" w:pos="851"/>
        </w:tabs>
        <w:spacing w:after="120"/>
        <w:ind w:left="357" w:hanging="357"/>
        <w:contextualSpacing w:val="0"/>
        <w:rPr>
          <w:rFonts w:cstheme="minorHAnsi"/>
          <w:b/>
          <w:bCs/>
          <w:szCs w:val="24"/>
        </w:rPr>
      </w:pPr>
      <w:r w:rsidRPr="004C6EF9">
        <w:rPr>
          <w:rFonts w:cstheme="minorHAnsi"/>
          <w:b/>
          <w:bCs/>
          <w:szCs w:val="24"/>
        </w:rPr>
        <w:t>Collaboration</w:t>
      </w:r>
      <w:r w:rsidR="00296088" w:rsidRPr="004C6EF9">
        <w:rPr>
          <w:rFonts w:cstheme="minorHAnsi"/>
          <w:b/>
          <w:bCs/>
          <w:szCs w:val="24"/>
        </w:rPr>
        <w:t xml:space="preserve"> </w:t>
      </w:r>
      <w:r w:rsidRPr="004C6EF9">
        <w:rPr>
          <w:rFonts w:cstheme="minorHAnsi"/>
          <w:b/>
          <w:bCs/>
          <w:szCs w:val="24"/>
        </w:rPr>
        <w:t>with</w:t>
      </w:r>
      <w:r w:rsidR="00296088" w:rsidRPr="004C6EF9">
        <w:rPr>
          <w:rFonts w:cstheme="minorHAnsi"/>
          <w:b/>
          <w:bCs/>
          <w:szCs w:val="24"/>
        </w:rPr>
        <w:t xml:space="preserve"> </w:t>
      </w:r>
      <w:r w:rsidRPr="004C6EF9">
        <w:rPr>
          <w:rFonts w:cstheme="minorHAnsi"/>
          <w:b/>
          <w:bCs/>
          <w:szCs w:val="24"/>
        </w:rPr>
        <w:t>the</w:t>
      </w:r>
      <w:r w:rsidR="00296088" w:rsidRPr="004C6EF9">
        <w:rPr>
          <w:rFonts w:cstheme="minorHAnsi"/>
          <w:b/>
          <w:bCs/>
          <w:szCs w:val="24"/>
        </w:rPr>
        <w:t xml:space="preserve"> </w:t>
      </w:r>
      <w:r w:rsidRPr="004C6EF9">
        <w:rPr>
          <w:rFonts w:cstheme="minorHAnsi"/>
          <w:b/>
          <w:bCs/>
          <w:szCs w:val="24"/>
        </w:rPr>
        <w:t>other</w:t>
      </w:r>
      <w:r w:rsidR="00296088" w:rsidRPr="004C6EF9">
        <w:rPr>
          <w:rFonts w:cstheme="minorHAnsi"/>
          <w:b/>
          <w:bCs/>
          <w:szCs w:val="24"/>
        </w:rPr>
        <w:t xml:space="preserve"> </w:t>
      </w:r>
      <w:r w:rsidRPr="004C6EF9">
        <w:rPr>
          <w:rFonts w:cstheme="minorHAnsi"/>
          <w:b/>
          <w:bCs/>
          <w:szCs w:val="24"/>
        </w:rPr>
        <w:t>Sectors</w:t>
      </w:r>
    </w:p>
    <w:p w14:paraId="6E87CDAC" w14:textId="77777777" w:rsidR="008F1D97" w:rsidRPr="004C6EF9" w:rsidRDefault="008F1D97" w:rsidP="0011639E">
      <w:pPr>
        <w:keepNext/>
        <w:spacing w:after="120"/>
        <w:rPr>
          <w:rFonts w:cstheme="minorHAnsi"/>
          <w:b/>
          <w:bCs/>
          <w:szCs w:val="24"/>
        </w:rPr>
      </w:pPr>
      <w:r w:rsidRPr="004C6EF9">
        <w:rPr>
          <w:rFonts w:cstheme="minorHAnsi"/>
          <w:b/>
          <w:bCs/>
          <w:szCs w:val="24"/>
          <w:lang w:val="pt-BR"/>
        </w:rPr>
        <w:t xml:space="preserve">Document </w:t>
      </w:r>
      <w:hyperlink r:id="rId52" w:history="1">
        <w:r w:rsidRPr="004C6EF9">
          <w:rPr>
            <w:rStyle w:val="Hyperlink"/>
            <w:rFonts w:cstheme="minorHAnsi"/>
            <w:b/>
            <w:bCs/>
            <w:szCs w:val="24"/>
            <w:lang w:val="pt-BR"/>
          </w:rPr>
          <w:t>9</w:t>
        </w:r>
      </w:hyperlink>
    </w:p>
    <w:p w14:paraId="6AEA24DC" w14:textId="2862D3EC" w:rsidR="008F1D97" w:rsidRPr="004C6EF9" w:rsidRDefault="008F1D97" w:rsidP="008F1D97">
      <w:pPr>
        <w:rPr>
          <w:rFonts w:ascii="Calibri" w:hAnsi="Calibri"/>
          <w:sz w:val="22"/>
        </w:rPr>
      </w:pPr>
      <w:r w:rsidRPr="004C6EF9">
        <w:rPr>
          <w:rFonts w:cstheme="minorHAnsi"/>
          <w:bCs/>
          <w:szCs w:val="24"/>
          <w:lang w:val="en-US"/>
        </w:rPr>
        <w:t>Th</w:t>
      </w:r>
      <w:r w:rsidR="004B242D" w:rsidRPr="004C6EF9">
        <w:rPr>
          <w:rFonts w:cstheme="minorHAnsi"/>
          <w:bCs/>
          <w:szCs w:val="24"/>
          <w:lang w:val="en-US"/>
        </w:rPr>
        <w:t>is</w:t>
      </w:r>
      <w:r w:rsidRPr="004C6EF9">
        <w:rPr>
          <w:rFonts w:cstheme="minorHAnsi"/>
          <w:bCs/>
          <w:szCs w:val="24"/>
          <w:lang w:val="en-US"/>
        </w:rPr>
        <w:t xml:space="preserve"> document presents a progress report of the Inter-Sector Coordination Group (ISCG) on issues of mutual interest, highlighting the conclusions from its last meeting, held virtually on 1 September 2021. D</w:t>
      </w:r>
      <w:proofErr w:type="spellStart"/>
      <w:r w:rsidRPr="004C6EF9">
        <w:t>uring</w:t>
      </w:r>
      <w:proofErr w:type="spellEnd"/>
      <w:r w:rsidRPr="004C6EF9">
        <w:t xml:space="preserve"> the last TSAG meeting, </w:t>
      </w:r>
      <w:r w:rsidR="003235D0" w:rsidRPr="004C6EF9">
        <w:t>ISCG</w:t>
      </w:r>
      <w:r w:rsidRPr="004C6EF9">
        <w:t xml:space="preserve"> was requested to appoint coordinators </w:t>
      </w:r>
      <w:r w:rsidRPr="004C6EF9">
        <w:lastRenderedPageBreak/>
        <w:t xml:space="preserve">from the membership for each of the two themes being addressed by the </w:t>
      </w:r>
      <w:r w:rsidR="003235D0" w:rsidRPr="004C6EF9">
        <w:t>Group</w:t>
      </w:r>
      <w:r w:rsidRPr="004C6EF9">
        <w:t xml:space="preserve"> (Climate change and Accessibility). The coordinators will be appointed at the next ISCG meeting in February 2022.</w:t>
      </w:r>
    </w:p>
    <w:p w14:paraId="339502FC" w14:textId="48956440" w:rsidR="008F1D97" w:rsidRPr="004C6EF9" w:rsidRDefault="008F1D97" w:rsidP="008F1D97">
      <w:pPr>
        <w:spacing w:after="120"/>
      </w:pPr>
      <w:r w:rsidRPr="004C6EF9">
        <w:t>The Secretariat provided additional information in response to questions raised by the membership regarding the existing coordination between the Inter-Sectoral Coordination Task Force (ISC-TF), an internal secretariat task force, and ISCG. Members also discussed the possibility of piloting automatic translation for ITU-D documents in view of advancing accessibility in virtual meetings for persons with specific needs. The membership was also invited to provide input on the revision of PP Resolution 191 to CWG-SFP.  </w:t>
      </w:r>
    </w:p>
    <w:tbl>
      <w:tblPr>
        <w:tblStyle w:val="TableGrid"/>
        <w:tblW w:w="0" w:type="auto"/>
        <w:tblLook w:val="04A0" w:firstRow="1" w:lastRow="0" w:firstColumn="1" w:lastColumn="0" w:noHBand="0" w:noVBand="1"/>
      </w:tblPr>
      <w:tblGrid>
        <w:gridCol w:w="9629"/>
      </w:tblGrid>
      <w:tr w:rsidR="008F1D97" w:rsidRPr="004C6EF9" w14:paraId="7E231B35" w14:textId="77777777" w:rsidTr="0066214A">
        <w:tc>
          <w:tcPr>
            <w:tcW w:w="9629" w:type="dxa"/>
          </w:tcPr>
          <w:p w14:paraId="76A04926" w14:textId="344F1F24" w:rsidR="008F1D97" w:rsidRPr="004C6EF9" w:rsidRDefault="008F1D97" w:rsidP="0066214A">
            <w:pPr>
              <w:pStyle w:val="ListParagraph"/>
              <w:spacing w:after="120"/>
              <w:ind w:left="0"/>
              <w:contextualSpacing w:val="0"/>
              <w:rPr>
                <w:rFonts w:cstheme="minorHAnsi"/>
                <w:color w:val="000000" w:themeColor="text1"/>
                <w:szCs w:val="24"/>
              </w:rPr>
            </w:pPr>
            <w:r w:rsidRPr="004C6EF9">
              <w:rPr>
                <w:rFonts w:cstheme="minorHAnsi"/>
                <w:color w:val="000000" w:themeColor="text1"/>
                <w:szCs w:val="24"/>
              </w:rPr>
              <w:t>TDAG noted the report with appreciation and thanked the ISCG Chair</w:t>
            </w:r>
            <w:r w:rsidR="002B1E91" w:rsidRPr="004C6EF9">
              <w:rPr>
                <w:rFonts w:cstheme="minorHAnsi"/>
                <w:color w:val="000000" w:themeColor="text1"/>
                <w:szCs w:val="24"/>
              </w:rPr>
              <w:t>,</w:t>
            </w:r>
            <w:r w:rsidRPr="004C6EF9">
              <w:rPr>
                <w:rFonts w:cstheme="minorHAnsi"/>
                <w:color w:val="000000" w:themeColor="text1"/>
                <w:szCs w:val="24"/>
              </w:rPr>
              <w:t xml:space="preserve"> </w:t>
            </w:r>
            <w:r w:rsidR="00C95F81" w:rsidRPr="004C6EF9">
              <w:rPr>
                <w:rFonts w:cstheme="minorHAnsi"/>
                <w:color w:val="000000" w:themeColor="text1"/>
                <w:szCs w:val="24"/>
              </w:rPr>
              <w:t>D</w:t>
            </w:r>
            <w:r w:rsidR="002B1E91" w:rsidRPr="004C6EF9">
              <w:rPr>
                <w:rFonts w:cstheme="minorHAnsi"/>
                <w:color w:val="000000" w:themeColor="text1"/>
                <w:szCs w:val="24"/>
              </w:rPr>
              <w:t xml:space="preserve">r Fabio </w:t>
            </w:r>
            <w:proofErr w:type="spellStart"/>
            <w:r w:rsidR="002B1E91" w:rsidRPr="004C6EF9">
              <w:rPr>
                <w:rFonts w:cstheme="minorHAnsi"/>
                <w:color w:val="000000" w:themeColor="text1"/>
                <w:szCs w:val="24"/>
              </w:rPr>
              <w:t>Bigi</w:t>
            </w:r>
            <w:proofErr w:type="spellEnd"/>
            <w:r w:rsidR="002B1E91" w:rsidRPr="004C6EF9">
              <w:rPr>
                <w:rFonts w:cstheme="minorHAnsi"/>
                <w:color w:val="000000" w:themeColor="text1"/>
                <w:szCs w:val="24"/>
              </w:rPr>
              <w:t xml:space="preserve">, </w:t>
            </w:r>
            <w:r w:rsidRPr="004C6EF9">
              <w:rPr>
                <w:rFonts w:cstheme="minorHAnsi"/>
                <w:color w:val="000000" w:themeColor="text1"/>
                <w:szCs w:val="24"/>
              </w:rPr>
              <w:t xml:space="preserve">for his excellent leadership. </w:t>
            </w:r>
          </w:p>
        </w:tc>
      </w:tr>
    </w:tbl>
    <w:p w14:paraId="23D7A961" w14:textId="77777777" w:rsidR="008F1D97" w:rsidRPr="004C6EF9" w:rsidRDefault="008F1D97" w:rsidP="0011639E">
      <w:pPr>
        <w:pStyle w:val="ListParagraph"/>
        <w:keepNext/>
        <w:numPr>
          <w:ilvl w:val="0"/>
          <w:numId w:val="2"/>
        </w:numPr>
        <w:tabs>
          <w:tab w:val="clear" w:pos="1134"/>
          <w:tab w:val="clear" w:pos="1871"/>
          <w:tab w:val="left" w:pos="851"/>
        </w:tabs>
        <w:spacing w:after="120"/>
        <w:ind w:left="357" w:hanging="357"/>
        <w:contextualSpacing w:val="0"/>
        <w:rPr>
          <w:rFonts w:cstheme="minorHAnsi"/>
          <w:b/>
          <w:bCs/>
          <w:szCs w:val="24"/>
        </w:rPr>
      </w:pPr>
      <w:r w:rsidRPr="004C6EF9">
        <w:rPr>
          <w:rFonts w:cstheme="minorHAnsi"/>
          <w:b/>
          <w:bCs/>
          <w:szCs w:val="24"/>
        </w:rPr>
        <w:t>Membership, Partnership, Private Sector-related matters</w:t>
      </w:r>
    </w:p>
    <w:p w14:paraId="2389C216" w14:textId="77777777" w:rsidR="008F1D97" w:rsidRPr="004C6EF9" w:rsidRDefault="008F1D97" w:rsidP="0011639E">
      <w:pPr>
        <w:keepNext/>
        <w:tabs>
          <w:tab w:val="left" w:pos="567"/>
          <w:tab w:val="left" w:leader="underscore" w:pos="1701"/>
        </w:tabs>
        <w:spacing w:after="120"/>
        <w:rPr>
          <w:rFonts w:cstheme="minorHAnsi"/>
          <w:b/>
          <w:bCs/>
          <w:szCs w:val="24"/>
          <w:lang w:val="pt-BR"/>
        </w:rPr>
      </w:pPr>
      <w:r w:rsidRPr="004C6EF9">
        <w:rPr>
          <w:rFonts w:cstheme="minorHAnsi"/>
          <w:b/>
          <w:bCs/>
          <w:szCs w:val="24"/>
          <w:lang w:val="pt-BR"/>
        </w:rPr>
        <w:t xml:space="preserve">Document </w:t>
      </w:r>
      <w:hyperlink r:id="rId53" w:history="1">
        <w:r w:rsidRPr="004C6EF9">
          <w:rPr>
            <w:rStyle w:val="Hyperlink"/>
            <w:rFonts w:cstheme="minorHAnsi"/>
            <w:b/>
            <w:bCs/>
            <w:szCs w:val="24"/>
            <w:lang w:val="pt-BR"/>
          </w:rPr>
          <w:t>4</w:t>
        </w:r>
      </w:hyperlink>
      <w:r w:rsidRPr="004C6EF9">
        <w:rPr>
          <w:rFonts w:cstheme="minorHAnsi"/>
          <w:b/>
          <w:bCs/>
          <w:szCs w:val="24"/>
          <w:lang w:val="pt-BR"/>
        </w:rPr>
        <w:t xml:space="preserve"> </w:t>
      </w:r>
    </w:p>
    <w:p w14:paraId="76E78348" w14:textId="21FDA591" w:rsidR="008F1D97" w:rsidRPr="004C6EF9" w:rsidRDefault="008F1D97" w:rsidP="008F1D97">
      <w:pPr>
        <w:spacing w:after="120"/>
        <w:rPr>
          <w:rFonts w:cstheme="minorHAnsi"/>
          <w:szCs w:val="24"/>
          <w:lang w:val="pt-BR"/>
        </w:rPr>
      </w:pPr>
      <w:r w:rsidRPr="004C6EF9">
        <w:t>Th</w:t>
      </w:r>
      <w:r w:rsidR="004B242D" w:rsidRPr="004C6EF9">
        <w:t>is</w:t>
      </w:r>
      <w:r w:rsidRPr="004C6EF9">
        <w:t xml:space="preserve"> report takes stock of partnerships and resource mobilization activities undertaken between 1 April and 30 September 2021 and p</w:t>
      </w:r>
      <w:r w:rsidR="00F5594F">
        <w:t>resent</w:t>
      </w:r>
      <w:r w:rsidRPr="004C6EF9">
        <w:t>s concrete proposals for future activities. The document builds on the report presented at the 28th meeting of TDAG in May 2021</w:t>
      </w:r>
      <w:r w:rsidR="00F5594F">
        <w:t xml:space="preserve"> and</w:t>
      </w:r>
      <w:r w:rsidRPr="004C6EF9">
        <w:rPr>
          <w:rFonts w:cstheme="minorHAnsi"/>
          <w:szCs w:val="24"/>
          <w:lang w:val="pt-BR"/>
        </w:rPr>
        <w:t xml:space="preserve"> </w:t>
      </w:r>
      <w:r w:rsidR="00F5594F">
        <w:rPr>
          <w:rFonts w:cstheme="minorHAnsi"/>
          <w:szCs w:val="24"/>
          <w:lang w:val="pt-BR"/>
        </w:rPr>
        <w:t xml:space="preserve">describes </w:t>
      </w:r>
      <w:r w:rsidRPr="004C6EF9">
        <w:rPr>
          <w:rFonts w:cstheme="minorHAnsi"/>
          <w:szCs w:val="24"/>
          <w:lang w:val="pt-BR"/>
        </w:rPr>
        <w:t xml:space="preserve">key actions and outcomes carried out by </w:t>
      </w:r>
      <w:r w:rsidR="00F75FA2">
        <w:rPr>
          <w:rFonts w:cstheme="minorHAnsi"/>
          <w:szCs w:val="24"/>
          <w:lang w:val="pt-BR"/>
        </w:rPr>
        <w:t xml:space="preserve">the </w:t>
      </w:r>
      <w:r w:rsidRPr="004C6EF9">
        <w:rPr>
          <w:rFonts w:cstheme="minorHAnsi"/>
          <w:szCs w:val="24"/>
          <w:lang w:val="pt-BR"/>
        </w:rPr>
        <w:t>BDT</w:t>
      </w:r>
      <w:r w:rsidR="00F5594F">
        <w:rPr>
          <w:rFonts w:cstheme="minorHAnsi"/>
          <w:szCs w:val="24"/>
          <w:lang w:val="pt-BR"/>
        </w:rPr>
        <w:t xml:space="preserve"> </w:t>
      </w:r>
      <w:r w:rsidR="004A03C1">
        <w:rPr>
          <w:rFonts w:cstheme="minorHAnsi"/>
          <w:szCs w:val="24"/>
          <w:lang w:val="pt-BR"/>
        </w:rPr>
        <w:t xml:space="preserve">which </w:t>
      </w:r>
      <w:r w:rsidR="00F5594F">
        <w:rPr>
          <w:rFonts w:cstheme="minorHAnsi"/>
          <w:szCs w:val="24"/>
          <w:lang w:val="pt-BR"/>
        </w:rPr>
        <w:t>includ</w:t>
      </w:r>
      <w:r w:rsidR="004A03C1">
        <w:rPr>
          <w:rFonts w:cstheme="minorHAnsi"/>
          <w:szCs w:val="24"/>
          <w:lang w:val="pt-BR"/>
        </w:rPr>
        <w:t xml:space="preserve">e </w:t>
      </w:r>
      <w:r w:rsidRPr="004C6EF9">
        <w:rPr>
          <w:rFonts w:cstheme="minorHAnsi"/>
          <w:szCs w:val="24"/>
          <w:lang w:val="pt-BR"/>
        </w:rPr>
        <w:t xml:space="preserve">enhancing outreach materials, </w:t>
      </w:r>
      <w:r w:rsidR="00F5594F">
        <w:rPr>
          <w:rFonts w:cstheme="minorHAnsi"/>
          <w:szCs w:val="24"/>
          <w:lang w:val="pt-BR"/>
        </w:rPr>
        <w:t xml:space="preserve">taking steps to support the </w:t>
      </w:r>
      <w:r w:rsidRPr="004C6EF9">
        <w:rPr>
          <w:rFonts w:cstheme="minorHAnsi"/>
          <w:szCs w:val="24"/>
          <w:lang w:val="pt-BR"/>
        </w:rPr>
        <w:t>Partner2Connect Digital Coalition</w:t>
      </w:r>
      <w:r w:rsidR="00F5594F">
        <w:rPr>
          <w:rFonts w:cstheme="minorHAnsi"/>
          <w:szCs w:val="24"/>
          <w:lang w:val="pt-BR"/>
        </w:rPr>
        <w:t>,</w:t>
      </w:r>
      <w:r w:rsidRPr="004C6EF9">
        <w:rPr>
          <w:rFonts w:cstheme="minorHAnsi"/>
          <w:szCs w:val="24"/>
          <w:lang w:val="pt-BR"/>
        </w:rPr>
        <w:t xml:space="preserve"> and collaboratin</w:t>
      </w:r>
      <w:r w:rsidR="00F5594F">
        <w:rPr>
          <w:rFonts w:cstheme="minorHAnsi"/>
          <w:szCs w:val="24"/>
          <w:lang w:val="pt-BR"/>
        </w:rPr>
        <w:t>g</w:t>
      </w:r>
      <w:r w:rsidRPr="004C6EF9">
        <w:rPr>
          <w:rFonts w:cstheme="minorHAnsi"/>
          <w:szCs w:val="24"/>
          <w:lang w:val="pt-BR"/>
        </w:rPr>
        <w:t xml:space="preserve"> with UN organizations. </w:t>
      </w:r>
    </w:p>
    <w:p w14:paraId="2AA45153" w14:textId="65EBF128" w:rsidR="008F1D97" w:rsidRPr="004C6EF9" w:rsidRDefault="008F1D97" w:rsidP="008F1D97">
      <w:pPr>
        <w:widowControl w:val="0"/>
        <w:tabs>
          <w:tab w:val="left" w:pos="567"/>
          <w:tab w:val="left" w:leader="underscore" w:pos="1701"/>
        </w:tabs>
        <w:spacing w:after="120"/>
        <w:rPr>
          <w:rFonts w:cstheme="minorHAnsi"/>
          <w:szCs w:val="24"/>
          <w:lang w:val="pt-BR"/>
        </w:rPr>
      </w:pPr>
      <w:r w:rsidRPr="004C6EF9">
        <w:rPr>
          <w:rFonts w:cstheme="minorHAnsi"/>
          <w:szCs w:val="24"/>
          <w:lang w:val="pt-BR"/>
        </w:rPr>
        <w:t>BDT will continue its efforts to consolidate existing partnerships</w:t>
      </w:r>
      <w:r w:rsidR="00005CAB">
        <w:rPr>
          <w:rFonts w:cstheme="minorHAnsi"/>
          <w:szCs w:val="24"/>
          <w:lang w:val="pt-BR"/>
        </w:rPr>
        <w:t>,</w:t>
      </w:r>
      <w:r w:rsidRPr="004C6EF9">
        <w:rPr>
          <w:rFonts w:cstheme="minorHAnsi"/>
          <w:szCs w:val="24"/>
          <w:lang w:val="pt-BR"/>
        </w:rPr>
        <w:t xml:space="preserve"> attract new </w:t>
      </w:r>
      <w:r w:rsidR="00F5594F">
        <w:rPr>
          <w:rFonts w:cstheme="minorHAnsi"/>
          <w:szCs w:val="24"/>
          <w:lang w:val="pt-BR"/>
        </w:rPr>
        <w:t xml:space="preserve">and </w:t>
      </w:r>
      <w:r w:rsidRPr="004C6EF9">
        <w:rPr>
          <w:rFonts w:cstheme="minorHAnsi"/>
          <w:szCs w:val="24"/>
          <w:lang w:val="pt-BR"/>
        </w:rPr>
        <w:t>diverse partners</w:t>
      </w:r>
      <w:r w:rsidR="00005CAB">
        <w:rPr>
          <w:rFonts w:cstheme="minorHAnsi"/>
          <w:szCs w:val="24"/>
          <w:lang w:val="pt-BR"/>
        </w:rPr>
        <w:t>,</w:t>
      </w:r>
      <w:r w:rsidRPr="004C6EF9">
        <w:rPr>
          <w:rFonts w:cstheme="minorHAnsi"/>
          <w:szCs w:val="24"/>
          <w:lang w:val="pt-BR"/>
        </w:rPr>
        <w:t xml:space="preserve"> a</w:t>
      </w:r>
      <w:r w:rsidR="00005CAB">
        <w:rPr>
          <w:rFonts w:cstheme="minorHAnsi"/>
          <w:szCs w:val="24"/>
          <w:lang w:val="pt-BR"/>
        </w:rPr>
        <w:t xml:space="preserve">nd secure </w:t>
      </w:r>
      <w:r w:rsidRPr="004C6EF9">
        <w:rPr>
          <w:rFonts w:cstheme="minorHAnsi"/>
          <w:szCs w:val="24"/>
          <w:lang w:val="pt-BR"/>
        </w:rPr>
        <w:t xml:space="preserve">more resources to finance large scale and impactful projects </w:t>
      </w:r>
      <w:r w:rsidR="00005CAB">
        <w:rPr>
          <w:rFonts w:cstheme="minorHAnsi"/>
          <w:szCs w:val="24"/>
          <w:lang w:val="pt-BR"/>
        </w:rPr>
        <w:t>t</w:t>
      </w:r>
      <w:r w:rsidRPr="004C6EF9">
        <w:rPr>
          <w:rFonts w:cstheme="minorHAnsi"/>
          <w:szCs w:val="24"/>
          <w:lang w:val="pt-BR"/>
        </w:rPr>
        <w:t>o successful</w:t>
      </w:r>
      <w:r w:rsidR="00005CAB">
        <w:rPr>
          <w:rFonts w:cstheme="minorHAnsi"/>
          <w:szCs w:val="24"/>
          <w:lang w:val="pt-BR"/>
        </w:rPr>
        <w:t>ly</w:t>
      </w:r>
      <w:r w:rsidRPr="004C6EF9">
        <w:rPr>
          <w:rFonts w:cstheme="minorHAnsi"/>
          <w:szCs w:val="24"/>
          <w:lang w:val="pt-BR"/>
        </w:rPr>
        <w:t xml:space="preserve"> </w:t>
      </w:r>
      <w:r w:rsidR="00005CAB" w:rsidRPr="0011639E">
        <w:rPr>
          <w:rFonts w:cstheme="minorHAnsi"/>
          <w:szCs w:val="24"/>
          <w:lang w:val="pt-BR"/>
        </w:rPr>
        <w:t xml:space="preserve">implement ongoing projects initiated at </w:t>
      </w:r>
      <w:r w:rsidRPr="00F744B8">
        <w:rPr>
          <w:rFonts w:cstheme="minorHAnsi"/>
          <w:szCs w:val="24"/>
          <w:lang w:val="pt-BR"/>
        </w:rPr>
        <w:t>WTDC-17 a</w:t>
      </w:r>
      <w:r w:rsidR="00005CAB" w:rsidRPr="0011639E">
        <w:rPr>
          <w:rFonts w:cstheme="minorHAnsi"/>
          <w:szCs w:val="24"/>
          <w:lang w:val="pt-BR"/>
        </w:rPr>
        <w:t xml:space="preserve">s well as the </w:t>
      </w:r>
      <w:r w:rsidRPr="00F744B8">
        <w:rPr>
          <w:rFonts w:cstheme="minorHAnsi"/>
          <w:szCs w:val="24"/>
          <w:lang w:val="pt-BR"/>
        </w:rPr>
        <w:t>upcoming WT</w:t>
      </w:r>
      <w:r w:rsidRPr="004C6EF9">
        <w:rPr>
          <w:rFonts w:cstheme="minorHAnsi"/>
          <w:szCs w:val="24"/>
          <w:lang w:val="pt-BR"/>
        </w:rPr>
        <w:t xml:space="preserve">DC Programmes and Regional Initiatives at </w:t>
      </w:r>
      <w:r w:rsidR="009E1B14" w:rsidRPr="004C6EF9">
        <w:rPr>
          <w:rFonts w:cstheme="minorHAnsi"/>
          <w:szCs w:val="24"/>
          <w:lang w:val="pt-BR"/>
        </w:rPr>
        <w:t xml:space="preserve">the </w:t>
      </w:r>
      <w:r w:rsidRPr="004C6EF9">
        <w:rPr>
          <w:rFonts w:cstheme="minorHAnsi"/>
          <w:szCs w:val="24"/>
          <w:lang w:val="pt-BR"/>
        </w:rPr>
        <w:t xml:space="preserve">global, regional and national levels. In addition, synergies </w:t>
      </w:r>
      <w:r w:rsidRPr="004C6EF9">
        <w:rPr>
          <w:rFonts w:cstheme="minorHAnsi"/>
        </w:rPr>
        <w:t xml:space="preserve">between projects, resource mobilization and partnerships will be further enhanced. </w:t>
      </w:r>
    </w:p>
    <w:tbl>
      <w:tblPr>
        <w:tblStyle w:val="TableGrid"/>
        <w:tblW w:w="0" w:type="auto"/>
        <w:tblLook w:val="04A0" w:firstRow="1" w:lastRow="0" w:firstColumn="1" w:lastColumn="0" w:noHBand="0" w:noVBand="1"/>
      </w:tblPr>
      <w:tblGrid>
        <w:gridCol w:w="9629"/>
      </w:tblGrid>
      <w:tr w:rsidR="008F1D97" w:rsidRPr="004C6EF9" w14:paraId="6D904560" w14:textId="77777777" w:rsidTr="0066214A">
        <w:tc>
          <w:tcPr>
            <w:tcW w:w="9629" w:type="dxa"/>
          </w:tcPr>
          <w:p w14:paraId="7CD0B3D7" w14:textId="4C20551F" w:rsidR="008F1D97" w:rsidRPr="004C6EF9" w:rsidRDefault="008F1D97" w:rsidP="0066214A">
            <w:pPr>
              <w:spacing w:after="120"/>
              <w:rPr>
                <w:rFonts w:eastAsiaTheme="minorEastAsia" w:cstheme="minorHAnsi"/>
                <w:szCs w:val="24"/>
              </w:rPr>
            </w:pPr>
            <w:r w:rsidRPr="004C6EF9">
              <w:rPr>
                <w:rFonts w:eastAsiaTheme="minorEastAsia" w:cstheme="minorHAnsi"/>
                <w:szCs w:val="24"/>
              </w:rPr>
              <w:t>TDAG noted the report and expressed appreciation for the work BDT is accomplishing in gaining new partners and increased financial resources.</w:t>
            </w:r>
          </w:p>
        </w:tc>
      </w:tr>
    </w:tbl>
    <w:p w14:paraId="52C260E5" w14:textId="285E7638" w:rsidR="008F1D97" w:rsidRPr="004C6EF9" w:rsidRDefault="008F1D97" w:rsidP="0011639E">
      <w:pPr>
        <w:keepNext/>
        <w:tabs>
          <w:tab w:val="left" w:pos="567"/>
          <w:tab w:val="left" w:leader="underscore" w:pos="1701"/>
        </w:tabs>
        <w:spacing w:after="120"/>
        <w:rPr>
          <w:rFonts w:cstheme="minorHAnsi"/>
          <w:b/>
          <w:bCs/>
          <w:szCs w:val="24"/>
        </w:rPr>
      </w:pPr>
      <w:r w:rsidRPr="004C6EF9">
        <w:rPr>
          <w:rFonts w:cstheme="minorHAnsi"/>
          <w:b/>
          <w:bCs/>
          <w:szCs w:val="24"/>
          <w:lang w:val="pt-BR"/>
        </w:rPr>
        <w:t xml:space="preserve">Document </w:t>
      </w:r>
      <w:r w:rsidR="00570284">
        <w:fldChar w:fldCharType="begin"/>
      </w:r>
      <w:r w:rsidR="00570284">
        <w:instrText xml:space="preserve"> HYPERLINK "https://www.itu.int/md/meetingdoc.asp?lang=en&amp;parent=D18-TDAG29-C-0008" </w:instrText>
      </w:r>
      <w:r w:rsidR="00570284">
        <w:fldChar w:fldCharType="separate"/>
      </w:r>
      <w:r w:rsidRPr="004C6EF9">
        <w:rPr>
          <w:rStyle w:val="Hyperlink"/>
          <w:rFonts w:cstheme="minorHAnsi"/>
          <w:b/>
          <w:bCs/>
          <w:szCs w:val="24"/>
          <w:lang w:val="pt-BR"/>
        </w:rPr>
        <w:t>8</w:t>
      </w:r>
      <w:r w:rsidR="00570284">
        <w:rPr>
          <w:rStyle w:val="Hyperlink"/>
          <w:rFonts w:cstheme="minorHAnsi"/>
          <w:b/>
          <w:bCs/>
          <w:szCs w:val="24"/>
          <w:lang w:val="pt-BR"/>
        </w:rPr>
        <w:fldChar w:fldCharType="end"/>
      </w:r>
      <w:r w:rsidR="00C209CB" w:rsidRPr="004C6EF9">
        <w:rPr>
          <w:rStyle w:val="Hyperlink"/>
          <w:rFonts w:cstheme="minorHAnsi"/>
          <w:b/>
          <w:bCs/>
          <w:szCs w:val="24"/>
          <w:lang w:val="pt-BR"/>
        </w:rPr>
        <w:t>(Rev.1)</w:t>
      </w:r>
    </w:p>
    <w:p w14:paraId="060C1620" w14:textId="7986CD9C" w:rsidR="008F1D97" w:rsidRPr="004C6EF9" w:rsidRDefault="008F1D97" w:rsidP="008F1D97">
      <w:pPr>
        <w:widowControl w:val="0"/>
        <w:tabs>
          <w:tab w:val="left" w:pos="567"/>
          <w:tab w:val="left" w:leader="underscore" w:pos="1701"/>
        </w:tabs>
        <w:spacing w:after="120"/>
        <w:rPr>
          <w:rFonts w:cstheme="minorHAnsi"/>
          <w:szCs w:val="24"/>
        </w:rPr>
      </w:pPr>
      <w:r w:rsidRPr="004C6EF9">
        <w:rPr>
          <w:rFonts w:cstheme="minorHAnsi"/>
          <w:szCs w:val="24"/>
        </w:rPr>
        <w:t xml:space="preserve">This document provides an overview of the evolution of ITU-D Membership and </w:t>
      </w:r>
      <w:r w:rsidR="001E710A" w:rsidRPr="004C6EF9">
        <w:rPr>
          <w:rFonts w:cstheme="minorHAnsi"/>
          <w:szCs w:val="24"/>
        </w:rPr>
        <w:t>the</w:t>
      </w:r>
      <w:r w:rsidRPr="004C6EF9">
        <w:rPr>
          <w:rFonts w:cstheme="minorHAnsi"/>
          <w:szCs w:val="24"/>
        </w:rPr>
        <w:t xml:space="preserve"> related objectives, strategies, and actions to strengthen the ITU-D Membership in accordance with the outcomes of WTDC-17 and PP-18, highlighting positive growth in membership </w:t>
      </w:r>
      <w:r w:rsidR="001E710A" w:rsidRPr="004C6EF9">
        <w:rPr>
          <w:rFonts w:cstheme="minorHAnsi"/>
          <w:szCs w:val="24"/>
        </w:rPr>
        <w:t>over the past year</w:t>
      </w:r>
      <w:r w:rsidRPr="004C6EF9">
        <w:rPr>
          <w:rFonts w:cstheme="minorHAnsi"/>
          <w:szCs w:val="24"/>
        </w:rPr>
        <w:t xml:space="preserve">. As of October 2021, ITU-D counted a total of 314 Sector Members compared to 295 at the end of December 2020. The number of Academia has grown from 163 to 178 over the same period. Delegates appreciated the significant work </w:t>
      </w:r>
      <w:r w:rsidR="00C209CB" w:rsidRPr="004C6EF9">
        <w:rPr>
          <w:rFonts w:cstheme="minorHAnsi"/>
          <w:szCs w:val="24"/>
        </w:rPr>
        <w:t xml:space="preserve">undertaken </w:t>
      </w:r>
      <w:r w:rsidRPr="004C6EF9">
        <w:rPr>
          <w:rFonts w:cstheme="minorHAnsi"/>
          <w:szCs w:val="24"/>
        </w:rPr>
        <w:t>in</w:t>
      </w:r>
      <w:r w:rsidR="00C209CB" w:rsidRPr="004C6EF9">
        <w:rPr>
          <w:rFonts w:cstheme="minorHAnsi"/>
          <w:szCs w:val="24"/>
        </w:rPr>
        <w:t xml:space="preserve"> view of</w:t>
      </w:r>
      <w:r w:rsidRPr="004C6EF9">
        <w:rPr>
          <w:rFonts w:cstheme="minorHAnsi"/>
          <w:szCs w:val="24"/>
        </w:rPr>
        <w:t xml:space="preserve"> growing the number of members and partners.</w:t>
      </w:r>
    </w:p>
    <w:p w14:paraId="18B97071" w14:textId="67260198" w:rsidR="008F1D97" w:rsidRPr="004C6EF9" w:rsidRDefault="008F1D97" w:rsidP="008F1D97">
      <w:pPr>
        <w:tabs>
          <w:tab w:val="clear" w:pos="1134"/>
          <w:tab w:val="clear" w:pos="1871"/>
          <w:tab w:val="clear" w:pos="2268"/>
        </w:tabs>
        <w:overflowPunct/>
        <w:autoSpaceDE/>
        <w:autoSpaceDN/>
        <w:adjustRightInd/>
        <w:spacing w:before="0"/>
        <w:rPr>
          <w:rFonts w:cstheme="minorHAnsi"/>
          <w:szCs w:val="24"/>
        </w:rPr>
      </w:pPr>
      <w:r w:rsidRPr="004C6EF9">
        <w:rPr>
          <w:rFonts w:cstheme="minorHAnsi"/>
          <w:szCs w:val="24"/>
        </w:rPr>
        <w:t>The Chairman of the Industry Advisory Group for Development Issues and the Private Sector Chief Regulatory Officers (IAGD-CRO) established under WTDC Resolution 71 (Rev. Buenos Aires, 2017), Mr Bocar Ba</w:t>
      </w:r>
      <w:r w:rsidR="001E710A" w:rsidRPr="004C6EF9">
        <w:rPr>
          <w:rFonts w:cstheme="minorHAnsi"/>
          <w:szCs w:val="24"/>
        </w:rPr>
        <w:t xml:space="preserve"> (Samena Telecommunications Council)</w:t>
      </w:r>
      <w:r w:rsidRPr="004C6EF9">
        <w:rPr>
          <w:rFonts w:cstheme="minorHAnsi"/>
          <w:szCs w:val="24"/>
        </w:rPr>
        <w:t>, conveyed his appreciat</w:t>
      </w:r>
      <w:r w:rsidR="001E710A" w:rsidRPr="004C6EF9">
        <w:rPr>
          <w:rFonts w:cstheme="minorHAnsi"/>
          <w:szCs w:val="24"/>
        </w:rPr>
        <w:t xml:space="preserve">ion </w:t>
      </w:r>
      <w:r w:rsidR="004A03C1">
        <w:rPr>
          <w:rFonts w:cstheme="minorHAnsi"/>
          <w:szCs w:val="24"/>
        </w:rPr>
        <w:t>f</w:t>
      </w:r>
      <w:r w:rsidR="001E710A" w:rsidRPr="004C6EF9">
        <w:rPr>
          <w:rFonts w:cstheme="minorHAnsi"/>
          <w:szCs w:val="24"/>
        </w:rPr>
        <w:t>o</w:t>
      </w:r>
      <w:r w:rsidR="004A03C1">
        <w:rPr>
          <w:rFonts w:cstheme="minorHAnsi"/>
          <w:szCs w:val="24"/>
        </w:rPr>
        <w:t>r</w:t>
      </w:r>
      <w:r w:rsidRPr="004C6EF9">
        <w:rPr>
          <w:rFonts w:cstheme="minorHAnsi"/>
          <w:szCs w:val="24"/>
        </w:rPr>
        <w:t xml:space="preserve"> the work </w:t>
      </w:r>
      <w:r w:rsidR="004A03C1">
        <w:rPr>
          <w:rFonts w:cstheme="minorHAnsi"/>
          <w:szCs w:val="24"/>
        </w:rPr>
        <w:t xml:space="preserve">conducted by </w:t>
      </w:r>
      <w:r w:rsidRPr="004C6EF9">
        <w:rPr>
          <w:rFonts w:cstheme="minorHAnsi"/>
          <w:szCs w:val="24"/>
        </w:rPr>
        <w:t xml:space="preserve">the BDT Director and the BDT Secretariat in working closely with </w:t>
      </w:r>
      <w:r w:rsidR="004A03C1">
        <w:rPr>
          <w:rFonts w:cstheme="minorHAnsi"/>
          <w:szCs w:val="24"/>
        </w:rPr>
        <w:t xml:space="preserve">the </w:t>
      </w:r>
      <w:r w:rsidRPr="004C6EF9">
        <w:rPr>
          <w:rFonts w:cstheme="minorHAnsi"/>
          <w:szCs w:val="24"/>
        </w:rPr>
        <w:t>private sector. </w:t>
      </w:r>
    </w:p>
    <w:p w14:paraId="1D1B55FA" w14:textId="23D14E1E" w:rsidR="008F1D97" w:rsidRPr="004C6EF9" w:rsidRDefault="008F1D97" w:rsidP="008F1D97">
      <w:pPr>
        <w:widowControl w:val="0"/>
        <w:tabs>
          <w:tab w:val="left" w:pos="567"/>
          <w:tab w:val="left" w:leader="underscore" w:pos="1701"/>
        </w:tabs>
        <w:spacing w:after="120"/>
        <w:rPr>
          <w:rFonts w:ascii="Verdana" w:hAnsi="Verdana"/>
          <w:color w:val="000000"/>
          <w:sz w:val="27"/>
          <w:szCs w:val="27"/>
          <w:shd w:val="clear" w:color="auto" w:fill="FFFFFF"/>
        </w:rPr>
      </w:pPr>
      <w:r w:rsidRPr="004C6EF9">
        <w:rPr>
          <w:rFonts w:cstheme="minorHAnsi"/>
          <w:szCs w:val="24"/>
        </w:rPr>
        <w:t xml:space="preserve">The Secretariat called upon Member States to encourage local private sector entities to join ITU-D and </w:t>
      </w:r>
      <w:r w:rsidR="00C209CB" w:rsidRPr="004C6EF9">
        <w:rPr>
          <w:rFonts w:cstheme="minorHAnsi"/>
          <w:szCs w:val="24"/>
        </w:rPr>
        <w:t xml:space="preserve">leverage its assets </w:t>
      </w:r>
      <w:r w:rsidRPr="004C6EF9">
        <w:rPr>
          <w:rFonts w:cstheme="minorHAnsi"/>
          <w:szCs w:val="24"/>
        </w:rPr>
        <w:t xml:space="preserve">as a global platform to further foster development agendas. </w:t>
      </w:r>
    </w:p>
    <w:tbl>
      <w:tblPr>
        <w:tblStyle w:val="TableGrid"/>
        <w:tblW w:w="0" w:type="auto"/>
        <w:tblLook w:val="04A0" w:firstRow="1" w:lastRow="0" w:firstColumn="1" w:lastColumn="0" w:noHBand="0" w:noVBand="1"/>
      </w:tblPr>
      <w:tblGrid>
        <w:gridCol w:w="9629"/>
      </w:tblGrid>
      <w:tr w:rsidR="008F1D97" w:rsidRPr="004C6EF9" w14:paraId="62960AD7" w14:textId="77777777" w:rsidTr="0066214A">
        <w:tc>
          <w:tcPr>
            <w:tcW w:w="9629" w:type="dxa"/>
          </w:tcPr>
          <w:p w14:paraId="3CBE10C4" w14:textId="14D46E81" w:rsidR="008F1D97" w:rsidRPr="004C6EF9" w:rsidRDefault="008F1D97" w:rsidP="0066214A">
            <w:pPr>
              <w:pStyle w:val="ListParagraph"/>
              <w:spacing w:after="120"/>
              <w:ind w:left="0"/>
              <w:contextualSpacing w:val="0"/>
              <w:rPr>
                <w:rFonts w:cstheme="minorHAnsi"/>
                <w:color w:val="000000" w:themeColor="text1"/>
                <w:szCs w:val="24"/>
              </w:rPr>
            </w:pPr>
            <w:r w:rsidRPr="004C6EF9">
              <w:rPr>
                <w:rFonts w:eastAsiaTheme="minorEastAsia" w:cstheme="minorHAnsi"/>
                <w:szCs w:val="24"/>
              </w:rPr>
              <w:lastRenderedPageBreak/>
              <w:t>TDAG noted the report with appreciation for the work of BDT in expanding ITU-D membership and for the recent and important initiatives involving private sector members and academia</w:t>
            </w:r>
            <w:r w:rsidR="004A03C1">
              <w:rPr>
                <w:rFonts w:eastAsiaTheme="minorEastAsia" w:cstheme="minorHAnsi"/>
                <w:szCs w:val="24"/>
              </w:rPr>
              <w:t>, as well as for the IAGD-CRO, its contributions</w:t>
            </w:r>
            <w:r w:rsidR="00005CAB">
              <w:rPr>
                <w:rFonts w:eastAsiaTheme="minorEastAsia" w:cstheme="minorHAnsi"/>
                <w:szCs w:val="24"/>
              </w:rPr>
              <w:t>,</w:t>
            </w:r>
            <w:r w:rsidR="004A03C1">
              <w:rPr>
                <w:rFonts w:eastAsiaTheme="minorEastAsia" w:cstheme="minorHAnsi"/>
                <w:szCs w:val="24"/>
              </w:rPr>
              <w:t xml:space="preserve"> and </w:t>
            </w:r>
            <w:r w:rsidR="00005CAB">
              <w:rPr>
                <w:rFonts w:eastAsiaTheme="minorEastAsia" w:cstheme="minorHAnsi"/>
                <w:szCs w:val="24"/>
              </w:rPr>
              <w:t>for i</w:t>
            </w:r>
            <w:r w:rsidR="004A03C1">
              <w:rPr>
                <w:rFonts w:eastAsiaTheme="minorEastAsia" w:cstheme="minorHAnsi"/>
                <w:szCs w:val="24"/>
              </w:rPr>
              <w:t>ts Chairman</w:t>
            </w:r>
            <w:r w:rsidRPr="004C6EF9">
              <w:rPr>
                <w:rFonts w:eastAsiaTheme="minorEastAsia" w:cstheme="minorHAnsi"/>
                <w:szCs w:val="24"/>
              </w:rPr>
              <w:t>.</w:t>
            </w:r>
          </w:p>
        </w:tc>
      </w:tr>
    </w:tbl>
    <w:p w14:paraId="312AB991" w14:textId="77777777" w:rsidR="008F1D97" w:rsidRPr="004C6EF9" w:rsidRDefault="008F1D97" w:rsidP="0011639E">
      <w:pPr>
        <w:pStyle w:val="ListParagraph"/>
        <w:keepNext/>
        <w:numPr>
          <w:ilvl w:val="0"/>
          <w:numId w:val="2"/>
        </w:numPr>
        <w:tabs>
          <w:tab w:val="clear" w:pos="1134"/>
          <w:tab w:val="clear" w:pos="1871"/>
          <w:tab w:val="left" w:pos="567"/>
        </w:tabs>
        <w:spacing w:after="120"/>
        <w:ind w:left="357" w:hanging="357"/>
        <w:contextualSpacing w:val="0"/>
        <w:rPr>
          <w:rFonts w:cstheme="minorHAnsi"/>
          <w:b/>
          <w:bCs/>
          <w:szCs w:val="24"/>
        </w:rPr>
      </w:pPr>
      <w:r w:rsidRPr="004C6EF9">
        <w:rPr>
          <w:rFonts w:cstheme="minorHAnsi"/>
          <w:b/>
          <w:bCs/>
          <w:szCs w:val="24"/>
        </w:rPr>
        <w:t>Report by the Chairman of the Group on Capacity Building Initiatives (GCBI)</w:t>
      </w:r>
    </w:p>
    <w:p w14:paraId="4F1DB2E3" w14:textId="77777777" w:rsidR="008F1D97" w:rsidRPr="004C6EF9" w:rsidRDefault="008F1D97" w:rsidP="0011639E">
      <w:pPr>
        <w:keepNext/>
        <w:spacing w:after="120"/>
        <w:rPr>
          <w:rFonts w:cstheme="minorHAnsi"/>
          <w:b/>
          <w:bCs/>
          <w:szCs w:val="24"/>
        </w:rPr>
      </w:pPr>
      <w:r w:rsidRPr="004C6EF9">
        <w:rPr>
          <w:rFonts w:cstheme="minorHAnsi"/>
          <w:b/>
          <w:bCs/>
          <w:szCs w:val="24"/>
          <w:lang w:val="pt-BR"/>
        </w:rPr>
        <w:t xml:space="preserve">Document </w:t>
      </w:r>
      <w:hyperlink r:id="rId54" w:history="1">
        <w:r w:rsidRPr="004C6EF9">
          <w:rPr>
            <w:rStyle w:val="Hyperlink"/>
            <w:rFonts w:cstheme="minorHAnsi"/>
            <w:b/>
            <w:bCs/>
            <w:szCs w:val="24"/>
            <w:lang w:val="pt-BR"/>
          </w:rPr>
          <w:t>10</w:t>
        </w:r>
      </w:hyperlink>
    </w:p>
    <w:p w14:paraId="416485AE" w14:textId="2AE3932A" w:rsidR="008F1D97" w:rsidRPr="004C6EF9" w:rsidRDefault="008F1D97" w:rsidP="008F1D97">
      <w:pPr>
        <w:tabs>
          <w:tab w:val="clear" w:pos="1134"/>
          <w:tab w:val="clear" w:pos="1871"/>
          <w:tab w:val="clear" w:pos="2268"/>
        </w:tabs>
        <w:overflowPunct/>
        <w:autoSpaceDE/>
        <w:autoSpaceDN/>
        <w:adjustRightInd/>
        <w:spacing w:before="0"/>
        <w:rPr>
          <w:rFonts w:cstheme="minorHAnsi"/>
          <w:szCs w:val="24"/>
        </w:rPr>
      </w:pPr>
      <w:r w:rsidRPr="004C6EF9">
        <w:rPr>
          <w:rFonts w:cstheme="minorHAnsi"/>
          <w:szCs w:val="24"/>
        </w:rPr>
        <w:t>Th</w:t>
      </w:r>
      <w:r w:rsidR="004B242D" w:rsidRPr="004C6EF9">
        <w:rPr>
          <w:rFonts w:cstheme="minorHAnsi"/>
          <w:szCs w:val="24"/>
        </w:rPr>
        <w:t xml:space="preserve">is </w:t>
      </w:r>
      <w:r w:rsidRPr="004C6EF9">
        <w:rPr>
          <w:rFonts w:cstheme="minorHAnsi"/>
          <w:szCs w:val="24"/>
        </w:rPr>
        <w:t>report provides an overview of the work undertaken by the Group on Capacity Building Initiatives (GCBI), in particular the launch of the Digital Skills Assessment Guidebook and the development of a glossary of capacity development terms. The report contains a number of recommendations, including strengthening the capacity of the ITU Centres of Excellence (</w:t>
      </w:r>
      <w:proofErr w:type="spellStart"/>
      <w:r w:rsidRPr="004C6EF9">
        <w:rPr>
          <w:rFonts w:cstheme="minorHAnsi"/>
          <w:szCs w:val="24"/>
        </w:rPr>
        <w:t>CoE</w:t>
      </w:r>
      <w:proofErr w:type="spellEnd"/>
      <w:r w:rsidRPr="004C6EF9">
        <w:rPr>
          <w:rFonts w:cstheme="minorHAnsi"/>
          <w:szCs w:val="24"/>
        </w:rPr>
        <w:t xml:space="preserve">) to run training </w:t>
      </w:r>
      <w:r w:rsidR="00530B0A" w:rsidRPr="004C6EF9">
        <w:rPr>
          <w:rFonts w:cstheme="minorHAnsi"/>
          <w:szCs w:val="24"/>
        </w:rPr>
        <w:t xml:space="preserve">courses </w:t>
      </w:r>
      <w:r w:rsidRPr="004C6EF9">
        <w:rPr>
          <w:rFonts w:cstheme="minorHAnsi"/>
          <w:szCs w:val="24"/>
        </w:rPr>
        <w:t>online using the ITU Academy platform</w:t>
      </w:r>
      <w:r w:rsidR="004A03C1">
        <w:rPr>
          <w:rFonts w:cstheme="minorHAnsi"/>
          <w:szCs w:val="24"/>
        </w:rPr>
        <w:t>,</w:t>
      </w:r>
      <w:r w:rsidRPr="004C6EF9">
        <w:rPr>
          <w:rFonts w:cstheme="minorHAnsi"/>
          <w:szCs w:val="24"/>
        </w:rPr>
        <w:t xml:space="preserve"> and to convert existing content into online training materials.  </w:t>
      </w:r>
    </w:p>
    <w:p w14:paraId="48694E89" w14:textId="2975484C" w:rsidR="008F1D97" w:rsidRPr="00570284" w:rsidRDefault="008F1D97" w:rsidP="008F1D97">
      <w:pPr>
        <w:tabs>
          <w:tab w:val="clear" w:pos="1134"/>
          <w:tab w:val="clear" w:pos="1871"/>
          <w:tab w:val="clear" w:pos="2268"/>
        </w:tabs>
        <w:overflowPunct/>
        <w:autoSpaceDE/>
        <w:autoSpaceDN/>
        <w:adjustRightInd/>
        <w:spacing w:after="120"/>
        <w:rPr>
          <w:rFonts w:eastAsia="SimSun" w:cstheme="minorHAnsi"/>
          <w:szCs w:val="24"/>
        </w:rPr>
      </w:pPr>
      <w:r w:rsidRPr="004C6EF9">
        <w:rPr>
          <w:rFonts w:cstheme="minorHAnsi"/>
          <w:szCs w:val="24"/>
        </w:rPr>
        <w:t xml:space="preserve">The report also provides an update on the feasibility study on the establishment of an ITU training institute which was submitted to the last Council meeting and to which the ITU Secretariat will be submitting its own recommendations at the next Council meeting. The Group also noted the </w:t>
      </w:r>
      <w:r w:rsidRPr="00570284">
        <w:rPr>
          <w:rFonts w:cstheme="minorHAnsi"/>
          <w:szCs w:val="24"/>
        </w:rPr>
        <w:t xml:space="preserve">ongoing </w:t>
      </w:r>
      <w:proofErr w:type="spellStart"/>
      <w:r w:rsidRPr="00570284">
        <w:rPr>
          <w:rFonts w:cstheme="minorHAnsi"/>
          <w:szCs w:val="24"/>
        </w:rPr>
        <w:t>CoE</w:t>
      </w:r>
      <w:proofErr w:type="spellEnd"/>
      <w:r w:rsidRPr="00570284">
        <w:rPr>
          <w:rFonts w:cstheme="minorHAnsi"/>
          <w:szCs w:val="24"/>
        </w:rPr>
        <w:t xml:space="preserve"> strategic review, to which consultations with various bodies, including GCBI</w:t>
      </w:r>
      <w:r w:rsidR="00530B0A" w:rsidRPr="00570284">
        <w:rPr>
          <w:rFonts w:cstheme="minorHAnsi"/>
          <w:szCs w:val="24"/>
        </w:rPr>
        <w:t>,</w:t>
      </w:r>
      <w:r w:rsidRPr="00570284">
        <w:rPr>
          <w:rFonts w:cstheme="minorHAnsi"/>
          <w:szCs w:val="24"/>
        </w:rPr>
        <w:t xml:space="preserve"> are still taking place. </w:t>
      </w:r>
    </w:p>
    <w:tbl>
      <w:tblPr>
        <w:tblStyle w:val="TableGrid"/>
        <w:tblW w:w="0" w:type="auto"/>
        <w:tblLook w:val="04A0" w:firstRow="1" w:lastRow="0" w:firstColumn="1" w:lastColumn="0" w:noHBand="0" w:noVBand="1"/>
      </w:tblPr>
      <w:tblGrid>
        <w:gridCol w:w="9629"/>
      </w:tblGrid>
      <w:tr w:rsidR="00570284" w:rsidRPr="00570284" w14:paraId="347BDE07" w14:textId="77777777" w:rsidTr="0066214A">
        <w:tc>
          <w:tcPr>
            <w:tcW w:w="9629" w:type="dxa"/>
          </w:tcPr>
          <w:p w14:paraId="0AF6ADF2" w14:textId="46A5F8AD" w:rsidR="008F1D97" w:rsidRPr="00570284" w:rsidRDefault="00476C14" w:rsidP="0066214A">
            <w:pPr>
              <w:pStyle w:val="ListParagraph"/>
              <w:spacing w:after="120"/>
              <w:ind w:left="0"/>
              <w:contextualSpacing w:val="0"/>
              <w:rPr>
                <w:rFonts w:cstheme="minorHAnsi"/>
                <w:szCs w:val="24"/>
              </w:rPr>
            </w:pPr>
            <w:r w:rsidRPr="00570284">
              <w:rPr>
                <w:rFonts w:eastAsiaTheme="minorEastAsia" w:cstheme="minorHAnsi"/>
                <w:szCs w:val="24"/>
              </w:rPr>
              <w:t>TDAG noted the report with appreciation and looks forward to the outcome of the strategic review of the Centres of Excellence ahead of WTDC. TDAG also awaits the final recommendations on the Feasibility study on establishing an ITU training institute.</w:t>
            </w:r>
          </w:p>
        </w:tc>
      </w:tr>
    </w:tbl>
    <w:p w14:paraId="0F018677" w14:textId="77777777" w:rsidR="008F1D97" w:rsidRPr="004C6EF9" w:rsidRDefault="008F1D97" w:rsidP="0011639E">
      <w:pPr>
        <w:pStyle w:val="ListParagraph"/>
        <w:keepNext/>
        <w:numPr>
          <w:ilvl w:val="0"/>
          <w:numId w:val="2"/>
        </w:numPr>
        <w:tabs>
          <w:tab w:val="clear" w:pos="1134"/>
          <w:tab w:val="clear" w:pos="1871"/>
          <w:tab w:val="left" w:pos="567"/>
        </w:tabs>
        <w:spacing w:after="120"/>
        <w:ind w:left="357" w:hanging="357"/>
        <w:contextualSpacing w:val="0"/>
        <w:rPr>
          <w:rFonts w:cstheme="minorHAnsi"/>
          <w:b/>
          <w:bCs/>
          <w:szCs w:val="24"/>
        </w:rPr>
      </w:pPr>
      <w:r w:rsidRPr="004C6EF9">
        <w:rPr>
          <w:rFonts w:cstheme="minorHAnsi"/>
          <w:b/>
          <w:bCs/>
          <w:szCs w:val="24"/>
        </w:rPr>
        <w:t>ITU-D projects</w:t>
      </w:r>
    </w:p>
    <w:p w14:paraId="4890477D" w14:textId="77777777" w:rsidR="008F1D97" w:rsidRPr="004C6EF9" w:rsidRDefault="008F1D97" w:rsidP="0011639E">
      <w:pPr>
        <w:keepNext/>
        <w:tabs>
          <w:tab w:val="left" w:pos="306"/>
        </w:tabs>
        <w:spacing w:after="120"/>
        <w:rPr>
          <w:rStyle w:val="Hyperlink"/>
          <w:rFonts w:cstheme="minorHAnsi"/>
          <w:b/>
          <w:bCs/>
          <w:szCs w:val="24"/>
        </w:rPr>
      </w:pPr>
      <w:r w:rsidRPr="004C6EF9">
        <w:rPr>
          <w:rFonts w:cstheme="minorHAnsi"/>
          <w:b/>
          <w:bCs/>
          <w:szCs w:val="24"/>
        </w:rPr>
        <w:t xml:space="preserve">Document </w:t>
      </w:r>
      <w:hyperlink r:id="rId55" w:history="1">
        <w:r w:rsidRPr="004C6EF9">
          <w:rPr>
            <w:rStyle w:val="Hyperlink"/>
            <w:rFonts w:cstheme="minorHAnsi"/>
            <w:b/>
            <w:bCs/>
            <w:szCs w:val="24"/>
          </w:rPr>
          <w:t>7</w:t>
        </w:r>
      </w:hyperlink>
    </w:p>
    <w:p w14:paraId="62137274" w14:textId="6925BB47" w:rsidR="008F1D97" w:rsidRPr="004C6EF9" w:rsidRDefault="008F1D97" w:rsidP="008F1D97">
      <w:pPr>
        <w:tabs>
          <w:tab w:val="clear" w:pos="1134"/>
          <w:tab w:val="clear" w:pos="1871"/>
          <w:tab w:val="clear" w:pos="2268"/>
        </w:tabs>
        <w:overflowPunct/>
        <w:autoSpaceDE/>
        <w:autoSpaceDN/>
        <w:adjustRightInd/>
        <w:spacing w:after="120"/>
        <w:rPr>
          <w:rFonts w:ascii="Calibri" w:hAnsi="Calibri" w:cs="Calibri"/>
          <w:szCs w:val="24"/>
          <w:lang w:val="en-US" w:eastAsia="en-GB"/>
        </w:rPr>
      </w:pPr>
      <w:r w:rsidRPr="004C6EF9">
        <w:rPr>
          <w:rFonts w:ascii="Calibri" w:hAnsi="Calibri" w:cs="Calibri"/>
          <w:szCs w:val="24"/>
          <w:lang w:val="en-US" w:eastAsia="en-GB"/>
        </w:rPr>
        <w:t>Th</w:t>
      </w:r>
      <w:r w:rsidR="004B242D" w:rsidRPr="004C6EF9">
        <w:rPr>
          <w:rFonts w:ascii="Calibri" w:hAnsi="Calibri" w:cs="Calibri"/>
          <w:szCs w:val="24"/>
          <w:lang w:val="en-US" w:eastAsia="en-GB"/>
        </w:rPr>
        <w:t xml:space="preserve">is report provides </w:t>
      </w:r>
      <w:r w:rsidRPr="004C6EF9">
        <w:rPr>
          <w:rFonts w:ascii="Calibri" w:hAnsi="Calibri" w:cs="Calibri"/>
          <w:szCs w:val="24"/>
          <w:lang w:val="en-US" w:eastAsia="en-GB"/>
        </w:rPr>
        <w:t>an overview of the work undertaken by BDT in project development and implementation in the six BDT regions. As of 15 September 2021, the ITU project portfolio stood at 77 ongoing projects, valued at CHF</w:t>
      </w:r>
      <w:r w:rsidR="00570284">
        <w:rPr>
          <w:rFonts w:ascii="Calibri" w:hAnsi="Calibri" w:cs="Calibri"/>
          <w:szCs w:val="24"/>
          <w:lang w:val="en-US" w:eastAsia="en-GB"/>
        </w:rPr>
        <w:t> </w:t>
      </w:r>
      <w:r w:rsidRPr="004C6EF9">
        <w:rPr>
          <w:rFonts w:ascii="Calibri" w:hAnsi="Calibri" w:cs="Calibri"/>
          <w:szCs w:val="24"/>
          <w:lang w:val="en-US" w:eastAsia="en-GB"/>
        </w:rPr>
        <w:t>93.9 million, with a balance of CHF</w:t>
      </w:r>
      <w:r w:rsidR="00570284">
        <w:rPr>
          <w:rFonts w:ascii="Calibri" w:hAnsi="Calibri" w:cs="Calibri"/>
          <w:szCs w:val="24"/>
          <w:lang w:val="en-US" w:eastAsia="en-GB"/>
        </w:rPr>
        <w:t> </w:t>
      </w:r>
      <w:r w:rsidRPr="004C6EF9">
        <w:rPr>
          <w:rFonts w:ascii="Calibri" w:hAnsi="Calibri" w:cs="Calibri"/>
          <w:szCs w:val="24"/>
          <w:lang w:val="en-US" w:eastAsia="en-GB"/>
        </w:rPr>
        <w:t xml:space="preserve">25.9 million yet to be committed. The </w:t>
      </w:r>
      <w:r w:rsidR="004A03C1">
        <w:rPr>
          <w:rFonts w:ascii="Calibri" w:hAnsi="Calibri" w:cs="Calibri"/>
          <w:szCs w:val="24"/>
          <w:lang w:val="en-US" w:eastAsia="en-GB"/>
        </w:rPr>
        <w:t>report</w:t>
      </w:r>
      <w:r w:rsidRPr="004C6EF9">
        <w:rPr>
          <w:rFonts w:ascii="Calibri" w:hAnsi="Calibri" w:cs="Calibri"/>
          <w:szCs w:val="24"/>
          <w:lang w:val="en-US" w:eastAsia="en-GB"/>
        </w:rPr>
        <w:t xml:space="preserve"> also present</w:t>
      </w:r>
      <w:r w:rsidR="004A03C1">
        <w:rPr>
          <w:rFonts w:ascii="Calibri" w:hAnsi="Calibri" w:cs="Calibri"/>
          <w:szCs w:val="24"/>
          <w:lang w:val="en-US" w:eastAsia="en-GB"/>
        </w:rPr>
        <w:t>ed</w:t>
      </w:r>
      <w:r w:rsidRPr="004C6EF9">
        <w:rPr>
          <w:rFonts w:ascii="Calibri" w:hAnsi="Calibri" w:cs="Calibri"/>
          <w:szCs w:val="24"/>
          <w:lang w:val="en-US" w:eastAsia="en-GB"/>
        </w:rPr>
        <w:t xml:space="preserve"> the actions undertaken by BDT to strengthen project management practices in ITU during 2021. The document was initially presented at the last TDAG meeting and </w:t>
      </w:r>
      <w:r w:rsidR="004A03C1">
        <w:rPr>
          <w:rFonts w:ascii="Calibri" w:hAnsi="Calibri" w:cs="Calibri"/>
          <w:szCs w:val="24"/>
          <w:lang w:val="en-US" w:eastAsia="en-GB"/>
        </w:rPr>
        <w:t xml:space="preserve">was </w:t>
      </w:r>
      <w:r w:rsidRPr="004C6EF9">
        <w:rPr>
          <w:rFonts w:ascii="Calibri" w:hAnsi="Calibri" w:cs="Calibri"/>
          <w:szCs w:val="24"/>
          <w:lang w:val="en-US" w:eastAsia="en-GB"/>
        </w:rPr>
        <w:t xml:space="preserve">updated with new developments since then. </w:t>
      </w:r>
    </w:p>
    <w:p w14:paraId="1F1AC97F" w14:textId="77777777" w:rsidR="008F1D97" w:rsidRPr="004C6EF9" w:rsidRDefault="008F1D97" w:rsidP="008F1D97">
      <w:pPr>
        <w:tabs>
          <w:tab w:val="clear" w:pos="1134"/>
          <w:tab w:val="clear" w:pos="1871"/>
          <w:tab w:val="clear" w:pos="2268"/>
        </w:tabs>
        <w:overflowPunct/>
        <w:autoSpaceDE/>
        <w:autoSpaceDN/>
        <w:adjustRightInd/>
        <w:spacing w:after="120"/>
        <w:rPr>
          <w:rFonts w:ascii="Calibri" w:hAnsi="Calibri" w:cs="Calibri"/>
          <w:szCs w:val="24"/>
          <w:lang w:eastAsia="en-GB"/>
        </w:rPr>
      </w:pPr>
      <w:r w:rsidRPr="004C6EF9">
        <w:rPr>
          <w:rFonts w:ascii="Calibri" w:hAnsi="Calibri" w:cs="Calibri"/>
          <w:szCs w:val="24"/>
          <w:lang w:eastAsia="en-GB"/>
        </w:rPr>
        <w:t>Delegates expressed appreciation for the continuing work of BDT in the area of project development. They also put forward to the Secretariat the following requests for:</w:t>
      </w:r>
    </w:p>
    <w:p w14:paraId="61B0E28E" w14:textId="14776B9C" w:rsidR="008F1D97" w:rsidRPr="004C6EF9" w:rsidRDefault="008F1D97" w:rsidP="008F1D97">
      <w:pPr>
        <w:pStyle w:val="ListParagraph"/>
        <w:numPr>
          <w:ilvl w:val="0"/>
          <w:numId w:val="24"/>
        </w:numPr>
        <w:tabs>
          <w:tab w:val="clear" w:pos="1134"/>
          <w:tab w:val="clear" w:pos="1871"/>
          <w:tab w:val="clear" w:pos="2268"/>
        </w:tabs>
        <w:overflowPunct/>
        <w:autoSpaceDE/>
        <w:autoSpaceDN/>
        <w:adjustRightInd/>
        <w:spacing w:after="120"/>
        <w:ind w:left="567" w:hanging="567"/>
        <w:rPr>
          <w:rFonts w:ascii="Calibri" w:hAnsi="Calibri" w:cs="Calibri"/>
          <w:szCs w:val="24"/>
          <w:lang w:eastAsia="en-GB"/>
        </w:rPr>
      </w:pPr>
      <w:r w:rsidRPr="004C6EF9">
        <w:rPr>
          <w:rFonts w:ascii="Calibri" w:hAnsi="Calibri" w:cs="Calibri"/>
          <w:szCs w:val="24"/>
          <w:lang w:eastAsia="en-GB"/>
        </w:rPr>
        <w:t xml:space="preserve">Organizing information sessions on flagship projects such as PRIDA in future meetings of ITU-D </w:t>
      </w:r>
      <w:r w:rsidR="00BB731E" w:rsidRPr="004C6EF9">
        <w:rPr>
          <w:rFonts w:ascii="Calibri" w:hAnsi="Calibri" w:cs="Calibri"/>
          <w:szCs w:val="24"/>
          <w:lang w:eastAsia="en-GB"/>
        </w:rPr>
        <w:t>S</w:t>
      </w:r>
      <w:r w:rsidRPr="004C6EF9">
        <w:rPr>
          <w:rFonts w:ascii="Calibri" w:hAnsi="Calibri" w:cs="Calibri"/>
          <w:szCs w:val="24"/>
          <w:lang w:eastAsia="en-GB"/>
        </w:rPr>
        <w:t xml:space="preserve">tudy </w:t>
      </w:r>
      <w:r w:rsidR="00BB731E" w:rsidRPr="004C6EF9">
        <w:rPr>
          <w:rFonts w:ascii="Calibri" w:hAnsi="Calibri" w:cs="Calibri"/>
          <w:szCs w:val="24"/>
          <w:lang w:eastAsia="en-GB"/>
        </w:rPr>
        <w:t>G</w:t>
      </w:r>
      <w:r w:rsidRPr="004C6EF9">
        <w:rPr>
          <w:rFonts w:ascii="Calibri" w:hAnsi="Calibri" w:cs="Calibri"/>
          <w:szCs w:val="24"/>
          <w:lang w:eastAsia="en-GB"/>
        </w:rPr>
        <w:t>roups;</w:t>
      </w:r>
    </w:p>
    <w:p w14:paraId="59F03E1F" w14:textId="77777777" w:rsidR="008F1D97" w:rsidRPr="004C6EF9" w:rsidRDefault="008F1D97" w:rsidP="008F1D97">
      <w:pPr>
        <w:pStyle w:val="ListParagraph"/>
        <w:numPr>
          <w:ilvl w:val="0"/>
          <w:numId w:val="24"/>
        </w:numPr>
        <w:tabs>
          <w:tab w:val="clear" w:pos="1134"/>
          <w:tab w:val="clear" w:pos="1871"/>
          <w:tab w:val="clear" w:pos="2268"/>
        </w:tabs>
        <w:overflowPunct/>
        <w:autoSpaceDE/>
        <w:autoSpaceDN/>
        <w:adjustRightInd/>
        <w:spacing w:after="120"/>
        <w:ind w:left="567" w:hanging="567"/>
        <w:rPr>
          <w:rFonts w:ascii="Calibri" w:hAnsi="Calibri" w:cs="Calibri"/>
          <w:szCs w:val="24"/>
          <w:lang w:eastAsia="en-GB"/>
        </w:rPr>
      </w:pPr>
      <w:r w:rsidRPr="004C6EF9">
        <w:rPr>
          <w:rFonts w:ascii="Calibri" w:hAnsi="Calibri" w:cs="Calibri"/>
          <w:szCs w:val="24"/>
          <w:lang w:eastAsia="en-GB"/>
        </w:rPr>
        <w:t>Organizing information sessions to the African Group on ITU projects, in particular on issues related with the identification, funding and monitoring of ITU projects;</w:t>
      </w:r>
    </w:p>
    <w:p w14:paraId="708C119C" w14:textId="2E581EAD" w:rsidR="008F1D97" w:rsidRPr="004C6EF9" w:rsidRDefault="008F1D97" w:rsidP="008F1D97">
      <w:pPr>
        <w:pStyle w:val="ListParagraph"/>
        <w:numPr>
          <w:ilvl w:val="0"/>
          <w:numId w:val="24"/>
        </w:numPr>
        <w:tabs>
          <w:tab w:val="clear" w:pos="1134"/>
          <w:tab w:val="clear" w:pos="1871"/>
          <w:tab w:val="clear" w:pos="2268"/>
        </w:tabs>
        <w:overflowPunct/>
        <w:autoSpaceDE/>
        <w:autoSpaceDN/>
        <w:adjustRightInd/>
        <w:spacing w:after="120"/>
        <w:ind w:left="567" w:hanging="567"/>
        <w:rPr>
          <w:rFonts w:ascii="Calibri" w:hAnsi="Calibri" w:cs="Calibri"/>
          <w:szCs w:val="24"/>
          <w:lang w:eastAsia="en-GB"/>
        </w:rPr>
      </w:pPr>
      <w:r w:rsidRPr="004C6EF9">
        <w:rPr>
          <w:rFonts w:ascii="Calibri" w:hAnsi="Calibri" w:cs="Calibri"/>
          <w:szCs w:val="24"/>
          <w:lang w:eastAsia="en-GB"/>
        </w:rPr>
        <w:t>Supporting regional organizations to monitor the implementation of</w:t>
      </w:r>
      <w:r w:rsidR="00530B0A" w:rsidRPr="004C6EF9">
        <w:rPr>
          <w:rFonts w:ascii="Calibri" w:hAnsi="Calibri" w:cs="Calibri"/>
          <w:szCs w:val="24"/>
          <w:lang w:eastAsia="en-GB"/>
        </w:rPr>
        <w:t xml:space="preserve"> ITU</w:t>
      </w:r>
      <w:r w:rsidRPr="004C6EF9">
        <w:rPr>
          <w:rFonts w:ascii="Calibri" w:hAnsi="Calibri" w:cs="Calibri"/>
          <w:szCs w:val="24"/>
          <w:lang w:eastAsia="en-GB"/>
        </w:rPr>
        <w:t xml:space="preserve"> </w:t>
      </w:r>
      <w:r w:rsidR="00530B0A" w:rsidRPr="004C6EF9">
        <w:rPr>
          <w:rFonts w:ascii="Calibri" w:hAnsi="Calibri" w:cs="Calibri"/>
          <w:szCs w:val="24"/>
          <w:lang w:eastAsia="en-GB"/>
        </w:rPr>
        <w:t>R</w:t>
      </w:r>
      <w:r w:rsidRPr="004C6EF9">
        <w:rPr>
          <w:rFonts w:ascii="Calibri" w:hAnsi="Calibri" w:cs="Calibri"/>
          <w:szCs w:val="24"/>
          <w:lang w:eastAsia="en-GB"/>
        </w:rPr>
        <w:t xml:space="preserve">egional </w:t>
      </w:r>
      <w:r w:rsidR="00530B0A" w:rsidRPr="004C6EF9">
        <w:rPr>
          <w:rFonts w:ascii="Calibri" w:hAnsi="Calibri" w:cs="Calibri"/>
          <w:szCs w:val="24"/>
          <w:lang w:eastAsia="en-GB"/>
        </w:rPr>
        <w:t>I</w:t>
      </w:r>
      <w:r w:rsidRPr="004C6EF9">
        <w:rPr>
          <w:rFonts w:ascii="Calibri" w:hAnsi="Calibri" w:cs="Calibri"/>
          <w:szCs w:val="24"/>
          <w:lang w:eastAsia="en-GB"/>
        </w:rPr>
        <w:t xml:space="preserve">nitiatives.  </w:t>
      </w:r>
    </w:p>
    <w:p w14:paraId="488C9285" w14:textId="413731EA" w:rsidR="008F1D97" w:rsidRPr="004C6EF9" w:rsidRDefault="008F1D97" w:rsidP="008F1D97">
      <w:pPr>
        <w:tabs>
          <w:tab w:val="clear" w:pos="1134"/>
          <w:tab w:val="clear" w:pos="1871"/>
          <w:tab w:val="clear" w:pos="2268"/>
        </w:tabs>
        <w:overflowPunct/>
        <w:autoSpaceDE/>
        <w:autoSpaceDN/>
        <w:adjustRightInd/>
        <w:spacing w:after="120"/>
        <w:rPr>
          <w:rFonts w:ascii="Calibri" w:hAnsi="Calibri" w:cs="Calibri"/>
          <w:szCs w:val="24"/>
          <w:lang w:eastAsia="en-GB"/>
        </w:rPr>
      </w:pPr>
      <w:r w:rsidRPr="004C6EF9">
        <w:rPr>
          <w:rFonts w:ascii="Calibri" w:hAnsi="Calibri" w:cs="Calibri"/>
          <w:szCs w:val="24"/>
          <w:lang w:eastAsia="en-GB"/>
        </w:rPr>
        <w:t xml:space="preserve">The delegations of Australia and Japan announced further support to ITU projects with funding for the Connect2Recover global initiative as well as </w:t>
      </w:r>
      <w:r w:rsidR="00530B0A" w:rsidRPr="004C6EF9">
        <w:rPr>
          <w:rFonts w:ascii="Calibri" w:hAnsi="Calibri" w:cs="Calibri"/>
          <w:szCs w:val="24"/>
          <w:lang w:eastAsia="en-GB"/>
        </w:rPr>
        <w:t xml:space="preserve">other </w:t>
      </w:r>
      <w:r w:rsidRPr="004C6EF9">
        <w:rPr>
          <w:rFonts w:ascii="Calibri" w:hAnsi="Calibri" w:cs="Calibri"/>
          <w:szCs w:val="24"/>
          <w:lang w:eastAsia="en-GB"/>
        </w:rPr>
        <w:t>projects in the area of resilient digital infrastructure and capacity development</w:t>
      </w:r>
      <w:r w:rsidRPr="004C6EF9">
        <w:rPr>
          <w:rFonts w:ascii="Calibri" w:hAnsi="Calibri" w:cs="Calibri"/>
          <w:szCs w:val="24"/>
          <w:lang w:val="en-US" w:eastAsia="en-GB"/>
        </w:rPr>
        <w:t xml:space="preserve"> </w:t>
      </w:r>
      <w:r w:rsidR="00530B0A" w:rsidRPr="004C6EF9">
        <w:rPr>
          <w:rFonts w:ascii="Calibri" w:hAnsi="Calibri" w:cs="Calibri"/>
          <w:szCs w:val="24"/>
          <w:lang w:eastAsia="en-GB"/>
        </w:rPr>
        <w:t xml:space="preserve">in the Asia-Pacific region </w:t>
      </w:r>
      <w:r w:rsidRPr="004C6EF9">
        <w:rPr>
          <w:rFonts w:ascii="Calibri" w:hAnsi="Calibri" w:cs="Calibri"/>
          <w:szCs w:val="24"/>
          <w:lang w:val="en-US" w:eastAsia="en-GB"/>
        </w:rPr>
        <w:t>in the aftermath of the pandemic</w:t>
      </w:r>
      <w:r w:rsidRPr="004C6EF9">
        <w:rPr>
          <w:rFonts w:ascii="Calibri" w:hAnsi="Calibri" w:cs="Calibri"/>
          <w:szCs w:val="24"/>
          <w:lang w:eastAsia="en-GB"/>
        </w:rPr>
        <w:t xml:space="preserve">.  </w:t>
      </w:r>
    </w:p>
    <w:tbl>
      <w:tblPr>
        <w:tblStyle w:val="TableGrid"/>
        <w:tblW w:w="0" w:type="auto"/>
        <w:tblLook w:val="04A0" w:firstRow="1" w:lastRow="0" w:firstColumn="1" w:lastColumn="0" w:noHBand="0" w:noVBand="1"/>
      </w:tblPr>
      <w:tblGrid>
        <w:gridCol w:w="9629"/>
      </w:tblGrid>
      <w:tr w:rsidR="008F1D97" w:rsidRPr="004C6EF9" w14:paraId="001ED6D8" w14:textId="77777777" w:rsidTr="0066214A">
        <w:tc>
          <w:tcPr>
            <w:tcW w:w="9629" w:type="dxa"/>
          </w:tcPr>
          <w:p w14:paraId="53DDD41A" w14:textId="77777777" w:rsidR="008F1D97" w:rsidRPr="004C6EF9" w:rsidRDefault="008F1D97" w:rsidP="0066214A">
            <w:pPr>
              <w:pStyle w:val="Colloquy1"/>
              <w:tabs>
                <w:tab w:val="clear" w:pos="7920"/>
                <w:tab w:val="clear" w:pos="8640"/>
                <w:tab w:val="left" w:pos="720"/>
                <w:tab w:val="left" w:pos="1440"/>
              </w:tabs>
              <w:spacing w:before="120" w:after="120"/>
              <w:rPr>
                <w:rFonts w:asciiTheme="minorHAnsi" w:hAnsiTheme="minorHAnsi" w:cstheme="minorHAnsi"/>
                <w:color w:val="000000" w:themeColor="text1"/>
              </w:rPr>
            </w:pPr>
            <w:r w:rsidRPr="004C6EF9">
              <w:rPr>
                <w:rFonts w:asciiTheme="minorHAnsi" w:hAnsiTheme="minorHAnsi" w:cstheme="minorHAnsi"/>
                <w:lang w:val="en-GB"/>
              </w:rPr>
              <w:t xml:space="preserve">TDAG noted the report and expressed appreciation for the work of BDT to implement new and existing projects, including increased financial resources for this purpose and innovations in </w:t>
            </w:r>
            <w:r w:rsidRPr="004C6EF9">
              <w:rPr>
                <w:rFonts w:asciiTheme="minorHAnsi" w:hAnsiTheme="minorHAnsi" w:cstheme="minorHAnsi"/>
                <w:lang w:val="en-GB"/>
              </w:rPr>
              <w:lastRenderedPageBreak/>
              <w:t>training and monitoring.</w:t>
            </w:r>
          </w:p>
        </w:tc>
      </w:tr>
    </w:tbl>
    <w:p w14:paraId="3A24D770" w14:textId="77777777" w:rsidR="008F1D97" w:rsidRPr="004C6EF9" w:rsidRDefault="008F1D97" w:rsidP="0011639E">
      <w:pPr>
        <w:pStyle w:val="ListParagraph"/>
        <w:keepNext/>
        <w:numPr>
          <w:ilvl w:val="0"/>
          <w:numId w:val="2"/>
        </w:numPr>
        <w:tabs>
          <w:tab w:val="clear" w:pos="1134"/>
          <w:tab w:val="clear" w:pos="1871"/>
          <w:tab w:val="left" w:pos="567"/>
        </w:tabs>
        <w:spacing w:after="120"/>
        <w:ind w:left="357" w:hanging="357"/>
        <w:contextualSpacing w:val="0"/>
        <w:rPr>
          <w:rFonts w:cstheme="minorHAnsi"/>
          <w:b/>
          <w:bCs/>
          <w:szCs w:val="24"/>
        </w:rPr>
      </w:pPr>
      <w:r w:rsidRPr="004C6EF9">
        <w:rPr>
          <w:rFonts w:cstheme="minorHAnsi"/>
          <w:b/>
          <w:bCs/>
          <w:szCs w:val="24"/>
        </w:rPr>
        <w:lastRenderedPageBreak/>
        <w:t>Contribution to the work of the Expert Group on the International Telecommunication Regulations (EG-ITR)</w:t>
      </w:r>
    </w:p>
    <w:p w14:paraId="3269BBA8" w14:textId="77777777" w:rsidR="008F1D97" w:rsidRPr="004C6EF9" w:rsidRDefault="008F1D97" w:rsidP="0011639E">
      <w:pPr>
        <w:pStyle w:val="PlainText"/>
        <w:keepNext/>
        <w:overflowPunct w:val="0"/>
        <w:autoSpaceDE w:val="0"/>
        <w:autoSpaceDN w:val="0"/>
        <w:adjustRightInd w:val="0"/>
        <w:spacing w:before="120" w:after="120"/>
        <w:textAlignment w:val="baseline"/>
        <w:rPr>
          <w:rFonts w:asciiTheme="minorHAnsi" w:hAnsiTheme="minorHAnsi" w:cstheme="minorHAnsi"/>
          <w:b/>
          <w:bCs/>
          <w:sz w:val="24"/>
          <w:szCs w:val="24"/>
        </w:rPr>
      </w:pPr>
      <w:r w:rsidRPr="004C6EF9">
        <w:rPr>
          <w:rFonts w:asciiTheme="minorHAnsi" w:hAnsiTheme="minorHAnsi" w:cstheme="minorHAnsi"/>
          <w:b/>
          <w:bCs/>
          <w:sz w:val="24"/>
          <w:szCs w:val="24"/>
          <w:lang w:val="pt-BR"/>
        </w:rPr>
        <w:t xml:space="preserve">Document </w:t>
      </w:r>
      <w:hyperlink r:id="rId56" w:history="1">
        <w:r w:rsidRPr="004C6EF9">
          <w:rPr>
            <w:rStyle w:val="Hyperlink"/>
            <w:rFonts w:asciiTheme="minorHAnsi" w:hAnsiTheme="minorHAnsi" w:cstheme="minorHAnsi"/>
            <w:b/>
            <w:bCs/>
            <w:sz w:val="24"/>
            <w:szCs w:val="24"/>
            <w:lang w:val="pt-BR"/>
          </w:rPr>
          <w:t>3</w:t>
        </w:r>
      </w:hyperlink>
    </w:p>
    <w:p w14:paraId="1D50E756" w14:textId="6D329507" w:rsidR="008F1D97" w:rsidRPr="004C6EF9" w:rsidRDefault="008F1D97" w:rsidP="008F1D97">
      <w:pPr>
        <w:tabs>
          <w:tab w:val="clear" w:pos="1134"/>
          <w:tab w:val="clear" w:pos="1871"/>
          <w:tab w:val="clear" w:pos="2268"/>
        </w:tabs>
        <w:overflowPunct/>
        <w:autoSpaceDE/>
        <w:autoSpaceDN/>
        <w:adjustRightInd/>
        <w:spacing w:after="120"/>
        <w:rPr>
          <w:rFonts w:ascii="Calibri" w:hAnsi="Calibri" w:cs="Calibri"/>
          <w:szCs w:val="24"/>
          <w:lang w:eastAsia="en-GB"/>
        </w:rPr>
      </w:pPr>
      <w:r w:rsidRPr="004C6EF9">
        <w:rPr>
          <w:rFonts w:ascii="Calibri" w:hAnsi="Calibri" w:cs="Calibri"/>
          <w:szCs w:val="24"/>
          <w:lang w:val="en-US" w:eastAsia="en-GB"/>
        </w:rPr>
        <w:t xml:space="preserve">This </w:t>
      </w:r>
      <w:r w:rsidR="004A03C1">
        <w:rPr>
          <w:rFonts w:ascii="Calibri" w:hAnsi="Calibri" w:cs="Calibri"/>
          <w:szCs w:val="24"/>
          <w:lang w:val="en-US" w:eastAsia="en-GB"/>
        </w:rPr>
        <w:t xml:space="preserve">report </w:t>
      </w:r>
      <w:r w:rsidRPr="004C6EF9">
        <w:rPr>
          <w:rFonts w:ascii="Calibri" w:hAnsi="Calibri" w:cs="Calibri"/>
          <w:szCs w:val="24"/>
          <w:lang w:val="en-US" w:eastAsia="en-GB"/>
        </w:rPr>
        <w:t>describ</w:t>
      </w:r>
      <w:r w:rsidR="004A03C1">
        <w:rPr>
          <w:rFonts w:ascii="Calibri" w:hAnsi="Calibri" w:cs="Calibri"/>
          <w:szCs w:val="24"/>
          <w:lang w:val="en-US" w:eastAsia="en-GB"/>
        </w:rPr>
        <w:t xml:space="preserve">ed </w:t>
      </w:r>
      <w:r w:rsidRPr="004C6EF9">
        <w:rPr>
          <w:rFonts w:ascii="Calibri" w:hAnsi="Calibri" w:cs="Calibri"/>
          <w:szCs w:val="24"/>
          <w:lang w:val="en-US" w:eastAsia="en-GB"/>
        </w:rPr>
        <w:t xml:space="preserve">the main outputs from the fifth meeting </w:t>
      </w:r>
      <w:r w:rsidR="004A03C1">
        <w:rPr>
          <w:rFonts w:ascii="Calibri" w:hAnsi="Calibri" w:cs="Calibri"/>
          <w:szCs w:val="24"/>
          <w:lang w:val="en-US" w:eastAsia="en-GB"/>
        </w:rPr>
        <w:t xml:space="preserve">of the </w:t>
      </w:r>
      <w:r w:rsidR="004A03C1" w:rsidRPr="004C6EF9">
        <w:rPr>
          <w:rFonts w:ascii="Calibri" w:hAnsi="Calibri" w:cs="Calibri"/>
          <w:szCs w:val="24"/>
          <w:lang w:val="en-US" w:eastAsia="en-GB"/>
        </w:rPr>
        <w:t xml:space="preserve">Expert Group on the International Telecommunication Regulations (EG-ITR), </w:t>
      </w:r>
      <w:r w:rsidRPr="004C6EF9">
        <w:rPr>
          <w:rFonts w:ascii="Calibri" w:hAnsi="Calibri" w:cs="Calibri"/>
          <w:szCs w:val="24"/>
          <w:lang w:val="en-US" w:eastAsia="en-GB"/>
        </w:rPr>
        <w:t xml:space="preserve">organized from 30 September to 1 October 2021, </w:t>
      </w:r>
      <w:r w:rsidR="004A03C1">
        <w:rPr>
          <w:rFonts w:ascii="Calibri" w:hAnsi="Calibri" w:cs="Calibri"/>
          <w:szCs w:val="24"/>
          <w:lang w:val="en-US" w:eastAsia="en-GB"/>
        </w:rPr>
        <w:t xml:space="preserve">specifically </w:t>
      </w:r>
      <w:r w:rsidRPr="004C6EF9">
        <w:rPr>
          <w:rFonts w:ascii="Calibri" w:hAnsi="Calibri" w:cs="Calibri"/>
          <w:szCs w:val="24"/>
          <w:lang w:val="en-US" w:eastAsia="en-GB"/>
        </w:rPr>
        <w:t>the EG-ITR Work Plan</w:t>
      </w:r>
      <w:r w:rsidR="004B242D" w:rsidRPr="004C6EF9">
        <w:rPr>
          <w:rFonts w:ascii="Calibri" w:hAnsi="Calibri" w:cs="Calibri"/>
          <w:szCs w:val="24"/>
          <w:lang w:val="en-US" w:eastAsia="en-GB"/>
        </w:rPr>
        <w:t>, the diverse views expressed by Members</w:t>
      </w:r>
      <w:r w:rsidRPr="004C6EF9">
        <w:rPr>
          <w:rFonts w:ascii="Calibri" w:hAnsi="Calibri" w:cs="Calibri"/>
          <w:szCs w:val="24"/>
          <w:lang w:val="en-US" w:eastAsia="en-GB"/>
        </w:rPr>
        <w:t xml:space="preserve"> </w:t>
      </w:r>
      <w:r w:rsidR="004A03C1">
        <w:rPr>
          <w:rFonts w:ascii="Calibri" w:hAnsi="Calibri" w:cs="Calibri"/>
          <w:szCs w:val="24"/>
          <w:lang w:val="en-US" w:eastAsia="en-GB"/>
        </w:rPr>
        <w:t xml:space="preserve">during the meeting </w:t>
      </w:r>
      <w:r w:rsidRPr="004C6EF9">
        <w:rPr>
          <w:rFonts w:ascii="Calibri" w:hAnsi="Calibri" w:cs="Calibri"/>
          <w:szCs w:val="24"/>
          <w:lang w:val="en-US" w:eastAsia="en-GB"/>
        </w:rPr>
        <w:t>a</w:t>
      </w:r>
      <w:r w:rsidR="004A03C1">
        <w:rPr>
          <w:rFonts w:ascii="Calibri" w:hAnsi="Calibri" w:cs="Calibri"/>
          <w:szCs w:val="24"/>
          <w:lang w:val="en-US" w:eastAsia="en-GB"/>
        </w:rPr>
        <w:t xml:space="preserve">nd </w:t>
      </w:r>
      <w:r w:rsidRPr="004C6EF9">
        <w:rPr>
          <w:rFonts w:ascii="Calibri" w:hAnsi="Calibri" w:cs="Calibri"/>
          <w:szCs w:val="24"/>
          <w:lang w:val="en-US" w:eastAsia="en-GB"/>
        </w:rPr>
        <w:t xml:space="preserve">proposals for next steps. </w:t>
      </w:r>
    </w:p>
    <w:p w14:paraId="43C796C6" w14:textId="4F95DD84" w:rsidR="008F1D97" w:rsidRPr="004C6EF9" w:rsidRDefault="00BB68DB" w:rsidP="008F1D97">
      <w:pPr>
        <w:tabs>
          <w:tab w:val="clear" w:pos="1134"/>
          <w:tab w:val="clear" w:pos="1871"/>
          <w:tab w:val="clear" w:pos="2268"/>
        </w:tabs>
        <w:overflowPunct/>
        <w:autoSpaceDE/>
        <w:autoSpaceDN/>
        <w:adjustRightInd/>
        <w:spacing w:after="120"/>
        <w:rPr>
          <w:rFonts w:ascii="Calibri" w:hAnsi="Calibri" w:cs="Calibri"/>
          <w:szCs w:val="24"/>
          <w:lang w:eastAsia="en-GB"/>
        </w:rPr>
      </w:pPr>
      <w:r w:rsidRPr="004C6EF9">
        <w:rPr>
          <w:rFonts w:ascii="Calibri" w:hAnsi="Calibri" w:cs="Calibri"/>
          <w:szCs w:val="24"/>
          <w:lang w:val="en-US" w:eastAsia="en-GB"/>
        </w:rPr>
        <w:t xml:space="preserve">The EG-ITR initiated the revision of the draft Final Report to Council 2022 and broadly agreed on the structure of the Report. </w:t>
      </w:r>
      <w:r w:rsidR="008F1D97" w:rsidRPr="004C6EF9">
        <w:rPr>
          <w:rFonts w:ascii="Calibri" w:hAnsi="Calibri" w:cs="Calibri"/>
          <w:szCs w:val="24"/>
          <w:lang w:eastAsia="en-GB"/>
        </w:rPr>
        <w:t>B</w:t>
      </w:r>
      <w:proofErr w:type="spellStart"/>
      <w:r w:rsidR="008F1D97" w:rsidRPr="004C6EF9">
        <w:rPr>
          <w:rFonts w:ascii="Calibri" w:hAnsi="Calibri" w:cs="Calibri"/>
          <w:szCs w:val="24"/>
          <w:lang w:val="en-US" w:eastAsia="en-GB"/>
        </w:rPr>
        <w:t>ased</w:t>
      </w:r>
      <w:proofErr w:type="spellEnd"/>
      <w:r w:rsidR="008F1D97" w:rsidRPr="004C6EF9">
        <w:rPr>
          <w:rFonts w:ascii="Calibri" w:hAnsi="Calibri" w:cs="Calibri"/>
          <w:szCs w:val="24"/>
          <w:lang w:val="en-US" w:eastAsia="en-GB"/>
        </w:rPr>
        <w:t xml:space="preserve"> on the work plan, EG-ITR is expected to finalize the Final Report to Council at its 6th meeting, to be held from 19 to 20 January 2022.</w:t>
      </w:r>
      <w:r w:rsidR="008F1D97" w:rsidRPr="004C6EF9">
        <w:rPr>
          <w:rFonts w:ascii="Calibri" w:hAnsi="Calibri" w:cs="Calibri"/>
          <w:szCs w:val="24"/>
          <w:lang w:eastAsia="en-GB"/>
        </w:rPr>
        <w:t xml:space="preserve"> </w:t>
      </w:r>
    </w:p>
    <w:tbl>
      <w:tblPr>
        <w:tblStyle w:val="TableGrid"/>
        <w:tblW w:w="0" w:type="auto"/>
        <w:tblLook w:val="04A0" w:firstRow="1" w:lastRow="0" w:firstColumn="1" w:lastColumn="0" w:noHBand="0" w:noVBand="1"/>
      </w:tblPr>
      <w:tblGrid>
        <w:gridCol w:w="9629"/>
      </w:tblGrid>
      <w:tr w:rsidR="008F1D97" w:rsidRPr="004C6EF9" w14:paraId="43D0799E" w14:textId="77777777" w:rsidTr="0066214A">
        <w:tc>
          <w:tcPr>
            <w:tcW w:w="9629" w:type="dxa"/>
          </w:tcPr>
          <w:p w14:paraId="5AEFFD2C" w14:textId="77777777" w:rsidR="008F1D97" w:rsidRPr="004C6EF9" w:rsidRDefault="008F1D97" w:rsidP="0066214A">
            <w:pPr>
              <w:pStyle w:val="ListParagraph"/>
              <w:spacing w:after="120"/>
              <w:ind w:left="0"/>
              <w:contextualSpacing w:val="0"/>
              <w:rPr>
                <w:rFonts w:cstheme="minorHAnsi"/>
                <w:color w:val="000000" w:themeColor="text1"/>
                <w:szCs w:val="24"/>
              </w:rPr>
            </w:pPr>
            <w:r w:rsidRPr="004C6EF9">
              <w:rPr>
                <w:rFonts w:eastAsia="Calibri" w:cstheme="minorHAnsi"/>
                <w:szCs w:val="24"/>
              </w:rPr>
              <w:t>TDAG noted the document with appreciation.</w:t>
            </w:r>
          </w:p>
        </w:tc>
      </w:tr>
    </w:tbl>
    <w:p w14:paraId="2FD68D2C" w14:textId="77777777" w:rsidR="008F1D97" w:rsidRPr="004C6EF9" w:rsidRDefault="008F1D97" w:rsidP="0011639E">
      <w:pPr>
        <w:pStyle w:val="ListParagraph"/>
        <w:keepNext/>
        <w:numPr>
          <w:ilvl w:val="0"/>
          <w:numId w:val="2"/>
        </w:numPr>
        <w:tabs>
          <w:tab w:val="clear" w:pos="1134"/>
          <w:tab w:val="clear" w:pos="1871"/>
          <w:tab w:val="left" w:pos="567"/>
        </w:tabs>
        <w:spacing w:after="120"/>
        <w:ind w:left="357" w:hanging="357"/>
        <w:contextualSpacing w:val="0"/>
        <w:rPr>
          <w:rFonts w:cstheme="minorHAnsi"/>
          <w:b/>
          <w:bCs/>
          <w:szCs w:val="24"/>
        </w:rPr>
      </w:pPr>
      <w:r w:rsidRPr="004C6EF9">
        <w:rPr>
          <w:rFonts w:cstheme="minorHAnsi"/>
          <w:b/>
          <w:bCs/>
          <w:szCs w:val="24"/>
        </w:rPr>
        <w:t>Measures and Principles for interpretation and translation in ITU</w:t>
      </w:r>
    </w:p>
    <w:p w14:paraId="54F2A49A" w14:textId="4270AD70" w:rsidR="008F1D97" w:rsidRPr="004C6EF9" w:rsidRDefault="008F1D97" w:rsidP="0011639E">
      <w:pPr>
        <w:keepNext/>
        <w:spacing w:after="120"/>
        <w:rPr>
          <w:rFonts w:cstheme="minorHAnsi"/>
          <w:b/>
          <w:bCs/>
          <w:szCs w:val="24"/>
          <w:lang w:eastAsia="fr-FR"/>
        </w:rPr>
      </w:pPr>
      <w:r w:rsidRPr="004C6EF9">
        <w:rPr>
          <w:rFonts w:cstheme="minorHAnsi"/>
          <w:b/>
          <w:bCs/>
          <w:szCs w:val="24"/>
          <w:lang w:val="pt-BR"/>
        </w:rPr>
        <w:t xml:space="preserve">Document </w:t>
      </w:r>
      <w:hyperlink r:id="rId57" w:history="1">
        <w:r w:rsidRPr="004C6EF9">
          <w:rPr>
            <w:rStyle w:val="Hyperlink"/>
            <w:rFonts w:cstheme="minorHAnsi"/>
            <w:b/>
            <w:bCs/>
            <w:szCs w:val="24"/>
            <w:lang w:val="pt-BR"/>
          </w:rPr>
          <w:t>20</w:t>
        </w:r>
      </w:hyperlink>
      <w:r w:rsidR="008071CE" w:rsidRPr="004C6EF9">
        <w:rPr>
          <w:rStyle w:val="Hyperlink"/>
          <w:rFonts w:cstheme="minorHAnsi"/>
          <w:b/>
          <w:bCs/>
          <w:szCs w:val="24"/>
          <w:lang w:val="pt-BR"/>
        </w:rPr>
        <w:t>(Rev.1)</w:t>
      </w:r>
    </w:p>
    <w:p w14:paraId="7BA19D0E" w14:textId="6CC8828C" w:rsidR="008F1D97" w:rsidRPr="004C6EF9" w:rsidRDefault="008F1D97" w:rsidP="008F1D97">
      <w:pPr>
        <w:pStyle w:val="paragraph"/>
        <w:textAlignment w:val="baseline"/>
        <w:rPr>
          <w:rFonts w:ascii="Calibri" w:hAnsi="Calibri" w:cs="Calibri"/>
          <w:lang w:val="en-US" w:eastAsia="en-GB"/>
        </w:rPr>
      </w:pPr>
      <w:r w:rsidRPr="004C6EF9">
        <w:rPr>
          <w:rFonts w:ascii="Calibri" w:hAnsi="Calibri" w:cs="Calibri"/>
          <w:color w:val="000000"/>
          <w:lang w:val="en-US" w:eastAsia="en-GB"/>
        </w:rPr>
        <w:t>Th</w:t>
      </w:r>
      <w:r w:rsidR="004B242D" w:rsidRPr="004C6EF9">
        <w:rPr>
          <w:rFonts w:ascii="Calibri" w:hAnsi="Calibri" w:cs="Calibri"/>
          <w:color w:val="000000"/>
          <w:lang w:val="en-US" w:eastAsia="en-GB"/>
        </w:rPr>
        <w:t>is</w:t>
      </w:r>
      <w:r w:rsidRPr="004C6EF9">
        <w:rPr>
          <w:rFonts w:ascii="Calibri" w:hAnsi="Calibri" w:cs="Calibri"/>
          <w:color w:val="000000"/>
          <w:lang w:val="en-US" w:eastAsia="en-GB"/>
        </w:rPr>
        <w:t xml:space="preserve"> document </w:t>
      </w:r>
      <w:r w:rsidRPr="004C6EF9">
        <w:rPr>
          <w:rFonts w:ascii="Calibri" w:hAnsi="Calibri" w:cs="Calibri"/>
          <w:lang w:val="en-US" w:eastAsia="en-GB"/>
        </w:rPr>
        <w:t>highlights the updates needed to the measures and principles</w:t>
      </w:r>
      <w:r w:rsidR="004B242D" w:rsidRPr="004C6EF9">
        <w:rPr>
          <w:rFonts w:ascii="Calibri" w:hAnsi="Calibri" w:cs="Calibri"/>
          <w:lang w:val="en-US" w:eastAsia="en-GB"/>
        </w:rPr>
        <w:t xml:space="preserve"> </w:t>
      </w:r>
      <w:r w:rsidRPr="004C6EF9">
        <w:rPr>
          <w:rFonts w:ascii="Calibri" w:hAnsi="Calibri" w:cs="Calibri"/>
          <w:lang w:val="en-US" w:eastAsia="en-GB"/>
        </w:rPr>
        <w:t>governing</w:t>
      </w:r>
      <w:r w:rsidR="004B242D" w:rsidRPr="004C6EF9">
        <w:rPr>
          <w:rFonts w:ascii="Calibri" w:hAnsi="Calibri" w:cs="Calibri"/>
          <w:lang w:val="en-US" w:eastAsia="en-GB"/>
        </w:rPr>
        <w:t xml:space="preserve"> </w:t>
      </w:r>
      <w:r w:rsidRPr="004C6EF9">
        <w:rPr>
          <w:rFonts w:ascii="Calibri" w:hAnsi="Calibri" w:cs="Calibri"/>
          <w:lang w:val="en-US" w:eastAsia="en-GB"/>
        </w:rPr>
        <w:t>interpretation and translation in ITU-D as set out in Section III of </w:t>
      </w:r>
      <w:hyperlink r:id="rId58" w:tgtFrame="_blank" w:history="1">
        <w:r w:rsidRPr="004C6EF9">
          <w:rPr>
            <w:rFonts w:ascii="Calibri" w:hAnsi="Calibri" w:cs="Calibri"/>
            <w:color w:val="0000FF"/>
            <w:u w:val="single"/>
            <w:lang w:eastAsia="en-GB"/>
          </w:rPr>
          <w:t>Document C14/INF/4</w:t>
        </w:r>
      </w:hyperlink>
      <w:r w:rsidRPr="004C6EF9">
        <w:rPr>
          <w:rFonts w:ascii="Calibri" w:hAnsi="Calibri" w:cs="Calibri"/>
          <w:lang w:val="en-US" w:eastAsia="en-GB"/>
        </w:rPr>
        <w:t> of Council-14, contained in Annex 1.</w:t>
      </w:r>
    </w:p>
    <w:p w14:paraId="02131E9F" w14:textId="6E82160B" w:rsidR="008F1D97" w:rsidRPr="004C6EF9" w:rsidRDefault="008F1D97" w:rsidP="008F1D97">
      <w:pPr>
        <w:pStyle w:val="Normalend"/>
        <w:rPr>
          <w:szCs w:val="24"/>
          <w:lang w:eastAsia="en-GB"/>
        </w:rPr>
      </w:pPr>
      <w:r w:rsidRPr="004C6EF9">
        <w:rPr>
          <w:szCs w:val="24"/>
          <w:lang w:eastAsia="en-GB"/>
        </w:rPr>
        <w:t>The Group on the study and evaluation of translation procedures agreed, at its 10th meeting in October 2020</w:t>
      </w:r>
      <w:r w:rsidR="004B242D" w:rsidRPr="004C6EF9">
        <w:rPr>
          <w:szCs w:val="24"/>
          <w:lang w:eastAsia="en-GB"/>
        </w:rPr>
        <w:t>,</w:t>
      </w:r>
      <w:r w:rsidRPr="004C6EF9">
        <w:rPr>
          <w:szCs w:val="24"/>
          <w:lang w:eastAsia="en-GB"/>
        </w:rPr>
        <w:t xml:space="preserve"> that there is a need to review the measures and principles currently in force in the light of developments that have occurred since 2014. This group proposed an action plan with a view to submitting revised measures and principles for interpretation and translation to the 2022 meeting of CWG-LANG. </w:t>
      </w:r>
    </w:p>
    <w:p w14:paraId="328A690B" w14:textId="77777777" w:rsidR="008F1D97" w:rsidRPr="004C6EF9" w:rsidRDefault="008F1D97" w:rsidP="008F1D97">
      <w:pPr>
        <w:spacing w:after="120"/>
        <w:rPr>
          <w:szCs w:val="24"/>
          <w:lang w:val="en-US" w:eastAsia="en-GB"/>
        </w:rPr>
      </w:pPr>
      <w:r w:rsidRPr="004C6EF9">
        <w:rPr>
          <w:szCs w:val="24"/>
          <w:lang w:val="en-US" w:eastAsia="en-GB"/>
        </w:rPr>
        <w:t xml:space="preserve">Following the discussions on the topic, it was agreed to delete the reference to PP Resolution 165 in the sections on Regional Preparatory Meetings (RPMs) and Interregional Meetings (IRMs). With regards to the footnote on p.9 of the document, the proposed modification of the language regarding the deadline for submission of requests for interpretation was accepted while the original language was maintained for the rest of the text as there was no consensus to accept the proposed changes.     </w:t>
      </w:r>
    </w:p>
    <w:tbl>
      <w:tblPr>
        <w:tblStyle w:val="TableGrid"/>
        <w:tblW w:w="0" w:type="auto"/>
        <w:tblLook w:val="04A0" w:firstRow="1" w:lastRow="0" w:firstColumn="1" w:lastColumn="0" w:noHBand="0" w:noVBand="1"/>
      </w:tblPr>
      <w:tblGrid>
        <w:gridCol w:w="9629"/>
      </w:tblGrid>
      <w:tr w:rsidR="008F1D97" w:rsidRPr="004C6EF9" w14:paraId="494647E5" w14:textId="77777777" w:rsidTr="0066214A">
        <w:tc>
          <w:tcPr>
            <w:tcW w:w="9629" w:type="dxa"/>
          </w:tcPr>
          <w:p w14:paraId="02EC9615" w14:textId="77777777" w:rsidR="008F1D97" w:rsidRPr="004C6EF9" w:rsidRDefault="008F1D97" w:rsidP="0066214A">
            <w:pPr>
              <w:pStyle w:val="ListParagraph"/>
              <w:spacing w:after="120"/>
              <w:ind w:left="0"/>
              <w:contextualSpacing w:val="0"/>
              <w:rPr>
                <w:rFonts w:cstheme="minorHAnsi"/>
                <w:color w:val="000000" w:themeColor="text1"/>
                <w:szCs w:val="24"/>
              </w:rPr>
            </w:pPr>
            <w:r w:rsidRPr="004C6EF9">
              <w:rPr>
                <w:rFonts w:eastAsia="Calibri" w:cstheme="minorHAnsi"/>
                <w:szCs w:val="24"/>
              </w:rPr>
              <w:t>TDAG adopted the document with the amendment agreed during the TDAG-21/2 Closing Plenary.</w:t>
            </w:r>
          </w:p>
        </w:tc>
      </w:tr>
    </w:tbl>
    <w:p w14:paraId="2840F2BD" w14:textId="77777777" w:rsidR="008F1D97" w:rsidRPr="004C6EF9" w:rsidRDefault="008F1D97" w:rsidP="0011639E">
      <w:pPr>
        <w:pStyle w:val="ListParagraph"/>
        <w:keepNext/>
        <w:numPr>
          <w:ilvl w:val="0"/>
          <w:numId w:val="2"/>
        </w:numPr>
        <w:tabs>
          <w:tab w:val="clear" w:pos="1134"/>
          <w:tab w:val="clear" w:pos="1871"/>
          <w:tab w:val="left" w:pos="567"/>
        </w:tabs>
        <w:spacing w:after="120"/>
        <w:ind w:left="357" w:hanging="357"/>
        <w:contextualSpacing w:val="0"/>
        <w:rPr>
          <w:rFonts w:cstheme="minorHAnsi"/>
          <w:b/>
          <w:bCs/>
          <w:szCs w:val="24"/>
        </w:rPr>
      </w:pPr>
      <w:r w:rsidRPr="004C6EF9">
        <w:rPr>
          <w:rFonts w:cstheme="minorHAnsi"/>
          <w:b/>
          <w:bCs/>
          <w:szCs w:val="24"/>
        </w:rPr>
        <w:t>Calendar of ITU-D events</w:t>
      </w:r>
    </w:p>
    <w:p w14:paraId="5EACFF45" w14:textId="77777777" w:rsidR="008F1D97" w:rsidRPr="004C6EF9" w:rsidRDefault="008F1D97" w:rsidP="0011639E">
      <w:pPr>
        <w:pStyle w:val="CEONormal"/>
        <w:keepNext/>
        <w:overflowPunct w:val="0"/>
        <w:autoSpaceDE w:val="0"/>
        <w:autoSpaceDN w:val="0"/>
        <w:adjustRightInd w:val="0"/>
        <w:textAlignment w:val="baseline"/>
        <w:rPr>
          <w:rFonts w:asciiTheme="minorHAnsi" w:hAnsiTheme="minorHAnsi" w:cstheme="minorHAnsi"/>
          <w:b/>
          <w:bCs/>
          <w:sz w:val="24"/>
          <w:szCs w:val="24"/>
        </w:rPr>
      </w:pPr>
      <w:r w:rsidRPr="004C6EF9">
        <w:rPr>
          <w:rFonts w:asciiTheme="minorHAnsi" w:hAnsiTheme="minorHAnsi" w:cstheme="minorHAnsi"/>
          <w:b/>
          <w:bCs/>
          <w:sz w:val="24"/>
          <w:szCs w:val="24"/>
          <w:lang w:val="pt-BR"/>
        </w:rPr>
        <w:t xml:space="preserve">Document </w:t>
      </w:r>
      <w:r w:rsidR="00570284">
        <w:fldChar w:fldCharType="begin"/>
      </w:r>
      <w:r w:rsidR="00570284">
        <w:instrText xml:space="preserve"> HYPERLINK "https://www.itu.int/md/D18-TDAG29-C-0011/en" </w:instrText>
      </w:r>
      <w:r w:rsidR="00570284">
        <w:fldChar w:fldCharType="separate"/>
      </w:r>
      <w:r w:rsidRPr="004C6EF9">
        <w:rPr>
          <w:rStyle w:val="Hyperlink"/>
          <w:rFonts w:asciiTheme="minorHAnsi" w:hAnsiTheme="minorHAnsi" w:cstheme="minorHAnsi"/>
          <w:b/>
          <w:bCs/>
          <w:sz w:val="24"/>
          <w:szCs w:val="24"/>
          <w:lang w:val="pt-BR"/>
        </w:rPr>
        <w:t>11</w:t>
      </w:r>
      <w:r w:rsidR="00570284">
        <w:rPr>
          <w:rStyle w:val="Hyperlink"/>
          <w:rFonts w:asciiTheme="minorHAnsi" w:hAnsiTheme="minorHAnsi" w:cstheme="minorHAnsi"/>
          <w:b/>
          <w:bCs/>
          <w:sz w:val="24"/>
          <w:szCs w:val="24"/>
          <w:lang w:val="pt-BR"/>
        </w:rPr>
        <w:fldChar w:fldCharType="end"/>
      </w:r>
    </w:p>
    <w:p w14:paraId="35937D45" w14:textId="04B94315" w:rsidR="008F1D97" w:rsidRPr="00570284" w:rsidRDefault="008F1D97" w:rsidP="008F1D97">
      <w:pPr>
        <w:pStyle w:val="CEONormal"/>
        <w:rPr>
          <w:rStyle w:val="eop"/>
          <w:rFonts w:asciiTheme="minorHAnsi" w:hAnsiTheme="minorHAnsi" w:cstheme="minorHAnsi"/>
          <w:sz w:val="24"/>
          <w:szCs w:val="24"/>
        </w:rPr>
      </w:pPr>
      <w:r w:rsidRPr="004C6EF9">
        <w:rPr>
          <w:rFonts w:asciiTheme="minorHAnsi" w:hAnsiTheme="minorHAnsi" w:cstheme="minorHAnsi"/>
          <w:sz w:val="24"/>
          <w:szCs w:val="24"/>
        </w:rPr>
        <w:t xml:space="preserve">This document presents a calendar of ITU-D events planned for the years 2022, 2023 and 2024, </w:t>
      </w:r>
      <w:r w:rsidRPr="00570284">
        <w:rPr>
          <w:rFonts w:asciiTheme="minorHAnsi" w:hAnsiTheme="minorHAnsi" w:cstheme="minorHAnsi"/>
          <w:sz w:val="24"/>
          <w:szCs w:val="24"/>
        </w:rPr>
        <w:t xml:space="preserve">although only 2022 contains most events with dates. Information for 2023 and 2024 is </w:t>
      </w:r>
      <w:r w:rsidR="00C95F81" w:rsidRPr="00570284">
        <w:rPr>
          <w:rFonts w:asciiTheme="minorHAnsi" w:hAnsiTheme="minorHAnsi" w:cstheme="minorHAnsi"/>
          <w:sz w:val="24"/>
          <w:szCs w:val="24"/>
        </w:rPr>
        <w:t>preliminary</w:t>
      </w:r>
      <w:r w:rsidRPr="00570284">
        <w:rPr>
          <w:rFonts w:asciiTheme="minorHAnsi" w:hAnsiTheme="minorHAnsi" w:cstheme="minorHAnsi"/>
          <w:sz w:val="24"/>
          <w:szCs w:val="24"/>
        </w:rPr>
        <w:t xml:space="preserve"> at this early stage. </w:t>
      </w:r>
    </w:p>
    <w:tbl>
      <w:tblPr>
        <w:tblStyle w:val="TableGrid"/>
        <w:tblW w:w="0" w:type="auto"/>
        <w:tblLook w:val="04A0" w:firstRow="1" w:lastRow="0" w:firstColumn="1" w:lastColumn="0" w:noHBand="0" w:noVBand="1"/>
      </w:tblPr>
      <w:tblGrid>
        <w:gridCol w:w="9629"/>
      </w:tblGrid>
      <w:tr w:rsidR="008F1D97" w:rsidRPr="004C6EF9" w14:paraId="18EC60D0" w14:textId="77777777" w:rsidTr="0066214A">
        <w:tc>
          <w:tcPr>
            <w:tcW w:w="9629" w:type="dxa"/>
          </w:tcPr>
          <w:p w14:paraId="24683F55" w14:textId="31991889" w:rsidR="008F1D97" w:rsidRPr="00570284" w:rsidRDefault="008F1D97" w:rsidP="0066214A">
            <w:pPr>
              <w:pStyle w:val="CEONormal"/>
              <w:rPr>
                <w:rFonts w:asciiTheme="minorHAnsi" w:eastAsia="Calibri" w:hAnsiTheme="minorHAnsi" w:cstheme="minorHAnsi"/>
                <w:sz w:val="24"/>
                <w:szCs w:val="24"/>
              </w:rPr>
            </w:pPr>
            <w:bookmarkStart w:id="9" w:name="_Hlk86847912"/>
            <w:r w:rsidRPr="00570284">
              <w:rPr>
                <w:rFonts w:asciiTheme="minorHAnsi" w:eastAsia="Calibri" w:hAnsiTheme="minorHAnsi" w:cstheme="minorHAnsi"/>
                <w:sz w:val="24"/>
                <w:szCs w:val="24"/>
              </w:rPr>
              <w:t xml:space="preserve">TDAG noted the information presented and acknowledged that further changes may be made to the draft ITU-D calendar of events, including </w:t>
            </w:r>
            <w:r w:rsidR="00570284">
              <w:rPr>
                <w:rFonts w:asciiTheme="minorHAnsi" w:eastAsia="Calibri" w:hAnsiTheme="minorHAnsi" w:cstheme="minorHAnsi"/>
                <w:sz w:val="24"/>
                <w:szCs w:val="24"/>
              </w:rPr>
              <w:t>possibly moving the Global Symposium for Regulators</w:t>
            </w:r>
            <w:r w:rsidR="005D4D05" w:rsidRPr="00570284">
              <w:rPr>
                <w:rFonts w:asciiTheme="minorHAnsi" w:eastAsia="Calibri" w:hAnsiTheme="minorHAnsi" w:cstheme="minorHAnsi"/>
                <w:sz w:val="24"/>
                <w:szCs w:val="24"/>
              </w:rPr>
              <w:t xml:space="preserve"> (</w:t>
            </w:r>
            <w:r w:rsidRPr="00570284">
              <w:rPr>
                <w:rFonts w:asciiTheme="minorHAnsi" w:eastAsia="Calibri" w:hAnsiTheme="minorHAnsi" w:cstheme="minorHAnsi"/>
                <w:sz w:val="24"/>
                <w:szCs w:val="24"/>
              </w:rPr>
              <w:t>GSR</w:t>
            </w:r>
            <w:r w:rsidR="005D4D05" w:rsidRPr="00570284">
              <w:rPr>
                <w:rFonts w:asciiTheme="minorHAnsi" w:eastAsia="Calibri" w:hAnsiTheme="minorHAnsi" w:cstheme="minorHAnsi"/>
                <w:sz w:val="24"/>
                <w:szCs w:val="24"/>
              </w:rPr>
              <w:t>)</w:t>
            </w:r>
            <w:r w:rsidRPr="00570284">
              <w:rPr>
                <w:rFonts w:asciiTheme="minorHAnsi" w:eastAsia="Calibri" w:hAnsiTheme="minorHAnsi" w:cstheme="minorHAnsi"/>
                <w:sz w:val="24"/>
                <w:szCs w:val="24"/>
              </w:rPr>
              <w:t xml:space="preserve"> </w:t>
            </w:r>
            <w:r w:rsidR="00F75FA2" w:rsidRPr="00570284">
              <w:rPr>
                <w:rFonts w:asciiTheme="minorHAnsi" w:eastAsia="Calibri" w:hAnsiTheme="minorHAnsi" w:cstheme="minorHAnsi"/>
                <w:sz w:val="24"/>
                <w:szCs w:val="24"/>
              </w:rPr>
              <w:t xml:space="preserve">to </w:t>
            </w:r>
            <w:r w:rsidRPr="00570284">
              <w:rPr>
                <w:rFonts w:asciiTheme="minorHAnsi" w:eastAsia="Calibri" w:hAnsiTheme="minorHAnsi" w:cstheme="minorHAnsi"/>
                <w:sz w:val="24"/>
                <w:szCs w:val="24"/>
              </w:rPr>
              <w:t>post PP-22 and the</w:t>
            </w:r>
            <w:r w:rsidR="00570284">
              <w:rPr>
                <w:rFonts w:asciiTheme="minorHAnsi" w:eastAsia="Calibri" w:hAnsiTheme="minorHAnsi" w:cstheme="minorHAnsi"/>
                <w:sz w:val="24"/>
                <w:szCs w:val="24"/>
              </w:rPr>
              <w:t xml:space="preserve"> next</w:t>
            </w:r>
            <w:r w:rsidR="005D4D05" w:rsidRPr="00570284">
              <w:rPr>
                <w:rFonts w:asciiTheme="minorHAnsi" w:eastAsia="Calibri" w:hAnsiTheme="minorHAnsi" w:cstheme="minorHAnsi"/>
                <w:sz w:val="24"/>
                <w:szCs w:val="24"/>
              </w:rPr>
              <w:t xml:space="preserve"> </w:t>
            </w:r>
            <w:r w:rsidRPr="00570284">
              <w:rPr>
                <w:rFonts w:asciiTheme="minorHAnsi" w:eastAsia="Calibri" w:hAnsiTheme="minorHAnsi" w:cstheme="minorHAnsi"/>
                <w:sz w:val="24"/>
                <w:szCs w:val="24"/>
              </w:rPr>
              <w:t xml:space="preserve">study group meetings, now scheduled to take place </w:t>
            </w:r>
            <w:r w:rsidRPr="00570284">
              <w:rPr>
                <w:rFonts w:asciiTheme="minorHAnsi" w:eastAsia="Calibri" w:hAnsiTheme="minorHAnsi" w:cstheme="minorHAnsi"/>
                <w:sz w:val="24"/>
                <w:szCs w:val="24"/>
              </w:rPr>
              <w:lastRenderedPageBreak/>
              <w:t xml:space="preserve">immediately after PP. Delegates also asked the Secretariat to consider scheduling ITU-D events on a rotational basis to better accommodate ITU membership in different regions and time zones. </w:t>
            </w:r>
          </w:p>
          <w:p w14:paraId="76398D3D" w14:textId="16DF046B" w:rsidR="005D4D05" w:rsidRPr="004C6EF9" w:rsidRDefault="005D4D05" w:rsidP="0066214A">
            <w:pPr>
              <w:pStyle w:val="CEONormal"/>
              <w:rPr>
                <w:rFonts w:asciiTheme="minorHAnsi" w:hAnsiTheme="minorHAnsi" w:cstheme="minorHAnsi"/>
                <w:color w:val="000000" w:themeColor="text1"/>
                <w:sz w:val="24"/>
                <w:szCs w:val="24"/>
              </w:rPr>
            </w:pPr>
            <w:r w:rsidRPr="00570284">
              <w:rPr>
                <w:rFonts w:asciiTheme="minorHAnsi" w:eastAsia="Calibri" w:hAnsiTheme="minorHAnsi" w:cstheme="minorHAnsi"/>
                <w:sz w:val="24"/>
                <w:szCs w:val="24"/>
              </w:rPr>
              <w:t xml:space="preserve">Due to the dismantling of the </w:t>
            </w:r>
            <w:proofErr w:type="spellStart"/>
            <w:r w:rsidRPr="00570284">
              <w:rPr>
                <w:rFonts w:asciiTheme="minorHAnsi" w:eastAsia="Calibri" w:hAnsiTheme="minorHAnsi" w:cstheme="minorHAnsi"/>
                <w:sz w:val="24"/>
                <w:szCs w:val="24"/>
              </w:rPr>
              <w:t>Varembé</w:t>
            </w:r>
            <w:proofErr w:type="spellEnd"/>
            <w:r w:rsidRPr="00570284">
              <w:rPr>
                <w:rFonts w:asciiTheme="minorHAnsi" w:eastAsia="Calibri" w:hAnsiTheme="minorHAnsi" w:cstheme="minorHAnsi"/>
                <w:sz w:val="24"/>
                <w:szCs w:val="24"/>
              </w:rPr>
              <w:t xml:space="preserve"> building starting in 2023 and the New Building project, meeting rooms at ITU Headquarters will be unavailable from 2023. TDAG noted that membership interested in hosting ITU-D events during this transition period should approach the Secretariat.</w:t>
            </w:r>
          </w:p>
        </w:tc>
      </w:tr>
    </w:tbl>
    <w:bookmarkEnd w:id="9"/>
    <w:p w14:paraId="3F4AC495" w14:textId="77777777" w:rsidR="008F1D97" w:rsidRPr="004C6EF9" w:rsidRDefault="008F1D97" w:rsidP="0011639E">
      <w:pPr>
        <w:pStyle w:val="ListParagraph"/>
        <w:keepNext/>
        <w:numPr>
          <w:ilvl w:val="0"/>
          <w:numId w:val="2"/>
        </w:numPr>
        <w:tabs>
          <w:tab w:val="clear" w:pos="1134"/>
          <w:tab w:val="clear" w:pos="1871"/>
          <w:tab w:val="left" w:pos="567"/>
        </w:tabs>
        <w:spacing w:after="120"/>
        <w:ind w:left="357" w:hanging="357"/>
        <w:contextualSpacing w:val="0"/>
        <w:rPr>
          <w:rFonts w:cstheme="minorHAnsi"/>
          <w:b/>
          <w:bCs/>
          <w:szCs w:val="24"/>
        </w:rPr>
      </w:pPr>
      <w:r w:rsidRPr="004C6EF9">
        <w:rPr>
          <w:rFonts w:cstheme="minorHAnsi"/>
          <w:b/>
          <w:bCs/>
          <w:szCs w:val="24"/>
        </w:rPr>
        <w:lastRenderedPageBreak/>
        <w:t>Any other business</w:t>
      </w:r>
    </w:p>
    <w:p w14:paraId="32646ABC" w14:textId="77777777" w:rsidR="008F1D97" w:rsidRPr="004C6EF9" w:rsidRDefault="008F1D97" w:rsidP="0011639E">
      <w:pPr>
        <w:pStyle w:val="CEONormal"/>
        <w:keepNext/>
        <w:overflowPunct w:val="0"/>
        <w:autoSpaceDE w:val="0"/>
        <w:autoSpaceDN w:val="0"/>
        <w:adjustRightInd w:val="0"/>
        <w:textAlignment w:val="baseline"/>
        <w:rPr>
          <w:rFonts w:asciiTheme="minorHAnsi" w:hAnsiTheme="minorHAnsi" w:cstheme="minorHAnsi"/>
          <w:b/>
          <w:bCs/>
          <w:sz w:val="24"/>
          <w:szCs w:val="24"/>
        </w:rPr>
      </w:pPr>
      <w:r w:rsidRPr="004C6EF9">
        <w:rPr>
          <w:rFonts w:asciiTheme="minorHAnsi" w:hAnsiTheme="minorHAnsi" w:cstheme="minorHAnsi"/>
          <w:b/>
          <w:bCs/>
          <w:sz w:val="24"/>
          <w:szCs w:val="24"/>
          <w:lang w:val="pt-BR"/>
        </w:rPr>
        <w:t xml:space="preserve">Document </w:t>
      </w:r>
      <w:hyperlink r:id="rId59" w:history="1">
        <w:r w:rsidRPr="004C6EF9">
          <w:rPr>
            <w:rStyle w:val="Hyperlink"/>
            <w:rFonts w:asciiTheme="minorHAnsi" w:hAnsiTheme="minorHAnsi" w:cstheme="minorHAnsi"/>
            <w:b/>
            <w:bCs/>
            <w:sz w:val="24"/>
            <w:szCs w:val="24"/>
            <w:lang w:val="pt-BR"/>
          </w:rPr>
          <w:t>24</w:t>
        </w:r>
      </w:hyperlink>
    </w:p>
    <w:p w14:paraId="515F89A2" w14:textId="7F132A93" w:rsidR="008F1D97" w:rsidRPr="004C6EF9" w:rsidRDefault="008F1D97" w:rsidP="008F1D97">
      <w:pPr>
        <w:pStyle w:val="CEONormal"/>
        <w:rPr>
          <w:rFonts w:asciiTheme="minorHAnsi" w:hAnsiTheme="minorHAnsi" w:cstheme="minorHAnsi"/>
          <w:sz w:val="24"/>
          <w:szCs w:val="24"/>
        </w:rPr>
      </w:pPr>
      <w:r w:rsidRPr="004C6EF9">
        <w:rPr>
          <w:rFonts w:asciiTheme="minorHAnsi" w:hAnsiTheme="minorHAnsi" w:cstheme="minorHAnsi"/>
          <w:sz w:val="24"/>
          <w:szCs w:val="24"/>
        </w:rPr>
        <w:t>Th</w:t>
      </w:r>
      <w:r w:rsidR="005D4D05" w:rsidRPr="004C6EF9">
        <w:rPr>
          <w:rFonts w:asciiTheme="minorHAnsi" w:hAnsiTheme="minorHAnsi" w:cstheme="minorHAnsi"/>
          <w:sz w:val="24"/>
          <w:szCs w:val="24"/>
        </w:rPr>
        <w:t>is</w:t>
      </w:r>
      <w:r w:rsidRPr="004C6EF9">
        <w:rPr>
          <w:rFonts w:asciiTheme="minorHAnsi" w:hAnsiTheme="minorHAnsi" w:cstheme="minorHAnsi"/>
          <w:sz w:val="24"/>
          <w:szCs w:val="24"/>
        </w:rPr>
        <w:t xml:space="preserve"> document contains a </w:t>
      </w:r>
      <w:r w:rsidR="005D4D05" w:rsidRPr="004C6EF9">
        <w:rPr>
          <w:rFonts w:asciiTheme="minorHAnsi" w:hAnsiTheme="minorHAnsi" w:cstheme="minorHAnsi"/>
          <w:sz w:val="24"/>
          <w:szCs w:val="24"/>
        </w:rPr>
        <w:t>L</w:t>
      </w:r>
      <w:r w:rsidRPr="004C6EF9">
        <w:rPr>
          <w:rFonts w:asciiTheme="minorHAnsi" w:hAnsiTheme="minorHAnsi" w:cstheme="minorHAnsi"/>
          <w:sz w:val="24"/>
          <w:szCs w:val="24"/>
        </w:rPr>
        <w:t xml:space="preserve">iaison </w:t>
      </w:r>
      <w:r w:rsidR="005D4D05" w:rsidRPr="004C6EF9">
        <w:rPr>
          <w:rFonts w:asciiTheme="minorHAnsi" w:hAnsiTheme="minorHAnsi" w:cstheme="minorHAnsi"/>
          <w:sz w:val="24"/>
          <w:szCs w:val="24"/>
        </w:rPr>
        <w:t>S</w:t>
      </w:r>
      <w:r w:rsidRPr="004C6EF9">
        <w:rPr>
          <w:rFonts w:asciiTheme="minorHAnsi" w:hAnsiTheme="minorHAnsi" w:cstheme="minorHAnsi"/>
          <w:sz w:val="24"/>
          <w:szCs w:val="24"/>
        </w:rPr>
        <w:t>tatement received from ITU-R Working Party 5D for comment on the preliminary draft</w:t>
      </w:r>
      <w:r w:rsidR="005D4D05" w:rsidRPr="004C6EF9">
        <w:rPr>
          <w:rFonts w:asciiTheme="minorHAnsi" w:hAnsiTheme="minorHAnsi" w:cstheme="minorHAnsi"/>
          <w:sz w:val="24"/>
          <w:szCs w:val="24"/>
        </w:rPr>
        <w:t xml:space="preserve"> of the</w:t>
      </w:r>
      <w:r w:rsidRPr="004C6EF9">
        <w:rPr>
          <w:rFonts w:asciiTheme="minorHAnsi" w:hAnsiTheme="minorHAnsi" w:cstheme="minorHAnsi"/>
          <w:sz w:val="24"/>
          <w:szCs w:val="24"/>
        </w:rPr>
        <w:t xml:space="preserve"> new edition of the Handbook on Global Trends in International Mobile Telecommunications (IMT), which provides information such as service requirements, application trends, system characteristics, spectrum, regulatory issues, guidelines for evolution and migration, and core network evolution.  </w:t>
      </w:r>
    </w:p>
    <w:tbl>
      <w:tblPr>
        <w:tblStyle w:val="TableGrid"/>
        <w:tblW w:w="0" w:type="auto"/>
        <w:tblLook w:val="04A0" w:firstRow="1" w:lastRow="0" w:firstColumn="1" w:lastColumn="0" w:noHBand="0" w:noVBand="1"/>
      </w:tblPr>
      <w:tblGrid>
        <w:gridCol w:w="9629"/>
      </w:tblGrid>
      <w:tr w:rsidR="008F1D97" w:rsidRPr="004C6EF9" w14:paraId="1FF58D2B" w14:textId="77777777" w:rsidTr="0066214A">
        <w:tc>
          <w:tcPr>
            <w:tcW w:w="9629" w:type="dxa"/>
          </w:tcPr>
          <w:p w14:paraId="592FF5CD" w14:textId="77777777" w:rsidR="008F1D97" w:rsidRPr="004C6EF9" w:rsidRDefault="008F1D97" w:rsidP="0066214A">
            <w:pPr>
              <w:pStyle w:val="Default"/>
              <w:spacing w:before="120" w:after="120"/>
              <w:rPr>
                <w:rFonts w:asciiTheme="minorHAnsi" w:hAnsiTheme="minorHAnsi" w:cstheme="minorHAnsi"/>
                <w:color w:val="000000" w:themeColor="text1"/>
              </w:rPr>
            </w:pPr>
            <w:r w:rsidRPr="004C6EF9">
              <w:rPr>
                <w:rFonts w:asciiTheme="minorHAnsi" w:eastAsia="Calibri" w:hAnsiTheme="minorHAnsi" w:cstheme="minorHAnsi"/>
                <w:color w:val="auto"/>
                <w:lang w:val="en-GB" w:eastAsia="en-US"/>
              </w:rPr>
              <w:t xml:space="preserve">TDAG noted the Liaison Statement, its value and relevance for the ITU-D Sector, and thanked ITU-R for the information.  </w:t>
            </w:r>
          </w:p>
        </w:tc>
      </w:tr>
    </w:tbl>
    <w:p w14:paraId="2A358057" w14:textId="77777777" w:rsidR="008F1D97" w:rsidRPr="004C6EF9" w:rsidRDefault="008F1D97" w:rsidP="0011639E">
      <w:pPr>
        <w:keepNext/>
        <w:tabs>
          <w:tab w:val="clear" w:pos="1134"/>
          <w:tab w:val="clear" w:pos="1871"/>
          <w:tab w:val="clear" w:pos="2268"/>
        </w:tabs>
        <w:spacing w:after="120"/>
        <w:rPr>
          <w:rFonts w:cstheme="minorHAnsi"/>
          <w:b/>
          <w:bCs/>
          <w:color w:val="000000" w:themeColor="text1"/>
          <w:szCs w:val="24"/>
        </w:rPr>
      </w:pPr>
      <w:r w:rsidRPr="004C6EF9">
        <w:rPr>
          <w:rFonts w:cstheme="minorHAnsi"/>
          <w:b/>
          <w:bCs/>
          <w:color w:val="000000" w:themeColor="text1"/>
          <w:szCs w:val="24"/>
          <w:lang w:val="pt-BR"/>
        </w:rPr>
        <w:t xml:space="preserve">Document </w:t>
      </w:r>
      <w:hyperlink r:id="rId60" w:history="1">
        <w:r w:rsidRPr="004C6EF9">
          <w:rPr>
            <w:rStyle w:val="Hyperlink"/>
            <w:rFonts w:cstheme="minorHAnsi"/>
            <w:b/>
            <w:bCs/>
            <w:szCs w:val="24"/>
            <w:lang w:val="pt-BR"/>
          </w:rPr>
          <w:t>DT/7</w:t>
        </w:r>
      </w:hyperlink>
    </w:p>
    <w:p w14:paraId="61895BA6" w14:textId="5CA20D95" w:rsidR="008F1D97" w:rsidRPr="004C6EF9" w:rsidRDefault="008F1D97" w:rsidP="008F1D97">
      <w:pPr>
        <w:tabs>
          <w:tab w:val="clear" w:pos="1134"/>
          <w:tab w:val="clear" w:pos="1871"/>
          <w:tab w:val="clear" w:pos="2268"/>
        </w:tabs>
        <w:spacing w:after="120"/>
        <w:rPr>
          <w:rFonts w:cstheme="minorHAnsi"/>
          <w:color w:val="000000" w:themeColor="text1"/>
          <w:szCs w:val="24"/>
        </w:rPr>
      </w:pPr>
      <w:r w:rsidRPr="004C6EF9">
        <w:rPr>
          <w:rFonts w:cstheme="minorHAnsi"/>
          <w:color w:val="000000" w:themeColor="text1"/>
          <w:szCs w:val="24"/>
        </w:rPr>
        <w:t>Th</w:t>
      </w:r>
      <w:r w:rsidR="005D4D05" w:rsidRPr="004C6EF9">
        <w:rPr>
          <w:rFonts w:cstheme="minorHAnsi"/>
          <w:color w:val="000000" w:themeColor="text1"/>
          <w:szCs w:val="24"/>
        </w:rPr>
        <w:t>is</w:t>
      </w:r>
      <w:r w:rsidRPr="004C6EF9">
        <w:rPr>
          <w:rFonts w:cstheme="minorHAnsi"/>
          <w:color w:val="000000" w:themeColor="text1"/>
          <w:szCs w:val="24"/>
        </w:rPr>
        <w:t xml:space="preserve"> document contains a </w:t>
      </w:r>
      <w:r w:rsidR="005D4D05" w:rsidRPr="004C6EF9">
        <w:rPr>
          <w:rFonts w:cstheme="minorHAnsi"/>
          <w:color w:val="000000" w:themeColor="text1"/>
          <w:szCs w:val="24"/>
        </w:rPr>
        <w:t>L</w:t>
      </w:r>
      <w:r w:rsidRPr="004C6EF9">
        <w:rPr>
          <w:rFonts w:cstheme="minorHAnsi"/>
          <w:color w:val="000000" w:themeColor="text1"/>
          <w:szCs w:val="24"/>
        </w:rPr>
        <w:t xml:space="preserve">iaison </w:t>
      </w:r>
      <w:r w:rsidR="005D4D05" w:rsidRPr="004C6EF9">
        <w:rPr>
          <w:rFonts w:cstheme="minorHAnsi"/>
          <w:color w:val="000000" w:themeColor="text1"/>
          <w:szCs w:val="24"/>
        </w:rPr>
        <w:t>S</w:t>
      </w:r>
      <w:r w:rsidRPr="004C6EF9">
        <w:rPr>
          <w:rFonts w:cstheme="minorHAnsi"/>
          <w:color w:val="000000" w:themeColor="text1"/>
          <w:szCs w:val="24"/>
        </w:rPr>
        <w:t xml:space="preserve">tatement received from TSAG for information on a new TSAG </w:t>
      </w:r>
      <w:r w:rsidRPr="004C6EF9">
        <w:rPr>
          <w:rFonts w:cstheme="minorHAnsi"/>
          <w:i/>
          <w:iCs/>
          <w:color w:val="000000" w:themeColor="text1"/>
          <w:szCs w:val="24"/>
        </w:rPr>
        <w:t>ad-hoc</w:t>
      </w:r>
      <w:r w:rsidRPr="004C6EF9">
        <w:rPr>
          <w:rFonts w:cstheme="minorHAnsi"/>
          <w:color w:val="000000" w:themeColor="text1"/>
          <w:szCs w:val="24"/>
        </w:rPr>
        <w:t xml:space="preserve"> group on governance and management of e-meetings. This </w:t>
      </w:r>
      <w:r w:rsidRPr="004C6EF9">
        <w:rPr>
          <w:rFonts w:cstheme="minorHAnsi"/>
          <w:i/>
          <w:iCs/>
          <w:color w:val="000000" w:themeColor="text1"/>
          <w:szCs w:val="24"/>
        </w:rPr>
        <w:t>ad-hoc</w:t>
      </w:r>
      <w:r w:rsidRPr="004C6EF9">
        <w:rPr>
          <w:rFonts w:cstheme="minorHAnsi"/>
          <w:color w:val="000000" w:themeColor="text1"/>
          <w:szCs w:val="24"/>
        </w:rPr>
        <w:t xml:space="preserve"> group aims to identify an initial set of issues that will form the basis for future studies with respect to detailing the governance and management of e-meetings. The terms of reference for the group are provided in the document along with a list of the relevant reference documents.  </w:t>
      </w:r>
    </w:p>
    <w:tbl>
      <w:tblPr>
        <w:tblStyle w:val="TableGrid"/>
        <w:tblW w:w="0" w:type="auto"/>
        <w:tblLook w:val="04A0" w:firstRow="1" w:lastRow="0" w:firstColumn="1" w:lastColumn="0" w:noHBand="0" w:noVBand="1"/>
      </w:tblPr>
      <w:tblGrid>
        <w:gridCol w:w="9629"/>
      </w:tblGrid>
      <w:tr w:rsidR="008F1D97" w:rsidRPr="002D76B8" w14:paraId="7891C6C0" w14:textId="77777777" w:rsidTr="0066214A">
        <w:tc>
          <w:tcPr>
            <w:tcW w:w="9629" w:type="dxa"/>
          </w:tcPr>
          <w:p w14:paraId="6D8DEB89" w14:textId="77777777" w:rsidR="008F1D97" w:rsidRPr="002D76B8" w:rsidRDefault="008F1D97" w:rsidP="0066214A">
            <w:pPr>
              <w:tabs>
                <w:tab w:val="clear" w:pos="1134"/>
                <w:tab w:val="clear" w:pos="1871"/>
                <w:tab w:val="clear" w:pos="2268"/>
              </w:tabs>
              <w:spacing w:after="120"/>
              <w:rPr>
                <w:color w:val="000000" w:themeColor="text1"/>
              </w:rPr>
            </w:pPr>
            <w:r w:rsidRPr="004C6EF9">
              <w:rPr>
                <w:color w:val="000000" w:themeColor="text1"/>
              </w:rPr>
              <w:t>TDAG noted the Liaison Statement and its relevance for the ITU-D Sector, particularly in regard to the upcoming WTDC and thanked ITU-T for the information.</w:t>
            </w:r>
            <w:r w:rsidRPr="002D76B8">
              <w:rPr>
                <w:color w:val="000000" w:themeColor="text1"/>
              </w:rPr>
              <w:t xml:space="preserve">  </w:t>
            </w:r>
          </w:p>
        </w:tc>
      </w:tr>
    </w:tbl>
    <w:p w14:paraId="0B82A7D1" w14:textId="77777777" w:rsidR="008F1D97" w:rsidRDefault="008F1D97" w:rsidP="008F1D97">
      <w:pPr>
        <w:tabs>
          <w:tab w:val="clear" w:pos="1134"/>
          <w:tab w:val="clear" w:pos="1871"/>
          <w:tab w:val="clear" w:pos="2268"/>
        </w:tabs>
        <w:spacing w:after="120"/>
        <w:jc w:val="center"/>
        <w:rPr>
          <w:rStyle w:val="StyleComplex12pt"/>
          <w:rFonts w:cstheme="minorHAnsi"/>
          <w:color w:val="000000" w:themeColor="text1"/>
        </w:rPr>
      </w:pPr>
    </w:p>
    <w:p w14:paraId="30AD9923" w14:textId="05577024" w:rsidR="00E73D15" w:rsidRPr="00E73D15" w:rsidRDefault="00E73D15" w:rsidP="00E73D15">
      <w:pPr>
        <w:tabs>
          <w:tab w:val="clear" w:pos="1134"/>
          <w:tab w:val="clear" w:pos="1871"/>
          <w:tab w:val="left" w:pos="851"/>
        </w:tabs>
        <w:spacing w:after="120"/>
        <w:rPr>
          <w:rFonts w:cstheme="minorHAnsi"/>
          <w:b/>
          <w:bCs/>
          <w:szCs w:val="24"/>
        </w:rPr>
      </w:pPr>
    </w:p>
    <w:p w14:paraId="720220CD" w14:textId="649CA8F3" w:rsidR="00056740" w:rsidRDefault="005A4179" w:rsidP="00D1140E">
      <w:pPr>
        <w:tabs>
          <w:tab w:val="clear" w:pos="1134"/>
          <w:tab w:val="clear" w:pos="1871"/>
          <w:tab w:val="clear" w:pos="2268"/>
        </w:tabs>
        <w:spacing w:after="120"/>
        <w:jc w:val="center"/>
        <w:rPr>
          <w:rStyle w:val="StyleComplex12pt"/>
          <w:rFonts w:cstheme="minorHAnsi"/>
          <w:color w:val="000000" w:themeColor="text1"/>
        </w:rPr>
      </w:pPr>
      <w:r>
        <w:rPr>
          <w:rStyle w:val="StyleComplex12pt"/>
          <w:rFonts w:cstheme="minorHAnsi"/>
          <w:color w:val="000000" w:themeColor="text1"/>
        </w:rPr>
        <w:t>_______________</w:t>
      </w:r>
    </w:p>
    <w:sectPr w:rsidR="00056740" w:rsidSect="00164733">
      <w:headerReference w:type="even" r:id="rId61"/>
      <w:headerReference w:type="default" r:id="rId62"/>
      <w:footerReference w:type="even" r:id="rId63"/>
      <w:footerReference w:type="default" r:id="rId64"/>
      <w:headerReference w:type="first" r:id="rId65"/>
      <w:footerReference w:type="first" r:id="rId6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636D3" w14:textId="77777777" w:rsidR="00024E63" w:rsidRDefault="00024E63">
      <w:r>
        <w:separator/>
      </w:r>
    </w:p>
  </w:endnote>
  <w:endnote w:type="continuationSeparator" w:id="0">
    <w:p w14:paraId="4E65E75B" w14:textId="77777777" w:rsidR="00024E63" w:rsidRDefault="00024E63">
      <w:r>
        <w:continuationSeparator/>
      </w:r>
    </w:p>
  </w:endnote>
  <w:endnote w:type="continuationNotice" w:id="1">
    <w:p w14:paraId="08448BE1" w14:textId="77777777" w:rsidR="00024E63" w:rsidRDefault="00024E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AEB63" w14:textId="052C3EF5" w:rsidR="00F8666B" w:rsidRDefault="00F8666B">
    <w:pPr>
      <w:framePr w:wrap="around" w:vAnchor="text" w:hAnchor="margin" w:xAlign="right" w:y="1"/>
    </w:pPr>
    <w:r>
      <w:fldChar w:fldCharType="begin"/>
    </w:r>
    <w:r>
      <w:instrText xml:space="preserve">PAGE  </w:instrText>
    </w:r>
    <w:r>
      <w:fldChar w:fldCharType="separate"/>
    </w:r>
    <w:r>
      <w:rPr>
        <w:noProof/>
      </w:rPr>
      <w:t>1</w:t>
    </w:r>
    <w:r>
      <w:fldChar w:fldCharType="end"/>
    </w:r>
  </w:p>
  <w:p w14:paraId="2D44F960" w14:textId="4247AC61" w:rsidR="00F8666B" w:rsidRPr="0041348E" w:rsidRDefault="00F8666B">
    <w:pPr>
      <w:ind w:right="360"/>
      <w:rPr>
        <w:lang w:val="en-US"/>
      </w:rPr>
    </w:pPr>
    <w:r>
      <w:fldChar w:fldCharType="begin"/>
    </w:r>
    <w:r w:rsidRPr="0041348E">
      <w:rPr>
        <w:lang w:val="en-US"/>
      </w:rPr>
      <w:instrText xml:space="preserve"> FILENAME \p  \* MERGEFORMAT </w:instrText>
    </w:r>
    <w:r>
      <w:fldChar w:fldCharType="separate"/>
    </w:r>
    <w:r>
      <w:rPr>
        <w:noProof/>
        <w:lang w:val="en-US"/>
      </w:rPr>
      <w:t>C:\Users\lozanova\Documents\WORK\TDAG\TDAG-21-2\D18-TDAG29-C-00xx!!MSW-E_ysl.docx</w:t>
    </w:r>
    <w:r>
      <w:fldChar w:fldCharType="end"/>
    </w:r>
    <w:r w:rsidRPr="0041348E">
      <w:rPr>
        <w:lang w:val="en-US"/>
      </w:rPr>
      <w:tab/>
    </w:r>
    <w:r>
      <w:fldChar w:fldCharType="begin"/>
    </w:r>
    <w:r>
      <w:instrText xml:space="preserve"> SAVEDATE \@ DD.MM.YY </w:instrText>
    </w:r>
    <w:r>
      <w:fldChar w:fldCharType="separate"/>
    </w:r>
    <w:r w:rsidR="002C2756">
      <w:rPr>
        <w:noProof/>
      </w:rPr>
      <w:t>07.02.22</w:t>
    </w:r>
    <w:r>
      <w:fldChar w:fldCharType="end"/>
    </w:r>
    <w:r w:rsidRPr="0041348E">
      <w:rPr>
        <w:lang w:val="en-US"/>
      </w:rPr>
      <w:tab/>
    </w:r>
    <w:r>
      <w:fldChar w:fldCharType="begin"/>
    </w:r>
    <w:r>
      <w:instrText xml:space="preserve"> PRINTDATE \@ DD.MM.YY </w:instrText>
    </w:r>
    <w:r>
      <w:fldChar w:fldCharType="separate"/>
    </w:r>
    <w:r>
      <w:rPr>
        <w:noProof/>
      </w:rPr>
      <w:t>17.05.19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1F18" w14:textId="77777777" w:rsidR="00D81C68" w:rsidRDefault="00D81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F8666B" w:rsidRPr="001B09A2" w14:paraId="78EF3278" w14:textId="77777777" w:rsidTr="00537B1C">
      <w:tc>
        <w:tcPr>
          <w:tcW w:w="1526" w:type="dxa"/>
          <w:tcBorders>
            <w:top w:val="single" w:sz="4" w:space="0" w:color="000000" w:themeColor="text1"/>
          </w:tcBorders>
          <w:shd w:val="clear" w:color="auto" w:fill="auto"/>
        </w:tcPr>
        <w:p w14:paraId="3C02F5E3" w14:textId="77777777" w:rsidR="00F8666B" w:rsidRPr="004D495C" w:rsidRDefault="00F8666B" w:rsidP="00537B1C">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shd w:val="clear" w:color="auto" w:fill="auto"/>
        </w:tcPr>
        <w:p w14:paraId="589FDBA2" w14:textId="77777777" w:rsidR="00F8666B" w:rsidRPr="004D495C" w:rsidRDefault="00F8666B" w:rsidP="00537B1C">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323617C1" w14:textId="65CFED89" w:rsidR="00F8666B" w:rsidRPr="00537B1C" w:rsidRDefault="00F8666B" w:rsidP="00537B1C">
          <w:pPr>
            <w:pStyle w:val="FirstFooter"/>
            <w:tabs>
              <w:tab w:val="left" w:pos="2302"/>
            </w:tabs>
            <w:rPr>
              <w:sz w:val="18"/>
              <w:szCs w:val="18"/>
              <w:highlight w:val="yellow"/>
            </w:rPr>
          </w:pPr>
          <w:r w:rsidRPr="00537B1C">
            <w:rPr>
              <w:sz w:val="18"/>
              <w:szCs w:val="18"/>
              <w:lang w:val="en-US"/>
            </w:rPr>
            <w:t>Ms</w:t>
          </w:r>
          <w:r>
            <w:rPr>
              <w:sz w:val="18"/>
              <w:szCs w:val="18"/>
              <w:lang w:val="en-US"/>
            </w:rPr>
            <w:t xml:space="preserve"> </w:t>
          </w:r>
          <w:r w:rsidRPr="00537B1C">
            <w:rPr>
              <w:sz w:val="18"/>
              <w:szCs w:val="18"/>
              <w:lang w:val="en-US"/>
            </w:rPr>
            <w:t>Roxanne</w:t>
          </w:r>
          <w:r>
            <w:rPr>
              <w:sz w:val="18"/>
              <w:szCs w:val="18"/>
              <w:lang w:val="en-US"/>
            </w:rPr>
            <w:t xml:space="preserve"> </w:t>
          </w:r>
          <w:r w:rsidRPr="00537B1C">
            <w:rPr>
              <w:sz w:val="18"/>
              <w:szCs w:val="18"/>
              <w:lang w:val="en-US"/>
            </w:rPr>
            <w:t>McElvane</w:t>
          </w:r>
          <w:r>
            <w:rPr>
              <w:sz w:val="18"/>
              <w:szCs w:val="18"/>
              <w:lang w:val="en-US"/>
            </w:rPr>
            <w:t xml:space="preserve"> </w:t>
          </w:r>
          <w:r w:rsidRPr="00537B1C">
            <w:rPr>
              <w:sz w:val="18"/>
              <w:szCs w:val="18"/>
              <w:lang w:val="en-US"/>
            </w:rPr>
            <w:t>Webber,</w:t>
          </w:r>
          <w:r>
            <w:rPr>
              <w:sz w:val="18"/>
              <w:szCs w:val="18"/>
              <w:lang w:val="en-US"/>
            </w:rPr>
            <w:t xml:space="preserve"> </w:t>
          </w:r>
          <w:r w:rsidRPr="00537B1C">
            <w:rPr>
              <w:sz w:val="18"/>
              <w:szCs w:val="18"/>
              <w:lang w:val="en-US"/>
            </w:rPr>
            <w:t>Chairperson,</w:t>
          </w:r>
          <w:r>
            <w:rPr>
              <w:sz w:val="18"/>
              <w:szCs w:val="18"/>
              <w:lang w:val="en-US"/>
            </w:rPr>
            <w:t xml:space="preserve"> </w:t>
          </w:r>
          <w:r w:rsidRPr="00537B1C">
            <w:rPr>
              <w:sz w:val="18"/>
              <w:szCs w:val="18"/>
              <w:lang w:val="en-US"/>
            </w:rPr>
            <w:t>Telecommunications</w:t>
          </w:r>
          <w:r>
            <w:rPr>
              <w:sz w:val="18"/>
              <w:szCs w:val="18"/>
              <w:lang w:val="en-US"/>
            </w:rPr>
            <w:t xml:space="preserve"> </w:t>
          </w:r>
          <w:r w:rsidRPr="00537B1C">
            <w:rPr>
              <w:sz w:val="18"/>
              <w:szCs w:val="18"/>
              <w:lang w:val="en-US"/>
            </w:rPr>
            <w:t>Development</w:t>
          </w:r>
          <w:r>
            <w:rPr>
              <w:sz w:val="18"/>
              <w:szCs w:val="18"/>
              <w:lang w:val="en-US"/>
            </w:rPr>
            <w:t xml:space="preserve"> </w:t>
          </w:r>
          <w:r w:rsidRPr="00537B1C">
            <w:rPr>
              <w:sz w:val="18"/>
              <w:szCs w:val="18"/>
              <w:lang w:val="en-US"/>
            </w:rPr>
            <w:t>Advisory</w:t>
          </w:r>
          <w:r>
            <w:rPr>
              <w:sz w:val="18"/>
              <w:szCs w:val="18"/>
              <w:lang w:val="en-US"/>
            </w:rPr>
            <w:t xml:space="preserve"> </w:t>
          </w:r>
          <w:r w:rsidRPr="00537B1C">
            <w:rPr>
              <w:sz w:val="18"/>
              <w:szCs w:val="18"/>
              <w:lang w:val="en-US"/>
            </w:rPr>
            <w:t>Group</w:t>
          </w:r>
        </w:p>
      </w:tc>
      <w:bookmarkStart w:id="11" w:name="OrgName"/>
      <w:bookmarkEnd w:id="11"/>
    </w:tr>
    <w:tr w:rsidR="00F8666B" w:rsidRPr="004D495C" w14:paraId="43B2D92F" w14:textId="77777777" w:rsidTr="00537B1C">
      <w:tc>
        <w:tcPr>
          <w:tcW w:w="1526" w:type="dxa"/>
          <w:shd w:val="clear" w:color="auto" w:fill="auto"/>
        </w:tcPr>
        <w:p w14:paraId="0B702E31" w14:textId="77777777" w:rsidR="00F8666B" w:rsidRPr="001B09A2" w:rsidRDefault="00F8666B" w:rsidP="00537B1C">
          <w:pPr>
            <w:pStyle w:val="FirstFooter"/>
            <w:tabs>
              <w:tab w:val="left" w:pos="1559"/>
              <w:tab w:val="left" w:pos="3828"/>
            </w:tabs>
            <w:rPr>
              <w:sz w:val="20"/>
            </w:rPr>
          </w:pPr>
        </w:p>
      </w:tc>
      <w:tc>
        <w:tcPr>
          <w:tcW w:w="2410" w:type="dxa"/>
          <w:shd w:val="clear" w:color="auto" w:fill="auto"/>
        </w:tcPr>
        <w:p w14:paraId="69A8C65F" w14:textId="354E0602" w:rsidR="00F8666B" w:rsidRPr="004D495C" w:rsidRDefault="00F8666B" w:rsidP="00537B1C">
          <w:pPr>
            <w:pStyle w:val="FirstFooter"/>
            <w:tabs>
              <w:tab w:val="left" w:pos="2302"/>
            </w:tabs>
            <w:rPr>
              <w:sz w:val="18"/>
              <w:szCs w:val="18"/>
              <w:lang w:val="en-US"/>
            </w:rPr>
          </w:pPr>
          <w:r w:rsidRPr="25A7936B">
            <w:rPr>
              <w:sz w:val="18"/>
              <w:szCs w:val="18"/>
              <w:lang w:val="en-US"/>
            </w:rPr>
            <w:t>Phone</w:t>
          </w:r>
          <w:r>
            <w:rPr>
              <w:sz w:val="18"/>
              <w:szCs w:val="18"/>
              <w:lang w:val="en-US"/>
            </w:rPr>
            <w:t xml:space="preserve"> </w:t>
          </w:r>
          <w:r w:rsidRPr="25A7936B">
            <w:rPr>
              <w:sz w:val="18"/>
              <w:szCs w:val="18"/>
              <w:lang w:val="en-US"/>
            </w:rPr>
            <w:t>number:</w:t>
          </w:r>
        </w:p>
      </w:tc>
      <w:tc>
        <w:tcPr>
          <w:tcW w:w="5987" w:type="dxa"/>
        </w:tcPr>
        <w:p w14:paraId="2E09C51A" w14:textId="5B0BF523" w:rsidR="00F8666B" w:rsidRPr="00537B1C" w:rsidRDefault="00F8666B" w:rsidP="00537B1C">
          <w:pPr>
            <w:pStyle w:val="FirstFooter"/>
            <w:tabs>
              <w:tab w:val="left" w:pos="2302"/>
            </w:tabs>
            <w:rPr>
              <w:sz w:val="18"/>
              <w:szCs w:val="18"/>
              <w:highlight w:val="yellow"/>
            </w:rPr>
          </w:pPr>
          <w:r w:rsidRPr="00537B1C">
            <w:rPr>
              <w:sz w:val="18"/>
              <w:szCs w:val="18"/>
              <w:lang w:val="en-US"/>
            </w:rPr>
            <w:t>+1</w:t>
          </w:r>
          <w:r>
            <w:rPr>
              <w:sz w:val="18"/>
              <w:szCs w:val="18"/>
              <w:lang w:val="en-US"/>
            </w:rPr>
            <w:t xml:space="preserve"> </w:t>
          </w:r>
          <w:r w:rsidRPr="00537B1C">
            <w:rPr>
              <w:sz w:val="18"/>
              <w:szCs w:val="18"/>
              <w:lang w:val="en-US"/>
            </w:rPr>
            <w:t>202</w:t>
          </w:r>
          <w:r>
            <w:rPr>
              <w:sz w:val="18"/>
              <w:szCs w:val="18"/>
              <w:lang w:val="en-US"/>
            </w:rPr>
            <w:t xml:space="preserve"> </w:t>
          </w:r>
          <w:r w:rsidRPr="00537B1C">
            <w:rPr>
              <w:sz w:val="18"/>
              <w:szCs w:val="18"/>
              <w:lang w:val="en-US"/>
            </w:rPr>
            <w:t>418</w:t>
          </w:r>
          <w:r>
            <w:rPr>
              <w:sz w:val="18"/>
              <w:szCs w:val="18"/>
              <w:lang w:val="en-US"/>
            </w:rPr>
            <w:t xml:space="preserve"> </w:t>
          </w:r>
          <w:r w:rsidRPr="00537B1C">
            <w:rPr>
              <w:sz w:val="18"/>
              <w:szCs w:val="18"/>
              <w:lang w:val="en-US"/>
            </w:rPr>
            <w:t>1489</w:t>
          </w:r>
        </w:p>
      </w:tc>
      <w:bookmarkStart w:id="12" w:name="PhoneNo"/>
      <w:bookmarkEnd w:id="12"/>
    </w:tr>
    <w:tr w:rsidR="00F8666B" w:rsidRPr="004D495C" w14:paraId="49BDA2D5" w14:textId="77777777" w:rsidTr="00537B1C">
      <w:tc>
        <w:tcPr>
          <w:tcW w:w="1526" w:type="dxa"/>
          <w:shd w:val="clear" w:color="auto" w:fill="auto"/>
        </w:tcPr>
        <w:p w14:paraId="3F42C7C6" w14:textId="77777777" w:rsidR="00F8666B" w:rsidRPr="004D495C" w:rsidRDefault="00F8666B" w:rsidP="00537B1C">
          <w:pPr>
            <w:pStyle w:val="FirstFooter"/>
            <w:tabs>
              <w:tab w:val="left" w:pos="1559"/>
              <w:tab w:val="left" w:pos="3828"/>
            </w:tabs>
            <w:rPr>
              <w:sz w:val="20"/>
              <w:lang w:val="en-US"/>
            </w:rPr>
          </w:pPr>
        </w:p>
      </w:tc>
      <w:tc>
        <w:tcPr>
          <w:tcW w:w="2410" w:type="dxa"/>
          <w:shd w:val="clear" w:color="auto" w:fill="auto"/>
        </w:tcPr>
        <w:p w14:paraId="7FF6DFC0" w14:textId="77777777" w:rsidR="00F8666B" w:rsidRPr="004D495C" w:rsidRDefault="00F8666B" w:rsidP="00537B1C">
          <w:pPr>
            <w:pStyle w:val="FirstFooter"/>
            <w:tabs>
              <w:tab w:val="left" w:pos="2302"/>
            </w:tabs>
            <w:rPr>
              <w:sz w:val="18"/>
              <w:szCs w:val="18"/>
              <w:lang w:val="en-US"/>
            </w:rPr>
          </w:pPr>
          <w:r w:rsidRPr="25A7936B">
            <w:rPr>
              <w:sz w:val="18"/>
              <w:szCs w:val="18"/>
              <w:lang w:val="en-US"/>
            </w:rPr>
            <w:t>E-mail:</w:t>
          </w:r>
        </w:p>
      </w:tc>
      <w:tc>
        <w:tcPr>
          <w:tcW w:w="5987" w:type="dxa"/>
        </w:tcPr>
        <w:p w14:paraId="42FA39D2" w14:textId="4DADE443" w:rsidR="00F8666B" w:rsidRPr="00537B1C" w:rsidRDefault="002C2756" w:rsidP="00537B1C">
          <w:pPr>
            <w:pStyle w:val="FirstFooter"/>
            <w:tabs>
              <w:tab w:val="left" w:pos="2302"/>
            </w:tabs>
            <w:rPr>
              <w:sz w:val="18"/>
              <w:szCs w:val="18"/>
              <w:highlight w:val="yellow"/>
            </w:rPr>
          </w:pPr>
          <w:hyperlink r:id="rId1" w:history="1">
            <w:r w:rsidR="00F8666B" w:rsidRPr="00537B1C">
              <w:rPr>
                <w:rStyle w:val="Hyperlink"/>
                <w:sz w:val="18"/>
                <w:szCs w:val="18"/>
                <w:lang w:val="en-US"/>
              </w:rPr>
              <w:t>Roxanne.Webber@fcc.gov</w:t>
            </w:r>
          </w:hyperlink>
        </w:p>
      </w:tc>
      <w:bookmarkStart w:id="13" w:name="Email"/>
      <w:bookmarkEnd w:id="13"/>
    </w:tr>
  </w:tbl>
  <w:p w14:paraId="40BEA902" w14:textId="17A3388C" w:rsidR="00F8666B" w:rsidRDefault="00F8666B" w:rsidP="00942CC4">
    <w:pPr>
      <w:pStyle w:val="Footer"/>
      <w:jc w:val="center"/>
    </w:pPr>
  </w:p>
  <w:p w14:paraId="0B1C9FBF" w14:textId="1C771493" w:rsidR="00F8666B" w:rsidRPr="00D83BF5" w:rsidRDefault="002C2756" w:rsidP="00942CC4">
    <w:pPr>
      <w:pStyle w:val="Footer"/>
      <w:jc w:val="center"/>
    </w:pPr>
    <w:hyperlink r:id="rId2" w:history="1">
      <w:r w:rsidR="00F8666B">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48548" w14:textId="77777777" w:rsidR="00024E63" w:rsidRDefault="00024E63">
      <w:r>
        <w:rPr>
          <w:b/>
        </w:rPr>
        <w:t>_______________</w:t>
      </w:r>
    </w:p>
  </w:footnote>
  <w:footnote w:type="continuationSeparator" w:id="0">
    <w:p w14:paraId="4F9440AC" w14:textId="77777777" w:rsidR="00024E63" w:rsidRDefault="00024E63">
      <w:r>
        <w:continuationSeparator/>
      </w:r>
    </w:p>
  </w:footnote>
  <w:footnote w:type="continuationNotice" w:id="1">
    <w:p w14:paraId="61BB8B01" w14:textId="77777777" w:rsidR="00024E63" w:rsidRDefault="00024E6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8CD54" w14:textId="77777777" w:rsidR="00D81C68" w:rsidRDefault="00D81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00C69" w14:textId="65FECB29" w:rsidR="00F8666B" w:rsidRPr="00D83BF5" w:rsidRDefault="00F8666B" w:rsidP="005176DF">
    <w:pPr>
      <w:tabs>
        <w:tab w:val="clear" w:pos="1134"/>
        <w:tab w:val="clear" w:pos="1871"/>
        <w:tab w:val="clear" w:pos="2268"/>
        <w:tab w:val="center" w:pos="4820"/>
        <w:tab w:val="right" w:pos="10206"/>
      </w:tabs>
      <w:ind w:right="1"/>
      <w:rPr>
        <w:smallCaps/>
        <w:sz w:val="22"/>
        <w:szCs w:val="22"/>
        <w:lang w:val="es-ES"/>
      </w:rPr>
    </w:pPr>
    <w:r w:rsidRPr="004D495C">
      <w:rPr>
        <w:sz w:val="22"/>
        <w:szCs w:val="22"/>
      </w:rPr>
      <w:tab/>
    </w:r>
    <w:r w:rsidRPr="00D81C68">
      <w:rPr>
        <w:sz w:val="22"/>
        <w:szCs w:val="22"/>
        <w:lang w:val="es-ES"/>
      </w:rPr>
      <w:t>TDAG-21/</w:t>
    </w:r>
    <w:bookmarkStart w:id="10" w:name="DocNo2"/>
    <w:bookmarkEnd w:id="10"/>
    <w:r w:rsidRPr="00D81C68">
      <w:rPr>
        <w:sz w:val="22"/>
        <w:szCs w:val="22"/>
        <w:lang w:val="es-ES"/>
      </w:rPr>
      <w:t>2/</w:t>
    </w:r>
    <w:r w:rsidR="00D81C68" w:rsidRPr="00D81C68">
      <w:rPr>
        <w:sz w:val="22"/>
        <w:szCs w:val="22"/>
        <w:lang w:val="es-ES"/>
      </w:rPr>
      <w:t>34</w:t>
    </w:r>
    <w:r w:rsidRPr="00D81C68">
      <w:rPr>
        <w:sz w:val="22"/>
        <w:szCs w:val="22"/>
        <w:lang w:val="es-ES"/>
      </w:rPr>
      <w:t>-E</w:t>
    </w:r>
    <w:r w:rsidRPr="00D81C68">
      <w:rPr>
        <w:sz w:val="22"/>
        <w:szCs w:val="22"/>
        <w:lang w:val="es-ES_tradnl"/>
      </w:rPr>
      <w:tab/>
    </w:r>
    <w:r w:rsidRPr="00D81C68">
      <w:rPr>
        <w:sz w:val="22"/>
        <w:szCs w:val="22"/>
        <w:lang w:val="es-ES"/>
      </w:rPr>
      <w:t xml:space="preserve">Page </w:t>
    </w:r>
    <w:r w:rsidRPr="00D81C68">
      <w:rPr>
        <w:noProof/>
        <w:sz w:val="22"/>
        <w:szCs w:val="22"/>
        <w:lang w:val="es-ES"/>
      </w:rPr>
      <w:fldChar w:fldCharType="begin"/>
    </w:r>
    <w:r w:rsidRPr="00D81C68">
      <w:rPr>
        <w:sz w:val="22"/>
        <w:szCs w:val="22"/>
        <w:lang w:val="es-ES_tradnl"/>
      </w:rPr>
      <w:instrText xml:space="preserve"> PAGE </w:instrText>
    </w:r>
    <w:r w:rsidRPr="00D81C68">
      <w:rPr>
        <w:sz w:val="22"/>
        <w:szCs w:val="22"/>
      </w:rPr>
      <w:fldChar w:fldCharType="separate"/>
    </w:r>
    <w:r w:rsidRPr="00D81C68">
      <w:rPr>
        <w:noProof/>
        <w:sz w:val="22"/>
        <w:szCs w:val="22"/>
        <w:lang w:val="es-ES_tradnl"/>
      </w:rPr>
      <w:t>11</w:t>
    </w:r>
    <w:r w:rsidRPr="00D81C68">
      <w:rPr>
        <w:noProof/>
        <w:sz w:val="22"/>
        <w:szCs w:val="22"/>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B8853" w14:textId="77777777" w:rsidR="00D81C68" w:rsidRDefault="00D81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7A59"/>
    <w:multiLevelType w:val="multilevel"/>
    <w:tmpl w:val="D812A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D23B4"/>
    <w:multiLevelType w:val="multilevel"/>
    <w:tmpl w:val="AD06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D735B"/>
    <w:multiLevelType w:val="multilevel"/>
    <w:tmpl w:val="776AA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31AEB"/>
    <w:multiLevelType w:val="multilevel"/>
    <w:tmpl w:val="AD900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E79A8"/>
    <w:multiLevelType w:val="multilevel"/>
    <w:tmpl w:val="D8D8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556AD"/>
    <w:multiLevelType w:val="multilevel"/>
    <w:tmpl w:val="F906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B2D01"/>
    <w:multiLevelType w:val="hybridMultilevel"/>
    <w:tmpl w:val="62A4CA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9" w15:restartNumberingAfterBreak="0">
    <w:nsid w:val="36EA67FF"/>
    <w:multiLevelType w:val="multilevel"/>
    <w:tmpl w:val="025A80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B420B0"/>
    <w:multiLevelType w:val="multilevel"/>
    <w:tmpl w:val="87E00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0C4B6C"/>
    <w:multiLevelType w:val="hybridMultilevel"/>
    <w:tmpl w:val="752A66F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441F24DA"/>
    <w:multiLevelType w:val="hybridMultilevel"/>
    <w:tmpl w:val="66343A52"/>
    <w:lvl w:ilvl="0" w:tplc="61CA0D88">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451B9D"/>
    <w:multiLevelType w:val="multilevel"/>
    <w:tmpl w:val="F7203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545B5C66"/>
    <w:multiLevelType w:val="multilevel"/>
    <w:tmpl w:val="EBC0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6C91F50"/>
    <w:multiLevelType w:val="multilevel"/>
    <w:tmpl w:val="0890DB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6A2F2E"/>
    <w:multiLevelType w:val="multilevel"/>
    <w:tmpl w:val="7CDEDF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5BF762A2"/>
    <w:multiLevelType w:val="multilevel"/>
    <w:tmpl w:val="420AFA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BF30FA"/>
    <w:multiLevelType w:val="multilevel"/>
    <w:tmpl w:val="684A4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D5353C"/>
    <w:multiLevelType w:val="multilevel"/>
    <w:tmpl w:val="FD86B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6F210A32"/>
    <w:multiLevelType w:val="multilevel"/>
    <w:tmpl w:val="BC8C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D46D9F"/>
    <w:multiLevelType w:val="multilevel"/>
    <w:tmpl w:val="774E76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4F1441"/>
    <w:multiLevelType w:val="multilevel"/>
    <w:tmpl w:val="62BC57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145308"/>
    <w:multiLevelType w:val="hybridMultilevel"/>
    <w:tmpl w:val="5ED46E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22"/>
  </w:num>
  <w:num w:numId="5">
    <w:abstractNumId w:val="2"/>
  </w:num>
  <w:num w:numId="6">
    <w:abstractNumId w:val="3"/>
  </w:num>
  <w:num w:numId="7">
    <w:abstractNumId w:val="17"/>
  </w:num>
  <w:num w:numId="8">
    <w:abstractNumId w:val="21"/>
  </w:num>
  <w:num w:numId="9">
    <w:abstractNumId w:val="19"/>
  </w:num>
  <w:num w:numId="10">
    <w:abstractNumId w:val="16"/>
  </w:num>
  <w:num w:numId="11">
    <w:abstractNumId w:val="23"/>
  </w:num>
  <w:num w:numId="12">
    <w:abstractNumId w:val="13"/>
  </w:num>
  <w:num w:numId="13">
    <w:abstractNumId w:val="9"/>
  </w:num>
  <w:num w:numId="14">
    <w:abstractNumId w:val="20"/>
  </w:num>
  <w:num w:numId="15">
    <w:abstractNumId w:val="14"/>
  </w:num>
  <w:num w:numId="16">
    <w:abstractNumId w:val="12"/>
  </w:num>
  <w:num w:numId="17">
    <w:abstractNumId w:val="6"/>
  </w:num>
  <w:num w:numId="18">
    <w:abstractNumId w:val="1"/>
  </w:num>
  <w:num w:numId="19">
    <w:abstractNumId w:val="18"/>
  </w:num>
  <w:num w:numId="20">
    <w:abstractNumId w:val="0"/>
  </w:num>
  <w:num w:numId="21">
    <w:abstractNumId w:val="15"/>
  </w:num>
  <w:num w:numId="22">
    <w:abstractNumId w:val="5"/>
  </w:num>
  <w:num w:numId="23">
    <w:abstractNumId w:val="10"/>
  </w:num>
  <w:num w:numId="2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CH"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03C"/>
    <w:rsid w:val="00001200"/>
    <w:rsid w:val="000041EA"/>
    <w:rsid w:val="00004B9A"/>
    <w:rsid w:val="00004F04"/>
    <w:rsid w:val="00005A48"/>
    <w:rsid w:val="00005CAB"/>
    <w:rsid w:val="00010290"/>
    <w:rsid w:val="00010BB2"/>
    <w:rsid w:val="00010F59"/>
    <w:rsid w:val="0001111C"/>
    <w:rsid w:val="0001131D"/>
    <w:rsid w:val="00011CFA"/>
    <w:rsid w:val="000129FD"/>
    <w:rsid w:val="00012B01"/>
    <w:rsid w:val="000144AD"/>
    <w:rsid w:val="00014F1A"/>
    <w:rsid w:val="000155CC"/>
    <w:rsid w:val="00016C45"/>
    <w:rsid w:val="00017448"/>
    <w:rsid w:val="00017E94"/>
    <w:rsid w:val="000213DA"/>
    <w:rsid w:val="0002217D"/>
    <w:rsid w:val="0002269B"/>
    <w:rsid w:val="00022A29"/>
    <w:rsid w:val="00023645"/>
    <w:rsid w:val="000247E7"/>
    <w:rsid w:val="00024D45"/>
    <w:rsid w:val="00024E63"/>
    <w:rsid w:val="000301D6"/>
    <w:rsid w:val="00031458"/>
    <w:rsid w:val="000332B3"/>
    <w:rsid w:val="0003556D"/>
    <w:rsid w:val="000355FD"/>
    <w:rsid w:val="000415EC"/>
    <w:rsid w:val="000437AB"/>
    <w:rsid w:val="00044AA0"/>
    <w:rsid w:val="00045576"/>
    <w:rsid w:val="000455B7"/>
    <w:rsid w:val="000457D3"/>
    <w:rsid w:val="00045CCA"/>
    <w:rsid w:val="00046F78"/>
    <w:rsid w:val="00050E08"/>
    <w:rsid w:val="00051499"/>
    <w:rsid w:val="00051E39"/>
    <w:rsid w:val="000532EF"/>
    <w:rsid w:val="000535D9"/>
    <w:rsid w:val="000542ED"/>
    <w:rsid w:val="00054512"/>
    <w:rsid w:val="00055798"/>
    <w:rsid w:val="00056327"/>
    <w:rsid w:val="00056740"/>
    <w:rsid w:val="00056793"/>
    <w:rsid w:val="00056D1A"/>
    <w:rsid w:val="00056F3E"/>
    <w:rsid w:val="000572AB"/>
    <w:rsid w:val="000575A8"/>
    <w:rsid w:val="00057939"/>
    <w:rsid w:val="0006001B"/>
    <w:rsid w:val="000614FD"/>
    <w:rsid w:val="00062D6A"/>
    <w:rsid w:val="00063F14"/>
    <w:rsid w:val="000647D4"/>
    <w:rsid w:val="00064E76"/>
    <w:rsid w:val="00065895"/>
    <w:rsid w:val="00065AE5"/>
    <w:rsid w:val="00066228"/>
    <w:rsid w:val="000708BF"/>
    <w:rsid w:val="00070DBE"/>
    <w:rsid w:val="00071125"/>
    <w:rsid w:val="00071376"/>
    <w:rsid w:val="00072138"/>
    <w:rsid w:val="00072711"/>
    <w:rsid w:val="0007296F"/>
    <w:rsid w:val="00072E10"/>
    <w:rsid w:val="0007345D"/>
    <w:rsid w:val="00073987"/>
    <w:rsid w:val="00074293"/>
    <w:rsid w:val="00074BAA"/>
    <w:rsid w:val="00075206"/>
    <w:rsid w:val="0007538F"/>
    <w:rsid w:val="00075862"/>
    <w:rsid w:val="00075C63"/>
    <w:rsid w:val="00076EB6"/>
    <w:rsid w:val="00077239"/>
    <w:rsid w:val="000778E8"/>
    <w:rsid w:val="00077A7C"/>
    <w:rsid w:val="00077FDF"/>
    <w:rsid w:val="00080905"/>
    <w:rsid w:val="000809BB"/>
    <w:rsid w:val="00081845"/>
    <w:rsid w:val="000822BE"/>
    <w:rsid w:val="00082B22"/>
    <w:rsid w:val="00084616"/>
    <w:rsid w:val="00085602"/>
    <w:rsid w:val="00086491"/>
    <w:rsid w:val="00087F9A"/>
    <w:rsid w:val="00091346"/>
    <w:rsid w:val="00092501"/>
    <w:rsid w:val="000927A8"/>
    <w:rsid w:val="0009411B"/>
    <w:rsid w:val="00094D67"/>
    <w:rsid w:val="0009561E"/>
    <w:rsid w:val="00095769"/>
    <w:rsid w:val="00096ED0"/>
    <w:rsid w:val="00096FD2"/>
    <w:rsid w:val="000A0585"/>
    <w:rsid w:val="000A31FC"/>
    <w:rsid w:val="000A38C0"/>
    <w:rsid w:val="000A3CE0"/>
    <w:rsid w:val="000A54C6"/>
    <w:rsid w:val="000A5CE0"/>
    <w:rsid w:val="000A6B14"/>
    <w:rsid w:val="000A7159"/>
    <w:rsid w:val="000A7C0C"/>
    <w:rsid w:val="000B1D14"/>
    <w:rsid w:val="000B1F31"/>
    <w:rsid w:val="000B2599"/>
    <w:rsid w:val="000B3109"/>
    <w:rsid w:val="000B3322"/>
    <w:rsid w:val="000B3816"/>
    <w:rsid w:val="000B4F6F"/>
    <w:rsid w:val="000B567A"/>
    <w:rsid w:val="000B5F43"/>
    <w:rsid w:val="000C3365"/>
    <w:rsid w:val="000C4E83"/>
    <w:rsid w:val="000C4F89"/>
    <w:rsid w:val="000C57C6"/>
    <w:rsid w:val="000C661C"/>
    <w:rsid w:val="000D065C"/>
    <w:rsid w:val="000D2161"/>
    <w:rsid w:val="000D4875"/>
    <w:rsid w:val="000D5500"/>
    <w:rsid w:val="000D5552"/>
    <w:rsid w:val="000D5B8E"/>
    <w:rsid w:val="000D5BE6"/>
    <w:rsid w:val="000D6D02"/>
    <w:rsid w:val="000D731F"/>
    <w:rsid w:val="000E12B2"/>
    <w:rsid w:val="000E169C"/>
    <w:rsid w:val="000E19AD"/>
    <w:rsid w:val="000E1FDE"/>
    <w:rsid w:val="000E35A9"/>
    <w:rsid w:val="000E3BD2"/>
    <w:rsid w:val="000E3EBF"/>
    <w:rsid w:val="000E3F07"/>
    <w:rsid w:val="000E4031"/>
    <w:rsid w:val="000E431A"/>
    <w:rsid w:val="000E4933"/>
    <w:rsid w:val="000E4D58"/>
    <w:rsid w:val="000E5F7C"/>
    <w:rsid w:val="000E6331"/>
    <w:rsid w:val="000E6467"/>
    <w:rsid w:val="000F0DFC"/>
    <w:rsid w:val="000F16A2"/>
    <w:rsid w:val="000F1918"/>
    <w:rsid w:val="000F2AAF"/>
    <w:rsid w:val="000F3E1F"/>
    <w:rsid w:val="000F43C6"/>
    <w:rsid w:val="000F4BFB"/>
    <w:rsid w:val="000F57AD"/>
    <w:rsid w:val="000F57CC"/>
    <w:rsid w:val="000F5993"/>
    <w:rsid w:val="000F662E"/>
    <w:rsid w:val="000F6BAB"/>
    <w:rsid w:val="000F73FF"/>
    <w:rsid w:val="000F7C70"/>
    <w:rsid w:val="00100129"/>
    <w:rsid w:val="00100F1D"/>
    <w:rsid w:val="00100F60"/>
    <w:rsid w:val="0010103F"/>
    <w:rsid w:val="00101241"/>
    <w:rsid w:val="0010264C"/>
    <w:rsid w:val="00102DD4"/>
    <w:rsid w:val="0010364C"/>
    <w:rsid w:val="0010441E"/>
    <w:rsid w:val="001046E2"/>
    <w:rsid w:val="0010476A"/>
    <w:rsid w:val="0010477C"/>
    <w:rsid w:val="0010531D"/>
    <w:rsid w:val="00105423"/>
    <w:rsid w:val="00105D26"/>
    <w:rsid w:val="001068D7"/>
    <w:rsid w:val="001106FF"/>
    <w:rsid w:val="00110AD2"/>
    <w:rsid w:val="00111897"/>
    <w:rsid w:val="00112D28"/>
    <w:rsid w:val="00112F6A"/>
    <w:rsid w:val="00113547"/>
    <w:rsid w:val="0011382E"/>
    <w:rsid w:val="00113F80"/>
    <w:rsid w:val="0011416A"/>
    <w:rsid w:val="001149D3"/>
    <w:rsid w:val="00114B7C"/>
    <w:rsid w:val="00114CF7"/>
    <w:rsid w:val="00116134"/>
    <w:rsid w:val="001162D0"/>
    <w:rsid w:val="0011639E"/>
    <w:rsid w:val="00116819"/>
    <w:rsid w:val="00116D0F"/>
    <w:rsid w:val="00120CA2"/>
    <w:rsid w:val="00120DB3"/>
    <w:rsid w:val="001210AB"/>
    <w:rsid w:val="00121136"/>
    <w:rsid w:val="00121A98"/>
    <w:rsid w:val="001225E1"/>
    <w:rsid w:val="00123251"/>
    <w:rsid w:val="00123B68"/>
    <w:rsid w:val="00123F1D"/>
    <w:rsid w:val="00123F64"/>
    <w:rsid w:val="00124952"/>
    <w:rsid w:val="00124DAF"/>
    <w:rsid w:val="001259C8"/>
    <w:rsid w:val="00125C33"/>
    <w:rsid w:val="0012658E"/>
    <w:rsid w:val="00126F2E"/>
    <w:rsid w:val="001274C1"/>
    <w:rsid w:val="00127A5B"/>
    <w:rsid w:val="00127CF8"/>
    <w:rsid w:val="001317DC"/>
    <w:rsid w:val="00133AAD"/>
    <w:rsid w:val="00134C0A"/>
    <w:rsid w:val="00134C1E"/>
    <w:rsid w:val="001353F2"/>
    <w:rsid w:val="0013724A"/>
    <w:rsid w:val="00137C23"/>
    <w:rsid w:val="00137F39"/>
    <w:rsid w:val="0014023E"/>
    <w:rsid w:val="00140805"/>
    <w:rsid w:val="00141A3D"/>
    <w:rsid w:val="001437BD"/>
    <w:rsid w:val="00145AF0"/>
    <w:rsid w:val="00145CFE"/>
    <w:rsid w:val="00145F20"/>
    <w:rsid w:val="0014606A"/>
    <w:rsid w:val="00146AA6"/>
    <w:rsid w:val="00146F6F"/>
    <w:rsid w:val="001470FB"/>
    <w:rsid w:val="00147869"/>
    <w:rsid w:val="00147ADC"/>
    <w:rsid w:val="00147DA1"/>
    <w:rsid w:val="001500A3"/>
    <w:rsid w:val="001508AD"/>
    <w:rsid w:val="00150C1A"/>
    <w:rsid w:val="00150CCD"/>
    <w:rsid w:val="00150E44"/>
    <w:rsid w:val="00152042"/>
    <w:rsid w:val="00152957"/>
    <w:rsid w:val="00152A31"/>
    <w:rsid w:val="001532B8"/>
    <w:rsid w:val="00153505"/>
    <w:rsid w:val="00153C61"/>
    <w:rsid w:val="00154183"/>
    <w:rsid w:val="001541C5"/>
    <w:rsid w:val="0015440A"/>
    <w:rsid w:val="00154494"/>
    <w:rsid w:val="00156466"/>
    <w:rsid w:val="00160BB8"/>
    <w:rsid w:val="00162AA8"/>
    <w:rsid w:val="00162C00"/>
    <w:rsid w:val="00163746"/>
    <w:rsid w:val="00163931"/>
    <w:rsid w:val="00163DB2"/>
    <w:rsid w:val="00164096"/>
    <w:rsid w:val="00164733"/>
    <w:rsid w:val="00164995"/>
    <w:rsid w:val="001655BB"/>
    <w:rsid w:val="00170A28"/>
    <w:rsid w:val="00170C8C"/>
    <w:rsid w:val="00171890"/>
    <w:rsid w:val="00172141"/>
    <w:rsid w:val="001721A6"/>
    <w:rsid w:val="00172530"/>
    <w:rsid w:val="0017265C"/>
    <w:rsid w:val="0017319F"/>
    <w:rsid w:val="001739B0"/>
    <w:rsid w:val="00174FD3"/>
    <w:rsid w:val="00176840"/>
    <w:rsid w:val="00176B56"/>
    <w:rsid w:val="00177276"/>
    <w:rsid w:val="001779D8"/>
    <w:rsid w:val="00180632"/>
    <w:rsid w:val="001809DF"/>
    <w:rsid w:val="00182263"/>
    <w:rsid w:val="001822FC"/>
    <w:rsid w:val="00184D22"/>
    <w:rsid w:val="001851AC"/>
    <w:rsid w:val="00185AB7"/>
    <w:rsid w:val="0018695A"/>
    <w:rsid w:val="001869D5"/>
    <w:rsid w:val="00187BD9"/>
    <w:rsid w:val="00187CAC"/>
    <w:rsid w:val="00190B55"/>
    <w:rsid w:val="00190D23"/>
    <w:rsid w:val="00194CFB"/>
    <w:rsid w:val="00195A20"/>
    <w:rsid w:val="001960A6"/>
    <w:rsid w:val="0019720F"/>
    <w:rsid w:val="00197BDF"/>
    <w:rsid w:val="001A0C76"/>
    <w:rsid w:val="001A1440"/>
    <w:rsid w:val="001A1479"/>
    <w:rsid w:val="001A1C93"/>
    <w:rsid w:val="001A2DB2"/>
    <w:rsid w:val="001A2FDD"/>
    <w:rsid w:val="001A3645"/>
    <w:rsid w:val="001A3C9A"/>
    <w:rsid w:val="001A66E7"/>
    <w:rsid w:val="001B09A2"/>
    <w:rsid w:val="001B1D4B"/>
    <w:rsid w:val="001B24AF"/>
    <w:rsid w:val="001B25B4"/>
    <w:rsid w:val="001B2718"/>
    <w:rsid w:val="001B2ED3"/>
    <w:rsid w:val="001B43E9"/>
    <w:rsid w:val="001B47F5"/>
    <w:rsid w:val="001B6806"/>
    <w:rsid w:val="001B7E4B"/>
    <w:rsid w:val="001B7EA3"/>
    <w:rsid w:val="001C0982"/>
    <w:rsid w:val="001C156D"/>
    <w:rsid w:val="001C1648"/>
    <w:rsid w:val="001C2ABE"/>
    <w:rsid w:val="001C37D8"/>
    <w:rsid w:val="001C3A84"/>
    <w:rsid w:val="001C3B5F"/>
    <w:rsid w:val="001C4436"/>
    <w:rsid w:val="001C6CF3"/>
    <w:rsid w:val="001C77A7"/>
    <w:rsid w:val="001D0065"/>
    <w:rsid w:val="001D0395"/>
    <w:rsid w:val="001D058F"/>
    <w:rsid w:val="001D1A4D"/>
    <w:rsid w:val="001D3ABD"/>
    <w:rsid w:val="001D3E05"/>
    <w:rsid w:val="001D4022"/>
    <w:rsid w:val="001D42CB"/>
    <w:rsid w:val="001D451B"/>
    <w:rsid w:val="001D471F"/>
    <w:rsid w:val="001D4ABC"/>
    <w:rsid w:val="001D5BBF"/>
    <w:rsid w:val="001D5D08"/>
    <w:rsid w:val="001D6026"/>
    <w:rsid w:val="001D6831"/>
    <w:rsid w:val="001D69A8"/>
    <w:rsid w:val="001D7D05"/>
    <w:rsid w:val="001D7DAE"/>
    <w:rsid w:val="001E03AA"/>
    <w:rsid w:val="001E0B05"/>
    <w:rsid w:val="001E19E4"/>
    <w:rsid w:val="001E24B0"/>
    <w:rsid w:val="001E252D"/>
    <w:rsid w:val="001E2CFC"/>
    <w:rsid w:val="001E366D"/>
    <w:rsid w:val="001E4FB2"/>
    <w:rsid w:val="001E60D9"/>
    <w:rsid w:val="001E648B"/>
    <w:rsid w:val="001E662A"/>
    <w:rsid w:val="001E710A"/>
    <w:rsid w:val="001E7494"/>
    <w:rsid w:val="001E76F4"/>
    <w:rsid w:val="001E7A51"/>
    <w:rsid w:val="001F056A"/>
    <w:rsid w:val="001F07C9"/>
    <w:rsid w:val="001F1782"/>
    <w:rsid w:val="001F3540"/>
    <w:rsid w:val="001F3D5B"/>
    <w:rsid w:val="001F3D86"/>
    <w:rsid w:val="001F4043"/>
    <w:rsid w:val="001F5057"/>
    <w:rsid w:val="001F5577"/>
    <w:rsid w:val="001F6AA0"/>
    <w:rsid w:val="001F70F3"/>
    <w:rsid w:val="001F72B2"/>
    <w:rsid w:val="002009EA"/>
    <w:rsid w:val="00201975"/>
    <w:rsid w:val="0020267D"/>
    <w:rsid w:val="00202CA0"/>
    <w:rsid w:val="00203ADA"/>
    <w:rsid w:val="0020482A"/>
    <w:rsid w:val="00204F56"/>
    <w:rsid w:val="00206254"/>
    <w:rsid w:val="00207086"/>
    <w:rsid w:val="00210652"/>
    <w:rsid w:val="00211D26"/>
    <w:rsid w:val="002121C9"/>
    <w:rsid w:val="002126D2"/>
    <w:rsid w:val="0021287C"/>
    <w:rsid w:val="00213408"/>
    <w:rsid w:val="00213C89"/>
    <w:rsid w:val="00214668"/>
    <w:rsid w:val="00214F86"/>
    <w:rsid w:val="0021504A"/>
    <w:rsid w:val="002154A6"/>
    <w:rsid w:val="00215521"/>
    <w:rsid w:val="00215671"/>
    <w:rsid w:val="00215CE9"/>
    <w:rsid w:val="002162CD"/>
    <w:rsid w:val="00216893"/>
    <w:rsid w:val="00217354"/>
    <w:rsid w:val="002203E2"/>
    <w:rsid w:val="002205CD"/>
    <w:rsid w:val="00220625"/>
    <w:rsid w:val="002213E0"/>
    <w:rsid w:val="0022155C"/>
    <w:rsid w:val="00221CAC"/>
    <w:rsid w:val="002223F8"/>
    <w:rsid w:val="0022496E"/>
    <w:rsid w:val="00224F08"/>
    <w:rsid w:val="002255B3"/>
    <w:rsid w:val="00225FDB"/>
    <w:rsid w:val="00226E26"/>
    <w:rsid w:val="0022775A"/>
    <w:rsid w:val="00227FD1"/>
    <w:rsid w:val="00231848"/>
    <w:rsid w:val="00231E01"/>
    <w:rsid w:val="00231EE1"/>
    <w:rsid w:val="00231EFA"/>
    <w:rsid w:val="002320B4"/>
    <w:rsid w:val="00233270"/>
    <w:rsid w:val="00233CDA"/>
    <w:rsid w:val="00233EEB"/>
    <w:rsid w:val="0023502B"/>
    <w:rsid w:val="002352F1"/>
    <w:rsid w:val="00235C93"/>
    <w:rsid w:val="002360BC"/>
    <w:rsid w:val="00236131"/>
    <w:rsid w:val="002369BC"/>
    <w:rsid w:val="00236E8A"/>
    <w:rsid w:val="00237291"/>
    <w:rsid w:val="00237BB0"/>
    <w:rsid w:val="00240545"/>
    <w:rsid w:val="002415A3"/>
    <w:rsid w:val="0024278A"/>
    <w:rsid w:val="002441B5"/>
    <w:rsid w:val="0024442B"/>
    <w:rsid w:val="00244E09"/>
    <w:rsid w:val="002452C5"/>
    <w:rsid w:val="00246121"/>
    <w:rsid w:val="002471F6"/>
    <w:rsid w:val="00247548"/>
    <w:rsid w:val="0024795C"/>
    <w:rsid w:val="00250666"/>
    <w:rsid w:val="00252FD9"/>
    <w:rsid w:val="00254550"/>
    <w:rsid w:val="0025634D"/>
    <w:rsid w:val="00256AA7"/>
    <w:rsid w:val="00256D72"/>
    <w:rsid w:val="0026038D"/>
    <w:rsid w:val="002604A2"/>
    <w:rsid w:val="00260955"/>
    <w:rsid w:val="002609BD"/>
    <w:rsid w:val="00262021"/>
    <w:rsid w:val="002628D8"/>
    <w:rsid w:val="00262FD4"/>
    <w:rsid w:val="002643D6"/>
    <w:rsid w:val="00264939"/>
    <w:rsid w:val="00265355"/>
    <w:rsid w:val="002657D6"/>
    <w:rsid w:val="00265CBE"/>
    <w:rsid w:val="00266130"/>
    <w:rsid w:val="00266BDB"/>
    <w:rsid w:val="00266C0F"/>
    <w:rsid w:val="00266F7A"/>
    <w:rsid w:val="002672C2"/>
    <w:rsid w:val="002679C0"/>
    <w:rsid w:val="0027042F"/>
    <w:rsid w:val="00271316"/>
    <w:rsid w:val="00271A48"/>
    <w:rsid w:val="00271BD2"/>
    <w:rsid w:val="002725A9"/>
    <w:rsid w:val="0027379B"/>
    <w:rsid w:val="00273821"/>
    <w:rsid w:val="00273ADF"/>
    <w:rsid w:val="0027570B"/>
    <w:rsid w:val="00276C1D"/>
    <w:rsid w:val="00277A26"/>
    <w:rsid w:val="00280240"/>
    <w:rsid w:val="002807C2"/>
    <w:rsid w:val="0028119E"/>
    <w:rsid w:val="002812E9"/>
    <w:rsid w:val="002821CC"/>
    <w:rsid w:val="00284BB4"/>
    <w:rsid w:val="00285B1E"/>
    <w:rsid w:val="00286AAF"/>
    <w:rsid w:val="0028768D"/>
    <w:rsid w:val="002910A0"/>
    <w:rsid w:val="00291DFF"/>
    <w:rsid w:val="00293464"/>
    <w:rsid w:val="002943EA"/>
    <w:rsid w:val="00294E97"/>
    <w:rsid w:val="00295071"/>
    <w:rsid w:val="002956EF"/>
    <w:rsid w:val="00296088"/>
    <w:rsid w:val="002960AE"/>
    <w:rsid w:val="002962F0"/>
    <w:rsid w:val="00296313"/>
    <w:rsid w:val="0029778B"/>
    <w:rsid w:val="002A067A"/>
    <w:rsid w:val="002A0A33"/>
    <w:rsid w:val="002A15B9"/>
    <w:rsid w:val="002A1CAA"/>
    <w:rsid w:val="002A30D1"/>
    <w:rsid w:val="002A3F7D"/>
    <w:rsid w:val="002A5D8A"/>
    <w:rsid w:val="002A5E8C"/>
    <w:rsid w:val="002A65ED"/>
    <w:rsid w:val="002A678E"/>
    <w:rsid w:val="002B0955"/>
    <w:rsid w:val="002B1879"/>
    <w:rsid w:val="002B1E91"/>
    <w:rsid w:val="002B3905"/>
    <w:rsid w:val="002B3C2F"/>
    <w:rsid w:val="002B3C84"/>
    <w:rsid w:val="002B43A0"/>
    <w:rsid w:val="002B5349"/>
    <w:rsid w:val="002B5A9F"/>
    <w:rsid w:val="002B6955"/>
    <w:rsid w:val="002B7F3A"/>
    <w:rsid w:val="002C0BE1"/>
    <w:rsid w:val="002C1A73"/>
    <w:rsid w:val="002C2717"/>
    <w:rsid w:val="002C2756"/>
    <w:rsid w:val="002C3571"/>
    <w:rsid w:val="002C474C"/>
    <w:rsid w:val="002C4E3C"/>
    <w:rsid w:val="002C5893"/>
    <w:rsid w:val="002C5B2E"/>
    <w:rsid w:val="002C5BC9"/>
    <w:rsid w:val="002C5BFC"/>
    <w:rsid w:val="002C724F"/>
    <w:rsid w:val="002C74AD"/>
    <w:rsid w:val="002C75E2"/>
    <w:rsid w:val="002C79D4"/>
    <w:rsid w:val="002D1ED3"/>
    <w:rsid w:val="002D3083"/>
    <w:rsid w:val="002D30F0"/>
    <w:rsid w:val="002D37BF"/>
    <w:rsid w:val="002D3A0B"/>
    <w:rsid w:val="002D461D"/>
    <w:rsid w:val="002D46A5"/>
    <w:rsid w:val="002D58BE"/>
    <w:rsid w:val="002D59D9"/>
    <w:rsid w:val="002D63CA"/>
    <w:rsid w:val="002D65C2"/>
    <w:rsid w:val="002D671E"/>
    <w:rsid w:val="002D7D47"/>
    <w:rsid w:val="002D7E0D"/>
    <w:rsid w:val="002E01F8"/>
    <w:rsid w:val="002E1227"/>
    <w:rsid w:val="002E1947"/>
    <w:rsid w:val="002E1A52"/>
    <w:rsid w:val="002E2602"/>
    <w:rsid w:val="002E3CFA"/>
    <w:rsid w:val="002E4376"/>
    <w:rsid w:val="002E4E05"/>
    <w:rsid w:val="002E5174"/>
    <w:rsid w:val="002E5F29"/>
    <w:rsid w:val="002E6884"/>
    <w:rsid w:val="002E6A8A"/>
    <w:rsid w:val="002F0268"/>
    <w:rsid w:val="002F0A6D"/>
    <w:rsid w:val="002F0DD9"/>
    <w:rsid w:val="002F12F4"/>
    <w:rsid w:val="002F1929"/>
    <w:rsid w:val="002F2235"/>
    <w:rsid w:val="002F276C"/>
    <w:rsid w:val="002F3ECD"/>
    <w:rsid w:val="002F42F5"/>
    <w:rsid w:val="002F453A"/>
    <w:rsid w:val="002F586C"/>
    <w:rsid w:val="002F7A8D"/>
    <w:rsid w:val="003001DF"/>
    <w:rsid w:val="003013EE"/>
    <w:rsid w:val="00301A34"/>
    <w:rsid w:val="00301A62"/>
    <w:rsid w:val="003022C7"/>
    <w:rsid w:val="00302903"/>
    <w:rsid w:val="00302A91"/>
    <w:rsid w:val="0030330B"/>
    <w:rsid w:val="00303370"/>
    <w:rsid w:val="00303CB7"/>
    <w:rsid w:val="00304E62"/>
    <w:rsid w:val="003056BE"/>
    <w:rsid w:val="00305C24"/>
    <w:rsid w:val="00306077"/>
    <w:rsid w:val="00306188"/>
    <w:rsid w:val="003063AB"/>
    <w:rsid w:val="0030706E"/>
    <w:rsid w:val="00307395"/>
    <w:rsid w:val="00310D59"/>
    <w:rsid w:val="00312094"/>
    <w:rsid w:val="00312B14"/>
    <w:rsid w:val="00312B9D"/>
    <w:rsid w:val="0031339B"/>
    <w:rsid w:val="00313E3D"/>
    <w:rsid w:val="00314F16"/>
    <w:rsid w:val="00315AB5"/>
    <w:rsid w:val="00317631"/>
    <w:rsid w:val="003179CD"/>
    <w:rsid w:val="00317FCC"/>
    <w:rsid w:val="00318574"/>
    <w:rsid w:val="0031E0FF"/>
    <w:rsid w:val="00320B22"/>
    <w:rsid w:val="0032113F"/>
    <w:rsid w:val="00321883"/>
    <w:rsid w:val="00321FDD"/>
    <w:rsid w:val="003220C6"/>
    <w:rsid w:val="003232BD"/>
    <w:rsid w:val="003235D0"/>
    <w:rsid w:val="003248A1"/>
    <w:rsid w:val="00326ECA"/>
    <w:rsid w:val="0032718C"/>
    <w:rsid w:val="003273F7"/>
    <w:rsid w:val="00327840"/>
    <w:rsid w:val="0032798C"/>
    <w:rsid w:val="00330A9C"/>
    <w:rsid w:val="00333762"/>
    <w:rsid w:val="00334824"/>
    <w:rsid w:val="003362AA"/>
    <w:rsid w:val="00336A3B"/>
    <w:rsid w:val="00340AA0"/>
    <w:rsid w:val="00341EE9"/>
    <w:rsid w:val="003422F4"/>
    <w:rsid w:val="00342628"/>
    <w:rsid w:val="00342956"/>
    <w:rsid w:val="00342B4C"/>
    <w:rsid w:val="00342FA7"/>
    <w:rsid w:val="00343542"/>
    <w:rsid w:val="00344536"/>
    <w:rsid w:val="00344D18"/>
    <w:rsid w:val="00345B1A"/>
    <w:rsid w:val="00346FA4"/>
    <w:rsid w:val="00346FC5"/>
    <w:rsid w:val="00346FF9"/>
    <w:rsid w:val="00350027"/>
    <w:rsid w:val="003505D6"/>
    <w:rsid w:val="003508E2"/>
    <w:rsid w:val="00351720"/>
    <w:rsid w:val="00351852"/>
    <w:rsid w:val="003520E3"/>
    <w:rsid w:val="00352431"/>
    <w:rsid w:val="0035295E"/>
    <w:rsid w:val="0035421C"/>
    <w:rsid w:val="00354CAF"/>
    <w:rsid w:val="0035598B"/>
    <w:rsid w:val="003567DC"/>
    <w:rsid w:val="00356C74"/>
    <w:rsid w:val="0036003B"/>
    <w:rsid w:val="0036021A"/>
    <w:rsid w:val="0036070E"/>
    <w:rsid w:val="00360778"/>
    <w:rsid w:val="003607BA"/>
    <w:rsid w:val="00360AEB"/>
    <w:rsid w:val="00360C6E"/>
    <w:rsid w:val="00360CE5"/>
    <w:rsid w:val="00361343"/>
    <w:rsid w:val="00361A7A"/>
    <w:rsid w:val="00361D5B"/>
    <w:rsid w:val="00362C41"/>
    <w:rsid w:val="00362EF9"/>
    <w:rsid w:val="0036300A"/>
    <w:rsid w:val="003637EA"/>
    <w:rsid w:val="00363F50"/>
    <w:rsid w:val="00364D51"/>
    <w:rsid w:val="003655B2"/>
    <w:rsid w:val="003658B1"/>
    <w:rsid w:val="003659A2"/>
    <w:rsid w:val="00365A32"/>
    <w:rsid w:val="00365B4A"/>
    <w:rsid w:val="0036670C"/>
    <w:rsid w:val="00366CF6"/>
    <w:rsid w:val="003674AD"/>
    <w:rsid w:val="00371B06"/>
    <w:rsid w:val="00371D91"/>
    <w:rsid w:val="00373B07"/>
    <w:rsid w:val="00373BB6"/>
    <w:rsid w:val="00373CEE"/>
    <w:rsid w:val="003745A9"/>
    <w:rsid w:val="003746AB"/>
    <w:rsid w:val="00374CD6"/>
    <w:rsid w:val="00374CF5"/>
    <w:rsid w:val="00374DBE"/>
    <w:rsid w:val="00377230"/>
    <w:rsid w:val="00377BD3"/>
    <w:rsid w:val="00377E68"/>
    <w:rsid w:val="00380143"/>
    <w:rsid w:val="0038096E"/>
    <w:rsid w:val="0038393B"/>
    <w:rsid w:val="00384088"/>
    <w:rsid w:val="0038489B"/>
    <w:rsid w:val="003860C6"/>
    <w:rsid w:val="003872C6"/>
    <w:rsid w:val="00387533"/>
    <w:rsid w:val="0039169B"/>
    <w:rsid w:val="0039310A"/>
    <w:rsid w:val="00394EA0"/>
    <w:rsid w:val="00394F72"/>
    <w:rsid w:val="00395A7E"/>
    <w:rsid w:val="00395D34"/>
    <w:rsid w:val="003A0A38"/>
    <w:rsid w:val="003A1952"/>
    <w:rsid w:val="003A1BEC"/>
    <w:rsid w:val="003A2AB3"/>
    <w:rsid w:val="003A2AEB"/>
    <w:rsid w:val="003A4174"/>
    <w:rsid w:val="003A438A"/>
    <w:rsid w:val="003A43C0"/>
    <w:rsid w:val="003A6222"/>
    <w:rsid w:val="003A648F"/>
    <w:rsid w:val="003A6C04"/>
    <w:rsid w:val="003A7594"/>
    <w:rsid w:val="003A7862"/>
    <w:rsid w:val="003A7F8C"/>
    <w:rsid w:val="003B1995"/>
    <w:rsid w:val="003B2171"/>
    <w:rsid w:val="003B23C7"/>
    <w:rsid w:val="003B2AC9"/>
    <w:rsid w:val="003B380B"/>
    <w:rsid w:val="003B4508"/>
    <w:rsid w:val="003B4A21"/>
    <w:rsid w:val="003B5025"/>
    <w:rsid w:val="003B5154"/>
    <w:rsid w:val="003B532E"/>
    <w:rsid w:val="003B551C"/>
    <w:rsid w:val="003B5BCE"/>
    <w:rsid w:val="003B6106"/>
    <w:rsid w:val="003B6F14"/>
    <w:rsid w:val="003B79C6"/>
    <w:rsid w:val="003C05DA"/>
    <w:rsid w:val="003C13C8"/>
    <w:rsid w:val="003C1612"/>
    <w:rsid w:val="003C17C9"/>
    <w:rsid w:val="003C1CCA"/>
    <w:rsid w:val="003C1E35"/>
    <w:rsid w:val="003C2B6B"/>
    <w:rsid w:val="003C3435"/>
    <w:rsid w:val="003C35CC"/>
    <w:rsid w:val="003C3BBB"/>
    <w:rsid w:val="003C4A2F"/>
    <w:rsid w:val="003C5944"/>
    <w:rsid w:val="003C5C8E"/>
    <w:rsid w:val="003C7507"/>
    <w:rsid w:val="003C7793"/>
    <w:rsid w:val="003D035E"/>
    <w:rsid w:val="003D0E4F"/>
    <w:rsid w:val="003D0F8B"/>
    <w:rsid w:val="003D113B"/>
    <w:rsid w:val="003D243D"/>
    <w:rsid w:val="003D24CF"/>
    <w:rsid w:val="003D3803"/>
    <w:rsid w:val="003D491D"/>
    <w:rsid w:val="003D75A4"/>
    <w:rsid w:val="003E00D1"/>
    <w:rsid w:val="003E197C"/>
    <w:rsid w:val="003E3D71"/>
    <w:rsid w:val="003E3EEC"/>
    <w:rsid w:val="003E4BD0"/>
    <w:rsid w:val="003E52C4"/>
    <w:rsid w:val="003E5620"/>
    <w:rsid w:val="003E56C0"/>
    <w:rsid w:val="003E6669"/>
    <w:rsid w:val="003E6A33"/>
    <w:rsid w:val="003F04A6"/>
    <w:rsid w:val="003F1147"/>
    <w:rsid w:val="003F11A9"/>
    <w:rsid w:val="003F127E"/>
    <w:rsid w:val="003F14A9"/>
    <w:rsid w:val="003F186F"/>
    <w:rsid w:val="003F2B17"/>
    <w:rsid w:val="003F3176"/>
    <w:rsid w:val="003F3F5B"/>
    <w:rsid w:val="003F44FD"/>
    <w:rsid w:val="003F4871"/>
    <w:rsid w:val="003F527C"/>
    <w:rsid w:val="003F6DDB"/>
    <w:rsid w:val="00400022"/>
    <w:rsid w:val="00400B3F"/>
    <w:rsid w:val="004017F3"/>
    <w:rsid w:val="00403690"/>
    <w:rsid w:val="00403A52"/>
    <w:rsid w:val="00404145"/>
    <w:rsid w:val="00404C89"/>
    <w:rsid w:val="00405691"/>
    <w:rsid w:val="004057D3"/>
    <w:rsid w:val="00406118"/>
    <w:rsid w:val="00406324"/>
    <w:rsid w:val="00406CFE"/>
    <w:rsid w:val="00410404"/>
    <w:rsid w:val="00410EC1"/>
    <w:rsid w:val="00410F99"/>
    <w:rsid w:val="00411B5E"/>
    <w:rsid w:val="00411CC6"/>
    <w:rsid w:val="004131D4"/>
    <w:rsid w:val="0041348E"/>
    <w:rsid w:val="004137CB"/>
    <w:rsid w:val="0041384E"/>
    <w:rsid w:val="00413965"/>
    <w:rsid w:val="00413A0F"/>
    <w:rsid w:val="00416761"/>
    <w:rsid w:val="004202CB"/>
    <w:rsid w:val="0042062E"/>
    <w:rsid w:val="00421511"/>
    <w:rsid w:val="0042155B"/>
    <w:rsid w:val="00421631"/>
    <w:rsid w:val="00421C52"/>
    <w:rsid w:val="0042252A"/>
    <w:rsid w:val="00422662"/>
    <w:rsid w:val="0042289D"/>
    <w:rsid w:val="00423CDE"/>
    <w:rsid w:val="00424DA6"/>
    <w:rsid w:val="00424E3B"/>
    <w:rsid w:val="00425355"/>
    <w:rsid w:val="00425B22"/>
    <w:rsid w:val="00425D5E"/>
    <w:rsid w:val="00425F8C"/>
    <w:rsid w:val="004262C7"/>
    <w:rsid w:val="00427155"/>
    <w:rsid w:val="0042720D"/>
    <w:rsid w:val="0042729D"/>
    <w:rsid w:val="00427837"/>
    <w:rsid w:val="00430616"/>
    <w:rsid w:val="00430B57"/>
    <w:rsid w:val="00431630"/>
    <w:rsid w:val="00432016"/>
    <w:rsid w:val="00432191"/>
    <w:rsid w:val="00432718"/>
    <w:rsid w:val="00433748"/>
    <w:rsid w:val="00436505"/>
    <w:rsid w:val="00436557"/>
    <w:rsid w:val="00436A36"/>
    <w:rsid w:val="0043711C"/>
    <w:rsid w:val="00437801"/>
    <w:rsid w:val="004378BA"/>
    <w:rsid w:val="0043797D"/>
    <w:rsid w:val="00437F58"/>
    <w:rsid w:val="004407C3"/>
    <w:rsid w:val="00441CB1"/>
    <w:rsid w:val="00442BB3"/>
    <w:rsid w:val="00443B12"/>
    <w:rsid w:val="004441F7"/>
    <w:rsid w:val="00444397"/>
    <w:rsid w:val="00445BE1"/>
    <w:rsid w:val="00447308"/>
    <w:rsid w:val="00447D33"/>
    <w:rsid w:val="004502A7"/>
    <w:rsid w:val="00450B8A"/>
    <w:rsid w:val="00450E6D"/>
    <w:rsid w:val="00452723"/>
    <w:rsid w:val="00452C03"/>
    <w:rsid w:val="00454882"/>
    <w:rsid w:val="00454E4A"/>
    <w:rsid w:val="00456724"/>
    <w:rsid w:val="00456EAB"/>
    <w:rsid w:val="00457185"/>
    <w:rsid w:val="00460CA4"/>
    <w:rsid w:val="00461666"/>
    <w:rsid w:val="004625D6"/>
    <w:rsid w:val="00462919"/>
    <w:rsid w:val="004629EB"/>
    <w:rsid w:val="00462A5C"/>
    <w:rsid w:val="00464CDB"/>
    <w:rsid w:val="00464F46"/>
    <w:rsid w:val="00465B18"/>
    <w:rsid w:val="00466B87"/>
    <w:rsid w:val="00467B30"/>
    <w:rsid w:val="00470030"/>
    <w:rsid w:val="004705FF"/>
    <w:rsid w:val="00471388"/>
    <w:rsid w:val="00471BEE"/>
    <w:rsid w:val="00471D40"/>
    <w:rsid w:val="00471FBF"/>
    <w:rsid w:val="00472113"/>
    <w:rsid w:val="0047299B"/>
    <w:rsid w:val="00473785"/>
    <w:rsid w:val="004750A2"/>
    <w:rsid w:val="0047517E"/>
    <w:rsid w:val="00475951"/>
    <w:rsid w:val="00476407"/>
    <w:rsid w:val="004765FF"/>
    <w:rsid w:val="0047666C"/>
    <w:rsid w:val="004767DE"/>
    <w:rsid w:val="00476C14"/>
    <w:rsid w:val="00477AE6"/>
    <w:rsid w:val="004822E4"/>
    <w:rsid w:val="004847F4"/>
    <w:rsid w:val="0048666F"/>
    <w:rsid w:val="004875F5"/>
    <w:rsid w:val="00490C92"/>
    <w:rsid w:val="00490C93"/>
    <w:rsid w:val="00490F07"/>
    <w:rsid w:val="00491398"/>
    <w:rsid w:val="004918B4"/>
    <w:rsid w:val="00492025"/>
    <w:rsid w:val="00492075"/>
    <w:rsid w:val="00492A89"/>
    <w:rsid w:val="004937BA"/>
    <w:rsid w:val="004938C8"/>
    <w:rsid w:val="00495B41"/>
    <w:rsid w:val="0049644C"/>
    <w:rsid w:val="004969AD"/>
    <w:rsid w:val="00496BE1"/>
    <w:rsid w:val="00497A8F"/>
    <w:rsid w:val="00497B67"/>
    <w:rsid w:val="004A016D"/>
    <w:rsid w:val="004A030E"/>
    <w:rsid w:val="004A03C1"/>
    <w:rsid w:val="004A0A2B"/>
    <w:rsid w:val="004A212E"/>
    <w:rsid w:val="004A416F"/>
    <w:rsid w:val="004A471E"/>
    <w:rsid w:val="004A5CF9"/>
    <w:rsid w:val="004A63D6"/>
    <w:rsid w:val="004A693F"/>
    <w:rsid w:val="004A6EC9"/>
    <w:rsid w:val="004A721F"/>
    <w:rsid w:val="004A7616"/>
    <w:rsid w:val="004A7723"/>
    <w:rsid w:val="004A7D48"/>
    <w:rsid w:val="004B04B6"/>
    <w:rsid w:val="004B06A5"/>
    <w:rsid w:val="004B13CB"/>
    <w:rsid w:val="004B1BB3"/>
    <w:rsid w:val="004B242D"/>
    <w:rsid w:val="004B2C3D"/>
    <w:rsid w:val="004B3CC4"/>
    <w:rsid w:val="004B3EC2"/>
    <w:rsid w:val="004B4573"/>
    <w:rsid w:val="004B4DEC"/>
    <w:rsid w:val="004B4FDF"/>
    <w:rsid w:val="004B55DD"/>
    <w:rsid w:val="004B5C55"/>
    <w:rsid w:val="004B6B1D"/>
    <w:rsid w:val="004B6BFC"/>
    <w:rsid w:val="004B7C8C"/>
    <w:rsid w:val="004C05C4"/>
    <w:rsid w:val="004C0883"/>
    <w:rsid w:val="004C10D3"/>
    <w:rsid w:val="004C2663"/>
    <w:rsid w:val="004C2D2D"/>
    <w:rsid w:val="004C2E3D"/>
    <w:rsid w:val="004C33D5"/>
    <w:rsid w:val="004C368B"/>
    <w:rsid w:val="004C4092"/>
    <w:rsid w:val="004C4F2F"/>
    <w:rsid w:val="004C547C"/>
    <w:rsid w:val="004C5AD0"/>
    <w:rsid w:val="004C5AD9"/>
    <w:rsid w:val="004C62A4"/>
    <w:rsid w:val="004C6601"/>
    <w:rsid w:val="004C6944"/>
    <w:rsid w:val="004C6EF9"/>
    <w:rsid w:val="004C75FD"/>
    <w:rsid w:val="004C7E24"/>
    <w:rsid w:val="004D0226"/>
    <w:rsid w:val="004D0F28"/>
    <w:rsid w:val="004D22C2"/>
    <w:rsid w:val="004D28C9"/>
    <w:rsid w:val="004D2D62"/>
    <w:rsid w:val="004D36C6"/>
    <w:rsid w:val="004D3B60"/>
    <w:rsid w:val="004D3BE3"/>
    <w:rsid w:val="004D3ED0"/>
    <w:rsid w:val="004D58B1"/>
    <w:rsid w:val="004D5D5C"/>
    <w:rsid w:val="004D6280"/>
    <w:rsid w:val="004D6486"/>
    <w:rsid w:val="004D65A0"/>
    <w:rsid w:val="004D65C8"/>
    <w:rsid w:val="004D68B7"/>
    <w:rsid w:val="004E056F"/>
    <w:rsid w:val="004E205D"/>
    <w:rsid w:val="004E28F5"/>
    <w:rsid w:val="004E3188"/>
    <w:rsid w:val="004E3673"/>
    <w:rsid w:val="004E3B3A"/>
    <w:rsid w:val="004E4010"/>
    <w:rsid w:val="004E4532"/>
    <w:rsid w:val="004E48DB"/>
    <w:rsid w:val="004E520D"/>
    <w:rsid w:val="004E5E06"/>
    <w:rsid w:val="004E5E2A"/>
    <w:rsid w:val="004E6C1E"/>
    <w:rsid w:val="004E7073"/>
    <w:rsid w:val="004E793D"/>
    <w:rsid w:val="004F0157"/>
    <w:rsid w:val="004F0EB6"/>
    <w:rsid w:val="004F1063"/>
    <w:rsid w:val="004F293E"/>
    <w:rsid w:val="004F2EEF"/>
    <w:rsid w:val="004F33DD"/>
    <w:rsid w:val="004F3A09"/>
    <w:rsid w:val="004F5DF7"/>
    <w:rsid w:val="004F626F"/>
    <w:rsid w:val="004F63D6"/>
    <w:rsid w:val="004F6937"/>
    <w:rsid w:val="004F71A0"/>
    <w:rsid w:val="004F7885"/>
    <w:rsid w:val="005002A6"/>
    <w:rsid w:val="0050139F"/>
    <w:rsid w:val="00501DF9"/>
    <w:rsid w:val="00501EE3"/>
    <w:rsid w:val="005024EA"/>
    <w:rsid w:val="00502C46"/>
    <w:rsid w:val="00503A1C"/>
    <w:rsid w:val="00503D3F"/>
    <w:rsid w:val="005043A9"/>
    <w:rsid w:val="0050460B"/>
    <w:rsid w:val="00505271"/>
    <w:rsid w:val="00505E1E"/>
    <w:rsid w:val="00506B7C"/>
    <w:rsid w:val="00506B7F"/>
    <w:rsid w:val="00506EFE"/>
    <w:rsid w:val="005079D0"/>
    <w:rsid w:val="00512476"/>
    <w:rsid w:val="0051271B"/>
    <w:rsid w:val="00512A66"/>
    <w:rsid w:val="00512E99"/>
    <w:rsid w:val="00513650"/>
    <w:rsid w:val="00513D0F"/>
    <w:rsid w:val="00514D06"/>
    <w:rsid w:val="00515678"/>
    <w:rsid w:val="00515BD8"/>
    <w:rsid w:val="00516DF8"/>
    <w:rsid w:val="00517092"/>
    <w:rsid w:val="005176DF"/>
    <w:rsid w:val="00520C6D"/>
    <w:rsid w:val="00520DC2"/>
    <w:rsid w:val="00521223"/>
    <w:rsid w:val="0052131C"/>
    <w:rsid w:val="005218B2"/>
    <w:rsid w:val="00522033"/>
    <w:rsid w:val="005223D3"/>
    <w:rsid w:val="005224E9"/>
    <w:rsid w:val="005233AC"/>
    <w:rsid w:val="00523D14"/>
    <w:rsid w:val="00523DC4"/>
    <w:rsid w:val="00523F52"/>
    <w:rsid w:val="0052435B"/>
    <w:rsid w:val="00524655"/>
    <w:rsid w:val="00524DF1"/>
    <w:rsid w:val="00527919"/>
    <w:rsid w:val="00530B0A"/>
    <w:rsid w:val="00531A9F"/>
    <w:rsid w:val="00533297"/>
    <w:rsid w:val="005342C5"/>
    <w:rsid w:val="0053719A"/>
    <w:rsid w:val="00537B1C"/>
    <w:rsid w:val="00537DC9"/>
    <w:rsid w:val="0054005B"/>
    <w:rsid w:val="005425F1"/>
    <w:rsid w:val="00542B22"/>
    <w:rsid w:val="0054309B"/>
    <w:rsid w:val="00544207"/>
    <w:rsid w:val="00544478"/>
    <w:rsid w:val="005445AD"/>
    <w:rsid w:val="0054498D"/>
    <w:rsid w:val="005450E5"/>
    <w:rsid w:val="005454FB"/>
    <w:rsid w:val="0054641A"/>
    <w:rsid w:val="00546B83"/>
    <w:rsid w:val="00550318"/>
    <w:rsid w:val="005506AB"/>
    <w:rsid w:val="0055140B"/>
    <w:rsid w:val="005515E0"/>
    <w:rsid w:val="0055180A"/>
    <w:rsid w:val="005524A1"/>
    <w:rsid w:val="0055277C"/>
    <w:rsid w:val="00553B1F"/>
    <w:rsid w:val="005547EE"/>
    <w:rsid w:val="00554C4F"/>
    <w:rsid w:val="00555B73"/>
    <w:rsid w:val="00556433"/>
    <w:rsid w:val="00556C52"/>
    <w:rsid w:val="00557323"/>
    <w:rsid w:val="005576FA"/>
    <w:rsid w:val="00557DCB"/>
    <w:rsid w:val="005612D5"/>
    <w:rsid w:val="00561A2F"/>
    <w:rsid w:val="00561D72"/>
    <w:rsid w:val="00563422"/>
    <w:rsid w:val="005639B6"/>
    <w:rsid w:val="00563D5C"/>
    <w:rsid w:val="00564202"/>
    <w:rsid w:val="005643AD"/>
    <w:rsid w:val="005650E8"/>
    <w:rsid w:val="00565D2F"/>
    <w:rsid w:val="00566DAF"/>
    <w:rsid w:val="005670F1"/>
    <w:rsid w:val="00570284"/>
    <w:rsid w:val="00570851"/>
    <w:rsid w:val="00571356"/>
    <w:rsid w:val="00571944"/>
    <w:rsid w:val="00571C74"/>
    <w:rsid w:val="00572283"/>
    <w:rsid w:val="005724E7"/>
    <w:rsid w:val="005729B0"/>
    <w:rsid w:val="005745F5"/>
    <w:rsid w:val="005751BB"/>
    <w:rsid w:val="0057675A"/>
    <w:rsid w:val="00576FCD"/>
    <w:rsid w:val="00577C1A"/>
    <w:rsid w:val="00577F3F"/>
    <w:rsid w:val="005809CA"/>
    <w:rsid w:val="00580AB4"/>
    <w:rsid w:val="00580C41"/>
    <w:rsid w:val="00580E00"/>
    <w:rsid w:val="005816BF"/>
    <w:rsid w:val="00582286"/>
    <w:rsid w:val="00583714"/>
    <w:rsid w:val="00584A13"/>
    <w:rsid w:val="0058579B"/>
    <w:rsid w:val="005859F3"/>
    <w:rsid w:val="00585C57"/>
    <w:rsid w:val="00586517"/>
    <w:rsid w:val="005866D1"/>
    <w:rsid w:val="005875AE"/>
    <w:rsid w:val="00587A91"/>
    <w:rsid w:val="00590754"/>
    <w:rsid w:val="00590AF3"/>
    <w:rsid w:val="00591147"/>
    <w:rsid w:val="005917C7"/>
    <w:rsid w:val="00592587"/>
    <w:rsid w:val="00595317"/>
    <w:rsid w:val="00595684"/>
    <w:rsid w:val="00595BD5"/>
    <w:rsid w:val="0059632F"/>
    <w:rsid w:val="005964AB"/>
    <w:rsid w:val="005A0FE1"/>
    <w:rsid w:val="005A1DD5"/>
    <w:rsid w:val="005A2CE6"/>
    <w:rsid w:val="005A2D40"/>
    <w:rsid w:val="005A4179"/>
    <w:rsid w:val="005A4755"/>
    <w:rsid w:val="005A47C0"/>
    <w:rsid w:val="005A4C8C"/>
    <w:rsid w:val="005A5381"/>
    <w:rsid w:val="005A5EDE"/>
    <w:rsid w:val="005A702E"/>
    <w:rsid w:val="005A7FE5"/>
    <w:rsid w:val="005B0351"/>
    <w:rsid w:val="005B0359"/>
    <w:rsid w:val="005B0A1F"/>
    <w:rsid w:val="005B1840"/>
    <w:rsid w:val="005B1CAD"/>
    <w:rsid w:val="005B1F92"/>
    <w:rsid w:val="005B330C"/>
    <w:rsid w:val="005B3A54"/>
    <w:rsid w:val="005B42D3"/>
    <w:rsid w:val="005B44F5"/>
    <w:rsid w:val="005B5C3D"/>
    <w:rsid w:val="005B696A"/>
    <w:rsid w:val="005C099A"/>
    <w:rsid w:val="005C2359"/>
    <w:rsid w:val="005C31A5"/>
    <w:rsid w:val="005C400E"/>
    <w:rsid w:val="005C4975"/>
    <w:rsid w:val="005C61F3"/>
    <w:rsid w:val="005C730F"/>
    <w:rsid w:val="005C78F4"/>
    <w:rsid w:val="005C7BFC"/>
    <w:rsid w:val="005D02CE"/>
    <w:rsid w:val="005D0576"/>
    <w:rsid w:val="005D061F"/>
    <w:rsid w:val="005D0D28"/>
    <w:rsid w:val="005D0EA5"/>
    <w:rsid w:val="005D1EF7"/>
    <w:rsid w:val="005D33A0"/>
    <w:rsid w:val="005D3ABB"/>
    <w:rsid w:val="005D498B"/>
    <w:rsid w:val="005D4D05"/>
    <w:rsid w:val="005D58BD"/>
    <w:rsid w:val="005D6522"/>
    <w:rsid w:val="005D6992"/>
    <w:rsid w:val="005D6DF6"/>
    <w:rsid w:val="005D70F3"/>
    <w:rsid w:val="005D7383"/>
    <w:rsid w:val="005E09F3"/>
    <w:rsid w:val="005E10C9"/>
    <w:rsid w:val="005E163E"/>
    <w:rsid w:val="005E187B"/>
    <w:rsid w:val="005E2964"/>
    <w:rsid w:val="005E34CF"/>
    <w:rsid w:val="005E464F"/>
    <w:rsid w:val="005E4C0B"/>
    <w:rsid w:val="005E58CA"/>
    <w:rsid w:val="005E61DD"/>
    <w:rsid w:val="005E6321"/>
    <w:rsid w:val="005E65F8"/>
    <w:rsid w:val="005E7468"/>
    <w:rsid w:val="005F04ED"/>
    <w:rsid w:val="005F1A16"/>
    <w:rsid w:val="005F2314"/>
    <w:rsid w:val="005F3123"/>
    <w:rsid w:val="005F4489"/>
    <w:rsid w:val="005F4537"/>
    <w:rsid w:val="005F45BA"/>
    <w:rsid w:val="005F489F"/>
    <w:rsid w:val="005F66AA"/>
    <w:rsid w:val="005F73FE"/>
    <w:rsid w:val="0060083B"/>
    <w:rsid w:val="0060106F"/>
    <w:rsid w:val="006023DF"/>
    <w:rsid w:val="00602E4A"/>
    <w:rsid w:val="00603572"/>
    <w:rsid w:val="006045E7"/>
    <w:rsid w:val="00604DD1"/>
    <w:rsid w:val="006052D5"/>
    <w:rsid w:val="00605CEB"/>
    <w:rsid w:val="00606D44"/>
    <w:rsid w:val="0060799D"/>
    <w:rsid w:val="00607E52"/>
    <w:rsid w:val="00610458"/>
    <w:rsid w:val="0061253A"/>
    <w:rsid w:val="006133C6"/>
    <w:rsid w:val="00613524"/>
    <w:rsid w:val="00613749"/>
    <w:rsid w:val="006142CD"/>
    <w:rsid w:val="00614A6D"/>
    <w:rsid w:val="00614FF6"/>
    <w:rsid w:val="00615BF2"/>
    <w:rsid w:val="00616F42"/>
    <w:rsid w:val="00617548"/>
    <w:rsid w:val="00617926"/>
    <w:rsid w:val="00617B61"/>
    <w:rsid w:val="006205BE"/>
    <w:rsid w:val="0062097A"/>
    <w:rsid w:val="006209A6"/>
    <w:rsid w:val="00621670"/>
    <w:rsid w:val="006225E5"/>
    <w:rsid w:val="00622A59"/>
    <w:rsid w:val="00622E99"/>
    <w:rsid w:val="00623F86"/>
    <w:rsid w:val="00624ABC"/>
    <w:rsid w:val="00624B4D"/>
    <w:rsid w:val="0062568F"/>
    <w:rsid w:val="0062597A"/>
    <w:rsid w:val="00626681"/>
    <w:rsid w:val="0062751D"/>
    <w:rsid w:val="00627AEB"/>
    <w:rsid w:val="006302D7"/>
    <w:rsid w:val="00630A82"/>
    <w:rsid w:val="00630B29"/>
    <w:rsid w:val="00633195"/>
    <w:rsid w:val="006347EE"/>
    <w:rsid w:val="00634DCE"/>
    <w:rsid w:val="00634F0C"/>
    <w:rsid w:val="00635715"/>
    <w:rsid w:val="00635995"/>
    <w:rsid w:val="00635D7C"/>
    <w:rsid w:val="00635FD8"/>
    <w:rsid w:val="00636129"/>
    <w:rsid w:val="0063633C"/>
    <w:rsid w:val="00637B95"/>
    <w:rsid w:val="00637D26"/>
    <w:rsid w:val="00640281"/>
    <w:rsid w:val="00640501"/>
    <w:rsid w:val="00640651"/>
    <w:rsid w:val="00642979"/>
    <w:rsid w:val="00642F8F"/>
    <w:rsid w:val="0064322F"/>
    <w:rsid w:val="006449C4"/>
    <w:rsid w:val="0064648F"/>
    <w:rsid w:val="00646AC0"/>
    <w:rsid w:val="00646D24"/>
    <w:rsid w:val="006471E1"/>
    <w:rsid w:val="00650348"/>
    <w:rsid w:val="006505D0"/>
    <w:rsid w:val="00650B3E"/>
    <w:rsid w:val="0065102A"/>
    <w:rsid w:val="006511E4"/>
    <w:rsid w:val="0065307C"/>
    <w:rsid w:val="006534CC"/>
    <w:rsid w:val="0065451C"/>
    <w:rsid w:val="0065494F"/>
    <w:rsid w:val="00655229"/>
    <w:rsid w:val="006555CC"/>
    <w:rsid w:val="006559FD"/>
    <w:rsid w:val="0065615E"/>
    <w:rsid w:val="00657027"/>
    <w:rsid w:val="00657BC8"/>
    <w:rsid w:val="00657DE0"/>
    <w:rsid w:val="006607F8"/>
    <w:rsid w:val="00660A4A"/>
    <w:rsid w:val="00660D9E"/>
    <w:rsid w:val="00661B96"/>
    <w:rsid w:val="00661D2E"/>
    <w:rsid w:val="0066214A"/>
    <w:rsid w:val="00662AA2"/>
    <w:rsid w:val="00663096"/>
    <w:rsid w:val="006634C4"/>
    <w:rsid w:val="00663ABC"/>
    <w:rsid w:val="00663DA1"/>
    <w:rsid w:val="00666922"/>
    <w:rsid w:val="00666965"/>
    <w:rsid w:val="0066698A"/>
    <w:rsid w:val="006676D7"/>
    <w:rsid w:val="00667E60"/>
    <w:rsid w:val="00667ED2"/>
    <w:rsid w:val="00670379"/>
    <w:rsid w:val="00670689"/>
    <w:rsid w:val="00670EB8"/>
    <w:rsid w:val="006715B0"/>
    <w:rsid w:val="0067183A"/>
    <w:rsid w:val="0067199F"/>
    <w:rsid w:val="00671A82"/>
    <w:rsid w:val="006730AB"/>
    <w:rsid w:val="00673C1F"/>
    <w:rsid w:val="00674103"/>
    <w:rsid w:val="006746A3"/>
    <w:rsid w:val="00674777"/>
    <w:rsid w:val="00674DCE"/>
    <w:rsid w:val="00674F27"/>
    <w:rsid w:val="00677048"/>
    <w:rsid w:val="00677895"/>
    <w:rsid w:val="006811CC"/>
    <w:rsid w:val="00681CB9"/>
    <w:rsid w:val="00683512"/>
    <w:rsid w:val="00684670"/>
    <w:rsid w:val="0068527A"/>
    <w:rsid w:val="00685313"/>
    <w:rsid w:val="00686A1A"/>
    <w:rsid w:val="00687283"/>
    <w:rsid w:val="006907E2"/>
    <w:rsid w:val="00690A91"/>
    <w:rsid w:val="00690FCE"/>
    <w:rsid w:val="0069177D"/>
    <w:rsid w:val="00691943"/>
    <w:rsid w:val="006920BF"/>
    <w:rsid w:val="00692A97"/>
    <w:rsid w:val="00692C4C"/>
    <w:rsid w:val="0069311E"/>
    <w:rsid w:val="0069363C"/>
    <w:rsid w:val="0069422F"/>
    <w:rsid w:val="00695B65"/>
    <w:rsid w:val="00696F2C"/>
    <w:rsid w:val="00697BFD"/>
    <w:rsid w:val="006A08DB"/>
    <w:rsid w:val="006A0B32"/>
    <w:rsid w:val="006A0F6E"/>
    <w:rsid w:val="006A112E"/>
    <w:rsid w:val="006A16A1"/>
    <w:rsid w:val="006A1F0B"/>
    <w:rsid w:val="006A2507"/>
    <w:rsid w:val="006A3788"/>
    <w:rsid w:val="006A4C42"/>
    <w:rsid w:val="006A5158"/>
    <w:rsid w:val="006A54CD"/>
    <w:rsid w:val="006A6B70"/>
    <w:rsid w:val="006A6E9B"/>
    <w:rsid w:val="006B005C"/>
    <w:rsid w:val="006B0198"/>
    <w:rsid w:val="006B0BE9"/>
    <w:rsid w:val="006B15F1"/>
    <w:rsid w:val="006B1B25"/>
    <w:rsid w:val="006B3E2B"/>
    <w:rsid w:val="006B434E"/>
    <w:rsid w:val="006B4C24"/>
    <w:rsid w:val="006B5C68"/>
    <w:rsid w:val="006B6508"/>
    <w:rsid w:val="006B6987"/>
    <w:rsid w:val="006B7C2A"/>
    <w:rsid w:val="006B7C86"/>
    <w:rsid w:val="006B7F0B"/>
    <w:rsid w:val="006C0D1D"/>
    <w:rsid w:val="006C163D"/>
    <w:rsid w:val="006C23DA"/>
    <w:rsid w:val="006C3497"/>
    <w:rsid w:val="006C3B1D"/>
    <w:rsid w:val="006C3DD6"/>
    <w:rsid w:val="006C4D2F"/>
    <w:rsid w:val="006C4DEF"/>
    <w:rsid w:val="006C51A9"/>
    <w:rsid w:val="006C56B4"/>
    <w:rsid w:val="006C5A24"/>
    <w:rsid w:val="006C5D8E"/>
    <w:rsid w:val="006C5F2C"/>
    <w:rsid w:val="006C64E3"/>
    <w:rsid w:val="006C6935"/>
    <w:rsid w:val="006C7650"/>
    <w:rsid w:val="006D038E"/>
    <w:rsid w:val="006D0F1F"/>
    <w:rsid w:val="006D1496"/>
    <w:rsid w:val="006D15A4"/>
    <w:rsid w:val="006D1838"/>
    <w:rsid w:val="006D1D68"/>
    <w:rsid w:val="006D1DFA"/>
    <w:rsid w:val="006D45C3"/>
    <w:rsid w:val="006D48A6"/>
    <w:rsid w:val="006D4B10"/>
    <w:rsid w:val="006D4F89"/>
    <w:rsid w:val="006D53D6"/>
    <w:rsid w:val="006D6AD4"/>
    <w:rsid w:val="006D79EA"/>
    <w:rsid w:val="006D7A3C"/>
    <w:rsid w:val="006E00E3"/>
    <w:rsid w:val="006E0E2D"/>
    <w:rsid w:val="006E1701"/>
    <w:rsid w:val="006E2278"/>
    <w:rsid w:val="006E3855"/>
    <w:rsid w:val="006E3D45"/>
    <w:rsid w:val="006E3F81"/>
    <w:rsid w:val="006E40D5"/>
    <w:rsid w:val="006E6720"/>
    <w:rsid w:val="006E6A76"/>
    <w:rsid w:val="006E6BB6"/>
    <w:rsid w:val="006E6E93"/>
    <w:rsid w:val="006E73F1"/>
    <w:rsid w:val="006E781F"/>
    <w:rsid w:val="006F0468"/>
    <w:rsid w:val="006F1CCA"/>
    <w:rsid w:val="006F32CA"/>
    <w:rsid w:val="006F38BF"/>
    <w:rsid w:val="006F50CD"/>
    <w:rsid w:val="006F5C96"/>
    <w:rsid w:val="006F6158"/>
    <w:rsid w:val="006F67EE"/>
    <w:rsid w:val="006F6D4F"/>
    <w:rsid w:val="006F73FE"/>
    <w:rsid w:val="006F7AD4"/>
    <w:rsid w:val="007008D1"/>
    <w:rsid w:val="00700B89"/>
    <w:rsid w:val="00701902"/>
    <w:rsid w:val="007029FB"/>
    <w:rsid w:val="00703784"/>
    <w:rsid w:val="00703B25"/>
    <w:rsid w:val="007044F6"/>
    <w:rsid w:val="00704ABD"/>
    <w:rsid w:val="00705894"/>
    <w:rsid w:val="0070659C"/>
    <w:rsid w:val="0071055B"/>
    <w:rsid w:val="00710FA4"/>
    <w:rsid w:val="007117C2"/>
    <w:rsid w:val="0071202B"/>
    <w:rsid w:val="007133D0"/>
    <w:rsid w:val="00713AC3"/>
    <w:rsid w:val="007149F9"/>
    <w:rsid w:val="00715351"/>
    <w:rsid w:val="00716366"/>
    <w:rsid w:val="007167A9"/>
    <w:rsid w:val="00717CFF"/>
    <w:rsid w:val="00720527"/>
    <w:rsid w:val="00720BDB"/>
    <w:rsid w:val="00720F35"/>
    <w:rsid w:val="00722949"/>
    <w:rsid w:val="00722951"/>
    <w:rsid w:val="00723802"/>
    <w:rsid w:val="00723982"/>
    <w:rsid w:val="00724F0B"/>
    <w:rsid w:val="0072522C"/>
    <w:rsid w:val="00725888"/>
    <w:rsid w:val="0072620E"/>
    <w:rsid w:val="0072639D"/>
    <w:rsid w:val="00730938"/>
    <w:rsid w:val="0073219E"/>
    <w:rsid w:val="007321ED"/>
    <w:rsid w:val="00732296"/>
    <w:rsid w:val="007335A8"/>
    <w:rsid w:val="0073381C"/>
    <w:rsid w:val="00733A30"/>
    <w:rsid w:val="00733BAA"/>
    <w:rsid w:val="00733E55"/>
    <w:rsid w:val="007342EC"/>
    <w:rsid w:val="00734A46"/>
    <w:rsid w:val="007354A7"/>
    <w:rsid w:val="00735E5D"/>
    <w:rsid w:val="00735F7F"/>
    <w:rsid w:val="00736E62"/>
    <w:rsid w:val="0073794C"/>
    <w:rsid w:val="00740407"/>
    <w:rsid w:val="00740481"/>
    <w:rsid w:val="00740598"/>
    <w:rsid w:val="0074120F"/>
    <w:rsid w:val="00741433"/>
    <w:rsid w:val="007418C3"/>
    <w:rsid w:val="007418CE"/>
    <w:rsid w:val="00741F40"/>
    <w:rsid w:val="0074204D"/>
    <w:rsid w:val="007442BF"/>
    <w:rsid w:val="00744D9C"/>
    <w:rsid w:val="00745AEE"/>
    <w:rsid w:val="007479EA"/>
    <w:rsid w:val="00747DE8"/>
    <w:rsid w:val="00750F10"/>
    <w:rsid w:val="00751A04"/>
    <w:rsid w:val="00751AD8"/>
    <w:rsid w:val="00752337"/>
    <w:rsid w:val="007527E2"/>
    <w:rsid w:val="00753102"/>
    <w:rsid w:val="00753429"/>
    <w:rsid w:val="007544FA"/>
    <w:rsid w:val="00754549"/>
    <w:rsid w:val="0075515D"/>
    <w:rsid w:val="00756B1C"/>
    <w:rsid w:val="00760C4A"/>
    <w:rsid w:val="00760DDD"/>
    <w:rsid w:val="007611A7"/>
    <w:rsid w:val="007621F7"/>
    <w:rsid w:val="007625DC"/>
    <w:rsid w:val="007627FC"/>
    <w:rsid w:val="00762860"/>
    <w:rsid w:val="00764C47"/>
    <w:rsid w:val="0076564E"/>
    <w:rsid w:val="00765F38"/>
    <w:rsid w:val="00767AFD"/>
    <w:rsid w:val="00767CE0"/>
    <w:rsid w:val="007709CE"/>
    <w:rsid w:val="00770B08"/>
    <w:rsid w:val="00771898"/>
    <w:rsid w:val="00771F2D"/>
    <w:rsid w:val="007725B9"/>
    <w:rsid w:val="0077277B"/>
    <w:rsid w:val="007737C7"/>
    <w:rsid w:val="007742CA"/>
    <w:rsid w:val="00775330"/>
    <w:rsid w:val="00775BF3"/>
    <w:rsid w:val="00775FBB"/>
    <w:rsid w:val="00776353"/>
    <w:rsid w:val="00776A1E"/>
    <w:rsid w:val="0077718C"/>
    <w:rsid w:val="0078025B"/>
    <w:rsid w:val="007813FF"/>
    <w:rsid w:val="00782058"/>
    <w:rsid w:val="00782399"/>
    <w:rsid w:val="00782722"/>
    <w:rsid w:val="00783229"/>
    <w:rsid w:val="00783772"/>
    <w:rsid w:val="00784155"/>
    <w:rsid w:val="00785EFC"/>
    <w:rsid w:val="007863AC"/>
    <w:rsid w:val="0078755A"/>
    <w:rsid w:val="00787A1A"/>
    <w:rsid w:val="00790037"/>
    <w:rsid w:val="0079097E"/>
    <w:rsid w:val="00790B94"/>
    <w:rsid w:val="00790F37"/>
    <w:rsid w:val="00791B42"/>
    <w:rsid w:val="007936B2"/>
    <w:rsid w:val="00793ACF"/>
    <w:rsid w:val="00793AF3"/>
    <w:rsid w:val="00793C38"/>
    <w:rsid w:val="0079613D"/>
    <w:rsid w:val="007962BF"/>
    <w:rsid w:val="00796747"/>
    <w:rsid w:val="007969D3"/>
    <w:rsid w:val="00796A48"/>
    <w:rsid w:val="007A08D4"/>
    <w:rsid w:val="007A2055"/>
    <w:rsid w:val="007A23B0"/>
    <w:rsid w:val="007A247E"/>
    <w:rsid w:val="007A2485"/>
    <w:rsid w:val="007A2819"/>
    <w:rsid w:val="007A2A2A"/>
    <w:rsid w:val="007A3328"/>
    <w:rsid w:val="007A39AC"/>
    <w:rsid w:val="007A6140"/>
    <w:rsid w:val="007A66E1"/>
    <w:rsid w:val="007A7100"/>
    <w:rsid w:val="007A731D"/>
    <w:rsid w:val="007A7C9D"/>
    <w:rsid w:val="007A7F65"/>
    <w:rsid w:val="007B0316"/>
    <w:rsid w:val="007B1AFE"/>
    <w:rsid w:val="007B1B0B"/>
    <w:rsid w:val="007B345D"/>
    <w:rsid w:val="007B3487"/>
    <w:rsid w:val="007B36B3"/>
    <w:rsid w:val="007B3C32"/>
    <w:rsid w:val="007B5299"/>
    <w:rsid w:val="007B6009"/>
    <w:rsid w:val="007B609A"/>
    <w:rsid w:val="007B7053"/>
    <w:rsid w:val="007B707C"/>
    <w:rsid w:val="007B7216"/>
    <w:rsid w:val="007B7B9A"/>
    <w:rsid w:val="007C036A"/>
    <w:rsid w:val="007C102A"/>
    <w:rsid w:val="007C1CEE"/>
    <w:rsid w:val="007C32FC"/>
    <w:rsid w:val="007C3321"/>
    <w:rsid w:val="007C3825"/>
    <w:rsid w:val="007C5AF8"/>
    <w:rsid w:val="007C73FF"/>
    <w:rsid w:val="007C7724"/>
    <w:rsid w:val="007C7763"/>
    <w:rsid w:val="007D00B2"/>
    <w:rsid w:val="007D04BF"/>
    <w:rsid w:val="007D06F0"/>
    <w:rsid w:val="007D1EF4"/>
    <w:rsid w:val="007D1FD7"/>
    <w:rsid w:val="007D354E"/>
    <w:rsid w:val="007D3949"/>
    <w:rsid w:val="007D3E23"/>
    <w:rsid w:val="007D41FD"/>
    <w:rsid w:val="007D45E3"/>
    <w:rsid w:val="007D5320"/>
    <w:rsid w:val="007D53CA"/>
    <w:rsid w:val="007D5B09"/>
    <w:rsid w:val="007D5C95"/>
    <w:rsid w:val="007D618D"/>
    <w:rsid w:val="007D64C8"/>
    <w:rsid w:val="007D6ACA"/>
    <w:rsid w:val="007D6F9F"/>
    <w:rsid w:val="007D7831"/>
    <w:rsid w:val="007D7BA6"/>
    <w:rsid w:val="007D7E97"/>
    <w:rsid w:val="007E17DA"/>
    <w:rsid w:val="007E2E0E"/>
    <w:rsid w:val="007E3823"/>
    <w:rsid w:val="007E5B50"/>
    <w:rsid w:val="007E64CD"/>
    <w:rsid w:val="007E684D"/>
    <w:rsid w:val="007E69F7"/>
    <w:rsid w:val="007E7680"/>
    <w:rsid w:val="007E77F4"/>
    <w:rsid w:val="007F047F"/>
    <w:rsid w:val="007F0B1C"/>
    <w:rsid w:val="007F1202"/>
    <w:rsid w:val="007F1F53"/>
    <w:rsid w:val="007F33FF"/>
    <w:rsid w:val="007F4258"/>
    <w:rsid w:val="007F4900"/>
    <w:rsid w:val="007F5017"/>
    <w:rsid w:val="007F6580"/>
    <w:rsid w:val="007F694B"/>
    <w:rsid w:val="007F69FD"/>
    <w:rsid w:val="007F735C"/>
    <w:rsid w:val="007F7CCB"/>
    <w:rsid w:val="00800972"/>
    <w:rsid w:val="00800E20"/>
    <w:rsid w:val="00801DFE"/>
    <w:rsid w:val="008027CD"/>
    <w:rsid w:val="00802DFC"/>
    <w:rsid w:val="008031AE"/>
    <w:rsid w:val="00803583"/>
    <w:rsid w:val="00803756"/>
    <w:rsid w:val="00804475"/>
    <w:rsid w:val="008056D4"/>
    <w:rsid w:val="0080586D"/>
    <w:rsid w:val="0080695B"/>
    <w:rsid w:val="008071CE"/>
    <w:rsid w:val="00807420"/>
    <w:rsid w:val="0081047D"/>
    <w:rsid w:val="00810CF9"/>
    <w:rsid w:val="0081101D"/>
    <w:rsid w:val="008113C8"/>
    <w:rsid w:val="00811633"/>
    <w:rsid w:val="00811F77"/>
    <w:rsid w:val="008120D4"/>
    <w:rsid w:val="00812417"/>
    <w:rsid w:val="00812D8D"/>
    <w:rsid w:val="0081545B"/>
    <w:rsid w:val="00816EA7"/>
    <w:rsid w:val="0081711A"/>
    <w:rsid w:val="00817AFC"/>
    <w:rsid w:val="00821C39"/>
    <w:rsid w:val="00821CEF"/>
    <w:rsid w:val="0082404B"/>
    <w:rsid w:val="008242B8"/>
    <w:rsid w:val="008245C9"/>
    <w:rsid w:val="0082753A"/>
    <w:rsid w:val="00830432"/>
    <w:rsid w:val="0083161E"/>
    <w:rsid w:val="00832828"/>
    <w:rsid w:val="008333EC"/>
    <w:rsid w:val="008334F3"/>
    <w:rsid w:val="00833775"/>
    <w:rsid w:val="008338EA"/>
    <w:rsid w:val="00834102"/>
    <w:rsid w:val="008343A0"/>
    <w:rsid w:val="008356CA"/>
    <w:rsid w:val="0083645A"/>
    <w:rsid w:val="008367F7"/>
    <w:rsid w:val="00836DA0"/>
    <w:rsid w:val="0083765B"/>
    <w:rsid w:val="00840959"/>
    <w:rsid w:val="00840B0F"/>
    <w:rsid w:val="00840B82"/>
    <w:rsid w:val="00840D3F"/>
    <w:rsid w:val="00841303"/>
    <w:rsid w:val="008421DC"/>
    <w:rsid w:val="008421E5"/>
    <w:rsid w:val="008433A5"/>
    <w:rsid w:val="0084418B"/>
    <w:rsid w:val="008449A7"/>
    <w:rsid w:val="00845640"/>
    <w:rsid w:val="00845C28"/>
    <w:rsid w:val="00845C81"/>
    <w:rsid w:val="008460B1"/>
    <w:rsid w:val="008463F8"/>
    <w:rsid w:val="00846CD6"/>
    <w:rsid w:val="008477F7"/>
    <w:rsid w:val="00850299"/>
    <w:rsid w:val="00850DF7"/>
    <w:rsid w:val="00852A91"/>
    <w:rsid w:val="00853B99"/>
    <w:rsid w:val="00855014"/>
    <w:rsid w:val="0085532D"/>
    <w:rsid w:val="00855A13"/>
    <w:rsid w:val="00855D9B"/>
    <w:rsid w:val="0085653B"/>
    <w:rsid w:val="00856855"/>
    <w:rsid w:val="00857FD5"/>
    <w:rsid w:val="00857FDE"/>
    <w:rsid w:val="0086058A"/>
    <w:rsid w:val="00860C54"/>
    <w:rsid w:val="00860F2E"/>
    <w:rsid w:val="008614FC"/>
    <w:rsid w:val="0086327E"/>
    <w:rsid w:val="008635B1"/>
    <w:rsid w:val="00863D37"/>
    <w:rsid w:val="00863E30"/>
    <w:rsid w:val="00864DBC"/>
    <w:rsid w:val="0086560B"/>
    <w:rsid w:val="00865642"/>
    <w:rsid w:val="00865A35"/>
    <w:rsid w:val="00865AA5"/>
    <w:rsid w:val="00865DF3"/>
    <w:rsid w:val="00866D7D"/>
    <w:rsid w:val="008677F1"/>
    <w:rsid w:val="00867880"/>
    <w:rsid w:val="008711AE"/>
    <w:rsid w:val="00871569"/>
    <w:rsid w:val="00871900"/>
    <w:rsid w:val="00872051"/>
    <w:rsid w:val="00872943"/>
    <w:rsid w:val="00872FC8"/>
    <w:rsid w:val="00872FE4"/>
    <w:rsid w:val="0087323E"/>
    <w:rsid w:val="00873DBB"/>
    <w:rsid w:val="008747D2"/>
    <w:rsid w:val="00874B22"/>
    <w:rsid w:val="00875209"/>
    <w:rsid w:val="00875627"/>
    <w:rsid w:val="00875F50"/>
    <w:rsid w:val="008772F7"/>
    <w:rsid w:val="00877D95"/>
    <w:rsid w:val="00877E0B"/>
    <w:rsid w:val="008801D3"/>
    <w:rsid w:val="00880B25"/>
    <w:rsid w:val="00880C45"/>
    <w:rsid w:val="0088181A"/>
    <w:rsid w:val="00882C2F"/>
    <w:rsid w:val="00882D0D"/>
    <w:rsid w:val="008830BC"/>
    <w:rsid w:val="008842B8"/>
    <w:rsid w:val="008845D0"/>
    <w:rsid w:val="00884767"/>
    <w:rsid w:val="00884BD4"/>
    <w:rsid w:val="00885089"/>
    <w:rsid w:val="00885236"/>
    <w:rsid w:val="008854D0"/>
    <w:rsid w:val="00886D15"/>
    <w:rsid w:val="00887AEF"/>
    <w:rsid w:val="0089016B"/>
    <w:rsid w:val="00891B73"/>
    <w:rsid w:val="008928EE"/>
    <w:rsid w:val="00892905"/>
    <w:rsid w:val="00892B52"/>
    <w:rsid w:val="008943E1"/>
    <w:rsid w:val="00894846"/>
    <w:rsid w:val="00894B6D"/>
    <w:rsid w:val="00894BAC"/>
    <w:rsid w:val="00894EBE"/>
    <w:rsid w:val="0089538F"/>
    <w:rsid w:val="00895764"/>
    <w:rsid w:val="008977EC"/>
    <w:rsid w:val="00897E2C"/>
    <w:rsid w:val="008A0D8D"/>
    <w:rsid w:val="008A18F2"/>
    <w:rsid w:val="008A1F4D"/>
    <w:rsid w:val="008A1F88"/>
    <w:rsid w:val="008A2B2B"/>
    <w:rsid w:val="008A2ECD"/>
    <w:rsid w:val="008A3918"/>
    <w:rsid w:val="008A3933"/>
    <w:rsid w:val="008A4072"/>
    <w:rsid w:val="008A41BC"/>
    <w:rsid w:val="008A50C3"/>
    <w:rsid w:val="008A5B1F"/>
    <w:rsid w:val="008A5D13"/>
    <w:rsid w:val="008A6805"/>
    <w:rsid w:val="008A7791"/>
    <w:rsid w:val="008B0058"/>
    <w:rsid w:val="008B013F"/>
    <w:rsid w:val="008B07CE"/>
    <w:rsid w:val="008B1511"/>
    <w:rsid w:val="008B438F"/>
    <w:rsid w:val="008B43F2"/>
    <w:rsid w:val="008B4973"/>
    <w:rsid w:val="008B5290"/>
    <w:rsid w:val="008B61EA"/>
    <w:rsid w:val="008B6CAF"/>
    <w:rsid w:val="008B6CFF"/>
    <w:rsid w:val="008B7452"/>
    <w:rsid w:val="008C3044"/>
    <w:rsid w:val="008C3930"/>
    <w:rsid w:val="008C4099"/>
    <w:rsid w:val="008C48E9"/>
    <w:rsid w:val="008C4B32"/>
    <w:rsid w:val="008C4D2B"/>
    <w:rsid w:val="008C5773"/>
    <w:rsid w:val="008D0BF6"/>
    <w:rsid w:val="008D0F4C"/>
    <w:rsid w:val="008D129D"/>
    <w:rsid w:val="008D1FE4"/>
    <w:rsid w:val="008D20C7"/>
    <w:rsid w:val="008D2190"/>
    <w:rsid w:val="008D2343"/>
    <w:rsid w:val="008D30C6"/>
    <w:rsid w:val="008D410E"/>
    <w:rsid w:val="008D6B1C"/>
    <w:rsid w:val="008D7027"/>
    <w:rsid w:val="008E151D"/>
    <w:rsid w:val="008E1B63"/>
    <w:rsid w:val="008E22B6"/>
    <w:rsid w:val="008E257A"/>
    <w:rsid w:val="008E2757"/>
    <w:rsid w:val="008E2948"/>
    <w:rsid w:val="008E34FC"/>
    <w:rsid w:val="008E36B4"/>
    <w:rsid w:val="008E409C"/>
    <w:rsid w:val="008E5C48"/>
    <w:rsid w:val="008F096E"/>
    <w:rsid w:val="008F0975"/>
    <w:rsid w:val="008F0ADB"/>
    <w:rsid w:val="008F1D07"/>
    <w:rsid w:val="008F1D97"/>
    <w:rsid w:val="008F1F45"/>
    <w:rsid w:val="008F20E8"/>
    <w:rsid w:val="008F2F30"/>
    <w:rsid w:val="008F51E6"/>
    <w:rsid w:val="008F64DE"/>
    <w:rsid w:val="008F6E86"/>
    <w:rsid w:val="009003A4"/>
    <w:rsid w:val="00902EEE"/>
    <w:rsid w:val="0090375C"/>
    <w:rsid w:val="0090377A"/>
    <w:rsid w:val="00903D75"/>
    <w:rsid w:val="009041A4"/>
    <w:rsid w:val="009054E3"/>
    <w:rsid w:val="009062E7"/>
    <w:rsid w:val="0090694C"/>
    <w:rsid w:val="00907B06"/>
    <w:rsid w:val="00907CE0"/>
    <w:rsid w:val="0091009E"/>
    <w:rsid w:val="009105FF"/>
    <w:rsid w:val="00910B26"/>
    <w:rsid w:val="0091170D"/>
    <w:rsid w:val="00911B02"/>
    <w:rsid w:val="00911BAA"/>
    <w:rsid w:val="00911EC9"/>
    <w:rsid w:val="009122EF"/>
    <w:rsid w:val="0091250D"/>
    <w:rsid w:val="009126EC"/>
    <w:rsid w:val="009131D0"/>
    <w:rsid w:val="00913C21"/>
    <w:rsid w:val="00913E56"/>
    <w:rsid w:val="009148B3"/>
    <w:rsid w:val="00915F55"/>
    <w:rsid w:val="00916786"/>
    <w:rsid w:val="00916D81"/>
    <w:rsid w:val="00916E8D"/>
    <w:rsid w:val="00916F8F"/>
    <w:rsid w:val="00920758"/>
    <w:rsid w:val="00920EB4"/>
    <w:rsid w:val="0092217E"/>
    <w:rsid w:val="009226DA"/>
    <w:rsid w:val="00922B93"/>
    <w:rsid w:val="00922F12"/>
    <w:rsid w:val="009243D6"/>
    <w:rsid w:val="009274B4"/>
    <w:rsid w:val="00927712"/>
    <w:rsid w:val="00927CE2"/>
    <w:rsid w:val="00930483"/>
    <w:rsid w:val="00930C86"/>
    <w:rsid w:val="00931EE9"/>
    <w:rsid w:val="00933932"/>
    <w:rsid w:val="00934A02"/>
    <w:rsid w:val="00934EA2"/>
    <w:rsid w:val="00936CA9"/>
    <w:rsid w:val="00936F57"/>
    <w:rsid w:val="00937459"/>
    <w:rsid w:val="0094273A"/>
    <w:rsid w:val="00942A41"/>
    <w:rsid w:val="00942CC4"/>
    <w:rsid w:val="00944A5C"/>
    <w:rsid w:val="00944B9B"/>
    <w:rsid w:val="00944F80"/>
    <w:rsid w:val="009452E0"/>
    <w:rsid w:val="009465C0"/>
    <w:rsid w:val="00946967"/>
    <w:rsid w:val="00946A78"/>
    <w:rsid w:val="00947741"/>
    <w:rsid w:val="0095001A"/>
    <w:rsid w:val="00950431"/>
    <w:rsid w:val="009506F8"/>
    <w:rsid w:val="0095077C"/>
    <w:rsid w:val="00951D1D"/>
    <w:rsid w:val="00952682"/>
    <w:rsid w:val="00952A66"/>
    <w:rsid w:val="00954E96"/>
    <w:rsid w:val="009554BD"/>
    <w:rsid w:val="00955599"/>
    <w:rsid w:val="009556DE"/>
    <w:rsid w:val="009557F3"/>
    <w:rsid w:val="0095585F"/>
    <w:rsid w:val="00956BB3"/>
    <w:rsid w:val="009572CE"/>
    <w:rsid w:val="009578E6"/>
    <w:rsid w:val="00957A5C"/>
    <w:rsid w:val="00957A67"/>
    <w:rsid w:val="00957B6C"/>
    <w:rsid w:val="009609E7"/>
    <w:rsid w:val="009615B2"/>
    <w:rsid w:val="0096260D"/>
    <w:rsid w:val="00962B05"/>
    <w:rsid w:val="00963713"/>
    <w:rsid w:val="00964127"/>
    <w:rsid w:val="0096439F"/>
    <w:rsid w:val="0096456E"/>
    <w:rsid w:val="00965FD2"/>
    <w:rsid w:val="00966064"/>
    <w:rsid w:val="009661EF"/>
    <w:rsid w:val="00966525"/>
    <w:rsid w:val="00966D19"/>
    <w:rsid w:val="0096791D"/>
    <w:rsid w:val="00967B57"/>
    <w:rsid w:val="00970CE5"/>
    <w:rsid w:val="0097149C"/>
    <w:rsid w:val="0097168D"/>
    <w:rsid w:val="00972100"/>
    <w:rsid w:val="00972339"/>
    <w:rsid w:val="00972550"/>
    <w:rsid w:val="009725C3"/>
    <w:rsid w:val="00972EDF"/>
    <w:rsid w:val="00975459"/>
    <w:rsid w:val="00975BB5"/>
    <w:rsid w:val="00976D52"/>
    <w:rsid w:val="00981393"/>
    <w:rsid w:val="009820A9"/>
    <w:rsid w:val="00982251"/>
    <w:rsid w:val="009824CF"/>
    <w:rsid w:val="00983223"/>
    <w:rsid w:val="00983A39"/>
    <w:rsid w:val="00984B1B"/>
    <w:rsid w:val="00984B33"/>
    <w:rsid w:val="00984E5D"/>
    <w:rsid w:val="00985626"/>
    <w:rsid w:val="009859B9"/>
    <w:rsid w:val="009860EA"/>
    <w:rsid w:val="009869D1"/>
    <w:rsid w:val="00986CD3"/>
    <w:rsid w:val="0098724E"/>
    <w:rsid w:val="0098774E"/>
    <w:rsid w:val="00990A00"/>
    <w:rsid w:val="00990B26"/>
    <w:rsid w:val="00991A50"/>
    <w:rsid w:val="00992F00"/>
    <w:rsid w:val="00993181"/>
    <w:rsid w:val="00993676"/>
    <w:rsid w:val="00994035"/>
    <w:rsid w:val="00994C94"/>
    <w:rsid w:val="009964C9"/>
    <w:rsid w:val="00997B11"/>
    <w:rsid w:val="009A072B"/>
    <w:rsid w:val="009A0EE6"/>
    <w:rsid w:val="009A10CD"/>
    <w:rsid w:val="009A2418"/>
    <w:rsid w:val="009A31A0"/>
    <w:rsid w:val="009A33F6"/>
    <w:rsid w:val="009A4ACE"/>
    <w:rsid w:val="009A4E6F"/>
    <w:rsid w:val="009A5794"/>
    <w:rsid w:val="009A5911"/>
    <w:rsid w:val="009A67A5"/>
    <w:rsid w:val="009A7103"/>
    <w:rsid w:val="009A7CD7"/>
    <w:rsid w:val="009B12F1"/>
    <w:rsid w:val="009B25B5"/>
    <w:rsid w:val="009B3BB7"/>
    <w:rsid w:val="009B5B24"/>
    <w:rsid w:val="009B5BEF"/>
    <w:rsid w:val="009B75FF"/>
    <w:rsid w:val="009B7B81"/>
    <w:rsid w:val="009C0124"/>
    <w:rsid w:val="009C21E1"/>
    <w:rsid w:val="009C2369"/>
    <w:rsid w:val="009C3EC8"/>
    <w:rsid w:val="009C4203"/>
    <w:rsid w:val="009C42BD"/>
    <w:rsid w:val="009C56E5"/>
    <w:rsid w:val="009C65E3"/>
    <w:rsid w:val="009C78B8"/>
    <w:rsid w:val="009D0866"/>
    <w:rsid w:val="009D09B5"/>
    <w:rsid w:val="009D0FF8"/>
    <w:rsid w:val="009D1EB3"/>
    <w:rsid w:val="009D2C8D"/>
    <w:rsid w:val="009D2DC8"/>
    <w:rsid w:val="009D4066"/>
    <w:rsid w:val="009D4AB9"/>
    <w:rsid w:val="009D4D7C"/>
    <w:rsid w:val="009D4E19"/>
    <w:rsid w:val="009D6147"/>
    <w:rsid w:val="009E053F"/>
    <w:rsid w:val="009E08BA"/>
    <w:rsid w:val="009E0C94"/>
    <w:rsid w:val="009E1B14"/>
    <w:rsid w:val="009E23E0"/>
    <w:rsid w:val="009E25A0"/>
    <w:rsid w:val="009E35F6"/>
    <w:rsid w:val="009E3A9F"/>
    <w:rsid w:val="009E469B"/>
    <w:rsid w:val="009E4E51"/>
    <w:rsid w:val="009E5FC8"/>
    <w:rsid w:val="009E662D"/>
    <w:rsid w:val="009E687A"/>
    <w:rsid w:val="009E6972"/>
    <w:rsid w:val="009E6D6C"/>
    <w:rsid w:val="009E70D3"/>
    <w:rsid w:val="009E7742"/>
    <w:rsid w:val="009F33B1"/>
    <w:rsid w:val="009F41DF"/>
    <w:rsid w:val="009F5900"/>
    <w:rsid w:val="00A00107"/>
    <w:rsid w:val="00A0066C"/>
    <w:rsid w:val="00A01B7E"/>
    <w:rsid w:val="00A02A1E"/>
    <w:rsid w:val="00A02E8B"/>
    <w:rsid w:val="00A03200"/>
    <w:rsid w:val="00A03938"/>
    <w:rsid w:val="00A03997"/>
    <w:rsid w:val="00A03C5C"/>
    <w:rsid w:val="00A0487E"/>
    <w:rsid w:val="00A05476"/>
    <w:rsid w:val="00A066F1"/>
    <w:rsid w:val="00A06BF2"/>
    <w:rsid w:val="00A104D8"/>
    <w:rsid w:val="00A109DC"/>
    <w:rsid w:val="00A112E5"/>
    <w:rsid w:val="00A124B4"/>
    <w:rsid w:val="00A128DC"/>
    <w:rsid w:val="00A130CC"/>
    <w:rsid w:val="00A13C74"/>
    <w:rsid w:val="00A141AF"/>
    <w:rsid w:val="00A14452"/>
    <w:rsid w:val="00A14B1F"/>
    <w:rsid w:val="00A16282"/>
    <w:rsid w:val="00A16543"/>
    <w:rsid w:val="00A16726"/>
    <w:rsid w:val="00A16D29"/>
    <w:rsid w:val="00A170EA"/>
    <w:rsid w:val="00A17701"/>
    <w:rsid w:val="00A177FF"/>
    <w:rsid w:val="00A20015"/>
    <w:rsid w:val="00A201E2"/>
    <w:rsid w:val="00A2048E"/>
    <w:rsid w:val="00A20E5E"/>
    <w:rsid w:val="00A226BD"/>
    <w:rsid w:val="00A232CA"/>
    <w:rsid w:val="00A2370F"/>
    <w:rsid w:val="00A23775"/>
    <w:rsid w:val="00A245C7"/>
    <w:rsid w:val="00A2460E"/>
    <w:rsid w:val="00A24681"/>
    <w:rsid w:val="00A26392"/>
    <w:rsid w:val="00A263F1"/>
    <w:rsid w:val="00A27E69"/>
    <w:rsid w:val="00A30305"/>
    <w:rsid w:val="00A3080B"/>
    <w:rsid w:val="00A30942"/>
    <w:rsid w:val="00A30F3B"/>
    <w:rsid w:val="00A31006"/>
    <w:rsid w:val="00A31D2D"/>
    <w:rsid w:val="00A31DEE"/>
    <w:rsid w:val="00A31F64"/>
    <w:rsid w:val="00A32405"/>
    <w:rsid w:val="00A32522"/>
    <w:rsid w:val="00A3306C"/>
    <w:rsid w:val="00A3326D"/>
    <w:rsid w:val="00A3328C"/>
    <w:rsid w:val="00A33303"/>
    <w:rsid w:val="00A3443C"/>
    <w:rsid w:val="00A346ED"/>
    <w:rsid w:val="00A3504D"/>
    <w:rsid w:val="00A351FE"/>
    <w:rsid w:val="00A35C19"/>
    <w:rsid w:val="00A36254"/>
    <w:rsid w:val="00A36F2A"/>
    <w:rsid w:val="00A3726E"/>
    <w:rsid w:val="00A37565"/>
    <w:rsid w:val="00A40016"/>
    <w:rsid w:val="00A406FE"/>
    <w:rsid w:val="00A415B2"/>
    <w:rsid w:val="00A4292F"/>
    <w:rsid w:val="00A4351E"/>
    <w:rsid w:val="00A442BF"/>
    <w:rsid w:val="00A4464D"/>
    <w:rsid w:val="00A44A64"/>
    <w:rsid w:val="00A4600A"/>
    <w:rsid w:val="00A4718C"/>
    <w:rsid w:val="00A47BA8"/>
    <w:rsid w:val="00A50014"/>
    <w:rsid w:val="00A503CC"/>
    <w:rsid w:val="00A51A30"/>
    <w:rsid w:val="00A51BC5"/>
    <w:rsid w:val="00A52180"/>
    <w:rsid w:val="00A52A78"/>
    <w:rsid w:val="00A52C56"/>
    <w:rsid w:val="00A5372D"/>
    <w:rsid w:val="00A538A6"/>
    <w:rsid w:val="00A53D25"/>
    <w:rsid w:val="00A54C25"/>
    <w:rsid w:val="00A55EF7"/>
    <w:rsid w:val="00A56956"/>
    <w:rsid w:val="00A608C9"/>
    <w:rsid w:val="00A60F20"/>
    <w:rsid w:val="00A62BF7"/>
    <w:rsid w:val="00A64A50"/>
    <w:rsid w:val="00A64BC5"/>
    <w:rsid w:val="00A6539E"/>
    <w:rsid w:val="00A65AF2"/>
    <w:rsid w:val="00A65CDF"/>
    <w:rsid w:val="00A66711"/>
    <w:rsid w:val="00A676E4"/>
    <w:rsid w:val="00A710E7"/>
    <w:rsid w:val="00A71DFF"/>
    <w:rsid w:val="00A725D4"/>
    <w:rsid w:val="00A7372E"/>
    <w:rsid w:val="00A738A3"/>
    <w:rsid w:val="00A739BA"/>
    <w:rsid w:val="00A74629"/>
    <w:rsid w:val="00A74DE3"/>
    <w:rsid w:val="00A74DF4"/>
    <w:rsid w:val="00A7625B"/>
    <w:rsid w:val="00A76595"/>
    <w:rsid w:val="00A77729"/>
    <w:rsid w:val="00A77D65"/>
    <w:rsid w:val="00A80447"/>
    <w:rsid w:val="00A81044"/>
    <w:rsid w:val="00A81585"/>
    <w:rsid w:val="00A819EB"/>
    <w:rsid w:val="00A81EE6"/>
    <w:rsid w:val="00A830BB"/>
    <w:rsid w:val="00A8445F"/>
    <w:rsid w:val="00A84A57"/>
    <w:rsid w:val="00A856CE"/>
    <w:rsid w:val="00A86889"/>
    <w:rsid w:val="00A8689E"/>
    <w:rsid w:val="00A90501"/>
    <w:rsid w:val="00A90616"/>
    <w:rsid w:val="00A906F0"/>
    <w:rsid w:val="00A90A72"/>
    <w:rsid w:val="00A91026"/>
    <w:rsid w:val="00A91B89"/>
    <w:rsid w:val="00A91BE1"/>
    <w:rsid w:val="00A9215A"/>
    <w:rsid w:val="00A92D0D"/>
    <w:rsid w:val="00A93172"/>
    <w:rsid w:val="00A937B4"/>
    <w:rsid w:val="00A93B85"/>
    <w:rsid w:val="00A93D7D"/>
    <w:rsid w:val="00A93E09"/>
    <w:rsid w:val="00A943E7"/>
    <w:rsid w:val="00A9489C"/>
    <w:rsid w:val="00A94C32"/>
    <w:rsid w:val="00A94FF1"/>
    <w:rsid w:val="00A95FB6"/>
    <w:rsid w:val="00A962E6"/>
    <w:rsid w:val="00A967C0"/>
    <w:rsid w:val="00A969E2"/>
    <w:rsid w:val="00A97034"/>
    <w:rsid w:val="00AA0B18"/>
    <w:rsid w:val="00AA17CD"/>
    <w:rsid w:val="00AA1C4F"/>
    <w:rsid w:val="00AA2CDA"/>
    <w:rsid w:val="00AA30FD"/>
    <w:rsid w:val="00AA3AF9"/>
    <w:rsid w:val="00AA44A4"/>
    <w:rsid w:val="00AA5724"/>
    <w:rsid w:val="00AA58D6"/>
    <w:rsid w:val="00AA5B01"/>
    <w:rsid w:val="00AA5BB6"/>
    <w:rsid w:val="00AA6124"/>
    <w:rsid w:val="00AA631F"/>
    <w:rsid w:val="00AA666F"/>
    <w:rsid w:val="00AA6ACD"/>
    <w:rsid w:val="00AA6FD6"/>
    <w:rsid w:val="00AB1BC6"/>
    <w:rsid w:val="00AB1E9C"/>
    <w:rsid w:val="00AB23DA"/>
    <w:rsid w:val="00AB293E"/>
    <w:rsid w:val="00AB2B97"/>
    <w:rsid w:val="00AB39FB"/>
    <w:rsid w:val="00AB420E"/>
    <w:rsid w:val="00AB4927"/>
    <w:rsid w:val="00AB4C35"/>
    <w:rsid w:val="00AB4E29"/>
    <w:rsid w:val="00AB5C04"/>
    <w:rsid w:val="00AB641F"/>
    <w:rsid w:val="00AB6F75"/>
    <w:rsid w:val="00AB720C"/>
    <w:rsid w:val="00AB7C09"/>
    <w:rsid w:val="00AC0040"/>
    <w:rsid w:val="00AC034F"/>
    <w:rsid w:val="00AC06BD"/>
    <w:rsid w:val="00AC0856"/>
    <w:rsid w:val="00AC1DE4"/>
    <w:rsid w:val="00AC3D37"/>
    <w:rsid w:val="00AC40E4"/>
    <w:rsid w:val="00AC5C55"/>
    <w:rsid w:val="00AC5F35"/>
    <w:rsid w:val="00AC6F62"/>
    <w:rsid w:val="00AD020D"/>
    <w:rsid w:val="00AD03DC"/>
    <w:rsid w:val="00AD0D25"/>
    <w:rsid w:val="00AD0EFF"/>
    <w:rsid w:val="00AD1E21"/>
    <w:rsid w:val="00AD25E0"/>
    <w:rsid w:val="00AD3481"/>
    <w:rsid w:val="00AD4EF3"/>
    <w:rsid w:val="00AD505B"/>
    <w:rsid w:val="00AD5DB6"/>
    <w:rsid w:val="00AD7418"/>
    <w:rsid w:val="00AD772F"/>
    <w:rsid w:val="00AE0991"/>
    <w:rsid w:val="00AE0C7E"/>
    <w:rsid w:val="00AE26DC"/>
    <w:rsid w:val="00AE2809"/>
    <w:rsid w:val="00AE3CD7"/>
    <w:rsid w:val="00AE3E1D"/>
    <w:rsid w:val="00AE3E85"/>
    <w:rsid w:val="00AE410E"/>
    <w:rsid w:val="00AE5594"/>
    <w:rsid w:val="00AE61B8"/>
    <w:rsid w:val="00AE629C"/>
    <w:rsid w:val="00AE6930"/>
    <w:rsid w:val="00AE6A69"/>
    <w:rsid w:val="00AE73C2"/>
    <w:rsid w:val="00AE7724"/>
    <w:rsid w:val="00AE7D15"/>
    <w:rsid w:val="00AE7F56"/>
    <w:rsid w:val="00AF0F0D"/>
    <w:rsid w:val="00AF11BB"/>
    <w:rsid w:val="00AF27E7"/>
    <w:rsid w:val="00AF2824"/>
    <w:rsid w:val="00AF3065"/>
    <w:rsid w:val="00AF400B"/>
    <w:rsid w:val="00AF6787"/>
    <w:rsid w:val="00AF6981"/>
    <w:rsid w:val="00AF6D52"/>
    <w:rsid w:val="00B004E5"/>
    <w:rsid w:val="00B0125A"/>
    <w:rsid w:val="00B02ABA"/>
    <w:rsid w:val="00B02DD7"/>
    <w:rsid w:val="00B037A1"/>
    <w:rsid w:val="00B057B2"/>
    <w:rsid w:val="00B06431"/>
    <w:rsid w:val="00B06E10"/>
    <w:rsid w:val="00B06E28"/>
    <w:rsid w:val="00B0748D"/>
    <w:rsid w:val="00B108AB"/>
    <w:rsid w:val="00B10A38"/>
    <w:rsid w:val="00B118AC"/>
    <w:rsid w:val="00B11997"/>
    <w:rsid w:val="00B1289C"/>
    <w:rsid w:val="00B12CC9"/>
    <w:rsid w:val="00B12F8B"/>
    <w:rsid w:val="00B13EB0"/>
    <w:rsid w:val="00B141D3"/>
    <w:rsid w:val="00B152C8"/>
    <w:rsid w:val="00B15F9D"/>
    <w:rsid w:val="00B16F55"/>
    <w:rsid w:val="00B20BD7"/>
    <w:rsid w:val="00B2101E"/>
    <w:rsid w:val="00B214A6"/>
    <w:rsid w:val="00B22386"/>
    <w:rsid w:val="00B23883"/>
    <w:rsid w:val="00B24ADD"/>
    <w:rsid w:val="00B25599"/>
    <w:rsid w:val="00B25A97"/>
    <w:rsid w:val="00B26443"/>
    <w:rsid w:val="00B26BC7"/>
    <w:rsid w:val="00B30020"/>
    <w:rsid w:val="00B30941"/>
    <w:rsid w:val="00B31A42"/>
    <w:rsid w:val="00B31C9D"/>
    <w:rsid w:val="00B31F6A"/>
    <w:rsid w:val="00B33C77"/>
    <w:rsid w:val="00B35377"/>
    <w:rsid w:val="00B40483"/>
    <w:rsid w:val="00B40A28"/>
    <w:rsid w:val="00B40C20"/>
    <w:rsid w:val="00B41208"/>
    <w:rsid w:val="00B41642"/>
    <w:rsid w:val="00B42163"/>
    <w:rsid w:val="00B42674"/>
    <w:rsid w:val="00B44154"/>
    <w:rsid w:val="00B4509F"/>
    <w:rsid w:val="00B45206"/>
    <w:rsid w:val="00B467EC"/>
    <w:rsid w:val="00B46801"/>
    <w:rsid w:val="00B46B86"/>
    <w:rsid w:val="00B47CB1"/>
    <w:rsid w:val="00B47E8C"/>
    <w:rsid w:val="00B5264D"/>
    <w:rsid w:val="00B53D04"/>
    <w:rsid w:val="00B5453F"/>
    <w:rsid w:val="00B55C69"/>
    <w:rsid w:val="00B56712"/>
    <w:rsid w:val="00B567B2"/>
    <w:rsid w:val="00B57943"/>
    <w:rsid w:val="00B57DC0"/>
    <w:rsid w:val="00B6091A"/>
    <w:rsid w:val="00B60F10"/>
    <w:rsid w:val="00B610E1"/>
    <w:rsid w:val="00B62312"/>
    <w:rsid w:val="00B627D8"/>
    <w:rsid w:val="00B630B3"/>
    <w:rsid w:val="00B6373E"/>
    <w:rsid w:val="00B6374F"/>
    <w:rsid w:val="00B639E9"/>
    <w:rsid w:val="00B643ED"/>
    <w:rsid w:val="00B64682"/>
    <w:rsid w:val="00B6491A"/>
    <w:rsid w:val="00B64DA9"/>
    <w:rsid w:val="00B6511B"/>
    <w:rsid w:val="00B6515C"/>
    <w:rsid w:val="00B6528A"/>
    <w:rsid w:val="00B65765"/>
    <w:rsid w:val="00B65DA2"/>
    <w:rsid w:val="00B668B8"/>
    <w:rsid w:val="00B674B2"/>
    <w:rsid w:val="00B67544"/>
    <w:rsid w:val="00B675B8"/>
    <w:rsid w:val="00B67BF4"/>
    <w:rsid w:val="00B71D57"/>
    <w:rsid w:val="00B72CA1"/>
    <w:rsid w:val="00B7347D"/>
    <w:rsid w:val="00B73531"/>
    <w:rsid w:val="00B73ACF"/>
    <w:rsid w:val="00B75D8B"/>
    <w:rsid w:val="00B76150"/>
    <w:rsid w:val="00B765A9"/>
    <w:rsid w:val="00B766DA"/>
    <w:rsid w:val="00B77483"/>
    <w:rsid w:val="00B80D70"/>
    <w:rsid w:val="00B80F70"/>
    <w:rsid w:val="00B817CD"/>
    <w:rsid w:val="00B83340"/>
    <w:rsid w:val="00B85688"/>
    <w:rsid w:val="00B860DF"/>
    <w:rsid w:val="00B87137"/>
    <w:rsid w:val="00B876F7"/>
    <w:rsid w:val="00B87B44"/>
    <w:rsid w:val="00B90F31"/>
    <w:rsid w:val="00B90FD2"/>
    <w:rsid w:val="00B911B2"/>
    <w:rsid w:val="00B922E3"/>
    <w:rsid w:val="00B930CB"/>
    <w:rsid w:val="00B931E3"/>
    <w:rsid w:val="00B937A3"/>
    <w:rsid w:val="00B937F5"/>
    <w:rsid w:val="00B93B70"/>
    <w:rsid w:val="00B9476D"/>
    <w:rsid w:val="00B947D0"/>
    <w:rsid w:val="00B94B2E"/>
    <w:rsid w:val="00B95155"/>
    <w:rsid w:val="00B951D0"/>
    <w:rsid w:val="00B95A39"/>
    <w:rsid w:val="00B95A84"/>
    <w:rsid w:val="00B95DA2"/>
    <w:rsid w:val="00B97069"/>
    <w:rsid w:val="00B972EC"/>
    <w:rsid w:val="00B97799"/>
    <w:rsid w:val="00B979E4"/>
    <w:rsid w:val="00B9ACEA"/>
    <w:rsid w:val="00BA06BF"/>
    <w:rsid w:val="00BA084A"/>
    <w:rsid w:val="00BA25EA"/>
    <w:rsid w:val="00BA2770"/>
    <w:rsid w:val="00BA2D9D"/>
    <w:rsid w:val="00BA2E47"/>
    <w:rsid w:val="00BA3E69"/>
    <w:rsid w:val="00BA3F40"/>
    <w:rsid w:val="00BA4677"/>
    <w:rsid w:val="00BA4719"/>
    <w:rsid w:val="00BA4B6A"/>
    <w:rsid w:val="00BA54A8"/>
    <w:rsid w:val="00BA6656"/>
    <w:rsid w:val="00BA6B37"/>
    <w:rsid w:val="00BB0038"/>
    <w:rsid w:val="00BB1994"/>
    <w:rsid w:val="00BB29C8"/>
    <w:rsid w:val="00BB2B2C"/>
    <w:rsid w:val="00BB2B49"/>
    <w:rsid w:val="00BB3A95"/>
    <w:rsid w:val="00BB4000"/>
    <w:rsid w:val="00BB5279"/>
    <w:rsid w:val="00BB59B2"/>
    <w:rsid w:val="00BB5BFB"/>
    <w:rsid w:val="00BB6500"/>
    <w:rsid w:val="00BB66A3"/>
    <w:rsid w:val="00BB68DB"/>
    <w:rsid w:val="00BB72C2"/>
    <w:rsid w:val="00BB731E"/>
    <w:rsid w:val="00BC0382"/>
    <w:rsid w:val="00BC03CD"/>
    <w:rsid w:val="00BC109A"/>
    <w:rsid w:val="00BC1D88"/>
    <w:rsid w:val="00BC39A0"/>
    <w:rsid w:val="00BC775D"/>
    <w:rsid w:val="00BC7C7D"/>
    <w:rsid w:val="00BD06BE"/>
    <w:rsid w:val="00BD167E"/>
    <w:rsid w:val="00BD1A73"/>
    <w:rsid w:val="00BD1E15"/>
    <w:rsid w:val="00BD2A33"/>
    <w:rsid w:val="00BD319C"/>
    <w:rsid w:val="00BD3C46"/>
    <w:rsid w:val="00BD4323"/>
    <w:rsid w:val="00BD4A03"/>
    <w:rsid w:val="00BD4DB6"/>
    <w:rsid w:val="00BD4FCD"/>
    <w:rsid w:val="00BD62C6"/>
    <w:rsid w:val="00BD73B5"/>
    <w:rsid w:val="00BD7B79"/>
    <w:rsid w:val="00BD7D62"/>
    <w:rsid w:val="00BE016B"/>
    <w:rsid w:val="00BE18E1"/>
    <w:rsid w:val="00BE1C77"/>
    <w:rsid w:val="00BE317E"/>
    <w:rsid w:val="00BE32B3"/>
    <w:rsid w:val="00BE3468"/>
    <w:rsid w:val="00BE3544"/>
    <w:rsid w:val="00BE375F"/>
    <w:rsid w:val="00BE43B4"/>
    <w:rsid w:val="00BE5E82"/>
    <w:rsid w:val="00BE7302"/>
    <w:rsid w:val="00BF002E"/>
    <w:rsid w:val="00BF0593"/>
    <w:rsid w:val="00BF152D"/>
    <w:rsid w:val="00BF38EA"/>
    <w:rsid w:val="00BF5B1F"/>
    <w:rsid w:val="00BF5B22"/>
    <w:rsid w:val="00BF5BFA"/>
    <w:rsid w:val="00BF6353"/>
    <w:rsid w:val="00BF7819"/>
    <w:rsid w:val="00C0018F"/>
    <w:rsid w:val="00C00FED"/>
    <w:rsid w:val="00C02A51"/>
    <w:rsid w:val="00C034B0"/>
    <w:rsid w:val="00C040EB"/>
    <w:rsid w:val="00C048A2"/>
    <w:rsid w:val="00C051CA"/>
    <w:rsid w:val="00C0624E"/>
    <w:rsid w:val="00C07024"/>
    <w:rsid w:val="00C07ECF"/>
    <w:rsid w:val="00C10F70"/>
    <w:rsid w:val="00C116B2"/>
    <w:rsid w:val="00C11C47"/>
    <w:rsid w:val="00C11EC8"/>
    <w:rsid w:val="00C15835"/>
    <w:rsid w:val="00C15C48"/>
    <w:rsid w:val="00C15EAC"/>
    <w:rsid w:val="00C16783"/>
    <w:rsid w:val="00C16D30"/>
    <w:rsid w:val="00C20229"/>
    <w:rsid w:val="00C20277"/>
    <w:rsid w:val="00C20466"/>
    <w:rsid w:val="00C209CB"/>
    <w:rsid w:val="00C211C3"/>
    <w:rsid w:val="00C2145C"/>
    <w:rsid w:val="00C214ED"/>
    <w:rsid w:val="00C21CB9"/>
    <w:rsid w:val="00C22711"/>
    <w:rsid w:val="00C22B57"/>
    <w:rsid w:val="00C234E6"/>
    <w:rsid w:val="00C257B3"/>
    <w:rsid w:val="00C25B78"/>
    <w:rsid w:val="00C2613A"/>
    <w:rsid w:val="00C27497"/>
    <w:rsid w:val="00C30394"/>
    <w:rsid w:val="00C30C93"/>
    <w:rsid w:val="00C30F27"/>
    <w:rsid w:val="00C31722"/>
    <w:rsid w:val="00C322F5"/>
    <w:rsid w:val="00C324A8"/>
    <w:rsid w:val="00C32A81"/>
    <w:rsid w:val="00C32DC4"/>
    <w:rsid w:val="00C330B0"/>
    <w:rsid w:val="00C334D0"/>
    <w:rsid w:val="00C336CC"/>
    <w:rsid w:val="00C33E1A"/>
    <w:rsid w:val="00C3542C"/>
    <w:rsid w:val="00C367B6"/>
    <w:rsid w:val="00C37705"/>
    <w:rsid w:val="00C4095A"/>
    <w:rsid w:val="00C40A09"/>
    <w:rsid w:val="00C41140"/>
    <w:rsid w:val="00C4216D"/>
    <w:rsid w:val="00C42733"/>
    <w:rsid w:val="00C436D4"/>
    <w:rsid w:val="00C43732"/>
    <w:rsid w:val="00C43C26"/>
    <w:rsid w:val="00C445F2"/>
    <w:rsid w:val="00C45C1E"/>
    <w:rsid w:val="00C46154"/>
    <w:rsid w:val="00C46991"/>
    <w:rsid w:val="00C469C7"/>
    <w:rsid w:val="00C47685"/>
    <w:rsid w:val="00C4791D"/>
    <w:rsid w:val="00C5084F"/>
    <w:rsid w:val="00C50BBF"/>
    <w:rsid w:val="00C50F7D"/>
    <w:rsid w:val="00C51349"/>
    <w:rsid w:val="00C53029"/>
    <w:rsid w:val="00C53E72"/>
    <w:rsid w:val="00C5445E"/>
    <w:rsid w:val="00C54498"/>
    <w:rsid w:val="00C54517"/>
    <w:rsid w:val="00C554E1"/>
    <w:rsid w:val="00C55E83"/>
    <w:rsid w:val="00C56FAE"/>
    <w:rsid w:val="00C57180"/>
    <w:rsid w:val="00C576B3"/>
    <w:rsid w:val="00C6002D"/>
    <w:rsid w:val="00C6098F"/>
    <w:rsid w:val="00C610DC"/>
    <w:rsid w:val="00C621E5"/>
    <w:rsid w:val="00C622C1"/>
    <w:rsid w:val="00C638AC"/>
    <w:rsid w:val="00C63D80"/>
    <w:rsid w:val="00C64A76"/>
    <w:rsid w:val="00C64C3D"/>
    <w:rsid w:val="00C64CD8"/>
    <w:rsid w:val="00C6569E"/>
    <w:rsid w:val="00C65A7A"/>
    <w:rsid w:val="00C65DDC"/>
    <w:rsid w:val="00C67140"/>
    <w:rsid w:val="00C676F1"/>
    <w:rsid w:val="00C67F6F"/>
    <w:rsid w:val="00C70228"/>
    <w:rsid w:val="00C70997"/>
    <w:rsid w:val="00C712A7"/>
    <w:rsid w:val="00C71A29"/>
    <w:rsid w:val="00C72C8F"/>
    <w:rsid w:val="00C759F3"/>
    <w:rsid w:val="00C75B59"/>
    <w:rsid w:val="00C77D8A"/>
    <w:rsid w:val="00C8006B"/>
    <w:rsid w:val="00C80BDC"/>
    <w:rsid w:val="00C81A64"/>
    <w:rsid w:val="00C81DC2"/>
    <w:rsid w:val="00C8339C"/>
    <w:rsid w:val="00C840D9"/>
    <w:rsid w:val="00C8426E"/>
    <w:rsid w:val="00C856FA"/>
    <w:rsid w:val="00C86369"/>
    <w:rsid w:val="00C9196A"/>
    <w:rsid w:val="00C91D5F"/>
    <w:rsid w:val="00C93261"/>
    <w:rsid w:val="00C93571"/>
    <w:rsid w:val="00C93C3A"/>
    <w:rsid w:val="00C94FB1"/>
    <w:rsid w:val="00C95AC3"/>
    <w:rsid w:val="00C95F81"/>
    <w:rsid w:val="00C966EE"/>
    <w:rsid w:val="00C9741B"/>
    <w:rsid w:val="00C974A6"/>
    <w:rsid w:val="00C97C68"/>
    <w:rsid w:val="00C97E63"/>
    <w:rsid w:val="00CA00F3"/>
    <w:rsid w:val="00CA1A47"/>
    <w:rsid w:val="00CA1BE1"/>
    <w:rsid w:val="00CA2F79"/>
    <w:rsid w:val="00CA46E1"/>
    <w:rsid w:val="00CA5815"/>
    <w:rsid w:val="00CA5FD4"/>
    <w:rsid w:val="00CA65F5"/>
    <w:rsid w:val="00CA73F1"/>
    <w:rsid w:val="00CB0E6B"/>
    <w:rsid w:val="00CB33BC"/>
    <w:rsid w:val="00CB36FE"/>
    <w:rsid w:val="00CB4E0E"/>
    <w:rsid w:val="00CB5E3F"/>
    <w:rsid w:val="00CB6410"/>
    <w:rsid w:val="00CB6D62"/>
    <w:rsid w:val="00CB6FC6"/>
    <w:rsid w:val="00CB727A"/>
    <w:rsid w:val="00CB7522"/>
    <w:rsid w:val="00CB7E38"/>
    <w:rsid w:val="00CC00D9"/>
    <w:rsid w:val="00CC01DC"/>
    <w:rsid w:val="00CC0725"/>
    <w:rsid w:val="00CC0E03"/>
    <w:rsid w:val="00CC247A"/>
    <w:rsid w:val="00CC2BC2"/>
    <w:rsid w:val="00CC3333"/>
    <w:rsid w:val="00CC4B7A"/>
    <w:rsid w:val="00CC4F54"/>
    <w:rsid w:val="00CC736E"/>
    <w:rsid w:val="00CD0068"/>
    <w:rsid w:val="00CD157C"/>
    <w:rsid w:val="00CD19D8"/>
    <w:rsid w:val="00CD22A7"/>
    <w:rsid w:val="00CD2977"/>
    <w:rsid w:val="00CD401D"/>
    <w:rsid w:val="00CD4163"/>
    <w:rsid w:val="00CD46D2"/>
    <w:rsid w:val="00CD6467"/>
    <w:rsid w:val="00CD6966"/>
    <w:rsid w:val="00CD6A46"/>
    <w:rsid w:val="00CD7421"/>
    <w:rsid w:val="00CD77C7"/>
    <w:rsid w:val="00CD78F3"/>
    <w:rsid w:val="00CD7CA8"/>
    <w:rsid w:val="00CE01ED"/>
    <w:rsid w:val="00CE020E"/>
    <w:rsid w:val="00CE03AA"/>
    <w:rsid w:val="00CE13E9"/>
    <w:rsid w:val="00CE2237"/>
    <w:rsid w:val="00CE27F9"/>
    <w:rsid w:val="00CE2A5F"/>
    <w:rsid w:val="00CE2FDD"/>
    <w:rsid w:val="00CE415D"/>
    <w:rsid w:val="00CE5C3D"/>
    <w:rsid w:val="00CE5CB6"/>
    <w:rsid w:val="00CE5D7D"/>
    <w:rsid w:val="00CE5E47"/>
    <w:rsid w:val="00CE63C7"/>
    <w:rsid w:val="00CE6488"/>
    <w:rsid w:val="00CE66B8"/>
    <w:rsid w:val="00CE6D21"/>
    <w:rsid w:val="00CE6F09"/>
    <w:rsid w:val="00CE70DA"/>
    <w:rsid w:val="00CE7D77"/>
    <w:rsid w:val="00CE7D9F"/>
    <w:rsid w:val="00CE7E83"/>
    <w:rsid w:val="00CF0106"/>
    <w:rsid w:val="00CF020F"/>
    <w:rsid w:val="00CF0CFB"/>
    <w:rsid w:val="00CF0F21"/>
    <w:rsid w:val="00CF0FE5"/>
    <w:rsid w:val="00CF1CE4"/>
    <w:rsid w:val="00CF222A"/>
    <w:rsid w:val="00CF2B5B"/>
    <w:rsid w:val="00CF472D"/>
    <w:rsid w:val="00CF47EF"/>
    <w:rsid w:val="00CF4C68"/>
    <w:rsid w:val="00CF7DD2"/>
    <w:rsid w:val="00D0141A"/>
    <w:rsid w:val="00D02058"/>
    <w:rsid w:val="00D02916"/>
    <w:rsid w:val="00D0334A"/>
    <w:rsid w:val="00D036F4"/>
    <w:rsid w:val="00D041DF"/>
    <w:rsid w:val="00D046A6"/>
    <w:rsid w:val="00D04B75"/>
    <w:rsid w:val="00D05C83"/>
    <w:rsid w:val="00D06257"/>
    <w:rsid w:val="00D07ECC"/>
    <w:rsid w:val="00D10685"/>
    <w:rsid w:val="00D1122D"/>
    <w:rsid w:val="00D1140E"/>
    <w:rsid w:val="00D115C0"/>
    <w:rsid w:val="00D1254F"/>
    <w:rsid w:val="00D1274F"/>
    <w:rsid w:val="00D132D1"/>
    <w:rsid w:val="00D13599"/>
    <w:rsid w:val="00D14CE0"/>
    <w:rsid w:val="00D14FC9"/>
    <w:rsid w:val="00D16EF1"/>
    <w:rsid w:val="00D17BF5"/>
    <w:rsid w:val="00D20BBF"/>
    <w:rsid w:val="00D21658"/>
    <w:rsid w:val="00D22395"/>
    <w:rsid w:val="00D22F0E"/>
    <w:rsid w:val="00D230A6"/>
    <w:rsid w:val="00D23E88"/>
    <w:rsid w:val="00D24898"/>
    <w:rsid w:val="00D25374"/>
    <w:rsid w:val="00D25C0F"/>
    <w:rsid w:val="00D27DF1"/>
    <w:rsid w:val="00D30EB0"/>
    <w:rsid w:val="00D322DC"/>
    <w:rsid w:val="00D3353D"/>
    <w:rsid w:val="00D33BCB"/>
    <w:rsid w:val="00D34DFB"/>
    <w:rsid w:val="00D36333"/>
    <w:rsid w:val="00D36645"/>
    <w:rsid w:val="00D373B3"/>
    <w:rsid w:val="00D4156F"/>
    <w:rsid w:val="00D417AB"/>
    <w:rsid w:val="00D41907"/>
    <w:rsid w:val="00D42026"/>
    <w:rsid w:val="00D42557"/>
    <w:rsid w:val="00D43272"/>
    <w:rsid w:val="00D43307"/>
    <w:rsid w:val="00D44740"/>
    <w:rsid w:val="00D44A61"/>
    <w:rsid w:val="00D45A64"/>
    <w:rsid w:val="00D45B2E"/>
    <w:rsid w:val="00D45E58"/>
    <w:rsid w:val="00D46249"/>
    <w:rsid w:val="00D466BF"/>
    <w:rsid w:val="00D51577"/>
    <w:rsid w:val="00D51D43"/>
    <w:rsid w:val="00D53CDF"/>
    <w:rsid w:val="00D540D2"/>
    <w:rsid w:val="00D54B57"/>
    <w:rsid w:val="00D5651D"/>
    <w:rsid w:val="00D56577"/>
    <w:rsid w:val="00D5658D"/>
    <w:rsid w:val="00D567CB"/>
    <w:rsid w:val="00D56F21"/>
    <w:rsid w:val="00D56FE6"/>
    <w:rsid w:val="00D60305"/>
    <w:rsid w:val="00D60356"/>
    <w:rsid w:val="00D60596"/>
    <w:rsid w:val="00D6080F"/>
    <w:rsid w:val="00D60EAA"/>
    <w:rsid w:val="00D616E4"/>
    <w:rsid w:val="00D62FDF"/>
    <w:rsid w:val="00D63AC5"/>
    <w:rsid w:val="00D63E4E"/>
    <w:rsid w:val="00D65048"/>
    <w:rsid w:val="00D65E2D"/>
    <w:rsid w:val="00D65E55"/>
    <w:rsid w:val="00D674F1"/>
    <w:rsid w:val="00D6765A"/>
    <w:rsid w:val="00D6787E"/>
    <w:rsid w:val="00D7086B"/>
    <w:rsid w:val="00D718C2"/>
    <w:rsid w:val="00D718ED"/>
    <w:rsid w:val="00D736C9"/>
    <w:rsid w:val="00D74427"/>
    <w:rsid w:val="00D747F3"/>
    <w:rsid w:val="00D74898"/>
    <w:rsid w:val="00D756FB"/>
    <w:rsid w:val="00D761DE"/>
    <w:rsid w:val="00D7686D"/>
    <w:rsid w:val="00D801ED"/>
    <w:rsid w:val="00D8052E"/>
    <w:rsid w:val="00D81C68"/>
    <w:rsid w:val="00D81E1F"/>
    <w:rsid w:val="00D82487"/>
    <w:rsid w:val="00D8267D"/>
    <w:rsid w:val="00D83BF5"/>
    <w:rsid w:val="00D84391"/>
    <w:rsid w:val="00D847A4"/>
    <w:rsid w:val="00D84F32"/>
    <w:rsid w:val="00D85A95"/>
    <w:rsid w:val="00D86CB8"/>
    <w:rsid w:val="00D87CE5"/>
    <w:rsid w:val="00D925C2"/>
    <w:rsid w:val="00D93435"/>
    <w:rsid w:val="00D936BC"/>
    <w:rsid w:val="00D9621A"/>
    <w:rsid w:val="00D96530"/>
    <w:rsid w:val="00D967CF"/>
    <w:rsid w:val="00D968A0"/>
    <w:rsid w:val="00D96B4B"/>
    <w:rsid w:val="00D97E16"/>
    <w:rsid w:val="00DA055C"/>
    <w:rsid w:val="00DA0BEC"/>
    <w:rsid w:val="00DA0E89"/>
    <w:rsid w:val="00DA2345"/>
    <w:rsid w:val="00DA270C"/>
    <w:rsid w:val="00DA29FB"/>
    <w:rsid w:val="00DA420B"/>
    <w:rsid w:val="00DA453A"/>
    <w:rsid w:val="00DA4FC4"/>
    <w:rsid w:val="00DA7078"/>
    <w:rsid w:val="00DB0554"/>
    <w:rsid w:val="00DB0BD2"/>
    <w:rsid w:val="00DB1819"/>
    <w:rsid w:val="00DB2A1E"/>
    <w:rsid w:val="00DB3AF1"/>
    <w:rsid w:val="00DB4748"/>
    <w:rsid w:val="00DB6404"/>
    <w:rsid w:val="00DB6829"/>
    <w:rsid w:val="00DB6FD7"/>
    <w:rsid w:val="00DB705A"/>
    <w:rsid w:val="00DB770A"/>
    <w:rsid w:val="00DB771B"/>
    <w:rsid w:val="00DC0BD6"/>
    <w:rsid w:val="00DC346C"/>
    <w:rsid w:val="00DC359C"/>
    <w:rsid w:val="00DC4121"/>
    <w:rsid w:val="00DC4864"/>
    <w:rsid w:val="00DC4ACE"/>
    <w:rsid w:val="00DC4CB0"/>
    <w:rsid w:val="00DC5429"/>
    <w:rsid w:val="00DC5A07"/>
    <w:rsid w:val="00DC5D72"/>
    <w:rsid w:val="00DC64F7"/>
    <w:rsid w:val="00DC6985"/>
    <w:rsid w:val="00DC7551"/>
    <w:rsid w:val="00DD02D0"/>
    <w:rsid w:val="00DD06E4"/>
    <w:rsid w:val="00DD08B4"/>
    <w:rsid w:val="00DD1D56"/>
    <w:rsid w:val="00DD2A9E"/>
    <w:rsid w:val="00DD44AF"/>
    <w:rsid w:val="00DD4896"/>
    <w:rsid w:val="00DD4A53"/>
    <w:rsid w:val="00DD5ACE"/>
    <w:rsid w:val="00DE08E2"/>
    <w:rsid w:val="00DE08EE"/>
    <w:rsid w:val="00DE1078"/>
    <w:rsid w:val="00DE1A40"/>
    <w:rsid w:val="00DE1F6D"/>
    <w:rsid w:val="00DE20CA"/>
    <w:rsid w:val="00DE2273"/>
    <w:rsid w:val="00DE2289"/>
    <w:rsid w:val="00DE2AC3"/>
    <w:rsid w:val="00DE2C84"/>
    <w:rsid w:val="00DE30DB"/>
    <w:rsid w:val="00DE3AA4"/>
    <w:rsid w:val="00DE3F04"/>
    <w:rsid w:val="00DE4122"/>
    <w:rsid w:val="00DE434C"/>
    <w:rsid w:val="00DE5381"/>
    <w:rsid w:val="00DE5692"/>
    <w:rsid w:val="00DF019F"/>
    <w:rsid w:val="00DF01C2"/>
    <w:rsid w:val="00DF16A5"/>
    <w:rsid w:val="00DF1CDF"/>
    <w:rsid w:val="00DF2C5B"/>
    <w:rsid w:val="00DF2E9D"/>
    <w:rsid w:val="00DF2E9E"/>
    <w:rsid w:val="00DF3899"/>
    <w:rsid w:val="00DF3B7E"/>
    <w:rsid w:val="00DF410D"/>
    <w:rsid w:val="00DF42F3"/>
    <w:rsid w:val="00DF6672"/>
    <w:rsid w:val="00DF68D8"/>
    <w:rsid w:val="00DF6F8E"/>
    <w:rsid w:val="00DF7DA6"/>
    <w:rsid w:val="00E002F6"/>
    <w:rsid w:val="00E00606"/>
    <w:rsid w:val="00E00976"/>
    <w:rsid w:val="00E00DD7"/>
    <w:rsid w:val="00E013D7"/>
    <w:rsid w:val="00E01C20"/>
    <w:rsid w:val="00E03C94"/>
    <w:rsid w:val="00E050C2"/>
    <w:rsid w:val="00E05C30"/>
    <w:rsid w:val="00E06614"/>
    <w:rsid w:val="00E069D4"/>
    <w:rsid w:val="00E07105"/>
    <w:rsid w:val="00E07ECE"/>
    <w:rsid w:val="00E1018A"/>
    <w:rsid w:val="00E103CE"/>
    <w:rsid w:val="00E123EF"/>
    <w:rsid w:val="00E12DB6"/>
    <w:rsid w:val="00E13958"/>
    <w:rsid w:val="00E14147"/>
    <w:rsid w:val="00E150E9"/>
    <w:rsid w:val="00E15467"/>
    <w:rsid w:val="00E15FB7"/>
    <w:rsid w:val="00E16FDE"/>
    <w:rsid w:val="00E17885"/>
    <w:rsid w:val="00E218CF"/>
    <w:rsid w:val="00E23DBE"/>
    <w:rsid w:val="00E248A6"/>
    <w:rsid w:val="00E2496A"/>
    <w:rsid w:val="00E24F09"/>
    <w:rsid w:val="00E25179"/>
    <w:rsid w:val="00E25977"/>
    <w:rsid w:val="00E26226"/>
    <w:rsid w:val="00E26AC5"/>
    <w:rsid w:val="00E26B3E"/>
    <w:rsid w:val="00E26F55"/>
    <w:rsid w:val="00E27C35"/>
    <w:rsid w:val="00E27C47"/>
    <w:rsid w:val="00E3076C"/>
    <w:rsid w:val="00E31127"/>
    <w:rsid w:val="00E3151A"/>
    <w:rsid w:val="00E31A07"/>
    <w:rsid w:val="00E31E04"/>
    <w:rsid w:val="00E3381F"/>
    <w:rsid w:val="00E3443E"/>
    <w:rsid w:val="00E353F3"/>
    <w:rsid w:val="00E354B2"/>
    <w:rsid w:val="00E35548"/>
    <w:rsid w:val="00E358BF"/>
    <w:rsid w:val="00E412B0"/>
    <w:rsid w:val="00E41598"/>
    <w:rsid w:val="00E4165C"/>
    <w:rsid w:val="00E41C3E"/>
    <w:rsid w:val="00E4206D"/>
    <w:rsid w:val="00E42E9A"/>
    <w:rsid w:val="00E43DE8"/>
    <w:rsid w:val="00E445C2"/>
    <w:rsid w:val="00E44A93"/>
    <w:rsid w:val="00E45491"/>
    <w:rsid w:val="00E45D05"/>
    <w:rsid w:val="00E45ED6"/>
    <w:rsid w:val="00E46DD0"/>
    <w:rsid w:val="00E47194"/>
    <w:rsid w:val="00E50990"/>
    <w:rsid w:val="00E51180"/>
    <w:rsid w:val="00E51996"/>
    <w:rsid w:val="00E5217B"/>
    <w:rsid w:val="00E5458C"/>
    <w:rsid w:val="00E54A6E"/>
    <w:rsid w:val="00E55243"/>
    <w:rsid w:val="00E5537A"/>
    <w:rsid w:val="00E55816"/>
    <w:rsid w:val="00E55AEF"/>
    <w:rsid w:val="00E56ECA"/>
    <w:rsid w:val="00E57BDF"/>
    <w:rsid w:val="00E61017"/>
    <w:rsid w:val="00E62F97"/>
    <w:rsid w:val="00E649AD"/>
    <w:rsid w:val="00E64E9D"/>
    <w:rsid w:val="00E66F68"/>
    <w:rsid w:val="00E67082"/>
    <w:rsid w:val="00E701F4"/>
    <w:rsid w:val="00E70AE2"/>
    <w:rsid w:val="00E71D9A"/>
    <w:rsid w:val="00E71F24"/>
    <w:rsid w:val="00E71F26"/>
    <w:rsid w:val="00E724AC"/>
    <w:rsid w:val="00E73D15"/>
    <w:rsid w:val="00E74E97"/>
    <w:rsid w:val="00E75B86"/>
    <w:rsid w:val="00E76468"/>
    <w:rsid w:val="00E76CED"/>
    <w:rsid w:val="00E773B5"/>
    <w:rsid w:val="00E8022A"/>
    <w:rsid w:val="00E81510"/>
    <w:rsid w:val="00E824AD"/>
    <w:rsid w:val="00E82EB5"/>
    <w:rsid w:val="00E83267"/>
    <w:rsid w:val="00E83591"/>
    <w:rsid w:val="00E83F3B"/>
    <w:rsid w:val="00E84477"/>
    <w:rsid w:val="00E8715B"/>
    <w:rsid w:val="00E876AF"/>
    <w:rsid w:val="00E91A50"/>
    <w:rsid w:val="00E92948"/>
    <w:rsid w:val="00E941C2"/>
    <w:rsid w:val="00E954C2"/>
    <w:rsid w:val="00E95606"/>
    <w:rsid w:val="00E96C8A"/>
    <w:rsid w:val="00E96C9B"/>
    <w:rsid w:val="00E96CA8"/>
    <w:rsid w:val="00E9716D"/>
    <w:rsid w:val="00E974A1"/>
    <w:rsid w:val="00E975EE"/>
    <w:rsid w:val="00E976C1"/>
    <w:rsid w:val="00EA09FB"/>
    <w:rsid w:val="00EA1034"/>
    <w:rsid w:val="00EA12E5"/>
    <w:rsid w:val="00EA1797"/>
    <w:rsid w:val="00EA20A1"/>
    <w:rsid w:val="00EA2354"/>
    <w:rsid w:val="00EA25A2"/>
    <w:rsid w:val="00EA29B5"/>
    <w:rsid w:val="00EA2C84"/>
    <w:rsid w:val="00EA2E73"/>
    <w:rsid w:val="00EA3A22"/>
    <w:rsid w:val="00EA3C1E"/>
    <w:rsid w:val="00EA3F1F"/>
    <w:rsid w:val="00EA4144"/>
    <w:rsid w:val="00EA49BF"/>
    <w:rsid w:val="00EA663D"/>
    <w:rsid w:val="00EA682C"/>
    <w:rsid w:val="00EA6B2A"/>
    <w:rsid w:val="00EA7861"/>
    <w:rsid w:val="00EB02E7"/>
    <w:rsid w:val="00EB09D9"/>
    <w:rsid w:val="00EB14E0"/>
    <w:rsid w:val="00EB1B45"/>
    <w:rsid w:val="00EB219D"/>
    <w:rsid w:val="00EB2A7E"/>
    <w:rsid w:val="00EB5336"/>
    <w:rsid w:val="00EB7782"/>
    <w:rsid w:val="00EC075D"/>
    <w:rsid w:val="00EC1B1E"/>
    <w:rsid w:val="00EC1D4F"/>
    <w:rsid w:val="00EC2C05"/>
    <w:rsid w:val="00EC2F38"/>
    <w:rsid w:val="00EC32E8"/>
    <w:rsid w:val="00EC350E"/>
    <w:rsid w:val="00EC4AEF"/>
    <w:rsid w:val="00EC4DCA"/>
    <w:rsid w:val="00EC4E9B"/>
    <w:rsid w:val="00EC7074"/>
    <w:rsid w:val="00EC70FB"/>
    <w:rsid w:val="00EC72E2"/>
    <w:rsid w:val="00EC73BB"/>
    <w:rsid w:val="00EC7813"/>
    <w:rsid w:val="00EC7F4A"/>
    <w:rsid w:val="00ED0176"/>
    <w:rsid w:val="00ED042F"/>
    <w:rsid w:val="00ED2DF3"/>
    <w:rsid w:val="00ED3073"/>
    <w:rsid w:val="00ED471E"/>
    <w:rsid w:val="00ED4E18"/>
    <w:rsid w:val="00ED68E3"/>
    <w:rsid w:val="00ED754F"/>
    <w:rsid w:val="00ED7BFD"/>
    <w:rsid w:val="00ED7FB7"/>
    <w:rsid w:val="00EE1B28"/>
    <w:rsid w:val="00EE1BEA"/>
    <w:rsid w:val="00EE27E7"/>
    <w:rsid w:val="00EE411B"/>
    <w:rsid w:val="00EE6E32"/>
    <w:rsid w:val="00EE6FDB"/>
    <w:rsid w:val="00EE729E"/>
    <w:rsid w:val="00EE72FE"/>
    <w:rsid w:val="00EE73FC"/>
    <w:rsid w:val="00EE7C18"/>
    <w:rsid w:val="00EE7CDF"/>
    <w:rsid w:val="00EF2C87"/>
    <w:rsid w:val="00EF2F40"/>
    <w:rsid w:val="00EF3307"/>
    <w:rsid w:val="00EF3693"/>
    <w:rsid w:val="00EF3805"/>
    <w:rsid w:val="00EF3980"/>
    <w:rsid w:val="00EF49DB"/>
    <w:rsid w:val="00EF4A90"/>
    <w:rsid w:val="00EF53A1"/>
    <w:rsid w:val="00EF57BD"/>
    <w:rsid w:val="00EF5EB5"/>
    <w:rsid w:val="00EF6211"/>
    <w:rsid w:val="00EF7811"/>
    <w:rsid w:val="00F0014B"/>
    <w:rsid w:val="00F0158D"/>
    <w:rsid w:val="00F01D40"/>
    <w:rsid w:val="00F02766"/>
    <w:rsid w:val="00F0332A"/>
    <w:rsid w:val="00F0333E"/>
    <w:rsid w:val="00F03F0C"/>
    <w:rsid w:val="00F04067"/>
    <w:rsid w:val="00F04A40"/>
    <w:rsid w:val="00F04D88"/>
    <w:rsid w:val="00F055EE"/>
    <w:rsid w:val="00F05897"/>
    <w:rsid w:val="00F05BD4"/>
    <w:rsid w:val="00F060E8"/>
    <w:rsid w:val="00F067E3"/>
    <w:rsid w:val="00F06F7D"/>
    <w:rsid w:val="00F078F4"/>
    <w:rsid w:val="00F10174"/>
    <w:rsid w:val="00F10723"/>
    <w:rsid w:val="00F10B92"/>
    <w:rsid w:val="00F10BC8"/>
    <w:rsid w:val="00F1127E"/>
    <w:rsid w:val="00F1177D"/>
    <w:rsid w:val="00F11A98"/>
    <w:rsid w:val="00F11DA9"/>
    <w:rsid w:val="00F11FA2"/>
    <w:rsid w:val="00F1256F"/>
    <w:rsid w:val="00F12624"/>
    <w:rsid w:val="00F13646"/>
    <w:rsid w:val="00F13C7E"/>
    <w:rsid w:val="00F1691F"/>
    <w:rsid w:val="00F16937"/>
    <w:rsid w:val="00F16AB4"/>
    <w:rsid w:val="00F1713A"/>
    <w:rsid w:val="00F17570"/>
    <w:rsid w:val="00F17CF7"/>
    <w:rsid w:val="00F17F12"/>
    <w:rsid w:val="00F216D0"/>
    <w:rsid w:val="00F2199E"/>
    <w:rsid w:val="00F21A1D"/>
    <w:rsid w:val="00F21C52"/>
    <w:rsid w:val="00F21F05"/>
    <w:rsid w:val="00F22AC3"/>
    <w:rsid w:val="00F23B18"/>
    <w:rsid w:val="00F2442F"/>
    <w:rsid w:val="00F249C5"/>
    <w:rsid w:val="00F249C9"/>
    <w:rsid w:val="00F25510"/>
    <w:rsid w:val="00F26CF3"/>
    <w:rsid w:val="00F27747"/>
    <w:rsid w:val="00F305A4"/>
    <w:rsid w:val="00F30B4D"/>
    <w:rsid w:val="00F30CE4"/>
    <w:rsid w:val="00F312C2"/>
    <w:rsid w:val="00F32971"/>
    <w:rsid w:val="00F33027"/>
    <w:rsid w:val="00F342CB"/>
    <w:rsid w:val="00F34DFA"/>
    <w:rsid w:val="00F3581A"/>
    <w:rsid w:val="00F35D01"/>
    <w:rsid w:val="00F360D6"/>
    <w:rsid w:val="00F36A4A"/>
    <w:rsid w:val="00F3734E"/>
    <w:rsid w:val="00F37621"/>
    <w:rsid w:val="00F377F5"/>
    <w:rsid w:val="00F37E99"/>
    <w:rsid w:val="00F402EC"/>
    <w:rsid w:val="00F40734"/>
    <w:rsid w:val="00F410BD"/>
    <w:rsid w:val="00F414C1"/>
    <w:rsid w:val="00F41C43"/>
    <w:rsid w:val="00F421C6"/>
    <w:rsid w:val="00F43133"/>
    <w:rsid w:val="00F44498"/>
    <w:rsid w:val="00F46BE0"/>
    <w:rsid w:val="00F4701E"/>
    <w:rsid w:val="00F47E14"/>
    <w:rsid w:val="00F50032"/>
    <w:rsid w:val="00F50ECF"/>
    <w:rsid w:val="00F50F4F"/>
    <w:rsid w:val="00F53E6A"/>
    <w:rsid w:val="00F54446"/>
    <w:rsid w:val="00F549B5"/>
    <w:rsid w:val="00F54AA7"/>
    <w:rsid w:val="00F54BA7"/>
    <w:rsid w:val="00F55279"/>
    <w:rsid w:val="00F55421"/>
    <w:rsid w:val="00F5594F"/>
    <w:rsid w:val="00F60E3E"/>
    <w:rsid w:val="00F60EA3"/>
    <w:rsid w:val="00F6111F"/>
    <w:rsid w:val="00F613C6"/>
    <w:rsid w:val="00F625F6"/>
    <w:rsid w:val="00F63629"/>
    <w:rsid w:val="00F63655"/>
    <w:rsid w:val="00F63781"/>
    <w:rsid w:val="00F637E8"/>
    <w:rsid w:val="00F64487"/>
    <w:rsid w:val="00F652B6"/>
    <w:rsid w:val="00F65C19"/>
    <w:rsid w:val="00F6609E"/>
    <w:rsid w:val="00F67C10"/>
    <w:rsid w:val="00F67DBD"/>
    <w:rsid w:val="00F70D2B"/>
    <w:rsid w:val="00F713ED"/>
    <w:rsid w:val="00F71863"/>
    <w:rsid w:val="00F7296C"/>
    <w:rsid w:val="00F729F8"/>
    <w:rsid w:val="00F72CBC"/>
    <w:rsid w:val="00F733D4"/>
    <w:rsid w:val="00F734CB"/>
    <w:rsid w:val="00F73726"/>
    <w:rsid w:val="00F73A25"/>
    <w:rsid w:val="00F744B8"/>
    <w:rsid w:val="00F74967"/>
    <w:rsid w:val="00F7584B"/>
    <w:rsid w:val="00F7597A"/>
    <w:rsid w:val="00F75A52"/>
    <w:rsid w:val="00F75FA2"/>
    <w:rsid w:val="00F76C66"/>
    <w:rsid w:val="00F76EDA"/>
    <w:rsid w:val="00F807E1"/>
    <w:rsid w:val="00F80EA8"/>
    <w:rsid w:val="00F81BBB"/>
    <w:rsid w:val="00F81ECE"/>
    <w:rsid w:val="00F824ED"/>
    <w:rsid w:val="00F84087"/>
    <w:rsid w:val="00F84512"/>
    <w:rsid w:val="00F84914"/>
    <w:rsid w:val="00F84E4E"/>
    <w:rsid w:val="00F8577E"/>
    <w:rsid w:val="00F85EEE"/>
    <w:rsid w:val="00F8666B"/>
    <w:rsid w:val="00F871AF"/>
    <w:rsid w:val="00F90B0E"/>
    <w:rsid w:val="00F91414"/>
    <w:rsid w:val="00F9192A"/>
    <w:rsid w:val="00F91EBC"/>
    <w:rsid w:val="00F92BB5"/>
    <w:rsid w:val="00F92CA1"/>
    <w:rsid w:val="00F93541"/>
    <w:rsid w:val="00F9363E"/>
    <w:rsid w:val="00F9455A"/>
    <w:rsid w:val="00F9465A"/>
    <w:rsid w:val="00F9466F"/>
    <w:rsid w:val="00F94FE4"/>
    <w:rsid w:val="00F951A6"/>
    <w:rsid w:val="00F953C1"/>
    <w:rsid w:val="00F95C43"/>
    <w:rsid w:val="00F9789D"/>
    <w:rsid w:val="00FA03AA"/>
    <w:rsid w:val="00FA0F70"/>
    <w:rsid w:val="00FA16F3"/>
    <w:rsid w:val="00FA2672"/>
    <w:rsid w:val="00FA418C"/>
    <w:rsid w:val="00FA577E"/>
    <w:rsid w:val="00FA5FA0"/>
    <w:rsid w:val="00FA6433"/>
    <w:rsid w:val="00FA7338"/>
    <w:rsid w:val="00FA7579"/>
    <w:rsid w:val="00FA77C8"/>
    <w:rsid w:val="00FB11AF"/>
    <w:rsid w:val="00FB1235"/>
    <w:rsid w:val="00FB1599"/>
    <w:rsid w:val="00FB1B6C"/>
    <w:rsid w:val="00FB24B8"/>
    <w:rsid w:val="00FB2701"/>
    <w:rsid w:val="00FB2DE4"/>
    <w:rsid w:val="00FB2DED"/>
    <w:rsid w:val="00FB2FC4"/>
    <w:rsid w:val="00FB3618"/>
    <w:rsid w:val="00FB3707"/>
    <w:rsid w:val="00FB3AF8"/>
    <w:rsid w:val="00FB489E"/>
    <w:rsid w:val="00FB4E96"/>
    <w:rsid w:val="00FB5A0D"/>
    <w:rsid w:val="00FB5B6B"/>
    <w:rsid w:val="00FB5C1A"/>
    <w:rsid w:val="00FB608A"/>
    <w:rsid w:val="00FB69D0"/>
    <w:rsid w:val="00FB6CD0"/>
    <w:rsid w:val="00FB6E0D"/>
    <w:rsid w:val="00FC08B8"/>
    <w:rsid w:val="00FC0C66"/>
    <w:rsid w:val="00FC1185"/>
    <w:rsid w:val="00FC1433"/>
    <w:rsid w:val="00FC2232"/>
    <w:rsid w:val="00FC2A63"/>
    <w:rsid w:val="00FC30AA"/>
    <w:rsid w:val="00FC32E6"/>
    <w:rsid w:val="00FC3362"/>
    <w:rsid w:val="00FC385E"/>
    <w:rsid w:val="00FC4E4F"/>
    <w:rsid w:val="00FC4E8E"/>
    <w:rsid w:val="00FC4ED1"/>
    <w:rsid w:val="00FC5036"/>
    <w:rsid w:val="00FC6336"/>
    <w:rsid w:val="00FC791B"/>
    <w:rsid w:val="00FC7B9D"/>
    <w:rsid w:val="00FC7DCC"/>
    <w:rsid w:val="00FD0BC7"/>
    <w:rsid w:val="00FD0CFA"/>
    <w:rsid w:val="00FD1160"/>
    <w:rsid w:val="00FD1407"/>
    <w:rsid w:val="00FD19FE"/>
    <w:rsid w:val="00FD1E59"/>
    <w:rsid w:val="00FD2546"/>
    <w:rsid w:val="00FD2CEC"/>
    <w:rsid w:val="00FD36D8"/>
    <w:rsid w:val="00FD4B6C"/>
    <w:rsid w:val="00FD5157"/>
    <w:rsid w:val="00FD6DDF"/>
    <w:rsid w:val="00FD708C"/>
    <w:rsid w:val="00FD7150"/>
    <w:rsid w:val="00FD772E"/>
    <w:rsid w:val="00FD787E"/>
    <w:rsid w:val="00FD7B51"/>
    <w:rsid w:val="00FD7BF9"/>
    <w:rsid w:val="00FE0804"/>
    <w:rsid w:val="00FE0ECA"/>
    <w:rsid w:val="00FE2375"/>
    <w:rsid w:val="00FE2D30"/>
    <w:rsid w:val="00FE3926"/>
    <w:rsid w:val="00FE3E4A"/>
    <w:rsid w:val="00FE3F16"/>
    <w:rsid w:val="00FE5853"/>
    <w:rsid w:val="00FE741D"/>
    <w:rsid w:val="00FE78C7"/>
    <w:rsid w:val="00FE7EFB"/>
    <w:rsid w:val="00FF09D9"/>
    <w:rsid w:val="00FF11CB"/>
    <w:rsid w:val="00FF28DE"/>
    <w:rsid w:val="00FF3AEA"/>
    <w:rsid w:val="00FF43AC"/>
    <w:rsid w:val="00FF6281"/>
    <w:rsid w:val="00FF6B5A"/>
    <w:rsid w:val="00FF6C5E"/>
    <w:rsid w:val="00FF74DD"/>
    <w:rsid w:val="00FF769A"/>
    <w:rsid w:val="00FF7ABB"/>
    <w:rsid w:val="00FF7E59"/>
    <w:rsid w:val="00FFFB83"/>
    <w:rsid w:val="010425A7"/>
    <w:rsid w:val="01EE12B0"/>
    <w:rsid w:val="01F5A425"/>
    <w:rsid w:val="032E65A2"/>
    <w:rsid w:val="037662B9"/>
    <w:rsid w:val="03A88665"/>
    <w:rsid w:val="03C4502A"/>
    <w:rsid w:val="04047801"/>
    <w:rsid w:val="042C05C3"/>
    <w:rsid w:val="0492C639"/>
    <w:rsid w:val="04A1AD47"/>
    <w:rsid w:val="04B414C9"/>
    <w:rsid w:val="05162F29"/>
    <w:rsid w:val="05178C15"/>
    <w:rsid w:val="058EAB85"/>
    <w:rsid w:val="0593804F"/>
    <w:rsid w:val="05A05A70"/>
    <w:rsid w:val="068594AB"/>
    <w:rsid w:val="06C61FF0"/>
    <w:rsid w:val="07902935"/>
    <w:rsid w:val="07C49612"/>
    <w:rsid w:val="07F51907"/>
    <w:rsid w:val="0822FABE"/>
    <w:rsid w:val="083374C4"/>
    <w:rsid w:val="087A383A"/>
    <w:rsid w:val="08978E7C"/>
    <w:rsid w:val="08AF52D3"/>
    <w:rsid w:val="08BB472A"/>
    <w:rsid w:val="097E639A"/>
    <w:rsid w:val="099BBFB8"/>
    <w:rsid w:val="0A4935EA"/>
    <w:rsid w:val="0A4CDC4A"/>
    <w:rsid w:val="0A7019CA"/>
    <w:rsid w:val="0AA3F288"/>
    <w:rsid w:val="0AEB8F58"/>
    <w:rsid w:val="0C17616B"/>
    <w:rsid w:val="0CD62641"/>
    <w:rsid w:val="0CEE6594"/>
    <w:rsid w:val="0D3DA80E"/>
    <w:rsid w:val="0D4187D3"/>
    <w:rsid w:val="0D919E0E"/>
    <w:rsid w:val="0D9C4D20"/>
    <w:rsid w:val="0DA7A21C"/>
    <w:rsid w:val="0DE6F7B3"/>
    <w:rsid w:val="0E1DA6EF"/>
    <w:rsid w:val="0E498BAC"/>
    <w:rsid w:val="0E7E5A0E"/>
    <w:rsid w:val="0EB95DBD"/>
    <w:rsid w:val="0EC27089"/>
    <w:rsid w:val="0EE5F698"/>
    <w:rsid w:val="0F40D1B4"/>
    <w:rsid w:val="0F418533"/>
    <w:rsid w:val="10300E59"/>
    <w:rsid w:val="1032D4BA"/>
    <w:rsid w:val="10B2455C"/>
    <w:rsid w:val="11663EA4"/>
    <w:rsid w:val="119B2B28"/>
    <w:rsid w:val="12851173"/>
    <w:rsid w:val="12A72035"/>
    <w:rsid w:val="12E081C2"/>
    <w:rsid w:val="130DBA36"/>
    <w:rsid w:val="136FE8A6"/>
    <w:rsid w:val="13BF467C"/>
    <w:rsid w:val="1439B875"/>
    <w:rsid w:val="14C1C2E9"/>
    <w:rsid w:val="14D7977F"/>
    <w:rsid w:val="1523C77A"/>
    <w:rsid w:val="15653C4F"/>
    <w:rsid w:val="165D35A4"/>
    <w:rsid w:val="17AAF5B6"/>
    <w:rsid w:val="1841E4F3"/>
    <w:rsid w:val="18E4C996"/>
    <w:rsid w:val="19D1C63F"/>
    <w:rsid w:val="1A0D569C"/>
    <w:rsid w:val="1AE8BD96"/>
    <w:rsid w:val="1B60507B"/>
    <w:rsid w:val="1B738F23"/>
    <w:rsid w:val="1C0881EC"/>
    <w:rsid w:val="1C9B6E9F"/>
    <w:rsid w:val="1CF00C2F"/>
    <w:rsid w:val="1D112DCA"/>
    <w:rsid w:val="1D18375E"/>
    <w:rsid w:val="1D1B3D86"/>
    <w:rsid w:val="1DA2128F"/>
    <w:rsid w:val="1DA67844"/>
    <w:rsid w:val="1E0D8212"/>
    <w:rsid w:val="1F571224"/>
    <w:rsid w:val="1FCC86D7"/>
    <w:rsid w:val="1FD62064"/>
    <w:rsid w:val="204B8EF8"/>
    <w:rsid w:val="20A06617"/>
    <w:rsid w:val="21951F0A"/>
    <w:rsid w:val="219BCB36"/>
    <w:rsid w:val="220DA55F"/>
    <w:rsid w:val="22125764"/>
    <w:rsid w:val="221D62CA"/>
    <w:rsid w:val="245BE3C4"/>
    <w:rsid w:val="24612B69"/>
    <w:rsid w:val="24713036"/>
    <w:rsid w:val="25154F43"/>
    <w:rsid w:val="253748A3"/>
    <w:rsid w:val="2548DB44"/>
    <w:rsid w:val="259A1721"/>
    <w:rsid w:val="25A7936B"/>
    <w:rsid w:val="25FF81C5"/>
    <w:rsid w:val="274F6ACB"/>
    <w:rsid w:val="27CC2B50"/>
    <w:rsid w:val="2803FAEC"/>
    <w:rsid w:val="284AEEEE"/>
    <w:rsid w:val="284E2C71"/>
    <w:rsid w:val="28876EB7"/>
    <w:rsid w:val="28AF3083"/>
    <w:rsid w:val="28CA0581"/>
    <w:rsid w:val="28D31664"/>
    <w:rsid w:val="2911BC3D"/>
    <w:rsid w:val="29E1A228"/>
    <w:rsid w:val="2A8452C1"/>
    <w:rsid w:val="2A84A358"/>
    <w:rsid w:val="2A916331"/>
    <w:rsid w:val="2A9C1243"/>
    <w:rsid w:val="2B085E9E"/>
    <w:rsid w:val="2B74758C"/>
    <w:rsid w:val="2BDAF343"/>
    <w:rsid w:val="2C11E9B7"/>
    <w:rsid w:val="2C5E8491"/>
    <w:rsid w:val="2C6F647C"/>
    <w:rsid w:val="2D024DEF"/>
    <w:rsid w:val="2D9C0B70"/>
    <w:rsid w:val="2F46A0B4"/>
    <w:rsid w:val="2F84A0A3"/>
    <w:rsid w:val="2FB92C9D"/>
    <w:rsid w:val="313FC3A1"/>
    <w:rsid w:val="3194CF26"/>
    <w:rsid w:val="321CE110"/>
    <w:rsid w:val="33752920"/>
    <w:rsid w:val="33DF4490"/>
    <w:rsid w:val="34089537"/>
    <w:rsid w:val="3436B8FA"/>
    <w:rsid w:val="34716339"/>
    <w:rsid w:val="34F5608B"/>
    <w:rsid w:val="35606219"/>
    <w:rsid w:val="3598417E"/>
    <w:rsid w:val="3621CAB5"/>
    <w:rsid w:val="369BEF95"/>
    <w:rsid w:val="372DBD21"/>
    <w:rsid w:val="37652C8F"/>
    <w:rsid w:val="3765744D"/>
    <w:rsid w:val="3782B97C"/>
    <w:rsid w:val="378C4FF3"/>
    <w:rsid w:val="37DF28B5"/>
    <w:rsid w:val="37FD2E16"/>
    <w:rsid w:val="37FD7D31"/>
    <w:rsid w:val="39844EFD"/>
    <w:rsid w:val="3A1E04DE"/>
    <w:rsid w:val="3A25BF93"/>
    <w:rsid w:val="3AB4C6BE"/>
    <w:rsid w:val="3AD0CF68"/>
    <w:rsid w:val="3ADAECDE"/>
    <w:rsid w:val="3B99ABBF"/>
    <w:rsid w:val="3BA706D1"/>
    <w:rsid w:val="3BB9BB10"/>
    <w:rsid w:val="3BFC77C6"/>
    <w:rsid w:val="3CE427E4"/>
    <w:rsid w:val="3D0F5763"/>
    <w:rsid w:val="3D5EEDCD"/>
    <w:rsid w:val="3E5B1B58"/>
    <w:rsid w:val="3EFC8BEE"/>
    <w:rsid w:val="405382E8"/>
    <w:rsid w:val="40B8AC49"/>
    <w:rsid w:val="40E1C3CE"/>
    <w:rsid w:val="4136E862"/>
    <w:rsid w:val="413EFEA2"/>
    <w:rsid w:val="418AF34F"/>
    <w:rsid w:val="41CA2BE4"/>
    <w:rsid w:val="42A340BB"/>
    <w:rsid w:val="42A78901"/>
    <w:rsid w:val="4390D873"/>
    <w:rsid w:val="451609B2"/>
    <w:rsid w:val="4516A3A1"/>
    <w:rsid w:val="45553BE5"/>
    <w:rsid w:val="4598DFE6"/>
    <w:rsid w:val="45BF4E63"/>
    <w:rsid w:val="46D82A44"/>
    <w:rsid w:val="46F5977A"/>
    <w:rsid w:val="47304D76"/>
    <w:rsid w:val="484FDEFB"/>
    <w:rsid w:val="48E551EC"/>
    <w:rsid w:val="48E71854"/>
    <w:rsid w:val="4912B0F3"/>
    <w:rsid w:val="496897BB"/>
    <w:rsid w:val="49D312BA"/>
    <w:rsid w:val="4A6A8185"/>
    <w:rsid w:val="4ABAABD0"/>
    <w:rsid w:val="4AE064F6"/>
    <w:rsid w:val="4AFCEA8D"/>
    <w:rsid w:val="4B7188FC"/>
    <w:rsid w:val="4BA30F97"/>
    <w:rsid w:val="4BF5AAF0"/>
    <w:rsid w:val="4C14BAE2"/>
    <w:rsid w:val="4C56A0CE"/>
    <w:rsid w:val="4C5D07F6"/>
    <w:rsid w:val="4C731B58"/>
    <w:rsid w:val="4C79E30A"/>
    <w:rsid w:val="4D580A70"/>
    <w:rsid w:val="4DA16215"/>
    <w:rsid w:val="4DB46AAC"/>
    <w:rsid w:val="4E3BC081"/>
    <w:rsid w:val="4E3DB67A"/>
    <w:rsid w:val="4E91C7C9"/>
    <w:rsid w:val="4EF2310F"/>
    <w:rsid w:val="4F37EB2D"/>
    <w:rsid w:val="4F6B90BE"/>
    <w:rsid w:val="4F80302C"/>
    <w:rsid w:val="4F90826E"/>
    <w:rsid w:val="4FF33D62"/>
    <w:rsid w:val="5156EEB0"/>
    <w:rsid w:val="51C9C2F6"/>
    <w:rsid w:val="51D96187"/>
    <w:rsid w:val="520B62CA"/>
    <w:rsid w:val="521A2A91"/>
    <w:rsid w:val="524D2D73"/>
    <w:rsid w:val="529F4FD2"/>
    <w:rsid w:val="5403A19B"/>
    <w:rsid w:val="54089DA3"/>
    <w:rsid w:val="54515338"/>
    <w:rsid w:val="5458F0A8"/>
    <w:rsid w:val="548BC911"/>
    <w:rsid w:val="54F1836F"/>
    <w:rsid w:val="55B75D35"/>
    <w:rsid w:val="55D53980"/>
    <w:rsid w:val="567B8A9D"/>
    <w:rsid w:val="5694BA52"/>
    <w:rsid w:val="56A03E88"/>
    <w:rsid w:val="570567E9"/>
    <w:rsid w:val="575FCA4E"/>
    <w:rsid w:val="57A25C05"/>
    <w:rsid w:val="58ABB745"/>
    <w:rsid w:val="5907E098"/>
    <w:rsid w:val="59CEAD61"/>
    <w:rsid w:val="59E0D684"/>
    <w:rsid w:val="5AB3B3C4"/>
    <w:rsid w:val="5AC72FD5"/>
    <w:rsid w:val="5AE35D5F"/>
    <w:rsid w:val="5B389306"/>
    <w:rsid w:val="5B842E2A"/>
    <w:rsid w:val="5B9486E7"/>
    <w:rsid w:val="5BA650E3"/>
    <w:rsid w:val="5BBA6188"/>
    <w:rsid w:val="5C349F77"/>
    <w:rsid w:val="5C7D661F"/>
    <w:rsid w:val="5C9D8980"/>
    <w:rsid w:val="5CFA0B7A"/>
    <w:rsid w:val="5D1C79D0"/>
    <w:rsid w:val="5E051D77"/>
    <w:rsid w:val="5E6FCF21"/>
    <w:rsid w:val="5ED4E838"/>
    <w:rsid w:val="5EE2525B"/>
    <w:rsid w:val="5FFD3D01"/>
    <w:rsid w:val="6008B5A4"/>
    <w:rsid w:val="608CD630"/>
    <w:rsid w:val="60C832F8"/>
    <w:rsid w:val="622A64A6"/>
    <w:rsid w:val="624853DC"/>
    <w:rsid w:val="62B840BB"/>
    <w:rsid w:val="630CAF59"/>
    <w:rsid w:val="6653C245"/>
    <w:rsid w:val="668843D1"/>
    <w:rsid w:val="6702C35F"/>
    <w:rsid w:val="673AB5D9"/>
    <w:rsid w:val="677AC14D"/>
    <w:rsid w:val="679FFC7F"/>
    <w:rsid w:val="67E09B4E"/>
    <w:rsid w:val="681D3CD0"/>
    <w:rsid w:val="6852D721"/>
    <w:rsid w:val="686A789A"/>
    <w:rsid w:val="688F082B"/>
    <w:rsid w:val="69A8829E"/>
    <w:rsid w:val="69DF822E"/>
    <w:rsid w:val="6A500801"/>
    <w:rsid w:val="6C13D31E"/>
    <w:rsid w:val="6C76B051"/>
    <w:rsid w:val="6DBE414E"/>
    <w:rsid w:val="6DDF6E20"/>
    <w:rsid w:val="6E370525"/>
    <w:rsid w:val="6EB786D8"/>
    <w:rsid w:val="6EE78E43"/>
    <w:rsid w:val="6F1684FE"/>
    <w:rsid w:val="6F49AD78"/>
    <w:rsid w:val="7096D01D"/>
    <w:rsid w:val="70DFEE33"/>
    <w:rsid w:val="70F8B7AC"/>
    <w:rsid w:val="7125ACB1"/>
    <w:rsid w:val="71808A12"/>
    <w:rsid w:val="725ED88C"/>
    <w:rsid w:val="72857F5F"/>
    <w:rsid w:val="72B9432B"/>
    <w:rsid w:val="7327AEAB"/>
    <w:rsid w:val="734D40EF"/>
    <w:rsid w:val="740B64BC"/>
    <w:rsid w:val="742E6F9D"/>
    <w:rsid w:val="7458D692"/>
    <w:rsid w:val="745A3853"/>
    <w:rsid w:val="74E5B751"/>
    <w:rsid w:val="755F6178"/>
    <w:rsid w:val="7616F1CC"/>
    <w:rsid w:val="76C686F4"/>
    <w:rsid w:val="77769A58"/>
    <w:rsid w:val="77EBF2C1"/>
    <w:rsid w:val="78146191"/>
    <w:rsid w:val="78817E97"/>
    <w:rsid w:val="7916FB00"/>
    <w:rsid w:val="7950CA50"/>
    <w:rsid w:val="7A87199F"/>
    <w:rsid w:val="7A95F66C"/>
    <w:rsid w:val="7AD206F6"/>
    <w:rsid w:val="7AEC7E0B"/>
    <w:rsid w:val="7B2D369C"/>
    <w:rsid w:val="7B33A7BD"/>
    <w:rsid w:val="7B9992D1"/>
    <w:rsid w:val="7C592E71"/>
    <w:rsid w:val="7D4D7D62"/>
    <w:rsid w:val="7D750F41"/>
    <w:rsid w:val="7DCC810A"/>
    <w:rsid w:val="7E03D864"/>
    <w:rsid w:val="7E578536"/>
    <w:rsid w:val="7E64B506"/>
    <w:rsid w:val="7E6AD8E4"/>
    <w:rsid w:val="7EC5A7EC"/>
    <w:rsid w:val="7ED1B57F"/>
    <w:rsid w:val="7EDBB073"/>
    <w:rsid w:val="7F2BACA9"/>
    <w:rsid w:val="7F4AD7C5"/>
    <w:rsid w:val="7F6E91EF"/>
    <w:rsid w:val="7FD3A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7EEFC2"/>
  <w15:docId w15:val="{821E1EE5-4561-46BC-8DC3-ADAD9A56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6DC"/>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EE411B"/>
    <w:rPr>
      <w:sz w:val="16"/>
      <w:szCs w:val="16"/>
    </w:rPr>
  </w:style>
  <w:style w:type="paragraph" w:styleId="CommentText">
    <w:name w:val="annotation text"/>
    <w:basedOn w:val="Normal"/>
    <w:link w:val="CommentTextChar"/>
    <w:unhideWhenUsed/>
    <w:rsid w:val="00EE411B"/>
    <w:rPr>
      <w:sz w:val="20"/>
    </w:rPr>
  </w:style>
  <w:style w:type="character" w:customStyle="1" w:styleId="CommentTextChar">
    <w:name w:val="Comment Text Char"/>
    <w:basedOn w:val="DefaultParagraphFont"/>
    <w:link w:val="CommentText"/>
    <w:rsid w:val="00EE411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E411B"/>
    <w:rPr>
      <w:b/>
      <w:bCs/>
    </w:rPr>
  </w:style>
  <w:style w:type="character" w:customStyle="1" w:styleId="CommentSubjectChar">
    <w:name w:val="Comment Subject Char"/>
    <w:basedOn w:val="CommentTextChar"/>
    <w:link w:val="CommentSubject"/>
    <w:semiHidden/>
    <w:rsid w:val="00EE411B"/>
    <w:rPr>
      <w:rFonts w:asciiTheme="minorHAnsi" w:hAnsiTheme="minorHAnsi"/>
      <w:b/>
      <w:bCs/>
      <w:lang w:val="en-GB" w:eastAsia="en-US"/>
    </w:rPr>
  </w:style>
  <w:style w:type="character" w:styleId="FollowedHyperlink">
    <w:name w:val="FollowedHyperlink"/>
    <w:basedOn w:val="DefaultParagraphFont"/>
    <w:semiHidden/>
    <w:unhideWhenUsed/>
    <w:rsid w:val="00B5453F"/>
    <w:rPr>
      <w:color w:val="800080" w:themeColor="followedHyperlink"/>
      <w:u w:val="single"/>
    </w:rPr>
  </w:style>
  <w:style w:type="paragraph" w:customStyle="1" w:styleId="paragraph">
    <w:name w:val="paragraph"/>
    <w:basedOn w:val="Normal"/>
    <w:rsid w:val="00834102"/>
    <w:pPr>
      <w:tabs>
        <w:tab w:val="clear" w:pos="1134"/>
        <w:tab w:val="clear" w:pos="1871"/>
        <w:tab w:val="clear" w:pos="2268"/>
      </w:tabs>
      <w:overflowPunct/>
      <w:autoSpaceDE/>
      <w:autoSpaceDN/>
      <w:adjustRightInd/>
      <w:spacing w:before="0"/>
      <w:textAlignment w:val="auto"/>
    </w:pPr>
    <w:rPr>
      <w:rFonts w:ascii="Times New Roman" w:hAnsi="Times New Roman"/>
      <w:szCs w:val="24"/>
      <w:lang w:eastAsia="zh-CN"/>
    </w:rPr>
  </w:style>
  <w:style w:type="character" w:customStyle="1" w:styleId="normaltextrun1">
    <w:name w:val="normaltextrun1"/>
    <w:basedOn w:val="DefaultParagraphFont"/>
    <w:rsid w:val="00834102"/>
  </w:style>
  <w:style w:type="character" w:customStyle="1" w:styleId="eop">
    <w:name w:val="eop"/>
    <w:basedOn w:val="DefaultParagraphFont"/>
    <w:rsid w:val="00834102"/>
  </w:style>
  <w:style w:type="paragraph" w:customStyle="1" w:styleId="CEONormal">
    <w:name w:val="CEO_Normal"/>
    <w:link w:val="CEONormalChar"/>
    <w:qFormat/>
    <w:rsid w:val="004F63D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F63D6"/>
    <w:rPr>
      <w:rFonts w:ascii="Verdana" w:eastAsia="SimHei" w:hAnsi="Verdana" w:cs="Simplified Arabic"/>
      <w:sz w:val="19"/>
      <w:szCs w:val="28"/>
      <w:lang w:val="en-GB" w:eastAsia="en-US"/>
    </w:rPr>
  </w:style>
  <w:style w:type="paragraph" w:styleId="Revision">
    <w:name w:val="Revision"/>
    <w:hidden/>
    <w:uiPriority w:val="99"/>
    <w:semiHidden/>
    <w:rsid w:val="007F33FF"/>
    <w:rPr>
      <w:rFonts w:asciiTheme="minorHAnsi" w:hAnsiTheme="minorHAnsi"/>
      <w:sz w:val="24"/>
      <w:lang w:val="en-GB" w:eastAsia="en-US"/>
    </w:rPr>
  </w:style>
  <w:style w:type="character" w:customStyle="1" w:styleId="StyleComplexBodyCSArial">
    <w:name w:val="Style (Complex) +Body CS (Arial)"/>
    <w:basedOn w:val="DefaultParagraphFont"/>
    <w:rsid w:val="00865642"/>
    <w:rPr>
      <w:rFonts w:asciiTheme="minorHAnsi" w:hAnsiTheme="minorHAnsi" w:cstheme="minorBidi"/>
    </w:rPr>
  </w:style>
  <w:style w:type="character" w:customStyle="1" w:styleId="StyleComplexBodyCSArial1">
    <w:name w:val="Style (Complex) +Body CS (Arial)1"/>
    <w:basedOn w:val="DefaultParagraphFont"/>
    <w:rsid w:val="00865642"/>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865642"/>
    <w:rPr>
      <w:rFonts w:asciiTheme="minorHAnsi" w:hAnsiTheme="minorHAnsi" w:cstheme="minorBidi"/>
      <w:color w:val="444444"/>
    </w:rPr>
  </w:style>
  <w:style w:type="character" w:customStyle="1" w:styleId="StyleComplex12pt">
    <w:name w:val="Style (Complex) 12 pt"/>
    <w:basedOn w:val="DefaultParagraphFont"/>
    <w:rsid w:val="00865642"/>
    <w:rPr>
      <w:rFonts w:asciiTheme="minorHAnsi" w:hAnsiTheme="minorHAnsi" w:cs="Calibri"/>
      <w:szCs w:val="24"/>
    </w:rPr>
  </w:style>
  <w:style w:type="character" w:customStyle="1" w:styleId="StyleComplexBodyCSArialBold">
    <w:name w:val="Style (Complex) +Body CS (Arial) Bold"/>
    <w:basedOn w:val="DefaultParagraphFont"/>
    <w:rsid w:val="00865642"/>
    <w:rPr>
      <w:rFonts w:asciiTheme="minorHAnsi" w:hAnsiTheme="minorHAnsi" w:cstheme="minorBidi"/>
      <w:b/>
      <w:bCs/>
    </w:rPr>
  </w:style>
  <w:style w:type="character" w:customStyle="1" w:styleId="StyleComplexBodyCSArialBold1">
    <w:name w:val="Style (Complex) +Body CS (Arial) Bold1"/>
    <w:basedOn w:val="DefaultParagraphFont"/>
    <w:rsid w:val="00865642"/>
    <w:rPr>
      <w:rFonts w:asciiTheme="minorHAnsi" w:hAnsiTheme="minorHAnsi" w:cstheme="minorBidi"/>
      <w:b/>
      <w:bCs/>
    </w:rPr>
  </w:style>
  <w:style w:type="character" w:customStyle="1" w:styleId="StyleComplexBodyCSArial2">
    <w:name w:val="Style (Complex) +Body CS (Arial)2"/>
    <w:basedOn w:val="DefaultParagraphFont"/>
    <w:rsid w:val="00865642"/>
    <w:rPr>
      <w:rFonts w:asciiTheme="minorHAnsi" w:hAnsiTheme="minorHAnsi" w:cs="Calibri"/>
    </w:rPr>
  </w:style>
  <w:style w:type="character" w:customStyle="1" w:styleId="StyleComplex12ptBold">
    <w:name w:val="Style (Complex) 12 pt Bold"/>
    <w:basedOn w:val="DefaultParagraphFont"/>
    <w:rsid w:val="00865642"/>
    <w:rPr>
      <w:rFonts w:asciiTheme="minorHAnsi" w:hAnsiTheme="minorHAnsi" w:cs="Calibri"/>
      <w:b/>
      <w:bCs/>
      <w:iCs w:val="0"/>
      <w:szCs w:val="24"/>
    </w:rPr>
  </w:style>
  <w:style w:type="character" w:customStyle="1" w:styleId="StyleComplexBodyCSArial3">
    <w:name w:val="Style (Complex) +Body CS (Arial)3"/>
    <w:basedOn w:val="DefaultParagraphFont"/>
    <w:rsid w:val="00865642"/>
    <w:rPr>
      <w:rFonts w:ascii="Calibri" w:hAnsi="Calibri" w:cs="Calibri"/>
    </w:rPr>
  </w:style>
  <w:style w:type="character" w:customStyle="1" w:styleId="StyleComplexBodyCSArial4">
    <w:name w:val="Style (Complex) +Body CS (Arial)4"/>
    <w:basedOn w:val="DefaultParagraphFont"/>
    <w:rsid w:val="00865642"/>
    <w:rPr>
      <w:rFonts w:asciiTheme="minorHAnsi" w:hAnsiTheme="minorHAnsi" w:cs="Calibri"/>
    </w:rPr>
  </w:style>
  <w:style w:type="character" w:customStyle="1" w:styleId="StyleComplexBodyCSArial5">
    <w:name w:val="Style (Complex) +Body CS (Arial)5"/>
    <w:basedOn w:val="DefaultParagraphFont"/>
    <w:rsid w:val="00865642"/>
    <w:rPr>
      <w:rFonts w:asciiTheme="minorHAnsi" w:hAnsiTheme="minorHAnsi" w:cs="Calibri"/>
    </w:rPr>
  </w:style>
  <w:style w:type="character" w:customStyle="1" w:styleId="StyleComplexBodyCSArial6">
    <w:name w:val="Style (Complex) +Body CS (Arial)6"/>
    <w:basedOn w:val="DefaultParagraphFont"/>
    <w:rsid w:val="00865642"/>
    <w:rPr>
      <w:rFonts w:asciiTheme="minorHAnsi" w:hAnsiTheme="minorHAnsi" w:cs="Calibri"/>
    </w:rPr>
  </w:style>
  <w:style w:type="character" w:customStyle="1" w:styleId="StyleComplexBodyCSArial7">
    <w:name w:val="Style (Complex) +Body CS (Arial)7"/>
    <w:basedOn w:val="DefaultParagraphFont"/>
    <w:rsid w:val="00865642"/>
    <w:rPr>
      <w:rFonts w:asciiTheme="minorHAnsi" w:hAnsiTheme="minorHAnsi" w:cs="Calibri"/>
    </w:rPr>
  </w:style>
  <w:style w:type="character" w:customStyle="1" w:styleId="StyleComplexBodyCSArial8">
    <w:name w:val="Style (Complex) +Body CS (Arial)8"/>
    <w:basedOn w:val="DefaultParagraphFont"/>
    <w:rsid w:val="00865642"/>
    <w:rPr>
      <w:rFonts w:asciiTheme="minorHAnsi" w:hAnsiTheme="minorHAnsi" w:cs="Calibri"/>
    </w:rPr>
  </w:style>
  <w:style w:type="character" w:customStyle="1" w:styleId="StyleComplexBodyCSArialComplex12pt">
    <w:name w:val="Style (Complex) +Body CS (Arial) (Complex) 12 pt"/>
    <w:basedOn w:val="DefaultParagraphFont"/>
    <w:rsid w:val="00865642"/>
    <w:rPr>
      <w:rFonts w:asciiTheme="minorHAnsi" w:hAnsiTheme="minorHAnsi" w:cs="Calibri"/>
      <w:szCs w:val="24"/>
    </w:rPr>
  </w:style>
  <w:style w:type="character" w:customStyle="1" w:styleId="StyleComplexBodyCSArialComplex12pt1">
    <w:name w:val="Style (Complex) +Body CS (Arial) (Complex) 12 pt1"/>
    <w:basedOn w:val="DefaultParagraphFont"/>
    <w:rsid w:val="00865642"/>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865642"/>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865642"/>
    <w:rPr>
      <w:rFonts w:asciiTheme="minorHAnsi" w:hAnsiTheme="minorHAnsi" w:cs="Calibri"/>
      <w:b/>
      <w:bCs/>
      <w:iCs w:val="0"/>
      <w:color w:val="44444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F729F8"/>
    <w:rPr>
      <w:rFonts w:asciiTheme="minorHAnsi" w:hAnsiTheme="minorHAnsi"/>
      <w:sz w:val="24"/>
      <w:lang w:val="en-GB" w:eastAsia="en-US"/>
    </w:rPr>
  </w:style>
  <w:style w:type="paragraph" w:customStyle="1" w:styleId="Default">
    <w:name w:val="Default"/>
    <w:rsid w:val="00F60E3E"/>
    <w:pPr>
      <w:autoSpaceDE w:val="0"/>
      <w:autoSpaceDN w:val="0"/>
      <w:adjustRightInd w:val="0"/>
    </w:pPr>
    <w:rPr>
      <w:rFonts w:ascii="Calibri" w:eastAsiaTheme="minorEastAsia" w:hAnsi="Calibri" w:cs="Calibri"/>
      <w:color w:val="000000"/>
      <w:sz w:val="24"/>
      <w:szCs w:val="24"/>
    </w:rPr>
  </w:style>
  <w:style w:type="character" w:customStyle="1" w:styleId="xmsofootnotereference">
    <w:name w:val="x_msofootnotereference"/>
    <w:basedOn w:val="DefaultParagraphFont"/>
    <w:rsid w:val="00FB3618"/>
  </w:style>
  <w:style w:type="paragraph" w:styleId="NoSpacing">
    <w:name w:val="No Spacing"/>
    <w:uiPriority w:val="1"/>
    <w:qFormat/>
    <w:rsid w:val="00F93541"/>
    <w:pPr>
      <w:jc w:val="both"/>
    </w:pPr>
    <w:rPr>
      <w:rFonts w:ascii="Calibri" w:eastAsia="SimSun" w:hAnsi="Calibri" w:cs="Arial"/>
      <w:sz w:val="22"/>
      <w:szCs w:val="22"/>
    </w:rPr>
  </w:style>
  <w:style w:type="character" w:styleId="Emphasis">
    <w:name w:val="Emphasis"/>
    <w:basedOn w:val="DefaultParagraphFont"/>
    <w:qFormat/>
    <w:rsid w:val="005E65F8"/>
    <w:rPr>
      <w:i/>
      <w:iCs/>
    </w:rPr>
  </w:style>
  <w:style w:type="paragraph" w:customStyle="1" w:styleId="normalWSIS">
    <w:name w:val="normal WSIS"/>
    <w:basedOn w:val="ListParagraph"/>
    <w:link w:val="normalWSISChar"/>
    <w:qFormat/>
    <w:rsid w:val="004F0157"/>
    <w:pPr>
      <w:numPr>
        <w:numId w:val="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customStyle="1" w:styleId="Heading1Char">
    <w:name w:val="Heading 1 Char"/>
    <w:basedOn w:val="DefaultParagraphFont"/>
    <w:link w:val="Heading1"/>
    <w:uiPriority w:val="9"/>
    <w:rsid w:val="002452C5"/>
    <w:rPr>
      <w:rFonts w:asciiTheme="minorHAnsi" w:hAnsiTheme="minorHAnsi"/>
      <w:b/>
      <w:sz w:val="28"/>
      <w:lang w:val="en-GB" w:eastAsia="en-US"/>
    </w:rPr>
  </w:style>
  <w:style w:type="paragraph" w:customStyle="1" w:styleId="Bulletlist1">
    <w:name w:val="Bullet list 1"/>
    <w:basedOn w:val="Normal"/>
    <w:rsid w:val="00FD36D8"/>
    <w:pPr>
      <w:tabs>
        <w:tab w:val="clear" w:pos="1134"/>
        <w:tab w:val="clear" w:pos="1871"/>
        <w:tab w:val="clear" w:pos="2268"/>
      </w:tabs>
      <w:overflowPunct/>
      <w:autoSpaceDE/>
      <w:autoSpaceDN/>
      <w:adjustRightInd/>
      <w:ind w:left="425" w:hanging="425"/>
      <w:textAlignment w:val="auto"/>
    </w:pPr>
    <w:rPr>
      <w:rFonts w:ascii="Calibri" w:eastAsiaTheme="minorEastAsia" w:hAnsi="Calibri"/>
      <w:sz w:val="21"/>
      <w:szCs w:val="22"/>
      <w:lang w:val="en-US" w:eastAsia="fr-FR"/>
    </w:rPr>
  </w:style>
  <w:style w:type="paragraph" w:styleId="NormalWeb">
    <w:name w:val="Normal (Web)"/>
    <w:basedOn w:val="Normal"/>
    <w:uiPriority w:val="99"/>
    <w:unhideWhenUsed/>
    <w:rsid w:val="000572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normalWSISChar">
    <w:name w:val="normal WSIS Char"/>
    <w:basedOn w:val="DefaultParagraphFont"/>
    <w:link w:val="normalWSIS"/>
    <w:rsid w:val="000213DA"/>
    <w:rPr>
      <w:rFonts w:ascii="Calibri" w:eastAsia="SimSun" w:hAnsi="Calibri" w:cs="Arial"/>
      <w:sz w:val="22"/>
      <w:szCs w:val="24"/>
    </w:rPr>
  </w:style>
  <w:style w:type="paragraph" w:customStyle="1" w:styleId="Heading4nextpage">
    <w:name w:val="Heading 4 next page"/>
    <w:basedOn w:val="Heading4"/>
    <w:rsid w:val="00A03938"/>
    <w:pPr>
      <w:keepLines w:val="0"/>
      <w:tabs>
        <w:tab w:val="clear" w:pos="1871"/>
        <w:tab w:val="clear" w:pos="2268"/>
        <w:tab w:val="left" w:pos="993"/>
      </w:tabs>
      <w:overflowPunct/>
      <w:autoSpaceDE/>
      <w:autoSpaceDN/>
      <w:adjustRightInd/>
      <w:spacing w:before="240"/>
      <w:ind w:left="0" w:firstLine="0"/>
      <w:textAlignment w:val="auto"/>
    </w:pPr>
    <w:rPr>
      <w:rFonts w:ascii="Calibri" w:eastAsiaTheme="minorEastAsia" w:hAnsi="Calibri"/>
      <w:b w:val="0"/>
      <w:bCs/>
      <w:color w:val="548DD4" w:themeColor="text2" w:themeTint="99"/>
      <w:sz w:val="22"/>
      <w:szCs w:val="22"/>
      <w:lang w:eastAsia="en-CA"/>
    </w:rPr>
  </w:style>
  <w:style w:type="paragraph" w:customStyle="1" w:styleId="Heading2noindent">
    <w:name w:val="Heading 2 no indent"/>
    <w:basedOn w:val="Heading2"/>
    <w:next w:val="Normal"/>
    <w:rsid w:val="00A03938"/>
    <w:pPr>
      <w:keepLines w:val="0"/>
      <w:tabs>
        <w:tab w:val="clear" w:pos="1134"/>
        <w:tab w:val="clear" w:pos="1871"/>
        <w:tab w:val="clear" w:pos="2268"/>
        <w:tab w:val="left" w:pos="851"/>
      </w:tabs>
      <w:overflowPunct/>
      <w:autoSpaceDE/>
      <w:autoSpaceDN/>
      <w:adjustRightInd/>
      <w:spacing w:before="400"/>
      <w:ind w:left="0" w:firstLine="0"/>
      <w:textAlignment w:val="auto"/>
    </w:pPr>
    <w:rPr>
      <w:rFonts w:eastAsiaTheme="minorEastAsia" w:cs="Helvetica"/>
      <w:b w:val="0"/>
      <w:bCs/>
      <w:color w:val="548DD4" w:themeColor="text2" w:themeTint="99"/>
      <w:sz w:val="26"/>
      <w:szCs w:val="32"/>
      <w:lang w:val="en-US" w:eastAsia="fr-FR"/>
    </w:rPr>
  </w:style>
  <w:style w:type="character" w:customStyle="1" w:styleId="tlid-translation">
    <w:name w:val="tlid-translation"/>
    <w:basedOn w:val="DefaultParagraphFont"/>
    <w:rsid w:val="00C436D4"/>
  </w:style>
  <w:style w:type="paragraph" w:customStyle="1" w:styleId="Style180">
    <w:name w:val="Style180"/>
    <w:basedOn w:val="Normal"/>
    <w:uiPriority w:val="99"/>
    <w:rsid w:val="00C436D4"/>
    <w:pPr>
      <w:widowControl w:val="0"/>
      <w:tabs>
        <w:tab w:val="clear" w:pos="1134"/>
        <w:tab w:val="clear" w:pos="1871"/>
        <w:tab w:val="clear" w:pos="2268"/>
      </w:tabs>
      <w:overflowPunct/>
      <w:spacing w:before="0" w:line="259" w:lineRule="exact"/>
      <w:jc w:val="both"/>
      <w:textAlignment w:val="auto"/>
    </w:pPr>
    <w:rPr>
      <w:rFonts w:ascii="Calibri" w:eastAsiaTheme="minorEastAsia" w:hAnsi="Calibri"/>
      <w:szCs w:val="24"/>
      <w:lang w:val="ru-RU" w:eastAsia="ru-RU"/>
    </w:rPr>
  </w:style>
  <w:style w:type="paragraph" w:customStyle="1" w:styleId="ceonormal0">
    <w:name w:val="ceonormal0"/>
    <w:basedOn w:val="Normal"/>
    <w:rsid w:val="00754549"/>
    <w:pPr>
      <w:tabs>
        <w:tab w:val="clear" w:pos="1134"/>
        <w:tab w:val="clear" w:pos="1871"/>
        <w:tab w:val="clear" w:pos="2268"/>
      </w:tabs>
      <w:overflowPunct/>
      <w:autoSpaceDE/>
      <w:autoSpaceDN/>
      <w:adjustRightInd/>
      <w:spacing w:after="120"/>
      <w:textAlignment w:val="auto"/>
    </w:pPr>
    <w:rPr>
      <w:rFonts w:ascii="Verdana" w:eastAsiaTheme="minorEastAsia" w:hAnsi="Verdana"/>
      <w:sz w:val="20"/>
      <w:lang w:eastAsia="zh-CN"/>
    </w:rPr>
  </w:style>
  <w:style w:type="character" w:styleId="Strong">
    <w:name w:val="Strong"/>
    <w:basedOn w:val="DefaultParagraphFont"/>
    <w:uiPriority w:val="22"/>
    <w:qFormat/>
    <w:rsid w:val="009D0FF8"/>
    <w:rPr>
      <w:b/>
      <w:bCs/>
    </w:rPr>
  </w:style>
  <w:style w:type="paragraph" w:styleId="PlainText">
    <w:name w:val="Plain Text"/>
    <w:basedOn w:val="Normal"/>
    <w:link w:val="PlainTextChar"/>
    <w:uiPriority w:val="99"/>
    <w:unhideWhenUsed/>
    <w:rsid w:val="00E25179"/>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E25179"/>
    <w:rPr>
      <w:rFonts w:ascii="Calibri" w:eastAsiaTheme="minorEastAsia" w:hAnsi="Calibri" w:cstheme="minorBidi"/>
      <w:sz w:val="22"/>
      <w:szCs w:val="21"/>
      <w:lang w:val="en-GB"/>
    </w:rPr>
  </w:style>
  <w:style w:type="character" w:customStyle="1" w:styleId="UnresolvedMention1">
    <w:name w:val="Unresolved Mention1"/>
    <w:basedOn w:val="DefaultParagraphFont"/>
    <w:uiPriority w:val="99"/>
    <w:semiHidden/>
    <w:unhideWhenUsed/>
    <w:rsid w:val="007A7C9D"/>
    <w:rPr>
      <w:color w:val="605E5C"/>
      <w:shd w:val="clear" w:color="auto" w:fill="E1DFDD"/>
    </w:rPr>
  </w:style>
  <w:style w:type="table" w:styleId="TableGrid2">
    <w:name w:val="Table Grid 2"/>
    <w:basedOn w:val="TableNormal"/>
    <w:semiHidden/>
    <w:rsid w:val="0036070E"/>
    <w:pPr>
      <w:spacing w:before="120" w:after="120"/>
    </w:pPr>
    <w:rPr>
      <w:rFonts w:ascii="Times New Roman" w:eastAsia="SimHei"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427155"/>
    <w:pPr>
      <w:tabs>
        <w:tab w:val="clear" w:pos="1134"/>
        <w:tab w:val="clear" w:pos="1871"/>
        <w:tab w:val="clear" w:pos="2268"/>
      </w:tabs>
      <w:overflowPunct/>
      <w:autoSpaceDE/>
      <w:autoSpaceDN/>
      <w:adjustRightInd/>
      <w:spacing w:after="120"/>
      <w:textAlignment w:val="auto"/>
    </w:pPr>
    <w:rPr>
      <w:rFonts w:ascii="Verdana" w:eastAsia="SimHei" w:hAnsi="Verdana" w:cs="Simplified Arabic"/>
      <w:bCs/>
      <w:sz w:val="18"/>
      <w:szCs w:val="28"/>
      <w:lang w:val="en-US" w:eastAsia="zh-CN"/>
    </w:rPr>
  </w:style>
  <w:style w:type="character" w:customStyle="1" w:styleId="BodyTextChar">
    <w:name w:val="Body Text Char"/>
    <w:basedOn w:val="DefaultParagraphFont"/>
    <w:link w:val="BodyText"/>
    <w:semiHidden/>
    <w:rsid w:val="00427155"/>
    <w:rPr>
      <w:rFonts w:ascii="Verdana" w:eastAsia="SimHei" w:hAnsi="Verdana" w:cs="Simplified Arabic"/>
      <w:bCs/>
      <w:sz w:val="18"/>
      <w:szCs w:val="28"/>
    </w:rPr>
  </w:style>
  <w:style w:type="table" w:styleId="Table3Deffects2">
    <w:name w:val="Table 3D effects 2"/>
    <w:basedOn w:val="TableNormal"/>
    <w:semiHidden/>
    <w:rsid w:val="00454E4A"/>
    <w:pPr>
      <w:spacing w:before="120" w:after="120"/>
    </w:pPr>
    <w:rPr>
      <w:rFonts w:ascii="Times New Roman" w:eastAsia="SimSu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rmaltextrun">
    <w:name w:val="normaltextrun"/>
    <w:basedOn w:val="DefaultParagraphFont"/>
    <w:rsid w:val="00D20BBF"/>
  </w:style>
  <w:style w:type="character" w:customStyle="1" w:styleId="scxw178516972">
    <w:name w:val="scxw178516972"/>
    <w:basedOn w:val="DefaultParagraphFont"/>
    <w:rsid w:val="00A35C19"/>
  </w:style>
  <w:style w:type="paragraph" w:customStyle="1" w:styleId="Normal0">
    <w:name w:val="Normal 0"/>
    <w:rsid w:val="000B4F6F"/>
    <w:pPr>
      <w:widowControl w:val="0"/>
      <w:autoSpaceDE w:val="0"/>
      <w:autoSpaceDN w:val="0"/>
      <w:adjustRightInd w:val="0"/>
      <w:ind w:hanging="1441"/>
    </w:pPr>
    <w:rPr>
      <w:rFonts w:ascii="Courier New" w:eastAsiaTheme="minorEastAsia" w:hAnsi="Courier New" w:cs="Courier New"/>
      <w:sz w:val="24"/>
      <w:szCs w:val="24"/>
      <w:lang w:eastAsia="en-US"/>
    </w:rPr>
  </w:style>
  <w:style w:type="paragraph" w:customStyle="1" w:styleId="Colloquy1">
    <w:name w:val="Colloquy 1"/>
    <w:basedOn w:val="Normal0"/>
    <w:next w:val="Normal"/>
    <w:uiPriority w:val="99"/>
    <w:rsid w:val="000B4F6F"/>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character" w:customStyle="1" w:styleId="CEOHeader1Char">
    <w:name w:val="CEO_Header1 Char"/>
    <w:basedOn w:val="DefaultParagraphFont"/>
    <w:link w:val="CEOHeader1"/>
    <w:locked/>
    <w:rsid w:val="00F50F4F"/>
    <w:rPr>
      <w:rFonts w:ascii="Verdana" w:hAnsi="Verdana" w:cs="Simplified Arabic"/>
      <w:b/>
      <w:bCs/>
      <w:sz w:val="19"/>
      <w:szCs w:val="19"/>
      <w:lang w:eastAsia="en-US"/>
    </w:rPr>
  </w:style>
  <w:style w:type="paragraph" w:customStyle="1" w:styleId="CEOHeader1">
    <w:name w:val="CEO_Header1"/>
    <w:basedOn w:val="Normal"/>
    <w:link w:val="CEOHeader1Char"/>
    <w:rsid w:val="00F50F4F"/>
    <w:pPr>
      <w:keepNext/>
      <w:tabs>
        <w:tab w:val="clear" w:pos="1134"/>
        <w:tab w:val="clear" w:pos="1871"/>
        <w:tab w:val="clear" w:pos="2268"/>
        <w:tab w:val="left" w:pos="794"/>
        <w:tab w:val="left" w:pos="1191"/>
        <w:tab w:val="left" w:pos="1588"/>
        <w:tab w:val="left" w:pos="1985"/>
      </w:tabs>
      <w:spacing w:before="200" w:after="80" w:line="278" w:lineRule="auto"/>
      <w:textAlignment w:val="auto"/>
    </w:pPr>
    <w:rPr>
      <w:rFonts w:ascii="Verdana" w:hAnsi="Verdana" w:cs="Simplified Arabic"/>
      <w:b/>
      <w:bCs/>
      <w:sz w:val="19"/>
      <w:szCs w:val="19"/>
      <w:lang w:val="en-US"/>
    </w:rPr>
  </w:style>
  <w:style w:type="character" w:customStyle="1" w:styleId="UnresolvedMention2">
    <w:name w:val="Unresolved Mention2"/>
    <w:basedOn w:val="DefaultParagraphFont"/>
    <w:uiPriority w:val="99"/>
    <w:semiHidden/>
    <w:unhideWhenUsed/>
    <w:rsid w:val="00FE3F16"/>
    <w:rPr>
      <w:color w:val="605E5C"/>
      <w:shd w:val="clear" w:color="auto" w:fill="E1DFDD"/>
    </w:rPr>
  </w:style>
  <w:style w:type="character" w:customStyle="1" w:styleId="scxw8128163">
    <w:name w:val="scxw8128163"/>
    <w:basedOn w:val="DefaultParagraphFont"/>
    <w:rsid w:val="00884BD4"/>
  </w:style>
  <w:style w:type="character" w:styleId="UnresolvedMention">
    <w:name w:val="Unresolved Mention"/>
    <w:basedOn w:val="DefaultParagraphFont"/>
    <w:uiPriority w:val="99"/>
    <w:semiHidden/>
    <w:unhideWhenUsed/>
    <w:rsid w:val="00EA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406">
      <w:bodyDiv w:val="1"/>
      <w:marLeft w:val="0"/>
      <w:marRight w:val="0"/>
      <w:marTop w:val="0"/>
      <w:marBottom w:val="0"/>
      <w:divBdr>
        <w:top w:val="none" w:sz="0" w:space="0" w:color="auto"/>
        <w:left w:val="none" w:sz="0" w:space="0" w:color="auto"/>
        <w:bottom w:val="none" w:sz="0" w:space="0" w:color="auto"/>
        <w:right w:val="none" w:sz="0" w:space="0" w:color="auto"/>
      </w:divBdr>
      <w:divsChild>
        <w:div w:id="192886482">
          <w:marLeft w:val="0"/>
          <w:marRight w:val="0"/>
          <w:marTop w:val="0"/>
          <w:marBottom w:val="0"/>
          <w:divBdr>
            <w:top w:val="none" w:sz="0" w:space="0" w:color="auto"/>
            <w:left w:val="none" w:sz="0" w:space="0" w:color="auto"/>
            <w:bottom w:val="none" w:sz="0" w:space="0" w:color="auto"/>
            <w:right w:val="none" w:sz="0" w:space="0" w:color="auto"/>
          </w:divBdr>
        </w:div>
        <w:div w:id="881940197">
          <w:marLeft w:val="0"/>
          <w:marRight w:val="0"/>
          <w:marTop w:val="0"/>
          <w:marBottom w:val="0"/>
          <w:divBdr>
            <w:top w:val="none" w:sz="0" w:space="0" w:color="auto"/>
            <w:left w:val="none" w:sz="0" w:space="0" w:color="auto"/>
            <w:bottom w:val="none" w:sz="0" w:space="0" w:color="auto"/>
            <w:right w:val="none" w:sz="0" w:space="0" w:color="auto"/>
          </w:divBdr>
        </w:div>
        <w:div w:id="871768743">
          <w:marLeft w:val="0"/>
          <w:marRight w:val="0"/>
          <w:marTop w:val="0"/>
          <w:marBottom w:val="0"/>
          <w:divBdr>
            <w:top w:val="none" w:sz="0" w:space="0" w:color="auto"/>
            <w:left w:val="none" w:sz="0" w:space="0" w:color="auto"/>
            <w:bottom w:val="none" w:sz="0" w:space="0" w:color="auto"/>
            <w:right w:val="none" w:sz="0" w:space="0" w:color="auto"/>
          </w:divBdr>
        </w:div>
      </w:divsChild>
    </w:div>
    <w:div w:id="36320956">
      <w:bodyDiv w:val="1"/>
      <w:marLeft w:val="0"/>
      <w:marRight w:val="0"/>
      <w:marTop w:val="0"/>
      <w:marBottom w:val="0"/>
      <w:divBdr>
        <w:top w:val="none" w:sz="0" w:space="0" w:color="auto"/>
        <w:left w:val="none" w:sz="0" w:space="0" w:color="auto"/>
        <w:bottom w:val="none" w:sz="0" w:space="0" w:color="auto"/>
        <w:right w:val="none" w:sz="0" w:space="0" w:color="auto"/>
      </w:divBdr>
      <w:divsChild>
        <w:div w:id="1123308883">
          <w:marLeft w:val="0"/>
          <w:marRight w:val="0"/>
          <w:marTop w:val="0"/>
          <w:marBottom w:val="0"/>
          <w:divBdr>
            <w:top w:val="none" w:sz="0" w:space="0" w:color="auto"/>
            <w:left w:val="none" w:sz="0" w:space="0" w:color="auto"/>
            <w:bottom w:val="none" w:sz="0" w:space="0" w:color="auto"/>
            <w:right w:val="none" w:sz="0" w:space="0" w:color="auto"/>
          </w:divBdr>
          <w:divsChild>
            <w:div w:id="47069773">
              <w:marLeft w:val="0"/>
              <w:marRight w:val="0"/>
              <w:marTop w:val="0"/>
              <w:marBottom w:val="0"/>
              <w:divBdr>
                <w:top w:val="none" w:sz="0" w:space="0" w:color="auto"/>
                <w:left w:val="none" w:sz="0" w:space="0" w:color="auto"/>
                <w:bottom w:val="none" w:sz="0" w:space="0" w:color="auto"/>
                <w:right w:val="none" w:sz="0" w:space="0" w:color="auto"/>
              </w:divBdr>
            </w:div>
            <w:div w:id="188765907">
              <w:marLeft w:val="0"/>
              <w:marRight w:val="0"/>
              <w:marTop w:val="0"/>
              <w:marBottom w:val="0"/>
              <w:divBdr>
                <w:top w:val="none" w:sz="0" w:space="0" w:color="auto"/>
                <w:left w:val="none" w:sz="0" w:space="0" w:color="auto"/>
                <w:bottom w:val="none" w:sz="0" w:space="0" w:color="auto"/>
                <w:right w:val="none" w:sz="0" w:space="0" w:color="auto"/>
              </w:divBdr>
            </w:div>
          </w:divsChild>
        </w:div>
        <w:div w:id="1456220595">
          <w:marLeft w:val="0"/>
          <w:marRight w:val="0"/>
          <w:marTop w:val="0"/>
          <w:marBottom w:val="0"/>
          <w:divBdr>
            <w:top w:val="none" w:sz="0" w:space="0" w:color="auto"/>
            <w:left w:val="none" w:sz="0" w:space="0" w:color="auto"/>
            <w:bottom w:val="none" w:sz="0" w:space="0" w:color="auto"/>
            <w:right w:val="none" w:sz="0" w:space="0" w:color="auto"/>
          </w:divBdr>
          <w:divsChild>
            <w:div w:id="19729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9901">
      <w:bodyDiv w:val="1"/>
      <w:marLeft w:val="0"/>
      <w:marRight w:val="0"/>
      <w:marTop w:val="0"/>
      <w:marBottom w:val="0"/>
      <w:divBdr>
        <w:top w:val="none" w:sz="0" w:space="0" w:color="auto"/>
        <w:left w:val="none" w:sz="0" w:space="0" w:color="auto"/>
        <w:bottom w:val="none" w:sz="0" w:space="0" w:color="auto"/>
        <w:right w:val="none" w:sz="0" w:space="0" w:color="auto"/>
      </w:divBdr>
    </w:div>
    <w:div w:id="137576676">
      <w:bodyDiv w:val="1"/>
      <w:marLeft w:val="0"/>
      <w:marRight w:val="0"/>
      <w:marTop w:val="0"/>
      <w:marBottom w:val="0"/>
      <w:divBdr>
        <w:top w:val="none" w:sz="0" w:space="0" w:color="auto"/>
        <w:left w:val="none" w:sz="0" w:space="0" w:color="auto"/>
        <w:bottom w:val="none" w:sz="0" w:space="0" w:color="auto"/>
        <w:right w:val="none" w:sz="0" w:space="0" w:color="auto"/>
      </w:divBdr>
    </w:div>
    <w:div w:id="238101608">
      <w:bodyDiv w:val="1"/>
      <w:marLeft w:val="0"/>
      <w:marRight w:val="0"/>
      <w:marTop w:val="0"/>
      <w:marBottom w:val="0"/>
      <w:divBdr>
        <w:top w:val="none" w:sz="0" w:space="0" w:color="auto"/>
        <w:left w:val="none" w:sz="0" w:space="0" w:color="auto"/>
        <w:bottom w:val="none" w:sz="0" w:space="0" w:color="auto"/>
        <w:right w:val="none" w:sz="0" w:space="0" w:color="auto"/>
      </w:divBdr>
    </w:div>
    <w:div w:id="254940735">
      <w:bodyDiv w:val="1"/>
      <w:marLeft w:val="0"/>
      <w:marRight w:val="0"/>
      <w:marTop w:val="0"/>
      <w:marBottom w:val="0"/>
      <w:divBdr>
        <w:top w:val="none" w:sz="0" w:space="0" w:color="auto"/>
        <w:left w:val="none" w:sz="0" w:space="0" w:color="auto"/>
        <w:bottom w:val="none" w:sz="0" w:space="0" w:color="auto"/>
        <w:right w:val="none" w:sz="0" w:space="0" w:color="auto"/>
      </w:divBdr>
    </w:div>
    <w:div w:id="298925362">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57002694">
      <w:bodyDiv w:val="1"/>
      <w:marLeft w:val="0"/>
      <w:marRight w:val="0"/>
      <w:marTop w:val="0"/>
      <w:marBottom w:val="0"/>
      <w:divBdr>
        <w:top w:val="none" w:sz="0" w:space="0" w:color="auto"/>
        <w:left w:val="none" w:sz="0" w:space="0" w:color="auto"/>
        <w:bottom w:val="none" w:sz="0" w:space="0" w:color="auto"/>
        <w:right w:val="none" w:sz="0" w:space="0" w:color="auto"/>
      </w:divBdr>
    </w:div>
    <w:div w:id="525557513">
      <w:bodyDiv w:val="1"/>
      <w:marLeft w:val="0"/>
      <w:marRight w:val="0"/>
      <w:marTop w:val="0"/>
      <w:marBottom w:val="0"/>
      <w:divBdr>
        <w:top w:val="none" w:sz="0" w:space="0" w:color="auto"/>
        <w:left w:val="none" w:sz="0" w:space="0" w:color="auto"/>
        <w:bottom w:val="none" w:sz="0" w:space="0" w:color="auto"/>
        <w:right w:val="none" w:sz="0" w:space="0" w:color="auto"/>
      </w:divBdr>
    </w:div>
    <w:div w:id="543368541">
      <w:bodyDiv w:val="1"/>
      <w:marLeft w:val="0"/>
      <w:marRight w:val="0"/>
      <w:marTop w:val="0"/>
      <w:marBottom w:val="0"/>
      <w:divBdr>
        <w:top w:val="none" w:sz="0" w:space="0" w:color="auto"/>
        <w:left w:val="none" w:sz="0" w:space="0" w:color="auto"/>
        <w:bottom w:val="none" w:sz="0" w:space="0" w:color="auto"/>
        <w:right w:val="none" w:sz="0" w:space="0" w:color="auto"/>
      </w:divBdr>
      <w:divsChild>
        <w:div w:id="345406581">
          <w:marLeft w:val="0"/>
          <w:marRight w:val="0"/>
          <w:marTop w:val="0"/>
          <w:marBottom w:val="0"/>
          <w:divBdr>
            <w:top w:val="none" w:sz="0" w:space="0" w:color="auto"/>
            <w:left w:val="none" w:sz="0" w:space="0" w:color="auto"/>
            <w:bottom w:val="none" w:sz="0" w:space="0" w:color="auto"/>
            <w:right w:val="none" w:sz="0" w:space="0" w:color="auto"/>
          </w:divBdr>
        </w:div>
        <w:div w:id="947666282">
          <w:marLeft w:val="0"/>
          <w:marRight w:val="0"/>
          <w:marTop w:val="0"/>
          <w:marBottom w:val="0"/>
          <w:divBdr>
            <w:top w:val="none" w:sz="0" w:space="0" w:color="auto"/>
            <w:left w:val="none" w:sz="0" w:space="0" w:color="auto"/>
            <w:bottom w:val="none" w:sz="0" w:space="0" w:color="auto"/>
            <w:right w:val="none" w:sz="0" w:space="0" w:color="auto"/>
          </w:divBdr>
        </w:div>
        <w:div w:id="1635672358">
          <w:marLeft w:val="0"/>
          <w:marRight w:val="0"/>
          <w:marTop w:val="0"/>
          <w:marBottom w:val="0"/>
          <w:divBdr>
            <w:top w:val="none" w:sz="0" w:space="0" w:color="auto"/>
            <w:left w:val="none" w:sz="0" w:space="0" w:color="auto"/>
            <w:bottom w:val="none" w:sz="0" w:space="0" w:color="auto"/>
            <w:right w:val="none" w:sz="0" w:space="0" w:color="auto"/>
          </w:divBdr>
        </w:div>
      </w:divsChild>
    </w:div>
    <w:div w:id="586230561">
      <w:bodyDiv w:val="1"/>
      <w:marLeft w:val="0"/>
      <w:marRight w:val="0"/>
      <w:marTop w:val="0"/>
      <w:marBottom w:val="0"/>
      <w:divBdr>
        <w:top w:val="none" w:sz="0" w:space="0" w:color="auto"/>
        <w:left w:val="none" w:sz="0" w:space="0" w:color="auto"/>
        <w:bottom w:val="none" w:sz="0" w:space="0" w:color="auto"/>
        <w:right w:val="none" w:sz="0" w:space="0" w:color="auto"/>
      </w:divBdr>
    </w:div>
    <w:div w:id="650713820">
      <w:bodyDiv w:val="1"/>
      <w:marLeft w:val="0"/>
      <w:marRight w:val="0"/>
      <w:marTop w:val="0"/>
      <w:marBottom w:val="0"/>
      <w:divBdr>
        <w:top w:val="none" w:sz="0" w:space="0" w:color="auto"/>
        <w:left w:val="none" w:sz="0" w:space="0" w:color="auto"/>
        <w:bottom w:val="none" w:sz="0" w:space="0" w:color="auto"/>
        <w:right w:val="none" w:sz="0" w:space="0" w:color="auto"/>
      </w:divBdr>
      <w:divsChild>
        <w:div w:id="820774993">
          <w:marLeft w:val="0"/>
          <w:marRight w:val="0"/>
          <w:marTop w:val="0"/>
          <w:marBottom w:val="0"/>
          <w:divBdr>
            <w:top w:val="none" w:sz="0" w:space="0" w:color="auto"/>
            <w:left w:val="none" w:sz="0" w:space="0" w:color="auto"/>
            <w:bottom w:val="none" w:sz="0" w:space="0" w:color="auto"/>
            <w:right w:val="none" w:sz="0" w:space="0" w:color="auto"/>
          </w:divBdr>
        </w:div>
        <w:div w:id="1116633046">
          <w:marLeft w:val="0"/>
          <w:marRight w:val="0"/>
          <w:marTop w:val="0"/>
          <w:marBottom w:val="0"/>
          <w:divBdr>
            <w:top w:val="none" w:sz="0" w:space="0" w:color="auto"/>
            <w:left w:val="none" w:sz="0" w:space="0" w:color="auto"/>
            <w:bottom w:val="none" w:sz="0" w:space="0" w:color="auto"/>
            <w:right w:val="none" w:sz="0" w:space="0" w:color="auto"/>
          </w:divBdr>
        </w:div>
        <w:div w:id="1142503944">
          <w:marLeft w:val="0"/>
          <w:marRight w:val="0"/>
          <w:marTop w:val="0"/>
          <w:marBottom w:val="0"/>
          <w:divBdr>
            <w:top w:val="none" w:sz="0" w:space="0" w:color="auto"/>
            <w:left w:val="none" w:sz="0" w:space="0" w:color="auto"/>
            <w:bottom w:val="none" w:sz="0" w:space="0" w:color="auto"/>
            <w:right w:val="none" w:sz="0" w:space="0" w:color="auto"/>
          </w:divBdr>
        </w:div>
        <w:div w:id="1526013942">
          <w:marLeft w:val="0"/>
          <w:marRight w:val="0"/>
          <w:marTop w:val="0"/>
          <w:marBottom w:val="0"/>
          <w:divBdr>
            <w:top w:val="none" w:sz="0" w:space="0" w:color="auto"/>
            <w:left w:val="none" w:sz="0" w:space="0" w:color="auto"/>
            <w:bottom w:val="none" w:sz="0" w:space="0" w:color="auto"/>
            <w:right w:val="none" w:sz="0" w:space="0" w:color="auto"/>
          </w:divBdr>
        </w:div>
        <w:div w:id="2005471144">
          <w:marLeft w:val="0"/>
          <w:marRight w:val="0"/>
          <w:marTop w:val="0"/>
          <w:marBottom w:val="0"/>
          <w:divBdr>
            <w:top w:val="none" w:sz="0" w:space="0" w:color="auto"/>
            <w:left w:val="none" w:sz="0" w:space="0" w:color="auto"/>
            <w:bottom w:val="none" w:sz="0" w:space="0" w:color="auto"/>
            <w:right w:val="none" w:sz="0" w:space="0" w:color="auto"/>
          </w:divBdr>
        </w:div>
      </w:divsChild>
    </w:div>
    <w:div w:id="705254616">
      <w:bodyDiv w:val="1"/>
      <w:marLeft w:val="0"/>
      <w:marRight w:val="0"/>
      <w:marTop w:val="0"/>
      <w:marBottom w:val="0"/>
      <w:divBdr>
        <w:top w:val="none" w:sz="0" w:space="0" w:color="auto"/>
        <w:left w:val="none" w:sz="0" w:space="0" w:color="auto"/>
        <w:bottom w:val="none" w:sz="0" w:space="0" w:color="auto"/>
        <w:right w:val="none" w:sz="0" w:space="0" w:color="auto"/>
      </w:divBdr>
    </w:div>
    <w:div w:id="857743216">
      <w:bodyDiv w:val="1"/>
      <w:marLeft w:val="0"/>
      <w:marRight w:val="0"/>
      <w:marTop w:val="0"/>
      <w:marBottom w:val="0"/>
      <w:divBdr>
        <w:top w:val="none" w:sz="0" w:space="0" w:color="auto"/>
        <w:left w:val="none" w:sz="0" w:space="0" w:color="auto"/>
        <w:bottom w:val="none" w:sz="0" w:space="0" w:color="auto"/>
        <w:right w:val="none" w:sz="0" w:space="0" w:color="auto"/>
      </w:divBdr>
    </w:div>
    <w:div w:id="884755006">
      <w:bodyDiv w:val="1"/>
      <w:marLeft w:val="0"/>
      <w:marRight w:val="0"/>
      <w:marTop w:val="0"/>
      <w:marBottom w:val="0"/>
      <w:divBdr>
        <w:top w:val="none" w:sz="0" w:space="0" w:color="auto"/>
        <w:left w:val="none" w:sz="0" w:space="0" w:color="auto"/>
        <w:bottom w:val="none" w:sz="0" w:space="0" w:color="auto"/>
        <w:right w:val="none" w:sz="0" w:space="0" w:color="auto"/>
      </w:divBdr>
      <w:divsChild>
        <w:div w:id="182207657">
          <w:marLeft w:val="0"/>
          <w:marRight w:val="0"/>
          <w:marTop w:val="0"/>
          <w:marBottom w:val="0"/>
          <w:divBdr>
            <w:top w:val="none" w:sz="0" w:space="0" w:color="auto"/>
            <w:left w:val="none" w:sz="0" w:space="0" w:color="auto"/>
            <w:bottom w:val="none" w:sz="0" w:space="0" w:color="auto"/>
            <w:right w:val="none" w:sz="0" w:space="0" w:color="auto"/>
          </w:divBdr>
        </w:div>
        <w:div w:id="215776245">
          <w:marLeft w:val="0"/>
          <w:marRight w:val="0"/>
          <w:marTop w:val="0"/>
          <w:marBottom w:val="0"/>
          <w:divBdr>
            <w:top w:val="none" w:sz="0" w:space="0" w:color="auto"/>
            <w:left w:val="none" w:sz="0" w:space="0" w:color="auto"/>
            <w:bottom w:val="none" w:sz="0" w:space="0" w:color="auto"/>
            <w:right w:val="none" w:sz="0" w:space="0" w:color="auto"/>
          </w:divBdr>
        </w:div>
        <w:div w:id="359934124">
          <w:marLeft w:val="0"/>
          <w:marRight w:val="0"/>
          <w:marTop w:val="0"/>
          <w:marBottom w:val="0"/>
          <w:divBdr>
            <w:top w:val="none" w:sz="0" w:space="0" w:color="auto"/>
            <w:left w:val="none" w:sz="0" w:space="0" w:color="auto"/>
            <w:bottom w:val="none" w:sz="0" w:space="0" w:color="auto"/>
            <w:right w:val="none" w:sz="0" w:space="0" w:color="auto"/>
          </w:divBdr>
        </w:div>
        <w:div w:id="595022950">
          <w:marLeft w:val="0"/>
          <w:marRight w:val="0"/>
          <w:marTop w:val="0"/>
          <w:marBottom w:val="0"/>
          <w:divBdr>
            <w:top w:val="none" w:sz="0" w:space="0" w:color="auto"/>
            <w:left w:val="none" w:sz="0" w:space="0" w:color="auto"/>
            <w:bottom w:val="none" w:sz="0" w:space="0" w:color="auto"/>
            <w:right w:val="none" w:sz="0" w:space="0" w:color="auto"/>
          </w:divBdr>
        </w:div>
        <w:div w:id="615673690">
          <w:marLeft w:val="0"/>
          <w:marRight w:val="0"/>
          <w:marTop w:val="0"/>
          <w:marBottom w:val="0"/>
          <w:divBdr>
            <w:top w:val="none" w:sz="0" w:space="0" w:color="auto"/>
            <w:left w:val="none" w:sz="0" w:space="0" w:color="auto"/>
            <w:bottom w:val="none" w:sz="0" w:space="0" w:color="auto"/>
            <w:right w:val="none" w:sz="0" w:space="0" w:color="auto"/>
          </w:divBdr>
        </w:div>
        <w:div w:id="983119512">
          <w:marLeft w:val="0"/>
          <w:marRight w:val="0"/>
          <w:marTop w:val="0"/>
          <w:marBottom w:val="0"/>
          <w:divBdr>
            <w:top w:val="none" w:sz="0" w:space="0" w:color="auto"/>
            <w:left w:val="none" w:sz="0" w:space="0" w:color="auto"/>
            <w:bottom w:val="none" w:sz="0" w:space="0" w:color="auto"/>
            <w:right w:val="none" w:sz="0" w:space="0" w:color="auto"/>
          </w:divBdr>
        </w:div>
        <w:div w:id="1048339127">
          <w:marLeft w:val="0"/>
          <w:marRight w:val="0"/>
          <w:marTop w:val="0"/>
          <w:marBottom w:val="0"/>
          <w:divBdr>
            <w:top w:val="none" w:sz="0" w:space="0" w:color="auto"/>
            <w:left w:val="none" w:sz="0" w:space="0" w:color="auto"/>
            <w:bottom w:val="none" w:sz="0" w:space="0" w:color="auto"/>
            <w:right w:val="none" w:sz="0" w:space="0" w:color="auto"/>
          </w:divBdr>
        </w:div>
        <w:div w:id="1392731817">
          <w:marLeft w:val="0"/>
          <w:marRight w:val="0"/>
          <w:marTop w:val="0"/>
          <w:marBottom w:val="0"/>
          <w:divBdr>
            <w:top w:val="none" w:sz="0" w:space="0" w:color="auto"/>
            <w:left w:val="none" w:sz="0" w:space="0" w:color="auto"/>
            <w:bottom w:val="none" w:sz="0" w:space="0" w:color="auto"/>
            <w:right w:val="none" w:sz="0" w:space="0" w:color="auto"/>
          </w:divBdr>
        </w:div>
        <w:div w:id="2033845363">
          <w:marLeft w:val="0"/>
          <w:marRight w:val="0"/>
          <w:marTop w:val="0"/>
          <w:marBottom w:val="0"/>
          <w:divBdr>
            <w:top w:val="none" w:sz="0" w:space="0" w:color="auto"/>
            <w:left w:val="none" w:sz="0" w:space="0" w:color="auto"/>
            <w:bottom w:val="none" w:sz="0" w:space="0" w:color="auto"/>
            <w:right w:val="none" w:sz="0" w:space="0" w:color="auto"/>
          </w:divBdr>
        </w:div>
        <w:div w:id="2102335267">
          <w:marLeft w:val="0"/>
          <w:marRight w:val="0"/>
          <w:marTop w:val="0"/>
          <w:marBottom w:val="0"/>
          <w:divBdr>
            <w:top w:val="none" w:sz="0" w:space="0" w:color="auto"/>
            <w:left w:val="none" w:sz="0" w:space="0" w:color="auto"/>
            <w:bottom w:val="none" w:sz="0" w:space="0" w:color="auto"/>
            <w:right w:val="none" w:sz="0" w:space="0" w:color="auto"/>
          </w:divBdr>
        </w:div>
      </w:divsChild>
    </w:div>
    <w:div w:id="889193399">
      <w:bodyDiv w:val="1"/>
      <w:marLeft w:val="0"/>
      <w:marRight w:val="0"/>
      <w:marTop w:val="0"/>
      <w:marBottom w:val="0"/>
      <w:divBdr>
        <w:top w:val="none" w:sz="0" w:space="0" w:color="auto"/>
        <w:left w:val="none" w:sz="0" w:space="0" w:color="auto"/>
        <w:bottom w:val="none" w:sz="0" w:space="0" w:color="auto"/>
        <w:right w:val="none" w:sz="0" w:space="0" w:color="auto"/>
      </w:divBdr>
      <w:divsChild>
        <w:div w:id="496114294">
          <w:marLeft w:val="0"/>
          <w:marRight w:val="0"/>
          <w:marTop w:val="0"/>
          <w:marBottom w:val="0"/>
          <w:divBdr>
            <w:top w:val="none" w:sz="0" w:space="0" w:color="auto"/>
            <w:left w:val="none" w:sz="0" w:space="0" w:color="auto"/>
            <w:bottom w:val="none" w:sz="0" w:space="0" w:color="auto"/>
            <w:right w:val="none" w:sz="0" w:space="0" w:color="auto"/>
          </w:divBdr>
        </w:div>
        <w:div w:id="534660944">
          <w:marLeft w:val="0"/>
          <w:marRight w:val="0"/>
          <w:marTop w:val="0"/>
          <w:marBottom w:val="0"/>
          <w:divBdr>
            <w:top w:val="none" w:sz="0" w:space="0" w:color="auto"/>
            <w:left w:val="none" w:sz="0" w:space="0" w:color="auto"/>
            <w:bottom w:val="none" w:sz="0" w:space="0" w:color="auto"/>
            <w:right w:val="none" w:sz="0" w:space="0" w:color="auto"/>
          </w:divBdr>
        </w:div>
        <w:div w:id="1638955048">
          <w:marLeft w:val="0"/>
          <w:marRight w:val="0"/>
          <w:marTop w:val="0"/>
          <w:marBottom w:val="0"/>
          <w:divBdr>
            <w:top w:val="none" w:sz="0" w:space="0" w:color="auto"/>
            <w:left w:val="none" w:sz="0" w:space="0" w:color="auto"/>
            <w:bottom w:val="none" w:sz="0" w:space="0" w:color="auto"/>
            <w:right w:val="none" w:sz="0" w:space="0" w:color="auto"/>
          </w:divBdr>
        </w:div>
      </w:divsChild>
    </w:div>
    <w:div w:id="965895224">
      <w:bodyDiv w:val="1"/>
      <w:marLeft w:val="0"/>
      <w:marRight w:val="0"/>
      <w:marTop w:val="0"/>
      <w:marBottom w:val="0"/>
      <w:divBdr>
        <w:top w:val="none" w:sz="0" w:space="0" w:color="auto"/>
        <w:left w:val="none" w:sz="0" w:space="0" w:color="auto"/>
        <w:bottom w:val="none" w:sz="0" w:space="0" w:color="auto"/>
        <w:right w:val="none" w:sz="0" w:space="0" w:color="auto"/>
      </w:divBdr>
    </w:div>
    <w:div w:id="973024909">
      <w:bodyDiv w:val="1"/>
      <w:marLeft w:val="0"/>
      <w:marRight w:val="0"/>
      <w:marTop w:val="0"/>
      <w:marBottom w:val="0"/>
      <w:divBdr>
        <w:top w:val="none" w:sz="0" w:space="0" w:color="auto"/>
        <w:left w:val="none" w:sz="0" w:space="0" w:color="auto"/>
        <w:bottom w:val="none" w:sz="0" w:space="0" w:color="auto"/>
        <w:right w:val="none" w:sz="0" w:space="0" w:color="auto"/>
      </w:divBdr>
    </w:div>
    <w:div w:id="1034967573">
      <w:bodyDiv w:val="1"/>
      <w:marLeft w:val="0"/>
      <w:marRight w:val="0"/>
      <w:marTop w:val="0"/>
      <w:marBottom w:val="0"/>
      <w:divBdr>
        <w:top w:val="none" w:sz="0" w:space="0" w:color="auto"/>
        <w:left w:val="none" w:sz="0" w:space="0" w:color="auto"/>
        <w:bottom w:val="none" w:sz="0" w:space="0" w:color="auto"/>
        <w:right w:val="none" w:sz="0" w:space="0" w:color="auto"/>
      </w:divBdr>
      <w:divsChild>
        <w:div w:id="827208923">
          <w:marLeft w:val="0"/>
          <w:marRight w:val="0"/>
          <w:marTop w:val="0"/>
          <w:marBottom w:val="0"/>
          <w:divBdr>
            <w:top w:val="none" w:sz="0" w:space="0" w:color="auto"/>
            <w:left w:val="none" w:sz="0" w:space="0" w:color="auto"/>
            <w:bottom w:val="none" w:sz="0" w:space="0" w:color="auto"/>
            <w:right w:val="none" w:sz="0" w:space="0" w:color="auto"/>
          </w:divBdr>
        </w:div>
        <w:div w:id="1790590334">
          <w:marLeft w:val="0"/>
          <w:marRight w:val="0"/>
          <w:marTop w:val="0"/>
          <w:marBottom w:val="0"/>
          <w:divBdr>
            <w:top w:val="none" w:sz="0" w:space="0" w:color="auto"/>
            <w:left w:val="none" w:sz="0" w:space="0" w:color="auto"/>
            <w:bottom w:val="none" w:sz="0" w:space="0" w:color="auto"/>
            <w:right w:val="none" w:sz="0" w:space="0" w:color="auto"/>
          </w:divBdr>
        </w:div>
      </w:divsChild>
    </w:div>
    <w:div w:id="1035421318">
      <w:bodyDiv w:val="1"/>
      <w:marLeft w:val="0"/>
      <w:marRight w:val="0"/>
      <w:marTop w:val="0"/>
      <w:marBottom w:val="0"/>
      <w:divBdr>
        <w:top w:val="none" w:sz="0" w:space="0" w:color="auto"/>
        <w:left w:val="none" w:sz="0" w:space="0" w:color="auto"/>
        <w:bottom w:val="none" w:sz="0" w:space="0" w:color="auto"/>
        <w:right w:val="none" w:sz="0" w:space="0" w:color="auto"/>
      </w:divBdr>
    </w:div>
    <w:div w:id="1038629915">
      <w:bodyDiv w:val="1"/>
      <w:marLeft w:val="0"/>
      <w:marRight w:val="0"/>
      <w:marTop w:val="0"/>
      <w:marBottom w:val="0"/>
      <w:divBdr>
        <w:top w:val="none" w:sz="0" w:space="0" w:color="auto"/>
        <w:left w:val="none" w:sz="0" w:space="0" w:color="auto"/>
        <w:bottom w:val="none" w:sz="0" w:space="0" w:color="auto"/>
        <w:right w:val="none" w:sz="0" w:space="0" w:color="auto"/>
      </w:divBdr>
      <w:divsChild>
        <w:div w:id="686827742">
          <w:marLeft w:val="0"/>
          <w:marRight w:val="0"/>
          <w:marTop w:val="0"/>
          <w:marBottom w:val="0"/>
          <w:divBdr>
            <w:top w:val="none" w:sz="0" w:space="0" w:color="auto"/>
            <w:left w:val="none" w:sz="0" w:space="0" w:color="auto"/>
            <w:bottom w:val="none" w:sz="0" w:space="0" w:color="auto"/>
            <w:right w:val="none" w:sz="0" w:space="0" w:color="auto"/>
          </w:divBdr>
        </w:div>
        <w:div w:id="1355881287">
          <w:marLeft w:val="0"/>
          <w:marRight w:val="0"/>
          <w:marTop w:val="0"/>
          <w:marBottom w:val="0"/>
          <w:divBdr>
            <w:top w:val="none" w:sz="0" w:space="0" w:color="auto"/>
            <w:left w:val="none" w:sz="0" w:space="0" w:color="auto"/>
            <w:bottom w:val="none" w:sz="0" w:space="0" w:color="auto"/>
            <w:right w:val="none" w:sz="0" w:space="0" w:color="auto"/>
          </w:divBdr>
        </w:div>
        <w:div w:id="74742370">
          <w:marLeft w:val="0"/>
          <w:marRight w:val="0"/>
          <w:marTop w:val="0"/>
          <w:marBottom w:val="0"/>
          <w:divBdr>
            <w:top w:val="none" w:sz="0" w:space="0" w:color="auto"/>
            <w:left w:val="none" w:sz="0" w:space="0" w:color="auto"/>
            <w:bottom w:val="none" w:sz="0" w:space="0" w:color="auto"/>
            <w:right w:val="none" w:sz="0" w:space="0" w:color="auto"/>
          </w:divBdr>
        </w:div>
      </w:divsChild>
    </w:div>
    <w:div w:id="1041519372">
      <w:bodyDiv w:val="1"/>
      <w:marLeft w:val="0"/>
      <w:marRight w:val="0"/>
      <w:marTop w:val="0"/>
      <w:marBottom w:val="0"/>
      <w:divBdr>
        <w:top w:val="none" w:sz="0" w:space="0" w:color="auto"/>
        <w:left w:val="none" w:sz="0" w:space="0" w:color="auto"/>
        <w:bottom w:val="none" w:sz="0" w:space="0" w:color="auto"/>
        <w:right w:val="none" w:sz="0" w:space="0" w:color="auto"/>
      </w:divBdr>
      <w:divsChild>
        <w:div w:id="1507748148">
          <w:marLeft w:val="0"/>
          <w:marRight w:val="0"/>
          <w:marTop w:val="0"/>
          <w:marBottom w:val="0"/>
          <w:divBdr>
            <w:top w:val="none" w:sz="0" w:space="0" w:color="auto"/>
            <w:left w:val="none" w:sz="0" w:space="0" w:color="auto"/>
            <w:bottom w:val="none" w:sz="0" w:space="0" w:color="auto"/>
            <w:right w:val="none" w:sz="0" w:space="0" w:color="auto"/>
          </w:divBdr>
        </w:div>
        <w:div w:id="101271535">
          <w:marLeft w:val="0"/>
          <w:marRight w:val="0"/>
          <w:marTop w:val="0"/>
          <w:marBottom w:val="0"/>
          <w:divBdr>
            <w:top w:val="none" w:sz="0" w:space="0" w:color="auto"/>
            <w:left w:val="none" w:sz="0" w:space="0" w:color="auto"/>
            <w:bottom w:val="none" w:sz="0" w:space="0" w:color="auto"/>
            <w:right w:val="none" w:sz="0" w:space="0" w:color="auto"/>
          </w:divBdr>
        </w:div>
        <w:div w:id="692652077">
          <w:marLeft w:val="0"/>
          <w:marRight w:val="0"/>
          <w:marTop w:val="0"/>
          <w:marBottom w:val="0"/>
          <w:divBdr>
            <w:top w:val="none" w:sz="0" w:space="0" w:color="auto"/>
            <w:left w:val="none" w:sz="0" w:space="0" w:color="auto"/>
            <w:bottom w:val="none" w:sz="0" w:space="0" w:color="auto"/>
            <w:right w:val="none" w:sz="0" w:space="0" w:color="auto"/>
          </w:divBdr>
        </w:div>
      </w:divsChild>
    </w:div>
    <w:div w:id="1168014248">
      <w:bodyDiv w:val="1"/>
      <w:marLeft w:val="0"/>
      <w:marRight w:val="0"/>
      <w:marTop w:val="0"/>
      <w:marBottom w:val="0"/>
      <w:divBdr>
        <w:top w:val="none" w:sz="0" w:space="0" w:color="auto"/>
        <w:left w:val="none" w:sz="0" w:space="0" w:color="auto"/>
        <w:bottom w:val="none" w:sz="0" w:space="0" w:color="auto"/>
        <w:right w:val="none" w:sz="0" w:space="0" w:color="auto"/>
      </w:divBdr>
      <w:divsChild>
        <w:div w:id="371543337">
          <w:marLeft w:val="0"/>
          <w:marRight w:val="0"/>
          <w:marTop w:val="0"/>
          <w:marBottom w:val="0"/>
          <w:divBdr>
            <w:top w:val="none" w:sz="0" w:space="0" w:color="auto"/>
            <w:left w:val="none" w:sz="0" w:space="0" w:color="auto"/>
            <w:bottom w:val="none" w:sz="0" w:space="0" w:color="auto"/>
            <w:right w:val="none" w:sz="0" w:space="0" w:color="auto"/>
          </w:divBdr>
        </w:div>
        <w:div w:id="1041707487">
          <w:marLeft w:val="0"/>
          <w:marRight w:val="0"/>
          <w:marTop w:val="0"/>
          <w:marBottom w:val="0"/>
          <w:divBdr>
            <w:top w:val="none" w:sz="0" w:space="0" w:color="auto"/>
            <w:left w:val="none" w:sz="0" w:space="0" w:color="auto"/>
            <w:bottom w:val="none" w:sz="0" w:space="0" w:color="auto"/>
            <w:right w:val="none" w:sz="0" w:space="0" w:color="auto"/>
          </w:divBdr>
        </w:div>
        <w:div w:id="1059788006">
          <w:marLeft w:val="0"/>
          <w:marRight w:val="0"/>
          <w:marTop w:val="0"/>
          <w:marBottom w:val="0"/>
          <w:divBdr>
            <w:top w:val="none" w:sz="0" w:space="0" w:color="auto"/>
            <w:left w:val="none" w:sz="0" w:space="0" w:color="auto"/>
            <w:bottom w:val="none" w:sz="0" w:space="0" w:color="auto"/>
            <w:right w:val="none" w:sz="0" w:space="0" w:color="auto"/>
          </w:divBdr>
        </w:div>
      </w:divsChild>
    </w:div>
    <w:div w:id="1173642438">
      <w:bodyDiv w:val="1"/>
      <w:marLeft w:val="0"/>
      <w:marRight w:val="0"/>
      <w:marTop w:val="0"/>
      <w:marBottom w:val="0"/>
      <w:divBdr>
        <w:top w:val="none" w:sz="0" w:space="0" w:color="auto"/>
        <w:left w:val="none" w:sz="0" w:space="0" w:color="auto"/>
        <w:bottom w:val="none" w:sz="0" w:space="0" w:color="auto"/>
        <w:right w:val="none" w:sz="0" w:space="0" w:color="auto"/>
      </w:divBdr>
      <w:divsChild>
        <w:div w:id="692460130">
          <w:marLeft w:val="0"/>
          <w:marRight w:val="0"/>
          <w:marTop w:val="0"/>
          <w:marBottom w:val="0"/>
          <w:divBdr>
            <w:top w:val="none" w:sz="0" w:space="0" w:color="auto"/>
            <w:left w:val="none" w:sz="0" w:space="0" w:color="auto"/>
            <w:bottom w:val="none" w:sz="0" w:space="0" w:color="auto"/>
            <w:right w:val="none" w:sz="0" w:space="0" w:color="auto"/>
          </w:divBdr>
        </w:div>
        <w:div w:id="1024984613">
          <w:marLeft w:val="0"/>
          <w:marRight w:val="0"/>
          <w:marTop w:val="0"/>
          <w:marBottom w:val="0"/>
          <w:divBdr>
            <w:top w:val="none" w:sz="0" w:space="0" w:color="auto"/>
            <w:left w:val="none" w:sz="0" w:space="0" w:color="auto"/>
            <w:bottom w:val="none" w:sz="0" w:space="0" w:color="auto"/>
            <w:right w:val="none" w:sz="0" w:space="0" w:color="auto"/>
          </w:divBdr>
        </w:div>
        <w:div w:id="1394306265">
          <w:marLeft w:val="0"/>
          <w:marRight w:val="0"/>
          <w:marTop w:val="0"/>
          <w:marBottom w:val="0"/>
          <w:divBdr>
            <w:top w:val="none" w:sz="0" w:space="0" w:color="auto"/>
            <w:left w:val="none" w:sz="0" w:space="0" w:color="auto"/>
            <w:bottom w:val="none" w:sz="0" w:space="0" w:color="auto"/>
            <w:right w:val="none" w:sz="0" w:space="0" w:color="auto"/>
          </w:divBdr>
        </w:div>
        <w:div w:id="1507400594">
          <w:marLeft w:val="0"/>
          <w:marRight w:val="0"/>
          <w:marTop w:val="0"/>
          <w:marBottom w:val="0"/>
          <w:divBdr>
            <w:top w:val="none" w:sz="0" w:space="0" w:color="auto"/>
            <w:left w:val="none" w:sz="0" w:space="0" w:color="auto"/>
            <w:bottom w:val="none" w:sz="0" w:space="0" w:color="auto"/>
            <w:right w:val="none" w:sz="0" w:space="0" w:color="auto"/>
          </w:divBdr>
        </w:div>
      </w:divsChild>
    </w:div>
    <w:div w:id="1187793536">
      <w:bodyDiv w:val="1"/>
      <w:marLeft w:val="0"/>
      <w:marRight w:val="0"/>
      <w:marTop w:val="0"/>
      <w:marBottom w:val="0"/>
      <w:divBdr>
        <w:top w:val="none" w:sz="0" w:space="0" w:color="auto"/>
        <w:left w:val="none" w:sz="0" w:space="0" w:color="auto"/>
        <w:bottom w:val="none" w:sz="0" w:space="0" w:color="auto"/>
        <w:right w:val="none" w:sz="0" w:space="0" w:color="auto"/>
      </w:divBdr>
      <w:divsChild>
        <w:div w:id="1688480447">
          <w:marLeft w:val="0"/>
          <w:marRight w:val="0"/>
          <w:marTop w:val="0"/>
          <w:marBottom w:val="0"/>
          <w:divBdr>
            <w:top w:val="none" w:sz="0" w:space="0" w:color="auto"/>
            <w:left w:val="none" w:sz="0" w:space="0" w:color="auto"/>
            <w:bottom w:val="none" w:sz="0" w:space="0" w:color="auto"/>
            <w:right w:val="none" w:sz="0" w:space="0" w:color="auto"/>
          </w:divBdr>
        </w:div>
        <w:div w:id="2091268293">
          <w:marLeft w:val="0"/>
          <w:marRight w:val="0"/>
          <w:marTop w:val="0"/>
          <w:marBottom w:val="0"/>
          <w:divBdr>
            <w:top w:val="none" w:sz="0" w:space="0" w:color="auto"/>
            <w:left w:val="none" w:sz="0" w:space="0" w:color="auto"/>
            <w:bottom w:val="none" w:sz="0" w:space="0" w:color="auto"/>
            <w:right w:val="none" w:sz="0" w:space="0" w:color="auto"/>
          </w:divBdr>
        </w:div>
        <w:div w:id="2118524685">
          <w:marLeft w:val="0"/>
          <w:marRight w:val="0"/>
          <w:marTop w:val="0"/>
          <w:marBottom w:val="0"/>
          <w:divBdr>
            <w:top w:val="none" w:sz="0" w:space="0" w:color="auto"/>
            <w:left w:val="none" w:sz="0" w:space="0" w:color="auto"/>
            <w:bottom w:val="none" w:sz="0" w:space="0" w:color="auto"/>
            <w:right w:val="none" w:sz="0" w:space="0" w:color="auto"/>
          </w:divBdr>
        </w:div>
      </w:divsChild>
    </w:div>
    <w:div w:id="119722987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43023197">
      <w:bodyDiv w:val="1"/>
      <w:marLeft w:val="0"/>
      <w:marRight w:val="0"/>
      <w:marTop w:val="0"/>
      <w:marBottom w:val="0"/>
      <w:divBdr>
        <w:top w:val="none" w:sz="0" w:space="0" w:color="auto"/>
        <w:left w:val="none" w:sz="0" w:space="0" w:color="auto"/>
        <w:bottom w:val="none" w:sz="0" w:space="0" w:color="auto"/>
        <w:right w:val="none" w:sz="0" w:space="0" w:color="auto"/>
      </w:divBdr>
      <w:divsChild>
        <w:div w:id="615412466">
          <w:marLeft w:val="0"/>
          <w:marRight w:val="0"/>
          <w:marTop w:val="0"/>
          <w:marBottom w:val="0"/>
          <w:divBdr>
            <w:top w:val="none" w:sz="0" w:space="0" w:color="auto"/>
            <w:left w:val="none" w:sz="0" w:space="0" w:color="auto"/>
            <w:bottom w:val="none" w:sz="0" w:space="0" w:color="auto"/>
            <w:right w:val="none" w:sz="0" w:space="0" w:color="auto"/>
          </w:divBdr>
        </w:div>
        <w:div w:id="1496188613">
          <w:marLeft w:val="0"/>
          <w:marRight w:val="0"/>
          <w:marTop w:val="0"/>
          <w:marBottom w:val="0"/>
          <w:divBdr>
            <w:top w:val="none" w:sz="0" w:space="0" w:color="auto"/>
            <w:left w:val="none" w:sz="0" w:space="0" w:color="auto"/>
            <w:bottom w:val="none" w:sz="0" w:space="0" w:color="auto"/>
            <w:right w:val="none" w:sz="0" w:space="0" w:color="auto"/>
          </w:divBdr>
        </w:div>
      </w:divsChild>
    </w:div>
    <w:div w:id="1356924341">
      <w:bodyDiv w:val="1"/>
      <w:marLeft w:val="0"/>
      <w:marRight w:val="0"/>
      <w:marTop w:val="0"/>
      <w:marBottom w:val="0"/>
      <w:divBdr>
        <w:top w:val="none" w:sz="0" w:space="0" w:color="auto"/>
        <w:left w:val="none" w:sz="0" w:space="0" w:color="auto"/>
        <w:bottom w:val="none" w:sz="0" w:space="0" w:color="auto"/>
        <w:right w:val="none" w:sz="0" w:space="0" w:color="auto"/>
      </w:divBdr>
    </w:div>
    <w:div w:id="1388725628">
      <w:bodyDiv w:val="1"/>
      <w:marLeft w:val="0"/>
      <w:marRight w:val="0"/>
      <w:marTop w:val="0"/>
      <w:marBottom w:val="0"/>
      <w:divBdr>
        <w:top w:val="none" w:sz="0" w:space="0" w:color="auto"/>
        <w:left w:val="none" w:sz="0" w:space="0" w:color="auto"/>
        <w:bottom w:val="none" w:sz="0" w:space="0" w:color="auto"/>
        <w:right w:val="none" w:sz="0" w:space="0" w:color="auto"/>
      </w:divBdr>
      <w:divsChild>
        <w:div w:id="157769567">
          <w:marLeft w:val="0"/>
          <w:marRight w:val="0"/>
          <w:marTop w:val="0"/>
          <w:marBottom w:val="0"/>
          <w:divBdr>
            <w:top w:val="none" w:sz="0" w:space="0" w:color="auto"/>
            <w:left w:val="none" w:sz="0" w:space="0" w:color="auto"/>
            <w:bottom w:val="none" w:sz="0" w:space="0" w:color="auto"/>
            <w:right w:val="none" w:sz="0" w:space="0" w:color="auto"/>
          </w:divBdr>
        </w:div>
        <w:div w:id="1857576833">
          <w:marLeft w:val="0"/>
          <w:marRight w:val="0"/>
          <w:marTop w:val="0"/>
          <w:marBottom w:val="0"/>
          <w:divBdr>
            <w:top w:val="none" w:sz="0" w:space="0" w:color="auto"/>
            <w:left w:val="none" w:sz="0" w:space="0" w:color="auto"/>
            <w:bottom w:val="none" w:sz="0" w:space="0" w:color="auto"/>
            <w:right w:val="none" w:sz="0" w:space="0" w:color="auto"/>
          </w:divBdr>
        </w:div>
        <w:div w:id="2117825429">
          <w:marLeft w:val="0"/>
          <w:marRight w:val="0"/>
          <w:marTop w:val="0"/>
          <w:marBottom w:val="0"/>
          <w:divBdr>
            <w:top w:val="none" w:sz="0" w:space="0" w:color="auto"/>
            <w:left w:val="none" w:sz="0" w:space="0" w:color="auto"/>
            <w:bottom w:val="none" w:sz="0" w:space="0" w:color="auto"/>
            <w:right w:val="none" w:sz="0" w:space="0" w:color="auto"/>
          </w:divBdr>
        </w:div>
      </w:divsChild>
    </w:div>
    <w:div w:id="1513838352">
      <w:bodyDiv w:val="1"/>
      <w:marLeft w:val="0"/>
      <w:marRight w:val="0"/>
      <w:marTop w:val="0"/>
      <w:marBottom w:val="0"/>
      <w:divBdr>
        <w:top w:val="none" w:sz="0" w:space="0" w:color="auto"/>
        <w:left w:val="none" w:sz="0" w:space="0" w:color="auto"/>
        <w:bottom w:val="none" w:sz="0" w:space="0" w:color="auto"/>
        <w:right w:val="none" w:sz="0" w:space="0" w:color="auto"/>
      </w:divBdr>
      <w:divsChild>
        <w:div w:id="151484515">
          <w:marLeft w:val="0"/>
          <w:marRight w:val="0"/>
          <w:marTop w:val="0"/>
          <w:marBottom w:val="0"/>
          <w:divBdr>
            <w:top w:val="none" w:sz="0" w:space="0" w:color="auto"/>
            <w:left w:val="none" w:sz="0" w:space="0" w:color="auto"/>
            <w:bottom w:val="none" w:sz="0" w:space="0" w:color="auto"/>
            <w:right w:val="none" w:sz="0" w:space="0" w:color="auto"/>
          </w:divBdr>
        </w:div>
        <w:div w:id="440565558">
          <w:marLeft w:val="0"/>
          <w:marRight w:val="0"/>
          <w:marTop w:val="0"/>
          <w:marBottom w:val="0"/>
          <w:divBdr>
            <w:top w:val="none" w:sz="0" w:space="0" w:color="auto"/>
            <w:left w:val="none" w:sz="0" w:space="0" w:color="auto"/>
            <w:bottom w:val="none" w:sz="0" w:space="0" w:color="auto"/>
            <w:right w:val="none" w:sz="0" w:space="0" w:color="auto"/>
          </w:divBdr>
        </w:div>
      </w:divsChild>
    </w:div>
    <w:div w:id="1521819294">
      <w:bodyDiv w:val="1"/>
      <w:marLeft w:val="0"/>
      <w:marRight w:val="0"/>
      <w:marTop w:val="0"/>
      <w:marBottom w:val="0"/>
      <w:divBdr>
        <w:top w:val="none" w:sz="0" w:space="0" w:color="auto"/>
        <w:left w:val="none" w:sz="0" w:space="0" w:color="auto"/>
        <w:bottom w:val="none" w:sz="0" w:space="0" w:color="auto"/>
        <w:right w:val="none" w:sz="0" w:space="0" w:color="auto"/>
      </w:divBdr>
    </w:div>
    <w:div w:id="1528592391">
      <w:bodyDiv w:val="1"/>
      <w:marLeft w:val="0"/>
      <w:marRight w:val="0"/>
      <w:marTop w:val="0"/>
      <w:marBottom w:val="0"/>
      <w:divBdr>
        <w:top w:val="none" w:sz="0" w:space="0" w:color="auto"/>
        <w:left w:val="none" w:sz="0" w:space="0" w:color="auto"/>
        <w:bottom w:val="none" w:sz="0" w:space="0" w:color="auto"/>
        <w:right w:val="none" w:sz="0" w:space="0" w:color="auto"/>
      </w:divBdr>
      <w:divsChild>
        <w:div w:id="968828228">
          <w:marLeft w:val="0"/>
          <w:marRight w:val="0"/>
          <w:marTop w:val="0"/>
          <w:marBottom w:val="0"/>
          <w:divBdr>
            <w:top w:val="none" w:sz="0" w:space="0" w:color="auto"/>
            <w:left w:val="none" w:sz="0" w:space="0" w:color="auto"/>
            <w:bottom w:val="none" w:sz="0" w:space="0" w:color="auto"/>
            <w:right w:val="none" w:sz="0" w:space="0" w:color="auto"/>
          </w:divBdr>
        </w:div>
        <w:div w:id="1027680261">
          <w:marLeft w:val="0"/>
          <w:marRight w:val="0"/>
          <w:marTop w:val="0"/>
          <w:marBottom w:val="0"/>
          <w:divBdr>
            <w:top w:val="none" w:sz="0" w:space="0" w:color="auto"/>
            <w:left w:val="none" w:sz="0" w:space="0" w:color="auto"/>
            <w:bottom w:val="none" w:sz="0" w:space="0" w:color="auto"/>
            <w:right w:val="none" w:sz="0" w:space="0" w:color="auto"/>
          </w:divBdr>
        </w:div>
        <w:div w:id="1471940207">
          <w:marLeft w:val="0"/>
          <w:marRight w:val="0"/>
          <w:marTop w:val="0"/>
          <w:marBottom w:val="0"/>
          <w:divBdr>
            <w:top w:val="none" w:sz="0" w:space="0" w:color="auto"/>
            <w:left w:val="none" w:sz="0" w:space="0" w:color="auto"/>
            <w:bottom w:val="none" w:sz="0" w:space="0" w:color="auto"/>
            <w:right w:val="none" w:sz="0" w:space="0" w:color="auto"/>
          </w:divBdr>
        </w:div>
      </w:divsChild>
    </w:div>
    <w:div w:id="1570262662">
      <w:bodyDiv w:val="1"/>
      <w:marLeft w:val="0"/>
      <w:marRight w:val="0"/>
      <w:marTop w:val="0"/>
      <w:marBottom w:val="0"/>
      <w:divBdr>
        <w:top w:val="none" w:sz="0" w:space="0" w:color="auto"/>
        <w:left w:val="none" w:sz="0" w:space="0" w:color="auto"/>
        <w:bottom w:val="none" w:sz="0" w:space="0" w:color="auto"/>
        <w:right w:val="none" w:sz="0" w:space="0" w:color="auto"/>
      </w:divBdr>
    </w:div>
    <w:div w:id="1652172355">
      <w:bodyDiv w:val="1"/>
      <w:marLeft w:val="0"/>
      <w:marRight w:val="0"/>
      <w:marTop w:val="0"/>
      <w:marBottom w:val="0"/>
      <w:divBdr>
        <w:top w:val="none" w:sz="0" w:space="0" w:color="auto"/>
        <w:left w:val="none" w:sz="0" w:space="0" w:color="auto"/>
        <w:bottom w:val="none" w:sz="0" w:space="0" w:color="auto"/>
        <w:right w:val="none" w:sz="0" w:space="0" w:color="auto"/>
      </w:divBdr>
      <w:divsChild>
        <w:div w:id="152381148">
          <w:marLeft w:val="0"/>
          <w:marRight w:val="0"/>
          <w:marTop w:val="0"/>
          <w:marBottom w:val="0"/>
          <w:divBdr>
            <w:top w:val="none" w:sz="0" w:space="0" w:color="auto"/>
            <w:left w:val="none" w:sz="0" w:space="0" w:color="auto"/>
            <w:bottom w:val="none" w:sz="0" w:space="0" w:color="auto"/>
            <w:right w:val="none" w:sz="0" w:space="0" w:color="auto"/>
          </w:divBdr>
        </w:div>
        <w:div w:id="686294040">
          <w:marLeft w:val="0"/>
          <w:marRight w:val="0"/>
          <w:marTop w:val="0"/>
          <w:marBottom w:val="0"/>
          <w:divBdr>
            <w:top w:val="none" w:sz="0" w:space="0" w:color="auto"/>
            <w:left w:val="none" w:sz="0" w:space="0" w:color="auto"/>
            <w:bottom w:val="none" w:sz="0" w:space="0" w:color="auto"/>
            <w:right w:val="none" w:sz="0" w:space="0" w:color="auto"/>
          </w:divBdr>
        </w:div>
      </w:divsChild>
    </w:div>
    <w:div w:id="1662656830">
      <w:bodyDiv w:val="1"/>
      <w:marLeft w:val="0"/>
      <w:marRight w:val="0"/>
      <w:marTop w:val="0"/>
      <w:marBottom w:val="0"/>
      <w:divBdr>
        <w:top w:val="none" w:sz="0" w:space="0" w:color="auto"/>
        <w:left w:val="none" w:sz="0" w:space="0" w:color="auto"/>
        <w:bottom w:val="none" w:sz="0" w:space="0" w:color="auto"/>
        <w:right w:val="none" w:sz="0" w:space="0" w:color="auto"/>
      </w:divBdr>
      <w:divsChild>
        <w:div w:id="995569933">
          <w:marLeft w:val="0"/>
          <w:marRight w:val="0"/>
          <w:marTop w:val="0"/>
          <w:marBottom w:val="0"/>
          <w:divBdr>
            <w:top w:val="none" w:sz="0" w:space="0" w:color="auto"/>
            <w:left w:val="none" w:sz="0" w:space="0" w:color="auto"/>
            <w:bottom w:val="none" w:sz="0" w:space="0" w:color="auto"/>
            <w:right w:val="none" w:sz="0" w:space="0" w:color="auto"/>
          </w:divBdr>
        </w:div>
        <w:div w:id="2065594196">
          <w:marLeft w:val="0"/>
          <w:marRight w:val="0"/>
          <w:marTop w:val="0"/>
          <w:marBottom w:val="0"/>
          <w:divBdr>
            <w:top w:val="none" w:sz="0" w:space="0" w:color="auto"/>
            <w:left w:val="none" w:sz="0" w:space="0" w:color="auto"/>
            <w:bottom w:val="none" w:sz="0" w:space="0" w:color="auto"/>
            <w:right w:val="none" w:sz="0" w:space="0" w:color="auto"/>
          </w:divBdr>
        </w:div>
      </w:divsChild>
    </w:div>
    <w:div w:id="1670476223">
      <w:bodyDiv w:val="1"/>
      <w:marLeft w:val="0"/>
      <w:marRight w:val="0"/>
      <w:marTop w:val="0"/>
      <w:marBottom w:val="0"/>
      <w:divBdr>
        <w:top w:val="none" w:sz="0" w:space="0" w:color="auto"/>
        <w:left w:val="none" w:sz="0" w:space="0" w:color="auto"/>
        <w:bottom w:val="none" w:sz="0" w:space="0" w:color="auto"/>
        <w:right w:val="none" w:sz="0" w:space="0" w:color="auto"/>
      </w:divBdr>
      <w:divsChild>
        <w:div w:id="200478776">
          <w:marLeft w:val="0"/>
          <w:marRight w:val="0"/>
          <w:marTop w:val="0"/>
          <w:marBottom w:val="0"/>
          <w:divBdr>
            <w:top w:val="none" w:sz="0" w:space="0" w:color="auto"/>
            <w:left w:val="none" w:sz="0" w:space="0" w:color="auto"/>
            <w:bottom w:val="none" w:sz="0" w:space="0" w:color="auto"/>
            <w:right w:val="none" w:sz="0" w:space="0" w:color="auto"/>
          </w:divBdr>
        </w:div>
        <w:div w:id="631981500">
          <w:marLeft w:val="0"/>
          <w:marRight w:val="0"/>
          <w:marTop w:val="0"/>
          <w:marBottom w:val="0"/>
          <w:divBdr>
            <w:top w:val="none" w:sz="0" w:space="0" w:color="auto"/>
            <w:left w:val="none" w:sz="0" w:space="0" w:color="auto"/>
            <w:bottom w:val="none" w:sz="0" w:space="0" w:color="auto"/>
            <w:right w:val="none" w:sz="0" w:space="0" w:color="auto"/>
          </w:divBdr>
        </w:div>
        <w:div w:id="714233655">
          <w:marLeft w:val="0"/>
          <w:marRight w:val="0"/>
          <w:marTop w:val="0"/>
          <w:marBottom w:val="0"/>
          <w:divBdr>
            <w:top w:val="none" w:sz="0" w:space="0" w:color="auto"/>
            <w:left w:val="none" w:sz="0" w:space="0" w:color="auto"/>
            <w:bottom w:val="none" w:sz="0" w:space="0" w:color="auto"/>
            <w:right w:val="none" w:sz="0" w:space="0" w:color="auto"/>
          </w:divBdr>
        </w:div>
        <w:div w:id="887033978">
          <w:marLeft w:val="0"/>
          <w:marRight w:val="0"/>
          <w:marTop w:val="0"/>
          <w:marBottom w:val="0"/>
          <w:divBdr>
            <w:top w:val="none" w:sz="0" w:space="0" w:color="auto"/>
            <w:left w:val="none" w:sz="0" w:space="0" w:color="auto"/>
            <w:bottom w:val="none" w:sz="0" w:space="0" w:color="auto"/>
            <w:right w:val="none" w:sz="0" w:space="0" w:color="auto"/>
          </w:divBdr>
        </w:div>
        <w:div w:id="1645886584">
          <w:marLeft w:val="0"/>
          <w:marRight w:val="0"/>
          <w:marTop w:val="0"/>
          <w:marBottom w:val="0"/>
          <w:divBdr>
            <w:top w:val="none" w:sz="0" w:space="0" w:color="auto"/>
            <w:left w:val="none" w:sz="0" w:space="0" w:color="auto"/>
            <w:bottom w:val="none" w:sz="0" w:space="0" w:color="auto"/>
            <w:right w:val="none" w:sz="0" w:space="0" w:color="auto"/>
          </w:divBdr>
        </w:div>
      </w:divsChild>
    </w:div>
    <w:div w:id="1744064343">
      <w:bodyDiv w:val="1"/>
      <w:marLeft w:val="0"/>
      <w:marRight w:val="0"/>
      <w:marTop w:val="0"/>
      <w:marBottom w:val="0"/>
      <w:divBdr>
        <w:top w:val="none" w:sz="0" w:space="0" w:color="auto"/>
        <w:left w:val="none" w:sz="0" w:space="0" w:color="auto"/>
        <w:bottom w:val="none" w:sz="0" w:space="0" w:color="auto"/>
        <w:right w:val="none" w:sz="0" w:space="0" w:color="auto"/>
      </w:divBdr>
    </w:div>
    <w:div w:id="1769882166">
      <w:bodyDiv w:val="1"/>
      <w:marLeft w:val="0"/>
      <w:marRight w:val="0"/>
      <w:marTop w:val="0"/>
      <w:marBottom w:val="0"/>
      <w:divBdr>
        <w:top w:val="none" w:sz="0" w:space="0" w:color="auto"/>
        <w:left w:val="none" w:sz="0" w:space="0" w:color="auto"/>
        <w:bottom w:val="none" w:sz="0" w:space="0" w:color="auto"/>
        <w:right w:val="none" w:sz="0" w:space="0" w:color="auto"/>
      </w:divBdr>
      <w:divsChild>
        <w:div w:id="78066770">
          <w:marLeft w:val="0"/>
          <w:marRight w:val="0"/>
          <w:marTop w:val="0"/>
          <w:marBottom w:val="0"/>
          <w:divBdr>
            <w:top w:val="none" w:sz="0" w:space="0" w:color="auto"/>
            <w:left w:val="none" w:sz="0" w:space="0" w:color="auto"/>
            <w:bottom w:val="none" w:sz="0" w:space="0" w:color="auto"/>
            <w:right w:val="none" w:sz="0" w:space="0" w:color="auto"/>
          </w:divBdr>
        </w:div>
        <w:div w:id="281771427">
          <w:marLeft w:val="0"/>
          <w:marRight w:val="0"/>
          <w:marTop w:val="0"/>
          <w:marBottom w:val="0"/>
          <w:divBdr>
            <w:top w:val="none" w:sz="0" w:space="0" w:color="auto"/>
            <w:left w:val="none" w:sz="0" w:space="0" w:color="auto"/>
            <w:bottom w:val="none" w:sz="0" w:space="0" w:color="auto"/>
            <w:right w:val="none" w:sz="0" w:space="0" w:color="auto"/>
          </w:divBdr>
        </w:div>
        <w:div w:id="421026635">
          <w:marLeft w:val="0"/>
          <w:marRight w:val="0"/>
          <w:marTop w:val="0"/>
          <w:marBottom w:val="0"/>
          <w:divBdr>
            <w:top w:val="none" w:sz="0" w:space="0" w:color="auto"/>
            <w:left w:val="none" w:sz="0" w:space="0" w:color="auto"/>
            <w:bottom w:val="none" w:sz="0" w:space="0" w:color="auto"/>
            <w:right w:val="none" w:sz="0" w:space="0" w:color="auto"/>
          </w:divBdr>
        </w:div>
        <w:div w:id="1096098854">
          <w:marLeft w:val="0"/>
          <w:marRight w:val="0"/>
          <w:marTop w:val="0"/>
          <w:marBottom w:val="0"/>
          <w:divBdr>
            <w:top w:val="none" w:sz="0" w:space="0" w:color="auto"/>
            <w:left w:val="none" w:sz="0" w:space="0" w:color="auto"/>
            <w:bottom w:val="none" w:sz="0" w:space="0" w:color="auto"/>
            <w:right w:val="none" w:sz="0" w:space="0" w:color="auto"/>
          </w:divBdr>
        </w:div>
        <w:div w:id="1215120914">
          <w:marLeft w:val="0"/>
          <w:marRight w:val="0"/>
          <w:marTop w:val="0"/>
          <w:marBottom w:val="0"/>
          <w:divBdr>
            <w:top w:val="none" w:sz="0" w:space="0" w:color="auto"/>
            <w:left w:val="none" w:sz="0" w:space="0" w:color="auto"/>
            <w:bottom w:val="none" w:sz="0" w:space="0" w:color="auto"/>
            <w:right w:val="none" w:sz="0" w:space="0" w:color="auto"/>
          </w:divBdr>
        </w:div>
        <w:div w:id="1399935756">
          <w:marLeft w:val="0"/>
          <w:marRight w:val="0"/>
          <w:marTop w:val="0"/>
          <w:marBottom w:val="0"/>
          <w:divBdr>
            <w:top w:val="none" w:sz="0" w:space="0" w:color="auto"/>
            <w:left w:val="none" w:sz="0" w:space="0" w:color="auto"/>
            <w:bottom w:val="none" w:sz="0" w:space="0" w:color="auto"/>
            <w:right w:val="none" w:sz="0" w:space="0" w:color="auto"/>
          </w:divBdr>
        </w:div>
        <w:div w:id="1497265277">
          <w:marLeft w:val="0"/>
          <w:marRight w:val="0"/>
          <w:marTop w:val="0"/>
          <w:marBottom w:val="0"/>
          <w:divBdr>
            <w:top w:val="none" w:sz="0" w:space="0" w:color="auto"/>
            <w:left w:val="none" w:sz="0" w:space="0" w:color="auto"/>
            <w:bottom w:val="none" w:sz="0" w:space="0" w:color="auto"/>
            <w:right w:val="none" w:sz="0" w:space="0" w:color="auto"/>
          </w:divBdr>
        </w:div>
        <w:div w:id="1984501221">
          <w:marLeft w:val="0"/>
          <w:marRight w:val="0"/>
          <w:marTop w:val="0"/>
          <w:marBottom w:val="0"/>
          <w:divBdr>
            <w:top w:val="none" w:sz="0" w:space="0" w:color="auto"/>
            <w:left w:val="none" w:sz="0" w:space="0" w:color="auto"/>
            <w:bottom w:val="none" w:sz="0" w:space="0" w:color="auto"/>
            <w:right w:val="none" w:sz="0" w:space="0" w:color="auto"/>
          </w:divBdr>
        </w:div>
      </w:divsChild>
    </w:div>
    <w:div w:id="1771585369">
      <w:bodyDiv w:val="1"/>
      <w:marLeft w:val="0"/>
      <w:marRight w:val="0"/>
      <w:marTop w:val="0"/>
      <w:marBottom w:val="0"/>
      <w:divBdr>
        <w:top w:val="none" w:sz="0" w:space="0" w:color="auto"/>
        <w:left w:val="none" w:sz="0" w:space="0" w:color="auto"/>
        <w:bottom w:val="none" w:sz="0" w:space="0" w:color="auto"/>
        <w:right w:val="none" w:sz="0" w:space="0" w:color="auto"/>
      </w:divBdr>
      <w:divsChild>
        <w:div w:id="1952859901">
          <w:marLeft w:val="0"/>
          <w:marRight w:val="0"/>
          <w:marTop w:val="0"/>
          <w:marBottom w:val="0"/>
          <w:divBdr>
            <w:top w:val="none" w:sz="0" w:space="0" w:color="auto"/>
            <w:left w:val="none" w:sz="0" w:space="0" w:color="auto"/>
            <w:bottom w:val="none" w:sz="0" w:space="0" w:color="auto"/>
            <w:right w:val="none" w:sz="0" w:space="0" w:color="auto"/>
          </w:divBdr>
          <w:divsChild>
            <w:div w:id="1382317752">
              <w:marLeft w:val="0"/>
              <w:marRight w:val="0"/>
              <w:marTop w:val="0"/>
              <w:marBottom w:val="0"/>
              <w:divBdr>
                <w:top w:val="none" w:sz="0" w:space="0" w:color="auto"/>
                <w:left w:val="none" w:sz="0" w:space="0" w:color="auto"/>
                <w:bottom w:val="none" w:sz="0" w:space="0" w:color="auto"/>
                <w:right w:val="none" w:sz="0" w:space="0" w:color="auto"/>
              </w:divBdr>
              <w:divsChild>
                <w:div w:id="1725524318">
                  <w:marLeft w:val="0"/>
                  <w:marRight w:val="0"/>
                  <w:marTop w:val="0"/>
                  <w:marBottom w:val="0"/>
                  <w:divBdr>
                    <w:top w:val="none" w:sz="0" w:space="0" w:color="auto"/>
                    <w:left w:val="none" w:sz="0" w:space="0" w:color="auto"/>
                    <w:bottom w:val="none" w:sz="0" w:space="0" w:color="auto"/>
                    <w:right w:val="none" w:sz="0" w:space="0" w:color="auto"/>
                  </w:divBdr>
                  <w:divsChild>
                    <w:div w:id="721365941">
                      <w:marLeft w:val="0"/>
                      <w:marRight w:val="0"/>
                      <w:marTop w:val="0"/>
                      <w:marBottom w:val="0"/>
                      <w:divBdr>
                        <w:top w:val="none" w:sz="0" w:space="0" w:color="auto"/>
                        <w:left w:val="none" w:sz="0" w:space="0" w:color="auto"/>
                        <w:bottom w:val="none" w:sz="0" w:space="0" w:color="auto"/>
                        <w:right w:val="none" w:sz="0" w:space="0" w:color="auto"/>
                      </w:divBdr>
                      <w:divsChild>
                        <w:div w:id="1816723567">
                          <w:marLeft w:val="0"/>
                          <w:marRight w:val="0"/>
                          <w:marTop w:val="0"/>
                          <w:marBottom w:val="0"/>
                          <w:divBdr>
                            <w:top w:val="none" w:sz="0" w:space="0" w:color="auto"/>
                            <w:left w:val="none" w:sz="0" w:space="0" w:color="auto"/>
                            <w:bottom w:val="none" w:sz="0" w:space="0" w:color="auto"/>
                            <w:right w:val="none" w:sz="0" w:space="0" w:color="auto"/>
                          </w:divBdr>
                          <w:divsChild>
                            <w:div w:id="833297713">
                              <w:marLeft w:val="0"/>
                              <w:marRight w:val="0"/>
                              <w:marTop w:val="0"/>
                              <w:marBottom w:val="0"/>
                              <w:divBdr>
                                <w:top w:val="none" w:sz="0" w:space="0" w:color="auto"/>
                                <w:left w:val="none" w:sz="0" w:space="0" w:color="auto"/>
                                <w:bottom w:val="none" w:sz="0" w:space="0" w:color="auto"/>
                                <w:right w:val="none" w:sz="0" w:space="0" w:color="auto"/>
                              </w:divBdr>
                              <w:divsChild>
                                <w:div w:id="1706564147">
                                  <w:marLeft w:val="0"/>
                                  <w:marRight w:val="0"/>
                                  <w:marTop w:val="0"/>
                                  <w:marBottom w:val="0"/>
                                  <w:divBdr>
                                    <w:top w:val="none" w:sz="0" w:space="0" w:color="auto"/>
                                    <w:left w:val="none" w:sz="0" w:space="0" w:color="auto"/>
                                    <w:bottom w:val="none" w:sz="0" w:space="0" w:color="auto"/>
                                    <w:right w:val="none" w:sz="0" w:space="0" w:color="auto"/>
                                  </w:divBdr>
                                  <w:divsChild>
                                    <w:div w:id="1236040952">
                                      <w:marLeft w:val="0"/>
                                      <w:marRight w:val="0"/>
                                      <w:marTop w:val="0"/>
                                      <w:marBottom w:val="0"/>
                                      <w:divBdr>
                                        <w:top w:val="none" w:sz="0" w:space="0" w:color="auto"/>
                                        <w:left w:val="none" w:sz="0" w:space="0" w:color="auto"/>
                                        <w:bottom w:val="none" w:sz="0" w:space="0" w:color="auto"/>
                                        <w:right w:val="none" w:sz="0" w:space="0" w:color="auto"/>
                                      </w:divBdr>
                                      <w:divsChild>
                                        <w:div w:id="1552381442">
                                          <w:marLeft w:val="0"/>
                                          <w:marRight w:val="0"/>
                                          <w:marTop w:val="0"/>
                                          <w:marBottom w:val="0"/>
                                          <w:divBdr>
                                            <w:top w:val="none" w:sz="0" w:space="0" w:color="auto"/>
                                            <w:left w:val="none" w:sz="0" w:space="0" w:color="auto"/>
                                            <w:bottom w:val="none" w:sz="0" w:space="0" w:color="auto"/>
                                            <w:right w:val="none" w:sz="0" w:space="0" w:color="auto"/>
                                          </w:divBdr>
                                          <w:divsChild>
                                            <w:div w:id="430709911">
                                              <w:marLeft w:val="0"/>
                                              <w:marRight w:val="0"/>
                                              <w:marTop w:val="0"/>
                                              <w:marBottom w:val="0"/>
                                              <w:divBdr>
                                                <w:top w:val="none" w:sz="0" w:space="0" w:color="auto"/>
                                                <w:left w:val="none" w:sz="0" w:space="0" w:color="auto"/>
                                                <w:bottom w:val="none" w:sz="0" w:space="0" w:color="auto"/>
                                                <w:right w:val="none" w:sz="0" w:space="0" w:color="auto"/>
                                              </w:divBdr>
                                              <w:divsChild>
                                                <w:div w:id="55785220">
                                                  <w:marLeft w:val="0"/>
                                                  <w:marRight w:val="0"/>
                                                  <w:marTop w:val="0"/>
                                                  <w:marBottom w:val="0"/>
                                                  <w:divBdr>
                                                    <w:top w:val="single" w:sz="6" w:space="0" w:color="ABABAB"/>
                                                    <w:left w:val="single" w:sz="6" w:space="0" w:color="ABABAB"/>
                                                    <w:bottom w:val="none" w:sz="0" w:space="0" w:color="auto"/>
                                                    <w:right w:val="single" w:sz="6" w:space="0" w:color="ABABAB"/>
                                                  </w:divBdr>
                                                  <w:divsChild>
                                                    <w:div w:id="1664890817">
                                                      <w:marLeft w:val="0"/>
                                                      <w:marRight w:val="0"/>
                                                      <w:marTop w:val="0"/>
                                                      <w:marBottom w:val="0"/>
                                                      <w:divBdr>
                                                        <w:top w:val="none" w:sz="0" w:space="0" w:color="auto"/>
                                                        <w:left w:val="none" w:sz="0" w:space="0" w:color="auto"/>
                                                        <w:bottom w:val="none" w:sz="0" w:space="0" w:color="auto"/>
                                                        <w:right w:val="none" w:sz="0" w:space="0" w:color="auto"/>
                                                      </w:divBdr>
                                                      <w:divsChild>
                                                        <w:div w:id="1618482377">
                                                          <w:marLeft w:val="0"/>
                                                          <w:marRight w:val="0"/>
                                                          <w:marTop w:val="0"/>
                                                          <w:marBottom w:val="0"/>
                                                          <w:divBdr>
                                                            <w:top w:val="none" w:sz="0" w:space="0" w:color="auto"/>
                                                            <w:left w:val="none" w:sz="0" w:space="0" w:color="auto"/>
                                                            <w:bottom w:val="none" w:sz="0" w:space="0" w:color="auto"/>
                                                            <w:right w:val="none" w:sz="0" w:space="0" w:color="auto"/>
                                                          </w:divBdr>
                                                          <w:divsChild>
                                                            <w:div w:id="12418353">
                                                              <w:marLeft w:val="0"/>
                                                              <w:marRight w:val="0"/>
                                                              <w:marTop w:val="0"/>
                                                              <w:marBottom w:val="0"/>
                                                              <w:divBdr>
                                                                <w:top w:val="none" w:sz="0" w:space="0" w:color="auto"/>
                                                                <w:left w:val="none" w:sz="0" w:space="0" w:color="auto"/>
                                                                <w:bottom w:val="none" w:sz="0" w:space="0" w:color="auto"/>
                                                                <w:right w:val="none" w:sz="0" w:space="0" w:color="auto"/>
                                                              </w:divBdr>
                                                              <w:divsChild>
                                                                <w:div w:id="1595244192">
                                                                  <w:marLeft w:val="0"/>
                                                                  <w:marRight w:val="0"/>
                                                                  <w:marTop w:val="0"/>
                                                                  <w:marBottom w:val="0"/>
                                                                  <w:divBdr>
                                                                    <w:top w:val="none" w:sz="0" w:space="0" w:color="auto"/>
                                                                    <w:left w:val="none" w:sz="0" w:space="0" w:color="auto"/>
                                                                    <w:bottom w:val="none" w:sz="0" w:space="0" w:color="auto"/>
                                                                    <w:right w:val="none" w:sz="0" w:space="0" w:color="auto"/>
                                                                  </w:divBdr>
                                                                  <w:divsChild>
                                                                    <w:div w:id="699284396">
                                                                      <w:marLeft w:val="0"/>
                                                                      <w:marRight w:val="0"/>
                                                                      <w:marTop w:val="0"/>
                                                                      <w:marBottom w:val="0"/>
                                                                      <w:divBdr>
                                                                        <w:top w:val="none" w:sz="0" w:space="0" w:color="auto"/>
                                                                        <w:left w:val="none" w:sz="0" w:space="0" w:color="auto"/>
                                                                        <w:bottom w:val="none" w:sz="0" w:space="0" w:color="auto"/>
                                                                        <w:right w:val="none" w:sz="0" w:space="0" w:color="auto"/>
                                                                      </w:divBdr>
                                                                      <w:divsChild>
                                                                        <w:div w:id="1718773525">
                                                                          <w:marLeft w:val="0"/>
                                                                          <w:marRight w:val="0"/>
                                                                          <w:marTop w:val="0"/>
                                                                          <w:marBottom w:val="0"/>
                                                                          <w:divBdr>
                                                                            <w:top w:val="none" w:sz="0" w:space="0" w:color="auto"/>
                                                                            <w:left w:val="none" w:sz="0" w:space="0" w:color="auto"/>
                                                                            <w:bottom w:val="none" w:sz="0" w:space="0" w:color="auto"/>
                                                                            <w:right w:val="none" w:sz="0" w:space="0" w:color="auto"/>
                                                                          </w:divBdr>
                                                                          <w:divsChild>
                                                                            <w:div w:id="868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56409">
      <w:bodyDiv w:val="1"/>
      <w:marLeft w:val="0"/>
      <w:marRight w:val="0"/>
      <w:marTop w:val="0"/>
      <w:marBottom w:val="0"/>
      <w:divBdr>
        <w:top w:val="none" w:sz="0" w:space="0" w:color="auto"/>
        <w:left w:val="none" w:sz="0" w:space="0" w:color="auto"/>
        <w:bottom w:val="none" w:sz="0" w:space="0" w:color="auto"/>
        <w:right w:val="none" w:sz="0" w:space="0" w:color="auto"/>
      </w:divBdr>
      <w:divsChild>
        <w:div w:id="1350985828">
          <w:marLeft w:val="0"/>
          <w:marRight w:val="0"/>
          <w:marTop w:val="0"/>
          <w:marBottom w:val="0"/>
          <w:divBdr>
            <w:top w:val="none" w:sz="0" w:space="0" w:color="auto"/>
            <w:left w:val="none" w:sz="0" w:space="0" w:color="auto"/>
            <w:bottom w:val="none" w:sz="0" w:space="0" w:color="auto"/>
            <w:right w:val="none" w:sz="0" w:space="0" w:color="auto"/>
          </w:divBdr>
        </w:div>
        <w:div w:id="1941375609">
          <w:marLeft w:val="0"/>
          <w:marRight w:val="0"/>
          <w:marTop w:val="0"/>
          <w:marBottom w:val="0"/>
          <w:divBdr>
            <w:top w:val="none" w:sz="0" w:space="0" w:color="auto"/>
            <w:left w:val="none" w:sz="0" w:space="0" w:color="auto"/>
            <w:bottom w:val="none" w:sz="0" w:space="0" w:color="auto"/>
            <w:right w:val="none" w:sz="0" w:space="0" w:color="auto"/>
          </w:divBdr>
        </w:div>
        <w:div w:id="1439136179">
          <w:marLeft w:val="0"/>
          <w:marRight w:val="0"/>
          <w:marTop w:val="0"/>
          <w:marBottom w:val="0"/>
          <w:divBdr>
            <w:top w:val="none" w:sz="0" w:space="0" w:color="auto"/>
            <w:left w:val="none" w:sz="0" w:space="0" w:color="auto"/>
            <w:bottom w:val="none" w:sz="0" w:space="0" w:color="auto"/>
            <w:right w:val="none" w:sz="0" w:space="0" w:color="auto"/>
          </w:divBdr>
        </w:div>
      </w:divsChild>
    </w:div>
    <w:div w:id="1799642243">
      <w:bodyDiv w:val="1"/>
      <w:marLeft w:val="0"/>
      <w:marRight w:val="0"/>
      <w:marTop w:val="0"/>
      <w:marBottom w:val="0"/>
      <w:divBdr>
        <w:top w:val="none" w:sz="0" w:space="0" w:color="auto"/>
        <w:left w:val="none" w:sz="0" w:space="0" w:color="auto"/>
        <w:bottom w:val="none" w:sz="0" w:space="0" w:color="auto"/>
        <w:right w:val="none" w:sz="0" w:space="0" w:color="auto"/>
      </w:divBdr>
      <w:divsChild>
        <w:div w:id="1819152506">
          <w:marLeft w:val="0"/>
          <w:marRight w:val="0"/>
          <w:marTop w:val="0"/>
          <w:marBottom w:val="0"/>
          <w:divBdr>
            <w:top w:val="none" w:sz="0" w:space="0" w:color="auto"/>
            <w:left w:val="none" w:sz="0" w:space="0" w:color="auto"/>
            <w:bottom w:val="none" w:sz="0" w:space="0" w:color="auto"/>
            <w:right w:val="none" w:sz="0" w:space="0" w:color="auto"/>
          </w:divBdr>
        </w:div>
        <w:div w:id="497619935">
          <w:marLeft w:val="0"/>
          <w:marRight w:val="0"/>
          <w:marTop w:val="0"/>
          <w:marBottom w:val="0"/>
          <w:divBdr>
            <w:top w:val="none" w:sz="0" w:space="0" w:color="auto"/>
            <w:left w:val="none" w:sz="0" w:space="0" w:color="auto"/>
            <w:bottom w:val="none" w:sz="0" w:space="0" w:color="auto"/>
            <w:right w:val="none" w:sz="0" w:space="0" w:color="auto"/>
          </w:divBdr>
        </w:div>
        <w:div w:id="1453863749">
          <w:marLeft w:val="0"/>
          <w:marRight w:val="0"/>
          <w:marTop w:val="0"/>
          <w:marBottom w:val="0"/>
          <w:divBdr>
            <w:top w:val="none" w:sz="0" w:space="0" w:color="auto"/>
            <w:left w:val="none" w:sz="0" w:space="0" w:color="auto"/>
            <w:bottom w:val="none" w:sz="0" w:space="0" w:color="auto"/>
            <w:right w:val="none" w:sz="0" w:space="0" w:color="auto"/>
          </w:divBdr>
        </w:div>
      </w:divsChild>
    </w:div>
    <w:div w:id="1831171203">
      <w:bodyDiv w:val="1"/>
      <w:marLeft w:val="0"/>
      <w:marRight w:val="0"/>
      <w:marTop w:val="0"/>
      <w:marBottom w:val="0"/>
      <w:divBdr>
        <w:top w:val="none" w:sz="0" w:space="0" w:color="auto"/>
        <w:left w:val="none" w:sz="0" w:space="0" w:color="auto"/>
        <w:bottom w:val="none" w:sz="0" w:space="0" w:color="auto"/>
        <w:right w:val="none" w:sz="0" w:space="0" w:color="auto"/>
      </w:divBdr>
      <w:divsChild>
        <w:div w:id="77674070">
          <w:marLeft w:val="0"/>
          <w:marRight w:val="0"/>
          <w:marTop w:val="0"/>
          <w:marBottom w:val="0"/>
          <w:divBdr>
            <w:top w:val="none" w:sz="0" w:space="0" w:color="auto"/>
            <w:left w:val="none" w:sz="0" w:space="0" w:color="auto"/>
            <w:bottom w:val="none" w:sz="0" w:space="0" w:color="auto"/>
            <w:right w:val="none" w:sz="0" w:space="0" w:color="auto"/>
          </w:divBdr>
        </w:div>
        <w:div w:id="228268430">
          <w:marLeft w:val="0"/>
          <w:marRight w:val="0"/>
          <w:marTop w:val="0"/>
          <w:marBottom w:val="0"/>
          <w:divBdr>
            <w:top w:val="none" w:sz="0" w:space="0" w:color="auto"/>
            <w:left w:val="none" w:sz="0" w:space="0" w:color="auto"/>
            <w:bottom w:val="none" w:sz="0" w:space="0" w:color="auto"/>
            <w:right w:val="none" w:sz="0" w:space="0" w:color="auto"/>
          </w:divBdr>
        </w:div>
        <w:div w:id="1582451380">
          <w:marLeft w:val="0"/>
          <w:marRight w:val="0"/>
          <w:marTop w:val="0"/>
          <w:marBottom w:val="0"/>
          <w:divBdr>
            <w:top w:val="none" w:sz="0" w:space="0" w:color="auto"/>
            <w:left w:val="none" w:sz="0" w:space="0" w:color="auto"/>
            <w:bottom w:val="none" w:sz="0" w:space="0" w:color="auto"/>
            <w:right w:val="none" w:sz="0" w:space="0" w:color="auto"/>
          </w:divBdr>
        </w:div>
      </w:divsChild>
    </w:div>
    <w:div w:id="1889762789">
      <w:bodyDiv w:val="1"/>
      <w:marLeft w:val="0"/>
      <w:marRight w:val="0"/>
      <w:marTop w:val="0"/>
      <w:marBottom w:val="0"/>
      <w:divBdr>
        <w:top w:val="none" w:sz="0" w:space="0" w:color="auto"/>
        <w:left w:val="none" w:sz="0" w:space="0" w:color="auto"/>
        <w:bottom w:val="none" w:sz="0" w:space="0" w:color="auto"/>
        <w:right w:val="none" w:sz="0" w:space="0" w:color="auto"/>
      </w:divBdr>
    </w:div>
    <w:div w:id="1908951517">
      <w:bodyDiv w:val="1"/>
      <w:marLeft w:val="0"/>
      <w:marRight w:val="0"/>
      <w:marTop w:val="0"/>
      <w:marBottom w:val="0"/>
      <w:divBdr>
        <w:top w:val="none" w:sz="0" w:space="0" w:color="auto"/>
        <w:left w:val="none" w:sz="0" w:space="0" w:color="auto"/>
        <w:bottom w:val="none" w:sz="0" w:space="0" w:color="auto"/>
        <w:right w:val="none" w:sz="0" w:space="0" w:color="auto"/>
      </w:divBdr>
    </w:div>
    <w:div w:id="194380261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28366314">
      <w:bodyDiv w:val="1"/>
      <w:marLeft w:val="0"/>
      <w:marRight w:val="0"/>
      <w:marTop w:val="0"/>
      <w:marBottom w:val="0"/>
      <w:divBdr>
        <w:top w:val="none" w:sz="0" w:space="0" w:color="auto"/>
        <w:left w:val="none" w:sz="0" w:space="0" w:color="auto"/>
        <w:bottom w:val="none" w:sz="0" w:space="0" w:color="auto"/>
        <w:right w:val="none" w:sz="0" w:space="0" w:color="auto"/>
      </w:divBdr>
    </w:div>
    <w:div w:id="2092699914">
      <w:bodyDiv w:val="1"/>
      <w:marLeft w:val="0"/>
      <w:marRight w:val="0"/>
      <w:marTop w:val="0"/>
      <w:marBottom w:val="0"/>
      <w:divBdr>
        <w:top w:val="none" w:sz="0" w:space="0" w:color="auto"/>
        <w:left w:val="none" w:sz="0" w:space="0" w:color="auto"/>
        <w:bottom w:val="none" w:sz="0" w:space="0" w:color="auto"/>
        <w:right w:val="none" w:sz="0" w:space="0" w:color="auto"/>
      </w:divBdr>
      <w:divsChild>
        <w:div w:id="168452247">
          <w:marLeft w:val="0"/>
          <w:marRight w:val="0"/>
          <w:marTop w:val="0"/>
          <w:marBottom w:val="0"/>
          <w:divBdr>
            <w:top w:val="none" w:sz="0" w:space="0" w:color="auto"/>
            <w:left w:val="none" w:sz="0" w:space="0" w:color="auto"/>
            <w:bottom w:val="none" w:sz="0" w:space="0" w:color="auto"/>
            <w:right w:val="none" w:sz="0" w:space="0" w:color="auto"/>
          </w:divBdr>
        </w:div>
        <w:div w:id="2104446556">
          <w:marLeft w:val="0"/>
          <w:marRight w:val="0"/>
          <w:marTop w:val="0"/>
          <w:marBottom w:val="0"/>
          <w:divBdr>
            <w:top w:val="none" w:sz="0" w:space="0" w:color="auto"/>
            <w:left w:val="none" w:sz="0" w:space="0" w:color="auto"/>
            <w:bottom w:val="none" w:sz="0" w:space="0" w:color="auto"/>
            <w:right w:val="none" w:sz="0" w:space="0" w:color="auto"/>
          </w:divBdr>
        </w:div>
        <w:div w:id="1655448466">
          <w:marLeft w:val="0"/>
          <w:marRight w:val="0"/>
          <w:marTop w:val="0"/>
          <w:marBottom w:val="0"/>
          <w:divBdr>
            <w:top w:val="none" w:sz="0" w:space="0" w:color="auto"/>
            <w:left w:val="none" w:sz="0" w:space="0" w:color="auto"/>
            <w:bottom w:val="none" w:sz="0" w:space="0" w:color="auto"/>
            <w:right w:val="none" w:sz="0" w:space="0" w:color="auto"/>
          </w:divBdr>
        </w:div>
        <w:div w:id="788666157">
          <w:marLeft w:val="0"/>
          <w:marRight w:val="0"/>
          <w:marTop w:val="0"/>
          <w:marBottom w:val="0"/>
          <w:divBdr>
            <w:top w:val="none" w:sz="0" w:space="0" w:color="auto"/>
            <w:left w:val="none" w:sz="0" w:space="0" w:color="auto"/>
            <w:bottom w:val="none" w:sz="0" w:space="0" w:color="auto"/>
            <w:right w:val="none" w:sz="0" w:space="0" w:color="auto"/>
          </w:divBdr>
        </w:div>
        <w:div w:id="637957758">
          <w:marLeft w:val="0"/>
          <w:marRight w:val="0"/>
          <w:marTop w:val="0"/>
          <w:marBottom w:val="0"/>
          <w:divBdr>
            <w:top w:val="none" w:sz="0" w:space="0" w:color="auto"/>
            <w:left w:val="none" w:sz="0" w:space="0" w:color="auto"/>
            <w:bottom w:val="none" w:sz="0" w:space="0" w:color="auto"/>
            <w:right w:val="none" w:sz="0" w:space="0" w:color="auto"/>
          </w:divBdr>
        </w:div>
      </w:divsChild>
    </w:div>
    <w:div w:id="2096584937">
      <w:bodyDiv w:val="1"/>
      <w:marLeft w:val="0"/>
      <w:marRight w:val="0"/>
      <w:marTop w:val="0"/>
      <w:marBottom w:val="0"/>
      <w:divBdr>
        <w:top w:val="none" w:sz="0" w:space="0" w:color="auto"/>
        <w:left w:val="none" w:sz="0" w:space="0" w:color="auto"/>
        <w:bottom w:val="none" w:sz="0" w:space="0" w:color="auto"/>
        <w:right w:val="none" w:sz="0" w:space="0" w:color="auto"/>
      </w:divBdr>
    </w:div>
    <w:div w:id="2144039402">
      <w:bodyDiv w:val="1"/>
      <w:marLeft w:val="0"/>
      <w:marRight w:val="0"/>
      <w:marTop w:val="0"/>
      <w:marBottom w:val="0"/>
      <w:divBdr>
        <w:top w:val="none" w:sz="0" w:space="0" w:color="auto"/>
        <w:left w:val="none" w:sz="0" w:space="0" w:color="auto"/>
        <w:bottom w:val="none" w:sz="0" w:space="0" w:color="auto"/>
        <w:right w:val="none" w:sz="0" w:space="0" w:color="auto"/>
      </w:divBdr>
      <w:divsChild>
        <w:div w:id="2106724046">
          <w:marLeft w:val="0"/>
          <w:marRight w:val="0"/>
          <w:marTop w:val="0"/>
          <w:marBottom w:val="0"/>
          <w:divBdr>
            <w:top w:val="none" w:sz="0" w:space="0" w:color="auto"/>
            <w:left w:val="none" w:sz="0" w:space="0" w:color="auto"/>
            <w:bottom w:val="none" w:sz="0" w:space="0" w:color="auto"/>
            <w:right w:val="none" w:sz="0" w:space="0" w:color="auto"/>
          </w:divBdr>
        </w:div>
        <w:div w:id="20841788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D18-TDAG29-C-0025" TargetMode="External"/><Relationship Id="rId21" Type="http://schemas.openxmlformats.org/officeDocument/2006/relationships/hyperlink" Target="https://www.itu.int/md/meetingdoc.asp?lang=en&amp;parent=D18-TDAG29-211108-TD-0005" TargetMode="External"/><Relationship Id="rId34" Type="http://schemas.openxmlformats.org/officeDocument/2006/relationships/hyperlink" Target="https://www.itu.int/md/meetingdoc.asp?lang=en&amp;parent=D18-TDAG29-211108-TD-0012" TargetMode="External"/><Relationship Id="rId42" Type="http://schemas.openxmlformats.org/officeDocument/2006/relationships/hyperlink" Target="https://www.itu.int/md/D18-TDAG29-C-0005/en" TargetMode="External"/><Relationship Id="rId47" Type="http://schemas.openxmlformats.org/officeDocument/2006/relationships/hyperlink" Target="https://www.itu.int/md/meetingdoc.asp?lang=en&amp;parent=D18-TDAG29-211108-TD-0004" TargetMode="External"/><Relationship Id="rId50" Type="http://schemas.openxmlformats.org/officeDocument/2006/relationships/hyperlink" Target="https://www.itu.int/md/D18-TDAG28-C-0010/en" TargetMode="External"/><Relationship Id="rId55" Type="http://schemas.openxmlformats.org/officeDocument/2006/relationships/hyperlink" Target="https://www.itu.int/md/meetingdoc.asp?lang=en&amp;parent=D18-TDAG29-C-0007"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meetingdoc.asp?lang=en&amp;parent=D18-TDAG29-C-0013" TargetMode="External"/><Relationship Id="rId29" Type="http://schemas.openxmlformats.org/officeDocument/2006/relationships/hyperlink" Target="https://www.itu.int/md/meetingdoc.asp?lang=en&amp;parent=D18-TDAG29-C-0021" TargetMode="External"/><Relationship Id="rId11" Type="http://schemas.openxmlformats.org/officeDocument/2006/relationships/hyperlink" Target="https://www.itu.int/md/meetingdoc.asp?lang=en&amp;parent=D18-TDAG29-211108-TD-0001" TargetMode="External"/><Relationship Id="rId24" Type="http://schemas.openxmlformats.org/officeDocument/2006/relationships/hyperlink" Target="https://www.itu.int/md/meetingdoc.asp?lang=en&amp;parent=D18-TDAG29-C-0028" TargetMode="External"/><Relationship Id="rId32" Type="http://schemas.openxmlformats.org/officeDocument/2006/relationships/hyperlink" Target="https://www.itu.int/md/meetingdoc.asp?lang=en&amp;parent=D18-TDAG29-211108-TD-0003" TargetMode="External"/><Relationship Id="rId37" Type="http://schemas.openxmlformats.org/officeDocument/2006/relationships/hyperlink" Target="https://www.itu.int/md/meetingdoc.asp?lang=en&amp;parent=D18-TDAG29-211108-TD-0013" TargetMode="External"/><Relationship Id="rId40" Type="http://schemas.openxmlformats.org/officeDocument/2006/relationships/hyperlink" Target="https://www.itu.int/md/meetingdoc.asp?lang=en&amp;parent=D18-TDAG29-C-0023" TargetMode="External"/><Relationship Id="rId45" Type="http://schemas.openxmlformats.org/officeDocument/2006/relationships/hyperlink" Target="https://www.itu.int/md/D18-TDAG28-C-0009" TargetMode="External"/><Relationship Id="rId53" Type="http://schemas.openxmlformats.org/officeDocument/2006/relationships/hyperlink" Target="https://www.itu.int/md/meetingdoc.asp?lang=en&amp;parent=D18-TDAG29-C-0004" TargetMode="External"/><Relationship Id="rId58" Type="http://schemas.openxmlformats.org/officeDocument/2006/relationships/hyperlink" Target="https://www.itu.int/md/S14-CL-INF-0004/en"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itu.int/md/meetingdoc.asp?lang=en&amp;parent=D18-TDAG29-C-0017" TargetMode="External"/><Relationship Id="rId14" Type="http://schemas.openxmlformats.org/officeDocument/2006/relationships/hyperlink" Target="https://www.itu.int/md/meetingdoc.asp?lang=en&amp;parent=D18-TDAG29-C-0012" TargetMode="External"/><Relationship Id="rId22" Type="http://schemas.openxmlformats.org/officeDocument/2006/relationships/hyperlink" Target="https://www.itu.int/md/meetingdoc.asp?lang=en&amp;parent=D18-TDAG29-C-0032" TargetMode="External"/><Relationship Id="rId27" Type="http://schemas.openxmlformats.org/officeDocument/2006/relationships/hyperlink" Target="https://www.itu.int/md/meetingdoc.asp?lang=en&amp;parent=D18-TDAG29-C-0027" TargetMode="External"/><Relationship Id="rId30" Type="http://schemas.openxmlformats.org/officeDocument/2006/relationships/hyperlink" Target="https://www.itu.int/md/meetingdoc.asp?lang=en&amp;parent=D18-TDAG29-C-0026" TargetMode="External"/><Relationship Id="rId35" Type="http://schemas.openxmlformats.org/officeDocument/2006/relationships/hyperlink" Target="https://www.itu.int/md/D18-TDAG27.SOP-C-0014/en" TargetMode="External"/><Relationship Id="rId43" Type="http://schemas.openxmlformats.org/officeDocument/2006/relationships/hyperlink" Target="https://www.itu.int/md/D18-TDAG28-C-0008/en" TargetMode="External"/><Relationship Id="rId48" Type="http://schemas.openxmlformats.org/officeDocument/2006/relationships/hyperlink" Target="https://www.itu.int/md/D18-TDAG28-C-0010/en" TargetMode="External"/><Relationship Id="rId56" Type="http://schemas.openxmlformats.org/officeDocument/2006/relationships/hyperlink" Target="https://www.itu.int/md/meetingdoc.asp?lang=en&amp;parent=D18-TDAG29-C-0003"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md/meetingdoc.asp?lang=en&amp;parent=D18-TDAG29-C-0030" TargetMode="External"/><Relationship Id="rId3" Type="http://schemas.openxmlformats.org/officeDocument/2006/relationships/styles" Target="styles.xml"/><Relationship Id="rId12" Type="http://schemas.openxmlformats.org/officeDocument/2006/relationships/hyperlink" Target="https://www.itu.int/md/meetingdoc.asp?lang=en&amp;parent=D18-TDAG29-C-0002" TargetMode="External"/><Relationship Id="rId17" Type="http://schemas.openxmlformats.org/officeDocument/2006/relationships/hyperlink" Target="https://www.itu.int/md/meetingdoc.asp?lang=en&amp;parent=D18-TDAG29-C-0014" TargetMode="External"/><Relationship Id="rId25" Type="http://schemas.openxmlformats.org/officeDocument/2006/relationships/hyperlink" Target="https://www.itu.int/md/meetingdoc.asp?lang=en&amp;parent=D18-TDAG29-211108-TD-0011" TargetMode="External"/><Relationship Id="rId33" Type="http://schemas.openxmlformats.org/officeDocument/2006/relationships/hyperlink" Target="https://www.itu.int/md/meetingdoc.asp?lang=en&amp;parent=D18-TDAG29-C-0031" TargetMode="External"/><Relationship Id="rId38" Type="http://schemas.openxmlformats.org/officeDocument/2006/relationships/hyperlink" Target="https://www.itu.int/md/meetingdoc.asp?lang=en&amp;parent=D18-TDAG29-211108-TD-0006" TargetMode="External"/><Relationship Id="rId46" Type="http://schemas.openxmlformats.org/officeDocument/2006/relationships/hyperlink" Target="https://www.itu.int/md/meetingdoc.asp?lang=en&amp;parent=D18-TDAG29-211108-TD-0005" TargetMode="External"/><Relationship Id="rId59" Type="http://schemas.openxmlformats.org/officeDocument/2006/relationships/hyperlink" Target="https://www.itu.int/md/meetingdoc.asp?lang=en&amp;parent=D18-TDAG29-C-0024" TargetMode="External"/><Relationship Id="rId67" Type="http://schemas.openxmlformats.org/officeDocument/2006/relationships/fontTable" Target="fontTable.xml"/><Relationship Id="rId20" Type="http://schemas.openxmlformats.org/officeDocument/2006/relationships/hyperlink" Target="https://www.itu.int/md/meetingdoc.asp?lang=en&amp;parent=D18-TDAG29-211108-TD-0004" TargetMode="External"/><Relationship Id="rId41" Type="http://schemas.openxmlformats.org/officeDocument/2006/relationships/hyperlink" Target="https://www.itu.int/md/meetingdoc.asp?lang=en&amp;parent=D18-TDAG29-C-0016" TargetMode="External"/><Relationship Id="rId54" Type="http://schemas.openxmlformats.org/officeDocument/2006/relationships/hyperlink" Target="https://www.itu.int/md/meetingdoc.asp?lang=en&amp;parent=D18-TDAG29-C-0010"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D18-TDAG29-211108-TD-0008" TargetMode="External"/><Relationship Id="rId23" Type="http://schemas.openxmlformats.org/officeDocument/2006/relationships/hyperlink" Target="https://www.itu.int/md/meetingdoc.asp?lang=en&amp;parent=D18-TDAG29-C-0022" TargetMode="External"/><Relationship Id="rId28" Type="http://schemas.openxmlformats.org/officeDocument/2006/relationships/hyperlink" Target="https://www.itu.int/md/meetingdoc.asp?lang=en&amp;parent=D18-TDAG29-C-0031" TargetMode="External"/><Relationship Id="rId36" Type="http://schemas.openxmlformats.org/officeDocument/2006/relationships/hyperlink" Target="https://www.itu.int/md/meetingdoc.asp?lang=en&amp;parent=D18-TDAG29-C-0018" TargetMode="External"/><Relationship Id="rId49" Type="http://schemas.openxmlformats.org/officeDocument/2006/relationships/hyperlink" Target="https://www.itu.int/md/meetingdoc.asp?lang=en&amp;parent=D18-TDAG29-211108-TD-0005" TargetMode="External"/><Relationship Id="rId57" Type="http://schemas.openxmlformats.org/officeDocument/2006/relationships/hyperlink" Target="https://www.itu.int/md/meetingdoc.asp?lang=en&amp;parent=D18-TDAG29-C-0020" TargetMode="External"/><Relationship Id="rId10" Type="http://schemas.openxmlformats.org/officeDocument/2006/relationships/hyperlink" Target="https://www.itu.int/md/meetingdoc.asp?lang=en&amp;parent=D18-TDAG29-C-0001" TargetMode="External"/><Relationship Id="rId31" Type="http://schemas.openxmlformats.org/officeDocument/2006/relationships/hyperlink" Target="https://www.itu.int/md/meetingdoc.asp?lang=en&amp;parent=D18-TDAG29-C-0029" TargetMode="External"/><Relationship Id="rId44" Type="http://schemas.openxmlformats.org/officeDocument/2006/relationships/hyperlink" Target="https://www.itu.int/md/meetingdoc.asp?lang=en&amp;parent=D18-TDAG29-211108-TD-0004" TargetMode="External"/><Relationship Id="rId52" Type="http://schemas.openxmlformats.org/officeDocument/2006/relationships/hyperlink" Target="https://www.itu.int/md/meetingdoc.asp?lang=en&amp;parent=D18-TDAG29-C-0009" TargetMode="External"/><Relationship Id="rId60" Type="http://schemas.openxmlformats.org/officeDocument/2006/relationships/hyperlink" Target="https://www.itu.int/md/D18-TDAG29-211108-TD-0007/en"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md/meetingdoc.asp?lang=en&amp;parent=D18-TDAG29-C-0019" TargetMode="External"/><Relationship Id="rId18" Type="http://schemas.openxmlformats.org/officeDocument/2006/relationships/hyperlink" Target="https://www.itu.int/md/meetingdoc.asp?lang=en&amp;parent=D18-TDAG29-C-0015" TargetMode="External"/><Relationship Id="rId39" Type="http://schemas.openxmlformats.org/officeDocument/2006/relationships/hyperlink" Target="https://www.itu.int/md/meetingdoc.asp?lang=en&amp;parent=D18-TDAG29-211108-TD-0013"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DAAF-379F-4CD4-B2B0-E8ED7E2C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8024</Words>
  <Characters>45738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McElvane Webber</dc:creator>
  <cp:keywords/>
  <dc:description/>
  <cp:lastModifiedBy>BDT-nd</cp:lastModifiedBy>
  <cp:revision>4</cp:revision>
  <cp:lastPrinted>2019-05-16T23:27:00Z</cp:lastPrinted>
  <dcterms:created xsi:type="dcterms:W3CDTF">2022-02-07T11:53:00Z</dcterms:created>
  <dcterms:modified xsi:type="dcterms:W3CDTF">2022-02-07T12:42:00Z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