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2410"/>
        <w:gridCol w:w="4253"/>
        <w:gridCol w:w="1417"/>
        <w:gridCol w:w="1808"/>
      </w:tblGrid>
      <w:tr w:rsidR="00340116" w:rsidRPr="00683C32" w14:paraId="31C629AC" w14:textId="77777777" w:rsidTr="05C1679F">
        <w:trPr>
          <w:cantSplit/>
          <w:trHeight w:val="1134"/>
        </w:trPr>
        <w:tc>
          <w:tcPr>
            <w:tcW w:w="2410" w:type="dxa"/>
          </w:tcPr>
          <w:p w14:paraId="5DCD101E" w14:textId="59824570" w:rsidR="00340116" w:rsidRPr="00844A56" w:rsidRDefault="00E470FB" w:rsidP="00C01438">
            <w:pPr>
              <w:spacing w:after="120"/>
              <w:jc w:val="both"/>
              <w:rPr>
                <w:rFonts w:ascii="Verdana" w:hAnsi="Verdana"/>
                <w:sz w:val="28"/>
                <w:szCs w:val="28"/>
              </w:rPr>
            </w:pPr>
            <w:r>
              <w:rPr>
                <w:noProof/>
                <w:lang w:val="en-US"/>
              </w:rPr>
              <w:drawing>
                <wp:inline distT="0" distB="0" distL="0" distR="0" wp14:anchorId="75AEC8F4" wp14:editId="4D602EBA">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gridSpan w:val="2"/>
          </w:tcPr>
          <w:p w14:paraId="0E3CFF75" w14:textId="12664583" w:rsidR="00C01438" w:rsidRDefault="00C01438" w:rsidP="00C01438">
            <w:pPr>
              <w:spacing w:before="280" w:after="120"/>
              <w:ind w:left="34"/>
              <w:rPr>
                <w:b/>
                <w:bCs/>
                <w:sz w:val="32"/>
                <w:szCs w:val="32"/>
              </w:rPr>
            </w:pPr>
            <w:r w:rsidRPr="006F3D93">
              <w:rPr>
                <w:b/>
                <w:bCs/>
                <w:sz w:val="32"/>
                <w:szCs w:val="32"/>
              </w:rPr>
              <w:t>Telecommunication</w:t>
            </w:r>
            <w:r>
              <w:rPr>
                <w:b/>
                <w:bCs/>
                <w:sz w:val="32"/>
                <w:szCs w:val="32"/>
              </w:rPr>
              <w:t xml:space="preserve"> Development</w:t>
            </w:r>
            <w:r>
              <w:br/>
            </w:r>
            <w:r>
              <w:rPr>
                <w:b/>
                <w:bCs/>
                <w:sz w:val="32"/>
                <w:szCs w:val="32"/>
              </w:rPr>
              <w:t>Advisory Group (TDAG)</w:t>
            </w:r>
          </w:p>
          <w:p w14:paraId="00B0714F" w14:textId="5520D3F7" w:rsidR="00340116" w:rsidRPr="00844A56" w:rsidRDefault="00C01438" w:rsidP="00C01438">
            <w:pPr>
              <w:spacing w:before="100"/>
              <w:ind w:left="34"/>
              <w:rPr>
                <w:rFonts w:ascii="Verdana" w:hAnsi="Verdana"/>
                <w:sz w:val="28"/>
                <w:szCs w:val="28"/>
              </w:rPr>
            </w:pPr>
            <w:r>
              <w:rPr>
                <w:b/>
                <w:bCs/>
                <w:sz w:val="26"/>
                <w:szCs w:val="26"/>
              </w:rPr>
              <w:t>29th Meeting, Virtual, 8-12 November 2021</w:t>
            </w:r>
          </w:p>
        </w:tc>
        <w:tc>
          <w:tcPr>
            <w:tcW w:w="1808" w:type="dxa"/>
          </w:tcPr>
          <w:p w14:paraId="0BF7856C" w14:textId="1C5BE935" w:rsidR="00340116" w:rsidRPr="00683C32" w:rsidRDefault="00C01438" w:rsidP="00C01438">
            <w:pPr>
              <w:spacing w:before="240" w:after="120"/>
              <w:ind w:right="142"/>
              <w:jc w:val="right"/>
            </w:pPr>
            <w:r>
              <w:rPr>
                <w:noProof/>
                <w:lang w:val="fr-FR" w:eastAsia="fr-FR"/>
              </w:rPr>
              <w:drawing>
                <wp:inline distT="0" distB="0" distL="0" distR="0" wp14:anchorId="0D0E623C" wp14:editId="7BDB5250">
                  <wp:extent cx="712470" cy="785495"/>
                  <wp:effectExtent l="0" t="0" r="0" b="0"/>
                  <wp:docPr id="7" name="Picture 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40116" w:rsidRPr="00997358" w14:paraId="33BAF134" w14:textId="77777777" w:rsidTr="05C1679F">
        <w:trPr>
          <w:cantSplit/>
        </w:trPr>
        <w:tc>
          <w:tcPr>
            <w:tcW w:w="6663" w:type="dxa"/>
            <w:gridSpan w:val="2"/>
            <w:tcBorders>
              <w:top w:val="single" w:sz="12" w:space="0" w:color="auto"/>
            </w:tcBorders>
          </w:tcPr>
          <w:p w14:paraId="1A397B9F" w14:textId="77777777" w:rsidR="00340116" w:rsidRPr="00997358" w:rsidRDefault="00340116" w:rsidP="004D2C5C">
            <w:pPr>
              <w:spacing w:before="0"/>
              <w:rPr>
                <w:rFonts w:cs="Arial"/>
                <w:b/>
                <w:bCs/>
                <w:sz w:val="20"/>
              </w:rPr>
            </w:pPr>
          </w:p>
        </w:tc>
        <w:tc>
          <w:tcPr>
            <w:tcW w:w="3225" w:type="dxa"/>
            <w:gridSpan w:val="2"/>
            <w:tcBorders>
              <w:top w:val="single" w:sz="12" w:space="0" w:color="auto"/>
            </w:tcBorders>
          </w:tcPr>
          <w:p w14:paraId="2A485393" w14:textId="43E44AD9" w:rsidR="00340116" w:rsidRPr="00363DA9" w:rsidRDefault="00340116" w:rsidP="000D6D4F">
            <w:pPr>
              <w:spacing w:before="0"/>
              <w:rPr>
                <w:b/>
                <w:bCs/>
                <w:szCs w:val="24"/>
              </w:rPr>
            </w:pPr>
          </w:p>
        </w:tc>
      </w:tr>
      <w:tr w:rsidR="00340116" w:rsidRPr="00002716" w14:paraId="74347E75" w14:textId="77777777" w:rsidTr="05C1679F">
        <w:trPr>
          <w:cantSplit/>
        </w:trPr>
        <w:tc>
          <w:tcPr>
            <w:tcW w:w="6663" w:type="dxa"/>
            <w:gridSpan w:val="2"/>
            <w:vMerge w:val="restart"/>
          </w:tcPr>
          <w:p w14:paraId="25C41BF7" w14:textId="77777777" w:rsidR="00340116" w:rsidRPr="002E6963" w:rsidRDefault="00340116" w:rsidP="004D2C5C">
            <w:pPr>
              <w:pStyle w:val="Committee"/>
              <w:framePr w:hSpace="0" w:wrap="auto" w:hAnchor="text" w:yAlign="inline"/>
              <w:rPr>
                <w:b w:val="0"/>
              </w:rPr>
            </w:pPr>
          </w:p>
        </w:tc>
        <w:tc>
          <w:tcPr>
            <w:tcW w:w="3225" w:type="dxa"/>
            <w:gridSpan w:val="2"/>
          </w:tcPr>
          <w:p w14:paraId="6F719A2C" w14:textId="4862198E" w:rsidR="00340116" w:rsidRPr="00002716" w:rsidRDefault="00340116" w:rsidP="001E6206">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Pr="66024295">
              <w:rPr>
                <w:b/>
                <w:bCs/>
                <w:lang w:val="en-US"/>
              </w:rPr>
              <w:t>TDAG</w:t>
            </w:r>
            <w:r w:rsidR="30267622" w:rsidRPr="66024295">
              <w:rPr>
                <w:b/>
                <w:bCs/>
                <w:lang w:val="en-US"/>
              </w:rPr>
              <w:t>-21/2</w:t>
            </w:r>
            <w:r w:rsidRPr="66024295">
              <w:rPr>
                <w:b/>
                <w:bCs/>
                <w:lang w:val="en-US"/>
              </w:rPr>
              <w:t>/</w:t>
            </w:r>
            <w:bookmarkStart w:id="1" w:name="DocNo1"/>
            <w:bookmarkEnd w:id="1"/>
            <w:r w:rsidR="00E01C64" w:rsidRPr="66024295">
              <w:rPr>
                <w:b/>
                <w:bCs/>
                <w:lang w:val="en-US"/>
              </w:rPr>
              <w:t>1</w:t>
            </w:r>
            <w:r w:rsidR="026521F5" w:rsidRPr="66024295">
              <w:rPr>
                <w:b/>
                <w:bCs/>
                <w:lang w:val="en-US"/>
              </w:rPr>
              <w:t>6</w:t>
            </w:r>
            <w:r>
              <w:rPr>
                <w:b/>
                <w:bCs/>
                <w:lang w:val="en-US"/>
              </w:rPr>
              <w:t>-E</w:t>
            </w:r>
          </w:p>
        </w:tc>
      </w:tr>
      <w:tr w:rsidR="00340116" w:rsidRPr="002E6F8F" w14:paraId="2DFEE583" w14:textId="77777777" w:rsidTr="05C1679F">
        <w:trPr>
          <w:cantSplit/>
        </w:trPr>
        <w:tc>
          <w:tcPr>
            <w:tcW w:w="6663" w:type="dxa"/>
            <w:gridSpan w:val="2"/>
            <w:vMerge/>
          </w:tcPr>
          <w:p w14:paraId="1CE44977" w14:textId="77777777" w:rsidR="00340116" w:rsidRPr="00002716" w:rsidRDefault="00340116" w:rsidP="004D2C5C">
            <w:pPr>
              <w:spacing w:after="120"/>
              <w:rPr>
                <w:b/>
                <w:bCs/>
                <w:smallCaps/>
                <w:lang w:val="en-US"/>
              </w:rPr>
            </w:pPr>
          </w:p>
        </w:tc>
        <w:tc>
          <w:tcPr>
            <w:tcW w:w="3225" w:type="dxa"/>
            <w:gridSpan w:val="2"/>
          </w:tcPr>
          <w:p w14:paraId="7CE3108D" w14:textId="1730A38E" w:rsidR="00340116" w:rsidRPr="002E6F8F" w:rsidRDefault="00544200" w:rsidP="001E6206">
            <w:pPr>
              <w:spacing w:before="0"/>
              <w:rPr>
                <w:b/>
              </w:rPr>
            </w:pPr>
            <w:bookmarkStart w:id="2" w:name="CreationDate"/>
            <w:bookmarkEnd w:id="2"/>
            <w:r>
              <w:rPr>
                <w:b/>
              </w:rPr>
              <w:t xml:space="preserve">8 November </w:t>
            </w:r>
            <w:r w:rsidR="000D668A">
              <w:rPr>
                <w:b/>
              </w:rPr>
              <w:t>2021</w:t>
            </w:r>
            <w:r w:rsidR="0A2045D8" w:rsidRPr="0CC6687A">
              <w:rPr>
                <w:b/>
                <w:bCs/>
              </w:rPr>
              <w:t xml:space="preserve"> </w:t>
            </w:r>
          </w:p>
        </w:tc>
      </w:tr>
      <w:tr w:rsidR="00340116" w:rsidRPr="00D34008" w14:paraId="75364A7C" w14:textId="77777777" w:rsidTr="05C1679F">
        <w:trPr>
          <w:cantSplit/>
        </w:trPr>
        <w:tc>
          <w:tcPr>
            <w:tcW w:w="6663" w:type="dxa"/>
            <w:gridSpan w:val="2"/>
            <w:vMerge/>
          </w:tcPr>
          <w:p w14:paraId="26B7A8D6" w14:textId="77777777" w:rsidR="00340116" w:rsidRDefault="00340116" w:rsidP="004D2C5C">
            <w:pPr>
              <w:spacing w:after="120"/>
              <w:rPr>
                <w:b/>
                <w:bCs/>
                <w:smallCaps/>
              </w:rPr>
            </w:pPr>
          </w:p>
        </w:tc>
        <w:tc>
          <w:tcPr>
            <w:tcW w:w="3225" w:type="dxa"/>
            <w:gridSpan w:val="2"/>
          </w:tcPr>
          <w:p w14:paraId="6ED4CFD6" w14:textId="023AEBED" w:rsidR="00340116" w:rsidRPr="00D34008" w:rsidRDefault="00340116" w:rsidP="004D2C5C">
            <w:pPr>
              <w:spacing w:before="0" w:after="240"/>
            </w:pPr>
            <w:r>
              <w:rPr>
                <w:b/>
              </w:rPr>
              <w:t xml:space="preserve">Original: </w:t>
            </w:r>
            <w:bookmarkStart w:id="3" w:name="Original"/>
            <w:bookmarkEnd w:id="3"/>
            <w:r>
              <w:rPr>
                <w:b/>
              </w:rPr>
              <w:t>English</w:t>
            </w:r>
            <w:r w:rsidR="21BA1719" w:rsidRPr="76A7B71D">
              <w:rPr>
                <w:b/>
                <w:bCs/>
              </w:rPr>
              <w:t xml:space="preserve"> </w:t>
            </w:r>
          </w:p>
        </w:tc>
      </w:tr>
      <w:tr w:rsidR="00340116" w:rsidRPr="00A721F4" w14:paraId="7942D4BC" w14:textId="77777777" w:rsidTr="05C1679F">
        <w:trPr>
          <w:cantSplit/>
          <w:trHeight w:val="852"/>
        </w:trPr>
        <w:tc>
          <w:tcPr>
            <w:tcW w:w="9888" w:type="dxa"/>
            <w:gridSpan w:val="4"/>
          </w:tcPr>
          <w:p w14:paraId="3ED48017" w14:textId="3509E507" w:rsidR="00340116" w:rsidRPr="00A721F4" w:rsidRDefault="00340116" w:rsidP="00FC24D7">
            <w:pPr>
              <w:pStyle w:val="Source"/>
              <w:spacing w:before="240" w:after="240"/>
              <w:rPr>
                <w:szCs w:val="28"/>
              </w:rPr>
            </w:pPr>
            <w:r>
              <w:rPr>
                <w:szCs w:val="28"/>
              </w:rPr>
              <w:t xml:space="preserve">Chairman, </w:t>
            </w:r>
            <w:r w:rsidR="007C632F">
              <w:rPr>
                <w:szCs w:val="28"/>
              </w:rPr>
              <w:t>Telecommunication Development Advisory Group (TDAG)</w:t>
            </w:r>
          </w:p>
        </w:tc>
      </w:tr>
      <w:tr w:rsidR="00340116" w:rsidRPr="00A721F4" w14:paraId="4AB0F1AB" w14:textId="77777777" w:rsidTr="05C1679F">
        <w:trPr>
          <w:cantSplit/>
        </w:trPr>
        <w:tc>
          <w:tcPr>
            <w:tcW w:w="9888" w:type="dxa"/>
            <w:gridSpan w:val="4"/>
          </w:tcPr>
          <w:p w14:paraId="13E81D19" w14:textId="5F2A4931" w:rsidR="000712B9" w:rsidRPr="00FC24D7" w:rsidRDefault="0E03A5C1" w:rsidP="00F959FB">
            <w:pPr>
              <w:pStyle w:val="Title1"/>
              <w:spacing w:before="120" w:after="120"/>
              <w:rPr>
                <w:caps w:val="0"/>
                <w:sz w:val="16"/>
                <w:szCs w:val="16"/>
              </w:rPr>
            </w:pPr>
            <w:r w:rsidRPr="00FC24D7">
              <w:rPr>
                <w:caps w:val="0"/>
              </w:rPr>
              <w:t>Report on the Telecommunication Development Advisory Group (TDAG) Activities</w:t>
            </w:r>
            <w:r w:rsidR="73B4BD82" w:rsidRPr="00FC24D7">
              <w:rPr>
                <w:caps w:val="0"/>
              </w:rPr>
              <w:t xml:space="preserve"> to </w:t>
            </w:r>
            <w:r w:rsidR="00C412A2" w:rsidRPr="00FC24D7">
              <w:rPr>
                <w:caps w:val="0"/>
              </w:rPr>
              <w:t xml:space="preserve">WTDC, as </w:t>
            </w:r>
            <w:r w:rsidR="008A5C62" w:rsidRPr="00FC24D7">
              <w:rPr>
                <w:caps w:val="0"/>
              </w:rPr>
              <w:t>mandated in</w:t>
            </w:r>
            <w:r w:rsidR="00FC24D7">
              <w:rPr>
                <w:caps w:val="0"/>
              </w:rPr>
              <w:t xml:space="preserve"> WTDC</w:t>
            </w:r>
            <w:r w:rsidR="00C412A2" w:rsidRPr="00FC24D7">
              <w:rPr>
                <w:caps w:val="0"/>
              </w:rPr>
              <w:t xml:space="preserve"> Resolution 24</w:t>
            </w:r>
          </w:p>
        </w:tc>
      </w:tr>
      <w:tr w:rsidR="00340116" w:rsidRPr="009110C1" w14:paraId="31A07337" w14:textId="77777777" w:rsidTr="05C1679F">
        <w:trPr>
          <w:cantSplit/>
        </w:trPr>
        <w:tc>
          <w:tcPr>
            <w:tcW w:w="9888" w:type="dxa"/>
            <w:gridSpan w:val="4"/>
            <w:tcBorders>
              <w:top w:val="single" w:sz="4" w:space="0" w:color="auto"/>
              <w:left w:val="single" w:sz="4" w:space="0" w:color="auto"/>
              <w:bottom w:val="single" w:sz="4" w:space="0" w:color="auto"/>
              <w:right w:val="single" w:sz="4" w:space="0" w:color="auto"/>
            </w:tcBorders>
          </w:tcPr>
          <w:p w14:paraId="67AD82A1" w14:textId="77777777" w:rsidR="00340116" w:rsidRPr="00D9621A" w:rsidRDefault="00340116" w:rsidP="00544200">
            <w:pPr>
              <w:keepNext/>
              <w:spacing w:after="120"/>
              <w:rPr>
                <w:b/>
                <w:bCs/>
                <w:szCs w:val="24"/>
              </w:rPr>
            </w:pPr>
            <w:r w:rsidRPr="00D9621A">
              <w:rPr>
                <w:b/>
                <w:bCs/>
                <w:szCs w:val="24"/>
              </w:rPr>
              <w:t>Summary:</w:t>
            </w:r>
          </w:p>
          <w:p w14:paraId="2055C747" w14:textId="25E87834" w:rsidR="00741AED" w:rsidRDefault="00741AED" w:rsidP="00544200">
            <w:pPr>
              <w:keepNext/>
              <w:spacing w:after="120"/>
            </w:pPr>
            <w:r w:rsidRPr="00741AED">
              <w:t>This report contains a summary of the work carried out by the Telecommunication Development Advisory Group (TDAG) during the period 201</w:t>
            </w:r>
            <w:r w:rsidR="000D668A">
              <w:t>8</w:t>
            </w:r>
            <w:r w:rsidRPr="00741AED">
              <w:t>-20</w:t>
            </w:r>
            <w:r w:rsidR="000D668A">
              <w:t>21</w:t>
            </w:r>
            <w:r w:rsidRPr="00741AED">
              <w:t>.</w:t>
            </w:r>
          </w:p>
          <w:p w14:paraId="732128F4" w14:textId="15CAAEDC" w:rsidR="00340116" w:rsidRPr="00D9621A" w:rsidRDefault="00340116" w:rsidP="00544200">
            <w:pPr>
              <w:keepNext/>
              <w:spacing w:after="120"/>
              <w:rPr>
                <w:b/>
                <w:bCs/>
                <w:szCs w:val="24"/>
              </w:rPr>
            </w:pPr>
            <w:r w:rsidRPr="005E090D">
              <w:rPr>
                <w:b/>
                <w:bCs/>
              </w:rPr>
              <w:t>Action required:</w:t>
            </w:r>
          </w:p>
          <w:p w14:paraId="5A2CFE18" w14:textId="7C6D02C2" w:rsidR="00340116" w:rsidRPr="00D9621A" w:rsidRDefault="00340116" w:rsidP="00544200">
            <w:pPr>
              <w:spacing w:after="120"/>
              <w:rPr>
                <w:szCs w:val="24"/>
              </w:rPr>
            </w:pPr>
            <w:r w:rsidRPr="0059181D">
              <w:t>TDAG is invited to consider this report and to provide guidance as deemed appropriate.</w:t>
            </w:r>
          </w:p>
          <w:p w14:paraId="0B1CB677" w14:textId="77777777" w:rsidR="00340116" w:rsidRPr="001C55C7" w:rsidRDefault="00340116" w:rsidP="00544200">
            <w:pPr>
              <w:keepNext/>
              <w:spacing w:after="120"/>
              <w:rPr>
                <w:b/>
                <w:lang w:val="de-CH"/>
              </w:rPr>
            </w:pPr>
            <w:r w:rsidRPr="05C1679F">
              <w:rPr>
                <w:b/>
                <w:bCs/>
                <w:lang w:val="de-CH"/>
              </w:rPr>
              <w:t>References:</w:t>
            </w:r>
          </w:p>
          <w:p w14:paraId="67909B3D" w14:textId="2EEBD3BA" w:rsidR="00340116" w:rsidRPr="001C55C7" w:rsidRDefault="00CD53ED" w:rsidP="00544200">
            <w:pPr>
              <w:spacing w:after="120" w:line="259" w:lineRule="auto"/>
            </w:pPr>
            <w:hyperlink r:id="rId13">
              <w:r w:rsidR="05DD6B3D" w:rsidRPr="05C1679F">
                <w:rPr>
                  <w:rStyle w:val="Hyperlink"/>
                </w:rPr>
                <w:t>TDAG-18/38</w:t>
              </w:r>
            </w:hyperlink>
            <w:r w:rsidR="05DD6B3D">
              <w:t xml:space="preserve">, </w:t>
            </w:r>
            <w:hyperlink r:id="rId14">
              <w:r w:rsidR="6B810AC1" w:rsidRPr="05C1679F">
                <w:rPr>
                  <w:rStyle w:val="Hyperlink"/>
                </w:rPr>
                <w:t>TDAG-19/44</w:t>
              </w:r>
            </w:hyperlink>
            <w:r w:rsidR="6B810AC1">
              <w:t xml:space="preserve">, </w:t>
            </w:r>
            <w:hyperlink r:id="rId15">
              <w:r w:rsidR="6B810AC1" w:rsidRPr="05C1679F">
                <w:rPr>
                  <w:rStyle w:val="Hyperlink"/>
                </w:rPr>
                <w:t>TDAG-20/</w:t>
              </w:r>
              <w:r w:rsidR="4B57AF7C" w:rsidRPr="05C1679F">
                <w:rPr>
                  <w:rStyle w:val="Hyperlink"/>
                </w:rPr>
                <w:t>59</w:t>
              </w:r>
            </w:hyperlink>
            <w:r w:rsidR="6B810AC1">
              <w:t xml:space="preserve">, </w:t>
            </w:r>
            <w:hyperlink r:id="rId16">
              <w:r w:rsidR="6B810AC1" w:rsidRPr="05C1679F">
                <w:rPr>
                  <w:rStyle w:val="Hyperlink"/>
                </w:rPr>
                <w:t>TDAG-20/2/</w:t>
              </w:r>
              <w:r w:rsidR="51BE45E0" w:rsidRPr="05C1679F">
                <w:rPr>
                  <w:rStyle w:val="Hyperlink"/>
                </w:rPr>
                <w:t>5</w:t>
              </w:r>
            </w:hyperlink>
            <w:r w:rsidR="6B810AC1">
              <w:t xml:space="preserve">, </w:t>
            </w:r>
            <w:hyperlink r:id="rId17">
              <w:r w:rsidR="6ED9474F" w:rsidRPr="05C1679F">
                <w:rPr>
                  <w:rStyle w:val="Hyperlink"/>
                </w:rPr>
                <w:t>TDAG-20/3/</w:t>
              </w:r>
              <w:r w:rsidR="522D0E8A" w:rsidRPr="05C1679F">
                <w:rPr>
                  <w:rStyle w:val="Hyperlink"/>
                </w:rPr>
                <w:t>7</w:t>
              </w:r>
            </w:hyperlink>
            <w:r w:rsidR="6ED9474F">
              <w:t xml:space="preserve">, </w:t>
            </w:r>
            <w:hyperlink r:id="rId18">
              <w:r w:rsidR="6B810AC1" w:rsidRPr="05C1679F">
                <w:rPr>
                  <w:rStyle w:val="Hyperlink"/>
                </w:rPr>
                <w:t>TDAG-21/</w:t>
              </w:r>
              <w:r w:rsidR="3B642EC5" w:rsidRPr="05C1679F">
                <w:rPr>
                  <w:rStyle w:val="Hyperlink"/>
                </w:rPr>
                <w:t>39</w:t>
              </w:r>
            </w:hyperlink>
          </w:p>
        </w:tc>
      </w:tr>
    </w:tbl>
    <w:p w14:paraId="74A2B0E6" w14:textId="07D9FD60" w:rsidR="000D668A" w:rsidRPr="009110C1" w:rsidRDefault="000D668A">
      <w:pPr>
        <w:pStyle w:val="TOC1"/>
        <w:tabs>
          <w:tab w:val="left" w:pos="480"/>
          <w:tab w:val="right" w:leader="dot" w:pos="9204"/>
        </w:tabs>
        <w:rPr>
          <w:caps/>
          <w:lang w:val="de-CH"/>
        </w:rPr>
      </w:pPr>
      <w:bookmarkStart w:id="4" w:name="_Toc482299457"/>
    </w:p>
    <w:p w14:paraId="35FA0FE3" w14:textId="36E7712B" w:rsidR="003A1A07" w:rsidRPr="009110C1" w:rsidRDefault="000D668A">
      <w:pPr>
        <w:tabs>
          <w:tab w:val="clear" w:pos="1134"/>
          <w:tab w:val="clear" w:pos="1871"/>
          <w:tab w:val="clear" w:pos="2268"/>
        </w:tabs>
        <w:overflowPunct/>
        <w:autoSpaceDE/>
        <w:autoSpaceDN/>
        <w:adjustRightInd/>
        <w:spacing w:before="0"/>
        <w:textAlignment w:val="auto"/>
        <w:rPr>
          <w:caps/>
          <w:lang w:val="de-CH"/>
        </w:rPr>
      </w:pPr>
      <w:r w:rsidRPr="009110C1">
        <w:rPr>
          <w:caps/>
          <w:lang w:val="de-CH"/>
        </w:rPr>
        <w:br w:type="page"/>
      </w:r>
    </w:p>
    <w:sdt>
      <w:sdtPr>
        <w:rPr>
          <w:rFonts w:asciiTheme="minorHAnsi" w:eastAsia="Times New Roman" w:hAnsiTheme="minorHAnsi" w:cs="Times New Roman"/>
          <w:color w:val="auto"/>
          <w:sz w:val="24"/>
          <w:szCs w:val="20"/>
          <w:lang w:val="en-GB"/>
        </w:rPr>
        <w:id w:val="-1392270564"/>
        <w:docPartObj>
          <w:docPartGallery w:val="Table of Contents"/>
          <w:docPartUnique/>
        </w:docPartObj>
      </w:sdtPr>
      <w:sdtEndPr>
        <w:rPr>
          <w:b/>
          <w:bCs/>
          <w:noProof/>
        </w:rPr>
      </w:sdtEndPr>
      <w:sdtContent>
        <w:p w14:paraId="3A71E513" w14:textId="3EBF9347" w:rsidR="007C1EBC" w:rsidRDefault="007C1EBC">
          <w:pPr>
            <w:pStyle w:val="TOCHeading"/>
          </w:pPr>
          <w:r>
            <w:t>Table of Contents</w:t>
          </w:r>
        </w:p>
        <w:p w14:paraId="3AED2233" w14:textId="2AEE305E" w:rsidR="00312A3F" w:rsidRDefault="007C1EBC">
          <w:pPr>
            <w:pStyle w:val="TOC1"/>
            <w:tabs>
              <w:tab w:val="left" w:pos="480"/>
              <w:tab w:val="right" w:leader="dot" w:pos="9204"/>
            </w:tabs>
            <w:rPr>
              <w:rFonts w:eastAsiaTheme="minorEastAsia" w:cstheme="minorBidi"/>
              <w:b w:val="0"/>
              <w:bCs w:val="0"/>
              <w:i w:val="0"/>
              <w:iCs w:val="0"/>
              <w:noProof/>
              <w:sz w:val="22"/>
              <w:szCs w:val="22"/>
              <w:lang w:eastAsia="en-GB"/>
            </w:rPr>
          </w:pPr>
          <w:r>
            <w:fldChar w:fldCharType="begin"/>
          </w:r>
          <w:r>
            <w:instrText xml:space="preserve"> TOC \o "1-3" \h \z \u </w:instrText>
          </w:r>
          <w:r>
            <w:fldChar w:fldCharType="separate"/>
          </w:r>
          <w:hyperlink w:anchor="_Toc85818098" w:history="1">
            <w:r w:rsidR="00312A3F" w:rsidRPr="005B7DD7">
              <w:rPr>
                <w:rStyle w:val="Hyperlink"/>
                <w:noProof/>
              </w:rPr>
              <w:t>1.</w:t>
            </w:r>
            <w:r w:rsidR="00312A3F">
              <w:rPr>
                <w:rFonts w:eastAsiaTheme="minorEastAsia" w:cstheme="minorBidi"/>
                <w:b w:val="0"/>
                <w:bCs w:val="0"/>
                <w:i w:val="0"/>
                <w:iCs w:val="0"/>
                <w:noProof/>
                <w:sz w:val="22"/>
                <w:szCs w:val="22"/>
                <w:lang w:eastAsia="en-GB"/>
              </w:rPr>
              <w:tab/>
            </w:r>
            <w:r w:rsidR="00312A3F" w:rsidRPr="005B7DD7">
              <w:rPr>
                <w:rStyle w:val="Hyperlink"/>
                <w:noProof/>
              </w:rPr>
              <w:t>Introduction</w:t>
            </w:r>
            <w:r w:rsidR="00312A3F">
              <w:rPr>
                <w:noProof/>
                <w:webHidden/>
              </w:rPr>
              <w:tab/>
            </w:r>
            <w:r w:rsidR="00312A3F">
              <w:rPr>
                <w:noProof/>
                <w:webHidden/>
              </w:rPr>
              <w:fldChar w:fldCharType="begin"/>
            </w:r>
            <w:r w:rsidR="00312A3F">
              <w:rPr>
                <w:noProof/>
                <w:webHidden/>
              </w:rPr>
              <w:instrText xml:space="preserve"> PAGEREF _Toc85818098 \h </w:instrText>
            </w:r>
            <w:r w:rsidR="00312A3F">
              <w:rPr>
                <w:noProof/>
                <w:webHidden/>
              </w:rPr>
            </w:r>
            <w:r w:rsidR="00312A3F">
              <w:rPr>
                <w:noProof/>
                <w:webHidden/>
              </w:rPr>
              <w:fldChar w:fldCharType="separate"/>
            </w:r>
            <w:r w:rsidR="00312A3F">
              <w:rPr>
                <w:noProof/>
                <w:webHidden/>
              </w:rPr>
              <w:t>2</w:t>
            </w:r>
            <w:r w:rsidR="00312A3F">
              <w:rPr>
                <w:noProof/>
                <w:webHidden/>
              </w:rPr>
              <w:fldChar w:fldCharType="end"/>
            </w:r>
          </w:hyperlink>
        </w:p>
        <w:p w14:paraId="3645CF4D" w14:textId="571A4626" w:rsidR="00312A3F" w:rsidRDefault="00CD53ED">
          <w:pPr>
            <w:pStyle w:val="TOC2"/>
            <w:tabs>
              <w:tab w:val="left" w:pos="720"/>
              <w:tab w:val="right" w:leader="dot" w:pos="9204"/>
            </w:tabs>
            <w:rPr>
              <w:rFonts w:eastAsiaTheme="minorEastAsia" w:cstheme="minorBidi"/>
              <w:b w:val="0"/>
              <w:bCs w:val="0"/>
              <w:noProof/>
              <w:lang w:eastAsia="en-GB"/>
            </w:rPr>
          </w:pPr>
          <w:hyperlink w:anchor="_Toc85818099" w:history="1">
            <w:r w:rsidR="00312A3F" w:rsidRPr="005B7DD7">
              <w:rPr>
                <w:rStyle w:val="Hyperlink"/>
                <w:noProof/>
              </w:rPr>
              <w:t>1.1</w:t>
            </w:r>
            <w:r w:rsidR="00312A3F">
              <w:rPr>
                <w:rFonts w:eastAsiaTheme="minorEastAsia" w:cstheme="minorBidi"/>
                <w:b w:val="0"/>
                <w:bCs w:val="0"/>
                <w:noProof/>
                <w:lang w:eastAsia="en-GB"/>
              </w:rPr>
              <w:tab/>
            </w:r>
            <w:r w:rsidR="00312A3F" w:rsidRPr="005B7DD7">
              <w:rPr>
                <w:rStyle w:val="Hyperlink"/>
                <w:noProof/>
              </w:rPr>
              <w:t>Terms of Reference of TDAG</w:t>
            </w:r>
            <w:r w:rsidR="00312A3F">
              <w:rPr>
                <w:noProof/>
                <w:webHidden/>
              </w:rPr>
              <w:tab/>
            </w:r>
            <w:r w:rsidR="00312A3F">
              <w:rPr>
                <w:noProof/>
                <w:webHidden/>
              </w:rPr>
              <w:fldChar w:fldCharType="begin"/>
            </w:r>
            <w:r w:rsidR="00312A3F">
              <w:rPr>
                <w:noProof/>
                <w:webHidden/>
              </w:rPr>
              <w:instrText xml:space="preserve"> PAGEREF _Toc85818099 \h </w:instrText>
            </w:r>
            <w:r w:rsidR="00312A3F">
              <w:rPr>
                <w:noProof/>
                <w:webHidden/>
              </w:rPr>
            </w:r>
            <w:r w:rsidR="00312A3F">
              <w:rPr>
                <w:noProof/>
                <w:webHidden/>
              </w:rPr>
              <w:fldChar w:fldCharType="separate"/>
            </w:r>
            <w:r w:rsidR="00312A3F">
              <w:rPr>
                <w:noProof/>
                <w:webHidden/>
              </w:rPr>
              <w:t>2</w:t>
            </w:r>
            <w:r w:rsidR="00312A3F">
              <w:rPr>
                <w:noProof/>
                <w:webHidden/>
              </w:rPr>
              <w:fldChar w:fldCharType="end"/>
            </w:r>
          </w:hyperlink>
        </w:p>
        <w:p w14:paraId="2F2E8F78" w14:textId="01D43423" w:rsidR="00312A3F" w:rsidRDefault="00CD53ED">
          <w:pPr>
            <w:pStyle w:val="TOC2"/>
            <w:tabs>
              <w:tab w:val="left" w:pos="720"/>
              <w:tab w:val="right" w:leader="dot" w:pos="9204"/>
            </w:tabs>
            <w:rPr>
              <w:rFonts w:eastAsiaTheme="minorEastAsia" w:cstheme="minorBidi"/>
              <w:b w:val="0"/>
              <w:bCs w:val="0"/>
              <w:noProof/>
              <w:lang w:eastAsia="en-GB"/>
            </w:rPr>
          </w:pPr>
          <w:hyperlink w:anchor="_Toc85818100" w:history="1">
            <w:r w:rsidR="00312A3F" w:rsidRPr="005B7DD7">
              <w:rPr>
                <w:rStyle w:val="Hyperlink"/>
                <w:noProof/>
              </w:rPr>
              <w:t>1.2</w:t>
            </w:r>
            <w:r w:rsidR="00312A3F">
              <w:rPr>
                <w:rFonts w:eastAsiaTheme="minorEastAsia" w:cstheme="minorBidi"/>
                <w:b w:val="0"/>
                <w:bCs w:val="0"/>
                <w:noProof/>
                <w:lang w:eastAsia="en-GB"/>
              </w:rPr>
              <w:tab/>
            </w:r>
            <w:r w:rsidR="00312A3F" w:rsidRPr="005B7DD7">
              <w:rPr>
                <w:rStyle w:val="Hyperlink"/>
                <w:noProof/>
              </w:rPr>
              <w:t>Telecommunication Development Advisory Group Bureau</w:t>
            </w:r>
            <w:r w:rsidR="00312A3F">
              <w:rPr>
                <w:noProof/>
                <w:webHidden/>
              </w:rPr>
              <w:tab/>
            </w:r>
            <w:r w:rsidR="00312A3F">
              <w:rPr>
                <w:noProof/>
                <w:webHidden/>
              </w:rPr>
              <w:fldChar w:fldCharType="begin"/>
            </w:r>
            <w:r w:rsidR="00312A3F">
              <w:rPr>
                <w:noProof/>
                <w:webHidden/>
              </w:rPr>
              <w:instrText xml:space="preserve"> PAGEREF _Toc85818100 \h </w:instrText>
            </w:r>
            <w:r w:rsidR="00312A3F">
              <w:rPr>
                <w:noProof/>
                <w:webHidden/>
              </w:rPr>
            </w:r>
            <w:r w:rsidR="00312A3F">
              <w:rPr>
                <w:noProof/>
                <w:webHidden/>
              </w:rPr>
              <w:fldChar w:fldCharType="separate"/>
            </w:r>
            <w:r w:rsidR="00312A3F">
              <w:rPr>
                <w:noProof/>
                <w:webHidden/>
              </w:rPr>
              <w:t>2</w:t>
            </w:r>
            <w:r w:rsidR="00312A3F">
              <w:rPr>
                <w:noProof/>
                <w:webHidden/>
              </w:rPr>
              <w:fldChar w:fldCharType="end"/>
            </w:r>
          </w:hyperlink>
        </w:p>
        <w:p w14:paraId="2842C7E9" w14:textId="79045A55" w:rsidR="00312A3F" w:rsidRDefault="00CD53ED">
          <w:pPr>
            <w:pStyle w:val="TOC1"/>
            <w:tabs>
              <w:tab w:val="left" w:pos="480"/>
              <w:tab w:val="right" w:leader="dot" w:pos="9204"/>
            </w:tabs>
            <w:rPr>
              <w:rFonts w:eastAsiaTheme="minorEastAsia" w:cstheme="minorBidi"/>
              <w:b w:val="0"/>
              <w:bCs w:val="0"/>
              <w:i w:val="0"/>
              <w:iCs w:val="0"/>
              <w:noProof/>
              <w:sz w:val="22"/>
              <w:szCs w:val="22"/>
              <w:lang w:eastAsia="en-GB"/>
            </w:rPr>
          </w:pPr>
          <w:hyperlink w:anchor="_Toc85818101" w:history="1">
            <w:r w:rsidR="00312A3F" w:rsidRPr="005B7DD7">
              <w:rPr>
                <w:rStyle w:val="Hyperlink"/>
                <w:noProof/>
              </w:rPr>
              <w:t>2.</w:t>
            </w:r>
            <w:r w:rsidR="00312A3F">
              <w:rPr>
                <w:rFonts w:eastAsiaTheme="minorEastAsia" w:cstheme="minorBidi"/>
                <w:b w:val="0"/>
                <w:bCs w:val="0"/>
                <w:i w:val="0"/>
                <w:iCs w:val="0"/>
                <w:noProof/>
                <w:sz w:val="22"/>
                <w:szCs w:val="22"/>
                <w:lang w:eastAsia="en-GB"/>
              </w:rPr>
              <w:tab/>
            </w:r>
            <w:r w:rsidR="00312A3F" w:rsidRPr="005B7DD7">
              <w:rPr>
                <w:rStyle w:val="Hyperlink"/>
                <w:noProof/>
              </w:rPr>
              <w:t>TDAG Meetings</w:t>
            </w:r>
            <w:r w:rsidR="00312A3F">
              <w:rPr>
                <w:noProof/>
                <w:webHidden/>
              </w:rPr>
              <w:tab/>
            </w:r>
            <w:r w:rsidR="00312A3F">
              <w:rPr>
                <w:noProof/>
                <w:webHidden/>
              </w:rPr>
              <w:fldChar w:fldCharType="begin"/>
            </w:r>
            <w:r w:rsidR="00312A3F">
              <w:rPr>
                <w:noProof/>
                <w:webHidden/>
              </w:rPr>
              <w:instrText xml:space="preserve"> PAGEREF _Toc85818101 \h </w:instrText>
            </w:r>
            <w:r w:rsidR="00312A3F">
              <w:rPr>
                <w:noProof/>
                <w:webHidden/>
              </w:rPr>
            </w:r>
            <w:r w:rsidR="00312A3F">
              <w:rPr>
                <w:noProof/>
                <w:webHidden/>
              </w:rPr>
              <w:fldChar w:fldCharType="separate"/>
            </w:r>
            <w:r w:rsidR="00312A3F">
              <w:rPr>
                <w:noProof/>
                <w:webHidden/>
              </w:rPr>
              <w:t>2</w:t>
            </w:r>
            <w:r w:rsidR="00312A3F">
              <w:rPr>
                <w:noProof/>
                <w:webHidden/>
              </w:rPr>
              <w:fldChar w:fldCharType="end"/>
            </w:r>
          </w:hyperlink>
        </w:p>
        <w:p w14:paraId="24FBFCE7" w14:textId="06E0F269" w:rsidR="00312A3F" w:rsidRDefault="00CD53ED">
          <w:pPr>
            <w:pStyle w:val="TOC2"/>
            <w:tabs>
              <w:tab w:val="left" w:pos="720"/>
              <w:tab w:val="right" w:leader="dot" w:pos="9204"/>
            </w:tabs>
            <w:rPr>
              <w:rFonts w:eastAsiaTheme="minorEastAsia" w:cstheme="minorBidi"/>
              <w:b w:val="0"/>
              <w:bCs w:val="0"/>
              <w:noProof/>
              <w:lang w:eastAsia="en-GB"/>
            </w:rPr>
          </w:pPr>
          <w:hyperlink w:anchor="_Toc85818102" w:history="1">
            <w:r w:rsidR="00312A3F" w:rsidRPr="005B7DD7">
              <w:rPr>
                <w:rStyle w:val="Hyperlink"/>
                <w:noProof/>
              </w:rPr>
              <w:t>2.1</w:t>
            </w:r>
            <w:r w:rsidR="00312A3F">
              <w:rPr>
                <w:rFonts w:eastAsiaTheme="minorEastAsia" w:cstheme="minorBidi"/>
                <w:b w:val="0"/>
                <w:bCs w:val="0"/>
                <w:noProof/>
                <w:lang w:eastAsia="en-GB"/>
              </w:rPr>
              <w:tab/>
            </w:r>
            <w:r w:rsidR="00312A3F" w:rsidRPr="005B7DD7">
              <w:rPr>
                <w:rStyle w:val="Hyperlink"/>
                <w:noProof/>
              </w:rPr>
              <w:t>23rd TDAG Meeting</w:t>
            </w:r>
            <w:r w:rsidR="00312A3F">
              <w:rPr>
                <w:noProof/>
                <w:webHidden/>
              </w:rPr>
              <w:tab/>
            </w:r>
            <w:r w:rsidR="00312A3F">
              <w:rPr>
                <w:noProof/>
                <w:webHidden/>
              </w:rPr>
              <w:fldChar w:fldCharType="begin"/>
            </w:r>
            <w:r w:rsidR="00312A3F">
              <w:rPr>
                <w:noProof/>
                <w:webHidden/>
              </w:rPr>
              <w:instrText xml:space="preserve"> PAGEREF _Toc85818102 \h </w:instrText>
            </w:r>
            <w:r w:rsidR="00312A3F">
              <w:rPr>
                <w:noProof/>
                <w:webHidden/>
              </w:rPr>
            </w:r>
            <w:r w:rsidR="00312A3F">
              <w:rPr>
                <w:noProof/>
                <w:webHidden/>
              </w:rPr>
              <w:fldChar w:fldCharType="separate"/>
            </w:r>
            <w:r w:rsidR="00312A3F">
              <w:rPr>
                <w:noProof/>
                <w:webHidden/>
              </w:rPr>
              <w:t>3</w:t>
            </w:r>
            <w:r w:rsidR="00312A3F">
              <w:rPr>
                <w:noProof/>
                <w:webHidden/>
              </w:rPr>
              <w:fldChar w:fldCharType="end"/>
            </w:r>
          </w:hyperlink>
        </w:p>
        <w:p w14:paraId="7221F9CA" w14:textId="519B773C" w:rsidR="00312A3F" w:rsidRDefault="00CD53ED">
          <w:pPr>
            <w:pStyle w:val="TOC2"/>
            <w:tabs>
              <w:tab w:val="left" w:pos="720"/>
              <w:tab w:val="right" w:leader="dot" w:pos="9204"/>
            </w:tabs>
            <w:rPr>
              <w:rFonts w:eastAsiaTheme="minorEastAsia" w:cstheme="minorBidi"/>
              <w:b w:val="0"/>
              <w:bCs w:val="0"/>
              <w:noProof/>
              <w:lang w:eastAsia="en-GB"/>
            </w:rPr>
          </w:pPr>
          <w:hyperlink w:anchor="_Toc85818103" w:history="1">
            <w:r w:rsidR="00312A3F" w:rsidRPr="005B7DD7">
              <w:rPr>
                <w:rStyle w:val="Hyperlink"/>
                <w:noProof/>
              </w:rPr>
              <w:t>2.2</w:t>
            </w:r>
            <w:r w:rsidR="00312A3F">
              <w:rPr>
                <w:rFonts w:eastAsiaTheme="minorEastAsia" w:cstheme="minorBidi"/>
                <w:b w:val="0"/>
                <w:bCs w:val="0"/>
                <w:noProof/>
                <w:lang w:eastAsia="en-GB"/>
              </w:rPr>
              <w:tab/>
            </w:r>
            <w:r w:rsidR="00312A3F" w:rsidRPr="005B7DD7">
              <w:rPr>
                <w:rStyle w:val="Hyperlink"/>
                <w:noProof/>
              </w:rPr>
              <w:t>24th TDAG Meeting</w:t>
            </w:r>
            <w:r w:rsidR="00312A3F">
              <w:rPr>
                <w:noProof/>
                <w:webHidden/>
              </w:rPr>
              <w:tab/>
            </w:r>
            <w:r w:rsidR="00312A3F">
              <w:rPr>
                <w:noProof/>
                <w:webHidden/>
              </w:rPr>
              <w:fldChar w:fldCharType="begin"/>
            </w:r>
            <w:r w:rsidR="00312A3F">
              <w:rPr>
                <w:noProof/>
                <w:webHidden/>
              </w:rPr>
              <w:instrText xml:space="preserve"> PAGEREF _Toc85818103 \h </w:instrText>
            </w:r>
            <w:r w:rsidR="00312A3F">
              <w:rPr>
                <w:noProof/>
                <w:webHidden/>
              </w:rPr>
            </w:r>
            <w:r w:rsidR="00312A3F">
              <w:rPr>
                <w:noProof/>
                <w:webHidden/>
              </w:rPr>
              <w:fldChar w:fldCharType="separate"/>
            </w:r>
            <w:r w:rsidR="00312A3F">
              <w:rPr>
                <w:noProof/>
                <w:webHidden/>
              </w:rPr>
              <w:t>9</w:t>
            </w:r>
            <w:r w:rsidR="00312A3F">
              <w:rPr>
                <w:noProof/>
                <w:webHidden/>
              </w:rPr>
              <w:fldChar w:fldCharType="end"/>
            </w:r>
          </w:hyperlink>
        </w:p>
        <w:p w14:paraId="1C78AC5A" w14:textId="0F4B4823" w:rsidR="00312A3F" w:rsidRDefault="00CD53ED">
          <w:pPr>
            <w:pStyle w:val="TOC2"/>
            <w:tabs>
              <w:tab w:val="left" w:pos="720"/>
              <w:tab w:val="right" w:leader="dot" w:pos="9204"/>
            </w:tabs>
            <w:rPr>
              <w:rFonts w:eastAsiaTheme="minorEastAsia" w:cstheme="minorBidi"/>
              <w:b w:val="0"/>
              <w:bCs w:val="0"/>
              <w:noProof/>
              <w:lang w:eastAsia="en-GB"/>
            </w:rPr>
          </w:pPr>
          <w:hyperlink w:anchor="_Toc85818104" w:history="1">
            <w:r w:rsidR="00312A3F" w:rsidRPr="005B7DD7">
              <w:rPr>
                <w:rStyle w:val="Hyperlink"/>
                <w:noProof/>
              </w:rPr>
              <w:t>2.3</w:t>
            </w:r>
            <w:r w:rsidR="00312A3F">
              <w:rPr>
                <w:rFonts w:eastAsiaTheme="minorEastAsia" w:cstheme="minorBidi"/>
                <w:b w:val="0"/>
                <w:bCs w:val="0"/>
                <w:noProof/>
                <w:lang w:eastAsia="en-GB"/>
              </w:rPr>
              <w:tab/>
            </w:r>
            <w:r w:rsidR="00312A3F" w:rsidRPr="005B7DD7">
              <w:rPr>
                <w:rStyle w:val="Hyperlink"/>
                <w:noProof/>
              </w:rPr>
              <w:t>25th TDAG Meeting</w:t>
            </w:r>
            <w:r w:rsidR="00312A3F">
              <w:rPr>
                <w:noProof/>
                <w:webHidden/>
              </w:rPr>
              <w:tab/>
            </w:r>
            <w:r w:rsidR="00312A3F">
              <w:rPr>
                <w:noProof/>
                <w:webHidden/>
              </w:rPr>
              <w:fldChar w:fldCharType="begin"/>
            </w:r>
            <w:r w:rsidR="00312A3F">
              <w:rPr>
                <w:noProof/>
                <w:webHidden/>
              </w:rPr>
              <w:instrText xml:space="preserve"> PAGEREF _Toc85818104 \h </w:instrText>
            </w:r>
            <w:r w:rsidR="00312A3F">
              <w:rPr>
                <w:noProof/>
                <w:webHidden/>
              </w:rPr>
            </w:r>
            <w:r w:rsidR="00312A3F">
              <w:rPr>
                <w:noProof/>
                <w:webHidden/>
              </w:rPr>
              <w:fldChar w:fldCharType="separate"/>
            </w:r>
            <w:r w:rsidR="00312A3F">
              <w:rPr>
                <w:noProof/>
                <w:webHidden/>
              </w:rPr>
              <w:t>15</w:t>
            </w:r>
            <w:r w:rsidR="00312A3F">
              <w:rPr>
                <w:noProof/>
                <w:webHidden/>
              </w:rPr>
              <w:fldChar w:fldCharType="end"/>
            </w:r>
          </w:hyperlink>
        </w:p>
        <w:p w14:paraId="5C78B6CF" w14:textId="07E5329D" w:rsidR="00312A3F" w:rsidRDefault="00CD53ED">
          <w:pPr>
            <w:pStyle w:val="TOC2"/>
            <w:tabs>
              <w:tab w:val="left" w:pos="720"/>
              <w:tab w:val="right" w:leader="dot" w:pos="9204"/>
            </w:tabs>
            <w:rPr>
              <w:rFonts w:eastAsiaTheme="minorEastAsia" w:cstheme="minorBidi"/>
              <w:b w:val="0"/>
              <w:bCs w:val="0"/>
              <w:noProof/>
              <w:lang w:eastAsia="en-GB"/>
            </w:rPr>
          </w:pPr>
          <w:hyperlink w:anchor="_Toc85818105" w:history="1">
            <w:r w:rsidR="00312A3F" w:rsidRPr="005B7DD7">
              <w:rPr>
                <w:rStyle w:val="Hyperlink"/>
                <w:noProof/>
              </w:rPr>
              <w:t>2.4</w:t>
            </w:r>
            <w:r w:rsidR="00312A3F">
              <w:rPr>
                <w:rFonts w:eastAsiaTheme="minorEastAsia" w:cstheme="minorBidi"/>
                <w:b w:val="0"/>
                <w:bCs w:val="0"/>
                <w:noProof/>
                <w:lang w:eastAsia="en-GB"/>
              </w:rPr>
              <w:tab/>
            </w:r>
            <w:r w:rsidR="00312A3F" w:rsidRPr="005B7DD7">
              <w:rPr>
                <w:rStyle w:val="Hyperlink"/>
                <w:noProof/>
              </w:rPr>
              <w:t>26th TDAG Meeting</w:t>
            </w:r>
            <w:r w:rsidR="00312A3F">
              <w:rPr>
                <w:noProof/>
                <w:webHidden/>
              </w:rPr>
              <w:tab/>
            </w:r>
            <w:r w:rsidR="00312A3F">
              <w:rPr>
                <w:noProof/>
                <w:webHidden/>
              </w:rPr>
              <w:fldChar w:fldCharType="begin"/>
            </w:r>
            <w:r w:rsidR="00312A3F">
              <w:rPr>
                <w:noProof/>
                <w:webHidden/>
              </w:rPr>
              <w:instrText xml:space="preserve"> PAGEREF _Toc85818105 \h </w:instrText>
            </w:r>
            <w:r w:rsidR="00312A3F">
              <w:rPr>
                <w:noProof/>
                <w:webHidden/>
              </w:rPr>
            </w:r>
            <w:r w:rsidR="00312A3F">
              <w:rPr>
                <w:noProof/>
                <w:webHidden/>
              </w:rPr>
              <w:fldChar w:fldCharType="separate"/>
            </w:r>
            <w:r w:rsidR="00312A3F">
              <w:rPr>
                <w:noProof/>
                <w:webHidden/>
              </w:rPr>
              <w:t>23</w:t>
            </w:r>
            <w:r w:rsidR="00312A3F">
              <w:rPr>
                <w:noProof/>
                <w:webHidden/>
              </w:rPr>
              <w:fldChar w:fldCharType="end"/>
            </w:r>
          </w:hyperlink>
        </w:p>
        <w:p w14:paraId="1E0A134B" w14:textId="66A6502A" w:rsidR="00312A3F" w:rsidRDefault="00CD53ED">
          <w:pPr>
            <w:pStyle w:val="TOC2"/>
            <w:tabs>
              <w:tab w:val="left" w:pos="720"/>
              <w:tab w:val="right" w:leader="dot" w:pos="9204"/>
            </w:tabs>
            <w:rPr>
              <w:rFonts w:eastAsiaTheme="minorEastAsia" w:cstheme="minorBidi"/>
              <w:b w:val="0"/>
              <w:bCs w:val="0"/>
              <w:noProof/>
              <w:lang w:eastAsia="en-GB"/>
            </w:rPr>
          </w:pPr>
          <w:hyperlink w:anchor="_Toc85818106" w:history="1">
            <w:r w:rsidR="00312A3F" w:rsidRPr="005B7DD7">
              <w:rPr>
                <w:rStyle w:val="Hyperlink"/>
                <w:noProof/>
              </w:rPr>
              <w:t>2.5</w:t>
            </w:r>
            <w:r w:rsidR="00312A3F">
              <w:rPr>
                <w:rFonts w:eastAsiaTheme="minorEastAsia" w:cstheme="minorBidi"/>
                <w:b w:val="0"/>
                <w:bCs w:val="0"/>
                <w:noProof/>
                <w:lang w:eastAsia="en-GB"/>
              </w:rPr>
              <w:tab/>
            </w:r>
            <w:r w:rsidR="00312A3F" w:rsidRPr="005B7DD7">
              <w:rPr>
                <w:rStyle w:val="Hyperlink"/>
                <w:noProof/>
              </w:rPr>
              <w:t>27th TDAG Meeting</w:t>
            </w:r>
            <w:r w:rsidR="00312A3F">
              <w:rPr>
                <w:noProof/>
                <w:webHidden/>
              </w:rPr>
              <w:tab/>
            </w:r>
            <w:r w:rsidR="00312A3F">
              <w:rPr>
                <w:noProof/>
                <w:webHidden/>
              </w:rPr>
              <w:fldChar w:fldCharType="begin"/>
            </w:r>
            <w:r w:rsidR="00312A3F">
              <w:rPr>
                <w:noProof/>
                <w:webHidden/>
              </w:rPr>
              <w:instrText xml:space="preserve"> PAGEREF _Toc85818106 \h </w:instrText>
            </w:r>
            <w:r w:rsidR="00312A3F">
              <w:rPr>
                <w:noProof/>
                <w:webHidden/>
              </w:rPr>
            </w:r>
            <w:r w:rsidR="00312A3F">
              <w:rPr>
                <w:noProof/>
                <w:webHidden/>
              </w:rPr>
              <w:fldChar w:fldCharType="separate"/>
            </w:r>
            <w:r w:rsidR="00312A3F">
              <w:rPr>
                <w:noProof/>
                <w:webHidden/>
              </w:rPr>
              <w:t>24</w:t>
            </w:r>
            <w:r w:rsidR="00312A3F">
              <w:rPr>
                <w:noProof/>
                <w:webHidden/>
              </w:rPr>
              <w:fldChar w:fldCharType="end"/>
            </w:r>
          </w:hyperlink>
        </w:p>
        <w:p w14:paraId="0392F3E6" w14:textId="69382905" w:rsidR="00312A3F" w:rsidRDefault="00CD53ED">
          <w:pPr>
            <w:pStyle w:val="TOC2"/>
            <w:tabs>
              <w:tab w:val="left" w:pos="720"/>
              <w:tab w:val="right" w:leader="dot" w:pos="9204"/>
            </w:tabs>
            <w:rPr>
              <w:rFonts w:eastAsiaTheme="minorEastAsia" w:cstheme="minorBidi"/>
              <w:b w:val="0"/>
              <w:bCs w:val="0"/>
              <w:noProof/>
              <w:lang w:eastAsia="en-GB"/>
            </w:rPr>
          </w:pPr>
          <w:hyperlink w:anchor="_Toc85818107" w:history="1">
            <w:r w:rsidR="00312A3F" w:rsidRPr="005B7DD7">
              <w:rPr>
                <w:rStyle w:val="Hyperlink"/>
                <w:noProof/>
              </w:rPr>
              <w:t>2.6</w:t>
            </w:r>
            <w:r w:rsidR="00312A3F">
              <w:rPr>
                <w:rFonts w:eastAsiaTheme="minorEastAsia" w:cstheme="minorBidi"/>
                <w:b w:val="0"/>
                <w:bCs w:val="0"/>
                <w:noProof/>
                <w:lang w:eastAsia="en-GB"/>
              </w:rPr>
              <w:tab/>
            </w:r>
            <w:r w:rsidR="00312A3F" w:rsidRPr="005B7DD7">
              <w:rPr>
                <w:rStyle w:val="Hyperlink"/>
                <w:noProof/>
              </w:rPr>
              <w:t>28th TDAG Meeting</w:t>
            </w:r>
            <w:r w:rsidR="00312A3F">
              <w:rPr>
                <w:noProof/>
                <w:webHidden/>
              </w:rPr>
              <w:tab/>
            </w:r>
            <w:r w:rsidR="00312A3F">
              <w:rPr>
                <w:noProof/>
                <w:webHidden/>
              </w:rPr>
              <w:fldChar w:fldCharType="begin"/>
            </w:r>
            <w:r w:rsidR="00312A3F">
              <w:rPr>
                <w:noProof/>
                <w:webHidden/>
              </w:rPr>
              <w:instrText xml:space="preserve"> PAGEREF _Toc85818107 \h </w:instrText>
            </w:r>
            <w:r w:rsidR="00312A3F">
              <w:rPr>
                <w:noProof/>
                <w:webHidden/>
              </w:rPr>
            </w:r>
            <w:r w:rsidR="00312A3F">
              <w:rPr>
                <w:noProof/>
                <w:webHidden/>
              </w:rPr>
              <w:fldChar w:fldCharType="separate"/>
            </w:r>
            <w:r w:rsidR="00312A3F">
              <w:rPr>
                <w:noProof/>
                <w:webHidden/>
              </w:rPr>
              <w:t>28</w:t>
            </w:r>
            <w:r w:rsidR="00312A3F">
              <w:rPr>
                <w:noProof/>
                <w:webHidden/>
              </w:rPr>
              <w:fldChar w:fldCharType="end"/>
            </w:r>
          </w:hyperlink>
        </w:p>
        <w:p w14:paraId="37A37541" w14:textId="1F850EAD" w:rsidR="00312A3F" w:rsidRDefault="00CD53ED">
          <w:pPr>
            <w:pStyle w:val="TOC1"/>
            <w:tabs>
              <w:tab w:val="left" w:pos="480"/>
              <w:tab w:val="right" w:leader="dot" w:pos="9204"/>
            </w:tabs>
            <w:rPr>
              <w:rFonts w:eastAsiaTheme="minorEastAsia" w:cstheme="minorBidi"/>
              <w:b w:val="0"/>
              <w:bCs w:val="0"/>
              <w:i w:val="0"/>
              <w:iCs w:val="0"/>
              <w:noProof/>
              <w:sz w:val="22"/>
              <w:szCs w:val="22"/>
              <w:lang w:eastAsia="en-GB"/>
            </w:rPr>
          </w:pPr>
          <w:hyperlink w:anchor="_Toc85818108" w:history="1">
            <w:r w:rsidR="00312A3F" w:rsidRPr="005B7DD7">
              <w:rPr>
                <w:rStyle w:val="Hyperlink"/>
                <w:noProof/>
              </w:rPr>
              <w:t>3.</w:t>
            </w:r>
            <w:r w:rsidR="00312A3F">
              <w:rPr>
                <w:rFonts w:eastAsiaTheme="minorEastAsia" w:cstheme="minorBidi"/>
                <w:b w:val="0"/>
                <w:bCs w:val="0"/>
                <w:i w:val="0"/>
                <w:iCs w:val="0"/>
                <w:noProof/>
                <w:sz w:val="22"/>
                <w:szCs w:val="22"/>
                <w:lang w:eastAsia="en-GB"/>
              </w:rPr>
              <w:tab/>
            </w:r>
            <w:r w:rsidR="00312A3F" w:rsidRPr="005B7DD7">
              <w:rPr>
                <w:rStyle w:val="Hyperlink"/>
                <w:noProof/>
              </w:rPr>
              <w:t>TDAG Working Group Meetings</w:t>
            </w:r>
            <w:r w:rsidR="00312A3F">
              <w:rPr>
                <w:noProof/>
                <w:webHidden/>
              </w:rPr>
              <w:tab/>
            </w:r>
            <w:r w:rsidR="00312A3F">
              <w:rPr>
                <w:noProof/>
                <w:webHidden/>
              </w:rPr>
              <w:fldChar w:fldCharType="begin"/>
            </w:r>
            <w:r w:rsidR="00312A3F">
              <w:rPr>
                <w:noProof/>
                <w:webHidden/>
              </w:rPr>
              <w:instrText xml:space="preserve"> PAGEREF _Toc85818108 \h </w:instrText>
            </w:r>
            <w:r w:rsidR="00312A3F">
              <w:rPr>
                <w:noProof/>
                <w:webHidden/>
              </w:rPr>
            </w:r>
            <w:r w:rsidR="00312A3F">
              <w:rPr>
                <w:noProof/>
                <w:webHidden/>
              </w:rPr>
              <w:fldChar w:fldCharType="separate"/>
            </w:r>
            <w:r w:rsidR="00312A3F">
              <w:rPr>
                <w:noProof/>
                <w:webHidden/>
              </w:rPr>
              <w:t>34</w:t>
            </w:r>
            <w:r w:rsidR="00312A3F">
              <w:rPr>
                <w:noProof/>
                <w:webHidden/>
              </w:rPr>
              <w:fldChar w:fldCharType="end"/>
            </w:r>
          </w:hyperlink>
        </w:p>
        <w:p w14:paraId="14D60905" w14:textId="5227E705" w:rsidR="00312A3F" w:rsidRDefault="00CD53ED">
          <w:pPr>
            <w:pStyle w:val="TOC1"/>
            <w:tabs>
              <w:tab w:val="left" w:pos="480"/>
              <w:tab w:val="right" w:leader="dot" w:pos="9204"/>
            </w:tabs>
            <w:rPr>
              <w:rFonts w:eastAsiaTheme="minorEastAsia" w:cstheme="minorBidi"/>
              <w:b w:val="0"/>
              <w:bCs w:val="0"/>
              <w:i w:val="0"/>
              <w:iCs w:val="0"/>
              <w:noProof/>
              <w:sz w:val="22"/>
              <w:szCs w:val="22"/>
              <w:lang w:eastAsia="en-GB"/>
            </w:rPr>
          </w:pPr>
          <w:hyperlink w:anchor="_Toc85818109" w:history="1">
            <w:r w:rsidR="00312A3F" w:rsidRPr="005B7DD7">
              <w:rPr>
                <w:rStyle w:val="Hyperlink"/>
                <w:noProof/>
              </w:rPr>
              <w:t>4.</w:t>
            </w:r>
            <w:r w:rsidR="00312A3F">
              <w:rPr>
                <w:rFonts w:eastAsiaTheme="minorEastAsia" w:cstheme="minorBidi"/>
                <w:b w:val="0"/>
                <w:bCs w:val="0"/>
                <w:i w:val="0"/>
                <w:iCs w:val="0"/>
                <w:noProof/>
                <w:sz w:val="22"/>
                <w:szCs w:val="22"/>
                <w:lang w:eastAsia="en-GB"/>
              </w:rPr>
              <w:tab/>
            </w:r>
            <w:r w:rsidR="00312A3F" w:rsidRPr="005B7DD7">
              <w:rPr>
                <w:rStyle w:val="Hyperlink"/>
                <w:noProof/>
              </w:rPr>
              <w:t>Matters assigned to TDAG by WTDC Resolution 24 (Rev. Dubai, 2014)</w:t>
            </w:r>
            <w:r w:rsidR="00312A3F">
              <w:rPr>
                <w:noProof/>
                <w:webHidden/>
              </w:rPr>
              <w:tab/>
            </w:r>
            <w:r w:rsidR="00312A3F">
              <w:rPr>
                <w:noProof/>
                <w:webHidden/>
              </w:rPr>
              <w:fldChar w:fldCharType="begin"/>
            </w:r>
            <w:r w:rsidR="00312A3F">
              <w:rPr>
                <w:noProof/>
                <w:webHidden/>
              </w:rPr>
              <w:instrText xml:space="preserve"> PAGEREF _Toc85818109 \h </w:instrText>
            </w:r>
            <w:r w:rsidR="00312A3F">
              <w:rPr>
                <w:noProof/>
                <w:webHidden/>
              </w:rPr>
            </w:r>
            <w:r w:rsidR="00312A3F">
              <w:rPr>
                <w:noProof/>
                <w:webHidden/>
              </w:rPr>
              <w:fldChar w:fldCharType="separate"/>
            </w:r>
            <w:r w:rsidR="00312A3F">
              <w:rPr>
                <w:noProof/>
                <w:webHidden/>
              </w:rPr>
              <w:t>35</w:t>
            </w:r>
            <w:r w:rsidR="00312A3F">
              <w:rPr>
                <w:noProof/>
                <w:webHidden/>
              </w:rPr>
              <w:fldChar w:fldCharType="end"/>
            </w:r>
          </w:hyperlink>
        </w:p>
        <w:p w14:paraId="7224C673" w14:textId="06FF450C" w:rsidR="00312A3F" w:rsidRDefault="00CD53ED">
          <w:pPr>
            <w:pStyle w:val="TOC2"/>
            <w:tabs>
              <w:tab w:val="left" w:pos="720"/>
              <w:tab w:val="right" w:leader="dot" w:pos="9204"/>
            </w:tabs>
            <w:rPr>
              <w:rFonts w:eastAsiaTheme="minorEastAsia" w:cstheme="minorBidi"/>
              <w:b w:val="0"/>
              <w:bCs w:val="0"/>
              <w:noProof/>
              <w:lang w:eastAsia="en-GB"/>
            </w:rPr>
          </w:pPr>
          <w:hyperlink w:anchor="_Toc85818110" w:history="1">
            <w:r w:rsidR="00312A3F" w:rsidRPr="005B7DD7">
              <w:rPr>
                <w:rStyle w:val="Hyperlink"/>
                <w:noProof/>
              </w:rPr>
              <w:t>4.1</w:t>
            </w:r>
            <w:r w:rsidR="00312A3F">
              <w:rPr>
                <w:rFonts w:eastAsiaTheme="minorEastAsia" w:cstheme="minorBidi"/>
                <w:b w:val="0"/>
                <w:bCs w:val="0"/>
                <w:noProof/>
                <w:lang w:eastAsia="en-GB"/>
              </w:rPr>
              <w:tab/>
            </w:r>
            <w:r w:rsidR="00312A3F" w:rsidRPr="005B7DD7">
              <w:rPr>
                <w:rStyle w:val="Hyperlink"/>
                <w:noProof/>
              </w:rPr>
              <w:t>Background</w:t>
            </w:r>
            <w:r w:rsidR="00312A3F">
              <w:rPr>
                <w:noProof/>
                <w:webHidden/>
              </w:rPr>
              <w:tab/>
            </w:r>
            <w:r w:rsidR="00312A3F">
              <w:rPr>
                <w:noProof/>
                <w:webHidden/>
              </w:rPr>
              <w:fldChar w:fldCharType="begin"/>
            </w:r>
            <w:r w:rsidR="00312A3F">
              <w:rPr>
                <w:noProof/>
                <w:webHidden/>
              </w:rPr>
              <w:instrText xml:space="preserve"> PAGEREF _Toc85818110 \h </w:instrText>
            </w:r>
            <w:r w:rsidR="00312A3F">
              <w:rPr>
                <w:noProof/>
                <w:webHidden/>
              </w:rPr>
            </w:r>
            <w:r w:rsidR="00312A3F">
              <w:rPr>
                <w:noProof/>
                <w:webHidden/>
              </w:rPr>
              <w:fldChar w:fldCharType="separate"/>
            </w:r>
            <w:r w:rsidR="00312A3F">
              <w:rPr>
                <w:noProof/>
                <w:webHidden/>
              </w:rPr>
              <w:t>35</w:t>
            </w:r>
            <w:r w:rsidR="00312A3F">
              <w:rPr>
                <w:noProof/>
                <w:webHidden/>
              </w:rPr>
              <w:fldChar w:fldCharType="end"/>
            </w:r>
          </w:hyperlink>
        </w:p>
        <w:p w14:paraId="07DE2E7B" w14:textId="6C0CC054" w:rsidR="00312A3F" w:rsidRDefault="00CD53ED">
          <w:pPr>
            <w:pStyle w:val="TOC2"/>
            <w:tabs>
              <w:tab w:val="left" w:pos="720"/>
              <w:tab w:val="right" w:leader="dot" w:pos="9204"/>
            </w:tabs>
            <w:rPr>
              <w:rFonts w:eastAsiaTheme="minorEastAsia" w:cstheme="minorBidi"/>
              <w:b w:val="0"/>
              <w:bCs w:val="0"/>
              <w:noProof/>
              <w:lang w:eastAsia="en-GB"/>
            </w:rPr>
          </w:pPr>
          <w:hyperlink w:anchor="_Toc85818111" w:history="1">
            <w:r w:rsidR="00312A3F" w:rsidRPr="005B7DD7">
              <w:rPr>
                <w:rStyle w:val="Hyperlink"/>
                <w:noProof/>
              </w:rPr>
              <w:t>4.2</w:t>
            </w:r>
            <w:r w:rsidR="00312A3F">
              <w:rPr>
                <w:rFonts w:eastAsiaTheme="minorEastAsia" w:cstheme="minorBidi"/>
                <w:b w:val="0"/>
                <w:bCs w:val="0"/>
                <w:noProof/>
                <w:lang w:eastAsia="en-GB"/>
              </w:rPr>
              <w:tab/>
            </w:r>
            <w:r w:rsidR="00312A3F" w:rsidRPr="005B7DD7">
              <w:rPr>
                <w:rStyle w:val="Hyperlink"/>
                <w:noProof/>
              </w:rPr>
              <w:t>Upkeep of up-to-date, efficient and flexible working guidelines</w:t>
            </w:r>
            <w:r w:rsidR="00312A3F">
              <w:rPr>
                <w:noProof/>
                <w:webHidden/>
              </w:rPr>
              <w:tab/>
            </w:r>
            <w:r w:rsidR="00312A3F">
              <w:rPr>
                <w:noProof/>
                <w:webHidden/>
              </w:rPr>
              <w:fldChar w:fldCharType="begin"/>
            </w:r>
            <w:r w:rsidR="00312A3F">
              <w:rPr>
                <w:noProof/>
                <w:webHidden/>
              </w:rPr>
              <w:instrText xml:space="preserve"> PAGEREF _Toc85818111 \h </w:instrText>
            </w:r>
            <w:r w:rsidR="00312A3F">
              <w:rPr>
                <w:noProof/>
                <w:webHidden/>
              </w:rPr>
            </w:r>
            <w:r w:rsidR="00312A3F">
              <w:rPr>
                <w:noProof/>
                <w:webHidden/>
              </w:rPr>
              <w:fldChar w:fldCharType="separate"/>
            </w:r>
            <w:r w:rsidR="00312A3F">
              <w:rPr>
                <w:noProof/>
                <w:webHidden/>
              </w:rPr>
              <w:t>36</w:t>
            </w:r>
            <w:r w:rsidR="00312A3F">
              <w:rPr>
                <w:noProof/>
                <w:webHidden/>
              </w:rPr>
              <w:fldChar w:fldCharType="end"/>
            </w:r>
          </w:hyperlink>
        </w:p>
        <w:p w14:paraId="71A9CC2B" w14:textId="7E7A56D9" w:rsidR="00312A3F" w:rsidRDefault="00CD53ED">
          <w:pPr>
            <w:pStyle w:val="TOC2"/>
            <w:tabs>
              <w:tab w:val="left" w:pos="720"/>
              <w:tab w:val="right" w:leader="dot" w:pos="9204"/>
            </w:tabs>
            <w:rPr>
              <w:rFonts w:eastAsiaTheme="minorEastAsia" w:cstheme="minorBidi"/>
              <w:b w:val="0"/>
              <w:bCs w:val="0"/>
              <w:noProof/>
              <w:lang w:eastAsia="en-GB"/>
            </w:rPr>
          </w:pPr>
          <w:hyperlink w:anchor="_Toc85818112" w:history="1">
            <w:r w:rsidR="00312A3F" w:rsidRPr="005B7DD7">
              <w:rPr>
                <w:rStyle w:val="Hyperlink"/>
                <w:rFonts w:eastAsia="SimSun"/>
                <w:noProof/>
              </w:rPr>
              <w:t>4.3</w:t>
            </w:r>
            <w:r w:rsidR="00312A3F">
              <w:rPr>
                <w:rFonts w:eastAsiaTheme="minorEastAsia" w:cstheme="minorBidi"/>
                <w:b w:val="0"/>
                <w:bCs w:val="0"/>
                <w:noProof/>
                <w:lang w:eastAsia="en-GB"/>
              </w:rPr>
              <w:tab/>
            </w:r>
            <w:r w:rsidR="00312A3F" w:rsidRPr="005B7DD7">
              <w:rPr>
                <w:rStyle w:val="Hyperlink"/>
                <w:rFonts w:eastAsia="SimSun"/>
                <w:noProof/>
              </w:rPr>
              <w:t>ITU-D objectives and budgetary appropriations available for activities, programmes and regional initiatives; ITU-D operational plan; Buenos Aires Action Plan</w:t>
            </w:r>
            <w:r w:rsidR="00312A3F">
              <w:rPr>
                <w:noProof/>
                <w:webHidden/>
              </w:rPr>
              <w:tab/>
            </w:r>
            <w:r w:rsidR="00312A3F">
              <w:rPr>
                <w:noProof/>
                <w:webHidden/>
              </w:rPr>
              <w:fldChar w:fldCharType="begin"/>
            </w:r>
            <w:r w:rsidR="00312A3F">
              <w:rPr>
                <w:noProof/>
                <w:webHidden/>
              </w:rPr>
              <w:instrText xml:space="preserve"> PAGEREF _Toc85818112 \h </w:instrText>
            </w:r>
            <w:r w:rsidR="00312A3F">
              <w:rPr>
                <w:noProof/>
                <w:webHidden/>
              </w:rPr>
            </w:r>
            <w:r w:rsidR="00312A3F">
              <w:rPr>
                <w:noProof/>
                <w:webHidden/>
              </w:rPr>
              <w:fldChar w:fldCharType="separate"/>
            </w:r>
            <w:r w:rsidR="00312A3F">
              <w:rPr>
                <w:noProof/>
                <w:webHidden/>
              </w:rPr>
              <w:t>37</w:t>
            </w:r>
            <w:r w:rsidR="00312A3F">
              <w:rPr>
                <w:noProof/>
                <w:webHidden/>
              </w:rPr>
              <w:fldChar w:fldCharType="end"/>
            </w:r>
          </w:hyperlink>
        </w:p>
        <w:p w14:paraId="1A0A8343" w14:textId="31D0FD01" w:rsidR="00312A3F" w:rsidRDefault="00CD53ED">
          <w:pPr>
            <w:pStyle w:val="TOC2"/>
            <w:tabs>
              <w:tab w:val="left" w:pos="720"/>
              <w:tab w:val="right" w:leader="dot" w:pos="9204"/>
            </w:tabs>
            <w:rPr>
              <w:rFonts w:eastAsiaTheme="minorEastAsia" w:cstheme="minorBidi"/>
              <w:b w:val="0"/>
              <w:bCs w:val="0"/>
              <w:noProof/>
              <w:lang w:eastAsia="en-GB"/>
            </w:rPr>
          </w:pPr>
          <w:hyperlink w:anchor="_Toc85818113" w:history="1">
            <w:r w:rsidR="00312A3F" w:rsidRPr="005B7DD7">
              <w:rPr>
                <w:rStyle w:val="Hyperlink"/>
                <w:rFonts w:eastAsia="SimSun"/>
                <w:noProof/>
              </w:rPr>
              <w:t>4.4</w:t>
            </w:r>
            <w:r w:rsidR="00312A3F">
              <w:rPr>
                <w:rFonts w:eastAsiaTheme="minorEastAsia" w:cstheme="minorBidi"/>
                <w:b w:val="0"/>
                <w:bCs w:val="0"/>
                <w:noProof/>
                <w:lang w:eastAsia="en-GB"/>
              </w:rPr>
              <w:tab/>
            </w:r>
            <w:r w:rsidR="00312A3F" w:rsidRPr="005B7DD7">
              <w:rPr>
                <w:rStyle w:val="Hyperlink"/>
                <w:rFonts w:eastAsia="SimSun"/>
                <w:noProof/>
              </w:rPr>
              <w:t>Study Groups</w:t>
            </w:r>
            <w:r w:rsidR="00312A3F">
              <w:rPr>
                <w:noProof/>
                <w:webHidden/>
              </w:rPr>
              <w:tab/>
            </w:r>
            <w:r w:rsidR="00312A3F">
              <w:rPr>
                <w:noProof/>
                <w:webHidden/>
              </w:rPr>
              <w:fldChar w:fldCharType="begin"/>
            </w:r>
            <w:r w:rsidR="00312A3F">
              <w:rPr>
                <w:noProof/>
                <w:webHidden/>
              </w:rPr>
              <w:instrText xml:space="preserve"> PAGEREF _Toc85818113 \h </w:instrText>
            </w:r>
            <w:r w:rsidR="00312A3F">
              <w:rPr>
                <w:noProof/>
                <w:webHidden/>
              </w:rPr>
            </w:r>
            <w:r w:rsidR="00312A3F">
              <w:rPr>
                <w:noProof/>
                <w:webHidden/>
              </w:rPr>
              <w:fldChar w:fldCharType="separate"/>
            </w:r>
            <w:r w:rsidR="00312A3F">
              <w:rPr>
                <w:noProof/>
                <w:webHidden/>
              </w:rPr>
              <w:t>39</w:t>
            </w:r>
            <w:r w:rsidR="00312A3F">
              <w:rPr>
                <w:noProof/>
                <w:webHidden/>
              </w:rPr>
              <w:fldChar w:fldCharType="end"/>
            </w:r>
          </w:hyperlink>
        </w:p>
        <w:p w14:paraId="205A5BB6" w14:textId="051B1352" w:rsidR="00312A3F" w:rsidRDefault="00CD53ED">
          <w:pPr>
            <w:pStyle w:val="TOC2"/>
            <w:tabs>
              <w:tab w:val="left" w:pos="720"/>
              <w:tab w:val="right" w:leader="dot" w:pos="9204"/>
            </w:tabs>
            <w:rPr>
              <w:rFonts w:eastAsiaTheme="minorEastAsia" w:cstheme="minorBidi"/>
              <w:b w:val="0"/>
              <w:bCs w:val="0"/>
              <w:noProof/>
              <w:lang w:eastAsia="en-GB"/>
            </w:rPr>
          </w:pPr>
          <w:hyperlink w:anchor="_Toc85818114" w:history="1">
            <w:r w:rsidR="00312A3F" w:rsidRPr="005B7DD7">
              <w:rPr>
                <w:rStyle w:val="Hyperlink"/>
                <w:rFonts w:eastAsia="SimSun"/>
                <w:noProof/>
              </w:rPr>
              <w:t>4.5</w:t>
            </w:r>
            <w:r w:rsidR="00312A3F">
              <w:rPr>
                <w:rFonts w:eastAsiaTheme="minorEastAsia" w:cstheme="minorBidi"/>
                <w:b w:val="0"/>
                <w:bCs w:val="0"/>
                <w:noProof/>
                <w:lang w:eastAsia="en-GB"/>
              </w:rPr>
              <w:tab/>
            </w:r>
            <w:r w:rsidR="00312A3F" w:rsidRPr="005B7DD7">
              <w:rPr>
                <w:rStyle w:val="Hyperlink"/>
                <w:rFonts w:eastAsia="SimSun"/>
                <w:noProof/>
              </w:rPr>
              <w:t>Advise the Director of BDT on relevant financial and other matters;</w:t>
            </w:r>
            <w:r w:rsidR="00312A3F">
              <w:rPr>
                <w:noProof/>
                <w:webHidden/>
              </w:rPr>
              <w:tab/>
            </w:r>
            <w:r w:rsidR="00312A3F">
              <w:rPr>
                <w:noProof/>
                <w:webHidden/>
              </w:rPr>
              <w:fldChar w:fldCharType="begin"/>
            </w:r>
            <w:r w:rsidR="00312A3F">
              <w:rPr>
                <w:noProof/>
                <w:webHidden/>
              </w:rPr>
              <w:instrText xml:space="preserve"> PAGEREF _Toc85818114 \h </w:instrText>
            </w:r>
            <w:r w:rsidR="00312A3F">
              <w:rPr>
                <w:noProof/>
                <w:webHidden/>
              </w:rPr>
            </w:r>
            <w:r w:rsidR="00312A3F">
              <w:rPr>
                <w:noProof/>
                <w:webHidden/>
              </w:rPr>
              <w:fldChar w:fldCharType="separate"/>
            </w:r>
            <w:r w:rsidR="00312A3F">
              <w:rPr>
                <w:noProof/>
                <w:webHidden/>
              </w:rPr>
              <w:t>40</w:t>
            </w:r>
            <w:r w:rsidR="00312A3F">
              <w:rPr>
                <w:noProof/>
                <w:webHidden/>
              </w:rPr>
              <w:fldChar w:fldCharType="end"/>
            </w:r>
          </w:hyperlink>
        </w:p>
        <w:p w14:paraId="457D1BB3" w14:textId="2427E4D3" w:rsidR="00312A3F" w:rsidRDefault="00CD53ED">
          <w:pPr>
            <w:pStyle w:val="TOC1"/>
            <w:tabs>
              <w:tab w:val="left" w:pos="480"/>
              <w:tab w:val="right" w:leader="dot" w:pos="9204"/>
            </w:tabs>
            <w:rPr>
              <w:rFonts w:eastAsiaTheme="minorEastAsia" w:cstheme="minorBidi"/>
              <w:b w:val="0"/>
              <w:bCs w:val="0"/>
              <w:i w:val="0"/>
              <w:iCs w:val="0"/>
              <w:noProof/>
              <w:sz w:val="22"/>
              <w:szCs w:val="22"/>
              <w:lang w:eastAsia="en-GB"/>
            </w:rPr>
          </w:pPr>
          <w:hyperlink w:anchor="_Toc85818115" w:history="1">
            <w:r w:rsidR="00312A3F" w:rsidRPr="005B7DD7">
              <w:rPr>
                <w:rStyle w:val="Hyperlink"/>
                <w:noProof/>
              </w:rPr>
              <w:t>5.</w:t>
            </w:r>
            <w:r w:rsidR="00312A3F">
              <w:rPr>
                <w:rFonts w:eastAsiaTheme="minorEastAsia" w:cstheme="minorBidi"/>
                <w:b w:val="0"/>
                <w:bCs w:val="0"/>
                <w:i w:val="0"/>
                <w:iCs w:val="0"/>
                <w:noProof/>
                <w:sz w:val="22"/>
                <w:szCs w:val="22"/>
                <w:lang w:eastAsia="en-GB"/>
              </w:rPr>
              <w:tab/>
            </w:r>
            <w:r w:rsidR="00312A3F" w:rsidRPr="005B7DD7">
              <w:rPr>
                <w:rStyle w:val="Hyperlink"/>
                <w:noProof/>
              </w:rPr>
              <w:t>Cooperation and Collaboration</w:t>
            </w:r>
            <w:r w:rsidR="00312A3F">
              <w:rPr>
                <w:noProof/>
                <w:webHidden/>
              </w:rPr>
              <w:tab/>
            </w:r>
            <w:r w:rsidR="00312A3F">
              <w:rPr>
                <w:noProof/>
                <w:webHidden/>
              </w:rPr>
              <w:fldChar w:fldCharType="begin"/>
            </w:r>
            <w:r w:rsidR="00312A3F">
              <w:rPr>
                <w:noProof/>
                <w:webHidden/>
              </w:rPr>
              <w:instrText xml:space="preserve"> PAGEREF _Toc85818115 \h </w:instrText>
            </w:r>
            <w:r w:rsidR="00312A3F">
              <w:rPr>
                <w:noProof/>
                <w:webHidden/>
              </w:rPr>
            </w:r>
            <w:r w:rsidR="00312A3F">
              <w:rPr>
                <w:noProof/>
                <w:webHidden/>
              </w:rPr>
              <w:fldChar w:fldCharType="separate"/>
            </w:r>
            <w:r w:rsidR="00312A3F">
              <w:rPr>
                <w:noProof/>
                <w:webHidden/>
              </w:rPr>
              <w:t>41</w:t>
            </w:r>
            <w:r w:rsidR="00312A3F">
              <w:rPr>
                <w:noProof/>
                <w:webHidden/>
              </w:rPr>
              <w:fldChar w:fldCharType="end"/>
            </w:r>
          </w:hyperlink>
        </w:p>
        <w:p w14:paraId="3E6DD222" w14:textId="6B9C7FE9" w:rsidR="007C1EBC" w:rsidRDefault="007C1EBC">
          <w:r>
            <w:rPr>
              <w:b/>
              <w:bCs/>
              <w:noProof/>
            </w:rPr>
            <w:fldChar w:fldCharType="end"/>
          </w:r>
        </w:p>
      </w:sdtContent>
    </w:sdt>
    <w:p w14:paraId="0473E99C" w14:textId="4FB03550" w:rsidR="003A1A07" w:rsidRDefault="003A1A07">
      <w:pPr>
        <w:tabs>
          <w:tab w:val="clear" w:pos="1134"/>
          <w:tab w:val="clear" w:pos="1871"/>
          <w:tab w:val="clear" w:pos="2268"/>
        </w:tabs>
        <w:overflowPunct/>
        <w:autoSpaceDE/>
        <w:autoSpaceDN/>
        <w:adjustRightInd/>
        <w:spacing w:before="0"/>
        <w:textAlignment w:val="auto"/>
        <w:rPr>
          <w:caps/>
        </w:rPr>
      </w:pPr>
    </w:p>
    <w:p w14:paraId="71129C90" w14:textId="7F97D84B" w:rsidR="007A5D37" w:rsidRDefault="007A5D37" w:rsidP="00950EE4">
      <w:pPr>
        <w:pStyle w:val="TOC2"/>
        <w:rPr>
          <w:caps/>
          <w:sz w:val="24"/>
          <w:szCs w:val="24"/>
        </w:rPr>
        <w:sectPr w:rsidR="007A5D37" w:rsidSect="00950EE4">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418" w:right="1559" w:bottom="851" w:left="1134" w:header="720" w:footer="720" w:gutter="0"/>
          <w:paperSrc w:first="15" w:other="15"/>
          <w:pgNumType w:start="1"/>
          <w:cols w:space="720"/>
          <w:titlePg/>
          <w:docGrid w:linePitch="326"/>
        </w:sectPr>
      </w:pPr>
    </w:p>
    <w:p w14:paraId="3BA852EB" w14:textId="77777777" w:rsidR="000D668A" w:rsidRDefault="000D668A">
      <w:pPr>
        <w:tabs>
          <w:tab w:val="clear" w:pos="1134"/>
          <w:tab w:val="clear" w:pos="1871"/>
          <w:tab w:val="clear" w:pos="2268"/>
        </w:tabs>
        <w:overflowPunct/>
        <w:autoSpaceDE/>
        <w:autoSpaceDN/>
        <w:adjustRightInd/>
        <w:spacing w:before="0"/>
        <w:textAlignment w:val="auto"/>
        <w:rPr>
          <w:b/>
          <w:bCs/>
          <w:sz w:val="28"/>
          <w:szCs w:val="28"/>
        </w:rPr>
      </w:pPr>
      <w:bookmarkStart w:id="9" w:name="_Toc482300234"/>
      <w:bookmarkEnd w:id="4"/>
      <w:r>
        <w:br w:type="page"/>
      </w:r>
    </w:p>
    <w:p w14:paraId="3E418207" w14:textId="6DD5BC5E" w:rsidR="00BC78ED" w:rsidRPr="00BC78ED" w:rsidRDefault="00BC78ED" w:rsidP="00BC78ED">
      <w:pPr>
        <w:pStyle w:val="Heading1"/>
        <w:ind w:left="567" w:hanging="567"/>
      </w:pPr>
      <w:bookmarkStart w:id="10" w:name="_Toc85818098"/>
      <w:r>
        <w:lastRenderedPageBreak/>
        <w:t>Introduction</w:t>
      </w:r>
      <w:bookmarkEnd w:id="9"/>
      <w:bookmarkEnd w:id="10"/>
    </w:p>
    <w:p w14:paraId="02ADAEF4" w14:textId="2011FA32" w:rsidR="00741AED" w:rsidRDefault="00741AED">
      <w:pPr>
        <w:spacing w:after="120"/>
      </w:pPr>
      <w:r w:rsidRPr="00741AED">
        <w:rPr>
          <w:szCs w:val="24"/>
        </w:rPr>
        <w:t>This report contains a summary of the work carried out by the Telecommunication Development Advisory Group (TDAG) during the period 201</w:t>
      </w:r>
      <w:r w:rsidR="000D668A">
        <w:rPr>
          <w:szCs w:val="24"/>
        </w:rPr>
        <w:t>8</w:t>
      </w:r>
      <w:r w:rsidRPr="00741AED">
        <w:rPr>
          <w:szCs w:val="24"/>
        </w:rPr>
        <w:t>-20</w:t>
      </w:r>
      <w:r w:rsidR="000D668A">
        <w:rPr>
          <w:szCs w:val="24"/>
        </w:rPr>
        <w:t>21</w:t>
      </w:r>
      <w:r w:rsidRPr="00741AED">
        <w:rPr>
          <w:szCs w:val="24"/>
        </w:rPr>
        <w:t>.</w:t>
      </w:r>
      <w:r w:rsidR="003C6404" w:rsidRPr="003C6404">
        <w:t xml:space="preserve"> </w:t>
      </w:r>
    </w:p>
    <w:p w14:paraId="54C16642" w14:textId="53F8CD5D" w:rsidR="0055628F" w:rsidRPr="0055628F" w:rsidRDefault="0055628F" w:rsidP="0055628F">
      <w:pPr>
        <w:pStyle w:val="Heading2"/>
      </w:pPr>
      <w:bookmarkStart w:id="11" w:name="_Toc482300235"/>
      <w:bookmarkStart w:id="12" w:name="_Toc85818099"/>
      <w:r>
        <w:t>T</w:t>
      </w:r>
      <w:r w:rsidR="00741AED">
        <w:t>erms of Reference of TDAG</w:t>
      </w:r>
      <w:bookmarkEnd w:id="11"/>
      <w:bookmarkEnd w:id="12"/>
    </w:p>
    <w:p w14:paraId="23F94A0A" w14:textId="6787BF8E" w:rsidR="00741AED" w:rsidRDefault="00741AED" w:rsidP="00741AED">
      <w:r w:rsidRPr="0019124B">
        <w:t>The terms of reference of TDAG can be found</w:t>
      </w:r>
      <w:r w:rsidR="009324F4">
        <w:t xml:space="preserve"> on the </w:t>
      </w:r>
      <w:hyperlink r:id="rId25" w:history="1">
        <w:r w:rsidR="009324F4" w:rsidRPr="009324F4">
          <w:rPr>
            <w:rStyle w:val="Hyperlink"/>
          </w:rPr>
          <w:t>TDAG webpage</w:t>
        </w:r>
      </w:hyperlink>
      <w:r w:rsidR="009324F4">
        <w:t>.</w:t>
      </w:r>
    </w:p>
    <w:p w14:paraId="1876B90D" w14:textId="4F43A917" w:rsidR="00594304" w:rsidRDefault="00594304" w:rsidP="00363DA9">
      <w:pPr>
        <w:pStyle w:val="Heading2"/>
      </w:pPr>
      <w:bookmarkStart w:id="13" w:name="_Toc482300236"/>
      <w:bookmarkStart w:id="14" w:name="_Toc85818100"/>
      <w:r>
        <w:t>Telecommunication Development Advisory Group Bureau</w:t>
      </w:r>
      <w:bookmarkEnd w:id="13"/>
      <w:bookmarkEnd w:id="14"/>
    </w:p>
    <w:p w14:paraId="4CB00FA2" w14:textId="6CB80224" w:rsidR="003C6404" w:rsidRPr="0055628F" w:rsidRDefault="003C6404" w:rsidP="00363DA9">
      <w:pPr>
        <w:tabs>
          <w:tab w:val="clear" w:pos="1134"/>
        </w:tabs>
        <w:spacing w:after="240"/>
      </w:pPr>
      <w:r w:rsidRPr="003C6404">
        <w:rPr>
          <w:szCs w:val="24"/>
        </w:rPr>
        <w:t>In application of Resolution 61 (Rev. Dubai, 2014), WTDC-1</w:t>
      </w:r>
      <w:r w:rsidR="000D668A">
        <w:rPr>
          <w:szCs w:val="24"/>
        </w:rPr>
        <w:t>7</w:t>
      </w:r>
      <w:r w:rsidRPr="003C6404">
        <w:rPr>
          <w:szCs w:val="24"/>
        </w:rPr>
        <w:t xml:space="preserve"> adopted the</w:t>
      </w:r>
      <w:r>
        <w:rPr>
          <w:szCs w:val="24"/>
        </w:rPr>
        <w:t xml:space="preserve"> </w:t>
      </w:r>
      <w:r w:rsidRPr="003C6404">
        <w:rPr>
          <w:szCs w:val="24"/>
        </w:rPr>
        <w:t xml:space="preserve">composition of the TDAG Bureau and appointed the TDAG chairman and </w:t>
      </w:r>
      <w:r>
        <w:t>vice</w:t>
      </w:r>
      <w:r w:rsidR="537E8D27">
        <w:t>-</w:t>
      </w:r>
      <w:r>
        <w:t>chairmen</w:t>
      </w:r>
      <w:r w:rsidRPr="003C6404">
        <w:rPr>
          <w:szCs w:val="24"/>
        </w:rPr>
        <w:t>,</w:t>
      </w:r>
      <w:r>
        <w:rPr>
          <w:szCs w:val="24"/>
        </w:rPr>
        <w:t xml:space="preserve"> </w:t>
      </w:r>
      <w:r w:rsidRPr="003C6404">
        <w:rPr>
          <w:szCs w:val="24"/>
        </w:rPr>
        <w:t>as follows:</w:t>
      </w:r>
    </w:p>
    <w:tbl>
      <w:tblPr>
        <w:tblStyle w:val="TableGrid"/>
        <w:tblW w:w="9209" w:type="dxa"/>
        <w:tblLook w:val="04A0" w:firstRow="1" w:lastRow="0" w:firstColumn="1" w:lastColumn="0" w:noHBand="0" w:noVBand="1"/>
      </w:tblPr>
      <w:tblGrid>
        <w:gridCol w:w="1798"/>
        <w:gridCol w:w="3283"/>
        <w:gridCol w:w="2465"/>
        <w:gridCol w:w="1663"/>
      </w:tblGrid>
      <w:tr w:rsidR="00777074" w:rsidRPr="00777074" w14:paraId="6BD45A89" w14:textId="77777777" w:rsidTr="00777074">
        <w:trPr>
          <w:trHeight w:val="567"/>
        </w:trPr>
        <w:tc>
          <w:tcPr>
            <w:tcW w:w="1798" w:type="dxa"/>
            <w:shd w:val="clear" w:color="auto" w:fill="F2F2F2" w:themeFill="background1" w:themeFillShade="F2"/>
            <w:vAlign w:val="center"/>
          </w:tcPr>
          <w:p w14:paraId="247AB451" w14:textId="77777777" w:rsidR="00176EF6" w:rsidRPr="00777074" w:rsidRDefault="00594304" w:rsidP="00027B40">
            <w:pPr>
              <w:pStyle w:val="BDTNormal"/>
              <w:tabs>
                <w:tab w:val="left" w:pos="3375"/>
                <w:tab w:val="center" w:pos="4706"/>
              </w:tabs>
              <w:spacing w:before="0" w:after="0"/>
              <w:jc w:val="center"/>
              <w:rPr>
                <w:rFonts w:asciiTheme="minorHAnsi" w:hAnsiTheme="minorHAnsi" w:cstheme="minorHAnsi"/>
                <w:b/>
                <w:bCs/>
                <w:noProof/>
                <w:sz w:val="24"/>
                <w:szCs w:val="24"/>
                <w:lang w:val="en-US"/>
              </w:rPr>
            </w:pPr>
            <w:r w:rsidRPr="00777074">
              <w:rPr>
                <w:rFonts w:asciiTheme="minorHAnsi" w:hAnsiTheme="minorHAnsi" w:cstheme="minorHAnsi"/>
                <w:b/>
                <w:bCs/>
                <w:noProof/>
                <w:sz w:val="24"/>
                <w:szCs w:val="24"/>
                <w:lang w:val="en-US"/>
              </w:rPr>
              <w:t xml:space="preserve">Chairman/ </w:t>
            </w:r>
          </w:p>
          <w:p w14:paraId="1DA5F294" w14:textId="1264592D" w:rsidR="00594304" w:rsidRPr="00777074" w:rsidRDefault="00594304" w:rsidP="00027B40">
            <w:pPr>
              <w:pStyle w:val="BDTNormal"/>
              <w:tabs>
                <w:tab w:val="left" w:pos="3375"/>
                <w:tab w:val="center" w:pos="4706"/>
              </w:tabs>
              <w:spacing w:before="0" w:after="0"/>
              <w:jc w:val="center"/>
              <w:rPr>
                <w:rFonts w:asciiTheme="minorHAnsi" w:hAnsiTheme="minorHAnsi" w:cstheme="minorHAnsi"/>
                <w:b/>
                <w:bCs/>
                <w:noProof/>
                <w:sz w:val="24"/>
                <w:szCs w:val="24"/>
                <w:lang w:val="en-US"/>
              </w:rPr>
            </w:pPr>
            <w:r w:rsidRPr="00777074">
              <w:rPr>
                <w:rFonts w:asciiTheme="minorHAnsi" w:hAnsiTheme="minorHAnsi" w:cstheme="minorHAnsi"/>
                <w:b/>
                <w:bCs/>
                <w:noProof/>
                <w:sz w:val="24"/>
                <w:szCs w:val="24"/>
                <w:lang w:val="en-US"/>
              </w:rPr>
              <w:t>Vice-Chairmen</w:t>
            </w:r>
          </w:p>
        </w:tc>
        <w:tc>
          <w:tcPr>
            <w:tcW w:w="3283" w:type="dxa"/>
            <w:shd w:val="clear" w:color="auto" w:fill="F2F2F2" w:themeFill="background1" w:themeFillShade="F2"/>
            <w:vAlign w:val="center"/>
          </w:tcPr>
          <w:p w14:paraId="0257DCDB" w14:textId="77777777" w:rsidR="00594304" w:rsidRPr="00777074" w:rsidRDefault="00594304" w:rsidP="00027B40">
            <w:pPr>
              <w:pStyle w:val="BDTNormal"/>
              <w:tabs>
                <w:tab w:val="left" w:pos="3375"/>
                <w:tab w:val="center" w:pos="4706"/>
              </w:tabs>
              <w:spacing w:before="0" w:after="0"/>
              <w:jc w:val="center"/>
              <w:rPr>
                <w:rFonts w:asciiTheme="minorHAnsi" w:hAnsiTheme="minorHAnsi" w:cstheme="minorHAnsi"/>
                <w:b/>
                <w:bCs/>
                <w:noProof/>
                <w:sz w:val="24"/>
                <w:szCs w:val="24"/>
                <w:lang w:val="en-US"/>
              </w:rPr>
            </w:pPr>
            <w:r w:rsidRPr="00777074">
              <w:rPr>
                <w:rFonts w:asciiTheme="minorHAnsi" w:hAnsiTheme="minorHAnsi" w:cstheme="minorHAnsi"/>
                <w:b/>
                <w:bCs/>
                <w:noProof/>
                <w:sz w:val="24"/>
                <w:szCs w:val="24"/>
                <w:lang w:val="en-US"/>
              </w:rPr>
              <w:t>Name</w:t>
            </w:r>
          </w:p>
        </w:tc>
        <w:tc>
          <w:tcPr>
            <w:tcW w:w="2465" w:type="dxa"/>
            <w:shd w:val="clear" w:color="auto" w:fill="F2F2F2" w:themeFill="background1" w:themeFillShade="F2"/>
            <w:vAlign w:val="center"/>
          </w:tcPr>
          <w:p w14:paraId="7FC05CCD" w14:textId="77777777" w:rsidR="00594304" w:rsidRPr="00777074" w:rsidRDefault="00594304" w:rsidP="00027B40">
            <w:pPr>
              <w:pStyle w:val="BDTNormal"/>
              <w:tabs>
                <w:tab w:val="left" w:pos="3375"/>
                <w:tab w:val="center" w:pos="4706"/>
              </w:tabs>
              <w:spacing w:before="0" w:after="0"/>
              <w:jc w:val="center"/>
              <w:rPr>
                <w:rFonts w:asciiTheme="minorHAnsi" w:hAnsiTheme="minorHAnsi" w:cstheme="minorHAnsi"/>
                <w:b/>
                <w:bCs/>
                <w:noProof/>
                <w:sz w:val="24"/>
                <w:szCs w:val="24"/>
                <w:lang w:val="en-US"/>
              </w:rPr>
            </w:pPr>
            <w:r w:rsidRPr="00777074">
              <w:rPr>
                <w:rFonts w:asciiTheme="minorHAnsi" w:hAnsiTheme="minorHAnsi" w:cstheme="minorHAnsi"/>
                <w:b/>
                <w:bCs/>
                <w:noProof/>
                <w:sz w:val="24"/>
                <w:szCs w:val="24"/>
                <w:lang w:val="en-US"/>
              </w:rPr>
              <w:t>Country</w:t>
            </w:r>
          </w:p>
        </w:tc>
        <w:tc>
          <w:tcPr>
            <w:tcW w:w="1663" w:type="dxa"/>
            <w:shd w:val="clear" w:color="auto" w:fill="F2F2F2" w:themeFill="background1" w:themeFillShade="F2"/>
            <w:vAlign w:val="center"/>
          </w:tcPr>
          <w:p w14:paraId="11B51ADD" w14:textId="77777777" w:rsidR="00594304" w:rsidRPr="00777074" w:rsidRDefault="00594304" w:rsidP="00027B40">
            <w:pPr>
              <w:pStyle w:val="BDTNormal"/>
              <w:tabs>
                <w:tab w:val="left" w:pos="3375"/>
                <w:tab w:val="center" w:pos="4706"/>
              </w:tabs>
              <w:spacing w:before="0" w:after="0"/>
              <w:jc w:val="center"/>
              <w:rPr>
                <w:rFonts w:asciiTheme="minorHAnsi" w:hAnsiTheme="minorHAnsi" w:cstheme="minorHAnsi"/>
                <w:b/>
                <w:bCs/>
                <w:noProof/>
                <w:sz w:val="24"/>
                <w:szCs w:val="24"/>
                <w:lang w:val="en-US"/>
              </w:rPr>
            </w:pPr>
            <w:r w:rsidRPr="00777074">
              <w:rPr>
                <w:rFonts w:asciiTheme="minorHAnsi" w:hAnsiTheme="minorHAnsi" w:cstheme="minorHAnsi"/>
                <w:b/>
                <w:bCs/>
                <w:noProof/>
                <w:sz w:val="24"/>
                <w:szCs w:val="24"/>
                <w:lang w:val="en-US"/>
              </w:rPr>
              <w:t>BDT Region</w:t>
            </w:r>
          </w:p>
        </w:tc>
      </w:tr>
      <w:tr w:rsidR="00777074" w:rsidRPr="00777074" w14:paraId="2433F87F" w14:textId="77777777" w:rsidTr="00777074">
        <w:trPr>
          <w:trHeight w:val="397"/>
        </w:trPr>
        <w:tc>
          <w:tcPr>
            <w:tcW w:w="1798" w:type="dxa"/>
            <w:vAlign w:val="center"/>
          </w:tcPr>
          <w:p w14:paraId="4CA23A32" w14:textId="77777777" w:rsidR="00594304" w:rsidRPr="00777074" w:rsidRDefault="00594304" w:rsidP="009521AC">
            <w:pPr>
              <w:spacing w:before="0"/>
              <w:rPr>
                <w:rFonts w:cstheme="minorHAnsi"/>
                <w:noProof/>
                <w:szCs w:val="24"/>
              </w:rPr>
            </w:pPr>
            <w:r w:rsidRPr="00777074">
              <w:rPr>
                <w:rFonts w:cstheme="minorHAnsi"/>
                <w:noProof/>
                <w:szCs w:val="24"/>
              </w:rPr>
              <w:t>Chairman</w:t>
            </w:r>
          </w:p>
        </w:tc>
        <w:tc>
          <w:tcPr>
            <w:tcW w:w="3283" w:type="dxa"/>
            <w:vAlign w:val="center"/>
          </w:tcPr>
          <w:p w14:paraId="069F76E5" w14:textId="26D8E97E" w:rsidR="00594304" w:rsidRPr="00777074" w:rsidRDefault="00CF137D" w:rsidP="00363DA9">
            <w:pPr>
              <w:spacing w:before="0"/>
              <w:rPr>
                <w:rFonts w:cstheme="minorBidi"/>
              </w:rPr>
            </w:pPr>
            <w:r w:rsidRPr="79DAAEF6">
              <w:rPr>
                <w:rStyle w:val="Strong"/>
                <w:rFonts w:cstheme="minorBidi"/>
                <w:b w:val="0"/>
                <w:bdr w:val="none" w:sz="0" w:space="0" w:color="auto" w:frame="1"/>
              </w:rPr>
              <w:t>Ms Roxanne McElvane Webber</w:t>
            </w:r>
          </w:p>
        </w:tc>
        <w:tc>
          <w:tcPr>
            <w:tcW w:w="2465" w:type="dxa"/>
            <w:vAlign w:val="center"/>
          </w:tcPr>
          <w:p w14:paraId="2EA0E3CB" w14:textId="50974EE9" w:rsidR="00594304" w:rsidRPr="00777074" w:rsidRDefault="00F4258F" w:rsidP="009521AC">
            <w:pPr>
              <w:spacing w:before="0"/>
              <w:ind w:right="-113"/>
              <w:rPr>
                <w:rFonts w:cstheme="minorHAnsi"/>
                <w:noProof/>
                <w:szCs w:val="24"/>
              </w:rPr>
            </w:pPr>
            <w:r w:rsidRPr="00777074">
              <w:rPr>
                <w:rFonts w:cstheme="minorHAnsi"/>
                <w:noProof/>
                <w:szCs w:val="24"/>
              </w:rPr>
              <w:t>USA</w:t>
            </w:r>
          </w:p>
        </w:tc>
        <w:tc>
          <w:tcPr>
            <w:tcW w:w="1663" w:type="dxa"/>
            <w:vAlign w:val="center"/>
          </w:tcPr>
          <w:p w14:paraId="6D4FA9DA" w14:textId="57BB1935" w:rsidR="00594304" w:rsidRPr="00777074" w:rsidRDefault="00F4258F" w:rsidP="009521AC">
            <w:pPr>
              <w:spacing w:before="0"/>
              <w:rPr>
                <w:rFonts w:cstheme="minorHAnsi"/>
                <w:noProof/>
                <w:szCs w:val="24"/>
              </w:rPr>
            </w:pPr>
            <w:r w:rsidRPr="00777074">
              <w:rPr>
                <w:rFonts w:cstheme="minorHAnsi"/>
                <w:noProof/>
                <w:szCs w:val="24"/>
              </w:rPr>
              <w:t>AMS</w:t>
            </w:r>
          </w:p>
        </w:tc>
      </w:tr>
      <w:tr w:rsidR="00777074" w:rsidRPr="00777074" w14:paraId="4E0D9710" w14:textId="77777777" w:rsidTr="00777074">
        <w:trPr>
          <w:trHeight w:val="397"/>
        </w:trPr>
        <w:tc>
          <w:tcPr>
            <w:tcW w:w="1798" w:type="dxa"/>
            <w:vAlign w:val="center"/>
          </w:tcPr>
          <w:p w14:paraId="78D0F3FA"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032CC7D8" w14:textId="3FC2FAEB" w:rsidR="00594304" w:rsidRPr="00674AAE" w:rsidRDefault="00213D64" w:rsidP="009521AC">
            <w:pPr>
              <w:spacing w:before="0"/>
              <w:rPr>
                <w:rFonts w:cstheme="minorHAnsi"/>
                <w:noProof/>
                <w:szCs w:val="24"/>
                <w:lang w:val="fr-FR"/>
              </w:rPr>
            </w:pPr>
            <w:r w:rsidRPr="00674AAE">
              <w:rPr>
                <w:rFonts w:cstheme="minorHAnsi"/>
                <w:noProof/>
                <w:szCs w:val="24"/>
                <w:lang w:val="fr-FR"/>
              </w:rPr>
              <w:t>Ms Regina Fleur Assoumou Bessou</w:t>
            </w:r>
          </w:p>
        </w:tc>
        <w:tc>
          <w:tcPr>
            <w:tcW w:w="2465" w:type="dxa"/>
            <w:vAlign w:val="center"/>
          </w:tcPr>
          <w:p w14:paraId="67FB4D0F" w14:textId="3620DC18" w:rsidR="00594304" w:rsidRPr="00777074" w:rsidRDefault="00213D64" w:rsidP="00363DA9">
            <w:pPr>
              <w:spacing w:before="0"/>
              <w:rPr>
                <w:rFonts w:cstheme="minorHAnsi"/>
                <w:noProof/>
                <w:szCs w:val="24"/>
              </w:rPr>
            </w:pPr>
            <w:r w:rsidRPr="00777074">
              <w:rPr>
                <w:rFonts w:cstheme="minorHAnsi"/>
                <w:noProof/>
                <w:szCs w:val="24"/>
              </w:rPr>
              <w:t>Côte d'Ivoire</w:t>
            </w:r>
          </w:p>
        </w:tc>
        <w:tc>
          <w:tcPr>
            <w:tcW w:w="1663" w:type="dxa"/>
            <w:vAlign w:val="center"/>
          </w:tcPr>
          <w:p w14:paraId="2EC81D02" w14:textId="1521C3AE" w:rsidR="00594304" w:rsidRPr="00777074" w:rsidRDefault="00594304" w:rsidP="009521AC">
            <w:pPr>
              <w:spacing w:before="0"/>
              <w:rPr>
                <w:rFonts w:cstheme="minorHAnsi"/>
                <w:noProof/>
                <w:szCs w:val="24"/>
              </w:rPr>
            </w:pPr>
            <w:r w:rsidRPr="00777074">
              <w:rPr>
                <w:rFonts w:cstheme="minorHAnsi"/>
                <w:noProof/>
                <w:szCs w:val="24"/>
              </w:rPr>
              <w:t>Chairman</w:t>
            </w:r>
            <w:r w:rsidR="00F0657E">
              <w:rPr>
                <w:rFonts w:cstheme="minorHAnsi"/>
                <w:noProof/>
                <w:szCs w:val="24"/>
              </w:rPr>
              <w:t>,</w:t>
            </w:r>
            <w:r w:rsidRPr="00777074">
              <w:rPr>
                <w:rFonts w:cstheme="minorHAnsi"/>
                <w:noProof/>
                <w:szCs w:val="24"/>
              </w:rPr>
              <w:t xml:space="preserve"> SG1</w:t>
            </w:r>
          </w:p>
        </w:tc>
      </w:tr>
      <w:tr w:rsidR="00777074" w:rsidRPr="00777074" w14:paraId="3471579F" w14:textId="77777777" w:rsidTr="00777074">
        <w:trPr>
          <w:trHeight w:val="397"/>
        </w:trPr>
        <w:tc>
          <w:tcPr>
            <w:tcW w:w="1798" w:type="dxa"/>
            <w:vAlign w:val="center"/>
          </w:tcPr>
          <w:p w14:paraId="7A6929A2"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2F6F307A" w14:textId="0901D65A" w:rsidR="00594304" w:rsidRPr="00777074" w:rsidRDefault="00594304" w:rsidP="009521AC">
            <w:pPr>
              <w:spacing w:before="0"/>
              <w:rPr>
                <w:rFonts w:cstheme="minorHAnsi"/>
                <w:noProof/>
                <w:szCs w:val="24"/>
              </w:rPr>
            </w:pPr>
            <w:r w:rsidRPr="00777074">
              <w:rPr>
                <w:rFonts w:cstheme="minorHAnsi"/>
                <w:noProof/>
                <w:szCs w:val="24"/>
              </w:rPr>
              <w:t>Mr Ahmad Reza Sharafat</w:t>
            </w:r>
          </w:p>
        </w:tc>
        <w:tc>
          <w:tcPr>
            <w:tcW w:w="2465" w:type="dxa"/>
            <w:vAlign w:val="center"/>
          </w:tcPr>
          <w:p w14:paraId="57A37F47" w14:textId="2A5B3B62" w:rsidR="00594304" w:rsidRPr="00777074" w:rsidRDefault="00594304" w:rsidP="009521AC">
            <w:pPr>
              <w:spacing w:before="0"/>
              <w:rPr>
                <w:rFonts w:cstheme="minorHAnsi"/>
                <w:noProof/>
                <w:szCs w:val="24"/>
              </w:rPr>
            </w:pPr>
            <w:r w:rsidRPr="00777074">
              <w:rPr>
                <w:rFonts w:cstheme="minorHAnsi"/>
                <w:noProof/>
                <w:szCs w:val="24"/>
              </w:rPr>
              <w:t>Iran (Islamic Rep. of)</w:t>
            </w:r>
          </w:p>
        </w:tc>
        <w:tc>
          <w:tcPr>
            <w:tcW w:w="1663" w:type="dxa"/>
            <w:vAlign w:val="center"/>
          </w:tcPr>
          <w:p w14:paraId="3656A128" w14:textId="4B5CBA16" w:rsidR="00594304" w:rsidRPr="00777074" w:rsidRDefault="00594304" w:rsidP="009521AC">
            <w:pPr>
              <w:spacing w:before="0"/>
              <w:rPr>
                <w:rFonts w:cstheme="minorHAnsi"/>
                <w:noProof/>
                <w:szCs w:val="24"/>
              </w:rPr>
            </w:pPr>
            <w:r w:rsidRPr="00777074">
              <w:rPr>
                <w:rFonts w:cstheme="minorHAnsi"/>
                <w:noProof/>
                <w:szCs w:val="24"/>
              </w:rPr>
              <w:t>Chairman</w:t>
            </w:r>
            <w:r w:rsidR="00F0657E">
              <w:rPr>
                <w:rFonts w:cstheme="minorHAnsi"/>
                <w:noProof/>
                <w:szCs w:val="24"/>
              </w:rPr>
              <w:t>,</w:t>
            </w:r>
            <w:r w:rsidRPr="00777074">
              <w:rPr>
                <w:rFonts w:cstheme="minorHAnsi"/>
                <w:noProof/>
                <w:szCs w:val="24"/>
              </w:rPr>
              <w:t xml:space="preserve"> SG2</w:t>
            </w:r>
          </w:p>
        </w:tc>
      </w:tr>
      <w:tr w:rsidR="00777074" w:rsidRPr="00777074" w14:paraId="34CE030A" w14:textId="77777777" w:rsidTr="00777074">
        <w:trPr>
          <w:trHeight w:val="397"/>
        </w:trPr>
        <w:tc>
          <w:tcPr>
            <w:tcW w:w="1798" w:type="dxa"/>
            <w:vAlign w:val="center"/>
          </w:tcPr>
          <w:p w14:paraId="7B3B2B4D"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27F9202F" w14:textId="25A84C94" w:rsidR="00594304" w:rsidRPr="00777074" w:rsidRDefault="00F26294" w:rsidP="009521AC">
            <w:pPr>
              <w:spacing w:before="0"/>
              <w:rPr>
                <w:rFonts w:cstheme="minorHAnsi"/>
                <w:noProof/>
                <w:szCs w:val="24"/>
              </w:rPr>
            </w:pPr>
            <w:r w:rsidRPr="00777074">
              <w:rPr>
                <w:rFonts w:cstheme="minorHAnsi"/>
                <w:noProof/>
                <w:szCs w:val="24"/>
              </w:rPr>
              <w:t>Mr Christopher Kipkoech Kemei</w:t>
            </w:r>
          </w:p>
        </w:tc>
        <w:tc>
          <w:tcPr>
            <w:tcW w:w="2465" w:type="dxa"/>
            <w:vAlign w:val="center"/>
          </w:tcPr>
          <w:p w14:paraId="1B54849E" w14:textId="448E84A9" w:rsidR="00594304" w:rsidRPr="00777074" w:rsidRDefault="00F26294" w:rsidP="009521AC">
            <w:pPr>
              <w:spacing w:before="0"/>
              <w:rPr>
                <w:rFonts w:cstheme="minorHAnsi"/>
                <w:noProof/>
                <w:szCs w:val="24"/>
              </w:rPr>
            </w:pPr>
            <w:r w:rsidRPr="00777074">
              <w:rPr>
                <w:rFonts w:cstheme="minorHAnsi"/>
                <w:noProof/>
                <w:szCs w:val="24"/>
              </w:rPr>
              <w:t>Kenya</w:t>
            </w:r>
          </w:p>
        </w:tc>
        <w:tc>
          <w:tcPr>
            <w:tcW w:w="1663" w:type="dxa"/>
            <w:vAlign w:val="center"/>
          </w:tcPr>
          <w:p w14:paraId="14705733" w14:textId="2688F391" w:rsidR="00594304" w:rsidRPr="00777074" w:rsidRDefault="00594304" w:rsidP="009521AC">
            <w:pPr>
              <w:spacing w:before="0"/>
              <w:rPr>
                <w:rFonts w:cstheme="minorHAnsi"/>
                <w:noProof/>
                <w:szCs w:val="24"/>
              </w:rPr>
            </w:pPr>
            <w:r w:rsidRPr="00777074">
              <w:rPr>
                <w:rFonts w:cstheme="minorHAnsi"/>
                <w:noProof/>
                <w:szCs w:val="24"/>
              </w:rPr>
              <w:t>AFR</w:t>
            </w:r>
          </w:p>
        </w:tc>
      </w:tr>
      <w:tr w:rsidR="00777074" w:rsidRPr="00777074" w14:paraId="6FA496E8" w14:textId="77777777" w:rsidTr="00777074">
        <w:trPr>
          <w:trHeight w:val="397"/>
        </w:trPr>
        <w:tc>
          <w:tcPr>
            <w:tcW w:w="1798" w:type="dxa"/>
            <w:vAlign w:val="center"/>
          </w:tcPr>
          <w:p w14:paraId="5E57635C"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598B9A42" w14:textId="2A841865" w:rsidR="00594304" w:rsidRPr="00777074" w:rsidRDefault="00706F6E" w:rsidP="009521AC">
            <w:pPr>
              <w:spacing w:before="0"/>
              <w:rPr>
                <w:rFonts w:cstheme="minorHAnsi"/>
                <w:noProof/>
                <w:szCs w:val="24"/>
              </w:rPr>
            </w:pPr>
            <w:r w:rsidRPr="00777074">
              <w:rPr>
                <w:rFonts w:cstheme="minorHAnsi"/>
                <w:noProof/>
                <w:szCs w:val="24"/>
              </w:rPr>
              <w:t>Mr Abdulkarim Ayopo Oloyede</w:t>
            </w:r>
          </w:p>
        </w:tc>
        <w:tc>
          <w:tcPr>
            <w:tcW w:w="2465" w:type="dxa"/>
            <w:vAlign w:val="center"/>
          </w:tcPr>
          <w:p w14:paraId="5BA9CE03" w14:textId="28A89BBB" w:rsidR="00594304" w:rsidRPr="00777074" w:rsidRDefault="00706F6E" w:rsidP="009521AC">
            <w:pPr>
              <w:spacing w:before="0"/>
              <w:rPr>
                <w:rFonts w:cstheme="minorHAnsi"/>
                <w:noProof/>
                <w:szCs w:val="24"/>
              </w:rPr>
            </w:pPr>
            <w:r w:rsidRPr="00777074">
              <w:rPr>
                <w:rFonts w:cstheme="minorHAnsi"/>
                <w:noProof/>
                <w:szCs w:val="24"/>
              </w:rPr>
              <w:t>Nigeria</w:t>
            </w:r>
          </w:p>
        </w:tc>
        <w:tc>
          <w:tcPr>
            <w:tcW w:w="1663" w:type="dxa"/>
            <w:vAlign w:val="center"/>
          </w:tcPr>
          <w:p w14:paraId="1C51227B" w14:textId="5CA6D122" w:rsidR="00594304" w:rsidRPr="00777074" w:rsidRDefault="00594304" w:rsidP="009521AC">
            <w:pPr>
              <w:spacing w:before="0"/>
              <w:rPr>
                <w:rFonts w:cstheme="minorHAnsi"/>
                <w:noProof/>
                <w:szCs w:val="24"/>
              </w:rPr>
            </w:pPr>
            <w:r w:rsidRPr="00777074">
              <w:rPr>
                <w:rFonts w:cstheme="minorHAnsi"/>
                <w:noProof/>
                <w:szCs w:val="24"/>
              </w:rPr>
              <w:t>AFR</w:t>
            </w:r>
          </w:p>
        </w:tc>
      </w:tr>
      <w:tr w:rsidR="00777074" w:rsidRPr="00777074" w14:paraId="4A96A0C3" w14:textId="77777777" w:rsidTr="00777074">
        <w:trPr>
          <w:trHeight w:val="397"/>
        </w:trPr>
        <w:tc>
          <w:tcPr>
            <w:tcW w:w="1798" w:type="dxa"/>
            <w:vAlign w:val="center"/>
          </w:tcPr>
          <w:p w14:paraId="183E3466"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256CF91C" w14:textId="676B21E2" w:rsidR="00594304" w:rsidRPr="00777074" w:rsidRDefault="000144F1" w:rsidP="009521AC">
            <w:pPr>
              <w:spacing w:before="0"/>
              <w:rPr>
                <w:rFonts w:cstheme="minorHAnsi"/>
                <w:noProof/>
                <w:szCs w:val="24"/>
              </w:rPr>
            </w:pPr>
            <w:r w:rsidRPr="00777074">
              <w:rPr>
                <w:rFonts w:cstheme="minorHAnsi"/>
                <w:noProof/>
                <w:szCs w:val="24"/>
              </w:rPr>
              <w:t>Mr Nicolás Ernesto Karavaski</w:t>
            </w:r>
          </w:p>
        </w:tc>
        <w:tc>
          <w:tcPr>
            <w:tcW w:w="2465" w:type="dxa"/>
            <w:vAlign w:val="center"/>
          </w:tcPr>
          <w:p w14:paraId="609D68A8" w14:textId="09B4C500" w:rsidR="00594304" w:rsidRPr="00777074" w:rsidRDefault="00594304" w:rsidP="009521AC">
            <w:pPr>
              <w:spacing w:before="0"/>
              <w:rPr>
                <w:rFonts w:cstheme="minorHAnsi"/>
                <w:noProof/>
                <w:szCs w:val="24"/>
              </w:rPr>
            </w:pPr>
            <w:r w:rsidRPr="00777074">
              <w:rPr>
                <w:rFonts w:cstheme="minorHAnsi"/>
                <w:noProof/>
                <w:szCs w:val="24"/>
              </w:rPr>
              <w:t>Argentina</w:t>
            </w:r>
          </w:p>
        </w:tc>
        <w:tc>
          <w:tcPr>
            <w:tcW w:w="1663" w:type="dxa"/>
            <w:vAlign w:val="center"/>
          </w:tcPr>
          <w:p w14:paraId="11C4EBCC" w14:textId="1EB465DE" w:rsidR="00594304" w:rsidRPr="00777074" w:rsidRDefault="00594304" w:rsidP="009521AC">
            <w:pPr>
              <w:spacing w:before="0"/>
              <w:rPr>
                <w:rFonts w:cstheme="minorHAnsi"/>
                <w:noProof/>
                <w:szCs w:val="24"/>
              </w:rPr>
            </w:pPr>
            <w:r w:rsidRPr="00777074">
              <w:rPr>
                <w:rFonts w:cstheme="minorHAnsi"/>
                <w:noProof/>
                <w:szCs w:val="24"/>
              </w:rPr>
              <w:t>AMS</w:t>
            </w:r>
          </w:p>
        </w:tc>
      </w:tr>
      <w:tr w:rsidR="00777074" w:rsidRPr="00777074" w14:paraId="134527A6" w14:textId="77777777" w:rsidTr="00777074">
        <w:trPr>
          <w:trHeight w:val="397"/>
        </w:trPr>
        <w:tc>
          <w:tcPr>
            <w:tcW w:w="1798" w:type="dxa"/>
            <w:vAlign w:val="center"/>
          </w:tcPr>
          <w:p w14:paraId="0FA246C3"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5F816C39" w14:textId="32E84FEF" w:rsidR="00594304" w:rsidRPr="00777074" w:rsidRDefault="000144F1" w:rsidP="009521AC">
            <w:pPr>
              <w:spacing w:before="0"/>
              <w:rPr>
                <w:rFonts w:cstheme="minorHAnsi"/>
                <w:noProof/>
                <w:szCs w:val="24"/>
                <w:lang w:val="es-ES_tradnl"/>
              </w:rPr>
            </w:pPr>
            <w:r w:rsidRPr="00777074">
              <w:rPr>
                <w:rStyle w:val="Strong"/>
                <w:rFonts w:cstheme="minorHAnsi"/>
                <w:b w:val="0"/>
                <w:bCs w:val="0"/>
                <w:szCs w:val="24"/>
                <w:bdr w:val="none" w:sz="0" w:space="0" w:color="auto" w:frame="1"/>
              </w:rPr>
              <w:t>Mr Neil Checo Valera </w:t>
            </w:r>
          </w:p>
        </w:tc>
        <w:tc>
          <w:tcPr>
            <w:tcW w:w="2465" w:type="dxa"/>
            <w:vAlign w:val="center"/>
          </w:tcPr>
          <w:p w14:paraId="0321A831" w14:textId="03FB63CF" w:rsidR="00594304" w:rsidRPr="00777074" w:rsidRDefault="0025740B" w:rsidP="009521AC">
            <w:pPr>
              <w:spacing w:before="0"/>
              <w:rPr>
                <w:rFonts w:cstheme="minorHAnsi"/>
                <w:noProof/>
                <w:szCs w:val="24"/>
              </w:rPr>
            </w:pPr>
            <w:r w:rsidRPr="00777074">
              <w:rPr>
                <w:rFonts w:cstheme="minorHAnsi"/>
                <w:szCs w:val="24"/>
              </w:rPr>
              <w:t>Dominican Republic</w:t>
            </w:r>
          </w:p>
        </w:tc>
        <w:tc>
          <w:tcPr>
            <w:tcW w:w="1663" w:type="dxa"/>
            <w:vAlign w:val="center"/>
          </w:tcPr>
          <w:p w14:paraId="3D3E1F57" w14:textId="62BBD653" w:rsidR="00594304" w:rsidRPr="00777074" w:rsidRDefault="00594304" w:rsidP="009521AC">
            <w:pPr>
              <w:spacing w:before="0"/>
              <w:rPr>
                <w:rFonts w:cstheme="minorHAnsi"/>
                <w:noProof/>
                <w:szCs w:val="24"/>
              </w:rPr>
            </w:pPr>
            <w:r w:rsidRPr="00777074">
              <w:rPr>
                <w:rFonts w:cstheme="minorHAnsi"/>
                <w:noProof/>
                <w:szCs w:val="24"/>
              </w:rPr>
              <w:t>AMS</w:t>
            </w:r>
          </w:p>
        </w:tc>
      </w:tr>
      <w:tr w:rsidR="00777074" w:rsidRPr="00777074" w14:paraId="095EB955" w14:textId="77777777" w:rsidTr="00777074">
        <w:trPr>
          <w:trHeight w:val="397"/>
        </w:trPr>
        <w:tc>
          <w:tcPr>
            <w:tcW w:w="1798" w:type="dxa"/>
            <w:vAlign w:val="center"/>
          </w:tcPr>
          <w:p w14:paraId="5F0ECA05"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5568FCEE" w14:textId="56C79E41" w:rsidR="00594304" w:rsidRPr="00777074" w:rsidRDefault="00594304" w:rsidP="009521AC">
            <w:pPr>
              <w:spacing w:before="0"/>
              <w:rPr>
                <w:rFonts w:cstheme="minorHAnsi"/>
                <w:noProof/>
                <w:szCs w:val="24"/>
                <w:lang w:val="es-ES_tradnl"/>
              </w:rPr>
            </w:pPr>
            <w:r w:rsidRPr="00777074">
              <w:rPr>
                <w:rFonts w:cstheme="minorHAnsi"/>
                <w:noProof/>
                <w:szCs w:val="24"/>
                <w:lang w:val="es-ES_tradnl"/>
              </w:rPr>
              <w:t xml:space="preserve">Mr Al-Ansari </w:t>
            </w:r>
            <w:r w:rsidR="00634AA0" w:rsidRPr="00777074">
              <w:rPr>
                <w:rFonts w:cstheme="minorHAnsi"/>
                <w:noProof/>
                <w:szCs w:val="24"/>
                <w:lang w:val="es-ES_tradnl"/>
              </w:rPr>
              <w:t>Almashakbeh</w:t>
            </w:r>
          </w:p>
        </w:tc>
        <w:tc>
          <w:tcPr>
            <w:tcW w:w="2465" w:type="dxa"/>
            <w:vAlign w:val="center"/>
          </w:tcPr>
          <w:p w14:paraId="37BC0B81" w14:textId="22F51609" w:rsidR="00594304" w:rsidRPr="00777074" w:rsidRDefault="00594304" w:rsidP="009521AC">
            <w:pPr>
              <w:spacing w:before="0"/>
              <w:rPr>
                <w:rFonts w:cstheme="minorHAnsi"/>
                <w:noProof/>
                <w:szCs w:val="24"/>
              </w:rPr>
            </w:pPr>
            <w:r w:rsidRPr="00777074">
              <w:rPr>
                <w:rFonts w:cstheme="minorHAnsi"/>
                <w:noProof/>
                <w:szCs w:val="24"/>
              </w:rPr>
              <w:t>Jordan</w:t>
            </w:r>
          </w:p>
        </w:tc>
        <w:tc>
          <w:tcPr>
            <w:tcW w:w="1663" w:type="dxa"/>
            <w:vAlign w:val="center"/>
          </w:tcPr>
          <w:p w14:paraId="441233EC" w14:textId="3C6FAAB7" w:rsidR="00594304" w:rsidRPr="00777074" w:rsidRDefault="00594304" w:rsidP="009521AC">
            <w:pPr>
              <w:spacing w:before="0"/>
              <w:rPr>
                <w:rFonts w:cstheme="minorHAnsi"/>
                <w:noProof/>
                <w:szCs w:val="24"/>
              </w:rPr>
            </w:pPr>
            <w:r w:rsidRPr="00777074">
              <w:rPr>
                <w:rFonts w:cstheme="minorHAnsi"/>
                <w:noProof/>
                <w:szCs w:val="24"/>
              </w:rPr>
              <w:t>ARB</w:t>
            </w:r>
          </w:p>
        </w:tc>
      </w:tr>
      <w:tr w:rsidR="00777074" w:rsidRPr="00777074" w14:paraId="2CFA0BA5" w14:textId="77777777" w:rsidTr="00777074">
        <w:trPr>
          <w:trHeight w:val="397"/>
        </w:trPr>
        <w:tc>
          <w:tcPr>
            <w:tcW w:w="1798" w:type="dxa"/>
            <w:vAlign w:val="center"/>
          </w:tcPr>
          <w:p w14:paraId="11F8A821"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0B56C0F3" w14:textId="13FFC9D9" w:rsidR="00594304" w:rsidRPr="00777074" w:rsidRDefault="00634AA0" w:rsidP="009521AC">
            <w:pPr>
              <w:spacing w:before="0"/>
              <w:rPr>
                <w:rFonts w:cstheme="minorHAnsi"/>
                <w:noProof/>
                <w:szCs w:val="24"/>
              </w:rPr>
            </w:pPr>
            <w:r w:rsidRPr="00777074">
              <w:rPr>
                <w:rStyle w:val="Strong"/>
                <w:rFonts w:cstheme="minorHAnsi"/>
                <w:b w:val="0"/>
                <w:bCs w:val="0"/>
                <w:szCs w:val="24"/>
                <w:bdr w:val="none" w:sz="0" w:space="0" w:color="auto" w:frame="1"/>
              </w:rPr>
              <w:t>Mr Tariq H Alamri</w:t>
            </w:r>
          </w:p>
        </w:tc>
        <w:tc>
          <w:tcPr>
            <w:tcW w:w="2465" w:type="dxa"/>
            <w:vAlign w:val="center"/>
          </w:tcPr>
          <w:p w14:paraId="1A34DE48" w14:textId="065674E2" w:rsidR="00594304" w:rsidRPr="00777074" w:rsidRDefault="00871A3A" w:rsidP="009521AC">
            <w:pPr>
              <w:spacing w:before="0" w:after="60"/>
              <w:ind w:right="-113"/>
              <w:rPr>
                <w:rFonts w:cstheme="minorHAnsi"/>
                <w:noProof/>
                <w:szCs w:val="24"/>
              </w:rPr>
            </w:pPr>
            <w:r w:rsidRPr="00777074">
              <w:rPr>
                <w:rFonts w:cstheme="minorHAnsi"/>
                <w:szCs w:val="24"/>
              </w:rPr>
              <w:t>Saudi Arabia</w:t>
            </w:r>
          </w:p>
        </w:tc>
        <w:tc>
          <w:tcPr>
            <w:tcW w:w="1663" w:type="dxa"/>
            <w:vAlign w:val="center"/>
          </w:tcPr>
          <w:p w14:paraId="794025E0" w14:textId="52E0513F" w:rsidR="00594304" w:rsidRPr="00777074" w:rsidRDefault="00594304" w:rsidP="009521AC">
            <w:pPr>
              <w:spacing w:before="0"/>
              <w:rPr>
                <w:rFonts w:cstheme="minorHAnsi"/>
                <w:noProof/>
                <w:szCs w:val="24"/>
              </w:rPr>
            </w:pPr>
            <w:r w:rsidRPr="00777074">
              <w:rPr>
                <w:rFonts w:cstheme="minorHAnsi"/>
                <w:noProof/>
                <w:szCs w:val="24"/>
              </w:rPr>
              <w:t>ARB</w:t>
            </w:r>
          </w:p>
        </w:tc>
      </w:tr>
      <w:tr w:rsidR="00777074" w:rsidRPr="00777074" w14:paraId="27A2A7B4" w14:textId="77777777" w:rsidTr="00777074">
        <w:trPr>
          <w:trHeight w:val="397"/>
        </w:trPr>
        <w:tc>
          <w:tcPr>
            <w:tcW w:w="1798" w:type="dxa"/>
            <w:vAlign w:val="center"/>
          </w:tcPr>
          <w:p w14:paraId="0F9D89CB"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29BBE3D9" w14:textId="39B8DD54" w:rsidR="00594304" w:rsidRPr="00777074" w:rsidRDefault="00594304" w:rsidP="009521AC">
            <w:pPr>
              <w:spacing w:before="0"/>
              <w:rPr>
                <w:rFonts w:cstheme="minorHAnsi"/>
                <w:noProof/>
                <w:szCs w:val="24"/>
              </w:rPr>
            </w:pPr>
            <w:r w:rsidRPr="00777074">
              <w:rPr>
                <w:rFonts w:cstheme="minorHAnsi"/>
                <w:noProof/>
                <w:szCs w:val="24"/>
              </w:rPr>
              <w:t>Mr Kishore Babu</w:t>
            </w:r>
            <w:r w:rsidR="00CE0F54" w:rsidRPr="00777074">
              <w:rPr>
                <w:rFonts w:cstheme="minorHAnsi"/>
                <w:noProof/>
                <w:szCs w:val="24"/>
              </w:rPr>
              <w:t>Mr Kishore Babu GSC Yerraballa</w:t>
            </w:r>
          </w:p>
        </w:tc>
        <w:tc>
          <w:tcPr>
            <w:tcW w:w="2465" w:type="dxa"/>
            <w:vAlign w:val="center"/>
          </w:tcPr>
          <w:p w14:paraId="2820D107" w14:textId="2485716F" w:rsidR="00594304" w:rsidRPr="00777074" w:rsidRDefault="00594304" w:rsidP="009521AC">
            <w:pPr>
              <w:spacing w:before="0"/>
              <w:rPr>
                <w:rFonts w:cstheme="minorHAnsi"/>
                <w:noProof/>
                <w:szCs w:val="24"/>
              </w:rPr>
            </w:pPr>
            <w:r w:rsidRPr="00777074">
              <w:rPr>
                <w:rFonts w:cstheme="minorHAnsi"/>
                <w:noProof/>
                <w:szCs w:val="24"/>
              </w:rPr>
              <w:t>India</w:t>
            </w:r>
          </w:p>
        </w:tc>
        <w:tc>
          <w:tcPr>
            <w:tcW w:w="1663" w:type="dxa"/>
            <w:vAlign w:val="center"/>
          </w:tcPr>
          <w:p w14:paraId="0DFFC12E" w14:textId="4C423F5B" w:rsidR="00594304" w:rsidRPr="00777074" w:rsidRDefault="00594304" w:rsidP="009521AC">
            <w:pPr>
              <w:spacing w:before="0"/>
              <w:rPr>
                <w:rFonts w:cstheme="minorHAnsi"/>
                <w:noProof/>
                <w:szCs w:val="24"/>
              </w:rPr>
            </w:pPr>
            <w:r w:rsidRPr="00777074">
              <w:rPr>
                <w:rFonts w:cstheme="minorHAnsi"/>
                <w:noProof/>
                <w:szCs w:val="24"/>
              </w:rPr>
              <w:t>ASP</w:t>
            </w:r>
          </w:p>
        </w:tc>
      </w:tr>
      <w:tr w:rsidR="00777074" w:rsidRPr="00777074" w14:paraId="7AC5E75B" w14:textId="77777777" w:rsidTr="00777074">
        <w:trPr>
          <w:trHeight w:val="397"/>
        </w:trPr>
        <w:tc>
          <w:tcPr>
            <w:tcW w:w="1798" w:type="dxa"/>
            <w:vAlign w:val="center"/>
          </w:tcPr>
          <w:p w14:paraId="26085B64"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29A6CB3E" w14:textId="3DCEB667" w:rsidR="00594304" w:rsidRPr="00777074" w:rsidRDefault="007E4A96" w:rsidP="009521AC">
            <w:pPr>
              <w:spacing w:before="0"/>
              <w:rPr>
                <w:rFonts w:cstheme="minorHAnsi"/>
                <w:noProof/>
                <w:szCs w:val="24"/>
              </w:rPr>
            </w:pPr>
            <w:r w:rsidRPr="00777074">
              <w:rPr>
                <w:rFonts w:cstheme="minorHAnsi"/>
                <w:noProof/>
                <w:szCs w:val="24"/>
              </w:rPr>
              <w:t>Ms Aichurok Maralbek Kyzy</w:t>
            </w:r>
          </w:p>
        </w:tc>
        <w:tc>
          <w:tcPr>
            <w:tcW w:w="2465" w:type="dxa"/>
            <w:vAlign w:val="center"/>
          </w:tcPr>
          <w:p w14:paraId="7ECFE109" w14:textId="2EAB58D8" w:rsidR="00594304" w:rsidRPr="00777074" w:rsidRDefault="007E4A96" w:rsidP="00005061">
            <w:pPr>
              <w:spacing w:before="0"/>
              <w:rPr>
                <w:rFonts w:cstheme="minorHAnsi"/>
                <w:noProof/>
                <w:szCs w:val="24"/>
              </w:rPr>
            </w:pPr>
            <w:r w:rsidRPr="00777074">
              <w:rPr>
                <w:rStyle w:val="ms-rtethemeforecolor-2-0"/>
                <w:rFonts w:cstheme="minorHAnsi"/>
                <w:szCs w:val="24"/>
                <w:bdr w:val="none" w:sz="0" w:space="0" w:color="auto" w:frame="1"/>
              </w:rPr>
              <w:t>Kyrgyz Republic</w:t>
            </w:r>
          </w:p>
        </w:tc>
        <w:tc>
          <w:tcPr>
            <w:tcW w:w="1663" w:type="dxa"/>
            <w:vAlign w:val="center"/>
          </w:tcPr>
          <w:p w14:paraId="07F91C78" w14:textId="13A1EEE1" w:rsidR="00594304" w:rsidRPr="00777074" w:rsidRDefault="007E4A96" w:rsidP="009521AC">
            <w:pPr>
              <w:spacing w:before="0"/>
              <w:rPr>
                <w:rFonts w:cstheme="minorHAnsi"/>
                <w:noProof/>
                <w:szCs w:val="24"/>
              </w:rPr>
            </w:pPr>
            <w:r w:rsidRPr="00777074">
              <w:rPr>
                <w:rFonts w:cstheme="minorHAnsi"/>
                <w:noProof/>
                <w:szCs w:val="24"/>
              </w:rPr>
              <w:t>CIS</w:t>
            </w:r>
          </w:p>
        </w:tc>
      </w:tr>
      <w:tr w:rsidR="00777074" w:rsidRPr="00777074" w14:paraId="33C079BB" w14:textId="77777777" w:rsidTr="00777074">
        <w:trPr>
          <w:trHeight w:val="397"/>
        </w:trPr>
        <w:tc>
          <w:tcPr>
            <w:tcW w:w="1798" w:type="dxa"/>
            <w:vAlign w:val="center"/>
          </w:tcPr>
          <w:p w14:paraId="15497E01"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3F73AE3A" w14:textId="4655D9B9" w:rsidR="00594304" w:rsidRPr="00777074" w:rsidRDefault="007E4A96" w:rsidP="009521AC">
            <w:pPr>
              <w:spacing w:before="0"/>
              <w:rPr>
                <w:rFonts w:cstheme="minorHAnsi"/>
                <w:noProof/>
                <w:szCs w:val="24"/>
              </w:rPr>
            </w:pPr>
            <w:r w:rsidRPr="00777074">
              <w:rPr>
                <w:rStyle w:val="Strong"/>
                <w:rFonts w:cstheme="minorHAnsi"/>
                <w:b w:val="0"/>
                <w:bCs w:val="0"/>
                <w:szCs w:val="24"/>
                <w:bdr w:val="none" w:sz="0" w:space="0" w:color="auto" w:frame="1"/>
              </w:rPr>
              <w:t xml:space="preserve">Mr </w:t>
            </w:r>
            <w:proofErr w:type="spellStart"/>
            <w:r w:rsidRPr="00777074">
              <w:rPr>
                <w:rStyle w:val="Strong"/>
                <w:rFonts w:cstheme="minorHAnsi"/>
                <w:b w:val="0"/>
                <w:bCs w:val="0"/>
                <w:szCs w:val="24"/>
                <w:bdr w:val="none" w:sz="0" w:space="0" w:color="auto" w:frame="1"/>
              </w:rPr>
              <w:t>Arseny</w:t>
            </w:r>
            <w:proofErr w:type="spellEnd"/>
            <w:r w:rsidRPr="00777074">
              <w:rPr>
                <w:rStyle w:val="Strong"/>
                <w:rFonts w:cstheme="minorHAnsi"/>
                <w:b w:val="0"/>
                <w:bCs w:val="0"/>
                <w:szCs w:val="24"/>
                <w:bdr w:val="none" w:sz="0" w:space="0" w:color="auto" w:frame="1"/>
              </w:rPr>
              <w:t xml:space="preserve"> </w:t>
            </w:r>
            <w:proofErr w:type="spellStart"/>
            <w:r w:rsidRPr="00777074">
              <w:rPr>
                <w:rStyle w:val="Strong"/>
                <w:rFonts w:cstheme="minorHAnsi"/>
                <w:b w:val="0"/>
                <w:bCs w:val="0"/>
                <w:szCs w:val="24"/>
                <w:bdr w:val="none" w:sz="0" w:space="0" w:color="auto" w:frame="1"/>
              </w:rPr>
              <w:t>Plossky</w:t>
            </w:r>
            <w:proofErr w:type="spellEnd"/>
          </w:p>
        </w:tc>
        <w:tc>
          <w:tcPr>
            <w:tcW w:w="2465" w:type="dxa"/>
            <w:vAlign w:val="center"/>
          </w:tcPr>
          <w:p w14:paraId="53EFB3F2" w14:textId="668E5995" w:rsidR="00594304" w:rsidRPr="00777074" w:rsidRDefault="00DE6030" w:rsidP="009521AC">
            <w:pPr>
              <w:spacing w:before="0"/>
              <w:rPr>
                <w:rFonts w:cstheme="minorHAnsi"/>
                <w:noProof/>
                <w:szCs w:val="24"/>
              </w:rPr>
            </w:pPr>
            <w:r w:rsidRPr="00777074">
              <w:rPr>
                <w:rFonts w:cstheme="minorHAnsi"/>
                <w:szCs w:val="24"/>
              </w:rPr>
              <w:t>Russian Federation</w:t>
            </w:r>
          </w:p>
        </w:tc>
        <w:tc>
          <w:tcPr>
            <w:tcW w:w="1663" w:type="dxa"/>
            <w:vAlign w:val="center"/>
          </w:tcPr>
          <w:p w14:paraId="2DD732B1" w14:textId="610FCD0A" w:rsidR="00594304" w:rsidRPr="00777074" w:rsidRDefault="00594304" w:rsidP="009521AC">
            <w:pPr>
              <w:spacing w:before="0"/>
              <w:rPr>
                <w:rFonts w:cstheme="minorHAnsi"/>
                <w:noProof/>
                <w:szCs w:val="24"/>
              </w:rPr>
            </w:pPr>
            <w:r w:rsidRPr="00777074">
              <w:rPr>
                <w:rFonts w:cstheme="minorHAnsi"/>
                <w:noProof/>
                <w:szCs w:val="24"/>
              </w:rPr>
              <w:t>CIS</w:t>
            </w:r>
          </w:p>
        </w:tc>
      </w:tr>
      <w:tr w:rsidR="00777074" w:rsidRPr="00777074" w14:paraId="2197DFC1" w14:textId="77777777" w:rsidTr="00777074">
        <w:trPr>
          <w:trHeight w:val="397"/>
        </w:trPr>
        <w:tc>
          <w:tcPr>
            <w:tcW w:w="1798" w:type="dxa"/>
            <w:vAlign w:val="center"/>
          </w:tcPr>
          <w:p w14:paraId="7A0AD512"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0C9D0116" w14:textId="38534566" w:rsidR="00594304" w:rsidRPr="00777074" w:rsidRDefault="00DE6030" w:rsidP="009521AC">
            <w:pPr>
              <w:spacing w:before="0"/>
              <w:rPr>
                <w:rFonts w:cstheme="minorHAnsi"/>
                <w:noProof/>
                <w:szCs w:val="24"/>
              </w:rPr>
            </w:pPr>
            <w:r w:rsidRPr="00777074">
              <w:rPr>
                <w:rFonts w:cstheme="minorHAnsi"/>
                <w:noProof/>
                <w:szCs w:val="24"/>
              </w:rPr>
              <w:t>Mr Wim Rullens</w:t>
            </w:r>
          </w:p>
        </w:tc>
        <w:tc>
          <w:tcPr>
            <w:tcW w:w="2465" w:type="dxa"/>
            <w:vAlign w:val="center"/>
          </w:tcPr>
          <w:p w14:paraId="7E3F720B" w14:textId="6D9A2CB3" w:rsidR="00594304" w:rsidRPr="00777074" w:rsidRDefault="00DE6030" w:rsidP="009521AC">
            <w:pPr>
              <w:spacing w:before="0"/>
              <w:rPr>
                <w:rFonts w:cstheme="minorHAnsi"/>
                <w:noProof/>
                <w:szCs w:val="24"/>
              </w:rPr>
            </w:pPr>
            <w:r w:rsidRPr="00777074">
              <w:rPr>
                <w:rFonts w:cstheme="minorHAnsi"/>
                <w:noProof/>
                <w:szCs w:val="24"/>
              </w:rPr>
              <w:t>Netherlands</w:t>
            </w:r>
          </w:p>
        </w:tc>
        <w:tc>
          <w:tcPr>
            <w:tcW w:w="1663" w:type="dxa"/>
            <w:vAlign w:val="center"/>
          </w:tcPr>
          <w:p w14:paraId="63071405" w14:textId="4EB1B647" w:rsidR="00594304" w:rsidRPr="00777074" w:rsidRDefault="00DE6030" w:rsidP="009521AC">
            <w:pPr>
              <w:spacing w:before="0"/>
              <w:rPr>
                <w:rFonts w:cstheme="minorHAnsi"/>
                <w:noProof/>
                <w:szCs w:val="24"/>
              </w:rPr>
            </w:pPr>
            <w:r w:rsidRPr="00777074">
              <w:rPr>
                <w:rFonts w:cstheme="minorHAnsi"/>
                <w:noProof/>
                <w:szCs w:val="24"/>
              </w:rPr>
              <w:t>EUR</w:t>
            </w:r>
          </w:p>
        </w:tc>
      </w:tr>
      <w:tr w:rsidR="00777074" w:rsidRPr="00777074" w14:paraId="391ADAEB" w14:textId="77777777" w:rsidTr="00777074">
        <w:trPr>
          <w:trHeight w:val="397"/>
        </w:trPr>
        <w:tc>
          <w:tcPr>
            <w:tcW w:w="1798" w:type="dxa"/>
            <w:vAlign w:val="center"/>
          </w:tcPr>
          <w:p w14:paraId="5A6FC415" w14:textId="77777777" w:rsidR="00594304" w:rsidRPr="00777074" w:rsidRDefault="00594304" w:rsidP="009521AC">
            <w:pPr>
              <w:spacing w:before="0"/>
              <w:rPr>
                <w:rFonts w:cstheme="minorHAnsi"/>
                <w:noProof/>
                <w:szCs w:val="24"/>
              </w:rPr>
            </w:pPr>
            <w:r w:rsidRPr="00777074">
              <w:rPr>
                <w:rFonts w:cstheme="minorHAnsi"/>
                <w:noProof/>
                <w:szCs w:val="24"/>
              </w:rPr>
              <w:t>Vice-Chairman</w:t>
            </w:r>
          </w:p>
        </w:tc>
        <w:tc>
          <w:tcPr>
            <w:tcW w:w="3283" w:type="dxa"/>
            <w:vAlign w:val="center"/>
          </w:tcPr>
          <w:p w14:paraId="0CC232B9" w14:textId="52EACF5B" w:rsidR="00594304" w:rsidRPr="00777074" w:rsidRDefault="00777074" w:rsidP="009521AC">
            <w:pPr>
              <w:spacing w:before="0"/>
              <w:rPr>
                <w:rFonts w:cstheme="minorHAnsi"/>
                <w:noProof/>
                <w:szCs w:val="24"/>
              </w:rPr>
            </w:pPr>
            <w:r w:rsidRPr="00777074">
              <w:rPr>
                <w:rStyle w:val="Strong"/>
                <w:rFonts w:cstheme="minorHAnsi"/>
                <w:b w:val="0"/>
                <w:bCs w:val="0"/>
                <w:szCs w:val="24"/>
                <w:bdr w:val="none" w:sz="0" w:space="0" w:color="auto" w:frame="1"/>
              </w:rPr>
              <w:t>Ms Blanca González</w:t>
            </w:r>
          </w:p>
        </w:tc>
        <w:tc>
          <w:tcPr>
            <w:tcW w:w="2465" w:type="dxa"/>
            <w:vAlign w:val="center"/>
          </w:tcPr>
          <w:p w14:paraId="11209590" w14:textId="37E1D359" w:rsidR="00594304" w:rsidRPr="00777074" w:rsidRDefault="00777074" w:rsidP="009521AC">
            <w:pPr>
              <w:spacing w:before="0"/>
              <w:rPr>
                <w:rFonts w:cstheme="minorHAnsi"/>
                <w:noProof/>
                <w:szCs w:val="24"/>
              </w:rPr>
            </w:pPr>
            <w:r w:rsidRPr="00777074">
              <w:rPr>
                <w:rFonts w:cstheme="minorHAnsi"/>
                <w:noProof/>
                <w:szCs w:val="24"/>
              </w:rPr>
              <w:t>Spain</w:t>
            </w:r>
          </w:p>
        </w:tc>
        <w:tc>
          <w:tcPr>
            <w:tcW w:w="1663" w:type="dxa"/>
            <w:vAlign w:val="center"/>
          </w:tcPr>
          <w:p w14:paraId="2A166B30" w14:textId="0B5435D6" w:rsidR="00594304" w:rsidRPr="00777074" w:rsidRDefault="00594304" w:rsidP="009521AC">
            <w:pPr>
              <w:spacing w:before="0"/>
              <w:rPr>
                <w:rFonts w:cstheme="minorHAnsi"/>
                <w:noProof/>
                <w:szCs w:val="24"/>
              </w:rPr>
            </w:pPr>
            <w:r w:rsidRPr="00777074">
              <w:rPr>
                <w:rFonts w:cstheme="minorHAnsi"/>
                <w:noProof/>
                <w:szCs w:val="24"/>
              </w:rPr>
              <w:t>EUR</w:t>
            </w:r>
          </w:p>
        </w:tc>
      </w:tr>
    </w:tbl>
    <w:p w14:paraId="2D9A225F" w14:textId="08F020E3" w:rsidR="00741AED" w:rsidRPr="00BC78ED" w:rsidRDefault="00741AED" w:rsidP="00363DA9">
      <w:pPr>
        <w:pStyle w:val="Heading1"/>
        <w:spacing w:before="240"/>
        <w:ind w:left="567" w:hanging="567"/>
      </w:pPr>
      <w:bookmarkStart w:id="15" w:name="_Toc482300237"/>
      <w:bookmarkStart w:id="16" w:name="_Toc85818101"/>
      <w:r w:rsidRPr="00BC78ED">
        <w:t>TDAG Meetings</w:t>
      </w:r>
      <w:bookmarkEnd w:id="15"/>
      <w:bookmarkEnd w:id="16"/>
    </w:p>
    <w:p w14:paraId="0D256DF5" w14:textId="5E1FB565" w:rsidR="007A5D37" w:rsidRDefault="00741AED" w:rsidP="00741AED">
      <w:pPr>
        <w:rPr>
          <w:lang w:val="en-US"/>
        </w:rPr>
      </w:pPr>
      <w:r w:rsidRPr="0019124B">
        <w:rPr>
          <w:lang w:val="en-US"/>
        </w:rPr>
        <w:t xml:space="preserve">TDAG held </w:t>
      </w:r>
      <w:r>
        <w:rPr>
          <w:lang w:val="en-US"/>
        </w:rPr>
        <w:t>three</w:t>
      </w:r>
      <w:r w:rsidRPr="0019124B">
        <w:rPr>
          <w:lang w:val="en-US"/>
        </w:rPr>
        <w:t xml:space="preserve"> meetings during the period covered by this report</w:t>
      </w:r>
      <w:r>
        <w:rPr>
          <w:lang w:val="en-US"/>
        </w:rPr>
        <w:t xml:space="preserve"> </w:t>
      </w:r>
      <w:r>
        <w:t>u</w:t>
      </w:r>
      <w:r w:rsidRPr="00695037">
        <w:t xml:space="preserve">nder the chairmanship of </w:t>
      </w:r>
      <w:r w:rsidR="000D668A">
        <w:t>Roxanne McElvane Webber</w:t>
      </w:r>
      <w:r>
        <w:t xml:space="preserve"> (</w:t>
      </w:r>
      <w:r w:rsidR="000D668A">
        <w:t>United States</w:t>
      </w:r>
      <w:r>
        <w:t>)</w:t>
      </w:r>
      <w:r w:rsidRPr="0019124B">
        <w:rPr>
          <w:lang w:val="en-US"/>
        </w:rPr>
        <w:t xml:space="preserve">. The </w:t>
      </w:r>
      <w:r>
        <w:rPr>
          <w:lang w:val="en-US"/>
        </w:rPr>
        <w:t xml:space="preserve">complete </w:t>
      </w:r>
      <w:r w:rsidRPr="0019124B">
        <w:rPr>
          <w:lang w:val="en-US"/>
        </w:rPr>
        <w:t xml:space="preserve">summary of conclusions of these meetings can be found at: </w:t>
      </w:r>
      <w:hyperlink r:id="rId26" w:history="1">
        <w:r w:rsidRPr="00F123FB">
          <w:rPr>
            <w:rStyle w:val="Hyperlink"/>
            <w:lang w:val="en-US"/>
          </w:rPr>
          <w:t>www.itu.int/ITU-D/tdag/</w:t>
        </w:r>
      </w:hyperlink>
      <w:r>
        <w:rPr>
          <w:lang w:val="en-US"/>
        </w:rPr>
        <w:t xml:space="preserve">. </w:t>
      </w:r>
    </w:p>
    <w:p w14:paraId="396434D6" w14:textId="77777777" w:rsidR="007A5D37" w:rsidRDefault="007A5D37">
      <w:pPr>
        <w:tabs>
          <w:tab w:val="clear" w:pos="1134"/>
          <w:tab w:val="clear" w:pos="1871"/>
          <w:tab w:val="clear" w:pos="2268"/>
        </w:tabs>
        <w:overflowPunct/>
        <w:autoSpaceDE/>
        <w:autoSpaceDN/>
        <w:adjustRightInd/>
        <w:spacing w:before="0"/>
        <w:textAlignment w:val="auto"/>
        <w:rPr>
          <w:lang w:val="en-US"/>
        </w:rPr>
      </w:pPr>
      <w:r>
        <w:rPr>
          <w:lang w:val="en-US"/>
        </w:rPr>
        <w:br w:type="page"/>
      </w:r>
    </w:p>
    <w:p w14:paraId="6FF80281" w14:textId="017EC986" w:rsidR="00741AED" w:rsidRPr="0055628F" w:rsidRDefault="35B3E5F6" w:rsidP="00E45BE1">
      <w:pPr>
        <w:pStyle w:val="Heading2"/>
        <w:keepNext/>
      </w:pPr>
      <w:bookmarkStart w:id="17" w:name="_Toc482300238"/>
      <w:bookmarkStart w:id="18" w:name="_Toc85818102"/>
      <w:r>
        <w:lastRenderedPageBreak/>
        <w:t xml:space="preserve">23rd </w:t>
      </w:r>
      <w:r w:rsidR="112B5E2C">
        <w:t>TDAG Meeting</w:t>
      </w:r>
      <w:bookmarkEnd w:id="17"/>
      <w:bookmarkEnd w:id="18"/>
    </w:p>
    <w:p w14:paraId="076D2BF3" w14:textId="3279D5C7" w:rsidR="009E3A83" w:rsidRPr="009110C1" w:rsidRDefault="357D75B5" w:rsidP="001B769C">
      <w:pPr>
        <w:pStyle w:val="ListParagraph"/>
        <w:numPr>
          <w:ilvl w:val="0"/>
          <w:numId w:val="5"/>
        </w:numPr>
        <w:tabs>
          <w:tab w:val="clear" w:pos="1134"/>
          <w:tab w:val="clear" w:pos="1871"/>
          <w:tab w:val="left" w:pos="426"/>
        </w:tabs>
        <w:ind w:left="0" w:firstLine="0"/>
        <w:rPr>
          <w:rFonts w:cstheme="minorBidi"/>
        </w:rPr>
      </w:pPr>
      <w:r w:rsidRPr="009110C1">
        <w:rPr>
          <w:rFonts w:cstheme="minorBidi"/>
          <w:color w:val="444444"/>
        </w:rPr>
        <w:t>The 23rd meeting of the Telecommunication Development Advisory Group (TDAG) took place from 9 to 11 April 2018 at ITU headquarters in Geneva</w:t>
      </w:r>
      <w:r w:rsidR="35B3E5F6" w:rsidRPr="632A2ABB">
        <w:rPr>
          <w:rFonts w:cstheme="minorBidi"/>
          <w:color w:val="444444"/>
        </w:rPr>
        <w:t>, under the Chairmanship of Ms</w:t>
      </w:r>
      <w:r w:rsidR="00075366">
        <w:rPr>
          <w:rFonts w:cstheme="minorBidi"/>
          <w:color w:val="444444"/>
        </w:rPr>
        <w:t> </w:t>
      </w:r>
      <w:r w:rsidR="35B3E5F6" w:rsidRPr="632A2ABB">
        <w:rPr>
          <w:rFonts w:cstheme="minorBidi"/>
          <w:color w:val="444444"/>
        </w:rPr>
        <w:t>Roxanne McElvane Webber</w:t>
      </w:r>
      <w:r w:rsidRPr="009110C1">
        <w:rPr>
          <w:rFonts w:cstheme="minorBidi"/>
          <w:color w:val="444444"/>
        </w:rPr>
        <w:t>.</w:t>
      </w:r>
    </w:p>
    <w:p w14:paraId="023BACCC" w14:textId="64D1AABD" w:rsidR="009E3A83" w:rsidRPr="009110C1" w:rsidRDefault="009E3A83" w:rsidP="00075366">
      <w:pPr>
        <w:pStyle w:val="NormalWeb"/>
        <w:shd w:val="clear" w:color="auto" w:fill="FFFFFF"/>
        <w:spacing w:before="120" w:beforeAutospacing="0" w:after="0" w:afterAutospacing="0"/>
        <w:textAlignment w:val="baseline"/>
        <w:rPr>
          <w:rFonts w:asciiTheme="minorHAnsi" w:hAnsiTheme="minorHAnsi" w:cstheme="minorHAnsi"/>
          <w:color w:val="444444"/>
        </w:rPr>
      </w:pPr>
      <w:r w:rsidRPr="009110C1">
        <w:rPr>
          <w:rFonts w:asciiTheme="minorHAnsi" w:hAnsiTheme="minorHAnsi" w:cstheme="minorHAnsi"/>
          <w:color w:val="444444"/>
          <w:bdr w:val="none" w:sz="0" w:space="0" w:color="auto" w:frame="1"/>
          <w:shd w:val="clear" w:color="auto" w:fill="FFFFFF"/>
        </w:rPr>
        <w:t>TDAG’s mandate</w:t>
      </w:r>
      <w:r w:rsidR="00075366">
        <w:rPr>
          <w:rFonts w:asciiTheme="minorHAnsi" w:hAnsiTheme="minorHAnsi" w:cstheme="minorHAnsi"/>
          <w:color w:val="444444"/>
          <w:bdr w:val="none" w:sz="0" w:space="0" w:color="auto" w:frame="1"/>
          <w:shd w:val="clear" w:color="auto" w:fill="FFFFFF"/>
        </w:rPr>
        <w:t xml:space="preserve"> </w:t>
      </w:r>
      <w:r w:rsidRPr="009110C1">
        <w:rPr>
          <w:rFonts w:asciiTheme="minorHAnsi" w:hAnsiTheme="minorHAnsi" w:cstheme="minorHAnsi"/>
          <w:color w:val="444444"/>
          <w:bdr w:val="none" w:sz="0" w:space="0" w:color="auto" w:frame="1"/>
          <w:shd w:val="clear" w:color="auto" w:fill="FFFFFF"/>
        </w:rPr>
        <w:t>ranges from reviewing priorities, strategies, operations and financial matters of the Telecommunication Development Sector (ITU-D)</w:t>
      </w:r>
      <w:r w:rsidR="00D401E9">
        <w:rPr>
          <w:rFonts w:asciiTheme="minorHAnsi" w:hAnsiTheme="minorHAnsi" w:cstheme="minorHAnsi"/>
          <w:color w:val="444444"/>
          <w:bdr w:val="none" w:sz="0" w:space="0" w:color="auto" w:frame="1"/>
          <w:shd w:val="clear" w:color="auto" w:fill="FFFFFF"/>
        </w:rPr>
        <w:t>,</w:t>
      </w:r>
      <w:r w:rsidRPr="009110C1">
        <w:rPr>
          <w:rFonts w:asciiTheme="minorHAnsi" w:hAnsiTheme="minorHAnsi" w:cstheme="minorHAnsi"/>
          <w:color w:val="444444"/>
          <w:bdr w:val="none" w:sz="0" w:space="0" w:color="auto" w:frame="1"/>
          <w:shd w:val="clear" w:color="auto" w:fill="FFFFFF"/>
        </w:rPr>
        <w:t xml:space="preserve"> to advising the Director of the Telecommunication Development Bureau (BDT) on the implementation of Action Plans from world telecommunication development conferences (WTDCs).</w:t>
      </w:r>
    </w:p>
    <w:p w14:paraId="4660D0D5" w14:textId="77777777" w:rsidR="009E3A83" w:rsidRPr="009110C1" w:rsidRDefault="009E3A83" w:rsidP="00075366">
      <w:pPr>
        <w:pStyle w:val="NormalWeb"/>
        <w:shd w:val="clear" w:color="auto" w:fill="FFFFFF"/>
        <w:spacing w:before="120" w:beforeAutospacing="0" w:after="0" w:afterAutospacing="0"/>
        <w:textAlignment w:val="baseline"/>
        <w:rPr>
          <w:rFonts w:asciiTheme="minorHAnsi" w:hAnsiTheme="minorHAnsi" w:cstheme="minorHAnsi"/>
          <w:color w:val="444444"/>
        </w:rPr>
      </w:pPr>
      <w:r w:rsidRPr="009110C1">
        <w:rPr>
          <w:rFonts w:asciiTheme="minorHAnsi" w:hAnsiTheme="minorHAnsi" w:cstheme="minorHAnsi"/>
          <w:color w:val="444444"/>
        </w:rPr>
        <w:t>The 23rd meeting of TDAG had a broad agenda as it marked the first TDAG meeting after the </w:t>
      </w:r>
      <w:hyperlink r:id="rId27" w:history="1">
        <w:r w:rsidRPr="009110C1">
          <w:rPr>
            <w:rStyle w:val="Hyperlink"/>
            <w:rFonts w:asciiTheme="minorHAnsi" w:hAnsiTheme="minorHAnsi" w:cstheme="minorHAnsi"/>
            <w:color w:val="3789BD"/>
            <w:bdr w:val="none" w:sz="0" w:space="0" w:color="auto" w:frame="1"/>
          </w:rPr>
          <w:t>World Telecommunication Development Conference 2017 (WTDC-17)</w:t>
        </w:r>
      </w:hyperlink>
      <w:r w:rsidRPr="009110C1">
        <w:rPr>
          <w:rFonts w:asciiTheme="minorHAnsi" w:hAnsiTheme="minorHAnsi" w:cstheme="minorHAnsi"/>
          <w:color w:val="444444"/>
        </w:rPr>
        <w:t>, convened in Buenos Aires, Argentina, from 9 to 20 October 2017.</w:t>
      </w:r>
    </w:p>
    <w:p w14:paraId="0429DAE6" w14:textId="54BF6905" w:rsidR="0015250D" w:rsidRPr="00E45BE1" w:rsidRDefault="68048D7C" w:rsidP="001B769C">
      <w:pPr>
        <w:pStyle w:val="ListParagraph"/>
        <w:keepNext/>
        <w:numPr>
          <w:ilvl w:val="0"/>
          <w:numId w:val="5"/>
        </w:numPr>
        <w:tabs>
          <w:tab w:val="clear" w:pos="1134"/>
          <w:tab w:val="clear" w:pos="1871"/>
          <w:tab w:val="clear" w:pos="2268"/>
          <w:tab w:val="left" w:pos="567"/>
        </w:tabs>
        <w:ind w:left="0" w:firstLine="0"/>
        <w:contextualSpacing w:val="0"/>
        <w:rPr>
          <w:i/>
          <w:iCs/>
        </w:rPr>
      </w:pPr>
      <w:r w:rsidRPr="00E45BE1">
        <w:rPr>
          <w:i/>
          <w:iCs/>
        </w:rPr>
        <w:t>Participants</w:t>
      </w:r>
    </w:p>
    <w:p w14:paraId="4E2CB8E3" w14:textId="2A6A87C9" w:rsidR="0015250D" w:rsidRDefault="54308DEA" w:rsidP="004911CA">
      <w:pPr>
        <w:keepNext/>
      </w:pPr>
      <w:r>
        <w:t xml:space="preserve">The following </w:t>
      </w:r>
      <w:r w:rsidR="10E01DAD">
        <w:t>chart provide</w:t>
      </w:r>
      <w:r w:rsidR="5DCF321C">
        <w:t>s</w:t>
      </w:r>
      <w:r>
        <w:t xml:space="preserve"> the </w:t>
      </w:r>
      <w:r w:rsidR="73B4BD82">
        <w:t>breakdown</w:t>
      </w:r>
      <w:r>
        <w:t xml:space="preserve"> of participants by category:</w:t>
      </w:r>
    </w:p>
    <w:p w14:paraId="5E7BCB66" w14:textId="5A8FFF0F" w:rsidR="006005A3" w:rsidRDefault="74B08F57" w:rsidP="004911CA">
      <w:pPr>
        <w:keepNext/>
        <w:rPr>
          <w:noProof/>
          <w:lang w:val="en-US"/>
        </w:rPr>
      </w:pPr>
      <w:r>
        <w:rPr>
          <w:noProof/>
        </w:rPr>
        <w:drawing>
          <wp:inline distT="0" distB="0" distL="0" distR="0" wp14:anchorId="042361EA" wp14:editId="56C1FC6F">
            <wp:extent cx="5924548" cy="2653705"/>
            <wp:effectExtent l="0" t="0" r="0" b="0"/>
            <wp:docPr id="1199648915" name="Picture 119964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648915"/>
                    <pic:cNvPicPr/>
                  </pic:nvPicPr>
                  <pic:blipFill>
                    <a:blip r:embed="rId28">
                      <a:extLst>
                        <a:ext uri="{28A0092B-C50C-407E-A947-70E740481C1C}">
                          <a14:useLocalDpi xmlns:a14="http://schemas.microsoft.com/office/drawing/2010/main" val="0"/>
                        </a:ext>
                      </a:extLst>
                    </a:blip>
                    <a:stretch>
                      <a:fillRect/>
                    </a:stretch>
                  </pic:blipFill>
                  <pic:spPr>
                    <a:xfrm>
                      <a:off x="0" y="0"/>
                      <a:ext cx="5924548" cy="2653705"/>
                    </a:xfrm>
                    <a:prstGeom prst="rect">
                      <a:avLst/>
                    </a:prstGeom>
                  </pic:spPr>
                </pic:pic>
              </a:graphicData>
            </a:graphic>
          </wp:inline>
        </w:drawing>
      </w:r>
      <w:r w:rsidR="774B733A">
        <w:t>The following chart provides the breakdown of participants by region:</w:t>
      </w:r>
    </w:p>
    <w:p w14:paraId="7672E212" w14:textId="77777777" w:rsidR="00CF114A" w:rsidRDefault="7F69F4D7" w:rsidP="00CF114A">
      <w:pPr>
        <w:rPr>
          <w:rFonts w:ascii="Calibri" w:hAnsi="Calibri"/>
          <w:szCs w:val="24"/>
        </w:rPr>
      </w:pPr>
      <w:r>
        <w:rPr>
          <w:noProof/>
        </w:rPr>
        <w:drawing>
          <wp:inline distT="0" distB="0" distL="0" distR="0" wp14:anchorId="1C504E1C" wp14:editId="125645E8">
            <wp:extent cx="5972175" cy="2662594"/>
            <wp:effectExtent l="0" t="0" r="0" b="0"/>
            <wp:docPr id="501202688" name="Picture 50120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202688"/>
                    <pic:cNvPicPr/>
                  </pic:nvPicPr>
                  <pic:blipFill>
                    <a:blip r:embed="rId29">
                      <a:extLst>
                        <a:ext uri="{28A0092B-C50C-407E-A947-70E740481C1C}">
                          <a14:useLocalDpi xmlns:a14="http://schemas.microsoft.com/office/drawing/2010/main" val="0"/>
                        </a:ext>
                      </a:extLst>
                    </a:blip>
                    <a:stretch>
                      <a:fillRect/>
                    </a:stretch>
                  </pic:blipFill>
                  <pic:spPr>
                    <a:xfrm>
                      <a:off x="0" y="0"/>
                      <a:ext cx="5972175" cy="2662594"/>
                    </a:xfrm>
                    <a:prstGeom prst="rect">
                      <a:avLst/>
                    </a:prstGeom>
                  </pic:spPr>
                </pic:pic>
              </a:graphicData>
            </a:graphic>
          </wp:inline>
        </w:drawing>
      </w:r>
    </w:p>
    <w:p w14:paraId="3057D4AF" w14:textId="77777777" w:rsidR="00CF114A" w:rsidRDefault="00CF114A" w:rsidP="00CF114A">
      <w:pPr>
        <w:keepNext/>
      </w:pPr>
      <w:r>
        <w:lastRenderedPageBreak/>
        <w:t>The following chart provides the breakdown of participants by gender:</w:t>
      </w:r>
    </w:p>
    <w:p w14:paraId="2127F9CC" w14:textId="316DE685" w:rsidR="5247FCA0" w:rsidRDefault="5247FCA0" w:rsidP="35010A24">
      <w:pPr>
        <w:rPr>
          <w:rFonts w:ascii="Calibri" w:hAnsi="Calibri"/>
          <w:szCs w:val="24"/>
        </w:rPr>
      </w:pPr>
      <w:r>
        <w:rPr>
          <w:noProof/>
        </w:rPr>
        <w:drawing>
          <wp:inline distT="0" distB="0" distL="0" distR="0" wp14:anchorId="156CD686" wp14:editId="59F25720">
            <wp:extent cx="6015790" cy="2619375"/>
            <wp:effectExtent l="0" t="0" r="0" b="0"/>
            <wp:docPr id="1330822158" name="Picture 133082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6015790" cy="2619375"/>
                    </a:xfrm>
                    <a:prstGeom prst="rect">
                      <a:avLst/>
                    </a:prstGeom>
                  </pic:spPr>
                </pic:pic>
              </a:graphicData>
            </a:graphic>
          </wp:inline>
        </w:drawing>
      </w:r>
    </w:p>
    <w:p w14:paraId="40A3B10E" w14:textId="37B5CE44" w:rsidR="0015250D" w:rsidRPr="00E45BE1" w:rsidRDefault="0015250D" w:rsidP="001B769C">
      <w:pPr>
        <w:pStyle w:val="ListParagraph"/>
        <w:keepNext/>
        <w:numPr>
          <w:ilvl w:val="0"/>
          <w:numId w:val="5"/>
        </w:numPr>
        <w:tabs>
          <w:tab w:val="clear" w:pos="1134"/>
          <w:tab w:val="clear" w:pos="1871"/>
          <w:tab w:val="clear" w:pos="2268"/>
          <w:tab w:val="left" w:pos="567"/>
        </w:tabs>
        <w:ind w:left="0" w:firstLine="0"/>
        <w:contextualSpacing w:val="0"/>
        <w:rPr>
          <w:i/>
          <w:iCs/>
        </w:rPr>
      </w:pPr>
      <w:r w:rsidRPr="00E45BE1">
        <w:rPr>
          <w:i/>
          <w:iCs/>
        </w:rPr>
        <w:t>Documents</w:t>
      </w:r>
    </w:p>
    <w:p w14:paraId="62CC356F" w14:textId="67DB278F" w:rsidR="0015250D" w:rsidRDefault="0015250D" w:rsidP="004911CA">
      <w:pPr>
        <w:keepNext/>
      </w:pPr>
      <w:r>
        <w:t xml:space="preserve">The following </w:t>
      </w:r>
      <w:r w:rsidR="003D2194">
        <w:t>chart provide</w:t>
      </w:r>
      <w:r w:rsidR="00E64520">
        <w:t>s</w:t>
      </w:r>
      <w:r>
        <w:t xml:space="preserve"> the number of documents broken down by category of documents:</w:t>
      </w:r>
    </w:p>
    <w:p w14:paraId="5EAF48E2" w14:textId="6A74A2DF" w:rsidR="0015250D" w:rsidRDefault="3FDE0DEA" w:rsidP="0077AACD">
      <w:pPr>
        <w:tabs>
          <w:tab w:val="clear" w:pos="1134"/>
          <w:tab w:val="clear" w:pos="1871"/>
          <w:tab w:val="clear" w:pos="2268"/>
        </w:tabs>
        <w:overflowPunct/>
        <w:autoSpaceDE/>
        <w:autoSpaceDN/>
        <w:adjustRightInd/>
        <w:spacing w:before="0"/>
        <w:textAlignment w:val="auto"/>
        <w:rPr>
          <w:rFonts w:ascii="Calibri" w:hAnsi="Calibri"/>
          <w:szCs w:val="24"/>
        </w:rPr>
      </w:pPr>
      <w:r>
        <w:rPr>
          <w:noProof/>
        </w:rPr>
        <w:drawing>
          <wp:inline distT="0" distB="0" distL="0" distR="0" wp14:anchorId="52E444E1" wp14:editId="7911D936">
            <wp:extent cx="5881352" cy="2622103"/>
            <wp:effectExtent l="0" t="0" r="0" b="0"/>
            <wp:docPr id="2096187225" name="Picture 209618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5881352" cy="2622103"/>
                    </a:xfrm>
                    <a:prstGeom prst="rect">
                      <a:avLst/>
                    </a:prstGeom>
                  </pic:spPr>
                </pic:pic>
              </a:graphicData>
            </a:graphic>
          </wp:inline>
        </w:drawing>
      </w:r>
    </w:p>
    <w:p w14:paraId="05563A01" w14:textId="03CF879F" w:rsidR="0015250D" w:rsidRPr="00E45BE1" w:rsidRDefault="001C0BC0" w:rsidP="001B769C">
      <w:pPr>
        <w:pStyle w:val="ListParagraph"/>
        <w:keepNext/>
        <w:numPr>
          <w:ilvl w:val="0"/>
          <w:numId w:val="5"/>
        </w:numPr>
        <w:tabs>
          <w:tab w:val="clear" w:pos="1134"/>
          <w:tab w:val="clear" w:pos="1871"/>
          <w:tab w:val="clear" w:pos="2268"/>
          <w:tab w:val="left" w:pos="567"/>
        </w:tabs>
        <w:ind w:left="0" w:firstLine="0"/>
        <w:contextualSpacing w:val="0"/>
        <w:rPr>
          <w:i/>
          <w:iCs/>
        </w:rPr>
      </w:pPr>
      <w:r w:rsidRPr="00E45BE1">
        <w:rPr>
          <w:i/>
          <w:iCs/>
        </w:rPr>
        <w:t>23</w:t>
      </w:r>
      <w:r w:rsidRPr="00E45BE1">
        <w:rPr>
          <w:i/>
          <w:iCs/>
          <w:vertAlign w:val="superscript"/>
        </w:rPr>
        <w:t>rd</w:t>
      </w:r>
      <w:r w:rsidRPr="00E45BE1">
        <w:rPr>
          <w:i/>
          <w:iCs/>
        </w:rPr>
        <w:t xml:space="preserve"> </w:t>
      </w:r>
      <w:r w:rsidR="0015250D" w:rsidRPr="00E45BE1">
        <w:rPr>
          <w:i/>
          <w:iCs/>
        </w:rPr>
        <w:t>TDAG Meeting Outcomes</w:t>
      </w:r>
    </w:p>
    <w:p w14:paraId="57FBDCB4" w14:textId="21132B53" w:rsidR="0015250D" w:rsidRDefault="0015250D" w:rsidP="004911CA">
      <w:pPr>
        <w:keepNext/>
        <w:spacing w:after="120"/>
      </w:pPr>
      <w:r>
        <w:t xml:space="preserve">The following table provides the summary of the outcomes of the </w:t>
      </w:r>
      <w:r w:rsidR="001C0BC0">
        <w:t>23</w:t>
      </w:r>
      <w:r w:rsidR="001C0BC0" w:rsidRPr="009110C1">
        <w:rPr>
          <w:vertAlign w:val="superscript"/>
        </w:rPr>
        <w:t>rd</w:t>
      </w:r>
      <w:r w:rsidR="001C0BC0">
        <w:t xml:space="preserve"> </w:t>
      </w:r>
      <w:r>
        <w:t>TDAG meeting by subject:</w:t>
      </w:r>
    </w:p>
    <w:tbl>
      <w:tblPr>
        <w:tblW w:w="9214" w:type="dxa"/>
        <w:tblInd w:w="-5" w:type="dxa"/>
        <w:tblLook w:val="04A0" w:firstRow="1" w:lastRow="0" w:firstColumn="1" w:lastColumn="0" w:noHBand="0" w:noVBand="1"/>
      </w:tblPr>
      <w:tblGrid>
        <w:gridCol w:w="3220"/>
        <w:gridCol w:w="5994"/>
      </w:tblGrid>
      <w:tr w:rsidR="00C3628B" w:rsidRPr="0015250D" w14:paraId="57569498" w14:textId="77777777" w:rsidTr="05C1679F">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D1827EE" w14:textId="77777777" w:rsidR="0015250D" w:rsidRPr="009110C1" w:rsidRDefault="629B66A7" w:rsidP="18440CF1">
            <w:pPr>
              <w:tabs>
                <w:tab w:val="clear" w:pos="1134"/>
                <w:tab w:val="clear" w:pos="1871"/>
                <w:tab w:val="clear" w:pos="2268"/>
              </w:tabs>
              <w:overflowPunct/>
              <w:autoSpaceDE/>
              <w:autoSpaceDN/>
              <w:adjustRightInd/>
              <w:spacing w:after="120"/>
              <w:jc w:val="center"/>
              <w:textAlignment w:val="auto"/>
              <w:rPr>
                <w:rFonts w:eastAsiaTheme="minorEastAsia" w:cstheme="minorBidi"/>
                <w:i/>
                <w:iCs/>
                <w:color w:val="000000"/>
                <w:sz w:val="22"/>
                <w:szCs w:val="22"/>
                <w:lang w:eastAsia="zh-CN"/>
              </w:rPr>
            </w:pPr>
            <w:r w:rsidRPr="009110C1">
              <w:rPr>
                <w:rFonts w:eastAsiaTheme="minorEastAsia" w:cstheme="minorBidi"/>
                <w:i/>
                <w:iCs/>
                <w:color w:val="000000" w:themeColor="text1"/>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22C0BE70" w14:textId="77777777" w:rsidR="0015250D" w:rsidRPr="009110C1" w:rsidRDefault="629B66A7" w:rsidP="18440CF1">
            <w:pPr>
              <w:tabs>
                <w:tab w:val="clear" w:pos="1134"/>
                <w:tab w:val="clear" w:pos="1871"/>
                <w:tab w:val="clear" w:pos="2268"/>
              </w:tabs>
              <w:overflowPunct/>
              <w:autoSpaceDE/>
              <w:autoSpaceDN/>
              <w:adjustRightInd/>
              <w:spacing w:after="120"/>
              <w:jc w:val="center"/>
              <w:textAlignment w:val="auto"/>
              <w:rPr>
                <w:rFonts w:eastAsiaTheme="minorEastAsia" w:cstheme="minorBidi"/>
                <w:i/>
                <w:iCs/>
                <w:color w:val="000000"/>
                <w:sz w:val="22"/>
                <w:szCs w:val="22"/>
                <w:lang w:eastAsia="zh-CN"/>
              </w:rPr>
            </w:pPr>
            <w:r w:rsidRPr="009110C1">
              <w:rPr>
                <w:rFonts w:eastAsiaTheme="minorEastAsia" w:cstheme="minorBidi"/>
                <w:i/>
                <w:iCs/>
                <w:color w:val="000000" w:themeColor="text1"/>
                <w:sz w:val="22"/>
                <w:szCs w:val="22"/>
                <w:lang w:eastAsia="zh-CN"/>
              </w:rPr>
              <w:t>TDAG Conclusions / Outcomes</w:t>
            </w:r>
          </w:p>
        </w:tc>
      </w:tr>
      <w:tr w:rsidR="00F14711" w:rsidRPr="0015250D" w14:paraId="0C81A84E"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2F8F771E" w14:textId="7771CBB1" w:rsidR="00E05AF4" w:rsidRPr="009110C1" w:rsidRDefault="1034351D"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eastAsia="zh-CN"/>
              </w:rPr>
              <w:t>World Telecommunication Development Conference (WTDC 1</w:t>
            </w:r>
            <w:r w:rsidR="0F8ADD4B" w:rsidRPr="009110C1">
              <w:rPr>
                <w:rFonts w:eastAsiaTheme="minorEastAsia" w:cstheme="minorBidi"/>
                <w:color w:val="000000" w:themeColor="text1"/>
                <w:sz w:val="22"/>
                <w:szCs w:val="22"/>
                <w:lang w:eastAsia="zh-CN"/>
              </w:rPr>
              <w:t>7</w:t>
            </w:r>
            <w:r w:rsidRPr="009110C1">
              <w:rPr>
                <w:rFonts w:eastAsiaTheme="minorEastAsia" w:cstheme="minorBidi"/>
                <w:color w:val="000000" w:themeColor="text1"/>
                <w:sz w:val="22"/>
                <w:szCs w:val="22"/>
                <w:lang w:eastAsia="zh-CN"/>
              </w:rPr>
              <w:t>)</w:t>
            </w:r>
          </w:p>
        </w:tc>
        <w:tc>
          <w:tcPr>
            <w:tcW w:w="5994" w:type="dxa"/>
            <w:tcBorders>
              <w:top w:val="nil"/>
              <w:left w:val="nil"/>
              <w:bottom w:val="single" w:sz="4" w:space="0" w:color="auto"/>
              <w:right w:val="single" w:sz="4" w:space="0" w:color="auto"/>
            </w:tcBorders>
            <w:shd w:val="clear" w:color="auto" w:fill="auto"/>
            <w:vAlign w:val="center"/>
            <w:hideMark/>
          </w:tcPr>
          <w:p w14:paraId="2DD982F4" w14:textId="63A03C83" w:rsidR="0015250D" w:rsidRPr="009110C1" w:rsidRDefault="1034351D"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eastAsia="zh-CN"/>
              </w:rPr>
              <w:t xml:space="preserve">The summary </w:t>
            </w:r>
            <w:r w:rsidR="0F8ADD4B" w:rsidRPr="009110C1">
              <w:rPr>
                <w:rFonts w:eastAsiaTheme="minorEastAsia" w:cstheme="minorBidi"/>
                <w:color w:val="000000" w:themeColor="text1"/>
                <w:sz w:val="22"/>
                <w:szCs w:val="22"/>
              </w:rPr>
              <w:t>report on the World Telecommunication Development Conference (WTDC-17)</w:t>
            </w:r>
            <w:r w:rsidRPr="009110C1">
              <w:rPr>
                <w:rFonts w:eastAsiaTheme="minorEastAsia" w:cstheme="minorBidi"/>
                <w:color w:val="000000" w:themeColor="text1"/>
                <w:sz w:val="22"/>
                <w:szCs w:val="22"/>
                <w:lang w:eastAsia="zh-CN"/>
              </w:rPr>
              <w:t xml:space="preserve"> was </w:t>
            </w:r>
            <w:r w:rsidR="0F8ADD4B" w:rsidRPr="009110C1">
              <w:rPr>
                <w:rFonts w:eastAsiaTheme="minorEastAsia" w:cstheme="minorBidi"/>
                <w:color w:val="000000" w:themeColor="text1"/>
                <w:sz w:val="22"/>
                <w:szCs w:val="22"/>
                <w:lang w:eastAsia="zh-CN"/>
              </w:rPr>
              <w:t xml:space="preserve">welcomed and </w:t>
            </w:r>
            <w:r w:rsidRPr="009110C1">
              <w:rPr>
                <w:rFonts w:eastAsiaTheme="minorEastAsia" w:cstheme="minorBidi"/>
                <w:color w:val="000000" w:themeColor="text1"/>
                <w:sz w:val="22"/>
                <w:szCs w:val="22"/>
                <w:lang w:eastAsia="zh-CN"/>
              </w:rPr>
              <w:t>noted.</w:t>
            </w:r>
          </w:p>
        </w:tc>
      </w:tr>
      <w:tr w:rsidR="00F14711" w:rsidRPr="0015250D" w14:paraId="5F66A212" w14:textId="77777777" w:rsidTr="001712B5">
        <w:trPr>
          <w:cantSplit/>
        </w:trPr>
        <w:tc>
          <w:tcPr>
            <w:tcW w:w="3220" w:type="dxa"/>
            <w:tcBorders>
              <w:top w:val="nil"/>
              <w:left w:val="single" w:sz="4" w:space="0" w:color="auto"/>
              <w:bottom w:val="single" w:sz="4" w:space="0" w:color="auto"/>
              <w:right w:val="single" w:sz="4" w:space="0" w:color="auto"/>
            </w:tcBorders>
            <w:shd w:val="clear" w:color="auto" w:fill="auto"/>
            <w:vAlign w:val="center"/>
          </w:tcPr>
          <w:p w14:paraId="5F533EF3" w14:textId="1562B2F9" w:rsidR="00096BA9"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val="en-US"/>
              </w:rPr>
              <w:lastRenderedPageBreak/>
              <w:t>Financial implications of the Regional Initiatives approved by WTDC-17</w:t>
            </w:r>
          </w:p>
        </w:tc>
        <w:tc>
          <w:tcPr>
            <w:tcW w:w="5994" w:type="dxa"/>
            <w:tcBorders>
              <w:top w:val="nil"/>
              <w:left w:val="nil"/>
              <w:bottom w:val="single" w:sz="4" w:space="0" w:color="auto"/>
              <w:right w:val="single" w:sz="4" w:space="0" w:color="auto"/>
            </w:tcBorders>
            <w:shd w:val="clear" w:color="auto" w:fill="auto"/>
            <w:vAlign w:val="center"/>
          </w:tcPr>
          <w:p w14:paraId="5D040BD8" w14:textId="052BD176" w:rsidR="00096BA9" w:rsidRPr="009110C1" w:rsidRDefault="6294A836" w:rsidP="632A2ABB">
            <w:pPr>
              <w:spacing w:before="60" w:after="60"/>
              <w:rPr>
                <w:rFonts w:eastAsiaTheme="minorEastAsia" w:cstheme="minorBidi"/>
                <w:color w:val="000000" w:themeColor="text1"/>
                <w:sz w:val="22"/>
                <w:szCs w:val="22"/>
                <w:lang w:val="en-US"/>
              </w:rPr>
            </w:pPr>
            <w:r w:rsidRPr="009110C1">
              <w:rPr>
                <w:rFonts w:eastAsiaTheme="minorEastAsia" w:cstheme="minorBidi"/>
                <w:color w:val="000000" w:themeColor="text1"/>
                <w:sz w:val="22"/>
                <w:szCs w:val="22"/>
                <w:lang w:val="en-US"/>
              </w:rPr>
              <w:t xml:space="preserve">TDAG noted the financial implications for ITU of the decisions made by WTDC-17 and the importance of prioritizing and mobilizing resources to implement the newly adopted Regional Initiatives.  </w:t>
            </w:r>
          </w:p>
          <w:p w14:paraId="17A2E638" w14:textId="7F473475" w:rsidR="00096BA9"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val="en-US"/>
              </w:rPr>
              <w:t>TDAG welcomed and noted the document.</w:t>
            </w:r>
          </w:p>
        </w:tc>
      </w:tr>
      <w:tr w:rsidR="00F14711" w:rsidRPr="0015250D" w14:paraId="136E543C"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tcPr>
          <w:p w14:paraId="47FB3BBC" w14:textId="6359DCFC" w:rsidR="00096BA9"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themeColor="text1"/>
                <w:sz w:val="22"/>
                <w:szCs w:val="22"/>
                <w:lang w:val="en-US"/>
              </w:rPr>
            </w:pPr>
            <w:r w:rsidRPr="009110C1">
              <w:rPr>
                <w:rFonts w:eastAsiaTheme="minorEastAsia" w:cstheme="minorBidi"/>
                <w:color w:val="000000" w:themeColor="text1"/>
                <w:sz w:val="22"/>
                <w:szCs w:val="22"/>
                <w:lang w:val="en-US"/>
              </w:rPr>
              <w:t>Summary of the BDT Management Retreat 2018</w:t>
            </w:r>
          </w:p>
        </w:tc>
        <w:tc>
          <w:tcPr>
            <w:tcW w:w="5994" w:type="dxa"/>
            <w:tcBorders>
              <w:top w:val="nil"/>
              <w:left w:val="nil"/>
              <w:bottom w:val="single" w:sz="4" w:space="0" w:color="auto"/>
              <w:right w:val="single" w:sz="4" w:space="0" w:color="auto"/>
            </w:tcBorders>
            <w:shd w:val="clear" w:color="auto" w:fill="auto"/>
            <w:vAlign w:val="center"/>
          </w:tcPr>
          <w:p w14:paraId="0C2F737E" w14:textId="0C8B46AB" w:rsidR="00096BA9" w:rsidRPr="009110C1" w:rsidRDefault="6294A836" w:rsidP="632A2ABB">
            <w:pPr>
              <w:spacing w:before="60" w:after="60"/>
              <w:rPr>
                <w:rFonts w:eastAsiaTheme="minorEastAsia" w:cstheme="minorBidi"/>
                <w:color w:val="000000" w:themeColor="text1"/>
                <w:sz w:val="22"/>
                <w:szCs w:val="22"/>
                <w:lang w:val="en-US"/>
              </w:rPr>
            </w:pPr>
            <w:r w:rsidRPr="009110C1">
              <w:rPr>
                <w:rFonts w:eastAsiaTheme="minorEastAsia" w:cstheme="minorBidi"/>
                <w:color w:val="000000" w:themeColor="text1"/>
                <w:sz w:val="22"/>
                <w:szCs w:val="22"/>
                <w:lang w:val="en-US"/>
              </w:rPr>
              <w:t>TDAG welcomed and noted the debrief on the main discussions and conclusions that took place during the Retreat, from 5 to 9 February 2018, in Geneva, Switzerland</w:t>
            </w:r>
          </w:p>
        </w:tc>
      </w:tr>
      <w:tr w:rsidR="00F14711" w:rsidRPr="0015250D" w14:paraId="5ACA8458"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65226DC2" w14:textId="113B9927" w:rsidR="0015250D" w:rsidRPr="009110C1" w:rsidRDefault="1034351D"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eastAsia="zh-CN"/>
              </w:rPr>
              <w:t xml:space="preserve">TDAG's scope of work </w:t>
            </w:r>
            <w:r w:rsidR="6294A836" w:rsidRPr="009110C1">
              <w:rPr>
                <w:rFonts w:eastAsiaTheme="minorEastAsia" w:cstheme="minorBidi"/>
                <w:color w:val="000000" w:themeColor="text1"/>
                <w:sz w:val="22"/>
                <w:szCs w:val="22"/>
                <w:lang w:eastAsia="zh-CN"/>
              </w:rPr>
              <w:t xml:space="preserve">and working methods </w:t>
            </w:r>
            <w:r w:rsidRPr="009110C1">
              <w:rPr>
                <w:rFonts w:eastAsiaTheme="minorEastAsia" w:cstheme="minorBidi"/>
                <w:color w:val="000000" w:themeColor="text1"/>
                <w:sz w:val="22"/>
                <w:szCs w:val="22"/>
                <w:lang w:eastAsia="zh-CN"/>
              </w:rPr>
              <w:t xml:space="preserve">- </w:t>
            </w:r>
            <w:r w:rsidR="6294A836" w:rsidRPr="009110C1">
              <w:rPr>
                <w:rFonts w:eastAsiaTheme="minorEastAsia" w:cstheme="minorBidi"/>
                <w:color w:val="000000" w:themeColor="text1"/>
                <w:sz w:val="22"/>
                <w:szCs w:val="22"/>
              </w:rPr>
              <w:t>WTDC Resolutions 24 and 61 (Rev. Dubai, 2014</w:t>
            </w:r>
            <w:proofErr w:type="gramStart"/>
            <w:r w:rsidR="6294A836" w:rsidRPr="009110C1">
              <w:rPr>
                <w:rFonts w:eastAsiaTheme="minorEastAsia" w:cstheme="minorBidi"/>
                <w:color w:val="000000" w:themeColor="text1"/>
                <w:sz w:val="22"/>
                <w:szCs w:val="22"/>
              </w:rPr>
              <w:t>),  WTDC</w:t>
            </w:r>
            <w:proofErr w:type="gramEnd"/>
            <w:r w:rsidR="6294A836" w:rsidRPr="009110C1">
              <w:rPr>
                <w:rFonts w:eastAsiaTheme="minorEastAsia" w:cstheme="minorBidi"/>
                <w:color w:val="000000" w:themeColor="text1"/>
                <w:sz w:val="22"/>
                <w:szCs w:val="22"/>
              </w:rPr>
              <w:t xml:space="preserve"> Resolution 1 (Rev. Buenos Aires, 2017) and the Buenos Aires Action Plan.</w:t>
            </w:r>
          </w:p>
        </w:tc>
        <w:tc>
          <w:tcPr>
            <w:tcW w:w="5994" w:type="dxa"/>
            <w:tcBorders>
              <w:top w:val="nil"/>
              <w:left w:val="nil"/>
              <w:bottom w:val="single" w:sz="4" w:space="0" w:color="auto"/>
              <w:right w:val="single" w:sz="4" w:space="0" w:color="auto"/>
            </w:tcBorders>
            <w:shd w:val="clear" w:color="auto" w:fill="auto"/>
            <w:vAlign w:val="center"/>
            <w:hideMark/>
          </w:tcPr>
          <w:p w14:paraId="74D998DE" w14:textId="51F80482" w:rsidR="0015250D" w:rsidRPr="009110C1" w:rsidRDefault="1034351D"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eastAsia="zh-CN"/>
              </w:rPr>
              <w:t>TDAG took note of the document and emphasized that its content would provide useful guidance for its work going forward.</w:t>
            </w:r>
            <w:r w:rsidR="6294A836" w:rsidRPr="009110C1">
              <w:rPr>
                <w:rFonts w:eastAsiaTheme="minorEastAsia" w:cstheme="minorBidi"/>
                <w:color w:val="000000" w:themeColor="text1"/>
                <w:sz w:val="22"/>
                <w:szCs w:val="22"/>
                <w:lang w:eastAsia="zh-CN"/>
              </w:rPr>
              <w:t xml:space="preserve"> </w:t>
            </w:r>
            <w:r w:rsidR="6294A836" w:rsidRPr="009110C1">
              <w:rPr>
                <w:rFonts w:eastAsiaTheme="minorEastAsia" w:cstheme="minorBidi"/>
                <w:color w:val="000000" w:themeColor="text1"/>
                <w:sz w:val="22"/>
                <w:szCs w:val="22"/>
                <w:lang w:val="en-US"/>
              </w:rPr>
              <w:t xml:space="preserve">TDAG also </w:t>
            </w:r>
            <w:proofErr w:type="spellStart"/>
            <w:r w:rsidR="6294A836" w:rsidRPr="009110C1">
              <w:rPr>
                <w:rFonts w:eastAsiaTheme="minorEastAsia" w:cstheme="minorBidi"/>
                <w:color w:val="000000" w:themeColor="text1"/>
                <w:sz w:val="22"/>
                <w:szCs w:val="22"/>
                <w:lang w:val="en-US"/>
              </w:rPr>
              <w:t>recognised</w:t>
            </w:r>
            <w:proofErr w:type="spellEnd"/>
            <w:r w:rsidR="6294A836" w:rsidRPr="009110C1">
              <w:rPr>
                <w:rFonts w:eastAsiaTheme="minorEastAsia" w:cstheme="minorBidi"/>
                <w:color w:val="000000" w:themeColor="text1"/>
                <w:sz w:val="22"/>
                <w:szCs w:val="22"/>
                <w:lang w:val="en-US"/>
              </w:rPr>
              <w:t xml:space="preserve"> existing BDT efforts that make electronic working methods available for ITU-D events.</w:t>
            </w:r>
          </w:p>
        </w:tc>
      </w:tr>
      <w:tr w:rsidR="00F14711" w:rsidRPr="0015250D" w14:paraId="256FBA07"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2643FC03" w14:textId="366F30AE" w:rsidR="0015250D"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val="en-US"/>
              </w:rPr>
              <w:t>Effective use in the ITU Telecommunication Development Sector of the six official languages of the Union on an equal footing</w:t>
            </w:r>
            <w:r w:rsidRPr="009110C1">
              <w:rPr>
                <w:rFonts w:eastAsiaTheme="minorEastAsia" w:cstheme="minorBidi"/>
                <w:color w:val="000000" w:themeColor="text1"/>
                <w:sz w:val="22"/>
                <w:szCs w:val="22"/>
                <w:lang w:eastAsia="zh-CN"/>
              </w:rPr>
              <w:t xml:space="preserve"> </w:t>
            </w:r>
          </w:p>
        </w:tc>
        <w:tc>
          <w:tcPr>
            <w:tcW w:w="5994" w:type="dxa"/>
            <w:tcBorders>
              <w:top w:val="nil"/>
              <w:left w:val="nil"/>
              <w:bottom w:val="single" w:sz="4" w:space="0" w:color="auto"/>
              <w:right w:val="single" w:sz="4" w:space="0" w:color="auto"/>
            </w:tcBorders>
            <w:shd w:val="clear" w:color="auto" w:fill="auto"/>
            <w:vAlign w:val="center"/>
            <w:hideMark/>
          </w:tcPr>
          <w:p w14:paraId="595CEFE1" w14:textId="77777777" w:rsidR="00096BA9" w:rsidRPr="009110C1" w:rsidRDefault="6294A836" w:rsidP="632A2ABB">
            <w:pPr>
              <w:tabs>
                <w:tab w:val="clear" w:pos="1134"/>
                <w:tab w:val="clear" w:pos="1871"/>
                <w:tab w:val="clear" w:pos="2268"/>
                <w:tab w:val="left" w:pos="794"/>
                <w:tab w:val="left" w:pos="1191"/>
                <w:tab w:val="left" w:pos="1588"/>
                <w:tab w:val="left" w:pos="1985"/>
              </w:tabs>
              <w:spacing w:before="60" w:after="60"/>
              <w:rPr>
                <w:rFonts w:eastAsiaTheme="minorEastAsia" w:cstheme="minorBidi"/>
                <w:color w:val="000000" w:themeColor="text1"/>
                <w:sz w:val="22"/>
                <w:szCs w:val="22"/>
                <w:lang w:val="en-US"/>
              </w:rPr>
            </w:pPr>
            <w:r w:rsidRPr="009110C1">
              <w:rPr>
                <w:rFonts w:eastAsiaTheme="minorEastAsia" w:cstheme="minorBidi"/>
                <w:color w:val="000000" w:themeColor="text1"/>
                <w:sz w:val="22"/>
                <w:szCs w:val="22"/>
                <w:lang w:val="en-US"/>
              </w:rPr>
              <w:t xml:space="preserve">While recognizing the importance of linguistics, in particular for developing countries, and of treating all six languages of the Union on an equal footing, discussions recognized existing efforts of BDT in this area and highlighted that when analyzing possible future technical solutions, financial implications must also be considered.  </w:t>
            </w:r>
          </w:p>
          <w:p w14:paraId="1927C2FA" w14:textId="61268406" w:rsidR="0015250D"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val="en-US"/>
              </w:rPr>
              <w:t>TDAG welcomed the document and suggested that in future meetings, BDT may consider making a presentation on these issues to provide information on available resources</w:t>
            </w:r>
          </w:p>
        </w:tc>
      </w:tr>
      <w:tr w:rsidR="00F14711" w:rsidRPr="0015250D" w14:paraId="00CDABE4"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4A4063C7" w14:textId="1DA3D238" w:rsidR="0015250D"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val="en-US"/>
              </w:rPr>
              <w:t>Internet of Things (IoT) Online Resources Portal</w:t>
            </w:r>
          </w:p>
        </w:tc>
        <w:tc>
          <w:tcPr>
            <w:tcW w:w="5994" w:type="dxa"/>
            <w:tcBorders>
              <w:top w:val="nil"/>
              <w:left w:val="nil"/>
              <w:bottom w:val="single" w:sz="4" w:space="0" w:color="auto"/>
              <w:right w:val="single" w:sz="4" w:space="0" w:color="auto"/>
            </w:tcBorders>
            <w:shd w:val="clear" w:color="auto" w:fill="auto"/>
            <w:vAlign w:val="center"/>
            <w:hideMark/>
          </w:tcPr>
          <w:p w14:paraId="23409CD7" w14:textId="1C44E96A" w:rsidR="0015250D"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rPr>
              <w:t xml:space="preserve">TDAG welcomed the proposal, and while participants supported the need to consolidate information about ITU activities,  resources, and relevant research and development on key topics such as IoT, and also recognized its potential to strengthen ITU-wide information sharing and best practices, TDAG suggested that further discussion may be required, in particular on the practical implementation and scope of the proposal and its financial implications.  </w:t>
            </w:r>
          </w:p>
        </w:tc>
      </w:tr>
      <w:tr w:rsidR="00F14711" w:rsidRPr="0015250D" w14:paraId="01DF3F77"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tcPr>
          <w:p w14:paraId="072B035C" w14:textId="3FD9E84C" w:rsidR="00096BA9"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val="en-US"/>
              </w:rPr>
              <w:t>Work and procedures of the World Telecommunication Development Conferences</w:t>
            </w:r>
          </w:p>
        </w:tc>
        <w:tc>
          <w:tcPr>
            <w:tcW w:w="5994" w:type="dxa"/>
            <w:tcBorders>
              <w:top w:val="nil"/>
              <w:left w:val="nil"/>
              <w:bottom w:val="single" w:sz="4" w:space="0" w:color="auto"/>
              <w:right w:val="single" w:sz="4" w:space="0" w:color="auto"/>
            </w:tcBorders>
            <w:shd w:val="clear" w:color="auto" w:fill="auto"/>
            <w:vAlign w:val="center"/>
          </w:tcPr>
          <w:p w14:paraId="182C9866" w14:textId="076DB420" w:rsidR="00096BA9"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rPr>
              <w:t xml:space="preserve">There was general support for the proposal to have a discussion among membership on ways to improve the structure and functioning of future WTDCs.  </w:t>
            </w:r>
            <w:r w:rsidRPr="009110C1">
              <w:rPr>
                <w:rFonts w:eastAsiaTheme="minorEastAsia" w:cstheme="minorBidi"/>
                <w:sz w:val="22"/>
                <w:szCs w:val="22"/>
              </w:rPr>
              <w:t xml:space="preserve">TDAG noted the document with appreciation and agreed that this advice to the Director would be </w:t>
            </w:r>
            <w:proofErr w:type="gramStart"/>
            <w:r w:rsidRPr="009110C1">
              <w:rPr>
                <w:rFonts w:eastAsiaTheme="minorEastAsia" w:cstheme="minorBidi"/>
                <w:sz w:val="22"/>
                <w:szCs w:val="22"/>
              </w:rPr>
              <w:t>taken into account</w:t>
            </w:r>
            <w:proofErr w:type="gramEnd"/>
            <w:r w:rsidRPr="009110C1">
              <w:rPr>
                <w:rFonts w:eastAsiaTheme="minorEastAsia" w:cstheme="minorBidi"/>
                <w:sz w:val="22"/>
                <w:szCs w:val="22"/>
              </w:rPr>
              <w:t>, including mechanisms for implementation, in the preparations for the next WTDC and could be discussed at future TDAG meetings.</w:t>
            </w:r>
          </w:p>
        </w:tc>
      </w:tr>
      <w:tr w:rsidR="00F14711" w:rsidRPr="0015250D" w14:paraId="591631E1"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tcPr>
          <w:p w14:paraId="43210299" w14:textId="28D48D05" w:rsidR="00096BA9"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632A2ABB">
              <w:rPr>
                <w:rStyle w:val="StyleComplexBodyCSArialBoldCustomColorRGB686868"/>
                <w:rFonts w:eastAsiaTheme="minorEastAsia" w:cstheme="minorBidi"/>
                <w:b w:val="0"/>
                <w:bCs w:val="0"/>
                <w:color w:val="000000" w:themeColor="text1"/>
                <w:sz w:val="22"/>
                <w:szCs w:val="22"/>
              </w:rPr>
              <w:t>R</w:t>
            </w:r>
            <w:r w:rsidRPr="009110C1">
              <w:rPr>
                <w:rStyle w:val="StyleComplexBodyCSArialBoldCustomColorRGB686868"/>
                <w:rFonts w:eastAsiaTheme="minorEastAsia" w:cstheme="minorBidi"/>
                <w:b w:val="0"/>
                <w:bCs w:val="0"/>
                <w:color w:val="000000" w:themeColor="text1"/>
                <w:sz w:val="22"/>
                <w:szCs w:val="22"/>
              </w:rPr>
              <w:t>eport on</w:t>
            </w:r>
            <w:r w:rsidRPr="632A2ABB">
              <w:rPr>
                <w:rStyle w:val="StyleComplexBodyCSArialBoldCustomColorRGB686868"/>
                <w:rFonts w:eastAsiaTheme="minorEastAsia" w:cstheme="minorBidi"/>
                <w:b w:val="0"/>
                <w:bCs w:val="0"/>
                <w:color w:val="000000" w:themeColor="text1"/>
                <w:sz w:val="22"/>
                <w:szCs w:val="22"/>
              </w:rPr>
              <w:t xml:space="preserve"> Inter-Sector Coordination Team on Issues of Mutual Interest</w:t>
            </w:r>
          </w:p>
        </w:tc>
        <w:tc>
          <w:tcPr>
            <w:tcW w:w="5994" w:type="dxa"/>
            <w:tcBorders>
              <w:top w:val="nil"/>
              <w:left w:val="nil"/>
              <w:bottom w:val="single" w:sz="4" w:space="0" w:color="auto"/>
              <w:right w:val="single" w:sz="4" w:space="0" w:color="auto"/>
            </w:tcBorders>
            <w:shd w:val="clear" w:color="auto" w:fill="auto"/>
            <w:vAlign w:val="center"/>
          </w:tcPr>
          <w:p w14:paraId="646D8863" w14:textId="48A6D498" w:rsidR="00096BA9"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lang w:eastAsia="zh-CN"/>
              </w:rPr>
              <w:t>TDAG welcomed and noted the report.</w:t>
            </w:r>
          </w:p>
        </w:tc>
      </w:tr>
      <w:tr w:rsidR="00F14711" w:rsidRPr="0015250D" w14:paraId="6ADAF55E"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tcPr>
          <w:p w14:paraId="697C0157" w14:textId="182277CA" w:rsidR="00096BA9" w:rsidRPr="00096BA9" w:rsidRDefault="759801EC" w:rsidP="05C1679F">
            <w:pPr>
              <w:tabs>
                <w:tab w:val="clear" w:pos="1134"/>
                <w:tab w:val="clear" w:pos="1871"/>
                <w:tab w:val="clear" w:pos="2268"/>
              </w:tabs>
              <w:overflowPunct/>
              <w:autoSpaceDE/>
              <w:autoSpaceDN/>
              <w:adjustRightInd/>
              <w:spacing w:before="60" w:after="60"/>
              <w:textAlignment w:val="auto"/>
              <w:rPr>
                <w:rStyle w:val="StyleComplexBodyCSArialBoldCustomColorRGB686868"/>
                <w:rFonts w:eastAsiaTheme="minorEastAsia" w:cstheme="minorBidi"/>
                <w:b w:val="0"/>
                <w:bCs w:val="0"/>
                <w:color w:val="000000" w:themeColor="text1"/>
                <w:sz w:val="22"/>
                <w:szCs w:val="22"/>
              </w:rPr>
            </w:pPr>
            <w:r w:rsidRPr="05C1679F">
              <w:rPr>
                <w:rStyle w:val="StyleComplexBodyCSArial"/>
                <w:rFonts w:eastAsiaTheme="minorEastAsia"/>
                <w:sz w:val="22"/>
                <w:szCs w:val="22"/>
              </w:rPr>
              <w:t xml:space="preserve">Reply Liaison Statement to ITU-D Study Group 1 (Copy to TDAG and for information to RAG and ITU-R </w:t>
            </w:r>
            <w:r w:rsidRPr="05C1679F">
              <w:rPr>
                <w:rStyle w:val="StyleComplexBodyCSArial"/>
                <w:rFonts w:eastAsiaTheme="minorEastAsia"/>
                <w:color w:val="000000" w:themeColor="text1"/>
                <w:sz w:val="22"/>
                <w:szCs w:val="22"/>
              </w:rPr>
              <w:t>Study Group</w:t>
            </w:r>
            <w:r w:rsidRPr="05C1679F">
              <w:rPr>
                <w:rStyle w:val="StyleComplexBodyCSArial"/>
                <w:rFonts w:eastAsiaTheme="minorEastAsia"/>
                <w:sz w:val="22"/>
                <w:szCs w:val="22"/>
              </w:rPr>
              <w:t xml:space="preserve"> 5</w:t>
            </w:r>
            <w:r w:rsidRPr="05C1679F">
              <w:rPr>
                <w:rStyle w:val="StyleComplexBodyCSArialBoldCustomColorRGB686868"/>
                <w:rFonts w:eastAsiaTheme="minorEastAsia" w:cstheme="minorBidi"/>
                <w:b w:val="0"/>
                <w:bCs w:val="0"/>
                <w:color w:val="000000" w:themeColor="text1"/>
                <w:sz w:val="22"/>
                <w:szCs w:val="22"/>
              </w:rPr>
              <w:t>)</w:t>
            </w:r>
          </w:p>
        </w:tc>
        <w:tc>
          <w:tcPr>
            <w:tcW w:w="5994" w:type="dxa"/>
            <w:tcBorders>
              <w:top w:val="nil"/>
              <w:left w:val="nil"/>
              <w:bottom w:val="single" w:sz="4" w:space="0" w:color="auto"/>
              <w:right w:val="single" w:sz="4" w:space="0" w:color="auto"/>
            </w:tcBorders>
            <w:shd w:val="clear" w:color="auto" w:fill="auto"/>
            <w:vAlign w:val="center"/>
          </w:tcPr>
          <w:p w14:paraId="554C4AB5" w14:textId="635646D3" w:rsidR="00096BA9" w:rsidRPr="009110C1" w:rsidRDefault="6294A836" w:rsidP="632A2ABB">
            <w:pPr>
              <w:tabs>
                <w:tab w:val="clear" w:pos="1134"/>
                <w:tab w:val="clear" w:pos="1871"/>
                <w:tab w:val="clear" w:pos="2268"/>
              </w:tabs>
              <w:overflowPunct/>
              <w:autoSpaceDE/>
              <w:autoSpaceDN/>
              <w:adjustRightInd/>
              <w:spacing w:before="60" w:after="60"/>
              <w:textAlignment w:val="auto"/>
              <w:rPr>
                <w:rFonts w:eastAsiaTheme="minorEastAsia" w:cstheme="minorBidi"/>
                <w:color w:val="000000"/>
                <w:sz w:val="22"/>
                <w:szCs w:val="22"/>
                <w:lang w:eastAsia="zh-CN"/>
              </w:rPr>
            </w:pPr>
            <w:r w:rsidRPr="009110C1">
              <w:rPr>
                <w:rFonts w:eastAsiaTheme="minorEastAsia" w:cstheme="minorBidi"/>
                <w:color w:val="000000" w:themeColor="text1"/>
                <w:sz w:val="22"/>
                <w:szCs w:val="22"/>
              </w:rPr>
              <w:t>TDAG thanked ITU-R Study Group 1 for the liaison statement and noted its contents.</w:t>
            </w:r>
          </w:p>
        </w:tc>
      </w:tr>
      <w:tr w:rsidR="00F14711" w14:paraId="0E8F64C6"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7B529D6" w14:textId="58885B2A" w:rsidR="34307BB7" w:rsidRPr="009110C1" w:rsidRDefault="31D9AEDD" w:rsidP="632A2ABB">
            <w:pPr>
              <w:spacing w:before="60" w:after="60"/>
              <w:rPr>
                <w:rFonts w:eastAsiaTheme="minorEastAsia" w:cstheme="minorBidi"/>
                <w:sz w:val="22"/>
                <w:szCs w:val="22"/>
              </w:rPr>
            </w:pPr>
            <w:r w:rsidRPr="009110C1">
              <w:rPr>
                <w:rFonts w:eastAsiaTheme="minorEastAsia" w:cstheme="minorBidi"/>
                <w:sz w:val="22"/>
                <w:szCs w:val="22"/>
                <w:lang w:val="en-US"/>
              </w:rPr>
              <w:lastRenderedPageBreak/>
              <w:t>S</w:t>
            </w:r>
            <w:proofErr w:type="spellStart"/>
            <w:r w:rsidRPr="009110C1">
              <w:rPr>
                <w:rFonts w:eastAsiaTheme="minorEastAsia" w:cstheme="minorBidi"/>
                <w:sz w:val="22"/>
                <w:szCs w:val="22"/>
              </w:rPr>
              <w:t>tudies</w:t>
            </w:r>
            <w:proofErr w:type="spellEnd"/>
            <w:r w:rsidRPr="009110C1">
              <w:rPr>
                <w:rFonts w:eastAsiaTheme="minorEastAsia" w:cstheme="minorBidi"/>
                <w:sz w:val="22"/>
                <w:szCs w:val="22"/>
              </w:rPr>
              <w:t xml:space="preserve"> in response to Resolution</w:t>
            </w:r>
            <w:r w:rsidR="00A93825">
              <w:rPr>
                <w:rFonts w:eastAsiaTheme="minorEastAsia" w:cstheme="minorBidi"/>
                <w:sz w:val="22"/>
                <w:szCs w:val="22"/>
              </w:rPr>
              <w:t> </w:t>
            </w:r>
            <w:r w:rsidRPr="009110C1">
              <w:rPr>
                <w:rFonts w:eastAsiaTheme="minorEastAsia" w:cstheme="minorBidi"/>
                <w:sz w:val="22"/>
                <w:szCs w:val="22"/>
              </w:rPr>
              <w:t>9</w:t>
            </w:r>
          </w:p>
        </w:tc>
        <w:tc>
          <w:tcPr>
            <w:tcW w:w="5994" w:type="dxa"/>
            <w:tcBorders>
              <w:top w:val="nil"/>
              <w:left w:val="nil"/>
              <w:bottom w:val="single" w:sz="4" w:space="0" w:color="auto"/>
              <w:right w:val="single" w:sz="4" w:space="0" w:color="auto"/>
            </w:tcBorders>
            <w:shd w:val="clear" w:color="auto" w:fill="auto"/>
            <w:vAlign w:val="center"/>
            <w:hideMark/>
          </w:tcPr>
          <w:p w14:paraId="6DA0D631" w14:textId="085F5EC2" w:rsidR="34307BB7" w:rsidRPr="009110C1" w:rsidRDefault="31D9AEDD" w:rsidP="632A2ABB">
            <w:pPr>
              <w:spacing w:before="60" w:after="60"/>
              <w:rPr>
                <w:rFonts w:eastAsiaTheme="minorEastAsia" w:cstheme="minorBidi"/>
                <w:sz w:val="22"/>
                <w:szCs w:val="22"/>
              </w:rPr>
            </w:pPr>
            <w:r w:rsidRPr="009110C1">
              <w:rPr>
                <w:rFonts w:eastAsiaTheme="minorEastAsia" w:cstheme="minorBidi"/>
                <w:sz w:val="22"/>
                <w:szCs w:val="22"/>
              </w:rPr>
              <w:t xml:space="preserve">TDAG noted the document and invited the SG Chairmen to integrate the resources, to the extent possible and as required, in the work of the Questions under study. TDAG noted that the list would be updated by BR as appropriate.  </w:t>
            </w:r>
          </w:p>
        </w:tc>
      </w:tr>
      <w:tr w:rsidR="00F14711" w14:paraId="08B39BDB" w14:textId="77777777" w:rsidTr="05C1679F">
        <w:trPr>
          <w:trHeight w:val="253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EC531DA" w14:textId="5AA18F58" w:rsidR="3AA83DDF" w:rsidRPr="009110C1" w:rsidRDefault="759FA9DF" w:rsidP="632A2ABB">
            <w:pPr>
              <w:spacing w:before="60" w:after="60"/>
              <w:rPr>
                <w:rFonts w:eastAsiaTheme="minorEastAsia" w:cstheme="minorBidi"/>
                <w:sz w:val="22"/>
                <w:szCs w:val="22"/>
              </w:rPr>
            </w:pPr>
            <w:r w:rsidRPr="009110C1">
              <w:rPr>
                <w:rFonts w:eastAsiaTheme="minorEastAsia" w:cstheme="minorBidi"/>
                <w:sz w:val="22"/>
                <w:szCs w:val="22"/>
              </w:rPr>
              <w:t xml:space="preserve">Incoming liaison statement - LS/R on ITU inter-sector coordination (reply to TSAG - LS 1 - E) &amp; Incoming liaison statement - LS/o on ITU inter-Sector coordination [to ISCT, TDAG, ITU-D SGs, RAG, ITU-R SGs, ITU-T SGs] </w:t>
            </w:r>
          </w:p>
        </w:tc>
        <w:tc>
          <w:tcPr>
            <w:tcW w:w="5994" w:type="dxa"/>
            <w:tcBorders>
              <w:top w:val="nil"/>
              <w:left w:val="nil"/>
              <w:bottom w:val="single" w:sz="4" w:space="0" w:color="auto"/>
              <w:right w:val="single" w:sz="4" w:space="0" w:color="auto"/>
            </w:tcBorders>
            <w:shd w:val="clear" w:color="auto" w:fill="auto"/>
            <w:vAlign w:val="center"/>
            <w:hideMark/>
          </w:tcPr>
          <w:p w14:paraId="6A7FFC76" w14:textId="238B2E78" w:rsidR="527D0E12"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lang w:val="en-US"/>
              </w:rPr>
              <w:t xml:space="preserve">TDAG thanked ITU-T for the liaison statements and noted the contents. </w:t>
            </w:r>
          </w:p>
        </w:tc>
      </w:tr>
      <w:tr w:rsidR="00F14711" w14:paraId="75891261"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1802F54" w14:textId="5C8AAD49" w:rsidR="527D0E12"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rPr>
              <w:t>Streamlining PP and WTDC Resolutions</w:t>
            </w:r>
          </w:p>
        </w:tc>
        <w:tc>
          <w:tcPr>
            <w:tcW w:w="5994" w:type="dxa"/>
            <w:tcBorders>
              <w:top w:val="nil"/>
              <w:left w:val="nil"/>
              <w:bottom w:val="single" w:sz="4" w:space="0" w:color="auto"/>
              <w:right w:val="single" w:sz="4" w:space="0" w:color="auto"/>
            </w:tcBorders>
            <w:shd w:val="clear" w:color="auto" w:fill="auto"/>
            <w:vAlign w:val="center"/>
            <w:hideMark/>
          </w:tcPr>
          <w:p w14:paraId="6FF5B519" w14:textId="2D826645" w:rsidR="527D0E12"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rPr>
              <w:t xml:space="preserve">TDAG supported in principle the importance of streamlining resolutions and noted that it could revisit the matter following PP-18. </w:t>
            </w:r>
          </w:p>
          <w:p w14:paraId="2D08C2BF" w14:textId="5E714FFB" w:rsidR="527D0E12" w:rsidRPr="009110C1" w:rsidRDefault="34277DA6" w:rsidP="05C1679F">
            <w:pPr>
              <w:spacing w:before="60" w:after="60"/>
              <w:rPr>
                <w:rFonts w:eastAsiaTheme="minorEastAsia" w:cstheme="minorBidi"/>
                <w:sz w:val="22"/>
                <w:szCs w:val="22"/>
              </w:rPr>
            </w:pPr>
            <w:r w:rsidRPr="05C1679F">
              <w:rPr>
                <w:rFonts w:eastAsiaTheme="minorEastAsia" w:cstheme="minorBidi"/>
                <w:sz w:val="22"/>
                <w:szCs w:val="22"/>
              </w:rPr>
              <w:t xml:space="preserve">TDAG noted </w:t>
            </w:r>
            <w:r w:rsidR="322A2C13" w:rsidRPr="05C1679F">
              <w:rPr>
                <w:rFonts w:eastAsiaTheme="minorEastAsia" w:cstheme="minorBidi"/>
                <w:sz w:val="22"/>
                <w:szCs w:val="22"/>
              </w:rPr>
              <w:t>D</w:t>
            </w:r>
            <w:r w:rsidRPr="05C1679F">
              <w:rPr>
                <w:rFonts w:eastAsiaTheme="minorEastAsia" w:cstheme="minorBidi"/>
                <w:sz w:val="22"/>
                <w:szCs w:val="22"/>
              </w:rPr>
              <w:t>ocument</w:t>
            </w:r>
            <w:r w:rsidR="5D112A50" w:rsidRPr="05C1679F">
              <w:rPr>
                <w:rFonts w:eastAsiaTheme="minorEastAsia" w:cstheme="minorBidi"/>
                <w:sz w:val="22"/>
                <w:szCs w:val="22"/>
              </w:rPr>
              <w:t xml:space="preserve"> TDAG-18/29 </w:t>
            </w:r>
            <w:r w:rsidRPr="05C1679F">
              <w:rPr>
                <w:rFonts w:eastAsiaTheme="minorEastAsia" w:cstheme="minorBidi"/>
                <w:sz w:val="22"/>
                <w:szCs w:val="22"/>
              </w:rPr>
              <w:t xml:space="preserve">and thanked the Russian Federation for the proposal.  </w:t>
            </w:r>
          </w:p>
        </w:tc>
      </w:tr>
      <w:tr w:rsidR="00F14711" w14:paraId="787D056D"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600B99E" w14:textId="78747899" w:rsidR="10EA8717"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rPr>
              <w:t>ITU-D’s representatives to the ITU Coordination Committee for Terminology (ITU CCT)</w:t>
            </w:r>
          </w:p>
        </w:tc>
        <w:tc>
          <w:tcPr>
            <w:tcW w:w="5994" w:type="dxa"/>
            <w:tcBorders>
              <w:top w:val="nil"/>
              <w:left w:val="nil"/>
              <w:bottom w:val="single" w:sz="4" w:space="0" w:color="auto"/>
              <w:right w:val="single" w:sz="4" w:space="0" w:color="auto"/>
            </w:tcBorders>
            <w:shd w:val="clear" w:color="auto" w:fill="auto"/>
            <w:vAlign w:val="center"/>
            <w:hideMark/>
          </w:tcPr>
          <w:p w14:paraId="0EEC5153" w14:textId="7FBF960A" w:rsidR="10EA8717"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lang w:val="en-US"/>
              </w:rPr>
              <w:t xml:space="preserve">TDAG appointed </w:t>
            </w:r>
            <w:proofErr w:type="spellStart"/>
            <w:r w:rsidRPr="009110C1">
              <w:rPr>
                <w:rFonts w:eastAsiaTheme="minorEastAsia" w:cstheme="minorBidi"/>
                <w:sz w:val="22"/>
                <w:szCs w:val="22"/>
                <w:lang w:val="en-US"/>
              </w:rPr>
              <w:t>Mr</w:t>
            </w:r>
            <w:proofErr w:type="spellEnd"/>
            <w:r w:rsidRPr="009110C1">
              <w:rPr>
                <w:rFonts w:eastAsiaTheme="minorEastAsia" w:cstheme="minorBidi"/>
                <w:sz w:val="22"/>
                <w:szCs w:val="22"/>
                <w:lang w:val="en-US"/>
              </w:rPr>
              <w:t xml:space="preserve"> Peter </w:t>
            </w:r>
            <w:proofErr w:type="spellStart"/>
            <w:r w:rsidRPr="009110C1">
              <w:rPr>
                <w:rFonts w:eastAsiaTheme="minorEastAsia" w:cstheme="minorBidi"/>
                <w:sz w:val="22"/>
                <w:szCs w:val="22"/>
                <w:lang w:val="en-US"/>
              </w:rPr>
              <w:t>Mbengie</w:t>
            </w:r>
            <w:proofErr w:type="spellEnd"/>
            <w:r w:rsidRPr="009110C1">
              <w:rPr>
                <w:rFonts w:eastAsiaTheme="minorEastAsia" w:cstheme="minorBidi"/>
                <w:sz w:val="22"/>
                <w:szCs w:val="22"/>
                <w:lang w:val="en-US"/>
              </w:rPr>
              <w:t xml:space="preserve"> (Cameroon) from ITU-D SG 1, and </w:t>
            </w:r>
            <w:proofErr w:type="spellStart"/>
            <w:r w:rsidRPr="009110C1">
              <w:rPr>
                <w:rFonts w:eastAsiaTheme="minorEastAsia" w:cstheme="minorBidi"/>
                <w:sz w:val="22"/>
                <w:szCs w:val="22"/>
                <w:lang w:val="en-US"/>
              </w:rPr>
              <w:t>Ms</w:t>
            </w:r>
            <w:proofErr w:type="spellEnd"/>
            <w:r w:rsidRPr="009110C1">
              <w:rPr>
                <w:rFonts w:eastAsiaTheme="minorEastAsia" w:cstheme="minorBidi"/>
                <w:sz w:val="22"/>
                <w:szCs w:val="22"/>
                <w:lang w:val="en-US"/>
              </w:rPr>
              <w:t xml:space="preserve"> </w:t>
            </w:r>
            <w:proofErr w:type="spellStart"/>
            <w:r w:rsidRPr="009110C1">
              <w:rPr>
                <w:rFonts w:eastAsiaTheme="minorEastAsia" w:cstheme="minorBidi"/>
                <w:sz w:val="22"/>
                <w:szCs w:val="22"/>
                <w:lang w:val="en-US"/>
              </w:rPr>
              <w:t>Ke</w:t>
            </w:r>
            <w:proofErr w:type="spellEnd"/>
            <w:r w:rsidRPr="009110C1">
              <w:rPr>
                <w:rFonts w:eastAsiaTheme="minorEastAsia" w:cstheme="minorBidi"/>
                <w:sz w:val="22"/>
                <w:szCs w:val="22"/>
                <w:lang w:val="en-US"/>
              </w:rPr>
              <w:t xml:space="preserve"> Wang (China) from ITU-D SG 2 to ITU CCT</w:t>
            </w:r>
          </w:p>
        </w:tc>
      </w:tr>
      <w:tr w:rsidR="00F14711" w14:paraId="15CE8CF0"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4FBCFE62" w14:textId="7D4FB767" w:rsidR="10EA8717"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lang w:val="en-US"/>
              </w:rPr>
              <w:t>P</w:t>
            </w:r>
            <w:proofErr w:type="spellStart"/>
            <w:r w:rsidRPr="009110C1">
              <w:rPr>
                <w:rFonts w:eastAsiaTheme="minorEastAsia" w:cstheme="minorBidi"/>
                <w:sz w:val="22"/>
                <w:szCs w:val="22"/>
              </w:rPr>
              <w:t>rogress</w:t>
            </w:r>
            <w:proofErr w:type="spellEnd"/>
            <w:r w:rsidRPr="009110C1">
              <w:rPr>
                <w:rFonts w:eastAsiaTheme="minorEastAsia" w:cstheme="minorBidi"/>
                <w:sz w:val="22"/>
                <w:szCs w:val="22"/>
              </w:rPr>
              <w:t xml:space="preserve"> report of Chairman of ISCT  </w:t>
            </w:r>
          </w:p>
        </w:tc>
        <w:tc>
          <w:tcPr>
            <w:tcW w:w="5994" w:type="dxa"/>
            <w:tcBorders>
              <w:top w:val="nil"/>
              <w:left w:val="nil"/>
              <w:bottom w:val="single" w:sz="4" w:space="0" w:color="auto"/>
              <w:right w:val="single" w:sz="4" w:space="0" w:color="auto"/>
            </w:tcBorders>
            <w:shd w:val="clear" w:color="auto" w:fill="auto"/>
            <w:vAlign w:val="center"/>
            <w:hideMark/>
          </w:tcPr>
          <w:p w14:paraId="43049A3B" w14:textId="13460853" w:rsidR="10EA8717" w:rsidRPr="009110C1" w:rsidRDefault="225DBC92"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TDAG welcomed and considered the </w:t>
            </w:r>
            <w:proofErr w:type="gramStart"/>
            <w:r w:rsidRPr="009110C1">
              <w:rPr>
                <w:rFonts w:eastAsiaTheme="minorEastAsia" w:cstheme="minorBidi"/>
                <w:sz w:val="22"/>
                <w:szCs w:val="22"/>
                <w:lang w:val="en-US"/>
              </w:rPr>
              <w:t>report, and</w:t>
            </w:r>
            <w:proofErr w:type="gramEnd"/>
            <w:r w:rsidRPr="009110C1">
              <w:rPr>
                <w:rFonts w:eastAsiaTheme="minorEastAsia" w:cstheme="minorBidi"/>
                <w:sz w:val="22"/>
                <w:szCs w:val="22"/>
                <w:lang w:val="en-US"/>
              </w:rPr>
              <w:t xml:space="preserve"> thanked </w:t>
            </w:r>
            <w:proofErr w:type="spellStart"/>
            <w:r w:rsidRPr="009110C1">
              <w:rPr>
                <w:rFonts w:eastAsiaTheme="minorEastAsia" w:cstheme="minorBidi"/>
                <w:sz w:val="22"/>
                <w:szCs w:val="22"/>
                <w:lang w:val="en-US"/>
              </w:rPr>
              <w:t>Mr</w:t>
            </w:r>
            <w:proofErr w:type="spellEnd"/>
            <w:r w:rsidRPr="009110C1">
              <w:rPr>
                <w:rFonts w:eastAsiaTheme="minorEastAsia" w:cstheme="minorBidi"/>
                <w:sz w:val="22"/>
                <w:szCs w:val="22"/>
                <w:lang w:val="en-US"/>
              </w:rPr>
              <w:t xml:space="preserve"> </w:t>
            </w:r>
            <w:proofErr w:type="spellStart"/>
            <w:r w:rsidRPr="009110C1">
              <w:rPr>
                <w:rFonts w:eastAsiaTheme="minorEastAsia" w:cstheme="minorBidi"/>
                <w:sz w:val="22"/>
                <w:szCs w:val="22"/>
                <w:lang w:val="en-US"/>
              </w:rPr>
              <w:t>Bigi</w:t>
            </w:r>
            <w:proofErr w:type="spellEnd"/>
            <w:r w:rsidRPr="009110C1">
              <w:rPr>
                <w:rFonts w:eastAsiaTheme="minorEastAsia" w:cstheme="minorBidi"/>
                <w:sz w:val="22"/>
                <w:szCs w:val="22"/>
                <w:lang w:val="en-US"/>
              </w:rPr>
              <w:t xml:space="preserve"> for agreeing to lead the ISCT over the new four-year period. </w:t>
            </w:r>
          </w:p>
          <w:p w14:paraId="284A3B28" w14:textId="42AB8DEB" w:rsidR="10EA8717" w:rsidRPr="009110C1" w:rsidRDefault="225DBC92" w:rsidP="632A2ABB">
            <w:pPr>
              <w:spacing w:before="60" w:after="60"/>
              <w:rPr>
                <w:rFonts w:eastAsiaTheme="minorEastAsia" w:cstheme="minorBidi"/>
                <w:sz w:val="22"/>
                <w:szCs w:val="22"/>
                <w:lang w:val="en-US"/>
              </w:rPr>
            </w:pPr>
            <w:proofErr w:type="spellStart"/>
            <w:r w:rsidRPr="009110C1">
              <w:rPr>
                <w:rFonts w:eastAsiaTheme="minorEastAsia" w:cstheme="minorBidi"/>
                <w:sz w:val="22"/>
                <w:szCs w:val="22"/>
                <w:lang w:val="en-US"/>
              </w:rPr>
              <w:t>Ms</w:t>
            </w:r>
            <w:proofErr w:type="spellEnd"/>
            <w:r w:rsidRPr="009110C1">
              <w:rPr>
                <w:rFonts w:eastAsiaTheme="minorEastAsia" w:cstheme="minorBidi"/>
                <w:sz w:val="22"/>
                <w:szCs w:val="22"/>
                <w:lang w:val="en-US"/>
              </w:rPr>
              <w:t xml:space="preserve"> </w:t>
            </w:r>
            <w:proofErr w:type="spellStart"/>
            <w:r w:rsidRPr="009110C1">
              <w:rPr>
                <w:rFonts w:eastAsiaTheme="minorEastAsia" w:cstheme="minorBidi"/>
                <w:sz w:val="22"/>
                <w:szCs w:val="22"/>
                <w:lang w:val="en-US"/>
              </w:rPr>
              <w:t>Nurzat</w:t>
            </w:r>
            <w:proofErr w:type="spellEnd"/>
            <w:r w:rsidRPr="009110C1">
              <w:rPr>
                <w:rFonts w:eastAsiaTheme="minorEastAsia" w:cstheme="minorBidi"/>
                <w:sz w:val="22"/>
                <w:szCs w:val="22"/>
                <w:lang w:val="en-US"/>
              </w:rPr>
              <w:t xml:space="preserve"> </w:t>
            </w:r>
            <w:proofErr w:type="spellStart"/>
            <w:r w:rsidRPr="009110C1">
              <w:rPr>
                <w:rFonts w:eastAsiaTheme="minorEastAsia" w:cstheme="minorBidi"/>
                <w:sz w:val="22"/>
                <w:szCs w:val="22"/>
                <w:lang w:val="en-US"/>
              </w:rPr>
              <w:t>Boljobekova</w:t>
            </w:r>
            <w:proofErr w:type="spellEnd"/>
            <w:r w:rsidRPr="009110C1">
              <w:rPr>
                <w:rFonts w:eastAsiaTheme="minorEastAsia" w:cstheme="minorBidi"/>
                <w:sz w:val="22"/>
                <w:szCs w:val="22"/>
                <w:lang w:val="en-US"/>
              </w:rPr>
              <w:t xml:space="preserve"> and </w:t>
            </w:r>
            <w:proofErr w:type="spellStart"/>
            <w:r w:rsidRPr="009110C1">
              <w:rPr>
                <w:rFonts w:eastAsiaTheme="minorEastAsia" w:cstheme="minorBidi"/>
                <w:sz w:val="22"/>
                <w:szCs w:val="22"/>
                <w:lang w:val="en-US"/>
              </w:rPr>
              <w:t>Mr</w:t>
            </w:r>
            <w:proofErr w:type="spellEnd"/>
            <w:r w:rsidRPr="009110C1">
              <w:rPr>
                <w:rFonts w:eastAsiaTheme="minorEastAsia" w:cstheme="minorBidi"/>
                <w:sz w:val="22"/>
                <w:szCs w:val="22"/>
                <w:lang w:val="en-US"/>
              </w:rPr>
              <w:t xml:space="preserve"> </w:t>
            </w:r>
            <w:proofErr w:type="spellStart"/>
            <w:r w:rsidRPr="009110C1">
              <w:rPr>
                <w:rFonts w:eastAsiaTheme="minorEastAsia" w:cstheme="minorBidi"/>
                <w:sz w:val="22"/>
                <w:szCs w:val="22"/>
                <w:lang w:val="en-US"/>
              </w:rPr>
              <w:t>Arseny</w:t>
            </w:r>
            <w:proofErr w:type="spellEnd"/>
            <w:r w:rsidRPr="009110C1">
              <w:rPr>
                <w:rFonts w:eastAsiaTheme="minorEastAsia" w:cstheme="minorBidi"/>
                <w:sz w:val="22"/>
                <w:szCs w:val="22"/>
                <w:lang w:val="en-US"/>
              </w:rPr>
              <w:t xml:space="preserve"> </w:t>
            </w:r>
            <w:proofErr w:type="spellStart"/>
            <w:r w:rsidRPr="009110C1">
              <w:rPr>
                <w:rFonts w:eastAsiaTheme="minorEastAsia" w:cstheme="minorBidi"/>
                <w:sz w:val="22"/>
                <w:szCs w:val="22"/>
                <w:lang w:val="en-US"/>
              </w:rPr>
              <w:t>Plossky</w:t>
            </w:r>
            <w:proofErr w:type="spellEnd"/>
            <w:r w:rsidRPr="009110C1">
              <w:rPr>
                <w:rFonts w:eastAsiaTheme="minorEastAsia" w:cstheme="minorBidi"/>
                <w:sz w:val="22"/>
                <w:szCs w:val="22"/>
                <w:lang w:val="en-US"/>
              </w:rPr>
              <w:t xml:space="preserve"> were appointed TDAG representatives to ISCT. </w:t>
            </w:r>
          </w:p>
          <w:p w14:paraId="6936D1A7" w14:textId="4928906E" w:rsidR="10EA8717" w:rsidRPr="009110C1" w:rsidRDefault="225DBC92"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TDAG discussed the draft revision of the ISCT Terms of Reference provided in Annex 1 to document 37. No objection was expressed to adding the activities of the General Secretariat in the analysis of ISCT, however, TDAG agreed that further clarification was needed on </w:t>
            </w:r>
            <w:proofErr w:type="gramStart"/>
            <w:r w:rsidRPr="009110C1">
              <w:rPr>
                <w:rFonts w:eastAsiaTheme="minorEastAsia" w:cstheme="minorBidi"/>
                <w:sz w:val="22"/>
                <w:szCs w:val="22"/>
                <w:lang w:val="en-US"/>
              </w:rPr>
              <w:t>a number of</w:t>
            </w:r>
            <w:proofErr w:type="gramEnd"/>
            <w:r w:rsidRPr="009110C1">
              <w:rPr>
                <w:rFonts w:eastAsiaTheme="minorEastAsia" w:cstheme="minorBidi"/>
                <w:sz w:val="22"/>
                <w:szCs w:val="22"/>
                <w:lang w:val="en-US"/>
              </w:rPr>
              <w:t xml:space="preserve"> issues. For example, questions were raised regarding the composition and title of ISCT. Additional questions were raised regarding the relationship of the Inter-Sectoral Coordination Task Force (ISC-TF) and the ISCT, the first being an internal-ITU coordination mechanism, while the latter is a body composed of representatives of the three advisory groups. TDAG noted that the issue would be discussed further and decided upon during </w:t>
            </w:r>
            <w:proofErr w:type="gramStart"/>
            <w:r w:rsidRPr="009110C1">
              <w:rPr>
                <w:rFonts w:eastAsiaTheme="minorEastAsia" w:cstheme="minorBidi"/>
                <w:sz w:val="22"/>
                <w:szCs w:val="22"/>
                <w:lang w:val="en-US"/>
              </w:rPr>
              <w:t>Council, and</w:t>
            </w:r>
            <w:proofErr w:type="gramEnd"/>
            <w:r w:rsidRPr="009110C1">
              <w:rPr>
                <w:rFonts w:eastAsiaTheme="minorEastAsia" w:cstheme="minorBidi"/>
                <w:sz w:val="22"/>
                <w:szCs w:val="22"/>
                <w:lang w:val="en-US"/>
              </w:rPr>
              <w:t xml:space="preserve"> recommended that the BDT Director inform Council about the discussions that took place during TDAG.</w:t>
            </w:r>
          </w:p>
        </w:tc>
      </w:tr>
      <w:tr w:rsidR="00F14711" w14:paraId="165A53A1"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761E32A2" w14:textId="17A7BB18" w:rsidR="10EA8717"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lang w:val="en-US"/>
              </w:rPr>
              <w:t>Report on the implementation of the ITU-D Strategic Plan and Operational Plan 2017</w:t>
            </w:r>
          </w:p>
        </w:tc>
        <w:tc>
          <w:tcPr>
            <w:tcW w:w="5994" w:type="dxa"/>
            <w:tcBorders>
              <w:top w:val="nil"/>
              <w:left w:val="nil"/>
              <w:bottom w:val="single" w:sz="4" w:space="0" w:color="auto"/>
              <w:right w:val="single" w:sz="4" w:space="0" w:color="auto"/>
            </w:tcBorders>
            <w:shd w:val="clear" w:color="auto" w:fill="auto"/>
            <w:vAlign w:val="center"/>
            <w:hideMark/>
          </w:tcPr>
          <w:p w14:paraId="197DAB75" w14:textId="30B47077" w:rsidR="10EA8717" w:rsidRPr="009110C1" w:rsidRDefault="225DBC92"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TDAG noted and expressed its appreciation for the comprehensive document and for the BDT’s hard work during 2017. TDAG called upon BDT to continue efforts to strengthen collaboration and coordination with regional </w:t>
            </w:r>
            <w:proofErr w:type="gramStart"/>
            <w:r w:rsidRPr="009110C1">
              <w:rPr>
                <w:rFonts w:eastAsiaTheme="minorEastAsia" w:cstheme="minorBidi"/>
                <w:sz w:val="22"/>
                <w:szCs w:val="22"/>
                <w:lang w:val="en-US"/>
              </w:rPr>
              <w:t>organizations, and</w:t>
            </w:r>
            <w:proofErr w:type="gramEnd"/>
            <w:r w:rsidRPr="009110C1">
              <w:rPr>
                <w:rFonts w:eastAsiaTheme="minorEastAsia" w:cstheme="minorBidi"/>
                <w:sz w:val="22"/>
                <w:szCs w:val="22"/>
                <w:lang w:val="en-US"/>
              </w:rPr>
              <w:t xml:space="preserve"> requested additional information on some of the cooperation agreements and related projects and activities mentioned in the report.</w:t>
            </w:r>
          </w:p>
        </w:tc>
      </w:tr>
      <w:tr w:rsidR="00F14711" w14:paraId="41599666"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4012253D" w14:textId="15026A54" w:rsidR="10EA8717"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lang w:val="en-US"/>
              </w:rPr>
              <w:lastRenderedPageBreak/>
              <w:t>ITU-D contribution to the implementation of the WSIS Plan of Action and the 2030 Agenda for Sustainable Development</w:t>
            </w:r>
            <w:r w:rsidRPr="009110C1">
              <w:rPr>
                <w:rFonts w:eastAsiaTheme="minorEastAsia" w:cstheme="minorBidi"/>
                <w:sz w:val="22"/>
                <w:szCs w:val="22"/>
              </w:rPr>
              <w:t xml:space="preserve">  </w:t>
            </w:r>
          </w:p>
        </w:tc>
        <w:tc>
          <w:tcPr>
            <w:tcW w:w="5994" w:type="dxa"/>
            <w:tcBorders>
              <w:top w:val="nil"/>
              <w:left w:val="nil"/>
              <w:bottom w:val="single" w:sz="4" w:space="0" w:color="auto"/>
              <w:right w:val="single" w:sz="4" w:space="0" w:color="auto"/>
            </w:tcBorders>
            <w:shd w:val="clear" w:color="auto" w:fill="auto"/>
            <w:vAlign w:val="center"/>
            <w:hideMark/>
          </w:tcPr>
          <w:p w14:paraId="545DE88E" w14:textId="5D8719DF" w:rsidR="10EA8717" w:rsidRPr="009110C1" w:rsidRDefault="225DBC92"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TDAG called upon BDT to continue highlighting member’s existing needs and circumstances, including infrastructure requirements, and how such needs could be addressed to strengthen ICTs as a cross-cutting tool to achieve the SDGs. TDAG noted the document with the various clarifications and additions provided.</w:t>
            </w:r>
          </w:p>
        </w:tc>
      </w:tr>
      <w:tr w:rsidR="00F14711" w14:paraId="034BDF82"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6BBCA508" w14:textId="48FB269A" w:rsidR="10EA8717"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lang w:val="en-US"/>
              </w:rPr>
              <w:t>ITU-D four-year rolling Operational Plan 2019-2022</w:t>
            </w:r>
          </w:p>
        </w:tc>
        <w:tc>
          <w:tcPr>
            <w:tcW w:w="5994" w:type="dxa"/>
            <w:tcBorders>
              <w:top w:val="nil"/>
              <w:left w:val="nil"/>
              <w:bottom w:val="single" w:sz="4" w:space="0" w:color="auto"/>
              <w:right w:val="single" w:sz="4" w:space="0" w:color="auto"/>
            </w:tcBorders>
            <w:shd w:val="clear" w:color="auto" w:fill="auto"/>
            <w:vAlign w:val="center"/>
            <w:hideMark/>
          </w:tcPr>
          <w:p w14:paraId="40910E00" w14:textId="74D73E1B" w:rsidR="10EA8717" w:rsidRPr="009110C1" w:rsidRDefault="225DBC92"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TDAG supported the document with appreciation, including a slight revision already reflected in the final report of WTDC-17.</w:t>
            </w:r>
          </w:p>
        </w:tc>
      </w:tr>
      <w:tr w:rsidR="00F14711" w14:paraId="2B64D83B"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29888789" w14:textId="71A7310B" w:rsidR="10EA8717"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rPr>
              <w:t>Draft four-year rolling Operational Plan for the General Secretariat for the period 2019-2022</w:t>
            </w:r>
          </w:p>
        </w:tc>
        <w:tc>
          <w:tcPr>
            <w:tcW w:w="5994" w:type="dxa"/>
            <w:tcBorders>
              <w:top w:val="nil"/>
              <w:left w:val="nil"/>
              <w:bottom w:val="single" w:sz="4" w:space="0" w:color="auto"/>
              <w:right w:val="single" w:sz="4" w:space="0" w:color="auto"/>
            </w:tcBorders>
            <w:shd w:val="clear" w:color="auto" w:fill="auto"/>
            <w:vAlign w:val="center"/>
            <w:hideMark/>
          </w:tcPr>
          <w:p w14:paraId="034674DB" w14:textId="25C88271" w:rsidR="10EA8717" w:rsidRPr="009110C1" w:rsidRDefault="225DBC92"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TDAG noted the document with appreciation.</w:t>
            </w:r>
          </w:p>
        </w:tc>
      </w:tr>
      <w:tr w:rsidR="00F14711" w14:paraId="2675934C"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2AFDC77A" w14:textId="055025A2" w:rsidR="10EA8717" w:rsidRPr="009110C1" w:rsidRDefault="225DBC92" w:rsidP="632A2ABB">
            <w:pPr>
              <w:spacing w:before="60" w:after="60"/>
              <w:rPr>
                <w:rFonts w:eastAsiaTheme="minorEastAsia" w:cstheme="minorBidi"/>
                <w:sz w:val="22"/>
                <w:szCs w:val="22"/>
              </w:rPr>
            </w:pPr>
            <w:r w:rsidRPr="009110C1">
              <w:rPr>
                <w:rFonts w:eastAsiaTheme="minorEastAsia" w:cstheme="minorBidi"/>
                <w:sz w:val="22"/>
                <w:szCs w:val="22"/>
                <w:lang w:val="en-US"/>
              </w:rPr>
              <w:t>ITU-D Study Group-related matters</w:t>
            </w:r>
          </w:p>
        </w:tc>
        <w:tc>
          <w:tcPr>
            <w:tcW w:w="5994" w:type="dxa"/>
            <w:tcBorders>
              <w:top w:val="nil"/>
              <w:left w:val="nil"/>
              <w:bottom w:val="single" w:sz="4" w:space="0" w:color="auto"/>
              <w:right w:val="single" w:sz="4" w:space="0" w:color="auto"/>
            </w:tcBorders>
            <w:shd w:val="clear" w:color="auto" w:fill="auto"/>
            <w:vAlign w:val="center"/>
            <w:hideMark/>
          </w:tcPr>
          <w:p w14:paraId="5D5CDE79" w14:textId="09009D9B" w:rsidR="10EA8717" w:rsidRPr="009110C1" w:rsidRDefault="34277DA6" w:rsidP="05C1679F">
            <w:pPr>
              <w:spacing w:before="60" w:after="60"/>
              <w:rPr>
                <w:rFonts w:eastAsiaTheme="minorEastAsia" w:cstheme="minorBidi"/>
                <w:sz w:val="22"/>
                <w:szCs w:val="22"/>
                <w:lang w:val="en-US"/>
              </w:rPr>
            </w:pPr>
            <w:r w:rsidRPr="05C1679F">
              <w:rPr>
                <w:rFonts w:eastAsiaTheme="minorEastAsia" w:cstheme="minorBidi"/>
                <w:sz w:val="22"/>
                <w:szCs w:val="22"/>
                <w:lang w:val="en-US"/>
              </w:rPr>
              <w:t>The chairman welcomed both Study Group chairmen, highlighting new developments in the Study Group working methods for this period, including pilot project to promote SME participation</w:t>
            </w:r>
            <w:r w:rsidR="00DFC8AD" w:rsidRPr="05C1679F">
              <w:rPr>
                <w:rFonts w:eastAsiaTheme="minorEastAsia" w:cstheme="minorBidi"/>
                <w:sz w:val="22"/>
                <w:szCs w:val="22"/>
                <w:lang w:val="en-US"/>
              </w:rPr>
              <w:t>.</w:t>
            </w:r>
            <w:r w:rsidRPr="05C1679F">
              <w:rPr>
                <w:rFonts w:eastAsiaTheme="minorEastAsia" w:cstheme="minorBidi"/>
                <w:sz w:val="22"/>
                <w:szCs w:val="22"/>
                <w:lang w:val="en-US"/>
              </w:rPr>
              <w:t xml:space="preserve"> TDAG welcomed both documents</w:t>
            </w:r>
            <w:r w:rsidR="00DFC8AD" w:rsidRPr="05C1679F">
              <w:rPr>
                <w:rFonts w:eastAsiaTheme="minorEastAsia" w:cstheme="minorBidi"/>
                <w:sz w:val="22"/>
                <w:szCs w:val="22"/>
                <w:lang w:val="en-US"/>
              </w:rPr>
              <w:t xml:space="preserve"> </w:t>
            </w:r>
            <w:r w:rsidR="27F2D324" w:rsidRPr="05C1679F">
              <w:rPr>
                <w:rFonts w:eastAsiaTheme="minorEastAsia" w:cstheme="minorBidi"/>
                <w:sz w:val="22"/>
                <w:szCs w:val="22"/>
                <w:lang w:val="en-US"/>
              </w:rPr>
              <w:t xml:space="preserve">TDAG-18/12 and 13 </w:t>
            </w:r>
            <w:r w:rsidR="00DFC8AD" w:rsidRPr="05C1679F">
              <w:rPr>
                <w:rFonts w:eastAsiaTheme="minorEastAsia" w:cstheme="minorBidi"/>
                <w:sz w:val="22"/>
                <w:szCs w:val="22"/>
                <w:lang w:val="en-US"/>
              </w:rPr>
              <w:t>from the Study Groups</w:t>
            </w:r>
            <w:r w:rsidRPr="05C1679F">
              <w:rPr>
                <w:rFonts w:eastAsiaTheme="minorEastAsia" w:cstheme="minorBidi"/>
                <w:sz w:val="22"/>
                <w:szCs w:val="22"/>
                <w:lang w:val="en-US"/>
              </w:rPr>
              <w:t>.</w:t>
            </w:r>
          </w:p>
        </w:tc>
      </w:tr>
      <w:tr w:rsidR="00F14711" w14:paraId="25CAFCC8"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A41699D" w14:textId="5EDDD389"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Proposal for holding a panel session on Early Warning System (EWS) in the first ITU-D SG2 Meeting</w:t>
            </w:r>
          </w:p>
        </w:tc>
        <w:tc>
          <w:tcPr>
            <w:tcW w:w="5994" w:type="dxa"/>
            <w:tcBorders>
              <w:top w:val="nil"/>
              <w:left w:val="nil"/>
              <w:bottom w:val="single" w:sz="4" w:space="0" w:color="auto"/>
              <w:right w:val="single" w:sz="4" w:space="0" w:color="auto"/>
            </w:tcBorders>
            <w:shd w:val="clear" w:color="auto" w:fill="auto"/>
            <w:vAlign w:val="center"/>
            <w:hideMark/>
          </w:tcPr>
          <w:p w14:paraId="5A991F4F" w14:textId="473004F9"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TDAG noted the information, which was submitted to inform participants about important upcoming Study Group activities. TDAG noted its appreciation for the work on Early Warning Systems and for efforts to organize the workshop to enrich the work of the </w:t>
            </w:r>
            <w:proofErr w:type="gramStart"/>
            <w:r w:rsidRPr="009110C1">
              <w:rPr>
                <w:rFonts w:eastAsiaTheme="minorEastAsia" w:cstheme="minorBidi"/>
                <w:sz w:val="22"/>
                <w:szCs w:val="22"/>
                <w:lang w:val="en-US"/>
              </w:rPr>
              <w:t>Study  Question</w:t>
            </w:r>
            <w:proofErr w:type="gramEnd"/>
            <w:r w:rsidRPr="009110C1">
              <w:rPr>
                <w:rFonts w:eastAsiaTheme="minorEastAsia" w:cstheme="minorBidi"/>
                <w:sz w:val="22"/>
                <w:szCs w:val="22"/>
                <w:lang w:val="en-US"/>
              </w:rPr>
              <w:t>. TDAG also suggested that the next study group meetings could identify further topics that could be the subject of workshops or seminars at future such meetings.</w:t>
            </w:r>
          </w:p>
        </w:tc>
      </w:tr>
      <w:tr w:rsidR="00F14711" w14:paraId="738E8EFA"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2F5FB432" w14:textId="0AA0CEDD"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Regional Development Forums (RDFs)</w:t>
            </w:r>
          </w:p>
        </w:tc>
        <w:tc>
          <w:tcPr>
            <w:tcW w:w="5994" w:type="dxa"/>
            <w:tcBorders>
              <w:top w:val="nil"/>
              <w:left w:val="nil"/>
              <w:bottom w:val="single" w:sz="4" w:space="0" w:color="auto"/>
              <w:right w:val="single" w:sz="4" w:space="0" w:color="auto"/>
            </w:tcBorders>
            <w:shd w:val="clear" w:color="auto" w:fill="auto"/>
            <w:vAlign w:val="center"/>
            <w:hideMark/>
          </w:tcPr>
          <w:p w14:paraId="4E8C7C5D" w14:textId="37E55A3F"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TDAG welcomed and noted the report, which provided an update on the six Regional Development Forums (RDFs), scheduled to be held in 2018, </w:t>
            </w:r>
            <w:proofErr w:type="gramStart"/>
            <w:r w:rsidRPr="009110C1">
              <w:rPr>
                <w:rFonts w:eastAsiaTheme="minorEastAsia" w:cstheme="minorBidi"/>
                <w:sz w:val="22"/>
                <w:szCs w:val="22"/>
                <w:lang w:val="en-US"/>
              </w:rPr>
              <w:t>taking into account</w:t>
            </w:r>
            <w:proofErr w:type="gramEnd"/>
            <w:r w:rsidRPr="009110C1">
              <w:rPr>
                <w:rFonts w:eastAsiaTheme="minorEastAsia" w:cstheme="minorBidi"/>
                <w:sz w:val="22"/>
                <w:szCs w:val="22"/>
                <w:lang w:val="en-US"/>
              </w:rPr>
              <w:t xml:space="preserve"> the outcomes of WTDC-17 that resolved to strengthen the platforms for regional coordination. In particular, the report emphasized RDF’s role as both a framework </w:t>
            </w:r>
            <w:proofErr w:type="gramStart"/>
            <w:r w:rsidRPr="009110C1">
              <w:rPr>
                <w:rFonts w:eastAsiaTheme="minorEastAsia" w:cstheme="minorBidi"/>
                <w:sz w:val="22"/>
                <w:szCs w:val="22"/>
                <w:lang w:val="en-US"/>
              </w:rPr>
              <w:t>for  implementation</w:t>
            </w:r>
            <w:proofErr w:type="gramEnd"/>
            <w:r w:rsidRPr="009110C1">
              <w:rPr>
                <w:rFonts w:eastAsiaTheme="minorEastAsia" w:cstheme="minorBidi"/>
                <w:sz w:val="22"/>
                <w:szCs w:val="22"/>
                <w:lang w:val="en-US"/>
              </w:rPr>
              <w:t xml:space="preserve"> and as a contributor to the implementation of the WSIS Action Lines and SDGs and included the schedule of RDFs for 2018.</w:t>
            </w:r>
          </w:p>
        </w:tc>
      </w:tr>
      <w:tr w:rsidR="00F14711" w14:paraId="4499C925"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D37D3E9" w14:textId="70F1C335"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Global Symposium for Regulators (GSR)  </w:t>
            </w:r>
          </w:p>
        </w:tc>
        <w:tc>
          <w:tcPr>
            <w:tcW w:w="5994" w:type="dxa"/>
            <w:tcBorders>
              <w:top w:val="nil"/>
              <w:left w:val="nil"/>
              <w:bottom w:val="single" w:sz="4" w:space="0" w:color="auto"/>
              <w:right w:val="single" w:sz="4" w:space="0" w:color="auto"/>
            </w:tcBorders>
            <w:shd w:val="clear" w:color="auto" w:fill="auto"/>
            <w:vAlign w:val="center"/>
            <w:hideMark/>
          </w:tcPr>
          <w:p w14:paraId="0CED9604" w14:textId="445F6252"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TDAG noted the report, which summarized the 17th edition of the Global Symposium for Regulators (GSR-17) and provided information on GSR-18</w:t>
            </w:r>
            <w:r w:rsidR="1A43078B" w:rsidRPr="632A2ABB">
              <w:rPr>
                <w:rFonts w:eastAsiaTheme="minorEastAsia" w:cstheme="minorBidi"/>
                <w:sz w:val="22"/>
                <w:szCs w:val="22"/>
                <w:lang w:val="en-US"/>
              </w:rPr>
              <w:t>,</w:t>
            </w:r>
            <w:r w:rsidRPr="009110C1">
              <w:rPr>
                <w:rFonts w:eastAsiaTheme="minorEastAsia" w:cstheme="minorBidi"/>
                <w:sz w:val="22"/>
                <w:szCs w:val="22"/>
                <w:lang w:val="en-US"/>
              </w:rPr>
              <w:t xml:space="preserve"> with appreciation.</w:t>
            </w:r>
          </w:p>
        </w:tc>
      </w:tr>
      <w:tr w:rsidR="00F14711" w14:paraId="345D025B" w14:textId="77777777" w:rsidTr="009C1AC1">
        <w:trPr>
          <w:cantSplit/>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A4A6421" w14:textId="188572F3"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lastRenderedPageBreak/>
              <w:t>Capacity building activities</w:t>
            </w:r>
          </w:p>
        </w:tc>
        <w:tc>
          <w:tcPr>
            <w:tcW w:w="5994" w:type="dxa"/>
            <w:tcBorders>
              <w:top w:val="nil"/>
              <w:left w:val="nil"/>
              <w:bottom w:val="single" w:sz="4" w:space="0" w:color="auto"/>
              <w:right w:val="single" w:sz="4" w:space="0" w:color="auto"/>
            </w:tcBorders>
            <w:shd w:val="clear" w:color="auto" w:fill="auto"/>
            <w:vAlign w:val="center"/>
            <w:hideMark/>
          </w:tcPr>
          <w:p w14:paraId="0B0292A8" w14:textId="34A7D8D9" w:rsidR="2CA3DF3E" w:rsidRPr="009110C1" w:rsidRDefault="138F59B7" w:rsidP="05C1679F">
            <w:pPr>
              <w:spacing w:before="60" w:after="60"/>
              <w:rPr>
                <w:rFonts w:eastAsiaTheme="minorEastAsia" w:cstheme="minorBidi"/>
                <w:sz w:val="22"/>
                <w:szCs w:val="22"/>
                <w:lang w:val="en-US"/>
              </w:rPr>
            </w:pPr>
            <w:r w:rsidRPr="05C1679F">
              <w:rPr>
                <w:rFonts w:eastAsiaTheme="minorEastAsia" w:cstheme="minorBidi"/>
                <w:sz w:val="22"/>
                <w:szCs w:val="22"/>
                <w:lang w:val="en-US"/>
              </w:rPr>
              <w:t>G</w:t>
            </w:r>
            <w:r w:rsidR="00DFC8AD" w:rsidRPr="05C1679F">
              <w:rPr>
                <w:rFonts w:eastAsiaTheme="minorEastAsia" w:cstheme="minorBidi"/>
                <w:sz w:val="22"/>
                <w:szCs w:val="22"/>
                <w:lang w:val="en-US"/>
              </w:rPr>
              <w:t xml:space="preserve">lobal </w:t>
            </w:r>
            <w:r w:rsidRPr="05C1679F">
              <w:rPr>
                <w:rFonts w:eastAsiaTheme="minorEastAsia" w:cstheme="minorBidi"/>
                <w:sz w:val="22"/>
                <w:szCs w:val="22"/>
                <w:lang w:val="en-US"/>
              </w:rPr>
              <w:t>C</w:t>
            </w:r>
            <w:r w:rsidR="00DFC8AD" w:rsidRPr="05C1679F">
              <w:rPr>
                <w:rFonts w:eastAsiaTheme="minorEastAsia" w:cstheme="minorBidi"/>
                <w:sz w:val="22"/>
                <w:szCs w:val="22"/>
                <w:lang w:val="en-US"/>
              </w:rPr>
              <w:t xml:space="preserve">apacity </w:t>
            </w:r>
            <w:r w:rsidRPr="05C1679F">
              <w:rPr>
                <w:rFonts w:eastAsiaTheme="minorEastAsia" w:cstheme="minorBidi"/>
                <w:sz w:val="22"/>
                <w:szCs w:val="22"/>
                <w:lang w:val="en-US"/>
              </w:rPr>
              <w:t>B</w:t>
            </w:r>
            <w:r w:rsidR="00DFC8AD" w:rsidRPr="05C1679F">
              <w:rPr>
                <w:rFonts w:eastAsiaTheme="minorEastAsia" w:cstheme="minorBidi"/>
                <w:sz w:val="22"/>
                <w:szCs w:val="22"/>
                <w:lang w:val="en-US"/>
              </w:rPr>
              <w:t xml:space="preserve">uilding </w:t>
            </w:r>
            <w:r w:rsidRPr="05C1679F">
              <w:rPr>
                <w:rFonts w:eastAsiaTheme="minorEastAsia" w:cstheme="minorBidi"/>
                <w:sz w:val="22"/>
                <w:szCs w:val="22"/>
                <w:lang w:val="en-US"/>
              </w:rPr>
              <w:t>I</w:t>
            </w:r>
            <w:r w:rsidR="00DFC8AD" w:rsidRPr="05C1679F">
              <w:rPr>
                <w:rFonts w:eastAsiaTheme="minorEastAsia" w:cstheme="minorBidi"/>
                <w:sz w:val="22"/>
                <w:szCs w:val="22"/>
                <w:lang w:val="en-US"/>
              </w:rPr>
              <w:t>nitiative (GCBI)</w:t>
            </w:r>
            <w:r w:rsidRPr="05C1679F">
              <w:rPr>
                <w:rFonts w:eastAsiaTheme="minorEastAsia" w:cstheme="minorBidi"/>
                <w:sz w:val="22"/>
                <w:szCs w:val="22"/>
                <w:lang w:val="en-US"/>
              </w:rPr>
              <w:t xml:space="preserve">: TDAG congratulated the GCBI Chairman for the report and the GCBI for the important work </w:t>
            </w:r>
            <w:proofErr w:type="gramStart"/>
            <w:r w:rsidRPr="05C1679F">
              <w:rPr>
                <w:rFonts w:eastAsiaTheme="minorEastAsia" w:cstheme="minorBidi"/>
                <w:sz w:val="22"/>
                <w:szCs w:val="22"/>
                <w:lang w:val="en-US"/>
              </w:rPr>
              <w:t>accomplished, and</w:t>
            </w:r>
            <w:proofErr w:type="gramEnd"/>
            <w:r w:rsidRPr="05C1679F">
              <w:rPr>
                <w:rFonts w:eastAsiaTheme="minorEastAsia" w:cstheme="minorBidi"/>
                <w:sz w:val="22"/>
                <w:szCs w:val="22"/>
                <w:lang w:val="en-US"/>
              </w:rPr>
              <w:t xml:space="preserve"> encouraged GCBI members to continue their good work.  A key recommendation from GCBI was to expand the target group of ITU’s capacity building activities to reflect the changing ecosystem, e.g. SMEs, microenterprises, students, youth, women, civil society and academia.  </w:t>
            </w:r>
          </w:p>
          <w:p w14:paraId="363232DE" w14:textId="12245321" w:rsidR="2CA3DF3E" w:rsidRPr="009110C1" w:rsidRDefault="138F59B7" w:rsidP="05C1679F">
            <w:pPr>
              <w:spacing w:before="60" w:after="60"/>
              <w:rPr>
                <w:rFonts w:eastAsiaTheme="minorEastAsia" w:cstheme="minorBidi"/>
                <w:sz w:val="22"/>
                <w:szCs w:val="22"/>
                <w:lang w:val="en-US"/>
              </w:rPr>
            </w:pPr>
            <w:r w:rsidRPr="05C1679F">
              <w:rPr>
                <w:rFonts w:eastAsiaTheme="minorEastAsia" w:cstheme="minorBidi"/>
                <w:sz w:val="22"/>
                <w:szCs w:val="22"/>
                <w:lang w:val="en-US"/>
              </w:rPr>
              <w:t xml:space="preserve">TDAG thanked the Chairman of GCBI and took note of the report. </w:t>
            </w:r>
          </w:p>
          <w:p w14:paraId="088F58C2" w14:textId="464033E4"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Report on Capacity building initiatives: TDAG welcomed the report and congratulated BDT on its activities in this area.   </w:t>
            </w:r>
          </w:p>
        </w:tc>
      </w:tr>
      <w:tr w:rsidR="00F14711" w14:paraId="79B65F7D"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619458B0" w14:textId="0666E5C6"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World Telecommunication/ICT Indicators Symposium (WTIS)  </w:t>
            </w:r>
          </w:p>
        </w:tc>
        <w:tc>
          <w:tcPr>
            <w:tcW w:w="5994" w:type="dxa"/>
            <w:tcBorders>
              <w:top w:val="nil"/>
              <w:left w:val="nil"/>
              <w:bottom w:val="single" w:sz="4" w:space="0" w:color="auto"/>
              <w:right w:val="single" w:sz="4" w:space="0" w:color="auto"/>
            </w:tcBorders>
            <w:shd w:val="clear" w:color="auto" w:fill="auto"/>
            <w:vAlign w:val="center"/>
            <w:hideMark/>
          </w:tcPr>
          <w:p w14:paraId="3FADCD49" w14:textId="28137F02"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Document 19: TDAG noted the report with appreciation. </w:t>
            </w:r>
          </w:p>
          <w:p w14:paraId="4328CCCF" w14:textId="5EC991D6"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Document 31: TDAG welcomed the proposals, noting that suggestions made could be considered and further discussed in future expert groups and in study group meetings, </w:t>
            </w:r>
            <w:proofErr w:type="gramStart"/>
            <w:r w:rsidRPr="009110C1">
              <w:rPr>
                <w:rFonts w:eastAsiaTheme="minorEastAsia" w:cstheme="minorBidi"/>
                <w:sz w:val="22"/>
                <w:szCs w:val="22"/>
                <w:lang w:val="en-US"/>
              </w:rPr>
              <w:t>so as to</w:t>
            </w:r>
            <w:proofErr w:type="gramEnd"/>
            <w:r w:rsidRPr="009110C1">
              <w:rPr>
                <w:rFonts w:eastAsiaTheme="minorEastAsia" w:cstheme="minorBidi"/>
                <w:sz w:val="22"/>
                <w:szCs w:val="22"/>
                <w:lang w:val="en-US"/>
              </w:rPr>
              <w:t xml:space="preserve"> stabilize the recently made changes to the IDI framework and methodology. </w:t>
            </w:r>
          </w:p>
        </w:tc>
      </w:tr>
      <w:tr w:rsidR="00F14711" w14:paraId="29E42D1D"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1458C875" w14:textId="1CCCA78E"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ITU-D Innovation</w:t>
            </w:r>
          </w:p>
        </w:tc>
        <w:tc>
          <w:tcPr>
            <w:tcW w:w="5994" w:type="dxa"/>
            <w:tcBorders>
              <w:top w:val="nil"/>
              <w:left w:val="nil"/>
              <w:bottom w:val="single" w:sz="4" w:space="0" w:color="auto"/>
              <w:right w:val="single" w:sz="4" w:space="0" w:color="auto"/>
            </w:tcBorders>
            <w:shd w:val="clear" w:color="auto" w:fill="auto"/>
            <w:vAlign w:val="center"/>
            <w:hideMark/>
          </w:tcPr>
          <w:p w14:paraId="7D88AA35" w14:textId="7A638D9C"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TDAG noted the report, which provided an overview of this topic as one of the outputs and goals adopted at WTDC-17 and PP-14, respectively.  </w:t>
            </w:r>
          </w:p>
        </w:tc>
      </w:tr>
      <w:tr w:rsidR="00F14711" w14:paraId="7559EE1C"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56466666" w14:textId="5F2719A4"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color w:val="000000" w:themeColor="text1"/>
                <w:sz w:val="22"/>
                <w:szCs w:val="22"/>
                <w:lang w:val="en-US"/>
              </w:rPr>
              <w:t>Membership, Partnership, Private Sector-related matters</w:t>
            </w:r>
          </w:p>
        </w:tc>
        <w:tc>
          <w:tcPr>
            <w:tcW w:w="5994" w:type="dxa"/>
            <w:tcBorders>
              <w:top w:val="nil"/>
              <w:left w:val="nil"/>
              <w:bottom w:val="single" w:sz="4" w:space="0" w:color="auto"/>
              <w:right w:val="single" w:sz="4" w:space="0" w:color="auto"/>
            </w:tcBorders>
            <w:shd w:val="clear" w:color="auto" w:fill="auto"/>
            <w:vAlign w:val="center"/>
            <w:hideMark/>
          </w:tcPr>
          <w:p w14:paraId="08BC810B" w14:textId="1D0D8151" w:rsidR="2CA3DF3E" w:rsidRPr="009110C1" w:rsidRDefault="383C9611" w:rsidP="632A2ABB">
            <w:pPr>
              <w:spacing w:before="60" w:after="60"/>
              <w:rPr>
                <w:rFonts w:eastAsiaTheme="minorEastAsia" w:cstheme="minorBidi"/>
                <w:color w:val="000000" w:themeColor="text1"/>
                <w:sz w:val="22"/>
                <w:szCs w:val="22"/>
                <w:lang w:val="en-US"/>
              </w:rPr>
            </w:pPr>
            <w:r w:rsidRPr="009110C1">
              <w:rPr>
                <w:rFonts w:eastAsiaTheme="minorEastAsia" w:cstheme="minorBidi"/>
                <w:color w:val="000000" w:themeColor="text1"/>
                <w:sz w:val="22"/>
                <w:szCs w:val="22"/>
                <w:lang w:val="en-US"/>
              </w:rPr>
              <w:t>Document 20: TDAG welcomed the information and noted the report with appreciation.</w:t>
            </w:r>
          </w:p>
          <w:p w14:paraId="42D73BCD" w14:textId="366236E3" w:rsidR="2CA3DF3E" w:rsidRPr="009110C1" w:rsidRDefault="383C9611" w:rsidP="632A2ABB">
            <w:pPr>
              <w:spacing w:before="60" w:after="60"/>
              <w:rPr>
                <w:rFonts w:eastAsiaTheme="minorEastAsia" w:cstheme="minorBidi"/>
                <w:color w:val="000000" w:themeColor="text1"/>
                <w:sz w:val="22"/>
                <w:szCs w:val="22"/>
                <w:lang w:val="en-US"/>
              </w:rPr>
            </w:pPr>
            <w:r w:rsidRPr="009110C1">
              <w:rPr>
                <w:rFonts w:eastAsiaTheme="minorEastAsia" w:cstheme="minorBidi"/>
                <w:color w:val="000000" w:themeColor="text1"/>
                <w:sz w:val="22"/>
                <w:szCs w:val="22"/>
                <w:lang w:val="en-US"/>
              </w:rPr>
              <w:t>Document 21(Rev.1): TDAG welcomed the report and its annex and noted both with appreciation.</w:t>
            </w:r>
          </w:p>
          <w:p w14:paraId="665F3519" w14:textId="73EAEFF9" w:rsidR="2CA3DF3E" w:rsidRPr="009110C1" w:rsidRDefault="383C9611" w:rsidP="632A2ABB">
            <w:pPr>
              <w:spacing w:before="60" w:after="60"/>
              <w:rPr>
                <w:rFonts w:eastAsiaTheme="minorEastAsia" w:cstheme="minorBidi"/>
                <w:color w:val="000000" w:themeColor="text1"/>
                <w:sz w:val="22"/>
                <w:szCs w:val="22"/>
                <w:lang w:val="en-US"/>
              </w:rPr>
            </w:pPr>
            <w:r w:rsidRPr="009110C1">
              <w:rPr>
                <w:rFonts w:eastAsiaTheme="minorEastAsia" w:cstheme="minorBidi"/>
                <w:color w:val="000000" w:themeColor="text1"/>
                <w:sz w:val="22"/>
                <w:szCs w:val="22"/>
                <w:lang w:val="en-US"/>
              </w:rPr>
              <w:t xml:space="preserve">Document 26: TDAG noted the contribution with appreciation. </w:t>
            </w:r>
          </w:p>
          <w:p w14:paraId="608DE7C9" w14:textId="4EEAB6EA"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 xml:space="preserve">Document 33: TDAG supported this document and agreed on the important role that the private sector </w:t>
            </w:r>
            <w:proofErr w:type="gramStart"/>
            <w:r w:rsidRPr="009110C1">
              <w:rPr>
                <w:rFonts w:eastAsiaTheme="minorEastAsia" w:cstheme="minorBidi"/>
                <w:sz w:val="22"/>
                <w:szCs w:val="22"/>
                <w:lang w:val="en-US"/>
              </w:rPr>
              <w:t>has to</w:t>
            </w:r>
            <w:proofErr w:type="gramEnd"/>
            <w:r w:rsidRPr="009110C1">
              <w:rPr>
                <w:rFonts w:eastAsiaTheme="minorEastAsia" w:cstheme="minorBidi"/>
                <w:sz w:val="22"/>
                <w:szCs w:val="22"/>
                <w:lang w:val="en-US"/>
              </w:rPr>
              <w:t xml:space="preserve"> play in the Development Sector, as indicated in Resolution 71. TDAG acknowledged the fast pace of the technology sector and how regulators, especially in developing countries, should encourage a proper regulatory environment to promote healthy competition and industry growth. </w:t>
            </w:r>
          </w:p>
          <w:p w14:paraId="7F2A787E" w14:textId="4C947656"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sz w:val="22"/>
                <w:szCs w:val="22"/>
                <w:lang w:val="en-US"/>
              </w:rPr>
              <w:t>TDAG also noted that the first IAGDI activity is tentatively planned for GSR 2018, and that work is being undertaken with the BDT to establish the IAGDI structure.</w:t>
            </w:r>
          </w:p>
        </w:tc>
      </w:tr>
      <w:tr w:rsidR="00F14711" w14:paraId="4BBC8E15"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1AF8349B" w14:textId="61073B0D" w:rsidR="2CA3DF3E" w:rsidRPr="009110C1" w:rsidRDefault="383C9611" w:rsidP="632A2ABB">
            <w:pPr>
              <w:spacing w:before="60" w:after="60"/>
              <w:rPr>
                <w:rFonts w:eastAsiaTheme="minorEastAsia" w:cstheme="minorBidi"/>
                <w:color w:val="000000" w:themeColor="text1"/>
                <w:sz w:val="22"/>
                <w:szCs w:val="22"/>
                <w:lang w:val="en-US"/>
              </w:rPr>
            </w:pPr>
            <w:r w:rsidRPr="009110C1">
              <w:rPr>
                <w:rFonts w:eastAsiaTheme="minorEastAsia" w:cstheme="minorBidi"/>
                <w:color w:val="000000" w:themeColor="text1"/>
                <w:sz w:val="22"/>
                <w:szCs w:val="22"/>
                <w:lang w:val="en-US"/>
              </w:rPr>
              <w:t>Calendar of ITU-D events</w:t>
            </w:r>
          </w:p>
        </w:tc>
        <w:tc>
          <w:tcPr>
            <w:tcW w:w="5994" w:type="dxa"/>
            <w:tcBorders>
              <w:top w:val="nil"/>
              <w:left w:val="nil"/>
              <w:bottom w:val="single" w:sz="4" w:space="0" w:color="auto"/>
              <w:right w:val="single" w:sz="4" w:space="0" w:color="auto"/>
            </w:tcBorders>
            <w:shd w:val="clear" w:color="auto" w:fill="auto"/>
            <w:vAlign w:val="center"/>
            <w:hideMark/>
          </w:tcPr>
          <w:p w14:paraId="326D252A" w14:textId="52C758EA" w:rsidR="2CA3DF3E" w:rsidRPr="009110C1" w:rsidRDefault="383C9611" w:rsidP="632A2ABB">
            <w:pPr>
              <w:spacing w:before="60" w:after="60"/>
              <w:rPr>
                <w:rFonts w:eastAsiaTheme="minorEastAsia" w:cstheme="minorBidi"/>
                <w:sz w:val="22"/>
                <w:szCs w:val="22"/>
                <w:lang w:val="en-US"/>
              </w:rPr>
            </w:pPr>
            <w:r w:rsidRPr="009110C1">
              <w:rPr>
                <w:rFonts w:eastAsiaTheme="minorEastAsia" w:cstheme="minorBidi"/>
                <w:color w:val="000000" w:themeColor="text1"/>
                <w:sz w:val="22"/>
                <w:szCs w:val="22"/>
                <w:lang w:val="en-US"/>
              </w:rPr>
              <w:t>TDAG noted the events planned for the period 2018-2021</w:t>
            </w:r>
            <w:r w:rsidRPr="009110C1">
              <w:rPr>
                <w:rFonts w:eastAsiaTheme="minorEastAsia" w:cstheme="minorBidi"/>
                <w:sz w:val="22"/>
                <w:szCs w:val="22"/>
                <w:lang w:val="en-US"/>
              </w:rPr>
              <w:t>.</w:t>
            </w:r>
          </w:p>
        </w:tc>
      </w:tr>
    </w:tbl>
    <w:p w14:paraId="3AA787E5" w14:textId="5DB79809" w:rsidR="18440CF1" w:rsidRDefault="18440CF1"/>
    <w:p w14:paraId="0AF02532" w14:textId="55A7CED4" w:rsidR="00BD257F" w:rsidRPr="0055628F" w:rsidRDefault="00BD257F" w:rsidP="00E45BE1">
      <w:pPr>
        <w:pStyle w:val="Heading2"/>
        <w:keepNext/>
      </w:pPr>
      <w:bookmarkStart w:id="19" w:name="_Toc482300239"/>
      <w:bookmarkStart w:id="20" w:name="_Toc85818103"/>
      <w:r>
        <w:t>2</w:t>
      </w:r>
      <w:r w:rsidR="0050C430">
        <w:t>4</w:t>
      </w:r>
      <w:r>
        <w:t>th TDAG Meeting</w:t>
      </w:r>
      <w:bookmarkEnd w:id="19"/>
      <w:bookmarkEnd w:id="20"/>
    </w:p>
    <w:p w14:paraId="638B38D3" w14:textId="22CA8E52" w:rsidR="00470A26" w:rsidRPr="00470A26" w:rsidRDefault="00BD257F" w:rsidP="001B769C">
      <w:pPr>
        <w:pStyle w:val="ListParagraph"/>
        <w:numPr>
          <w:ilvl w:val="0"/>
          <w:numId w:val="6"/>
        </w:numPr>
        <w:tabs>
          <w:tab w:val="clear" w:pos="1134"/>
          <w:tab w:val="clear" w:pos="1871"/>
          <w:tab w:val="left" w:pos="426"/>
        </w:tabs>
        <w:ind w:left="0" w:firstLine="0"/>
        <w:rPr>
          <w:rFonts w:eastAsiaTheme="minorEastAsia" w:cstheme="minorBidi"/>
          <w:szCs w:val="24"/>
        </w:rPr>
      </w:pPr>
      <w:r>
        <w:t>The 2</w:t>
      </w:r>
      <w:r w:rsidR="6B09AA28">
        <w:t>4</w:t>
      </w:r>
      <w:r>
        <w:t xml:space="preserve">th meeting of the Telecommunication Development Advisory Group (TDAG) was held at ITU headquarters in Geneva, </w:t>
      </w:r>
      <w:r w:rsidR="462F5FAB" w:rsidRPr="6CBAE345">
        <w:rPr>
          <w:rFonts w:ascii="Calibri" w:eastAsia="Calibri" w:hAnsi="Calibri" w:cs="Calibri"/>
          <w:color w:val="000000" w:themeColor="text1"/>
          <w:szCs w:val="24"/>
          <w:lang w:val="en-US"/>
        </w:rPr>
        <w:t>from 3 to 5 April 2019, under the chairmanship of Ms</w:t>
      </w:r>
      <w:r w:rsidR="003950EF">
        <w:rPr>
          <w:rFonts w:ascii="Calibri" w:eastAsia="Calibri" w:hAnsi="Calibri" w:cs="Calibri"/>
          <w:color w:val="000000" w:themeColor="text1"/>
          <w:szCs w:val="24"/>
          <w:lang w:val="en-US"/>
        </w:rPr>
        <w:t> </w:t>
      </w:r>
      <w:r w:rsidR="462F5FAB" w:rsidRPr="6CBAE345">
        <w:rPr>
          <w:rFonts w:ascii="Calibri" w:eastAsia="Calibri" w:hAnsi="Calibri" w:cs="Calibri"/>
          <w:color w:val="000000" w:themeColor="text1"/>
          <w:szCs w:val="24"/>
          <w:lang w:val="en-US"/>
        </w:rPr>
        <w:t>Roxanne McElvane Webber.</w:t>
      </w:r>
    </w:p>
    <w:p w14:paraId="1E752592" w14:textId="07A49A7C" w:rsidR="00763E92" w:rsidRPr="003950EF" w:rsidRDefault="00470A26" w:rsidP="00BD257F">
      <w:pPr>
        <w:rPr>
          <w:rStyle w:val="Hyperlink"/>
          <w:color w:val="auto"/>
          <w:u w:val="none"/>
        </w:rPr>
      </w:pPr>
      <w:r>
        <w:lastRenderedPageBreak/>
        <w:t>The 24</w:t>
      </w:r>
      <w:r w:rsidRPr="003950EF">
        <w:t>th</w:t>
      </w:r>
      <w:r>
        <w:t xml:space="preserve"> TDAG meeting was the first meeting held after the 2018 Plenipotentiary Conference (PP-18) and also featured </w:t>
      </w:r>
      <w:r w:rsidRPr="007B36B3">
        <w:rPr>
          <w:rFonts w:cstheme="minorBidi"/>
          <w:color w:val="000000" w:themeColor="text1"/>
          <w:lang w:val="en-US"/>
        </w:rPr>
        <w:t xml:space="preserve">eight breakout sessions organized by the Director </w:t>
      </w:r>
      <w:r>
        <w:rPr>
          <w:rFonts w:cstheme="minorBidi"/>
          <w:color w:val="000000" w:themeColor="text1"/>
          <w:lang w:val="en-US"/>
        </w:rPr>
        <w:t xml:space="preserve">and BDT staff </w:t>
      </w:r>
      <w:r w:rsidRPr="004C0883">
        <w:t>−</w:t>
      </w:r>
      <w:r>
        <w:t xml:space="preserve"> </w:t>
      </w:r>
      <w:r w:rsidRPr="007B36B3">
        <w:rPr>
          <w:rFonts w:cstheme="minorBidi"/>
          <w:color w:val="000000" w:themeColor="text1"/>
          <w:lang w:val="en-US"/>
        </w:rPr>
        <w:t xml:space="preserve">four on process and governance topics and four on BDT substantive areas of work, along with six informal sessions during which all ITU Regional Directors, accompanied by staff from the </w:t>
      </w:r>
      <w:r>
        <w:rPr>
          <w:rFonts w:cstheme="minorBidi"/>
          <w:color w:val="000000" w:themeColor="text1"/>
          <w:lang w:val="en-US"/>
        </w:rPr>
        <w:t>r</w:t>
      </w:r>
      <w:r w:rsidRPr="007B36B3">
        <w:rPr>
          <w:rFonts w:cstheme="minorBidi"/>
          <w:color w:val="000000" w:themeColor="text1"/>
          <w:lang w:val="en-US"/>
        </w:rPr>
        <w:t xml:space="preserve">egional </w:t>
      </w:r>
      <w:r>
        <w:rPr>
          <w:rFonts w:cstheme="minorBidi"/>
          <w:color w:val="000000" w:themeColor="text1"/>
          <w:lang w:val="en-US"/>
        </w:rPr>
        <w:t>o</w:t>
      </w:r>
      <w:r w:rsidRPr="007B36B3">
        <w:rPr>
          <w:rFonts w:cstheme="minorBidi"/>
          <w:color w:val="000000" w:themeColor="text1"/>
          <w:lang w:val="en-US"/>
        </w:rPr>
        <w:t xml:space="preserve">ffices, described activities undertaken to serve ITU membership in the </w:t>
      </w:r>
      <w:r w:rsidRPr="00BF5B1F">
        <w:rPr>
          <w:rFonts w:cstheme="minorBidi"/>
          <w:color w:val="000000" w:themeColor="text1"/>
          <w:lang w:val="en-US"/>
        </w:rPr>
        <w:t>field</w:t>
      </w:r>
      <w:r w:rsidRPr="007B36B3">
        <w:rPr>
          <w:rFonts w:cstheme="minorBidi"/>
          <w:color w:val="000000" w:themeColor="text1"/>
          <w:lang w:val="en-US"/>
        </w:rPr>
        <w:t xml:space="preserve">, particularly to implement the regional initiatives adopted at WTDC-17. </w:t>
      </w:r>
      <w:r w:rsidR="00BD257F" w:rsidRPr="00780CB0">
        <w:t>The full meeting report</w:t>
      </w:r>
      <w:r w:rsidR="00BD257F">
        <w:t xml:space="preserve">, </w:t>
      </w:r>
      <w:r w:rsidR="00BD257F" w:rsidRPr="000D31EF">
        <w:t xml:space="preserve">in </w:t>
      </w:r>
      <w:r w:rsidR="00BD257F">
        <w:t>the</w:t>
      </w:r>
      <w:r w:rsidR="00BD257F" w:rsidRPr="000D31EF">
        <w:t xml:space="preserve"> six</w:t>
      </w:r>
      <w:r w:rsidR="00BD257F">
        <w:t xml:space="preserve"> official</w:t>
      </w:r>
      <w:r w:rsidR="00BD257F" w:rsidRPr="000D31EF">
        <w:t xml:space="preserve"> languages</w:t>
      </w:r>
      <w:r w:rsidR="00BD257F">
        <w:t xml:space="preserve"> of ITU</w:t>
      </w:r>
      <w:r w:rsidR="00BD257F" w:rsidRPr="000D31EF">
        <w:t xml:space="preserve">, </w:t>
      </w:r>
      <w:r w:rsidR="00BD257F" w:rsidRPr="00780CB0">
        <w:t>is available at</w:t>
      </w:r>
      <w:r w:rsidR="003950EF">
        <w:t xml:space="preserve"> </w:t>
      </w:r>
      <w:hyperlink r:id="rId32" w:history="1">
        <w:r w:rsidR="003950EF" w:rsidRPr="003950EF">
          <w:rPr>
            <w:rStyle w:val="Hyperlink"/>
          </w:rPr>
          <w:t>this link</w:t>
        </w:r>
      </w:hyperlink>
      <w:r w:rsidR="003950EF">
        <w:t>.</w:t>
      </w:r>
    </w:p>
    <w:p w14:paraId="0699CBEE" w14:textId="77777777" w:rsidR="00763E92" w:rsidRPr="003950EF" w:rsidRDefault="00763E92" w:rsidP="001B769C">
      <w:pPr>
        <w:pStyle w:val="ListParagraph"/>
        <w:keepNext/>
        <w:numPr>
          <w:ilvl w:val="0"/>
          <w:numId w:val="6"/>
        </w:numPr>
        <w:ind w:left="425" w:hanging="425"/>
        <w:rPr>
          <w:i/>
          <w:iCs/>
        </w:rPr>
      </w:pPr>
      <w:r w:rsidRPr="003950EF">
        <w:rPr>
          <w:i/>
          <w:iCs/>
        </w:rPr>
        <w:t>Participants</w:t>
      </w:r>
    </w:p>
    <w:p w14:paraId="1A7950EA" w14:textId="6F1FEB2C" w:rsidR="007C632F" w:rsidRDefault="007C632F" w:rsidP="003950EF">
      <w:pPr>
        <w:keepNext/>
      </w:pPr>
      <w:r>
        <w:t xml:space="preserve">The following </w:t>
      </w:r>
      <w:r w:rsidR="008A49F0">
        <w:t>chart provide</w:t>
      </w:r>
      <w:r w:rsidR="00764AE0">
        <w:t>s</w:t>
      </w:r>
      <w:r>
        <w:t xml:space="preserve"> the breakdown of participants by category:</w:t>
      </w:r>
    </w:p>
    <w:p w14:paraId="4D640AAF" w14:textId="1799260C" w:rsidR="008A49F0" w:rsidRDefault="63A36FEB" w:rsidP="0077AACD">
      <w:pPr>
        <w:rPr>
          <w:rFonts w:ascii="Calibri" w:hAnsi="Calibri"/>
          <w:szCs w:val="24"/>
        </w:rPr>
      </w:pPr>
      <w:r>
        <w:rPr>
          <w:noProof/>
        </w:rPr>
        <w:drawing>
          <wp:inline distT="0" distB="0" distL="0" distR="0" wp14:anchorId="530B5C52" wp14:editId="78DD53D0">
            <wp:extent cx="5848350" cy="2607389"/>
            <wp:effectExtent l="0" t="0" r="0" b="0"/>
            <wp:docPr id="1972802831" name="Picture 197280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5848350" cy="2607389"/>
                    </a:xfrm>
                    <a:prstGeom prst="rect">
                      <a:avLst/>
                    </a:prstGeom>
                  </pic:spPr>
                </pic:pic>
              </a:graphicData>
            </a:graphic>
          </wp:inline>
        </w:drawing>
      </w:r>
    </w:p>
    <w:p w14:paraId="70164C87" w14:textId="77777777" w:rsidR="006E1BB3" w:rsidRDefault="006E1BB3" w:rsidP="003950EF">
      <w:pPr>
        <w:keepNext/>
      </w:pPr>
      <w:r>
        <w:t>The following chart provides the breakdown of participants by region:</w:t>
      </w:r>
    </w:p>
    <w:p w14:paraId="0F120B88" w14:textId="77777777" w:rsidR="00CF114A" w:rsidRDefault="434FF74D" w:rsidP="00CF114A">
      <w:pPr>
        <w:rPr>
          <w:rFonts w:ascii="Calibri" w:hAnsi="Calibri"/>
          <w:szCs w:val="24"/>
        </w:rPr>
      </w:pPr>
      <w:r>
        <w:rPr>
          <w:noProof/>
        </w:rPr>
        <w:drawing>
          <wp:inline distT="0" distB="0" distL="0" distR="0" wp14:anchorId="7C6B9033" wp14:editId="6DBA5F96">
            <wp:extent cx="5804487" cy="2599927"/>
            <wp:effectExtent l="0" t="0" r="0" b="0"/>
            <wp:docPr id="2008376034" name="Picture 200837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5804487" cy="2599927"/>
                    </a:xfrm>
                    <a:prstGeom prst="rect">
                      <a:avLst/>
                    </a:prstGeom>
                  </pic:spPr>
                </pic:pic>
              </a:graphicData>
            </a:graphic>
          </wp:inline>
        </w:drawing>
      </w:r>
    </w:p>
    <w:p w14:paraId="42510EF0" w14:textId="77777777" w:rsidR="00CF114A" w:rsidRDefault="00CF114A" w:rsidP="00CF114A">
      <w:pPr>
        <w:keepNext/>
      </w:pPr>
      <w:r>
        <w:lastRenderedPageBreak/>
        <w:t>The following chart provides the breakdown of participants by gender:</w:t>
      </w:r>
    </w:p>
    <w:p w14:paraId="53243801" w14:textId="5AF389DB" w:rsidR="5384A76C" w:rsidRDefault="5384A76C" w:rsidP="35010A24">
      <w:pPr>
        <w:rPr>
          <w:rFonts w:ascii="Calibri" w:hAnsi="Calibri"/>
          <w:szCs w:val="24"/>
        </w:rPr>
      </w:pPr>
      <w:r>
        <w:rPr>
          <w:noProof/>
        </w:rPr>
        <w:drawing>
          <wp:inline distT="0" distB="0" distL="0" distR="0" wp14:anchorId="2BAB3645" wp14:editId="5131F31D">
            <wp:extent cx="5810250" cy="2638822"/>
            <wp:effectExtent l="0" t="0" r="0" b="0"/>
            <wp:docPr id="235624329" name="Picture 23562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5810250" cy="2638822"/>
                    </a:xfrm>
                    <a:prstGeom prst="rect">
                      <a:avLst/>
                    </a:prstGeom>
                  </pic:spPr>
                </pic:pic>
              </a:graphicData>
            </a:graphic>
          </wp:inline>
        </w:drawing>
      </w:r>
    </w:p>
    <w:p w14:paraId="21A2847B" w14:textId="77777777" w:rsidR="00763E92" w:rsidRPr="00C73C43" w:rsidRDefault="00763E92" w:rsidP="001B769C">
      <w:pPr>
        <w:pStyle w:val="ListParagraph"/>
        <w:keepNext/>
        <w:numPr>
          <w:ilvl w:val="0"/>
          <w:numId w:val="6"/>
        </w:numPr>
        <w:ind w:left="426" w:hanging="426"/>
        <w:rPr>
          <w:i/>
          <w:iCs/>
        </w:rPr>
      </w:pPr>
      <w:r w:rsidRPr="00C73C43">
        <w:rPr>
          <w:i/>
          <w:iCs/>
        </w:rPr>
        <w:t>Documents</w:t>
      </w:r>
    </w:p>
    <w:p w14:paraId="72C11C73" w14:textId="39F755AF" w:rsidR="00763E92" w:rsidRDefault="00763E92" w:rsidP="00C73C43">
      <w:pPr>
        <w:keepNext/>
      </w:pPr>
      <w:r>
        <w:t xml:space="preserve">The following </w:t>
      </w:r>
      <w:r w:rsidR="00F43327">
        <w:t>chart provide</w:t>
      </w:r>
      <w:r w:rsidR="000C38F9">
        <w:t>s</w:t>
      </w:r>
      <w:r>
        <w:t xml:space="preserve"> the number of documents broken down by category of documents:</w:t>
      </w:r>
    </w:p>
    <w:p w14:paraId="48DF5D47" w14:textId="09E26D8C" w:rsidR="00763E92" w:rsidRDefault="6E41CF05" w:rsidP="0077AACD">
      <w:pPr>
        <w:tabs>
          <w:tab w:val="clear" w:pos="1134"/>
          <w:tab w:val="clear" w:pos="1871"/>
          <w:tab w:val="clear" w:pos="2268"/>
        </w:tabs>
        <w:overflowPunct/>
        <w:autoSpaceDE/>
        <w:autoSpaceDN/>
        <w:adjustRightInd/>
        <w:spacing w:before="0"/>
        <w:textAlignment w:val="auto"/>
        <w:rPr>
          <w:rFonts w:ascii="Calibri" w:hAnsi="Calibri"/>
          <w:szCs w:val="24"/>
        </w:rPr>
      </w:pPr>
      <w:r>
        <w:rPr>
          <w:noProof/>
        </w:rPr>
        <w:drawing>
          <wp:inline distT="0" distB="0" distL="0" distR="0" wp14:anchorId="56782E46" wp14:editId="0236C463">
            <wp:extent cx="5799667" cy="2621932"/>
            <wp:effectExtent l="0" t="0" r="0" b="0"/>
            <wp:docPr id="144598670" name="Picture 14459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5799667" cy="2621932"/>
                    </a:xfrm>
                    <a:prstGeom prst="rect">
                      <a:avLst/>
                    </a:prstGeom>
                  </pic:spPr>
                </pic:pic>
              </a:graphicData>
            </a:graphic>
          </wp:inline>
        </w:drawing>
      </w:r>
    </w:p>
    <w:p w14:paraId="6F7E5AF4" w14:textId="16C6C665" w:rsidR="00763E92" w:rsidRPr="00C73C43" w:rsidRDefault="00763E92" w:rsidP="001B769C">
      <w:pPr>
        <w:pStyle w:val="ListParagraph"/>
        <w:keepNext/>
        <w:numPr>
          <w:ilvl w:val="0"/>
          <w:numId w:val="6"/>
        </w:numPr>
        <w:ind w:left="426" w:hanging="426"/>
        <w:rPr>
          <w:i/>
          <w:iCs/>
        </w:rPr>
      </w:pPr>
      <w:r w:rsidRPr="00C73C43">
        <w:rPr>
          <w:i/>
          <w:iCs/>
        </w:rPr>
        <w:t>2</w:t>
      </w:r>
      <w:r w:rsidR="7CA87E81" w:rsidRPr="00C73C43">
        <w:rPr>
          <w:i/>
          <w:iCs/>
        </w:rPr>
        <w:t>4</w:t>
      </w:r>
      <w:r w:rsidRPr="00C73C43">
        <w:rPr>
          <w:i/>
          <w:iCs/>
          <w:vertAlign w:val="superscript"/>
        </w:rPr>
        <w:t>th</w:t>
      </w:r>
      <w:r w:rsidRPr="00C73C43">
        <w:rPr>
          <w:i/>
          <w:iCs/>
        </w:rPr>
        <w:t xml:space="preserve"> TDAG Meeting Outcomes</w:t>
      </w:r>
    </w:p>
    <w:p w14:paraId="5D744158" w14:textId="62B5D132" w:rsidR="00763E92" w:rsidRDefault="00763E92" w:rsidP="00C73C43">
      <w:pPr>
        <w:keepNext/>
        <w:spacing w:after="120"/>
      </w:pPr>
      <w:r>
        <w:t>The following table provides the summary of the outcomes of the 2</w:t>
      </w:r>
      <w:r w:rsidR="2E972306">
        <w:t>4</w:t>
      </w:r>
      <w:r w:rsidRPr="3C3EE01B">
        <w:rPr>
          <w:vertAlign w:val="superscript"/>
        </w:rPr>
        <w:t>th</w:t>
      </w:r>
      <w:r>
        <w:t xml:space="preserve"> TDAG meeting by subject:</w:t>
      </w:r>
    </w:p>
    <w:tbl>
      <w:tblPr>
        <w:tblW w:w="9214" w:type="dxa"/>
        <w:tblInd w:w="-5" w:type="dxa"/>
        <w:tblLook w:val="04A0" w:firstRow="1" w:lastRow="0" w:firstColumn="1" w:lastColumn="0" w:noHBand="0" w:noVBand="1"/>
      </w:tblPr>
      <w:tblGrid>
        <w:gridCol w:w="3220"/>
        <w:gridCol w:w="5994"/>
      </w:tblGrid>
      <w:tr w:rsidR="00C3628B" w:rsidRPr="00763E92" w14:paraId="2A70E516" w14:textId="77777777" w:rsidTr="05C1679F">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87C47C8" w14:textId="77777777" w:rsidR="00763E92" w:rsidRPr="00763E92" w:rsidRDefault="00763E92"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763E92">
              <w:rPr>
                <w:rFonts w:ascii="Calibri" w:hAnsi="Calibri"/>
                <w:b/>
                <w:bCs/>
                <w:i/>
                <w:iCs/>
                <w:color w:val="000000"/>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52DAAECE" w14:textId="77777777" w:rsidR="00763E92" w:rsidRPr="00763E92" w:rsidRDefault="00763E92"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763E92">
              <w:rPr>
                <w:rFonts w:ascii="Calibri" w:hAnsi="Calibri"/>
                <w:b/>
                <w:bCs/>
                <w:i/>
                <w:iCs/>
                <w:color w:val="000000"/>
                <w:sz w:val="22"/>
                <w:szCs w:val="22"/>
                <w:lang w:eastAsia="zh-CN"/>
              </w:rPr>
              <w:t>TDAG Conclusions / Outcomes</w:t>
            </w:r>
          </w:p>
        </w:tc>
      </w:tr>
      <w:tr w:rsidR="00F14711" w14:paraId="1BA9DFB1"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3DBB1BC" w14:textId="4D50A265" w:rsidR="6D97051B" w:rsidRPr="009110C1" w:rsidRDefault="78E1ABBE" w:rsidP="632A2ABB">
            <w:pPr>
              <w:spacing w:before="60" w:after="60"/>
              <w:rPr>
                <w:rFonts w:ascii="Calibri" w:hAnsi="Calibri"/>
                <w:sz w:val="22"/>
                <w:szCs w:val="22"/>
              </w:rPr>
            </w:pPr>
            <w:r w:rsidRPr="009110C1">
              <w:rPr>
                <w:rFonts w:ascii="Calibri" w:eastAsia="Calibri" w:hAnsi="Calibri" w:cs="Calibri"/>
                <w:sz w:val="22"/>
                <w:szCs w:val="22"/>
              </w:rPr>
              <w:t>New TDAG Vice-Chairmen appointed to vacant positions</w:t>
            </w:r>
          </w:p>
        </w:tc>
        <w:tc>
          <w:tcPr>
            <w:tcW w:w="5994" w:type="dxa"/>
            <w:tcBorders>
              <w:top w:val="nil"/>
              <w:left w:val="nil"/>
              <w:bottom w:val="single" w:sz="4" w:space="0" w:color="auto"/>
              <w:right w:val="single" w:sz="4" w:space="0" w:color="auto"/>
            </w:tcBorders>
            <w:shd w:val="clear" w:color="auto" w:fill="auto"/>
            <w:vAlign w:val="center"/>
            <w:hideMark/>
          </w:tcPr>
          <w:p w14:paraId="2DA81DC2" w14:textId="63C611AF" w:rsidR="6D97051B" w:rsidRPr="009110C1" w:rsidRDefault="78E1ABBE" w:rsidP="632A2ABB">
            <w:pPr>
              <w:spacing w:before="60" w:after="60"/>
              <w:rPr>
                <w:rFonts w:ascii="Calibri" w:eastAsia="Calibri" w:hAnsi="Calibri" w:cs="Calibri"/>
                <w:sz w:val="22"/>
                <w:szCs w:val="22"/>
              </w:rPr>
            </w:pPr>
            <w:r w:rsidRPr="009110C1">
              <w:rPr>
                <w:rFonts w:ascii="Calibri" w:eastAsia="Calibri" w:hAnsi="Calibri" w:cs="Calibri"/>
                <w:sz w:val="22"/>
                <w:szCs w:val="22"/>
              </w:rPr>
              <w:t>TDAG appointed by acclamation Ms Amparo Arango Echeverri, Manager of International Relations at the Dominican Institute of Telecommunications (INDOTEL), as a TDAG Vice‑Chairman, replacing Ms Katrina Naut.</w:t>
            </w:r>
          </w:p>
          <w:p w14:paraId="5258D71A" w14:textId="7DCC22A9" w:rsidR="6D97051B" w:rsidRPr="009110C1" w:rsidRDefault="78E1ABBE" w:rsidP="632A2ABB">
            <w:pPr>
              <w:spacing w:before="60" w:after="60"/>
              <w:rPr>
                <w:rFonts w:ascii="Calibri" w:hAnsi="Calibri"/>
                <w:sz w:val="22"/>
                <w:szCs w:val="22"/>
              </w:rPr>
            </w:pPr>
            <w:r w:rsidRPr="009110C1">
              <w:rPr>
                <w:rFonts w:ascii="Calibri" w:eastAsia="Calibri" w:hAnsi="Calibri" w:cs="Calibri"/>
                <w:sz w:val="22"/>
                <w:szCs w:val="22"/>
              </w:rPr>
              <w:t xml:space="preserve">TDAG also appointed by acclamation Ms </w:t>
            </w:r>
            <w:proofErr w:type="spellStart"/>
            <w:r w:rsidRPr="009110C1">
              <w:rPr>
                <w:rFonts w:ascii="Calibri" w:eastAsia="Calibri" w:hAnsi="Calibri" w:cs="Calibri"/>
                <w:sz w:val="22"/>
                <w:szCs w:val="22"/>
              </w:rPr>
              <w:t>Aichurok</w:t>
            </w:r>
            <w:proofErr w:type="spellEnd"/>
            <w:r w:rsidRPr="009110C1">
              <w:rPr>
                <w:rFonts w:ascii="Calibri" w:eastAsia="Calibri" w:hAnsi="Calibri" w:cs="Calibri"/>
                <w:sz w:val="22"/>
                <w:szCs w:val="22"/>
              </w:rPr>
              <w:t xml:space="preserve"> </w:t>
            </w:r>
            <w:proofErr w:type="spellStart"/>
            <w:r w:rsidRPr="009110C1">
              <w:rPr>
                <w:rFonts w:ascii="Calibri" w:eastAsia="Calibri" w:hAnsi="Calibri" w:cs="Calibri"/>
                <w:sz w:val="22"/>
                <w:szCs w:val="22"/>
              </w:rPr>
              <w:t>Maralbek</w:t>
            </w:r>
            <w:proofErr w:type="spellEnd"/>
            <w:r w:rsidRPr="009110C1">
              <w:rPr>
                <w:rFonts w:ascii="Calibri" w:eastAsia="Calibri" w:hAnsi="Calibri" w:cs="Calibri"/>
                <w:sz w:val="22"/>
                <w:szCs w:val="22"/>
              </w:rPr>
              <w:t xml:space="preserve"> </w:t>
            </w:r>
            <w:proofErr w:type="spellStart"/>
            <w:r w:rsidRPr="009110C1">
              <w:rPr>
                <w:rFonts w:ascii="Calibri" w:eastAsia="Calibri" w:hAnsi="Calibri" w:cs="Calibri"/>
                <w:sz w:val="22"/>
                <w:szCs w:val="22"/>
              </w:rPr>
              <w:t>Kyzy</w:t>
            </w:r>
            <w:proofErr w:type="spellEnd"/>
            <w:r w:rsidRPr="009110C1">
              <w:rPr>
                <w:rFonts w:ascii="Calibri" w:eastAsia="Calibri" w:hAnsi="Calibri" w:cs="Calibri"/>
                <w:sz w:val="22"/>
                <w:szCs w:val="22"/>
              </w:rPr>
              <w:t xml:space="preserve">, Chief Expert of the Radio Spectrum Management Department of the State Communications Agency in the State Committee of Information Technologies and Communications of </w:t>
            </w:r>
            <w:r w:rsidRPr="009110C1">
              <w:rPr>
                <w:rFonts w:ascii="Calibri" w:eastAsia="Calibri" w:hAnsi="Calibri" w:cs="Calibri"/>
                <w:sz w:val="22"/>
                <w:szCs w:val="22"/>
              </w:rPr>
              <w:lastRenderedPageBreak/>
              <w:t xml:space="preserve">the Kyrgyz Republic, as a TDAG Vice‑Chairman, replacing Ms </w:t>
            </w:r>
            <w:proofErr w:type="spellStart"/>
            <w:r w:rsidRPr="009110C1">
              <w:rPr>
                <w:rFonts w:ascii="Calibri" w:eastAsia="Calibri" w:hAnsi="Calibri" w:cs="Calibri"/>
                <w:sz w:val="22"/>
                <w:szCs w:val="22"/>
              </w:rPr>
              <w:t>Nurzat</w:t>
            </w:r>
            <w:proofErr w:type="spellEnd"/>
            <w:r w:rsidRPr="009110C1">
              <w:rPr>
                <w:rFonts w:ascii="Calibri" w:eastAsia="Calibri" w:hAnsi="Calibri" w:cs="Calibri"/>
                <w:sz w:val="22"/>
                <w:szCs w:val="22"/>
              </w:rPr>
              <w:t xml:space="preserve"> </w:t>
            </w:r>
            <w:proofErr w:type="spellStart"/>
            <w:r w:rsidRPr="009110C1">
              <w:rPr>
                <w:rFonts w:ascii="Calibri" w:eastAsia="Calibri" w:hAnsi="Calibri" w:cs="Calibri"/>
                <w:sz w:val="22"/>
                <w:szCs w:val="22"/>
              </w:rPr>
              <w:t>Boljobekova</w:t>
            </w:r>
            <w:proofErr w:type="spellEnd"/>
            <w:r w:rsidRPr="009110C1">
              <w:rPr>
                <w:rFonts w:ascii="Calibri" w:eastAsia="Calibri" w:hAnsi="Calibri" w:cs="Calibri"/>
                <w:sz w:val="22"/>
                <w:szCs w:val="22"/>
              </w:rPr>
              <w:t>.</w:t>
            </w:r>
          </w:p>
        </w:tc>
      </w:tr>
      <w:tr w:rsidR="00F14711" w:rsidRPr="00763E92" w14:paraId="1347F307"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48114513" w14:textId="742744D0" w:rsidR="00763E92" w:rsidRPr="00763E92" w:rsidRDefault="50ABA7BC" w:rsidP="632A2ABB">
            <w:p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632A2ABB">
              <w:rPr>
                <w:rFonts w:ascii="Calibri" w:hAnsi="Calibri"/>
                <w:color w:val="000000" w:themeColor="text1"/>
                <w:sz w:val="22"/>
                <w:szCs w:val="22"/>
                <w:lang w:eastAsia="zh-CN"/>
              </w:rPr>
              <w:lastRenderedPageBreak/>
              <w:t>Outcomes of PP-1</w:t>
            </w:r>
            <w:r w:rsidR="2BB74260" w:rsidRPr="632A2ABB">
              <w:rPr>
                <w:rFonts w:ascii="Calibri" w:hAnsi="Calibri"/>
                <w:color w:val="000000" w:themeColor="text1"/>
                <w:sz w:val="22"/>
                <w:szCs w:val="22"/>
                <w:lang w:eastAsia="zh-CN"/>
              </w:rPr>
              <w:t>8</w:t>
            </w:r>
            <w:r w:rsidRPr="632A2ABB">
              <w:rPr>
                <w:rFonts w:ascii="Calibri" w:hAnsi="Calibri"/>
                <w:color w:val="000000" w:themeColor="text1"/>
                <w:sz w:val="22"/>
                <w:szCs w:val="22"/>
                <w:lang w:eastAsia="zh-CN"/>
              </w:rPr>
              <w:t xml:space="preserve"> related to ITU-D</w:t>
            </w:r>
          </w:p>
        </w:tc>
        <w:tc>
          <w:tcPr>
            <w:tcW w:w="5994" w:type="dxa"/>
            <w:tcBorders>
              <w:top w:val="nil"/>
              <w:left w:val="nil"/>
              <w:bottom w:val="single" w:sz="4" w:space="0" w:color="auto"/>
              <w:right w:val="single" w:sz="4" w:space="0" w:color="auto"/>
            </w:tcBorders>
            <w:shd w:val="clear" w:color="auto" w:fill="auto"/>
            <w:vAlign w:val="center"/>
            <w:hideMark/>
          </w:tcPr>
          <w:p w14:paraId="3F7E7A89" w14:textId="239788CD" w:rsidR="00763E92" w:rsidRPr="00763E92" w:rsidRDefault="50ABA7BC" w:rsidP="009110C1">
            <w:pPr>
              <w:overflowPunct/>
              <w:autoSpaceDE/>
              <w:autoSpaceDN/>
              <w:adjustRightInd/>
              <w:spacing w:before="60" w:after="60"/>
              <w:textAlignment w:val="auto"/>
              <w:rPr>
                <w:rFonts w:ascii="Calibri" w:hAnsi="Calibri"/>
                <w:i/>
                <w:iCs/>
              </w:rPr>
            </w:pPr>
            <w:r w:rsidRPr="632A2ABB">
              <w:rPr>
                <w:rFonts w:ascii="Calibri" w:hAnsi="Calibri"/>
                <w:color w:val="000000" w:themeColor="text1"/>
                <w:sz w:val="22"/>
                <w:szCs w:val="22"/>
                <w:lang w:eastAsia="zh-CN"/>
              </w:rPr>
              <w:t xml:space="preserve">TDAG took note of the main outcomes of the </w:t>
            </w:r>
            <w:r w:rsidR="3A53F029" w:rsidRPr="632A2ABB">
              <w:rPr>
                <w:rFonts w:ascii="Calibri" w:hAnsi="Calibri"/>
                <w:color w:val="000000" w:themeColor="text1"/>
                <w:sz w:val="22"/>
                <w:szCs w:val="22"/>
                <w:lang w:eastAsia="zh-CN"/>
              </w:rPr>
              <w:t>20</w:t>
            </w:r>
            <w:r w:rsidRPr="632A2ABB">
              <w:rPr>
                <w:rFonts w:ascii="Calibri" w:hAnsi="Calibri"/>
                <w:color w:val="000000" w:themeColor="text1"/>
                <w:sz w:val="22"/>
                <w:szCs w:val="22"/>
                <w:lang w:eastAsia="zh-CN"/>
              </w:rPr>
              <w:t xml:space="preserve">th Plenipotentiary Conference that relate to ITU-D. </w:t>
            </w:r>
            <w:r w:rsidR="2266D070" w:rsidRPr="632A2ABB">
              <w:rPr>
                <w:rFonts w:ascii="Calibri" w:eastAsia="Calibri" w:hAnsi="Calibri" w:cs="Calibri"/>
                <w:color w:val="000000" w:themeColor="text1"/>
              </w:rPr>
              <w:t xml:space="preserve"> </w:t>
            </w:r>
            <w:r w:rsidR="010E4A5F" w:rsidRPr="009110C1">
              <w:rPr>
                <w:rFonts w:ascii="Calibri" w:eastAsia="Calibri" w:hAnsi="Calibri" w:cs="Calibri"/>
                <w:sz w:val="22"/>
                <w:szCs w:val="22"/>
              </w:rPr>
              <w:t>TDAG participants underlined the need to balance the budget for 2020-2023,</w:t>
            </w:r>
            <w:r w:rsidR="010E4A5F" w:rsidRPr="009110C1">
              <w:rPr>
                <w:rFonts w:ascii="Calibri" w:eastAsia="Calibri" w:hAnsi="Calibri" w:cs="Calibri"/>
                <w:i/>
                <w:iCs/>
                <w:sz w:val="22"/>
                <w:szCs w:val="22"/>
              </w:rPr>
              <w:t xml:space="preserve"> </w:t>
            </w:r>
            <w:r w:rsidR="010E4A5F" w:rsidRPr="009110C1">
              <w:rPr>
                <w:rFonts w:ascii="Calibri" w:eastAsia="Calibri" w:hAnsi="Calibri" w:cs="Calibri"/>
                <w:sz w:val="22"/>
                <w:szCs w:val="22"/>
              </w:rPr>
              <w:t>acknowledged the importance of these resolutions and decisions, and stressed the need to include other equally important resolutions that have implications for the work to be carried out by ITU-D</w:t>
            </w:r>
            <w:r w:rsidR="010E4A5F" w:rsidRPr="009110C1">
              <w:rPr>
                <w:rFonts w:ascii="Calibri" w:eastAsia="Calibri" w:hAnsi="Calibri" w:cs="Calibri"/>
                <w:color w:val="0432FF"/>
                <w:sz w:val="22"/>
                <w:szCs w:val="22"/>
              </w:rPr>
              <w:t xml:space="preserve">. </w:t>
            </w:r>
            <w:r w:rsidR="010E4A5F" w:rsidRPr="009110C1">
              <w:rPr>
                <w:rFonts w:ascii="Calibri" w:eastAsia="Calibri" w:hAnsi="Calibri" w:cs="Calibri"/>
                <w:sz w:val="22"/>
                <w:szCs w:val="22"/>
              </w:rPr>
              <w:t>TDAG requested, and the secretariat agreed, to update the document to include</w:t>
            </w:r>
            <w:r w:rsidR="010E4A5F" w:rsidRPr="009110C1">
              <w:rPr>
                <w:rFonts w:ascii="Calibri" w:eastAsia="Calibri" w:hAnsi="Calibri" w:cs="Calibri"/>
                <w:i/>
                <w:iCs/>
                <w:sz w:val="22"/>
                <w:szCs w:val="22"/>
              </w:rPr>
              <w:t xml:space="preserve">: </w:t>
            </w:r>
          </w:p>
          <w:p w14:paraId="15D2A74E" w14:textId="7D459AE5" w:rsidR="00763E92" w:rsidRPr="00763E92" w:rsidRDefault="010E4A5F" w:rsidP="001B769C">
            <w:pPr>
              <w:pStyle w:val="ListParagraph"/>
              <w:numPr>
                <w:ilvl w:val="0"/>
                <w:numId w:val="10"/>
              </w:numPr>
              <w:overflowPunct/>
              <w:autoSpaceDE/>
              <w:autoSpaceDN/>
              <w:adjustRightInd/>
              <w:spacing w:before="60" w:after="60"/>
              <w:textAlignment w:val="auto"/>
              <w:rPr>
                <w:rFonts w:eastAsiaTheme="minorEastAsia" w:cstheme="minorBidi"/>
                <w:b/>
                <w:bCs/>
                <w:sz w:val="22"/>
                <w:szCs w:val="22"/>
              </w:rPr>
            </w:pPr>
            <w:r w:rsidRPr="009110C1">
              <w:rPr>
                <w:rFonts w:ascii="Calibri" w:eastAsia="Calibri" w:hAnsi="Calibri" w:cs="Calibri"/>
                <w:b/>
                <w:bCs/>
                <w:sz w:val="22"/>
                <w:szCs w:val="22"/>
              </w:rPr>
              <w:t>Resolution 70</w:t>
            </w:r>
            <w:r w:rsidRPr="009110C1">
              <w:rPr>
                <w:rFonts w:ascii="Calibri" w:eastAsia="Calibri" w:hAnsi="Calibri" w:cs="Calibri"/>
                <w:sz w:val="22"/>
                <w:szCs w:val="22"/>
              </w:rPr>
              <w:t xml:space="preserve"> on mainstreaming a gender perspective in ITU and promoting gender equality and the empowerment of women through telecommunications and ICTs.</w:t>
            </w:r>
          </w:p>
          <w:p w14:paraId="14E98D61" w14:textId="2A1E1823" w:rsidR="00763E92" w:rsidRPr="00763E92" w:rsidRDefault="010E4A5F" w:rsidP="001B769C">
            <w:pPr>
              <w:pStyle w:val="ListParagraph"/>
              <w:numPr>
                <w:ilvl w:val="0"/>
                <w:numId w:val="10"/>
              </w:numPr>
              <w:overflowPunct/>
              <w:autoSpaceDE/>
              <w:autoSpaceDN/>
              <w:adjustRightInd/>
              <w:spacing w:before="60" w:after="60"/>
              <w:textAlignment w:val="auto"/>
              <w:rPr>
                <w:rFonts w:eastAsiaTheme="minorEastAsia" w:cstheme="minorBidi"/>
                <w:b/>
                <w:bCs/>
                <w:sz w:val="22"/>
                <w:szCs w:val="22"/>
              </w:rPr>
            </w:pPr>
            <w:r w:rsidRPr="009110C1">
              <w:rPr>
                <w:rFonts w:ascii="Calibri" w:eastAsia="Calibri" w:hAnsi="Calibri" w:cs="Calibri"/>
                <w:b/>
                <w:bCs/>
                <w:sz w:val="22"/>
                <w:szCs w:val="22"/>
              </w:rPr>
              <w:t>Resolution 136</w:t>
            </w:r>
            <w:r w:rsidRPr="009110C1">
              <w:rPr>
                <w:rFonts w:ascii="Calibri" w:eastAsia="Calibri" w:hAnsi="Calibri" w:cs="Calibri"/>
                <w:sz w:val="22"/>
                <w:szCs w:val="22"/>
              </w:rPr>
              <w:t xml:space="preserve"> on using telecommunications and ICTs for humanitarian assistance and to monitor and manage emergency and disaster situations for early warning, prevention, mitigation and relief.</w:t>
            </w:r>
          </w:p>
          <w:p w14:paraId="270F3117" w14:textId="7B1F9652" w:rsidR="00763E92" w:rsidRPr="00763E92" w:rsidRDefault="010E4A5F" w:rsidP="001B769C">
            <w:pPr>
              <w:pStyle w:val="ListParagraph"/>
              <w:numPr>
                <w:ilvl w:val="0"/>
                <w:numId w:val="10"/>
              </w:numPr>
              <w:overflowPunct/>
              <w:autoSpaceDE/>
              <w:autoSpaceDN/>
              <w:adjustRightInd/>
              <w:spacing w:before="60" w:after="60"/>
              <w:textAlignment w:val="auto"/>
              <w:rPr>
                <w:rFonts w:eastAsiaTheme="minorEastAsia" w:cstheme="minorBidi"/>
                <w:b/>
                <w:bCs/>
                <w:sz w:val="22"/>
                <w:szCs w:val="22"/>
              </w:rPr>
            </w:pPr>
            <w:r w:rsidRPr="009110C1">
              <w:rPr>
                <w:rFonts w:ascii="Calibri" w:eastAsia="Calibri" w:hAnsi="Calibri" w:cs="Calibri"/>
                <w:b/>
                <w:bCs/>
                <w:sz w:val="22"/>
                <w:szCs w:val="22"/>
              </w:rPr>
              <w:t>Resolution 169</w:t>
            </w:r>
            <w:r w:rsidRPr="009110C1">
              <w:rPr>
                <w:rFonts w:ascii="Calibri" w:eastAsia="Calibri" w:hAnsi="Calibri" w:cs="Calibri"/>
                <w:sz w:val="22"/>
                <w:szCs w:val="22"/>
              </w:rPr>
              <w:t xml:space="preserve"> on academia’s participation in the work of the Union.</w:t>
            </w:r>
          </w:p>
          <w:p w14:paraId="44AD33B0" w14:textId="0543BE25" w:rsidR="00763E92" w:rsidRPr="00763E92" w:rsidRDefault="010E4A5F" w:rsidP="001B769C">
            <w:pPr>
              <w:pStyle w:val="ListParagraph"/>
              <w:numPr>
                <w:ilvl w:val="0"/>
                <w:numId w:val="10"/>
              </w:numPr>
              <w:overflowPunct/>
              <w:autoSpaceDE/>
              <w:autoSpaceDN/>
              <w:adjustRightInd/>
              <w:spacing w:before="60" w:after="60"/>
              <w:textAlignment w:val="auto"/>
              <w:rPr>
                <w:rFonts w:eastAsiaTheme="minorEastAsia" w:cstheme="minorBidi"/>
                <w:b/>
                <w:bCs/>
                <w:sz w:val="22"/>
                <w:szCs w:val="22"/>
              </w:rPr>
            </w:pPr>
            <w:r w:rsidRPr="009110C1">
              <w:rPr>
                <w:rFonts w:ascii="Calibri" w:eastAsia="Calibri" w:hAnsi="Calibri" w:cs="Calibri"/>
                <w:b/>
                <w:bCs/>
                <w:sz w:val="22"/>
                <w:szCs w:val="22"/>
              </w:rPr>
              <w:t>Resolution 175</w:t>
            </w:r>
            <w:r w:rsidRPr="009110C1">
              <w:rPr>
                <w:rFonts w:ascii="Calibri" w:eastAsia="Calibri" w:hAnsi="Calibri" w:cs="Calibri"/>
                <w:sz w:val="22"/>
                <w:szCs w:val="22"/>
              </w:rPr>
              <w:t xml:space="preserve"> on telecommunications/ICTs for persons with disabilities and with specific needs.</w:t>
            </w:r>
          </w:p>
          <w:p w14:paraId="3585FA7E" w14:textId="103C5F6E" w:rsidR="00763E92" w:rsidRPr="00763E92" w:rsidRDefault="010E4A5F" w:rsidP="001B769C">
            <w:pPr>
              <w:pStyle w:val="ListParagraph"/>
              <w:numPr>
                <w:ilvl w:val="0"/>
                <w:numId w:val="10"/>
              </w:numPr>
              <w:overflowPunct/>
              <w:autoSpaceDE/>
              <w:autoSpaceDN/>
              <w:adjustRightInd/>
              <w:spacing w:before="60" w:after="60"/>
              <w:textAlignment w:val="auto"/>
              <w:rPr>
                <w:rFonts w:eastAsiaTheme="minorEastAsia" w:cstheme="minorBidi"/>
                <w:b/>
                <w:bCs/>
                <w:sz w:val="22"/>
                <w:szCs w:val="22"/>
              </w:rPr>
            </w:pPr>
            <w:r w:rsidRPr="009110C1">
              <w:rPr>
                <w:rFonts w:ascii="Calibri" w:eastAsia="Calibri" w:hAnsi="Calibri" w:cs="Calibri"/>
                <w:b/>
                <w:bCs/>
                <w:sz w:val="22"/>
                <w:szCs w:val="22"/>
              </w:rPr>
              <w:t>Resolution 179</w:t>
            </w:r>
            <w:r w:rsidRPr="009110C1">
              <w:rPr>
                <w:rFonts w:ascii="Calibri" w:eastAsia="Calibri" w:hAnsi="Calibri" w:cs="Calibri"/>
                <w:sz w:val="22"/>
                <w:szCs w:val="22"/>
              </w:rPr>
              <w:t xml:space="preserve"> on the ITU role in child online protection.</w:t>
            </w:r>
          </w:p>
          <w:p w14:paraId="402C6785" w14:textId="65835358" w:rsidR="00763E92" w:rsidRPr="00763E92" w:rsidRDefault="010E4A5F" w:rsidP="001B769C">
            <w:pPr>
              <w:pStyle w:val="ListParagraph"/>
              <w:numPr>
                <w:ilvl w:val="0"/>
                <w:numId w:val="10"/>
              </w:numPr>
              <w:overflowPunct/>
              <w:autoSpaceDE/>
              <w:autoSpaceDN/>
              <w:adjustRightInd/>
              <w:spacing w:before="60" w:after="60"/>
              <w:textAlignment w:val="auto"/>
              <w:rPr>
                <w:rFonts w:eastAsiaTheme="minorEastAsia" w:cstheme="minorBidi"/>
                <w:b/>
                <w:bCs/>
                <w:sz w:val="22"/>
                <w:szCs w:val="22"/>
              </w:rPr>
            </w:pPr>
            <w:r w:rsidRPr="009110C1">
              <w:rPr>
                <w:rFonts w:ascii="Calibri" w:eastAsia="Calibri" w:hAnsi="Calibri" w:cs="Calibri"/>
                <w:b/>
                <w:bCs/>
                <w:sz w:val="22"/>
                <w:szCs w:val="22"/>
              </w:rPr>
              <w:t>Resolution 196</w:t>
            </w:r>
            <w:r w:rsidRPr="009110C1">
              <w:rPr>
                <w:rFonts w:ascii="Calibri" w:eastAsia="Calibri" w:hAnsi="Calibri" w:cs="Calibri"/>
                <w:sz w:val="22"/>
                <w:szCs w:val="22"/>
              </w:rPr>
              <w:t xml:space="preserve"> on protecting telecommunication service users and consumers.</w:t>
            </w:r>
          </w:p>
          <w:p w14:paraId="202C7E31" w14:textId="404E2206" w:rsidR="00763E92" w:rsidRPr="00763E92" w:rsidRDefault="010E4A5F" w:rsidP="001B769C">
            <w:pPr>
              <w:pStyle w:val="ListParagraph"/>
              <w:numPr>
                <w:ilvl w:val="0"/>
                <w:numId w:val="10"/>
              </w:numPr>
              <w:overflowPunct/>
              <w:autoSpaceDE/>
              <w:autoSpaceDN/>
              <w:adjustRightInd/>
              <w:spacing w:before="60" w:after="60"/>
              <w:textAlignment w:val="auto"/>
              <w:rPr>
                <w:rFonts w:eastAsiaTheme="minorEastAsia" w:cstheme="minorBidi"/>
                <w:b/>
                <w:bCs/>
                <w:sz w:val="22"/>
                <w:szCs w:val="22"/>
              </w:rPr>
            </w:pPr>
            <w:r w:rsidRPr="009110C1">
              <w:rPr>
                <w:rFonts w:ascii="Calibri" w:eastAsia="Calibri" w:hAnsi="Calibri" w:cs="Calibri"/>
                <w:b/>
                <w:bCs/>
                <w:sz w:val="22"/>
                <w:szCs w:val="22"/>
              </w:rPr>
              <w:t>Resolution 198</w:t>
            </w:r>
            <w:r w:rsidRPr="009110C1">
              <w:rPr>
                <w:rFonts w:ascii="Calibri" w:eastAsia="Calibri" w:hAnsi="Calibri" w:cs="Calibri"/>
                <w:sz w:val="22"/>
                <w:szCs w:val="22"/>
              </w:rPr>
              <w:t xml:space="preserve"> on empowering youth through telecommunications ICTs; and </w:t>
            </w:r>
          </w:p>
          <w:p w14:paraId="5993B9B3" w14:textId="10AA0480" w:rsidR="00763E92" w:rsidRPr="00763E92" w:rsidRDefault="010E4A5F" w:rsidP="009110C1">
            <w:pPr>
              <w:overflowPunct/>
              <w:autoSpaceDE/>
              <w:autoSpaceDN/>
              <w:adjustRightInd/>
              <w:spacing w:before="60" w:after="60"/>
              <w:textAlignment w:val="auto"/>
              <w:rPr>
                <w:rFonts w:ascii="Calibri" w:hAnsi="Calibri"/>
              </w:rPr>
            </w:pPr>
            <w:r w:rsidRPr="009110C1">
              <w:rPr>
                <w:rFonts w:ascii="Calibri" w:eastAsia="Calibri" w:hAnsi="Calibri" w:cs="Calibri"/>
                <w:b/>
                <w:bCs/>
                <w:sz w:val="22"/>
                <w:szCs w:val="22"/>
              </w:rPr>
              <w:t>Resolution 176</w:t>
            </w:r>
            <w:r w:rsidRPr="009110C1">
              <w:rPr>
                <w:rFonts w:ascii="Calibri" w:eastAsia="Calibri" w:hAnsi="Calibri" w:cs="Calibri"/>
                <w:sz w:val="22"/>
                <w:szCs w:val="22"/>
              </w:rPr>
              <w:t xml:space="preserve"> on measurement and assessment concerns related to human exposure to electromagnetic fields.</w:t>
            </w:r>
          </w:p>
        </w:tc>
      </w:tr>
      <w:tr w:rsidR="00F14711" w14:paraId="2FA91649"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16E8D337" w14:textId="7F7C423A" w:rsidR="52C55E90" w:rsidRPr="009110C1" w:rsidRDefault="20C5DFC9" w:rsidP="632A2ABB">
            <w:pPr>
              <w:spacing w:before="60" w:after="60"/>
              <w:rPr>
                <w:rFonts w:ascii="Calibri" w:hAnsi="Calibri"/>
                <w:color w:val="000000" w:themeColor="text1"/>
                <w:sz w:val="22"/>
                <w:szCs w:val="22"/>
                <w:lang w:eastAsia="zh-CN"/>
              </w:rPr>
            </w:pPr>
            <w:r w:rsidRPr="009110C1">
              <w:rPr>
                <w:rFonts w:ascii="Calibri" w:hAnsi="Calibri"/>
                <w:color w:val="000000" w:themeColor="text1"/>
                <w:sz w:val="22"/>
                <w:szCs w:val="22"/>
                <w:lang w:eastAsia="zh-CN"/>
              </w:rPr>
              <w:t>ITU-D actions relevant to the World Summit on the Information Society (WSIS) Plan of Action and the 2030 Agenda for Sustainable Development</w:t>
            </w:r>
          </w:p>
        </w:tc>
        <w:tc>
          <w:tcPr>
            <w:tcW w:w="5994" w:type="dxa"/>
            <w:tcBorders>
              <w:top w:val="nil"/>
              <w:left w:val="nil"/>
              <w:bottom w:val="single" w:sz="4" w:space="0" w:color="auto"/>
              <w:right w:val="single" w:sz="4" w:space="0" w:color="auto"/>
            </w:tcBorders>
            <w:shd w:val="clear" w:color="auto" w:fill="auto"/>
            <w:vAlign w:val="center"/>
            <w:hideMark/>
          </w:tcPr>
          <w:p w14:paraId="09173C1E" w14:textId="538E2AF0" w:rsidR="2419D4CC" w:rsidRPr="009110C1" w:rsidRDefault="014CB37B" w:rsidP="632A2ABB">
            <w:pPr>
              <w:spacing w:before="60" w:after="60"/>
              <w:rPr>
                <w:rFonts w:ascii="Calibri" w:hAnsi="Calibri"/>
                <w:sz w:val="22"/>
                <w:szCs w:val="22"/>
              </w:rPr>
            </w:pPr>
            <w:r w:rsidRPr="009110C1">
              <w:rPr>
                <w:rFonts w:ascii="Calibri" w:eastAsia="Calibri" w:hAnsi="Calibri" w:cs="Calibri"/>
                <w:sz w:val="22"/>
                <w:szCs w:val="22"/>
              </w:rPr>
              <w:t xml:space="preserve">TDAG agreed that a segment on WSIS and SDGs should be included as a regular agenda item in the regional development forums. </w:t>
            </w:r>
          </w:p>
        </w:tc>
      </w:tr>
      <w:tr w:rsidR="00F14711" w:rsidRPr="00763E92" w14:paraId="6447D35E"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4A4315B4" w14:textId="3900B77F" w:rsidR="00763E92" w:rsidRPr="009110C1" w:rsidRDefault="30653037" w:rsidP="632A2ABB">
            <w:pPr>
              <w:tabs>
                <w:tab w:val="clear" w:pos="1134"/>
                <w:tab w:val="clear" w:pos="1871"/>
                <w:tab w:val="clear" w:pos="2268"/>
              </w:tabs>
              <w:overflowPunct/>
              <w:autoSpaceDE/>
              <w:autoSpaceDN/>
              <w:adjustRightInd/>
              <w:spacing w:before="60" w:after="60"/>
              <w:textAlignment w:val="auto"/>
              <w:rPr>
                <w:rFonts w:ascii="Calibri" w:eastAsia="Calibri" w:hAnsi="Calibri" w:cs="Calibri"/>
                <w:sz w:val="22"/>
                <w:szCs w:val="22"/>
              </w:rPr>
            </w:pPr>
            <w:r w:rsidRPr="009110C1">
              <w:rPr>
                <w:rFonts w:ascii="Calibri" w:eastAsia="Calibri" w:hAnsi="Calibri" w:cs="Calibri"/>
                <w:sz w:val="22"/>
                <w:szCs w:val="22"/>
              </w:rPr>
              <w:t>ITU-D four-year rolling Operational Plan 2020-2023</w:t>
            </w:r>
          </w:p>
        </w:tc>
        <w:tc>
          <w:tcPr>
            <w:tcW w:w="5994" w:type="dxa"/>
            <w:tcBorders>
              <w:top w:val="nil"/>
              <w:left w:val="nil"/>
              <w:bottom w:val="single" w:sz="4" w:space="0" w:color="auto"/>
              <w:right w:val="single" w:sz="4" w:space="0" w:color="auto"/>
            </w:tcBorders>
            <w:shd w:val="clear" w:color="auto" w:fill="auto"/>
            <w:vAlign w:val="center"/>
            <w:hideMark/>
          </w:tcPr>
          <w:p w14:paraId="0AA48325" w14:textId="6559C911" w:rsidR="00763E92" w:rsidRPr="00763E92" w:rsidRDefault="10787A97" w:rsidP="632A2ABB">
            <w:p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009110C1">
              <w:rPr>
                <w:rFonts w:ascii="Calibri" w:eastAsia="Calibri" w:hAnsi="Calibri" w:cs="Calibri"/>
                <w:sz w:val="22"/>
                <w:szCs w:val="22"/>
              </w:rPr>
              <w:t>TDAG endorsed the document and supported the BDT Director’s strategy to continue to improve service delivery through clustering topics based on the outcomes of WTDC-17 and PP-18.</w:t>
            </w:r>
            <w:r w:rsidR="50ABA7BC" w:rsidRPr="632A2ABB">
              <w:rPr>
                <w:rFonts w:ascii="Calibri" w:hAnsi="Calibri"/>
                <w:color w:val="000000" w:themeColor="text1"/>
                <w:sz w:val="22"/>
                <w:szCs w:val="22"/>
                <w:lang w:eastAsia="zh-CN"/>
              </w:rPr>
              <w:t xml:space="preserve"> </w:t>
            </w:r>
          </w:p>
        </w:tc>
      </w:tr>
      <w:tr w:rsidR="00F14711" w14:paraId="6245BDFE"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A415041" w14:textId="67C94EDE" w:rsidR="0C7ADA4C" w:rsidRPr="009110C1" w:rsidRDefault="6209442F" w:rsidP="632A2ABB">
            <w:pPr>
              <w:spacing w:before="60" w:after="60"/>
              <w:rPr>
                <w:rFonts w:ascii="Calibri" w:eastAsia="Calibri" w:hAnsi="Calibri" w:cs="Calibri"/>
                <w:sz w:val="22"/>
                <w:szCs w:val="22"/>
              </w:rPr>
            </w:pPr>
            <w:r w:rsidRPr="009110C1">
              <w:rPr>
                <w:rFonts w:ascii="Calibri" w:eastAsia="Calibri" w:hAnsi="Calibri" w:cs="Calibri"/>
                <w:sz w:val="22"/>
                <w:szCs w:val="22"/>
              </w:rPr>
              <w:t>General Secretariat four-year rolling operational plan 2020-2023</w:t>
            </w:r>
          </w:p>
        </w:tc>
        <w:tc>
          <w:tcPr>
            <w:tcW w:w="5994" w:type="dxa"/>
            <w:tcBorders>
              <w:top w:val="nil"/>
              <w:left w:val="nil"/>
              <w:bottom w:val="single" w:sz="4" w:space="0" w:color="auto"/>
              <w:right w:val="single" w:sz="4" w:space="0" w:color="auto"/>
            </w:tcBorders>
            <w:shd w:val="clear" w:color="auto" w:fill="auto"/>
            <w:vAlign w:val="center"/>
            <w:hideMark/>
          </w:tcPr>
          <w:p w14:paraId="2BC72305" w14:textId="07414609" w:rsidR="0C7ADA4C" w:rsidRPr="009110C1" w:rsidRDefault="6209442F" w:rsidP="632A2ABB">
            <w:pPr>
              <w:spacing w:before="60" w:after="60"/>
              <w:rPr>
                <w:rFonts w:ascii="Calibri" w:hAnsi="Calibri"/>
                <w:sz w:val="22"/>
                <w:szCs w:val="22"/>
              </w:rPr>
            </w:pPr>
            <w:r w:rsidRPr="009110C1">
              <w:rPr>
                <w:rFonts w:ascii="Calibri" w:eastAsia="Calibri" w:hAnsi="Calibri" w:cs="Calibri"/>
                <w:sz w:val="22"/>
                <w:szCs w:val="22"/>
              </w:rPr>
              <w:t>TDAG noted the plan with appreciation.</w:t>
            </w:r>
          </w:p>
        </w:tc>
      </w:tr>
      <w:tr w:rsidR="00F14711" w14:paraId="5547F7F0"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F057D13" w14:textId="770F1113" w:rsidR="0C7ADA4C" w:rsidRPr="009110C1" w:rsidRDefault="6209442F" w:rsidP="632A2ABB">
            <w:pPr>
              <w:spacing w:before="60" w:after="60"/>
              <w:rPr>
                <w:rFonts w:ascii="Calibri" w:eastAsia="Calibri" w:hAnsi="Calibri" w:cs="Calibri"/>
                <w:sz w:val="22"/>
                <w:szCs w:val="22"/>
              </w:rPr>
            </w:pPr>
            <w:r w:rsidRPr="009110C1">
              <w:rPr>
                <w:rFonts w:ascii="Calibri" w:eastAsia="Calibri" w:hAnsi="Calibri" w:cs="Calibri"/>
                <w:sz w:val="22"/>
                <w:szCs w:val="22"/>
              </w:rPr>
              <w:t>Activities implementing the ITU-D Operational Plan 2018</w:t>
            </w:r>
          </w:p>
        </w:tc>
        <w:tc>
          <w:tcPr>
            <w:tcW w:w="5994" w:type="dxa"/>
            <w:tcBorders>
              <w:top w:val="nil"/>
              <w:left w:val="nil"/>
              <w:bottom w:val="single" w:sz="4" w:space="0" w:color="auto"/>
              <w:right w:val="single" w:sz="4" w:space="0" w:color="auto"/>
            </w:tcBorders>
            <w:shd w:val="clear" w:color="auto" w:fill="auto"/>
            <w:vAlign w:val="center"/>
            <w:hideMark/>
          </w:tcPr>
          <w:p w14:paraId="2297FCFA" w14:textId="4A6A4DFC" w:rsidR="0C7ADA4C" w:rsidRPr="009110C1" w:rsidRDefault="6209442F" w:rsidP="632A2ABB">
            <w:pPr>
              <w:spacing w:before="60" w:after="60"/>
              <w:rPr>
                <w:rFonts w:ascii="Calibri" w:hAnsi="Calibri"/>
                <w:sz w:val="22"/>
                <w:szCs w:val="22"/>
              </w:rPr>
            </w:pPr>
            <w:r w:rsidRPr="009110C1">
              <w:rPr>
                <w:rFonts w:ascii="Calibri" w:eastAsia="Calibri" w:hAnsi="Calibri" w:cs="Calibri"/>
                <w:sz w:val="22"/>
                <w:szCs w:val="22"/>
              </w:rPr>
              <w:t>TDAG noted the contents of the report with appreciation.</w:t>
            </w:r>
          </w:p>
        </w:tc>
      </w:tr>
      <w:tr w:rsidR="00F14711" w14:paraId="422BADB1"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10AD5F1B" w14:textId="4FE10740" w:rsidR="7AA53E7E" w:rsidRPr="009110C1" w:rsidRDefault="67899992" w:rsidP="632A2ABB">
            <w:pPr>
              <w:spacing w:before="60" w:after="60"/>
              <w:rPr>
                <w:rFonts w:ascii="Calibri" w:hAnsi="Calibri"/>
                <w:sz w:val="22"/>
                <w:szCs w:val="22"/>
              </w:rPr>
            </w:pPr>
            <w:r w:rsidRPr="009110C1">
              <w:rPr>
                <w:rFonts w:ascii="Calibri" w:eastAsia="Calibri" w:hAnsi="Calibri" w:cs="Calibri"/>
                <w:sz w:val="22"/>
                <w:szCs w:val="22"/>
              </w:rPr>
              <w:t>Infrastructure and spectrum management activities</w:t>
            </w:r>
          </w:p>
        </w:tc>
        <w:tc>
          <w:tcPr>
            <w:tcW w:w="5994" w:type="dxa"/>
            <w:tcBorders>
              <w:top w:val="nil"/>
              <w:left w:val="nil"/>
              <w:bottom w:val="single" w:sz="4" w:space="0" w:color="auto"/>
              <w:right w:val="single" w:sz="4" w:space="0" w:color="auto"/>
            </w:tcBorders>
            <w:shd w:val="clear" w:color="auto" w:fill="auto"/>
            <w:vAlign w:val="center"/>
            <w:hideMark/>
          </w:tcPr>
          <w:p w14:paraId="0B899796" w14:textId="17F69B2B" w:rsidR="7AA53E7E" w:rsidRDefault="67899992" w:rsidP="632A2ABB">
            <w:pPr>
              <w:spacing w:before="60" w:after="60"/>
              <w:rPr>
                <w:rFonts w:ascii="Calibri" w:eastAsia="Calibri" w:hAnsi="Calibri" w:cs="Calibri"/>
                <w:sz w:val="22"/>
                <w:szCs w:val="22"/>
              </w:rPr>
            </w:pPr>
            <w:r w:rsidRPr="009110C1">
              <w:rPr>
                <w:rFonts w:ascii="Calibri" w:eastAsia="Calibri" w:hAnsi="Calibri" w:cs="Calibri"/>
                <w:sz w:val="22"/>
                <w:szCs w:val="22"/>
              </w:rPr>
              <w:t>TDAG noted the document, recognizing that infrastructure development is one of the main goals articulated by ITU membership at WTDC-17 and at PP-18, and that this goal falls under SDG 9 - to build resilient infrastructure and foster innovation.</w:t>
            </w:r>
          </w:p>
        </w:tc>
      </w:tr>
      <w:tr w:rsidR="00F14711" w14:paraId="6C6E59E3"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40E49AF" w14:textId="379EDD48" w:rsidR="0B3DF338" w:rsidRPr="009110C1" w:rsidRDefault="2F85560F" w:rsidP="632A2ABB">
            <w:pPr>
              <w:spacing w:before="60" w:after="60"/>
              <w:rPr>
                <w:rFonts w:ascii="Calibri" w:hAnsi="Calibri"/>
                <w:sz w:val="22"/>
                <w:szCs w:val="22"/>
              </w:rPr>
            </w:pPr>
            <w:r w:rsidRPr="009110C1">
              <w:rPr>
                <w:rFonts w:ascii="Calibri" w:eastAsia="Calibri" w:hAnsi="Calibri" w:cs="Calibri"/>
                <w:sz w:val="22"/>
                <w:szCs w:val="22"/>
                <w:lang w:val="en-US"/>
              </w:rPr>
              <w:lastRenderedPageBreak/>
              <w:t>Spectrum Management Activities under Resolution 9</w:t>
            </w:r>
          </w:p>
        </w:tc>
        <w:tc>
          <w:tcPr>
            <w:tcW w:w="5994" w:type="dxa"/>
            <w:tcBorders>
              <w:top w:val="nil"/>
              <w:left w:val="nil"/>
              <w:bottom w:val="single" w:sz="4" w:space="0" w:color="auto"/>
              <w:right w:val="single" w:sz="4" w:space="0" w:color="auto"/>
            </w:tcBorders>
            <w:shd w:val="clear" w:color="auto" w:fill="auto"/>
            <w:vAlign w:val="center"/>
            <w:hideMark/>
          </w:tcPr>
          <w:p w14:paraId="2E19AD3A" w14:textId="0FB234AB" w:rsidR="0B3DF338" w:rsidRPr="009110C1" w:rsidRDefault="2F85560F" w:rsidP="632A2ABB">
            <w:pPr>
              <w:spacing w:before="60" w:after="60"/>
              <w:rPr>
                <w:rFonts w:ascii="Calibri" w:hAnsi="Calibri"/>
                <w:sz w:val="22"/>
                <w:szCs w:val="22"/>
              </w:rPr>
            </w:pPr>
            <w:r w:rsidRPr="009110C1">
              <w:rPr>
                <w:rFonts w:ascii="Calibri" w:eastAsia="Calibri" w:hAnsi="Calibri" w:cs="Calibri"/>
                <w:sz w:val="22"/>
                <w:szCs w:val="22"/>
              </w:rPr>
              <w:t>TDAG noted the document with interest and appreciation and approved the approach proposed by the Chairmen of Study Group 1 and Study Group 2 recounted above and the coordinators selected.</w:t>
            </w:r>
          </w:p>
        </w:tc>
      </w:tr>
      <w:tr w:rsidR="00F14711" w14:paraId="6357B43D"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3BBC66C7" w14:textId="3F1C8408" w:rsidR="0B3DF338" w:rsidRPr="009110C1" w:rsidRDefault="2F85560F" w:rsidP="632A2ABB">
            <w:pPr>
              <w:spacing w:before="60" w:after="60"/>
              <w:rPr>
                <w:rFonts w:ascii="Calibri" w:hAnsi="Calibri"/>
                <w:sz w:val="22"/>
                <w:szCs w:val="22"/>
              </w:rPr>
            </w:pPr>
            <w:r w:rsidRPr="009110C1">
              <w:rPr>
                <w:rFonts w:ascii="Calibri" w:eastAsia="Calibri" w:hAnsi="Calibri" w:cs="Calibri"/>
                <w:color w:val="000000" w:themeColor="text1"/>
                <w:sz w:val="22"/>
                <w:szCs w:val="22"/>
              </w:rPr>
              <w:t>Cybersecurity and ICT applications</w:t>
            </w:r>
          </w:p>
        </w:tc>
        <w:tc>
          <w:tcPr>
            <w:tcW w:w="5994" w:type="dxa"/>
            <w:tcBorders>
              <w:top w:val="nil"/>
              <w:left w:val="nil"/>
              <w:bottom w:val="single" w:sz="4" w:space="0" w:color="auto"/>
              <w:right w:val="single" w:sz="4" w:space="0" w:color="auto"/>
            </w:tcBorders>
            <w:shd w:val="clear" w:color="auto" w:fill="auto"/>
            <w:vAlign w:val="center"/>
            <w:hideMark/>
          </w:tcPr>
          <w:p w14:paraId="572BA991" w14:textId="47294386" w:rsidR="0B3DF338" w:rsidRPr="009110C1" w:rsidRDefault="2F85560F" w:rsidP="632A2ABB">
            <w:pPr>
              <w:spacing w:before="60" w:after="60"/>
              <w:rPr>
                <w:rFonts w:ascii="Calibri" w:hAnsi="Calibri"/>
                <w:sz w:val="22"/>
                <w:szCs w:val="22"/>
              </w:rPr>
            </w:pPr>
            <w:r w:rsidRPr="009110C1">
              <w:rPr>
                <w:rFonts w:ascii="Calibri" w:eastAsia="Calibri" w:hAnsi="Calibri" w:cs="Calibri"/>
                <w:sz w:val="22"/>
                <w:szCs w:val="22"/>
              </w:rPr>
              <w:t xml:space="preserve">TDAG noted the document with </w:t>
            </w:r>
            <w:proofErr w:type="gramStart"/>
            <w:r w:rsidRPr="009110C1">
              <w:rPr>
                <w:rFonts w:ascii="Calibri" w:eastAsia="Calibri" w:hAnsi="Calibri" w:cs="Calibri"/>
                <w:sz w:val="22"/>
                <w:szCs w:val="22"/>
              </w:rPr>
              <w:t>appreciation, and</w:t>
            </w:r>
            <w:proofErr w:type="gramEnd"/>
            <w:r w:rsidRPr="009110C1">
              <w:rPr>
                <w:rFonts w:ascii="Calibri" w:eastAsia="Calibri" w:hAnsi="Calibri" w:cs="Calibri"/>
                <w:sz w:val="22"/>
                <w:szCs w:val="22"/>
              </w:rPr>
              <w:t xml:space="preserve"> encouraged BDT to continue measuring cybersecurity progress with the GCI while improving the methodology and scoring mechanism through continuous dialogue and collaboration with Member States, industry, academia, and experts in the area of cybersecurity and data analysis. TDAG suggested that a mechanism could be developed to ensure that products and services are developed taking into consideration such input from the membership.</w:t>
            </w:r>
          </w:p>
        </w:tc>
      </w:tr>
      <w:tr w:rsidR="00F14711" w14:paraId="521E838E"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1FB22579" w14:textId="04D44B46" w:rsidR="0B3DF338" w:rsidRPr="009110C1" w:rsidRDefault="2F85560F" w:rsidP="632A2ABB">
            <w:pPr>
              <w:spacing w:before="60" w:after="60"/>
              <w:rPr>
                <w:rFonts w:ascii="Calibri" w:hAnsi="Calibri"/>
                <w:sz w:val="22"/>
                <w:szCs w:val="22"/>
              </w:rPr>
            </w:pPr>
            <w:r w:rsidRPr="009110C1">
              <w:rPr>
                <w:rFonts w:ascii="Calibri" w:eastAsia="Calibri" w:hAnsi="Calibri" w:cs="Calibri"/>
                <w:sz w:val="22"/>
                <w:szCs w:val="22"/>
              </w:rPr>
              <w:t>Regulatory and market environment, including the Global Symposium for Regulators (GSR)</w:t>
            </w:r>
          </w:p>
        </w:tc>
        <w:tc>
          <w:tcPr>
            <w:tcW w:w="5994" w:type="dxa"/>
            <w:tcBorders>
              <w:top w:val="nil"/>
              <w:left w:val="nil"/>
              <w:bottom w:val="single" w:sz="4" w:space="0" w:color="auto"/>
              <w:right w:val="single" w:sz="4" w:space="0" w:color="auto"/>
            </w:tcBorders>
            <w:shd w:val="clear" w:color="auto" w:fill="auto"/>
            <w:vAlign w:val="center"/>
            <w:hideMark/>
          </w:tcPr>
          <w:p w14:paraId="17DC188D" w14:textId="751DDDD4" w:rsidR="0B3DF338" w:rsidRPr="009110C1" w:rsidRDefault="2F85560F" w:rsidP="632A2ABB">
            <w:pPr>
              <w:spacing w:before="60" w:after="60"/>
              <w:rPr>
                <w:rFonts w:ascii="Calibri" w:hAnsi="Calibri"/>
                <w:sz w:val="22"/>
                <w:szCs w:val="22"/>
              </w:rPr>
            </w:pPr>
            <w:r w:rsidRPr="009110C1">
              <w:rPr>
                <w:rFonts w:ascii="Calibri" w:eastAsia="Calibri" w:hAnsi="Calibri" w:cs="Calibri"/>
                <w:sz w:val="22"/>
                <w:szCs w:val="22"/>
              </w:rPr>
              <w:t xml:space="preserve">TDAG noted the document with interest and appreciation and participants requested further clarification on events, portals, studies and research, and asked that information on reports and studies be made available to membership and shared with regional offices so that best practices on policy and regulation could be widely disseminated. </w:t>
            </w:r>
          </w:p>
        </w:tc>
      </w:tr>
      <w:tr w:rsidR="00F14711" w14:paraId="1B6FDC26"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359A348E" w14:textId="3668D147" w:rsidR="6D97051B" w:rsidRPr="009110C1" w:rsidRDefault="36B2B32F" w:rsidP="005D46DD">
            <w:pPr>
              <w:spacing w:before="60" w:after="60"/>
              <w:rPr>
                <w:rFonts w:ascii="Calibri" w:hAnsi="Calibri"/>
                <w:sz w:val="22"/>
                <w:szCs w:val="22"/>
              </w:rPr>
            </w:pPr>
            <w:r w:rsidRPr="009110C1">
              <w:rPr>
                <w:rFonts w:ascii="Calibri" w:eastAsia="Calibri" w:hAnsi="Calibri" w:cs="Calibri"/>
                <w:sz w:val="22"/>
                <w:szCs w:val="22"/>
              </w:rPr>
              <w:t>Digital inclusion</w:t>
            </w:r>
          </w:p>
        </w:tc>
        <w:tc>
          <w:tcPr>
            <w:tcW w:w="5994" w:type="dxa"/>
            <w:tcBorders>
              <w:top w:val="nil"/>
              <w:left w:val="nil"/>
              <w:bottom w:val="single" w:sz="4" w:space="0" w:color="auto"/>
              <w:right w:val="single" w:sz="4" w:space="0" w:color="auto"/>
            </w:tcBorders>
            <w:shd w:val="clear" w:color="auto" w:fill="auto"/>
            <w:vAlign w:val="center"/>
            <w:hideMark/>
          </w:tcPr>
          <w:p w14:paraId="142FA0E3" w14:textId="765C2022" w:rsidR="3989150E" w:rsidRPr="009110C1" w:rsidRDefault="36B2B32F" w:rsidP="632A2ABB">
            <w:pPr>
              <w:spacing w:before="60" w:after="60"/>
              <w:rPr>
                <w:rFonts w:ascii="Calibri" w:hAnsi="Calibri"/>
                <w:sz w:val="22"/>
                <w:szCs w:val="22"/>
              </w:rPr>
            </w:pPr>
            <w:r w:rsidRPr="009110C1">
              <w:rPr>
                <w:rFonts w:ascii="Calibri" w:eastAsia="Calibri" w:hAnsi="Calibri" w:cs="Calibri"/>
                <w:sz w:val="22"/>
                <w:szCs w:val="22"/>
              </w:rPr>
              <w:t>TDAG noted the document with interest and appreciation, acknowledging</w:t>
            </w:r>
            <w:r w:rsidRPr="009110C1">
              <w:rPr>
                <w:rFonts w:ascii="Calibri" w:eastAsia="Calibri" w:hAnsi="Calibri" w:cs="Calibri"/>
                <w:color w:val="000000" w:themeColor="text1"/>
                <w:sz w:val="22"/>
                <w:szCs w:val="22"/>
              </w:rPr>
              <w:t xml:space="preserve"> the need to highlight the importance of implementing policies on digital inclusion and accessibility, and underlining the need to foster an enabling environment to achieve trust in ICTs.</w:t>
            </w:r>
          </w:p>
        </w:tc>
      </w:tr>
      <w:tr w:rsidR="00F14711" w14:paraId="4089A799"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1544EB66" w14:textId="2D359A76" w:rsidR="6D97051B" w:rsidRPr="009110C1" w:rsidRDefault="36B2B32F" w:rsidP="005D46DD">
            <w:pPr>
              <w:spacing w:before="60" w:after="60"/>
              <w:rPr>
                <w:rFonts w:ascii="Calibri" w:hAnsi="Calibri"/>
                <w:sz w:val="22"/>
                <w:szCs w:val="22"/>
              </w:rPr>
            </w:pPr>
            <w:r w:rsidRPr="009110C1">
              <w:rPr>
                <w:rFonts w:ascii="Calibri" w:eastAsia="Calibri" w:hAnsi="Calibri" w:cs="Calibri"/>
                <w:sz w:val="22"/>
                <w:szCs w:val="22"/>
              </w:rPr>
              <w:t>Capacity-building activities</w:t>
            </w:r>
          </w:p>
        </w:tc>
        <w:tc>
          <w:tcPr>
            <w:tcW w:w="5994" w:type="dxa"/>
            <w:tcBorders>
              <w:top w:val="nil"/>
              <w:left w:val="nil"/>
              <w:bottom w:val="single" w:sz="4" w:space="0" w:color="auto"/>
              <w:right w:val="single" w:sz="4" w:space="0" w:color="auto"/>
            </w:tcBorders>
            <w:shd w:val="clear" w:color="auto" w:fill="auto"/>
            <w:vAlign w:val="center"/>
            <w:hideMark/>
          </w:tcPr>
          <w:p w14:paraId="3B25F561" w14:textId="1BF844D3" w:rsidR="3989150E" w:rsidRPr="009110C1" w:rsidRDefault="288447D7" w:rsidP="632A2ABB">
            <w:pPr>
              <w:spacing w:before="60" w:after="60"/>
              <w:rPr>
                <w:rFonts w:ascii="Calibri" w:hAnsi="Calibri"/>
                <w:sz w:val="22"/>
                <w:szCs w:val="22"/>
              </w:rPr>
            </w:pPr>
            <w:r w:rsidRPr="05C1679F">
              <w:rPr>
                <w:rFonts w:ascii="Calibri" w:eastAsia="Calibri" w:hAnsi="Calibri" w:cs="Calibri"/>
                <w:sz w:val="22"/>
                <w:szCs w:val="22"/>
              </w:rPr>
              <w:t>TDAG noted the important activities related to the centres of excellence, ITU Academy, and working in partnership with other stakeholders</w:t>
            </w:r>
            <w:r w:rsidR="7C3D7F59" w:rsidRPr="05C1679F">
              <w:rPr>
                <w:rFonts w:ascii="Calibri" w:eastAsia="Calibri" w:hAnsi="Calibri" w:cs="Calibri"/>
                <w:sz w:val="22"/>
                <w:szCs w:val="22"/>
              </w:rPr>
              <w:t xml:space="preserve"> with appreciation</w:t>
            </w:r>
            <w:r w:rsidR="077604C3" w:rsidRPr="05C1679F">
              <w:rPr>
                <w:rFonts w:ascii="Calibri" w:eastAsia="Calibri" w:hAnsi="Calibri" w:cs="Calibri"/>
                <w:sz w:val="22"/>
                <w:szCs w:val="22"/>
              </w:rPr>
              <w:t>, recognizing the importance of doing work to build capacity for digital inclusion, including digital literacy</w:t>
            </w:r>
            <w:r w:rsidRPr="05C1679F">
              <w:rPr>
                <w:rFonts w:ascii="Calibri" w:eastAsia="Calibri" w:hAnsi="Calibri" w:cs="Calibri"/>
                <w:sz w:val="22"/>
                <w:szCs w:val="22"/>
              </w:rPr>
              <w:t>. TDAG suggested that BDT could explore mechanisms to leverage the expertise created through the training activities and emphasized the importance of including the gender dimension in capacity building and skills development work.</w:t>
            </w:r>
            <w:r w:rsidR="07C319C8" w:rsidRPr="05C1679F">
              <w:rPr>
                <w:rFonts w:ascii="Calibri" w:eastAsia="Calibri" w:hAnsi="Calibri" w:cs="Calibri"/>
                <w:sz w:val="22"/>
                <w:szCs w:val="22"/>
              </w:rPr>
              <w:t xml:space="preserve"> </w:t>
            </w:r>
          </w:p>
        </w:tc>
      </w:tr>
      <w:tr w:rsidR="00F14711" w14:paraId="31086414"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6040760A" w14:textId="7CE14690" w:rsidR="1275D6CB" w:rsidRPr="009110C1" w:rsidRDefault="3515A69F" w:rsidP="632A2ABB">
            <w:pPr>
              <w:spacing w:before="60" w:after="60"/>
              <w:rPr>
                <w:rFonts w:ascii="Calibri" w:hAnsi="Calibri"/>
                <w:sz w:val="22"/>
                <w:szCs w:val="22"/>
              </w:rPr>
            </w:pPr>
            <w:r w:rsidRPr="009110C1">
              <w:rPr>
                <w:rFonts w:ascii="Calibri" w:eastAsia="Calibri" w:hAnsi="Calibri" w:cs="Calibri"/>
                <w:sz w:val="22"/>
                <w:szCs w:val="22"/>
              </w:rPr>
              <w:t>ICT data and statistics, including World Telecommunication/ICT Indicators Symposium (WTIS)</w:t>
            </w:r>
          </w:p>
        </w:tc>
        <w:tc>
          <w:tcPr>
            <w:tcW w:w="5994" w:type="dxa"/>
            <w:tcBorders>
              <w:top w:val="nil"/>
              <w:left w:val="nil"/>
              <w:bottom w:val="single" w:sz="4" w:space="0" w:color="auto"/>
              <w:right w:val="single" w:sz="4" w:space="0" w:color="auto"/>
            </w:tcBorders>
            <w:shd w:val="clear" w:color="auto" w:fill="auto"/>
            <w:vAlign w:val="center"/>
            <w:hideMark/>
          </w:tcPr>
          <w:p w14:paraId="578F3B3F" w14:textId="33731AA8" w:rsidR="1275D6CB" w:rsidRDefault="3515A69F" w:rsidP="632A2ABB">
            <w:pPr>
              <w:spacing w:before="60" w:after="60"/>
              <w:rPr>
                <w:rFonts w:ascii="Calibri" w:eastAsia="Calibri" w:hAnsi="Calibri" w:cs="Calibri"/>
                <w:color w:val="000000" w:themeColor="text1"/>
                <w:sz w:val="22"/>
                <w:szCs w:val="22"/>
              </w:rPr>
            </w:pPr>
            <w:r w:rsidRPr="009110C1">
              <w:rPr>
                <w:rFonts w:ascii="Calibri" w:eastAsia="Calibri" w:hAnsi="Calibri" w:cs="Calibri"/>
                <w:sz w:val="22"/>
                <w:szCs w:val="22"/>
              </w:rPr>
              <w:t xml:space="preserve">TDAG noted the document with interest and appreciation, recognizing that </w:t>
            </w:r>
            <w:r w:rsidRPr="009110C1">
              <w:rPr>
                <w:rFonts w:ascii="Calibri" w:eastAsia="Calibri" w:hAnsi="Calibri" w:cs="Calibri"/>
                <w:color w:val="000000" w:themeColor="text1"/>
                <w:sz w:val="22"/>
                <w:szCs w:val="22"/>
              </w:rPr>
              <w:t xml:space="preserve">ICT statistics are a critical output of ITU and an essential input for ICT policy. TDAG also stressed that statistics published by ITU must be reliable and trustworthy. TDAG encouraged experts from Member States to contribute actively </w:t>
            </w:r>
            <w:proofErr w:type="gramStart"/>
            <w:r w:rsidRPr="009110C1">
              <w:rPr>
                <w:rFonts w:ascii="Calibri" w:eastAsia="Calibri" w:hAnsi="Calibri" w:cs="Calibri"/>
                <w:color w:val="000000" w:themeColor="text1"/>
                <w:sz w:val="22"/>
                <w:szCs w:val="22"/>
              </w:rPr>
              <w:t>in</w:t>
            </w:r>
            <w:proofErr w:type="gramEnd"/>
            <w:r w:rsidRPr="009110C1">
              <w:rPr>
                <w:rFonts w:ascii="Calibri" w:eastAsia="Calibri" w:hAnsi="Calibri" w:cs="Calibri"/>
                <w:color w:val="000000" w:themeColor="text1"/>
                <w:sz w:val="22"/>
                <w:szCs w:val="22"/>
              </w:rPr>
              <w:t xml:space="preserve"> the ongoing work.</w:t>
            </w:r>
          </w:p>
          <w:p w14:paraId="756A13EC" w14:textId="15407EF9" w:rsidR="1275D6CB" w:rsidRPr="009110C1" w:rsidRDefault="4E01AAE9" w:rsidP="632A2ABB">
            <w:pPr>
              <w:spacing w:before="60" w:after="60"/>
              <w:rPr>
                <w:rFonts w:ascii="Calibri" w:hAnsi="Calibri"/>
                <w:sz w:val="22"/>
                <w:szCs w:val="22"/>
              </w:rPr>
            </w:pPr>
            <w:r w:rsidRPr="632A2ABB">
              <w:rPr>
                <w:rFonts w:ascii="Calibri" w:eastAsia="Calibri" w:hAnsi="Calibri" w:cs="Calibri"/>
                <w:sz w:val="22"/>
                <w:szCs w:val="22"/>
              </w:rPr>
              <w:t xml:space="preserve">Breakout session ICT data and statistics: </w:t>
            </w:r>
            <w:r w:rsidR="3C2DA769" w:rsidRPr="009110C1">
              <w:rPr>
                <w:rFonts w:ascii="Calibri" w:eastAsia="Calibri" w:hAnsi="Calibri" w:cs="Calibri"/>
                <w:sz w:val="22"/>
                <w:szCs w:val="22"/>
              </w:rPr>
              <w:t>TDAG agreed that relevant ITU ICT statistics and information on the latest publications should be made available to study groups, that revision or update to such data should be made by experts in the statistics field in the expert group and that members of study groups could be invited to attend these meetings, as appropriate.</w:t>
            </w:r>
          </w:p>
        </w:tc>
      </w:tr>
      <w:tr w:rsidR="00F14711" w14:paraId="1AA6D85D"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57DD446A" w14:textId="2E318A11" w:rsidR="2166CDF4" w:rsidRPr="009110C1" w:rsidRDefault="3C2DA769" w:rsidP="632A2ABB">
            <w:pPr>
              <w:spacing w:before="60" w:after="60"/>
              <w:rPr>
                <w:rFonts w:ascii="Calibri" w:hAnsi="Calibri"/>
                <w:sz w:val="22"/>
                <w:szCs w:val="22"/>
              </w:rPr>
            </w:pPr>
            <w:r w:rsidRPr="009110C1">
              <w:rPr>
                <w:rFonts w:ascii="Calibri" w:eastAsia="Calibri" w:hAnsi="Calibri" w:cs="Calibri"/>
                <w:sz w:val="22"/>
                <w:szCs w:val="22"/>
              </w:rPr>
              <w:lastRenderedPageBreak/>
              <w:t>Emergency telecommunications, climate change, e-waste, LDCs, LLDCs, and SIDS</w:t>
            </w:r>
          </w:p>
        </w:tc>
        <w:tc>
          <w:tcPr>
            <w:tcW w:w="5994" w:type="dxa"/>
            <w:tcBorders>
              <w:top w:val="nil"/>
              <w:left w:val="nil"/>
              <w:bottom w:val="single" w:sz="4" w:space="0" w:color="auto"/>
              <w:right w:val="single" w:sz="4" w:space="0" w:color="auto"/>
            </w:tcBorders>
            <w:shd w:val="clear" w:color="auto" w:fill="auto"/>
            <w:vAlign w:val="center"/>
            <w:hideMark/>
          </w:tcPr>
          <w:p w14:paraId="11A5F4DF" w14:textId="5D20AF1F" w:rsidR="2166CDF4" w:rsidRPr="009110C1" w:rsidRDefault="3C2DA769" w:rsidP="632A2ABB">
            <w:pPr>
              <w:spacing w:before="60" w:after="60"/>
              <w:rPr>
                <w:rFonts w:ascii="Calibri" w:hAnsi="Calibri"/>
                <w:sz w:val="22"/>
                <w:szCs w:val="22"/>
              </w:rPr>
            </w:pPr>
            <w:r w:rsidRPr="009110C1">
              <w:rPr>
                <w:rFonts w:ascii="Calibri" w:eastAsia="Calibri" w:hAnsi="Calibri" w:cs="Calibri"/>
                <w:sz w:val="22"/>
                <w:szCs w:val="22"/>
              </w:rPr>
              <w:t>TDAG noted the report with interest and appreciation, recognizing the importance of initiatives on emergency telecommunications, climate change, e-waste, LDCs, LLDCs, and SIDS to all members.</w:t>
            </w:r>
          </w:p>
        </w:tc>
      </w:tr>
      <w:tr w:rsidR="00F14711" w14:paraId="7FA31E57"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2130CB6F" w14:textId="3B33598D" w:rsidR="2166CDF4" w:rsidRPr="009110C1" w:rsidRDefault="3C2DA769" w:rsidP="632A2ABB">
            <w:pPr>
              <w:spacing w:before="60" w:after="60"/>
              <w:rPr>
                <w:rFonts w:ascii="Calibri" w:hAnsi="Calibri"/>
                <w:sz w:val="22"/>
                <w:szCs w:val="22"/>
              </w:rPr>
            </w:pPr>
            <w:r w:rsidRPr="009110C1">
              <w:rPr>
                <w:rFonts w:ascii="Calibri" w:eastAsia="Calibri" w:hAnsi="Calibri" w:cs="Calibri"/>
                <w:sz w:val="22"/>
                <w:szCs w:val="22"/>
              </w:rPr>
              <w:t>ITU-D projects</w:t>
            </w:r>
          </w:p>
        </w:tc>
        <w:tc>
          <w:tcPr>
            <w:tcW w:w="5994" w:type="dxa"/>
            <w:tcBorders>
              <w:top w:val="nil"/>
              <w:left w:val="nil"/>
              <w:bottom w:val="single" w:sz="4" w:space="0" w:color="auto"/>
              <w:right w:val="single" w:sz="4" w:space="0" w:color="auto"/>
            </w:tcBorders>
            <w:shd w:val="clear" w:color="auto" w:fill="auto"/>
            <w:vAlign w:val="center"/>
            <w:hideMark/>
          </w:tcPr>
          <w:p w14:paraId="47041A27" w14:textId="680AA4AB" w:rsidR="2166CDF4" w:rsidRPr="009110C1" w:rsidRDefault="3C2DA769" w:rsidP="632A2ABB">
            <w:pPr>
              <w:spacing w:before="60" w:after="60"/>
              <w:rPr>
                <w:rFonts w:ascii="Calibri" w:hAnsi="Calibri"/>
                <w:sz w:val="22"/>
                <w:szCs w:val="22"/>
              </w:rPr>
            </w:pPr>
            <w:r w:rsidRPr="009110C1">
              <w:rPr>
                <w:rFonts w:ascii="Calibri" w:eastAsia="Calibri" w:hAnsi="Calibri" w:cs="Calibri"/>
                <w:sz w:val="22"/>
                <w:szCs w:val="22"/>
              </w:rPr>
              <w:t>TDAG noted these efforts with interest and appreciation.</w:t>
            </w:r>
          </w:p>
        </w:tc>
      </w:tr>
      <w:tr w:rsidR="00F14711" w14:paraId="7E6D8E07"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74EAF184" w14:textId="77B7FCB1" w:rsidR="6D97051B" w:rsidRPr="009110C1" w:rsidRDefault="3C2DA769" w:rsidP="005D46DD">
            <w:pPr>
              <w:spacing w:before="60" w:after="60"/>
              <w:rPr>
                <w:rFonts w:ascii="Calibri" w:hAnsi="Calibri"/>
                <w:sz w:val="22"/>
                <w:szCs w:val="22"/>
              </w:rPr>
            </w:pPr>
            <w:r w:rsidRPr="009110C1">
              <w:rPr>
                <w:rFonts w:ascii="Calibri" w:eastAsia="Calibri" w:hAnsi="Calibri" w:cs="Calibri"/>
                <w:sz w:val="22"/>
                <w:szCs w:val="22"/>
              </w:rPr>
              <w:t>Innovation</w:t>
            </w:r>
          </w:p>
        </w:tc>
        <w:tc>
          <w:tcPr>
            <w:tcW w:w="5994" w:type="dxa"/>
            <w:tcBorders>
              <w:top w:val="nil"/>
              <w:left w:val="nil"/>
              <w:bottom w:val="single" w:sz="4" w:space="0" w:color="auto"/>
              <w:right w:val="single" w:sz="4" w:space="0" w:color="auto"/>
            </w:tcBorders>
            <w:shd w:val="clear" w:color="auto" w:fill="auto"/>
            <w:vAlign w:val="center"/>
            <w:hideMark/>
          </w:tcPr>
          <w:p w14:paraId="50D0CA1F" w14:textId="054DB03D" w:rsidR="2166CDF4" w:rsidRPr="009110C1" w:rsidRDefault="3C2DA769" w:rsidP="632A2ABB">
            <w:pPr>
              <w:spacing w:before="60" w:after="60"/>
              <w:rPr>
                <w:rFonts w:ascii="Calibri" w:hAnsi="Calibri"/>
                <w:sz w:val="22"/>
                <w:szCs w:val="22"/>
              </w:rPr>
            </w:pPr>
            <w:r w:rsidRPr="009110C1">
              <w:rPr>
                <w:rFonts w:ascii="Calibri" w:eastAsia="Calibri" w:hAnsi="Calibri" w:cs="Calibri"/>
                <w:sz w:val="22"/>
                <w:szCs w:val="22"/>
              </w:rPr>
              <w:t>TDAG noted the document with interest and appreciation, recognizing innovation as an imperative for future growth in all sectors.</w:t>
            </w:r>
          </w:p>
        </w:tc>
      </w:tr>
      <w:tr w:rsidR="00F14711" w14:paraId="0EA9D7BB"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7E5427A9" w14:textId="6DCEB90D" w:rsidR="2166CDF4" w:rsidRPr="009110C1" w:rsidRDefault="3C2DA769" w:rsidP="632A2ABB">
            <w:pPr>
              <w:spacing w:before="60" w:after="60"/>
              <w:rPr>
                <w:rFonts w:ascii="Calibri" w:hAnsi="Calibri"/>
                <w:sz w:val="22"/>
                <w:szCs w:val="22"/>
              </w:rPr>
            </w:pPr>
            <w:r w:rsidRPr="009110C1">
              <w:rPr>
                <w:rFonts w:ascii="Calibri" w:eastAsia="Calibri" w:hAnsi="Calibri" w:cs="Calibri"/>
                <w:sz w:val="22"/>
                <w:szCs w:val="22"/>
              </w:rPr>
              <w:t>Membership, partnership and private sector-related matters</w:t>
            </w:r>
          </w:p>
        </w:tc>
        <w:tc>
          <w:tcPr>
            <w:tcW w:w="5994" w:type="dxa"/>
            <w:tcBorders>
              <w:top w:val="nil"/>
              <w:left w:val="nil"/>
              <w:bottom w:val="single" w:sz="4" w:space="0" w:color="auto"/>
              <w:right w:val="single" w:sz="4" w:space="0" w:color="auto"/>
            </w:tcBorders>
            <w:shd w:val="clear" w:color="auto" w:fill="auto"/>
            <w:vAlign w:val="center"/>
            <w:hideMark/>
          </w:tcPr>
          <w:p w14:paraId="2D1CF3E0" w14:textId="212503E1" w:rsidR="2166CDF4" w:rsidRPr="009110C1" w:rsidRDefault="3C2DA769" w:rsidP="632A2ABB">
            <w:pPr>
              <w:spacing w:before="60" w:after="60"/>
              <w:rPr>
                <w:rFonts w:ascii="Calibri" w:hAnsi="Calibri"/>
                <w:sz w:val="22"/>
                <w:szCs w:val="22"/>
              </w:rPr>
            </w:pPr>
            <w:r w:rsidRPr="009110C1">
              <w:rPr>
                <w:rFonts w:ascii="Calibri" w:eastAsia="Calibri" w:hAnsi="Calibri" w:cs="Calibri"/>
                <w:sz w:val="22"/>
                <w:szCs w:val="22"/>
              </w:rPr>
              <w:t>TDAG noted these efforts with interest and appreciation, and BDT agreed to make best efforts to maintain existing members and recruit new ones, and would list all Sector Members in the regions on the Regional Presence website.</w:t>
            </w:r>
            <w:r w:rsidR="2166CDF4">
              <w:br/>
            </w:r>
            <w:r w:rsidR="49D60959" w:rsidRPr="009110C1">
              <w:rPr>
                <w:rFonts w:ascii="Calibri" w:eastAsia="Calibri" w:hAnsi="Calibri" w:cs="Calibri"/>
                <w:sz w:val="22"/>
                <w:szCs w:val="22"/>
              </w:rPr>
              <w:t>TDAG recognised the importance of partnerships to assist the ITU through the BDT address the gaps in ICT connectivity, access and use.</w:t>
            </w:r>
          </w:p>
        </w:tc>
      </w:tr>
      <w:tr w:rsidR="00F14711" w14:paraId="35D466F8"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762BF13" w14:textId="052EF102" w:rsidR="7BDC1247" w:rsidRPr="009110C1" w:rsidRDefault="49D60959" w:rsidP="009110C1">
            <w:pPr>
              <w:spacing w:before="60" w:after="60"/>
              <w:rPr>
                <w:rFonts w:ascii="Calibri" w:eastAsia="Calibri" w:hAnsi="Calibri" w:cs="Calibri"/>
                <w:sz w:val="22"/>
                <w:szCs w:val="22"/>
              </w:rPr>
            </w:pPr>
            <w:r w:rsidRPr="009110C1">
              <w:rPr>
                <w:rFonts w:ascii="Calibri" w:eastAsia="Calibri" w:hAnsi="Calibri" w:cs="Calibri"/>
                <w:sz w:val="22"/>
                <w:szCs w:val="22"/>
              </w:rPr>
              <w:t>Reports from the regions: Activities and Trends</w:t>
            </w:r>
          </w:p>
        </w:tc>
        <w:tc>
          <w:tcPr>
            <w:tcW w:w="5994" w:type="dxa"/>
            <w:tcBorders>
              <w:top w:val="nil"/>
              <w:left w:val="nil"/>
              <w:bottom w:val="single" w:sz="4" w:space="0" w:color="auto"/>
              <w:right w:val="single" w:sz="4" w:space="0" w:color="auto"/>
            </w:tcBorders>
            <w:shd w:val="clear" w:color="auto" w:fill="auto"/>
            <w:vAlign w:val="center"/>
            <w:hideMark/>
          </w:tcPr>
          <w:p w14:paraId="74250701" w14:textId="104A89F9" w:rsidR="7BDC1247" w:rsidRPr="009110C1" w:rsidRDefault="71E027CF" w:rsidP="632A2ABB">
            <w:pPr>
              <w:spacing w:before="60" w:after="60"/>
              <w:rPr>
                <w:rFonts w:ascii="Calibri" w:hAnsi="Calibri"/>
                <w:sz w:val="22"/>
                <w:szCs w:val="22"/>
              </w:rPr>
            </w:pPr>
            <w:r w:rsidRPr="009110C1">
              <w:rPr>
                <w:rStyle w:val="StyleComplex12pt"/>
                <w:rFonts w:cstheme="minorBidi"/>
                <w:sz w:val="22"/>
                <w:szCs w:val="22"/>
              </w:rPr>
              <w:t>Activities in 2018</w:t>
            </w:r>
            <w:r w:rsidRPr="632A2ABB">
              <w:rPr>
                <w:rStyle w:val="StyleComplex12pt"/>
                <w:rFonts w:cstheme="minorBidi"/>
                <w:b/>
                <w:bCs/>
              </w:rPr>
              <w:t xml:space="preserve">: </w:t>
            </w:r>
            <w:r w:rsidR="49D60959" w:rsidRPr="009110C1">
              <w:rPr>
                <w:rFonts w:ascii="Calibri" w:eastAsia="Calibri" w:hAnsi="Calibri" w:cs="Calibri"/>
                <w:sz w:val="22"/>
                <w:szCs w:val="22"/>
              </w:rPr>
              <w:t>TDAG noted all activities with interest and appreciation, and welcomed this open dialogue and interaction with the Regional Directors as a source of first-hand information allowing TDAG to become apprised of the tremendous amount of work on behalf of members, and to provide guidance and advice where needed. With so many activities implemented, TDAG asked how the impact of the activities could be best measured, suggesting that all success stories be widely shared, and any challenges faced in implementing planned activities be documented as lessons learned.</w:t>
            </w:r>
          </w:p>
        </w:tc>
      </w:tr>
      <w:tr w:rsidR="00F14711" w14:paraId="31FBBCF6"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76C5F76E" w14:textId="3AAEC050" w:rsidR="7BDC1247" w:rsidRPr="009110C1" w:rsidRDefault="49D60959" w:rsidP="632A2ABB">
            <w:pPr>
              <w:spacing w:before="60" w:after="60"/>
              <w:rPr>
                <w:rFonts w:ascii="Calibri" w:hAnsi="Calibri"/>
                <w:sz w:val="22"/>
                <w:szCs w:val="22"/>
              </w:rPr>
            </w:pPr>
            <w:r w:rsidRPr="009110C1">
              <w:rPr>
                <w:rFonts w:ascii="Calibri" w:eastAsia="Calibri" w:hAnsi="Calibri" w:cs="Calibri"/>
                <w:sz w:val="22"/>
                <w:szCs w:val="22"/>
              </w:rPr>
              <w:t>2019 Regional Development Forums</w:t>
            </w:r>
          </w:p>
        </w:tc>
        <w:tc>
          <w:tcPr>
            <w:tcW w:w="5994" w:type="dxa"/>
            <w:tcBorders>
              <w:top w:val="nil"/>
              <w:left w:val="nil"/>
              <w:bottom w:val="single" w:sz="4" w:space="0" w:color="auto"/>
              <w:right w:val="single" w:sz="4" w:space="0" w:color="auto"/>
            </w:tcBorders>
            <w:shd w:val="clear" w:color="auto" w:fill="auto"/>
            <w:vAlign w:val="center"/>
            <w:hideMark/>
          </w:tcPr>
          <w:p w14:paraId="1B81B5D7" w14:textId="7AF5B267" w:rsidR="7BDC1247" w:rsidRPr="009110C1" w:rsidRDefault="49D60959" w:rsidP="632A2ABB">
            <w:pPr>
              <w:spacing w:before="60" w:after="60"/>
              <w:rPr>
                <w:rFonts w:ascii="Calibri" w:hAnsi="Calibri"/>
                <w:sz w:val="22"/>
                <w:szCs w:val="22"/>
              </w:rPr>
            </w:pPr>
            <w:r w:rsidRPr="009110C1">
              <w:rPr>
                <w:rFonts w:ascii="Calibri" w:eastAsia="Calibri" w:hAnsi="Calibri" w:cs="Calibri"/>
                <w:sz w:val="22"/>
                <w:szCs w:val="22"/>
              </w:rPr>
              <w:t>TDAG agreed that going forward a segment on WSIS and SDGs should be included as a regular agenda item at the regional development forums.</w:t>
            </w:r>
          </w:p>
        </w:tc>
      </w:tr>
      <w:tr w:rsidR="00F14711" w14:paraId="6067CB49"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53584B7" w14:textId="29CB7663" w:rsidR="7BDC1247" w:rsidRPr="009110C1" w:rsidRDefault="49D60959" w:rsidP="632A2ABB">
            <w:pPr>
              <w:spacing w:before="60" w:after="60"/>
              <w:rPr>
                <w:rFonts w:ascii="Calibri" w:hAnsi="Calibri"/>
                <w:sz w:val="22"/>
                <w:szCs w:val="22"/>
              </w:rPr>
            </w:pPr>
            <w:r w:rsidRPr="009110C1">
              <w:rPr>
                <w:rFonts w:ascii="Calibri" w:eastAsia="Calibri" w:hAnsi="Calibri" w:cs="Calibri"/>
                <w:sz w:val="22"/>
                <w:szCs w:val="22"/>
                <w:lang w:val="en-US"/>
              </w:rPr>
              <w:t>Financing Regional Initiatives</w:t>
            </w:r>
          </w:p>
        </w:tc>
        <w:tc>
          <w:tcPr>
            <w:tcW w:w="5994" w:type="dxa"/>
            <w:tcBorders>
              <w:top w:val="nil"/>
              <w:left w:val="nil"/>
              <w:bottom w:val="single" w:sz="4" w:space="0" w:color="auto"/>
              <w:right w:val="single" w:sz="4" w:space="0" w:color="auto"/>
            </w:tcBorders>
            <w:shd w:val="clear" w:color="auto" w:fill="auto"/>
            <w:vAlign w:val="center"/>
            <w:hideMark/>
          </w:tcPr>
          <w:p w14:paraId="1EA36464" w14:textId="4AC6B7D4" w:rsidR="7BDC1247" w:rsidRPr="009110C1" w:rsidRDefault="49D60959" w:rsidP="632A2ABB">
            <w:pPr>
              <w:spacing w:before="60" w:after="60"/>
              <w:rPr>
                <w:rFonts w:ascii="Calibri" w:hAnsi="Calibri"/>
                <w:sz w:val="22"/>
                <w:szCs w:val="22"/>
              </w:rPr>
            </w:pPr>
            <w:r w:rsidRPr="009110C1">
              <w:rPr>
                <w:rFonts w:ascii="Calibri" w:eastAsia="Calibri" w:hAnsi="Calibri" w:cs="Calibri"/>
                <w:sz w:val="22"/>
                <w:szCs w:val="22"/>
              </w:rPr>
              <w:t>In discussing the seed money that has been allocated by the Council for the regional initiatives, TDAG agreed that in-kind contributions that can be quantified can be included in project documents as one of the funding sources, and must be submitted with the initial project document.</w:t>
            </w:r>
          </w:p>
        </w:tc>
      </w:tr>
      <w:tr w:rsidR="00F14711" w14:paraId="6E1EC146"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2DE19629" w14:textId="71C07338" w:rsidR="7BDC1247" w:rsidRPr="009110C1" w:rsidRDefault="49D60959" w:rsidP="632A2ABB">
            <w:pPr>
              <w:spacing w:before="60" w:after="60"/>
              <w:rPr>
                <w:rFonts w:ascii="Calibri" w:hAnsi="Calibri"/>
                <w:sz w:val="22"/>
                <w:szCs w:val="22"/>
              </w:rPr>
            </w:pPr>
            <w:r w:rsidRPr="009110C1">
              <w:rPr>
                <w:rFonts w:ascii="Calibri" w:eastAsia="Calibri" w:hAnsi="Calibri" w:cs="Calibri"/>
                <w:color w:val="000000" w:themeColor="text1"/>
                <w:sz w:val="22"/>
                <w:szCs w:val="22"/>
              </w:rPr>
              <w:t>ITU-D Study Groups</w:t>
            </w:r>
            <w:r w:rsidRPr="009110C1">
              <w:rPr>
                <w:rFonts w:ascii="Calibri" w:eastAsia="Calibri" w:hAnsi="Calibri" w:cs="Calibri"/>
                <w:sz w:val="22"/>
                <w:szCs w:val="22"/>
              </w:rPr>
              <w:t xml:space="preserve"> Annual Reports</w:t>
            </w:r>
          </w:p>
        </w:tc>
        <w:tc>
          <w:tcPr>
            <w:tcW w:w="5994" w:type="dxa"/>
            <w:tcBorders>
              <w:top w:val="nil"/>
              <w:left w:val="nil"/>
              <w:bottom w:val="single" w:sz="4" w:space="0" w:color="auto"/>
              <w:right w:val="single" w:sz="4" w:space="0" w:color="auto"/>
            </w:tcBorders>
            <w:shd w:val="clear" w:color="auto" w:fill="auto"/>
            <w:vAlign w:val="center"/>
            <w:hideMark/>
          </w:tcPr>
          <w:p w14:paraId="3049A48A" w14:textId="71095960" w:rsidR="7BDC1247" w:rsidRDefault="49D60959" w:rsidP="632A2ABB">
            <w:pPr>
              <w:spacing w:before="60" w:after="60"/>
              <w:rPr>
                <w:rFonts w:ascii="Calibri" w:eastAsia="Calibri" w:hAnsi="Calibri" w:cs="Calibri"/>
                <w:sz w:val="22"/>
                <w:szCs w:val="22"/>
              </w:rPr>
            </w:pPr>
            <w:r w:rsidRPr="009110C1">
              <w:rPr>
                <w:rFonts w:ascii="Calibri" w:eastAsia="Calibri" w:hAnsi="Calibri" w:cs="Calibri"/>
                <w:sz w:val="22"/>
                <w:szCs w:val="22"/>
              </w:rPr>
              <w:t xml:space="preserve">TDAG noted the reports on study group activities with interest and </w:t>
            </w:r>
            <w:proofErr w:type="gramStart"/>
            <w:r w:rsidRPr="009110C1">
              <w:rPr>
                <w:rFonts w:ascii="Calibri" w:eastAsia="Calibri" w:hAnsi="Calibri" w:cs="Calibri"/>
                <w:sz w:val="22"/>
                <w:szCs w:val="22"/>
              </w:rPr>
              <w:t>appreciation, and</w:t>
            </w:r>
            <w:proofErr w:type="gramEnd"/>
            <w:r w:rsidRPr="009110C1">
              <w:rPr>
                <w:rFonts w:ascii="Calibri" w:eastAsia="Calibri" w:hAnsi="Calibri" w:cs="Calibri"/>
                <w:sz w:val="22"/>
                <w:szCs w:val="22"/>
              </w:rPr>
              <w:t xml:space="preserve"> observed that both study groups and all 14 Questions were making good progress towards the WTDC expected outputs under the leadership of the study group chairmen. TDAG commended the Chairman of ITU-D Study Group 1, Ms Regina Fleur </w:t>
            </w:r>
            <w:proofErr w:type="spellStart"/>
            <w:r w:rsidRPr="009110C1">
              <w:rPr>
                <w:rFonts w:ascii="Calibri" w:eastAsia="Calibri" w:hAnsi="Calibri" w:cs="Calibri"/>
                <w:sz w:val="22"/>
                <w:szCs w:val="22"/>
              </w:rPr>
              <w:t>Assoumou</w:t>
            </w:r>
            <w:proofErr w:type="spellEnd"/>
            <w:r w:rsidRPr="009110C1">
              <w:rPr>
                <w:rFonts w:ascii="Calibri" w:eastAsia="Calibri" w:hAnsi="Calibri" w:cs="Calibri"/>
                <w:sz w:val="22"/>
                <w:szCs w:val="22"/>
              </w:rPr>
              <w:t xml:space="preserve"> </w:t>
            </w:r>
            <w:proofErr w:type="spellStart"/>
            <w:r w:rsidRPr="009110C1">
              <w:rPr>
                <w:rFonts w:ascii="Calibri" w:eastAsia="Calibri" w:hAnsi="Calibri" w:cs="Calibri"/>
                <w:sz w:val="22"/>
                <w:szCs w:val="22"/>
              </w:rPr>
              <w:t>Bessou</w:t>
            </w:r>
            <w:proofErr w:type="spellEnd"/>
            <w:r w:rsidRPr="009110C1">
              <w:rPr>
                <w:rFonts w:ascii="Calibri" w:eastAsia="Calibri" w:hAnsi="Calibri" w:cs="Calibri"/>
                <w:sz w:val="22"/>
                <w:szCs w:val="22"/>
              </w:rPr>
              <w:t xml:space="preserve"> and the Chairman of ITU-D Study Group 2, Dr Ahmad Reza Sharafat for the impressive achievements both study groups have made in just one year in the 2018-2021 period. </w:t>
            </w:r>
          </w:p>
          <w:p w14:paraId="4B7ACE21" w14:textId="1DB10544" w:rsidR="7BDC1247" w:rsidRDefault="49D60959" w:rsidP="632A2ABB">
            <w:pPr>
              <w:spacing w:before="60" w:after="60"/>
              <w:rPr>
                <w:rFonts w:ascii="Calibri" w:eastAsia="Calibri" w:hAnsi="Calibri" w:cs="Calibri"/>
                <w:sz w:val="22"/>
                <w:szCs w:val="22"/>
              </w:rPr>
            </w:pPr>
            <w:r w:rsidRPr="009110C1">
              <w:rPr>
                <w:rFonts w:ascii="Calibri" w:eastAsia="Calibri" w:hAnsi="Calibri" w:cs="Calibri"/>
                <w:sz w:val="22"/>
                <w:szCs w:val="22"/>
              </w:rPr>
              <w:t xml:space="preserve">Recognizing that expert knowledge exchanges on specific study topics had been conducted in several countries in 2018, TDAG appreciated that both study groups had been building synergies between the work undertaken in the study Questions and the </w:t>
            </w:r>
            <w:r w:rsidRPr="009110C1">
              <w:rPr>
                <w:rFonts w:ascii="Calibri" w:eastAsia="Calibri" w:hAnsi="Calibri" w:cs="Calibri"/>
                <w:sz w:val="22"/>
                <w:szCs w:val="22"/>
              </w:rPr>
              <w:lastRenderedPageBreak/>
              <w:t xml:space="preserve">activities in the regions. TDAG also noted that good progress was being made to identify possible links between ITU-D study Questions and ITU projects, ITU capacity building and WSIS activities, as well as with work in the other ITU Sectors. TDAG acknowledged the value of topical panel sessions held during the study group and rapporteur group meetings, including the additional sessions planned for the upcoming rapporteur group meetings in October 2019. </w:t>
            </w:r>
          </w:p>
          <w:p w14:paraId="3CFD3E3C" w14:textId="168E5241" w:rsidR="7BDC1247" w:rsidRPr="009110C1" w:rsidRDefault="49D60959" w:rsidP="632A2ABB">
            <w:pPr>
              <w:spacing w:before="60" w:after="60"/>
              <w:rPr>
                <w:rFonts w:ascii="Calibri" w:hAnsi="Calibri"/>
                <w:sz w:val="22"/>
                <w:szCs w:val="22"/>
              </w:rPr>
            </w:pPr>
            <w:r w:rsidRPr="009110C1">
              <w:rPr>
                <w:rFonts w:ascii="Calibri" w:eastAsia="Calibri" w:hAnsi="Calibri" w:cs="Calibri"/>
                <w:sz w:val="22"/>
                <w:szCs w:val="22"/>
              </w:rPr>
              <w:t xml:space="preserve">TDAG noted that the ITU-D study group website will feature a new section that will showcase ongoing work and will include the annual reports described above. TDAG participants also considered the possibility of involving external publishing companies to showcase quality </w:t>
            </w:r>
            <w:proofErr w:type="gramStart"/>
            <w:r w:rsidRPr="009110C1">
              <w:rPr>
                <w:rFonts w:ascii="Calibri" w:eastAsia="Calibri" w:hAnsi="Calibri" w:cs="Calibri"/>
                <w:sz w:val="22"/>
                <w:szCs w:val="22"/>
              </w:rPr>
              <w:t>work, and</w:t>
            </w:r>
            <w:proofErr w:type="gramEnd"/>
            <w:r w:rsidRPr="009110C1">
              <w:rPr>
                <w:rFonts w:ascii="Calibri" w:eastAsia="Calibri" w:hAnsi="Calibri" w:cs="Calibri"/>
                <w:sz w:val="22"/>
                <w:szCs w:val="22"/>
              </w:rPr>
              <w:t xml:space="preserve"> noted that it would be discussed further.</w:t>
            </w:r>
          </w:p>
        </w:tc>
      </w:tr>
      <w:tr w:rsidR="00F14711" w14:paraId="0D4430A6"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006DB891" w14:textId="03F46ED7" w:rsidR="7BDC1247" w:rsidRPr="009110C1" w:rsidRDefault="49D60959" w:rsidP="009110C1">
            <w:pPr>
              <w:spacing w:before="60" w:after="60"/>
              <w:rPr>
                <w:rFonts w:ascii="Calibri" w:eastAsia="Calibri" w:hAnsi="Calibri" w:cs="Calibri"/>
                <w:sz w:val="22"/>
                <w:szCs w:val="22"/>
              </w:rPr>
            </w:pPr>
            <w:r w:rsidRPr="009110C1">
              <w:rPr>
                <w:rFonts w:ascii="Calibri" w:eastAsia="Calibri" w:hAnsi="Calibri" w:cs="Calibri"/>
                <w:sz w:val="22"/>
                <w:szCs w:val="22"/>
              </w:rPr>
              <w:lastRenderedPageBreak/>
              <w:t>Collaboration with other sectors</w:t>
            </w:r>
          </w:p>
        </w:tc>
        <w:tc>
          <w:tcPr>
            <w:tcW w:w="5994" w:type="dxa"/>
            <w:tcBorders>
              <w:top w:val="nil"/>
              <w:left w:val="nil"/>
              <w:bottom w:val="single" w:sz="4" w:space="0" w:color="auto"/>
              <w:right w:val="single" w:sz="4" w:space="0" w:color="auto"/>
            </w:tcBorders>
            <w:shd w:val="clear" w:color="auto" w:fill="auto"/>
            <w:vAlign w:val="center"/>
            <w:hideMark/>
          </w:tcPr>
          <w:p w14:paraId="1C6BA3EB" w14:textId="3473807F" w:rsidR="7BDC1247" w:rsidRPr="009110C1" w:rsidRDefault="49D60959" w:rsidP="632A2ABB">
            <w:pPr>
              <w:spacing w:before="60" w:after="60"/>
              <w:rPr>
                <w:rFonts w:ascii="Calibri" w:hAnsi="Calibri"/>
                <w:sz w:val="22"/>
                <w:szCs w:val="22"/>
              </w:rPr>
            </w:pPr>
            <w:r w:rsidRPr="009110C1">
              <w:rPr>
                <w:rFonts w:ascii="Calibri" w:eastAsia="Calibri" w:hAnsi="Calibri" w:cs="Calibri"/>
                <w:sz w:val="22"/>
                <w:szCs w:val="22"/>
              </w:rPr>
              <w:t>TDAG welcomed the progress report and commended Mr</w:t>
            </w:r>
            <w:r w:rsidR="001E0AEC">
              <w:rPr>
                <w:rFonts w:ascii="Calibri" w:eastAsia="Calibri" w:hAnsi="Calibri" w:cs="Calibri"/>
                <w:sz w:val="22"/>
                <w:szCs w:val="22"/>
              </w:rPr>
              <w:t> </w:t>
            </w:r>
            <w:proofErr w:type="spellStart"/>
            <w:r w:rsidRPr="009110C1">
              <w:rPr>
                <w:rFonts w:ascii="Calibri" w:eastAsia="Calibri" w:hAnsi="Calibri" w:cs="Calibri"/>
                <w:sz w:val="22"/>
                <w:szCs w:val="22"/>
              </w:rPr>
              <w:t>Bigi</w:t>
            </w:r>
            <w:proofErr w:type="spellEnd"/>
            <w:r w:rsidRPr="009110C1">
              <w:rPr>
                <w:rFonts w:ascii="Calibri" w:eastAsia="Calibri" w:hAnsi="Calibri" w:cs="Calibri"/>
                <w:sz w:val="22"/>
                <w:szCs w:val="22"/>
              </w:rPr>
              <w:t xml:space="preserve"> for the group’s achievements. TDAG approved the way forward.</w:t>
            </w:r>
          </w:p>
        </w:tc>
      </w:tr>
      <w:tr w:rsidR="00F14711" w14:paraId="25322B7C" w14:textId="77777777" w:rsidTr="05C1679F">
        <w:tc>
          <w:tcPr>
            <w:tcW w:w="3220" w:type="dxa"/>
            <w:tcBorders>
              <w:top w:val="nil"/>
              <w:left w:val="single" w:sz="4" w:space="0" w:color="auto"/>
              <w:bottom w:val="single" w:sz="4" w:space="0" w:color="auto"/>
              <w:right w:val="single" w:sz="4" w:space="0" w:color="auto"/>
            </w:tcBorders>
            <w:shd w:val="clear" w:color="auto" w:fill="auto"/>
            <w:vAlign w:val="center"/>
            <w:hideMark/>
          </w:tcPr>
          <w:p w14:paraId="5AAB6959" w14:textId="1898A3A3" w:rsidR="7BDC1247" w:rsidRPr="009110C1" w:rsidRDefault="49D60959" w:rsidP="632A2ABB">
            <w:pPr>
              <w:spacing w:before="60" w:after="60"/>
              <w:rPr>
                <w:rFonts w:ascii="Calibri" w:hAnsi="Calibri"/>
                <w:sz w:val="22"/>
                <w:szCs w:val="22"/>
              </w:rPr>
            </w:pPr>
            <w:r w:rsidRPr="009110C1">
              <w:rPr>
                <w:rFonts w:ascii="Calibri" w:eastAsia="Calibri" w:hAnsi="Calibri" w:cs="Calibri"/>
                <w:sz w:val="22"/>
                <w:szCs w:val="22"/>
              </w:rPr>
              <w:t>Mapping Links between ITU-D, ITU-T, and ITU-R Study Group Activities</w:t>
            </w:r>
          </w:p>
        </w:tc>
        <w:tc>
          <w:tcPr>
            <w:tcW w:w="5994" w:type="dxa"/>
            <w:tcBorders>
              <w:top w:val="nil"/>
              <w:left w:val="nil"/>
              <w:bottom w:val="single" w:sz="4" w:space="0" w:color="auto"/>
              <w:right w:val="single" w:sz="4" w:space="0" w:color="auto"/>
            </w:tcBorders>
            <w:shd w:val="clear" w:color="auto" w:fill="auto"/>
            <w:vAlign w:val="center"/>
            <w:hideMark/>
          </w:tcPr>
          <w:p w14:paraId="66BF9DE2" w14:textId="61547EE0" w:rsidR="7BDC1247" w:rsidRPr="009110C1" w:rsidRDefault="49D60959" w:rsidP="632A2ABB">
            <w:pPr>
              <w:spacing w:before="60" w:after="60"/>
              <w:rPr>
                <w:rFonts w:ascii="Calibri" w:hAnsi="Calibri"/>
                <w:sz w:val="22"/>
                <w:szCs w:val="22"/>
              </w:rPr>
            </w:pPr>
            <w:r w:rsidRPr="009110C1">
              <w:rPr>
                <w:rFonts w:ascii="Calibri" w:eastAsia="Calibri" w:hAnsi="Calibri" w:cs="Calibri"/>
                <w:sz w:val="22"/>
                <w:szCs w:val="22"/>
              </w:rPr>
              <w:t xml:space="preserve">TDAG thanked the chairmen of the ITU-D study groups along with </w:t>
            </w:r>
            <w:proofErr w:type="spellStart"/>
            <w:r w:rsidRPr="009110C1">
              <w:rPr>
                <w:rFonts w:ascii="Calibri" w:eastAsia="Calibri" w:hAnsi="Calibri" w:cs="Calibri"/>
                <w:sz w:val="22"/>
                <w:szCs w:val="22"/>
              </w:rPr>
              <w:t>Arseny</w:t>
            </w:r>
            <w:proofErr w:type="spellEnd"/>
            <w:r w:rsidRPr="009110C1">
              <w:rPr>
                <w:rFonts w:ascii="Calibri" w:eastAsia="Calibri" w:hAnsi="Calibri" w:cs="Calibri"/>
                <w:sz w:val="22"/>
                <w:szCs w:val="22"/>
              </w:rPr>
              <w:t xml:space="preserve"> </w:t>
            </w:r>
            <w:proofErr w:type="spellStart"/>
            <w:r w:rsidRPr="009110C1">
              <w:rPr>
                <w:rFonts w:ascii="Calibri" w:eastAsia="Calibri" w:hAnsi="Calibri" w:cs="Calibri"/>
                <w:sz w:val="22"/>
                <w:szCs w:val="22"/>
              </w:rPr>
              <w:t>Plossky</w:t>
            </w:r>
            <w:proofErr w:type="spellEnd"/>
            <w:r w:rsidRPr="009110C1">
              <w:rPr>
                <w:rFonts w:ascii="Calibri" w:eastAsia="Calibri" w:hAnsi="Calibri" w:cs="Calibri"/>
                <w:sz w:val="22"/>
                <w:szCs w:val="22"/>
              </w:rPr>
              <w:t xml:space="preserve"> (Russian Federation) and Dr Haim Mazar (ATDI Group) for their hard work to update the tables so comprehensively to support coordination between the Sectors.</w:t>
            </w:r>
            <w:r w:rsidR="7BDC1247">
              <w:br/>
            </w:r>
            <w:r w:rsidR="2F39ADE9" w:rsidRPr="009110C1">
              <w:rPr>
                <w:rFonts w:ascii="Calibri" w:eastAsia="Calibri" w:hAnsi="Calibri" w:cs="Calibri"/>
                <w:sz w:val="22"/>
                <w:szCs w:val="22"/>
              </w:rPr>
              <w:t>TDAG welcomed the liaison statement (document 41)</w:t>
            </w:r>
            <w:r w:rsidR="7A399EAC" w:rsidRPr="632A2ABB">
              <w:rPr>
                <w:rFonts w:ascii="Calibri" w:eastAsia="Calibri" w:hAnsi="Calibri" w:cs="Calibri"/>
                <w:sz w:val="22"/>
                <w:szCs w:val="22"/>
              </w:rPr>
              <w:t>.</w:t>
            </w:r>
            <w:r w:rsidR="492A40E9" w:rsidRPr="632A2ABB">
              <w:rPr>
                <w:rFonts w:ascii="Calibri" w:eastAsia="Calibri" w:hAnsi="Calibri" w:cs="Calibri"/>
                <w:sz w:val="22"/>
                <w:szCs w:val="22"/>
              </w:rPr>
              <w:t xml:space="preserve"> TDAG noted </w:t>
            </w:r>
            <w:r w:rsidR="2F39ADE9" w:rsidRPr="009110C1">
              <w:rPr>
                <w:rFonts w:ascii="Calibri" w:eastAsia="Calibri" w:hAnsi="Calibri" w:cs="Calibri"/>
                <w:sz w:val="22"/>
                <w:szCs w:val="22"/>
              </w:rPr>
              <w:t xml:space="preserve">that </w:t>
            </w:r>
            <w:r w:rsidR="492A40E9" w:rsidRPr="632A2ABB">
              <w:rPr>
                <w:rFonts w:ascii="Calibri" w:eastAsia="Calibri" w:hAnsi="Calibri" w:cs="Calibri"/>
                <w:sz w:val="22"/>
                <w:szCs w:val="22"/>
              </w:rPr>
              <w:t xml:space="preserve">the liaison statement </w:t>
            </w:r>
            <w:r w:rsidR="2F39ADE9" w:rsidRPr="009110C1">
              <w:rPr>
                <w:rFonts w:ascii="Calibri" w:eastAsia="Calibri" w:hAnsi="Calibri" w:cs="Calibri"/>
                <w:sz w:val="22"/>
                <w:szCs w:val="22"/>
              </w:rPr>
              <w:t>is a result of extensive discussions in the ITU-D study groups, and that the statement clarifies their understanding that the purpose of the mapping tables is to identify topics of mutual interest and the entities responsible across the three ITU Sectors in accord with their mandates and Constitution and Convention of the Union</w:t>
            </w:r>
            <w:r w:rsidR="5B6DB24F" w:rsidRPr="632A2ABB">
              <w:rPr>
                <w:rFonts w:ascii="Calibri" w:eastAsia="Calibri" w:hAnsi="Calibri" w:cs="Calibri"/>
                <w:sz w:val="22"/>
                <w:szCs w:val="22"/>
              </w:rPr>
              <w:t>;</w:t>
            </w:r>
            <w:r w:rsidR="2F39ADE9" w:rsidRPr="009110C1">
              <w:rPr>
                <w:rFonts w:ascii="Calibri" w:eastAsia="Calibri" w:hAnsi="Calibri" w:cs="Calibri"/>
                <w:sz w:val="22"/>
                <w:szCs w:val="22"/>
              </w:rPr>
              <w:t xml:space="preserve"> to improve information exchange within the Union on the topics of mutual interest</w:t>
            </w:r>
            <w:r w:rsidR="5B6DB24F" w:rsidRPr="632A2ABB">
              <w:rPr>
                <w:rFonts w:ascii="Calibri" w:eastAsia="Calibri" w:hAnsi="Calibri" w:cs="Calibri"/>
                <w:sz w:val="22"/>
                <w:szCs w:val="22"/>
              </w:rPr>
              <w:t>;</w:t>
            </w:r>
            <w:r w:rsidR="2F39ADE9" w:rsidRPr="009110C1">
              <w:rPr>
                <w:rFonts w:ascii="Calibri" w:eastAsia="Calibri" w:hAnsi="Calibri" w:cs="Calibri"/>
                <w:sz w:val="22"/>
                <w:szCs w:val="22"/>
              </w:rPr>
              <w:t xml:space="preserve"> and </w:t>
            </w:r>
            <w:r w:rsidR="5B6DB24F" w:rsidRPr="632A2ABB">
              <w:rPr>
                <w:rFonts w:ascii="Calibri" w:eastAsia="Calibri" w:hAnsi="Calibri" w:cs="Calibri"/>
                <w:sz w:val="22"/>
                <w:szCs w:val="22"/>
              </w:rPr>
              <w:t>to ensure that</w:t>
            </w:r>
            <w:r w:rsidR="2F39ADE9" w:rsidRPr="009110C1">
              <w:rPr>
                <w:rFonts w:ascii="Calibri" w:eastAsia="Calibri" w:hAnsi="Calibri" w:cs="Calibri"/>
                <w:sz w:val="22"/>
                <w:szCs w:val="22"/>
              </w:rPr>
              <w:t xml:space="preserve"> responsible entities in each Sector will know whom to contact for incoming and outgoing communications on such topics.</w:t>
            </w:r>
          </w:p>
        </w:tc>
      </w:tr>
      <w:tr w:rsidR="003A1A07" w14:paraId="6EC8AF8D" w14:textId="77777777" w:rsidTr="05C1679F">
        <w:tc>
          <w:tcPr>
            <w:tcW w:w="3220" w:type="dxa"/>
            <w:tcBorders>
              <w:top w:val="single" w:sz="4" w:space="0" w:color="auto"/>
              <w:left w:val="single" w:sz="4" w:space="0" w:color="auto"/>
              <w:right w:val="single" w:sz="4" w:space="0" w:color="auto"/>
            </w:tcBorders>
            <w:shd w:val="clear" w:color="auto" w:fill="auto"/>
            <w:vAlign w:val="center"/>
            <w:hideMark/>
          </w:tcPr>
          <w:p w14:paraId="14497D3F" w14:textId="40837189" w:rsidR="77A1E94E" w:rsidRPr="009110C1" w:rsidRDefault="2F39E5F8" w:rsidP="632A2ABB">
            <w:pPr>
              <w:spacing w:before="60" w:after="60"/>
              <w:rPr>
                <w:rFonts w:ascii="Calibri" w:hAnsi="Calibri"/>
                <w:sz w:val="22"/>
                <w:szCs w:val="22"/>
              </w:rPr>
            </w:pPr>
            <w:r w:rsidRPr="009110C1">
              <w:rPr>
                <w:rFonts w:ascii="Calibri" w:eastAsia="Calibri" w:hAnsi="Calibri" w:cs="Calibri"/>
                <w:color w:val="000000" w:themeColor="text1"/>
                <w:sz w:val="22"/>
                <w:szCs w:val="22"/>
                <w:lang w:val="en-US"/>
              </w:rPr>
              <w:t xml:space="preserve">Preparations for </w:t>
            </w:r>
            <w:r w:rsidR="0470AC06" w:rsidRPr="632A2ABB">
              <w:rPr>
                <w:rFonts w:ascii="Calibri" w:eastAsia="Calibri" w:hAnsi="Calibri" w:cs="Calibri"/>
                <w:color w:val="000000" w:themeColor="text1"/>
                <w:sz w:val="22"/>
                <w:szCs w:val="22"/>
                <w:lang w:val="en-US"/>
              </w:rPr>
              <w:t>WTDC</w:t>
            </w:r>
          </w:p>
        </w:tc>
        <w:tc>
          <w:tcPr>
            <w:tcW w:w="5994" w:type="dxa"/>
            <w:tcBorders>
              <w:top w:val="single" w:sz="4" w:space="0" w:color="auto"/>
              <w:left w:val="nil"/>
              <w:right w:val="single" w:sz="4" w:space="0" w:color="auto"/>
            </w:tcBorders>
            <w:shd w:val="clear" w:color="auto" w:fill="auto"/>
            <w:vAlign w:val="center"/>
            <w:hideMark/>
          </w:tcPr>
          <w:p w14:paraId="133F65D5" w14:textId="01944D64" w:rsidR="77A1E94E" w:rsidRPr="009110C1" w:rsidRDefault="5B24E798" w:rsidP="632A2ABB">
            <w:pPr>
              <w:spacing w:before="60" w:after="60"/>
              <w:rPr>
                <w:rFonts w:ascii="Calibri" w:hAnsi="Calibri"/>
                <w:sz w:val="22"/>
                <w:szCs w:val="22"/>
              </w:rPr>
            </w:pPr>
            <w:r w:rsidRPr="009110C1">
              <w:rPr>
                <w:rFonts w:ascii="Calibri" w:eastAsia="Calibri" w:hAnsi="Calibri" w:cs="Calibri"/>
                <w:sz w:val="22"/>
                <w:szCs w:val="22"/>
              </w:rPr>
              <w:t>TDAG thanked Ethiopia for the kind and generous invitation,</w:t>
            </w:r>
            <w:r w:rsidRPr="009110C1">
              <w:rPr>
                <w:rFonts w:ascii="Calibri" w:eastAsia="Calibri" w:hAnsi="Calibri" w:cs="Calibri"/>
                <w:color w:val="000000" w:themeColor="text1"/>
                <w:sz w:val="22"/>
                <w:szCs w:val="22"/>
                <w:lang w:val="en-US"/>
              </w:rPr>
              <w:t xml:space="preserve"> expressed significant support</w:t>
            </w:r>
            <w:r w:rsidRPr="009110C1">
              <w:rPr>
                <w:rFonts w:ascii="Calibri" w:eastAsia="Calibri" w:hAnsi="Calibri" w:cs="Calibri"/>
                <w:sz w:val="22"/>
                <w:szCs w:val="22"/>
                <w:lang w:val="en-US"/>
              </w:rPr>
              <w:t xml:space="preserve"> </w:t>
            </w:r>
            <w:r w:rsidRPr="009110C1">
              <w:rPr>
                <w:rFonts w:ascii="Calibri" w:eastAsia="Calibri" w:hAnsi="Calibri" w:cs="Calibri"/>
                <w:sz w:val="22"/>
                <w:szCs w:val="22"/>
              </w:rPr>
              <w:t xml:space="preserve">for the proposal and noted the importance of beginning to make concrete plans, including decisions about regional preparatory meetings. </w:t>
            </w:r>
          </w:p>
        </w:tc>
      </w:tr>
      <w:tr w:rsidR="003E38FB" w:rsidRPr="00763E92" w14:paraId="6E675609" w14:textId="77777777" w:rsidTr="05C1679F">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7031" w14:textId="77777777" w:rsidR="00763E92" w:rsidRPr="00763E92" w:rsidRDefault="50ABA7BC" w:rsidP="632A2ABB">
            <w:p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632A2ABB">
              <w:rPr>
                <w:rFonts w:ascii="Calibri" w:hAnsi="Calibri"/>
                <w:color w:val="000000" w:themeColor="text1"/>
                <w:sz w:val="22"/>
                <w:szCs w:val="22"/>
                <w:lang w:eastAsia="zh-CN"/>
              </w:rPr>
              <w:t xml:space="preserve">Calendar of ITU-D events </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14:paraId="082AD62E" w14:textId="74DC0159" w:rsidR="00763E92" w:rsidRPr="009110C1" w:rsidRDefault="163D3BB3" w:rsidP="632A2ABB">
            <w:pPr>
              <w:tabs>
                <w:tab w:val="clear" w:pos="1134"/>
                <w:tab w:val="clear" w:pos="1871"/>
                <w:tab w:val="clear" w:pos="2268"/>
              </w:tabs>
              <w:overflowPunct/>
              <w:autoSpaceDE/>
              <w:autoSpaceDN/>
              <w:adjustRightInd/>
              <w:spacing w:before="60" w:after="60"/>
              <w:textAlignment w:val="auto"/>
              <w:rPr>
                <w:rFonts w:ascii="Calibri" w:hAnsi="Calibri"/>
                <w:sz w:val="22"/>
                <w:szCs w:val="22"/>
              </w:rPr>
            </w:pPr>
            <w:r w:rsidRPr="009110C1">
              <w:rPr>
                <w:rFonts w:ascii="Calibri" w:eastAsia="Calibri" w:hAnsi="Calibri" w:cs="Calibri"/>
                <w:sz w:val="22"/>
                <w:szCs w:val="22"/>
              </w:rPr>
              <w:t>TDAG noted the document and emphasized the need to avoid conflicts with religious holidays, consecutive meetings of study groups, TDAG and WSIS, and major conferences in the sector.</w:t>
            </w:r>
          </w:p>
        </w:tc>
      </w:tr>
    </w:tbl>
    <w:p w14:paraId="38DCB58D" w14:textId="77777777" w:rsidR="00763E92" w:rsidRPr="007D35A2" w:rsidRDefault="00763E92">
      <w:pPr>
        <w:tabs>
          <w:tab w:val="clear" w:pos="1134"/>
          <w:tab w:val="clear" w:pos="1871"/>
          <w:tab w:val="clear" w:pos="2268"/>
        </w:tabs>
        <w:overflowPunct/>
        <w:autoSpaceDE/>
        <w:autoSpaceDN/>
        <w:adjustRightInd/>
        <w:spacing w:before="0"/>
        <w:textAlignment w:val="auto"/>
        <w:rPr>
          <w:rStyle w:val="Hyperlink"/>
          <w:color w:val="auto"/>
        </w:rPr>
      </w:pPr>
      <w:r>
        <w:rPr>
          <w:rStyle w:val="Hyperlink"/>
        </w:rPr>
        <w:br w:type="page"/>
      </w:r>
    </w:p>
    <w:p w14:paraId="3EBD2870" w14:textId="3E3805C1" w:rsidR="005A4086" w:rsidRPr="0055628F" w:rsidRDefault="002628A7" w:rsidP="00A42A0D">
      <w:pPr>
        <w:pStyle w:val="Heading2"/>
        <w:keepNext/>
      </w:pPr>
      <w:bookmarkStart w:id="21" w:name="_Toc482300240"/>
      <w:bookmarkStart w:id="22" w:name="_Toc85818104"/>
      <w:r>
        <w:lastRenderedPageBreak/>
        <w:t xml:space="preserve">25th </w:t>
      </w:r>
      <w:r w:rsidR="005A4086">
        <w:t>TDAG Meeting</w:t>
      </w:r>
      <w:bookmarkEnd w:id="21"/>
      <w:bookmarkEnd w:id="22"/>
    </w:p>
    <w:p w14:paraId="4D78EEA8" w14:textId="72E9EB43" w:rsidR="002824B0" w:rsidRPr="00A52855" w:rsidRDefault="548FB7F6" w:rsidP="001B769C">
      <w:pPr>
        <w:pStyle w:val="ListParagraph"/>
        <w:numPr>
          <w:ilvl w:val="0"/>
          <w:numId w:val="7"/>
        </w:numPr>
        <w:tabs>
          <w:tab w:val="clear" w:pos="1134"/>
          <w:tab w:val="clear" w:pos="1871"/>
          <w:tab w:val="left" w:pos="426"/>
          <w:tab w:val="left" w:pos="851"/>
        </w:tabs>
        <w:ind w:left="0" w:firstLine="0"/>
      </w:pPr>
      <w:r>
        <w:t xml:space="preserve">The </w:t>
      </w:r>
      <w:r w:rsidR="42948284">
        <w:t xml:space="preserve">25th </w:t>
      </w:r>
      <w:r>
        <w:t xml:space="preserve">meeting of the Telecommunication Development Advisory Group (TDAG) was </w:t>
      </w:r>
      <w:r w:rsidR="059DEE00" w:rsidRPr="27676491">
        <w:rPr>
          <w:rFonts w:cstheme="minorBidi"/>
          <w:color w:val="000000" w:themeColor="text1"/>
          <w:lang w:val="en-US"/>
        </w:rPr>
        <w:t>convened</w:t>
      </w:r>
      <w:r w:rsidR="0972CE6B" w:rsidRPr="27676491">
        <w:rPr>
          <w:rFonts w:cstheme="minorBidi"/>
          <w:color w:val="000000" w:themeColor="text1"/>
          <w:lang w:val="en-US"/>
        </w:rPr>
        <w:t xml:space="preserve"> from 2 to 5 June 2020, under the chairmanship of </w:t>
      </w:r>
      <w:r w:rsidR="0972CE6B" w:rsidRPr="27676491">
        <w:rPr>
          <w:rFonts w:eastAsiaTheme="minorEastAsia" w:cstheme="minorBidi"/>
          <w:color w:val="000000" w:themeColor="text1"/>
          <w:lang w:val="en-US"/>
        </w:rPr>
        <w:t>Ms</w:t>
      </w:r>
      <w:r w:rsidR="00A42A0D">
        <w:rPr>
          <w:rFonts w:eastAsiaTheme="minorEastAsia" w:cstheme="minorBidi"/>
          <w:color w:val="000000" w:themeColor="text1"/>
          <w:lang w:val="en-US"/>
        </w:rPr>
        <w:t> </w:t>
      </w:r>
      <w:r w:rsidR="0972CE6B" w:rsidRPr="27676491">
        <w:rPr>
          <w:rFonts w:eastAsiaTheme="minorEastAsia" w:cstheme="minorBidi"/>
          <w:color w:val="000000" w:themeColor="text1"/>
          <w:lang w:val="en-US"/>
        </w:rPr>
        <w:t>Roxanne McElvane Webber.</w:t>
      </w:r>
      <w:r w:rsidR="059DEE00" w:rsidRPr="27676491">
        <w:rPr>
          <w:rFonts w:eastAsiaTheme="minorEastAsia" w:cstheme="minorBidi"/>
          <w:color w:val="000000" w:themeColor="text1"/>
          <w:lang w:val="en-US"/>
        </w:rPr>
        <w:t xml:space="preserve"> This meeting was held fully virtually due to the need to protect delegates and staff against the </w:t>
      </w:r>
      <w:r w:rsidR="20CB784E" w:rsidRPr="27676491">
        <w:rPr>
          <w:rFonts w:eastAsiaTheme="minorEastAsia" w:cstheme="minorBidi"/>
          <w:color w:val="000000" w:themeColor="text1"/>
          <w:lang w:val="en-US"/>
        </w:rPr>
        <w:t>COVID</w:t>
      </w:r>
      <w:r w:rsidR="059DEE00" w:rsidRPr="27676491">
        <w:rPr>
          <w:rFonts w:eastAsiaTheme="minorEastAsia" w:cstheme="minorBidi"/>
          <w:color w:val="000000" w:themeColor="text1"/>
          <w:lang w:val="en-US"/>
        </w:rPr>
        <w:t xml:space="preserve">-19 pandemic which had by this point seriously impacted global health situation. The meeting was preceded by a series of virtual “web dialogues” on topics pertaining to the work of TDAG and of ITU-D. The topics were: </w:t>
      </w:r>
    </w:p>
    <w:p w14:paraId="725C38CC" w14:textId="5327CDA1" w:rsidR="005A4086" w:rsidRPr="003A1A07" w:rsidRDefault="002824B0"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szCs w:val="24"/>
        </w:rPr>
      </w:pPr>
      <w:r w:rsidRPr="002824B0">
        <w:rPr>
          <w:rFonts w:cstheme="minorHAnsi"/>
          <w:szCs w:val="24"/>
        </w:rPr>
        <w:t xml:space="preserve">Web </w:t>
      </w:r>
      <w:r w:rsidRPr="00D72FEE">
        <w:rPr>
          <w:rFonts w:cstheme="minorHAnsi"/>
          <w:szCs w:val="24"/>
        </w:rPr>
        <w:t>Dialogue on the Regional Presence</w:t>
      </w:r>
    </w:p>
    <w:p w14:paraId="5B200853" w14:textId="4B50CFFB" w:rsidR="002824B0" w:rsidRPr="003A1A07" w:rsidRDefault="002824B0"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szCs w:val="24"/>
        </w:rPr>
      </w:pPr>
      <w:r w:rsidRPr="003A1A07">
        <w:rPr>
          <w:rFonts w:cstheme="minorHAnsi"/>
          <w:szCs w:val="24"/>
        </w:rPr>
        <w:t>Web Dialogue on a new ITU Index</w:t>
      </w:r>
    </w:p>
    <w:p w14:paraId="77050CC6" w14:textId="3C510F7E" w:rsidR="002824B0" w:rsidRPr="003A1A07" w:rsidRDefault="002824B0"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szCs w:val="24"/>
        </w:rPr>
      </w:pPr>
      <w:r w:rsidRPr="003A1A07">
        <w:rPr>
          <w:rFonts w:cstheme="minorHAnsi"/>
          <w:szCs w:val="24"/>
        </w:rPr>
        <w:t>Web Dialogue on WTDC</w:t>
      </w:r>
    </w:p>
    <w:p w14:paraId="0CCC210E" w14:textId="1F204DD1" w:rsidR="002824B0" w:rsidRPr="003A1A07" w:rsidRDefault="002824B0"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szCs w:val="24"/>
        </w:rPr>
      </w:pPr>
      <w:r w:rsidRPr="003A1A07">
        <w:rPr>
          <w:rFonts w:cstheme="minorHAnsi"/>
          <w:szCs w:val="24"/>
        </w:rPr>
        <w:t>Web Dialogues on Results Based Management</w:t>
      </w:r>
    </w:p>
    <w:p w14:paraId="3556103C" w14:textId="4E1545CD" w:rsidR="002824B0" w:rsidRPr="00A52855" w:rsidRDefault="002824B0"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szCs w:val="24"/>
        </w:rPr>
      </w:pPr>
      <w:r w:rsidRPr="009110C1">
        <w:rPr>
          <w:rStyle w:val="Strong"/>
          <w:rFonts w:cstheme="minorHAnsi"/>
          <w:b w:val="0"/>
          <w:bCs w:val="0"/>
          <w:szCs w:val="24"/>
          <w:bdr w:val="none" w:sz="0" w:space="0" w:color="auto" w:frame="1"/>
        </w:rPr>
        <w:t>Web dialogue on Partnerships for Digital Transformation: Engaging Stakeholders for Meaningful Impact, 21 May 2020</w:t>
      </w:r>
    </w:p>
    <w:p w14:paraId="14E68406" w14:textId="4C58B560" w:rsidR="00763E92" w:rsidRPr="00A42A0D" w:rsidRDefault="005A4086" w:rsidP="009110C1">
      <w:pPr>
        <w:tabs>
          <w:tab w:val="clear" w:pos="1134"/>
          <w:tab w:val="clear" w:pos="1871"/>
          <w:tab w:val="left" w:pos="567"/>
          <w:tab w:val="left" w:pos="851"/>
        </w:tabs>
        <w:rPr>
          <w:rStyle w:val="Hyperlink"/>
          <w:color w:val="auto"/>
          <w:szCs w:val="24"/>
          <w:u w:val="none"/>
        </w:rPr>
      </w:pPr>
      <w:r w:rsidRPr="009110C1">
        <w:rPr>
          <w:szCs w:val="24"/>
        </w:rPr>
        <w:t xml:space="preserve">The full meeting report, in the six official languages of ITU, is available </w:t>
      </w:r>
      <w:hyperlink r:id="rId37" w:history="1">
        <w:r w:rsidR="00A42A0D" w:rsidRPr="00A42A0D">
          <w:rPr>
            <w:rStyle w:val="Hyperlink"/>
            <w:szCs w:val="24"/>
          </w:rPr>
          <w:t>here</w:t>
        </w:r>
      </w:hyperlink>
      <w:r w:rsidR="00A42A0D">
        <w:rPr>
          <w:szCs w:val="24"/>
        </w:rPr>
        <w:t>.</w:t>
      </w:r>
    </w:p>
    <w:p w14:paraId="7039B5BE" w14:textId="77777777" w:rsidR="00763E92" w:rsidRPr="00A42A0D" w:rsidRDefault="56CA8853" w:rsidP="001B769C">
      <w:pPr>
        <w:pStyle w:val="ListParagraph"/>
        <w:keepNext/>
        <w:numPr>
          <w:ilvl w:val="0"/>
          <w:numId w:val="7"/>
        </w:numPr>
        <w:ind w:left="284" w:hanging="284"/>
        <w:rPr>
          <w:i/>
          <w:iCs/>
        </w:rPr>
      </w:pPr>
      <w:r w:rsidRPr="00A42A0D">
        <w:rPr>
          <w:i/>
          <w:iCs/>
        </w:rPr>
        <w:t>Participants</w:t>
      </w:r>
    </w:p>
    <w:p w14:paraId="2DCBFADD" w14:textId="3C963EE5" w:rsidR="007C632F" w:rsidRDefault="007C632F" w:rsidP="00A42A0D">
      <w:pPr>
        <w:keepNext/>
      </w:pPr>
      <w:r>
        <w:t xml:space="preserve">The following </w:t>
      </w:r>
      <w:r w:rsidR="00002006">
        <w:t>chart provide</w:t>
      </w:r>
      <w:r w:rsidR="00384C71">
        <w:t>s</w:t>
      </w:r>
      <w:r>
        <w:t xml:space="preserve"> the breakdown of participants by category:</w:t>
      </w:r>
    </w:p>
    <w:p w14:paraId="635FD2B0" w14:textId="550F30C3" w:rsidR="0043709C" w:rsidRDefault="1F9F492D" w:rsidP="00B0215B">
      <w:pPr>
        <w:rPr>
          <w:rFonts w:ascii="Calibri" w:hAnsi="Calibri"/>
          <w:szCs w:val="24"/>
        </w:rPr>
      </w:pPr>
      <w:r>
        <w:rPr>
          <w:noProof/>
        </w:rPr>
        <w:drawing>
          <wp:inline distT="0" distB="0" distL="0" distR="0" wp14:anchorId="6700FD97" wp14:editId="02FC837C">
            <wp:extent cx="5876925" cy="2644616"/>
            <wp:effectExtent l="0" t="0" r="0" b="0"/>
            <wp:docPr id="1800909122" name="Picture 180090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5876925" cy="2644616"/>
                    </a:xfrm>
                    <a:prstGeom prst="rect">
                      <a:avLst/>
                    </a:prstGeom>
                  </pic:spPr>
                </pic:pic>
              </a:graphicData>
            </a:graphic>
          </wp:inline>
        </w:drawing>
      </w:r>
    </w:p>
    <w:p w14:paraId="5280B718" w14:textId="6E2287F8" w:rsidR="00B0215B" w:rsidRDefault="00B0215B" w:rsidP="00A42A0D">
      <w:pPr>
        <w:keepNext/>
      </w:pPr>
      <w:r>
        <w:lastRenderedPageBreak/>
        <w:t>The following chart provides the breakdown of participants by region:</w:t>
      </w:r>
    </w:p>
    <w:p w14:paraId="5BB70417" w14:textId="550F30C3" w:rsidR="007A5D37" w:rsidRDefault="6CC24D1C" w:rsidP="00763E92">
      <w:pPr>
        <w:rPr>
          <w:rFonts w:ascii="Calibri" w:hAnsi="Calibri"/>
          <w:szCs w:val="24"/>
        </w:rPr>
      </w:pPr>
      <w:r>
        <w:rPr>
          <w:noProof/>
        </w:rPr>
        <w:drawing>
          <wp:inline distT="0" distB="0" distL="0" distR="0" wp14:anchorId="0E61B124" wp14:editId="172CB566">
            <wp:extent cx="5847907" cy="2619375"/>
            <wp:effectExtent l="0" t="0" r="0" b="0"/>
            <wp:docPr id="2089303181" name="Picture 208930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5847907" cy="2619375"/>
                    </a:xfrm>
                    <a:prstGeom prst="rect">
                      <a:avLst/>
                    </a:prstGeom>
                  </pic:spPr>
                </pic:pic>
              </a:graphicData>
            </a:graphic>
          </wp:inline>
        </w:drawing>
      </w:r>
    </w:p>
    <w:p w14:paraId="6CEC3032" w14:textId="77777777" w:rsidR="00CF114A" w:rsidRDefault="00CF114A" w:rsidP="00CF114A">
      <w:pPr>
        <w:keepNext/>
      </w:pPr>
      <w:r>
        <w:t>The following chart provides the breakdown of participants by gender:</w:t>
      </w:r>
    </w:p>
    <w:p w14:paraId="7C4A9105" w14:textId="20E5879C" w:rsidR="60DE852A" w:rsidRDefault="60DE852A" w:rsidP="35010A24">
      <w:pPr>
        <w:tabs>
          <w:tab w:val="clear" w:pos="1134"/>
          <w:tab w:val="clear" w:pos="1871"/>
          <w:tab w:val="clear" w:pos="2268"/>
        </w:tabs>
        <w:rPr>
          <w:rFonts w:ascii="Calibri" w:hAnsi="Calibri"/>
          <w:szCs w:val="24"/>
        </w:rPr>
      </w:pPr>
      <w:r>
        <w:rPr>
          <w:noProof/>
        </w:rPr>
        <w:drawing>
          <wp:inline distT="0" distB="0" distL="0" distR="0" wp14:anchorId="5D8F4B49" wp14:editId="3BE99643">
            <wp:extent cx="5879486" cy="2621270"/>
            <wp:effectExtent l="0" t="0" r="0" b="0"/>
            <wp:docPr id="702250816" name="Picture 70225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5879486" cy="2621270"/>
                    </a:xfrm>
                    <a:prstGeom prst="rect">
                      <a:avLst/>
                    </a:prstGeom>
                  </pic:spPr>
                </pic:pic>
              </a:graphicData>
            </a:graphic>
          </wp:inline>
        </w:drawing>
      </w:r>
    </w:p>
    <w:p w14:paraId="0BF872C9" w14:textId="77777777" w:rsidR="00763E92" w:rsidRPr="00A42A0D" w:rsidRDefault="56CA8853" w:rsidP="001B769C">
      <w:pPr>
        <w:pStyle w:val="ListParagraph"/>
        <w:keepNext/>
        <w:numPr>
          <w:ilvl w:val="0"/>
          <w:numId w:val="7"/>
        </w:numPr>
        <w:ind w:left="284" w:hanging="284"/>
        <w:rPr>
          <w:i/>
          <w:iCs/>
        </w:rPr>
      </w:pPr>
      <w:r w:rsidRPr="00A42A0D">
        <w:rPr>
          <w:i/>
          <w:iCs/>
        </w:rPr>
        <w:lastRenderedPageBreak/>
        <w:t>Documents</w:t>
      </w:r>
    </w:p>
    <w:p w14:paraId="55582DE2" w14:textId="3F5E6C1C" w:rsidR="00763E92" w:rsidRDefault="00763E92" w:rsidP="00A42A0D">
      <w:pPr>
        <w:keepNext/>
      </w:pPr>
      <w:r>
        <w:t xml:space="preserve">The following </w:t>
      </w:r>
      <w:r w:rsidR="009B41AB">
        <w:t>chart provide</w:t>
      </w:r>
      <w:r w:rsidR="00683AC7">
        <w:t>s</w:t>
      </w:r>
      <w:r>
        <w:t xml:space="preserve"> the number of documents broken down by category of documents:</w:t>
      </w:r>
    </w:p>
    <w:p w14:paraId="546D4990" w14:textId="550F30C3" w:rsidR="00763E92" w:rsidRDefault="4DA02AF9" w:rsidP="007A5D37">
      <w:pPr>
        <w:tabs>
          <w:tab w:val="clear" w:pos="1134"/>
          <w:tab w:val="clear" w:pos="1871"/>
          <w:tab w:val="clear" w:pos="2268"/>
        </w:tabs>
        <w:overflowPunct/>
        <w:autoSpaceDE/>
        <w:autoSpaceDN/>
        <w:adjustRightInd/>
        <w:spacing w:before="0"/>
        <w:textAlignment w:val="auto"/>
        <w:rPr>
          <w:rFonts w:ascii="Calibri" w:hAnsi="Calibri"/>
          <w:szCs w:val="24"/>
        </w:rPr>
      </w:pPr>
      <w:r>
        <w:rPr>
          <w:noProof/>
        </w:rPr>
        <w:drawing>
          <wp:inline distT="0" distB="0" distL="0" distR="0" wp14:anchorId="17A7CF0D" wp14:editId="5ABBC1F2">
            <wp:extent cx="5791200" cy="2581910"/>
            <wp:effectExtent l="0" t="0" r="0" b="0"/>
            <wp:docPr id="120220075" name="Picture 12022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5791200" cy="2581910"/>
                    </a:xfrm>
                    <a:prstGeom prst="rect">
                      <a:avLst/>
                    </a:prstGeom>
                  </pic:spPr>
                </pic:pic>
              </a:graphicData>
            </a:graphic>
          </wp:inline>
        </w:drawing>
      </w:r>
    </w:p>
    <w:p w14:paraId="04A7194E" w14:textId="17FCAD7A" w:rsidR="00763E92" w:rsidRPr="00A42A0D" w:rsidRDefault="78B6EC9A" w:rsidP="001B769C">
      <w:pPr>
        <w:pStyle w:val="ListParagraph"/>
        <w:keepNext/>
        <w:numPr>
          <w:ilvl w:val="0"/>
          <w:numId w:val="7"/>
        </w:numPr>
        <w:ind w:left="426" w:hanging="426"/>
        <w:rPr>
          <w:i/>
          <w:iCs/>
        </w:rPr>
      </w:pPr>
      <w:r w:rsidRPr="00A42A0D">
        <w:rPr>
          <w:i/>
          <w:iCs/>
        </w:rPr>
        <w:t>25</w:t>
      </w:r>
      <w:r w:rsidRPr="00A42A0D">
        <w:rPr>
          <w:i/>
          <w:iCs/>
          <w:vertAlign w:val="superscript"/>
        </w:rPr>
        <w:t>th</w:t>
      </w:r>
      <w:r w:rsidRPr="00A42A0D">
        <w:rPr>
          <w:i/>
          <w:iCs/>
        </w:rPr>
        <w:t xml:space="preserve"> </w:t>
      </w:r>
      <w:r w:rsidR="56CA8853" w:rsidRPr="00A42A0D">
        <w:rPr>
          <w:i/>
          <w:iCs/>
        </w:rPr>
        <w:t>TDAG Meeting Outcomes</w:t>
      </w:r>
    </w:p>
    <w:p w14:paraId="19828999" w14:textId="02192FCE" w:rsidR="00763E92" w:rsidRDefault="00763E92" w:rsidP="00A42A0D">
      <w:pPr>
        <w:keepNext/>
      </w:pPr>
      <w:r>
        <w:t xml:space="preserve">The following table provides the summary of the outcomes of the </w:t>
      </w:r>
      <w:r w:rsidR="00A32166">
        <w:t>25</w:t>
      </w:r>
      <w:proofErr w:type="gramStart"/>
      <w:r w:rsidR="00A32166" w:rsidRPr="0015250D">
        <w:rPr>
          <w:vertAlign w:val="superscript"/>
        </w:rPr>
        <w:t>th</w:t>
      </w:r>
      <w:r w:rsidR="00A32166">
        <w:t xml:space="preserve"> </w:t>
      </w:r>
      <w:r>
        <w:t xml:space="preserve"> TDAG</w:t>
      </w:r>
      <w:proofErr w:type="gramEnd"/>
      <w:r>
        <w:t xml:space="preserve"> meeting by subject:</w:t>
      </w:r>
    </w:p>
    <w:tbl>
      <w:tblPr>
        <w:tblW w:w="9214" w:type="dxa"/>
        <w:tblInd w:w="-5" w:type="dxa"/>
        <w:tblLook w:val="04A0" w:firstRow="1" w:lastRow="0" w:firstColumn="1" w:lastColumn="0" w:noHBand="0" w:noVBand="1"/>
      </w:tblPr>
      <w:tblGrid>
        <w:gridCol w:w="3220"/>
        <w:gridCol w:w="5994"/>
      </w:tblGrid>
      <w:tr w:rsidR="00C3628B" w:rsidRPr="00217665" w14:paraId="4C33BCA9" w14:textId="77777777" w:rsidTr="632A2ABB">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64ADD4C4" w14:textId="77777777" w:rsidR="00217665" w:rsidRPr="009110C1" w:rsidRDefault="00217665" w:rsidP="003E489B">
            <w:pPr>
              <w:tabs>
                <w:tab w:val="clear" w:pos="1134"/>
                <w:tab w:val="clear" w:pos="1871"/>
                <w:tab w:val="clear" w:pos="2268"/>
              </w:tabs>
              <w:overflowPunct/>
              <w:autoSpaceDE/>
              <w:autoSpaceDN/>
              <w:adjustRightInd/>
              <w:spacing w:after="120"/>
              <w:jc w:val="center"/>
              <w:textAlignment w:val="auto"/>
              <w:rPr>
                <w:rFonts w:cstheme="minorHAnsi"/>
                <w:b/>
                <w:bCs/>
                <w:i/>
                <w:iCs/>
                <w:color w:val="000000"/>
                <w:sz w:val="22"/>
                <w:szCs w:val="22"/>
                <w:lang w:eastAsia="zh-CN"/>
              </w:rPr>
            </w:pPr>
            <w:r w:rsidRPr="009110C1">
              <w:rPr>
                <w:rFonts w:cstheme="minorHAnsi"/>
                <w:b/>
                <w:bCs/>
                <w:i/>
                <w:iCs/>
                <w:color w:val="000000"/>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7BC83F5D" w14:textId="77777777" w:rsidR="00217665" w:rsidRPr="009110C1" w:rsidRDefault="00217665" w:rsidP="003E489B">
            <w:pPr>
              <w:tabs>
                <w:tab w:val="clear" w:pos="1134"/>
                <w:tab w:val="clear" w:pos="1871"/>
                <w:tab w:val="clear" w:pos="2268"/>
              </w:tabs>
              <w:overflowPunct/>
              <w:autoSpaceDE/>
              <w:autoSpaceDN/>
              <w:adjustRightInd/>
              <w:spacing w:after="120"/>
              <w:jc w:val="center"/>
              <w:textAlignment w:val="auto"/>
              <w:rPr>
                <w:rFonts w:cstheme="minorHAnsi"/>
                <w:b/>
                <w:bCs/>
                <w:i/>
                <w:iCs/>
                <w:color w:val="000000"/>
                <w:sz w:val="22"/>
                <w:szCs w:val="22"/>
                <w:lang w:eastAsia="zh-CN"/>
              </w:rPr>
            </w:pPr>
            <w:r w:rsidRPr="009110C1">
              <w:rPr>
                <w:rFonts w:cstheme="minorHAnsi"/>
                <w:b/>
                <w:bCs/>
                <w:i/>
                <w:iCs/>
                <w:color w:val="000000"/>
                <w:sz w:val="22"/>
                <w:szCs w:val="22"/>
                <w:lang w:eastAsia="zh-CN"/>
              </w:rPr>
              <w:t>TDAG Conclusions / Outcomes</w:t>
            </w:r>
          </w:p>
        </w:tc>
      </w:tr>
      <w:tr w:rsidR="00F14711" w:rsidRPr="00217665" w14:paraId="2D0BC419" w14:textId="77777777" w:rsidTr="632A2ABB">
        <w:trPr>
          <w:trHeight w:val="900"/>
        </w:trPr>
        <w:tc>
          <w:tcPr>
            <w:tcW w:w="3220" w:type="dxa"/>
            <w:tcBorders>
              <w:top w:val="nil"/>
              <w:left w:val="single" w:sz="4" w:space="0" w:color="auto"/>
              <w:bottom w:val="single" w:sz="4" w:space="0" w:color="auto"/>
              <w:right w:val="single" w:sz="4" w:space="0" w:color="auto"/>
            </w:tcBorders>
            <w:shd w:val="clear" w:color="auto" w:fill="auto"/>
            <w:vAlign w:val="center"/>
          </w:tcPr>
          <w:p w14:paraId="11D982D4" w14:textId="2EC06215" w:rsidR="006D4C65" w:rsidRPr="009110C1" w:rsidRDefault="7596183B"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Appointment of a new TDAG Vice-chairman to a vacant position</w:t>
            </w:r>
          </w:p>
        </w:tc>
        <w:tc>
          <w:tcPr>
            <w:tcW w:w="5994" w:type="dxa"/>
            <w:tcBorders>
              <w:top w:val="nil"/>
              <w:left w:val="nil"/>
              <w:bottom w:val="single" w:sz="4" w:space="0" w:color="auto"/>
              <w:right w:val="single" w:sz="4" w:space="0" w:color="auto"/>
            </w:tcBorders>
            <w:shd w:val="clear" w:color="auto" w:fill="auto"/>
            <w:vAlign w:val="center"/>
          </w:tcPr>
          <w:p w14:paraId="607CC12D" w14:textId="157C1141" w:rsidR="006D4C65" w:rsidRPr="009110C1" w:rsidRDefault="43BF0DB1"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sz w:val="22"/>
                <w:szCs w:val="22"/>
              </w:rPr>
              <w:t xml:space="preserve">TDAG appointed by acclamation Mr Nicolás </w:t>
            </w:r>
            <w:proofErr w:type="spellStart"/>
            <w:r w:rsidRPr="009110C1">
              <w:rPr>
                <w:rFonts w:cstheme="minorBidi"/>
                <w:sz w:val="22"/>
                <w:szCs w:val="22"/>
              </w:rPr>
              <w:t>Karavaski</w:t>
            </w:r>
            <w:proofErr w:type="spellEnd"/>
            <w:r w:rsidRPr="009110C1">
              <w:rPr>
                <w:rFonts w:cstheme="minorBidi"/>
                <w:sz w:val="22"/>
                <w:szCs w:val="22"/>
              </w:rPr>
              <w:t xml:space="preserve"> as a TDAG </w:t>
            </w:r>
            <w:proofErr w:type="spellStart"/>
            <w:r w:rsidRPr="009110C1">
              <w:rPr>
                <w:rFonts w:cstheme="minorBidi"/>
                <w:sz w:val="22"/>
                <w:szCs w:val="22"/>
              </w:rPr>
              <w:t>ViceChairman</w:t>
            </w:r>
            <w:proofErr w:type="spellEnd"/>
            <w:r w:rsidRPr="009110C1">
              <w:rPr>
                <w:rFonts w:cstheme="minorBidi"/>
                <w:sz w:val="22"/>
                <w:szCs w:val="22"/>
              </w:rPr>
              <w:t>, replacing Mr Hugo Dario Miguel.</w:t>
            </w:r>
          </w:p>
        </w:tc>
      </w:tr>
      <w:tr w:rsidR="00F14711" w:rsidRPr="00217665" w14:paraId="29FE1002" w14:textId="77777777" w:rsidTr="632A2ABB">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D96C31" w14:textId="3E0C5704" w:rsidR="00217665" w:rsidRPr="009110C1" w:rsidRDefault="55CC66F0"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Outcomes of WRC-19 related to the work of ITU-D</w:t>
            </w:r>
          </w:p>
        </w:tc>
        <w:tc>
          <w:tcPr>
            <w:tcW w:w="5994" w:type="dxa"/>
            <w:tcBorders>
              <w:top w:val="nil"/>
              <w:left w:val="nil"/>
              <w:bottom w:val="single" w:sz="4" w:space="0" w:color="auto"/>
              <w:right w:val="single" w:sz="4" w:space="0" w:color="auto"/>
            </w:tcBorders>
            <w:shd w:val="clear" w:color="auto" w:fill="auto"/>
            <w:vAlign w:val="center"/>
            <w:hideMark/>
          </w:tcPr>
          <w:p w14:paraId="6B189AF8" w14:textId="2A8809F7" w:rsidR="00217665" w:rsidRPr="009110C1" w:rsidRDefault="3FDE49DA"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 xml:space="preserve">TDAG expressed appreciation for the document and noted the close cooperation between BDT and BR, especially for the continued capacity building efforts and support for developing countries on the implementation of WRC-19 and RA-19 decisions and preparation for WRC-23. TDAG noted that the work on spectrum-related issues continued to be of great interest for developing countries with many regions underlining its importance. </w:t>
            </w:r>
          </w:p>
        </w:tc>
      </w:tr>
      <w:tr w:rsidR="00F14711" w:rsidRPr="00217665" w14:paraId="624631B8" w14:textId="77777777" w:rsidTr="632A2ABB">
        <w:tc>
          <w:tcPr>
            <w:tcW w:w="3220" w:type="dxa"/>
            <w:tcBorders>
              <w:top w:val="nil"/>
              <w:left w:val="single" w:sz="4" w:space="0" w:color="auto"/>
              <w:bottom w:val="single" w:sz="4" w:space="0" w:color="auto"/>
              <w:right w:val="single" w:sz="4" w:space="0" w:color="auto"/>
            </w:tcBorders>
            <w:shd w:val="clear" w:color="auto" w:fill="auto"/>
            <w:vAlign w:val="center"/>
            <w:hideMark/>
          </w:tcPr>
          <w:p w14:paraId="12B8F692" w14:textId="3FF3031A" w:rsidR="00217665" w:rsidRPr="009110C1" w:rsidRDefault="146DE8D2"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sz w:val="22"/>
                <w:szCs w:val="22"/>
              </w:rPr>
              <w:t>ITU draft Operational Plan for 2021-2024</w:t>
            </w:r>
          </w:p>
        </w:tc>
        <w:tc>
          <w:tcPr>
            <w:tcW w:w="5994" w:type="dxa"/>
            <w:tcBorders>
              <w:top w:val="nil"/>
              <w:left w:val="nil"/>
              <w:bottom w:val="single" w:sz="4" w:space="0" w:color="auto"/>
              <w:right w:val="single" w:sz="4" w:space="0" w:color="auto"/>
            </w:tcBorders>
            <w:shd w:val="clear" w:color="auto" w:fill="auto"/>
            <w:vAlign w:val="center"/>
            <w:hideMark/>
          </w:tcPr>
          <w:p w14:paraId="381D5B0B" w14:textId="77777777" w:rsidR="00A52EF1" w:rsidRPr="009110C1" w:rsidRDefault="2BD14191" w:rsidP="632A2ABB">
            <w:pPr>
              <w:spacing w:before="60" w:after="60"/>
              <w:rPr>
                <w:rFonts w:cstheme="minorBidi"/>
                <w:sz w:val="22"/>
                <w:szCs w:val="22"/>
              </w:rPr>
            </w:pPr>
            <w:r w:rsidRPr="009110C1">
              <w:rPr>
                <w:rFonts w:cstheme="minorBidi"/>
                <w:sz w:val="22"/>
                <w:szCs w:val="22"/>
              </w:rPr>
              <w:t xml:space="preserve">TDAG noted the draft operational plan for 2021-2024 in its new format and endorsed its contents.  BDT agreed to submit information on risk evaluation to be included in the 2021 plan. </w:t>
            </w:r>
          </w:p>
          <w:p w14:paraId="67EA7EC8" w14:textId="141AEEEB" w:rsidR="00217665" w:rsidRPr="009110C1" w:rsidRDefault="2BD14191" w:rsidP="632A2ABB">
            <w:pPr>
              <w:tabs>
                <w:tab w:val="clear" w:pos="1134"/>
                <w:tab w:val="clear" w:pos="1871"/>
                <w:tab w:val="clear" w:pos="2268"/>
              </w:tabs>
              <w:overflowPunct/>
              <w:autoSpaceDE/>
              <w:autoSpaceDN/>
              <w:adjustRightInd/>
              <w:spacing w:before="60" w:after="60"/>
              <w:textAlignment w:val="auto"/>
              <w:rPr>
                <w:rFonts w:cstheme="minorBidi"/>
                <w:color w:val="000000" w:themeColor="text1"/>
                <w:sz w:val="22"/>
                <w:szCs w:val="22"/>
              </w:rPr>
            </w:pPr>
            <w:r w:rsidRPr="009110C1">
              <w:rPr>
                <w:rFonts w:cstheme="minorBidi"/>
                <w:sz w:val="22"/>
                <w:szCs w:val="22"/>
              </w:rPr>
              <w:t>BDT took good note of the comments and agreed to include further references and more details in the 2021 plan.</w:t>
            </w:r>
            <w:r w:rsidR="00A52EF1">
              <w:br/>
            </w:r>
            <w:r w:rsidR="7CF27F43" w:rsidRPr="009110C1">
              <w:rPr>
                <w:rFonts w:cstheme="minorBidi"/>
                <w:color w:val="000000" w:themeColor="text1"/>
                <w:sz w:val="22"/>
                <w:szCs w:val="22"/>
                <w:lang w:eastAsia="zh-CN"/>
              </w:rPr>
              <w:t xml:space="preserve">Document 30: </w:t>
            </w:r>
            <w:r w:rsidR="7E3FB46E" w:rsidRPr="009110C1">
              <w:rPr>
                <w:rFonts w:cstheme="minorBidi"/>
                <w:color w:val="000000" w:themeColor="text1"/>
                <w:sz w:val="22"/>
                <w:szCs w:val="22"/>
                <w:lang w:eastAsia="zh-CN"/>
              </w:rPr>
              <w:t>This proposal received support from TDAG participants.  TDAG also recognized the need for easily accessible and accurate information from ITU and welcomed innovations by BDT to improve the use and access to that information and preserve its longstanding reputation in the field of telecommunication-related statistics.</w:t>
            </w:r>
            <w:r w:rsidR="00A52EF1">
              <w:br/>
            </w:r>
            <w:hyperlink r:id="rId42" w:history="1">
              <w:r w:rsidR="4B658A33" w:rsidRPr="009110C1">
                <w:rPr>
                  <w:rStyle w:val="Hyperlink"/>
                  <w:rFonts w:cstheme="minorBidi"/>
                  <w:sz w:val="22"/>
                  <w:szCs w:val="22"/>
                  <w:lang w:val="en-US"/>
                </w:rPr>
                <w:t>Document 31</w:t>
              </w:r>
            </w:hyperlink>
            <w:r w:rsidR="4B658A33" w:rsidRPr="009110C1">
              <w:rPr>
                <w:rFonts w:cstheme="minorBidi"/>
                <w:sz w:val="22"/>
                <w:szCs w:val="22"/>
                <w:lang w:val="en-US"/>
              </w:rPr>
              <w:t>:</w:t>
            </w:r>
            <w:r w:rsidR="24531D51" w:rsidRPr="009110C1">
              <w:rPr>
                <w:rFonts w:cstheme="minorBidi"/>
                <w:sz w:val="22"/>
                <w:szCs w:val="22"/>
                <w:lang w:val="en-US"/>
              </w:rPr>
              <w:t xml:space="preserve"> TDAG noted the document with interest and appreciation, acknowledging the need to highlight the importance of making information and best practice about </w:t>
            </w:r>
            <w:r w:rsidR="24531D51" w:rsidRPr="009110C1">
              <w:rPr>
                <w:rFonts w:cstheme="minorBidi"/>
                <w:sz w:val="22"/>
                <w:szCs w:val="22"/>
                <w:lang w:val="en-US"/>
              </w:rPr>
              <w:lastRenderedPageBreak/>
              <w:t>bridging the digital divide more accessible, contextual and useful, and underlining the need to foster an enabling environment to bridge the digital divide, bringing together all relevant materials, including material from regional organizations and material on policy and regulation as well as on capacity building.</w:t>
            </w:r>
            <w:r w:rsidR="00A52EF1">
              <w:br/>
            </w:r>
            <w:hyperlink r:id="rId43" w:history="1">
              <w:r w:rsidR="5E35FD1C" w:rsidRPr="009110C1">
                <w:rPr>
                  <w:rStyle w:val="Hyperlink"/>
                  <w:rFonts w:cstheme="minorBidi"/>
                  <w:sz w:val="22"/>
                  <w:szCs w:val="22"/>
                  <w:lang w:val="en-US"/>
                </w:rPr>
                <w:t>Document 32</w:t>
              </w:r>
            </w:hyperlink>
            <w:r w:rsidR="5E35FD1C" w:rsidRPr="009110C1">
              <w:rPr>
                <w:rFonts w:cstheme="minorBidi"/>
                <w:sz w:val="22"/>
                <w:szCs w:val="22"/>
                <w:lang w:val="en-US"/>
              </w:rPr>
              <w:t xml:space="preserve">: </w:t>
            </w:r>
            <w:r w:rsidR="376DBE2B" w:rsidRPr="009110C1">
              <w:rPr>
                <w:rFonts w:cstheme="minorBidi"/>
                <w:color w:val="000000" w:themeColor="text1"/>
                <w:sz w:val="22"/>
                <w:szCs w:val="22"/>
              </w:rPr>
              <w:t>TDAG thanked Cuba for bringing this longstanding work improving digital literacy to the attention of membership, an effort without which the promise of connectivity cannot be reached.</w:t>
            </w:r>
          </w:p>
          <w:p w14:paraId="5CD7EA59" w14:textId="03E7C8C1" w:rsidR="0087336C" w:rsidRPr="009110C1" w:rsidRDefault="00CD53ED"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hyperlink r:id="rId44" w:history="1">
              <w:r w:rsidR="5B91229F" w:rsidRPr="009110C1">
                <w:rPr>
                  <w:rStyle w:val="Hyperlink"/>
                  <w:rFonts w:cstheme="minorBidi"/>
                  <w:color w:val="auto"/>
                  <w:sz w:val="22"/>
                  <w:szCs w:val="22"/>
                  <w:u w:val="none"/>
                  <w:lang w:val="en-US"/>
                </w:rPr>
                <w:t>Document 39</w:t>
              </w:r>
            </w:hyperlink>
            <w:r w:rsidR="5B91229F" w:rsidRPr="009110C1">
              <w:rPr>
                <w:rStyle w:val="Hyperlink"/>
                <w:rFonts w:cstheme="minorBidi"/>
                <w:color w:val="auto"/>
                <w:sz w:val="22"/>
                <w:szCs w:val="22"/>
                <w:u w:val="none"/>
                <w:lang w:val="en-US"/>
              </w:rPr>
              <w:t>:</w:t>
            </w:r>
            <w:r w:rsidR="5B91229F" w:rsidRPr="009110C1">
              <w:rPr>
                <w:rStyle w:val="Hyperlink"/>
                <w:rFonts w:cstheme="minorBidi"/>
                <w:color w:val="auto"/>
                <w:sz w:val="22"/>
                <w:szCs w:val="22"/>
                <w:u w:val="none"/>
              </w:rPr>
              <w:t xml:space="preserve"> </w:t>
            </w:r>
            <w:r w:rsidR="2A333838" w:rsidRPr="009110C1">
              <w:rPr>
                <w:rStyle w:val="Hyperlink"/>
                <w:rFonts w:cstheme="minorBidi"/>
                <w:color w:val="auto"/>
                <w:sz w:val="22"/>
                <w:szCs w:val="22"/>
                <w:u w:val="none"/>
              </w:rPr>
              <w:t>TDAG underlined the importance of information sharing and welcomed the proposal to disseminate ITU-D publications through ITU regional and area offices, while also noting the importance of distributing material in the ITU languages used the regions.</w:t>
            </w:r>
          </w:p>
        </w:tc>
      </w:tr>
      <w:tr w:rsidR="00F14711" w:rsidRPr="00217665" w14:paraId="6F38B53E" w14:textId="77777777" w:rsidTr="632A2ABB">
        <w:tc>
          <w:tcPr>
            <w:tcW w:w="3220" w:type="dxa"/>
            <w:tcBorders>
              <w:top w:val="nil"/>
              <w:left w:val="single" w:sz="4" w:space="0" w:color="auto"/>
              <w:bottom w:val="single" w:sz="4" w:space="0" w:color="auto"/>
              <w:right w:val="single" w:sz="4" w:space="0" w:color="auto"/>
            </w:tcBorders>
            <w:shd w:val="clear" w:color="auto" w:fill="auto"/>
            <w:vAlign w:val="center"/>
            <w:hideMark/>
          </w:tcPr>
          <w:p w14:paraId="39EE546F" w14:textId="684C6989" w:rsidR="00217665" w:rsidRPr="009110C1" w:rsidRDefault="1537E4E3"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sz w:val="22"/>
                <w:szCs w:val="22"/>
              </w:rPr>
              <w:lastRenderedPageBreak/>
              <w:t>Report on the implementation of the ITU-D Strategic Plan and Operational Plan 2019, including programmes, regional initiatives and major events</w:t>
            </w:r>
          </w:p>
        </w:tc>
        <w:tc>
          <w:tcPr>
            <w:tcW w:w="5994" w:type="dxa"/>
            <w:tcBorders>
              <w:top w:val="nil"/>
              <w:left w:val="nil"/>
              <w:bottom w:val="single" w:sz="4" w:space="0" w:color="auto"/>
              <w:right w:val="single" w:sz="4" w:space="0" w:color="auto"/>
            </w:tcBorders>
            <w:shd w:val="clear" w:color="auto" w:fill="auto"/>
            <w:vAlign w:val="center"/>
            <w:hideMark/>
          </w:tcPr>
          <w:p w14:paraId="0729F215" w14:textId="5C60AE64" w:rsidR="00217665" w:rsidRPr="009110C1" w:rsidRDefault="127BA723"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sz w:val="22"/>
                <w:szCs w:val="22"/>
                <w:lang w:eastAsia="zh-CN"/>
              </w:rPr>
              <w:t xml:space="preserve">TDAG noted with appreciation the wealth of information presented on thematic priorities and regional initiatives, as well as the high-quality products and publications available to members and called for more promotion and more translation into the six ITU official languages. </w:t>
            </w:r>
            <w:r w:rsidRPr="009110C1">
              <w:rPr>
                <w:rFonts w:cstheme="minorBidi"/>
                <w:sz w:val="22"/>
                <w:szCs w:val="22"/>
              </w:rPr>
              <w:t>TDAG welcomed I-</w:t>
            </w:r>
            <w:proofErr w:type="spellStart"/>
            <w:r w:rsidRPr="009110C1">
              <w:rPr>
                <w:rFonts w:cstheme="minorBidi"/>
                <w:sz w:val="22"/>
                <w:szCs w:val="22"/>
              </w:rPr>
              <w:t>CoDI</w:t>
            </w:r>
            <w:proofErr w:type="spellEnd"/>
            <w:r w:rsidRPr="009110C1">
              <w:rPr>
                <w:rFonts w:cstheme="minorBidi"/>
                <w:sz w:val="22"/>
                <w:szCs w:val="22"/>
              </w:rPr>
              <w:t xml:space="preserve"> as an important project that will help ITU membership integrate innovation into their national development agendas and activities.</w:t>
            </w:r>
          </w:p>
        </w:tc>
      </w:tr>
      <w:tr w:rsidR="00F14711" w:rsidRPr="00217665" w14:paraId="0BD40D91" w14:textId="77777777" w:rsidTr="632A2ABB">
        <w:tc>
          <w:tcPr>
            <w:tcW w:w="3220" w:type="dxa"/>
            <w:tcBorders>
              <w:top w:val="nil"/>
              <w:left w:val="single" w:sz="4" w:space="0" w:color="auto"/>
              <w:bottom w:val="single" w:sz="4" w:space="0" w:color="auto"/>
              <w:right w:val="single" w:sz="4" w:space="0" w:color="auto"/>
            </w:tcBorders>
            <w:shd w:val="clear" w:color="auto" w:fill="auto"/>
            <w:vAlign w:val="center"/>
            <w:hideMark/>
          </w:tcPr>
          <w:p w14:paraId="6C8BF181" w14:textId="77777777" w:rsidR="00B22127" w:rsidRPr="009110C1" w:rsidRDefault="0E027349" w:rsidP="009110C1">
            <w:pPr>
              <w:keepNext/>
              <w:spacing w:before="60" w:after="60"/>
              <w:rPr>
                <w:rFonts w:cstheme="minorBidi"/>
                <w:sz w:val="22"/>
                <w:szCs w:val="22"/>
              </w:rPr>
            </w:pPr>
            <w:r w:rsidRPr="009110C1">
              <w:rPr>
                <w:rFonts w:cstheme="minorBidi"/>
                <w:sz w:val="22"/>
                <w:szCs w:val="22"/>
              </w:rPr>
              <w:lastRenderedPageBreak/>
              <w:t>ITU-D contribution to the implementation of the WSIS Plan of Action and the 2030 Agenda for Sustainable Development</w:t>
            </w:r>
          </w:p>
          <w:p w14:paraId="6D8DEC67" w14:textId="6C1CDF5A" w:rsidR="00217665" w:rsidRPr="009110C1" w:rsidRDefault="00217665"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p>
        </w:tc>
        <w:tc>
          <w:tcPr>
            <w:tcW w:w="5994" w:type="dxa"/>
            <w:tcBorders>
              <w:top w:val="nil"/>
              <w:left w:val="nil"/>
              <w:bottom w:val="single" w:sz="4" w:space="0" w:color="auto"/>
              <w:right w:val="single" w:sz="4" w:space="0" w:color="auto"/>
            </w:tcBorders>
            <w:shd w:val="clear" w:color="auto" w:fill="auto"/>
            <w:vAlign w:val="center"/>
            <w:hideMark/>
          </w:tcPr>
          <w:p w14:paraId="78B3265F" w14:textId="070153B5" w:rsidR="00217665" w:rsidRPr="009110C1" w:rsidRDefault="7DACF7C9"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TDAG expressed appreciation for the report and encouraged membership to engage actively in BDT activities that contribute to the implementation of the WSIS outcomes and the 2030 Agenda for Sustainable Development in line with WTDC-17.</w:t>
            </w:r>
            <w:r w:rsidR="00B70445">
              <w:br/>
            </w:r>
          </w:p>
        </w:tc>
      </w:tr>
      <w:tr w:rsidR="00F14711" w:rsidRPr="00217665" w14:paraId="0E1FBAC6" w14:textId="77777777" w:rsidTr="632A2ABB">
        <w:tc>
          <w:tcPr>
            <w:tcW w:w="3220" w:type="dxa"/>
            <w:tcBorders>
              <w:top w:val="nil"/>
              <w:left w:val="single" w:sz="4" w:space="0" w:color="auto"/>
              <w:bottom w:val="single" w:sz="4" w:space="0" w:color="auto"/>
              <w:right w:val="single" w:sz="4" w:space="0" w:color="auto"/>
            </w:tcBorders>
            <w:shd w:val="clear" w:color="auto" w:fill="auto"/>
            <w:vAlign w:val="center"/>
            <w:hideMark/>
          </w:tcPr>
          <w:p w14:paraId="61191B50" w14:textId="776FBEBE" w:rsidR="00217665" w:rsidRPr="009110C1" w:rsidRDefault="58635EF0" w:rsidP="00A42A0D">
            <w:pPr>
              <w:keepNext/>
              <w:spacing w:before="60" w:after="60"/>
              <w:rPr>
                <w:rFonts w:cstheme="minorBidi"/>
                <w:color w:val="000000"/>
                <w:sz w:val="22"/>
                <w:szCs w:val="22"/>
                <w:lang w:eastAsia="zh-CN"/>
              </w:rPr>
            </w:pPr>
            <w:r w:rsidRPr="009110C1">
              <w:rPr>
                <w:rFonts w:cstheme="minorBidi"/>
                <w:sz w:val="22"/>
                <w:szCs w:val="22"/>
              </w:rPr>
              <w:t>ITU-D projects</w:t>
            </w:r>
          </w:p>
        </w:tc>
        <w:tc>
          <w:tcPr>
            <w:tcW w:w="5994" w:type="dxa"/>
            <w:tcBorders>
              <w:top w:val="nil"/>
              <w:left w:val="nil"/>
              <w:bottom w:val="single" w:sz="4" w:space="0" w:color="auto"/>
              <w:right w:val="single" w:sz="4" w:space="0" w:color="auto"/>
            </w:tcBorders>
            <w:shd w:val="clear" w:color="auto" w:fill="auto"/>
            <w:vAlign w:val="center"/>
            <w:hideMark/>
          </w:tcPr>
          <w:p w14:paraId="1B39A947" w14:textId="5E95BF4F" w:rsidR="00217665" w:rsidRPr="009110C1" w:rsidRDefault="0BD7A634"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TDAG noted the document with appreciation.</w:t>
            </w:r>
          </w:p>
        </w:tc>
      </w:tr>
      <w:tr w:rsidR="00F14711" w:rsidRPr="00217665" w14:paraId="0ECA8CF9" w14:textId="77777777" w:rsidTr="632A2ABB">
        <w:tc>
          <w:tcPr>
            <w:tcW w:w="3220" w:type="dxa"/>
            <w:tcBorders>
              <w:top w:val="nil"/>
              <w:left w:val="single" w:sz="4" w:space="0" w:color="auto"/>
              <w:bottom w:val="single" w:sz="4" w:space="0" w:color="auto"/>
              <w:right w:val="single" w:sz="4" w:space="0" w:color="auto"/>
            </w:tcBorders>
            <w:shd w:val="clear" w:color="auto" w:fill="auto"/>
            <w:vAlign w:val="center"/>
            <w:hideMark/>
          </w:tcPr>
          <w:p w14:paraId="724CF752" w14:textId="29A4D680" w:rsidR="00217665" w:rsidRPr="009110C1" w:rsidRDefault="6A59F856" w:rsidP="00A42A0D">
            <w:pPr>
              <w:keepNext/>
              <w:spacing w:before="60" w:after="60"/>
              <w:rPr>
                <w:rFonts w:cstheme="minorBidi"/>
                <w:color w:val="000000"/>
                <w:sz w:val="22"/>
                <w:szCs w:val="22"/>
                <w:lang w:eastAsia="zh-CN"/>
              </w:rPr>
            </w:pPr>
            <w:r w:rsidRPr="009110C1">
              <w:rPr>
                <w:rFonts w:cstheme="minorBidi"/>
                <w:sz w:val="22"/>
                <w:szCs w:val="22"/>
              </w:rPr>
              <w:t>ITU-D Study Group-related matters</w:t>
            </w:r>
          </w:p>
        </w:tc>
        <w:tc>
          <w:tcPr>
            <w:tcW w:w="5994" w:type="dxa"/>
            <w:tcBorders>
              <w:top w:val="nil"/>
              <w:left w:val="nil"/>
              <w:bottom w:val="single" w:sz="4" w:space="0" w:color="auto"/>
              <w:right w:val="single" w:sz="4" w:space="0" w:color="auto"/>
            </w:tcBorders>
            <w:shd w:val="clear" w:color="auto" w:fill="auto"/>
            <w:vAlign w:val="center"/>
            <w:hideMark/>
          </w:tcPr>
          <w:p w14:paraId="77D923DA" w14:textId="77777777" w:rsidR="00831E7C" w:rsidRPr="009110C1" w:rsidRDefault="7ED53221"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 xml:space="preserve">TDAG noted with interest and appreciation the detailed reports on study group </w:t>
            </w:r>
            <w:proofErr w:type="gramStart"/>
            <w:r w:rsidRPr="009110C1">
              <w:rPr>
                <w:rFonts w:cstheme="minorBidi"/>
                <w:color w:val="000000" w:themeColor="text1"/>
                <w:sz w:val="22"/>
                <w:szCs w:val="22"/>
                <w:lang w:eastAsia="zh-CN"/>
              </w:rPr>
              <w:t>activities, and</w:t>
            </w:r>
            <w:proofErr w:type="gramEnd"/>
            <w:r w:rsidRPr="009110C1">
              <w:rPr>
                <w:rFonts w:cstheme="minorBidi"/>
                <w:color w:val="000000" w:themeColor="text1"/>
                <w:sz w:val="22"/>
                <w:szCs w:val="22"/>
                <w:lang w:eastAsia="zh-CN"/>
              </w:rPr>
              <w:t xml:space="preserve"> observed that both study groups and all 14 Questions were making good progress towards the WTDC expected outputs under the leadership of the study group chairmen.</w:t>
            </w:r>
          </w:p>
          <w:p w14:paraId="198E8F8A" w14:textId="77777777" w:rsidR="00831E7C" w:rsidRPr="009110C1" w:rsidRDefault="7ED53221"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TDAG appointed Ms Aimee K. Meacham (United States) as a Co-Rapporteur for ITU-D Study Group 2 Question 3/2.</w:t>
            </w:r>
          </w:p>
          <w:p w14:paraId="0DB90A3D" w14:textId="2B855852" w:rsidR="00217665" w:rsidRPr="009110C1" w:rsidRDefault="7ED53221"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TDAG agreed on the proposed dates for the ITU-D study group meetings in 2021.</w:t>
            </w:r>
          </w:p>
        </w:tc>
      </w:tr>
      <w:tr w:rsidR="00F14711" w:rsidRPr="00217665" w14:paraId="076AC81A" w14:textId="77777777" w:rsidTr="632A2ABB">
        <w:tc>
          <w:tcPr>
            <w:tcW w:w="3220" w:type="dxa"/>
            <w:tcBorders>
              <w:top w:val="nil"/>
              <w:left w:val="single" w:sz="4" w:space="0" w:color="auto"/>
              <w:bottom w:val="single" w:sz="4" w:space="0" w:color="auto"/>
              <w:right w:val="single" w:sz="4" w:space="0" w:color="auto"/>
            </w:tcBorders>
            <w:shd w:val="clear" w:color="auto" w:fill="auto"/>
            <w:vAlign w:val="center"/>
            <w:hideMark/>
          </w:tcPr>
          <w:p w14:paraId="0B8ED286" w14:textId="359A1629" w:rsidR="00217665" w:rsidRPr="009110C1" w:rsidRDefault="0FAA8575" w:rsidP="632A2ABB">
            <w:pPr>
              <w:keepNext/>
              <w:spacing w:before="60" w:after="60"/>
              <w:rPr>
                <w:rFonts w:cstheme="minorBidi"/>
                <w:color w:val="000000"/>
                <w:sz w:val="22"/>
                <w:szCs w:val="22"/>
                <w:lang w:eastAsia="zh-CN"/>
              </w:rPr>
            </w:pPr>
            <w:r w:rsidRPr="009110C1">
              <w:rPr>
                <w:rFonts w:cstheme="minorBidi"/>
                <w:sz w:val="22"/>
                <w:szCs w:val="22"/>
              </w:rPr>
              <w:t xml:space="preserve">Collaboration with the other Sectors </w:t>
            </w:r>
          </w:p>
        </w:tc>
        <w:tc>
          <w:tcPr>
            <w:tcW w:w="5994" w:type="dxa"/>
            <w:tcBorders>
              <w:top w:val="nil"/>
              <w:left w:val="nil"/>
              <w:bottom w:val="single" w:sz="4" w:space="0" w:color="auto"/>
              <w:right w:val="single" w:sz="4" w:space="0" w:color="auto"/>
            </w:tcBorders>
            <w:shd w:val="clear" w:color="auto" w:fill="auto"/>
            <w:vAlign w:val="center"/>
            <w:hideMark/>
          </w:tcPr>
          <w:p w14:paraId="012F1CA6" w14:textId="55A561DD" w:rsidR="00217665" w:rsidRPr="009110C1" w:rsidRDefault="1C53BBED"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sz w:val="22"/>
                <w:szCs w:val="22"/>
              </w:rPr>
              <w:t xml:space="preserve">TDAG noted with appreciation the progress report from the Chairman of the Inter-Sector Coordination Group on issues of mutual interest and welcomed the group’s decision to pursue “climate change” as a pilot theme, where all Sectors could be involved and could collaborate; and “accessibility” as the next suggested pilot theme. TDAG noted the liaison statements on inter-Sector coordination. TDAG further noted that the most up-to-date </w:t>
            </w:r>
            <w:hyperlink r:id="rId45" w:history="1">
              <w:r w:rsidRPr="009110C1">
                <w:rPr>
                  <w:rStyle w:val="Hyperlink"/>
                  <w:rFonts w:cstheme="minorBidi"/>
                  <w:sz w:val="22"/>
                  <w:szCs w:val="22"/>
                </w:rPr>
                <w:t>mapping tables on inter-Sector coordination are</w:t>
              </w:r>
            </w:hyperlink>
            <w:r w:rsidRPr="009110C1">
              <w:rPr>
                <w:rStyle w:val="Hyperlink"/>
                <w:rFonts w:cstheme="minorBidi"/>
                <w:sz w:val="22"/>
                <w:szCs w:val="22"/>
              </w:rPr>
              <w:t xml:space="preserve"> </w:t>
            </w:r>
            <w:r w:rsidRPr="009110C1">
              <w:rPr>
                <w:rFonts w:cstheme="minorBidi"/>
                <w:sz w:val="22"/>
                <w:szCs w:val="22"/>
              </w:rPr>
              <w:t>maintained by the ISCG on its website.</w:t>
            </w:r>
          </w:p>
        </w:tc>
      </w:tr>
      <w:tr w:rsidR="00F14711" w:rsidRPr="00217665" w14:paraId="42BF3D29" w14:textId="77777777" w:rsidTr="632A2ABB">
        <w:trPr>
          <w:trHeight w:val="18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68B3EFA" w14:textId="1DC0ED3F" w:rsidR="00217665" w:rsidRPr="009110C1" w:rsidRDefault="4CD5925C" w:rsidP="00A42A0D">
            <w:pPr>
              <w:keepNext/>
              <w:spacing w:before="60" w:after="60"/>
              <w:rPr>
                <w:rFonts w:cstheme="minorBidi"/>
                <w:color w:val="000000"/>
                <w:sz w:val="22"/>
                <w:szCs w:val="22"/>
                <w:lang w:eastAsia="zh-CN"/>
              </w:rPr>
            </w:pPr>
            <w:r w:rsidRPr="009110C1">
              <w:rPr>
                <w:rFonts w:cstheme="minorBidi"/>
                <w:sz w:val="22"/>
                <w:szCs w:val="22"/>
              </w:rPr>
              <w:t xml:space="preserve">Preparations for </w:t>
            </w:r>
            <w:r w:rsidR="689DD6F3" w:rsidRPr="632A2ABB">
              <w:rPr>
                <w:rFonts w:cstheme="minorBidi"/>
                <w:sz w:val="22"/>
                <w:szCs w:val="22"/>
              </w:rPr>
              <w:t>WTDC</w:t>
            </w:r>
          </w:p>
        </w:tc>
        <w:tc>
          <w:tcPr>
            <w:tcW w:w="5994" w:type="dxa"/>
            <w:tcBorders>
              <w:top w:val="nil"/>
              <w:left w:val="nil"/>
              <w:bottom w:val="single" w:sz="4" w:space="0" w:color="auto"/>
              <w:right w:val="single" w:sz="4" w:space="0" w:color="auto"/>
            </w:tcBorders>
            <w:shd w:val="clear" w:color="auto" w:fill="auto"/>
            <w:vAlign w:val="center"/>
            <w:hideMark/>
          </w:tcPr>
          <w:p w14:paraId="354D1867" w14:textId="6F4304E7" w:rsidR="000A6C5C" w:rsidRDefault="01C46A95"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 xml:space="preserve">TDAG thanked all contributors for their constructive proposals, recognizing that all aim to make WTDC more efficient and impactful. TDAG agreed to set up a working group that would review the ITU-D contribution to the ITU strategic plan, to be led by Ms Blanca Gonzalez (Spain), assisted by Mr Christopher Kemei (Kenya) and Mr Wim Rullens (Netherlands). The terms of reference for this group, found in DT/7, were approved.  </w:t>
            </w:r>
          </w:p>
          <w:p w14:paraId="46FBBE45" w14:textId="0D1B7EDB" w:rsidR="00217665" w:rsidRPr="009110C1" w:rsidRDefault="1060186D"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 xml:space="preserve">TDAG also agreed to create two working groups to prepare for </w:t>
            </w:r>
            <w:r w:rsidR="689DD6F3" w:rsidRPr="632A2ABB">
              <w:rPr>
                <w:rFonts w:cstheme="minorBidi"/>
                <w:color w:val="000000" w:themeColor="text1"/>
                <w:sz w:val="22"/>
                <w:szCs w:val="22"/>
                <w:lang w:eastAsia="zh-CN"/>
              </w:rPr>
              <w:t>WTDC</w:t>
            </w:r>
            <w:r w:rsidRPr="009110C1">
              <w:rPr>
                <w:rFonts w:cstheme="minorBidi"/>
                <w:color w:val="000000" w:themeColor="text1"/>
                <w:sz w:val="22"/>
                <w:szCs w:val="22"/>
                <w:lang w:eastAsia="zh-CN"/>
              </w:rPr>
              <w:t>: a group to work on WTDC preparations and a group to work on administrative outputs such as resolutions and the Declaration. TDAG agreed that an extraordinary session of TDAG would be held to establish high-level terms of reference for both groups. TDAG agreed that the group on WTDC Preparations would be led by Santiago Reyes-Borda of Canada.  The date for the meeting was subsequently fixed as 16 June 2020.</w:t>
            </w:r>
          </w:p>
        </w:tc>
      </w:tr>
      <w:tr w:rsidR="00F14711" w:rsidRPr="00217665" w14:paraId="328DEC02" w14:textId="77777777" w:rsidTr="632A2ABB">
        <w:tc>
          <w:tcPr>
            <w:tcW w:w="3220" w:type="dxa"/>
            <w:tcBorders>
              <w:top w:val="nil"/>
              <w:left w:val="single" w:sz="4" w:space="0" w:color="auto"/>
              <w:bottom w:val="single" w:sz="4" w:space="0" w:color="auto"/>
              <w:right w:val="single" w:sz="4" w:space="0" w:color="auto"/>
            </w:tcBorders>
            <w:shd w:val="clear" w:color="auto" w:fill="auto"/>
            <w:vAlign w:val="center"/>
            <w:hideMark/>
          </w:tcPr>
          <w:p w14:paraId="3D9A3931" w14:textId="57A06B08" w:rsidR="00217665" w:rsidRPr="009110C1" w:rsidRDefault="53349572"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Streamlining resolutions</w:t>
            </w:r>
          </w:p>
        </w:tc>
        <w:tc>
          <w:tcPr>
            <w:tcW w:w="5994" w:type="dxa"/>
            <w:tcBorders>
              <w:top w:val="nil"/>
              <w:left w:val="nil"/>
              <w:bottom w:val="single" w:sz="4" w:space="0" w:color="auto"/>
              <w:right w:val="single" w:sz="4" w:space="0" w:color="auto"/>
            </w:tcBorders>
            <w:shd w:val="clear" w:color="auto" w:fill="auto"/>
            <w:vAlign w:val="center"/>
            <w:hideMark/>
          </w:tcPr>
          <w:p w14:paraId="6090EAD6" w14:textId="040F262C" w:rsidR="00217665" w:rsidRPr="009110C1" w:rsidRDefault="481B4269"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TDAG noted the documents and recognized the importance of early work on resolutions, which would help free up conference time to discuss ICT development issues.</w:t>
            </w:r>
          </w:p>
        </w:tc>
      </w:tr>
      <w:tr w:rsidR="00F14711" w:rsidRPr="00217665" w14:paraId="3D1BB341" w14:textId="77777777" w:rsidTr="632A2ABB">
        <w:tc>
          <w:tcPr>
            <w:tcW w:w="3220" w:type="dxa"/>
            <w:tcBorders>
              <w:top w:val="nil"/>
              <w:left w:val="single" w:sz="4" w:space="0" w:color="auto"/>
              <w:bottom w:val="single" w:sz="4" w:space="0" w:color="auto"/>
              <w:right w:val="single" w:sz="4" w:space="0" w:color="auto"/>
            </w:tcBorders>
            <w:shd w:val="clear" w:color="auto" w:fill="auto"/>
            <w:vAlign w:val="center"/>
            <w:hideMark/>
          </w:tcPr>
          <w:p w14:paraId="09A3E185" w14:textId="687DBE9A" w:rsidR="00AD4693" w:rsidRPr="009110C1" w:rsidRDefault="2C607A9C" w:rsidP="00A42A0D">
            <w:pPr>
              <w:keepNext/>
              <w:spacing w:before="60" w:after="60"/>
              <w:rPr>
                <w:rFonts w:cstheme="minorBidi"/>
                <w:color w:val="000000"/>
                <w:sz w:val="22"/>
                <w:szCs w:val="22"/>
                <w:lang w:eastAsia="zh-CN"/>
              </w:rPr>
            </w:pPr>
            <w:r w:rsidRPr="009110C1">
              <w:rPr>
                <w:rFonts w:cstheme="minorBidi"/>
                <w:sz w:val="22"/>
                <w:szCs w:val="22"/>
              </w:rPr>
              <w:lastRenderedPageBreak/>
              <w:t>Membership, Partnership and Private Sector-related matters</w:t>
            </w:r>
          </w:p>
        </w:tc>
        <w:tc>
          <w:tcPr>
            <w:tcW w:w="5994" w:type="dxa"/>
            <w:tcBorders>
              <w:top w:val="nil"/>
              <w:left w:val="nil"/>
              <w:bottom w:val="single" w:sz="4" w:space="0" w:color="auto"/>
              <w:right w:val="single" w:sz="4" w:space="0" w:color="auto"/>
            </w:tcBorders>
            <w:shd w:val="clear" w:color="auto" w:fill="auto"/>
            <w:hideMark/>
          </w:tcPr>
          <w:p w14:paraId="0AACD641" w14:textId="77777777" w:rsidR="00A42A0D" w:rsidRDefault="0B406A0D" w:rsidP="00A42A0D">
            <w:pPr>
              <w:pStyle w:val="CEONormal"/>
              <w:spacing w:before="60" w:after="60"/>
              <w:rPr>
                <w:rFonts w:asciiTheme="minorHAnsi" w:hAnsiTheme="minorHAnsi" w:cstheme="minorBidi"/>
                <w:sz w:val="22"/>
                <w:szCs w:val="22"/>
              </w:rPr>
            </w:pPr>
            <w:r w:rsidRPr="009110C1">
              <w:rPr>
                <w:rFonts w:asciiTheme="minorHAnsi" w:hAnsiTheme="minorHAnsi" w:cstheme="minorBidi"/>
                <w:sz w:val="22"/>
                <w:szCs w:val="22"/>
              </w:rPr>
              <w:t xml:space="preserve">Document 7: </w:t>
            </w:r>
            <w:r w:rsidR="2C607A9C" w:rsidRPr="009110C1">
              <w:rPr>
                <w:rFonts w:asciiTheme="minorHAnsi" w:hAnsiTheme="minorHAnsi" w:cstheme="minorBidi"/>
                <w:sz w:val="22"/>
                <w:szCs w:val="22"/>
              </w:rPr>
              <w:t>TDAG noted the document with interest and appreciation, recognizing the importance of partnership and resource mobilization to implement WTDC-17 programmes and regional initiatives. TDAG supported the BDT Director’s plan to hire a consultancy firm and a senior advisor for this purpose, and to provide training and capacity building for BDT staff on resource mobilization).</w:t>
            </w:r>
          </w:p>
          <w:p w14:paraId="6F0F6828" w14:textId="36A59E0B" w:rsidR="00AD4693" w:rsidRPr="009110C1" w:rsidRDefault="01655DF2" w:rsidP="00A42A0D">
            <w:pPr>
              <w:pStyle w:val="CEONormal"/>
              <w:spacing w:before="60" w:after="60"/>
              <w:rPr>
                <w:rFonts w:asciiTheme="minorHAnsi" w:hAnsiTheme="minorHAnsi" w:cstheme="minorBidi"/>
                <w:sz w:val="22"/>
                <w:szCs w:val="22"/>
              </w:rPr>
            </w:pPr>
            <w:r w:rsidRPr="009110C1">
              <w:rPr>
                <w:rFonts w:asciiTheme="minorHAnsi" w:hAnsiTheme="minorHAnsi" w:cstheme="minorBidi"/>
                <w:sz w:val="22"/>
                <w:szCs w:val="22"/>
              </w:rPr>
              <w:t xml:space="preserve">Document 11 and Information Document 13: </w:t>
            </w:r>
            <w:r w:rsidR="25EAAAD8" w:rsidRPr="009110C1">
              <w:rPr>
                <w:rFonts w:asciiTheme="minorHAnsi" w:hAnsiTheme="minorHAnsi" w:cstheme="minorBidi"/>
                <w:sz w:val="22"/>
                <w:szCs w:val="22"/>
              </w:rPr>
              <w:t>TDAG noted both reports with appreciation and interest. In particular, TDAG noted the strategies that have been taken to increase membership outreach and engagement, such as cross-selling among ITU Sectors, diversification with new industries, digital marketing to reinforce acquisition, and retention of current members by engaging them in ITU-D activities and events. Additional information was provided by the BDT secretariat and the BDT Director on factors influencing the decrease of sector membership such as industry consolidation, economic situation, the inability of some members to pay the annual membership fees, delays in approval from Member States, and decisions by some Sector Members to switch to Associate and Academia membership categories.</w:t>
            </w:r>
          </w:p>
        </w:tc>
      </w:tr>
      <w:tr w:rsidR="00781645" w:rsidRPr="00217665" w14:paraId="6CB3F271" w14:textId="77777777" w:rsidTr="632A2ABB">
        <w:tc>
          <w:tcPr>
            <w:tcW w:w="3220" w:type="dxa"/>
            <w:tcBorders>
              <w:top w:val="nil"/>
              <w:left w:val="single" w:sz="4" w:space="0" w:color="auto"/>
              <w:bottom w:val="nil"/>
              <w:right w:val="single" w:sz="4" w:space="0" w:color="auto"/>
            </w:tcBorders>
            <w:shd w:val="clear" w:color="auto" w:fill="auto"/>
            <w:vAlign w:val="center"/>
            <w:hideMark/>
          </w:tcPr>
          <w:p w14:paraId="6AB88DAB" w14:textId="3532185B" w:rsidR="00217665" w:rsidRPr="009110C1" w:rsidRDefault="538F9DA8"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sz w:val="22"/>
                <w:szCs w:val="22"/>
              </w:rPr>
              <w:t>Report by the Chairman of the Group on Capacity Building Initiatives (GCBI)</w:t>
            </w:r>
          </w:p>
        </w:tc>
        <w:tc>
          <w:tcPr>
            <w:tcW w:w="5994" w:type="dxa"/>
            <w:tcBorders>
              <w:top w:val="nil"/>
              <w:left w:val="nil"/>
              <w:bottom w:val="nil"/>
              <w:right w:val="single" w:sz="4" w:space="0" w:color="auto"/>
            </w:tcBorders>
            <w:shd w:val="clear" w:color="auto" w:fill="auto"/>
            <w:vAlign w:val="center"/>
            <w:hideMark/>
          </w:tcPr>
          <w:p w14:paraId="451FB6C8" w14:textId="3B060FA9" w:rsidR="00217665" w:rsidRPr="009110C1" w:rsidRDefault="34050E74"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cstheme="minorBidi"/>
                <w:color w:val="000000" w:themeColor="text1"/>
                <w:sz w:val="22"/>
                <w:szCs w:val="22"/>
                <w:lang w:eastAsia="zh-CN"/>
              </w:rPr>
              <w:t xml:space="preserve">TDAG noted the report with appreciation and congratulated GCBI for the excellent work done. TDAG highlighted the importance of capacity development in the work of BDT as it is a priority for four of the five regions as reflected in their regional initiatives.  </w:t>
            </w:r>
          </w:p>
        </w:tc>
      </w:tr>
      <w:tr w:rsidR="008D7A82" w:rsidRPr="00217665" w14:paraId="0C014B5B" w14:textId="77777777" w:rsidTr="632A2ABB">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8C672" w14:textId="494F9208" w:rsidR="0019357D" w:rsidRPr="009110C1" w:rsidRDefault="7C8C1030" w:rsidP="00A42A0D">
            <w:pPr>
              <w:keepNext/>
              <w:spacing w:before="60" w:after="60"/>
              <w:rPr>
                <w:rFonts w:cstheme="minorBidi"/>
                <w:color w:val="000000"/>
                <w:sz w:val="22"/>
                <w:szCs w:val="22"/>
                <w:lang w:eastAsia="zh-CN"/>
              </w:rPr>
            </w:pPr>
            <w:r w:rsidRPr="009110C1">
              <w:rPr>
                <w:rFonts w:cstheme="minorBidi"/>
                <w:sz w:val="22"/>
                <w:szCs w:val="22"/>
              </w:rPr>
              <w:t xml:space="preserve">ITU-D’s Youth Strategy </w:t>
            </w:r>
          </w:p>
        </w:tc>
        <w:tc>
          <w:tcPr>
            <w:tcW w:w="5994" w:type="dxa"/>
            <w:tcBorders>
              <w:top w:val="single" w:sz="4" w:space="0" w:color="auto"/>
              <w:left w:val="nil"/>
              <w:bottom w:val="single" w:sz="4" w:space="0" w:color="auto"/>
              <w:right w:val="single" w:sz="4" w:space="0" w:color="auto"/>
            </w:tcBorders>
            <w:shd w:val="clear" w:color="auto" w:fill="auto"/>
            <w:hideMark/>
          </w:tcPr>
          <w:p w14:paraId="2491E4BF" w14:textId="7B486D53" w:rsidR="0019357D" w:rsidRPr="009110C1" w:rsidRDefault="7C8C1030" w:rsidP="632A2ABB">
            <w:pPr>
              <w:tabs>
                <w:tab w:val="clear" w:pos="1134"/>
                <w:tab w:val="clear" w:pos="1871"/>
                <w:tab w:val="clear" w:pos="2268"/>
              </w:tabs>
              <w:overflowPunct/>
              <w:autoSpaceDE/>
              <w:autoSpaceDN/>
              <w:adjustRightInd/>
              <w:spacing w:before="60" w:after="60"/>
              <w:textAlignment w:val="auto"/>
              <w:rPr>
                <w:rFonts w:cstheme="minorBidi"/>
                <w:color w:val="000000"/>
                <w:sz w:val="22"/>
                <w:szCs w:val="22"/>
                <w:lang w:eastAsia="zh-CN"/>
              </w:rPr>
            </w:pPr>
            <w:r w:rsidRPr="009110C1">
              <w:rPr>
                <w:rFonts w:eastAsia="Calibri" w:cstheme="minorBidi"/>
                <w:sz w:val="22"/>
                <w:szCs w:val="22"/>
              </w:rPr>
              <w:t xml:space="preserve">TDAG noted the document with appreciation and significant support by its members. </w:t>
            </w:r>
            <w:r w:rsidRPr="009110C1">
              <w:rPr>
                <w:rFonts w:cstheme="minorBidi"/>
                <w:sz w:val="22"/>
                <w:szCs w:val="22"/>
              </w:rPr>
              <w:t>TDAG encouraged BDT to work closely with regional offices to ensure coordination and proper implementation.</w:t>
            </w:r>
          </w:p>
        </w:tc>
      </w:tr>
      <w:tr w:rsidR="003A1A07" w:rsidRPr="00217665" w14:paraId="5A052E30" w14:textId="77777777" w:rsidTr="00A42A0D">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5699953" w14:textId="0057BAAB" w:rsidR="00B76601" w:rsidRPr="009110C1" w:rsidRDefault="543D7FC0" w:rsidP="00E602A9">
            <w:pPr>
              <w:spacing w:before="60" w:after="60"/>
              <w:rPr>
                <w:rFonts w:cstheme="minorBidi"/>
                <w:sz w:val="22"/>
                <w:szCs w:val="22"/>
              </w:rPr>
            </w:pPr>
            <w:r w:rsidRPr="009110C1">
              <w:rPr>
                <w:rFonts w:cstheme="minorBidi"/>
                <w:sz w:val="22"/>
                <w:szCs w:val="22"/>
              </w:rPr>
              <w:t>Contribution to the work of the Expert Group on the International Telecommunication Regulations (EG-ITR)</w:t>
            </w:r>
          </w:p>
        </w:tc>
        <w:tc>
          <w:tcPr>
            <w:tcW w:w="5994" w:type="dxa"/>
            <w:tcBorders>
              <w:top w:val="single" w:sz="4" w:space="0" w:color="auto"/>
              <w:left w:val="nil"/>
              <w:bottom w:val="single" w:sz="4" w:space="0" w:color="auto"/>
              <w:right w:val="single" w:sz="4" w:space="0" w:color="auto"/>
            </w:tcBorders>
            <w:shd w:val="clear" w:color="auto" w:fill="auto"/>
            <w:vAlign w:val="center"/>
          </w:tcPr>
          <w:p w14:paraId="3F2BBA5A" w14:textId="69A42678" w:rsidR="00407CF3" w:rsidRPr="009110C1" w:rsidRDefault="2733C52E" w:rsidP="00E602A9">
            <w:pPr>
              <w:tabs>
                <w:tab w:val="clear" w:pos="1134"/>
                <w:tab w:val="clear" w:pos="1871"/>
                <w:tab w:val="clear" w:pos="2268"/>
              </w:tabs>
              <w:overflowPunct/>
              <w:autoSpaceDE/>
              <w:autoSpaceDN/>
              <w:adjustRightInd/>
              <w:spacing w:before="60" w:after="60"/>
              <w:textAlignment w:val="auto"/>
              <w:rPr>
                <w:rFonts w:eastAsia="Calibri" w:cstheme="minorBidi"/>
                <w:sz w:val="22"/>
                <w:szCs w:val="22"/>
              </w:rPr>
            </w:pPr>
            <w:r w:rsidRPr="009110C1">
              <w:rPr>
                <w:rFonts w:cstheme="minorBidi"/>
                <w:sz w:val="22"/>
                <w:szCs w:val="22"/>
              </w:rPr>
              <w:t>TDAG noted the report and will follow the progress of the Expert Group on ITRs.</w:t>
            </w:r>
          </w:p>
        </w:tc>
      </w:tr>
      <w:tr w:rsidR="003A1A07" w:rsidRPr="00217665" w14:paraId="2A5EB63A" w14:textId="77777777" w:rsidTr="632A2ABB">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F622AA0" w14:textId="25AFCD6F" w:rsidR="00B76601" w:rsidRPr="009110C1" w:rsidRDefault="68E26229" w:rsidP="00E602A9">
            <w:pPr>
              <w:spacing w:before="60" w:after="60"/>
              <w:rPr>
                <w:rFonts w:cstheme="minorBidi"/>
                <w:sz w:val="22"/>
                <w:szCs w:val="22"/>
              </w:rPr>
            </w:pPr>
            <w:r w:rsidRPr="009110C1">
              <w:rPr>
                <w:rFonts w:cstheme="minorBidi"/>
                <w:sz w:val="22"/>
                <w:szCs w:val="22"/>
              </w:rPr>
              <w:t>Status of the feasibility study to establish an ITU training institute</w:t>
            </w:r>
          </w:p>
        </w:tc>
        <w:tc>
          <w:tcPr>
            <w:tcW w:w="5994" w:type="dxa"/>
            <w:tcBorders>
              <w:top w:val="single" w:sz="4" w:space="0" w:color="auto"/>
              <w:left w:val="nil"/>
              <w:bottom w:val="single" w:sz="4" w:space="0" w:color="auto"/>
              <w:right w:val="single" w:sz="4" w:space="0" w:color="auto"/>
            </w:tcBorders>
            <w:shd w:val="clear" w:color="auto" w:fill="auto"/>
          </w:tcPr>
          <w:p w14:paraId="540A20E7" w14:textId="47B877D3" w:rsidR="00B76601" w:rsidRPr="009110C1" w:rsidRDefault="65FD689E" w:rsidP="00E602A9">
            <w:pPr>
              <w:tabs>
                <w:tab w:val="clear" w:pos="1134"/>
                <w:tab w:val="clear" w:pos="1871"/>
                <w:tab w:val="clear" w:pos="2268"/>
              </w:tabs>
              <w:overflowPunct/>
              <w:autoSpaceDE/>
              <w:autoSpaceDN/>
              <w:adjustRightInd/>
              <w:spacing w:before="60" w:after="60"/>
              <w:textAlignment w:val="auto"/>
              <w:rPr>
                <w:rFonts w:eastAsia="Calibri" w:cstheme="minorBidi"/>
                <w:sz w:val="22"/>
                <w:szCs w:val="22"/>
              </w:rPr>
            </w:pPr>
            <w:r w:rsidRPr="009110C1">
              <w:rPr>
                <w:rFonts w:eastAsia="Calibri" w:cstheme="minorBidi"/>
                <w:sz w:val="22"/>
                <w:szCs w:val="22"/>
              </w:rPr>
              <w:t>TDAG noted with appreciation the actions taken by the Director to implement the Council instructions regarding a capacity-building institute in ITU.</w:t>
            </w:r>
          </w:p>
        </w:tc>
      </w:tr>
      <w:tr w:rsidR="003A1A07" w:rsidRPr="00217665" w14:paraId="2DFC431F" w14:textId="77777777" w:rsidTr="632A2ABB">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64B6B3A5" w14:textId="3E916B24" w:rsidR="00B611E7" w:rsidRPr="009110C1" w:rsidRDefault="6919D85B" w:rsidP="00E602A9">
            <w:pPr>
              <w:spacing w:before="60" w:after="60"/>
              <w:rPr>
                <w:rFonts w:cstheme="minorBidi"/>
                <w:sz w:val="22"/>
                <w:szCs w:val="22"/>
              </w:rPr>
            </w:pPr>
            <w:r w:rsidRPr="009110C1">
              <w:rPr>
                <w:rFonts w:cstheme="minorBidi"/>
                <w:sz w:val="22"/>
                <w:szCs w:val="22"/>
              </w:rPr>
              <w:t>Report on Results-Based Management (RBM)</w:t>
            </w:r>
          </w:p>
        </w:tc>
        <w:tc>
          <w:tcPr>
            <w:tcW w:w="5994" w:type="dxa"/>
            <w:tcBorders>
              <w:top w:val="single" w:sz="4" w:space="0" w:color="auto"/>
              <w:left w:val="nil"/>
              <w:bottom w:val="single" w:sz="4" w:space="0" w:color="auto"/>
              <w:right w:val="single" w:sz="4" w:space="0" w:color="auto"/>
            </w:tcBorders>
            <w:shd w:val="clear" w:color="auto" w:fill="auto"/>
          </w:tcPr>
          <w:p w14:paraId="5016A98A" w14:textId="28919D91" w:rsidR="00B611E7" w:rsidRPr="009110C1" w:rsidRDefault="6919D85B" w:rsidP="00E602A9">
            <w:pPr>
              <w:tabs>
                <w:tab w:val="clear" w:pos="1134"/>
                <w:tab w:val="clear" w:pos="1871"/>
                <w:tab w:val="clear" w:pos="2268"/>
                <w:tab w:val="left" w:pos="1500"/>
              </w:tabs>
              <w:spacing w:before="60" w:after="60"/>
              <w:rPr>
                <w:rFonts w:eastAsia="Calibri" w:cstheme="minorBidi"/>
                <w:sz w:val="22"/>
                <w:szCs w:val="22"/>
              </w:rPr>
            </w:pPr>
            <w:r w:rsidRPr="009110C1">
              <w:rPr>
                <w:rFonts w:cstheme="minorBidi"/>
                <w:sz w:val="22"/>
                <w:szCs w:val="22"/>
              </w:rPr>
              <w:t xml:space="preserve">TDAG noted the document with interest and appreciation, supports the progress made by BDT on the implementation of RBM, and looks forward to the next update. </w:t>
            </w:r>
          </w:p>
        </w:tc>
      </w:tr>
      <w:tr w:rsidR="003A1A07" w:rsidRPr="00217665" w14:paraId="2560E883" w14:textId="77777777" w:rsidTr="632A2ABB">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1AD5B789" w14:textId="051700F8" w:rsidR="00ED44D3" w:rsidRPr="009110C1" w:rsidRDefault="741FDAFD" w:rsidP="00E602A9">
            <w:pPr>
              <w:spacing w:before="60" w:after="60"/>
              <w:rPr>
                <w:rFonts w:cstheme="minorBidi"/>
                <w:sz w:val="22"/>
                <w:szCs w:val="22"/>
              </w:rPr>
            </w:pPr>
            <w:r w:rsidRPr="009110C1">
              <w:rPr>
                <w:rFonts w:cstheme="minorBidi"/>
                <w:sz w:val="22"/>
                <w:szCs w:val="22"/>
              </w:rPr>
              <w:t>Activities linked to COVID-19</w:t>
            </w:r>
          </w:p>
        </w:tc>
        <w:tc>
          <w:tcPr>
            <w:tcW w:w="5994" w:type="dxa"/>
            <w:tcBorders>
              <w:top w:val="single" w:sz="4" w:space="0" w:color="auto"/>
              <w:left w:val="nil"/>
              <w:bottom w:val="single" w:sz="4" w:space="0" w:color="auto"/>
              <w:right w:val="single" w:sz="4" w:space="0" w:color="auto"/>
            </w:tcBorders>
            <w:shd w:val="clear" w:color="auto" w:fill="auto"/>
          </w:tcPr>
          <w:p w14:paraId="13EEB9B2" w14:textId="0815D20F" w:rsidR="00ED44D3" w:rsidRPr="009110C1" w:rsidRDefault="741FDAFD" w:rsidP="00E602A9">
            <w:pPr>
              <w:tabs>
                <w:tab w:val="clear" w:pos="1134"/>
                <w:tab w:val="clear" w:pos="2268"/>
              </w:tabs>
              <w:spacing w:before="60" w:after="60"/>
              <w:rPr>
                <w:rFonts w:cstheme="minorBidi"/>
                <w:sz w:val="22"/>
                <w:szCs w:val="22"/>
              </w:rPr>
            </w:pPr>
            <w:r w:rsidRPr="009110C1">
              <w:rPr>
                <w:rFonts w:cstheme="minorBidi"/>
                <w:sz w:val="22"/>
                <w:szCs w:val="22"/>
              </w:rPr>
              <w:t xml:space="preserve">TDAG commended BDT for the fast reaction to the crisis and for the provision of relevant and useful information that supported efficient and safe use of network resources. TDAG also noted the continued efforts of ITU-D study groups to support the ongoing BDT work on COVID-19 issues and welcomed the announcements of future projects funded by Member States to </w:t>
            </w:r>
            <w:r w:rsidRPr="009110C1">
              <w:rPr>
                <w:rFonts w:cstheme="minorBidi"/>
                <w:sz w:val="22"/>
                <w:szCs w:val="22"/>
              </w:rPr>
              <w:lastRenderedPageBreak/>
              <w:t xml:space="preserve">help developing countries. Many members offered help and wished to support the BDT efforts by using the platform to disseminate their own initiatives. Despite the volume of input to the platform, membership requested the translation of some of the material into other languages of the </w:t>
            </w:r>
            <w:proofErr w:type="gramStart"/>
            <w:r w:rsidRPr="009110C1">
              <w:rPr>
                <w:rFonts w:cstheme="minorBidi"/>
                <w:sz w:val="22"/>
                <w:szCs w:val="22"/>
              </w:rPr>
              <w:t>Union, and</w:t>
            </w:r>
            <w:proofErr w:type="gramEnd"/>
            <w:r w:rsidRPr="009110C1">
              <w:rPr>
                <w:rFonts w:cstheme="minorBidi"/>
                <w:sz w:val="22"/>
                <w:szCs w:val="22"/>
              </w:rPr>
              <w:t xml:space="preserve"> underscored the need to collate the initiatives of all ITU Sectors for Council.</w:t>
            </w:r>
          </w:p>
        </w:tc>
      </w:tr>
      <w:tr w:rsidR="003A1A07" w:rsidRPr="00217665" w14:paraId="251F168E" w14:textId="77777777" w:rsidTr="632A2ABB">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39DDA035" w14:textId="06E4A944" w:rsidR="00D7211C" w:rsidRPr="009110C1" w:rsidRDefault="3D13C7A8" w:rsidP="00E602A9">
            <w:pPr>
              <w:spacing w:before="60" w:after="60"/>
              <w:rPr>
                <w:rFonts w:cstheme="minorBidi"/>
                <w:sz w:val="22"/>
                <w:szCs w:val="22"/>
              </w:rPr>
            </w:pPr>
            <w:r w:rsidRPr="009110C1">
              <w:rPr>
                <w:rFonts w:cstheme="minorBidi"/>
                <w:sz w:val="22"/>
                <w:szCs w:val="22"/>
              </w:rPr>
              <w:lastRenderedPageBreak/>
              <w:t>Calendar of ITU-D events</w:t>
            </w:r>
          </w:p>
        </w:tc>
        <w:tc>
          <w:tcPr>
            <w:tcW w:w="5994" w:type="dxa"/>
            <w:tcBorders>
              <w:top w:val="single" w:sz="4" w:space="0" w:color="auto"/>
              <w:left w:val="nil"/>
              <w:bottom w:val="single" w:sz="4" w:space="0" w:color="auto"/>
              <w:right w:val="single" w:sz="4" w:space="0" w:color="auto"/>
            </w:tcBorders>
            <w:shd w:val="clear" w:color="auto" w:fill="auto"/>
          </w:tcPr>
          <w:p w14:paraId="0657E58D" w14:textId="010F5F30" w:rsidR="00D7211C" w:rsidRPr="009110C1" w:rsidRDefault="3D13C7A8" w:rsidP="00E602A9">
            <w:pPr>
              <w:spacing w:before="60" w:after="60"/>
              <w:rPr>
                <w:rFonts w:cstheme="minorBidi"/>
                <w:sz w:val="22"/>
                <w:szCs w:val="22"/>
              </w:rPr>
            </w:pPr>
            <w:r w:rsidRPr="009110C1">
              <w:rPr>
                <w:rFonts w:eastAsia="Calibri" w:cstheme="minorBidi"/>
                <w:sz w:val="22"/>
                <w:szCs w:val="22"/>
              </w:rPr>
              <w:t xml:space="preserve">TDAG noted the contents of the documents with interest. </w:t>
            </w:r>
            <w:proofErr w:type="gramStart"/>
            <w:r w:rsidRPr="009110C1">
              <w:rPr>
                <w:rFonts w:eastAsia="Calibri" w:cstheme="minorBidi"/>
                <w:sz w:val="22"/>
                <w:szCs w:val="22"/>
              </w:rPr>
              <w:t>With regard to</w:t>
            </w:r>
            <w:proofErr w:type="gramEnd"/>
            <w:r w:rsidRPr="009110C1">
              <w:rPr>
                <w:rFonts w:eastAsia="Calibri" w:cstheme="minorBidi"/>
                <w:sz w:val="22"/>
                <w:szCs w:val="22"/>
              </w:rPr>
              <w:t xml:space="preserve"> the ITU-D calendar of events, TDAG noted the importance of trying to avoid holding two major ITU events in the same calendar year.</w:t>
            </w:r>
          </w:p>
        </w:tc>
      </w:tr>
      <w:tr w:rsidR="003A1A07" w:rsidRPr="00217665" w14:paraId="6A11A202" w14:textId="77777777" w:rsidTr="00E602A9">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23683DB" w14:textId="43F39F4B" w:rsidR="008B6C60" w:rsidRPr="009110C1" w:rsidRDefault="544F1E30" w:rsidP="00E602A9">
            <w:pPr>
              <w:spacing w:before="60" w:after="60"/>
              <w:rPr>
                <w:rFonts w:cstheme="minorBidi"/>
                <w:sz w:val="22"/>
                <w:szCs w:val="22"/>
              </w:rPr>
            </w:pPr>
            <w:r w:rsidRPr="009110C1">
              <w:rPr>
                <w:rFonts w:cstheme="minorBidi"/>
                <w:sz w:val="22"/>
                <w:szCs w:val="22"/>
              </w:rPr>
              <w:t>Any other business: Documents 47, 48 and 49</w:t>
            </w:r>
          </w:p>
        </w:tc>
        <w:tc>
          <w:tcPr>
            <w:tcW w:w="5994" w:type="dxa"/>
            <w:tcBorders>
              <w:top w:val="single" w:sz="4" w:space="0" w:color="auto"/>
              <w:left w:val="nil"/>
              <w:bottom w:val="single" w:sz="4" w:space="0" w:color="auto"/>
              <w:right w:val="single" w:sz="4" w:space="0" w:color="auto"/>
            </w:tcBorders>
            <w:shd w:val="clear" w:color="auto" w:fill="auto"/>
          </w:tcPr>
          <w:p w14:paraId="12B852BD" w14:textId="7432DF54" w:rsidR="00351D69" w:rsidRDefault="6795AC5D" w:rsidP="00E602A9">
            <w:pPr>
              <w:tabs>
                <w:tab w:val="clear" w:pos="1134"/>
                <w:tab w:val="clear" w:pos="2268"/>
              </w:tabs>
              <w:spacing w:before="60" w:after="60"/>
              <w:rPr>
                <w:rFonts w:cstheme="minorBidi"/>
                <w:sz w:val="22"/>
                <w:szCs w:val="22"/>
              </w:rPr>
            </w:pPr>
            <w:r w:rsidRPr="009110C1">
              <w:rPr>
                <w:rFonts w:cstheme="minorBidi"/>
                <w:sz w:val="22"/>
                <w:szCs w:val="22"/>
              </w:rPr>
              <w:t xml:space="preserve">Document 47: </w:t>
            </w:r>
            <w:r w:rsidRPr="009110C1">
              <w:rPr>
                <w:rFonts w:eastAsia="Calibri" w:cstheme="minorBidi"/>
                <w:sz w:val="22"/>
                <w:szCs w:val="22"/>
              </w:rPr>
              <w:t xml:space="preserve">TDAG noted the contents of the report with interest and appreciation. TDAG expressed its support for this global initiative and thanked BDT for the assistance provided to all stakeholders in their efforts to celebrate Girls in ICT Day in a virtual manner, to inspire girls and young women to take up studies and careers in STEM, and to leverage the power of digital technology, despite the limitations imposed by the current global health crisis (COVID-19). TDAG recognized the importance of establishing broader partnerships and collaboration with governments, civil society, Academia and industry and stressed the importance of active participation and engagement of girls in the Youth Summit at </w:t>
            </w:r>
            <w:r w:rsidR="6D2F71B3" w:rsidRPr="632A2ABB">
              <w:rPr>
                <w:rFonts w:eastAsia="Calibri" w:cstheme="minorBidi"/>
                <w:sz w:val="22"/>
                <w:szCs w:val="22"/>
              </w:rPr>
              <w:t>WTDC</w:t>
            </w:r>
            <w:r w:rsidRPr="009110C1">
              <w:rPr>
                <w:rFonts w:eastAsia="Calibri" w:cstheme="minorBidi"/>
                <w:sz w:val="22"/>
                <w:szCs w:val="22"/>
              </w:rPr>
              <w:t>.</w:t>
            </w:r>
          </w:p>
          <w:p w14:paraId="072945D6" w14:textId="755681A3" w:rsidR="00F21ED0" w:rsidRPr="009110C1" w:rsidRDefault="544F1E30" w:rsidP="00E602A9">
            <w:pPr>
              <w:tabs>
                <w:tab w:val="clear" w:pos="1134"/>
                <w:tab w:val="clear" w:pos="2268"/>
              </w:tabs>
              <w:spacing w:before="60" w:after="60"/>
              <w:rPr>
                <w:rFonts w:cstheme="minorBidi"/>
                <w:sz w:val="22"/>
                <w:szCs w:val="22"/>
              </w:rPr>
            </w:pPr>
            <w:r w:rsidRPr="009110C1">
              <w:rPr>
                <w:rFonts w:cstheme="minorBidi"/>
                <w:sz w:val="22"/>
                <w:szCs w:val="22"/>
              </w:rPr>
              <w:t xml:space="preserve">Document 48: </w:t>
            </w:r>
            <w:r w:rsidR="028ED188" w:rsidRPr="009110C1">
              <w:rPr>
                <w:rFonts w:cstheme="minorBidi"/>
                <w:sz w:val="22"/>
                <w:szCs w:val="22"/>
              </w:rPr>
              <w:t>TDAG noted the document with appreciation and welcomed the involvement of Member States in the review process of the 2020 child online protection guidelines.</w:t>
            </w:r>
          </w:p>
          <w:p w14:paraId="04DAA37F" w14:textId="5EAE869C" w:rsidR="00351D69" w:rsidRDefault="028ED188" w:rsidP="00E602A9">
            <w:pPr>
              <w:tabs>
                <w:tab w:val="clear" w:pos="1134"/>
                <w:tab w:val="clear" w:pos="2268"/>
              </w:tabs>
              <w:spacing w:before="60" w:after="60"/>
              <w:rPr>
                <w:rFonts w:cstheme="minorBidi"/>
                <w:sz w:val="22"/>
                <w:szCs w:val="22"/>
              </w:rPr>
            </w:pPr>
            <w:r w:rsidRPr="009110C1">
              <w:rPr>
                <w:rFonts w:cstheme="minorBidi"/>
                <w:sz w:val="22"/>
                <w:szCs w:val="22"/>
              </w:rPr>
              <w:t>TDAG encouraged all Member States to take note of the content of the guidelines.</w:t>
            </w:r>
          </w:p>
          <w:p w14:paraId="306D4D0A" w14:textId="444ACE56" w:rsidR="008B6C60" w:rsidRPr="009110C1" w:rsidRDefault="028ED188" w:rsidP="00E602A9">
            <w:pPr>
              <w:tabs>
                <w:tab w:val="clear" w:pos="1134"/>
                <w:tab w:val="clear" w:pos="2268"/>
              </w:tabs>
              <w:spacing w:before="60" w:after="60"/>
              <w:rPr>
                <w:rFonts w:cstheme="minorBidi"/>
                <w:sz w:val="22"/>
                <w:szCs w:val="22"/>
              </w:rPr>
            </w:pPr>
            <w:r w:rsidRPr="009110C1">
              <w:rPr>
                <w:rFonts w:cstheme="minorBidi"/>
                <w:sz w:val="22"/>
                <w:szCs w:val="22"/>
              </w:rPr>
              <w:t xml:space="preserve">Document 49: </w:t>
            </w:r>
            <w:r w:rsidR="7F224BE7" w:rsidRPr="009110C1">
              <w:rPr>
                <w:rFonts w:cstheme="minorBidi"/>
                <w:sz w:val="22"/>
                <w:szCs w:val="22"/>
              </w:rPr>
              <w:t>TDAG noted the document with interest and appreciation, and supports the progress made in GIGA. Rwanda, Kazakhstan, and United States each made interventions in support of GIGA and their involvement as Lead Country for Africa, Lead Country for Central Asia, and as a provider of GIGA technical assistance, respectively. Some Member States have expressed interest in learning more about GIGA and BDT will follow up accordingly.</w:t>
            </w:r>
          </w:p>
        </w:tc>
      </w:tr>
    </w:tbl>
    <w:p w14:paraId="3E05EC75" w14:textId="3C347B71" w:rsidR="007A5D37" w:rsidRDefault="007A5D37">
      <w:pPr>
        <w:tabs>
          <w:tab w:val="clear" w:pos="1134"/>
          <w:tab w:val="clear" w:pos="1871"/>
          <w:tab w:val="clear" w:pos="2268"/>
        </w:tabs>
        <w:overflowPunct/>
        <w:autoSpaceDE/>
        <w:autoSpaceDN/>
        <w:adjustRightInd/>
        <w:spacing w:before="0"/>
        <w:textAlignment w:val="auto"/>
        <w:rPr>
          <w:b/>
        </w:rPr>
      </w:pPr>
      <w:bookmarkStart w:id="23" w:name="_Toc379236732"/>
      <w:bookmarkStart w:id="24" w:name="_Toc482300241"/>
    </w:p>
    <w:p w14:paraId="04EEC0E8" w14:textId="51236C38" w:rsidR="000D6D4F" w:rsidRPr="0055628F" w:rsidRDefault="00882EDA" w:rsidP="00D47A0B">
      <w:pPr>
        <w:pStyle w:val="Heading2"/>
        <w:keepNext/>
      </w:pPr>
      <w:bookmarkStart w:id="25" w:name="_Toc85818105"/>
      <w:r>
        <w:t>2</w:t>
      </w:r>
      <w:r w:rsidR="0098111F">
        <w:t>6th</w:t>
      </w:r>
      <w:r>
        <w:t xml:space="preserve"> </w:t>
      </w:r>
      <w:r w:rsidR="000D6D4F">
        <w:t>TDAG Meeting</w:t>
      </w:r>
      <w:bookmarkEnd w:id="25"/>
    </w:p>
    <w:p w14:paraId="3268661F" w14:textId="1198A1E9" w:rsidR="002824B0" w:rsidRDefault="2D90FDA3">
      <w:pPr>
        <w:tabs>
          <w:tab w:val="clear" w:pos="1134"/>
          <w:tab w:val="clear" w:pos="1871"/>
          <w:tab w:val="left" w:pos="567"/>
          <w:tab w:val="left" w:pos="851"/>
        </w:tabs>
      </w:pPr>
      <w:r>
        <w:t>TDAG held an extraordinary meeting on 16 June 2020, with one key item on its agenda: to discuss and approve high-level terms of reference for its two working groups established on 5 June 2020 to prepare for WTDC</w:t>
      </w:r>
      <w:r w:rsidR="0DF2C152">
        <w:t>-</w:t>
      </w:r>
      <w:r>
        <w:t xml:space="preserve">, scheduled to take place in Addis Ababa, Ethiopia, on 8-19 November 2021. </w:t>
      </w:r>
    </w:p>
    <w:p w14:paraId="469554C6" w14:textId="1A90AD2B" w:rsidR="002824B0" w:rsidRDefault="00033B41">
      <w:pPr>
        <w:tabs>
          <w:tab w:val="clear" w:pos="1134"/>
          <w:tab w:val="clear" w:pos="1871"/>
          <w:tab w:val="left" w:pos="567"/>
          <w:tab w:val="left" w:pos="851"/>
        </w:tabs>
      </w:pPr>
      <w:r w:rsidRPr="00033B41">
        <w:t xml:space="preserve">The </w:t>
      </w:r>
      <w:r w:rsidR="00351D69">
        <w:t xml:space="preserve">groups, the </w:t>
      </w:r>
      <w:r w:rsidRPr="00033B41">
        <w:t xml:space="preserve">“TDAG Working Group on WTDC Preparations” and the “TDAG Working Group on WTDC Resolutions, Declaration and Thematic Priorities” </w:t>
      </w:r>
      <w:r w:rsidR="00351D69">
        <w:t>formed by TDAG are</w:t>
      </w:r>
      <w:r w:rsidRPr="00033B41">
        <w:t xml:space="preserve"> open to all ITU Member States and ITU-D Sector Members. </w:t>
      </w:r>
    </w:p>
    <w:p w14:paraId="5464F941" w14:textId="3F5C42AC" w:rsidR="000D6D4F" w:rsidRDefault="0DF2C152">
      <w:pPr>
        <w:tabs>
          <w:tab w:val="clear" w:pos="1134"/>
          <w:tab w:val="clear" w:pos="1871"/>
          <w:tab w:val="left" w:pos="567"/>
          <w:tab w:val="left" w:pos="851"/>
        </w:tabs>
      </w:pPr>
      <w:r>
        <w:lastRenderedPageBreak/>
        <w:t xml:space="preserve">The working groups </w:t>
      </w:r>
      <w:r w:rsidR="01F2BA8E">
        <w:t>began</w:t>
      </w:r>
      <w:r w:rsidR="2D90FDA3">
        <w:t xml:space="preserve"> work in July 2020, and their terms of reference are contained in DT/3(Rev.1).</w:t>
      </w:r>
    </w:p>
    <w:p w14:paraId="3033D7C4" w14:textId="235E9730" w:rsidR="00647BF7" w:rsidRPr="004B3144" w:rsidRDefault="5B17ADE7">
      <w:pPr>
        <w:tabs>
          <w:tab w:val="clear" w:pos="1134"/>
          <w:tab w:val="clear" w:pos="1871"/>
          <w:tab w:val="left" w:pos="567"/>
          <w:tab w:val="left" w:pos="851"/>
        </w:tabs>
      </w:pPr>
      <w:r>
        <w:t>The full meeting report, in the six official languages of ITU, is available at</w:t>
      </w:r>
      <w:r w:rsidR="3038FA26">
        <w:t xml:space="preserve"> </w:t>
      </w:r>
      <w:hyperlink r:id="rId46" w:history="1">
        <w:r w:rsidR="3038FA26" w:rsidRPr="27676491">
          <w:rPr>
            <w:rStyle w:val="Hyperlink"/>
          </w:rPr>
          <w:t>this link</w:t>
        </w:r>
      </w:hyperlink>
      <w:r w:rsidR="3038FA26">
        <w:t>.</w:t>
      </w:r>
      <w:r>
        <w:t xml:space="preserve"> </w:t>
      </w:r>
    </w:p>
    <w:p w14:paraId="0A160165" w14:textId="3C5D9655" w:rsidR="000D6D4F" w:rsidRPr="00D47A0B" w:rsidRDefault="000D6D4F" w:rsidP="001B769C">
      <w:pPr>
        <w:pStyle w:val="ListParagraph"/>
        <w:keepNext/>
        <w:numPr>
          <w:ilvl w:val="0"/>
          <w:numId w:val="9"/>
        </w:numPr>
        <w:tabs>
          <w:tab w:val="clear" w:pos="1134"/>
          <w:tab w:val="clear" w:pos="1871"/>
          <w:tab w:val="left" w:pos="851"/>
        </w:tabs>
        <w:ind w:left="426" w:hanging="426"/>
        <w:rPr>
          <w:i/>
          <w:iCs/>
        </w:rPr>
      </w:pPr>
      <w:r w:rsidRPr="00D47A0B">
        <w:rPr>
          <w:i/>
          <w:iCs/>
        </w:rPr>
        <w:t>Participants</w:t>
      </w:r>
    </w:p>
    <w:p w14:paraId="6A51ED19" w14:textId="368FF467" w:rsidR="00CD4EB2" w:rsidRDefault="00CD4EB2" w:rsidP="00D47A0B">
      <w:pPr>
        <w:keepNext/>
      </w:pPr>
      <w:r>
        <w:t>The following chart provides the breakdown of participants by category:</w:t>
      </w:r>
    </w:p>
    <w:p w14:paraId="7565CC6C" w14:textId="368FF467" w:rsidR="00CD4EB2" w:rsidRDefault="3D126ED5" w:rsidP="000D6D4F">
      <w:pPr>
        <w:tabs>
          <w:tab w:val="clear" w:pos="1134"/>
          <w:tab w:val="clear" w:pos="1871"/>
          <w:tab w:val="left" w:pos="567"/>
          <w:tab w:val="left" w:pos="851"/>
        </w:tabs>
        <w:rPr>
          <w:rFonts w:ascii="Calibri" w:hAnsi="Calibri"/>
          <w:szCs w:val="24"/>
        </w:rPr>
      </w:pPr>
      <w:r>
        <w:rPr>
          <w:noProof/>
        </w:rPr>
        <w:drawing>
          <wp:inline distT="0" distB="0" distL="0" distR="0" wp14:anchorId="090809D9" wp14:editId="4CEE4D86">
            <wp:extent cx="5905500" cy="2669778"/>
            <wp:effectExtent l="0" t="0" r="0" b="0"/>
            <wp:docPr id="1380714220" name="Picture 138071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5905500" cy="2669778"/>
                    </a:xfrm>
                    <a:prstGeom prst="rect">
                      <a:avLst/>
                    </a:prstGeom>
                  </pic:spPr>
                </pic:pic>
              </a:graphicData>
            </a:graphic>
          </wp:inline>
        </w:drawing>
      </w:r>
    </w:p>
    <w:p w14:paraId="49691566" w14:textId="368FF467" w:rsidR="00CD4EB2" w:rsidRDefault="00CD4EB2" w:rsidP="00D47A0B">
      <w:pPr>
        <w:keepNext/>
      </w:pPr>
      <w:r>
        <w:t>The following chart provides the breakdown of participants by region:</w:t>
      </w:r>
    </w:p>
    <w:p w14:paraId="7D6EBA05" w14:textId="6CDD5CAC" w:rsidR="00CF114A" w:rsidRDefault="33E8CDC1" w:rsidP="00CF114A">
      <w:pPr>
        <w:tabs>
          <w:tab w:val="clear" w:pos="1134"/>
          <w:tab w:val="clear" w:pos="1871"/>
          <w:tab w:val="left" w:pos="567"/>
          <w:tab w:val="left" w:pos="851"/>
        </w:tabs>
        <w:rPr>
          <w:noProof/>
          <w:lang w:val="en-US"/>
        </w:rPr>
      </w:pPr>
      <w:r>
        <w:rPr>
          <w:noProof/>
        </w:rPr>
        <w:drawing>
          <wp:inline distT="0" distB="0" distL="0" distR="0" wp14:anchorId="5E079FA2" wp14:editId="02445E28">
            <wp:extent cx="5915025" cy="2649438"/>
            <wp:effectExtent l="0" t="0" r="0" b="0"/>
            <wp:docPr id="936101947" name="Picture 93610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5915025" cy="2649438"/>
                    </a:xfrm>
                    <a:prstGeom prst="rect">
                      <a:avLst/>
                    </a:prstGeom>
                  </pic:spPr>
                </pic:pic>
              </a:graphicData>
            </a:graphic>
          </wp:inline>
        </w:drawing>
      </w:r>
    </w:p>
    <w:p w14:paraId="1BE34E46" w14:textId="77777777" w:rsidR="00CF114A" w:rsidRDefault="00CF114A" w:rsidP="00CF114A">
      <w:pPr>
        <w:keepNext/>
      </w:pPr>
      <w:r>
        <w:lastRenderedPageBreak/>
        <w:t>The following chart provides the breakdown of participants by gender:</w:t>
      </w:r>
    </w:p>
    <w:p w14:paraId="5CA77CFF" w14:textId="61CEE630" w:rsidR="3C18FEB0" w:rsidRDefault="3C18FEB0" w:rsidP="35010A24">
      <w:pPr>
        <w:tabs>
          <w:tab w:val="clear" w:pos="1134"/>
          <w:tab w:val="clear" w:pos="1871"/>
          <w:tab w:val="left" w:pos="567"/>
          <w:tab w:val="left" w:pos="851"/>
        </w:tabs>
        <w:rPr>
          <w:rFonts w:ascii="Calibri" w:hAnsi="Calibri"/>
          <w:szCs w:val="24"/>
        </w:rPr>
      </w:pPr>
      <w:r>
        <w:rPr>
          <w:noProof/>
        </w:rPr>
        <w:drawing>
          <wp:inline distT="0" distB="0" distL="0" distR="0" wp14:anchorId="1D86805E" wp14:editId="2FE3BD10">
            <wp:extent cx="5936340" cy="2683720"/>
            <wp:effectExtent l="0" t="0" r="0" b="0"/>
            <wp:docPr id="761786626" name="Picture 76178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5936340" cy="2683720"/>
                    </a:xfrm>
                    <a:prstGeom prst="rect">
                      <a:avLst/>
                    </a:prstGeom>
                  </pic:spPr>
                </pic:pic>
              </a:graphicData>
            </a:graphic>
          </wp:inline>
        </w:drawing>
      </w:r>
    </w:p>
    <w:p w14:paraId="20124E86" w14:textId="03392F18" w:rsidR="000D6D4F" w:rsidRDefault="00647BF7" w:rsidP="00CF114A">
      <w:pPr>
        <w:tabs>
          <w:tab w:val="clear" w:pos="1134"/>
          <w:tab w:val="clear" w:pos="1871"/>
          <w:tab w:val="left" w:pos="567"/>
          <w:tab w:val="left" w:pos="851"/>
        </w:tabs>
      </w:pPr>
      <w:r>
        <w:rPr>
          <w:highlight w:val="yellow"/>
        </w:rPr>
        <w:br w:type="page"/>
      </w:r>
    </w:p>
    <w:p w14:paraId="0BCE36D0" w14:textId="77777777" w:rsidR="000B1CBA" w:rsidRPr="00D47A0B" w:rsidRDefault="000D6D4F" w:rsidP="001B769C">
      <w:pPr>
        <w:pStyle w:val="ListParagraph"/>
        <w:keepNext/>
        <w:numPr>
          <w:ilvl w:val="0"/>
          <w:numId w:val="9"/>
        </w:numPr>
        <w:tabs>
          <w:tab w:val="clear" w:pos="1134"/>
          <w:tab w:val="clear" w:pos="1871"/>
          <w:tab w:val="left" w:pos="851"/>
        </w:tabs>
        <w:ind w:left="426" w:hanging="426"/>
        <w:rPr>
          <w:i/>
          <w:iCs/>
        </w:rPr>
      </w:pPr>
      <w:r w:rsidRPr="00D47A0B">
        <w:rPr>
          <w:i/>
          <w:iCs/>
        </w:rPr>
        <w:lastRenderedPageBreak/>
        <w:t>Document</w:t>
      </w:r>
      <w:r w:rsidR="000B1CBA" w:rsidRPr="00D47A0B">
        <w:rPr>
          <w:i/>
          <w:iCs/>
        </w:rPr>
        <w:t>s</w:t>
      </w:r>
    </w:p>
    <w:p w14:paraId="195044FC" w14:textId="368FF467" w:rsidR="00D91CE3" w:rsidRDefault="00D91CE3" w:rsidP="00D47A0B">
      <w:pPr>
        <w:keepNext/>
      </w:pPr>
      <w:r>
        <w:t>The following chart provides the number of documents broken down by category of documents:</w:t>
      </w:r>
    </w:p>
    <w:p w14:paraId="2C15AF44" w14:textId="368FF467" w:rsidR="000B1CBA" w:rsidRDefault="62A250CD" w:rsidP="006D38CA">
      <w:pPr>
        <w:pStyle w:val="ListParagraph"/>
        <w:tabs>
          <w:tab w:val="clear" w:pos="1134"/>
          <w:tab w:val="clear" w:pos="1871"/>
          <w:tab w:val="left" w:pos="567"/>
          <w:tab w:val="left" w:pos="851"/>
        </w:tabs>
        <w:ind w:left="567" w:hanging="851"/>
        <w:rPr>
          <w:rFonts w:ascii="Calibri" w:hAnsi="Calibri"/>
          <w:szCs w:val="24"/>
        </w:rPr>
      </w:pPr>
      <w:r>
        <w:rPr>
          <w:noProof/>
        </w:rPr>
        <w:drawing>
          <wp:inline distT="0" distB="0" distL="0" distR="0" wp14:anchorId="4BB1733F" wp14:editId="3E90462F">
            <wp:extent cx="6074834" cy="2733675"/>
            <wp:effectExtent l="0" t="0" r="0" b="0"/>
            <wp:docPr id="65242704" name="Picture 6524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6074834" cy="2733675"/>
                    </a:xfrm>
                    <a:prstGeom prst="rect">
                      <a:avLst/>
                    </a:prstGeom>
                  </pic:spPr>
                </pic:pic>
              </a:graphicData>
            </a:graphic>
          </wp:inline>
        </w:drawing>
      </w:r>
    </w:p>
    <w:p w14:paraId="2F80D14D" w14:textId="77777777" w:rsidR="00D47A0B" w:rsidRDefault="00D47A0B" w:rsidP="006D38CA">
      <w:pPr>
        <w:pStyle w:val="ListParagraph"/>
        <w:tabs>
          <w:tab w:val="clear" w:pos="1134"/>
          <w:tab w:val="clear" w:pos="1871"/>
          <w:tab w:val="left" w:pos="567"/>
          <w:tab w:val="left" w:pos="851"/>
        </w:tabs>
        <w:ind w:left="567" w:hanging="851"/>
        <w:rPr>
          <w:rFonts w:ascii="Calibri" w:hAnsi="Calibri"/>
          <w:szCs w:val="24"/>
        </w:rPr>
      </w:pPr>
    </w:p>
    <w:p w14:paraId="543E8F2F" w14:textId="581BF1F2" w:rsidR="000D6D4F" w:rsidRPr="00D47A0B" w:rsidRDefault="00D21091" w:rsidP="001B769C">
      <w:pPr>
        <w:pStyle w:val="ListParagraph"/>
        <w:keepNext/>
        <w:numPr>
          <w:ilvl w:val="0"/>
          <w:numId w:val="9"/>
        </w:numPr>
        <w:tabs>
          <w:tab w:val="clear" w:pos="1134"/>
          <w:tab w:val="clear" w:pos="1871"/>
          <w:tab w:val="left" w:pos="851"/>
        </w:tabs>
        <w:spacing w:after="120"/>
        <w:ind w:left="426" w:hanging="426"/>
        <w:rPr>
          <w:i/>
          <w:iCs/>
        </w:rPr>
      </w:pPr>
      <w:r w:rsidRPr="00D47A0B">
        <w:rPr>
          <w:i/>
          <w:iCs/>
        </w:rPr>
        <w:t>26</w:t>
      </w:r>
      <w:r w:rsidRPr="00D47A0B">
        <w:rPr>
          <w:i/>
          <w:iCs/>
          <w:vertAlign w:val="superscript"/>
        </w:rPr>
        <w:t>th</w:t>
      </w:r>
      <w:r w:rsidRPr="00D47A0B">
        <w:rPr>
          <w:i/>
          <w:iCs/>
        </w:rPr>
        <w:t xml:space="preserve"> </w:t>
      </w:r>
      <w:r w:rsidR="000D6D4F" w:rsidRPr="00D47A0B">
        <w:rPr>
          <w:i/>
          <w:iCs/>
        </w:rPr>
        <w:t>TDAG Meeting Outcomes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0D6D4F" w:rsidRPr="000D6D4F" w14:paraId="2D0E7A43" w14:textId="77777777" w:rsidTr="0DF2EF04">
        <w:trPr>
          <w:cantSplit/>
          <w:tblHeader/>
        </w:trPr>
        <w:tc>
          <w:tcPr>
            <w:tcW w:w="3402" w:type="dxa"/>
            <w:shd w:val="clear" w:color="auto" w:fill="FDE9D9" w:themeFill="accent6" w:themeFillTint="33"/>
            <w:vAlign w:val="center"/>
          </w:tcPr>
          <w:p w14:paraId="3C63B0C9" w14:textId="6CBC9B0A" w:rsidR="000D6D4F" w:rsidRPr="00CD4906" w:rsidRDefault="000D6D4F" w:rsidP="00CD4906">
            <w:pPr>
              <w:keepNext/>
              <w:spacing w:after="120"/>
              <w:jc w:val="center"/>
              <w:rPr>
                <w:b/>
                <w:bCs/>
                <w:i/>
                <w:iCs/>
                <w:sz w:val="22"/>
                <w:szCs w:val="22"/>
              </w:rPr>
            </w:pPr>
            <w:r w:rsidRPr="00CD4906">
              <w:rPr>
                <w:b/>
                <w:bCs/>
                <w:i/>
                <w:iCs/>
                <w:sz w:val="22"/>
                <w:szCs w:val="22"/>
              </w:rPr>
              <w:t>Subject</w:t>
            </w:r>
          </w:p>
        </w:tc>
        <w:tc>
          <w:tcPr>
            <w:tcW w:w="5812" w:type="dxa"/>
            <w:shd w:val="clear" w:color="auto" w:fill="FDE9D9" w:themeFill="accent6" w:themeFillTint="33"/>
            <w:vAlign w:val="center"/>
          </w:tcPr>
          <w:p w14:paraId="5781E3D6" w14:textId="6A0916A2" w:rsidR="000D6D4F" w:rsidRPr="00CD4906" w:rsidRDefault="000D6D4F" w:rsidP="00CD4906">
            <w:pPr>
              <w:keepNext/>
              <w:spacing w:after="120"/>
              <w:jc w:val="center"/>
              <w:rPr>
                <w:b/>
                <w:bCs/>
                <w:i/>
                <w:iCs/>
                <w:sz w:val="22"/>
                <w:szCs w:val="22"/>
              </w:rPr>
            </w:pPr>
            <w:r w:rsidRPr="00CD4906">
              <w:rPr>
                <w:b/>
                <w:bCs/>
                <w:i/>
                <w:iCs/>
                <w:sz w:val="22"/>
                <w:szCs w:val="22"/>
              </w:rPr>
              <w:t>TDAG conclusions / outcomes</w:t>
            </w:r>
          </w:p>
        </w:tc>
      </w:tr>
      <w:tr w:rsidR="000D6D4F" w:rsidRPr="005A399F" w14:paraId="58933B61" w14:textId="77777777" w:rsidTr="00D47A0B">
        <w:trPr>
          <w:cantSplit/>
        </w:trPr>
        <w:tc>
          <w:tcPr>
            <w:tcW w:w="3402" w:type="dxa"/>
            <w:tcBorders>
              <w:bottom w:val="single" w:sz="4" w:space="0" w:color="auto"/>
            </w:tcBorders>
            <w:vAlign w:val="center"/>
          </w:tcPr>
          <w:p w14:paraId="1F7516F0" w14:textId="7F4BBC6F" w:rsidR="000D6D4F" w:rsidRPr="00CD4906" w:rsidRDefault="73C5F05F" w:rsidP="00D47A0B">
            <w:pPr>
              <w:tabs>
                <w:tab w:val="left" w:pos="567"/>
              </w:tabs>
              <w:spacing w:before="60" w:after="60"/>
              <w:rPr>
                <w:rFonts w:eastAsiaTheme="minorEastAsia" w:cstheme="minorBidi"/>
                <w:sz w:val="22"/>
                <w:szCs w:val="22"/>
              </w:rPr>
            </w:pPr>
            <w:r w:rsidRPr="632A2ABB">
              <w:rPr>
                <w:rFonts w:eastAsiaTheme="minorEastAsia" w:cstheme="minorBidi"/>
                <w:sz w:val="22"/>
                <w:szCs w:val="22"/>
              </w:rPr>
              <w:t>Formation of TDAG Working Groups</w:t>
            </w:r>
          </w:p>
        </w:tc>
        <w:tc>
          <w:tcPr>
            <w:tcW w:w="5812" w:type="dxa"/>
            <w:tcBorders>
              <w:bottom w:val="single" w:sz="4" w:space="0" w:color="auto"/>
            </w:tcBorders>
            <w:vAlign w:val="center"/>
          </w:tcPr>
          <w:p w14:paraId="327FB3B8" w14:textId="1788E337" w:rsidR="002824B0" w:rsidRPr="00345326" w:rsidRDefault="710B7FA9" w:rsidP="00D47A0B">
            <w:pPr>
              <w:pStyle w:val="Default"/>
              <w:spacing w:before="60"/>
              <w:rPr>
                <w:rFonts w:asciiTheme="minorHAnsi" w:hAnsiTheme="minorHAnsi" w:cstheme="minorBidi"/>
                <w:b/>
                <w:bCs/>
                <w:sz w:val="22"/>
                <w:szCs w:val="22"/>
              </w:rPr>
            </w:pPr>
            <w:r w:rsidRPr="00345326">
              <w:rPr>
                <w:rFonts w:asciiTheme="minorHAnsi" w:hAnsiTheme="minorHAnsi" w:cstheme="minorBidi"/>
                <w:b/>
                <w:bCs/>
                <w:sz w:val="22"/>
                <w:szCs w:val="22"/>
              </w:rPr>
              <w:t xml:space="preserve">TDAG working group on the Strategic and Operational Plans. </w:t>
            </w:r>
          </w:p>
          <w:p w14:paraId="5041983E" w14:textId="681E5F4D" w:rsidR="0069796C" w:rsidRPr="0069796C" w:rsidRDefault="710B7FA9" w:rsidP="00D47A0B">
            <w:pPr>
              <w:pStyle w:val="Default"/>
              <w:spacing w:before="60"/>
              <w:rPr>
                <w:rFonts w:asciiTheme="minorHAnsi" w:hAnsiTheme="minorHAnsi" w:cstheme="minorBidi"/>
                <w:sz w:val="22"/>
                <w:szCs w:val="22"/>
              </w:rPr>
            </w:pPr>
            <w:r w:rsidRPr="632A2ABB">
              <w:rPr>
                <w:rFonts w:asciiTheme="minorHAnsi" w:hAnsiTheme="minorHAnsi" w:cstheme="minorBidi"/>
                <w:sz w:val="22"/>
                <w:szCs w:val="22"/>
              </w:rPr>
              <w:t xml:space="preserve">The group is chaired by Ms Blanca González (Spain) assisted by two TDAG Vice-chairmen: </w:t>
            </w:r>
            <w:proofErr w:type="spellStart"/>
            <w:r w:rsidRPr="632A2ABB">
              <w:rPr>
                <w:rFonts w:asciiTheme="minorHAnsi" w:hAnsiTheme="minorHAnsi" w:cstheme="minorBidi"/>
                <w:sz w:val="22"/>
                <w:szCs w:val="22"/>
              </w:rPr>
              <w:t>Mr</w:t>
            </w:r>
            <w:proofErr w:type="spellEnd"/>
            <w:r w:rsidRPr="632A2ABB">
              <w:rPr>
                <w:rFonts w:asciiTheme="minorHAnsi" w:hAnsiTheme="minorHAnsi" w:cstheme="minorBidi"/>
                <w:sz w:val="22"/>
                <w:szCs w:val="22"/>
              </w:rPr>
              <w:t xml:space="preserve"> Christopher </w:t>
            </w:r>
            <w:proofErr w:type="spellStart"/>
            <w:r w:rsidRPr="632A2ABB">
              <w:rPr>
                <w:rFonts w:asciiTheme="minorHAnsi" w:hAnsiTheme="minorHAnsi" w:cstheme="minorBidi"/>
                <w:sz w:val="22"/>
                <w:szCs w:val="22"/>
              </w:rPr>
              <w:t>Kemei</w:t>
            </w:r>
            <w:proofErr w:type="spellEnd"/>
            <w:r w:rsidRPr="632A2ABB">
              <w:rPr>
                <w:rFonts w:asciiTheme="minorHAnsi" w:hAnsiTheme="minorHAnsi" w:cstheme="minorBidi"/>
                <w:sz w:val="22"/>
                <w:szCs w:val="22"/>
              </w:rPr>
              <w:t xml:space="preserve"> (Kenya) and </w:t>
            </w:r>
            <w:proofErr w:type="spellStart"/>
            <w:r w:rsidRPr="632A2ABB">
              <w:rPr>
                <w:rFonts w:asciiTheme="minorHAnsi" w:hAnsiTheme="minorHAnsi" w:cstheme="minorBidi"/>
                <w:sz w:val="22"/>
                <w:szCs w:val="22"/>
              </w:rPr>
              <w:t>Mr</w:t>
            </w:r>
            <w:proofErr w:type="spellEnd"/>
            <w:r w:rsidRPr="632A2ABB">
              <w:rPr>
                <w:rFonts w:asciiTheme="minorHAnsi" w:hAnsiTheme="minorHAnsi" w:cstheme="minorBidi"/>
                <w:sz w:val="22"/>
                <w:szCs w:val="22"/>
              </w:rPr>
              <w:t xml:space="preserve"> Wim </w:t>
            </w:r>
            <w:proofErr w:type="spellStart"/>
            <w:r w:rsidRPr="632A2ABB">
              <w:rPr>
                <w:rFonts w:asciiTheme="minorHAnsi" w:hAnsiTheme="minorHAnsi" w:cstheme="minorBidi"/>
                <w:sz w:val="22"/>
                <w:szCs w:val="22"/>
              </w:rPr>
              <w:t>Rullens</w:t>
            </w:r>
            <w:proofErr w:type="spellEnd"/>
            <w:r w:rsidRPr="632A2ABB">
              <w:rPr>
                <w:rFonts w:asciiTheme="minorHAnsi" w:hAnsiTheme="minorHAnsi" w:cstheme="minorBidi"/>
                <w:sz w:val="22"/>
                <w:szCs w:val="22"/>
              </w:rPr>
              <w:t xml:space="preserve"> (Netherlands). </w:t>
            </w:r>
          </w:p>
          <w:p w14:paraId="59EF4499" w14:textId="77777777" w:rsidR="00345326" w:rsidRDefault="710B7FA9" w:rsidP="00345326">
            <w:pPr>
              <w:pStyle w:val="Default"/>
              <w:spacing w:before="240"/>
              <w:rPr>
                <w:rFonts w:asciiTheme="minorHAnsi" w:hAnsiTheme="minorHAnsi" w:cstheme="minorBidi"/>
                <w:sz w:val="22"/>
                <w:szCs w:val="22"/>
              </w:rPr>
            </w:pPr>
            <w:r w:rsidRPr="00345326">
              <w:rPr>
                <w:rFonts w:asciiTheme="minorHAnsi" w:hAnsiTheme="minorHAnsi" w:cstheme="minorBidi"/>
                <w:b/>
                <w:bCs/>
                <w:sz w:val="22"/>
                <w:szCs w:val="22"/>
              </w:rPr>
              <w:t>TDAG Working Group on WTDC Preparations.</w:t>
            </w:r>
            <w:r w:rsidRPr="632A2ABB">
              <w:rPr>
                <w:rFonts w:asciiTheme="minorHAnsi" w:hAnsiTheme="minorHAnsi" w:cstheme="minorBidi"/>
                <w:sz w:val="22"/>
                <w:szCs w:val="22"/>
              </w:rPr>
              <w:t xml:space="preserve"> </w:t>
            </w:r>
          </w:p>
          <w:p w14:paraId="7E1D332C" w14:textId="4B27756D" w:rsidR="0069796C" w:rsidRDefault="710B7FA9" w:rsidP="00D47A0B">
            <w:pPr>
              <w:pStyle w:val="Default"/>
              <w:spacing w:before="60"/>
              <w:rPr>
                <w:rFonts w:asciiTheme="minorHAnsi" w:hAnsiTheme="minorHAnsi" w:cstheme="minorBidi"/>
                <w:sz w:val="22"/>
                <w:szCs w:val="22"/>
              </w:rPr>
            </w:pPr>
            <w:r w:rsidRPr="632A2ABB">
              <w:rPr>
                <w:rFonts w:asciiTheme="minorHAnsi" w:hAnsiTheme="minorHAnsi" w:cstheme="minorBidi"/>
                <w:sz w:val="22"/>
                <w:szCs w:val="22"/>
              </w:rPr>
              <w:t xml:space="preserve">The meeting confirmed the appointment of </w:t>
            </w:r>
            <w:proofErr w:type="spellStart"/>
            <w:r w:rsidRPr="632A2ABB">
              <w:rPr>
                <w:rFonts w:asciiTheme="minorHAnsi" w:hAnsiTheme="minorHAnsi" w:cstheme="minorBidi"/>
                <w:sz w:val="22"/>
                <w:szCs w:val="22"/>
              </w:rPr>
              <w:t>Mr</w:t>
            </w:r>
            <w:proofErr w:type="spellEnd"/>
            <w:r w:rsidRPr="632A2ABB">
              <w:rPr>
                <w:rFonts w:asciiTheme="minorHAnsi" w:hAnsiTheme="minorHAnsi" w:cstheme="minorBidi"/>
                <w:sz w:val="22"/>
                <w:szCs w:val="22"/>
              </w:rPr>
              <w:t xml:space="preserve"> Santiago Reyes-</w:t>
            </w:r>
            <w:proofErr w:type="spellStart"/>
            <w:r w:rsidRPr="632A2ABB">
              <w:rPr>
                <w:rFonts w:asciiTheme="minorHAnsi" w:hAnsiTheme="minorHAnsi" w:cstheme="minorBidi"/>
                <w:sz w:val="22"/>
                <w:szCs w:val="22"/>
              </w:rPr>
              <w:t>Borda</w:t>
            </w:r>
            <w:proofErr w:type="spellEnd"/>
            <w:r w:rsidRPr="632A2ABB">
              <w:rPr>
                <w:rFonts w:asciiTheme="minorHAnsi" w:hAnsiTheme="minorHAnsi" w:cstheme="minorBidi"/>
                <w:sz w:val="22"/>
                <w:szCs w:val="22"/>
              </w:rPr>
              <w:t xml:space="preserve"> (Canada) as Chairman. </w:t>
            </w:r>
          </w:p>
          <w:p w14:paraId="11F7001A" w14:textId="77777777" w:rsidR="00345326" w:rsidRDefault="710B7FA9" w:rsidP="00345326">
            <w:pPr>
              <w:pStyle w:val="Default"/>
              <w:spacing w:before="240" w:after="120"/>
              <w:rPr>
                <w:rFonts w:asciiTheme="minorHAnsi" w:hAnsiTheme="minorHAnsi" w:cstheme="minorBidi"/>
                <w:sz w:val="22"/>
                <w:szCs w:val="22"/>
              </w:rPr>
            </w:pPr>
            <w:r w:rsidRPr="00345326">
              <w:rPr>
                <w:rFonts w:asciiTheme="minorHAnsi" w:hAnsiTheme="minorHAnsi" w:cstheme="minorBidi"/>
                <w:b/>
                <w:bCs/>
                <w:sz w:val="22"/>
                <w:szCs w:val="22"/>
              </w:rPr>
              <w:t>TDAG Working Group on WTDC Resolutions, Declaration and Thematic Priorities.</w:t>
            </w:r>
            <w:r w:rsidRPr="632A2ABB">
              <w:rPr>
                <w:rFonts w:asciiTheme="minorHAnsi" w:hAnsiTheme="minorHAnsi" w:cstheme="minorBidi"/>
                <w:sz w:val="22"/>
                <w:szCs w:val="22"/>
              </w:rPr>
              <w:t xml:space="preserve"> </w:t>
            </w:r>
          </w:p>
          <w:p w14:paraId="766695F1" w14:textId="267C8495" w:rsidR="000D6D4F" w:rsidRPr="00CD4906" w:rsidRDefault="710B7FA9" w:rsidP="00D47A0B">
            <w:pPr>
              <w:pStyle w:val="Default"/>
              <w:spacing w:before="60" w:after="120"/>
              <w:rPr>
                <w:rFonts w:asciiTheme="minorHAnsi" w:hAnsiTheme="minorHAnsi" w:cstheme="minorBidi"/>
                <w:sz w:val="22"/>
                <w:szCs w:val="22"/>
              </w:rPr>
            </w:pPr>
            <w:r w:rsidRPr="632A2ABB">
              <w:rPr>
                <w:rFonts w:asciiTheme="minorHAnsi" w:hAnsiTheme="minorHAnsi" w:cstheme="minorBidi"/>
                <w:sz w:val="22"/>
                <w:szCs w:val="22"/>
              </w:rPr>
              <w:t>The meeting appointed Dr Ahmad Reza Sharafat (Islamic Republic of Iran) as Chairman.</w:t>
            </w:r>
          </w:p>
        </w:tc>
      </w:tr>
      <w:tr w:rsidR="000D6D4F" w:rsidRPr="005C4438" w14:paraId="2749F807" w14:textId="77777777" w:rsidTr="00D47A0B">
        <w:trPr>
          <w:cantSplit/>
        </w:trPr>
        <w:tc>
          <w:tcPr>
            <w:tcW w:w="3402" w:type="dxa"/>
            <w:tcBorders>
              <w:bottom w:val="single" w:sz="4" w:space="0" w:color="auto"/>
            </w:tcBorders>
            <w:vAlign w:val="center"/>
          </w:tcPr>
          <w:p w14:paraId="2359E9C2" w14:textId="0FF4FD34" w:rsidR="000D6D4F" w:rsidRPr="00CD4906" w:rsidRDefault="615C1FE0" w:rsidP="00D47A0B">
            <w:pPr>
              <w:tabs>
                <w:tab w:val="left" w:pos="567"/>
              </w:tabs>
              <w:spacing w:before="60" w:after="60"/>
              <w:rPr>
                <w:rFonts w:eastAsiaTheme="minorEastAsia" w:cstheme="minorBidi"/>
                <w:sz w:val="22"/>
                <w:szCs w:val="22"/>
              </w:rPr>
            </w:pPr>
            <w:proofErr w:type="gramStart"/>
            <w:r w:rsidRPr="632A2ABB">
              <w:rPr>
                <w:rFonts w:eastAsiaTheme="minorEastAsia" w:cstheme="minorBidi"/>
                <w:sz w:val="22"/>
                <w:szCs w:val="22"/>
              </w:rPr>
              <w:t>Discussion  and</w:t>
            </w:r>
            <w:proofErr w:type="gramEnd"/>
            <w:r w:rsidRPr="632A2ABB">
              <w:rPr>
                <w:rFonts w:eastAsiaTheme="minorEastAsia" w:cstheme="minorBidi"/>
                <w:sz w:val="22"/>
                <w:szCs w:val="22"/>
              </w:rPr>
              <w:t xml:space="preserve"> approval of the terms of reference</w:t>
            </w:r>
            <w:r w:rsidR="73C5F05F" w:rsidRPr="632A2ABB">
              <w:rPr>
                <w:rFonts w:eastAsiaTheme="minorEastAsia" w:cstheme="minorBidi"/>
                <w:sz w:val="22"/>
                <w:szCs w:val="22"/>
              </w:rPr>
              <w:t xml:space="preserve"> of the TDAG Working Groups</w:t>
            </w:r>
          </w:p>
        </w:tc>
        <w:tc>
          <w:tcPr>
            <w:tcW w:w="5812" w:type="dxa"/>
            <w:tcBorders>
              <w:bottom w:val="single" w:sz="4" w:space="0" w:color="auto"/>
            </w:tcBorders>
            <w:vAlign w:val="center"/>
          </w:tcPr>
          <w:p w14:paraId="4B697212" w14:textId="035DA06F" w:rsidR="00345326" w:rsidRPr="009110C1" w:rsidRDefault="4706F5CB" w:rsidP="00345326">
            <w:pPr>
              <w:keepNext/>
              <w:spacing w:before="60"/>
              <w:rPr>
                <w:rFonts w:eastAsiaTheme="minorEastAsia" w:cstheme="minorBidi"/>
                <w:sz w:val="22"/>
                <w:szCs w:val="22"/>
              </w:rPr>
            </w:pPr>
            <w:r w:rsidRPr="0DF2EF04">
              <w:rPr>
                <w:rFonts w:eastAsiaTheme="minorEastAsia" w:cstheme="minorBidi"/>
                <w:sz w:val="22"/>
                <w:szCs w:val="22"/>
              </w:rPr>
              <w:t>TDAG adopted</w:t>
            </w:r>
            <w:r w:rsidR="54DF2169" w:rsidRPr="0DF2EF04">
              <w:rPr>
                <w:rFonts w:eastAsiaTheme="minorEastAsia" w:cstheme="minorBidi"/>
                <w:sz w:val="22"/>
                <w:szCs w:val="22"/>
              </w:rPr>
              <w:t xml:space="preserve"> terms of reference for the TDAG Working Group on WTDC Preparations</w:t>
            </w:r>
            <w:r w:rsidRPr="0DF2EF04">
              <w:rPr>
                <w:rFonts w:eastAsiaTheme="minorEastAsia" w:cstheme="minorBidi"/>
                <w:sz w:val="22"/>
                <w:szCs w:val="22"/>
              </w:rPr>
              <w:t>,</w:t>
            </w:r>
            <w:r w:rsidR="54DF2169" w:rsidRPr="0DF2EF04">
              <w:rPr>
                <w:rFonts w:eastAsiaTheme="minorEastAsia" w:cstheme="minorBidi"/>
                <w:sz w:val="22"/>
                <w:szCs w:val="22"/>
              </w:rPr>
              <w:t xml:space="preserve"> the TDAG Working Group on WTDC Resolutions, Declaration and Thematic Priorities,</w:t>
            </w:r>
            <w:r w:rsidR="54DF2169" w:rsidRPr="009110C1">
              <w:rPr>
                <w:rFonts w:eastAsiaTheme="minorEastAsia" w:cstheme="minorBidi"/>
                <w:sz w:val="22"/>
                <w:szCs w:val="22"/>
              </w:rPr>
              <w:t xml:space="preserve"> </w:t>
            </w:r>
            <w:r w:rsidRPr="009110C1">
              <w:rPr>
                <w:rFonts w:eastAsiaTheme="minorEastAsia" w:cstheme="minorBidi"/>
                <w:sz w:val="22"/>
                <w:szCs w:val="22"/>
              </w:rPr>
              <w:t>and the TDAG Working Group on Strategic and Operational Plans</w:t>
            </w:r>
            <w:r w:rsidRPr="0DF2EF04">
              <w:rPr>
                <w:rFonts w:eastAsiaTheme="minorEastAsia" w:cstheme="minorBidi"/>
                <w:b/>
                <w:bCs/>
                <w:sz w:val="22"/>
                <w:szCs w:val="22"/>
              </w:rPr>
              <w:t xml:space="preserve"> </w:t>
            </w:r>
            <w:r w:rsidR="54DF2169" w:rsidRPr="0DF2EF04">
              <w:rPr>
                <w:rFonts w:eastAsiaTheme="minorEastAsia" w:cstheme="minorBidi"/>
                <w:sz w:val="22"/>
                <w:szCs w:val="22"/>
              </w:rPr>
              <w:t xml:space="preserve">contained in </w:t>
            </w:r>
            <w:hyperlink r:id="rId51" w:history="1">
              <w:r w:rsidR="54DF2169" w:rsidRPr="0DF2EF04">
                <w:rPr>
                  <w:color w:val="0000FF"/>
                  <w:u w:val="single"/>
                </w:rPr>
                <w:t>DT/3 (Rev.1)</w:t>
              </w:r>
            </w:hyperlink>
            <w:r w:rsidR="54DF2169" w:rsidRPr="0DF2EF04">
              <w:rPr>
                <w:rFonts w:eastAsiaTheme="minorEastAsia" w:cstheme="minorBidi"/>
                <w:sz w:val="22"/>
                <w:szCs w:val="22"/>
              </w:rPr>
              <w:t>.</w:t>
            </w:r>
          </w:p>
        </w:tc>
      </w:tr>
      <w:tr w:rsidR="000D6D4F" w:rsidRPr="00141E9D" w14:paraId="1C49FD29" w14:textId="77777777" w:rsidTr="00D47A0B">
        <w:trPr>
          <w:cantSplit/>
          <w:trHeight w:val="507"/>
        </w:trPr>
        <w:tc>
          <w:tcPr>
            <w:tcW w:w="3402" w:type="dxa"/>
            <w:vAlign w:val="center"/>
          </w:tcPr>
          <w:p w14:paraId="5BBCF610" w14:textId="22469EB1" w:rsidR="000D6D4F" w:rsidRPr="00CD4906" w:rsidRDefault="4BAB06ED" w:rsidP="00D47A0B">
            <w:pPr>
              <w:tabs>
                <w:tab w:val="left" w:pos="567"/>
              </w:tabs>
              <w:spacing w:before="60" w:after="60"/>
              <w:rPr>
                <w:rFonts w:eastAsiaTheme="minorEastAsia" w:cstheme="minorBidi"/>
                <w:sz w:val="22"/>
                <w:szCs w:val="22"/>
              </w:rPr>
            </w:pPr>
            <w:r w:rsidRPr="632A2ABB">
              <w:rPr>
                <w:rFonts w:eastAsiaTheme="minorEastAsia" w:cstheme="minorBidi"/>
                <w:sz w:val="22"/>
                <w:szCs w:val="22"/>
              </w:rPr>
              <w:t>Composition of the groups and working methods</w:t>
            </w:r>
          </w:p>
        </w:tc>
        <w:tc>
          <w:tcPr>
            <w:tcW w:w="5812" w:type="dxa"/>
            <w:vAlign w:val="center"/>
          </w:tcPr>
          <w:p w14:paraId="499CB7F5" w14:textId="3ACF47AE" w:rsidR="000D6D4F" w:rsidRPr="00CD4906" w:rsidRDefault="2186660B" w:rsidP="00D47A0B">
            <w:pPr>
              <w:tabs>
                <w:tab w:val="left" w:pos="720"/>
                <w:tab w:val="left" w:pos="794"/>
                <w:tab w:val="left" w:pos="1191"/>
                <w:tab w:val="left" w:pos="1588"/>
                <w:tab w:val="left" w:pos="1985"/>
              </w:tabs>
              <w:spacing w:before="60"/>
              <w:rPr>
                <w:rFonts w:eastAsiaTheme="minorEastAsia" w:cstheme="minorBidi"/>
                <w:sz w:val="22"/>
                <w:szCs w:val="22"/>
              </w:rPr>
            </w:pPr>
            <w:r w:rsidRPr="632A2ABB">
              <w:rPr>
                <w:rFonts w:eastAsiaTheme="minorEastAsia" w:cstheme="minorBidi"/>
                <w:color w:val="000000" w:themeColor="text1"/>
                <w:sz w:val="22"/>
                <w:szCs w:val="22"/>
              </w:rPr>
              <w:t xml:space="preserve">The working groups are open to all ITU Member States and ITU-D Sector Members. They </w:t>
            </w:r>
            <w:r w:rsidRPr="632A2ABB">
              <w:rPr>
                <w:rFonts w:eastAsiaTheme="minorEastAsia" w:cstheme="minorBidi"/>
                <w:sz w:val="22"/>
                <w:szCs w:val="22"/>
              </w:rPr>
              <w:t xml:space="preserve">may meet electronically, as required, and otherwise communicate electronically. They </w:t>
            </w:r>
            <w:r w:rsidRPr="632A2ABB">
              <w:rPr>
                <w:rFonts w:eastAsiaTheme="minorEastAsia" w:cstheme="minorBidi"/>
                <w:color w:val="000000" w:themeColor="text1"/>
                <w:sz w:val="22"/>
                <w:szCs w:val="22"/>
              </w:rPr>
              <w:t>may meet during TDAG, normally not at the same time as another group.</w:t>
            </w:r>
          </w:p>
        </w:tc>
      </w:tr>
    </w:tbl>
    <w:p w14:paraId="1800BED0" w14:textId="37E2880A" w:rsidR="00546C6D" w:rsidRPr="0055628F" w:rsidRDefault="00546C6D" w:rsidP="00D47A0B">
      <w:pPr>
        <w:pStyle w:val="Heading2"/>
        <w:keepNext/>
      </w:pPr>
      <w:bookmarkStart w:id="26" w:name="_Toc85818106"/>
      <w:r>
        <w:lastRenderedPageBreak/>
        <w:t>27th TDAG Meeting</w:t>
      </w:r>
      <w:bookmarkEnd w:id="26"/>
    </w:p>
    <w:p w14:paraId="09D030A8" w14:textId="77777777" w:rsidR="002824B0" w:rsidRDefault="00546C6D" w:rsidP="00546C6D">
      <w:pPr>
        <w:tabs>
          <w:tab w:val="clear" w:pos="1134"/>
          <w:tab w:val="clear" w:pos="1871"/>
          <w:tab w:val="left" w:pos="426"/>
        </w:tabs>
        <w:rPr>
          <w:rFonts w:cstheme="minorHAnsi"/>
          <w:color w:val="444444"/>
        </w:rPr>
      </w:pPr>
      <w:r w:rsidRPr="00E910E0">
        <w:rPr>
          <w:rFonts w:cstheme="minorHAnsi"/>
          <w:color w:val="444444"/>
        </w:rPr>
        <w:t xml:space="preserve">The 27th meeting of the Telecommunication Development Advisory Group (TDAG) took place on 23 November 2020, under the chairmanship of Ms Roxanne McElvane Webber. </w:t>
      </w:r>
    </w:p>
    <w:p w14:paraId="6FA4F179" w14:textId="1FA00917" w:rsidR="00546C6D" w:rsidRPr="00E910E0" w:rsidRDefault="5517DEE7" w:rsidP="27676491">
      <w:pPr>
        <w:tabs>
          <w:tab w:val="clear" w:pos="1134"/>
          <w:tab w:val="clear" w:pos="1871"/>
          <w:tab w:val="left" w:pos="426"/>
        </w:tabs>
        <w:rPr>
          <w:rFonts w:cstheme="minorBidi"/>
          <w:color w:val="444444"/>
        </w:rPr>
      </w:pPr>
      <w:r w:rsidRPr="27676491">
        <w:rPr>
          <w:rFonts w:cstheme="minorBidi"/>
          <w:color w:val="444444"/>
        </w:rPr>
        <w:t>The purpose of the meeting was to consider reports prepared by the three TDAG Working Groups created in June 2020 to evolve the impact of, and preparation for, the upcoming ITU World Telecommunication Development Conference (WTDC)</w:t>
      </w:r>
      <w:r w:rsidR="7B26D9FD" w:rsidRPr="27676491">
        <w:rPr>
          <w:rFonts w:cstheme="minorBidi"/>
          <w:color w:val="444444"/>
        </w:rPr>
        <w:t>. The three groups,</w:t>
      </w:r>
      <w:r w:rsidRPr="27676491">
        <w:rPr>
          <w:rFonts w:cstheme="minorBidi"/>
          <w:color w:val="444444"/>
        </w:rPr>
        <w:t xml:space="preserve"> the Working Group on WTDC Preparations (TDAG-WG-Prep); the Working Group on the Strategic and Operational Plan</w:t>
      </w:r>
      <w:r w:rsidR="1CD13748" w:rsidRPr="27676491">
        <w:rPr>
          <w:rFonts w:cstheme="minorBidi"/>
          <w:color w:val="444444"/>
        </w:rPr>
        <w:t>s</w:t>
      </w:r>
      <w:r w:rsidRPr="27676491">
        <w:rPr>
          <w:rFonts w:cstheme="minorBidi"/>
          <w:color w:val="444444"/>
        </w:rPr>
        <w:t xml:space="preserve"> (TDAG-WG-SOP); and the Working Group on </w:t>
      </w:r>
      <w:r w:rsidR="21947870" w:rsidRPr="27676491">
        <w:rPr>
          <w:rFonts w:cstheme="minorBidi"/>
          <w:color w:val="444444"/>
        </w:rPr>
        <w:t xml:space="preserve">WTDC </w:t>
      </w:r>
      <w:r w:rsidRPr="27676491">
        <w:rPr>
          <w:rFonts w:cstheme="minorBidi"/>
          <w:color w:val="444444"/>
        </w:rPr>
        <w:t>Resolutions, Declaration and Thematic Priorities (TDAG-WG-RDTP)</w:t>
      </w:r>
      <w:r w:rsidR="7B26D9FD" w:rsidRPr="27676491">
        <w:rPr>
          <w:rFonts w:cstheme="minorBidi"/>
          <w:color w:val="444444"/>
        </w:rPr>
        <w:t xml:space="preserve"> each presented reports at the meeting which were considered by UDAG</w:t>
      </w:r>
      <w:r w:rsidRPr="27676491">
        <w:rPr>
          <w:rFonts w:cstheme="minorBidi"/>
          <w:color w:val="444444"/>
        </w:rPr>
        <w:t xml:space="preserve">. </w:t>
      </w:r>
    </w:p>
    <w:p w14:paraId="51836D93" w14:textId="2E552506" w:rsidR="00546C6D" w:rsidRPr="00E910E0" w:rsidRDefault="00F5271F" w:rsidP="27676491">
      <w:pPr>
        <w:tabs>
          <w:tab w:val="clear" w:pos="1134"/>
          <w:tab w:val="clear" w:pos="1871"/>
          <w:tab w:val="left" w:pos="426"/>
        </w:tabs>
        <w:rPr>
          <w:rFonts w:cstheme="minorBidi"/>
          <w:color w:val="444444"/>
        </w:rPr>
      </w:pPr>
      <w:r>
        <w:rPr>
          <w:rFonts w:cstheme="minorHAnsi"/>
          <w:color w:val="444444"/>
        </w:rPr>
        <w:t xml:space="preserve">At the meeting </w:t>
      </w:r>
      <w:r w:rsidR="5517DEE7" w:rsidRPr="27676491">
        <w:rPr>
          <w:rFonts w:cstheme="minorBidi"/>
          <w:color w:val="444444"/>
        </w:rPr>
        <w:t>TDAG</w:t>
      </w:r>
      <w:r w:rsidR="7B26D9FD" w:rsidRPr="27676491">
        <w:rPr>
          <w:rFonts w:cstheme="minorBidi"/>
          <w:color w:val="444444"/>
        </w:rPr>
        <w:t>, inter alia,</w:t>
      </w:r>
      <w:r w:rsidR="5517DEE7" w:rsidRPr="27676491">
        <w:rPr>
          <w:rFonts w:cstheme="minorBidi"/>
          <w:color w:val="444444"/>
        </w:rPr>
        <w:t xml:space="preserve"> unanimously endorsed “Connecting the unconnected to achieve Sustainable Development” as the overall theme for the World Telecommunication Development Conference (WTDC-21), scheduled to take place in Addis Ababa</w:t>
      </w:r>
      <w:r w:rsidR="29CBA41E" w:rsidRPr="27676491">
        <w:rPr>
          <w:rFonts w:cstheme="minorBidi"/>
          <w:color w:val="444444"/>
        </w:rPr>
        <w:t>,</w:t>
      </w:r>
      <w:r w:rsidR="5517DEE7" w:rsidRPr="27676491">
        <w:rPr>
          <w:rFonts w:cstheme="minorBidi"/>
          <w:color w:val="444444"/>
        </w:rPr>
        <w:t xml:space="preserve"> Ethiopia from 8 to 19 November 2021. </w:t>
      </w:r>
    </w:p>
    <w:p w14:paraId="00A5F91F" w14:textId="77777777" w:rsidR="00546C6D" w:rsidRPr="00D47A0B" w:rsidRDefault="00546C6D"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D47A0B">
        <w:rPr>
          <w:i/>
          <w:iCs/>
        </w:rPr>
        <w:t>Participants</w:t>
      </w:r>
    </w:p>
    <w:p w14:paraId="7A52B9BA" w14:textId="77777777" w:rsidR="00546C6D" w:rsidRDefault="5517DEE7" w:rsidP="00D47A0B">
      <w:pPr>
        <w:keepNext/>
      </w:pPr>
      <w:r>
        <w:t>The following chart provides the breakdown of participants by category:</w:t>
      </w:r>
    </w:p>
    <w:p w14:paraId="7DDB8D3B" w14:textId="60EB610C" w:rsidR="2FA8657E" w:rsidRDefault="192DCF98" w:rsidP="2FA8657E">
      <w:pPr>
        <w:rPr>
          <w:rFonts w:ascii="Calibri" w:hAnsi="Calibri"/>
          <w:szCs w:val="24"/>
        </w:rPr>
      </w:pPr>
      <w:r>
        <w:rPr>
          <w:noProof/>
        </w:rPr>
        <w:drawing>
          <wp:inline distT="0" distB="0" distL="0" distR="0" wp14:anchorId="30C83860" wp14:editId="6F911012">
            <wp:extent cx="5743575" cy="2596574"/>
            <wp:effectExtent l="0" t="0" r="0" b="0"/>
            <wp:docPr id="1647807252" name="Picture 164780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5743575" cy="2596574"/>
                    </a:xfrm>
                    <a:prstGeom prst="rect">
                      <a:avLst/>
                    </a:prstGeom>
                  </pic:spPr>
                </pic:pic>
              </a:graphicData>
            </a:graphic>
          </wp:inline>
        </w:drawing>
      </w:r>
    </w:p>
    <w:p w14:paraId="52AC1FDD" w14:textId="49062868" w:rsidR="00546C6D" w:rsidRDefault="5517DEE7" w:rsidP="00D47A0B">
      <w:pPr>
        <w:keepNext/>
        <w:rPr>
          <w:noProof/>
          <w:lang w:val="en-US"/>
        </w:rPr>
      </w:pPr>
      <w:r>
        <w:lastRenderedPageBreak/>
        <w:t>The following chart provides the breakdown of participants by region:</w:t>
      </w:r>
    </w:p>
    <w:p w14:paraId="03038093" w14:textId="77777777" w:rsidR="00CF114A" w:rsidRDefault="11C4DB67" w:rsidP="00CF114A">
      <w:pPr>
        <w:rPr>
          <w:noProof/>
          <w:lang w:val="en-US"/>
        </w:rPr>
      </w:pPr>
      <w:r>
        <w:rPr>
          <w:noProof/>
        </w:rPr>
        <w:drawing>
          <wp:inline distT="0" distB="0" distL="0" distR="0" wp14:anchorId="53DC6FF2" wp14:editId="36675744">
            <wp:extent cx="5772150" cy="2609492"/>
            <wp:effectExtent l="0" t="0" r="0" b="0"/>
            <wp:docPr id="1533294071" name="Picture 153329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5772150" cy="2609492"/>
                    </a:xfrm>
                    <a:prstGeom prst="rect">
                      <a:avLst/>
                    </a:prstGeom>
                  </pic:spPr>
                </pic:pic>
              </a:graphicData>
            </a:graphic>
          </wp:inline>
        </w:drawing>
      </w:r>
    </w:p>
    <w:p w14:paraId="3868340F" w14:textId="77777777" w:rsidR="00CF114A" w:rsidRDefault="00CF114A" w:rsidP="00CF114A">
      <w:pPr>
        <w:keepNext/>
      </w:pPr>
      <w:r>
        <w:t>The following chart provides the breakdown of participants by gender:</w:t>
      </w:r>
    </w:p>
    <w:p w14:paraId="4FB2F85A" w14:textId="2A2767B3" w:rsidR="506FD2AF" w:rsidRDefault="506FD2AF" w:rsidP="35010A24">
      <w:pPr>
        <w:rPr>
          <w:rFonts w:ascii="Calibri" w:hAnsi="Calibri"/>
          <w:szCs w:val="24"/>
        </w:rPr>
      </w:pPr>
      <w:r>
        <w:rPr>
          <w:noProof/>
        </w:rPr>
        <w:drawing>
          <wp:inline distT="0" distB="0" distL="0" distR="0" wp14:anchorId="624828CD" wp14:editId="39AF9801">
            <wp:extent cx="5798006" cy="2621182"/>
            <wp:effectExtent l="0" t="0" r="0" b="0"/>
            <wp:docPr id="1399267957" name="Picture 139926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5798006" cy="2621182"/>
                    </a:xfrm>
                    <a:prstGeom prst="rect">
                      <a:avLst/>
                    </a:prstGeom>
                  </pic:spPr>
                </pic:pic>
              </a:graphicData>
            </a:graphic>
          </wp:inline>
        </w:drawing>
      </w:r>
    </w:p>
    <w:p w14:paraId="6A73CE1B" w14:textId="77777777" w:rsidR="00546C6D" w:rsidRDefault="00546C6D" w:rsidP="00546C6D">
      <w:pPr>
        <w:tabs>
          <w:tab w:val="clear" w:pos="1134"/>
          <w:tab w:val="clear" w:pos="1871"/>
          <w:tab w:val="clear" w:pos="2268"/>
        </w:tabs>
        <w:overflowPunct/>
        <w:autoSpaceDE/>
        <w:autoSpaceDN/>
        <w:adjustRightInd/>
        <w:spacing w:before="0"/>
        <w:textAlignment w:val="auto"/>
      </w:pPr>
      <w:r>
        <w:br w:type="page"/>
      </w:r>
    </w:p>
    <w:p w14:paraId="77B6CE87" w14:textId="77777777" w:rsidR="00546C6D" w:rsidRPr="00D47A0B" w:rsidRDefault="00546C6D"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D47A0B">
        <w:rPr>
          <w:i/>
          <w:iCs/>
        </w:rPr>
        <w:lastRenderedPageBreak/>
        <w:t>Documents</w:t>
      </w:r>
    </w:p>
    <w:p w14:paraId="3B1E0063" w14:textId="77777777" w:rsidR="00546C6D" w:rsidRDefault="00546C6D" w:rsidP="00D47A0B">
      <w:pPr>
        <w:keepNext/>
      </w:pPr>
      <w:r>
        <w:t>The following chart provides the number of documents broken down by category of documents:</w:t>
      </w:r>
    </w:p>
    <w:p w14:paraId="0901ACCF" w14:textId="50E913A6" w:rsidR="00546C6D" w:rsidRDefault="3DB2A919" w:rsidP="00546C6D">
      <w:pPr>
        <w:tabs>
          <w:tab w:val="clear" w:pos="1134"/>
          <w:tab w:val="clear" w:pos="1871"/>
          <w:tab w:val="clear" w:pos="2268"/>
        </w:tabs>
        <w:overflowPunct/>
        <w:autoSpaceDE/>
        <w:autoSpaceDN/>
        <w:adjustRightInd/>
        <w:spacing w:before="0"/>
        <w:textAlignment w:val="auto"/>
        <w:rPr>
          <w:rFonts w:ascii="Calibri" w:hAnsi="Calibri"/>
          <w:szCs w:val="24"/>
        </w:rPr>
      </w:pPr>
      <w:r>
        <w:rPr>
          <w:noProof/>
        </w:rPr>
        <w:drawing>
          <wp:inline distT="0" distB="0" distL="0" distR="0" wp14:anchorId="13ED7CA5" wp14:editId="7F8D4542">
            <wp:extent cx="5809376" cy="2638425"/>
            <wp:effectExtent l="0" t="0" r="0" b="0"/>
            <wp:docPr id="470643411" name="Picture 47064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5809376" cy="2638425"/>
                    </a:xfrm>
                    <a:prstGeom prst="rect">
                      <a:avLst/>
                    </a:prstGeom>
                  </pic:spPr>
                </pic:pic>
              </a:graphicData>
            </a:graphic>
          </wp:inline>
        </w:drawing>
      </w:r>
    </w:p>
    <w:p w14:paraId="204F48AF" w14:textId="77777777" w:rsidR="00546C6D" w:rsidRPr="00D47A0B" w:rsidRDefault="00546C6D"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D47A0B">
        <w:rPr>
          <w:i/>
          <w:iCs/>
        </w:rPr>
        <w:t>27th TDAG Meeting Outcomes</w:t>
      </w:r>
    </w:p>
    <w:p w14:paraId="1CA41FFE" w14:textId="77777777" w:rsidR="00546C6D" w:rsidRDefault="00546C6D" w:rsidP="00D47A0B">
      <w:pPr>
        <w:keepNext/>
        <w:spacing w:after="120"/>
      </w:pPr>
      <w:r>
        <w:t>The following table provides the summary of the outcomes of the 27th TDAG meeting by subject:</w:t>
      </w:r>
    </w:p>
    <w:tbl>
      <w:tblPr>
        <w:tblW w:w="9214" w:type="dxa"/>
        <w:tblInd w:w="-5" w:type="dxa"/>
        <w:tblLook w:val="04A0" w:firstRow="1" w:lastRow="0" w:firstColumn="1" w:lastColumn="0" w:noHBand="0" w:noVBand="1"/>
      </w:tblPr>
      <w:tblGrid>
        <w:gridCol w:w="3220"/>
        <w:gridCol w:w="5994"/>
      </w:tblGrid>
      <w:tr w:rsidR="00C3628B" w:rsidRPr="0015250D" w14:paraId="6D108A75" w14:textId="77777777" w:rsidTr="632A2ABB">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5F6C1283" w14:textId="77777777" w:rsidR="00546C6D" w:rsidRPr="0015250D" w:rsidRDefault="00546C6D" w:rsidP="00927EE6">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15250D">
              <w:rPr>
                <w:rFonts w:ascii="Calibri" w:hAnsi="Calibri"/>
                <w:b/>
                <w:bCs/>
                <w:i/>
                <w:iCs/>
                <w:color w:val="000000"/>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500F111E" w14:textId="77777777" w:rsidR="00546C6D" w:rsidRPr="0015250D" w:rsidRDefault="00546C6D" w:rsidP="00927EE6">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15250D">
              <w:rPr>
                <w:rFonts w:ascii="Calibri" w:hAnsi="Calibri"/>
                <w:b/>
                <w:bCs/>
                <w:i/>
                <w:iCs/>
                <w:color w:val="000000"/>
                <w:sz w:val="22"/>
                <w:szCs w:val="22"/>
                <w:lang w:eastAsia="zh-CN"/>
              </w:rPr>
              <w:t>TDAG Conclusions / Outcomes</w:t>
            </w:r>
          </w:p>
        </w:tc>
      </w:tr>
      <w:tr w:rsidR="00F14711" w:rsidRPr="0015250D" w14:paraId="7E9DD8D5" w14:textId="77777777" w:rsidTr="00EC4F2B">
        <w:tc>
          <w:tcPr>
            <w:tcW w:w="3220" w:type="dxa"/>
            <w:tcBorders>
              <w:top w:val="nil"/>
              <w:left w:val="single" w:sz="4" w:space="0" w:color="auto"/>
              <w:bottom w:val="single" w:sz="4" w:space="0" w:color="auto"/>
              <w:right w:val="single" w:sz="4" w:space="0" w:color="auto"/>
            </w:tcBorders>
            <w:shd w:val="clear" w:color="auto" w:fill="auto"/>
            <w:vAlign w:val="center"/>
            <w:hideMark/>
          </w:tcPr>
          <w:p w14:paraId="46E12674" w14:textId="23396E6D" w:rsidR="00546C6D" w:rsidRPr="00A82705" w:rsidRDefault="38A69800" w:rsidP="00EC4F2B">
            <w:pPr>
              <w:keepNext/>
              <w:spacing w:before="60" w:after="60"/>
              <w:rPr>
                <w:rFonts w:ascii="Calibri" w:hAnsi="Calibri"/>
                <w:color w:val="000000"/>
                <w:sz w:val="22"/>
                <w:szCs w:val="22"/>
                <w:lang w:eastAsia="zh-CN"/>
              </w:rPr>
            </w:pPr>
            <w:r w:rsidRPr="009110C1">
              <w:rPr>
                <w:rFonts w:cstheme="minorBidi"/>
                <w:sz w:val="22"/>
                <w:szCs w:val="22"/>
              </w:rPr>
              <w:t>Reports from the TDAG working groups</w:t>
            </w:r>
          </w:p>
        </w:tc>
        <w:tc>
          <w:tcPr>
            <w:tcW w:w="5994" w:type="dxa"/>
            <w:tcBorders>
              <w:top w:val="nil"/>
              <w:left w:val="nil"/>
              <w:bottom w:val="single" w:sz="4" w:space="0" w:color="auto"/>
              <w:right w:val="single" w:sz="4" w:space="0" w:color="auto"/>
            </w:tcBorders>
            <w:shd w:val="clear" w:color="auto" w:fill="auto"/>
            <w:vAlign w:val="center"/>
            <w:hideMark/>
          </w:tcPr>
          <w:p w14:paraId="3046BFC2" w14:textId="23C18862" w:rsidR="002824B0" w:rsidRDefault="38A69800" w:rsidP="00EC4F2B">
            <w:pPr>
              <w:keepNext/>
              <w:spacing w:before="60" w:after="60"/>
              <w:rPr>
                <w:rFonts w:cstheme="minorBidi"/>
                <w:sz w:val="22"/>
                <w:szCs w:val="22"/>
              </w:rPr>
            </w:pPr>
            <w:r w:rsidRPr="009110C1">
              <w:rPr>
                <w:rFonts w:cstheme="minorBidi"/>
                <w:sz w:val="22"/>
                <w:szCs w:val="22"/>
              </w:rPr>
              <w:t>TDAG endorse</w:t>
            </w:r>
            <w:r w:rsidR="73C5F05F" w:rsidRPr="632A2ABB">
              <w:rPr>
                <w:rFonts w:cstheme="minorBidi"/>
                <w:sz w:val="22"/>
                <w:szCs w:val="22"/>
              </w:rPr>
              <w:t>d the</w:t>
            </w:r>
            <w:r w:rsidRPr="009110C1">
              <w:rPr>
                <w:rFonts w:cstheme="minorBidi"/>
                <w:sz w:val="22"/>
                <w:szCs w:val="22"/>
              </w:rPr>
              <w:t xml:space="preserve"> report and recommendations </w:t>
            </w:r>
            <w:r w:rsidR="73C5F05F" w:rsidRPr="632A2ABB">
              <w:rPr>
                <w:rFonts w:cstheme="minorBidi"/>
                <w:sz w:val="22"/>
                <w:szCs w:val="22"/>
              </w:rPr>
              <w:t>from the Working Group on</w:t>
            </w:r>
            <w:r w:rsidRPr="009110C1">
              <w:rPr>
                <w:rFonts w:cstheme="minorBidi"/>
                <w:sz w:val="22"/>
                <w:szCs w:val="22"/>
              </w:rPr>
              <w:t xml:space="preserve"> WTDC preparations. </w:t>
            </w:r>
          </w:p>
          <w:p w14:paraId="468D1CF0" w14:textId="56AC6FB8" w:rsidR="00546C6D" w:rsidRPr="00A82705" w:rsidRDefault="38A69800" w:rsidP="00EC4F2B">
            <w:pPr>
              <w:keepNext/>
              <w:spacing w:before="60" w:after="60"/>
              <w:rPr>
                <w:rFonts w:ascii="Calibri" w:hAnsi="Calibri"/>
                <w:color w:val="000000"/>
                <w:sz w:val="22"/>
                <w:szCs w:val="22"/>
                <w:lang w:eastAsia="zh-CN"/>
              </w:rPr>
            </w:pPr>
            <w:r w:rsidRPr="632A2ABB">
              <w:rPr>
                <w:rFonts w:ascii="Calibri" w:hAnsi="Calibri"/>
                <w:color w:val="000000" w:themeColor="text1"/>
                <w:sz w:val="22"/>
                <w:szCs w:val="22"/>
                <w:lang w:eastAsia="zh-CN"/>
              </w:rPr>
              <w:t>TDAG reviewed and endorsed the matters in the Working Group’s report on which consensus had been reached, and discussed and reached consensus on specific questions as noted below:</w:t>
            </w:r>
          </w:p>
          <w:p w14:paraId="2E9BF323" w14:textId="5299DEA2" w:rsidR="00546C6D" w:rsidRPr="00A82705" w:rsidRDefault="69B60817" w:rsidP="001B769C">
            <w:pPr>
              <w:pStyle w:val="ListParagraph"/>
              <w:numPr>
                <w:ilvl w:val="0"/>
                <w:numId w:val="11"/>
              </w:num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632A2ABB">
              <w:rPr>
                <w:rFonts w:ascii="Calibri" w:hAnsi="Calibri"/>
                <w:color w:val="000000" w:themeColor="text1"/>
                <w:sz w:val="22"/>
                <w:szCs w:val="22"/>
                <w:lang w:eastAsia="zh-CN"/>
              </w:rPr>
              <w:t xml:space="preserve">Theme for </w:t>
            </w:r>
            <w:r w:rsidR="0BE990C9" w:rsidRPr="632A2ABB">
              <w:rPr>
                <w:rFonts w:ascii="Calibri" w:hAnsi="Calibri"/>
                <w:color w:val="000000" w:themeColor="text1"/>
                <w:sz w:val="22"/>
                <w:szCs w:val="22"/>
                <w:lang w:eastAsia="zh-CN"/>
              </w:rPr>
              <w:t>WTDC</w:t>
            </w:r>
            <w:r w:rsidRPr="632A2ABB">
              <w:rPr>
                <w:rFonts w:ascii="Calibri" w:hAnsi="Calibri"/>
                <w:color w:val="000000" w:themeColor="text1"/>
                <w:sz w:val="22"/>
                <w:szCs w:val="22"/>
                <w:lang w:eastAsia="zh-CN"/>
              </w:rPr>
              <w:t>: Connecting the unconnected to achieve Sustainable Development</w:t>
            </w:r>
          </w:p>
          <w:p w14:paraId="2FCB584A" w14:textId="77777777" w:rsidR="00546C6D" w:rsidRPr="009110C1" w:rsidRDefault="38A69800" w:rsidP="001B769C">
            <w:pPr>
              <w:pStyle w:val="ListParagraph"/>
              <w:numPr>
                <w:ilvl w:val="0"/>
                <w:numId w:val="11"/>
              </w:numPr>
              <w:tabs>
                <w:tab w:val="clear" w:pos="1134"/>
                <w:tab w:val="clear" w:pos="1871"/>
                <w:tab w:val="clear" w:pos="2268"/>
              </w:tabs>
              <w:overflowPunct/>
              <w:autoSpaceDE/>
              <w:autoSpaceDN/>
              <w:adjustRightInd/>
              <w:spacing w:before="60" w:after="60"/>
              <w:textAlignment w:val="auto"/>
              <w:rPr>
                <w:rFonts w:cstheme="minorBidi"/>
                <w:sz w:val="22"/>
                <w:szCs w:val="22"/>
              </w:rPr>
            </w:pPr>
            <w:r w:rsidRPr="009110C1">
              <w:rPr>
                <w:rFonts w:cstheme="minorBidi"/>
                <w:sz w:val="22"/>
                <w:szCs w:val="22"/>
              </w:rPr>
              <w:t>Development Track</w:t>
            </w:r>
          </w:p>
          <w:p w14:paraId="2706C8CE" w14:textId="77777777" w:rsidR="00546C6D" w:rsidRPr="00A82705" w:rsidRDefault="38A69800" w:rsidP="001B769C">
            <w:pPr>
              <w:pStyle w:val="ListParagraph"/>
              <w:numPr>
                <w:ilvl w:val="0"/>
                <w:numId w:val="11"/>
              </w:num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009110C1">
              <w:rPr>
                <w:rFonts w:cstheme="minorBidi"/>
                <w:sz w:val="22"/>
                <w:szCs w:val="22"/>
              </w:rPr>
              <w:t>Inter-Regional Preparatory Meetings (IRMs)</w:t>
            </w:r>
          </w:p>
          <w:p w14:paraId="4A5249F9" w14:textId="7F197912" w:rsidR="00546C6D" w:rsidRPr="009110C1" w:rsidRDefault="38A69800" w:rsidP="00EC4F2B">
            <w:pPr>
              <w:tabs>
                <w:tab w:val="clear" w:pos="1134"/>
                <w:tab w:val="clear" w:pos="1871"/>
                <w:tab w:val="clear" w:pos="2268"/>
              </w:tabs>
              <w:overflowPunct/>
              <w:autoSpaceDE/>
              <w:autoSpaceDN/>
              <w:adjustRightInd/>
              <w:spacing w:before="60" w:after="60"/>
              <w:textAlignment w:val="auto"/>
              <w:rPr>
                <w:rFonts w:cstheme="minorBidi"/>
                <w:sz w:val="22"/>
                <w:szCs w:val="22"/>
              </w:rPr>
            </w:pPr>
            <w:r w:rsidRPr="009110C1">
              <w:rPr>
                <w:rFonts w:cstheme="minorBidi"/>
                <w:sz w:val="22"/>
                <w:szCs w:val="22"/>
              </w:rPr>
              <w:t>TDAG noted with appreciation the progress report from the TDAG-WG-SOP.</w:t>
            </w:r>
            <w:r w:rsidRPr="009110C1">
              <w:rPr>
                <w:sz w:val="22"/>
                <w:szCs w:val="22"/>
              </w:rPr>
              <w:t xml:space="preserve"> </w:t>
            </w:r>
          </w:p>
          <w:p w14:paraId="51ECA5B4" w14:textId="6878DD95" w:rsidR="00546C6D" w:rsidRPr="00A82705" w:rsidRDefault="5B89B117" w:rsidP="00EC4F2B">
            <w:p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632A2ABB">
              <w:rPr>
                <w:rFonts w:cstheme="minorBidi"/>
                <w:sz w:val="22"/>
                <w:szCs w:val="22"/>
              </w:rPr>
              <w:t xml:space="preserve">TDAG noted with appreciation the progress report from the TDAG-WG-RDTP. </w:t>
            </w:r>
            <w:r w:rsidR="38A69800" w:rsidRPr="009110C1">
              <w:rPr>
                <w:rFonts w:cstheme="minorBidi"/>
                <w:sz w:val="22"/>
                <w:szCs w:val="22"/>
              </w:rPr>
              <w:t xml:space="preserve"> </w:t>
            </w:r>
          </w:p>
        </w:tc>
      </w:tr>
    </w:tbl>
    <w:p w14:paraId="25048821" w14:textId="1B213076" w:rsidR="00A82705" w:rsidRPr="0055628F" w:rsidRDefault="00546C6D" w:rsidP="00A82705">
      <w:pPr>
        <w:pStyle w:val="Heading2"/>
      </w:pPr>
      <w:r>
        <w:br w:type="page"/>
      </w:r>
      <w:bookmarkStart w:id="27" w:name="_Toc85818107"/>
      <w:r w:rsidR="00A82705">
        <w:lastRenderedPageBreak/>
        <w:t>2</w:t>
      </w:r>
      <w:r w:rsidR="00885A27">
        <w:t>8</w:t>
      </w:r>
      <w:r w:rsidR="00A82705">
        <w:t>th TDAG Meeting</w:t>
      </w:r>
      <w:bookmarkEnd w:id="27"/>
    </w:p>
    <w:p w14:paraId="54CA550A" w14:textId="771FE8A3" w:rsidR="00E673CE" w:rsidRPr="006460CA" w:rsidRDefault="00EE7587" w:rsidP="00A82705">
      <w:pPr>
        <w:tabs>
          <w:tab w:val="clear" w:pos="1134"/>
          <w:tab w:val="clear" w:pos="1871"/>
          <w:tab w:val="left" w:pos="426"/>
        </w:tabs>
        <w:rPr>
          <w:rFonts w:cstheme="minorHAnsi"/>
          <w:color w:val="444444"/>
          <w:szCs w:val="24"/>
        </w:rPr>
      </w:pPr>
      <w:r w:rsidRPr="00A52855">
        <w:rPr>
          <w:rFonts w:cstheme="minorHAnsi"/>
          <w:color w:val="444444"/>
          <w:szCs w:val="24"/>
        </w:rPr>
        <w:t xml:space="preserve">The 28th meeting of the Telecommunication Development Advisory Group (TDAG) was conducted virtually from 24 to 28 May 2021, under the chairmanship of Ms Roxanne McElvane Webber. </w:t>
      </w:r>
    </w:p>
    <w:p w14:paraId="0E31B427" w14:textId="7FD994F0" w:rsidR="006460CA" w:rsidRPr="009110C1" w:rsidRDefault="100F9EE1" w:rsidP="009110C1">
      <w:pPr>
        <w:shd w:val="clear" w:color="auto" w:fill="FFFFFF" w:themeFill="background1"/>
        <w:tabs>
          <w:tab w:val="clear" w:pos="1134"/>
          <w:tab w:val="clear" w:pos="1871"/>
          <w:tab w:val="clear" w:pos="2268"/>
        </w:tabs>
        <w:overflowPunct/>
        <w:autoSpaceDE/>
        <w:autoSpaceDN/>
        <w:adjustRightInd/>
        <w:spacing w:before="240" w:after="150"/>
        <w:jc w:val="both"/>
        <w:rPr>
          <w:rFonts w:cstheme="minorBidi"/>
          <w:color w:val="444444"/>
          <w:lang w:eastAsia="en-GB"/>
        </w:rPr>
      </w:pPr>
      <w:r w:rsidRPr="009110C1">
        <w:rPr>
          <w:rFonts w:cstheme="minorBidi"/>
          <w:color w:val="444444"/>
          <w:lang w:eastAsia="en-GB"/>
        </w:rPr>
        <w:t>In view of the continued prevalence of the COVID-19 pandemic, the meeting of TDAG was held virtually for the second year in a row. The meeting was limited to three hours per day (2hours on 24 May 2021) to minimize the disturbance to participants from all time zones.</w:t>
      </w:r>
    </w:p>
    <w:p w14:paraId="23D8E5AE" w14:textId="34560738" w:rsidR="006460CA" w:rsidRPr="009110C1" w:rsidRDefault="61E0A506" w:rsidP="27676491">
      <w:pPr>
        <w:shd w:val="clear" w:color="auto" w:fill="FFFFFF" w:themeFill="background1"/>
        <w:tabs>
          <w:tab w:val="clear" w:pos="1134"/>
          <w:tab w:val="clear" w:pos="1871"/>
          <w:tab w:val="clear" w:pos="2268"/>
        </w:tabs>
        <w:overflowPunct/>
        <w:autoSpaceDE/>
        <w:autoSpaceDN/>
        <w:adjustRightInd/>
        <w:spacing w:before="0" w:after="150"/>
        <w:jc w:val="both"/>
        <w:rPr>
          <w:rFonts w:cstheme="minorBidi"/>
          <w:color w:val="444444"/>
          <w:lang w:eastAsia="en-GB"/>
        </w:rPr>
      </w:pPr>
      <w:r w:rsidRPr="009110C1">
        <w:rPr>
          <w:rFonts w:cstheme="minorBidi"/>
          <w:color w:val="444444"/>
          <w:lang w:eastAsia="en-GB"/>
        </w:rPr>
        <w:t>TDAG-21 took stock of the regional preparations for WTDC, considered the outcomes of the ​TDAG working groups and discussed relevant issues highlighted during the two Inter-Regional Meetings that had taken​ place before TDAG-21.</w:t>
      </w:r>
    </w:p>
    <w:p w14:paraId="42DEF987" w14:textId="77777777" w:rsidR="00A82705" w:rsidRPr="00135B5E" w:rsidRDefault="00A82705"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135B5E">
        <w:rPr>
          <w:i/>
          <w:iCs/>
        </w:rPr>
        <w:t>Participants</w:t>
      </w:r>
    </w:p>
    <w:p w14:paraId="7F179711" w14:textId="77777777" w:rsidR="00A82705" w:rsidRDefault="46A6E5E2" w:rsidP="00135B5E">
      <w:pPr>
        <w:keepNext/>
      </w:pPr>
      <w:r>
        <w:t>The following chart provides the breakdown of participants by category:</w:t>
      </w:r>
    </w:p>
    <w:p w14:paraId="0BD671BD" w14:textId="7321160B" w:rsidR="23F5D20E" w:rsidRDefault="23F5D20E" w:rsidP="35010A24">
      <w:pPr>
        <w:rPr>
          <w:rFonts w:ascii="Calibri" w:hAnsi="Calibri"/>
          <w:szCs w:val="24"/>
        </w:rPr>
      </w:pPr>
      <w:r>
        <w:rPr>
          <w:noProof/>
        </w:rPr>
        <w:drawing>
          <wp:inline distT="0" distB="0" distL="0" distR="0" wp14:anchorId="649850DA" wp14:editId="64FC87B2">
            <wp:extent cx="5869172" cy="2628900"/>
            <wp:effectExtent l="0" t="0" r="0" b="0"/>
            <wp:docPr id="263977262" name="Picture 263977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5869172" cy="2628900"/>
                    </a:xfrm>
                    <a:prstGeom prst="rect">
                      <a:avLst/>
                    </a:prstGeom>
                  </pic:spPr>
                </pic:pic>
              </a:graphicData>
            </a:graphic>
          </wp:inline>
        </w:drawing>
      </w:r>
    </w:p>
    <w:p w14:paraId="470B5E03" w14:textId="3F481660" w:rsidR="00A82705" w:rsidRDefault="46A6E5E2" w:rsidP="00135B5E">
      <w:pPr>
        <w:keepNext/>
      </w:pPr>
      <w:r>
        <w:t>The following chart provides the breakdown of participants by region:</w:t>
      </w:r>
    </w:p>
    <w:p w14:paraId="54B81C07" w14:textId="46F4885D" w:rsidR="71CF8AB7" w:rsidRDefault="71CF8AB7" w:rsidP="35010A24">
      <w:pPr>
        <w:rPr>
          <w:rFonts w:ascii="Calibri" w:hAnsi="Calibri"/>
          <w:szCs w:val="24"/>
        </w:rPr>
      </w:pPr>
      <w:r>
        <w:rPr>
          <w:noProof/>
        </w:rPr>
        <w:drawing>
          <wp:inline distT="0" distB="0" distL="0" distR="0" wp14:anchorId="5E4395FD" wp14:editId="27C0196D">
            <wp:extent cx="5863166" cy="2638425"/>
            <wp:effectExtent l="0" t="0" r="0" b="0"/>
            <wp:docPr id="1601631105" name="Picture 160163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5863166" cy="2638425"/>
                    </a:xfrm>
                    <a:prstGeom prst="rect">
                      <a:avLst/>
                    </a:prstGeom>
                  </pic:spPr>
                </pic:pic>
              </a:graphicData>
            </a:graphic>
          </wp:inline>
        </w:drawing>
      </w:r>
    </w:p>
    <w:p w14:paraId="3DF2AA2D" w14:textId="40E57F0E" w:rsidR="00F369BE" w:rsidRDefault="00F369BE" w:rsidP="00F369BE">
      <w:pPr>
        <w:keepNext/>
      </w:pPr>
      <w:r>
        <w:lastRenderedPageBreak/>
        <w:t>The following chart provides the breakdown of participants by gender:</w:t>
      </w:r>
    </w:p>
    <w:p w14:paraId="4467B3F9" w14:textId="31994FB9" w:rsidR="6F5F6664" w:rsidRDefault="6F5F6664" w:rsidP="35010A24">
      <w:pPr>
        <w:rPr>
          <w:rFonts w:ascii="Calibri" w:hAnsi="Calibri"/>
          <w:szCs w:val="24"/>
        </w:rPr>
      </w:pPr>
      <w:r>
        <w:rPr>
          <w:noProof/>
        </w:rPr>
        <w:drawing>
          <wp:inline distT="0" distB="0" distL="0" distR="0" wp14:anchorId="70F9D875" wp14:editId="4862F7F6">
            <wp:extent cx="5857216" cy="2660152"/>
            <wp:effectExtent l="0" t="0" r="0" b="0"/>
            <wp:docPr id="1278909597" name="Picture 127890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5857216" cy="2660152"/>
                    </a:xfrm>
                    <a:prstGeom prst="rect">
                      <a:avLst/>
                    </a:prstGeom>
                  </pic:spPr>
                </pic:pic>
              </a:graphicData>
            </a:graphic>
          </wp:inline>
        </w:drawing>
      </w:r>
    </w:p>
    <w:p w14:paraId="2366B2EF" w14:textId="77777777" w:rsidR="00A82705" w:rsidRPr="00135B5E" w:rsidRDefault="00A82705"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135B5E">
        <w:rPr>
          <w:i/>
          <w:iCs/>
        </w:rPr>
        <w:t>Documents</w:t>
      </w:r>
    </w:p>
    <w:p w14:paraId="35EB332C" w14:textId="77777777" w:rsidR="00A82705" w:rsidRDefault="00A82705" w:rsidP="00135B5E">
      <w:pPr>
        <w:keepNext/>
      </w:pPr>
      <w:r>
        <w:t>The following chart provides the number of documents broken down by category of documents:</w:t>
      </w:r>
    </w:p>
    <w:p w14:paraId="70CDB2C3" w14:textId="06D141D0" w:rsidR="0D4F7592" w:rsidRDefault="0D4F7592" w:rsidP="35010A24">
      <w:pPr>
        <w:rPr>
          <w:rFonts w:ascii="Calibri" w:hAnsi="Calibri"/>
          <w:szCs w:val="24"/>
        </w:rPr>
      </w:pPr>
      <w:r>
        <w:rPr>
          <w:noProof/>
        </w:rPr>
        <w:drawing>
          <wp:inline distT="0" distB="0" distL="0" distR="0" wp14:anchorId="22AB865F" wp14:editId="256826A2">
            <wp:extent cx="5820834" cy="2631502"/>
            <wp:effectExtent l="0" t="0" r="0" b="0"/>
            <wp:docPr id="157632655" name="Picture 15763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5820834" cy="2631502"/>
                    </a:xfrm>
                    <a:prstGeom prst="rect">
                      <a:avLst/>
                    </a:prstGeom>
                  </pic:spPr>
                </pic:pic>
              </a:graphicData>
            </a:graphic>
          </wp:inline>
        </w:drawing>
      </w:r>
    </w:p>
    <w:p w14:paraId="58FEA339" w14:textId="4C8535F6" w:rsidR="00A82705" w:rsidRPr="00135B5E" w:rsidRDefault="00A82705"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135B5E">
        <w:rPr>
          <w:i/>
          <w:iCs/>
        </w:rPr>
        <w:t>2</w:t>
      </w:r>
      <w:r w:rsidR="005F1CFF" w:rsidRPr="00135B5E">
        <w:rPr>
          <w:i/>
          <w:iCs/>
        </w:rPr>
        <w:t>8</w:t>
      </w:r>
      <w:r w:rsidRPr="00135B5E">
        <w:rPr>
          <w:i/>
          <w:iCs/>
        </w:rPr>
        <w:t>th TDAG Meeting Outcomes</w:t>
      </w:r>
    </w:p>
    <w:p w14:paraId="3BC8A849" w14:textId="5317712B" w:rsidR="00A82705" w:rsidRDefault="00A82705" w:rsidP="00135B5E">
      <w:pPr>
        <w:keepNext/>
        <w:spacing w:after="120"/>
      </w:pPr>
      <w:r>
        <w:t>The following table provides the summary of the outcomes of the 2</w:t>
      </w:r>
      <w:r w:rsidR="005F1CFF">
        <w:t>8</w:t>
      </w:r>
      <w:r>
        <w:t>th TDAG meeting by subject:</w:t>
      </w:r>
    </w:p>
    <w:tbl>
      <w:tblPr>
        <w:tblW w:w="9214" w:type="dxa"/>
        <w:tblInd w:w="-5" w:type="dxa"/>
        <w:tblLook w:val="04A0" w:firstRow="1" w:lastRow="0" w:firstColumn="1" w:lastColumn="0" w:noHBand="0" w:noVBand="1"/>
      </w:tblPr>
      <w:tblGrid>
        <w:gridCol w:w="3220"/>
        <w:gridCol w:w="5994"/>
      </w:tblGrid>
      <w:tr w:rsidR="00C3628B" w:rsidRPr="00266855" w14:paraId="2FAEE7CE" w14:textId="77777777" w:rsidTr="5529AB18">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1BECC58C" w14:textId="77777777" w:rsidR="00A82705" w:rsidRPr="00266855" w:rsidRDefault="00A82705" w:rsidP="00927EE6">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266855">
              <w:rPr>
                <w:rFonts w:ascii="Calibri" w:hAnsi="Calibri"/>
                <w:b/>
                <w:bCs/>
                <w:i/>
                <w:iCs/>
                <w:color w:val="000000"/>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65635B35" w14:textId="77777777" w:rsidR="00A82705" w:rsidRPr="00266855" w:rsidRDefault="00A82705" w:rsidP="00927EE6">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266855">
              <w:rPr>
                <w:rFonts w:ascii="Calibri" w:hAnsi="Calibri"/>
                <w:b/>
                <w:bCs/>
                <w:i/>
                <w:iCs/>
                <w:color w:val="000000"/>
                <w:sz w:val="22"/>
                <w:szCs w:val="22"/>
                <w:lang w:eastAsia="zh-CN"/>
              </w:rPr>
              <w:t>TDAG Conclusions / Outcomes</w:t>
            </w:r>
          </w:p>
        </w:tc>
      </w:tr>
      <w:tr w:rsidR="003A1A07" w:rsidRPr="00266855" w14:paraId="6F8CC314"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33B5" w14:textId="101F0BE8" w:rsidR="00A82705" w:rsidRPr="00266855" w:rsidRDefault="7D9523A8" w:rsidP="00135B5E">
            <w:p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009110C1">
              <w:rPr>
                <w:rFonts w:cstheme="minorBidi"/>
                <w:sz w:val="22"/>
                <w:szCs w:val="22"/>
              </w:rPr>
              <w:t>ITU-D four-year rolling Operational Plan 2022-2025</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14:paraId="17C67286" w14:textId="63F4D63B" w:rsidR="00A82705" w:rsidRPr="00266855" w:rsidRDefault="41E5BE2C" w:rsidP="00135B5E">
            <w:pPr>
              <w:spacing w:before="60" w:after="60"/>
              <w:rPr>
                <w:rFonts w:ascii="Calibri" w:hAnsi="Calibri"/>
                <w:color w:val="000000"/>
                <w:sz w:val="22"/>
                <w:szCs w:val="22"/>
                <w:lang w:eastAsia="zh-CN"/>
              </w:rPr>
            </w:pPr>
            <w:r w:rsidRPr="009110C1">
              <w:rPr>
                <w:rFonts w:eastAsiaTheme="minorEastAsia" w:cstheme="minorBidi"/>
                <w:sz w:val="22"/>
                <w:szCs w:val="22"/>
              </w:rPr>
              <w:t>TDAG</w:t>
            </w:r>
            <w:r w:rsidR="73C5F05F" w:rsidRPr="632A2ABB">
              <w:rPr>
                <w:rFonts w:eastAsiaTheme="minorEastAsia" w:cstheme="minorBidi"/>
                <w:sz w:val="22"/>
                <w:szCs w:val="22"/>
              </w:rPr>
              <w:t xml:space="preserve"> reviewed and </w:t>
            </w:r>
            <w:r w:rsidRPr="009110C1">
              <w:rPr>
                <w:rFonts w:eastAsiaTheme="minorEastAsia" w:cstheme="minorBidi"/>
                <w:sz w:val="22"/>
                <w:szCs w:val="22"/>
              </w:rPr>
              <w:t>endorsed the ITU-D four-year rolling Operational Plan for 2022-2025.</w:t>
            </w:r>
            <w:r w:rsidR="5B89B117" w:rsidRPr="632A2ABB">
              <w:rPr>
                <w:rFonts w:cstheme="minorBidi"/>
                <w:sz w:val="22"/>
                <w:szCs w:val="22"/>
              </w:rPr>
              <w:t xml:space="preserve">  </w:t>
            </w:r>
          </w:p>
        </w:tc>
      </w:tr>
      <w:tr w:rsidR="003A1A07" w:rsidRPr="00266855" w14:paraId="5A15952E"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D1BB10B" w14:textId="588F1126" w:rsidR="00CD6EE0" w:rsidRPr="009110C1" w:rsidRDefault="6B445BA5" w:rsidP="00135B5E">
            <w:pPr>
              <w:tabs>
                <w:tab w:val="clear" w:pos="1134"/>
                <w:tab w:val="clear" w:pos="1871"/>
                <w:tab w:val="clear" w:pos="2268"/>
              </w:tabs>
              <w:overflowPunct/>
              <w:autoSpaceDE/>
              <w:autoSpaceDN/>
              <w:adjustRightInd/>
              <w:spacing w:before="60" w:after="60"/>
              <w:textAlignment w:val="auto"/>
              <w:rPr>
                <w:rFonts w:cstheme="minorBidi"/>
                <w:sz w:val="22"/>
                <w:szCs w:val="22"/>
              </w:rPr>
            </w:pPr>
            <w:r w:rsidRPr="009110C1">
              <w:rPr>
                <w:rFonts w:cstheme="minorBidi"/>
                <w:sz w:val="22"/>
                <w:szCs w:val="22"/>
              </w:rPr>
              <w:t xml:space="preserve">Reporting on the implementation of the WTDC-17 Buenos Aires Action Plan (including the Regional Initiatives), and contribution to the </w:t>
            </w:r>
            <w:r w:rsidRPr="009110C1">
              <w:rPr>
                <w:rFonts w:cstheme="minorBidi"/>
                <w:sz w:val="22"/>
                <w:szCs w:val="22"/>
              </w:rPr>
              <w:lastRenderedPageBreak/>
              <w:t>implementation of the WSIS Plan of Action and the Sustainable Development Goals (SDGs)</w:t>
            </w:r>
          </w:p>
        </w:tc>
        <w:tc>
          <w:tcPr>
            <w:tcW w:w="5994" w:type="dxa"/>
            <w:tcBorders>
              <w:top w:val="single" w:sz="4" w:space="0" w:color="auto"/>
              <w:left w:val="nil"/>
              <w:bottom w:val="single" w:sz="4" w:space="0" w:color="auto"/>
              <w:right w:val="single" w:sz="4" w:space="0" w:color="auto"/>
            </w:tcBorders>
            <w:shd w:val="clear" w:color="auto" w:fill="auto"/>
            <w:vAlign w:val="center"/>
          </w:tcPr>
          <w:p w14:paraId="2A63FA18" w14:textId="766B7317" w:rsidR="00CD6EE0" w:rsidRPr="009110C1" w:rsidRDefault="4DA7C49B" w:rsidP="00135B5E">
            <w:pPr>
              <w:spacing w:before="60" w:after="60"/>
              <w:rPr>
                <w:rFonts w:eastAsiaTheme="minorEastAsia" w:cstheme="minorBidi"/>
                <w:sz w:val="22"/>
                <w:szCs w:val="22"/>
              </w:rPr>
            </w:pPr>
            <w:r w:rsidRPr="009110C1">
              <w:rPr>
                <w:rFonts w:eastAsiaTheme="minorEastAsia" w:cstheme="minorBidi"/>
                <w:sz w:val="22"/>
                <w:szCs w:val="22"/>
              </w:rPr>
              <w:lastRenderedPageBreak/>
              <w:t xml:space="preserve">TDAG </w:t>
            </w:r>
            <w:r w:rsidR="73C5F05F" w:rsidRPr="632A2ABB">
              <w:rPr>
                <w:rFonts w:eastAsiaTheme="minorEastAsia" w:cstheme="minorBidi"/>
                <w:sz w:val="22"/>
                <w:szCs w:val="22"/>
              </w:rPr>
              <w:t xml:space="preserve">noted and </w:t>
            </w:r>
            <w:r w:rsidRPr="009110C1">
              <w:rPr>
                <w:rFonts w:eastAsiaTheme="minorEastAsia" w:cstheme="minorBidi"/>
                <w:sz w:val="22"/>
                <w:szCs w:val="22"/>
              </w:rPr>
              <w:t>underlined the importance of the report in Document 2, which is structured around the current 10 thematic priorities, and noted the ongoing discussions reflected principally in the TDAG-WG-RDTP to reduce that number for the next four-year period.</w:t>
            </w:r>
          </w:p>
        </w:tc>
      </w:tr>
      <w:tr w:rsidR="00725F87" w:rsidRPr="00266855" w14:paraId="38E7D957"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4CFF33B" w14:textId="6CF0CA0C" w:rsidR="00731B25" w:rsidRPr="009110C1" w:rsidRDefault="552DF6B6" w:rsidP="00135B5E">
            <w:pPr>
              <w:keepNext/>
              <w:spacing w:before="60" w:after="60"/>
              <w:rPr>
                <w:rFonts w:cstheme="minorBidi"/>
                <w:sz w:val="22"/>
                <w:szCs w:val="22"/>
              </w:rPr>
            </w:pPr>
            <w:r w:rsidRPr="009110C1">
              <w:rPr>
                <w:rFonts w:cstheme="minorBidi"/>
                <w:sz w:val="22"/>
                <w:szCs w:val="22"/>
              </w:rPr>
              <w:t>Reporting on the Youth Strategy implementation and the Generation Connect Visionaries Board has been established to offer strategic high-level guidance to ITU youth-related work, and held its first meeting in April 2021</w:t>
            </w:r>
          </w:p>
        </w:tc>
        <w:tc>
          <w:tcPr>
            <w:tcW w:w="5994" w:type="dxa"/>
            <w:tcBorders>
              <w:top w:val="single" w:sz="4" w:space="0" w:color="auto"/>
              <w:left w:val="nil"/>
              <w:bottom w:val="single" w:sz="4" w:space="0" w:color="auto"/>
              <w:right w:val="single" w:sz="4" w:space="0" w:color="auto"/>
            </w:tcBorders>
            <w:shd w:val="clear" w:color="auto" w:fill="auto"/>
            <w:vAlign w:val="center"/>
          </w:tcPr>
          <w:p w14:paraId="68B312DF" w14:textId="7F473EB5" w:rsidR="00731B25" w:rsidRPr="009110C1" w:rsidRDefault="552DF6B6" w:rsidP="00135B5E">
            <w:pPr>
              <w:spacing w:before="60" w:after="60"/>
              <w:rPr>
                <w:rFonts w:eastAsiaTheme="minorEastAsia" w:cstheme="minorBidi"/>
                <w:sz w:val="22"/>
                <w:szCs w:val="22"/>
              </w:rPr>
            </w:pPr>
            <w:r w:rsidRPr="009110C1">
              <w:rPr>
                <w:rFonts w:eastAsiaTheme="minorEastAsia" w:cstheme="minorBidi"/>
                <w:sz w:val="22"/>
                <w:szCs w:val="22"/>
              </w:rPr>
              <w:t>TDAG noted the report and the related presentations by the youth representatives with enthusiasm and appreciation, welcomed the youth initiatives as refreshing, and underscored the importance of investing in youth, in including them in TDAG activities and taking their perspectives into account in the work of ITU.</w:t>
            </w:r>
          </w:p>
        </w:tc>
      </w:tr>
      <w:tr w:rsidR="003A1A07" w:rsidRPr="00266855" w14:paraId="273F9A1E"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FB87240" w14:textId="71309B5A" w:rsidR="00731B25" w:rsidRPr="009110C1" w:rsidRDefault="4ECA5968" w:rsidP="00135B5E">
            <w:pPr>
              <w:spacing w:before="60" w:after="60"/>
              <w:rPr>
                <w:rFonts w:cstheme="minorBidi"/>
                <w:sz w:val="22"/>
                <w:szCs w:val="22"/>
              </w:rPr>
            </w:pPr>
            <w:r w:rsidRPr="009110C1">
              <w:rPr>
                <w:rFonts w:cstheme="minorBidi"/>
                <w:sz w:val="22"/>
                <w:szCs w:val="22"/>
              </w:rPr>
              <w:t>ITU-D projects</w:t>
            </w:r>
          </w:p>
        </w:tc>
        <w:tc>
          <w:tcPr>
            <w:tcW w:w="5994" w:type="dxa"/>
            <w:tcBorders>
              <w:top w:val="single" w:sz="4" w:space="0" w:color="auto"/>
              <w:left w:val="nil"/>
              <w:bottom w:val="single" w:sz="4" w:space="0" w:color="auto"/>
              <w:right w:val="single" w:sz="4" w:space="0" w:color="auto"/>
            </w:tcBorders>
            <w:shd w:val="clear" w:color="auto" w:fill="auto"/>
            <w:vAlign w:val="center"/>
          </w:tcPr>
          <w:p w14:paraId="3203AC56" w14:textId="65395951" w:rsidR="00731B25" w:rsidRPr="009110C1" w:rsidRDefault="17AA3778" w:rsidP="00135B5E">
            <w:pPr>
              <w:spacing w:before="60" w:after="60"/>
              <w:rPr>
                <w:rFonts w:eastAsiaTheme="minorEastAsia" w:cstheme="minorBidi"/>
                <w:sz w:val="22"/>
                <w:szCs w:val="22"/>
              </w:rPr>
            </w:pPr>
            <w:r w:rsidRPr="009110C1">
              <w:rPr>
                <w:rFonts w:eastAsiaTheme="minorEastAsia" w:cstheme="minorBidi"/>
                <w:sz w:val="22"/>
                <w:szCs w:val="22"/>
              </w:rPr>
              <w:t xml:space="preserve">TDAG noted the report with interest and appreciation and expressed support for the ongoing work and its impact on the ground, including steps taken to strengthen ITU project management practices. </w:t>
            </w:r>
          </w:p>
        </w:tc>
      </w:tr>
      <w:tr w:rsidR="003A1A07" w:rsidRPr="00266855" w14:paraId="6CB36F57"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0F37738" w14:textId="699D6EEC" w:rsidR="00731B25" w:rsidRPr="009110C1" w:rsidRDefault="3D52BCF2" w:rsidP="00135B5E">
            <w:pPr>
              <w:tabs>
                <w:tab w:val="clear" w:pos="1134"/>
                <w:tab w:val="clear" w:pos="1871"/>
                <w:tab w:val="clear" w:pos="2268"/>
              </w:tabs>
              <w:overflowPunct/>
              <w:autoSpaceDE/>
              <w:autoSpaceDN/>
              <w:adjustRightInd/>
              <w:spacing w:before="60" w:after="60"/>
              <w:textAlignment w:val="auto"/>
              <w:rPr>
                <w:rFonts w:cstheme="minorBidi"/>
                <w:sz w:val="22"/>
                <w:szCs w:val="22"/>
              </w:rPr>
            </w:pPr>
            <w:r w:rsidRPr="009110C1">
              <w:rPr>
                <w:rFonts w:cstheme="minorBidi"/>
                <w:sz w:val="22"/>
                <w:szCs w:val="22"/>
              </w:rPr>
              <w:t>Preparations for WTDC</w:t>
            </w:r>
          </w:p>
        </w:tc>
        <w:tc>
          <w:tcPr>
            <w:tcW w:w="5994" w:type="dxa"/>
            <w:tcBorders>
              <w:top w:val="single" w:sz="4" w:space="0" w:color="auto"/>
              <w:left w:val="nil"/>
              <w:bottom w:val="single" w:sz="4" w:space="0" w:color="auto"/>
              <w:right w:val="single" w:sz="4" w:space="0" w:color="auto"/>
            </w:tcBorders>
            <w:shd w:val="clear" w:color="auto" w:fill="auto"/>
            <w:vAlign w:val="center"/>
          </w:tcPr>
          <w:p w14:paraId="473197C1" w14:textId="6299D3AC" w:rsidR="00731B25" w:rsidRPr="009110C1" w:rsidRDefault="35A16A83" w:rsidP="00135B5E">
            <w:pPr>
              <w:spacing w:before="60" w:after="60"/>
              <w:rPr>
                <w:rFonts w:eastAsiaTheme="minorEastAsia" w:cstheme="minorBidi"/>
                <w:sz w:val="22"/>
                <w:szCs w:val="22"/>
              </w:rPr>
            </w:pPr>
            <w:r w:rsidRPr="009110C1">
              <w:rPr>
                <w:rFonts w:eastAsiaTheme="minorEastAsia" w:cstheme="minorBidi"/>
                <w:sz w:val="22"/>
                <w:szCs w:val="22"/>
              </w:rPr>
              <w:t>TDAG noted with appreciation the document providing an outline of the WTDC preparations.</w:t>
            </w:r>
          </w:p>
        </w:tc>
      </w:tr>
      <w:tr w:rsidR="003A1A07" w:rsidRPr="00266855" w14:paraId="654A3E84"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D092296" w14:textId="76930CA7" w:rsidR="00087FA1" w:rsidRPr="009110C1" w:rsidRDefault="4E6E2550" w:rsidP="00135B5E">
            <w:pPr>
              <w:spacing w:before="60" w:after="60"/>
              <w:rPr>
                <w:rFonts w:cstheme="minorBidi"/>
                <w:sz w:val="22"/>
                <w:szCs w:val="22"/>
              </w:rPr>
            </w:pPr>
            <w:r w:rsidRPr="009110C1">
              <w:rPr>
                <w:rFonts w:cstheme="minorBidi"/>
                <w:sz w:val="22"/>
                <w:szCs w:val="22"/>
              </w:rPr>
              <w:t>Update on the preparations for the Youth Summit</w:t>
            </w:r>
          </w:p>
        </w:tc>
        <w:tc>
          <w:tcPr>
            <w:tcW w:w="5994" w:type="dxa"/>
            <w:tcBorders>
              <w:top w:val="single" w:sz="4" w:space="0" w:color="auto"/>
              <w:left w:val="nil"/>
              <w:bottom w:val="single" w:sz="4" w:space="0" w:color="auto"/>
              <w:right w:val="single" w:sz="4" w:space="0" w:color="auto"/>
            </w:tcBorders>
            <w:shd w:val="clear" w:color="auto" w:fill="auto"/>
            <w:vAlign w:val="center"/>
          </w:tcPr>
          <w:p w14:paraId="6280C688" w14:textId="6915EAD1" w:rsidR="00087FA1" w:rsidRPr="009110C1" w:rsidRDefault="76F3CECB" w:rsidP="00135B5E">
            <w:pPr>
              <w:spacing w:before="60" w:after="60"/>
              <w:rPr>
                <w:rFonts w:eastAsiaTheme="minorEastAsia" w:cstheme="minorBidi"/>
                <w:sz w:val="22"/>
                <w:szCs w:val="22"/>
              </w:rPr>
            </w:pPr>
            <w:r w:rsidRPr="009110C1">
              <w:rPr>
                <w:rFonts w:eastAsiaTheme="minorEastAsia" w:cstheme="minorBidi"/>
                <w:sz w:val="22"/>
                <w:szCs w:val="22"/>
              </w:rPr>
              <w:t>TDAG noted this document with appreciation and agreed that the Youth Summit would also have to be postponed to a suitable date prior to 6 June 2022, in collaboration with the host country.</w:t>
            </w:r>
          </w:p>
        </w:tc>
      </w:tr>
      <w:tr w:rsidR="003A1A07" w:rsidRPr="00266855" w14:paraId="4E8E5B3B"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22F3D30" w14:textId="425A5962" w:rsidR="00087FA1" w:rsidRPr="009110C1" w:rsidRDefault="18190DAF" w:rsidP="00135B5E">
            <w:pPr>
              <w:spacing w:before="60" w:after="60"/>
              <w:rPr>
                <w:rFonts w:cstheme="minorBidi"/>
                <w:sz w:val="22"/>
                <w:szCs w:val="22"/>
              </w:rPr>
            </w:pPr>
            <w:r w:rsidRPr="009110C1">
              <w:rPr>
                <w:rFonts w:cstheme="minorBidi"/>
                <w:sz w:val="22"/>
                <w:szCs w:val="22"/>
              </w:rPr>
              <w:t>Preparations for the WTDC Partner2Connect for Digital Development Segment</w:t>
            </w:r>
          </w:p>
        </w:tc>
        <w:tc>
          <w:tcPr>
            <w:tcW w:w="5994" w:type="dxa"/>
            <w:tcBorders>
              <w:top w:val="single" w:sz="4" w:space="0" w:color="auto"/>
              <w:left w:val="nil"/>
              <w:bottom w:val="single" w:sz="4" w:space="0" w:color="auto"/>
              <w:right w:val="single" w:sz="4" w:space="0" w:color="auto"/>
            </w:tcBorders>
            <w:shd w:val="clear" w:color="auto" w:fill="auto"/>
            <w:vAlign w:val="center"/>
          </w:tcPr>
          <w:p w14:paraId="094B1B67" w14:textId="2D116758" w:rsidR="00087FA1" w:rsidRPr="009110C1" w:rsidRDefault="742B4477" w:rsidP="00135B5E">
            <w:pPr>
              <w:spacing w:before="60" w:after="60"/>
              <w:rPr>
                <w:rFonts w:eastAsiaTheme="minorEastAsia" w:cstheme="minorBidi"/>
                <w:sz w:val="22"/>
                <w:szCs w:val="22"/>
              </w:rPr>
            </w:pPr>
            <w:r w:rsidRPr="009110C1">
              <w:rPr>
                <w:rFonts w:cstheme="minorBidi"/>
                <w:sz w:val="22"/>
                <w:szCs w:val="22"/>
              </w:rPr>
              <w:t>TDAG noted the document and confirmed that following its decision taken in November 2020, the Partner2Connect for Digital Development Segment will take place as an integral part of the main WTDC program from Day 2 to Day 4 of the conference.</w:t>
            </w:r>
          </w:p>
        </w:tc>
      </w:tr>
      <w:tr w:rsidR="003A1A07" w:rsidRPr="00266855" w14:paraId="5E8FD98F"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BAFAFA4" w14:textId="1F23CDA9" w:rsidR="00BC700F" w:rsidRPr="009110C1" w:rsidRDefault="1AB85E0F" w:rsidP="00135B5E">
            <w:pPr>
              <w:spacing w:before="60" w:after="60"/>
              <w:rPr>
                <w:rFonts w:cstheme="minorBidi"/>
                <w:sz w:val="22"/>
                <w:szCs w:val="22"/>
              </w:rPr>
            </w:pPr>
            <w:r w:rsidRPr="009110C1">
              <w:rPr>
                <w:rFonts w:cstheme="minorBidi"/>
                <w:sz w:val="22"/>
                <w:szCs w:val="22"/>
              </w:rPr>
              <w:t>WTDC preparations and contingency plans for the work of ITU-D in the case of postponement of WTDC</w:t>
            </w:r>
          </w:p>
        </w:tc>
        <w:tc>
          <w:tcPr>
            <w:tcW w:w="5994" w:type="dxa"/>
            <w:tcBorders>
              <w:top w:val="single" w:sz="4" w:space="0" w:color="auto"/>
              <w:left w:val="nil"/>
              <w:bottom w:val="single" w:sz="4" w:space="0" w:color="auto"/>
              <w:right w:val="single" w:sz="4" w:space="0" w:color="auto"/>
            </w:tcBorders>
            <w:shd w:val="clear" w:color="auto" w:fill="auto"/>
            <w:vAlign w:val="center"/>
          </w:tcPr>
          <w:p w14:paraId="42A54BB5" w14:textId="4BA6834E" w:rsidR="00BC700F" w:rsidRPr="009110C1" w:rsidRDefault="7E0ECF00" w:rsidP="00135B5E">
            <w:pPr>
              <w:spacing w:before="60" w:after="60"/>
              <w:rPr>
                <w:rFonts w:cstheme="minorBidi"/>
                <w:sz w:val="22"/>
                <w:szCs w:val="22"/>
              </w:rPr>
            </w:pPr>
            <w:r w:rsidRPr="632A2ABB">
              <w:rPr>
                <w:rFonts w:cstheme="minorBidi"/>
                <w:sz w:val="22"/>
                <w:szCs w:val="22"/>
              </w:rPr>
              <w:t xml:space="preserve">Document 30: </w:t>
            </w:r>
            <w:r w:rsidR="3285AE0A" w:rsidRPr="009110C1">
              <w:rPr>
                <w:rFonts w:cstheme="minorBidi"/>
                <w:sz w:val="22"/>
                <w:szCs w:val="22"/>
              </w:rPr>
              <w:t>TDAG noted with appreciation the proposed action plan put forward in this document, acknowledging its relationship to the broad continuity plans also proposed by BDT in Document 10(Rev.1).</w:t>
            </w:r>
          </w:p>
          <w:p w14:paraId="7833A27B" w14:textId="77777777" w:rsidR="004A453F" w:rsidRPr="009110C1" w:rsidRDefault="00CD53ED" w:rsidP="5529AB18">
            <w:pPr>
              <w:spacing w:before="60" w:after="60"/>
              <w:rPr>
                <w:rFonts w:cstheme="minorBidi"/>
                <w:sz w:val="22"/>
                <w:szCs w:val="22"/>
                <w:shd w:val="clear" w:color="auto" w:fill="FFFFFF"/>
              </w:rPr>
            </w:pPr>
            <w:hyperlink r:id="rId60">
              <w:r w:rsidR="662926C6" w:rsidRPr="5529AB18">
                <w:rPr>
                  <w:rStyle w:val="Hyperlink"/>
                  <w:rFonts w:cstheme="minorBidi"/>
                  <w:sz w:val="22"/>
                  <w:szCs w:val="22"/>
                </w:rPr>
                <w:t>Document 33</w:t>
              </w:r>
            </w:hyperlink>
            <w:r w:rsidR="662926C6" w:rsidRPr="5529AB18">
              <w:rPr>
                <w:rStyle w:val="Hyperlink"/>
                <w:rFonts w:cstheme="minorBidi"/>
                <w:sz w:val="22"/>
                <w:szCs w:val="22"/>
                <w:u w:val="none"/>
              </w:rPr>
              <w:t>:</w:t>
            </w:r>
            <w:r w:rsidR="662926C6" w:rsidRPr="5529AB18">
              <w:rPr>
                <w:rStyle w:val="Hyperlink"/>
                <w:sz w:val="22"/>
                <w:szCs w:val="22"/>
                <w:u w:val="none"/>
              </w:rPr>
              <w:t xml:space="preserve"> </w:t>
            </w:r>
            <w:r w:rsidR="788FC395" w:rsidRPr="5529AB18">
              <w:rPr>
                <w:rFonts w:eastAsiaTheme="minorEastAsia" w:cstheme="minorBidi"/>
                <w:sz w:val="22"/>
                <w:szCs w:val="22"/>
              </w:rPr>
              <w:t xml:space="preserve">TDAG noted with appreciation the proposals put forward in this document, observing its relationship to the broad continuity plans proposed by BDT in Document 10(Rev.1) section 2, on ITU-D study group work. In particular, TDAG agreed that </w:t>
            </w:r>
            <w:r w:rsidR="788FC395" w:rsidRPr="5529AB18">
              <w:rPr>
                <w:rFonts w:cstheme="minorBidi"/>
                <w:sz w:val="22"/>
                <w:szCs w:val="22"/>
              </w:rPr>
              <w:t xml:space="preserve">ITU-D should leverage and promote the study group’s output reports between now and </w:t>
            </w:r>
            <w:proofErr w:type="gramStart"/>
            <w:r w:rsidR="788FC395" w:rsidRPr="5529AB18">
              <w:rPr>
                <w:rFonts w:cstheme="minorBidi"/>
                <w:sz w:val="22"/>
                <w:szCs w:val="22"/>
              </w:rPr>
              <w:t>WTDC, and</w:t>
            </w:r>
            <w:proofErr w:type="gramEnd"/>
            <w:r w:rsidR="788FC395" w:rsidRPr="5529AB18">
              <w:rPr>
                <w:rFonts w:cstheme="minorBidi"/>
                <w:sz w:val="22"/>
                <w:szCs w:val="22"/>
              </w:rPr>
              <w:t xml:space="preserve"> would not re-open discussion or subject the reports to further revisions.</w:t>
            </w:r>
          </w:p>
          <w:p w14:paraId="5A9F2A79" w14:textId="71E9F916" w:rsidR="002F09E6" w:rsidRPr="009110C1" w:rsidRDefault="00CD53ED" w:rsidP="5529AB18">
            <w:pPr>
              <w:spacing w:before="60" w:after="60"/>
              <w:rPr>
                <w:rFonts w:cstheme="minorBidi"/>
                <w:sz w:val="22"/>
                <w:szCs w:val="22"/>
              </w:rPr>
            </w:pPr>
            <w:hyperlink r:id="rId61">
              <w:r w:rsidR="13773D7E" w:rsidRPr="5529AB18">
                <w:rPr>
                  <w:rStyle w:val="Hyperlink"/>
                  <w:rFonts w:cstheme="minorBidi"/>
                  <w:sz w:val="22"/>
                  <w:szCs w:val="22"/>
                </w:rPr>
                <w:t>Document 37</w:t>
              </w:r>
            </w:hyperlink>
            <w:r w:rsidR="13773D7E" w:rsidRPr="5529AB18">
              <w:rPr>
                <w:rStyle w:val="Hyperlink"/>
                <w:rFonts w:cstheme="minorBidi"/>
                <w:sz w:val="22"/>
                <w:szCs w:val="22"/>
                <w:u w:val="none"/>
              </w:rPr>
              <w:t>:</w:t>
            </w:r>
            <w:r w:rsidR="13773D7E" w:rsidRPr="5529AB18">
              <w:rPr>
                <w:rStyle w:val="Hyperlink"/>
                <w:sz w:val="22"/>
                <w:szCs w:val="22"/>
                <w:u w:val="none"/>
              </w:rPr>
              <w:t xml:space="preserve"> </w:t>
            </w:r>
            <w:r w:rsidR="19A513A3" w:rsidRPr="5529AB18">
              <w:rPr>
                <w:rFonts w:eastAsiaTheme="minorEastAsia" w:cstheme="minorBidi"/>
                <w:sz w:val="22"/>
                <w:szCs w:val="22"/>
              </w:rPr>
              <w:t xml:space="preserve">TDAG noted with appreciation the proposal put forward in this document, observing its relationship to the broad continuity plans proposed by BDT in Document 10(Rev.1) section 2. </w:t>
            </w:r>
          </w:p>
          <w:p w14:paraId="38347A99" w14:textId="6446B619" w:rsidR="002D1145" w:rsidRPr="009110C1" w:rsidRDefault="00CD53ED" w:rsidP="00135B5E">
            <w:pPr>
              <w:spacing w:before="60" w:after="60"/>
              <w:rPr>
                <w:rStyle w:val="Hyperlink"/>
                <w:color w:val="auto"/>
                <w:sz w:val="22"/>
                <w:szCs w:val="22"/>
                <w:u w:val="none"/>
              </w:rPr>
            </w:pPr>
            <w:hyperlink r:id="rId62">
              <w:r w:rsidR="17D49BB9" w:rsidRPr="5529AB18">
                <w:rPr>
                  <w:rStyle w:val="Hyperlink"/>
                  <w:rFonts w:cstheme="minorBidi"/>
                  <w:sz w:val="22"/>
                  <w:szCs w:val="22"/>
                </w:rPr>
                <w:t>Document 10</w:t>
              </w:r>
            </w:hyperlink>
            <w:r w:rsidR="17D49BB9" w:rsidRPr="5529AB18">
              <w:rPr>
                <w:rStyle w:val="Hyperlink"/>
                <w:rFonts w:cstheme="minorBidi"/>
                <w:sz w:val="22"/>
                <w:szCs w:val="22"/>
              </w:rPr>
              <w:t>(Rev.1)</w:t>
            </w:r>
            <w:r w:rsidR="17D49BB9" w:rsidRPr="5529AB18">
              <w:rPr>
                <w:rStyle w:val="Hyperlink"/>
                <w:rFonts w:cstheme="minorBidi"/>
                <w:sz w:val="22"/>
                <w:szCs w:val="22"/>
                <w:u w:val="none"/>
              </w:rPr>
              <w:t>:</w:t>
            </w:r>
            <w:r w:rsidR="17D49BB9" w:rsidRPr="5529AB18">
              <w:rPr>
                <w:rStyle w:val="Hyperlink"/>
                <w:sz w:val="22"/>
                <w:szCs w:val="22"/>
                <w:u w:val="none"/>
              </w:rPr>
              <w:t xml:space="preserve"> </w:t>
            </w:r>
            <w:r w:rsidR="76E8B13F" w:rsidRPr="5529AB18">
              <w:rPr>
                <w:rStyle w:val="Hyperlink"/>
                <w:color w:val="auto"/>
                <w:sz w:val="22"/>
                <w:szCs w:val="22"/>
                <w:u w:val="none"/>
              </w:rPr>
              <w:t>TDAG noted with appreciation the comprehensive document prepared by BDT proposing a course of action to ensure business continuity in ITU-D, given the impending postponement of WTDC-21.</w:t>
            </w:r>
          </w:p>
          <w:p w14:paraId="50501EE4" w14:textId="77777777" w:rsidR="002D1145" w:rsidRPr="009110C1" w:rsidRDefault="76E8B13F" w:rsidP="00135B5E">
            <w:pPr>
              <w:spacing w:before="60" w:after="60"/>
              <w:rPr>
                <w:rStyle w:val="Hyperlink"/>
                <w:color w:val="auto"/>
                <w:sz w:val="22"/>
                <w:szCs w:val="22"/>
                <w:u w:val="none"/>
              </w:rPr>
            </w:pPr>
            <w:r w:rsidRPr="009110C1">
              <w:rPr>
                <w:rStyle w:val="Hyperlink"/>
                <w:color w:val="auto"/>
                <w:sz w:val="22"/>
                <w:szCs w:val="22"/>
                <w:u w:val="none"/>
              </w:rPr>
              <w:lastRenderedPageBreak/>
              <w:t xml:space="preserve">Taking into account all contributions on the issue of continuity plans, TDAG agreed that study groups should continue their work, that the TDAG-WG-SOP and TDAG-WG-RDTP should continue their work and report to an extraordinary meeting of TDAG in November 2021, and that the schedule for interregional meetings should be adjusted. </w:t>
            </w:r>
          </w:p>
          <w:p w14:paraId="2CBDEC78" w14:textId="77777777" w:rsidR="002D1145" w:rsidRPr="009110C1" w:rsidRDefault="76E8B13F" w:rsidP="00135B5E">
            <w:pPr>
              <w:spacing w:before="60" w:after="60"/>
              <w:rPr>
                <w:rStyle w:val="Hyperlink"/>
                <w:color w:val="auto"/>
                <w:sz w:val="22"/>
                <w:szCs w:val="22"/>
                <w:u w:val="none"/>
              </w:rPr>
            </w:pPr>
            <w:r w:rsidRPr="009110C1">
              <w:rPr>
                <w:rStyle w:val="Hyperlink"/>
                <w:color w:val="auto"/>
                <w:sz w:val="22"/>
                <w:szCs w:val="22"/>
                <w:u w:val="none"/>
              </w:rPr>
              <w:t>TDAG also agreed that all documents that had been submitted to the meeting for consideration under agenda item 10.1 (Report of the work of the TDAG-WG-RDTP) would be presented, discussed, and fully considered by the TDAG-WG-RDTP at its next meetings.</w:t>
            </w:r>
          </w:p>
          <w:p w14:paraId="2D365E34" w14:textId="54F7A9F8" w:rsidR="00541074" w:rsidRPr="009110C1" w:rsidRDefault="76E8B13F" w:rsidP="00135B5E">
            <w:pPr>
              <w:spacing w:before="60" w:after="60"/>
              <w:rPr>
                <w:rStyle w:val="Hyperlink"/>
                <w:color w:val="auto"/>
                <w:sz w:val="22"/>
                <w:szCs w:val="22"/>
                <w:u w:val="none"/>
              </w:rPr>
            </w:pPr>
            <w:r w:rsidRPr="009110C1">
              <w:rPr>
                <w:rStyle w:val="Hyperlink"/>
                <w:color w:val="auto"/>
                <w:sz w:val="22"/>
                <w:szCs w:val="22"/>
                <w:u w:val="none"/>
              </w:rPr>
              <w:t>TDAG examined and approved proposed dates for the meetings of these groups, as contained in Document TDAG-21/DT/6(Rev.2)</w:t>
            </w:r>
            <w:r w:rsidR="54B09DBD" w:rsidRPr="632A2ABB">
              <w:rPr>
                <w:rStyle w:val="Hyperlink"/>
                <w:color w:val="auto"/>
                <w:sz w:val="22"/>
                <w:szCs w:val="22"/>
                <w:u w:val="none"/>
              </w:rPr>
              <w:t>.</w:t>
            </w:r>
            <w:r w:rsidRPr="009110C1">
              <w:rPr>
                <w:rStyle w:val="Hyperlink"/>
                <w:color w:val="auto"/>
                <w:sz w:val="22"/>
                <w:szCs w:val="22"/>
                <w:u w:val="none"/>
              </w:rPr>
              <w:t xml:space="preserve"> </w:t>
            </w:r>
          </w:p>
          <w:p w14:paraId="474D3FC5" w14:textId="77777777" w:rsidR="00143384" w:rsidRPr="009110C1" w:rsidRDefault="00CD53ED" w:rsidP="00135B5E">
            <w:pPr>
              <w:spacing w:before="60" w:after="60"/>
              <w:rPr>
                <w:rStyle w:val="Hyperlink"/>
                <w:color w:val="auto"/>
                <w:sz w:val="22"/>
                <w:szCs w:val="22"/>
                <w:u w:val="none"/>
              </w:rPr>
            </w:pPr>
            <w:hyperlink r:id="rId63" w:history="1">
              <w:r w:rsidR="40B949C0" w:rsidRPr="009110C1">
                <w:rPr>
                  <w:rStyle w:val="Hyperlink"/>
                  <w:rFonts w:cstheme="minorBidi"/>
                  <w:sz w:val="22"/>
                  <w:szCs w:val="22"/>
                </w:rPr>
                <w:t>Documents</w:t>
              </w:r>
              <w:r w:rsidR="40B949C0" w:rsidRPr="009110C1">
                <w:rPr>
                  <w:rStyle w:val="Hyperlink"/>
                  <w:sz w:val="22"/>
                  <w:szCs w:val="22"/>
                </w:rPr>
                <w:t xml:space="preserve"> 31 and</w:t>
              </w:r>
              <w:r w:rsidR="40B949C0" w:rsidRPr="009110C1">
                <w:rPr>
                  <w:rStyle w:val="Hyperlink"/>
                  <w:rFonts w:cstheme="minorBidi"/>
                  <w:sz w:val="22"/>
                  <w:szCs w:val="22"/>
                </w:rPr>
                <w:t xml:space="preserve"> 32</w:t>
              </w:r>
            </w:hyperlink>
            <w:r w:rsidR="40B949C0" w:rsidRPr="009110C1">
              <w:rPr>
                <w:rStyle w:val="Hyperlink"/>
                <w:rFonts w:cstheme="minorBidi"/>
                <w:sz w:val="22"/>
                <w:szCs w:val="22"/>
              </w:rPr>
              <w:t>:</w:t>
            </w:r>
            <w:r w:rsidR="40B949C0" w:rsidRPr="009110C1">
              <w:rPr>
                <w:rStyle w:val="Hyperlink"/>
                <w:sz w:val="22"/>
                <w:szCs w:val="22"/>
              </w:rPr>
              <w:t xml:space="preserve"> </w:t>
            </w:r>
            <w:r w:rsidR="06D7FE85" w:rsidRPr="009110C1">
              <w:rPr>
                <w:rStyle w:val="Hyperlink"/>
                <w:color w:val="auto"/>
                <w:sz w:val="22"/>
                <w:szCs w:val="22"/>
                <w:u w:val="none"/>
              </w:rPr>
              <w:t>TDAG noted the proposals and commended the Chairmen of SG1 and SG2, members of the Questions 4/1 and 7/1 management teams, and all contributors for their efforts and hard work in producing updated terms of reference.</w:t>
            </w:r>
          </w:p>
          <w:p w14:paraId="1DF233E5" w14:textId="79944746" w:rsidR="00EC4F2E" w:rsidRPr="009110C1" w:rsidRDefault="06D7FE85" w:rsidP="00135B5E">
            <w:pPr>
              <w:spacing w:before="60" w:after="60"/>
              <w:rPr>
                <w:rFonts w:cstheme="minorBidi"/>
                <w:sz w:val="22"/>
                <w:szCs w:val="22"/>
              </w:rPr>
            </w:pPr>
            <w:r w:rsidRPr="009110C1">
              <w:rPr>
                <w:rStyle w:val="Hyperlink"/>
                <w:color w:val="auto"/>
                <w:sz w:val="22"/>
                <w:szCs w:val="22"/>
                <w:u w:val="none"/>
              </w:rPr>
              <w:t>TDAG agreed that new and revised terms of reference for study Questions would continue to be discussed at the study group meetings to be held in October 2021 with the aim of reaching consensus. The results of these meetings would then be submitted to the November 2021 TDAG meeting for decision in accordance with the relevant provisions of Resolution 1 (Rev. Buenos Aires, 2017) of WTDC.</w:t>
            </w:r>
          </w:p>
        </w:tc>
      </w:tr>
      <w:tr w:rsidR="003A1A07" w:rsidRPr="00266855" w14:paraId="5E411892"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C3209B4" w14:textId="7C48B27E" w:rsidR="00BC700F" w:rsidRPr="009110C1" w:rsidRDefault="38BC2CC2" w:rsidP="00135B5E">
            <w:pPr>
              <w:spacing w:before="60" w:after="60"/>
              <w:rPr>
                <w:rFonts w:cstheme="minorBidi"/>
                <w:sz w:val="22"/>
                <w:szCs w:val="22"/>
              </w:rPr>
            </w:pPr>
            <w:r w:rsidRPr="009110C1">
              <w:rPr>
                <w:rFonts w:cstheme="minorBidi"/>
                <w:sz w:val="22"/>
                <w:szCs w:val="22"/>
              </w:rPr>
              <w:lastRenderedPageBreak/>
              <w:t>Structure of WTDC</w:t>
            </w:r>
          </w:p>
        </w:tc>
        <w:tc>
          <w:tcPr>
            <w:tcW w:w="5994" w:type="dxa"/>
            <w:tcBorders>
              <w:top w:val="single" w:sz="4" w:space="0" w:color="auto"/>
              <w:left w:val="nil"/>
              <w:bottom w:val="single" w:sz="4" w:space="0" w:color="auto"/>
              <w:right w:val="single" w:sz="4" w:space="0" w:color="auto"/>
            </w:tcBorders>
            <w:shd w:val="clear" w:color="auto" w:fill="auto"/>
            <w:vAlign w:val="center"/>
          </w:tcPr>
          <w:p w14:paraId="76AAFB4E" w14:textId="52D242CE" w:rsidR="00BC700F" w:rsidRPr="009110C1" w:rsidRDefault="11E3013A" w:rsidP="00135B5E">
            <w:pPr>
              <w:spacing w:before="60" w:after="60"/>
              <w:rPr>
                <w:rFonts w:cstheme="minorBidi"/>
                <w:sz w:val="22"/>
                <w:szCs w:val="22"/>
              </w:rPr>
            </w:pPr>
            <w:r w:rsidRPr="009110C1">
              <w:rPr>
                <w:rFonts w:cstheme="minorBidi"/>
                <w:sz w:val="22"/>
                <w:szCs w:val="22"/>
              </w:rPr>
              <w:t>TDAG noted the document with appreciation, and in particular the addition of the Partner2Connect for Digital Development Segment as a new integral part of the WTDC programme.</w:t>
            </w:r>
          </w:p>
        </w:tc>
      </w:tr>
      <w:tr w:rsidR="003A1A07" w:rsidRPr="00266855" w14:paraId="4C230D59"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32BFD97A" w14:textId="355F1AD1" w:rsidR="00B54EF0" w:rsidRPr="009110C1" w:rsidRDefault="075E5C73" w:rsidP="00135B5E">
            <w:pPr>
              <w:tabs>
                <w:tab w:val="clear" w:pos="1134"/>
                <w:tab w:val="clear" w:pos="1871"/>
                <w:tab w:val="left" w:pos="851"/>
              </w:tabs>
              <w:spacing w:before="60" w:after="60"/>
              <w:rPr>
                <w:rFonts w:cstheme="minorBidi"/>
                <w:sz w:val="22"/>
                <w:szCs w:val="22"/>
              </w:rPr>
            </w:pPr>
            <w:r w:rsidRPr="009110C1">
              <w:rPr>
                <w:rFonts w:cstheme="minorBidi"/>
                <w:sz w:val="22"/>
                <w:szCs w:val="22"/>
              </w:rPr>
              <w:t>Report on the work of the TDAG-WG-RDTP</w:t>
            </w:r>
          </w:p>
        </w:tc>
        <w:tc>
          <w:tcPr>
            <w:tcW w:w="5994" w:type="dxa"/>
            <w:tcBorders>
              <w:top w:val="single" w:sz="4" w:space="0" w:color="auto"/>
              <w:left w:val="nil"/>
              <w:bottom w:val="single" w:sz="4" w:space="0" w:color="auto"/>
              <w:right w:val="single" w:sz="4" w:space="0" w:color="auto"/>
            </w:tcBorders>
            <w:shd w:val="clear" w:color="auto" w:fill="auto"/>
            <w:vAlign w:val="center"/>
          </w:tcPr>
          <w:p w14:paraId="20F25269" w14:textId="77777777" w:rsidR="00345326" w:rsidRDefault="5AFB5592" w:rsidP="00135B5E">
            <w:pPr>
              <w:spacing w:before="60" w:after="60"/>
              <w:rPr>
                <w:rFonts w:cstheme="minorBidi"/>
                <w:sz w:val="22"/>
                <w:szCs w:val="22"/>
              </w:rPr>
            </w:pPr>
            <w:r w:rsidRPr="009110C1">
              <w:rPr>
                <w:rFonts w:cstheme="minorBidi"/>
                <w:sz w:val="22"/>
                <w:szCs w:val="22"/>
              </w:rPr>
              <w:t xml:space="preserve">TDAG noted with appreciation the report of the Chairman of the TDAG-WG-RDTP and commended him for the tremendous work done by the group to facilitate the work of the conference. TDAG agreed to extend the timeline for TDAG-WG-RDTP to continue and complete its work under the existing terms of reference and leadership according to the schedule approved by this meeting in Document TDAG-21/DT/6(Rev.2). </w:t>
            </w:r>
          </w:p>
          <w:p w14:paraId="0506DAB1" w14:textId="2C8FBA7F" w:rsidR="00B54EF0" w:rsidRPr="009110C1" w:rsidRDefault="5AFB5592" w:rsidP="00135B5E">
            <w:pPr>
              <w:spacing w:before="60" w:after="60"/>
              <w:rPr>
                <w:rFonts w:cstheme="minorBidi"/>
                <w:sz w:val="22"/>
                <w:szCs w:val="22"/>
              </w:rPr>
            </w:pPr>
            <w:r w:rsidRPr="009110C1">
              <w:rPr>
                <w:rFonts w:cstheme="minorBidi"/>
                <w:sz w:val="22"/>
                <w:szCs w:val="22"/>
              </w:rPr>
              <w:t xml:space="preserve">TDAG noted the proposal by TDAG-WG-RDTP to reduce the number of thematic priorities to those listed above and the proposal to have a fifth thematic priority on cybersecurity. </w:t>
            </w:r>
          </w:p>
        </w:tc>
      </w:tr>
      <w:tr w:rsidR="003A1A07" w:rsidRPr="00266855" w14:paraId="06B6A2E8"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4BAE6DF" w14:textId="136EEBFA" w:rsidR="00B54EF0" w:rsidRPr="009110C1" w:rsidRDefault="4A84EE5B" w:rsidP="00135B5E">
            <w:pPr>
              <w:tabs>
                <w:tab w:val="clear" w:pos="1134"/>
                <w:tab w:val="clear" w:pos="1871"/>
                <w:tab w:val="left" w:pos="851"/>
              </w:tabs>
              <w:spacing w:before="60" w:after="60"/>
              <w:rPr>
                <w:rFonts w:cstheme="minorBidi"/>
                <w:sz w:val="22"/>
                <w:szCs w:val="22"/>
              </w:rPr>
            </w:pPr>
            <w:r w:rsidRPr="009110C1">
              <w:rPr>
                <w:rFonts w:cstheme="minorBidi"/>
                <w:sz w:val="22"/>
                <w:szCs w:val="22"/>
              </w:rPr>
              <w:t>Matters Related to the ITU-D component of the ITU Strategic Plan and Report on the work of the TDAG-WG-SOP</w:t>
            </w:r>
          </w:p>
        </w:tc>
        <w:tc>
          <w:tcPr>
            <w:tcW w:w="5994" w:type="dxa"/>
            <w:tcBorders>
              <w:top w:val="single" w:sz="4" w:space="0" w:color="auto"/>
              <w:left w:val="nil"/>
              <w:bottom w:val="single" w:sz="4" w:space="0" w:color="auto"/>
              <w:right w:val="single" w:sz="4" w:space="0" w:color="auto"/>
            </w:tcBorders>
            <w:shd w:val="clear" w:color="auto" w:fill="auto"/>
            <w:vAlign w:val="center"/>
          </w:tcPr>
          <w:p w14:paraId="7D09EB41" w14:textId="77777777" w:rsidR="00210992" w:rsidRPr="009110C1" w:rsidRDefault="1AE74E32" w:rsidP="00135B5E">
            <w:pPr>
              <w:spacing w:before="60" w:after="60"/>
              <w:rPr>
                <w:rFonts w:eastAsiaTheme="minorEastAsia" w:cstheme="minorBidi"/>
                <w:sz w:val="22"/>
                <w:szCs w:val="22"/>
              </w:rPr>
            </w:pPr>
            <w:r w:rsidRPr="009110C1">
              <w:rPr>
                <w:rFonts w:eastAsiaTheme="minorEastAsia" w:cstheme="minorBidi"/>
                <w:sz w:val="22"/>
                <w:szCs w:val="22"/>
              </w:rPr>
              <w:t xml:space="preserve">TDAG respectfully noted the position of ATU and the Africa region presented in Documents 28 and 34 on the ITU-D contribution to the ITU strategic plan and agreed to their request, made during this meeting, to place on record the following statement: </w:t>
            </w:r>
          </w:p>
          <w:p w14:paraId="00930DFC" w14:textId="77777777" w:rsidR="00210992" w:rsidRPr="009110C1" w:rsidRDefault="1AE74E32" w:rsidP="00135B5E">
            <w:pPr>
              <w:overflowPunct/>
              <w:spacing w:before="60" w:after="60"/>
              <w:textAlignment w:val="auto"/>
              <w:rPr>
                <w:rFonts w:cstheme="minorBidi"/>
                <w:sz w:val="22"/>
                <w:szCs w:val="22"/>
              </w:rPr>
            </w:pPr>
            <w:r w:rsidRPr="009110C1">
              <w:rPr>
                <w:rFonts w:cstheme="minorBidi"/>
                <w:sz w:val="22"/>
                <w:szCs w:val="22"/>
              </w:rPr>
              <w:t xml:space="preserve">“African Member States share the view that WTDC is the right venue to deliberate on, and approve, the draft ITU-D contribution to the strategic plan of the Union, for the various </w:t>
            </w:r>
            <w:r w:rsidRPr="009110C1">
              <w:rPr>
                <w:rFonts w:cstheme="minorBidi"/>
                <w:sz w:val="22"/>
                <w:szCs w:val="22"/>
              </w:rPr>
              <w:lastRenderedPageBreak/>
              <w:t xml:space="preserve">reasons expressed during this TDAG-21 meeting. In view of the current exceptional circumstances, African Member States recommend that the current process of TDAG-WG-SOP will continue to proceed forward. At the same time, provision 1.8.2 of Resolution 1 and Resolution 24 of WTDC will be kept unchanged. The processes as set in these resolutions will be honoured to ensure that in normal circumstances, WTDC still </w:t>
            </w:r>
            <w:proofErr w:type="gramStart"/>
            <w:r w:rsidRPr="009110C1">
              <w:rPr>
                <w:rFonts w:cstheme="minorBidi"/>
                <w:sz w:val="22"/>
                <w:szCs w:val="22"/>
              </w:rPr>
              <w:t>has the opportunity to</w:t>
            </w:r>
            <w:proofErr w:type="gramEnd"/>
            <w:r w:rsidRPr="009110C1">
              <w:rPr>
                <w:rFonts w:cstheme="minorBidi"/>
                <w:sz w:val="22"/>
                <w:szCs w:val="22"/>
              </w:rPr>
              <w:t xml:space="preserve"> receive proposals and entertain discussions on the strategic plan. The ITU-D advisory group (i.e. TDAG) will be able to discuss and send its final input to the </w:t>
            </w:r>
            <w:r w:rsidRPr="009110C1">
              <w:rPr>
                <w:rFonts w:eastAsiaTheme="minorEastAsia" w:cstheme="minorBidi"/>
                <w:sz w:val="22"/>
                <w:szCs w:val="22"/>
                <w:lang w:val="en-US"/>
              </w:rPr>
              <w:t>Council Working Group on the strategic and financial plans</w:t>
            </w:r>
            <w:r w:rsidRPr="009110C1">
              <w:rPr>
                <w:rFonts w:cstheme="minorBidi"/>
                <w:sz w:val="22"/>
                <w:szCs w:val="22"/>
              </w:rPr>
              <w:t xml:space="preserve"> which will be created at the next Council session for further development. Moreover, African Member States want to make sure that all their members’ views and positions are recorded in the minutes of this meeting. Any other options related to the discussed issue, can be envisioned and further elaborated in other appropriate ITU venues, such as the ITU Council. This statement is only confined to this current circumstance that we are witnessing and should not be taken in any way as a precedent.”</w:t>
            </w:r>
          </w:p>
          <w:p w14:paraId="2F10F47E" w14:textId="77777777" w:rsidR="00B54EF0" w:rsidRPr="009110C1" w:rsidRDefault="1AE74E32" w:rsidP="00135B5E">
            <w:pPr>
              <w:spacing w:before="60" w:after="60"/>
              <w:rPr>
                <w:rFonts w:cstheme="minorBidi"/>
                <w:sz w:val="22"/>
                <w:szCs w:val="22"/>
              </w:rPr>
            </w:pPr>
            <w:r w:rsidRPr="009110C1">
              <w:rPr>
                <w:rFonts w:cstheme="minorBidi"/>
                <w:sz w:val="22"/>
                <w:szCs w:val="22"/>
              </w:rPr>
              <w:t xml:space="preserve">TDAG agreed that TDAG-WG-SOP would continue to meet, including by correspondence, would collect and reflect the aspirations and views of the D Sector membership on the strategic plan, and report to TDAG in November 2021. </w:t>
            </w:r>
          </w:p>
          <w:p w14:paraId="60403B79" w14:textId="25A9B375" w:rsidR="000D156A" w:rsidRPr="009110C1" w:rsidRDefault="00CD53ED" w:rsidP="00135B5E">
            <w:pPr>
              <w:spacing w:before="60" w:after="60"/>
              <w:rPr>
                <w:rFonts w:cstheme="minorBidi"/>
                <w:color w:val="000000" w:themeColor="text1"/>
                <w:sz w:val="22"/>
                <w:szCs w:val="22"/>
              </w:rPr>
            </w:pPr>
            <w:hyperlink r:id="rId64" w:history="1">
              <w:r w:rsidR="636BB331" w:rsidRPr="009110C1">
                <w:rPr>
                  <w:rStyle w:val="Hyperlink"/>
                  <w:rFonts w:cstheme="minorBidi"/>
                  <w:sz w:val="22"/>
                  <w:szCs w:val="22"/>
                </w:rPr>
                <w:t>Document 22</w:t>
              </w:r>
            </w:hyperlink>
            <w:r w:rsidR="636BB331" w:rsidRPr="009110C1">
              <w:rPr>
                <w:rStyle w:val="Hyperlink"/>
                <w:rFonts w:cstheme="minorBidi"/>
                <w:sz w:val="22"/>
                <w:szCs w:val="22"/>
              </w:rPr>
              <w:t>:</w:t>
            </w:r>
            <w:r w:rsidR="636BB331" w:rsidRPr="009110C1">
              <w:rPr>
                <w:rStyle w:val="Hyperlink"/>
                <w:sz w:val="22"/>
                <w:szCs w:val="22"/>
              </w:rPr>
              <w:t xml:space="preserve"> </w:t>
            </w:r>
            <w:r w:rsidR="4C349143" w:rsidRPr="009110C1">
              <w:rPr>
                <w:rFonts w:cstheme="minorBidi"/>
                <w:sz w:val="22"/>
                <w:szCs w:val="22"/>
              </w:rPr>
              <w:t xml:space="preserve">The Chairman of TDAG-WG-SOP, Ms Blanca Gonzalez (Spain), presented recommendations from the report of her group. TDAG agreed that the TDAG-WG-SOP would review the draft of the ITU strategic plan at its meeting in October 2021 which would follow the Council Working Group's first public consultation in September 2021. </w:t>
            </w:r>
          </w:p>
          <w:p w14:paraId="4137EB5A" w14:textId="5A5D0877" w:rsidR="00F62107" w:rsidRPr="009110C1" w:rsidRDefault="4C349143" w:rsidP="00135B5E">
            <w:pPr>
              <w:spacing w:before="60" w:after="60"/>
              <w:rPr>
                <w:rFonts w:cstheme="minorBidi"/>
                <w:sz w:val="22"/>
                <w:szCs w:val="22"/>
              </w:rPr>
            </w:pPr>
            <w:r w:rsidRPr="009110C1">
              <w:rPr>
                <w:rFonts w:cstheme="minorBidi"/>
                <w:sz w:val="22"/>
                <w:szCs w:val="22"/>
              </w:rPr>
              <w:t xml:space="preserve">TDAG also agreed to entrust TDAG-WG-SOP with preparing the </w:t>
            </w:r>
            <w:r w:rsidR="54B09DBD" w:rsidRPr="632A2ABB">
              <w:rPr>
                <w:rFonts w:cstheme="minorBidi"/>
                <w:sz w:val="22"/>
                <w:szCs w:val="22"/>
              </w:rPr>
              <w:t xml:space="preserve">draft </w:t>
            </w:r>
            <w:r w:rsidRPr="009110C1">
              <w:rPr>
                <w:rFonts w:cstheme="minorBidi"/>
                <w:sz w:val="22"/>
                <w:szCs w:val="22"/>
              </w:rPr>
              <w:t xml:space="preserve">Addis Ababa Action </w:t>
            </w:r>
            <w:proofErr w:type="gramStart"/>
            <w:r w:rsidRPr="009110C1">
              <w:rPr>
                <w:rFonts w:cstheme="minorBidi"/>
                <w:sz w:val="22"/>
                <w:szCs w:val="22"/>
              </w:rPr>
              <w:t>Plan</w:t>
            </w:r>
            <w:r w:rsidR="54B09DBD" w:rsidRPr="632A2ABB">
              <w:rPr>
                <w:rFonts w:cstheme="minorBidi"/>
                <w:sz w:val="22"/>
                <w:szCs w:val="22"/>
              </w:rPr>
              <w:t>,</w:t>
            </w:r>
            <w:r w:rsidRPr="009110C1">
              <w:rPr>
                <w:rFonts w:cstheme="minorBidi"/>
                <w:sz w:val="22"/>
                <w:szCs w:val="22"/>
              </w:rPr>
              <w:t xml:space="preserve"> and</w:t>
            </w:r>
            <w:proofErr w:type="gramEnd"/>
            <w:r w:rsidRPr="009110C1">
              <w:rPr>
                <w:rFonts w:cstheme="minorBidi"/>
                <w:sz w:val="22"/>
                <w:szCs w:val="22"/>
              </w:rPr>
              <w:t xml:space="preserve"> requested the BDT</w:t>
            </w:r>
            <w:r w:rsidR="54B09DBD" w:rsidRPr="632A2ABB">
              <w:rPr>
                <w:rFonts w:cstheme="minorBidi"/>
                <w:sz w:val="22"/>
                <w:szCs w:val="22"/>
              </w:rPr>
              <w:t xml:space="preserve"> </w:t>
            </w:r>
            <w:r w:rsidRPr="009110C1">
              <w:rPr>
                <w:rFonts w:cstheme="minorBidi"/>
                <w:sz w:val="22"/>
                <w:szCs w:val="22"/>
              </w:rPr>
              <w:t xml:space="preserve">secretariat to provide a skeleton draft for consideration by the group, and subsequent expansion at WTDC. </w:t>
            </w:r>
          </w:p>
        </w:tc>
      </w:tr>
      <w:tr w:rsidR="003A1A07" w:rsidRPr="00266855" w14:paraId="2BC767F1"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B08E2BF" w14:textId="1ADA4866" w:rsidR="00B54EF0" w:rsidRPr="009110C1" w:rsidRDefault="36042873" w:rsidP="00135B5E">
            <w:pPr>
              <w:spacing w:before="60" w:after="60"/>
              <w:rPr>
                <w:rFonts w:cstheme="minorBidi"/>
                <w:sz w:val="22"/>
                <w:szCs w:val="22"/>
              </w:rPr>
            </w:pPr>
            <w:r w:rsidRPr="009110C1">
              <w:rPr>
                <w:rFonts w:cstheme="minorBidi"/>
                <w:sz w:val="22"/>
                <w:szCs w:val="22"/>
              </w:rPr>
              <w:lastRenderedPageBreak/>
              <w:t>Report of the Regional Preparatory Meetings Coordination Meeting (RPM-CM)</w:t>
            </w:r>
          </w:p>
        </w:tc>
        <w:tc>
          <w:tcPr>
            <w:tcW w:w="5994" w:type="dxa"/>
            <w:tcBorders>
              <w:top w:val="single" w:sz="4" w:space="0" w:color="auto"/>
              <w:left w:val="nil"/>
              <w:bottom w:val="single" w:sz="4" w:space="0" w:color="auto"/>
              <w:right w:val="single" w:sz="4" w:space="0" w:color="auto"/>
            </w:tcBorders>
            <w:shd w:val="clear" w:color="auto" w:fill="auto"/>
            <w:vAlign w:val="center"/>
          </w:tcPr>
          <w:p w14:paraId="6EEF65F7" w14:textId="69D28061" w:rsidR="00B54EF0" w:rsidRPr="009110C1" w:rsidRDefault="61C704C5" w:rsidP="00135B5E">
            <w:pPr>
              <w:spacing w:before="60" w:after="60"/>
              <w:rPr>
                <w:rFonts w:cstheme="minorBidi"/>
                <w:sz w:val="22"/>
                <w:szCs w:val="22"/>
              </w:rPr>
            </w:pPr>
            <w:r w:rsidRPr="009110C1">
              <w:rPr>
                <w:rFonts w:eastAsiaTheme="minorEastAsia" w:cstheme="minorBidi"/>
                <w:sz w:val="22"/>
                <w:szCs w:val="22"/>
              </w:rPr>
              <w:t xml:space="preserve">TDAG noted the report and the presentation by His Excellency Ocko </w:t>
            </w:r>
            <w:r w:rsidR="54B09DBD" w:rsidRPr="632A2ABB">
              <w:rPr>
                <w:rFonts w:eastAsiaTheme="minorEastAsia" w:cstheme="minorBidi"/>
                <w:sz w:val="22"/>
                <w:szCs w:val="22"/>
              </w:rPr>
              <w:t xml:space="preserve">on the RPM-EUR </w:t>
            </w:r>
            <w:r w:rsidRPr="009110C1">
              <w:rPr>
                <w:rFonts w:eastAsiaTheme="minorEastAsia" w:cstheme="minorBidi"/>
                <w:sz w:val="22"/>
                <w:szCs w:val="22"/>
              </w:rPr>
              <w:t>with interest and appreciation.</w:t>
            </w:r>
          </w:p>
        </w:tc>
      </w:tr>
      <w:tr w:rsidR="003A1A07" w:rsidRPr="00266855" w14:paraId="7652E4F7"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4119F12" w14:textId="013DA89A" w:rsidR="00CE055E" w:rsidRPr="009110C1" w:rsidRDefault="037AE162" w:rsidP="00135B5E">
            <w:pPr>
              <w:spacing w:before="60" w:after="60"/>
              <w:rPr>
                <w:rFonts w:cstheme="minorBidi"/>
                <w:sz w:val="22"/>
                <w:szCs w:val="22"/>
              </w:rPr>
            </w:pPr>
            <w:r w:rsidRPr="009110C1">
              <w:rPr>
                <w:rFonts w:cstheme="minorBidi"/>
                <w:sz w:val="22"/>
                <w:szCs w:val="22"/>
              </w:rPr>
              <w:t>Report of IRM-1</w:t>
            </w:r>
          </w:p>
        </w:tc>
        <w:tc>
          <w:tcPr>
            <w:tcW w:w="5994" w:type="dxa"/>
            <w:tcBorders>
              <w:top w:val="single" w:sz="4" w:space="0" w:color="auto"/>
              <w:left w:val="nil"/>
              <w:bottom w:val="single" w:sz="4" w:space="0" w:color="auto"/>
              <w:right w:val="single" w:sz="4" w:space="0" w:color="auto"/>
            </w:tcBorders>
            <w:shd w:val="clear" w:color="auto" w:fill="auto"/>
            <w:vAlign w:val="center"/>
          </w:tcPr>
          <w:p w14:paraId="43104BB5" w14:textId="5D2BD027" w:rsidR="00CE055E" w:rsidRPr="009110C1" w:rsidRDefault="1D108727" w:rsidP="00135B5E">
            <w:pPr>
              <w:spacing w:before="60" w:after="60"/>
              <w:rPr>
                <w:rFonts w:eastAsiaTheme="minorEastAsia" w:cstheme="minorBidi"/>
                <w:sz w:val="22"/>
                <w:szCs w:val="22"/>
              </w:rPr>
            </w:pPr>
            <w:r w:rsidRPr="009110C1">
              <w:rPr>
                <w:rFonts w:eastAsiaTheme="minorEastAsia" w:cstheme="minorBidi"/>
                <w:sz w:val="22"/>
                <w:szCs w:val="22"/>
              </w:rPr>
              <w:t>TDAG noted the report with interest and appreciation.</w:t>
            </w:r>
          </w:p>
        </w:tc>
      </w:tr>
      <w:tr w:rsidR="003A1A07" w:rsidRPr="00266855" w14:paraId="44E9FFE1"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5A58D8D" w14:textId="6E836AF1" w:rsidR="00C134ED" w:rsidRPr="009110C1" w:rsidRDefault="0B365D9A" w:rsidP="00135B5E">
            <w:pPr>
              <w:spacing w:before="60" w:after="60"/>
              <w:rPr>
                <w:rFonts w:cstheme="minorBidi"/>
                <w:sz w:val="22"/>
                <w:szCs w:val="22"/>
              </w:rPr>
            </w:pPr>
            <w:r w:rsidRPr="009110C1">
              <w:rPr>
                <w:rFonts w:cstheme="minorBidi"/>
                <w:sz w:val="22"/>
                <w:szCs w:val="22"/>
              </w:rPr>
              <w:t>ITU-D Study Group 1 activities for the seventh study period</w:t>
            </w:r>
          </w:p>
        </w:tc>
        <w:tc>
          <w:tcPr>
            <w:tcW w:w="5994" w:type="dxa"/>
            <w:tcBorders>
              <w:top w:val="single" w:sz="4" w:space="0" w:color="auto"/>
              <w:left w:val="nil"/>
              <w:bottom w:val="single" w:sz="4" w:space="0" w:color="auto"/>
              <w:right w:val="single" w:sz="4" w:space="0" w:color="auto"/>
            </w:tcBorders>
            <w:shd w:val="clear" w:color="auto" w:fill="auto"/>
            <w:vAlign w:val="center"/>
          </w:tcPr>
          <w:p w14:paraId="4B34418C" w14:textId="4DB60891" w:rsidR="00C134ED" w:rsidRPr="009110C1" w:rsidRDefault="3DF13754" w:rsidP="00135B5E">
            <w:pPr>
              <w:pStyle w:val="Default"/>
              <w:spacing w:before="60" w:after="60"/>
              <w:rPr>
                <w:rFonts w:cstheme="minorBidi"/>
                <w:sz w:val="22"/>
                <w:szCs w:val="22"/>
              </w:rPr>
            </w:pPr>
            <w:r w:rsidRPr="009110C1">
              <w:rPr>
                <w:rFonts w:asciiTheme="minorHAnsi" w:hAnsiTheme="minorHAnsi" w:cstheme="minorBidi"/>
                <w:color w:val="auto"/>
                <w:sz w:val="22"/>
                <w:szCs w:val="22"/>
                <w:lang w:val="en-GB"/>
              </w:rPr>
              <w:t>TDAG noted with appreciation the report of the Chairman of Study Group 1 and congratulated her for the excellent work and for the achievements of the study group during the study period.</w:t>
            </w:r>
          </w:p>
        </w:tc>
      </w:tr>
      <w:tr w:rsidR="003A1A07" w:rsidRPr="00266855" w14:paraId="57A0032B"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39FCAE2E" w14:textId="3DC2D0BA" w:rsidR="00C134ED" w:rsidRPr="009110C1" w:rsidRDefault="30803755" w:rsidP="00FD1440">
            <w:pPr>
              <w:tabs>
                <w:tab w:val="clear" w:pos="1134"/>
                <w:tab w:val="clear" w:pos="1871"/>
                <w:tab w:val="left" w:pos="851"/>
              </w:tabs>
              <w:spacing w:before="60" w:after="60"/>
              <w:rPr>
                <w:rFonts w:cstheme="minorBidi"/>
                <w:sz w:val="22"/>
                <w:szCs w:val="22"/>
              </w:rPr>
            </w:pPr>
            <w:r w:rsidRPr="009110C1">
              <w:rPr>
                <w:rFonts w:cstheme="minorBidi"/>
                <w:sz w:val="22"/>
                <w:szCs w:val="22"/>
              </w:rPr>
              <w:t>ITU-D Study Group 2 activities for the seventh study period</w:t>
            </w:r>
          </w:p>
        </w:tc>
        <w:tc>
          <w:tcPr>
            <w:tcW w:w="5994" w:type="dxa"/>
            <w:tcBorders>
              <w:top w:val="single" w:sz="4" w:space="0" w:color="auto"/>
              <w:left w:val="nil"/>
              <w:bottom w:val="single" w:sz="4" w:space="0" w:color="auto"/>
              <w:right w:val="single" w:sz="4" w:space="0" w:color="auto"/>
            </w:tcBorders>
            <w:shd w:val="clear" w:color="auto" w:fill="auto"/>
            <w:vAlign w:val="center"/>
          </w:tcPr>
          <w:p w14:paraId="2DB2F2FA" w14:textId="1E2F8B87" w:rsidR="00C134ED" w:rsidRPr="009110C1" w:rsidRDefault="5E231DBD" w:rsidP="00135B5E">
            <w:pPr>
              <w:spacing w:before="60" w:after="60"/>
              <w:rPr>
                <w:rFonts w:eastAsiaTheme="minorEastAsia" w:cstheme="minorBidi"/>
                <w:sz w:val="22"/>
                <w:szCs w:val="22"/>
              </w:rPr>
            </w:pPr>
            <w:r w:rsidRPr="009110C1">
              <w:rPr>
                <w:rFonts w:eastAsiaTheme="minorEastAsia" w:cstheme="minorBidi"/>
                <w:sz w:val="22"/>
                <w:szCs w:val="22"/>
              </w:rPr>
              <w:t>TDAG noted with appreciation the report of the Chairman of Study Group 2 and congratulated him for the excellent work and for the achievements of the study group during the study period.</w:t>
            </w:r>
          </w:p>
        </w:tc>
      </w:tr>
      <w:tr w:rsidR="003A1A07" w:rsidRPr="00266855" w14:paraId="4DB12438"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1F5ACEB" w14:textId="25F8E3D2" w:rsidR="00192B82" w:rsidRPr="009110C1" w:rsidRDefault="4C494B26" w:rsidP="00135B5E">
            <w:pPr>
              <w:tabs>
                <w:tab w:val="clear" w:pos="1134"/>
                <w:tab w:val="clear" w:pos="1871"/>
                <w:tab w:val="left" w:pos="851"/>
              </w:tabs>
              <w:spacing w:before="60" w:after="60"/>
              <w:rPr>
                <w:rFonts w:cstheme="minorBidi"/>
                <w:sz w:val="22"/>
                <w:szCs w:val="22"/>
              </w:rPr>
            </w:pPr>
            <w:r w:rsidRPr="009110C1">
              <w:rPr>
                <w:rFonts w:cstheme="minorBidi"/>
                <w:sz w:val="22"/>
                <w:szCs w:val="22"/>
              </w:rPr>
              <w:lastRenderedPageBreak/>
              <w:t>Collaboration with the other Sectors</w:t>
            </w:r>
          </w:p>
        </w:tc>
        <w:tc>
          <w:tcPr>
            <w:tcW w:w="5994" w:type="dxa"/>
            <w:tcBorders>
              <w:top w:val="single" w:sz="4" w:space="0" w:color="auto"/>
              <w:left w:val="nil"/>
              <w:bottom w:val="single" w:sz="4" w:space="0" w:color="auto"/>
              <w:right w:val="single" w:sz="4" w:space="0" w:color="auto"/>
            </w:tcBorders>
            <w:shd w:val="clear" w:color="auto" w:fill="auto"/>
            <w:vAlign w:val="center"/>
          </w:tcPr>
          <w:p w14:paraId="58F79826" w14:textId="6553BEDF" w:rsidR="00192B82" w:rsidRPr="009110C1" w:rsidRDefault="37C33877" w:rsidP="00FD1440">
            <w:pPr>
              <w:pStyle w:val="Default"/>
              <w:spacing w:before="60" w:after="60"/>
              <w:rPr>
                <w:rFonts w:cstheme="minorBidi"/>
                <w:sz w:val="22"/>
                <w:szCs w:val="22"/>
              </w:rPr>
            </w:pPr>
            <w:r w:rsidRPr="009110C1">
              <w:rPr>
                <w:rFonts w:asciiTheme="minorHAnsi" w:hAnsiTheme="minorHAnsi" w:cstheme="minorBidi"/>
                <w:color w:val="auto"/>
                <w:sz w:val="22"/>
                <w:szCs w:val="22"/>
                <w:lang w:val="en-GB" w:eastAsia="en-US"/>
              </w:rPr>
              <w:t xml:space="preserve">TDAG noted with appreciation the report of the Chairman of the </w:t>
            </w:r>
            <w:r w:rsidRPr="009110C1">
              <w:rPr>
                <w:rFonts w:asciiTheme="minorHAnsi" w:hAnsiTheme="minorHAnsi" w:cstheme="minorBidi"/>
                <w:sz w:val="22"/>
                <w:szCs w:val="22"/>
              </w:rPr>
              <w:t>Inter-Sector Coordination Group (ISCG) on issues of mutual interest and congratulated him for his excellent work as chairman of the group.</w:t>
            </w:r>
          </w:p>
        </w:tc>
      </w:tr>
      <w:tr w:rsidR="00725F87" w:rsidRPr="00266855" w14:paraId="159F4913"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5BA25A7" w14:textId="192D6A90" w:rsidR="00AB015D" w:rsidRPr="009110C1" w:rsidRDefault="2E5A209B" w:rsidP="00135B5E">
            <w:pPr>
              <w:tabs>
                <w:tab w:val="clear" w:pos="1134"/>
                <w:tab w:val="clear" w:pos="1871"/>
                <w:tab w:val="left" w:pos="851"/>
              </w:tabs>
              <w:spacing w:before="60" w:after="60"/>
              <w:rPr>
                <w:rFonts w:cstheme="minorBidi"/>
                <w:sz w:val="22"/>
                <w:szCs w:val="22"/>
              </w:rPr>
            </w:pPr>
            <w:r w:rsidRPr="009110C1">
              <w:rPr>
                <w:sz w:val="22"/>
                <w:szCs w:val="22"/>
              </w:rPr>
              <w:t>ITU-D Partnership and Resource Mobilization</w:t>
            </w:r>
          </w:p>
        </w:tc>
        <w:tc>
          <w:tcPr>
            <w:tcW w:w="5994" w:type="dxa"/>
            <w:tcBorders>
              <w:top w:val="single" w:sz="4" w:space="0" w:color="auto"/>
              <w:left w:val="nil"/>
              <w:bottom w:val="single" w:sz="4" w:space="0" w:color="auto"/>
              <w:right w:val="single" w:sz="4" w:space="0" w:color="auto"/>
            </w:tcBorders>
            <w:shd w:val="clear" w:color="auto" w:fill="auto"/>
            <w:vAlign w:val="center"/>
          </w:tcPr>
          <w:p w14:paraId="01438057" w14:textId="789DFF20" w:rsidR="00AB015D" w:rsidRPr="009110C1" w:rsidRDefault="2E5A209B" w:rsidP="00135B5E">
            <w:pPr>
              <w:spacing w:before="60" w:after="60"/>
              <w:rPr>
                <w:rFonts w:eastAsiaTheme="minorEastAsia" w:cstheme="minorBidi"/>
                <w:sz w:val="22"/>
                <w:szCs w:val="22"/>
              </w:rPr>
            </w:pPr>
            <w:r w:rsidRPr="009110C1">
              <w:rPr>
                <w:rFonts w:eastAsiaTheme="minorEastAsia" w:cstheme="minorBidi"/>
                <w:color w:val="000000" w:themeColor="text1"/>
                <w:sz w:val="22"/>
                <w:szCs w:val="22"/>
              </w:rPr>
              <w:t>TDAG noted the document with appreciation and underlined the importance of partnership and resource mobilization to</w:t>
            </w:r>
            <w:r w:rsidRPr="009110C1">
              <w:rPr>
                <w:rFonts w:eastAsiaTheme="minorEastAsia"/>
                <w:color w:val="000000" w:themeColor="text1"/>
                <w:sz w:val="22"/>
                <w:szCs w:val="22"/>
              </w:rPr>
              <w:t xml:space="preserve"> </w:t>
            </w:r>
            <w:r w:rsidRPr="009110C1">
              <w:rPr>
                <w:rFonts w:eastAsiaTheme="minorEastAsia" w:cstheme="minorBidi"/>
                <w:color w:val="000000" w:themeColor="text1"/>
                <w:sz w:val="22"/>
                <w:szCs w:val="22"/>
              </w:rPr>
              <w:t>implement WTDC o</w:t>
            </w:r>
            <w:r w:rsidRPr="009110C1">
              <w:rPr>
                <w:rFonts w:eastAsiaTheme="minorEastAsia"/>
                <w:color w:val="000000" w:themeColor="text1"/>
                <w:sz w:val="22"/>
                <w:szCs w:val="22"/>
              </w:rPr>
              <w:t>utcomes</w:t>
            </w:r>
            <w:r w:rsidRPr="009110C1">
              <w:rPr>
                <w:rFonts w:eastAsiaTheme="minorEastAsia" w:cstheme="minorBidi"/>
                <w:color w:val="000000" w:themeColor="text1"/>
                <w:sz w:val="22"/>
                <w:szCs w:val="22"/>
              </w:rPr>
              <w:t xml:space="preserve">. TDAG reiterated its support for the Director’s reform process aimed at achieving a “Fit4Purpose” BDT that </w:t>
            </w:r>
            <w:proofErr w:type="gramStart"/>
            <w:r w:rsidRPr="009110C1">
              <w:rPr>
                <w:rFonts w:eastAsiaTheme="minorEastAsia" w:cstheme="minorBidi"/>
                <w:color w:val="000000" w:themeColor="text1"/>
                <w:sz w:val="22"/>
                <w:szCs w:val="22"/>
              </w:rPr>
              <w:t>is able to</w:t>
            </w:r>
            <w:proofErr w:type="gramEnd"/>
            <w:r w:rsidRPr="009110C1">
              <w:rPr>
                <w:rFonts w:eastAsiaTheme="minorEastAsia" w:cstheme="minorBidi"/>
                <w:color w:val="000000" w:themeColor="text1"/>
                <w:sz w:val="22"/>
                <w:szCs w:val="22"/>
              </w:rPr>
              <w:t xml:space="preserve"> identify and leverage new opportunities, build new partnerships, and more effectively engage with its traditional and long-standing partners.</w:t>
            </w:r>
          </w:p>
        </w:tc>
      </w:tr>
      <w:tr w:rsidR="003A1A07" w:rsidRPr="00266855" w14:paraId="394D8B34"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FBC319B" w14:textId="53BCB36B" w:rsidR="00AB015D" w:rsidRPr="009110C1" w:rsidRDefault="0E4A1303" w:rsidP="00135B5E">
            <w:pPr>
              <w:tabs>
                <w:tab w:val="clear" w:pos="1134"/>
                <w:tab w:val="clear" w:pos="1871"/>
                <w:tab w:val="clear" w:pos="2268"/>
                <w:tab w:val="left" w:pos="2040"/>
              </w:tabs>
              <w:spacing w:before="60" w:after="60"/>
              <w:rPr>
                <w:rFonts w:cstheme="minorBidi"/>
                <w:sz w:val="22"/>
                <w:szCs w:val="22"/>
              </w:rPr>
            </w:pPr>
            <w:r w:rsidRPr="009110C1">
              <w:rPr>
                <w:sz w:val="22"/>
                <w:szCs w:val="22"/>
              </w:rPr>
              <w:t>ITU-D Sector Members, Associates and Academia</w:t>
            </w:r>
          </w:p>
        </w:tc>
        <w:tc>
          <w:tcPr>
            <w:tcW w:w="5994" w:type="dxa"/>
            <w:tcBorders>
              <w:top w:val="single" w:sz="4" w:space="0" w:color="auto"/>
              <w:left w:val="nil"/>
              <w:bottom w:val="single" w:sz="4" w:space="0" w:color="auto"/>
              <w:right w:val="single" w:sz="4" w:space="0" w:color="auto"/>
            </w:tcBorders>
            <w:shd w:val="clear" w:color="auto" w:fill="auto"/>
            <w:vAlign w:val="center"/>
          </w:tcPr>
          <w:p w14:paraId="41C7B910" w14:textId="2B97F59B" w:rsidR="00AB015D" w:rsidRPr="009110C1" w:rsidRDefault="032FC6E4" w:rsidP="00135B5E">
            <w:pPr>
              <w:spacing w:before="60" w:after="60"/>
              <w:rPr>
                <w:rFonts w:eastAsiaTheme="minorEastAsia" w:cstheme="minorBidi"/>
                <w:sz w:val="22"/>
                <w:szCs w:val="22"/>
              </w:rPr>
            </w:pPr>
            <w:r w:rsidRPr="009110C1">
              <w:rPr>
                <w:rFonts w:eastAsiaTheme="minorEastAsia" w:cstheme="minorBidi"/>
                <w:sz w:val="22"/>
                <w:szCs w:val="22"/>
              </w:rPr>
              <w:t>TDAG noted the report and commended the secretariat for the fine efforts made and the initiatives being implemented to build more value for its membership. TDAG also highlighted the importance of linking study group work to membership participation.</w:t>
            </w:r>
          </w:p>
        </w:tc>
      </w:tr>
      <w:tr w:rsidR="003A1A07" w:rsidRPr="00266855" w14:paraId="58DFDD17"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DB7524F" w14:textId="55F47B23" w:rsidR="00AB015D" w:rsidRPr="009110C1" w:rsidRDefault="5EB87376" w:rsidP="00135B5E">
            <w:pPr>
              <w:tabs>
                <w:tab w:val="clear" w:pos="1134"/>
                <w:tab w:val="clear" w:pos="1871"/>
                <w:tab w:val="left" w:pos="851"/>
              </w:tabs>
              <w:spacing w:before="60" w:after="60"/>
              <w:rPr>
                <w:rFonts w:cstheme="minorBidi"/>
                <w:sz w:val="22"/>
                <w:szCs w:val="22"/>
              </w:rPr>
            </w:pPr>
            <w:r w:rsidRPr="009110C1">
              <w:rPr>
                <w:sz w:val="22"/>
                <w:szCs w:val="22"/>
              </w:rPr>
              <w:t>Report by the Chairman of the Group on Capacity Building Initiatives (GCBI)</w:t>
            </w:r>
          </w:p>
        </w:tc>
        <w:tc>
          <w:tcPr>
            <w:tcW w:w="5994" w:type="dxa"/>
            <w:tcBorders>
              <w:top w:val="single" w:sz="4" w:space="0" w:color="auto"/>
              <w:left w:val="nil"/>
              <w:bottom w:val="single" w:sz="4" w:space="0" w:color="auto"/>
              <w:right w:val="single" w:sz="4" w:space="0" w:color="auto"/>
            </w:tcBorders>
            <w:shd w:val="clear" w:color="auto" w:fill="auto"/>
            <w:vAlign w:val="center"/>
          </w:tcPr>
          <w:p w14:paraId="6CDD7A3C" w14:textId="6A7C4086" w:rsidR="00AB015D" w:rsidRPr="009110C1" w:rsidRDefault="1F3F2AC3" w:rsidP="00135B5E">
            <w:pPr>
              <w:spacing w:before="60" w:after="60"/>
              <w:rPr>
                <w:rFonts w:eastAsiaTheme="minorEastAsia" w:cstheme="minorBidi"/>
                <w:sz w:val="22"/>
                <w:szCs w:val="22"/>
              </w:rPr>
            </w:pPr>
            <w:r w:rsidRPr="009110C1">
              <w:rPr>
                <w:rFonts w:eastAsiaTheme="minorEastAsia" w:cstheme="minorBidi"/>
                <w:sz w:val="22"/>
                <w:szCs w:val="22"/>
              </w:rPr>
              <w:t>TDAG noted the report, expressed appreciation to GCBI and highlighted the importance of digital capacity and skills development in the work of BDT. TDAG recognized the impact of the COVID-19 pandemic on training and learning, including the growing shift towards online learning, and the need to address the digital skills requirements of youth and marginalized groups, through programmes such as the Digital Transformation Centre Initiative.</w:t>
            </w:r>
          </w:p>
        </w:tc>
      </w:tr>
      <w:tr w:rsidR="003A1A07" w:rsidRPr="00266855" w14:paraId="099F67E4"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5F92A33" w14:textId="3FD90FAA" w:rsidR="00F43460" w:rsidRPr="009110C1" w:rsidRDefault="29D76812" w:rsidP="00135B5E">
            <w:pPr>
              <w:tabs>
                <w:tab w:val="clear" w:pos="1134"/>
                <w:tab w:val="clear" w:pos="1871"/>
                <w:tab w:val="left" w:pos="851"/>
              </w:tabs>
              <w:spacing w:before="60" w:after="60"/>
              <w:rPr>
                <w:sz w:val="22"/>
                <w:szCs w:val="22"/>
              </w:rPr>
            </w:pPr>
            <w:r w:rsidRPr="009110C1">
              <w:rPr>
                <w:sz w:val="22"/>
                <w:szCs w:val="22"/>
              </w:rPr>
              <w:t>Contribution to the work of the Expert Group on the International Telecommunication Regulations (EG-ITR)</w:t>
            </w:r>
          </w:p>
        </w:tc>
        <w:tc>
          <w:tcPr>
            <w:tcW w:w="5994" w:type="dxa"/>
            <w:tcBorders>
              <w:top w:val="single" w:sz="4" w:space="0" w:color="auto"/>
              <w:left w:val="nil"/>
              <w:bottom w:val="single" w:sz="4" w:space="0" w:color="auto"/>
              <w:right w:val="single" w:sz="4" w:space="0" w:color="auto"/>
            </w:tcBorders>
            <w:shd w:val="clear" w:color="auto" w:fill="auto"/>
            <w:vAlign w:val="center"/>
          </w:tcPr>
          <w:p w14:paraId="72D4E980" w14:textId="4163DA71" w:rsidR="00F43460" w:rsidRPr="009110C1" w:rsidRDefault="68A831BD" w:rsidP="00135B5E">
            <w:pPr>
              <w:pStyle w:val="Colloquy1"/>
              <w:tabs>
                <w:tab w:val="left" w:pos="720"/>
                <w:tab w:val="left" w:pos="1440"/>
              </w:tabs>
              <w:spacing w:before="60" w:after="60"/>
              <w:rPr>
                <w:rFonts w:cstheme="minorBidi"/>
                <w:color w:val="000000" w:themeColor="text1"/>
                <w:sz w:val="22"/>
                <w:szCs w:val="22"/>
              </w:rPr>
            </w:pPr>
            <w:r w:rsidRPr="009110C1">
              <w:rPr>
                <w:rFonts w:asciiTheme="minorHAnsi" w:hAnsiTheme="minorHAnsi" w:cstheme="minorBidi"/>
                <w:sz w:val="22"/>
                <w:szCs w:val="22"/>
                <w:lang w:val="en-GB"/>
              </w:rPr>
              <w:t>TDAG noted the progress report from the Expert Group on the International Telecommunication Regulations (EG-ITR) and requested that its appreciation be conveyed to the group, with the Chairman of TDAG informing participants that any inputs to the work of EG-ITR could be channelled through the BDT secretariat.</w:t>
            </w:r>
          </w:p>
        </w:tc>
      </w:tr>
      <w:tr w:rsidR="003A1A07" w:rsidRPr="00266855" w14:paraId="081DCBD5"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96254C8" w14:textId="47EB7B48" w:rsidR="00F43460" w:rsidRPr="009110C1" w:rsidRDefault="2726C3EA" w:rsidP="00135B5E">
            <w:pPr>
              <w:tabs>
                <w:tab w:val="clear" w:pos="1134"/>
                <w:tab w:val="clear" w:pos="1871"/>
                <w:tab w:val="left" w:pos="851"/>
              </w:tabs>
              <w:spacing w:before="60" w:after="60"/>
              <w:rPr>
                <w:sz w:val="22"/>
                <w:szCs w:val="22"/>
              </w:rPr>
            </w:pPr>
            <w:r w:rsidRPr="009110C1">
              <w:rPr>
                <w:sz w:val="22"/>
                <w:szCs w:val="22"/>
              </w:rPr>
              <w:t>Update on ITU Regional Presence Review</w:t>
            </w:r>
          </w:p>
        </w:tc>
        <w:tc>
          <w:tcPr>
            <w:tcW w:w="5994" w:type="dxa"/>
            <w:tcBorders>
              <w:top w:val="single" w:sz="4" w:space="0" w:color="auto"/>
              <w:left w:val="nil"/>
              <w:bottom w:val="single" w:sz="4" w:space="0" w:color="auto"/>
              <w:right w:val="single" w:sz="4" w:space="0" w:color="auto"/>
            </w:tcBorders>
            <w:shd w:val="clear" w:color="auto" w:fill="auto"/>
            <w:vAlign w:val="center"/>
          </w:tcPr>
          <w:p w14:paraId="3C5B49C2" w14:textId="6256178E" w:rsidR="00F43460" w:rsidRPr="009110C1" w:rsidRDefault="0A22A7F3" w:rsidP="00135B5E">
            <w:pPr>
              <w:spacing w:before="60" w:after="60"/>
              <w:rPr>
                <w:rFonts w:eastAsiaTheme="minorEastAsia" w:cstheme="minorBidi"/>
                <w:sz w:val="22"/>
                <w:szCs w:val="22"/>
              </w:rPr>
            </w:pPr>
            <w:r w:rsidRPr="009110C1">
              <w:rPr>
                <w:rFonts w:eastAsiaTheme="minorEastAsia" w:cstheme="minorBidi"/>
                <w:sz w:val="22"/>
                <w:szCs w:val="22"/>
              </w:rPr>
              <w:t>TDAG welcomed the report with appreciation.</w:t>
            </w:r>
          </w:p>
        </w:tc>
      </w:tr>
      <w:tr w:rsidR="003A1A07" w:rsidRPr="00266855" w14:paraId="0E5BC54A"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FE95EAF" w14:textId="6E522C25" w:rsidR="00B227BA" w:rsidRPr="009110C1" w:rsidRDefault="6A1DE62A" w:rsidP="00135B5E">
            <w:pPr>
              <w:tabs>
                <w:tab w:val="clear" w:pos="1134"/>
                <w:tab w:val="clear" w:pos="1871"/>
                <w:tab w:val="left" w:pos="851"/>
              </w:tabs>
              <w:spacing w:before="60" w:after="60"/>
              <w:rPr>
                <w:sz w:val="22"/>
                <w:szCs w:val="22"/>
              </w:rPr>
            </w:pPr>
            <w:r w:rsidRPr="009110C1">
              <w:rPr>
                <w:sz w:val="22"/>
                <w:szCs w:val="22"/>
              </w:rPr>
              <w:t>Updates to measures and principles for interpretation and translation in ITU</w:t>
            </w:r>
          </w:p>
        </w:tc>
        <w:tc>
          <w:tcPr>
            <w:tcW w:w="5994" w:type="dxa"/>
            <w:tcBorders>
              <w:top w:val="single" w:sz="4" w:space="0" w:color="auto"/>
              <w:left w:val="nil"/>
              <w:bottom w:val="single" w:sz="4" w:space="0" w:color="auto"/>
              <w:right w:val="single" w:sz="4" w:space="0" w:color="auto"/>
            </w:tcBorders>
            <w:shd w:val="clear" w:color="auto" w:fill="auto"/>
            <w:vAlign w:val="center"/>
          </w:tcPr>
          <w:p w14:paraId="36E25776" w14:textId="023A3F53" w:rsidR="00B227BA" w:rsidRPr="009110C1" w:rsidRDefault="2840AA89" w:rsidP="00135B5E">
            <w:pPr>
              <w:spacing w:before="60" w:after="60"/>
              <w:rPr>
                <w:rFonts w:eastAsiaTheme="minorEastAsia" w:cstheme="minorBidi"/>
                <w:sz w:val="22"/>
                <w:szCs w:val="22"/>
              </w:rPr>
            </w:pPr>
            <w:r w:rsidRPr="009110C1">
              <w:rPr>
                <w:rFonts w:eastAsiaTheme="minorEastAsia" w:cstheme="minorBidi"/>
                <w:sz w:val="22"/>
                <w:szCs w:val="22"/>
              </w:rPr>
              <w:t xml:space="preserve">TDAG noted the information document on measures and principles for interpretation and translation in ITU, underscored the importance of this topic, and stressed the need to harmonize these measures across the Union. </w:t>
            </w:r>
          </w:p>
        </w:tc>
      </w:tr>
      <w:tr w:rsidR="003A1A07" w:rsidRPr="00266855" w14:paraId="05C34B76"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640B78E" w14:textId="4F8FE0C4" w:rsidR="003D07D5" w:rsidRPr="009110C1" w:rsidRDefault="6ACA516F" w:rsidP="00135B5E">
            <w:pPr>
              <w:tabs>
                <w:tab w:val="clear" w:pos="1134"/>
                <w:tab w:val="clear" w:pos="1871"/>
                <w:tab w:val="left" w:pos="851"/>
              </w:tabs>
              <w:spacing w:before="60" w:after="60"/>
              <w:rPr>
                <w:sz w:val="22"/>
                <w:szCs w:val="22"/>
              </w:rPr>
            </w:pPr>
            <w:r w:rsidRPr="009110C1">
              <w:rPr>
                <w:sz w:val="22"/>
                <w:szCs w:val="22"/>
              </w:rPr>
              <w:t>Harmonization of ITU websites</w:t>
            </w:r>
          </w:p>
        </w:tc>
        <w:tc>
          <w:tcPr>
            <w:tcW w:w="5994" w:type="dxa"/>
            <w:tcBorders>
              <w:top w:val="single" w:sz="4" w:space="0" w:color="auto"/>
              <w:left w:val="nil"/>
              <w:bottom w:val="single" w:sz="4" w:space="0" w:color="auto"/>
              <w:right w:val="single" w:sz="4" w:space="0" w:color="auto"/>
            </w:tcBorders>
            <w:shd w:val="clear" w:color="auto" w:fill="auto"/>
            <w:vAlign w:val="center"/>
          </w:tcPr>
          <w:p w14:paraId="0BCE9B88" w14:textId="0F9C0189" w:rsidR="003D07D5" w:rsidRPr="009110C1" w:rsidRDefault="4075238F" w:rsidP="00135B5E">
            <w:pPr>
              <w:spacing w:before="60" w:after="60"/>
              <w:rPr>
                <w:rFonts w:eastAsiaTheme="minorEastAsia" w:cstheme="minorBidi"/>
                <w:sz w:val="22"/>
                <w:szCs w:val="22"/>
              </w:rPr>
            </w:pPr>
            <w:r w:rsidRPr="009110C1">
              <w:rPr>
                <w:rFonts w:eastAsiaTheme="minorEastAsia" w:cstheme="minorBidi"/>
                <w:sz w:val="22"/>
                <w:szCs w:val="22"/>
              </w:rPr>
              <w:t>TDAG welcomed the presentation on the One ITU website project and the next steps concerning the ITU-D website. TDAG called for all issues being faced by delegates on the current website to be taken on board by the project team and to be resolved.</w:t>
            </w:r>
          </w:p>
        </w:tc>
      </w:tr>
      <w:tr w:rsidR="003A1A07" w:rsidRPr="00266855" w14:paraId="6E418B67"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3E807D3" w14:textId="5352D9E8" w:rsidR="000F6FBD" w:rsidRPr="009110C1" w:rsidRDefault="56BF135B" w:rsidP="00135B5E">
            <w:pPr>
              <w:tabs>
                <w:tab w:val="clear" w:pos="1134"/>
                <w:tab w:val="clear" w:pos="1871"/>
                <w:tab w:val="left" w:pos="851"/>
              </w:tabs>
              <w:spacing w:before="60" w:after="60"/>
              <w:rPr>
                <w:sz w:val="22"/>
                <w:szCs w:val="22"/>
              </w:rPr>
            </w:pPr>
            <w:r w:rsidRPr="009110C1">
              <w:rPr>
                <w:sz w:val="22"/>
                <w:szCs w:val="22"/>
              </w:rPr>
              <w:t>Calendar of ITU-D events</w:t>
            </w:r>
          </w:p>
        </w:tc>
        <w:tc>
          <w:tcPr>
            <w:tcW w:w="5994" w:type="dxa"/>
            <w:tcBorders>
              <w:top w:val="single" w:sz="4" w:space="0" w:color="auto"/>
              <w:left w:val="nil"/>
              <w:bottom w:val="single" w:sz="4" w:space="0" w:color="auto"/>
              <w:right w:val="single" w:sz="4" w:space="0" w:color="auto"/>
            </w:tcBorders>
            <w:shd w:val="clear" w:color="auto" w:fill="auto"/>
            <w:vAlign w:val="center"/>
          </w:tcPr>
          <w:p w14:paraId="7780EB36" w14:textId="51D741FD" w:rsidR="000F6FBD" w:rsidRPr="009110C1" w:rsidRDefault="1474ACF6" w:rsidP="00135B5E">
            <w:pPr>
              <w:pStyle w:val="CEONormal"/>
              <w:spacing w:before="60" w:after="60"/>
              <w:rPr>
                <w:color w:val="000000" w:themeColor="text1"/>
                <w:sz w:val="22"/>
                <w:szCs w:val="22"/>
              </w:rPr>
            </w:pPr>
            <w:r w:rsidRPr="009110C1">
              <w:rPr>
                <w:rFonts w:asciiTheme="minorHAnsi" w:eastAsia="Calibri" w:hAnsiTheme="minorHAnsi" w:cstheme="minorBidi"/>
                <w:sz w:val="22"/>
                <w:szCs w:val="22"/>
              </w:rPr>
              <w:t>TDAG noted the calendar for 2021 and 2022 with appreciation and approved the proposed calendar for the remainder of the preparatory process.</w:t>
            </w:r>
          </w:p>
        </w:tc>
      </w:tr>
      <w:tr w:rsidR="003A1A07" w:rsidRPr="00266855" w14:paraId="05A2DDF0" w14:textId="77777777" w:rsidTr="5529AB18">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4FC39A96" w14:textId="3172E520" w:rsidR="00982A52" w:rsidRPr="009110C1" w:rsidRDefault="47F25AE3" w:rsidP="00135B5E">
            <w:pPr>
              <w:tabs>
                <w:tab w:val="clear" w:pos="1134"/>
                <w:tab w:val="clear" w:pos="1871"/>
                <w:tab w:val="left" w:pos="567"/>
              </w:tabs>
              <w:spacing w:before="60" w:after="60"/>
              <w:rPr>
                <w:sz w:val="22"/>
                <w:szCs w:val="22"/>
              </w:rPr>
            </w:pPr>
            <w:r w:rsidRPr="009110C1">
              <w:rPr>
                <w:sz w:val="22"/>
                <w:szCs w:val="22"/>
              </w:rPr>
              <w:lastRenderedPageBreak/>
              <w:t>Any other business</w:t>
            </w:r>
          </w:p>
        </w:tc>
        <w:tc>
          <w:tcPr>
            <w:tcW w:w="5994" w:type="dxa"/>
            <w:tcBorders>
              <w:top w:val="single" w:sz="4" w:space="0" w:color="auto"/>
              <w:left w:val="nil"/>
              <w:bottom w:val="single" w:sz="4" w:space="0" w:color="auto"/>
              <w:right w:val="single" w:sz="4" w:space="0" w:color="auto"/>
            </w:tcBorders>
            <w:shd w:val="clear" w:color="auto" w:fill="auto"/>
            <w:vAlign w:val="center"/>
          </w:tcPr>
          <w:p w14:paraId="0985850E" w14:textId="77777777" w:rsidR="00266855" w:rsidRPr="009110C1" w:rsidRDefault="5EEE0AB5" w:rsidP="00135B5E">
            <w:pPr>
              <w:pStyle w:val="CEONormal"/>
              <w:spacing w:before="60" w:after="60"/>
              <w:rPr>
                <w:rFonts w:asciiTheme="minorHAnsi" w:eastAsia="Calibri" w:hAnsiTheme="minorHAnsi" w:cstheme="minorBidi"/>
                <w:sz w:val="22"/>
                <w:szCs w:val="22"/>
              </w:rPr>
            </w:pPr>
            <w:r w:rsidRPr="009110C1">
              <w:rPr>
                <w:rFonts w:asciiTheme="minorHAnsi" w:eastAsia="Calibri" w:hAnsiTheme="minorHAnsi" w:cstheme="minorBidi"/>
                <w:sz w:val="22"/>
                <w:szCs w:val="22"/>
              </w:rPr>
              <w:t xml:space="preserve">The BDT secretariat presented a live demonstration of its two new information dashboards developed to support results-based management in BDT: (1) The BDT Reporting Dashboard, which monitors how operational planning resources are being used, facilitates collaboration between teams, and helps identify opportunities to repurpose resources throughout the year; and (2) the BDT Project Assessment Dashboard, which identifies the implementation status of projects using criteria such as the percentage of activities completed, key performance indicators (KPIs) and disbursement of funds. The tool allows for projects with a risk of delay to be a quickly identified and remedied. </w:t>
            </w:r>
          </w:p>
          <w:p w14:paraId="1E0E45A9" w14:textId="624E19BD" w:rsidR="00982A52" w:rsidRPr="009110C1" w:rsidRDefault="5EEE0AB5" w:rsidP="00135B5E">
            <w:pPr>
              <w:pStyle w:val="CEONormal"/>
              <w:spacing w:before="60" w:after="60"/>
              <w:rPr>
                <w:rFonts w:asciiTheme="minorHAnsi" w:eastAsia="Calibri" w:hAnsiTheme="minorHAnsi" w:cstheme="minorBidi"/>
                <w:sz w:val="22"/>
                <w:szCs w:val="22"/>
              </w:rPr>
            </w:pPr>
            <w:r w:rsidRPr="009110C1">
              <w:rPr>
                <w:rFonts w:asciiTheme="minorHAnsi" w:eastAsia="Calibri" w:hAnsiTheme="minorHAnsi" w:cstheme="minorBidi"/>
                <w:sz w:val="22"/>
                <w:szCs w:val="22"/>
              </w:rPr>
              <w:t>The presentation was followed by interventions from several Member States, who expressed appreciation for the new tools and encouraged the secretariat to make them available to the rest of ITU, as well as to ITU delegates, for better transparency on the use of ITU resources.</w:t>
            </w:r>
          </w:p>
        </w:tc>
      </w:tr>
    </w:tbl>
    <w:p w14:paraId="4F002606" w14:textId="6EF3A8F4" w:rsidR="00B03303" w:rsidRPr="00BC78ED" w:rsidRDefault="00B03303" w:rsidP="004D1A35">
      <w:pPr>
        <w:pStyle w:val="Heading1"/>
        <w:keepNext/>
        <w:spacing w:before="360"/>
        <w:ind w:left="567" w:hanging="567"/>
      </w:pPr>
      <w:bookmarkStart w:id="28" w:name="_Toc85818108"/>
      <w:r w:rsidRPr="00BC78ED">
        <w:t xml:space="preserve">TDAG </w:t>
      </w:r>
      <w:r w:rsidR="00887637">
        <w:t>Working</w:t>
      </w:r>
      <w:r w:rsidR="00887637" w:rsidRPr="00BC78ED">
        <w:t xml:space="preserve"> </w:t>
      </w:r>
      <w:r w:rsidRPr="00BC78ED">
        <w:t>Group Meetings</w:t>
      </w:r>
      <w:bookmarkEnd w:id="23"/>
      <w:bookmarkEnd w:id="24"/>
      <w:bookmarkEnd w:id="28"/>
      <w:r w:rsidRPr="00BC78ED">
        <w:t xml:space="preserve"> </w:t>
      </w:r>
    </w:p>
    <w:p w14:paraId="5E6A0EDD" w14:textId="51D11EC4" w:rsidR="00B03303" w:rsidRDefault="5934B518">
      <w:pPr>
        <w:tabs>
          <w:tab w:val="clear" w:pos="1134"/>
          <w:tab w:val="left" w:pos="567"/>
        </w:tabs>
      </w:pPr>
      <w:r>
        <w:t>TDAG, at its meetings on 2-5 Ju</w:t>
      </w:r>
      <w:r w:rsidR="2C758143">
        <w:t xml:space="preserve">ne and 16 June 2020, decided to </w:t>
      </w:r>
      <w:r w:rsidR="793BE1CE">
        <w:t xml:space="preserve">establish </w:t>
      </w:r>
      <w:r w:rsidR="79AF4E9B">
        <w:t xml:space="preserve">three </w:t>
      </w:r>
      <w:r w:rsidR="677C17E2">
        <w:t xml:space="preserve">Working </w:t>
      </w:r>
      <w:r w:rsidR="79AF4E9B">
        <w:t>Groups:</w:t>
      </w:r>
    </w:p>
    <w:p w14:paraId="0FD7F809" w14:textId="424E225B" w:rsidR="00B03303" w:rsidRDefault="79AF4E9B" w:rsidP="001B769C">
      <w:pPr>
        <w:pStyle w:val="ListParagraph"/>
        <w:numPr>
          <w:ilvl w:val="0"/>
          <w:numId w:val="4"/>
        </w:numPr>
        <w:tabs>
          <w:tab w:val="clear" w:pos="1134"/>
        </w:tabs>
        <w:spacing w:before="60"/>
        <w:ind w:left="357" w:hanging="357"/>
        <w:contextualSpacing w:val="0"/>
      </w:pPr>
      <w:r>
        <w:t xml:space="preserve">TDAG </w:t>
      </w:r>
      <w:r w:rsidR="677C17E2">
        <w:t xml:space="preserve">Working </w:t>
      </w:r>
      <w:r>
        <w:t xml:space="preserve">Group on </w:t>
      </w:r>
      <w:r w:rsidR="677C17E2">
        <w:t>WTDC Preparations</w:t>
      </w:r>
      <w:r w:rsidR="3B1E69DB">
        <w:t xml:space="preserve"> (</w:t>
      </w:r>
      <w:hyperlink r:id="rId65" w:history="1">
        <w:r w:rsidR="3B1E69DB" w:rsidRPr="0DF2EF04">
          <w:rPr>
            <w:rStyle w:val="Hyperlink"/>
          </w:rPr>
          <w:t>Working Group webpage</w:t>
        </w:r>
      </w:hyperlink>
      <w:r w:rsidR="3B1E69DB">
        <w:t>)</w:t>
      </w:r>
      <w:r>
        <w:t>;</w:t>
      </w:r>
    </w:p>
    <w:p w14:paraId="46721407" w14:textId="7D7854EF" w:rsidR="00B03303" w:rsidRDefault="79AF4E9B" w:rsidP="001B769C">
      <w:pPr>
        <w:pStyle w:val="ListParagraph"/>
        <w:numPr>
          <w:ilvl w:val="0"/>
          <w:numId w:val="4"/>
        </w:numPr>
        <w:tabs>
          <w:tab w:val="clear" w:pos="1134"/>
        </w:tabs>
        <w:spacing w:before="60"/>
        <w:ind w:left="357" w:hanging="357"/>
        <w:contextualSpacing w:val="0"/>
        <w:rPr>
          <w:rFonts w:eastAsiaTheme="minorEastAsia" w:cstheme="minorBidi"/>
          <w:szCs w:val="24"/>
        </w:rPr>
      </w:pPr>
      <w:r>
        <w:t xml:space="preserve">TDAG </w:t>
      </w:r>
      <w:r w:rsidR="677C17E2">
        <w:t xml:space="preserve">Working </w:t>
      </w:r>
      <w:r>
        <w:t xml:space="preserve">Group on </w:t>
      </w:r>
      <w:r w:rsidR="3E922293">
        <w:t xml:space="preserve">WTDC </w:t>
      </w:r>
      <w:r w:rsidR="677C17E2">
        <w:t>Resolutions, Declaration and Thematic Priorities</w:t>
      </w:r>
      <w:r w:rsidR="1E8DF586">
        <w:t xml:space="preserve"> (</w:t>
      </w:r>
      <w:hyperlink r:id="rId66" w:history="1">
        <w:r w:rsidR="1E8DF586" w:rsidRPr="0DF2EF04">
          <w:rPr>
            <w:rStyle w:val="Hyperlink"/>
          </w:rPr>
          <w:t>Working Group webpage</w:t>
        </w:r>
      </w:hyperlink>
      <w:r w:rsidR="1E8DF586">
        <w:t>)</w:t>
      </w:r>
      <w:r>
        <w:t>;</w:t>
      </w:r>
    </w:p>
    <w:p w14:paraId="0BE13485" w14:textId="3CB5E8AD" w:rsidR="00B03303" w:rsidRDefault="79AF4E9B" w:rsidP="001B769C">
      <w:pPr>
        <w:pStyle w:val="ListParagraph"/>
        <w:numPr>
          <w:ilvl w:val="0"/>
          <w:numId w:val="4"/>
        </w:numPr>
        <w:tabs>
          <w:tab w:val="clear" w:pos="1134"/>
        </w:tabs>
        <w:spacing w:before="60"/>
        <w:ind w:left="357" w:hanging="357"/>
        <w:contextualSpacing w:val="0"/>
        <w:rPr>
          <w:rFonts w:eastAsiaTheme="minorEastAsia" w:cstheme="minorBidi"/>
          <w:szCs w:val="24"/>
        </w:rPr>
      </w:pPr>
      <w:r>
        <w:t xml:space="preserve">TDAG </w:t>
      </w:r>
      <w:r w:rsidR="677C17E2">
        <w:t xml:space="preserve">Working </w:t>
      </w:r>
      <w:r>
        <w:t xml:space="preserve">Group on </w:t>
      </w:r>
      <w:r w:rsidR="677C17E2">
        <w:t>the Strategic and Operational Plans</w:t>
      </w:r>
      <w:r w:rsidR="5D686522">
        <w:t xml:space="preserve"> (</w:t>
      </w:r>
      <w:hyperlink r:id="rId67" w:history="1">
        <w:r w:rsidR="5D686522" w:rsidRPr="0DF2EF04">
          <w:rPr>
            <w:rStyle w:val="Hyperlink"/>
          </w:rPr>
          <w:t>Working Group webpage</w:t>
        </w:r>
      </w:hyperlink>
      <w:r w:rsidR="5D686522">
        <w:t>)</w:t>
      </w:r>
      <w:r>
        <w:t>.</w:t>
      </w:r>
    </w:p>
    <w:p w14:paraId="0EAD1C5A" w14:textId="12FBE8E5" w:rsidR="00874AE6" w:rsidRPr="00BC78ED" w:rsidRDefault="5186E069" w:rsidP="00874AE6">
      <w:pPr>
        <w:tabs>
          <w:tab w:val="clear" w:pos="1134"/>
        </w:tabs>
      </w:pPr>
      <w:r>
        <w:t>The Groups worked through electronic means and meetings</w:t>
      </w:r>
      <w:r w:rsidR="776ED47A">
        <w:t>, and their full reports were presented to TDAG, and are reflected within TDAG’s reports as summarised in section 2 above</w:t>
      </w:r>
      <w:r>
        <w:t>.</w:t>
      </w:r>
    </w:p>
    <w:p w14:paraId="57E8F8D2" w14:textId="15ACE5FD" w:rsidR="00565EBE" w:rsidRPr="00BC78ED" w:rsidRDefault="002E0223" w:rsidP="004D1A35">
      <w:pPr>
        <w:pStyle w:val="Heading1"/>
        <w:keepNext/>
        <w:ind w:left="567" w:hanging="567"/>
        <w:contextualSpacing w:val="0"/>
      </w:pPr>
      <w:bookmarkStart w:id="29" w:name="_Toc85736179"/>
      <w:bookmarkStart w:id="30" w:name="_Toc85736566"/>
      <w:bookmarkStart w:id="31" w:name="_Toc85736690"/>
      <w:bookmarkStart w:id="32" w:name="_Toc85736814"/>
      <w:bookmarkStart w:id="33" w:name="_Toc85736180"/>
      <w:bookmarkStart w:id="34" w:name="_Toc85736567"/>
      <w:bookmarkStart w:id="35" w:name="_Toc85736691"/>
      <w:bookmarkStart w:id="36" w:name="_Toc85736815"/>
      <w:bookmarkStart w:id="37" w:name="_Toc85736181"/>
      <w:bookmarkStart w:id="38" w:name="_Toc85736568"/>
      <w:bookmarkStart w:id="39" w:name="_Toc85736692"/>
      <w:bookmarkStart w:id="40" w:name="_Toc85736816"/>
      <w:bookmarkStart w:id="41" w:name="_Toc85736182"/>
      <w:bookmarkStart w:id="42" w:name="_Toc85736569"/>
      <w:bookmarkStart w:id="43" w:name="_Toc85736693"/>
      <w:bookmarkStart w:id="44" w:name="_Toc85736817"/>
      <w:bookmarkStart w:id="45" w:name="_Toc85736183"/>
      <w:bookmarkStart w:id="46" w:name="_Toc85736570"/>
      <w:bookmarkStart w:id="47" w:name="_Toc85736694"/>
      <w:bookmarkStart w:id="48" w:name="_Toc85736818"/>
      <w:bookmarkStart w:id="49" w:name="_Toc85736184"/>
      <w:bookmarkStart w:id="50" w:name="_Toc85736571"/>
      <w:bookmarkStart w:id="51" w:name="_Toc85736695"/>
      <w:bookmarkStart w:id="52" w:name="_Toc85736819"/>
      <w:bookmarkStart w:id="53" w:name="_Toc85736185"/>
      <w:bookmarkStart w:id="54" w:name="_Toc85736572"/>
      <w:bookmarkStart w:id="55" w:name="_Toc85736696"/>
      <w:bookmarkStart w:id="56" w:name="_Toc85736820"/>
      <w:bookmarkStart w:id="57" w:name="_Toc85736186"/>
      <w:bookmarkStart w:id="58" w:name="_Toc85736573"/>
      <w:bookmarkStart w:id="59" w:name="_Toc85736697"/>
      <w:bookmarkStart w:id="60" w:name="_Toc85736821"/>
      <w:bookmarkStart w:id="61" w:name="_Toc85736187"/>
      <w:bookmarkStart w:id="62" w:name="_Toc85736574"/>
      <w:bookmarkStart w:id="63" w:name="_Toc85736698"/>
      <w:bookmarkStart w:id="64" w:name="_Toc85736822"/>
      <w:bookmarkStart w:id="65" w:name="_Toc85736188"/>
      <w:bookmarkStart w:id="66" w:name="_Toc85736575"/>
      <w:bookmarkStart w:id="67" w:name="_Toc85736699"/>
      <w:bookmarkStart w:id="68" w:name="_Toc85736823"/>
      <w:bookmarkStart w:id="69" w:name="_Toc85736189"/>
      <w:bookmarkStart w:id="70" w:name="_Toc85736576"/>
      <w:bookmarkStart w:id="71" w:name="_Toc85736700"/>
      <w:bookmarkStart w:id="72" w:name="_Toc85736824"/>
      <w:bookmarkStart w:id="73" w:name="_Toc85736190"/>
      <w:bookmarkStart w:id="74" w:name="_Toc85736577"/>
      <w:bookmarkStart w:id="75" w:name="_Toc85736701"/>
      <w:bookmarkStart w:id="76" w:name="_Toc85736825"/>
      <w:bookmarkStart w:id="77" w:name="_Toc85736191"/>
      <w:bookmarkStart w:id="78" w:name="_Toc85736578"/>
      <w:bookmarkStart w:id="79" w:name="_Toc85736702"/>
      <w:bookmarkStart w:id="80" w:name="_Toc85736826"/>
      <w:bookmarkStart w:id="81" w:name="_Toc85736192"/>
      <w:bookmarkStart w:id="82" w:name="_Toc85736579"/>
      <w:bookmarkStart w:id="83" w:name="_Toc85736703"/>
      <w:bookmarkStart w:id="84" w:name="_Toc85736827"/>
      <w:bookmarkStart w:id="85" w:name="_Toc85736193"/>
      <w:bookmarkStart w:id="86" w:name="_Toc85736580"/>
      <w:bookmarkStart w:id="87" w:name="_Toc85736704"/>
      <w:bookmarkStart w:id="88" w:name="_Toc85736828"/>
      <w:bookmarkStart w:id="89" w:name="_Toc85736194"/>
      <w:bookmarkStart w:id="90" w:name="_Toc85736581"/>
      <w:bookmarkStart w:id="91" w:name="_Toc85736705"/>
      <w:bookmarkStart w:id="92" w:name="_Toc85736829"/>
      <w:bookmarkStart w:id="93" w:name="_Toc85736195"/>
      <w:bookmarkStart w:id="94" w:name="_Toc85736582"/>
      <w:bookmarkStart w:id="95" w:name="_Toc85736706"/>
      <w:bookmarkStart w:id="96" w:name="_Toc85736830"/>
      <w:bookmarkStart w:id="97" w:name="_Toc85736196"/>
      <w:bookmarkStart w:id="98" w:name="_Toc85736583"/>
      <w:bookmarkStart w:id="99" w:name="_Toc85736707"/>
      <w:bookmarkStart w:id="100" w:name="_Toc85736831"/>
      <w:bookmarkStart w:id="101" w:name="_Toc85736197"/>
      <w:bookmarkStart w:id="102" w:name="_Toc85736584"/>
      <w:bookmarkStart w:id="103" w:name="_Toc85736708"/>
      <w:bookmarkStart w:id="104" w:name="_Toc85736832"/>
      <w:bookmarkStart w:id="105" w:name="_Toc85736198"/>
      <w:bookmarkStart w:id="106" w:name="_Toc85736585"/>
      <w:bookmarkStart w:id="107" w:name="_Toc85736709"/>
      <w:bookmarkStart w:id="108" w:name="_Toc85736833"/>
      <w:bookmarkStart w:id="109" w:name="_Toc85736199"/>
      <w:bookmarkStart w:id="110" w:name="_Toc85736586"/>
      <w:bookmarkStart w:id="111" w:name="_Toc85736710"/>
      <w:bookmarkStart w:id="112" w:name="_Toc85736834"/>
      <w:bookmarkStart w:id="113" w:name="_Toc85736200"/>
      <w:bookmarkStart w:id="114" w:name="_Toc85736587"/>
      <w:bookmarkStart w:id="115" w:name="_Toc85736711"/>
      <w:bookmarkStart w:id="116" w:name="_Toc85736835"/>
      <w:bookmarkStart w:id="117" w:name="_Toc85736201"/>
      <w:bookmarkStart w:id="118" w:name="_Toc85736588"/>
      <w:bookmarkStart w:id="119" w:name="_Toc85736712"/>
      <w:bookmarkStart w:id="120" w:name="_Toc85736836"/>
      <w:bookmarkStart w:id="121" w:name="_Toc85736202"/>
      <w:bookmarkStart w:id="122" w:name="_Toc85736589"/>
      <w:bookmarkStart w:id="123" w:name="_Toc85736713"/>
      <w:bookmarkStart w:id="124" w:name="_Toc85736837"/>
      <w:bookmarkStart w:id="125" w:name="_Toc85736203"/>
      <w:bookmarkStart w:id="126" w:name="_Toc85736590"/>
      <w:bookmarkStart w:id="127" w:name="_Toc85736714"/>
      <w:bookmarkStart w:id="128" w:name="_Toc85736838"/>
      <w:bookmarkStart w:id="129" w:name="_Toc482300245"/>
      <w:bookmarkStart w:id="130" w:name="_Toc8581810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M</w:t>
      </w:r>
      <w:r w:rsidR="00565EBE" w:rsidRPr="00BC78ED">
        <w:t xml:space="preserve">atters assigned to </w:t>
      </w:r>
      <w:r>
        <w:t>TDAG</w:t>
      </w:r>
      <w:r w:rsidR="00565EBE" w:rsidRPr="00BC78ED">
        <w:t xml:space="preserve"> by WTDC Resolution 24 (Rev. Dubai, 2014)</w:t>
      </w:r>
      <w:bookmarkEnd w:id="129"/>
      <w:bookmarkEnd w:id="130"/>
    </w:p>
    <w:p w14:paraId="29A4AEBF" w14:textId="2F0727BD" w:rsidR="00565EBE" w:rsidRPr="0071512D" w:rsidRDefault="00565EBE" w:rsidP="004D1A35">
      <w:pPr>
        <w:pStyle w:val="Heading2"/>
        <w:keepNext/>
      </w:pPr>
      <w:bookmarkStart w:id="131" w:name="_Toc482300246"/>
      <w:bookmarkStart w:id="132" w:name="_Toc85818110"/>
      <w:r>
        <w:t>Background</w:t>
      </w:r>
      <w:bookmarkEnd w:id="131"/>
      <w:bookmarkEnd w:id="132"/>
    </w:p>
    <w:p w14:paraId="2DD08F9C" w14:textId="368D2CAE" w:rsidR="00565EBE" w:rsidRPr="0071512D" w:rsidRDefault="00565EBE" w:rsidP="00565EBE">
      <w:pPr>
        <w:pStyle w:val="CEONormal"/>
        <w:spacing w:before="120" w:after="120"/>
        <w:rPr>
          <w:rFonts w:ascii="Calibri" w:hAnsi="Calibri" w:cs="Calibri"/>
          <w:sz w:val="24"/>
          <w:szCs w:val="24"/>
        </w:rPr>
      </w:pPr>
      <w:r w:rsidRPr="0071512D">
        <w:rPr>
          <w:rFonts w:ascii="Calibri" w:hAnsi="Calibri" w:cs="Calibri"/>
          <w:sz w:val="24"/>
          <w:szCs w:val="24"/>
        </w:rPr>
        <w:t>According to provision No. 215JA of Article 17 of the Convention of the International Telecommunication Union, the Telecommunication Development Advisory Group (TDAG) shall submit a report to the World Telecommunication Development Conference (WTDC-17) on the specific matters assigned to it by WTDC, in accordance with provision No. 213A of Article 16 of the Convention.</w:t>
      </w:r>
    </w:p>
    <w:p w14:paraId="3623BD1A" w14:textId="5F16C226" w:rsidR="005829B2" w:rsidRPr="0071512D" w:rsidRDefault="00D72FEE" w:rsidP="004D1A35">
      <w:pPr>
        <w:pStyle w:val="CEONormal"/>
        <w:keepNext/>
        <w:spacing w:after="120"/>
        <w:rPr>
          <w:rFonts w:ascii="Calibri" w:hAnsi="Calibri" w:cs="Calibri"/>
          <w:sz w:val="24"/>
          <w:szCs w:val="24"/>
        </w:rPr>
      </w:pPr>
      <w:r>
        <w:rPr>
          <w:rFonts w:ascii="Calibri" w:hAnsi="Calibri" w:cs="Calibri"/>
          <w:sz w:val="24"/>
          <w:szCs w:val="24"/>
        </w:rPr>
        <w:t xml:space="preserve">This section </w:t>
      </w:r>
      <w:r w:rsidR="005829B2">
        <w:rPr>
          <w:rFonts w:ascii="Calibri" w:hAnsi="Calibri" w:cs="Calibri"/>
          <w:sz w:val="24"/>
          <w:szCs w:val="24"/>
        </w:rPr>
        <w:t xml:space="preserve">reports on </w:t>
      </w:r>
      <w:r w:rsidR="00F63D31">
        <w:rPr>
          <w:rFonts w:ascii="Calibri" w:hAnsi="Calibri" w:cs="Calibri"/>
          <w:sz w:val="24"/>
          <w:szCs w:val="24"/>
        </w:rPr>
        <w:t>the following</w:t>
      </w:r>
      <w:r w:rsidR="005829B2">
        <w:rPr>
          <w:rFonts w:ascii="Calibri" w:hAnsi="Calibri" w:cs="Calibri"/>
          <w:sz w:val="24"/>
          <w:szCs w:val="24"/>
        </w:rPr>
        <w:t xml:space="preserve"> specific matters assigned by </w:t>
      </w:r>
      <w:r w:rsidR="00565EBE" w:rsidRPr="0071512D">
        <w:rPr>
          <w:rFonts w:ascii="Calibri" w:hAnsi="Calibri" w:cs="Calibri"/>
          <w:sz w:val="24"/>
          <w:szCs w:val="24"/>
        </w:rPr>
        <w:t>WTDC-</w:t>
      </w:r>
      <w:r w:rsidR="004767C5">
        <w:rPr>
          <w:rFonts w:ascii="Calibri" w:hAnsi="Calibri" w:cs="Calibri"/>
          <w:sz w:val="24"/>
          <w:szCs w:val="24"/>
        </w:rPr>
        <w:t>17</w:t>
      </w:r>
      <w:r w:rsidR="00565EBE" w:rsidRPr="0071512D">
        <w:rPr>
          <w:rFonts w:ascii="Calibri" w:hAnsi="Calibri" w:cs="Calibri"/>
          <w:sz w:val="24"/>
          <w:szCs w:val="24"/>
        </w:rPr>
        <w:t xml:space="preserve"> revised Resolution 24 (Rev. Dubai, 201</w:t>
      </w:r>
      <w:r w:rsidR="004767C5">
        <w:rPr>
          <w:rFonts w:ascii="Calibri" w:hAnsi="Calibri" w:cs="Calibri"/>
          <w:sz w:val="24"/>
          <w:szCs w:val="24"/>
        </w:rPr>
        <w:t>7</w:t>
      </w:r>
      <w:r w:rsidR="00565EBE" w:rsidRPr="0071512D">
        <w:rPr>
          <w:rFonts w:ascii="Calibri" w:hAnsi="Calibri" w:cs="Calibri"/>
          <w:sz w:val="24"/>
          <w:szCs w:val="24"/>
        </w:rPr>
        <w:t>)</w:t>
      </w:r>
      <w:r w:rsidR="005829B2">
        <w:rPr>
          <w:rFonts w:ascii="Calibri" w:hAnsi="Calibri" w:cs="Calibri"/>
          <w:sz w:val="24"/>
          <w:szCs w:val="24"/>
        </w:rPr>
        <w:t>.</w:t>
      </w:r>
    </w:p>
    <w:p w14:paraId="10EE24B2" w14:textId="77777777" w:rsidR="00413461" w:rsidRPr="002D27AE" w:rsidRDefault="00565EBE" w:rsidP="00254C6F">
      <w:pPr>
        <w:pStyle w:val="enumlev1"/>
        <w:tabs>
          <w:tab w:val="clear" w:pos="1134"/>
        </w:tabs>
        <w:ind w:left="567" w:hanging="567"/>
      </w:pPr>
      <w:r w:rsidRPr="0071512D">
        <w:rPr>
          <w:rFonts w:ascii="Calibri" w:hAnsi="Calibri" w:cs="Calibri"/>
          <w:szCs w:val="24"/>
        </w:rPr>
        <w:t xml:space="preserve">i) </w:t>
      </w:r>
      <w:r w:rsidR="005E5E51">
        <w:rPr>
          <w:rFonts w:ascii="Calibri" w:hAnsi="Calibri" w:cs="Calibri"/>
          <w:szCs w:val="24"/>
        </w:rPr>
        <w:tab/>
      </w:r>
      <w:r w:rsidR="00413461" w:rsidRPr="002D27AE">
        <w:t>continue to maintain efficient and flexible working guidelines, and update them as necessary, including to provide opportunities for cross-regional sharing of experiences on the implementation of regional actions, initiatives and projects;</w:t>
      </w:r>
    </w:p>
    <w:p w14:paraId="1B026C46" w14:textId="77777777" w:rsidR="00413461" w:rsidRPr="002D27AE" w:rsidRDefault="00413461" w:rsidP="00254C6F">
      <w:pPr>
        <w:pStyle w:val="enumlev1"/>
        <w:tabs>
          <w:tab w:val="clear" w:pos="1134"/>
        </w:tabs>
        <w:ind w:left="567" w:hanging="567"/>
      </w:pPr>
      <w:r w:rsidRPr="002D27AE">
        <w:t>ii)</w:t>
      </w:r>
      <w:r w:rsidRPr="002D27AE">
        <w:tab/>
        <w:t>review, on an ongoing basis, the relationship between the ITU</w:t>
      </w:r>
      <w:r w:rsidRPr="002D27AE">
        <w:noBreakHyphen/>
        <w:t xml:space="preserve">D objectives outlined in the strategic plan for the Union and the budgetary appropriations available for activities, particularly programmes and regional initiatives, with a view to recommending any </w:t>
      </w:r>
      <w:r w:rsidRPr="002D27AE">
        <w:lastRenderedPageBreak/>
        <w:t xml:space="preserve">measures necessary to ensure the efficient and effective delivery of the principal products and services (outputs) of the Sector; </w:t>
      </w:r>
    </w:p>
    <w:p w14:paraId="47008854" w14:textId="77777777" w:rsidR="00413461" w:rsidRPr="002D27AE" w:rsidRDefault="00413461" w:rsidP="00254C6F">
      <w:pPr>
        <w:pStyle w:val="enumlev1"/>
        <w:tabs>
          <w:tab w:val="clear" w:pos="1134"/>
        </w:tabs>
        <w:ind w:left="567" w:hanging="567"/>
      </w:pPr>
      <w:r w:rsidRPr="002D27AE">
        <w:t>iii)</w:t>
      </w:r>
      <w:r w:rsidRPr="002D27AE">
        <w:tab/>
        <w:t>review, on an ongoing basis and in accordance with No. 223A of the Convention, the implementation of the rolling four-year operational plan for ITU</w:t>
      </w:r>
      <w:r w:rsidRPr="002D27AE">
        <w:noBreakHyphen/>
        <w:t>D and provide guidance to BDT on the elaboration of the draft ITU</w:t>
      </w:r>
      <w:r w:rsidRPr="002D27AE">
        <w:noBreakHyphen/>
        <w:t xml:space="preserve">D operational plan to be approved by the following ITU Council session; </w:t>
      </w:r>
    </w:p>
    <w:p w14:paraId="7A7AE29E" w14:textId="77777777" w:rsidR="00413461" w:rsidRPr="002D27AE" w:rsidRDefault="00413461" w:rsidP="00254C6F">
      <w:pPr>
        <w:pStyle w:val="enumlev1"/>
        <w:tabs>
          <w:tab w:val="clear" w:pos="1134"/>
        </w:tabs>
        <w:ind w:left="567" w:hanging="567"/>
      </w:pPr>
      <w:r w:rsidRPr="002D27AE">
        <w:t>iv)</w:t>
      </w:r>
      <w:r w:rsidRPr="002D27AE">
        <w:tab/>
        <w:t xml:space="preserve">evaluate, and update as necessary, working methods and guidelines to ensure the most efficient and flexible implementation of the key elements of the WTDC Action Plan; </w:t>
      </w:r>
    </w:p>
    <w:p w14:paraId="5754BB03" w14:textId="77777777" w:rsidR="00413461" w:rsidRPr="002D27AE" w:rsidRDefault="00413461" w:rsidP="00254C6F">
      <w:pPr>
        <w:pStyle w:val="enumlev1"/>
        <w:tabs>
          <w:tab w:val="clear" w:pos="1134"/>
        </w:tabs>
        <w:ind w:left="567" w:hanging="567"/>
      </w:pPr>
      <w:r w:rsidRPr="002D27AE">
        <w:t>v)</w:t>
      </w:r>
      <w:r w:rsidRPr="002D27AE">
        <w:tab/>
        <w:t>evaluate periodically the working methods and functioning of the ITU</w:t>
      </w:r>
      <w:r w:rsidRPr="002D27AE">
        <w:noBreakHyphen/>
        <w:t>D study groups, to identify options for maximizing programme delivery and to approve appropriate changes thereto following an assessment of their work programme, including strengthening of the synergy between Questions, programmes and regional initiatives;</w:t>
      </w:r>
    </w:p>
    <w:p w14:paraId="6897466B" w14:textId="77777777" w:rsidR="00413461" w:rsidRPr="002D27AE" w:rsidRDefault="00413461" w:rsidP="00254C6F">
      <w:pPr>
        <w:pStyle w:val="enumlev1"/>
        <w:tabs>
          <w:tab w:val="clear" w:pos="1134"/>
        </w:tabs>
        <w:ind w:left="567" w:hanging="567"/>
      </w:pPr>
      <w:r w:rsidRPr="002D27AE">
        <w:t>vi)</w:t>
      </w:r>
      <w:r w:rsidRPr="002D27AE">
        <w:tab/>
        <w:t xml:space="preserve">conduct the assessment pursuant to v) above, </w:t>
      </w:r>
      <w:proofErr w:type="gramStart"/>
      <w:r w:rsidRPr="002D27AE">
        <w:t>taking into account</w:t>
      </w:r>
      <w:proofErr w:type="gramEnd"/>
      <w:r w:rsidRPr="002D27AE">
        <w:t xml:space="preserve"> the following actions in relation to the current work programme of the study groups, if needed:</w:t>
      </w:r>
    </w:p>
    <w:p w14:paraId="0E755908" w14:textId="77777777" w:rsidR="00413461" w:rsidRPr="002D27AE" w:rsidRDefault="00413461" w:rsidP="00254C6F">
      <w:pPr>
        <w:pStyle w:val="enumlev2"/>
        <w:tabs>
          <w:tab w:val="clear" w:pos="1871"/>
        </w:tabs>
        <w:ind w:left="1134" w:hanging="595"/>
      </w:pPr>
      <w:r w:rsidRPr="002D27AE">
        <w:t>•</w:t>
      </w:r>
      <w:r w:rsidRPr="002D27AE">
        <w:tab/>
        <w:t xml:space="preserve">redefinition of </w:t>
      </w:r>
      <w:r w:rsidRPr="00B40260">
        <w:t>the</w:t>
      </w:r>
      <w:r w:rsidRPr="002D27AE">
        <w:t xml:space="preserve"> terms of reference of Questions in order to provide focus and eliminate overlap;</w:t>
      </w:r>
    </w:p>
    <w:p w14:paraId="46E5396F" w14:textId="77777777" w:rsidR="00413461" w:rsidRPr="002D27AE" w:rsidRDefault="00413461" w:rsidP="00254C6F">
      <w:pPr>
        <w:pStyle w:val="enumlev2"/>
        <w:tabs>
          <w:tab w:val="clear" w:pos="1871"/>
        </w:tabs>
        <w:ind w:left="1134" w:hanging="595"/>
      </w:pPr>
      <w:r w:rsidRPr="002D27AE">
        <w:t>•</w:t>
      </w:r>
      <w:r w:rsidRPr="002D27AE">
        <w:tab/>
        <w:t>deletion or merging of Questions as appropriate; and</w:t>
      </w:r>
    </w:p>
    <w:p w14:paraId="62D933A2" w14:textId="77777777" w:rsidR="00413461" w:rsidRPr="002D27AE" w:rsidRDefault="00413461" w:rsidP="00254C6F">
      <w:pPr>
        <w:pStyle w:val="enumlev2"/>
        <w:tabs>
          <w:tab w:val="clear" w:pos="1871"/>
        </w:tabs>
        <w:ind w:left="1134" w:hanging="595"/>
      </w:pPr>
      <w:r w:rsidRPr="002D27AE">
        <w:t>•</w:t>
      </w:r>
      <w:r w:rsidRPr="002D27AE">
        <w:tab/>
        <w:t>evaluation of criteria to measure the effectiveness of Questions, both in qualitative and quantitative terms, including a periodical review based on the ITU</w:t>
      </w:r>
      <w:r w:rsidRPr="002D27AE">
        <w:noBreakHyphen/>
        <w:t>D strategic plan with a view to further exploring performance measures in order to more effectively implement actions referred to in v) above;</w:t>
      </w:r>
    </w:p>
    <w:p w14:paraId="419EC5AA" w14:textId="44D97E40" w:rsidR="00413461" w:rsidRPr="002D27AE" w:rsidRDefault="00413461" w:rsidP="00254C6F">
      <w:pPr>
        <w:pStyle w:val="enumlev1"/>
        <w:tabs>
          <w:tab w:val="clear" w:pos="1134"/>
        </w:tabs>
        <w:ind w:left="567" w:hanging="567"/>
      </w:pPr>
      <w:r>
        <w:t>vii)</w:t>
      </w:r>
      <w:r>
        <w:tab/>
        <w:t>restructure ITUD study groups, if required, and, as a result of a restructuring or creation of ITUD study groups, appoint chairmen and vice</w:t>
      </w:r>
      <w:r w:rsidR="617E90AA">
        <w:t>-</w:t>
      </w:r>
      <w:r>
        <w:t>chairmen to act until the next WTDC in response to the needs and concerns of the Member States, within the agreed budgetary limits;</w:t>
      </w:r>
    </w:p>
    <w:p w14:paraId="0311CF3F" w14:textId="77777777" w:rsidR="00413461" w:rsidRPr="002D27AE" w:rsidRDefault="00413461" w:rsidP="00254C6F">
      <w:pPr>
        <w:pStyle w:val="enumlev1"/>
        <w:tabs>
          <w:tab w:val="clear" w:pos="1134"/>
        </w:tabs>
        <w:ind w:left="567" w:hanging="567"/>
      </w:pPr>
      <w:r w:rsidRPr="002D27AE">
        <w:t>viii)</w:t>
      </w:r>
      <w:r w:rsidRPr="002D27AE">
        <w:tab/>
        <w:t>issue advice on study group schedules that meet development priorities;</w:t>
      </w:r>
    </w:p>
    <w:p w14:paraId="5D48581C" w14:textId="77777777" w:rsidR="00413461" w:rsidRPr="002D27AE" w:rsidRDefault="00413461" w:rsidP="00254C6F">
      <w:pPr>
        <w:pStyle w:val="enumlev1"/>
        <w:tabs>
          <w:tab w:val="clear" w:pos="1134"/>
        </w:tabs>
        <w:ind w:left="567" w:hanging="567"/>
      </w:pPr>
      <w:r w:rsidRPr="002D27AE">
        <w:t>ix)</w:t>
      </w:r>
      <w:r w:rsidRPr="002D27AE">
        <w:tab/>
        <w:t>advise the Director of BDT on relevant financial and other matters;</w:t>
      </w:r>
    </w:p>
    <w:p w14:paraId="3B691B2B" w14:textId="77777777" w:rsidR="00413461" w:rsidRPr="002D27AE" w:rsidRDefault="00413461" w:rsidP="00254C6F">
      <w:pPr>
        <w:pStyle w:val="enumlev1"/>
        <w:tabs>
          <w:tab w:val="clear" w:pos="1134"/>
        </w:tabs>
        <w:ind w:left="567" w:hanging="567"/>
      </w:pPr>
      <w:r w:rsidRPr="002D27AE">
        <w:t>x)</w:t>
      </w:r>
      <w:r w:rsidRPr="002D27AE">
        <w:tab/>
        <w:t xml:space="preserve">approve the programme of work arising from the review of existing and new Questions and determine the priority, urgency, estimated financial implications and </w:t>
      </w:r>
      <w:proofErr w:type="gramStart"/>
      <w:r w:rsidRPr="002D27AE">
        <w:t>time-scale</w:t>
      </w:r>
      <w:proofErr w:type="gramEnd"/>
      <w:r w:rsidRPr="002D27AE">
        <w:t xml:space="preserve"> for the completion of their study;</w:t>
      </w:r>
    </w:p>
    <w:p w14:paraId="4A4407CD" w14:textId="221DDF26" w:rsidR="00413461" w:rsidRPr="002D27AE" w:rsidRDefault="00413461" w:rsidP="00254C6F">
      <w:pPr>
        <w:pStyle w:val="enumlev1"/>
        <w:tabs>
          <w:tab w:val="clear" w:pos="1134"/>
        </w:tabs>
        <w:ind w:left="567" w:hanging="567"/>
      </w:pPr>
      <w:r w:rsidRPr="002D27AE">
        <w:t>xi)</w:t>
      </w:r>
      <w:r w:rsidRPr="002D27AE">
        <w:tab/>
        <w:t>in order to promote flexibility in responding rapidly to high-priority matters, if required, create, terminate or maintain other groups, appoint their chairmen and vice-chairmen, and establish their terms of reference with a defined duration, in accordance with Nos 209A and 209B of the Convention and taking into account the leading role of the study groups in carrying out the studies on such matters; such other groups shall not adopt Questions or Recommendatio</w:t>
      </w:r>
      <w:r w:rsidR="00345326">
        <w:t>n</w:t>
      </w:r>
      <w:r w:rsidRPr="002D27AE">
        <w:t>s;</w:t>
      </w:r>
    </w:p>
    <w:p w14:paraId="2EEC32BE" w14:textId="163667F6" w:rsidR="00413461" w:rsidRPr="002D27AE" w:rsidRDefault="00413461" w:rsidP="00345326">
      <w:pPr>
        <w:pStyle w:val="enumlev1"/>
        <w:keepLines/>
        <w:tabs>
          <w:tab w:val="clear" w:pos="1134"/>
        </w:tabs>
        <w:ind w:left="567" w:hanging="567"/>
      </w:pPr>
      <w:r w:rsidRPr="002D27AE">
        <w:t>xii)</w:t>
      </w:r>
      <w:r w:rsidRPr="002D27AE">
        <w:tab/>
        <w:t>consult the Director of BDT on the development and implementation of an action plan on electronic working methods and, going forward, procedures and rules for electronic meetings, including legal aspects, taking into account the needs and the means of developing countries and in particular the least developed countries</w:t>
      </w:r>
      <w:r w:rsidR="00254C6F">
        <w:t>.</w:t>
      </w:r>
    </w:p>
    <w:p w14:paraId="44BBA9D2" w14:textId="3BF3DC7D" w:rsidR="00565EBE" w:rsidRPr="008D5BC4" w:rsidRDefault="00565EBE" w:rsidP="00345326">
      <w:pPr>
        <w:pStyle w:val="Heading2"/>
        <w:keepNext/>
      </w:pPr>
      <w:bookmarkStart w:id="133" w:name="_Toc482300247"/>
      <w:bookmarkStart w:id="134" w:name="_Toc85818111"/>
      <w:r>
        <w:lastRenderedPageBreak/>
        <w:t>Upkeep of up-to-date, efficient and flexible working guidelines</w:t>
      </w:r>
      <w:bookmarkEnd w:id="133"/>
      <w:bookmarkEnd w:id="134"/>
    </w:p>
    <w:p w14:paraId="12EB8BFE" w14:textId="3DCCB574" w:rsidR="00887482" w:rsidRDefault="005829B2" w:rsidP="00345326">
      <w:pPr>
        <w:pStyle w:val="enumlev1"/>
        <w:tabs>
          <w:tab w:val="clear" w:pos="1134"/>
        </w:tabs>
        <w:ind w:left="567" w:hanging="567"/>
        <w:rPr>
          <w:i/>
          <w:iCs/>
        </w:rPr>
      </w:pPr>
      <w:r w:rsidRPr="00254262">
        <w:rPr>
          <w:rFonts w:ascii="Calibri" w:hAnsi="Calibri" w:cs="Calibri"/>
          <w:i/>
          <w:iCs/>
          <w:szCs w:val="24"/>
        </w:rPr>
        <w:t xml:space="preserve">“i) </w:t>
      </w:r>
      <w:r w:rsidRPr="00254262">
        <w:rPr>
          <w:rFonts w:ascii="Calibri" w:hAnsi="Calibri" w:cs="Calibri"/>
          <w:i/>
          <w:iCs/>
          <w:szCs w:val="24"/>
        </w:rPr>
        <w:tab/>
      </w:r>
      <w:r w:rsidRPr="00254262">
        <w:rPr>
          <w:i/>
          <w:iCs/>
        </w:rPr>
        <w:t>continue to maintain efficient and flexible working guidelines, and update them as necessary, including to provide opportunities for cross-regional sharing of experiences on the implementation of regional actions, initiatives and projects;</w:t>
      </w:r>
      <w:r w:rsidR="00887482">
        <w:rPr>
          <w:i/>
          <w:iCs/>
        </w:rPr>
        <w:t xml:space="preserve"> …</w:t>
      </w:r>
    </w:p>
    <w:p w14:paraId="0269173B" w14:textId="1E66BBAD" w:rsidR="005829B2" w:rsidRPr="00887482" w:rsidRDefault="00887482" w:rsidP="00887482">
      <w:pPr>
        <w:pStyle w:val="enumlev1"/>
        <w:keepNext/>
        <w:keepLines/>
        <w:tabs>
          <w:tab w:val="clear" w:pos="1134"/>
        </w:tabs>
        <w:ind w:left="567" w:hanging="567"/>
      </w:pPr>
      <w:r w:rsidRPr="00887482">
        <w:rPr>
          <w:i/>
          <w:iCs/>
        </w:rPr>
        <w:t>xii)</w:t>
      </w:r>
      <w:r w:rsidRPr="00887482">
        <w:rPr>
          <w:i/>
          <w:iCs/>
        </w:rPr>
        <w:tab/>
        <w:t>consult the Director of BDT on the development and implementation of an action plan on electronic working methods and, going forward, procedures and rules for electronic meetings, including legal aspects, taking into account the needs and the means of developing countries and in particular the least developed countries.</w:t>
      </w:r>
      <w:r w:rsidR="005829B2" w:rsidRPr="00254262">
        <w:rPr>
          <w:i/>
          <w:iCs/>
        </w:rPr>
        <w:t>”</w:t>
      </w:r>
    </w:p>
    <w:p w14:paraId="39AC822B" w14:textId="636E51CA" w:rsidR="00316C43" w:rsidRDefault="75922B34" w:rsidP="00254262">
      <w:pPr>
        <w:pStyle w:val="CEONormal"/>
        <w:spacing w:before="240" w:after="120"/>
        <w:rPr>
          <w:rFonts w:ascii="Calibri" w:hAnsi="Calibri" w:cs="Calibri"/>
          <w:sz w:val="24"/>
          <w:szCs w:val="24"/>
        </w:rPr>
      </w:pPr>
      <w:r w:rsidRPr="27676491">
        <w:rPr>
          <w:rFonts w:ascii="Calibri" w:hAnsi="Calibri" w:cs="Calibri"/>
          <w:sz w:val="24"/>
          <w:szCs w:val="24"/>
        </w:rPr>
        <w:t xml:space="preserve">The period since WTDC-17 has been dominated by the sudden </w:t>
      </w:r>
      <w:r w:rsidR="18CC888F" w:rsidRPr="27676491">
        <w:rPr>
          <w:rFonts w:ascii="Calibri" w:hAnsi="Calibri" w:cs="Calibri"/>
          <w:sz w:val="24"/>
          <w:szCs w:val="24"/>
        </w:rPr>
        <w:t xml:space="preserve">onset of </w:t>
      </w:r>
      <w:r w:rsidRPr="27676491">
        <w:rPr>
          <w:rFonts w:ascii="Calibri" w:hAnsi="Calibri" w:cs="Calibri"/>
          <w:sz w:val="24"/>
          <w:szCs w:val="24"/>
        </w:rPr>
        <w:t xml:space="preserve">and </w:t>
      </w:r>
      <w:r w:rsidR="18CC888F" w:rsidRPr="27676491">
        <w:rPr>
          <w:rFonts w:ascii="Calibri" w:hAnsi="Calibri" w:cs="Calibri"/>
          <w:sz w:val="24"/>
          <w:szCs w:val="24"/>
        </w:rPr>
        <w:t xml:space="preserve">continuing impact of the </w:t>
      </w:r>
      <w:r w:rsidR="222802BB" w:rsidRPr="27676491">
        <w:rPr>
          <w:rFonts w:ascii="Calibri" w:hAnsi="Calibri" w:cs="Calibri"/>
          <w:sz w:val="24"/>
          <w:szCs w:val="24"/>
        </w:rPr>
        <w:t>COVID</w:t>
      </w:r>
      <w:r w:rsidR="18CC888F" w:rsidRPr="27676491">
        <w:rPr>
          <w:rFonts w:ascii="Calibri" w:hAnsi="Calibri" w:cs="Calibri"/>
          <w:sz w:val="24"/>
          <w:szCs w:val="24"/>
        </w:rPr>
        <w:t xml:space="preserve">-19 pandemic, which starting in March 2020 has caused global lockdowns of national borders and resulted in various levels of isolation and social distancing measures in all countries globally into 2021. </w:t>
      </w:r>
      <w:r w:rsidR="1EC5AAB9" w:rsidRPr="27676491">
        <w:rPr>
          <w:rFonts w:ascii="Calibri" w:hAnsi="Calibri" w:cs="Calibri"/>
          <w:sz w:val="24"/>
          <w:szCs w:val="24"/>
        </w:rPr>
        <w:t xml:space="preserve">Electronic working methods, including remote participation, have </w:t>
      </w:r>
      <w:r w:rsidR="23D894AD" w:rsidRPr="27676491">
        <w:rPr>
          <w:rFonts w:ascii="Calibri" w:hAnsi="Calibri" w:cs="Calibri"/>
          <w:sz w:val="24"/>
          <w:szCs w:val="24"/>
        </w:rPr>
        <w:t xml:space="preserve">become </w:t>
      </w:r>
      <w:r w:rsidR="1EC5AAB9" w:rsidRPr="27676491">
        <w:rPr>
          <w:rFonts w:ascii="Calibri" w:hAnsi="Calibri" w:cs="Calibri"/>
          <w:sz w:val="24"/>
          <w:szCs w:val="24"/>
        </w:rPr>
        <w:t xml:space="preserve">embedded in </w:t>
      </w:r>
      <w:r w:rsidR="12B6F520" w:rsidRPr="27676491">
        <w:rPr>
          <w:rFonts w:ascii="Calibri" w:hAnsi="Calibri" w:cs="Calibri"/>
          <w:sz w:val="24"/>
          <w:szCs w:val="24"/>
        </w:rPr>
        <w:t xml:space="preserve">and expanded in </w:t>
      </w:r>
      <w:r w:rsidR="1EC5AAB9" w:rsidRPr="27676491">
        <w:rPr>
          <w:rFonts w:ascii="Calibri" w:hAnsi="Calibri" w:cs="Calibri"/>
          <w:sz w:val="24"/>
          <w:szCs w:val="24"/>
        </w:rPr>
        <w:t xml:space="preserve">the work of </w:t>
      </w:r>
      <w:r w:rsidR="23D894AD" w:rsidRPr="27676491">
        <w:rPr>
          <w:rFonts w:ascii="Calibri" w:hAnsi="Calibri" w:cs="Calibri"/>
          <w:sz w:val="24"/>
          <w:szCs w:val="24"/>
        </w:rPr>
        <w:t xml:space="preserve">all global entities </w:t>
      </w:r>
      <w:r w:rsidR="1EC5AAB9" w:rsidRPr="27676491">
        <w:rPr>
          <w:rFonts w:ascii="Calibri" w:hAnsi="Calibri" w:cs="Calibri"/>
          <w:sz w:val="24"/>
          <w:szCs w:val="24"/>
        </w:rPr>
        <w:t>during the period under consideration</w:t>
      </w:r>
      <w:r w:rsidR="23D894AD" w:rsidRPr="27676491">
        <w:rPr>
          <w:rFonts w:ascii="Calibri" w:hAnsi="Calibri" w:cs="Calibri"/>
          <w:sz w:val="24"/>
          <w:szCs w:val="24"/>
        </w:rPr>
        <w:t xml:space="preserve">, and TDAG has been able to successfully continue its work in the face of widespread disruptions without </w:t>
      </w:r>
      <w:r w:rsidR="22BBF128" w:rsidRPr="27676491">
        <w:rPr>
          <w:rFonts w:ascii="Calibri" w:hAnsi="Calibri" w:cs="Calibri"/>
          <w:sz w:val="24"/>
          <w:szCs w:val="24"/>
        </w:rPr>
        <w:t>interruption</w:t>
      </w:r>
      <w:r w:rsidR="1EC5AAB9" w:rsidRPr="27676491">
        <w:rPr>
          <w:rFonts w:ascii="Calibri" w:hAnsi="Calibri" w:cs="Calibri"/>
          <w:sz w:val="24"/>
          <w:szCs w:val="24"/>
        </w:rPr>
        <w:t>.</w:t>
      </w:r>
      <w:r w:rsidR="247AB736" w:rsidRPr="27676491">
        <w:rPr>
          <w:rFonts w:ascii="Calibri" w:hAnsi="Calibri" w:cs="Calibri"/>
          <w:sz w:val="24"/>
          <w:szCs w:val="24"/>
        </w:rPr>
        <w:t xml:space="preserve"> </w:t>
      </w:r>
      <w:r w:rsidR="3CD26702" w:rsidRPr="27676491">
        <w:rPr>
          <w:rFonts w:ascii="Calibri" w:hAnsi="Calibri" w:cs="Calibri"/>
          <w:sz w:val="24"/>
          <w:szCs w:val="24"/>
        </w:rPr>
        <w:t xml:space="preserve">In March 2020, the </w:t>
      </w:r>
      <w:r w:rsidR="316F41A6" w:rsidRPr="27676491">
        <w:rPr>
          <w:rFonts w:ascii="Calibri" w:hAnsi="Calibri" w:cs="Calibri"/>
          <w:sz w:val="24"/>
          <w:szCs w:val="24"/>
        </w:rPr>
        <w:t xml:space="preserve">rapid spread globally of the </w:t>
      </w:r>
      <w:r w:rsidR="0F55F372" w:rsidRPr="27676491">
        <w:rPr>
          <w:rFonts w:ascii="Calibri" w:hAnsi="Calibri" w:cs="Calibri"/>
          <w:sz w:val="24"/>
          <w:szCs w:val="24"/>
        </w:rPr>
        <w:t>COVID</w:t>
      </w:r>
      <w:r w:rsidR="3CD26702" w:rsidRPr="27676491">
        <w:rPr>
          <w:rFonts w:ascii="Calibri" w:hAnsi="Calibri" w:cs="Calibri"/>
          <w:sz w:val="24"/>
          <w:szCs w:val="24"/>
        </w:rPr>
        <w:t xml:space="preserve">-19 </w:t>
      </w:r>
      <w:r w:rsidR="316F41A6" w:rsidRPr="27676491">
        <w:rPr>
          <w:rFonts w:ascii="Calibri" w:hAnsi="Calibri" w:cs="Calibri"/>
          <w:sz w:val="24"/>
          <w:szCs w:val="24"/>
        </w:rPr>
        <w:t xml:space="preserve">virus </w:t>
      </w:r>
      <w:r w:rsidR="0F28F2B1" w:rsidRPr="27676491">
        <w:rPr>
          <w:rFonts w:ascii="Calibri" w:hAnsi="Calibri" w:cs="Calibri"/>
          <w:sz w:val="24"/>
          <w:szCs w:val="24"/>
        </w:rPr>
        <w:t xml:space="preserve">prevented the hosting of physical meetings to advance the work of the </w:t>
      </w:r>
      <w:r w:rsidR="22BBF128" w:rsidRPr="27676491">
        <w:rPr>
          <w:rFonts w:ascii="Calibri" w:hAnsi="Calibri" w:cs="Calibri"/>
          <w:sz w:val="24"/>
          <w:szCs w:val="24"/>
        </w:rPr>
        <w:t>U</w:t>
      </w:r>
      <w:r w:rsidR="0F28F2B1" w:rsidRPr="27676491">
        <w:rPr>
          <w:rFonts w:ascii="Calibri" w:hAnsi="Calibri" w:cs="Calibri"/>
          <w:sz w:val="24"/>
          <w:szCs w:val="24"/>
        </w:rPr>
        <w:t>nion.</w:t>
      </w:r>
      <w:r w:rsidR="3CD26702" w:rsidRPr="27676491">
        <w:rPr>
          <w:rFonts w:ascii="Calibri" w:hAnsi="Calibri" w:cs="Calibri"/>
          <w:sz w:val="24"/>
          <w:szCs w:val="24"/>
        </w:rPr>
        <w:t xml:space="preserve"> </w:t>
      </w:r>
    </w:p>
    <w:p w14:paraId="1B0ADD3A" w14:textId="0D82A5BC" w:rsidR="006941F4" w:rsidRDefault="60984D1F" w:rsidP="00254262">
      <w:pPr>
        <w:pStyle w:val="CEONormal"/>
        <w:spacing w:before="240" w:after="120"/>
        <w:rPr>
          <w:rFonts w:ascii="Calibri" w:hAnsi="Calibri" w:cs="Calibri"/>
          <w:sz w:val="24"/>
          <w:szCs w:val="24"/>
        </w:rPr>
      </w:pPr>
      <w:r w:rsidRPr="632A2ABB">
        <w:rPr>
          <w:rFonts w:ascii="Calibri" w:hAnsi="Calibri" w:cs="Calibri"/>
          <w:sz w:val="24"/>
          <w:szCs w:val="24"/>
        </w:rPr>
        <w:t>With</w:t>
      </w:r>
      <w:r w:rsidR="6B44D307" w:rsidRPr="632A2ABB">
        <w:rPr>
          <w:rFonts w:ascii="Calibri" w:hAnsi="Calibri" w:cs="Calibri"/>
          <w:sz w:val="24"/>
          <w:szCs w:val="24"/>
        </w:rPr>
        <w:t xml:space="preserve"> the advice </w:t>
      </w:r>
      <w:r w:rsidRPr="632A2ABB">
        <w:rPr>
          <w:rFonts w:ascii="Calibri" w:hAnsi="Calibri" w:cs="Calibri"/>
          <w:sz w:val="24"/>
          <w:szCs w:val="24"/>
        </w:rPr>
        <w:t xml:space="preserve">and assistance </w:t>
      </w:r>
      <w:r w:rsidR="6B44D307" w:rsidRPr="632A2ABB">
        <w:rPr>
          <w:rFonts w:ascii="Calibri" w:hAnsi="Calibri" w:cs="Calibri"/>
          <w:sz w:val="24"/>
          <w:szCs w:val="24"/>
        </w:rPr>
        <w:t>of the secretariat</w:t>
      </w:r>
      <w:r w:rsidRPr="632A2ABB">
        <w:rPr>
          <w:rFonts w:ascii="Calibri" w:hAnsi="Calibri" w:cs="Calibri"/>
          <w:sz w:val="24"/>
          <w:szCs w:val="24"/>
        </w:rPr>
        <w:t xml:space="preserve"> at the urging of the BDT D</w:t>
      </w:r>
      <w:r w:rsidR="02D60FC5" w:rsidRPr="632A2ABB">
        <w:rPr>
          <w:rFonts w:ascii="Calibri" w:hAnsi="Calibri" w:cs="Calibri"/>
          <w:sz w:val="24"/>
          <w:szCs w:val="24"/>
        </w:rPr>
        <w:t>i</w:t>
      </w:r>
      <w:r w:rsidRPr="632A2ABB">
        <w:rPr>
          <w:rFonts w:ascii="Calibri" w:hAnsi="Calibri" w:cs="Calibri"/>
          <w:sz w:val="24"/>
          <w:szCs w:val="24"/>
        </w:rPr>
        <w:t>rector</w:t>
      </w:r>
      <w:r w:rsidR="6B44D307" w:rsidRPr="632A2ABB">
        <w:rPr>
          <w:rFonts w:ascii="Calibri" w:hAnsi="Calibri" w:cs="Calibri"/>
          <w:sz w:val="24"/>
          <w:szCs w:val="24"/>
        </w:rPr>
        <w:t xml:space="preserve">, TDAG was the first ITU advisory group to host meetings virtually when a series of webinars were </w:t>
      </w:r>
      <w:r w:rsidR="4CDADAA8" w:rsidRPr="632A2ABB">
        <w:rPr>
          <w:rFonts w:ascii="Calibri" w:hAnsi="Calibri" w:cs="Calibri"/>
          <w:sz w:val="24"/>
          <w:szCs w:val="24"/>
        </w:rPr>
        <w:t xml:space="preserve">hosted </w:t>
      </w:r>
      <w:r w:rsidR="0CF77E9F" w:rsidRPr="632A2ABB">
        <w:rPr>
          <w:rFonts w:ascii="Calibri" w:hAnsi="Calibri" w:cs="Calibri"/>
          <w:sz w:val="24"/>
          <w:szCs w:val="24"/>
        </w:rPr>
        <w:t>within</w:t>
      </w:r>
      <w:r w:rsidR="4CDADAA8" w:rsidRPr="632A2ABB">
        <w:rPr>
          <w:rFonts w:ascii="Calibri" w:hAnsi="Calibri" w:cs="Calibri"/>
          <w:sz w:val="24"/>
          <w:szCs w:val="24"/>
        </w:rPr>
        <w:t xml:space="preserve"> the </w:t>
      </w:r>
      <w:r w:rsidR="0CF77E9F" w:rsidRPr="632A2ABB">
        <w:rPr>
          <w:rFonts w:ascii="Calibri" w:hAnsi="Calibri" w:cs="Calibri"/>
          <w:sz w:val="24"/>
          <w:szCs w:val="24"/>
        </w:rPr>
        <w:t xml:space="preserve">ambit of TDAG in March and April 2020. TDAG’s </w:t>
      </w:r>
      <w:r w:rsidR="66E5B143" w:rsidRPr="632A2ABB">
        <w:rPr>
          <w:rFonts w:ascii="Calibri" w:hAnsi="Calibri" w:cs="Calibri"/>
          <w:sz w:val="24"/>
          <w:szCs w:val="24"/>
        </w:rPr>
        <w:t>23</w:t>
      </w:r>
      <w:r w:rsidR="66E5B143" w:rsidRPr="632A2ABB">
        <w:rPr>
          <w:rFonts w:ascii="Calibri" w:hAnsi="Calibri" w:cs="Calibri"/>
          <w:sz w:val="24"/>
          <w:szCs w:val="24"/>
          <w:vertAlign w:val="superscript"/>
        </w:rPr>
        <w:t>rd</w:t>
      </w:r>
      <w:r w:rsidR="66E5B143" w:rsidRPr="632A2ABB">
        <w:rPr>
          <w:rFonts w:ascii="Calibri" w:hAnsi="Calibri" w:cs="Calibri"/>
          <w:sz w:val="24"/>
          <w:szCs w:val="24"/>
        </w:rPr>
        <w:t xml:space="preserve"> meeting, in May 2020 was its </w:t>
      </w:r>
      <w:r w:rsidR="0CF77E9F" w:rsidRPr="632A2ABB">
        <w:rPr>
          <w:rFonts w:ascii="Calibri" w:hAnsi="Calibri" w:cs="Calibri"/>
          <w:sz w:val="24"/>
          <w:szCs w:val="24"/>
        </w:rPr>
        <w:t>first fully virtual meeting</w:t>
      </w:r>
      <w:r w:rsidR="66E5B143" w:rsidRPr="632A2ABB">
        <w:rPr>
          <w:rFonts w:ascii="Calibri" w:hAnsi="Calibri" w:cs="Calibri"/>
          <w:sz w:val="24"/>
          <w:szCs w:val="24"/>
        </w:rPr>
        <w:t>,</w:t>
      </w:r>
      <w:r w:rsidR="0CF77E9F" w:rsidRPr="632A2ABB">
        <w:rPr>
          <w:rFonts w:ascii="Calibri" w:hAnsi="Calibri" w:cs="Calibri"/>
          <w:sz w:val="24"/>
          <w:szCs w:val="24"/>
        </w:rPr>
        <w:t xml:space="preserve"> held using the </w:t>
      </w:r>
      <w:proofErr w:type="spellStart"/>
      <w:r w:rsidR="056BB07C" w:rsidRPr="632A2ABB">
        <w:rPr>
          <w:rFonts w:ascii="Calibri" w:hAnsi="Calibri" w:cs="Calibri"/>
          <w:sz w:val="24"/>
          <w:szCs w:val="24"/>
        </w:rPr>
        <w:t>I</w:t>
      </w:r>
      <w:r w:rsidR="0CF77E9F" w:rsidRPr="632A2ABB">
        <w:rPr>
          <w:rFonts w:ascii="Calibri" w:hAnsi="Calibri" w:cs="Calibri"/>
          <w:sz w:val="24"/>
          <w:szCs w:val="24"/>
        </w:rPr>
        <w:t>nterprefy</w:t>
      </w:r>
      <w:proofErr w:type="spellEnd"/>
      <w:r w:rsidR="0CF77E9F" w:rsidRPr="632A2ABB">
        <w:rPr>
          <w:rFonts w:ascii="Calibri" w:hAnsi="Calibri" w:cs="Calibri"/>
          <w:sz w:val="24"/>
          <w:szCs w:val="24"/>
        </w:rPr>
        <w:t xml:space="preserve"> platform</w:t>
      </w:r>
      <w:r w:rsidR="66E5B143" w:rsidRPr="632A2ABB">
        <w:rPr>
          <w:rFonts w:ascii="Calibri" w:hAnsi="Calibri" w:cs="Calibri"/>
          <w:sz w:val="24"/>
          <w:szCs w:val="24"/>
        </w:rPr>
        <w:t>.</w:t>
      </w:r>
      <w:r w:rsidR="0CF77E9F" w:rsidRPr="632A2ABB">
        <w:rPr>
          <w:rFonts w:ascii="Calibri" w:hAnsi="Calibri" w:cs="Calibri"/>
          <w:sz w:val="24"/>
          <w:szCs w:val="24"/>
        </w:rPr>
        <w:t xml:space="preserve"> </w:t>
      </w:r>
      <w:r w:rsidR="66E5B143" w:rsidRPr="632A2ABB">
        <w:rPr>
          <w:rFonts w:ascii="Calibri" w:hAnsi="Calibri" w:cs="Calibri"/>
          <w:sz w:val="24"/>
          <w:szCs w:val="24"/>
        </w:rPr>
        <w:t xml:space="preserve">TDAG was able to adapt quickly to apply suitable working methods to accommodate global meetings in a remote setting. </w:t>
      </w:r>
      <w:r w:rsidR="2DB4E1DB" w:rsidRPr="632A2ABB">
        <w:rPr>
          <w:rFonts w:ascii="Calibri" w:hAnsi="Calibri" w:cs="Calibri"/>
          <w:sz w:val="24"/>
          <w:szCs w:val="24"/>
        </w:rPr>
        <w:t>T</w:t>
      </w:r>
      <w:r w:rsidR="66E5B143" w:rsidRPr="632A2ABB">
        <w:rPr>
          <w:rFonts w:ascii="Calibri" w:hAnsi="Calibri" w:cs="Calibri"/>
          <w:sz w:val="24"/>
          <w:szCs w:val="24"/>
        </w:rPr>
        <w:t xml:space="preserve">o date, </w:t>
      </w:r>
      <w:r w:rsidR="2DB4E1DB" w:rsidRPr="632A2ABB">
        <w:rPr>
          <w:rFonts w:ascii="Calibri" w:hAnsi="Calibri" w:cs="Calibri"/>
          <w:sz w:val="24"/>
          <w:szCs w:val="24"/>
        </w:rPr>
        <w:t xml:space="preserve">with the support of the TDAG Bureau and membership, </w:t>
      </w:r>
      <w:r w:rsidR="4EB02B53" w:rsidRPr="632A2ABB">
        <w:rPr>
          <w:rFonts w:ascii="Calibri" w:hAnsi="Calibri" w:cs="Calibri"/>
          <w:sz w:val="24"/>
          <w:szCs w:val="24"/>
        </w:rPr>
        <w:t xml:space="preserve">TDAG </w:t>
      </w:r>
      <w:r w:rsidR="2DB4E1DB" w:rsidRPr="632A2ABB">
        <w:rPr>
          <w:rFonts w:ascii="Calibri" w:hAnsi="Calibri" w:cs="Calibri"/>
          <w:sz w:val="24"/>
          <w:szCs w:val="24"/>
        </w:rPr>
        <w:t xml:space="preserve">has continued its work through virtual meetings, including the effective use of Working Groups (also operating through virtual meetings or electronic correspondence methods) to address the reduced meeting hours afforded to TDAG itself. </w:t>
      </w:r>
    </w:p>
    <w:p w14:paraId="6E6EC18A" w14:textId="0C0A7DD9" w:rsidR="00565EBE" w:rsidRDefault="006941F4" w:rsidP="00254262">
      <w:pPr>
        <w:pStyle w:val="CEONormal"/>
        <w:spacing w:before="240" w:after="120"/>
        <w:rPr>
          <w:rFonts w:ascii="Calibri" w:hAnsi="Calibri" w:cs="Calibri"/>
          <w:sz w:val="24"/>
          <w:szCs w:val="24"/>
        </w:rPr>
      </w:pPr>
      <w:r>
        <w:rPr>
          <w:rFonts w:ascii="Calibri" w:hAnsi="Calibri" w:cs="Calibri"/>
          <w:sz w:val="24"/>
          <w:szCs w:val="24"/>
        </w:rPr>
        <w:t>The</w:t>
      </w:r>
      <w:r w:rsidR="006D3875">
        <w:rPr>
          <w:rFonts w:ascii="Calibri" w:hAnsi="Calibri" w:cs="Calibri"/>
          <w:sz w:val="24"/>
          <w:szCs w:val="24"/>
        </w:rPr>
        <w:t xml:space="preserve"> move to electronic, remote working methods has been under constant review, including implementing </w:t>
      </w:r>
      <w:r>
        <w:rPr>
          <w:rFonts w:ascii="Calibri" w:hAnsi="Calibri" w:cs="Calibri"/>
          <w:sz w:val="24"/>
          <w:szCs w:val="24"/>
        </w:rPr>
        <w:t xml:space="preserve">a shift to </w:t>
      </w:r>
      <w:r w:rsidR="006D3875">
        <w:rPr>
          <w:rFonts w:ascii="Calibri" w:hAnsi="Calibri" w:cs="Calibri"/>
          <w:sz w:val="24"/>
          <w:szCs w:val="24"/>
        </w:rPr>
        <w:t>a</w:t>
      </w:r>
      <w:r>
        <w:rPr>
          <w:rFonts w:ascii="Calibri" w:hAnsi="Calibri" w:cs="Calibri"/>
          <w:sz w:val="24"/>
          <w:szCs w:val="24"/>
        </w:rPr>
        <w:t xml:space="preserve"> Zoom </w:t>
      </w:r>
      <w:r w:rsidR="006D3875">
        <w:rPr>
          <w:rFonts w:ascii="Calibri" w:hAnsi="Calibri" w:cs="Calibri"/>
          <w:sz w:val="24"/>
          <w:szCs w:val="24"/>
        </w:rPr>
        <w:t xml:space="preserve">based meeting </w:t>
      </w:r>
      <w:r>
        <w:rPr>
          <w:rFonts w:ascii="Calibri" w:hAnsi="Calibri" w:cs="Calibri"/>
          <w:sz w:val="24"/>
          <w:szCs w:val="24"/>
        </w:rPr>
        <w:t xml:space="preserve">platform </w:t>
      </w:r>
      <w:r w:rsidR="006D3875">
        <w:rPr>
          <w:rFonts w:ascii="Calibri" w:hAnsi="Calibri" w:cs="Calibri"/>
          <w:sz w:val="24"/>
          <w:szCs w:val="24"/>
        </w:rPr>
        <w:t xml:space="preserve">to enhance the interaction between delegates attending and </w:t>
      </w:r>
      <w:r w:rsidR="0055520E">
        <w:rPr>
          <w:rFonts w:ascii="Calibri" w:hAnsi="Calibri" w:cs="Calibri"/>
          <w:sz w:val="24"/>
          <w:szCs w:val="24"/>
        </w:rPr>
        <w:t>the stability of delegate connection to meetings.</w:t>
      </w:r>
    </w:p>
    <w:p w14:paraId="2A7C0ADF" w14:textId="182137D9" w:rsidR="00565EBE" w:rsidRPr="00F63D31" w:rsidRDefault="00F91F27" w:rsidP="00F63D31">
      <w:pPr>
        <w:pStyle w:val="CEONormal"/>
        <w:spacing w:before="240" w:after="120"/>
        <w:rPr>
          <w:rFonts w:ascii="Calibri" w:hAnsi="Calibri" w:cs="Calibri"/>
          <w:sz w:val="24"/>
          <w:szCs w:val="24"/>
        </w:rPr>
      </w:pPr>
      <w:r>
        <w:rPr>
          <w:rFonts w:ascii="Calibri" w:hAnsi="Calibri" w:cs="Calibri"/>
          <w:sz w:val="24"/>
          <w:szCs w:val="24"/>
        </w:rPr>
        <w:t xml:space="preserve">It is noted that the </w:t>
      </w:r>
      <w:r w:rsidR="00D133B9">
        <w:rPr>
          <w:rFonts w:ascii="Calibri" w:hAnsi="Calibri" w:cs="Calibri"/>
          <w:sz w:val="24"/>
          <w:szCs w:val="24"/>
        </w:rPr>
        <w:t xml:space="preserve">electronic methods have allowed TDAG additional flexibility regarding the hosting of additional meetings, and have significantly increased the average attendance at TDAG meetings (up to fourfold) however the importance </w:t>
      </w:r>
      <w:r w:rsidR="0095399B">
        <w:rPr>
          <w:rFonts w:ascii="Calibri" w:hAnsi="Calibri" w:cs="Calibri"/>
          <w:sz w:val="24"/>
          <w:szCs w:val="24"/>
        </w:rPr>
        <w:t xml:space="preserve">and desirability </w:t>
      </w:r>
      <w:r w:rsidR="00D133B9">
        <w:rPr>
          <w:rFonts w:ascii="Calibri" w:hAnsi="Calibri" w:cs="Calibri"/>
          <w:sz w:val="24"/>
          <w:szCs w:val="24"/>
        </w:rPr>
        <w:t xml:space="preserve">of physical meetings as a forum for enhanced decision making and negotiation </w:t>
      </w:r>
      <w:r w:rsidR="0095399B">
        <w:rPr>
          <w:rFonts w:ascii="Calibri" w:hAnsi="Calibri" w:cs="Calibri"/>
          <w:sz w:val="24"/>
          <w:szCs w:val="24"/>
        </w:rPr>
        <w:t>has continued to be stressed by TDAG.</w:t>
      </w:r>
    </w:p>
    <w:p w14:paraId="73B9D3E4" w14:textId="5C2E76BD" w:rsidR="00565EBE" w:rsidRPr="008D5BC4" w:rsidRDefault="000C13D7" w:rsidP="5529AB18">
      <w:pPr>
        <w:pStyle w:val="Heading2"/>
        <w:spacing w:line="259" w:lineRule="auto"/>
        <w:rPr>
          <w:rFonts w:eastAsiaTheme="minorEastAsia" w:cstheme="minorBidi"/>
          <w:bCs/>
          <w:szCs w:val="24"/>
        </w:rPr>
      </w:pPr>
      <w:bookmarkStart w:id="135" w:name="_Toc85818112"/>
      <w:r>
        <w:t xml:space="preserve">ITU-D objectives and budgetary appropriations available for </w:t>
      </w:r>
      <w:r w:rsidR="00956C36">
        <w:t>activities, programmes and regional initiatives</w:t>
      </w:r>
      <w:r w:rsidR="00CE331D">
        <w:t>; ITU-D operational plan; Buenos Aires Action Plan</w:t>
      </w:r>
      <w:bookmarkEnd w:id="135"/>
    </w:p>
    <w:p w14:paraId="6A1E5D12" w14:textId="10EE0014" w:rsidR="000C13D7" w:rsidRPr="00CE331D" w:rsidRDefault="00CE331D" w:rsidP="001C3997">
      <w:pPr>
        <w:pStyle w:val="CEONormal"/>
        <w:tabs>
          <w:tab w:val="left" w:pos="794"/>
          <w:tab w:val="left" w:pos="1191"/>
          <w:tab w:val="left" w:pos="1588"/>
          <w:tab w:val="left" w:pos="1985"/>
        </w:tabs>
        <w:overflowPunct w:val="0"/>
        <w:autoSpaceDE w:val="0"/>
        <w:autoSpaceDN w:val="0"/>
        <w:adjustRightInd w:val="0"/>
        <w:spacing w:before="120"/>
        <w:ind w:left="567" w:hanging="567"/>
        <w:textAlignment w:val="baseline"/>
        <w:rPr>
          <w:rFonts w:asciiTheme="minorHAnsi" w:hAnsiTheme="minorHAnsi" w:cstheme="minorHAnsi"/>
          <w:i/>
          <w:iCs/>
          <w:sz w:val="24"/>
          <w:szCs w:val="24"/>
        </w:rPr>
      </w:pPr>
      <w:r w:rsidRPr="00CE331D">
        <w:rPr>
          <w:rFonts w:asciiTheme="minorHAnsi" w:hAnsiTheme="minorHAnsi" w:cstheme="minorHAnsi"/>
          <w:i/>
          <w:iCs/>
          <w:sz w:val="24"/>
          <w:szCs w:val="24"/>
        </w:rPr>
        <w:t>“</w:t>
      </w:r>
      <w:r w:rsidR="000C13D7" w:rsidRPr="00CE331D">
        <w:rPr>
          <w:rFonts w:asciiTheme="minorHAnsi" w:hAnsiTheme="minorHAnsi" w:cstheme="minorHAnsi"/>
          <w:i/>
          <w:iCs/>
          <w:sz w:val="24"/>
          <w:szCs w:val="24"/>
        </w:rPr>
        <w:t>ii)</w:t>
      </w:r>
      <w:r w:rsidR="000C13D7" w:rsidRPr="00CE331D">
        <w:rPr>
          <w:rFonts w:asciiTheme="minorHAnsi" w:hAnsiTheme="minorHAnsi" w:cstheme="minorHAnsi"/>
          <w:i/>
          <w:iCs/>
          <w:sz w:val="24"/>
          <w:szCs w:val="24"/>
        </w:rPr>
        <w:tab/>
        <w:t>review, on an ongoing basis, the relationship between the ITU</w:t>
      </w:r>
      <w:r w:rsidR="000C13D7" w:rsidRPr="00CE331D">
        <w:rPr>
          <w:rFonts w:asciiTheme="minorHAnsi" w:hAnsiTheme="minorHAnsi" w:cstheme="minorHAnsi"/>
          <w:i/>
          <w:iCs/>
          <w:sz w:val="24"/>
          <w:szCs w:val="24"/>
        </w:rPr>
        <w:noBreakHyphen/>
        <w:t>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p>
    <w:p w14:paraId="5D78D74E" w14:textId="77777777" w:rsidR="001115EA" w:rsidRPr="00CE331D" w:rsidRDefault="001115EA" w:rsidP="001C3997">
      <w:pPr>
        <w:pStyle w:val="enumlev1"/>
        <w:tabs>
          <w:tab w:val="clear" w:pos="1134"/>
        </w:tabs>
        <w:spacing w:before="120"/>
        <w:ind w:left="567" w:hanging="567"/>
        <w:rPr>
          <w:i/>
          <w:iCs/>
        </w:rPr>
      </w:pPr>
      <w:r w:rsidRPr="00CE331D">
        <w:rPr>
          <w:i/>
          <w:iCs/>
        </w:rPr>
        <w:t>iii)</w:t>
      </w:r>
      <w:r w:rsidRPr="00CE331D">
        <w:rPr>
          <w:i/>
          <w:iCs/>
        </w:rPr>
        <w:tab/>
        <w:t>review, on an ongoing basis and in accordance with No. 223A of the Convention, the implementation of the rolling four-year operational plan for ITU</w:t>
      </w:r>
      <w:r w:rsidRPr="00CE331D">
        <w:rPr>
          <w:i/>
          <w:iCs/>
        </w:rPr>
        <w:noBreakHyphen/>
        <w:t xml:space="preserve">D and provide guidance </w:t>
      </w:r>
      <w:r w:rsidRPr="00CE331D">
        <w:rPr>
          <w:i/>
          <w:iCs/>
        </w:rPr>
        <w:lastRenderedPageBreak/>
        <w:t>to BDT on the elaboration of the draft ITU</w:t>
      </w:r>
      <w:r w:rsidRPr="00CE331D">
        <w:rPr>
          <w:i/>
          <w:iCs/>
        </w:rPr>
        <w:noBreakHyphen/>
        <w:t xml:space="preserve">D operational plan to be approved by the following ITU Council session; </w:t>
      </w:r>
    </w:p>
    <w:p w14:paraId="0F1F8E16" w14:textId="07E25004" w:rsidR="001115EA" w:rsidRPr="00956C36" w:rsidRDefault="001115EA" w:rsidP="001C3997">
      <w:pPr>
        <w:pStyle w:val="enumlev1"/>
        <w:tabs>
          <w:tab w:val="clear" w:pos="1134"/>
        </w:tabs>
        <w:spacing w:before="120"/>
        <w:ind w:left="567" w:hanging="567"/>
        <w:rPr>
          <w:rFonts w:cstheme="minorHAnsi"/>
          <w:szCs w:val="24"/>
        </w:rPr>
      </w:pPr>
      <w:r w:rsidRPr="00CE331D">
        <w:rPr>
          <w:i/>
          <w:iCs/>
        </w:rPr>
        <w:t>iv)</w:t>
      </w:r>
      <w:r w:rsidRPr="00CE331D">
        <w:rPr>
          <w:i/>
          <w:iCs/>
        </w:rPr>
        <w:tab/>
        <w:t>evaluate, and update as necessary, working methods and guidelines to ensure the most efficient and flexible implementation of the key elements of the WTDC Action Plan;</w:t>
      </w:r>
      <w:r w:rsidR="00CE331D" w:rsidRPr="00CE331D">
        <w:rPr>
          <w:i/>
          <w:iCs/>
        </w:rPr>
        <w:t>”</w:t>
      </w:r>
      <w:r w:rsidRPr="002D27AE">
        <w:t xml:space="preserve"> </w:t>
      </w:r>
    </w:p>
    <w:p w14:paraId="24947DAE" w14:textId="77777777" w:rsidR="00CE331D" w:rsidRDefault="00565EBE" w:rsidP="001C3997">
      <w:pPr>
        <w:pStyle w:val="CEONormal"/>
        <w:keepNext/>
        <w:tabs>
          <w:tab w:val="left" w:pos="794"/>
          <w:tab w:val="left" w:pos="1191"/>
          <w:tab w:val="left" w:pos="1588"/>
          <w:tab w:val="left" w:pos="1985"/>
        </w:tabs>
        <w:overflowPunct w:val="0"/>
        <w:autoSpaceDE w:val="0"/>
        <w:autoSpaceDN w:val="0"/>
        <w:adjustRightInd w:val="0"/>
        <w:spacing w:before="120"/>
        <w:textAlignment w:val="baseline"/>
        <w:rPr>
          <w:rFonts w:ascii="Calibri" w:hAnsi="Calibri" w:cs="Calibri"/>
          <w:sz w:val="24"/>
          <w:szCs w:val="24"/>
        </w:rPr>
      </w:pPr>
      <w:r w:rsidRPr="008D5BC4">
        <w:rPr>
          <w:rFonts w:ascii="Calibri" w:hAnsi="Calibri" w:cs="Calibri"/>
          <w:sz w:val="24"/>
          <w:szCs w:val="24"/>
        </w:rPr>
        <w:t xml:space="preserve">Throughout the period </w:t>
      </w:r>
      <w:r w:rsidR="00CE331D">
        <w:rPr>
          <w:rFonts w:ascii="Calibri" w:hAnsi="Calibri" w:cs="Calibri"/>
          <w:sz w:val="24"/>
          <w:szCs w:val="24"/>
        </w:rPr>
        <w:t xml:space="preserve">since WTDC-17 </w:t>
      </w:r>
      <w:r w:rsidRPr="008D5BC4">
        <w:rPr>
          <w:rFonts w:ascii="Calibri" w:hAnsi="Calibri" w:cs="Calibri"/>
          <w:sz w:val="24"/>
          <w:szCs w:val="24"/>
        </w:rPr>
        <w:t xml:space="preserve">the </w:t>
      </w:r>
      <w:r w:rsidR="00711201">
        <w:rPr>
          <w:rFonts w:ascii="Calibri" w:hAnsi="Calibri" w:cs="Calibri"/>
          <w:sz w:val="24"/>
          <w:szCs w:val="24"/>
        </w:rPr>
        <w:t xml:space="preserve">BDT Director has </w:t>
      </w:r>
      <w:r w:rsidRPr="008D5BC4">
        <w:rPr>
          <w:rFonts w:ascii="Calibri" w:hAnsi="Calibri" w:cs="Calibri"/>
          <w:sz w:val="24"/>
          <w:szCs w:val="24"/>
        </w:rPr>
        <w:t xml:space="preserve">reported systematically to TDAG </w:t>
      </w:r>
      <w:r w:rsidR="00CE331D">
        <w:rPr>
          <w:rFonts w:ascii="Calibri" w:hAnsi="Calibri" w:cs="Calibri"/>
          <w:sz w:val="24"/>
          <w:szCs w:val="24"/>
        </w:rPr>
        <w:t xml:space="preserve">at each meeting </w:t>
      </w:r>
      <w:r w:rsidRPr="008D5BC4">
        <w:rPr>
          <w:rFonts w:ascii="Calibri" w:hAnsi="Calibri" w:cs="Calibri"/>
          <w:sz w:val="24"/>
          <w:szCs w:val="24"/>
        </w:rPr>
        <w:t>on</w:t>
      </w:r>
      <w:r w:rsidR="00CE331D">
        <w:rPr>
          <w:rFonts w:ascii="Calibri" w:hAnsi="Calibri" w:cs="Calibri"/>
          <w:sz w:val="24"/>
          <w:szCs w:val="24"/>
        </w:rPr>
        <w:t xml:space="preserve">: </w:t>
      </w:r>
    </w:p>
    <w:p w14:paraId="3650B028" w14:textId="1F13EAD8" w:rsidR="00CE0A91" w:rsidRDefault="00783C5C" w:rsidP="00947B30">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textAlignment w:val="baseline"/>
        <w:rPr>
          <w:rFonts w:ascii="Calibri" w:hAnsi="Calibri" w:cs="Calibri"/>
          <w:sz w:val="24"/>
          <w:szCs w:val="24"/>
        </w:rPr>
      </w:pPr>
      <w:r>
        <w:rPr>
          <w:rFonts w:ascii="Calibri" w:hAnsi="Calibri" w:cs="Calibri"/>
          <w:sz w:val="24"/>
          <w:szCs w:val="24"/>
        </w:rPr>
        <w:t>T</w:t>
      </w:r>
      <w:r w:rsidR="00565EBE" w:rsidRPr="008D5BC4">
        <w:rPr>
          <w:rFonts w:ascii="Calibri" w:hAnsi="Calibri" w:cs="Calibri"/>
          <w:sz w:val="24"/>
          <w:szCs w:val="24"/>
        </w:rPr>
        <w:t xml:space="preserve">he progress made by </w:t>
      </w:r>
      <w:r w:rsidR="00711201">
        <w:rPr>
          <w:rFonts w:ascii="Calibri" w:hAnsi="Calibri" w:cs="Calibri"/>
          <w:sz w:val="24"/>
          <w:szCs w:val="24"/>
        </w:rPr>
        <w:t>BDT in the implementation of Results Based Management (RBM) in BDT an</w:t>
      </w:r>
      <w:r w:rsidR="00027762">
        <w:rPr>
          <w:rFonts w:ascii="Calibri" w:hAnsi="Calibri" w:cs="Calibri"/>
          <w:sz w:val="24"/>
          <w:szCs w:val="24"/>
        </w:rPr>
        <w:t>d</w:t>
      </w:r>
      <w:r w:rsidR="00711201">
        <w:rPr>
          <w:rFonts w:ascii="Calibri" w:hAnsi="Calibri" w:cs="Calibri"/>
          <w:sz w:val="24"/>
          <w:szCs w:val="24"/>
        </w:rPr>
        <w:t xml:space="preserve"> the progress being made in the implementation of the objectives as set out in the Buenos Aires Action pla</w:t>
      </w:r>
      <w:r w:rsidR="005D3699">
        <w:rPr>
          <w:rFonts w:ascii="Calibri" w:hAnsi="Calibri" w:cs="Calibri"/>
          <w:sz w:val="24"/>
          <w:szCs w:val="24"/>
        </w:rPr>
        <w:t>n</w:t>
      </w:r>
      <w:r w:rsidR="00CE0A91">
        <w:rPr>
          <w:rFonts w:ascii="Calibri" w:hAnsi="Calibri" w:cs="Calibri"/>
          <w:sz w:val="24"/>
          <w:szCs w:val="24"/>
        </w:rPr>
        <w:t>;</w:t>
      </w:r>
      <w:r w:rsidR="00027762">
        <w:rPr>
          <w:rFonts w:ascii="Calibri" w:hAnsi="Calibri" w:cs="Calibri"/>
          <w:sz w:val="24"/>
          <w:szCs w:val="24"/>
        </w:rPr>
        <w:t xml:space="preserve"> </w:t>
      </w:r>
    </w:p>
    <w:p w14:paraId="1F8223D8" w14:textId="3C8BCD10" w:rsidR="00941CEF" w:rsidRDefault="00420C17" w:rsidP="00947B30">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textAlignment w:val="baseline"/>
        <w:rPr>
          <w:rFonts w:ascii="Calibri" w:hAnsi="Calibri" w:cs="Calibri"/>
          <w:sz w:val="24"/>
          <w:szCs w:val="24"/>
        </w:rPr>
      </w:pPr>
      <w:r>
        <w:rPr>
          <w:rFonts w:ascii="Calibri" w:hAnsi="Calibri" w:cs="Calibri"/>
          <w:sz w:val="24"/>
          <w:szCs w:val="24"/>
        </w:rPr>
        <w:t xml:space="preserve">The creation </w:t>
      </w:r>
      <w:r w:rsidR="005D3699">
        <w:rPr>
          <w:rFonts w:ascii="Calibri" w:hAnsi="Calibri" w:cs="Calibri"/>
          <w:sz w:val="24"/>
          <w:szCs w:val="24"/>
        </w:rPr>
        <w:t>and o</w:t>
      </w:r>
      <w:r w:rsidR="00D274C6">
        <w:rPr>
          <w:rFonts w:ascii="Calibri" w:hAnsi="Calibri" w:cs="Calibri"/>
          <w:sz w:val="24"/>
          <w:szCs w:val="24"/>
        </w:rPr>
        <w:t xml:space="preserve">perationalisation </w:t>
      </w:r>
      <w:r>
        <w:rPr>
          <w:rFonts w:ascii="Calibri" w:hAnsi="Calibri" w:cs="Calibri"/>
          <w:sz w:val="24"/>
          <w:szCs w:val="24"/>
        </w:rPr>
        <w:t xml:space="preserve">by the BDT of Thematic Priorities as part of the RBM implementation and their application to the </w:t>
      </w:r>
      <w:r w:rsidR="00941CEF">
        <w:rPr>
          <w:rFonts w:ascii="Calibri" w:hAnsi="Calibri" w:cs="Calibri"/>
          <w:sz w:val="24"/>
          <w:szCs w:val="24"/>
        </w:rPr>
        <w:t>organisation of the Buenos Aires Action Plan deliverables by the BDT</w:t>
      </w:r>
      <w:r w:rsidR="00CE0A91">
        <w:rPr>
          <w:rFonts w:ascii="Calibri" w:hAnsi="Calibri" w:cs="Calibri"/>
          <w:sz w:val="24"/>
          <w:szCs w:val="24"/>
        </w:rPr>
        <w:t>;</w:t>
      </w:r>
      <w:r>
        <w:rPr>
          <w:rFonts w:ascii="Calibri" w:hAnsi="Calibri" w:cs="Calibri"/>
          <w:sz w:val="24"/>
          <w:szCs w:val="24"/>
        </w:rPr>
        <w:t xml:space="preserve"> </w:t>
      </w:r>
    </w:p>
    <w:p w14:paraId="52468F72" w14:textId="41806966" w:rsidR="00CE0A91" w:rsidRDefault="00CE0A91" w:rsidP="00947B30">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textAlignment w:val="baseline"/>
        <w:rPr>
          <w:rFonts w:ascii="Calibri" w:hAnsi="Calibri" w:cs="Calibri"/>
          <w:sz w:val="24"/>
          <w:szCs w:val="24"/>
        </w:rPr>
      </w:pPr>
      <w:r w:rsidRPr="5529AB18">
        <w:rPr>
          <w:rFonts w:ascii="Calibri" w:hAnsi="Calibri" w:cs="Calibri"/>
          <w:sz w:val="24"/>
          <w:szCs w:val="24"/>
        </w:rPr>
        <w:t>BDT’s progress on</w:t>
      </w:r>
      <w:r w:rsidR="000A2C0F" w:rsidRPr="5529AB18">
        <w:rPr>
          <w:rFonts w:ascii="Calibri" w:hAnsi="Calibri" w:cs="Calibri"/>
          <w:sz w:val="24"/>
          <w:szCs w:val="24"/>
        </w:rPr>
        <w:t xml:space="preserve"> its implementation of the four</w:t>
      </w:r>
      <w:r w:rsidR="5145685B" w:rsidRPr="5529AB18">
        <w:rPr>
          <w:rFonts w:ascii="Calibri" w:hAnsi="Calibri" w:cs="Calibri"/>
          <w:sz w:val="24"/>
          <w:szCs w:val="24"/>
        </w:rPr>
        <w:t>-</w:t>
      </w:r>
      <w:r w:rsidR="000A2C0F" w:rsidRPr="5529AB18">
        <w:rPr>
          <w:rFonts w:ascii="Calibri" w:hAnsi="Calibri" w:cs="Calibri"/>
          <w:sz w:val="24"/>
          <w:szCs w:val="24"/>
        </w:rPr>
        <w:t>year ITU-D operational plan;</w:t>
      </w:r>
    </w:p>
    <w:p w14:paraId="7CC3FADA" w14:textId="19751632" w:rsidR="000A2C0F" w:rsidRDefault="000A2C0F" w:rsidP="00947B30">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textAlignment w:val="baseline"/>
        <w:rPr>
          <w:rFonts w:ascii="Calibri" w:hAnsi="Calibri" w:cs="Calibri"/>
          <w:sz w:val="24"/>
          <w:szCs w:val="24"/>
        </w:rPr>
      </w:pPr>
      <w:r>
        <w:rPr>
          <w:rFonts w:ascii="Calibri" w:hAnsi="Calibri" w:cs="Calibri"/>
          <w:sz w:val="24"/>
          <w:szCs w:val="24"/>
        </w:rPr>
        <w:t>BDT’s implementation of the Buenos Aires Action Plan</w:t>
      </w:r>
      <w:r w:rsidR="004C5ECE">
        <w:rPr>
          <w:rFonts w:ascii="Calibri" w:hAnsi="Calibri" w:cs="Calibri"/>
          <w:sz w:val="24"/>
          <w:szCs w:val="24"/>
        </w:rPr>
        <w:t>;</w:t>
      </w:r>
    </w:p>
    <w:p w14:paraId="3BE1321D" w14:textId="6E02BC19" w:rsidR="004C5ECE" w:rsidRDefault="5E68BE95" w:rsidP="00947B30">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textAlignment w:val="baseline"/>
        <w:rPr>
          <w:rFonts w:ascii="Calibri" w:hAnsi="Calibri" w:cs="Calibri"/>
          <w:sz w:val="24"/>
          <w:szCs w:val="24"/>
        </w:rPr>
      </w:pPr>
      <w:r w:rsidRPr="632A2ABB">
        <w:rPr>
          <w:rFonts w:ascii="Calibri" w:hAnsi="Calibri" w:cs="Calibri"/>
          <w:sz w:val="24"/>
          <w:szCs w:val="24"/>
        </w:rPr>
        <w:t xml:space="preserve">The enhancement by BDT of its </w:t>
      </w:r>
      <w:r w:rsidR="7627EBBD" w:rsidRPr="632A2ABB">
        <w:rPr>
          <w:rFonts w:ascii="Calibri" w:hAnsi="Calibri" w:cs="Calibri"/>
          <w:sz w:val="24"/>
          <w:szCs w:val="24"/>
        </w:rPr>
        <w:t xml:space="preserve">outreach to create new partnerships and to enhance BDT’s </w:t>
      </w:r>
      <w:r w:rsidRPr="632A2ABB">
        <w:rPr>
          <w:rFonts w:ascii="Calibri" w:hAnsi="Calibri" w:cs="Calibri"/>
          <w:sz w:val="24"/>
          <w:szCs w:val="24"/>
        </w:rPr>
        <w:t xml:space="preserve">resource mobilization </w:t>
      </w:r>
      <w:r w:rsidR="7627EBBD" w:rsidRPr="632A2ABB">
        <w:rPr>
          <w:rFonts w:ascii="Calibri" w:hAnsi="Calibri" w:cs="Calibri"/>
          <w:sz w:val="24"/>
          <w:szCs w:val="24"/>
        </w:rPr>
        <w:t>efforts, toward implem</w:t>
      </w:r>
      <w:r w:rsidR="1155DD6A" w:rsidRPr="632A2ABB">
        <w:rPr>
          <w:rFonts w:ascii="Calibri" w:hAnsi="Calibri" w:cs="Calibri"/>
          <w:sz w:val="24"/>
          <w:szCs w:val="24"/>
        </w:rPr>
        <w:t>entation of</w:t>
      </w:r>
      <w:r w:rsidR="7627EBBD" w:rsidRPr="632A2ABB">
        <w:rPr>
          <w:rFonts w:ascii="Calibri" w:hAnsi="Calibri" w:cs="Calibri"/>
          <w:sz w:val="24"/>
          <w:szCs w:val="24"/>
        </w:rPr>
        <w:t xml:space="preserve"> larger scale</w:t>
      </w:r>
      <w:r w:rsidR="1155DD6A" w:rsidRPr="632A2ABB">
        <w:rPr>
          <w:rFonts w:ascii="Calibri" w:hAnsi="Calibri" w:cs="Calibri"/>
          <w:sz w:val="24"/>
          <w:szCs w:val="24"/>
        </w:rPr>
        <w:t>, more impactful</w:t>
      </w:r>
      <w:r w:rsidR="7627EBBD" w:rsidRPr="632A2ABB">
        <w:rPr>
          <w:rFonts w:ascii="Calibri" w:hAnsi="Calibri" w:cs="Calibri"/>
          <w:sz w:val="24"/>
          <w:szCs w:val="24"/>
        </w:rPr>
        <w:t xml:space="preserve"> activit</w:t>
      </w:r>
      <w:r w:rsidR="25A047D6" w:rsidRPr="632A2ABB">
        <w:rPr>
          <w:rFonts w:ascii="Calibri" w:hAnsi="Calibri" w:cs="Calibri"/>
          <w:sz w:val="24"/>
          <w:szCs w:val="24"/>
        </w:rPr>
        <w:t>i</w:t>
      </w:r>
      <w:r w:rsidR="7627EBBD" w:rsidRPr="632A2ABB">
        <w:rPr>
          <w:rFonts w:ascii="Calibri" w:hAnsi="Calibri" w:cs="Calibri"/>
          <w:sz w:val="24"/>
          <w:szCs w:val="24"/>
        </w:rPr>
        <w:t>es and projects</w:t>
      </w:r>
      <w:r w:rsidR="1155DD6A" w:rsidRPr="632A2ABB">
        <w:rPr>
          <w:rFonts w:ascii="Calibri" w:hAnsi="Calibri" w:cs="Calibri"/>
          <w:sz w:val="24"/>
          <w:szCs w:val="24"/>
        </w:rPr>
        <w:t>;</w:t>
      </w:r>
    </w:p>
    <w:p w14:paraId="5A0168C5" w14:textId="4C0435E6" w:rsidR="008440DB" w:rsidRDefault="008440DB" w:rsidP="00947B30">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textAlignment w:val="baseline"/>
        <w:rPr>
          <w:rFonts w:ascii="Calibri" w:hAnsi="Calibri" w:cs="Calibri"/>
          <w:sz w:val="24"/>
          <w:szCs w:val="24"/>
        </w:rPr>
      </w:pPr>
      <w:r>
        <w:rPr>
          <w:rFonts w:ascii="Calibri" w:hAnsi="Calibri" w:cs="Calibri"/>
          <w:sz w:val="24"/>
          <w:szCs w:val="24"/>
        </w:rPr>
        <w:t>New initiatives created and implemented by BDT including related to inclusion of youth, women and</w:t>
      </w:r>
      <w:r w:rsidR="009E60D8">
        <w:rPr>
          <w:rFonts w:ascii="Calibri" w:hAnsi="Calibri" w:cs="Calibri"/>
          <w:sz w:val="24"/>
          <w:szCs w:val="24"/>
        </w:rPr>
        <w:t xml:space="preserve"> </w:t>
      </w:r>
      <w:r>
        <w:rPr>
          <w:rFonts w:ascii="Calibri" w:hAnsi="Calibri" w:cs="Calibri"/>
          <w:sz w:val="24"/>
          <w:szCs w:val="24"/>
        </w:rPr>
        <w:t xml:space="preserve">other </w:t>
      </w:r>
      <w:r w:rsidR="009E60D8">
        <w:rPr>
          <w:rFonts w:ascii="Calibri" w:hAnsi="Calibri" w:cs="Calibri"/>
          <w:sz w:val="24"/>
          <w:szCs w:val="24"/>
        </w:rPr>
        <w:t>specific sectors of the society.</w:t>
      </w:r>
    </w:p>
    <w:p w14:paraId="205942CF" w14:textId="1A449DE9" w:rsidR="0012242D" w:rsidRDefault="003E2F99" w:rsidP="001C3997">
      <w:pPr>
        <w:pStyle w:val="CEONormal"/>
        <w:tabs>
          <w:tab w:val="left" w:pos="794"/>
          <w:tab w:val="left" w:pos="1191"/>
          <w:tab w:val="left" w:pos="1588"/>
          <w:tab w:val="left" w:pos="1985"/>
        </w:tabs>
        <w:overflowPunct w:val="0"/>
        <w:autoSpaceDE w:val="0"/>
        <w:autoSpaceDN w:val="0"/>
        <w:adjustRightInd w:val="0"/>
        <w:spacing w:before="120"/>
        <w:textAlignment w:val="baseline"/>
        <w:rPr>
          <w:rFonts w:ascii="Calibri" w:hAnsi="Calibri" w:cs="Calibri"/>
          <w:sz w:val="24"/>
          <w:szCs w:val="24"/>
        </w:rPr>
      </w:pPr>
      <w:r w:rsidRPr="632A2ABB">
        <w:rPr>
          <w:rFonts w:ascii="Calibri" w:hAnsi="Calibri" w:cs="Calibri"/>
          <w:sz w:val="24"/>
          <w:szCs w:val="24"/>
        </w:rPr>
        <w:t>The report</w:t>
      </w:r>
      <w:r w:rsidR="1D792A4C" w:rsidRPr="632A2ABB">
        <w:rPr>
          <w:rFonts w:ascii="Calibri" w:hAnsi="Calibri" w:cs="Calibri"/>
          <w:sz w:val="24"/>
          <w:szCs w:val="24"/>
        </w:rPr>
        <w:t>ing by the BDT to TDAG has</w:t>
      </w:r>
      <w:r w:rsidRPr="632A2ABB">
        <w:rPr>
          <w:rFonts w:ascii="Calibri" w:hAnsi="Calibri" w:cs="Calibri"/>
          <w:sz w:val="24"/>
          <w:szCs w:val="24"/>
        </w:rPr>
        <w:t xml:space="preserve"> been detailed and comprehensive</w:t>
      </w:r>
      <w:r w:rsidR="5ADC8568" w:rsidRPr="632A2ABB">
        <w:rPr>
          <w:rFonts w:ascii="Calibri" w:hAnsi="Calibri" w:cs="Calibri"/>
          <w:sz w:val="24"/>
          <w:szCs w:val="24"/>
        </w:rPr>
        <w:t xml:space="preserve">, and increasingly as </w:t>
      </w:r>
      <w:r w:rsidR="1D792A4C" w:rsidRPr="632A2ABB">
        <w:rPr>
          <w:rFonts w:ascii="Calibri" w:hAnsi="Calibri" w:cs="Calibri"/>
          <w:sz w:val="24"/>
          <w:szCs w:val="24"/>
        </w:rPr>
        <w:t xml:space="preserve">enhanced </w:t>
      </w:r>
      <w:r w:rsidR="5ADC8568" w:rsidRPr="632A2ABB">
        <w:rPr>
          <w:rFonts w:ascii="Calibri" w:hAnsi="Calibri" w:cs="Calibri"/>
          <w:sz w:val="24"/>
          <w:szCs w:val="24"/>
        </w:rPr>
        <w:t>RBM implementation has progressed within BDT, delivered in the context of RBM principles (i.e. impact driven)</w:t>
      </w:r>
      <w:r w:rsidR="00B904AD" w:rsidRPr="632A2ABB">
        <w:rPr>
          <w:rFonts w:ascii="Calibri" w:hAnsi="Calibri" w:cs="Calibri"/>
          <w:sz w:val="24"/>
          <w:szCs w:val="24"/>
        </w:rPr>
        <w:t>.</w:t>
      </w:r>
      <w:r w:rsidR="5ADC8568" w:rsidRPr="632A2ABB">
        <w:rPr>
          <w:rFonts w:ascii="Calibri" w:hAnsi="Calibri" w:cs="Calibri"/>
          <w:sz w:val="24"/>
          <w:szCs w:val="24"/>
        </w:rPr>
        <w:t xml:space="preserve"> </w:t>
      </w:r>
      <w:r w:rsidR="4D3FBF33" w:rsidRPr="632A2ABB">
        <w:rPr>
          <w:rFonts w:ascii="Calibri" w:hAnsi="Calibri" w:cs="Calibri"/>
          <w:sz w:val="24"/>
          <w:szCs w:val="24"/>
        </w:rPr>
        <w:t xml:space="preserve">This </w:t>
      </w:r>
      <w:r w:rsidR="05D58298" w:rsidRPr="632A2ABB">
        <w:rPr>
          <w:rFonts w:ascii="Calibri" w:hAnsi="Calibri" w:cs="Calibri"/>
          <w:sz w:val="24"/>
          <w:szCs w:val="24"/>
        </w:rPr>
        <w:t xml:space="preserve">regular </w:t>
      </w:r>
      <w:r w:rsidR="4D3FBF33" w:rsidRPr="632A2ABB">
        <w:rPr>
          <w:rFonts w:ascii="Calibri" w:hAnsi="Calibri" w:cs="Calibri"/>
          <w:sz w:val="24"/>
          <w:szCs w:val="24"/>
        </w:rPr>
        <w:t xml:space="preserve">reporting has </w:t>
      </w:r>
      <w:r w:rsidR="2AC76856" w:rsidRPr="632A2ABB">
        <w:rPr>
          <w:rFonts w:ascii="Calibri" w:hAnsi="Calibri" w:cs="Calibri"/>
          <w:sz w:val="24"/>
          <w:szCs w:val="24"/>
        </w:rPr>
        <w:t xml:space="preserve">also </w:t>
      </w:r>
      <w:r w:rsidR="4D3FBF33" w:rsidRPr="632A2ABB">
        <w:rPr>
          <w:rFonts w:ascii="Calibri" w:hAnsi="Calibri" w:cs="Calibri"/>
          <w:sz w:val="24"/>
          <w:szCs w:val="24"/>
        </w:rPr>
        <w:t xml:space="preserve">included </w:t>
      </w:r>
      <w:r w:rsidR="2AC76856" w:rsidRPr="632A2ABB">
        <w:rPr>
          <w:rFonts w:ascii="Calibri" w:hAnsi="Calibri" w:cs="Calibri"/>
          <w:sz w:val="24"/>
          <w:szCs w:val="24"/>
        </w:rPr>
        <w:t xml:space="preserve">information extracted from a series of </w:t>
      </w:r>
      <w:r w:rsidR="4D3FBF33" w:rsidRPr="632A2ABB">
        <w:rPr>
          <w:rFonts w:ascii="Calibri" w:hAnsi="Calibri" w:cs="Calibri"/>
          <w:sz w:val="24"/>
          <w:szCs w:val="24"/>
        </w:rPr>
        <w:t xml:space="preserve">interactive dashboards which </w:t>
      </w:r>
      <w:r w:rsidR="2AC76856" w:rsidRPr="632A2ABB">
        <w:rPr>
          <w:rFonts w:ascii="Calibri" w:hAnsi="Calibri" w:cs="Calibri"/>
          <w:sz w:val="24"/>
          <w:szCs w:val="24"/>
        </w:rPr>
        <w:t xml:space="preserve">have been implemented by BDT management and which </w:t>
      </w:r>
      <w:r w:rsidR="4D3FBF33" w:rsidRPr="632A2ABB">
        <w:rPr>
          <w:rFonts w:ascii="Calibri" w:hAnsi="Calibri" w:cs="Calibri"/>
          <w:sz w:val="24"/>
          <w:szCs w:val="24"/>
        </w:rPr>
        <w:t>track</w:t>
      </w:r>
      <w:r w:rsidR="2AC76856" w:rsidRPr="632A2ABB">
        <w:rPr>
          <w:rFonts w:ascii="Calibri" w:hAnsi="Calibri" w:cs="Calibri"/>
          <w:sz w:val="24"/>
          <w:szCs w:val="24"/>
        </w:rPr>
        <w:t>,</w:t>
      </w:r>
      <w:r w:rsidR="4D3FBF33" w:rsidRPr="632A2ABB">
        <w:rPr>
          <w:rFonts w:ascii="Calibri" w:hAnsi="Calibri" w:cs="Calibri"/>
          <w:sz w:val="24"/>
          <w:szCs w:val="24"/>
        </w:rPr>
        <w:t xml:space="preserve"> in real time</w:t>
      </w:r>
      <w:r w:rsidR="2AC76856" w:rsidRPr="632A2ABB">
        <w:rPr>
          <w:rFonts w:ascii="Calibri" w:hAnsi="Calibri" w:cs="Calibri"/>
          <w:sz w:val="24"/>
          <w:szCs w:val="24"/>
        </w:rPr>
        <w:t>,</w:t>
      </w:r>
      <w:r w:rsidR="4D3FBF33" w:rsidRPr="632A2ABB">
        <w:rPr>
          <w:rFonts w:ascii="Calibri" w:hAnsi="Calibri" w:cs="Calibri"/>
          <w:sz w:val="24"/>
          <w:szCs w:val="24"/>
        </w:rPr>
        <w:t xml:space="preserve"> the status of activities and projects and the use of the resources assigned to BDT. TDAG</w:t>
      </w:r>
      <w:r w:rsidR="0ECE202B" w:rsidRPr="632A2ABB">
        <w:rPr>
          <w:rFonts w:ascii="Calibri" w:hAnsi="Calibri" w:cs="Calibri"/>
          <w:sz w:val="24"/>
          <w:szCs w:val="24"/>
        </w:rPr>
        <w:t xml:space="preserve"> </w:t>
      </w:r>
      <w:r w:rsidR="4D3FBF33" w:rsidRPr="632A2ABB">
        <w:rPr>
          <w:rFonts w:ascii="Calibri" w:hAnsi="Calibri" w:cs="Calibri"/>
          <w:sz w:val="24"/>
          <w:szCs w:val="24"/>
        </w:rPr>
        <w:t xml:space="preserve">has welcomed and analysed these reports throughout the period and </w:t>
      </w:r>
      <w:r w:rsidR="0ECE202B" w:rsidRPr="632A2ABB">
        <w:rPr>
          <w:rFonts w:ascii="Calibri" w:hAnsi="Calibri" w:cs="Calibri"/>
          <w:sz w:val="24"/>
          <w:szCs w:val="24"/>
        </w:rPr>
        <w:t>has been able to monitor delivery, and to provide invaluable oversight and advice to the BDT Director on ways to improve and enhance the delivery of activities</w:t>
      </w:r>
      <w:r w:rsidR="56013F65" w:rsidRPr="632A2ABB">
        <w:rPr>
          <w:rFonts w:ascii="Calibri" w:hAnsi="Calibri" w:cs="Calibri"/>
          <w:sz w:val="24"/>
          <w:szCs w:val="24"/>
        </w:rPr>
        <w:t>, including projects, programmes and regional initiatives</w:t>
      </w:r>
      <w:r w:rsidR="0ECE202B" w:rsidRPr="632A2ABB">
        <w:rPr>
          <w:rFonts w:ascii="Calibri" w:hAnsi="Calibri" w:cs="Calibri"/>
          <w:sz w:val="24"/>
          <w:szCs w:val="24"/>
        </w:rPr>
        <w:t>.</w:t>
      </w:r>
      <w:r w:rsidR="594008F3" w:rsidRPr="632A2ABB">
        <w:rPr>
          <w:rFonts w:ascii="Calibri" w:hAnsi="Calibri" w:cs="Calibri"/>
          <w:sz w:val="24"/>
          <w:szCs w:val="24"/>
        </w:rPr>
        <w:t xml:space="preserve"> </w:t>
      </w:r>
    </w:p>
    <w:p w14:paraId="257171E6" w14:textId="556AB0DC" w:rsidR="000C4F9F" w:rsidRDefault="56ABDF89" w:rsidP="001C3997">
      <w:pPr>
        <w:pStyle w:val="CEONormal"/>
        <w:spacing w:before="120"/>
        <w:rPr>
          <w:rFonts w:ascii="Calibri" w:hAnsi="Calibri" w:cs="Calibri"/>
          <w:sz w:val="24"/>
          <w:szCs w:val="24"/>
        </w:rPr>
      </w:pPr>
      <w:r w:rsidRPr="27676491">
        <w:rPr>
          <w:rFonts w:ascii="Calibri" w:hAnsi="Calibri" w:cs="Calibri"/>
          <w:sz w:val="24"/>
          <w:szCs w:val="24"/>
        </w:rPr>
        <w:t xml:space="preserve">Throughout its various meetings, TDAG stressed the important role of the private sector in the work of ITU-D and highlighted the progresses achieved to further foster collaboration with the private sector. </w:t>
      </w:r>
      <w:r w:rsidR="09CE793A" w:rsidRPr="27676491">
        <w:rPr>
          <w:rFonts w:ascii="Calibri" w:hAnsi="Calibri" w:cs="Calibri"/>
          <w:sz w:val="24"/>
          <w:szCs w:val="24"/>
        </w:rPr>
        <w:t xml:space="preserve">TDAG took note of the various initiatives and efforts to </w:t>
      </w:r>
      <w:r w:rsidR="5D23FDE5" w:rsidRPr="27676491">
        <w:rPr>
          <w:rFonts w:ascii="Calibri" w:hAnsi="Calibri" w:cs="Calibri"/>
          <w:sz w:val="24"/>
          <w:szCs w:val="24"/>
        </w:rPr>
        <w:t xml:space="preserve">attract new members, including the robust and effective use of online events to raise the profile of BDT globally and to ensure that ITU and BDT in particular are seen as a central player in the delivery of connectivity, particularly within the </w:t>
      </w:r>
      <w:r w:rsidR="01AA6470" w:rsidRPr="27676491">
        <w:rPr>
          <w:rFonts w:ascii="Calibri" w:hAnsi="Calibri" w:cs="Calibri"/>
          <w:sz w:val="24"/>
          <w:szCs w:val="24"/>
        </w:rPr>
        <w:t>COVID</w:t>
      </w:r>
      <w:r w:rsidR="5D23FDE5" w:rsidRPr="27676491">
        <w:rPr>
          <w:rFonts w:ascii="Calibri" w:hAnsi="Calibri" w:cs="Calibri"/>
          <w:sz w:val="24"/>
          <w:szCs w:val="24"/>
        </w:rPr>
        <w:t>-19 context.</w:t>
      </w:r>
    </w:p>
    <w:p w14:paraId="76699F04" w14:textId="332071A4" w:rsidR="000C4F9F" w:rsidRDefault="7F266853" w:rsidP="001C3997">
      <w:pPr>
        <w:pStyle w:val="CEONormal"/>
        <w:spacing w:before="120"/>
        <w:rPr>
          <w:rFonts w:ascii="Calibri" w:hAnsi="Calibri" w:cs="Calibri"/>
          <w:sz w:val="24"/>
          <w:szCs w:val="24"/>
        </w:rPr>
      </w:pPr>
      <w:r w:rsidRPr="632A2ABB">
        <w:rPr>
          <w:rFonts w:ascii="Calibri" w:hAnsi="Calibri" w:cs="Calibri"/>
          <w:sz w:val="24"/>
          <w:szCs w:val="24"/>
        </w:rPr>
        <w:t xml:space="preserve">BDT’s REG4COVID platform, launched in the early days of the </w:t>
      </w:r>
      <w:r w:rsidR="3D1A06C9" w:rsidRPr="632A2ABB">
        <w:rPr>
          <w:rFonts w:ascii="Calibri" w:hAnsi="Calibri" w:cs="Calibri"/>
          <w:sz w:val="24"/>
          <w:szCs w:val="24"/>
        </w:rPr>
        <w:t>COVID</w:t>
      </w:r>
      <w:r w:rsidRPr="632A2ABB">
        <w:rPr>
          <w:rFonts w:ascii="Calibri" w:hAnsi="Calibri" w:cs="Calibri"/>
          <w:sz w:val="24"/>
          <w:szCs w:val="24"/>
        </w:rPr>
        <w:t>-19 pandemic to provide a platform for sharing of information and best practices among regulators, policymakers, and other stakeholders was applauded by TDAG and</w:t>
      </w:r>
      <w:r w:rsidR="4D0D6948" w:rsidRPr="632A2ABB">
        <w:rPr>
          <w:rFonts w:ascii="Calibri" w:hAnsi="Calibri" w:cs="Calibri"/>
          <w:sz w:val="24"/>
          <w:szCs w:val="24"/>
        </w:rPr>
        <w:t xml:space="preserve"> was seen by many countries as an invaluable tool in their efforts to implement </w:t>
      </w:r>
      <w:r w:rsidR="4F8716A9" w:rsidRPr="632A2ABB">
        <w:rPr>
          <w:rFonts w:ascii="Calibri" w:hAnsi="Calibri" w:cs="Calibri"/>
          <w:sz w:val="24"/>
          <w:szCs w:val="24"/>
        </w:rPr>
        <w:t xml:space="preserve">mechanisms to relieve the impact of </w:t>
      </w:r>
      <w:r w:rsidR="4D0D6948" w:rsidRPr="632A2ABB">
        <w:rPr>
          <w:rFonts w:ascii="Calibri" w:hAnsi="Calibri" w:cs="Calibri"/>
          <w:sz w:val="24"/>
          <w:szCs w:val="24"/>
        </w:rPr>
        <w:t xml:space="preserve">the </w:t>
      </w:r>
      <w:r w:rsidR="3D1A06C9" w:rsidRPr="632A2ABB">
        <w:rPr>
          <w:rFonts w:ascii="Calibri" w:hAnsi="Calibri" w:cs="Calibri"/>
          <w:sz w:val="24"/>
          <w:szCs w:val="24"/>
        </w:rPr>
        <w:t>COVID</w:t>
      </w:r>
      <w:r w:rsidR="4D0D6948" w:rsidRPr="632A2ABB">
        <w:rPr>
          <w:rFonts w:ascii="Calibri" w:hAnsi="Calibri" w:cs="Calibri"/>
          <w:sz w:val="24"/>
          <w:szCs w:val="24"/>
        </w:rPr>
        <w:t>-19 pandemic</w:t>
      </w:r>
      <w:r w:rsidR="4F8716A9" w:rsidRPr="632A2ABB">
        <w:rPr>
          <w:rFonts w:ascii="Calibri" w:hAnsi="Calibri" w:cs="Calibri"/>
          <w:sz w:val="24"/>
          <w:szCs w:val="24"/>
        </w:rPr>
        <w:t xml:space="preserve"> on their societies.</w:t>
      </w:r>
    </w:p>
    <w:p w14:paraId="671608EC" w14:textId="4FAF9A71" w:rsidR="005B46E6" w:rsidRDefault="093E1A48" w:rsidP="001C3997">
      <w:pPr>
        <w:pStyle w:val="CEONormal"/>
        <w:spacing w:before="120"/>
        <w:rPr>
          <w:rFonts w:ascii="Calibri" w:hAnsi="Calibri" w:cs="Calibri"/>
          <w:sz w:val="24"/>
          <w:szCs w:val="24"/>
        </w:rPr>
      </w:pPr>
      <w:r w:rsidRPr="27676491">
        <w:rPr>
          <w:rFonts w:ascii="Calibri" w:hAnsi="Calibri" w:cs="Calibri"/>
          <w:sz w:val="24"/>
          <w:szCs w:val="24"/>
        </w:rPr>
        <w:t>The improvement of ITU’s regional presence</w:t>
      </w:r>
      <w:r w:rsidR="672EB1D8" w:rsidRPr="27676491">
        <w:rPr>
          <w:rFonts w:ascii="Calibri" w:hAnsi="Calibri" w:cs="Calibri"/>
          <w:sz w:val="24"/>
          <w:szCs w:val="24"/>
        </w:rPr>
        <w:t>, as per Res</w:t>
      </w:r>
      <w:r w:rsidR="021532EB" w:rsidRPr="27676491">
        <w:rPr>
          <w:rFonts w:ascii="Calibri" w:hAnsi="Calibri" w:cs="Calibri"/>
          <w:sz w:val="24"/>
          <w:szCs w:val="24"/>
        </w:rPr>
        <w:t>olution</w:t>
      </w:r>
      <w:r w:rsidR="672EB1D8" w:rsidRPr="27676491">
        <w:rPr>
          <w:rFonts w:ascii="Calibri" w:hAnsi="Calibri" w:cs="Calibri"/>
          <w:sz w:val="24"/>
          <w:szCs w:val="24"/>
        </w:rPr>
        <w:t xml:space="preserve"> 25</w:t>
      </w:r>
      <w:r w:rsidR="6C9B47C9" w:rsidRPr="27676491">
        <w:rPr>
          <w:rFonts w:ascii="Calibri" w:hAnsi="Calibri" w:cs="Calibri"/>
          <w:sz w:val="24"/>
          <w:szCs w:val="24"/>
        </w:rPr>
        <w:t xml:space="preserve"> (Rev. Dubai, 2018) of the Plenipotentiary Conference</w:t>
      </w:r>
      <w:r w:rsidRPr="27676491">
        <w:rPr>
          <w:rFonts w:ascii="Calibri" w:hAnsi="Calibri" w:cs="Calibri"/>
          <w:sz w:val="24"/>
          <w:szCs w:val="24"/>
        </w:rPr>
        <w:t xml:space="preserve"> was a key issue reported on to TDAG during the period since WTDC-17 with significant changes in the management of regional offices being implemented as part of the implementation of RBM methods, to improve reporting and cohesion of ITU at a </w:t>
      </w:r>
      <w:r w:rsidRPr="27676491">
        <w:rPr>
          <w:rFonts w:ascii="Calibri" w:hAnsi="Calibri" w:cs="Calibri"/>
          <w:sz w:val="24"/>
          <w:szCs w:val="24"/>
        </w:rPr>
        <w:lastRenderedPageBreak/>
        <w:t xml:space="preserve">global level, through effective management of its regional offices. TDAG </w:t>
      </w:r>
      <w:r w:rsidR="3E652892" w:rsidRPr="27676491">
        <w:rPr>
          <w:rFonts w:ascii="Calibri" w:hAnsi="Calibri" w:cs="Calibri"/>
          <w:sz w:val="24"/>
          <w:szCs w:val="24"/>
        </w:rPr>
        <w:t>received reports on regional initiatives directly from Regional Directors as part of the reporting on the BaAP, and noted the enhancements implemented in the management of the regional and area offices.</w:t>
      </w:r>
    </w:p>
    <w:p w14:paraId="7AE2D6E5" w14:textId="77777777" w:rsidR="003468C4" w:rsidRDefault="009E60D8" w:rsidP="001C3997">
      <w:pPr>
        <w:pStyle w:val="CEONormal"/>
        <w:spacing w:before="120"/>
        <w:rPr>
          <w:rFonts w:ascii="Calibri" w:hAnsi="Calibri" w:cs="Calibri"/>
          <w:sz w:val="24"/>
          <w:szCs w:val="24"/>
        </w:rPr>
      </w:pPr>
      <w:r w:rsidRPr="00005A94">
        <w:rPr>
          <w:rFonts w:ascii="Calibri" w:hAnsi="Calibri" w:cs="Calibri"/>
          <w:sz w:val="24"/>
          <w:szCs w:val="24"/>
        </w:rPr>
        <w:t xml:space="preserve">TDAG noted </w:t>
      </w:r>
      <w:r>
        <w:rPr>
          <w:rFonts w:ascii="Calibri" w:hAnsi="Calibri" w:cs="Calibri"/>
          <w:sz w:val="24"/>
          <w:szCs w:val="24"/>
        </w:rPr>
        <w:t xml:space="preserve">with appreciations </w:t>
      </w:r>
      <w:r w:rsidRPr="00005A94">
        <w:rPr>
          <w:rFonts w:ascii="Calibri" w:hAnsi="Calibri" w:cs="Calibri"/>
          <w:sz w:val="24"/>
          <w:szCs w:val="24"/>
        </w:rPr>
        <w:t>the actions carried out at global and regional levels to encourage partnerships, including public-private partnerships</w:t>
      </w:r>
      <w:r w:rsidR="007C602E">
        <w:rPr>
          <w:rFonts w:ascii="Calibri" w:hAnsi="Calibri" w:cs="Calibri"/>
          <w:sz w:val="24"/>
          <w:szCs w:val="24"/>
        </w:rPr>
        <w:t xml:space="preserve"> and TDAG’s Working Group on WTDC Preparations </w:t>
      </w:r>
      <w:r w:rsidR="00A343DB">
        <w:rPr>
          <w:rFonts w:ascii="Calibri" w:hAnsi="Calibri" w:cs="Calibri"/>
          <w:sz w:val="24"/>
          <w:szCs w:val="24"/>
        </w:rPr>
        <w:t xml:space="preserve">encouraged the BDT Director to implement a new development track for the WTDC </w:t>
      </w:r>
      <w:r w:rsidR="003468C4">
        <w:rPr>
          <w:rFonts w:ascii="Calibri" w:hAnsi="Calibri" w:cs="Calibri"/>
          <w:sz w:val="24"/>
          <w:szCs w:val="24"/>
        </w:rPr>
        <w:t xml:space="preserve">under </w:t>
      </w:r>
      <w:r w:rsidR="00A343DB">
        <w:rPr>
          <w:rFonts w:ascii="Calibri" w:hAnsi="Calibri" w:cs="Calibri"/>
          <w:sz w:val="24"/>
          <w:szCs w:val="24"/>
        </w:rPr>
        <w:t xml:space="preserve">which </w:t>
      </w:r>
      <w:r w:rsidR="003468C4">
        <w:rPr>
          <w:rFonts w:ascii="Calibri" w:hAnsi="Calibri" w:cs="Calibri"/>
          <w:sz w:val="24"/>
          <w:szCs w:val="24"/>
        </w:rPr>
        <w:t>the BDT Director formulated the Partner2Connect initiatives, which are applauded by TDAG as having the potential to become a powerful tool to enhance global connectivity and digital transformation</w:t>
      </w:r>
      <w:r w:rsidRPr="00005A94">
        <w:rPr>
          <w:rFonts w:ascii="Calibri" w:hAnsi="Calibri" w:cs="Calibri"/>
          <w:sz w:val="24"/>
          <w:szCs w:val="24"/>
        </w:rPr>
        <w:t xml:space="preserve">. </w:t>
      </w:r>
    </w:p>
    <w:p w14:paraId="5B841480" w14:textId="3F13157A" w:rsidR="009E60D8" w:rsidRDefault="003468C4" w:rsidP="001C3997">
      <w:pPr>
        <w:pStyle w:val="CEONormal"/>
        <w:spacing w:before="120"/>
        <w:rPr>
          <w:rFonts w:ascii="Calibri" w:hAnsi="Calibri" w:cs="Calibri"/>
          <w:sz w:val="24"/>
          <w:szCs w:val="24"/>
        </w:rPr>
      </w:pPr>
      <w:r>
        <w:rPr>
          <w:rFonts w:ascii="Calibri" w:hAnsi="Calibri" w:cs="Calibri"/>
          <w:sz w:val="24"/>
          <w:szCs w:val="24"/>
        </w:rPr>
        <w:t>BDT’s r</w:t>
      </w:r>
      <w:r w:rsidR="009E60D8" w:rsidRPr="00005A94">
        <w:rPr>
          <w:rFonts w:ascii="Calibri" w:hAnsi="Calibri" w:cs="Calibri"/>
          <w:sz w:val="24"/>
          <w:szCs w:val="24"/>
        </w:rPr>
        <w:t xml:space="preserve">esource mobilization efforts </w:t>
      </w:r>
      <w:r>
        <w:rPr>
          <w:rFonts w:ascii="Calibri" w:hAnsi="Calibri" w:cs="Calibri"/>
          <w:sz w:val="24"/>
          <w:szCs w:val="24"/>
        </w:rPr>
        <w:t xml:space="preserve">during the period have already significantly increased </w:t>
      </w:r>
      <w:r w:rsidR="00E15852">
        <w:rPr>
          <w:rFonts w:ascii="Calibri" w:hAnsi="Calibri" w:cs="Calibri"/>
          <w:sz w:val="24"/>
          <w:szCs w:val="24"/>
        </w:rPr>
        <w:t>during the period. T</w:t>
      </w:r>
      <w:r>
        <w:rPr>
          <w:rFonts w:ascii="Calibri" w:hAnsi="Calibri" w:cs="Calibri"/>
          <w:sz w:val="24"/>
          <w:szCs w:val="24"/>
        </w:rPr>
        <w:t xml:space="preserve">he decision to </w:t>
      </w:r>
      <w:r w:rsidR="00E15852">
        <w:rPr>
          <w:rFonts w:ascii="Calibri" w:hAnsi="Calibri" w:cs="Calibri"/>
          <w:sz w:val="24"/>
          <w:szCs w:val="24"/>
        </w:rPr>
        <w:t xml:space="preserve">firstly engage a comprehensive review of BDT’s resource mobilization and to </w:t>
      </w:r>
      <w:r>
        <w:rPr>
          <w:rFonts w:ascii="Calibri" w:hAnsi="Calibri" w:cs="Calibri"/>
          <w:sz w:val="24"/>
          <w:szCs w:val="24"/>
        </w:rPr>
        <w:t xml:space="preserve">create a dedicated resource mobilization team within the BDT </w:t>
      </w:r>
      <w:r w:rsidR="009E60D8" w:rsidRPr="00005A94">
        <w:rPr>
          <w:rFonts w:ascii="Calibri" w:hAnsi="Calibri" w:cs="Calibri"/>
          <w:sz w:val="24"/>
          <w:szCs w:val="24"/>
        </w:rPr>
        <w:t xml:space="preserve">to </w:t>
      </w:r>
      <w:r w:rsidR="00770AB5">
        <w:rPr>
          <w:rFonts w:ascii="Calibri" w:hAnsi="Calibri" w:cs="Calibri"/>
          <w:sz w:val="24"/>
          <w:szCs w:val="24"/>
        </w:rPr>
        <w:t>engage</w:t>
      </w:r>
      <w:r>
        <w:rPr>
          <w:rFonts w:ascii="Calibri" w:hAnsi="Calibri" w:cs="Calibri"/>
          <w:sz w:val="24"/>
          <w:szCs w:val="24"/>
        </w:rPr>
        <w:t xml:space="preserve"> appropriate expertise </w:t>
      </w:r>
      <w:r w:rsidR="0048378F">
        <w:rPr>
          <w:rFonts w:ascii="Calibri" w:hAnsi="Calibri" w:cs="Calibri"/>
          <w:sz w:val="24"/>
          <w:szCs w:val="24"/>
        </w:rPr>
        <w:t>focussed on building enhanced partnerships which result in increase</w:t>
      </w:r>
      <w:r w:rsidR="00770AB5">
        <w:rPr>
          <w:rFonts w:ascii="Calibri" w:hAnsi="Calibri" w:cs="Calibri"/>
          <w:sz w:val="24"/>
          <w:szCs w:val="24"/>
        </w:rPr>
        <w:t>d</w:t>
      </w:r>
      <w:r w:rsidR="0048378F">
        <w:rPr>
          <w:rFonts w:ascii="Calibri" w:hAnsi="Calibri" w:cs="Calibri"/>
          <w:sz w:val="24"/>
          <w:szCs w:val="24"/>
        </w:rPr>
        <w:t xml:space="preserve"> </w:t>
      </w:r>
      <w:r w:rsidR="00E15852">
        <w:rPr>
          <w:rFonts w:ascii="Calibri" w:hAnsi="Calibri" w:cs="Calibri"/>
          <w:sz w:val="24"/>
          <w:szCs w:val="24"/>
        </w:rPr>
        <w:t xml:space="preserve">support to ITU-D’s work </w:t>
      </w:r>
      <w:r w:rsidR="00770AB5">
        <w:rPr>
          <w:rFonts w:ascii="Calibri" w:hAnsi="Calibri" w:cs="Calibri"/>
          <w:sz w:val="24"/>
          <w:szCs w:val="24"/>
        </w:rPr>
        <w:t>was</w:t>
      </w:r>
      <w:r w:rsidR="00E15852">
        <w:rPr>
          <w:rFonts w:ascii="Calibri" w:hAnsi="Calibri" w:cs="Calibri"/>
          <w:sz w:val="24"/>
          <w:szCs w:val="24"/>
        </w:rPr>
        <w:t xml:space="preserve"> received enthusiastically by </w:t>
      </w:r>
      <w:r w:rsidR="009D6C9A">
        <w:rPr>
          <w:rFonts w:ascii="Calibri" w:hAnsi="Calibri" w:cs="Calibri"/>
          <w:sz w:val="24"/>
          <w:szCs w:val="24"/>
        </w:rPr>
        <w:t>TDAG</w:t>
      </w:r>
      <w:r w:rsidR="00770AB5">
        <w:rPr>
          <w:rFonts w:ascii="Calibri" w:hAnsi="Calibri" w:cs="Calibri"/>
          <w:sz w:val="24"/>
          <w:szCs w:val="24"/>
        </w:rPr>
        <w:t>, and has already delivered results</w:t>
      </w:r>
      <w:r w:rsidR="009D6C9A">
        <w:rPr>
          <w:rFonts w:ascii="Calibri" w:hAnsi="Calibri" w:cs="Calibri"/>
          <w:sz w:val="24"/>
          <w:szCs w:val="24"/>
        </w:rPr>
        <w:t>.</w:t>
      </w:r>
      <w:r w:rsidR="00E15852">
        <w:rPr>
          <w:rFonts w:ascii="Calibri" w:hAnsi="Calibri" w:cs="Calibri"/>
          <w:sz w:val="24"/>
          <w:szCs w:val="24"/>
        </w:rPr>
        <w:t xml:space="preserve"> </w:t>
      </w:r>
    </w:p>
    <w:p w14:paraId="5A2BAFE7" w14:textId="1EC4B8B8" w:rsidR="00770AB5" w:rsidRDefault="15F5DD98" w:rsidP="001C3997">
      <w:pPr>
        <w:pStyle w:val="CEONormal"/>
        <w:spacing w:before="120"/>
        <w:rPr>
          <w:rFonts w:ascii="Calibri" w:hAnsi="Calibri" w:cs="Calibri"/>
          <w:sz w:val="24"/>
          <w:szCs w:val="24"/>
        </w:rPr>
      </w:pPr>
      <w:r w:rsidRPr="27676491">
        <w:rPr>
          <w:rFonts w:ascii="Calibri" w:hAnsi="Calibri" w:cs="Calibri"/>
          <w:sz w:val="24"/>
          <w:szCs w:val="24"/>
        </w:rPr>
        <w:t xml:space="preserve">TDAG received </w:t>
      </w:r>
      <w:r w:rsidR="094F3105" w:rsidRPr="27676491">
        <w:rPr>
          <w:rFonts w:ascii="Calibri" w:hAnsi="Calibri" w:cs="Calibri"/>
          <w:sz w:val="24"/>
          <w:szCs w:val="24"/>
        </w:rPr>
        <w:t xml:space="preserve">and enthusiastically endorsed reports from the BDT secretariat on the Generation Connect initiative which engages youth </w:t>
      </w:r>
      <w:r w:rsidR="0C0FA9C8" w:rsidRPr="27676491">
        <w:rPr>
          <w:rFonts w:ascii="Calibri" w:hAnsi="Calibri" w:cs="Calibri"/>
          <w:sz w:val="24"/>
          <w:szCs w:val="24"/>
        </w:rPr>
        <w:t xml:space="preserve">within the work of BDT and </w:t>
      </w:r>
      <w:proofErr w:type="gramStart"/>
      <w:r w:rsidR="0C0FA9C8" w:rsidRPr="27676491">
        <w:rPr>
          <w:rFonts w:ascii="Calibri" w:hAnsi="Calibri" w:cs="Calibri"/>
          <w:sz w:val="24"/>
          <w:szCs w:val="24"/>
        </w:rPr>
        <w:t>ITU</w:t>
      </w:r>
      <w:r w:rsidR="13234934" w:rsidRPr="27676491">
        <w:rPr>
          <w:rFonts w:ascii="Calibri" w:hAnsi="Calibri" w:cs="Calibri"/>
          <w:sz w:val="24"/>
          <w:szCs w:val="24"/>
        </w:rPr>
        <w:t>, and</w:t>
      </w:r>
      <w:proofErr w:type="gramEnd"/>
      <w:r w:rsidR="13234934" w:rsidRPr="27676491">
        <w:rPr>
          <w:rFonts w:ascii="Calibri" w:hAnsi="Calibri" w:cs="Calibri"/>
          <w:sz w:val="24"/>
          <w:szCs w:val="24"/>
        </w:rPr>
        <w:t xml:space="preserve"> plans for the Youth Summit to be held before WTDC. </w:t>
      </w:r>
      <w:r w:rsidR="6FE52A72" w:rsidRPr="27676491">
        <w:rPr>
          <w:rFonts w:ascii="Calibri" w:hAnsi="Calibri" w:cs="Calibri"/>
          <w:sz w:val="24"/>
          <w:szCs w:val="24"/>
        </w:rPr>
        <w:t xml:space="preserve">Presentations made to TDAG by youth during and on the margins of TDAG meetings during the period have </w:t>
      </w:r>
      <w:r w:rsidR="23B7B00E" w:rsidRPr="27676491">
        <w:rPr>
          <w:rFonts w:ascii="Calibri" w:hAnsi="Calibri" w:cs="Calibri"/>
          <w:sz w:val="24"/>
          <w:szCs w:val="24"/>
        </w:rPr>
        <w:t xml:space="preserve">been impressive, </w:t>
      </w:r>
      <w:proofErr w:type="gramStart"/>
      <w:r w:rsidR="23B7B00E" w:rsidRPr="27676491">
        <w:rPr>
          <w:rFonts w:ascii="Calibri" w:hAnsi="Calibri" w:cs="Calibri"/>
          <w:sz w:val="24"/>
          <w:szCs w:val="24"/>
        </w:rPr>
        <w:t>opening up</w:t>
      </w:r>
      <w:proofErr w:type="gramEnd"/>
      <w:r w:rsidR="23B7B00E" w:rsidRPr="27676491">
        <w:rPr>
          <w:rFonts w:ascii="Calibri" w:hAnsi="Calibri" w:cs="Calibri"/>
          <w:sz w:val="24"/>
          <w:szCs w:val="24"/>
        </w:rPr>
        <w:t xml:space="preserve"> the work of BDT to new and critical youth stakeholders. </w:t>
      </w:r>
      <w:r w:rsidR="6FE52A72" w:rsidRPr="27676491">
        <w:rPr>
          <w:rFonts w:ascii="Calibri" w:hAnsi="Calibri" w:cs="Calibri"/>
          <w:sz w:val="24"/>
          <w:szCs w:val="24"/>
        </w:rPr>
        <w:t xml:space="preserve">Another significant initiative launched by BDT and reported to TDAG is the </w:t>
      </w:r>
      <w:r w:rsidR="73B2521A" w:rsidRPr="27676491">
        <w:rPr>
          <w:rFonts w:ascii="Calibri" w:hAnsi="Calibri" w:cs="Calibri"/>
          <w:sz w:val="24"/>
          <w:szCs w:val="24"/>
        </w:rPr>
        <w:t xml:space="preserve">BDT </w:t>
      </w:r>
      <w:r w:rsidR="13234934" w:rsidRPr="27676491">
        <w:rPr>
          <w:rFonts w:ascii="Calibri" w:hAnsi="Calibri" w:cs="Calibri"/>
          <w:sz w:val="24"/>
          <w:szCs w:val="24"/>
        </w:rPr>
        <w:t>Network of Women for WTDC (</w:t>
      </w:r>
      <w:r w:rsidR="73B2521A" w:rsidRPr="27676491">
        <w:rPr>
          <w:rFonts w:ascii="Calibri" w:hAnsi="Calibri" w:cs="Calibri"/>
          <w:sz w:val="24"/>
          <w:szCs w:val="24"/>
        </w:rPr>
        <w:t xml:space="preserve">#NoW4WTDC), </w:t>
      </w:r>
      <w:r w:rsidR="6FE52A72" w:rsidRPr="27676491">
        <w:rPr>
          <w:rFonts w:ascii="Calibri" w:hAnsi="Calibri" w:cs="Calibri"/>
          <w:sz w:val="24"/>
          <w:szCs w:val="24"/>
        </w:rPr>
        <w:t xml:space="preserve">which </w:t>
      </w:r>
      <w:r w:rsidR="73B2521A" w:rsidRPr="27676491">
        <w:rPr>
          <w:rFonts w:ascii="Calibri" w:hAnsi="Calibri" w:cs="Calibri"/>
          <w:sz w:val="24"/>
          <w:szCs w:val="24"/>
        </w:rPr>
        <w:t xml:space="preserve">has the potential to significantly enhance the inclusion in the work of ITU-D, and to further the objectives of </w:t>
      </w:r>
      <w:r w:rsidR="20746D0F" w:rsidRPr="009110C1">
        <w:rPr>
          <w:rFonts w:ascii="Calibri" w:hAnsi="Calibri" w:cs="Calibri"/>
          <w:sz w:val="24"/>
          <w:szCs w:val="24"/>
        </w:rPr>
        <w:t>R</w:t>
      </w:r>
      <w:r w:rsidR="73B2521A" w:rsidRPr="009110C1">
        <w:rPr>
          <w:rFonts w:ascii="Calibri" w:hAnsi="Calibri" w:cs="Calibri"/>
          <w:sz w:val="24"/>
          <w:szCs w:val="24"/>
        </w:rPr>
        <w:t>esolution 70</w:t>
      </w:r>
      <w:r w:rsidR="43B77B50" w:rsidRPr="009110C1">
        <w:rPr>
          <w:rFonts w:ascii="Calibri" w:hAnsi="Calibri" w:cs="Calibri"/>
          <w:sz w:val="24"/>
          <w:szCs w:val="24"/>
        </w:rPr>
        <w:t xml:space="preserve"> (R</w:t>
      </w:r>
      <w:r w:rsidR="43B77B50" w:rsidRPr="27676491">
        <w:rPr>
          <w:rFonts w:ascii="Calibri" w:hAnsi="Calibri" w:cs="Calibri"/>
          <w:sz w:val="24"/>
          <w:szCs w:val="24"/>
        </w:rPr>
        <w:t>e</w:t>
      </w:r>
      <w:r w:rsidR="43B77B50" w:rsidRPr="009110C1">
        <w:rPr>
          <w:rFonts w:ascii="Calibri" w:hAnsi="Calibri" w:cs="Calibri"/>
          <w:sz w:val="24"/>
          <w:szCs w:val="24"/>
        </w:rPr>
        <w:t>v. Dubai, 2018) of the Plenipotentiary Conference</w:t>
      </w:r>
      <w:r w:rsidR="6FE52A72" w:rsidRPr="27676491">
        <w:rPr>
          <w:rFonts w:ascii="Calibri" w:hAnsi="Calibri" w:cs="Calibri"/>
          <w:sz w:val="24"/>
          <w:szCs w:val="24"/>
        </w:rPr>
        <w:t xml:space="preserve"> to increase participation by women in the work of ITU.</w:t>
      </w:r>
      <w:r w:rsidR="23B7B00E" w:rsidRPr="27676491">
        <w:rPr>
          <w:rFonts w:ascii="Calibri" w:hAnsi="Calibri" w:cs="Calibri"/>
          <w:sz w:val="24"/>
          <w:szCs w:val="24"/>
        </w:rPr>
        <w:t xml:space="preserve"> Notably, both the Generation Connect and Network of Women initiatives have been implemented both regionally and at a global level, greatly enhancing </w:t>
      </w:r>
      <w:r w:rsidR="0292C2EF" w:rsidRPr="27676491">
        <w:rPr>
          <w:rFonts w:ascii="Calibri" w:hAnsi="Calibri" w:cs="Calibri"/>
          <w:sz w:val="24"/>
          <w:szCs w:val="24"/>
        </w:rPr>
        <w:t>and increasing</w:t>
      </w:r>
      <w:r w:rsidR="23B7B00E" w:rsidRPr="27676491">
        <w:rPr>
          <w:rFonts w:ascii="Calibri" w:hAnsi="Calibri" w:cs="Calibri"/>
          <w:sz w:val="24"/>
          <w:szCs w:val="24"/>
        </w:rPr>
        <w:t xml:space="preserve"> participation </w:t>
      </w:r>
      <w:r w:rsidR="4E473E98" w:rsidRPr="27676491">
        <w:rPr>
          <w:rFonts w:ascii="Calibri" w:hAnsi="Calibri" w:cs="Calibri"/>
          <w:sz w:val="24"/>
          <w:szCs w:val="24"/>
        </w:rPr>
        <w:t xml:space="preserve">by </w:t>
      </w:r>
      <w:r w:rsidR="0292C2EF" w:rsidRPr="27676491">
        <w:rPr>
          <w:rFonts w:ascii="Calibri" w:hAnsi="Calibri" w:cs="Calibri"/>
          <w:sz w:val="24"/>
          <w:szCs w:val="24"/>
        </w:rPr>
        <w:t xml:space="preserve">creating the group at a local country </w:t>
      </w:r>
      <w:proofErr w:type="gramStart"/>
      <w:r w:rsidR="0292C2EF" w:rsidRPr="27676491">
        <w:rPr>
          <w:rFonts w:ascii="Calibri" w:hAnsi="Calibri" w:cs="Calibri"/>
          <w:sz w:val="24"/>
          <w:szCs w:val="24"/>
        </w:rPr>
        <w:t>level</w:t>
      </w:r>
      <w:r w:rsidR="521B4C05" w:rsidRPr="27676491">
        <w:rPr>
          <w:rFonts w:ascii="Calibri" w:hAnsi="Calibri" w:cs="Calibri"/>
          <w:sz w:val="24"/>
          <w:szCs w:val="24"/>
        </w:rPr>
        <w:t>, and</w:t>
      </w:r>
      <w:proofErr w:type="gramEnd"/>
      <w:r w:rsidR="521B4C05" w:rsidRPr="27676491">
        <w:rPr>
          <w:rFonts w:ascii="Calibri" w:hAnsi="Calibri" w:cs="Calibri"/>
          <w:sz w:val="24"/>
          <w:szCs w:val="24"/>
        </w:rPr>
        <w:t xml:space="preserve"> scaling up</w:t>
      </w:r>
      <w:r w:rsidR="0292C2EF" w:rsidRPr="27676491">
        <w:rPr>
          <w:rFonts w:ascii="Calibri" w:hAnsi="Calibri" w:cs="Calibri"/>
          <w:sz w:val="24"/>
          <w:szCs w:val="24"/>
        </w:rPr>
        <w:t xml:space="preserve"> to a</w:t>
      </w:r>
      <w:r w:rsidR="4E473E98" w:rsidRPr="27676491">
        <w:rPr>
          <w:rFonts w:ascii="Calibri" w:hAnsi="Calibri" w:cs="Calibri"/>
          <w:sz w:val="24"/>
          <w:szCs w:val="24"/>
        </w:rPr>
        <w:t xml:space="preserve"> global </w:t>
      </w:r>
      <w:r w:rsidR="521B4C05" w:rsidRPr="27676491">
        <w:rPr>
          <w:rFonts w:ascii="Calibri" w:hAnsi="Calibri" w:cs="Calibri"/>
          <w:sz w:val="24"/>
          <w:szCs w:val="24"/>
        </w:rPr>
        <w:t>platform</w:t>
      </w:r>
      <w:r w:rsidR="4E473E98" w:rsidRPr="27676491">
        <w:rPr>
          <w:rFonts w:ascii="Calibri" w:hAnsi="Calibri" w:cs="Calibri"/>
          <w:sz w:val="24"/>
          <w:szCs w:val="24"/>
        </w:rPr>
        <w:t>.</w:t>
      </w:r>
    </w:p>
    <w:p w14:paraId="02D18AA9" w14:textId="61C72054" w:rsidR="00565EBE" w:rsidRPr="005E51A3" w:rsidRDefault="008E4D23" w:rsidP="5529AB18">
      <w:pPr>
        <w:pStyle w:val="Heading2"/>
        <w:spacing w:line="259" w:lineRule="auto"/>
        <w:rPr>
          <w:rFonts w:eastAsiaTheme="minorEastAsia" w:cstheme="minorBidi"/>
          <w:bCs/>
          <w:szCs w:val="24"/>
        </w:rPr>
      </w:pPr>
      <w:bookmarkStart w:id="136" w:name="_Toc85818113"/>
      <w:r>
        <w:t>Study Groups</w:t>
      </w:r>
      <w:bookmarkEnd w:id="136"/>
    </w:p>
    <w:p w14:paraId="765F2B02" w14:textId="1F5A164D" w:rsidR="00455DD8" w:rsidRPr="00455DD8" w:rsidRDefault="0C148720" w:rsidP="0099127C">
      <w:pPr>
        <w:pStyle w:val="enumlev1"/>
        <w:spacing w:before="120"/>
        <w:ind w:left="567" w:hanging="567"/>
        <w:rPr>
          <w:i/>
          <w:iCs/>
        </w:rPr>
      </w:pPr>
      <w:r w:rsidRPr="632A2ABB">
        <w:rPr>
          <w:i/>
          <w:iCs/>
        </w:rPr>
        <w:t>“v)</w:t>
      </w:r>
      <w:r w:rsidR="00455DD8">
        <w:tab/>
      </w:r>
      <w:r w:rsidRPr="632A2ABB">
        <w:rPr>
          <w:i/>
          <w:iCs/>
        </w:rPr>
        <w:t>evaluate periodically the working methods and functioning of the ITUD study groups, to identify options for maximizing programme delivery and to approve appropriate changes thereto following an assessment of their work programme, including strengthening of the synergy between Questions, programmes and regional initiatives;</w:t>
      </w:r>
    </w:p>
    <w:p w14:paraId="195E0F56" w14:textId="237A18CA" w:rsidR="7F0DA874" w:rsidRDefault="7F0DA874" w:rsidP="0099127C">
      <w:pPr>
        <w:pStyle w:val="enumlev1"/>
        <w:spacing w:before="120"/>
        <w:ind w:left="567" w:hanging="567"/>
        <w:rPr>
          <w:i/>
          <w:iCs/>
        </w:rPr>
      </w:pPr>
      <w:r w:rsidRPr="632A2ABB">
        <w:rPr>
          <w:i/>
          <w:iCs/>
        </w:rPr>
        <w:t>vi)</w:t>
      </w:r>
      <w:r>
        <w:tab/>
      </w:r>
      <w:r w:rsidRPr="632A2ABB">
        <w:rPr>
          <w:i/>
          <w:iCs/>
        </w:rPr>
        <w:t xml:space="preserve">conduct the assessment pursuant to v) above, </w:t>
      </w:r>
      <w:proofErr w:type="gramStart"/>
      <w:r w:rsidRPr="632A2ABB">
        <w:rPr>
          <w:i/>
          <w:iCs/>
        </w:rPr>
        <w:t>taking into account</w:t>
      </w:r>
      <w:proofErr w:type="gramEnd"/>
      <w:r w:rsidRPr="632A2ABB">
        <w:rPr>
          <w:i/>
          <w:iCs/>
        </w:rPr>
        <w:t xml:space="preserve"> the following actions in relation to the current work programme of the study groups, if needed:</w:t>
      </w:r>
    </w:p>
    <w:p w14:paraId="5287E04A" w14:textId="520567DC" w:rsidR="7F0DA874" w:rsidRDefault="7F0DA874" w:rsidP="0099127C">
      <w:pPr>
        <w:pStyle w:val="enumlev2"/>
        <w:tabs>
          <w:tab w:val="clear" w:pos="1871"/>
        </w:tabs>
        <w:spacing w:before="120"/>
        <w:ind w:left="1134" w:hanging="595"/>
        <w:rPr>
          <w:i/>
          <w:iCs/>
        </w:rPr>
      </w:pPr>
      <w:r w:rsidRPr="632A2ABB">
        <w:rPr>
          <w:i/>
          <w:iCs/>
        </w:rPr>
        <w:t>•</w:t>
      </w:r>
      <w:r>
        <w:tab/>
      </w:r>
      <w:r w:rsidRPr="632A2ABB">
        <w:rPr>
          <w:i/>
          <w:iCs/>
        </w:rPr>
        <w:t>redefinition of the terms of reference of Questions in order to provide focus and eliminate overlap;</w:t>
      </w:r>
    </w:p>
    <w:p w14:paraId="44425A0C" w14:textId="0015ACE3" w:rsidR="7F0DA874" w:rsidRDefault="7F0DA874" w:rsidP="0099127C">
      <w:pPr>
        <w:pStyle w:val="enumlev2"/>
        <w:tabs>
          <w:tab w:val="clear" w:pos="1871"/>
        </w:tabs>
        <w:spacing w:before="120"/>
        <w:ind w:left="1134" w:hanging="595"/>
        <w:rPr>
          <w:i/>
          <w:iCs/>
        </w:rPr>
      </w:pPr>
      <w:r w:rsidRPr="632A2ABB">
        <w:rPr>
          <w:i/>
          <w:iCs/>
        </w:rPr>
        <w:t>•</w:t>
      </w:r>
      <w:r>
        <w:tab/>
      </w:r>
      <w:r w:rsidRPr="632A2ABB">
        <w:rPr>
          <w:i/>
          <w:iCs/>
        </w:rPr>
        <w:t>deletion or merging of Questions as appropriate; and</w:t>
      </w:r>
    </w:p>
    <w:p w14:paraId="6EB58891" w14:textId="3C15BBA4" w:rsidR="7F0DA874" w:rsidRDefault="0BD1C898" w:rsidP="0099127C">
      <w:pPr>
        <w:pStyle w:val="enumlev2"/>
        <w:tabs>
          <w:tab w:val="clear" w:pos="1871"/>
        </w:tabs>
        <w:spacing w:before="120"/>
        <w:ind w:left="1134" w:hanging="595"/>
        <w:rPr>
          <w:i/>
          <w:iCs/>
        </w:rPr>
      </w:pPr>
      <w:r w:rsidRPr="0DF2EF04">
        <w:rPr>
          <w:i/>
          <w:iCs/>
        </w:rPr>
        <w:t>•</w:t>
      </w:r>
      <w:r w:rsidR="7F0DA874">
        <w:tab/>
      </w:r>
      <w:r w:rsidRPr="0DF2EF04">
        <w:rPr>
          <w:i/>
          <w:iCs/>
        </w:rPr>
        <w:t>evaluation of criteria to measure the effectiveness of Questions, both in qualitative and quantitative terms, including a periodical review based on the ITUD strategic plan with a view to further exploring performance measures in order to more effectively implement actions referred to in v) above;</w:t>
      </w:r>
    </w:p>
    <w:p w14:paraId="382FD6E4" w14:textId="7FA74CEE" w:rsidR="7F0DA874" w:rsidRDefault="7F0DA874" w:rsidP="5529AB18">
      <w:pPr>
        <w:pStyle w:val="enumlev1"/>
        <w:tabs>
          <w:tab w:val="clear" w:pos="1134"/>
        </w:tabs>
        <w:spacing w:before="120"/>
        <w:ind w:left="567" w:hanging="567"/>
        <w:rPr>
          <w:rFonts w:eastAsiaTheme="minorEastAsia" w:cstheme="minorBidi"/>
          <w:i/>
          <w:iCs/>
        </w:rPr>
      </w:pPr>
      <w:r w:rsidRPr="5529AB18">
        <w:rPr>
          <w:rFonts w:eastAsiaTheme="minorEastAsia" w:cstheme="minorBidi"/>
          <w:i/>
          <w:iCs/>
        </w:rPr>
        <w:t>vii)</w:t>
      </w:r>
      <w:r>
        <w:tab/>
      </w:r>
      <w:r w:rsidRPr="5529AB18">
        <w:rPr>
          <w:rFonts w:eastAsiaTheme="minorEastAsia" w:cstheme="minorBidi"/>
          <w:i/>
          <w:iCs/>
        </w:rPr>
        <w:t>restructure ITUD study groups, if required, and, as a result of a restructuring or creation of ITUD study groups, appoint chairmen and vice</w:t>
      </w:r>
      <w:r w:rsidR="7EED6596" w:rsidRPr="5529AB18">
        <w:rPr>
          <w:rFonts w:eastAsiaTheme="minorEastAsia" w:cstheme="minorBidi"/>
          <w:i/>
          <w:iCs/>
        </w:rPr>
        <w:t>-</w:t>
      </w:r>
      <w:r w:rsidRPr="5529AB18">
        <w:rPr>
          <w:rFonts w:eastAsiaTheme="minorEastAsia" w:cstheme="minorBidi"/>
          <w:i/>
          <w:iCs/>
        </w:rPr>
        <w:t xml:space="preserve">chairmen to act until the next WTDC in </w:t>
      </w:r>
      <w:r w:rsidRPr="5529AB18">
        <w:rPr>
          <w:rFonts w:eastAsiaTheme="minorEastAsia" w:cstheme="minorBidi"/>
          <w:i/>
          <w:iCs/>
        </w:rPr>
        <w:lastRenderedPageBreak/>
        <w:t>response to the needs and concerns of the Member States, within the agreed budgetary limits;</w:t>
      </w:r>
    </w:p>
    <w:p w14:paraId="69E0EFB3" w14:textId="3AC0F403" w:rsidR="7F0DA874" w:rsidRDefault="7F0DA874" w:rsidP="5529AB18">
      <w:pPr>
        <w:pStyle w:val="enumlev1"/>
        <w:tabs>
          <w:tab w:val="clear" w:pos="1134"/>
        </w:tabs>
        <w:spacing w:before="120"/>
        <w:ind w:left="567" w:hanging="567"/>
        <w:rPr>
          <w:rFonts w:eastAsiaTheme="minorEastAsia" w:cstheme="minorBidi"/>
          <w:i/>
          <w:iCs/>
        </w:rPr>
      </w:pPr>
      <w:r w:rsidRPr="5529AB18">
        <w:rPr>
          <w:rFonts w:eastAsiaTheme="minorEastAsia" w:cstheme="minorBidi"/>
          <w:i/>
          <w:iCs/>
        </w:rPr>
        <w:t>viii)</w:t>
      </w:r>
      <w:r>
        <w:tab/>
      </w:r>
      <w:r w:rsidRPr="5529AB18">
        <w:rPr>
          <w:rFonts w:eastAsiaTheme="minorEastAsia" w:cstheme="minorBidi"/>
          <w:i/>
          <w:iCs/>
        </w:rPr>
        <w:t>issue advice on study group schedules that meet development priorities;</w:t>
      </w:r>
    </w:p>
    <w:p w14:paraId="445CCF05" w14:textId="5F2B9DBF" w:rsidR="4D9E300B" w:rsidRDefault="4D9E300B" w:rsidP="5529AB18">
      <w:pPr>
        <w:pStyle w:val="enumlev1"/>
        <w:tabs>
          <w:tab w:val="clear" w:pos="1134"/>
        </w:tabs>
        <w:spacing w:before="120"/>
        <w:ind w:left="567" w:hanging="567"/>
        <w:rPr>
          <w:rFonts w:eastAsiaTheme="minorEastAsia" w:cstheme="minorBidi"/>
          <w:i/>
          <w:iCs/>
          <w:szCs w:val="24"/>
        </w:rPr>
      </w:pPr>
      <w:r w:rsidRPr="5529AB18">
        <w:rPr>
          <w:rFonts w:eastAsiaTheme="minorEastAsia" w:cstheme="minorBidi"/>
          <w:i/>
          <w:iCs/>
          <w:szCs w:val="24"/>
        </w:rPr>
        <w:t>i</w:t>
      </w:r>
      <w:r w:rsidR="473799A7" w:rsidRPr="5529AB18">
        <w:rPr>
          <w:rFonts w:eastAsiaTheme="minorEastAsia" w:cstheme="minorBidi"/>
          <w:i/>
          <w:iCs/>
          <w:szCs w:val="24"/>
        </w:rPr>
        <w:t>x)</w:t>
      </w:r>
      <w:r>
        <w:tab/>
      </w:r>
      <w:r w:rsidR="473799A7" w:rsidRPr="5529AB18">
        <w:rPr>
          <w:rFonts w:eastAsiaTheme="minorEastAsia" w:cstheme="minorBidi"/>
          <w:i/>
          <w:iCs/>
          <w:szCs w:val="24"/>
        </w:rPr>
        <w:t>approve the programme of work arising from the review of existing and new Questions and determine the priority, urgency, estimated financial implications and time-scale for the completion of their study;”</w:t>
      </w:r>
    </w:p>
    <w:p w14:paraId="570D4CD3" w14:textId="37C6A990" w:rsidR="52BDD886" w:rsidRPr="00634AAC" w:rsidRDefault="13443BCF" w:rsidP="5529AB18">
      <w:pPr>
        <w:rPr>
          <w:rFonts w:ascii="Calibri" w:eastAsia="Calibri" w:hAnsi="Calibri" w:cs="Calibri"/>
          <w:lang w:val="en-US"/>
        </w:rPr>
      </w:pPr>
      <w:r w:rsidRPr="5529AB18">
        <w:rPr>
          <w:rFonts w:eastAsiaTheme="minorEastAsia" w:cstheme="minorBidi"/>
          <w:lang w:val="en-US"/>
        </w:rPr>
        <w:t xml:space="preserve">In 2020, as part of </w:t>
      </w:r>
      <w:r w:rsidR="5805F5D9" w:rsidRPr="5529AB18">
        <w:rPr>
          <w:rFonts w:eastAsiaTheme="minorEastAsia" w:cstheme="minorBidi"/>
          <w:lang w:val="en-US"/>
        </w:rPr>
        <w:t xml:space="preserve">the </w:t>
      </w:r>
      <w:r w:rsidRPr="5529AB18">
        <w:rPr>
          <w:rFonts w:eastAsiaTheme="minorEastAsia" w:cstheme="minorBidi"/>
          <w:lang w:val="en-US"/>
        </w:rPr>
        <w:t>preparation for WTDC-21 and to explore synergies with</w:t>
      </w:r>
      <w:r w:rsidRPr="5529AB18">
        <w:rPr>
          <w:rFonts w:ascii="Calibri" w:eastAsia="Calibri" w:hAnsi="Calibri" w:cs="Calibri"/>
          <w:lang w:val="en-US"/>
        </w:rPr>
        <w:t xml:space="preserve"> certain key ITU projects</w:t>
      </w:r>
      <w:r w:rsidR="47B1A953" w:rsidRPr="5529AB18">
        <w:rPr>
          <w:rFonts w:ascii="Calibri" w:eastAsia="Calibri" w:hAnsi="Calibri" w:cs="Calibri"/>
          <w:lang w:val="en-US"/>
        </w:rPr>
        <w:t xml:space="preserve"> and</w:t>
      </w:r>
      <w:r w:rsidRPr="5529AB18">
        <w:rPr>
          <w:rFonts w:ascii="Calibri" w:eastAsia="Calibri" w:hAnsi="Calibri" w:cs="Calibri"/>
          <w:lang w:val="en-US"/>
        </w:rPr>
        <w:t xml:space="preserve"> relevant study </w:t>
      </w:r>
      <w:r w:rsidR="51D70F68" w:rsidRPr="5529AB18">
        <w:rPr>
          <w:rFonts w:ascii="Calibri" w:eastAsia="Calibri" w:hAnsi="Calibri" w:cs="Calibri"/>
          <w:lang w:val="en-US"/>
        </w:rPr>
        <w:t>Q</w:t>
      </w:r>
      <w:r w:rsidRPr="5529AB18">
        <w:rPr>
          <w:rFonts w:ascii="Calibri" w:eastAsia="Calibri" w:hAnsi="Calibri" w:cs="Calibri"/>
          <w:lang w:val="en-US"/>
        </w:rPr>
        <w:t xml:space="preserve">uestions, </w:t>
      </w:r>
      <w:r w:rsidR="1382576D" w:rsidRPr="5529AB18">
        <w:rPr>
          <w:rFonts w:ascii="Calibri" w:eastAsia="Calibri" w:hAnsi="Calibri" w:cs="Calibri"/>
          <w:lang w:val="en-US"/>
        </w:rPr>
        <w:t>t</w:t>
      </w:r>
      <w:r w:rsidRPr="5529AB18">
        <w:rPr>
          <w:rFonts w:ascii="Calibri" w:eastAsia="Calibri" w:hAnsi="Calibri" w:cs="Calibri"/>
          <w:lang w:val="en-US"/>
        </w:rPr>
        <w:t>he role of coordinators</w:t>
      </w:r>
      <w:r w:rsidR="473A7F18" w:rsidRPr="5529AB18">
        <w:rPr>
          <w:rFonts w:ascii="Calibri" w:eastAsia="Calibri" w:hAnsi="Calibri" w:cs="Calibri"/>
          <w:lang w:val="en-US"/>
        </w:rPr>
        <w:t xml:space="preserve"> was endorsed</w:t>
      </w:r>
      <w:r w:rsidRPr="5529AB18">
        <w:rPr>
          <w:rFonts w:ascii="Calibri" w:eastAsia="Calibri" w:hAnsi="Calibri" w:cs="Calibri"/>
          <w:lang w:val="en-US"/>
        </w:rPr>
        <w:t xml:space="preserve"> (see </w:t>
      </w:r>
      <w:r w:rsidR="72BE4CCC" w:rsidRPr="5529AB18">
        <w:rPr>
          <w:rFonts w:ascii="Calibri" w:eastAsia="Calibri" w:hAnsi="Calibri" w:cs="Calibri"/>
          <w:lang w:val="en-US"/>
        </w:rPr>
        <w:t>TDA</w:t>
      </w:r>
      <w:r w:rsidR="18196918" w:rsidRPr="5529AB18">
        <w:rPr>
          <w:rFonts w:ascii="Calibri" w:eastAsia="Calibri" w:hAnsi="Calibri" w:cs="Calibri"/>
          <w:lang w:val="en-US"/>
        </w:rPr>
        <w:t>G</w:t>
      </w:r>
      <w:r w:rsidR="72BE4CCC" w:rsidRPr="5529AB18">
        <w:rPr>
          <w:rFonts w:ascii="Calibri" w:eastAsia="Calibri" w:hAnsi="Calibri" w:cs="Calibri"/>
          <w:lang w:val="en-US"/>
        </w:rPr>
        <w:t>-21/</w:t>
      </w:r>
      <w:r w:rsidR="08C59BC2" w:rsidRPr="5529AB18">
        <w:rPr>
          <w:rFonts w:ascii="Calibri" w:eastAsia="Calibri" w:hAnsi="Calibri" w:cs="Calibri"/>
          <w:lang w:val="en-US"/>
        </w:rPr>
        <w:t xml:space="preserve">8 </w:t>
      </w:r>
      <w:r w:rsidR="0CD885F6" w:rsidRPr="5529AB18">
        <w:rPr>
          <w:rFonts w:ascii="Calibri" w:eastAsia="Calibri" w:hAnsi="Calibri" w:cs="Calibri"/>
          <w:lang w:val="en-US"/>
        </w:rPr>
        <w:t xml:space="preserve">annex 2 </w:t>
      </w:r>
      <w:r w:rsidR="08C59BC2" w:rsidRPr="5529AB18">
        <w:rPr>
          <w:rFonts w:ascii="Calibri" w:eastAsia="Calibri" w:hAnsi="Calibri" w:cs="Calibri"/>
          <w:lang w:val="en-US"/>
        </w:rPr>
        <w:t xml:space="preserve">and </w:t>
      </w:r>
      <w:r w:rsidR="45B1F17B" w:rsidRPr="5529AB18">
        <w:rPr>
          <w:rFonts w:ascii="Calibri" w:eastAsia="Calibri" w:hAnsi="Calibri" w:cs="Calibri"/>
          <w:lang w:val="en-US"/>
        </w:rPr>
        <w:t xml:space="preserve">TDAG-21/9 annex </w:t>
      </w:r>
      <w:r w:rsidR="2CF96416" w:rsidRPr="5529AB18">
        <w:rPr>
          <w:rFonts w:ascii="Calibri" w:eastAsia="Calibri" w:hAnsi="Calibri" w:cs="Calibri"/>
          <w:lang w:val="en-US"/>
        </w:rPr>
        <w:t>2</w:t>
      </w:r>
      <w:r w:rsidRPr="5529AB18">
        <w:rPr>
          <w:rFonts w:ascii="Calibri" w:eastAsia="Calibri" w:hAnsi="Calibri" w:cs="Calibri"/>
          <w:lang w:val="en-US"/>
        </w:rPr>
        <w:t xml:space="preserve">) </w:t>
      </w:r>
      <w:r w:rsidR="4B90FAD9" w:rsidRPr="5529AB18">
        <w:rPr>
          <w:rFonts w:ascii="Calibri" w:eastAsia="Calibri" w:hAnsi="Calibri" w:cs="Calibri"/>
          <w:lang w:val="en-US"/>
        </w:rPr>
        <w:t xml:space="preserve">with a view for them </w:t>
      </w:r>
      <w:r w:rsidR="594C0A1E" w:rsidRPr="5529AB18">
        <w:rPr>
          <w:rFonts w:ascii="Calibri" w:eastAsia="Calibri" w:hAnsi="Calibri" w:cs="Calibri"/>
          <w:lang w:val="en-US"/>
        </w:rPr>
        <w:t xml:space="preserve">to work </w:t>
      </w:r>
      <w:r w:rsidRPr="5529AB18">
        <w:rPr>
          <w:rFonts w:ascii="Calibri" w:eastAsia="Calibri" w:hAnsi="Calibri" w:cs="Calibri"/>
          <w:lang w:val="en-US"/>
        </w:rPr>
        <w:t>together with active Rapporteurs. Vice-Chairmen were encouraged to work with ITU regional offices and with Administrations in their regions to take the ICT development agenda</w:t>
      </w:r>
      <w:r w:rsidR="5F004D5A" w:rsidRPr="5529AB18">
        <w:rPr>
          <w:rFonts w:ascii="Calibri" w:eastAsia="Calibri" w:hAnsi="Calibri" w:cs="Calibri"/>
          <w:lang w:val="en-US"/>
        </w:rPr>
        <w:t xml:space="preserve"> forward</w:t>
      </w:r>
      <w:r w:rsidRPr="5529AB18">
        <w:rPr>
          <w:rFonts w:ascii="Calibri" w:eastAsia="Calibri" w:hAnsi="Calibri" w:cs="Calibri"/>
          <w:lang w:val="en-US"/>
        </w:rPr>
        <w:t xml:space="preserve">. </w:t>
      </w:r>
    </w:p>
    <w:p w14:paraId="0CA9F9D6" w14:textId="0083EA08" w:rsidR="6A8A6556" w:rsidRPr="00634AAC" w:rsidRDefault="6A8A6556" w:rsidP="5529AB18">
      <w:pPr>
        <w:spacing w:line="259" w:lineRule="auto"/>
        <w:rPr>
          <w:rFonts w:ascii="Calibri" w:hAnsi="Calibri"/>
          <w:lang w:val="en-US"/>
        </w:rPr>
      </w:pPr>
      <w:r w:rsidRPr="5529AB18">
        <w:rPr>
          <w:rFonts w:ascii="Calibri" w:eastAsia="Calibri" w:hAnsi="Calibri" w:cs="Calibri"/>
          <w:lang w:val="en-US"/>
        </w:rPr>
        <w:t xml:space="preserve">Coordinators were specifically appointed for coordinating reviews of working methods and for consolidating SG positions on </w:t>
      </w:r>
      <w:r w:rsidR="693A0419" w:rsidRPr="5529AB18">
        <w:rPr>
          <w:rFonts w:ascii="Calibri" w:eastAsia="Calibri" w:hAnsi="Calibri" w:cs="Calibri"/>
          <w:lang w:val="en-US"/>
        </w:rPr>
        <w:t xml:space="preserve">the </w:t>
      </w:r>
      <w:r w:rsidR="079F6654" w:rsidRPr="5529AB18">
        <w:rPr>
          <w:rFonts w:ascii="Calibri" w:eastAsia="Calibri" w:hAnsi="Calibri" w:cs="Calibri"/>
          <w:lang w:val="en-US"/>
        </w:rPr>
        <w:t xml:space="preserve">future of </w:t>
      </w:r>
      <w:r w:rsidR="5C9A555C" w:rsidRPr="5529AB18">
        <w:rPr>
          <w:rFonts w:ascii="Calibri" w:eastAsia="Calibri" w:hAnsi="Calibri" w:cs="Calibri"/>
          <w:lang w:val="en-US"/>
        </w:rPr>
        <w:t>Q</w:t>
      </w:r>
      <w:r w:rsidR="079F6654" w:rsidRPr="5529AB18">
        <w:rPr>
          <w:rFonts w:ascii="Calibri" w:eastAsia="Calibri" w:hAnsi="Calibri" w:cs="Calibri"/>
          <w:lang w:val="en-US"/>
        </w:rPr>
        <w:t xml:space="preserve">uestions. </w:t>
      </w:r>
      <w:r w:rsidR="40FC9CB4" w:rsidRPr="5529AB18">
        <w:rPr>
          <w:rFonts w:ascii="Calibri" w:eastAsia="Calibri" w:hAnsi="Calibri" w:cs="Calibri"/>
          <w:lang w:val="en-US"/>
        </w:rPr>
        <w:t xml:space="preserve">Initial positions on the future of </w:t>
      </w:r>
      <w:r w:rsidR="41EA30F1" w:rsidRPr="5529AB18">
        <w:rPr>
          <w:rFonts w:ascii="Calibri" w:eastAsia="Calibri" w:hAnsi="Calibri" w:cs="Calibri"/>
          <w:lang w:val="en-US"/>
        </w:rPr>
        <w:t>Q</w:t>
      </w:r>
      <w:r w:rsidR="40FC9CB4" w:rsidRPr="5529AB18">
        <w:rPr>
          <w:rFonts w:ascii="Calibri" w:eastAsia="Calibri" w:hAnsi="Calibri" w:cs="Calibri"/>
          <w:lang w:val="en-US"/>
        </w:rPr>
        <w:t>uestions were share</w:t>
      </w:r>
      <w:r w:rsidR="259C440B" w:rsidRPr="5529AB18">
        <w:rPr>
          <w:rFonts w:ascii="Calibri" w:eastAsia="Calibri" w:hAnsi="Calibri" w:cs="Calibri"/>
          <w:lang w:val="en-US"/>
        </w:rPr>
        <w:t>d</w:t>
      </w:r>
      <w:r w:rsidR="40FC9CB4" w:rsidRPr="5529AB18">
        <w:rPr>
          <w:rFonts w:ascii="Calibri" w:eastAsia="Calibri" w:hAnsi="Calibri" w:cs="Calibri"/>
          <w:lang w:val="en-US"/>
        </w:rPr>
        <w:t xml:space="preserve"> </w:t>
      </w:r>
      <w:r w:rsidR="278D1CEC" w:rsidRPr="5529AB18">
        <w:rPr>
          <w:rFonts w:ascii="Calibri" w:eastAsia="Calibri" w:hAnsi="Calibri" w:cs="Calibri"/>
          <w:lang w:val="en-US"/>
        </w:rPr>
        <w:t>with</w:t>
      </w:r>
      <w:r w:rsidR="40FC9CB4" w:rsidRPr="5529AB18">
        <w:rPr>
          <w:rFonts w:ascii="Calibri" w:eastAsia="Calibri" w:hAnsi="Calibri" w:cs="Calibri"/>
          <w:lang w:val="en-US"/>
        </w:rPr>
        <w:t xml:space="preserve"> TDAG in May 2020 (</w:t>
      </w:r>
      <w:r w:rsidR="079F6654" w:rsidRPr="5529AB18">
        <w:rPr>
          <w:rFonts w:ascii="Calibri" w:eastAsia="Calibri" w:hAnsi="Calibri" w:cs="Calibri"/>
          <w:lang w:val="en-US"/>
        </w:rPr>
        <w:t>TDAG-20/12 annex 3</w:t>
      </w:r>
      <w:r w:rsidR="4DF6FA34" w:rsidRPr="5529AB18">
        <w:rPr>
          <w:rFonts w:ascii="Calibri" w:eastAsia="Calibri" w:hAnsi="Calibri" w:cs="Calibri"/>
          <w:lang w:val="en-US"/>
        </w:rPr>
        <w:t xml:space="preserve"> and TDAG-20/13 section 2.2</w:t>
      </w:r>
      <w:r w:rsidR="68AFA5FA" w:rsidRPr="5529AB18">
        <w:rPr>
          <w:rFonts w:ascii="Calibri" w:eastAsia="Calibri" w:hAnsi="Calibri" w:cs="Calibri"/>
          <w:lang w:val="en-US"/>
        </w:rPr>
        <w:t>)</w:t>
      </w:r>
      <w:r w:rsidR="3E444504" w:rsidRPr="5529AB18">
        <w:rPr>
          <w:rFonts w:ascii="Calibri" w:eastAsia="Calibri" w:hAnsi="Calibri" w:cs="Calibri"/>
          <w:lang w:val="en-US"/>
        </w:rPr>
        <w:t>.</w:t>
      </w:r>
      <w:r w:rsidR="3E444504" w:rsidRPr="5529AB18">
        <w:rPr>
          <w:rFonts w:ascii="Calibri" w:eastAsia="Calibri" w:hAnsi="Calibri" w:cs="Calibri"/>
          <w:b/>
          <w:bCs/>
          <w:lang w:val="en-US"/>
        </w:rPr>
        <w:t xml:space="preserve"> </w:t>
      </w:r>
      <w:r w:rsidR="7667558D" w:rsidRPr="5529AB18">
        <w:rPr>
          <w:rFonts w:ascii="Calibri" w:eastAsia="Calibri" w:hAnsi="Calibri" w:cs="Calibri"/>
          <w:b/>
          <w:bCs/>
          <w:lang w:val="en-US"/>
        </w:rPr>
        <w:t xml:space="preserve"> </w:t>
      </w:r>
      <w:r w:rsidR="3E444504" w:rsidRPr="5529AB18">
        <w:rPr>
          <w:rFonts w:ascii="Calibri" w:eastAsia="Calibri" w:hAnsi="Calibri" w:cs="Calibri"/>
          <w:lang w:val="en-US"/>
        </w:rPr>
        <w:t>A joint</w:t>
      </w:r>
      <w:r w:rsidR="0AF22841" w:rsidRPr="5529AB18">
        <w:rPr>
          <w:rFonts w:ascii="Calibri" w:eastAsia="Calibri" w:hAnsi="Calibri" w:cs="Calibri"/>
          <w:lang w:val="en-US"/>
        </w:rPr>
        <w:t>,</w:t>
      </w:r>
      <w:r w:rsidR="3E444504" w:rsidRPr="5529AB18">
        <w:rPr>
          <w:rFonts w:ascii="Calibri" w:eastAsia="Calibri" w:hAnsi="Calibri" w:cs="Calibri"/>
          <w:lang w:val="en-US"/>
        </w:rPr>
        <w:t xml:space="preserve"> fully virtual meeting of SG1 and SG2 was held on 31 March and 1 April 2021</w:t>
      </w:r>
      <w:r w:rsidR="398F11EF" w:rsidRPr="5529AB18">
        <w:rPr>
          <w:rFonts w:ascii="Calibri" w:eastAsia="Calibri" w:hAnsi="Calibri" w:cs="Calibri"/>
          <w:lang w:val="en-US"/>
        </w:rPr>
        <w:t>,</w:t>
      </w:r>
      <w:r w:rsidR="3E444504" w:rsidRPr="5529AB18">
        <w:rPr>
          <w:rFonts w:ascii="Calibri" w:eastAsia="Calibri" w:hAnsi="Calibri" w:cs="Calibri"/>
          <w:lang w:val="en-US"/>
        </w:rPr>
        <w:t xml:space="preserve"> to further discuss and consolidate outcomes of working methods (Resolution 1) and Future of Questions (Resolution2) prior to submission to the TDAG-WG-RDTP</w:t>
      </w:r>
      <w:r w:rsidR="3AEF6F7C" w:rsidRPr="5529AB18">
        <w:rPr>
          <w:rFonts w:ascii="Calibri" w:eastAsia="Calibri" w:hAnsi="Calibri" w:cs="Calibri"/>
          <w:lang w:val="en-US"/>
        </w:rPr>
        <w:t xml:space="preserve"> (TDAG-WG-RDTP/38)</w:t>
      </w:r>
      <w:r w:rsidR="3E444504" w:rsidRPr="5529AB18">
        <w:rPr>
          <w:rFonts w:ascii="Calibri" w:eastAsia="Calibri" w:hAnsi="Calibri" w:cs="Calibri"/>
          <w:lang w:val="en-US"/>
        </w:rPr>
        <w:t>.</w:t>
      </w:r>
    </w:p>
    <w:p w14:paraId="125983A1" w14:textId="1E75C6D8" w:rsidR="3BC51199" w:rsidRPr="00634AAC" w:rsidRDefault="586F88A0" w:rsidP="00634AAC">
      <w:pPr>
        <w:rPr>
          <w:rFonts w:ascii="Calibri" w:eastAsia="Calibri" w:hAnsi="Calibri" w:cs="Calibri"/>
          <w:szCs w:val="24"/>
          <w:lang w:val="en-US"/>
        </w:rPr>
      </w:pPr>
      <w:r w:rsidRPr="00634AAC">
        <w:rPr>
          <w:rFonts w:ascii="Calibri" w:eastAsia="Calibri" w:hAnsi="Calibri" w:cs="Calibri"/>
          <w:szCs w:val="24"/>
          <w:lang w:val="en-US"/>
        </w:rPr>
        <w:t>SG plenaries received u</w:t>
      </w:r>
      <w:r w:rsidR="2BCA6066" w:rsidRPr="00634AAC">
        <w:rPr>
          <w:rFonts w:ascii="Calibri" w:eastAsia="Calibri" w:hAnsi="Calibri" w:cs="Calibri"/>
          <w:szCs w:val="24"/>
          <w:lang w:val="en-US"/>
        </w:rPr>
        <w:t xml:space="preserve">pdates </w:t>
      </w:r>
      <w:r w:rsidR="2CD69574" w:rsidRPr="00634AAC">
        <w:rPr>
          <w:rFonts w:ascii="Calibri" w:eastAsia="Calibri" w:hAnsi="Calibri" w:cs="Calibri"/>
          <w:szCs w:val="24"/>
          <w:lang w:val="en-US"/>
        </w:rPr>
        <w:t>on</w:t>
      </w:r>
      <w:r w:rsidR="2BCA6066" w:rsidRPr="00634AAC">
        <w:rPr>
          <w:rFonts w:ascii="Calibri" w:eastAsia="Calibri" w:hAnsi="Calibri" w:cs="Calibri"/>
          <w:szCs w:val="24"/>
          <w:lang w:val="en-US"/>
        </w:rPr>
        <w:t xml:space="preserve"> key initiatives including FIGI, PRIDA </w:t>
      </w:r>
      <w:r w:rsidR="14B0D685" w:rsidRPr="00634AAC">
        <w:rPr>
          <w:rFonts w:ascii="Calibri" w:eastAsia="Calibri" w:hAnsi="Calibri" w:cs="Calibri"/>
          <w:szCs w:val="24"/>
          <w:lang w:val="en-US"/>
        </w:rPr>
        <w:t>and Generation Connect</w:t>
      </w:r>
      <w:r w:rsidR="4C24A0FD" w:rsidRPr="00634AAC">
        <w:rPr>
          <w:rFonts w:ascii="Calibri" w:eastAsia="Calibri" w:hAnsi="Calibri" w:cs="Calibri"/>
          <w:szCs w:val="24"/>
          <w:lang w:val="en-US"/>
        </w:rPr>
        <w:t xml:space="preserve"> with a call for meaningful participation in these activities. </w:t>
      </w:r>
    </w:p>
    <w:p w14:paraId="73FAAD5B" w14:textId="3CDB9CF0" w:rsidR="52BDD886" w:rsidRPr="00634AAC" w:rsidRDefault="13443BCF" w:rsidP="00634AAC">
      <w:pPr>
        <w:rPr>
          <w:rFonts w:ascii="Calibri" w:eastAsia="Calibri" w:hAnsi="Calibri" w:cs="Calibri"/>
          <w:szCs w:val="24"/>
          <w:lang w:val="en-US"/>
        </w:rPr>
      </w:pPr>
      <w:r w:rsidRPr="00634AAC">
        <w:rPr>
          <w:rFonts w:ascii="Calibri" w:eastAsia="Calibri" w:hAnsi="Calibri" w:cs="Calibri"/>
          <w:szCs w:val="24"/>
          <w:lang w:val="en-US"/>
        </w:rPr>
        <w:t xml:space="preserve">A “regional action guideline for ITU-D SG Vice Chairs” (see </w:t>
      </w:r>
      <w:r w:rsidR="74C31D47" w:rsidRPr="00634AAC">
        <w:rPr>
          <w:rFonts w:ascii="Calibri" w:eastAsia="Calibri" w:hAnsi="Calibri" w:cs="Calibri"/>
          <w:szCs w:val="24"/>
          <w:lang w:val="en-US"/>
        </w:rPr>
        <w:t>TDAG-21/8 annex 3</w:t>
      </w:r>
      <w:r w:rsidRPr="00634AAC">
        <w:rPr>
          <w:rFonts w:ascii="Calibri" w:eastAsia="Calibri" w:hAnsi="Calibri" w:cs="Calibri"/>
          <w:szCs w:val="24"/>
          <w:lang w:val="en-US"/>
        </w:rPr>
        <w:t xml:space="preserve">) was shared </w:t>
      </w:r>
      <w:r w:rsidR="4C2B1464" w:rsidRPr="00634AAC">
        <w:rPr>
          <w:rFonts w:ascii="Calibri" w:eastAsia="Calibri" w:hAnsi="Calibri" w:cs="Calibri"/>
          <w:szCs w:val="24"/>
          <w:lang w:val="en-US"/>
        </w:rPr>
        <w:t xml:space="preserve">towards </w:t>
      </w:r>
      <w:r w:rsidRPr="00634AAC">
        <w:rPr>
          <w:rFonts w:ascii="Calibri" w:eastAsia="Calibri" w:hAnsi="Calibri" w:cs="Calibri"/>
          <w:szCs w:val="24"/>
          <w:lang w:val="en-US"/>
        </w:rPr>
        <w:t xml:space="preserve">a common understanding and </w:t>
      </w:r>
      <w:r w:rsidR="252B2BED" w:rsidRPr="00634AAC">
        <w:rPr>
          <w:rFonts w:ascii="Calibri" w:eastAsia="Calibri" w:hAnsi="Calibri" w:cs="Calibri"/>
          <w:szCs w:val="24"/>
          <w:lang w:val="en-US"/>
        </w:rPr>
        <w:t>harmonizing the</w:t>
      </w:r>
      <w:r w:rsidRPr="00634AAC">
        <w:rPr>
          <w:rFonts w:ascii="Calibri" w:eastAsia="Calibri" w:hAnsi="Calibri" w:cs="Calibri"/>
          <w:szCs w:val="24"/>
          <w:lang w:val="en-US"/>
        </w:rPr>
        <w:t xml:space="preserve"> work </w:t>
      </w:r>
      <w:r w:rsidR="6AC34416" w:rsidRPr="00634AAC">
        <w:rPr>
          <w:rFonts w:ascii="Calibri" w:eastAsia="Calibri" w:hAnsi="Calibri" w:cs="Calibri"/>
          <w:szCs w:val="24"/>
          <w:lang w:val="en-US"/>
        </w:rPr>
        <w:t>of</w:t>
      </w:r>
      <w:r w:rsidRPr="00634AAC">
        <w:rPr>
          <w:rFonts w:ascii="Calibri" w:eastAsia="Calibri" w:hAnsi="Calibri" w:cs="Calibri"/>
          <w:szCs w:val="24"/>
          <w:lang w:val="en-US"/>
        </w:rPr>
        <w:t xml:space="preserve"> Vice-Chairmen</w:t>
      </w:r>
      <w:r w:rsidR="7EC49279" w:rsidRPr="00634AAC">
        <w:rPr>
          <w:rFonts w:ascii="Calibri" w:eastAsia="Calibri" w:hAnsi="Calibri" w:cs="Calibri"/>
          <w:szCs w:val="24"/>
          <w:lang w:val="en-US"/>
        </w:rPr>
        <w:t xml:space="preserve"> to</w:t>
      </w:r>
      <w:r w:rsidR="03CD2BAA" w:rsidRPr="00634AAC">
        <w:rPr>
          <w:rFonts w:ascii="Calibri" w:eastAsia="Calibri" w:hAnsi="Calibri" w:cs="Calibri"/>
          <w:szCs w:val="24"/>
          <w:lang w:val="en-US"/>
        </w:rPr>
        <w:t>:</w:t>
      </w:r>
    </w:p>
    <w:p w14:paraId="75C1395E" w14:textId="0E092BA1" w:rsidR="52BDD886" w:rsidRPr="00634AAC" w:rsidRDefault="13443BCF" w:rsidP="00947B30">
      <w:pPr>
        <w:pStyle w:val="ListParagraph"/>
        <w:numPr>
          <w:ilvl w:val="0"/>
          <w:numId w:val="2"/>
        </w:numPr>
        <w:spacing w:before="60"/>
        <w:ind w:left="567" w:hanging="567"/>
        <w:contextualSpacing w:val="0"/>
        <w:rPr>
          <w:rFonts w:eastAsiaTheme="minorEastAsia" w:cstheme="minorBidi"/>
          <w:szCs w:val="24"/>
        </w:rPr>
      </w:pPr>
      <w:r w:rsidRPr="00634AAC">
        <w:t xml:space="preserve">effectively support </w:t>
      </w:r>
      <w:r w:rsidR="5BB78B4E" w:rsidRPr="00634AAC">
        <w:t xml:space="preserve">the </w:t>
      </w:r>
      <w:r w:rsidRPr="00634AAC">
        <w:t xml:space="preserve">WTDC-21 regional preparatory processes especially for </w:t>
      </w:r>
      <w:r w:rsidR="6534952D" w:rsidRPr="00634AAC">
        <w:t xml:space="preserve">the </w:t>
      </w:r>
      <w:r w:rsidRPr="00634AAC">
        <w:t>Future of Questions (</w:t>
      </w:r>
      <w:r w:rsidR="233D8D9D" w:rsidRPr="00634AAC">
        <w:t xml:space="preserve">WTDC </w:t>
      </w:r>
      <w:r w:rsidRPr="00634AAC">
        <w:t>Resolution 2) and working methods (</w:t>
      </w:r>
      <w:r w:rsidR="6100A3C6" w:rsidRPr="00634AAC">
        <w:t xml:space="preserve">WTDC </w:t>
      </w:r>
      <w:r w:rsidRPr="00634AAC">
        <w:t>Resolution 1)</w:t>
      </w:r>
      <w:r w:rsidR="72C63FB6" w:rsidRPr="00634AAC">
        <w:t>; and</w:t>
      </w:r>
    </w:p>
    <w:p w14:paraId="02228176" w14:textId="15C3225E" w:rsidR="52BDD886" w:rsidRPr="00634AAC" w:rsidRDefault="13443BCF" w:rsidP="00947B30">
      <w:pPr>
        <w:pStyle w:val="ListParagraph"/>
        <w:numPr>
          <w:ilvl w:val="0"/>
          <w:numId w:val="2"/>
        </w:numPr>
        <w:spacing w:before="60"/>
        <w:ind w:left="567" w:hanging="567"/>
        <w:contextualSpacing w:val="0"/>
        <w:rPr>
          <w:rFonts w:eastAsiaTheme="minorEastAsia" w:cstheme="minorBidi"/>
          <w:szCs w:val="24"/>
        </w:rPr>
      </w:pPr>
      <w:r w:rsidRPr="00634AAC">
        <w:t>activate regional engagement in ITU-D SG</w:t>
      </w:r>
      <w:r w:rsidR="5448A8FE" w:rsidRPr="00634AAC">
        <w:t>s</w:t>
      </w:r>
      <w:r w:rsidRPr="00634AAC">
        <w:t xml:space="preserve"> and in return provide relevant ITU-D SG products to the countries (and relevant entities) in each region</w:t>
      </w:r>
      <w:r w:rsidR="3CC5B851" w:rsidRPr="00634AAC">
        <w:t>.</w:t>
      </w:r>
    </w:p>
    <w:p w14:paraId="5748585E" w14:textId="3BE6C6F1" w:rsidR="52BDD886" w:rsidRPr="00634AAC" w:rsidRDefault="13443BCF" w:rsidP="5529AB18">
      <w:pPr>
        <w:rPr>
          <w:rFonts w:ascii="Calibri" w:eastAsia="Calibri" w:hAnsi="Calibri" w:cs="Calibri"/>
          <w:lang w:val="en-US"/>
        </w:rPr>
      </w:pPr>
      <w:r w:rsidRPr="5529AB18">
        <w:rPr>
          <w:rFonts w:ascii="Calibri" w:eastAsia="Calibri" w:hAnsi="Calibri" w:cs="Calibri"/>
          <w:lang w:val="en-US"/>
        </w:rPr>
        <w:t>SG m</w:t>
      </w:r>
      <w:r w:rsidR="506F1956" w:rsidRPr="5529AB18">
        <w:rPr>
          <w:rFonts w:ascii="Calibri" w:eastAsia="Calibri" w:hAnsi="Calibri" w:cs="Calibri"/>
          <w:lang w:val="en-US"/>
        </w:rPr>
        <w:t>anagement team</w:t>
      </w:r>
      <w:r w:rsidRPr="5529AB18">
        <w:rPr>
          <w:rFonts w:ascii="Calibri" w:eastAsia="Calibri" w:hAnsi="Calibri" w:cs="Calibri"/>
          <w:lang w:val="en-US"/>
        </w:rPr>
        <w:t xml:space="preserve"> members were active as speakers in ITU events including REDs</w:t>
      </w:r>
      <w:hyperlink r:id="rId68" w:anchor="_ftn1">
        <w:r w:rsidRPr="5529AB18">
          <w:rPr>
            <w:rStyle w:val="Hyperlink"/>
            <w:rFonts w:ascii="Calibri" w:eastAsia="Calibri" w:hAnsi="Calibri" w:cs="Calibri"/>
            <w:sz w:val="18"/>
            <w:szCs w:val="18"/>
            <w:lang w:val="en-US"/>
          </w:rPr>
          <w:t>[1]</w:t>
        </w:r>
      </w:hyperlink>
      <w:r w:rsidRPr="5529AB18">
        <w:rPr>
          <w:rFonts w:ascii="Calibri" w:eastAsia="Calibri" w:hAnsi="Calibri" w:cs="Calibri"/>
          <w:lang w:val="en-US"/>
        </w:rPr>
        <w:t>, RDFs</w:t>
      </w:r>
      <w:hyperlink r:id="rId69" w:anchor="_ftn2">
        <w:r w:rsidRPr="5529AB18">
          <w:rPr>
            <w:rStyle w:val="Hyperlink"/>
            <w:rFonts w:ascii="Calibri" w:eastAsia="Calibri" w:hAnsi="Calibri" w:cs="Calibri"/>
            <w:sz w:val="18"/>
            <w:szCs w:val="18"/>
            <w:lang w:val="en-US"/>
          </w:rPr>
          <w:t>[2]</w:t>
        </w:r>
      </w:hyperlink>
      <w:r w:rsidRPr="5529AB18">
        <w:rPr>
          <w:rFonts w:ascii="Calibri" w:eastAsia="Calibri" w:hAnsi="Calibri" w:cs="Calibri"/>
          <w:lang w:val="en-US"/>
        </w:rPr>
        <w:t xml:space="preserve">, RPMs </w:t>
      </w:r>
      <w:r w:rsidR="1F9CFB4D" w:rsidRPr="5529AB18">
        <w:rPr>
          <w:rFonts w:ascii="Calibri" w:eastAsia="Calibri" w:hAnsi="Calibri" w:cs="Calibri"/>
          <w:lang w:val="en-US"/>
        </w:rPr>
        <w:t>(</w:t>
      </w:r>
      <w:r w:rsidRPr="5529AB18">
        <w:rPr>
          <w:rFonts w:ascii="Calibri" w:eastAsia="Calibri" w:hAnsi="Calibri" w:cs="Calibri"/>
          <w:lang w:val="en-US"/>
        </w:rPr>
        <w:t xml:space="preserve">including </w:t>
      </w:r>
      <w:proofErr w:type="spellStart"/>
      <w:r w:rsidRPr="5529AB18">
        <w:rPr>
          <w:rFonts w:ascii="Calibri" w:eastAsia="Calibri" w:hAnsi="Calibri" w:cs="Calibri"/>
          <w:lang w:val="en-US"/>
        </w:rPr>
        <w:t>NoW</w:t>
      </w:r>
      <w:proofErr w:type="spellEnd"/>
      <w:r w:rsidRPr="5529AB18">
        <w:rPr>
          <w:rFonts w:ascii="Calibri" w:eastAsia="Calibri" w:hAnsi="Calibri" w:cs="Calibri"/>
          <w:lang w:val="en-US"/>
        </w:rPr>
        <w:t>)</w:t>
      </w:r>
      <w:hyperlink r:id="rId70" w:anchor="_ftn3">
        <w:r w:rsidRPr="5529AB18">
          <w:rPr>
            <w:rStyle w:val="Hyperlink"/>
            <w:rFonts w:ascii="Calibri" w:eastAsia="Calibri" w:hAnsi="Calibri" w:cs="Calibri"/>
            <w:sz w:val="18"/>
            <w:szCs w:val="18"/>
            <w:lang w:val="en-US"/>
          </w:rPr>
          <w:t>[3]</w:t>
        </w:r>
      </w:hyperlink>
      <w:r w:rsidRPr="5529AB18">
        <w:rPr>
          <w:rFonts w:ascii="Calibri" w:eastAsia="Calibri" w:hAnsi="Calibri" w:cs="Calibri"/>
          <w:lang w:val="en-US"/>
        </w:rPr>
        <w:t>, Road to Addis</w:t>
      </w:r>
      <w:hyperlink r:id="rId71" w:anchor="_ftn4">
        <w:r w:rsidRPr="5529AB18">
          <w:rPr>
            <w:rStyle w:val="Hyperlink"/>
            <w:rFonts w:ascii="Calibri" w:eastAsia="Calibri" w:hAnsi="Calibri" w:cs="Calibri"/>
            <w:sz w:val="18"/>
            <w:szCs w:val="18"/>
            <w:lang w:val="en-US"/>
          </w:rPr>
          <w:t>[4]</w:t>
        </w:r>
      </w:hyperlink>
      <w:r w:rsidRPr="5529AB18">
        <w:rPr>
          <w:rFonts w:ascii="Calibri" w:eastAsia="Calibri" w:hAnsi="Calibri" w:cs="Calibri"/>
          <w:lang w:val="en-US"/>
        </w:rPr>
        <w:t xml:space="preserve"> , WSIS</w:t>
      </w:r>
      <w:r w:rsidR="33FD5D20" w:rsidRPr="5529AB18">
        <w:rPr>
          <w:rStyle w:val="Hyperlink"/>
          <w:rFonts w:eastAsia="Calibri" w:cs="Calibri"/>
          <w:sz w:val="18"/>
          <w:szCs w:val="18"/>
          <w:lang w:val="en-US"/>
        </w:rPr>
        <w:t>[5]</w:t>
      </w:r>
      <w:r w:rsidRPr="5529AB18">
        <w:rPr>
          <w:rFonts w:ascii="Calibri" w:eastAsia="Calibri" w:hAnsi="Calibri" w:cs="Calibri"/>
          <w:lang w:val="en-US"/>
        </w:rPr>
        <w:t xml:space="preserve">, </w:t>
      </w:r>
      <w:r w:rsidR="3A82B3CC" w:rsidRPr="5529AB18">
        <w:rPr>
          <w:rFonts w:ascii="Calibri" w:eastAsia="Calibri" w:hAnsi="Calibri" w:cs="Calibri"/>
          <w:lang w:val="en-US"/>
        </w:rPr>
        <w:t xml:space="preserve">and recently in </w:t>
      </w:r>
      <w:r w:rsidR="61CE010B" w:rsidRPr="5529AB18">
        <w:rPr>
          <w:rFonts w:ascii="Calibri" w:eastAsia="Calibri" w:hAnsi="Calibri" w:cs="Calibri"/>
          <w:lang w:val="en-US"/>
        </w:rPr>
        <w:t>an</w:t>
      </w:r>
      <w:r w:rsidR="3A82B3CC" w:rsidRPr="5529AB18">
        <w:rPr>
          <w:rFonts w:ascii="Calibri" w:eastAsia="Calibri" w:hAnsi="Calibri" w:cs="Calibri"/>
          <w:lang w:val="en-US"/>
        </w:rPr>
        <w:t xml:space="preserve"> ITU event on the</w:t>
      </w:r>
      <w:r w:rsidRPr="5529AB18">
        <w:rPr>
          <w:rFonts w:ascii="Calibri" w:eastAsia="Calibri" w:hAnsi="Calibri" w:cs="Calibri"/>
          <w:lang w:val="en-US"/>
        </w:rPr>
        <w:t xml:space="preserve"> Future of Cable TV</w:t>
      </w:r>
      <w:r w:rsidR="1FEFD7B0" w:rsidRPr="5529AB18">
        <w:rPr>
          <w:rFonts w:ascii="Calibri" w:eastAsia="Calibri" w:hAnsi="Calibri" w:cs="Calibri"/>
          <w:lang w:val="en-US"/>
        </w:rPr>
        <w:t xml:space="preserve">. </w:t>
      </w:r>
      <w:r w:rsidR="3B72D123" w:rsidRPr="5529AB18">
        <w:rPr>
          <w:rFonts w:ascii="Calibri" w:eastAsia="Calibri" w:hAnsi="Calibri" w:cs="Calibri"/>
          <w:lang w:val="en-US"/>
        </w:rPr>
        <w:t xml:space="preserve"> </w:t>
      </w:r>
      <w:r w:rsidR="5C1E1C80" w:rsidRPr="5529AB18">
        <w:rPr>
          <w:rFonts w:ascii="Calibri" w:eastAsia="Calibri" w:hAnsi="Calibri" w:cs="Calibri"/>
          <w:lang w:val="en-US"/>
        </w:rPr>
        <w:t>Certain SG management team members</w:t>
      </w:r>
      <w:r w:rsidR="5407BD3C" w:rsidRPr="5529AB18">
        <w:rPr>
          <w:rFonts w:ascii="Calibri" w:eastAsia="Calibri" w:hAnsi="Calibri" w:cs="Calibri"/>
          <w:lang w:val="en-US"/>
        </w:rPr>
        <w:t xml:space="preserve"> also</w:t>
      </w:r>
      <w:r w:rsidR="3553F16C" w:rsidRPr="5529AB18">
        <w:rPr>
          <w:rFonts w:ascii="Calibri" w:eastAsia="Calibri" w:hAnsi="Calibri" w:cs="Calibri"/>
          <w:lang w:val="en-US"/>
        </w:rPr>
        <w:t xml:space="preserve"> co</w:t>
      </w:r>
      <w:r w:rsidRPr="5529AB18">
        <w:rPr>
          <w:rFonts w:ascii="Calibri" w:eastAsia="Calibri" w:hAnsi="Calibri" w:cs="Calibri"/>
          <w:lang w:val="en-US"/>
        </w:rPr>
        <w:t>ntributed as experts to the elaboration of ITU products such as the Last Mile Connectivity Toolkit</w:t>
      </w:r>
      <w:hyperlink r:id="rId72" w:anchor="_ftn5">
        <w:r w:rsidRPr="5529AB18">
          <w:rPr>
            <w:rStyle w:val="Hyperlink"/>
            <w:rFonts w:ascii="Calibri" w:eastAsia="Calibri" w:hAnsi="Calibri" w:cs="Calibri"/>
            <w:sz w:val="18"/>
            <w:szCs w:val="18"/>
            <w:lang w:val="en-US"/>
          </w:rPr>
          <w:t>[</w:t>
        </w:r>
        <w:r w:rsidR="55C8FECE" w:rsidRPr="5529AB18">
          <w:rPr>
            <w:rStyle w:val="Hyperlink"/>
            <w:rFonts w:ascii="Calibri" w:eastAsia="Calibri" w:hAnsi="Calibri" w:cs="Calibri"/>
            <w:sz w:val="18"/>
            <w:szCs w:val="18"/>
            <w:lang w:val="en-US"/>
          </w:rPr>
          <w:t>6</w:t>
        </w:r>
        <w:r w:rsidRPr="5529AB18">
          <w:rPr>
            <w:rStyle w:val="Hyperlink"/>
            <w:rFonts w:ascii="Calibri" w:eastAsia="Calibri" w:hAnsi="Calibri" w:cs="Calibri"/>
            <w:sz w:val="18"/>
            <w:szCs w:val="18"/>
            <w:lang w:val="en-US"/>
          </w:rPr>
          <w:t>]</w:t>
        </w:r>
      </w:hyperlink>
      <w:r w:rsidRPr="5529AB18">
        <w:rPr>
          <w:rFonts w:ascii="Calibri" w:eastAsia="Calibri" w:hAnsi="Calibri" w:cs="Calibri"/>
          <w:lang w:val="en-US"/>
        </w:rPr>
        <w:t>, the Digital Regulatory handbook and online platform</w:t>
      </w:r>
      <w:r w:rsidR="74EC8B0C" w:rsidRPr="5529AB18">
        <w:rPr>
          <w:rFonts w:ascii="Calibri" w:eastAsia="Calibri" w:hAnsi="Calibri" w:cs="Calibri"/>
          <w:lang w:val="en-US"/>
        </w:rPr>
        <w:t>,</w:t>
      </w:r>
      <w:r w:rsidRPr="5529AB18">
        <w:rPr>
          <w:rFonts w:ascii="Calibri" w:eastAsia="Calibri" w:hAnsi="Calibri" w:cs="Calibri"/>
          <w:lang w:val="en-US"/>
        </w:rPr>
        <w:t xml:space="preserve"> and the QoS ITU online training, among</w:t>
      </w:r>
      <w:r w:rsidR="367237C6" w:rsidRPr="5529AB18">
        <w:rPr>
          <w:rFonts w:ascii="Calibri" w:eastAsia="Calibri" w:hAnsi="Calibri" w:cs="Calibri"/>
          <w:lang w:val="en-US"/>
        </w:rPr>
        <w:t xml:space="preserve"> </w:t>
      </w:r>
      <w:r w:rsidRPr="5529AB18">
        <w:rPr>
          <w:rFonts w:ascii="Calibri" w:eastAsia="Calibri" w:hAnsi="Calibri" w:cs="Calibri"/>
          <w:lang w:val="en-US"/>
        </w:rPr>
        <w:t>other</w:t>
      </w:r>
      <w:r w:rsidR="49E797A6" w:rsidRPr="5529AB18">
        <w:rPr>
          <w:rFonts w:ascii="Calibri" w:eastAsia="Calibri" w:hAnsi="Calibri" w:cs="Calibri"/>
          <w:lang w:val="en-US"/>
        </w:rPr>
        <w:t>s</w:t>
      </w:r>
      <w:r w:rsidRPr="5529AB18">
        <w:rPr>
          <w:rFonts w:ascii="Calibri" w:eastAsia="Calibri" w:hAnsi="Calibri" w:cs="Calibri"/>
          <w:lang w:val="en-US"/>
        </w:rPr>
        <w:t>.</w:t>
      </w:r>
    </w:p>
    <w:p w14:paraId="436E4890" w14:textId="331BA6C7" w:rsidR="6DA7F7C3" w:rsidRPr="00634AAC" w:rsidRDefault="6DA7F7C3" w:rsidP="5529AB18">
      <w:pPr>
        <w:rPr>
          <w:rFonts w:ascii="Calibri" w:hAnsi="Calibri"/>
        </w:rPr>
      </w:pPr>
      <w:r>
        <w:t xml:space="preserve">In view of the COVID-19 pandemic, </w:t>
      </w:r>
      <w:r w:rsidR="3078D8ED">
        <w:t xml:space="preserve">ITU-D </w:t>
      </w:r>
      <w:r w:rsidR="5F020358">
        <w:t>SGs</w:t>
      </w:r>
      <w:r w:rsidR="3078D8ED">
        <w:t xml:space="preserve"> </w:t>
      </w:r>
      <w:r w:rsidR="1392CA64">
        <w:t>adapted all meetings to fully virtual meetings</w:t>
      </w:r>
      <w:r w:rsidR="08902F2C">
        <w:t xml:space="preserve"> from March 2020</w:t>
      </w:r>
      <w:r w:rsidR="1392CA64">
        <w:t xml:space="preserve"> with secretariat support t</w:t>
      </w:r>
      <w:r w:rsidR="6ECAF677">
        <w:t>hr</w:t>
      </w:r>
      <w:r w:rsidR="1392CA64">
        <w:t>o</w:t>
      </w:r>
      <w:r w:rsidR="6ECAF677">
        <w:t>ugh testing sessions and elaboration of e</w:t>
      </w:r>
      <w:r w:rsidR="46F3EC66">
        <w:t>-</w:t>
      </w:r>
      <w:r w:rsidR="6ECAF677">
        <w:t xml:space="preserve">meeting guidelines for meeting chairs, interveners/contributors as well as for participants. </w:t>
      </w:r>
      <w:r w:rsidR="6B42D3A3">
        <w:t>Recently, s</w:t>
      </w:r>
      <w:r w:rsidR="6ECAF677">
        <w:t>pecifi</w:t>
      </w:r>
      <w:r w:rsidR="7414C53C">
        <w:t>c technical support was included for persons with disabilities for Question</w:t>
      </w:r>
      <w:r w:rsidR="000730AF">
        <w:t> </w:t>
      </w:r>
      <w:r w:rsidR="7414C53C">
        <w:t xml:space="preserve">7/1 including the </w:t>
      </w:r>
      <w:r w:rsidR="40B3E4F8">
        <w:t>availability</w:t>
      </w:r>
      <w:r w:rsidR="7414C53C">
        <w:t xml:space="preserve"> of online international sign </w:t>
      </w:r>
      <w:r w:rsidR="50EED433">
        <w:t>language facilities.</w:t>
      </w:r>
      <w:r w:rsidR="60CE4FB1">
        <w:t xml:space="preserve"> </w:t>
      </w:r>
      <w:r w:rsidR="50EED433" w:rsidRPr="5529AB18">
        <w:rPr>
          <w:rFonts w:ascii="Calibri" w:hAnsi="Calibri"/>
        </w:rPr>
        <w:t xml:space="preserve">In May 2020, ITU-D </w:t>
      </w:r>
      <w:r w:rsidR="2665CEEC" w:rsidRPr="5529AB18">
        <w:rPr>
          <w:rFonts w:ascii="Calibri" w:hAnsi="Calibri"/>
        </w:rPr>
        <w:t>SGs</w:t>
      </w:r>
      <w:r w:rsidR="50EED433" w:rsidRPr="5529AB18">
        <w:rPr>
          <w:rFonts w:ascii="Calibri" w:hAnsi="Calibri"/>
        </w:rPr>
        <w:t xml:space="preserve"> initiated webinars/web</w:t>
      </w:r>
      <w:r w:rsidR="6E88C607" w:rsidRPr="5529AB18">
        <w:rPr>
          <w:rFonts w:ascii="Calibri" w:hAnsi="Calibri"/>
        </w:rPr>
        <w:t xml:space="preserve"> </w:t>
      </w:r>
      <w:r w:rsidR="50EED433" w:rsidRPr="5529AB18">
        <w:rPr>
          <w:rFonts w:ascii="Calibri" w:hAnsi="Calibri"/>
        </w:rPr>
        <w:t xml:space="preserve">dialogues </w:t>
      </w:r>
      <w:r w:rsidR="7FFA1A96" w:rsidRPr="5529AB18">
        <w:rPr>
          <w:rFonts w:ascii="Calibri" w:hAnsi="Calibri"/>
        </w:rPr>
        <w:t xml:space="preserve">were organized </w:t>
      </w:r>
      <w:r w:rsidR="50EED433" w:rsidRPr="5529AB18">
        <w:rPr>
          <w:rFonts w:ascii="Calibri" w:hAnsi="Calibri"/>
        </w:rPr>
        <w:t xml:space="preserve">as an approach to collect more content to finalise </w:t>
      </w:r>
      <w:r w:rsidR="603BBAE0" w:rsidRPr="5529AB18">
        <w:rPr>
          <w:rFonts w:ascii="Calibri" w:hAnsi="Calibri"/>
        </w:rPr>
        <w:t>output report</w:t>
      </w:r>
      <w:r w:rsidR="66BD39AC" w:rsidRPr="5529AB18">
        <w:rPr>
          <w:rFonts w:ascii="Calibri" w:hAnsi="Calibri"/>
        </w:rPr>
        <w:t>s</w:t>
      </w:r>
      <w:r w:rsidR="603BBAE0" w:rsidRPr="5529AB18">
        <w:rPr>
          <w:rFonts w:ascii="Calibri" w:hAnsi="Calibri"/>
        </w:rPr>
        <w:t xml:space="preserve"> in the absence of workshops. </w:t>
      </w:r>
    </w:p>
    <w:p w14:paraId="556576A8" w14:textId="342D81D1" w:rsidR="0D8278CB" w:rsidRPr="00634AAC" w:rsidRDefault="00340FF7" w:rsidP="00634AAC">
      <w:pPr>
        <w:rPr>
          <w:rFonts w:ascii="Calibri" w:hAnsi="Calibri"/>
          <w:szCs w:val="24"/>
        </w:rPr>
      </w:pPr>
      <w:r>
        <w:rPr>
          <w:rFonts w:ascii="Calibri" w:hAnsi="Calibri"/>
          <w:szCs w:val="24"/>
        </w:rPr>
        <w:t>Fourteen</w:t>
      </w:r>
      <w:r w:rsidR="0D8278CB" w:rsidRPr="00634AAC">
        <w:rPr>
          <w:rFonts w:ascii="Calibri" w:hAnsi="Calibri"/>
          <w:szCs w:val="24"/>
        </w:rPr>
        <w:t xml:space="preserve"> final output reports and </w:t>
      </w:r>
      <w:r>
        <w:rPr>
          <w:rFonts w:ascii="Calibri" w:hAnsi="Calibri"/>
          <w:szCs w:val="24"/>
        </w:rPr>
        <w:t>one</w:t>
      </w:r>
      <w:r w:rsidR="0D8278CB" w:rsidRPr="00634AAC">
        <w:rPr>
          <w:rFonts w:ascii="Calibri" w:hAnsi="Calibri"/>
          <w:szCs w:val="24"/>
        </w:rPr>
        <w:t xml:space="preserve"> Guideline </w:t>
      </w:r>
      <w:r w:rsidR="226AD126" w:rsidRPr="00634AAC">
        <w:rPr>
          <w:rFonts w:ascii="Calibri" w:hAnsi="Calibri"/>
          <w:szCs w:val="24"/>
        </w:rPr>
        <w:t>(</w:t>
      </w:r>
      <w:hyperlink r:id="rId73">
        <w:r w:rsidR="226AD126" w:rsidRPr="00634AAC">
          <w:rPr>
            <w:rStyle w:val="Hyperlink"/>
            <w:rFonts w:ascii="Calibri" w:hAnsi="Calibri"/>
            <w:szCs w:val="24"/>
          </w:rPr>
          <w:t>www.itu.int/itudsgpub</w:t>
        </w:r>
      </w:hyperlink>
      <w:r w:rsidR="226AD126" w:rsidRPr="00634AAC">
        <w:rPr>
          <w:rFonts w:ascii="Calibri" w:hAnsi="Calibri"/>
          <w:szCs w:val="24"/>
        </w:rPr>
        <w:t xml:space="preserve">) </w:t>
      </w:r>
      <w:r w:rsidR="0D8278CB" w:rsidRPr="00634AAC">
        <w:rPr>
          <w:rFonts w:ascii="Calibri" w:hAnsi="Calibri"/>
          <w:szCs w:val="24"/>
        </w:rPr>
        <w:t xml:space="preserve">are now available as free publications in all UN official languages and are complemented by 14 </w:t>
      </w:r>
      <w:r w:rsidR="69D415A5" w:rsidRPr="00634AAC">
        <w:rPr>
          <w:rFonts w:ascii="Calibri" w:hAnsi="Calibri"/>
          <w:szCs w:val="24"/>
        </w:rPr>
        <w:t>short</w:t>
      </w:r>
      <w:r w:rsidR="0D8278CB" w:rsidRPr="00634AAC">
        <w:rPr>
          <w:rFonts w:ascii="Calibri" w:hAnsi="Calibri"/>
          <w:szCs w:val="24"/>
        </w:rPr>
        <w:t xml:space="preserve"> video clips.  </w:t>
      </w:r>
    </w:p>
    <w:p w14:paraId="7D5F8834" w14:textId="4DC83CD4" w:rsidR="6CB3F3B5" w:rsidRPr="00634AAC" w:rsidRDefault="6CB3F3B5" w:rsidP="00634AAC">
      <w:pPr>
        <w:rPr>
          <w:rFonts w:ascii="Calibri" w:hAnsi="Calibri"/>
          <w:szCs w:val="24"/>
        </w:rPr>
      </w:pPr>
      <w:r w:rsidRPr="00634AAC">
        <w:rPr>
          <w:rFonts w:ascii="Calibri" w:hAnsi="Calibri"/>
          <w:szCs w:val="24"/>
        </w:rPr>
        <w:t xml:space="preserve">Footnotes </w:t>
      </w:r>
    </w:p>
    <w:p w14:paraId="1CD6DE0E" w14:textId="785BB6E4" w:rsidR="52BDD886" w:rsidRPr="00634AAC" w:rsidRDefault="00CD53ED" w:rsidP="00634AAC">
      <w:hyperlink r:id="rId74" w:anchor="_ftnref1">
        <w:r w:rsidR="52BDD886" w:rsidRPr="00634AAC">
          <w:rPr>
            <w:rStyle w:val="Hyperlink"/>
            <w:rFonts w:ascii="Calibri" w:eastAsia="Calibri" w:hAnsi="Calibri" w:cs="Calibri"/>
            <w:sz w:val="20"/>
          </w:rPr>
          <w:t>[1]</w:t>
        </w:r>
      </w:hyperlink>
      <w:r w:rsidR="52BDD886" w:rsidRPr="00634AAC">
        <w:rPr>
          <w:rFonts w:ascii="Calibri" w:eastAsia="Calibri" w:hAnsi="Calibri" w:cs="Calibri"/>
          <w:sz w:val="20"/>
        </w:rPr>
        <w:t xml:space="preserve"> RED Africa 2020  </w:t>
      </w:r>
      <w:hyperlink r:id="rId75">
        <w:r w:rsidR="52BDD886" w:rsidRPr="00634AAC">
          <w:rPr>
            <w:rStyle w:val="Hyperlink"/>
            <w:rFonts w:ascii="Calibri" w:eastAsia="Calibri" w:hAnsi="Calibri" w:cs="Calibri"/>
            <w:sz w:val="20"/>
          </w:rPr>
          <w:t>https://www.itu.int/en/ITU-D/Regulatory-Market/Pages/Events2020/RED-AFR-2020.aspx</w:t>
        </w:r>
      </w:hyperlink>
      <w:r w:rsidR="52BDD886" w:rsidRPr="00634AAC">
        <w:rPr>
          <w:rFonts w:ascii="Calibri" w:eastAsia="Calibri" w:hAnsi="Calibri" w:cs="Calibri"/>
          <w:sz w:val="20"/>
        </w:rPr>
        <w:t xml:space="preserve"> and ITU Colloquium Americas </w:t>
      </w:r>
      <w:hyperlink r:id="rId76">
        <w:r w:rsidR="52BDD886" w:rsidRPr="00634AAC">
          <w:rPr>
            <w:rStyle w:val="Hyperlink"/>
            <w:rFonts w:ascii="Calibri" w:eastAsia="Calibri" w:hAnsi="Calibri" w:cs="Calibri"/>
            <w:sz w:val="20"/>
          </w:rPr>
          <w:t>https://www.itu.int/en/ITU-D/Regulatory-Market/Pages/Events2020/RED-AFR-2020.aspx</w:t>
        </w:r>
      </w:hyperlink>
    </w:p>
    <w:p w14:paraId="269C5B0B" w14:textId="2A591389" w:rsidR="52BDD886" w:rsidRPr="00634AAC" w:rsidRDefault="00CD53ED" w:rsidP="00634AAC">
      <w:hyperlink r:id="rId77" w:anchor="_ftnref2">
        <w:r w:rsidR="52BDD886" w:rsidRPr="00634AAC">
          <w:rPr>
            <w:rStyle w:val="Hyperlink"/>
            <w:rFonts w:ascii="Calibri" w:eastAsia="Calibri" w:hAnsi="Calibri" w:cs="Calibri"/>
            <w:sz w:val="20"/>
          </w:rPr>
          <w:t>[2]</w:t>
        </w:r>
      </w:hyperlink>
      <w:r w:rsidR="52BDD886" w:rsidRPr="00634AAC">
        <w:rPr>
          <w:rFonts w:ascii="Calibri" w:eastAsia="Calibri" w:hAnsi="Calibri" w:cs="Calibri"/>
          <w:sz w:val="20"/>
        </w:rPr>
        <w:t xml:space="preserve"> See RDF Africa </w:t>
      </w:r>
      <w:hyperlink r:id="rId78">
        <w:r w:rsidR="52BDD886" w:rsidRPr="00634AAC">
          <w:rPr>
            <w:rStyle w:val="Hyperlink"/>
            <w:rFonts w:ascii="Calibri" w:eastAsia="Calibri" w:hAnsi="Calibri" w:cs="Calibri"/>
            <w:sz w:val="20"/>
          </w:rPr>
          <w:t>https://www.itu.int/en/ITU-D/Regional-Presence/Africa/Pages/EVENTS/2020/RDF.aspx</w:t>
        </w:r>
      </w:hyperlink>
    </w:p>
    <w:p w14:paraId="366AED73" w14:textId="7710D6E1" w:rsidR="52BDD886" w:rsidRPr="00634AAC" w:rsidRDefault="00CD53ED" w:rsidP="00634AAC">
      <w:hyperlink r:id="rId79" w:anchor="_ftnref3">
        <w:r w:rsidR="52BDD886" w:rsidRPr="00634AAC">
          <w:rPr>
            <w:rStyle w:val="Hyperlink"/>
            <w:rFonts w:ascii="Calibri" w:eastAsia="Calibri" w:hAnsi="Calibri" w:cs="Calibri"/>
            <w:sz w:val="20"/>
          </w:rPr>
          <w:t>[3]</w:t>
        </w:r>
      </w:hyperlink>
      <w:r w:rsidR="52BDD886" w:rsidRPr="00634AAC">
        <w:rPr>
          <w:rFonts w:ascii="Calibri" w:eastAsia="Calibri" w:hAnsi="Calibri" w:cs="Calibri"/>
          <w:sz w:val="20"/>
        </w:rPr>
        <w:t xml:space="preserve"> See Africa RPM NOW event </w:t>
      </w:r>
      <w:hyperlink r:id="rId80">
        <w:r w:rsidR="52BDD886" w:rsidRPr="00634AAC">
          <w:rPr>
            <w:rStyle w:val="Hyperlink"/>
            <w:rFonts w:ascii="Calibri" w:eastAsia="Calibri" w:hAnsi="Calibri" w:cs="Calibri"/>
            <w:sz w:val="20"/>
          </w:rPr>
          <w:t>https://www.itu.int/en/ITU-D/Conferences/WTDC/WTDC21/NoW/Pages/Events/Regional/Africa/2021_03.aspx</w:t>
        </w:r>
      </w:hyperlink>
      <w:r w:rsidR="52BDD886" w:rsidRPr="00634AAC">
        <w:rPr>
          <w:rFonts w:ascii="Calibri" w:eastAsia="Calibri" w:hAnsi="Calibri" w:cs="Calibri"/>
          <w:sz w:val="20"/>
        </w:rPr>
        <w:t xml:space="preserve"> and RPM Europe </w:t>
      </w:r>
      <w:hyperlink r:id="rId81">
        <w:r w:rsidR="52BDD886" w:rsidRPr="00634AAC">
          <w:rPr>
            <w:rStyle w:val="Hyperlink"/>
            <w:rFonts w:ascii="Calibri" w:eastAsia="Calibri" w:hAnsi="Calibri" w:cs="Calibri"/>
            <w:sz w:val="20"/>
          </w:rPr>
          <w:t>https://www.itu.int/en/ITU-D/Conferences/WTDC/WTDC21/Pages/RPM-EUR.aspx</w:t>
        </w:r>
      </w:hyperlink>
    </w:p>
    <w:p w14:paraId="7F984D9A" w14:textId="7D870984" w:rsidR="52BDD886" w:rsidRPr="00634AAC" w:rsidRDefault="00CD53ED" w:rsidP="00634AAC">
      <w:hyperlink r:id="rId82" w:anchor="_ftnref4">
        <w:r w:rsidR="13443BCF" w:rsidRPr="00634AAC">
          <w:rPr>
            <w:rStyle w:val="Hyperlink"/>
            <w:rFonts w:ascii="Calibri" w:eastAsia="Calibri" w:hAnsi="Calibri" w:cs="Calibri"/>
            <w:sz w:val="20"/>
          </w:rPr>
          <w:t>[4]</w:t>
        </w:r>
      </w:hyperlink>
      <w:r w:rsidR="052478A0" w:rsidRPr="00634AAC">
        <w:rPr>
          <w:rFonts w:ascii="Calibri" w:eastAsia="Calibri" w:hAnsi="Calibri" w:cs="Calibri"/>
          <w:sz w:val="20"/>
        </w:rPr>
        <w:t xml:space="preserve"> </w:t>
      </w:r>
      <w:r w:rsidR="13443BCF" w:rsidRPr="00634AAC">
        <w:rPr>
          <w:rFonts w:ascii="Calibri" w:eastAsia="Calibri" w:hAnsi="Calibri" w:cs="Calibri"/>
          <w:sz w:val="20"/>
        </w:rPr>
        <w:t xml:space="preserve">See Connect to Include </w:t>
      </w:r>
      <w:hyperlink r:id="rId83">
        <w:r w:rsidR="13443BCF" w:rsidRPr="00634AAC">
          <w:rPr>
            <w:rStyle w:val="Hyperlink"/>
            <w:rFonts w:ascii="Calibri" w:eastAsia="Calibri" w:hAnsi="Calibri" w:cs="Calibri"/>
            <w:sz w:val="20"/>
          </w:rPr>
          <w:t>https://www.itu.int/en/ITU-D/Conferences/WTDC/WTDC21/R2A/Pages/Connect2Include.aspx</w:t>
        </w:r>
      </w:hyperlink>
    </w:p>
    <w:p w14:paraId="28A6974E" w14:textId="5FD72D84" w:rsidR="552D2AB4" w:rsidRPr="00634AAC" w:rsidRDefault="00CD53ED" w:rsidP="00634AAC">
      <w:pPr>
        <w:rPr>
          <w:rFonts w:ascii="Calibri" w:hAnsi="Calibri"/>
          <w:sz w:val="18"/>
          <w:szCs w:val="18"/>
        </w:rPr>
      </w:pPr>
      <w:hyperlink r:id="rId84" w:anchor="_ftnref5">
        <w:r w:rsidR="552D2AB4" w:rsidRPr="00634AAC">
          <w:rPr>
            <w:rStyle w:val="Hyperlink"/>
            <w:rFonts w:ascii="Calibri" w:eastAsia="Calibri" w:hAnsi="Calibri" w:cs="Calibri"/>
            <w:sz w:val="20"/>
          </w:rPr>
          <w:t>[5]</w:t>
        </w:r>
      </w:hyperlink>
      <w:r w:rsidR="552D2AB4" w:rsidRPr="00634AAC">
        <w:rPr>
          <w:rFonts w:ascii="Calibri" w:eastAsia="Calibri" w:hAnsi="Calibri" w:cs="Calibri"/>
          <w:sz w:val="20"/>
        </w:rPr>
        <w:t xml:space="preserve"> </w:t>
      </w:r>
      <w:r w:rsidR="07F0219F" w:rsidRPr="00634AAC">
        <w:rPr>
          <w:rFonts w:ascii="Calibri" w:eastAsia="Calibri" w:hAnsi="Calibri" w:cs="Calibri"/>
          <w:sz w:val="20"/>
        </w:rPr>
        <w:t xml:space="preserve">See list of engagements of ITU-D </w:t>
      </w:r>
      <w:r w:rsidR="7B9CA1CD" w:rsidRPr="00634AAC">
        <w:rPr>
          <w:rFonts w:ascii="Calibri" w:eastAsia="Calibri" w:hAnsi="Calibri" w:cs="Calibri"/>
          <w:sz w:val="20"/>
        </w:rPr>
        <w:t>S</w:t>
      </w:r>
      <w:r w:rsidR="07F0219F" w:rsidRPr="00634AAC">
        <w:rPr>
          <w:rFonts w:ascii="Calibri" w:eastAsia="Calibri" w:hAnsi="Calibri" w:cs="Calibri"/>
          <w:sz w:val="20"/>
        </w:rPr>
        <w:t xml:space="preserve">tudy Groups at the WSIS Forum 2021: </w:t>
      </w:r>
      <w:hyperlink r:id="rId85">
        <w:r w:rsidR="552D2AB4" w:rsidRPr="00634AAC">
          <w:rPr>
            <w:rStyle w:val="Hyperlink"/>
            <w:rFonts w:ascii="Calibri" w:hAnsi="Calibri"/>
            <w:sz w:val="18"/>
            <w:szCs w:val="18"/>
          </w:rPr>
          <w:t>https://www.itu.int/md/D18-SG01.RGQ-C-0444/en</w:t>
        </w:r>
      </w:hyperlink>
      <w:r w:rsidR="552D2AB4" w:rsidRPr="00634AAC">
        <w:rPr>
          <w:rFonts w:ascii="Calibri" w:hAnsi="Calibri"/>
          <w:sz w:val="18"/>
          <w:szCs w:val="18"/>
        </w:rPr>
        <w:t xml:space="preserve"> </w:t>
      </w:r>
    </w:p>
    <w:p w14:paraId="4EB82310" w14:textId="0394428A" w:rsidR="52BDD886" w:rsidRPr="00634AAC" w:rsidRDefault="00CD53ED" w:rsidP="00634AAC">
      <w:hyperlink r:id="rId86" w:anchor="_ftnref5">
        <w:r w:rsidR="13443BCF" w:rsidRPr="00634AAC">
          <w:rPr>
            <w:rStyle w:val="Hyperlink"/>
            <w:rFonts w:ascii="Calibri" w:eastAsia="Calibri" w:hAnsi="Calibri" w:cs="Calibri"/>
            <w:sz w:val="20"/>
          </w:rPr>
          <w:t>[</w:t>
        </w:r>
        <w:r w:rsidR="34B248DA" w:rsidRPr="00634AAC">
          <w:rPr>
            <w:rStyle w:val="Hyperlink"/>
            <w:rFonts w:ascii="Calibri" w:eastAsia="Calibri" w:hAnsi="Calibri" w:cs="Calibri"/>
            <w:sz w:val="20"/>
          </w:rPr>
          <w:t>6</w:t>
        </w:r>
        <w:r w:rsidR="13443BCF" w:rsidRPr="00634AAC">
          <w:rPr>
            <w:rStyle w:val="Hyperlink"/>
            <w:rFonts w:ascii="Calibri" w:eastAsia="Calibri" w:hAnsi="Calibri" w:cs="Calibri"/>
            <w:sz w:val="20"/>
          </w:rPr>
          <w:t>]</w:t>
        </w:r>
      </w:hyperlink>
      <w:r w:rsidR="13443BCF" w:rsidRPr="00634AAC">
        <w:rPr>
          <w:rFonts w:ascii="Calibri" w:eastAsia="Calibri" w:hAnsi="Calibri" w:cs="Calibri"/>
          <w:sz w:val="20"/>
        </w:rPr>
        <w:t xml:space="preserve"> See acknowledgements </w:t>
      </w:r>
      <w:hyperlink r:id="rId87">
        <w:r w:rsidR="13443BCF" w:rsidRPr="00634AAC">
          <w:rPr>
            <w:rStyle w:val="Hyperlink"/>
            <w:rFonts w:ascii="Calibri" w:eastAsia="Calibri" w:hAnsi="Calibri" w:cs="Calibri"/>
            <w:sz w:val="20"/>
          </w:rPr>
          <w:t>https://www.itu.int/dms_pub/itu-d/opb/tnd/D-TND-01-2020-PDF-E.pdf</w:t>
        </w:r>
      </w:hyperlink>
    </w:p>
    <w:p w14:paraId="35D69133" w14:textId="3181A4D3" w:rsidR="00455DD8" w:rsidRPr="001D3281" w:rsidRDefault="00455DD8" w:rsidP="5529AB18">
      <w:pPr>
        <w:pStyle w:val="Heading2"/>
        <w:spacing w:line="259" w:lineRule="auto"/>
      </w:pPr>
      <w:bookmarkStart w:id="137" w:name="_Toc85818114"/>
      <w:r w:rsidRPr="5529AB18">
        <w:rPr>
          <w:rFonts w:eastAsia="SimSun"/>
        </w:rPr>
        <w:t>Advise the Director of BDT on relevant financial and other matters</w:t>
      </w:r>
      <w:bookmarkEnd w:id="137"/>
    </w:p>
    <w:p w14:paraId="3BC11A56" w14:textId="28AEF0C8" w:rsidR="00565EBE" w:rsidRDefault="00565EBE" w:rsidP="00340FF7">
      <w:pPr>
        <w:pStyle w:val="CEONormal"/>
        <w:spacing w:before="120"/>
        <w:rPr>
          <w:rFonts w:ascii="Calibri" w:hAnsi="Calibri" w:cs="Calibri"/>
          <w:sz w:val="24"/>
          <w:szCs w:val="24"/>
        </w:rPr>
      </w:pPr>
      <w:r w:rsidRPr="5529AB18">
        <w:rPr>
          <w:rFonts w:ascii="Calibri" w:hAnsi="Calibri" w:cs="Calibri"/>
          <w:sz w:val="24"/>
          <w:szCs w:val="24"/>
        </w:rPr>
        <w:t xml:space="preserve">In considering the implementation of the </w:t>
      </w:r>
      <w:r w:rsidR="00AB5A9E" w:rsidRPr="5529AB18">
        <w:rPr>
          <w:rFonts w:ascii="Calibri" w:hAnsi="Calibri" w:cs="Calibri"/>
          <w:sz w:val="24"/>
          <w:szCs w:val="24"/>
        </w:rPr>
        <w:t>Buenos</w:t>
      </w:r>
      <w:r w:rsidRPr="5529AB18">
        <w:rPr>
          <w:rFonts w:ascii="Calibri" w:hAnsi="Calibri" w:cs="Calibri"/>
          <w:sz w:val="24"/>
          <w:szCs w:val="24"/>
        </w:rPr>
        <w:t xml:space="preserve"> </w:t>
      </w:r>
      <w:r w:rsidR="00AB5A9E" w:rsidRPr="5529AB18">
        <w:rPr>
          <w:rFonts w:ascii="Calibri" w:hAnsi="Calibri" w:cs="Calibri"/>
          <w:sz w:val="24"/>
          <w:szCs w:val="24"/>
        </w:rPr>
        <w:t xml:space="preserve">Aires </w:t>
      </w:r>
      <w:r w:rsidRPr="5529AB18">
        <w:rPr>
          <w:rFonts w:ascii="Calibri" w:hAnsi="Calibri" w:cs="Calibri"/>
          <w:sz w:val="24"/>
          <w:szCs w:val="24"/>
        </w:rPr>
        <w:t>Action Pla</w:t>
      </w:r>
      <w:r w:rsidR="00AB5A9E" w:rsidRPr="5529AB18">
        <w:rPr>
          <w:rFonts w:ascii="Calibri" w:hAnsi="Calibri" w:cs="Calibri"/>
          <w:sz w:val="24"/>
          <w:szCs w:val="24"/>
        </w:rPr>
        <w:t>n and the report</w:t>
      </w:r>
      <w:r w:rsidR="00C35A66" w:rsidRPr="5529AB18">
        <w:rPr>
          <w:rFonts w:ascii="Calibri" w:hAnsi="Calibri" w:cs="Calibri"/>
          <w:sz w:val="24"/>
          <w:szCs w:val="24"/>
        </w:rPr>
        <w:t>ing</w:t>
      </w:r>
      <w:r w:rsidR="00AB5A9E" w:rsidRPr="5529AB18">
        <w:rPr>
          <w:rFonts w:ascii="Calibri" w:hAnsi="Calibri" w:cs="Calibri"/>
          <w:sz w:val="24"/>
          <w:szCs w:val="24"/>
        </w:rPr>
        <w:t xml:space="preserve"> </w:t>
      </w:r>
      <w:r w:rsidR="00C35A66" w:rsidRPr="5529AB18">
        <w:rPr>
          <w:rFonts w:ascii="Calibri" w:hAnsi="Calibri" w:cs="Calibri"/>
          <w:sz w:val="24"/>
          <w:szCs w:val="24"/>
        </w:rPr>
        <w:t xml:space="preserve">discussed in </w:t>
      </w:r>
      <w:r w:rsidR="0068001D" w:rsidRPr="5529AB18">
        <w:rPr>
          <w:rFonts w:ascii="Calibri" w:hAnsi="Calibri" w:cs="Calibri"/>
          <w:sz w:val="24"/>
          <w:szCs w:val="24"/>
        </w:rPr>
        <w:t xml:space="preserve">detail in </w:t>
      </w:r>
      <w:r w:rsidR="00C35A66" w:rsidRPr="5529AB18">
        <w:rPr>
          <w:rFonts w:ascii="Calibri" w:hAnsi="Calibri" w:cs="Calibri"/>
          <w:sz w:val="24"/>
          <w:szCs w:val="24"/>
        </w:rPr>
        <w:t>section 4.2 above</w:t>
      </w:r>
      <w:r w:rsidRPr="5529AB18">
        <w:rPr>
          <w:rFonts w:ascii="Calibri" w:hAnsi="Calibri" w:cs="Calibri"/>
          <w:sz w:val="24"/>
          <w:szCs w:val="24"/>
        </w:rPr>
        <w:t xml:space="preserve">, TDAG expressed its support and appreciation for the </w:t>
      </w:r>
      <w:r w:rsidR="7D43E4F9" w:rsidRPr="5529AB18">
        <w:rPr>
          <w:rFonts w:ascii="Calibri" w:hAnsi="Calibri" w:cs="Calibri"/>
          <w:sz w:val="24"/>
          <w:szCs w:val="24"/>
        </w:rPr>
        <w:t>Results-based Management</w:t>
      </w:r>
      <w:r w:rsidR="233BB162" w:rsidRPr="5529AB18">
        <w:rPr>
          <w:rFonts w:ascii="Calibri" w:hAnsi="Calibri" w:cs="Calibri"/>
          <w:sz w:val="24"/>
          <w:szCs w:val="24"/>
        </w:rPr>
        <w:t xml:space="preserve"> </w:t>
      </w:r>
      <w:r w:rsidR="7D43E4F9" w:rsidRPr="5529AB18">
        <w:rPr>
          <w:rFonts w:ascii="Calibri" w:hAnsi="Calibri" w:cs="Calibri"/>
          <w:sz w:val="24"/>
          <w:szCs w:val="24"/>
        </w:rPr>
        <w:t>(</w:t>
      </w:r>
      <w:r w:rsidR="00C35A66" w:rsidRPr="5529AB18">
        <w:rPr>
          <w:rFonts w:ascii="Calibri" w:hAnsi="Calibri" w:cs="Calibri"/>
          <w:sz w:val="24"/>
          <w:szCs w:val="24"/>
        </w:rPr>
        <w:t>RBM</w:t>
      </w:r>
      <w:r w:rsidR="7FF704C3" w:rsidRPr="5529AB18">
        <w:rPr>
          <w:rFonts w:ascii="Calibri" w:hAnsi="Calibri" w:cs="Calibri"/>
          <w:sz w:val="24"/>
          <w:szCs w:val="24"/>
        </w:rPr>
        <w:t>)</w:t>
      </w:r>
      <w:r w:rsidRPr="5529AB18">
        <w:rPr>
          <w:rFonts w:ascii="Calibri" w:hAnsi="Calibri" w:cs="Calibri"/>
          <w:sz w:val="24"/>
          <w:szCs w:val="24"/>
        </w:rPr>
        <w:t xml:space="preserve"> approach</w:t>
      </w:r>
      <w:r w:rsidR="7C63E51D" w:rsidRPr="5529AB18">
        <w:rPr>
          <w:rFonts w:ascii="Calibri" w:hAnsi="Calibri" w:cs="Calibri"/>
          <w:sz w:val="24"/>
          <w:szCs w:val="24"/>
        </w:rPr>
        <w:t>,</w:t>
      </w:r>
      <w:r w:rsidRPr="5529AB18">
        <w:rPr>
          <w:rFonts w:ascii="Calibri" w:hAnsi="Calibri" w:cs="Calibri"/>
          <w:sz w:val="24"/>
          <w:szCs w:val="24"/>
        </w:rPr>
        <w:t xml:space="preserve"> focusing on outcomes and achieved </w:t>
      </w:r>
      <w:r w:rsidR="00C35A66" w:rsidRPr="5529AB18">
        <w:rPr>
          <w:rFonts w:ascii="Calibri" w:hAnsi="Calibri" w:cs="Calibri"/>
          <w:sz w:val="24"/>
          <w:szCs w:val="24"/>
        </w:rPr>
        <w:t xml:space="preserve">impact, the increased monitoring and evaluation </w:t>
      </w:r>
      <w:r w:rsidR="00E17748" w:rsidRPr="5529AB18">
        <w:rPr>
          <w:rFonts w:ascii="Calibri" w:hAnsi="Calibri" w:cs="Calibri"/>
          <w:sz w:val="24"/>
          <w:szCs w:val="24"/>
        </w:rPr>
        <w:t>put in place,</w:t>
      </w:r>
      <w:r w:rsidR="00C35A66" w:rsidRPr="5529AB18">
        <w:rPr>
          <w:rFonts w:ascii="Calibri" w:hAnsi="Calibri" w:cs="Calibri"/>
          <w:sz w:val="24"/>
          <w:szCs w:val="24"/>
        </w:rPr>
        <w:t xml:space="preserve"> and </w:t>
      </w:r>
      <w:r w:rsidR="00E17748" w:rsidRPr="5529AB18">
        <w:rPr>
          <w:rFonts w:ascii="Calibri" w:hAnsi="Calibri" w:cs="Calibri"/>
          <w:sz w:val="24"/>
          <w:szCs w:val="24"/>
        </w:rPr>
        <w:t xml:space="preserve">the use of effective </w:t>
      </w:r>
      <w:r w:rsidR="00C35A66" w:rsidRPr="5529AB18">
        <w:rPr>
          <w:rFonts w:ascii="Calibri" w:hAnsi="Calibri" w:cs="Calibri"/>
          <w:sz w:val="24"/>
          <w:szCs w:val="24"/>
        </w:rPr>
        <w:t xml:space="preserve">reporting </w:t>
      </w:r>
      <w:r w:rsidR="00E17748" w:rsidRPr="5529AB18">
        <w:rPr>
          <w:rFonts w:ascii="Calibri" w:hAnsi="Calibri" w:cs="Calibri"/>
          <w:sz w:val="24"/>
          <w:szCs w:val="24"/>
        </w:rPr>
        <w:t>tools such as dashboards</w:t>
      </w:r>
      <w:r w:rsidR="00D9746D" w:rsidRPr="5529AB18">
        <w:rPr>
          <w:rFonts w:ascii="Calibri" w:hAnsi="Calibri" w:cs="Calibri"/>
          <w:sz w:val="24"/>
          <w:szCs w:val="24"/>
        </w:rPr>
        <w:t>, to evaluation performance across all areas of BDT’s work</w:t>
      </w:r>
      <w:r w:rsidRPr="5529AB18">
        <w:rPr>
          <w:rFonts w:ascii="Calibri" w:hAnsi="Calibri" w:cs="Calibri"/>
          <w:sz w:val="24"/>
          <w:szCs w:val="24"/>
        </w:rPr>
        <w:t xml:space="preserve">. </w:t>
      </w:r>
    </w:p>
    <w:p w14:paraId="676219D5" w14:textId="62976A96" w:rsidR="0068001D" w:rsidRDefault="0068001D" w:rsidP="00340FF7">
      <w:pPr>
        <w:pStyle w:val="CEONormal"/>
        <w:spacing w:before="120"/>
        <w:rPr>
          <w:rFonts w:ascii="Calibri" w:hAnsi="Calibri" w:cs="Calibri"/>
          <w:sz w:val="24"/>
          <w:szCs w:val="24"/>
        </w:rPr>
      </w:pPr>
      <w:r>
        <w:rPr>
          <w:rFonts w:ascii="Calibri" w:hAnsi="Calibri" w:cs="Calibri"/>
          <w:sz w:val="24"/>
          <w:szCs w:val="24"/>
        </w:rPr>
        <w:t xml:space="preserve">In receiving the reporting discussed above, TDAG also monitored </w:t>
      </w:r>
      <w:r w:rsidR="00333010">
        <w:rPr>
          <w:rFonts w:ascii="Calibri" w:hAnsi="Calibri" w:cs="Calibri"/>
          <w:sz w:val="24"/>
          <w:szCs w:val="24"/>
        </w:rPr>
        <w:t xml:space="preserve">financial management implemented by BDT </w:t>
      </w:r>
      <w:r>
        <w:rPr>
          <w:rFonts w:ascii="Calibri" w:hAnsi="Calibri" w:cs="Calibri"/>
          <w:sz w:val="24"/>
          <w:szCs w:val="24"/>
        </w:rPr>
        <w:t>and provided advice and guidance on financial matters arising</w:t>
      </w:r>
      <w:r w:rsidR="003B01A7">
        <w:rPr>
          <w:rFonts w:ascii="Calibri" w:hAnsi="Calibri" w:cs="Calibri"/>
          <w:sz w:val="24"/>
          <w:szCs w:val="24"/>
        </w:rPr>
        <w:t>.</w:t>
      </w:r>
    </w:p>
    <w:p w14:paraId="65E0DC66" w14:textId="4437A21C" w:rsidR="00C05490" w:rsidRDefault="1763EF43" w:rsidP="00340FF7">
      <w:pPr>
        <w:pStyle w:val="CEONormal"/>
        <w:spacing w:before="120"/>
        <w:rPr>
          <w:rFonts w:ascii="Calibri" w:hAnsi="Calibri" w:cs="Calibri"/>
          <w:sz w:val="24"/>
          <w:szCs w:val="24"/>
        </w:rPr>
      </w:pPr>
      <w:r w:rsidRPr="27676491">
        <w:rPr>
          <w:rFonts w:ascii="Calibri" w:hAnsi="Calibri" w:cs="Calibri"/>
          <w:sz w:val="24"/>
          <w:szCs w:val="24"/>
        </w:rPr>
        <w:t>TDAG</w:t>
      </w:r>
      <w:r w:rsidR="43A75676" w:rsidRPr="27676491">
        <w:rPr>
          <w:rFonts w:ascii="Calibri" w:hAnsi="Calibri" w:cs="Calibri"/>
          <w:sz w:val="24"/>
          <w:szCs w:val="24"/>
        </w:rPr>
        <w:t xml:space="preserve"> also</w:t>
      </w:r>
      <w:r w:rsidRPr="27676491">
        <w:rPr>
          <w:rFonts w:ascii="Calibri" w:hAnsi="Calibri" w:cs="Calibri"/>
          <w:sz w:val="24"/>
          <w:szCs w:val="24"/>
        </w:rPr>
        <w:t xml:space="preserve"> took note </w:t>
      </w:r>
      <w:r w:rsidR="43A75676" w:rsidRPr="27676491">
        <w:rPr>
          <w:rFonts w:ascii="Calibri" w:hAnsi="Calibri" w:cs="Calibri"/>
          <w:sz w:val="24"/>
          <w:szCs w:val="24"/>
        </w:rPr>
        <w:t xml:space="preserve">and commended </w:t>
      </w:r>
      <w:r w:rsidRPr="27676491">
        <w:rPr>
          <w:rFonts w:ascii="Calibri" w:hAnsi="Calibri" w:cs="Calibri"/>
          <w:sz w:val="24"/>
          <w:szCs w:val="24"/>
        </w:rPr>
        <w:t xml:space="preserve">the effective </w:t>
      </w:r>
      <w:r w:rsidR="61A4F6F5" w:rsidRPr="27676491">
        <w:rPr>
          <w:rFonts w:ascii="Calibri" w:hAnsi="Calibri" w:cs="Calibri"/>
          <w:sz w:val="24"/>
          <w:szCs w:val="24"/>
        </w:rPr>
        <w:t xml:space="preserve">and timely </w:t>
      </w:r>
      <w:r w:rsidRPr="27676491">
        <w:rPr>
          <w:rFonts w:ascii="Calibri" w:hAnsi="Calibri" w:cs="Calibri"/>
          <w:sz w:val="24"/>
          <w:szCs w:val="24"/>
        </w:rPr>
        <w:t xml:space="preserve">repurposing of BDT resources following the onset of the </w:t>
      </w:r>
      <w:r w:rsidR="27F19576" w:rsidRPr="27676491">
        <w:rPr>
          <w:rFonts w:ascii="Calibri" w:hAnsi="Calibri" w:cs="Calibri"/>
          <w:sz w:val="24"/>
          <w:szCs w:val="24"/>
        </w:rPr>
        <w:t>COVID</w:t>
      </w:r>
      <w:r w:rsidRPr="27676491">
        <w:rPr>
          <w:rFonts w:ascii="Calibri" w:hAnsi="Calibri" w:cs="Calibri"/>
          <w:sz w:val="24"/>
          <w:szCs w:val="24"/>
        </w:rPr>
        <w:t xml:space="preserve">-19 pandemic in </w:t>
      </w:r>
      <w:r w:rsidR="61A4F6F5" w:rsidRPr="27676491">
        <w:rPr>
          <w:rFonts w:ascii="Calibri" w:hAnsi="Calibri" w:cs="Calibri"/>
          <w:sz w:val="24"/>
          <w:szCs w:val="24"/>
        </w:rPr>
        <w:t>reviews of the 2020 performance of BDT, and in particular the increased direction of BDT funds toward the completion of activities in country.</w:t>
      </w:r>
    </w:p>
    <w:p w14:paraId="4628FF34" w14:textId="346E5912" w:rsidR="005265C8" w:rsidRDefault="1DA9CECC" w:rsidP="00340FF7">
      <w:pPr>
        <w:pStyle w:val="CEONormal"/>
        <w:spacing w:before="120"/>
        <w:rPr>
          <w:rFonts w:ascii="Calibri" w:hAnsi="Calibri" w:cs="Calibri"/>
          <w:sz w:val="24"/>
          <w:szCs w:val="24"/>
        </w:rPr>
      </w:pPr>
      <w:r w:rsidRPr="632A2ABB">
        <w:rPr>
          <w:rFonts w:ascii="Calibri" w:hAnsi="Calibri" w:cs="Calibri"/>
          <w:sz w:val="24"/>
          <w:szCs w:val="24"/>
        </w:rPr>
        <w:t xml:space="preserve">TDAG </w:t>
      </w:r>
      <w:r w:rsidR="40A4FCE6" w:rsidRPr="632A2ABB">
        <w:rPr>
          <w:rFonts w:ascii="Calibri" w:hAnsi="Calibri" w:cs="Calibri"/>
          <w:sz w:val="24"/>
          <w:szCs w:val="24"/>
        </w:rPr>
        <w:t>received</w:t>
      </w:r>
      <w:r w:rsidRPr="632A2ABB">
        <w:rPr>
          <w:rFonts w:ascii="Calibri" w:hAnsi="Calibri" w:cs="Calibri"/>
          <w:sz w:val="24"/>
          <w:szCs w:val="24"/>
        </w:rPr>
        <w:t xml:space="preserve"> regular updates on the progress of the Review of the Regional Presence conducted by independent consultants PwC, and was fully involved and engaged in the process of finalis</w:t>
      </w:r>
      <w:r w:rsidR="4BAA0572" w:rsidRPr="632A2ABB">
        <w:rPr>
          <w:rFonts w:ascii="Calibri" w:hAnsi="Calibri" w:cs="Calibri"/>
          <w:sz w:val="24"/>
          <w:szCs w:val="24"/>
        </w:rPr>
        <w:t>i</w:t>
      </w:r>
      <w:r w:rsidRPr="632A2ABB">
        <w:rPr>
          <w:rFonts w:ascii="Calibri" w:hAnsi="Calibri" w:cs="Calibri"/>
          <w:sz w:val="24"/>
          <w:szCs w:val="24"/>
        </w:rPr>
        <w:t xml:space="preserve">ng the report, ensuring that it met the </w:t>
      </w:r>
      <w:r w:rsidR="060F0F93" w:rsidRPr="632A2ABB">
        <w:rPr>
          <w:rFonts w:ascii="Calibri" w:hAnsi="Calibri" w:cs="Calibri"/>
          <w:sz w:val="24"/>
          <w:szCs w:val="24"/>
        </w:rPr>
        <w:t xml:space="preserve">objectives set by Council </w:t>
      </w:r>
      <w:r w:rsidR="40A4FCE6" w:rsidRPr="632A2ABB">
        <w:rPr>
          <w:rFonts w:ascii="Calibri" w:hAnsi="Calibri" w:cs="Calibri"/>
          <w:sz w:val="24"/>
          <w:szCs w:val="24"/>
        </w:rPr>
        <w:t xml:space="preserve">and </w:t>
      </w:r>
      <w:r w:rsidRPr="632A2ABB">
        <w:rPr>
          <w:rFonts w:ascii="Calibri" w:hAnsi="Calibri" w:cs="Calibri"/>
          <w:sz w:val="24"/>
          <w:szCs w:val="24"/>
        </w:rPr>
        <w:t xml:space="preserve">advised the BDT Director </w:t>
      </w:r>
      <w:r w:rsidR="40A4FCE6" w:rsidRPr="632A2ABB">
        <w:rPr>
          <w:rFonts w:ascii="Calibri" w:hAnsi="Calibri" w:cs="Calibri"/>
          <w:sz w:val="24"/>
          <w:szCs w:val="24"/>
        </w:rPr>
        <w:t>accordingly.</w:t>
      </w:r>
    </w:p>
    <w:p w14:paraId="73EB543E" w14:textId="10689003" w:rsidR="0014696D" w:rsidRDefault="0014696D" w:rsidP="00340FF7">
      <w:pPr>
        <w:pStyle w:val="CEONormal"/>
        <w:spacing w:before="120"/>
        <w:rPr>
          <w:rFonts w:ascii="Calibri" w:hAnsi="Calibri" w:cs="Calibri"/>
          <w:sz w:val="24"/>
          <w:szCs w:val="24"/>
        </w:rPr>
      </w:pPr>
      <w:r>
        <w:rPr>
          <w:rFonts w:ascii="Calibri" w:hAnsi="Calibri" w:cs="Calibri"/>
          <w:sz w:val="24"/>
          <w:szCs w:val="24"/>
        </w:rPr>
        <w:t xml:space="preserve">TDAG also received reports and advised the BDT Director on the forensic investigation ongoing </w:t>
      </w:r>
      <w:r w:rsidR="005B46E6">
        <w:rPr>
          <w:rFonts w:ascii="Calibri" w:hAnsi="Calibri" w:cs="Calibri"/>
          <w:sz w:val="24"/>
          <w:szCs w:val="24"/>
        </w:rPr>
        <w:t>related to the matters which arose in ITU’s Regional Office for Asia and the Pacific.</w:t>
      </w:r>
    </w:p>
    <w:p w14:paraId="25E71FBF" w14:textId="77777777" w:rsidR="00932065" w:rsidRPr="00BD3713" w:rsidRDefault="00932065" w:rsidP="00017104">
      <w:pPr>
        <w:pStyle w:val="Heading1"/>
        <w:ind w:left="567" w:hanging="567"/>
        <w:contextualSpacing w:val="0"/>
      </w:pPr>
      <w:bookmarkStart w:id="138" w:name="_Toc460838088"/>
      <w:bookmarkStart w:id="139" w:name="_Toc85818115"/>
      <w:r w:rsidRPr="00B34555">
        <w:t>Cooperation and Collaboration</w:t>
      </w:r>
      <w:bookmarkEnd w:id="138"/>
      <w:bookmarkEnd w:id="139"/>
      <w:r w:rsidRPr="00B34555">
        <w:t xml:space="preserve"> </w:t>
      </w:r>
    </w:p>
    <w:p w14:paraId="493B0503" w14:textId="786B9177" w:rsidR="002F10B6" w:rsidRPr="002F10B6" w:rsidRDefault="03C19138" w:rsidP="002F10B6">
      <w:pPr>
        <w:tabs>
          <w:tab w:val="clear" w:pos="1134"/>
          <w:tab w:val="clear" w:pos="1871"/>
          <w:tab w:val="left" w:pos="426"/>
        </w:tabs>
        <w:rPr>
          <w:b/>
          <w:bCs/>
        </w:rPr>
      </w:pPr>
      <w:r w:rsidRPr="0DF2EF04">
        <w:rPr>
          <w:b/>
          <w:bCs/>
        </w:rPr>
        <w:t xml:space="preserve">Inter-Sector Coordination </w:t>
      </w:r>
      <w:r w:rsidR="387FB0F0" w:rsidRPr="0DF2EF04">
        <w:rPr>
          <w:b/>
          <w:bCs/>
        </w:rPr>
        <w:t xml:space="preserve">Group </w:t>
      </w:r>
      <w:r w:rsidRPr="0DF2EF04">
        <w:rPr>
          <w:b/>
          <w:bCs/>
        </w:rPr>
        <w:t>on Issues of Mutual Interest (ISC</w:t>
      </w:r>
      <w:r w:rsidR="4FAC43E5" w:rsidRPr="0DF2EF04">
        <w:rPr>
          <w:b/>
          <w:bCs/>
        </w:rPr>
        <w:t>G</w:t>
      </w:r>
      <w:r w:rsidRPr="0DF2EF04">
        <w:rPr>
          <w:b/>
          <w:bCs/>
        </w:rPr>
        <w:t>)</w:t>
      </w:r>
    </w:p>
    <w:p w14:paraId="0229BCDD" w14:textId="2298A8E6" w:rsidR="00DC11AA" w:rsidRDefault="58CED837" w:rsidP="0DF2EF04">
      <w:r w:rsidRPr="0DF2EF04">
        <w:rPr>
          <w:rFonts w:ascii="Calibri" w:eastAsia="Calibri" w:hAnsi="Calibri" w:cs="Calibri"/>
          <w:szCs w:val="24"/>
        </w:rPr>
        <w:t xml:space="preserve">The </w:t>
      </w:r>
      <w:hyperlink r:id="rId88" w:history="1">
        <w:r w:rsidRPr="0DF2EF04">
          <w:rPr>
            <w:rFonts w:ascii="Calibri" w:eastAsia="Calibri" w:hAnsi="Calibri" w:cs="Calibri"/>
            <w:szCs w:val="24"/>
          </w:rPr>
          <w:t>Inter-Sector Coordination Group (ISCG)</w:t>
        </w:r>
      </w:hyperlink>
      <w:r w:rsidRPr="0DF2EF04">
        <w:rPr>
          <w:rFonts w:ascii="Calibri" w:eastAsia="Calibri" w:hAnsi="Calibri" w:cs="Calibri"/>
          <w:szCs w:val="24"/>
        </w:rPr>
        <w:t xml:space="preserve"> on issues of mutual interest, which is composed by representatives of the Radiocommunication Advisory Group (RAG), the Telecommunication Standardization Advisory Group (TSAG) and the Telecommunication Development Advisory Group (TDAG), works to identify subjects common to the three Sectors and the General Secretariat, and mechanisms to enhance cooperation and collaboration in all Sectors on matters of mutual interest, in order to avoid duplication of effort and optimize the use of resources of the Union, in line with </w:t>
      </w:r>
      <w:hyperlink r:id="rId89" w:history="1">
        <w:r w:rsidRPr="0DF2EF04">
          <w:rPr>
            <w:rFonts w:ascii="Calibri" w:eastAsia="Calibri" w:hAnsi="Calibri" w:cs="Calibri"/>
            <w:szCs w:val="24"/>
          </w:rPr>
          <w:t>Resolution 191 (Rev. Dubai, 2018)</w:t>
        </w:r>
      </w:hyperlink>
      <w:r w:rsidRPr="0DF2EF04">
        <w:rPr>
          <w:rFonts w:ascii="Calibri" w:eastAsia="Calibri" w:hAnsi="Calibri" w:cs="Calibri"/>
          <w:szCs w:val="24"/>
        </w:rPr>
        <w:t xml:space="preserve">. </w:t>
      </w:r>
    </w:p>
    <w:p w14:paraId="6FE2C9A6" w14:textId="30FAFE12" w:rsidR="00DC11AA" w:rsidRDefault="58CED837" w:rsidP="0DF2EF04">
      <w:r w:rsidRPr="0DF2EF04">
        <w:rPr>
          <w:rFonts w:ascii="Calibri" w:eastAsia="Calibri" w:hAnsi="Calibri" w:cs="Calibri"/>
          <w:szCs w:val="24"/>
        </w:rPr>
        <w:t xml:space="preserve">The ISCG considers current and new activities and their distribution among ITU-R, ITU-T and ITU-D for approval by the ITU Member States in accordance with the procedures for approval of new and revised Questions. It also considers the reports by the three Directors and the </w:t>
      </w:r>
      <w:r w:rsidRPr="0DF2EF04">
        <w:rPr>
          <w:rFonts w:ascii="Calibri" w:eastAsia="Calibri" w:hAnsi="Calibri" w:cs="Calibri"/>
          <w:szCs w:val="24"/>
        </w:rPr>
        <w:lastRenderedPageBreak/>
        <w:t>Inter-Sectoral Coordination Task Force (ISC-TF) on options for improving cooperation at the secretariat level to ensure that close coordination is maximized.</w:t>
      </w:r>
    </w:p>
    <w:p w14:paraId="2B9C4CE0" w14:textId="142C7104" w:rsidR="00DC11AA" w:rsidRDefault="58CED837" w:rsidP="000F4BE8">
      <w:pPr>
        <w:keepNext/>
        <w:spacing w:line="259" w:lineRule="auto"/>
        <w:rPr>
          <w:rFonts w:ascii="Calibri" w:hAnsi="Calibri"/>
          <w:szCs w:val="24"/>
        </w:rPr>
      </w:pPr>
      <w:r w:rsidRPr="0DF2EF04">
        <w:rPr>
          <w:rFonts w:ascii="Calibri" w:eastAsia="Calibri" w:hAnsi="Calibri" w:cs="Calibri"/>
          <w:szCs w:val="24"/>
        </w:rPr>
        <w:t xml:space="preserve">The Group used to meet back-to-back with one of the advisory groups, </w:t>
      </w:r>
      <w:proofErr w:type="gramStart"/>
      <w:r w:rsidRPr="0DF2EF04">
        <w:rPr>
          <w:rFonts w:ascii="Calibri" w:eastAsia="Calibri" w:hAnsi="Calibri" w:cs="Calibri"/>
          <w:szCs w:val="24"/>
        </w:rPr>
        <w:t>as long as</w:t>
      </w:r>
      <w:proofErr w:type="gramEnd"/>
      <w:r w:rsidRPr="0DF2EF04">
        <w:rPr>
          <w:rFonts w:ascii="Calibri" w:eastAsia="Calibri" w:hAnsi="Calibri" w:cs="Calibri"/>
          <w:szCs w:val="24"/>
        </w:rPr>
        <w:t xml:space="preserve"> meetings were physical.  Moving to the virtual world has allowed the group to hold more frequent stand-alone meetings over the last 18 months.  ISCG has met six times since WTDC-17:</w:t>
      </w:r>
    </w:p>
    <w:p w14:paraId="08633D67" w14:textId="4E75EF2E" w:rsidR="00DC11AA" w:rsidRDefault="58CED837" w:rsidP="00947B30">
      <w:pPr>
        <w:pStyle w:val="ListParagraph"/>
        <w:numPr>
          <w:ilvl w:val="0"/>
          <w:numId w:val="3"/>
        </w:numPr>
        <w:spacing w:before="60"/>
        <w:ind w:left="567" w:hanging="567"/>
        <w:contextualSpacing w:val="0"/>
        <w:rPr>
          <w:rFonts w:eastAsiaTheme="minorEastAsia" w:cstheme="minorBidi"/>
          <w:szCs w:val="24"/>
        </w:rPr>
      </w:pPr>
      <w:r w:rsidRPr="0DF2EF04">
        <w:rPr>
          <w:rFonts w:ascii="Calibri" w:eastAsia="Calibri" w:hAnsi="Calibri" w:cs="Calibri"/>
          <w:szCs w:val="24"/>
        </w:rPr>
        <w:t>9 April 2018</w:t>
      </w:r>
    </w:p>
    <w:p w14:paraId="28A3AAE3" w14:textId="6BBBD058" w:rsidR="00DC11AA" w:rsidRDefault="58CED837" w:rsidP="00947B30">
      <w:pPr>
        <w:pStyle w:val="ListParagraph"/>
        <w:numPr>
          <w:ilvl w:val="0"/>
          <w:numId w:val="3"/>
        </w:numPr>
        <w:spacing w:before="60"/>
        <w:ind w:left="567" w:hanging="567"/>
        <w:contextualSpacing w:val="0"/>
        <w:rPr>
          <w:szCs w:val="24"/>
        </w:rPr>
      </w:pPr>
      <w:r w:rsidRPr="0DF2EF04">
        <w:rPr>
          <w:rFonts w:ascii="Calibri" w:eastAsia="Calibri" w:hAnsi="Calibri" w:cs="Calibri"/>
          <w:szCs w:val="24"/>
        </w:rPr>
        <w:t>4 April 2019</w:t>
      </w:r>
    </w:p>
    <w:p w14:paraId="0C608143" w14:textId="3FDD7162" w:rsidR="00DC11AA" w:rsidRDefault="58CED837" w:rsidP="00947B30">
      <w:pPr>
        <w:pStyle w:val="ListParagraph"/>
        <w:numPr>
          <w:ilvl w:val="0"/>
          <w:numId w:val="3"/>
        </w:numPr>
        <w:spacing w:before="60"/>
        <w:ind w:left="567" w:hanging="567"/>
        <w:contextualSpacing w:val="0"/>
        <w:rPr>
          <w:szCs w:val="24"/>
        </w:rPr>
      </w:pPr>
      <w:r w:rsidRPr="0DF2EF04">
        <w:rPr>
          <w:rFonts w:ascii="Calibri" w:eastAsia="Calibri" w:hAnsi="Calibri" w:cs="Calibri"/>
          <w:szCs w:val="24"/>
        </w:rPr>
        <w:t>25 September 2019</w:t>
      </w:r>
    </w:p>
    <w:p w14:paraId="37EA566F" w14:textId="18714C31" w:rsidR="00DC11AA" w:rsidRDefault="58CED837" w:rsidP="00947B30">
      <w:pPr>
        <w:pStyle w:val="ListParagraph"/>
        <w:numPr>
          <w:ilvl w:val="0"/>
          <w:numId w:val="3"/>
        </w:numPr>
        <w:spacing w:before="60"/>
        <w:ind w:left="567" w:hanging="567"/>
        <w:contextualSpacing w:val="0"/>
        <w:rPr>
          <w:szCs w:val="24"/>
        </w:rPr>
      </w:pPr>
      <w:r w:rsidRPr="0DF2EF04">
        <w:rPr>
          <w:rFonts w:ascii="Calibri" w:eastAsia="Calibri" w:hAnsi="Calibri" w:cs="Calibri"/>
          <w:szCs w:val="24"/>
        </w:rPr>
        <w:t>1 June 2020</w:t>
      </w:r>
    </w:p>
    <w:p w14:paraId="41754B72" w14:textId="0656BEC6" w:rsidR="00DC11AA" w:rsidRDefault="58CED837" w:rsidP="00947B30">
      <w:pPr>
        <w:pStyle w:val="ListParagraph"/>
        <w:numPr>
          <w:ilvl w:val="0"/>
          <w:numId w:val="3"/>
        </w:numPr>
        <w:spacing w:before="60"/>
        <w:ind w:left="567" w:hanging="567"/>
        <w:contextualSpacing w:val="0"/>
        <w:rPr>
          <w:szCs w:val="24"/>
        </w:rPr>
      </w:pPr>
      <w:r w:rsidRPr="0DF2EF04">
        <w:rPr>
          <w:rFonts w:ascii="Calibri" w:eastAsia="Calibri" w:hAnsi="Calibri" w:cs="Calibri"/>
          <w:szCs w:val="24"/>
        </w:rPr>
        <w:t>12 March 2021</w:t>
      </w:r>
    </w:p>
    <w:p w14:paraId="0D630CCD" w14:textId="2F555FE7" w:rsidR="00DC11AA" w:rsidRDefault="58CED837" w:rsidP="00947B30">
      <w:pPr>
        <w:pStyle w:val="ListParagraph"/>
        <w:numPr>
          <w:ilvl w:val="0"/>
          <w:numId w:val="3"/>
        </w:numPr>
        <w:spacing w:before="60"/>
        <w:ind w:left="567" w:hanging="567"/>
        <w:contextualSpacing w:val="0"/>
        <w:rPr>
          <w:szCs w:val="24"/>
        </w:rPr>
      </w:pPr>
      <w:r w:rsidRPr="0DF2EF04">
        <w:rPr>
          <w:rFonts w:ascii="Calibri" w:eastAsia="Calibri" w:hAnsi="Calibri" w:cs="Calibri"/>
          <w:szCs w:val="24"/>
        </w:rPr>
        <w:t>1 September 2021</w:t>
      </w:r>
    </w:p>
    <w:p w14:paraId="13C5E3EF" w14:textId="212C1537" w:rsidR="00DC11AA" w:rsidRDefault="58CED837" w:rsidP="0DF2EF04">
      <w:pPr>
        <w:rPr>
          <w:rFonts w:ascii="Calibri" w:hAnsi="Calibri"/>
          <w:szCs w:val="24"/>
        </w:rPr>
      </w:pPr>
      <w:r w:rsidRPr="0DF2EF04">
        <w:rPr>
          <w:rFonts w:ascii="Calibri" w:eastAsia="Calibri" w:hAnsi="Calibri" w:cs="Calibri"/>
          <w:szCs w:val="24"/>
        </w:rPr>
        <w:t xml:space="preserve">Over these </w:t>
      </w:r>
      <w:r w:rsidR="000F4BE8">
        <w:rPr>
          <w:rFonts w:ascii="Calibri" w:eastAsia="Calibri" w:hAnsi="Calibri" w:cs="Calibri"/>
          <w:szCs w:val="24"/>
        </w:rPr>
        <w:t xml:space="preserve">six </w:t>
      </w:r>
      <w:r w:rsidRPr="0DF2EF04">
        <w:rPr>
          <w:rFonts w:ascii="Calibri" w:eastAsia="Calibri" w:hAnsi="Calibri" w:cs="Calibri"/>
          <w:szCs w:val="24"/>
        </w:rPr>
        <w:t xml:space="preserve">meetings, the Group has agreed on a procedure to update the mappings of common interest areas of work between study groups in each of the Sectors.  The said mappings are available on the </w:t>
      </w:r>
      <w:hyperlink r:id="rId90" w:history="1">
        <w:r w:rsidRPr="0DF2EF04">
          <w:rPr>
            <w:rFonts w:ascii="Calibri" w:eastAsia="Calibri" w:hAnsi="Calibri" w:cs="Calibri"/>
            <w:szCs w:val="24"/>
          </w:rPr>
          <w:t>website of the group</w:t>
        </w:r>
      </w:hyperlink>
      <w:r w:rsidRPr="0DF2EF04">
        <w:rPr>
          <w:rFonts w:ascii="Calibri" w:eastAsia="Calibri" w:hAnsi="Calibri" w:cs="Calibri"/>
          <w:szCs w:val="24"/>
        </w:rPr>
        <w:t>.  These mappings are intended to facilitate and avoid duplication in the work of the Bureaux.</w:t>
      </w:r>
    </w:p>
    <w:p w14:paraId="53398A71" w14:textId="49707680" w:rsidR="00DC11AA" w:rsidRDefault="58CED837" w:rsidP="0DF2EF04">
      <w:pPr>
        <w:rPr>
          <w:rFonts w:ascii="Calibri" w:hAnsi="Calibri"/>
          <w:szCs w:val="24"/>
        </w:rPr>
      </w:pPr>
      <w:r w:rsidRPr="0DF2EF04">
        <w:rPr>
          <w:rFonts w:ascii="Calibri" w:eastAsia="Calibri" w:hAnsi="Calibri" w:cs="Calibri"/>
          <w:szCs w:val="24"/>
        </w:rPr>
        <w:t>The Group has been following the collaboration and coordination efforts of the three Sectors in terms of its events.</w:t>
      </w:r>
    </w:p>
    <w:p w14:paraId="62DA449E" w14:textId="690F7591" w:rsidR="00DC11AA" w:rsidRDefault="58CED837" w:rsidP="0DF2EF04">
      <w:pPr>
        <w:rPr>
          <w:rFonts w:ascii="Calibri" w:hAnsi="Calibri"/>
          <w:szCs w:val="24"/>
        </w:rPr>
      </w:pPr>
      <w:r w:rsidRPr="0DF2EF04">
        <w:rPr>
          <w:rFonts w:ascii="Calibri" w:eastAsia="Calibri" w:hAnsi="Calibri" w:cs="Calibri"/>
          <w:szCs w:val="24"/>
        </w:rPr>
        <w:t xml:space="preserve">Members of the Group have been attentive to the way each Bureau handles access to </w:t>
      </w:r>
      <w:r w:rsidR="000F4BE8">
        <w:rPr>
          <w:rFonts w:ascii="Calibri" w:eastAsia="Calibri" w:hAnsi="Calibri" w:cs="Calibri"/>
          <w:szCs w:val="24"/>
        </w:rPr>
        <w:t>the ISCG’s</w:t>
      </w:r>
      <w:r w:rsidRPr="0DF2EF04">
        <w:rPr>
          <w:rFonts w:ascii="Calibri" w:eastAsia="Calibri" w:hAnsi="Calibri" w:cs="Calibri"/>
          <w:szCs w:val="24"/>
        </w:rPr>
        <w:t xml:space="preserve"> website and have requested that this approach be standardized in order to facilitate access.</w:t>
      </w:r>
    </w:p>
    <w:p w14:paraId="65EDA5BD" w14:textId="5FFFA366" w:rsidR="00DC11AA" w:rsidRDefault="58CED837" w:rsidP="0DF2EF04">
      <w:pPr>
        <w:rPr>
          <w:rFonts w:ascii="Calibri" w:eastAsia="Calibri" w:hAnsi="Calibri" w:cs="Calibri"/>
          <w:szCs w:val="24"/>
        </w:rPr>
      </w:pPr>
      <w:r w:rsidRPr="0DF2EF04">
        <w:rPr>
          <w:rFonts w:ascii="Calibri" w:eastAsia="Calibri" w:hAnsi="Calibri" w:cs="Calibri"/>
          <w:szCs w:val="24"/>
        </w:rPr>
        <w:t>The translation into the six official languages of the Union of the first level webpages for the three Sectors is also a topic that the Group follow closely and is regularly discussed at its meetings.</w:t>
      </w:r>
    </w:p>
    <w:p w14:paraId="504432A1" w14:textId="0B5B8B4A" w:rsidR="00DC11AA" w:rsidRDefault="58CED837" w:rsidP="0DF2EF04">
      <w:pPr>
        <w:rPr>
          <w:rFonts w:ascii="Calibri" w:eastAsia="Calibri" w:hAnsi="Calibri" w:cs="Calibri"/>
          <w:szCs w:val="24"/>
        </w:rPr>
      </w:pPr>
      <w:r w:rsidRPr="0DF2EF04">
        <w:rPr>
          <w:rFonts w:ascii="Calibri" w:eastAsia="Calibri" w:hAnsi="Calibri" w:cs="Calibri"/>
          <w:szCs w:val="24"/>
        </w:rPr>
        <w:t xml:space="preserve">The group agreed to select </w:t>
      </w:r>
      <w:proofErr w:type="gramStart"/>
      <w:r w:rsidRPr="0DF2EF04">
        <w:rPr>
          <w:rFonts w:ascii="Calibri" w:eastAsia="Calibri" w:hAnsi="Calibri" w:cs="Calibri"/>
          <w:szCs w:val="24"/>
        </w:rPr>
        <w:t>a number of</w:t>
      </w:r>
      <w:proofErr w:type="gramEnd"/>
      <w:r w:rsidRPr="0DF2EF04">
        <w:rPr>
          <w:rFonts w:ascii="Calibri" w:eastAsia="Calibri" w:hAnsi="Calibri" w:cs="Calibri"/>
          <w:szCs w:val="24"/>
        </w:rPr>
        <w:t xml:space="preserve"> topics to serve as pilots for inter-Sectoral cooperation.  The first such topic was climate change, with accessibility having been more recently added to the list.  Sectors have been successfully cooperating on these two topics.  Conformance and Interoperability was discussed at the last meeting of the group as the newest topic to be added to the mentioned list, but no decision was taken.</w:t>
      </w:r>
    </w:p>
    <w:p w14:paraId="2A9B8B27" w14:textId="003A1E87" w:rsidR="00DC11AA" w:rsidRDefault="58CED837" w:rsidP="0DF2EF04">
      <w:pPr>
        <w:rPr>
          <w:rFonts w:ascii="Calibri" w:eastAsia="Calibri" w:hAnsi="Calibri" w:cs="Calibri"/>
          <w:szCs w:val="24"/>
        </w:rPr>
      </w:pPr>
      <w:r w:rsidRPr="0DF2EF04">
        <w:rPr>
          <w:rFonts w:ascii="Calibri" w:eastAsia="Calibri" w:hAnsi="Calibri" w:cs="Calibri"/>
          <w:szCs w:val="24"/>
        </w:rPr>
        <w:t>The activities of this Group are now closely linked with those of the Inter-Sectoral Task Force (IS-TF), a task force working within the Secretariat which also intends to coordinate and streamline the work of the Bureaux and departments.</w:t>
      </w:r>
    </w:p>
    <w:p w14:paraId="517ADF08" w14:textId="6B05E948" w:rsidR="00DC11AA" w:rsidRDefault="58CED837" w:rsidP="0DF2EF04">
      <w:pPr>
        <w:rPr>
          <w:rFonts w:ascii="Calibri" w:hAnsi="Calibri"/>
          <w:szCs w:val="24"/>
        </w:rPr>
      </w:pPr>
      <w:r w:rsidRPr="0DF2EF04">
        <w:rPr>
          <w:rFonts w:ascii="Calibri" w:hAnsi="Calibri"/>
          <w:szCs w:val="24"/>
        </w:rPr>
        <w:t>Possible themes for ISCG to consider in the future are:</w:t>
      </w:r>
    </w:p>
    <w:p w14:paraId="0165D861" w14:textId="791F6B6F" w:rsidR="00DC11AA" w:rsidRDefault="58CED837" w:rsidP="00947B30">
      <w:pPr>
        <w:pStyle w:val="ListParagraph"/>
        <w:numPr>
          <w:ilvl w:val="0"/>
          <w:numId w:val="1"/>
        </w:numPr>
        <w:spacing w:before="60"/>
        <w:ind w:left="567" w:hanging="567"/>
        <w:contextualSpacing w:val="0"/>
        <w:rPr>
          <w:rFonts w:eastAsiaTheme="minorEastAsia" w:cstheme="minorBidi"/>
          <w:szCs w:val="24"/>
        </w:rPr>
      </w:pPr>
      <w:r w:rsidRPr="0DF2EF04">
        <w:rPr>
          <w:rFonts w:ascii="Calibri" w:eastAsia="Calibri" w:hAnsi="Calibri" w:cs="Calibri"/>
          <w:szCs w:val="24"/>
        </w:rPr>
        <w:t>resource sharing implications of inter-sectoral activities;</w:t>
      </w:r>
    </w:p>
    <w:p w14:paraId="33181363" w14:textId="4A277420" w:rsidR="00DC11AA" w:rsidRDefault="58CED837" w:rsidP="00947B30">
      <w:pPr>
        <w:pStyle w:val="ListParagraph"/>
        <w:numPr>
          <w:ilvl w:val="0"/>
          <w:numId w:val="1"/>
        </w:numPr>
        <w:spacing w:before="60"/>
        <w:ind w:left="567" w:hanging="567"/>
        <w:contextualSpacing w:val="0"/>
        <w:rPr>
          <w:rFonts w:eastAsiaTheme="minorEastAsia" w:cstheme="minorBidi"/>
          <w:szCs w:val="24"/>
        </w:rPr>
      </w:pPr>
      <w:r w:rsidRPr="0DF2EF04">
        <w:rPr>
          <w:rFonts w:ascii="Calibri" w:eastAsia="Calibri" w:hAnsi="Calibri" w:cs="Calibri"/>
          <w:szCs w:val="24"/>
        </w:rPr>
        <w:t>harmonizing the way to access and to share documents on intersectoral activities among the three Sectors, with Ties Account, independently of the members’ category and/or affiliation. The ISCG Secretariat will develop guidelines for all Counsellors to refer properly to documents on intersectoral activities;</w:t>
      </w:r>
    </w:p>
    <w:p w14:paraId="32151623" w14:textId="0F995940" w:rsidR="00DC11AA" w:rsidRDefault="58CED837" w:rsidP="00947B30">
      <w:pPr>
        <w:pStyle w:val="ListParagraph"/>
        <w:numPr>
          <w:ilvl w:val="0"/>
          <w:numId w:val="1"/>
        </w:numPr>
        <w:spacing w:before="60"/>
        <w:ind w:left="567" w:hanging="567"/>
        <w:contextualSpacing w:val="0"/>
        <w:rPr>
          <w:rFonts w:eastAsiaTheme="minorEastAsia" w:cstheme="minorBidi"/>
          <w:szCs w:val="24"/>
        </w:rPr>
      </w:pPr>
      <w:r w:rsidRPr="0DF2EF04">
        <w:rPr>
          <w:rFonts w:ascii="Calibri" w:eastAsia="Calibri" w:hAnsi="Calibri" w:cs="Calibri"/>
          <w:szCs w:val="24"/>
        </w:rPr>
        <w:t>the RAG representative commented on a proposal done during the last RAG meeting on how to harmonize guidelines to indicate the main achievements/deliverables by the ITU-R and ITU-T Sectors to be addressed to ITU-D in support of their activities, on the topics which are of particular interest for developing countries.</w:t>
      </w:r>
    </w:p>
    <w:p w14:paraId="40E74231" w14:textId="4B314BA7" w:rsidR="00AF3BD4" w:rsidRDefault="00565EBE" w:rsidP="00947B30">
      <w:pPr>
        <w:spacing w:before="0"/>
        <w:jc w:val="center"/>
      </w:pPr>
      <w:r w:rsidRPr="00F82176">
        <w:rPr>
          <w:szCs w:val="24"/>
        </w:rPr>
        <w:t>_______________</w:t>
      </w:r>
    </w:p>
    <w:sectPr w:rsidR="00AF3BD4" w:rsidSect="007A5D37">
      <w:type w:val="continuous"/>
      <w:pgSz w:w="11907" w:h="16840" w:code="9"/>
      <w:pgMar w:top="1418" w:right="1559"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8912" w14:textId="77777777" w:rsidR="001B769C" w:rsidRDefault="001B769C">
      <w:r>
        <w:separator/>
      </w:r>
    </w:p>
  </w:endnote>
  <w:endnote w:type="continuationSeparator" w:id="0">
    <w:p w14:paraId="55FEDC9A" w14:textId="77777777" w:rsidR="001B769C" w:rsidRDefault="001B769C">
      <w:r>
        <w:continuationSeparator/>
      </w:r>
    </w:p>
  </w:endnote>
  <w:endnote w:type="continuationNotice" w:id="1">
    <w:p w14:paraId="1EEF7A0E" w14:textId="77777777" w:rsidR="001B769C" w:rsidRDefault="001B76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932F" w14:textId="77777777" w:rsidR="00C60EF9" w:rsidRDefault="00C60EF9">
    <w:pPr>
      <w:framePr w:wrap="around" w:vAnchor="text" w:hAnchor="margin" w:xAlign="right" w:y="1"/>
    </w:pPr>
    <w:r>
      <w:fldChar w:fldCharType="begin"/>
    </w:r>
    <w:r>
      <w:instrText xml:space="preserve">PAGE  </w:instrText>
    </w:r>
    <w:r>
      <w:fldChar w:fldCharType="end"/>
    </w:r>
  </w:p>
  <w:p w14:paraId="463A7BB8" w14:textId="74EA0EA2" w:rsidR="00C60EF9" w:rsidRPr="00BF0BF0" w:rsidRDefault="00C60EF9">
    <w:pPr>
      <w:ind w:right="360"/>
      <w:rPr>
        <w:lang w:val="fr-CH"/>
      </w:rPr>
    </w:pPr>
    <w:r>
      <w:fldChar w:fldCharType="begin"/>
    </w:r>
    <w:r w:rsidRPr="00BF0BF0">
      <w:rPr>
        <w:lang w:val="fr-CH"/>
      </w:rPr>
      <w:instrText xml:space="preserve"> FILENAME \p  \* MERGEFORMAT </w:instrText>
    </w:r>
    <w:r>
      <w:fldChar w:fldCharType="separate"/>
    </w:r>
    <w:r w:rsidRPr="00BF0BF0">
      <w:rPr>
        <w:noProof/>
        <w:lang w:val="fr-CH"/>
      </w:rPr>
      <w:t>C:\Users\torigoe\Documents\01 TDAG-17\Documents\D14-TDAG22-170509-TD-0009!R1 v6.docx</w:t>
    </w:r>
    <w:r>
      <w:fldChar w:fldCharType="end"/>
    </w:r>
    <w:r w:rsidRPr="00BF0BF0">
      <w:rPr>
        <w:lang w:val="fr-CH"/>
      </w:rPr>
      <w:tab/>
    </w:r>
    <w:r>
      <w:fldChar w:fldCharType="begin"/>
    </w:r>
    <w:r>
      <w:instrText xml:space="preserve"> SAVEDATE \@ DD.MM.YY </w:instrText>
    </w:r>
    <w:r>
      <w:fldChar w:fldCharType="separate"/>
    </w:r>
    <w:r w:rsidR="00644B53">
      <w:rPr>
        <w:noProof/>
      </w:rPr>
      <w:t>08.11.21</w:t>
    </w:r>
    <w:r>
      <w:fldChar w:fldCharType="end"/>
    </w:r>
    <w:r w:rsidRPr="00BF0BF0">
      <w:rPr>
        <w:lang w:val="fr-CH"/>
      </w:rPr>
      <w:tab/>
    </w:r>
    <w:r>
      <w:fldChar w:fldCharType="begin"/>
    </w:r>
    <w:r>
      <w:instrText xml:space="preserve"> PRINTDATE \@ DD.MM.YY </w:instrText>
    </w:r>
    <w:r>
      <w:fldChar w:fldCharType="separate"/>
    </w:r>
    <w:r>
      <w:rPr>
        <w:noProof/>
      </w:rPr>
      <w:t>11.05.17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C6048" w14:textId="77777777" w:rsidR="00644B53" w:rsidRDefault="00644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DF31" w14:textId="77777777" w:rsidR="00CD53ED" w:rsidRPr="00A925ED" w:rsidRDefault="00CD53ED" w:rsidP="00CD53ED">
    <w:pPr>
      <w:rPr>
        <w:sz w:val="16"/>
        <w:szCs w:val="16"/>
      </w:rPr>
    </w:pPr>
  </w:p>
  <w:tbl>
    <w:tblPr>
      <w:tblW w:w="9923" w:type="dxa"/>
      <w:tblLayout w:type="fixed"/>
      <w:tblLook w:val="04A0" w:firstRow="1" w:lastRow="0" w:firstColumn="1" w:lastColumn="0" w:noHBand="0" w:noVBand="1"/>
    </w:tblPr>
    <w:tblGrid>
      <w:gridCol w:w="1526"/>
      <w:gridCol w:w="2410"/>
      <w:gridCol w:w="5987"/>
    </w:tblGrid>
    <w:tr w:rsidR="00CD53ED" w:rsidRPr="001B09A2" w14:paraId="6F1A50FF" w14:textId="77777777" w:rsidTr="007A15FE">
      <w:tc>
        <w:tcPr>
          <w:tcW w:w="1526" w:type="dxa"/>
          <w:tcBorders>
            <w:top w:val="single" w:sz="4" w:space="0" w:color="000000" w:themeColor="text1"/>
          </w:tcBorders>
        </w:tcPr>
        <w:p w14:paraId="545A39E2" w14:textId="77777777" w:rsidR="00CD53ED" w:rsidRPr="004D495C" w:rsidRDefault="00CD53ED" w:rsidP="00CD53ED">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46B8033" w14:textId="77777777" w:rsidR="00CD53ED" w:rsidRPr="004D495C" w:rsidRDefault="00CD53ED" w:rsidP="00CD53ED">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4B21E9FC" w14:textId="77777777" w:rsidR="00CD53ED" w:rsidRPr="0028390B" w:rsidRDefault="00CD53ED" w:rsidP="00CD53ED">
          <w:pPr>
            <w:pStyle w:val="FirstFooter"/>
            <w:tabs>
              <w:tab w:val="left" w:pos="2302"/>
            </w:tabs>
            <w:rPr>
              <w:sz w:val="18"/>
              <w:szCs w:val="18"/>
              <w:highlight w:val="yellow"/>
              <w:lang w:val="en-US"/>
            </w:rPr>
          </w:pPr>
          <w:proofErr w:type="spellStart"/>
          <w:r w:rsidRPr="00537B1C">
            <w:rPr>
              <w:sz w:val="18"/>
              <w:szCs w:val="18"/>
              <w:lang w:val="en-US"/>
            </w:rPr>
            <w:t>Ms</w:t>
          </w:r>
          <w:proofErr w:type="spellEnd"/>
          <w:r w:rsidRPr="00537B1C">
            <w:rPr>
              <w:sz w:val="18"/>
              <w:szCs w:val="18"/>
              <w:lang w:val="en-US"/>
            </w:rPr>
            <w:t xml:space="preserve"> Roxanne </w:t>
          </w:r>
          <w:proofErr w:type="spellStart"/>
          <w:r w:rsidRPr="00537B1C">
            <w:rPr>
              <w:sz w:val="18"/>
              <w:szCs w:val="18"/>
              <w:lang w:val="en-US"/>
            </w:rPr>
            <w:t>McElvane</w:t>
          </w:r>
          <w:proofErr w:type="spellEnd"/>
          <w:r w:rsidRPr="00537B1C">
            <w:rPr>
              <w:sz w:val="18"/>
              <w:szCs w:val="18"/>
              <w:lang w:val="en-US"/>
            </w:rPr>
            <w:t xml:space="preserve"> Webber, Chair</w:t>
          </w:r>
          <w:r>
            <w:rPr>
              <w:sz w:val="18"/>
              <w:szCs w:val="18"/>
              <w:lang w:val="en-US"/>
            </w:rPr>
            <w:t>man</w:t>
          </w:r>
          <w:r w:rsidRPr="00537B1C">
            <w:rPr>
              <w:sz w:val="18"/>
              <w:szCs w:val="18"/>
              <w:lang w:val="en-US"/>
            </w:rPr>
            <w:t>, Telecommunication Development Advisory Group</w:t>
          </w:r>
        </w:p>
      </w:tc>
      <w:bookmarkStart w:id="5" w:name="OrgName"/>
      <w:bookmarkEnd w:id="5"/>
    </w:tr>
    <w:tr w:rsidR="00CD53ED" w:rsidRPr="004D495C" w14:paraId="2624CD5E" w14:textId="77777777" w:rsidTr="007A15FE">
      <w:tc>
        <w:tcPr>
          <w:tcW w:w="1526" w:type="dxa"/>
        </w:tcPr>
        <w:p w14:paraId="5FA2286B" w14:textId="77777777" w:rsidR="00CD53ED" w:rsidRPr="0028390B" w:rsidRDefault="00CD53ED" w:rsidP="00CD53ED">
          <w:pPr>
            <w:pStyle w:val="FirstFooter"/>
            <w:tabs>
              <w:tab w:val="left" w:pos="1559"/>
              <w:tab w:val="left" w:pos="3828"/>
            </w:tabs>
            <w:rPr>
              <w:sz w:val="20"/>
              <w:lang w:val="en-US"/>
            </w:rPr>
          </w:pPr>
        </w:p>
      </w:tc>
      <w:tc>
        <w:tcPr>
          <w:tcW w:w="2410" w:type="dxa"/>
        </w:tcPr>
        <w:p w14:paraId="6AF56C5B" w14:textId="77777777" w:rsidR="00CD53ED" w:rsidRPr="004D495C" w:rsidRDefault="00CD53ED" w:rsidP="00CD53ED">
          <w:pPr>
            <w:pStyle w:val="FirstFooter"/>
            <w:tabs>
              <w:tab w:val="left" w:pos="2302"/>
            </w:tabs>
            <w:rPr>
              <w:sz w:val="18"/>
              <w:szCs w:val="18"/>
              <w:lang w:val="en-US"/>
            </w:rPr>
          </w:pPr>
          <w:r w:rsidRPr="25A7936B">
            <w:rPr>
              <w:sz w:val="18"/>
              <w:szCs w:val="18"/>
              <w:lang w:val="en-US"/>
            </w:rPr>
            <w:t>Phone number:</w:t>
          </w:r>
        </w:p>
      </w:tc>
      <w:tc>
        <w:tcPr>
          <w:tcW w:w="5987" w:type="dxa"/>
        </w:tcPr>
        <w:p w14:paraId="644AD6F1" w14:textId="77777777" w:rsidR="00CD53ED" w:rsidRPr="00537B1C" w:rsidRDefault="00CD53ED" w:rsidP="00CD53ED">
          <w:pPr>
            <w:pStyle w:val="FirstFooter"/>
            <w:tabs>
              <w:tab w:val="left" w:pos="2302"/>
            </w:tabs>
            <w:rPr>
              <w:sz w:val="18"/>
              <w:szCs w:val="18"/>
              <w:highlight w:val="yellow"/>
            </w:rPr>
          </w:pPr>
          <w:r w:rsidRPr="00537B1C">
            <w:rPr>
              <w:sz w:val="18"/>
              <w:szCs w:val="18"/>
              <w:lang w:val="en-US"/>
            </w:rPr>
            <w:t>+1 202 418 1489</w:t>
          </w:r>
        </w:p>
      </w:tc>
      <w:bookmarkStart w:id="6" w:name="PhoneNo"/>
      <w:bookmarkEnd w:id="6"/>
    </w:tr>
    <w:tr w:rsidR="00CD53ED" w:rsidRPr="004D495C" w14:paraId="10D7B74A" w14:textId="77777777" w:rsidTr="007A15FE">
      <w:tc>
        <w:tcPr>
          <w:tcW w:w="1526" w:type="dxa"/>
        </w:tcPr>
        <w:p w14:paraId="6CE7659D" w14:textId="77777777" w:rsidR="00CD53ED" w:rsidRPr="004D495C" w:rsidRDefault="00CD53ED" w:rsidP="00CD53ED">
          <w:pPr>
            <w:pStyle w:val="FirstFooter"/>
            <w:tabs>
              <w:tab w:val="left" w:pos="1559"/>
              <w:tab w:val="left" w:pos="3828"/>
            </w:tabs>
            <w:rPr>
              <w:sz w:val="20"/>
              <w:lang w:val="en-US"/>
            </w:rPr>
          </w:pPr>
        </w:p>
      </w:tc>
      <w:tc>
        <w:tcPr>
          <w:tcW w:w="2410" w:type="dxa"/>
        </w:tcPr>
        <w:p w14:paraId="04322968" w14:textId="77777777" w:rsidR="00CD53ED" w:rsidRPr="004D495C" w:rsidRDefault="00CD53ED" w:rsidP="00CD53ED">
          <w:pPr>
            <w:pStyle w:val="FirstFooter"/>
            <w:tabs>
              <w:tab w:val="left" w:pos="2302"/>
            </w:tabs>
            <w:rPr>
              <w:sz w:val="18"/>
              <w:szCs w:val="18"/>
              <w:lang w:val="en-US"/>
            </w:rPr>
          </w:pPr>
          <w:r w:rsidRPr="25A7936B">
            <w:rPr>
              <w:sz w:val="18"/>
              <w:szCs w:val="18"/>
              <w:lang w:val="en-US"/>
            </w:rPr>
            <w:t>E-mail:</w:t>
          </w:r>
        </w:p>
      </w:tc>
      <w:tc>
        <w:tcPr>
          <w:tcW w:w="5987" w:type="dxa"/>
        </w:tcPr>
        <w:p w14:paraId="136B2784" w14:textId="77777777" w:rsidR="00CD53ED" w:rsidRPr="00537B1C" w:rsidRDefault="00CD53ED" w:rsidP="00CD53ED">
          <w:pPr>
            <w:pStyle w:val="FirstFooter"/>
            <w:tabs>
              <w:tab w:val="left" w:pos="2302"/>
            </w:tabs>
            <w:rPr>
              <w:sz w:val="18"/>
              <w:szCs w:val="18"/>
              <w:highlight w:val="yellow"/>
            </w:rPr>
          </w:pPr>
          <w:hyperlink r:id="rId1" w:history="1">
            <w:r w:rsidRPr="00537B1C">
              <w:rPr>
                <w:rStyle w:val="Hyperlink"/>
                <w:sz w:val="18"/>
                <w:szCs w:val="18"/>
                <w:lang w:val="en-US"/>
              </w:rPr>
              <w:t>Roxanne.Webber@fcc.gov</w:t>
            </w:r>
          </w:hyperlink>
        </w:p>
      </w:tc>
      <w:bookmarkStart w:id="7" w:name="Email"/>
      <w:bookmarkEnd w:id="7"/>
    </w:tr>
  </w:tbl>
  <w:p w14:paraId="3E9F5E89" w14:textId="77777777" w:rsidR="00CD53ED" w:rsidRDefault="00CD53ED" w:rsidP="00CD53ED">
    <w:pPr>
      <w:pStyle w:val="Footer"/>
      <w:jc w:val="center"/>
    </w:pPr>
  </w:p>
  <w:p w14:paraId="0CBAAFB8" w14:textId="5434BE90" w:rsidR="00C60EF9" w:rsidRPr="00CD53ED" w:rsidRDefault="00CD53ED" w:rsidP="00CD53ED">
    <w:pPr>
      <w:pStyle w:val="Footer"/>
      <w:jc w:val="center"/>
    </w:pPr>
    <w:hyperlink r:id="rId2" w:history="1">
      <w:r>
        <w:rPr>
          <w:rStyle w:val="Hyperlink"/>
          <w:sz w:val="18"/>
          <w:szCs w:val="18"/>
        </w:rPr>
        <w:t>TDAG</w:t>
      </w:r>
    </w:hyperlink>
    <w:bookmarkStart w:id="8" w:name="_GoBack"/>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50B6E" w14:textId="77777777" w:rsidR="001B769C" w:rsidRDefault="001B769C">
      <w:r>
        <w:rPr>
          <w:b/>
        </w:rPr>
        <w:t>_______________</w:t>
      </w:r>
    </w:p>
  </w:footnote>
  <w:footnote w:type="continuationSeparator" w:id="0">
    <w:p w14:paraId="3971E4A6" w14:textId="77777777" w:rsidR="001B769C" w:rsidRDefault="001B769C">
      <w:r>
        <w:continuationSeparator/>
      </w:r>
    </w:p>
  </w:footnote>
  <w:footnote w:type="continuationNotice" w:id="1">
    <w:p w14:paraId="5B4B8852" w14:textId="77777777" w:rsidR="001B769C" w:rsidRDefault="001B76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E8AFA" w14:textId="77777777" w:rsidR="00644B53" w:rsidRDefault="00644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33106" w14:textId="3B1C6777" w:rsidR="008D68AD" w:rsidRPr="006D271A" w:rsidRDefault="008D68AD" w:rsidP="008D68AD">
    <w:pPr>
      <w:tabs>
        <w:tab w:val="clear" w:pos="1134"/>
        <w:tab w:val="clear" w:pos="1871"/>
        <w:tab w:val="clear" w:pos="2268"/>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-21/2</w:t>
    </w:r>
    <w:r w:rsidRPr="00A54E72">
      <w:rPr>
        <w:sz w:val="22"/>
        <w:szCs w:val="22"/>
        <w:lang w:val="de-CH"/>
      </w:rPr>
      <w:t>/</w:t>
    </w:r>
    <w:r w:rsidR="0CC6687A">
      <w:rPr>
        <w:sz w:val="22"/>
        <w:szCs w:val="22"/>
        <w:lang w:val="de-CH"/>
      </w:rPr>
      <w:t>16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p w14:paraId="43DA0298" w14:textId="472ED30B" w:rsidR="00C60EF9" w:rsidRPr="008D68AD" w:rsidRDefault="00C60EF9" w:rsidP="008D68A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7C191" w14:textId="77777777" w:rsidR="00644B53" w:rsidRDefault="00644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0544"/>
    <w:multiLevelType w:val="hybridMultilevel"/>
    <w:tmpl w:val="2B884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F345A"/>
    <w:multiLevelType w:val="multilevel"/>
    <w:tmpl w:val="6B2284E2"/>
    <w:lvl w:ilvl="0">
      <w:start w:val="1"/>
      <w:numFmt w:val="decimal"/>
      <w:pStyle w:val="Heading1"/>
      <w:lvlText w:val="%1."/>
      <w:lvlJc w:val="left"/>
      <w:pPr>
        <w:ind w:left="360" w:hanging="360"/>
      </w:pPr>
    </w:lvl>
    <w:lvl w:ilvl="1">
      <w:start w:val="1"/>
      <w:numFmt w:val="decimal"/>
      <w:pStyle w:val="Heading2"/>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8BB6273"/>
    <w:multiLevelType w:val="hybridMultilevel"/>
    <w:tmpl w:val="60CE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5" w15:restartNumberingAfterBreak="0">
    <w:nsid w:val="30BF500B"/>
    <w:multiLevelType w:val="hybridMultilevel"/>
    <w:tmpl w:val="FFFFFFFF"/>
    <w:lvl w:ilvl="0" w:tplc="D66A1BF4">
      <w:start w:val="1"/>
      <w:numFmt w:val="bullet"/>
      <w:lvlText w:val="-"/>
      <w:lvlJc w:val="left"/>
      <w:pPr>
        <w:ind w:left="360" w:hanging="360"/>
      </w:pPr>
      <w:rPr>
        <w:rFonts w:ascii="Symbol" w:hAnsi="Symbol" w:hint="default"/>
      </w:rPr>
    </w:lvl>
    <w:lvl w:ilvl="1" w:tplc="D40C852C">
      <w:start w:val="1"/>
      <w:numFmt w:val="bullet"/>
      <w:lvlText w:val="o"/>
      <w:lvlJc w:val="left"/>
      <w:pPr>
        <w:ind w:left="1080" w:hanging="360"/>
      </w:pPr>
      <w:rPr>
        <w:rFonts w:ascii="Courier New" w:hAnsi="Courier New" w:hint="default"/>
      </w:rPr>
    </w:lvl>
    <w:lvl w:ilvl="2" w:tplc="8E4C94D2">
      <w:start w:val="1"/>
      <w:numFmt w:val="bullet"/>
      <w:lvlText w:val=""/>
      <w:lvlJc w:val="left"/>
      <w:pPr>
        <w:ind w:left="1800" w:hanging="360"/>
      </w:pPr>
      <w:rPr>
        <w:rFonts w:ascii="Wingdings" w:hAnsi="Wingdings" w:hint="default"/>
      </w:rPr>
    </w:lvl>
    <w:lvl w:ilvl="3" w:tplc="C28E3922">
      <w:start w:val="1"/>
      <w:numFmt w:val="bullet"/>
      <w:lvlText w:val=""/>
      <w:lvlJc w:val="left"/>
      <w:pPr>
        <w:ind w:left="2520" w:hanging="360"/>
      </w:pPr>
      <w:rPr>
        <w:rFonts w:ascii="Symbol" w:hAnsi="Symbol" w:hint="default"/>
      </w:rPr>
    </w:lvl>
    <w:lvl w:ilvl="4" w:tplc="395CD052">
      <w:start w:val="1"/>
      <w:numFmt w:val="bullet"/>
      <w:lvlText w:val="o"/>
      <w:lvlJc w:val="left"/>
      <w:pPr>
        <w:ind w:left="3240" w:hanging="360"/>
      </w:pPr>
      <w:rPr>
        <w:rFonts w:ascii="Courier New" w:hAnsi="Courier New" w:hint="default"/>
      </w:rPr>
    </w:lvl>
    <w:lvl w:ilvl="5" w:tplc="78FA6DC6">
      <w:start w:val="1"/>
      <w:numFmt w:val="bullet"/>
      <w:lvlText w:val=""/>
      <w:lvlJc w:val="left"/>
      <w:pPr>
        <w:ind w:left="3960" w:hanging="360"/>
      </w:pPr>
      <w:rPr>
        <w:rFonts w:ascii="Wingdings" w:hAnsi="Wingdings" w:hint="default"/>
      </w:rPr>
    </w:lvl>
    <w:lvl w:ilvl="6" w:tplc="BAC479BC">
      <w:start w:val="1"/>
      <w:numFmt w:val="bullet"/>
      <w:lvlText w:val=""/>
      <w:lvlJc w:val="left"/>
      <w:pPr>
        <w:ind w:left="4680" w:hanging="360"/>
      </w:pPr>
      <w:rPr>
        <w:rFonts w:ascii="Symbol" w:hAnsi="Symbol" w:hint="default"/>
      </w:rPr>
    </w:lvl>
    <w:lvl w:ilvl="7" w:tplc="BE1830F6">
      <w:start w:val="1"/>
      <w:numFmt w:val="bullet"/>
      <w:lvlText w:val="o"/>
      <w:lvlJc w:val="left"/>
      <w:pPr>
        <w:ind w:left="5400" w:hanging="360"/>
      </w:pPr>
      <w:rPr>
        <w:rFonts w:ascii="Courier New" w:hAnsi="Courier New" w:hint="default"/>
      </w:rPr>
    </w:lvl>
    <w:lvl w:ilvl="8" w:tplc="9CE80856">
      <w:start w:val="1"/>
      <w:numFmt w:val="bullet"/>
      <w:lvlText w:val=""/>
      <w:lvlJc w:val="left"/>
      <w:pPr>
        <w:ind w:left="6120" w:hanging="360"/>
      </w:pPr>
      <w:rPr>
        <w:rFonts w:ascii="Wingdings" w:hAnsi="Wingdings" w:hint="default"/>
      </w:rPr>
    </w:lvl>
  </w:abstractNum>
  <w:abstractNum w:abstractNumId="6" w15:restartNumberingAfterBreak="0">
    <w:nsid w:val="3E7C6987"/>
    <w:multiLevelType w:val="hybridMultilevel"/>
    <w:tmpl w:val="FFFFFFFF"/>
    <w:lvl w:ilvl="0" w:tplc="810045CC">
      <w:start w:val="1"/>
      <w:numFmt w:val="bullet"/>
      <w:lvlText w:val="-"/>
      <w:lvlJc w:val="left"/>
      <w:pPr>
        <w:ind w:left="360" w:hanging="360"/>
      </w:pPr>
      <w:rPr>
        <w:rFonts w:ascii="Calibri" w:hAnsi="Calibri" w:hint="default"/>
      </w:rPr>
    </w:lvl>
    <w:lvl w:ilvl="1" w:tplc="11CC2D50">
      <w:start w:val="1"/>
      <w:numFmt w:val="bullet"/>
      <w:lvlText w:val="o"/>
      <w:lvlJc w:val="left"/>
      <w:pPr>
        <w:ind w:left="1080" w:hanging="360"/>
      </w:pPr>
      <w:rPr>
        <w:rFonts w:ascii="Courier New" w:hAnsi="Courier New" w:hint="default"/>
      </w:rPr>
    </w:lvl>
    <w:lvl w:ilvl="2" w:tplc="AFF61E28">
      <w:start w:val="1"/>
      <w:numFmt w:val="bullet"/>
      <w:lvlText w:val=""/>
      <w:lvlJc w:val="left"/>
      <w:pPr>
        <w:ind w:left="1800" w:hanging="360"/>
      </w:pPr>
      <w:rPr>
        <w:rFonts w:ascii="Wingdings" w:hAnsi="Wingdings" w:hint="default"/>
      </w:rPr>
    </w:lvl>
    <w:lvl w:ilvl="3" w:tplc="4D401ACE">
      <w:start w:val="1"/>
      <w:numFmt w:val="bullet"/>
      <w:lvlText w:val=""/>
      <w:lvlJc w:val="left"/>
      <w:pPr>
        <w:ind w:left="2520" w:hanging="360"/>
      </w:pPr>
      <w:rPr>
        <w:rFonts w:ascii="Symbol" w:hAnsi="Symbol" w:hint="default"/>
      </w:rPr>
    </w:lvl>
    <w:lvl w:ilvl="4" w:tplc="D2D4B9D0">
      <w:start w:val="1"/>
      <w:numFmt w:val="bullet"/>
      <w:lvlText w:val="o"/>
      <w:lvlJc w:val="left"/>
      <w:pPr>
        <w:ind w:left="3240" w:hanging="360"/>
      </w:pPr>
      <w:rPr>
        <w:rFonts w:ascii="Courier New" w:hAnsi="Courier New" w:hint="default"/>
      </w:rPr>
    </w:lvl>
    <w:lvl w:ilvl="5" w:tplc="038A15D2">
      <w:start w:val="1"/>
      <w:numFmt w:val="bullet"/>
      <w:lvlText w:val=""/>
      <w:lvlJc w:val="left"/>
      <w:pPr>
        <w:ind w:left="3960" w:hanging="360"/>
      </w:pPr>
      <w:rPr>
        <w:rFonts w:ascii="Wingdings" w:hAnsi="Wingdings" w:hint="default"/>
      </w:rPr>
    </w:lvl>
    <w:lvl w:ilvl="6" w:tplc="9F7AAAD6">
      <w:start w:val="1"/>
      <w:numFmt w:val="bullet"/>
      <w:lvlText w:val=""/>
      <w:lvlJc w:val="left"/>
      <w:pPr>
        <w:ind w:left="4680" w:hanging="360"/>
      </w:pPr>
      <w:rPr>
        <w:rFonts w:ascii="Symbol" w:hAnsi="Symbol" w:hint="default"/>
      </w:rPr>
    </w:lvl>
    <w:lvl w:ilvl="7" w:tplc="75800A2E">
      <w:start w:val="1"/>
      <w:numFmt w:val="bullet"/>
      <w:lvlText w:val="o"/>
      <w:lvlJc w:val="left"/>
      <w:pPr>
        <w:ind w:left="5400" w:hanging="360"/>
      </w:pPr>
      <w:rPr>
        <w:rFonts w:ascii="Courier New" w:hAnsi="Courier New" w:hint="default"/>
      </w:rPr>
    </w:lvl>
    <w:lvl w:ilvl="8" w:tplc="CC1E16B2">
      <w:start w:val="1"/>
      <w:numFmt w:val="bullet"/>
      <w:lvlText w:val=""/>
      <w:lvlJc w:val="left"/>
      <w:pPr>
        <w:ind w:left="6120" w:hanging="360"/>
      </w:pPr>
      <w:rPr>
        <w:rFonts w:ascii="Wingdings" w:hAnsi="Wingdings" w:hint="default"/>
      </w:rPr>
    </w:lvl>
  </w:abstractNum>
  <w:abstractNum w:abstractNumId="7" w15:restartNumberingAfterBreak="0">
    <w:nsid w:val="59BF3104"/>
    <w:multiLevelType w:val="hybridMultilevel"/>
    <w:tmpl w:val="80001736"/>
    <w:lvl w:ilvl="0" w:tplc="99802D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D030F8"/>
    <w:multiLevelType w:val="hybridMultilevel"/>
    <w:tmpl w:val="FFFFFFFF"/>
    <w:lvl w:ilvl="0" w:tplc="97E6D098">
      <w:start w:val="1"/>
      <w:numFmt w:val="bullet"/>
      <w:lvlText w:val="-"/>
      <w:lvlJc w:val="left"/>
      <w:pPr>
        <w:ind w:left="720" w:hanging="360"/>
      </w:pPr>
      <w:rPr>
        <w:rFonts w:ascii="Symbol" w:hAnsi="Symbol" w:hint="default"/>
      </w:rPr>
    </w:lvl>
    <w:lvl w:ilvl="1" w:tplc="F77AB6D6">
      <w:start w:val="1"/>
      <w:numFmt w:val="bullet"/>
      <w:lvlText w:val="o"/>
      <w:lvlJc w:val="left"/>
      <w:pPr>
        <w:ind w:left="1440" w:hanging="360"/>
      </w:pPr>
      <w:rPr>
        <w:rFonts w:ascii="Courier New" w:hAnsi="Courier New" w:hint="default"/>
      </w:rPr>
    </w:lvl>
    <w:lvl w:ilvl="2" w:tplc="D6647ACE">
      <w:start w:val="1"/>
      <w:numFmt w:val="bullet"/>
      <w:lvlText w:val=""/>
      <w:lvlJc w:val="left"/>
      <w:pPr>
        <w:ind w:left="2160" w:hanging="360"/>
      </w:pPr>
      <w:rPr>
        <w:rFonts w:ascii="Wingdings" w:hAnsi="Wingdings" w:hint="default"/>
      </w:rPr>
    </w:lvl>
    <w:lvl w:ilvl="3" w:tplc="A530A5F0">
      <w:start w:val="1"/>
      <w:numFmt w:val="bullet"/>
      <w:lvlText w:val=""/>
      <w:lvlJc w:val="left"/>
      <w:pPr>
        <w:ind w:left="2880" w:hanging="360"/>
      </w:pPr>
      <w:rPr>
        <w:rFonts w:ascii="Symbol" w:hAnsi="Symbol" w:hint="default"/>
      </w:rPr>
    </w:lvl>
    <w:lvl w:ilvl="4" w:tplc="9C2CEAE2">
      <w:start w:val="1"/>
      <w:numFmt w:val="bullet"/>
      <w:lvlText w:val="o"/>
      <w:lvlJc w:val="left"/>
      <w:pPr>
        <w:ind w:left="3600" w:hanging="360"/>
      </w:pPr>
      <w:rPr>
        <w:rFonts w:ascii="Courier New" w:hAnsi="Courier New" w:hint="default"/>
      </w:rPr>
    </w:lvl>
    <w:lvl w:ilvl="5" w:tplc="7EC01F1C">
      <w:start w:val="1"/>
      <w:numFmt w:val="bullet"/>
      <w:lvlText w:val=""/>
      <w:lvlJc w:val="left"/>
      <w:pPr>
        <w:ind w:left="4320" w:hanging="360"/>
      </w:pPr>
      <w:rPr>
        <w:rFonts w:ascii="Wingdings" w:hAnsi="Wingdings" w:hint="default"/>
      </w:rPr>
    </w:lvl>
    <w:lvl w:ilvl="6" w:tplc="BE22C62C">
      <w:start w:val="1"/>
      <w:numFmt w:val="bullet"/>
      <w:lvlText w:val=""/>
      <w:lvlJc w:val="left"/>
      <w:pPr>
        <w:ind w:left="5040" w:hanging="360"/>
      </w:pPr>
      <w:rPr>
        <w:rFonts w:ascii="Symbol" w:hAnsi="Symbol" w:hint="default"/>
      </w:rPr>
    </w:lvl>
    <w:lvl w:ilvl="7" w:tplc="38E62982">
      <w:start w:val="1"/>
      <w:numFmt w:val="bullet"/>
      <w:lvlText w:val="o"/>
      <w:lvlJc w:val="left"/>
      <w:pPr>
        <w:ind w:left="5760" w:hanging="360"/>
      </w:pPr>
      <w:rPr>
        <w:rFonts w:ascii="Courier New" w:hAnsi="Courier New" w:hint="default"/>
      </w:rPr>
    </w:lvl>
    <w:lvl w:ilvl="8" w:tplc="A426B254">
      <w:start w:val="1"/>
      <w:numFmt w:val="bullet"/>
      <w:lvlText w:val=""/>
      <w:lvlJc w:val="left"/>
      <w:pPr>
        <w:ind w:left="6480" w:hanging="360"/>
      </w:pPr>
      <w:rPr>
        <w:rFonts w:ascii="Wingdings" w:hAnsi="Wingdings" w:hint="default"/>
      </w:rPr>
    </w:lvl>
  </w:abstractNum>
  <w:abstractNum w:abstractNumId="9"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75F61"/>
    <w:multiLevelType w:val="hybridMultilevel"/>
    <w:tmpl w:val="BB72A2D6"/>
    <w:lvl w:ilvl="0" w:tplc="D0C21C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7C8E"/>
    <w:multiLevelType w:val="hybridMultilevel"/>
    <w:tmpl w:val="0DEA2AE8"/>
    <w:lvl w:ilvl="0" w:tplc="D10E8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3" w15:restartNumberingAfterBreak="0">
    <w:nsid w:val="7DD24548"/>
    <w:multiLevelType w:val="hybridMultilevel"/>
    <w:tmpl w:val="2570C3E8"/>
    <w:lvl w:ilvl="0" w:tplc="F4A28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9"/>
  </w:num>
  <w:num w:numId="5">
    <w:abstractNumId w:val="1"/>
  </w:num>
  <w:num w:numId="6">
    <w:abstractNumId w:val="11"/>
  </w:num>
  <w:num w:numId="7">
    <w:abstractNumId w:val="13"/>
  </w:num>
  <w:num w:numId="8">
    <w:abstractNumId w:val="2"/>
  </w:num>
  <w:num w:numId="9">
    <w:abstractNumId w:val="7"/>
  </w:num>
  <w:num w:numId="10">
    <w:abstractNumId w:val="6"/>
  </w:num>
  <w:num w:numId="11">
    <w:abstractNumId w:val="3"/>
  </w:num>
  <w:num w:numId="12">
    <w:abstractNumId w:val="12"/>
  </w:num>
  <w:num w:numId="13">
    <w:abstractNumId w:val="0"/>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A49"/>
    <w:rsid w:val="00002006"/>
    <w:rsid w:val="000041EA"/>
    <w:rsid w:val="00005061"/>
    <w:rsid w:val="00006E7E"/>
    <w:rsid w:val="00011727"/>
    <w:rsid w:val="000144F1"/>
    <w:rsid w:val="00014BBD"/>
    <w:rsid w:val="000157D7"/>
    <w:rsid w:val="00016130"/>
    <w:rsid w:val="00017104"/>
    <w:rsid w:val="000174DD"/>
    <w:rsid w:val="00017B63"/>
    <w:rsid w:val="00022A29"/>
    <w:rsid w:val="0002332C"/>
    <w:rsid w:val="000270B1"/>
    <w:rsid w:val="00027762"/>
    <w:rsid w:val="00027B40"/>
    <w:rsid w:val="00031AF7"/>
    <w:rsid w:val="00033B41"/>
    <w:rsid w:val="000348C1"/>
    <w:rsid w:val="000355FD"/>
    <w:rsid w:val="000360B5"/>
    <w:rsid w:val="0003613A"/>
    <w:rsid w:val="00037541"/>
    <w:rsid w:val="000414E8"/>
    <w:rsid w:val="000479F2"/>
    <w:rsid w:val="000500CC"/>
    <w:rsid w:val="00051E39"/>
    <w:rsid w:val="000554DD"/>
    <w:rsid w:val="00055BE4"/>
    <w:rsid w:val="00056800"/>
    <w:rsid w:val="0006609B"/>
    <w:rsid w:val="000712B9"/>
    <w:rsid w:val="000730AF"/>
    <w:rsid w:val="00075366"/>
    <w:rsid w:val="00075F9D"/>
    <w:rsid w:val="00077048"/>
    <w:rsid w:val="00077239"/>
    <w:rsid w:val="00080DC0"/>
    <w:rsid w:val="00080E97"/>
    <w:rsid w:val="000822BE"/>
    <w:rsid w:val="00085723"/>
    <w:rsid w:val="00086491"/>
    <w:rsid w:val="00087DB9"/>
    <w:rsid w:val="00087FA1"/>
    <w:rsid w:val="00091346"/>
    <w:rsid w:val="00094795"/>
    <w:rsid w:val="00096BA9"/>
    <w:rsid w:val="000970A7"/>
    <w:rsid w:val="00097743"/>
    <w:rsid w:val="000A06F8"/>
    <w:rsid w:val="000A0E39"/>
    <w:rsid w:val="000A23E7"/>
    <w:rsid w:val="000A2C0F"/>
    <w:rsid w:val="000A462D"/>
    <w:rsid w:val="000A6C5C"/>
    <w:rsid w:val="000A700D"/>
    <w:rsid w:val="000B0739"/>
    <w:rsid w:val="000B1CBA"/>
    <w:rsid w:val="000B22BB"/>
    <w:rsid w:val="000B4275"/>
    <w:rsid w:val="000B6808"/>
    <w:rsid w:val="000BA81E"/>
    <w:rsid w:val="000C13D7"/>
    <w:rsid w:val="000C38F9"/>
    <w:rsid w:val="000C4754"/>
    <w:rsid w:val="000C4F9F"/>
    <w:rsid w:val="000D03DC"/>
    <w:rsid w:val="000D156A"/>
    <w:rsid w:val="000D668A"/>
    <w:rsid w:val="000D6D4F"/>
    <w:rsid w:val="000E65C7"/>
    <w:rsid w:val="000F1483"/>
    <w:rsid w:val="000F407E"/>
    <w:rsid w:val="000F4BE8"/>
    <w:rsid w:val="000F6FBD"/>
    <w:rsid w:val="000F73FF"/>
    <w:rsid w:val="001115C3"/>
    <w:rsid w:val="001115EA"/>
    <w:rsid w:val="00114CF7"/>
    <w:rsid w:val="00120D06"/>
    <w:rsid w:val="00121134"/>
    <w:rsid w:val="0012242D"/>
    <w:rsid w:val="00123B68"/>
    <w:rsid w:val="00125434"/>
    <w:rsid w:val="00126F2E"/>
    <w:rsid w:val="00127F16"/>
    <w:rsid w:val="001304A5"/>
    <w:rsid w:val="001322F0"/>
    <w:rsid w:val="00135B5E"/>
    <w:rsid w:val="00135CB8"/>
    <w:rsid w:val="00135F2B"/>
    <w:rsid w:val="0014235A"/>
    <w:rsid w:val="00143384"/>
    <w:rsid w:val="00145718"/>
    <w:rsid w:val="0014696D"/>
    <w:rsid w:val="00146F6F"/>
    <w:rsid w:val="0015250D"/>
    <w:rsid w:val="00152957"/>
    <w:rsid w:val="00156ACB"/>
    <w:rsid w:val="00160438"/>
    <w:rsid w:val="00164FED"/>
    <w:rsid w:val="00165778"/>
    <w:rsid w:val="00166AA6"/>
    <w:rsid w:val="0016767A"/>
    <w:rsid w:val="001712B5"/>
    <w:rsid w:val="00176EF6"/>
    <w:rsid w:val="0017731A"/>
    <w:rsid w:val="00186F02"/>
    <w:rsid w:val="00187473"/>
    <w:rsid w:val="00187BD9"/>
    <w:rsid w:val="00190B55"/>
    <w:rsid w:val="00192B82"/>
    <w:rsid w:val="0019357D"/>
    <w:rsid w:val="00194CFB"/>
    <w:rsid w:val="00196139"/>
    <w:rsid w:val="001A057F"/>
    <w:rsid w:val="001B0402"/>
    <w:rsid w:val="001B2ED3"/>
    <w:rsid w:val="001B35FD"/>
    <w:rsid w:val="001B653E"/>
    <w:rsid w:val="001B769C"/>
    <w:rsid w:val="001C0BC0"/>
    <w:rsid w:val="001C3997"/>
    <w:rsid w:val="001C3B5F"/>
    <w:rsid w:val="001C4BF8"/>
    <w:rsid w:val="001C55C7"/>
    <w:rsid w:val="001C5680"/>
    <w:rsid w:val="001C5B88"/>
    <w:rsid w:val="001C5FA8"/>
    <w:rsid w:val="001C6DBE"/>
    <w:rsid w:val="001D058F"/>
    <w:rsid w:val="001D28EF"/>
    <w:rsid w:val="001D3281"/>
    <w:rsid w:val="001D55C6"/>
    <w:rsid w:val="001D6F29"/>
    <w:rsid w:val="001D723A"/>
    <w:rsid w:val="001E0AEC"/>
    <w:rsid w:val="001E0FAD"/>
    <w:rsid w:val="001E1D83"/>
    <w:rsid w:val="001E6206"/>
    <w:rsid w:val="001F230E"/>
    <w:rsid w:val="001F6027"/>
    <w:rsid w:val="001F6110"/>
    <w:rsid w:val="002009EA"/>
    <w:rsid w:val="00201E81"/>
    <w:rsid w:val="00202CA0"/>
    <w:rsid w:val="00210992"/>
    <w:rsid w:val="00213D64"/>
    <w:rsid w:val="00214491"/>
    <w:rsid w:val="002154A6"/>
    <w:rsid w:val="00217665"/>
    <w:rsid w:val="00221EA1"/>
    <w:rsid w:val="00225582"/>
    <w:rsid w:val="002255B3"/>
    <w:rsid w:val="0022611A"/>
    <w:rsid w:val="00227158"/>
    <w:rsid w:val="002357B1"/>
    <w:rsid w:val="00242B71"/>
    <w:rsid w:val="00246753"/>
    <w:rsid w:val="0024782C"/>
    <w:rsid w:val="00254262"/>
    <w:rsid w:val="00254C6F"/>
    <w:rsid w:val="002551BC"/>
    <w:rsid w:val="0025740B"/>
    <w:rsid w:val="002605C4"/>
    <w:rsid w:val="002618BC"/>
    <w:rsid w:val="002628A7"/>
    <w:rsid w:val="00266855"/>
    <w:rsid w:val="002679DC"/>
    <w:rsid w:val="00271316"/>
    <w:rsid w:val="00271920"/>
    <w:rsid w:val="002757E9"/>
    <w:rsid w:val="00280789"/>
    <w:rsid w:val="002824B0"/>
    <w:rsid w:val="0028278C"/>
    <w:rsid w:val="002844C4"/>
    <w:rsid w:val="00290371"/>
    <w:rsid w:val="00293FAD"/>
    <w:rsid w:val="00294260"/>
    <w:rsid w:val="002A01D4"/>
    <w:rsid w:val="002A583E"/>
    <w:rsid w:val="002A731B"/>
    <w:rsid w:val="002C0E59"/>
    <w:rsid w:val="002C6CFF"/>
    <w:rsid w:val="002D1145"/>
    <w:rsid w:val="002D58BE"/>
    <w:rsid w:val="002D6E0B"/>
    <w:rsid w:val="002D72C2"/>
    <w:rsid w:val="002D76BE"/>
    <w:rsid w:val="002E0223"/>
    <w:rsid w:val="002E78CE"/>
    <w:rsid w:val="002F09E6"/>
    <w:rsid w:val="002F1043"/>
    <w:rsid w:val="002F10B6"/>
    <w:rsid w:val="002F1D8E"/>
    <w:rsid w:val="002F32C5"/>
    <w:rsid w:val="003013EE"/>
    <w:rsid w:val="00307017"/>
    <w:rsid w:val="00312A3F"/>
    <w:rsid w:val="003164EE"/>
    <w:rsid w:val="00316C43"/>
    <w:rsid w:val="00317F6C"/>
    <w:rsid w:val="003209F2"/>
    <w:rsid w:val="003243B6"/>
    <w:rsid w:val="003244B0"/>
    <w:rsid w:val="00326A97"/>
    <w:rsid w:val="00333010"/>
    <w:rsid w:val="00335F3D"/>
    <w:rsid w:val="00336167"/>
    <w:rsid w:val="00340116"/>
    <w:rsid w:val="003401C0"/>
    <w:rsid w:val="00340D05"/>
    <w:rsid w:val="00340FF7"/>
    <w:rsid w:val="00345326"/>
    <w:rsid w:val="003468C4"/>
    <w:rsid w:val="00346D34"/>
    <w:rsid w:val="00349FEC"/>
    <w:rsid w:val="00351D04"/>
    <w:rsid w:val="00351D69"/>
    <w:rsid w:val="0035260B"/>
    <w:rsid w:val="00353963"/>
    <w:rsid w:val="00353A39"/>
    <w:rsid w:val="00363DA9"/>
    <w:rsid w:val="003717C0"/>
    <w:rsid w:val="003721EC"/>
    <w:rsid w:val="0037355C"/>
    <w:rsid w:val="00376851"/>
    <w:rsid w:val="00377BD3"/>
    <w:rsid w:val="00384088"/>
    <w:rsid w:val="00384C71"/>
    <w:rsid w:val="0038DC9E"/>
    <w:rsid w:val="0039169B"/>
    <w:rsid w:val="003950EF"/>
    <w:rsid w:val="00397E59"/>
    <w:rsid w:val="003A1A07"/>
    <w:rsid w:val="003A2FC7"/>
    <w:rsid w:val="003A7F8C"/>
    <w:rsid w:val="003B01A7"/>
    <w:rsid w:val="003B1B63"/>
    <w:rsid w:val="003B1D03"/>
    <w:rsid w:val="003B3F7C"/>
    <w:rsid w:val="003B532E"/>
    <w:rsid w:val="003B6F14"/>
    <w:rsid w:val="003C6404"/>
    <w:rsid w:val="003D07D5"/>
    <w:rsid w:val="003D0F8B"/>
    <w:rsid w:val="003D2194"/>
    <w:rsid w:val="003D29E5"/>
    <w:rsid w:val="003D2C25"/>
    <w:rsid w:val="003D2DA6"/>
    <w:rsid w:val="003D7236"/>
    <w:rsid w:val="003E0D54"/>
    <w:rsid w:val="003E256E"/>
    <w:rsid w:val="003E2F99"/>
    <w:rsid w:val="003E38FB"/>
    <w:rsid w:val="003E489B"/>
    <w:rsid w:val="003F0F0B"/>
    <w:rsid w:val="003F0F96"/>
    <w:rsid w:val="003F146F"/>
    <w:rsid w:val="004024B8"/>
    <w:rsid w:val="00406FCC"/>
    <w:rsid w:val="00407CF3"/>
    <w:rsid w:val="0041010E"/>
    <w:rsid w:val="004131D4"/>
    <w:rsid w:val="00413461"/>
    <w:rsid w:val="0041348E"/>
    <w:rsid w:val="00413A77"/>
    <w:rsid w:val="0041632B"/>
    <w:rsid w:val="00416CB5"/>
    <w:rsid w:val="00420C17"/>
    <w:rsid w:val="0043709C"/>
    <w:rsid w:val="00444020"/>
    <w:rsid w:val="00444EF9"/>
    <w:rsid w:val="00447308"/>
    <w:rsid w:val="00447A70"/>
    <w:rsid w:val="0045059F"/>
    <w:rsid w:val="00455DD8"/>
    <w:rsid w:val="004566D5"/>
    <w:rsid w:val="00470A26"/>
    <w:rsid w:val="00474481"/>
    <w:rsid w:val="004765FF"/>
    <w:rsid w:val="004767C5"/>
    <w:rsid w:val="004776BC"/>
    <w:rsid w:val="0048378F"/>
    <w:rsid w:val="004911CA"/>
    <w:rsid w:val="00491B22"/>
    <w:rsid w:val="00492075"/>
    <w:rsid w:val="00495D6D"/>
    <w:rsid w:val="004969AD"/>
    <w:rsid w:val="004A134C"/>
    <w:rsid w:val="004A453F"/>
    <w:rsid w:val="004A602D"/>
    <w:rsid w:val="004B1240"/>
    <w:rsid w:val="004B13CB"/>
    <w:rsid w:val="004B2517"/>
    <w:rsid w:val="004B3144"/>
    <w:rsid w:val="004B4FDF"/>
    <w:rsid w:val="004B5A8C"/>
    <w:rsid w:val="004C5ECE"/>
    <w:rsid w:val="004D1A35"/>
    <w:rsid w:val="004D2C5C"/>
    <w:rsid w:val="004D4D46"/>
    <w:rsid w:val="004D5D5C"/>
    <w:rsid w:val="004D7AF5"/>
    <w:rsid w:val="004E038A"/>
    <w:rsid w:val="004E058C"/>
    <w:rsid w:val="004E3238"/>
    <w:rsid w:val="004E7476"/>
    <w:rsid w:val="004F0EF4"/>
    <w:rsid w:val="0050091B"/>
    <w:rsid w:val="0050139F"/>
    <w:rsid w:val="00505597"/>
    <w:rsid w:val="0050C430"/>
    <w:rsid w:val="00511DA6"/>
    <w:rsid w:val="00512186"/>
    <w:rsid w:val="00512540"/>
    <w:rsid w:val="00517586"/>
    <w:rsid w:val="00521223"/>
    <w:rsid w:val="005242F6"/>
    <w:rsid w:val="00526590"/>
    <w:rsid w:val="005265C8"/>
    <w:rsid w:val="005269AC"/>
    <w:rsid w:val="00541074"/>
    <w:rsid w:val="005411E0"/>
    <w:rsid w:val="005431E8"/>
    <w:rsid w:val="00544200"/>
    <w:rsid w:val="00546C6D"/>
    <w:rsid w:val="00550B7B"/>
    <w:rsid w:val="0055140B"/>
    <w:rsid w:val="0055146F"/>
    <w:rsid w:val="00554F78"/>
    <w:rsid w:val="0055520E"/>
    <w:rsid w:val="0055559B"/>
    <w:rsid w:val="00555DB2"/>
    <w:rsid w:val="00555E25"/>
    <w:rsid w:val="0055628F"/>
    <w:rsid w:val="00557BAF"/>
    <w:rsid w:val="00557C59"/>
    <w:rsid w:val="00560FC9"/>
    <w:rsid w:val="00565EBE"/>
    <w:rsid w:val="005712A5"/>
    <w:rsid w:val="0057374B"/>
    <w:rsid w:val="005740D6"/>
    <w:rsid w:val="005810AF"/>
    <w:rsid w:val="00581922"/>
    <w:rsid w:val="005829B2"/>
    <w:rsid w:val="005833B1"/>
    <w:rsid w:val="00584C38"/>
    <w:rsid w:val="005924D1"/>
    <w:rsid w:val="00594304"/>
    <w:rsid w:val="00594A85"/>
    <w:rsid w:val="005964AB"/>
    <w:rsid w:val="005A06C3"/>
    <w:rsid w:val="005A4086"/>
    <w:rsid w:val="005A6EBE"/>
    <w:rsid w:val="005B17CC"/>
    <w:rsid w:val="005B1DE7"/>
    <w:rsid w:val="005B3126"/>
    <w:rsid w:val="005B46E6"/>
    <w:rsid w:val="005B7DAF"/>
    <w:rsid w:val="005C099A"/>
    <w:rsid w:val="005C31A5"/>
    <w:rsid w:val="005D3699"/>
    <w:rsid w:val="005D46DD"/>
    <w:rsid w:val="005D571B"/>
    <w:rsid w:val="005E10C9"/>
    <w:rsid w:val="005E154B"/>
    <w:rsid w:val="005E3EE2"/>
    <w:rsid w:val="005E5E51"/>
    <w:rsid w:val="005E61DD"/>
    <w:rsid w:val="005E6321"/>
    <w:rsid w:val="005F1CFF"/>
    <w:rsid w:val="006005A3"/>
    <w:rsid w:val="00601473"/>
    <w:rsid w:val="006023DF"/>
    <w:rsid w:val="00606862"/>
    <w:rsid w:val="00607350"/>
    <w:rsid w:val="00607A26"/>
    <w:rsid w:val="00611382"/>
    <w:rsid w:val="00611CCE"/>
    <w:rsid w:val="006125FC"/>
    <w:rsid w:val="006263F4"/>
    <w:rsid w:val="00633084"/>
    <w:rsid w:val="00634AA0"/>
    <w:rsid w:val="00634AAC"/>
    <w:rsid w:val="006443C9"/>
    <w:rsid w:val="00644683"/>
    <w:rsid w:val="00644B53"/>
    <w:rsid w:val="006460CA"/>
    <w:rsid w:val="0064625C"/>
    <w:rsid w:val="00646F14"/>
    <w:rsid w:val="00647BF7"/>
    <w:rsid w:val="00657573"/>
    <w:rsid w:val="00657DE0"/>
    <w:rsid w:val="006610FA"/>
    <w:rsid w:val="0067199F"/>
    <w:rsid w:val="006731E8"/>
    <w:rsid w:val="00674AAE"/>
    <w:rsid w:val="00677A28"/>
    <w:rsid w:val="0068001D"/>
    <w:rsid w:val="00680859"/>
    <w:rsid w:val="00683AC7"/>
    <w:rsid w:val="00685313"/>
    <w:rsid w:val="00692AE2"/>
    <w:rsid w:val="006941F4"/>
    <w:rsid w:val="00694685"/>
    <w:rsid w:val="00694CB6"/>
    <w:rsid w:val="0069796C"/>
    <w:rsid w:val="006A32BD"/>
    <w:rsid w:val="006A6E9B"/>
    <w:rsid w:val="006A7B80"/>
    <w:rsid w:val="006B02C1"/>
    <w:rsid w:val="006B1D1B"/>
    <w:rsid w:val="006B3BC9"/>
    <w:rsid w:val="006B7C2A"/>
    <w:rsid w:val="006C1AAA"/>
    <w:rsid w:val="006C23DA"/>
    <w:rsid w:val="006C4FBF"/>
    <w:rsid w:val="006D3756"/>
    <w:rsid w:val="006D3875"/>
    <w:rsid w:val="006D38CA"/>
    <w:rsid w:val="006D4678"/>
    <w:rsid w:val="006D4C65"/>
    <w:rsid w:val="006E1BB3"/>
    <w:rsid w:val="006E3D45"/>
    <w:rsid w:val="006E4A7E"/>
    <w:rsid w:val="006E4BFA"/>
    <w:rsid w:val="006E7EEB"/>
    <w:rsid w:val="006F211A"/>
    <w:rsid w:val="006F3E19"/>
    <w:rsid w:val="006F3F47"/>
    <w:rsid w:val="006F58BF"/>
    <w:rsid w:val="006F7B08"/>
    <w:rsid w:val="00706F6E"/>
    <w:rsid w:val="007079B7"/>
    <w:rsid w:val="00707DB9"/>
    <w:rsid w:val="00711201"/>
    <w:rsid w:val="0071145F"/>
    <w:rsid w:val="00712253"/>
    <w:rsid w:val="007149F9"/>
    <w:rsid w:val="00716560"/>
    <w:rsid w:val="00723EF0"/>
    <w:rsid w:val="00725F87"/>
    <w:rsid w:val="00731B25"/>
    <w:rsid w:val="00733A30"/>
    <w:rsid w:val="00741AED"/>
    <w:rsid w:val="007431E3"/>
    <w:rsid w:val="00744406"/>
    <w:rsid w:val="00745AEE"/>
    <w:rsid w:val="007479EA"/>
    <w:rsid w:val="00750F10"/>
    <w:rsid w:val="00751C35"/>
    <w:rsid w:val="00761BBE"/>
    <w:rsid w:val="00763E92"/>
    <w:rsid w:val="00764AE0"/>
    <w:rsid w:val="00766F61"/>
    <w:rsid w:val="00770AB5"/>
    <w:rsid w:val="007742CA"/>
    <w:rsid w:val="00777074"/>
    <w:rsid w:val="0077AACD"/>
    <w:rsid w:val="00781645"/>
    <w:rsid w:val="00783C5C"/>
    <w:rsid w:val="00794058"/>
    <w:rsid w:val="007A13CD"/>
    <w:rsid w:val="007A1B4B"/>
    <w:rsid w:val="007A295D"/>
    <w:rsid w:val="007A48F8"/>
    <w:rsid w:val="007A5D37"/>
    <w:rsid w:val="007B0E96"/>
    <w:rsid w:val="007B161C"/>
    <w:rsid w:val="007C1EBC"/>
    <w:rsid w:val="007C259F"/>
    <w:rsid w:val="007C2773"/>
    <w:rsid w:val="007C602E"/>
    <w:rsid w:val="007C632F"/>
    <w:rsid w:val="007C63EE"/>
    <w:rsid w:val="007C6E8D"/>
    <w:rsid w:val="007C7BC3"/>
    <w:rsid w:val="007D02C6"/>
    <w:rsid w:val="007D06F0"/>
    <w:rsid w:val="007D35A2"/>
    <w:rsid w:val="007D45E3"/>
    <w:rsid w:val="007D5320"/>
    <w:rsid w:val="007E0600"/>
    <w:rsid w:val="007E3669"/>
    <w:rsid w:val="007E4A96"/>
    <w:rsid w:val="007E534A"/>
    <w:rsid w:val="007E78B4"/>
    <w:rsid w:val="007F1244"/>
    <w:rsid w:val="007F599D"/>
    <w:rsid w:val="007F6D43"/>
    <w:rsid w:val="00800972"/>
    <w:rsid w:val="008017F2"/>
    <w:rsid w:val="00804475"/>
    <w:rsid w:val="00805A54"/>
    <w:rsid w:val="0080697E"/>
    <w:rsid w:val="008113AF"/>
    <w:rsid w:val="00811633"/>
    <w:rsid w:val="00821CEF"/>
    <w:rsid w:val="00830D36"/>
    <w:rsid w:val="00831906"/>
    <w:rsid w:val="00831E7C"/>
    <w:rsid w:val="00832828"/>
    <w:rsid w:val="00833E61"/>
    <w:rsid w:val="00834920"/>
    <w:rsid w:val="0083645A"/>
    <w:rsid w:val="008440DB"/>
    <w:rsid w:val="008442E2"/>
    <w:rsid w:val="008473C5"/>
    <w:rsid w:val="00850FC5"/>
    <w:rsid w:val="0085151B"/>
    <w:rsid w:val="00851AF4"/>
    <w:rsid w:val="008552BF"/>
    <w:rsid w:val="00864B44"/>
    <w:rsid w:val="00871A3A"/>
    <w:rsid w:val="00872FC8"/>
    <w:rsid w:val="0087336C"/>
    <w:rsid w:val="008742DC"/>
    <w:rsid w:val="00874AE6"/>
    <w:rsid w:val="00877199"/>
    <w:rsid w:val="008801D3"/>
    <w:rsid w:val="00882EDA"/>
    <w:rsid w:val="008845D0"/>
    <w:rsid w:val="00885A27"/>
    <w:rsid w:val="00887482"/>
    <w:rsid w:val="00887637"/>
    <w:rsid w:val="008934DB"/>
    <w:rsid w:val="008946ED"/>
    <w:rsid w:val="00896E58"/>
    <w:rsid w:val="008973C7"/>
    <w:rsid w:val="008A02C2"/>
    <w:rsid w:val="008A3A62"/>
    <w:rsid w:val="008A49F0"/>
    <w:rsid w:val="008A5C62"/>
    <w:rsid w:val="008B43F2"/>
    <w:rsid w:val="008B6C60"/>
    <w:rsid w:val="008B6CFF"/>
    <w:rsid w:val="008C042E"/>
    <w:rsid w:val="008C0776"/>
    <w:rsid w:val="008C4C92"/>
    <w:rsid w:val="008D0552"/>
    <w:rsid w:val="008D68AD"/>
    <w:rsid w:val="008D76D2"/>
    <w:rsid w:val="008D7A82"/>
    <w:rsid w:val="008E396A"/>
    <w:rsid w:val="008E4D23"/>
    <w:rsid w:val="008E7D96"/>
    <w:rsid w:val="008F5911"/>
    <w:rsid w:val="00900686"/>
    <w:rsid w:val="00903FFC"/>
    <w:rsid w:val="00907785"/>
    <w:rsid w:val="00910B26"/>
    <w:rsid w:val="009110C1"/>
    <w:rsid w:val="00911A63"/>
    <w:rsid w:val="00916EA7"/>
    <w:rsid w:val="00920F71"/>
    <w:rsid w:val="00924235"/>
    <w:rsid w:val="009253AE"/>
    <w:rsid w:val="009274B4"/>
    <w:rsid w:val="00927EE6"/>
    <w:rsid w:val="00932065"/>
    <w:rsid w:val="009321D9"/>
    <w:rsid w:val="009324F4"/>
    <w:rsid w:val="00934EA2"/>
    <w:rsid w:val="0093546F"/>
    <w:rsid w:val="009415C5"/>
    <w:rsid w:val="00941CEF"/>
    <w:rsid w:val="00944A5C"/>
    <w:rsid w:val="00947B30"/>
    <w:rsid w:val="00947BAD"/>
    <w:rsid w:val="00950EE4"/>
    <w:rsid w:val="009521AC"/>
    <w:rsid w:val="00952A66"/>
    <w:rsid w:val="0095399B"/>
    <w:rsid w:val="009554AA"/>
    <w:rsid w:val="00956C36"/>
    <w:rsid w:val="009574D6"/>
    <w:rsid w:val="009625A6"/>
    <w:rsid w:val="009632B5"/>
    <w:rsid w:val="00970234"/>
    <w:rsid w:val="00971196"/>
    <w:rsid w:val="009718E1"/>
    <w:rsid w:val="0097483E"/>
    <w:rsid w:val="0098111F"/>
    <w:rsid w:val="00982A52"/>
    <w:rsid w:val="00984C97"/>
    <w:rsid w:val="00986598"/>
    <w:rsid w:val="00986BE7"/>
    <w:rsid w:val="0099127C"/>
    <w:rsid w:val="00993D69"/>
    <w:rsid w:val="0099665A"/>
    <w:rsid w:val="00997728"/>
    <w:rsid w:val="00997CF3"/>
    <w:rsid w:val="009A37D0"/>
    <w:rsid w:val="009A6A0C"/>
    <w:rsid w:val="009B3475"/>
    <w:rsid w:val="009B41AB"/>
    <w:rsid w:val="009B4C57"/>
    <w:rsid w:val="009C1AC1"/>
    <w:rsid w:val="009C56E5"/>
    <w:rsid w:val="009C641B"/>
    <w:rsid w:val="009D1420"/>
    <w:rsid w:val="009D23E6"/>
    <w:rsid w:val="009D615C"/>
    <w:rsid w:val="009D6C9A"/>
    <w:rsid w:val="009E3A83"/>
    <w:rsid w:val="009E4E85"/>
    <w:rsid w:val="009E5E41"/>
    <w:rsid w:val="009E5FC8"/>
    <w:rsid w:val="009E60D8"/>
    <w:rsid w:val="009E687A"/>
    <w:rsid w:val="009F52F2"/>
    <w:rsid w:val="009F558F"/>
    <w:rsid w:val="009F7326"/>
    <w:rsid w:val="00A029B1"/>
    <w:rsid w:val="00A03C5C"/>
    <w:rsid w:val="00A04C43"/>
    <w:rsid w:val="00A066F1"/>
    <w:rsid w:val="00A068E8"/>
    <w:rsid w:val="00A06EE0"/>
    <w:rsid w:val="00A141AF"/>
    <w:rsid w:val="00A15B02"/>
    <w:rsid w:val="00A16D29"/>
    <w:rsid w:val="00A20E5E"/>
    <w:rsid w:val="00A30305"/>
    <w:rsid w:val="00A31ACB"/>
    <w:rsid w:val="00A31D2D"/>
    <w:rsid w:val="00A32166"/>
    <w:rsid w:val="00A32DCF"/>
    <w:rsid w:val="00A343DB"/>
    <w:rsid w:val="00A365F1"/>
    <w:rsid w:val="00A42A0D"/>
    <w:rsid w:val="00A45C9C"/>
    <w:rsid w:val="00A4600A"/>
    <w:rsid w:val="00A46511"/>
    <w:rsid w:val="00A513BE"/>
    <w:rsid w:val="00A52855"/>
    <w:rsid w:val="00A52EF1"/>
    <w:rsid w:val="00A538A6"/>
    <w:rsid w:val="00A54C25"/>
    <w:rsid w:val="00A56F12"/>
    <w:rsid w:val="00A60BBF"/>
    <w:rsid w:val="00A61C42"/>
    <w:rsid w:val="00A626F9"/>
    <w:rsid w:val="00A710E7"/>
    <w:rsid w:val="00A72E96"/>
    <w:rsid w:val="00A7372E"/>
    <w:rsid w:val="00A75306"/>
    <w:rsid w:val="00A824A6"/>
    <w:rsid w:val="00A82705"/>
    <w:rsid w:val="00A877BC"/>
    <w:rsid w:val="00A90D6A"/>
    <w:rsid w:val="00A928BE"/>
    <w:rsid w:val="00A93825"/>
    <w:rsid w:val="00A93B85"/>
    <w:rsid w:val="00A974E8"/>
    <w:rsid w:val="00A978ED"/>
    <w:rsid w:val="00AA0B18"/>
    <w:rsid w:val="00AA4B2C"/>
    <w:rsid w:val="00AA666F"/>
    <w:rsid w:val="00AB015D"/>
    <w:rsid w:val="00AB3E4B"/>
    <w:rsid w:val="00AB5A9E"/>
    <w:rsid w:val="00AB6F6C"/>
    <w:rsid w:val="00AC35F7"/>
    <w:rsid w:val="00AC5B9B"/>
    <w:rsid w:val="00AD4693"/>
    <w:rsid w:val="00AD6650"/>
    <w:rsid w:val="00AE1A65"/>
    <w:rsid w:val="00AF2636"/>
    <w:rsid w:val="00AF3BD4"/>
    <w:rsid w:val="00AF5323"/>
    <w:rsid w:val="00B004E5"/>
    <w:rsid w:val="00B0215B"/>
    <w:rsid w:val="00B02B6C"/>
    <w:rsid w:val="00B03303"/>
    <w:rsid w:val="00B11A3F"/>
    <w:rsid w:val="00B20B34"/>
    <w:rsid w:val="00B20DB6"/>
    <w:rsid w:val="00B22127"/>
    <w:rsid w:val="00B227BA"/>
    <w:rsid w:val="00B33CB7"/>
    <w:rsid w:val="00B544B1"/>
    <w:rsid w:val="00B54EF0"/>
    <w:rsid w:val="00B56002"/>
    <w:rsid w:val="00B60983"/>
    <w:rsid w:val="00B611E7"/>
    <w:rsid w:val="00B639E9"/>
    <w:rsid w:val="00B652BA"/>
    <w:rsid w:val="00B66F42"/>
    <w:rsid w:val="00B70445"/>
    <w:rsid w:val="00B7291B"/>
    <w:rsid w:val="00B73328"/>
    <w:rsid w:val="00B75570"/>
    <w:rsid w:val="00B76601"/>
    <w:rsid w:val="00B817CD"/>
    <w:rsid w:val="00B836CB"/>
    <w:rsid w:val="00B86893"/>
    <w:rsid w:val="00B904AD"/>
    <w:rsid w:val="00B91479"/>
    <w:rsid w:val="00B9213D"/>
    <w:rsid w:val="00BA1A0D"/>
    <w:rsid w:val="00BA3C6B"/>
    <w:rsid w:val="00BA4946"/>
    <w:rsid w:val="00BB29C8"/>
    <w:rsid w:val="00BB2D3B"/>
    <w:rsid w:val="00BB3A95"/>
    <w:rsid w:val="00BC31BE"/>
    <w:rsid w:val="00BC3D44"/>
    <w:rsid w:val="00BC5302"/>
    <w:rsid w:val="00BC700F"/>
    <w:rsid w:val="00BC78ED"/>
    <w:rsid w:val="00BD257F"/>
    <w:rsid w:val="00BD6662"/>
    <w:rsid w:val="00BE56AD"/>
    <w:rsid w:val="00BF0BF0"/>
    <w:rsid w:val="00BF0EBA"/>
    <w:rsid w:val="00BF20AD"/>
    <w:rsid w:val="00BF6753"/>
    <w:rsid w:val="00C0018F"/>
    <w:rsid w:val="00C00D53"/>
    <w:rsid w:val="00C01438"/>
    <w:rsid w:val="00C05490"/>
    <w:rsid w:val="00C06334"/>
    <w:rsid w:val="00C07B86"/>
    <w:rsid w:val="00C10A8E"/>
    <w:rsid w:val="00C134ED"/>
    <w:rsid w:val="00C18227"/>
    <w:rsid w:val="00C20466"/>
    <w:rsid w:val="00C214ED"/>
    <w:rsid w:val="00C2187E"/>
    <w:rsid w:val="00C21E93"/>
    <w:rsid w:val="00C2305E"/>
    <w:rsid w:val="00C234E6"/>
    <w:rsid w:val="00C324A8"/>
    <w:rsid w:val="00C35A66"/>
    <w:rsid w:val="00C3628B"/>
    <w:rsid w:val="00C374C8"/>
    <w:rsid w:val="00C412A2"/>
    <w:rsid w:val="00C430CE"/>
    <w:rsid w:val="00C52050"/>
    <w:rsid w:val="00C54517"/>
    <w:rsid w:val="00C54C81"/>
    <w:rsid w:val="00C55FB6"/>
    <w:rsid w:val="00C56974"/>
    <w:rsid w:val="00C6063B"/>
    <w:rsid w:val="00C60EF9"/>
    <w:rsid w:val="00C61B11"/>
    <w:rsid w:val="00C61DF7"/>
    <w:rsid w:val="00C623ED"/>
    <w:rsid w:val="00C634E8"/>
    <w:rsid w:val="00C648A0"/>
    <w:rsid w:val="00C64CD8"/>
    <w:rsid w:val="00C73C43"/>
    <w:rsid w:val="00C7565B"/>
    <w:rsid w:val="00C820E7"/>
    <w:rsid w:val="00C84ACB"/>
    <w:rsid w:val="00C919E7"/>
    <w:rsid w:val="00C9751D"/>
    <w:rsid w:val="00C97C68"/>
    <w:rsid w:val="00CA1A47"/>
    <w:rsid w:val="00CA573F"/>
    <w:rsid w:val="00CA7055"/>
    <w:rsid w:val="00CA7479"/>
    <w:rsid w:val="00CB7097"/>
    <w:rsid w:val="00CC247A"/>
    <w:rsid w:val="00CC347D"/>
    <w:rsid w:val="00CC4219"/>
    <w:rsid w:val="00CC5162"/>
    <w:rsid w:val="00CD28A9"/>
    <w:rsid w:val="00CD4906"/>
    <w:rsid w:val="00CD4EB2"/>
    <w:rsid w:val="00CD53ED"/>
    <w:rsid w:val="00CD6EE0"/>
    <w:rsid w:val="00CD7270"/>
    <w:rsid w:val="00CE055E"/>
    <w:rsid w:val="00CE0A91"/>
    <w:rsid w:val="00CE0F54"/>
    <w:rsid w:val="00CE331D"/>
    <w:rsid w:val="00CE5BDE"/>
    <w:rsid w:val="00CE5E47"/>
    <w:rsid w:val="00CE605D"/>
    <w:rsid w:val="00CE6ACC"/>
    <w:rsid w:val="00CE7F0A"/>
    <w:rsid w:val="00CF020F"/>
    <w:rsid w:val="00CF0C14"/>
    <w:rsid w:val="00CF114A"/>
    <w:rsid w:val="00CF137D"/>
    <w:rsid w:val="00CF2B5B"/>
    <w:rsid w:val="00D03E34"/>
    <w:rsid w:val="00D06121"/>
    <w:rsid w:val="00D07F6F"/>
    <w:rsid w:val="00D124EC"/>
    <w:rsid w:val="00D133B9"/>
    <w:rsid w:val="00D13D94"/>
    <w:rsid w:val="00D14CE0"/>
    <w:rsid w:val="00D21091"/>
    <w:rsid w:val="00D23A95"/>
    <w:rsid w:val="00D26CAF"/>
    <w:rsid w:val="00D274C6"/>
    <w:rsid w:val="00D33433"/>
    <w:rsid w:val="00D339E8"/>
    <w:rsid w:val="00D35C0E"/>
    <w:rsid w:val="00D365BD"/>
    <w:rsid w:val="00D401E9"/>
    <w:rsid w:val="00D47A0B"/>
    <w:rsid w:val="00D51D5C"/>
    <w:rsid w:val="00D5474F"/>
    <w:rsid w:val="00D5651D"/>
    <w:rsid w:val="00D56E12"/>
    <w:rsid w:val="00D61E64"/>
    <w:rsid w:val="00D626EC"/>
    <w:rsid w:val="00D62D8E"/>
    <w:rsid w:val="00D632CC"/>
    <w:rsid w:val="00D67147"/>
    <w:rsid w:val="00D70E09"/>
    <w:rsid w:val="00D71836"/>
    <w:rsid w:val="00D7211C"/>
    <w:rsid w:val="00D72FEE"/>
    <w:rsid w:val="00D74898"/>
    <w:rsid w:val="00D774A5"/>
    <w:rsid w:val="00D801ED"/>
    <w:rsid w:val="00D83023"/>
    <w:rsid w:val="00D8377F"/>
    <w:rsid w:val="00D83BF5"/>
    <w:rsid w:val="00D91CE3"/>
    <w:rsid w:val="00D91E0B"/>
    <w:rsid w:val="00D925C2"/>
    <w:rsid w:val="00D92717"/>
    <w:rsid w:val="00D936BC"/>
    <w:rsid w:val="00D94206"/>
    <w:rsid w:val="00D96530"/>
    <w:rsid w:val="00D96B4B"/>
    <w:rsid w:val="00D9746D"/>
    <w:rsid w:val="00DA1EAE"/>
    <w:rsid w:val="00DA28F5"/>
    <w:rsid w:val="00DA7078"/>
    <w:rsid w:val="00DA7C21"/>
    <w:rsid w:val="00DB286A"/>
    <w:rsid w:val="00DB3288"/>
    <w:rsid w:val="00DB66E1"/>
    <w:rsid w:val="00DB783D"/>
    <w:rsid w:val="00DC08E2"/>
    <w:rsid w:val="00DC11AA"/>
    <w:rsid w:val="00DC389F"/>
    <w:rsid w:val="00DD08B4"/>
    <w:rsid w:val="00DD44AF"/>
    <w:rsid w:val="00DE2AC3"/>
    <w:rsid w:val="00DE434C"/>
    <w:rsid w:val="00DE44EE"/>
    <w:rsid w:val="00DE5692"/>
    <w:rsid w:val="00DE573D"/>
    <w:rsid w:val="00DE6030"/>
    <w:rsid w:val="00DF2236"/>
    <w:rsid w:val="00DF4AFD"/>
    <w:rsid w:val="00DF6F8E"/>
    <w:rsid w:val="00DFC8AD"/>
    <w:rsid w:val="00E01C64"/>
    <w:rsid w:val="00E03C94"/>
    <w:rsid w:val="00E05332"/>
    <w:rsid w:val="00E05AF4"/>
    <w:rsid w:val="00E06170"/>
    <w:rsid w:val="00E07105"/>
    <w:rsid w:val="00E07D0A"/>
    <w:rsid w:val="00E10130"/>
    <w:rsid w:val="00E14A44"/>
    <w:rsid w:val="00E15852"/>
    <w:rsid w:val="00E17748"/>
    <w:rsid w:val="00E26226"/>
    <w:rsid w:val="00E35506"/>
    <w:rsid w:val="00E3A285"/>
    <w:rsid w:val="00E45BE1"/>
    <w:rsid w:val="00E45D05"/>
    <w:rsid w:val="00E45DF3"/>
    <w:rsid w:val="00E470FB"/>
    <w:rsid w:val="00E52982"/>
    <w:rsid w:val="00E539FE"/>
    <w:rsid w:val="00E53B3B"/>
    <w:rsid w:val="00E55816"/>
    <w:rsid w:val="00E55AEF"/>
    <w:rsid w:val="00E56545"/>
    <w:rsid w:val="00E57047"/>
    <w:rsid w:val="00E602A9"/>
    <w:rsid w:val="00E603D1"/>
    <w:rsid w:val="00E64520"/>
    <w:rsid w:val="00E673CE"/>
    <w:rsid w:val="00E71756"/>
    <w:rsid w:val="00E73A6F"/>
    <w:rsid w:val="00E743D7"/>
    <w:rsid w:val="00E74C43"/>
    <w:rsid w:val="00E75D63"/>
    <w:rsid w:val="00E7630D"/>
    <w:rsid w:val="00E77563"/>
    <w:rsid w:val="00E81CBA"/>
    <w:rsid w:val="00E85502"/>
    <w:rsid w:val="00E976C1"/>
    <w:rsid w:val="00EA09BD"/>
    <w:rsid w:val="00EA12E5"/>
    <w:rsid w:val="00EA34D0"/>
    <w:rsid w:val="00EA4F39"/>
    <w:rsid w:val="00EB0EDF"/>
    <w:rsid w:val="00EC0CB0"/>
    <w:rsid w:val="00EC3CED"/>
    <w:rsid w:val="00EC4891"/>
    <w:rsid w:val="00EC4F2B"/>
    <w:rsid w:val="00EC4F2E"/>
    <w:rsid w:val="00EC67EA"/>
    <w:rsid w:val="00EC77F2"/>
    <w:rsid w:val="00EC9C24"/>
    <w:rsid w:val="00ED027C"/>
    <w:rsid w:val="00ED44D3"/>
    <w:rsid w:val="00ED517A"/>
    <w:rsid w:val="00ED69CB"/>
    <w:rsid w:val="00EDF67C"/>
    <w:rsid w:val="00EE54D2"/>
    <w:rsid w:val="00EE7587"/>
    <w:rsid w:val="00EF1E05"/>
    <w:rsid w:val="00EF3B52"/>
    <w:rsid w:val="00EF4460"/>
    <w:rsid w:val="00EF745C"/>
    <w:rsid w:val="00F02766"/>
    <w:rsid w:val="00F04067"/>
    <w:rsid w:val="00F05BD4"/>
    <w:rsid w:val="00F0657E"/>
    <w:rsid w:val="00F12C3A"/>
    <w:rsid w:val="00F13E3F"/>
    <w:rsid w:val="00F14711"/>
    <w:rsid w:val="00F15B39"/>
    <w:rsid w:val="00F173F7"/>
    <w:rsid w:val="00F17FF8"/>
    <w:rsid w:val="00F21A1D"/>
    <w:rsid w:val="00F21ED0"/>
    <w:rsid w:val="00F242D6"/>
    <w:rsid w:val="00F26294"/>
    <w:rsid w:val="00F27335"/>
    <w:rsid w:val="00F32BE6"/>
    <w:rsid w:val="00F334A8"/>
    <w:rsid w:val="00F369BE"/>
    <w:rsid w:val="00F40A26"/>
    <w:rsid w:val="00F4258F"/>
    <w:rsid w:val="00F43327"/>
    <w:rsid w:val="00F43460"/>
    <w:rsid w:val="00F4680D"/>
    <w:rsid w:val="00F5222E"/>
    <w:rsid w:val="00F5271F"/>
    <w:rsid w:val="00F56306"/>
    <w:rsid w:val="00F61867"/>
    <w:rsid w:val="00F62107"/>
    <w:rsid w:val="00F62EFF"/>
    <w:rsid w:val="00F63D31"/>
    <w:rsid w:val="00F64F56"/>
    <w:rsid w:val="00F651E5"/>
    <w:rsid w:val="00F65C19"/>
    <w:rsid w:val="00F70DE1"/>
    <w:rsid w:val="00F73235"/>
    <w:rsid w:val="00F7784C"/>
    <w:rsid w:val="00F81C3B"/>
    <w:rsid w:val="00F81E87"/>
    <w:rsid w:val="00F834D4"/>
    <w:rsid w:val="00F83F38"/>
    <w:rsid w:val="00F907C1"/>
    <w:rsid w:val="00F91A79"/>
    <w:rsid w:val="00F91BAE"/>
    <w:rsid w:val="00F91DAF"/>
    <w:rsid w:val="00F91F27"/>
    <w:rsid w:val="00F91F29"/>
    <w:rsid w:val="00F959FB"/>
    <w:rsid w:val="00FA26D7"/>
    <w:rsid w:val="00FA617B"/>
    <w:rsid w:val="00FB4AD0"/>
    <w:rsid w:val="00FC24D7"/>
    <w:rsid w:val="00FC65A8"/>
    <w:rsid w:val="00FD1440"/>
    <w:rsid w:val="00FD2546"/>
    <w:rsid w:val="00FD772E"/>
    <w:rsid w:val="00FE217F"/>
    <w:rsid w:val="00FE5E79"/>
    <w:rsid w:val="00FE78C7"/>
    <w:rsid w:val="00FF3965"/>
    <w:rsid w:val="00FF43AC"/>
    <w:rsid w:val="010E4A5F"/>
    <w:rsid w:val="011B7D2B"/>
    <w:rsid w:val="0141586B"/>
    <w:rsid w:val="014CB37B"/>
    <w:rsid w:val="01548872"/>
    <w:rsid w:val="01655DF2"/>
    <w:rsid w:val="01719158"/>
    <w:rsid w:val="0177F0FE"/>
    <w:rsid w:val="01AA6470"/>
    <w:rsid w:val="01BA326F"/>
    <w:rsid w:val="01BF9A1D"/>
    <w:rsid w:val="01C46A95"/>
    <w:rsid w:val="01E7A6FB"/>
    <w:rsid w:val="01F0BBE1"/>
    <w:rsid w:val="01F2BA8E"/>
    <w:rsid w:val="0210834B"/>
    <w:rsid w:val="0212674C"/>
    <w:rsid w:val="021532EB"/>
    <w:rsid w:val="023653EB"/>
    <w:rsid w:val="024DA9E5"/>
    <w:rsid w:val="02504596"/>
    <w:rsid w:val="026521F5"/>
    <w:rsid w:val="026657FF"/>
    <w:rsid w:val="02784BE5"/>
    <w:rsid w:val="028ED188"/>
    <w:rsid w:val="0292C2EF"/>
    <w:rsid w:val="029435CE"/>
    <w:rsid w:val="029EED29"/>
    <w:rsid w:val="02B26B89"/>
    <w:rsid w:val="02B816C0"/>
    <w:rsid w:val="02C4CAB8"/>
    <w:rsid w:val="02CB8853"/>
    <w:rsid w:val="02D60FC5"/>
    <w:rsid w:val="02DA9C6A"/>
    <w:rsid w:val="02E0993B"/>
    <w:rsid w:val="03258049"/>
    <w:rsid w:val="032C692B"/>
    <w:rsid w:val="032FC6E4"/>
    <w:rsid w:val="033CF1D5"/>
    <w:rsid w:val="03472FB7"/>
    <w:rsid w:val="0349E975"/>
    <w:rsid w:val="03640805"/>
    <w:rsid w:val="037AE162"/>
    <w:rsid w:val="038517A6"/>
    <w:rsid w:val="03893BEE"/>
    <w:rsid w:val="039022B5"/>
    <w:rsid w:val="0395BCF3"/>
    <w:rsid w:val="03A26E04"/>
    <w:rsid w:val="03B3D1EB"/>
    <w:rsid w:val="03B69472"/>
    <w:rsid w:val="03BAF528"/>
    <w:rsid w:val="03C19138"/>
    <w:rsid w:val="03C974EE"/>
    <w:rsid w:val="03CD2BAA"/>
    <w:rsid w:val="03D1E6E3"/>
    <w:rsid w:val="04151865"/>
    <w:rsid w:val="04178758"/>
    <w:rsid w:val="045D4A8C"/>
    <w:rsid w:val="0470AC06"/>
    <w:rsid w:val="04752EF4"/>
    <w:rsid w:val="0482F233"/>
    <w:rsid w:val="04AAFB77"/>
    <w:rsid w:val="04B7C8FE"/>
    <w:rsid w:val="04DC7453"/>
    <w:rsid w:val="04DD9C3E"/>
    <w:rsid w:val="04E6A888"/>
    <w:rsid w:val="051AE0E2"/>
    <w:rsid w:val="052478A0"/>
    <w:rsid w:val="052C9433"/>
    <w:rsid w:val="056BB07C"/>
    <w:rsid w:val="059DEE00"/>
    <w:rsid w:val="05A27B59"/>
    <w:rsid w:val="05B6B1CC"/>
    <w:rsid w:val="05C1679F"/>
    <w:rsid w:val="05C946DA"/>
    <w:rsid w:val="05D58298"/>
    <w:rsid w:val="05DD6B3D"/>
    <w:rsid w:val="05E169E7"/>
    <w:rsid w:val="05FA765F"/>
    <w:rsid w:val="060F0F93"/>
    <w:rsid w:val="06199DD0"/>
    <w:rsid w:val="06202BC3"/>
    <w:rsid w:val="0630F0E0"/>
    <w:rsid w:val="06357636"/>
    <w:rsid w:val="0644416D"/>
    <w:rsid w:val="064BA196"/>
    <w:rsid w:val="0660B0FB"/>
    <w:rsid w:val="06CE58E1"/>
    <w:rsid w:val="06D7FE85"/>
    <w:rsid w:val="06E1945F"/>
    <w:rsid w:val="06F38973"/>
    <w:rsid w:val="06F45C52"/>
    <w:rsid w:val="071C243D"/>
    <w:rsid w:val="0728D720"/>
    <w:rsid w:val="07348CE9"/>
    <w:rsid w:val="07362080"/>
    <w:rsid w:val="074BEEDE"/>
    <w:rsid w:val="0752AD74"/>
    <w:rsid w:val="075E5C73"/>
    <w:rsid w:val="07642904"/>
    <w:rsid w:val="07746E11"/>
    <w:rsid w:val="077604C3"/>
    <w:rsid w:val="0780A715"/>
    <w:rsid w:val="078C677E"/>
    <w:rsid w:val="079F6654"/>
    <w:rsid w:val="07B5144E"/>
    <w:rsid w:val="07B5705F"/>
    <w:rsid w:val="07C319C8"/>
    <w:rsid w:val="07F0219F"/>
    <w:rsid w:val="0805381E"/>
    <w:rsid w:val="080ED516"/>
    <w:rsid w:val="0819D78C"/>
    <w:rsid w:val="081B4C8F"/>
    <w:rsid w:val="08417430"/>
    <w:rsid w:val="084DEF75"/>
    <w:rsid w:val="0852803F"/>
    <w:rsid w:val="086F8617"/>
    <w:rsid w:val="08706DF9"/>
    <w:rsid w:val="08902F2C"/>
    <w:rsid w:val="08A38706"/>
    <w:rsid w:val="08A5BDA8"/>
    <w:rsid w:val="08A65CAA"/>
    <w:rsid w:val="08A9EB3E"/>
    <w:rsid w:val="08C59BC2"/>
    <w:rsid w:val="08CFE076"/>
    <w:rsid w:val="08ECFF63"/>
    <w:rsid w:val="093E1A48"/>
    <w:rsid w:val="094F3105"/>
    <w:rsid w:val="0972CE6B"/>
    <w:rsid w:val="0995B662"/>
    <w:rsid w:val="0998A170"/>
    <w:rsid w:val="09A6279C"/>
    <w:rsid w:val="09AB6727"/>
    <w:rsid w:val="09AE2009"/>
    <w:rsid w:val="09CE793A"/>
    <w:rsid w:val="09F87D72"/>
    <w:rsid w:val="0A01F3EF"/>
    <w:rsid w:val="0A08B285"/>
    <w:rsid w:val="0A113688"/>
    <w:rsid w:val="0A1D0207"/>
    <w:rsid w:val="0A2045D8"/>
    <w:rsid w:val="0A21A811"/>
    <w:rsid w:val="0A22A7F3"/>
    <w:rsid w:val="0A9F524B"/>
    <w:rsid w:val="0AA1EDFD"/>
    <w:rsid w:val="0AA5DBF6"/>
    <w:rsid w:val="0AE2425B"/>
    <w:rsid w:val="0AF22841"/>
    <w:rsid w:val="0B20EDFC"/>
    <w:rsid w:val="0B35783A"/>
    <w:rsid w:val="0B365D9A"/>
    <w:rsid w:val="0B3A1DE3"/>
    <w:rsid w:val="0B3DF338"/>
    <w:rsid w:val="0B406A0D"/>
    <w:rsid w:val="0B5C9837"/>
    <w:rsid w:val="0B6F289F"/>
    <w:rsid w:val="0BA378F6"/>
    <w:rsid w:val="0BB26F51"/>
    <w:rsid w:val="0BB27251"/>
    <w:rsid w:val="0BD1C898"/>
    <w:rsid w:val="0BD46CC2"/>
    <w:rsid w:val="0BD6054E"/>
    <w:rsid w:val="0BD7A634"/>
    <w:rsid w:val="0BE990C9"/>
    <w:rsid w:val="0BEADA9B"/>
    <w:rsid w:val="0BF3D87D"/>
    <w:rsid w:val="0BFB5854"/>
    <w:rsid w:val="0C0FA9C8"/>
    <w:rsid w:val="0C148720"/>
    <w:rsid w:val="0C1F55D8"/>
    <w:rsid w:val="0C2C778B"/>
    <w:rsid w:val="0C4FBED8"/>
    <w:rsid w:val="0C782D10"/>
    <w:rsid w:val="0C7ADA4C"/>
    <w:rsid w:val="0C7E0D79"/>
    <w:rsid w:val="0CB49F01"/>
    <w:rsid w:val="0CC6687A"/>
    <w:rsid w:val="0CC6D6F2"/>
    <w:rsid w:val="0CD1C36D"/>
    <w:rsid w:val="0CD885F6"/>
    <w:rsid w:val="0CDBA836"/>
    <w:rsid w:val="0CE3C484"/>
    <w:rsid w:val="0CE40D64"/>
    <w:rsid w:val="0CF77E9F"/>
    <w:rsid w:val="0D061602"/>
    <w:rsid w:val="0D2DDDED"/>
    <w:rsid w:val="0D42EA87"/>
    <w:rsid w:val="0D4F7592"/>
    <w:rsid w:val="0D7989D3"/>
    <w:rsid w:val="0D821ACF"/>
    <w:rsid w:val="0D8278CB"/>
    <w:rsid w:val="0DCD6758"/>
    <w:rsid w:val="0DF2C152"/>
    <w:rsid w:val="0DF2EF04"/>
    <w:rsid w:val="0E027349"/>
    <w:rsid w:val="0E03A5C1"/>
    <w:rsid w:val="0E08DE25"/>
    <w:rsid w:val="0E2D0410"/>
    <w:rsid w:val="0E4A1303"/>
    <w:rsid w:val="0E557135"/>
    <w:rsid w:val="0E5BE8BD"/>
    <w:rsid w:val="0E61D272"/>
    <w:rsid w:val="0E839E2D"/>
    <w:rsid w:val="0E887436"/>
    <w:rsid w:val="0E941023"/>
    <w:rsid w:val="0ECE202B"/>
    <w:rsid w:val="0EEA418E"/>
    <w:rsid w:val="0F19BFBF"/>
    <w:rsid w:val="0F28F2B1"/>
    <w:rsid w:val="0F2D2A6F"/>
    <w:rsid w:val="0F55F372"/>
    <w:rsid w:val="0F70376B"/>
    <w:rsid w:val="0F73BF8D"/>
    <w:rsid w:val="0F7624F7"/>
    <w:rsid w:val="0F8ADD4B"/>
    <w:rsid w:val="0FAA8575"/>
    <w:rsid w:val="0FB9B6EA"/>
    <w:rsid w:val="100F9EE1"/>
    <w:rsid w:val="10265C45"/>
    <w:rsid w:val="1034351D"/>
    <w:rsid w:val="1060186D"/>
    <w:rsid w:val="10665390"/>
    <w:rsid w:val="106E2820"/>
    <w:rsid w:val="10787A97"/>
    <w:rsid w:val="10946E2B"/>
    <w:rsid w:val="10D01B6F"/>
    <w:rsid w:val="10E01DAD"/>
    <w:rsid w:val="10E291FF"/>
    <w:rsid w:val="10E69AAB"/>
    <w:rsid w:val="10EA8717"/>
    <w:rsid w:val="10F5254A"/>
    <w:rsid w:val="111418DD"/>
    <w:rsid w:val="111B7FFE"/>
    <w:rsid w:val="112B5E2C"/>
    <w:rsid w:val="11428D50"/>
    <w:rsid w:val="1155DD6A"/>
    <w:rsid w:val="116704E1"/>
    <w:rsid w:val="11711D76"/>
    <w:rsid w:val="1189AF73"/>
    <w:rsid w:val="118DC708"/>
    <w:rsid w:val="119B06CB"/>
    <w:rsid w:val="11C4DB67"/>
    <w:rsid w:val="11D38840"/>
    <w:rsid w:val="11D92416"/>
    <w:rsid w:val="11DC8917"/>
    <w:rsid w:val="11E3013A"/>
    <w:rsid w:val="11EB5974"/>
    <w:rsid w:val="123BC9BE"/>
    <w:rsid w:val="1240C1EC"/>
    <w:rsid w:val="1253184D"/>
    <w:rsid w:val="126A99D8"/>
    <w:rsid w:val="12701C53"/>
    <w:rsid w:val="127284CB"/>
    <w:rsid w:val="1275D6CB"/>
    <w:rsid w:val="127BA723"/>
    <w:rsid w:val="127D997F"/>
    <w:rsid w:val="128C390D"/>
    <w:rsid w:val="12B3EFE5"/>
    <w:rsid w:val="12B6F520"/>
    <w:rsid w:val="12B8B3DB"/>
    <w:rsid w:val="12D8A5F1"/>
    <w:rsid w:val="12EC675F"/>
    <w:rsid w:val="13057B47"/>
    <w:rsid w:val="130CE432"/>
    <w:rsid w:val="13234934"/>
    <w:rsid w:val="13443BCF"/>
    <w:rsid w:val="1351D426"/>
    <w:rsid w:val="135769CC"/>
    <w:rsid w:val="1358297D"/>
    <w:rsid w:val="1363F154"/>
    <w:rsid w:val="13773D7E"/>
    <w:rsid w:val="1382576D"/>
    <w:rsid w:val="138A793C"/>
    <w:rsid w:val="138F4931"/>
    <w:rsid w:val="138F59B7"/>
    <w:rsid w:val="1392CA64"/>
    <w:rsid w:val="13A24A70"/>
    <w:rsid w:val="13C7EED6"/>
    <w:rsid w:val="13CD1CE3"/>
    <w:rsid w:val="140536A3"/>
    <w:rsid w:val="14073387"/>
    <w:rsid w:val="142395B7"/>
    <w:rsid w:val="14356806"/>
    <w:rsid w:val="144445F8"/>
    <w:rsid w:val="146DE8D2"/>
    <w:rsid w:val="1470475B"/>
    <w:rsid w:val="1474ACF6"/>
    <w:rsid w:val="149091FA"/>
    <w:rsid w:val="1492277F"/>
    <w:rsid w:val="1496B918"/>
    <w:rsid w:val="149A7476"/>
    <w:rsid w:val="14B0D685"/>
    <w:rsid w:val="14EFD859"/>
    <w:rsid w:val="15033B7C"/>
    <w:rsid w:val="15104736"/>
    <w:rsid w:val="15235445"/>
    <w:rsid w:val="152DDC19"/>
    <w:rsid w:val="1537E4E3"/>
    <w:rsid w:val="1559142E"/>
    <w:rsid w:val="155D69F4"/>
    <w:rsid w:val="155FD51D"/>
    <w:rsid w:val="157E4C63"/>
    <w:rsid w:val="158A022C"/>
    <w:rsid w:val="159DB204"/>
    <w:rsid w:val="15A10704"/>
    <w:rsid w:val="15A11FE8"/>
    <w:rsid w:val="15BF7800"/>
    <w:rsid w:val="15DE95C3"/>
    <w:rsid w:val="15E3C9DC"/>
    <w:rsid w:val="15F5DD98"/>
    <w:rsid w:val="16211529"/>
    <w:rsid w:val="16279359"/>
    <w:rsid w:val="163D3BB3"/>
    <w:rsid w:val="16A469AD"/>
    <w:rsid w:val="16A4E291"/>
    <w:rsid w:val="16B07985"/>
    <w:rsid w:val="16F51665"/>
    <w:rsid w:val="1706B6DE"/>
    <w:rsid w:val="1733C573"/>
    <w:rsid w:val="173BC829"/>
    <w:rsid w:val="174A193B"/>
    <w:rsid w:val="174DD7E1"/>
    <w:rsid w:val="1763EF43"/>
    <w:rsid w:val="17AA3778"/>
    <w:rsid w:val="17B136EF"/>
    <w:rsid w:val="17C449D9"/>
    <w:rsid w:val="17C85150"/>
    <w:rsid w:val="17D49BB9"/>
    <w:rsid w:val="18190DAF"/>
    <w:rsid w:val="18196918"/>
    <w:rsid w:val="18288BCE"/>
    <w:rsid w:val="18440CF1"/>
    <w:rsid w:val="18454673"/>
    <w:rsid w:val="186E33AF"/>
    <w:rsid w:val="1892DF04"/>
    <w:rsid w:val="18A72BD9"/>
    <w:rsid w:val="18C30F47"/>
    <w:rsid w:val="18CC888F"/>
    <w:rsid w:val="18DB2D54"/>
    <w:rsid w:val="191719B1"/>
    <w:rsid w:val="192DCF98"/>
    <w:rsid w:val="19302D84"/>
    <w:rsid w:val="1967CC5B"/>
    <w:rsid w:val="19A2CDBA"/>
    <w:rsid w:val="19A513A3"/>
    <w:rsid w:val="19F122C1"/>
    <w:rsid w:val="19F77C41"/>
    <w:rsid w:val="1A014D3C"/>
    <w:rsid w:val="1A2B59B5"/>
    <w:rsid w:val="1A2C8D21"/>
    <w:rsid w:val="1A336A2A"/>
    <w:rsid w:val="1A43078B"/>
    <w:rsid w:val="1A4CC558"/>
    <w:rsid w:val="1A58B88A"/>
    <w:rsid w:val="1A85802D"/>
    <w:rsid w:val="1A8942DC"/>
    <w:rsid w:val="1AB85E0F"/>
    <w:rsid w:val="1ACC8476"/>
    <w:rsid w:val="1AE74E32"/>
    <w:rsid w:val="1AF2A7B7"/>
    <w:rsid w:val="1B043929"/>
    <w:rsid w:val="1B1016DC"/>
    <w:rsid w:val="1B19F923"/>
    <w:rsid w:val="1B24D038"/>
    <w:rsid w:val="1B3EC1E3"/>
    <w:rsid w:val="1B50C986"/>
    <w:rsid w:val="1B881988"/>
    <w:rsid w:val="1B91A442"/>
    <w:rsid w:val="1B9D1D30"/>
    <w:rsid w:val="1BDFC620"/>
    <w:rsid w:val="1BE84F18"/>
    <w:rsid w:val="1BF853C1"/>
    <w:rsid w:val="1C1FE530"/>
    <w:rsid w:val="1C239150"/>
    <w:rsid w:val="1C260CD5"/>
    <w:rsid w:val="1C2FC24F"/>
    <w:rsid w:val="1C53BBED"/>
    <w:rsid w:val="1C855442"/>
    <w:rsid w:val="1CA183EF"/>
    <w:rsid w:val="1CB9AF32"/>
    <w:rsid w:val="1CD13748"/>
    <w:rsid w:val="1CE2EF09"/>
    <w:rsid w:val="1CEAFDFE"/>
    <w:rsid w:val="1CEB0951"/>
    <w:rsid w:val="1D108727"/>
    <w:rsid w:val="1D153EC8"/>
    <w:rsid w:val="1D47FDC6"/>
    <w:rsid w:val="1D6001CB"/>
    <w:rsid w:val="1D649743"/>
    <w:rsid w:val="1D792A4C"/>
    <w:rsid w:val="1D92F08C"/>
    <w:rsid w:val="1D972187"/>
    <w:rsid w:val="1D9C7F4F"/>
    <w:rsid w:val="1D9CCEC6"/>
    <w:rsid w:val="1D9DD57D"/>
    <w:rsid w:val="1DA9CECC"/>
    <w:rsid w:val="1DBC6454"/>
    <w:rsid w:val="1DBD40A1"/>
    <w:rsid w:val="1DC967A1"/>
    <w:rsid w:val="1E06D6AC"/>
    <w:rsid w:val="1E06E053"/>
    <w:rsid w:val="1E52BE07"/>
    <w:rsid w:val="1E8DF586"/>
    <w:rsid w:val="1EA95A40"/>
    <w:rsid w:val="1EB640FF"/>
    <w:rsid w:val="1EC5AAB9"/>
    <w:rsid w:val="1ECD9B22"/>
    <w:rsid w:val="1F0DF90F"/>
    <w:rsid w:val="1F3F2AC3"/>
    <w:rsid w:val="1F871638"/>
    <w:rsid w:val="1F871F5D"/>
    <w:rsid w:val="1F8A4F23"/>
    <w:rsid w:val="1F8C6E8A"/>
    <w:rsid w:val="1F9CFB4D"/>
    <w:rsid w:val="1F9F492D"/>
    <w:rsid w:val="1FB6B257"/>
    <w:rsid w:val="1FCA7990"/>
    <w:rsid w:val="1FEFD7B0"/>
    <w:rsid w:val="2028A374"/>
    <w:rsid w:val="2029144B"/>
    <w:rsid w:val="205AC062"/>
    <w:rsid w:val="205CB8A0"/>
    <w:rsid w:val="2063AA07"/>
    <w:rsid w:val="20746D0F"/>
    <w:rsid w:val="207ABD7B"/>
    <w:rsid w:val="207B4965"/>
    <w:rsid w:val="20871BD4"/>
    <w:rsid w:val="20A44AD8"/>
    <w:rsid w:val="20C5DFC9"/>
    <w:rsid w:val="20C80BCC"/>
    <w:rsid w:val="20CA89C4"/>
    <w:rsid w:val="20CB784E"/>
    <w:rsid w:val="20D239E1"/>
    <w:rsid w:val="20F5F3AF"/>
    <w:rsid w:val="210DF170"/>
    <w:rsid w:val="2114BCC5"/>
    <w:rsid w:val="21169958"/>
    <w:rsid w:val="2166CDF4"/>
    <w:rsid w:val="216E694D"/>
    <w:rsid w:val="2186660B"/>
    <w:rsid w:val="218AD833"/>
    <w:rsid w:val="21947870"/>
    <w:rsid w:val="21993BC0"/>
    <w:rsid w:val="21A4BFB3"/>
    <w:rsid w:val="21BA1719"/>
    <w:rsid w:val="21C56FF4"/>
    <w:rsid w:val="21D7A6EA"/>
    <w:rsid w:val="21D8890D"/>
    <w:rsid w:val="21F6CE2C"/>
    <w:rsid w:val="22106C43"/>
    <w:rsid w:val="222802BB"/>
    <w:rsid w:val="225DBC92"/>
    <w:rsid w:val="2266D070"/>
    <w:rsid w:val="2268E73D"/>
    <w:rsid w:val="226AD126"/>
    <w:rsid w:val="2277FA9E"/>
    <w:rsid w:val="229B9FDE"/>
    <w:rsid w:val="22A0161D"/>
    <w:rsid w:val="22A7C53F"/>
    <w:rsid w:val="22AEC5F8"/>
    <w:rsid w:val="22B0D622"/>
    <w:rsid w:val="22BBF128"/>
    <w:rsid w:val="22C64A71"/>
    <w:rsid w:val="22C8C1FA"/>
    <w:rsid w:val="22E3FAC2"/>
    <w:rsid w:val="22E60A21"/>
    <w:rsid w:val="22E927E8"/>
    <w:rsid w:val="22EAB6A4"/>
    <w:rsid w:val="2307107C"/>
    <w:rsid w:val="2316B9C0"/>
    <w:rsid w:val="2322CA93"/>
    <w:rsid w:val="233BB162"/>
    <w:rsid w:val="233D8D9D"/>
    <w:rsid w:val="2352EF43"/>
    <w:rsid w:val="235C1FA7"/>
    <w:rsid w:val="23678EB1"/>
    <w:rsid w:val="236B9EFD"/>
    <w:rsid w:val="2381BDC5"/>
    <w:rsid w:val="23B7B00E"/>
    <w:rsid w:val="23D894AD"/>
    <w:rsid w:val="23F5D20E"/>
    <w:rsid w:val="23F67F55"/>
    <w:rsid w:val="240C1AE2"/>
    <w:rsid w:val="2419D4CC"/>
    <w:rsid w:val="242FA8AD"/>
    <w:rsid w:val="24331924"/>
    <w:rsid w:val="244BB4FC"/>
    <w:rsid w:val="24531D51"/>
    <w:rsid w:val="2460290F"/>
    <w:rsid w:val="247AB736"/>
    <w:rsid w:val="24868A4D"/>
    <w:rsid w:val="248DF3FC"/>
    <w:rsid w:val="2492DE84"/>
    <w:rsid w:val="24995E97"/>
    <w:rsid w:val="249BBA0A"/>
    <w:rsid w:val="24B7DC5E"/>
    <w:rsid w:val="24DB9727"/>
    <w:rsid w:val="2511243F"/>
    <w:rsid w:val="252B2BED"/>
    <w:rsid w:val="25502497"/>
    <w:rsid w:val="2560C0C7"/>
    <w:rsid w:val="258D03F4"/>
    <w:rsid w:val="259C440B"/>
    <w:rsid w:val="25A047D6"/>
    <w:rsid w:val="25D41669"/>
    <w:rsid w:val="25D60D1D"/>
    <w:rsid w:val="25EAAAD8"/>
    <w:rsid w:val="260BCC0B"/>
    <w:rsid w:val="2642A4B9"/>
    <w:rsid w:val="26469535"/>
    <w:rsid w:val="265D9538"/>
    <w:rsid w:val="2665CEEC"/>
    <w:rsid w:val="26802B25"/>
    <w:rsid w:val="268F2E24"/>
    <w:rsid w:val="26915933"/>
    <w:rsid w:val="26EF7784"/>
    <w:rsid w:val="2706255B"/>
    <w:rsid w:val="2712C213"/>
    <w:rsid w:val="2726C3EA"/>
    <w:rsid w:val="272B0454"/>
    <w:rsid w:val="2733C52E"/>
    <w:rsid w:val="27676491"/>
    <w:rsid w:val="276F359B"/>
    <w:rsid w:val="27875848"/>
    <w:rsid w:val="278D1CEC"/>
    <w:rsid w:val="27BCF7FB"/>
    <w:rsid w:val="27DB752A"/>
    <w:rsid w:val="27F19576"/>
    <w:rsid w:val="27F2D324"/>
    <w:rsid w:val="2807A863"/>
    <w:rsid w:val="2815C637"/>
    <w:rsid w:val="28309856"/>
    <w:rsid w:val="2831EEF1"/>
    <w:rsid w:val="2840AA89"/>
    <w:rsid w:val="284E1643"/>
    <w:rsid w:val="286A5B36"/>
    <w:rsid w:val="288447D7"/>
    <w:rsid w:val="28868D20"/>
    <w:rsid w:val="28CA87F0"/>
    <w:rsid w:val="28E3D4D9"/>
    <w:rsid w:val="28F28D44"/>
    <w:rsid w:val="28F7EA19"/>
    <w:rsid w:val="290E7A29"/>
    <w:rsid w:val="291A70D9"/>
    <w:rsid w:val="29242735"/>
    <w:rsid w:val="2935959A"/>
    <w:rsid w:val="29399A07"/>
    <w:rsid w:val="294AEA19"/>
    <w:rsid w:val="295815E0"/>
    <w:rsid w:val="2969E82F"/>
    <w:rsid w:val="29B61CE6"/>
    <w:rsid w:val="29C0856D"/>
    <w:rsid w:val="29C81F7E"/>
    <w:rsid w:val="29CBA41E"/>
    <w:rsid w:val="29D76812"/>
    <w:rsid w:val="29F39997"/>
    <w:rsid w:val="29F52D2E"/>
    <w:rsid w:val="2A24BB61"/>
    <w:rsid w:val="2A3001EB"/>
    <w:rsid w:val="2A333838"/>
    <w:rsid w:val="2A3AEEBC"/>
    <w:rsid w:val="2A5415C8"/>
    <w:rsid w:val="2A5D476E"/>
    <w:rsid w:val="2A7626CF"/>
    <w:rsid w:val="2A8A44F0"/>
    <w:rsid w:val="2A92FAD1"/>
    <w:rsid w:val="2ABAE740"/>
    <w:rsid w:val="2AC76856"/>
    <w:rsid w:val="2ACF3816"/>
    <w:rsid w:val="2AEDEBA3"/>
    <w:rsid w:val="2B07B809"/>
    <w:rsid w:val="2B54F045"/>
    <w:rsid w:val="2BB07EE0"/>
    <w:rsid w:val="2BB74260"/>
    <w:rsid w:val="2BCA6066"/>
    <w:rsid w:val="2BCF90F2"/>
    <w:rsid w:val="2BD14191"/>
    <w:rsid w:val="2BED27F1"/>
    <w:rsid w:val="2C0098CE"/>
    <w:rsid w:val="2C250938"/>
    <w:rsid w:val="2C3FBE51"/>
    <w:rsid w:val="2C607A9C"/>
    <w:rsid w:val="2C758143"/>
    <w:rsid w:val="2C902A39"/>
    <w:rsid w:val="2C998829"/>
    <w:rsid w:val="2CA3DF3E"/>
    <w:rsid w:val="2CAA9AC7"/>
    <w:rsid w:val="2CC1009D"/>
    <w:rsid w:val="2CD69574"/>
    <w:rsid w:val="2CE8D41B"/>
    <w:rsid w:val="2CF96416"/>
    <w:rsid w:val="2CFB1F4E"/>
    <w:rsid w:val="2D0C8CF6"/>
    <w:rsid w:val="2D247CBE"/>
    <w:rsid w:val="2D5EFBE5"/>
    <w:rsid w:val="2D6C2AA1"/>
    <w:rsid w:val="2D8CE26C"/>
    <w:rsid w:val="2D8E9AB7"/>
    <w:rsid w:val="2D90FDA3"/>
    <w:rsid w:val="2DB4E1DB"/>
    <w:rsid w:val="2DB800F7"/>
    <w:rsid w:val="2DBDBF31"/>
    <w:rsid w:val="2DC437FF"/>
    <w:rsid w:val="2DDF0830"/>
    <w:rsid w:val="2DF3A603"/>
    <w:rsid w:val="2E22574B"/>
    <w:rsid w:val="2E50E864"/>
    <w:rsid w:val="2E5A209B"/>
    <w:rsid w:val="2E781ED8"/>
    <w:rsid w:val="2E78B7D9"/>
    <w:rsid w:val="2E972306"/>
    <w:rsid w:val="2EA09DA6"/>
    <w:rsid w:val="2EF27E4A"/>
    <w:rsid w:val="2EFFE63E"/>
    <w:rsid w:val="2F0EEB6E"/>
    <w:rsid w:val="2F0FC0FD"/>
    <w:rsid w:val="2F1E9E41"/>
    <w:rsid w:val="2F39ADE9"/>
    <w:rsid w:val="2F39E5F8"/>
    <w:rsid w:val="2F3C441F"/>
    <w:rsid w:val="2F402C0D"/>
    <w:rsid w:val="2F484D57"/>
    <w:rsid w:val="2F4E371D"/>
    <w:rsid w:val="2F4F57CB"/>
    <w:rsid w:val="2F554EB6"/>
    <w:rsid w:val="2F6130E9"/>
    <w:rsid w:val="2F6D4823"/>
    <w:rsid w:val="2F7284AA"/>
    <w:rsid w:val="2F85560F"/>
    <w:rsid w:val="2F93F8AC"/>
    <w:rsid w:val="2F9D4595"/>
    <w:rsid w:val="2FA6C5B7"/>
    <w:rsid w:val="2FA8657E"/>
    <w:rsid w:val="2FC778A8"/>
    <w:rsid w:val="2FCA74ED"/>
    <w:rsid w:val="2FEC3757"/>
    <w:rsid w:val="300281EB"/>
    <w:rsid w:val="3008D57F"/>
    <w:rsid w:val="301FFD37"/>
    <w:rsid w:val="30267622"/>
    <w:rsid w:val="30269FF2"/>
    <w:rsid w:val="3038FA26"/>
    <w:rsid w:val="30653037"/>
    <w:rsid w:val="306B04F5"/>
    <w:rsid w:val="306F1EBF"/>
    <w:rsid w:val="3078D8ED"/>
    <w:rsid w:val="30803755"/>
    <w:rsid w:val="308EB540"/>
    <w:rsid w:val="30F83A71"/>
    <w:rsid w:val="3110434B"/>
    <w:rsid w:val="3121A86E"/>
    <w:rsid w:val="31298CD9"/>
    <w:rsid w:val="313F6EEA"/>
    <w:rsid w:val="31533977"/>
    <w:rsid w:val="316F41A6"/>
    <w:rsid w:val="31AE1301"/>
    <w:rsid w:val="31B20478"/>
    <w:rsid w:val="31BDC4B6"/>
    <w:rsid w:val="31BE0013"/>
    <w:rsid w:val="31D9AEDD"/>
    <w:rsid w:val="31E4E20A"/>
    <w:rsid w:val="31F7EDE1"/>
    <w:rsid w:val="32002EC8"/>
    <w:rsid w:val="3220C3E2"/>
    <w:rsid w:val="322A2C13"/>
    <w:rsid w:val="3233D664"/>
    <w:rsid w:val="323EF14B"/>
    <w:rsid w:val="32437A3A"/>
    <w:rsid w:val="3247731F"/>
    <w:rsid w:val="324793E2"/>
    <w:rsid w:val="327077BC"/>
    <w:rsid w:val="3271C445"/>
    <w:rsid w:val="3285AE0A"/>
    <w:rsid w:val="32D55C11"/>
    <w:rsid w:val="32F454A0"/>
    <w:rsid w:val="3311FC53"/>
    <w:rsid w:val="335332A1"/>
    <w:rsid w:val="3361311A"/>
    <w:rsid w:val="336D40F2"/>
    <w:rsid w:val="336D4C85"/>
    <w:rsid w:val="3372CDFA"/>
    <w:rsid w:val="3373D84A"/>
    <w:rsid w:val="3380FF73"/>
    <w:rsid w:val="33A2456D"/>
    <w:rsid w:val="33C8DB20"/>
    <w:rsid w:val="33E8CDC1"/>
    <w:rsid w:val="33EB8528"/>
    <w:rsid w:val="33FD5D20"/>
    <w:rsid w:val="34050E74"/>
    <w:rsid w:val="3415C1A8"/>
    <w:rsid w:val="34277DA6"/>
    <w:rsid w:val="342E30EB"/>
    <w:rsid w:val="34307BB7"/>
    <w:rsid w:val="34446A57"/>
    <w:rsid w:val="34588E81"/>
    <w:rsid w:val="348775A2"/>
    <w:rsid w:val="348F99E1"/>
    <w:rsid w:val="34A5962D"/>
    <w:rsid w:val="34B248DA"/>
    <w:rsid w:val="34D9F455"/>
    <w:rsid w:val="34EB2F2C"/>
    <w:rsid w:val="35010A24"/>
    <w:rsid w:val="3515A69F"/>
    <w:rsid w:val="3522EFFD"/>
    <w:rsid w:val="352E224A"/>
    <w:rsid w:val="352F6423"/>
    <w:rsid w:val="353AD52D"/>
    <w:rsid w:val="3553AE13"/>
    <w:rsid w:val="3553F16C"/>
    <w:rsid w:val="355C4EBC"/>
    <w:rsid w:val="355C980B"/>
    <w:rsid w:val="3564AB81"/>
    <w:rsid w:val="357D75B5"/>
    <w:rsid w:val="35806394"/>
    <w:rsid w:val="35A16A83"/>
    <w:rsid w:val="35B3E5F6"/>
    <w:rsid w:val="35B9AE57"/>
    <w:rsid w:val="35E0B78C"/>
    <w:rsid w:val="35F4D190"/>
    <w:rsid w:val="36042873"/>
    <w:rsid w:val="360B89FF"/>
    <w:rsid w:val="363C976A"/>
    <w:rsid w:val="365C9C59"/>
    <w:rsid w:val="366B3CE2"/>
    <w:rsid w:val="366DACC2"/>
    <w:rsid w:val="367237C6"/>
    <w:rsid w:val="3676DC06"/>
    <w:rsid w:val="36776C83"/>
    <w:rsid w:val="36837E50"/>
    <w:rsid w:val="36A487A5"/>
    <w:rsid w:val="36B2B32F"/>
    <w:rsid w:val="36C5A417"/>
    <w:rsid w:val="36CD32BC"/>
    <w:rsid w:val="36DBBD88"/>
    <w:rsid w:val="371DC78C"/>
    <w:rsid w:val="3754C67D"/>
    <w:rsid w:val="376DBE2B"/>
    <w:rsid w:val="3798010D"/>
    <w:rsid w:val="379E04C9"/>
    <w:rsid w:val="37C33877"/>
    <w:rsid w:val="37FB8950"/>
    <w:rsid w:val="381ECBFC"/>
    <w:rsid w:val="383C9611"/>
    <w:rsid w:val="3848AA33"/>
    <w:rsid w:val="3857830D"/>
    <w:rsid w:val="385791CA"/>
    <w:rsid w:val="387FB0F0"/>
    <w:rsid w:val="38962A36"/>
    <w:rsid w:val="38A4AF83"/>
    <w:rsid w:val="38A69800"/>
    <w:rsid w:val="38BC2CC2"/>
    <w:rsid w:val="38CA78B5"/>
    <w:rsid w:val="3913BF76"/>
    <w:rsid w:val="391E73C7"/>
    <w:rsid w:val="391ED97B"/>
    <w:rsid w:val="392B3DDD"/>
    <w:rsid w:val="3961BB86"/>
    <w:rsid w:val="397787F6"/>
    <w:rsid w:val="397BDBF9"/>
    <w:rsid w:val="3989150E"/>
    <w:rsid w:val="398EAD75"/>
    <w:rsid w:val="398F11EF"/>
    <w:rsid w:val="39E892DB"/>
    <w:rsid w:val="3A00BECF"/>
    <w:rsid w:val="3A222D83"/>
    <w:rsid w:val="3A284293"/>
    <w:rsid w:val="3A3B4E6A"/>
    <w:rsid w:val="3A4B3313"/>
    <w:rsid w:val="3A4D538A"/>
    <w:rsid w:val="3A53F029"/>
    <w:rsid w:val="3A62579F"/>
    <w:rsid w:val="3A82B3CC"/>
    <w:rsid w:val="3A862476"/>
    <w:rsid w:val="3AA518E7"/>
    <w:rsid w:val="3AA83DDF"/>
    <w:rsid w:val="3AC2E5DE"/>
    <w:rsid w:val="3AEF6F7C"/>
    <w:rsid w:val="3AF59561"/>
    <w:rsid w:val="3AFBECBD"/>
    <w:rsid w:val="3AFFDE34"/>
    <w:rsid w:val="3B12EA0B"/>
    <w:rsid w:val="3B1E69DB"/>
    <w:rsid w:val="3B2B47E9"/>
    <w:rsid w:val="3B2CF0B5"/>
    <w:rsid w:val="3B31DD89"/>
    <w:rsid w:val="3B642EC5"/>
    <w:rsid w:val="3B72D123"/>
    <w:rsid w:val="3B814714"/>
    <w:rsid w:val="3B85CD65"/>
    <w:rsid w:val="3BBFBCD6"/>
    <w:rsid w:val="3BC15E95"/>
    <w:rsid w:val="3BC51199"/>
    <w:rsid w:val="3BCFFB8E"/>
    <w:rsid w:val="3C13494D"/>
    <w:rsid w:val="3C18FEB0"/>
    <w:rsid w:val="3C1B886D"/>
    <w:rsid w:val="3C2DA769"/>
    <w:rsid w:val="3C31D577"/>
    <w:rsid w:val="3C3EE01B"/>
    <w:rsid w:val="3C45AEA5"/>
    <w:rsid w:val="3C502BE1"/>
    <w:rsid w:val="3C63580E"/>
    <w:rsid w:val="3C8C3730"/>
    <w:rsid w:val="3CB0109A"/>
    <w:rsid w:val="3CBC8614"/>
    <w:rsid w:val="3CC5B851"/>
    <w:rsid w:val="3CCCB2BE"/>
    <w:rsid w:val="3CD26702"/>
    <w:rsid w:val="3D126ED5"/>
    <w:rsid w:val="3D13C7A8"/>
    <w:rsid w:val="3D1A06C9"/>
    <w:rsid w:val="3D514C6D"/>
    <w:rsid w:val="3D52BCF2"/>
    <w:rsid w:val="3D724D1C"/>
    <w:rsid w:val="3D8F35E1"/>
    <w:rsid w:val="3D972B42"/>
    <w:rsid w:val="3DAA0543"/>
    <w:rsid w:val="3DB1F679"/>
    <w:rsid w:val="3DB2A919"/>
    <w:rsid w:val="3DCDA9E1"/>
    <w:rsid w:val="3DDB2612"/>
    <w:rsid w:val="3DF13754"/>
    <w:rsid w:val="3DF1CFCC"/>
    <w:rsid w:val="3DFDE2CE"/>
    <w:rsid w:val="3E0F6E0F"/>
    <w:rsid w:val="3E10B9A5"/>
    <w:rsid w:val="3E444504"/>
    <w:rsid w:val="3E452265"/>
    <w:rsid w:val="3E5668CF"/>
    <w:rsid w:val="3E652892"/>
    <w:rsid w:val="3E65AD14"/>
    <w:rsid w:val="3E700A10"/>
    <w:rsid w:val="3E922293"/>
    <w:rsid w:val="3EA0BC93"/>
    <w:rsid w:val="3EB38069"/>
    <w:rsid w:val="3EC77189"/>
    <w:rsid w:val="3EF9B0E0"/>
    <w:rsid w:val="3F276185"/>
    <w:rsid w:val="3F3E00D0"/>
    <w:rsid w:val="3F748A95"/>
    <w:rsid w:val="3F807233"/>
    <w:rsid w:val="3FAC08B9"/>
    <w:rsid w:val="3FD756F4"/>
    <w:rsid w:val="3FDE0DEA"/>
    <w:rsid w:val="3FDE49DA"/>
    <w:rsid w:val="3FE2A03E"/>
    <w:rsid w:val="3FFF8223"/>
    <w:rsid w:val="40035761"/>
    <w:rsid w:val="400EA3E8"/>
    <w:rsid w:val="40515F33"/>
    <w:rsid w:val="405A5E7D"/>
    <w:rsid w:val="406801EE"/>
    <w:rsid w:val="4075238F"/>
    <w:rsid w:val="40827B4F"/>
    <w:rsid w:val="40A2ADFB"/>
    <w:rsid w:val="40A4FCE6"/>
    <w:rsid w:val="40AAB827"/>
    <w:rsid w:val="40B3E4F8"/>
    <w:rsid w:val="40B949C0"/>
    <w:rsid w:val="40E532B5"/>
    <w:rsid w:val="40F5E15E"/>
    <w:rsid w:val="40FC9CB4"/>
    <w:rsid w:val="4105226A"/>
    <w:rsid w:val="4123309F"/>
    <w:rsid w:val="41A592C4"/>
    <w:rsid w:val="41B9737C"/>
    <w:rsid w:val="41D8067D"/>
    <w:rsid w:val="41E5BE2C"/>
    <w:rsid w:val="41EA30F1"/>
    <w:rsid w:val="41EDBB79"/>
    <w:rsid w:val="41FDA022"/>
    <w:rsid w:val="421AF664"/>
    <w:rsid w:val="42325859"/>
    <w:rsid w:val="42343DDF"/>
    <w:rsid w:val="4235DDA8"/>
    <w:rsid w:val="42615268"/>
    <w:rsid w:val="4272D600"/>
    <w:rsid w:val="4285DA03"/>
    <w:rsid w:val="42948284"/>
    <w:rsid w:val="42B97135"/>
    <w:rsid w:val="42D7DFB6"/>
    <w:rsid w:val="42E00782"/>
    <w:rsid w:val="42E24DFE"/>
    <w:rsid w:val="4300B5AF"/>
    <w:rsid w:val="43036835"/>
    <w:rsid w:val="430EAEBF"/>
    <w:rsid w:val="43151776"/>
    <w:rsid w:val="433550F7"/>
    <w:rsid w:val="434FF74D"/>
    <w:rsid w:val="435AC7F0"/>
    <w:rsid w:val="43800BB8"/>
    <w:rsid w:val="43A75676"/>
    <w:rsid w:val="43B77B50"/>
    <w:rsid w:val="43BF0DB1"/>
    <w:rsid w:val="43C4EC2B"/>
    <w:rsid w:val="43DD6A53"/>
    <w:rsid w:val="43E96D8D"/>
    <w:rsid w:val="4417BE99"/>
    <w:rsid w:val="44287DCD"/>
    <w:rsid w:val="442C0A86"/>
    <w:rsid w:val="443F8F58"/>
    <w:rsid w:val="446E16CC"/>
    <w:rsid w:val="44938C6A"/>
    <w:rsid w:val="44ABD251"/>
    <w:rsid w:val="44AD70C5"/>
    <w:rsid w:val="44D09714"/>
    <w:rsid w:val="44D4E35F"/>
    <w:rsid w:val="450BCBED"/>
    <w:rsid w:val="450BE562"/>
    <w:rsid w:val="4531FCAA"/>
    <w:rsid w:val="454BCDF8"/>
    <w:rsid w:val="4556AFDB"/>
    <w:rsid w:val="455F0CA0"/>
    <w:rsid w:val="4560B662"/>
    <w:rsid w:val="4566F92B"/>
    <w:rsid w:val="457F44EB"/>
    <w:rsid w:val="4583B7F5"/>
    <w:rsid w:val="4592FA8E"/>
    <w:rsid w:val="4599547D"/>
    <w:rsid w:val="459D8262"/>
    <w:rsid w:val="45ACFE75"/>
    <w:rsid w:val="45B1F17B"/>
    <w:rsid w:val="45F97827"/>
    <w:rsid w:val="462F5FAB"/>
    <w:rsid w:val="463AEA63"/>
    <w:rsid w:val="464B4F7C"/>
    <w:rsid w:val="466F2B85"/>
    <w:rsid w:val="46A6E5E2"/>
    <w:rsid w:val="46E56F4D"/>
    <w:rsid w:val="46EB440C"/>
    <w:rsid w:val="46EFF086"/>
    <w:rsid w:val="46F3EC66"/>
    <w:rsid w:val="46FB0FD2"/>
    <w:rsid w:val="4700D14E"/>
    <w:rsid w:val="4706F5CB"/>
    <w:rsid w:val="471280F6"/>
    <w:rsid w:val="473799A7"/>
    <w:rsid w:val="473A7F18"/>
    <w:rsid w:val="478B953A"/>
    <w:rsid w:val="47A91215"/>
    <w:rsid w:val="47B1A953"/>
    <w:rsid w:val="47E58C03"/>
    <w:rsid w:val="47F25AE3"/>
    <w:rsid w:val="481B4269"/>
    <w:rsid w:val="481DC885"/>
    <w:rsid w:val="4827F84C"/>
    <w:rsid w:val="48282A11"/>
    <w:rsid w:val="484D2E7F"/>
    <w:rsid w:val="487A02D5"/>
    <w:rsid w:val="489037C8"/>
    <w:rsid w:val="489D13EC"/>
    <w:rsid w:val="48AC20D6"/>
    <w:rsid w:val="48BCA752"/>
    <w:rsid w:val="48CBD4D8"/>
    <w:rsid w:val="48DFE444"/>
    <w:rsid w:val="4916C9B9"/>
    <w:rsid w:val="492A40E9"/>
    <w:rsid w:val="4999DBA9"/>
    <w:rsid w:val="49B37C60"/>
    <w:rsid w:val="49B65324"/>
    <w:rsid w:val="49C05373"/>
    <w:rsid w:val="49D60959"/>
    <w:rsid w:val="49E797A6"/>
    <w:rsid w:val="49FD107B"/>
    <w:rsid w:val="4A08E4D8"/>
    <w:rsid w:val="4A23B509"/>
    <w:rsid w:val="4A26DC37"/>
    <w:rsid w:val="4A38187D"/>
    <w:rsid w:val="4A84EE5B"/>
    <w:rsid w:val="4AB12517"/>
    <w:rsid w:val="4ACA4C79"/>
    <w:rsid w:val="4B0DBE18"/>
    <w:rsid w:val="4B281B5B"/>
    <w:rsid w:val="4B3B5908"/>
    <w:rsid w:val="4B57AF7C"/>
    <w:rsid w:val="4B5911C2"/>
    <w:rsid w:val="4B658A33"/>
    <w:rsid w:val="4B69715C"/>
    <w:rsid w:val="4B7D6E9B"/>
    <w:rsid w:val="4B7ED4FD"/>
    <w:rsid w:val="4B90FAD9"/>
    <w:rsid w:val="4BA70786"/>
    <w:rsid w:val="4BAA0572"/>
    <w:rsid w:val="4BAA73A7"/>
    <w:rsid w:val="4BAB06ED"/>
    <w:rsid w:val="4BBF1D99"/>
    <w:rsid w:val="4BD982E3"/>
    <w:rsid w:val="4C066612"/>
    <w:rsid w:val="4C12442C"/>
    <w:rsid w:val="4C24A0FD"/>
    <w:rsid w:val="4C2B1464"/>
    <w:rsid w:val="4C349143"/>
    <w:rsid w:val="4C3C13B5"/>
    <w:rsid w:val="4C400FC4"/>
    <w:rsid w:val="4C494B26"/>
    <w:rsid w:val="4C4BFCAD"/>
    <w:rsid w:val="4C4FE6C7"/>
    <w:rsid w:val="4C605B5E"/>
    <w:rsid w:val="4CA6957A"/>
    <w:rsid w:val="4CA88413"/>
    <w:rsid w:val="4CB6CA8D"/>
    <w:rsid w:val="4CB72F34"/>
    <w:rsid w:val="4CC1799F"/>
    <w:rsid w:val="4CD5925C"/>
    <w:rsid w:val="4CDADAA8"/>
    <w:rsid w:val="4CDF3488"/>
    <w:rsid w:val="4CF7F435"/>
    <w:rsid w:val="4D0D6948"/>
    <w:rsid w:val="4D227FB3"/>
    <w:rsid w:val="4D265569"/>
    <w:rsid w:val="4D3FBF33"/>
    <w:rsid w:val="4D49099D"/>
    <w:rsid w:val="4D6BF92A"/>
    <w:rsid w:val="4D7DEE31"/>
    <w:rsid w:val="4D926AE7"/>
    <w:rsid w:val="4D9D4325"/>
    <w:rsid w:val="4D9E300B"/>
    <w:rsid w:val="4DA02AF9"/>
    <w:rsid w:val="4DA7C49B"/>
    <w:rsid w:val="4DAB56CE"/>
    <w:rsid w:val="4DBA58E8"/>
    <w:rsid w:val="4DBEFA1D"/>
    <w:rsid w:val="4DCCC5C5"/>
    <w:rsid w:val="4DCED42E"/>
    <w:rsid w:val="4DD82793"/>
    <w:rsid w:val="4DDFC9FC"/>
    <w:rsid w:val="4DF6FA34"/>
    <w:rsid w:val="4E01AAE9"/>
    <w:rsid w:val="4E045F58"/>
    <w:rsid w:val="4E10291D"/>
    <w:rsid w:val="4E3244BC"/>
    <w:rsid w:val="4E39B675"/>
    <w:rsid w:val="4E473E98"/>
    <w:rsid w:val="4E4BEE8D"/>
    <w:rsid w:val="4E4D3D1E"/>
    <w:rsid w:val="4E6E2550"/>
    <w:rsid w:val="4E8A14B1"/>
    <w:rsid w:val="4E98285A"/>
    <w:rsid w:val="4EB02B53"/>
    <w:rsid w:val="4EB44514"/>
    <w:rsid w:val="4EBA6994"/>
    <w:rsid w:val="4EC652D0"/>
    <w:rsid w:val="4ECA5968"/>
    <w:rsid w:val="4ECBD9DA"/>
    <w:rsid w:val="4ED78C95"/>
    <w:rsid w:val="4EDA04A4"/>
    <w:rsid w:val="4EEED30A"/>
    <w:rsid w:val="4F26AD13"/>
    <w:rsid w:val="4F2DE668"/>
    <w:rsid w:val="4F7776CD"/>
    <w:rsid w:val="4F829269"/>
    <w:rsid w:val="4F8305B9"/>
    <w:rsid w:val="4F8716A9"/>
    <w:rsid w:val="4F878006"/>
    <w:rsid w:val="4F88DE52"/>
    <w:rsid w:val="4FA97460"/>
    <w:rsid w:val="4FAC43E5"/>
    <w:rsid w:val="4FBD0C1C"/>
    <w:rsid w:val="4FF83242"/>
    <w:rsid w:val="5065F9FE"/>
    <w:rsid w:val="506BD820"/>
    <w:rsid w:val="506F1956"/>
    <w:rsid w:val="506FD2AF"/>
    <w:rsid w:val="508E9D45"/>
    <w:rsid w:val="509645EC"/>
    <w:rsid w:val="50A9448D"/>
    <w:rsid w:val="50ABA7BC"/>
    <w:rsid w:val="50B0CF0F"/>
    <w:rsid w:val="50D83CEB"/>
    <w:rsid w:val="50EED433"/>
    <w:rsid w:val="511F7B8F"/>
    <w:rsid w:val="5145685B"/>
    <w:rsid w:val="514926DE"/>
    <w:rsid w:val="51521EE2"/>
    <w:rsid w:val="51552FE5"/>
    <w:rsid w:val="515BDC6D"/>
    <w:rsid w:val="5186E069"/>
    <w:rsid w:val="51B03E4B"/>
    <w:rsid w:val="51BA3604"/>
    <w:rsid w:val="51BAECCA"/>
    <w:rsid w:val="51BE45E0"/>
    <w:rsid w:val="51C7A58C"/>
    <w:rsid w:val="51D70F68"/>
    <w:rsid w:val="51F3E88C"/>
    <w:rsid w:val="51F421D8"/>
    <w:rsid w:val="5212994B"/>
    <w:rsid w:val="521B4C05"/>
    <w:rsid w:val="522D0E8A"/>
    <w:rsid w:val="522DB597"/>
    <w:rsid w:val="52311A2E"/>
    <w:rsid w:val="5238D4E3"/>
    <w:rsid w:val="52453545"/>
    <w:rsid w:val="5247FCA0"/>
    <w:rsid w:val="5255B4DB"/>
    <w:rsid w:val="525E4DD5"/>
    <w:rsid w:val="527C154D"/>
    <w:rsid w:val="527D0E12"/>
    <w:rsid w:val="52A4D507"/>
    <w:rsid w:val="52A743FA"/>
    <w:rsid w:val="52AF178F"/>
    <w:rsid w:val="52BAB478"/>
    <w:rsid w:val="52BDD886"/>
    <w:rsid w:val="52C55E90"/>
    <w:rsid w:val="53061A86"/>
    <w:rsid w:val="531829D1"/>
    <w:rsid w:val="5321B9A6"/>
    <w:rsid w:val="5328422F"/>
    <w:rsid w:val="53349572"/>
    <w:rsid w:val="5361BE59"/>
    <w:rsid w:val="5363ACF2"/>
    <w:rsid w:val="5366810A"/>
    <w:rsid w:val="537E8D27"/>
    <w:rsid w:val="5384A76C"/>
    <w:rsid w:val="538F9DA8"/>
    <w:rsid w:val="538F9E6B"/>
    <w:rsid w:val="53A3143B"/>
    <w:rsid w:val="53A50C79"/>
    <w:rsid w:val="53B7E67A"/>
    <w:rsid w:val="53C2D2F5"/>
    <w:rsid w:val="5407BD3C"/>
    <w:rsid w:val="541CF1C3"/>
    <w:rsid w:val="54308DEA"/>
    <w:rsid w:val="543D7FC0"/>
    <w:rsid w:val="5448A8FE"/>
    <w:rsid w:val="544F1E30"/>
    <w:rsid w:val="5487A8D2"/>
    <w:rsid w:val="548FB7F6"/>
    <w:rsid w:val="54B09DBD"/>
    <w:rsid w:val="54B6EFF7"/>
    <w:rsid w:val="54D652B4"/>
    <w:rsid w:val="54DF2169"/>
    <w:rsid w:val="5516AC77"/>
    <w:rsid w:val="5517DEE7"/>
    <w:rsid w:val="5529AB18"/>
    <w:rsid w:val="552D2AB4"/>
    <w:rsid w:val="552DF6B6"/>
    <w:rsid w:val="552E0E6C"/>
    <w:rsid w:val="55632B4A"/>
    <w:rsid w:val="55661AD5"/>
    <w:rsid w:val="557D6403"/>
    <w:rsid w:val="55837E4C"/>
    <w:rsid w:val="558C057F"/>
    <w:rsid w:val="55938D63"/>
    <w:rsid w:val="55A629FB"/>
    <w:rsid w:val="55AA6BE1"/>
    <w:rsid w:val="55BBBAF0"/>
    <w:rsid w:val="55BEFBBB"/>
    <w:rsid w:val="55C8FECE"/>
    <w:rsid w:val="55CC66F0"/>
    <w:rsid w:val="55FC6A0C"/>
    <w:rsid w:val="56013F65"/>
    <w:rsid w:val="560DE82C"/>
    <w:rsid w:val="561E7760"/>
    <w:rsid w:val="5646B70F"/>
    <w:rsid w:val="5655B4B5"/>
    <w:rsid w:val="565785B5"/>
    <w:rsid w:val="565BE66B"/>
    <w:rsid w:val="56824D90"/>
    <w:rsid w:val="56ABDF89"/>
    <w:rsid w:val="56BF135B"/>
    <w:rsid w:val="56CA8853"/>
    <w:rsid w:val="56F12F96"/>
    <w:rsid w:val="56F216F2"/>
    <w:rsid w:val="57033D2C"/>
    <w:rsid w:val="572DBF95"/>
    <w:rsid w:val="5760B00B"/>
    <w:rsid w:val="5782685C"/>
    <w:rsid w:val="579B5C64"/>
    <w:rsid w:val="57B6B8DE"/>
    <w:rsid w:val="57BAEBC2"/>
    <w:rsid w:val="57D77DDC"/>
    <w:rsid w:val="5805F5D9"/>
    <w:rsid w:val="5826160F"/>
    <w:rsid w:val="5840B5E5"/>
    <w:rsid w:val="58635EF0"/>
    <w:rsid w:val="586F88A0"/>
    <w:rsid w:val="58739101"/>
    <w:rsid w:val="587D2560"/>
    <w:rsid w:val="588824DC"/>
    <w:rsid w:val="58A2221A"/>
    <w:rsid w:val="58A97C8E"/>
    <w:rsid w:val="58AD4166"/>
    <w:rsid w:val="58AEF330"/>
    <w:rsid w:val="58BA1B87"/>
    <w:rsid w:val="58CED837"/>
    <w:rsid w:val="58CEECCB"/>
    <w:rsid w:val="58E1EE0A"/>
    <w:rsid w:val="58F79BA5"/>
    <w:rsid w:val="58F93266"/>
    <w:rsid w:val="58FFBF1E"/>
    <w:rsid w:val="59275FCB"/>
    <w:rsid w:val="592C41CE"/>
    <w:rsid w:val="59300074"/>
    <w:rsid w:val="5934B518"/>
    <w:rsid w:val="594008F3"/>
    <w:rsid w:val="5943EAD1"/>
    <w:rsid w:val="59472F98"/>
    <w:rsid w:val="5949AA1E"/>
    <w:rsid w:val="594C0A1E"/>
    <w:rsid w:val="597CBE31"/>
    <w:rsid w:val="59905567"/>
    <w:rsid w:val="59A02526"/>
    <w:rsid w:val="59A15D6D"/>
    <w:rsid w:val="59BD6726"/>
    <w:rsid w:val="5A2CBA16"/>
    <w:rsid w:val="5A408231"/>
    <w:rsid w:val="5AA62A63"/>
    <w:rsid w:val="5AA95B27"/>
    <w:rsid w:val="5AD045C8"/>
    <w:rsid w:val="5ADBC1AE"/>
    <w:rsid w:val="5ADC8568"/>
    <w:rsid w:val="5AE11253"/>
    <w:rsid w:val="5AF4AB0A"/>
    <w:rsid w:val="5AFB5592"/>
    <w:rsid w:val="5B15FA4D"/>
    <w:rsid w:val="5B17ADE7"/>
    <w:rsid w:val="5B24E798"/>
    <w:rsid w:val="5B5C5202"/>
    <w:rsid w:val="5B614EC3"/>
    <w:rsid w:val="5B696C9A"/>
    <w:rsid w:val="5B6DB24F"/>
    <w:rsid w:val="5B7A1C82"/>
    <w:rsid w:val="5B88253A"/>
    <w:rsid w:val="5B89B117"/>
    <w:rsid w:val="5B91229F"/>
    <w:rsid w:val="5BB034D6"/>
    <w:rsid w:val="5BB06850"/>
    <w:rsid w:val="5BB78B4E"/>
    <w:rsid w:val="5BBE671D"/>
    <w:rsid w:val="5BD34B54"/>
    <w:rsid w:val="5BE0C556"/>
    <w:rsid w:val="5C0DEB25"/>
    <w:rsid w:val="5C0EF3F7"/>
    <w:rsid w:val="5C12B29D"/>
    <w:rsid w:val="5C1E1C80"/>
    <w:rsid w:val="5C8E0EC3"/>
    <w:rsid w:val="5C9A555C"/>
    <w:rsid w:val="5D112A50"/>
    <w:rsid w:val="5D23FDE5"/>
    <w:rsid w:val="5D248B7B"/>
    <w:rsid w:val="5D2D218C"/>
    <w:rsid w:val="5D32948C"/>
    <w:rsid w:val="5D686522"/>
    <w:rsid w:val="5D6BEC30"/>
    <w:rsid w:val="5D7C97E6"/>
    <w:rsid w:val="5D958D72"/>
    <w:rsid w:val="5DA0CA57"/>
    <w:rsid w:val="5DA1BBDE"/>
    <w:rsid w:val="5DBC1DC3"/>
    <w:rsid w:val="5DCF321C"/>
    <w:rsid w:val="5E01DAF2"/>
    <w:rsid w:val="5E231DBD"/>
    <w:rsid w:val="5E2C8FB0"/>
    <w:rsid w:val="5E35FD1C"/>
    <w:rsid w:val="5E4AF4B7"/>
    <w:rsid w:val="5E51317C"/>
    <w:rsid w:val="5E68BE95"/>
    <w:rsid w:val="5E7F4BCC"/>
    <w:rsid w:val="5EB87376"/>
    <w:rsid w:val="5EEE0AB5"/>
    <w:rsid w:val="5EF5E801"/>
    <w:rsid w:val="5F004D5A"/>
    <w:rsid w:val="5F020358"/>
    <w:rsid w:val="5F034FF5"/>
    <w:rsid w:val="5F2B871F"/>
    <w:rsid w:val="5F8716B5"/>
    <w:rsid w:val="5FB35F26"/>
    <w:rsid w:val="5FE22886"/>
    <w:rsid w:val="6001F3D0"/>
    <w:rsid w:val="601937E5"/>
    <w:rsid w:val="6031F142"/>
    <w:rsid w:val="603BBAE0"/>
    <w:rsid w:val="6046EABF"/>
    <w:rsid w:val="604B1A77"/>
    <w:rsid w:val="6067EF31"/>
    <w:rsid w:val="6083C252"/>
    <w:rsid w:val="60984D1F"/>
    <w:rsid w:val="60C498BC"/>
    <w:rsid w:val="60CE4FB1"/>
    <w:rsid w:val="60DBC518"/>
    <w:rsid w:val="60DE852A"/>
    <w:rsid w:val="6100A3C6"/>
    <w:rsid w:val="615C1FE0"/>
    <w:rsid w:val="6178BECD"/>
    <w:rsid w:val="617E90AA"/>
    <w:rsid w:val="61A4F6F5"/>
    <w:rsid w:val="61A71AC5"/>
    <w:rsid w:val="61B69008"/>
    <w:rsid w:val="61C05A7D"/>
    <w:rsid w:val="61C704C5"/>
    <w:rsid w:val="61CE010B"/>
    <w:rsid w:val="61D000EF"/>
    <w:rsid w:val="61D39BAA"/>
    <w:rsid w:val="61DBD54C"/>
    <w:rsid w:val="61E0A506"/>
    <w:rsid w:val="61E39001"/>
    <w:rsid w:val="61F4018A"/>
    <w:rsid w:val="6209442F"/>
    <w:rsid w:val="6241B839"/>
    <w:rsid w:val="6294A836"/>
    <w:rsid w:val="629B66A7"/>
    <w:rsid w:val="62A250CD"/>
    <w:rsid w:val="62C41BD6"/>
    <w:rsid w:val="62C478F3"/>
    <w:rsid w:val="62F2B9A2"/>
    <w:rsid w:val="62F4DB0C"/>
    <w:rsid w:val="62FA9D83"/>
    <w:rsid w:val="631C1E9C"/>
    <w:rsid w:val="631EB513"/>
    <w:rsid w:val="632A2ABB"/>
    <w:rsid w:val="63363E19"/>
    <w:rsid w:val="633C3A14"/>
    <w:rsid w:val="63455F93"/>
    <w:rsid w:val="63686A9E"/>
    <w:rsid w:val="636BB331"/>
    <w:rsid w:val="63A36FEB"/>
    <w:rsid w:val="63C35B32"/>
    <w:rsid w:val="63E0B174"/>
    <w:rsid w:val="63F64D01"/>
    <w:rsid w:val="642056C3"/>
    <w:rsid w:val="64594E4B"/>
    <w:rsid w:val="645CBD7F"/>
    <w:rsid w:val="645FEC37"/>
    <w:rsid w:val="6473A0A5"/>
    <w:rsid w:val="647D3AEF"/>
    <w:rsid w:val="647E9917"/>
    <w:rsid w:val="6482C5FA"/>
    <w:rsid w:val="64A5BA22"/>
    <w:rsid w:val="64BEC7BD"/>
    <w:rsid w:val="64E3C22D"/>
    <w:rsid w:val="64E5C051"/>
    <w:rsid w:val="64EB27D3"/>
    <w:rsid w:val="650FE72B"/>
    <w:rsid w:val="6520EAC8"/>
    <w:rsid w:val="6534952D"/>
    <w:rsid w:val="6539B5F5"/>
    <w:rsid w:val="65652985"/>
    <w:rsid w:val="65886245"/>
    <w:rsid w:val="65BEB63D"/>
    <w:rsid w:val="65F27AFF"/>
    <w:rsid w:val="65FD689E"/>
    <w:rsid w:val="66024295"/>
    <w:rsid w:val="6627C784"/>
    <w:rsid w:val="662926C6"/>
    <w:rsid w:val="6659BBB9"/>
    <w:rsid w:val="66978C5C"/>
    <w:rsid w:val="66A0AD98"/>
    <w:rsid w:val="66BD39AC"/>
    <w:rsid w:val="66DC76C2"/>
    <w:rsid w:val="66E5B143"/>
    <w:rsid w:val="67258BE8"/>
    <w:rsid w:val="672EB1D8"/>
    <w:rsid w:val="675229D9"/>
    <w:rsid w:val="675358C9"/>
    <w:rsid w:val="675753DD"/>
    <w:rsid w:val="676E83FC"/>
    <w:rsid w:val="677C17E2"/>
    <w:rsid w:val="67899992"/>
    <w:rsid w:val="6795AC5D"/>
    <w:rsid w:val="67BCC83C"/>
    <w:rsid w:val="67CA4568"/>
    <w:rsid w:val="67DFAE24"/>
    <w:rsid w:val="67EBA063"/>
    <w:rsid w:val="67ED5D26"/>
    <w:rsid w:val="67FA4226"/>
    <w:rsid w:val="68048D7C"/>
    <w:rsid w:val="6815F9F2"/>
    <w:rsid w:val="6818D57A"/>
    <w:rsid w:val="681B4C2F"/>
    <w:rsid w:val="682467AA"/>
    <w:rsid w:val="6896CD74"/>
    <w:rsid w:val="6899C190"/>
    <w:rsid w:val="689DD6F3"/>
    <w:rsid w:val="68A831BD"/>
    <w:rsid w:val="68AFA5FA"/>
    <w:rsid w:val="68B9BAE7"/>
    <w:rsid w:val="68DC8BAA"/>
    <w:rsid w:val="68E26229"/>
    <w:rsid w:val="68E7B583"/>
    <w:rsid w:val="68F05EA9"/>
    <w:rsid w:val="69144D9B"/>
    <w:rsid w:val="6919D85B"/>
    <w:rsid w:val="691A5AFA"/>
    <w:rsid w:val="691EC1C7"/>
    <w:rsid w:val="692777CE"/>
    <w:rsid w:val="693A0419"/>
    <w:rsid w:val="6940D201"/>
    <w:rsid w:val="695A6793"/>
    <w:rsid w:val="6962C3BB"/>
    <w:rsid w:val="69B52452"/>
    <w:rsid w:val="69B60817"/>
    <w:rsid w:val="69D415A5"/>
    <w:rsid w:val="69E3005A"/>
    <w:rsid w:val="69EEB12E"/>
    <w:rsid w:val="6A0213FC"/>
    <w:rsid w:val="6A1B0FCD"/>
    <w:rsid w:val="6A1DE62A"/>
    <w:rsid w:val="6A2E613E"/>
    <w:rsid w:val="6A47D39C"/>
    <w:rsid w:val="6A59F856"/>
    <w:rsid w:val="6A8A6556"/>
    <w:rsid w:val="6AAC2A1E"/>
    <w:rsid w:val="6AC34416"/>
    <w:rsid w:val="6ACA516F"/>
    <w:rsid w:val="6AD1E8B8"/>
    <w:rsid w:val="6ADA5218"/>
    <w:rsid w:val="6AE4C629"/>
    <w:rsid w:val="6AE74E84"/>
    <w:rsid w:val="6AF19BDF"/>
    <w:rsid w:val="6B09AA28"/>
    <w:rsid w:val="6B344081"/>
    <w:rsid w:val="6B3992BE"/>
    <w:rsid w:val="6B42D3A3"/>
    <w:rsid w:val="6B445BA5"/>
    <w:rsid w:val="6B44D307"/>
    <w:rsid w:val="6B504B20"/>
    <w:rsid w:val="6B627E06"/>
    <w:rsid w:val="6B754F9E"/>
    <w:rsid w:val="6B810AC1"/>
    <w:rsid w:val="6B98AD2E"/>
    <w:rsid w:val="6BB7D1A3"/>
    <w:rsid w:val="6BC080AC"/>
    <w:rsid w:val="6BF6801D"/>
    <w:rsid w:val="6C04B8E5"/>
    <w:rsid w:val="6C1BCFA5"/>
    <w:rsid w:val="6C2B52F3"/>
    <w:rsid w:val="6C318396"/>
    <w:rsid w:val="6C459531"/>
    <w:rsid w:val="6C51D5BF"/>
    <w:rsid w:val="6C92A1D7"/>
    <w:rsid w:val="6C9B47C9"/>
    <w:rsid w:val="6CA99F25"/>
    <w:rsid w:val="6CB3F3B5"/>
    <w:rsid w:val="6CBAE345"/>
    <w:rsid w:val="6CC24D1C"/>
    <w:rsid w:val="6CE6D0C7"/>
    <w:rsid w:val="6D095F58"/>
    <w:rsid w:val="6D10EAFF"/>
    <w:rsid w:val="6D18C677"/>
    <w:rsid w:val="6D1B562D"/>
    <w:rsid w:val="6D2CC3D5"/>
    <w:rsid w:val="6D2F71B3"/>
    <w:rsid w:val="6D5F50FD"/>
    <w:rsid w:val="6D606159"/>
    <w:rsid w:val="6D6903F0"/>
    <w:rsid w:val="6D7E0805"/>
    <w:rsid w:val="6D800BD6"/>
    <w:rsid w:val="6D97051B"/>
    <w:rsid w:val="6DA6B6F3"/>
    <w:rsid w:val="6DA7F7C3"/>
    <w:rsid w:val="6DB9C3C4"/>
    <w:rsid w:val="6DBD10A9"/>
    <w:rsid w:val="6DBD3F3A"/>
    <w:rsid w:val="6DBD4810"/>
    <w:rsid w:val="6DC86E1A"/>
    <w:rsid w:val="6DD84072"/>
    <w:rsid w:val="6E205E8F"/>
    <w:rsid w:val="6E41CF05"/>
    <w:rsid w:val="6E4FFFA0"/>
    <w:rsid w:val="6E501400"/>
    <w:rsid w:val="6E56FE63"/>
    <w:rsid w:val="6E805427"/>
    <w:rsid w:val="6E807619"/>
    <w:rsid w:val="6E88C607"/>
    <w:rsid w:val="6ECAF677"/>
    <w:rsid w:val="6ED38EAD"/>
    <w:rsid w:val="6ED9474F"/>
    <w:rsid w:val="6EEC1871"/>
    <w:rsid w:val="6F5F6664"/>
    <w:rsid w:val="6F7C8A3E"/>
    <w:rsid w:val="6F939547"/>
    <w:rsid w:val="6FC78012"/>
    <w:rsid w:val="6FCB3420"/>
    <w:rsid w:val="6FCE62D8"/>
    <w:rsid w:val="6FE52A72"/>
    <w:rsid w:val="6FE5AB35"/>
    <w:rsid w:val="6FE6E0C3"/>
    <w:rsid w:val="6FF3A5A5"/>
    <w:rsid w:val="6FFA3573"/>
    <w:rsid w:val="700723D1"/>
    <w:rsid w:val="700DF3A5"/>
    <w:rsid w:val="7075BE43"/>
    <w:rsid w:val="70A50568"/>
    <w:rsid w:val="70B9D6AC"/>
    <w:rsid w:val="70DC4D55"/>
    <w:rsid w:val="70FA0D57"/>
    <w:rsid w:val="70FA56BA"/>
    <w:rsid w:val="710B7FA9"/>
    <w:rsid w:val="71276DBF"/>
    <w:rsid w:val="71279D38"/>
    <w:rsid w:val="712ACEFE"/>
    <w:rsid w:val="71347572"/>
    <w:rsid w:val="71642461"/>
    <w:rsid w:val="717BEBF0"/>
    <w:rsid w:val="71891588"/>
    <w:rsid w:val="718B4447"/>
    <w:rsid w:val="71B6F283"/>
    <w:rsid w:val="71B91F2A"/>
    <w:rsid w:val="71CF8AB7"/>
    <w:rsid w:val="71E027CF"/>
    <w:rsid w:val="71ECCF12"/>
    <w:rsid w:val="71F601C2"/>
    <w:rsid w:val="721111B7"/>
    <w:rsid w:val="723BDD9B"/>
    <w:rsid w:val="7242944E"/>
    <w:rsid w:val="726C2787"/>
    <w:rsid w:val="726DB4B7"/>
    <w:rsid w:val="72854A03"/>
    <w:rsid w:val="72869137"/>
    <w:rsid w:val="7298316D"/>
    <w:rsid w:val="72A6AECF"/>
    <w:rsid w:val="72BC8B19"/>
    <w:rsid w:val="72BE4CCC"/>
    <w:rsid w:val="72C63FB6"/>
    <w:rsid w:val="72D74251"/>
    <w:rsid w:val="72DC6DBD"/>
    <w:rsid w:val="72FFB84C"/>
    <w:rsid w:val="73053D27"/>
    <w:rsid w:val="730A7B6D"/>
    <w:rsid w:val="7316B482"/>
    <w:rsid w:val="7317A721"/>
    <w:rsid w:val="731852D6"/>
    <w:rsid w:val="73370BCC"/>
    <w:rsid w:val="734BD411"/>
    <w:rsid w:val="7359584E"/>
    <w:rsid w:val="7378F738"/>
    <w:rsid w:val="7381AD37"/>
    <w:rsid w:val="73B2521A"/>
    <w:rsid w:val="73B4BD82"/>
    <w:rsid w:val="73C5F05F"/>
    <w:rsid w:val="73EEBF87"/>
    <w:rsid w:val="73F13A05"/>
    <w:rsid w:val="7409889E"/>
    <w:rsid w:val="7414C53C"/>
    <w:rsid w:val="741FDAFD"/>
    <w:rsid w:val="742B4477"/>
    <w:rsid w:val="7440A89B"/>
    <w:rsid w:val="7465FC90"/>
    <w:rsid w:val="74696127"/>
    <w:rsid w:val="749AF135"/>
    <w:rsid w:val="74B08F57"/>
    <w:rsid w:val="74C31D47"/>
    <w:rsid w:val="74C77F78"/>
    <w:rsid w:val="74D64A39"/>
    <w:rsid w:val="74D9FD7C"/>
    <w:rsid w:val="74EC8B0C"/>
    <w:rsid w:val="74ED1C54"/>
    <w:rsid w:val="75069006"/>
    <w:rsid w:val="75321DDB"/>
    <w:rsid w:val="753D3D7B"/>
    <w:rsid w:val="7573CBF9"/>
    <w:rsid w:val="75775C5E"/>
    <w:rsid w:val="75866928"/>
    <w:rsid w:val="75922B34"/>
    <w:rsid w:val="7596183B"/>
    <w:rsid w:val="759801EC"/>
    <w:rsid w:val="759FA9DF"/>
    <w:rsid w:val="75C6F834"/>
    <w:rsid w:val="75DDEE41"/>
    <w:rsid w:val="75FB8A23"/>
    <w:rsid w:val="7602A0D7"/>
    <w:rsid w:val="7614CE49"/>
    <w:rsid w:val="7627EBBD"/>
    <w:rsid w:val="76369965"/>
    <w:rsid w:val="763A77A6"/>
    <w:rsid w:val="763C02A9"/>
    <w:rsid w:val="76440159"/>
    <w:rsid w:val="7667558D"/>
    <w:rsid w:val="7670A7A0"/>
    <w:rsid w:val="76878BEF"/>
    <w:rsid w:val="76A7B71D"/>
    <w:rsid w:val="76B2C309"/>
    <w:rsid w:val="76B940CB"/>
    <w:rsid w:val="76E14729"/>
    <w:rsid w:val="76E8B13F"/>
    <w:rsid w:val="76F3CECB"/>
    <w:rsid w:val="773ACCE6"/>
    <w:rsid w:val="774482BD"/>
    <w:rsid w:val="774B733A"/>
    <w:rsid w:val="776AE7F1"/>
    <w:rsid w:val="776ED47A"/>
    <w:rsid w:val="77A060AE"/>
    <w:rsid w:val="77A1E94E"/>
    <w:rsid w:val="77A981D2"/>
    <w:rsid w:val="77A996FF"/>
    <w:rsid w:val="77A9F21D"/>
    <w:rsid w:val="77CAE1E2"/>
    <w:rsid w:val="77EED6EA"/>
    <w:rsid w:val="77F861A4"/>
    <w:rsid w:val="7802457C"/>
    <w:rsid w:val="783019CB"/>
    <w:rsid w:val="7844835A"/>
    <w:rsid w:val="784B9F0D"/>
    <w:rsid w:val="784D7361"/>
    <w:rsid w:val="786C34EC"/>
    <w:rsid w:val="788FC395"/>
    <w:rsid w:val="78B6EC9A"/>
    <w:rsid w:val="78B8AD14"/>
    <w:rsid w:val="78E1ABBE"/>
    <w:rsid w:val="78E8D222"/>
    <w:rsid w:val="790B6C2F"/>
    <w:rsid w:val="791C6054"/>
    <w:rsid w:val="791F0DFB"/>
    <w:rsid w:val="79221FFB"/>
    <w:rsid w:val="792AA1F7"/>
    <w:rsid w:val="793BE1CE"/>
    <w:rsid w:val="79AF4E9B"/>
    <w:rsid w:val="79C724CF"/>
    <w:rsid w:val="79DAAEF6"/>
    <w:rsid w:val="79ED63BB"/>
    <w:rsid w:val="7A12C12C"/>
    <w:rsid w:val="7A399EAC"/>
    <w:rsid w:val="7A56785B"/>
    <w:rsid w:val="7A6BFF7C"/>
    <w:rsid w:val="7A82D58C"/>
    <w:rsid w:val="7AA53E7E"/>
    <w:rsid w:val="7AC8C89A"/>
    <w:rsid w:val="7B19CC53"/>
    <w:rsid w:val="7B19F628"/>
    <w:rsid w:val="7B26D9FD"/>
    <w:rsid w:val="7B36F3CD"/>
    <w:rsid w:val="7B57B93E"/>
    <w:rsid w:val="7B5FF540"/>
    <w:rsid w:val="7B6A1ABE"/>
    <w:rsid w:val="7B6C24E8"/>
    <w:rsid w:val="7B9CA1CD"/>
    <w:rsid w:val="7BAE0C49"/>
    <w:rsid w:val="7BC8E273"/>
    <w:rsid w:val="7BCADC9F"/>
    <w:rsid w:val="7BDC1247"/>
    <w:rsid w:val="7BF6C7D7"/>
    <w:rsid w:val="7C18246F"/>
    <w:rsid w:val="7C3D7F59"/>
    <w:rsid w:val="7C56FB0C"/>
    <w:rsid w:val="7C63E51D"/>
    <w:rsid w:val="7C8C1030"/>
    <w:rsid w:val="7CA25B65"/>
    <w:rsid w:val="7CA87E81"/>
    <w:rsid w:val="7CB4DA75"/>
    <w:rsid w:val="7CB7DCF3"/>
    <w:rsid w:val="7CBFCF04"/>
    <w:rsid w:val="7CC61BE3"/>
    <w:rsid w:val="7CD39F8A"/>
    <w:rsid w:val="7CF27F43"/>
    <w:rsid w:val="7D042266"/>
    <w:rsid w:val="7D43E4F9"/>
    <w:rsid w:val="7D449A0B"/>
    <w:rsid w:val="7D5F6171"/>
    <w:rsid w:val="7D7A4EE7"/>
    <w:rsid w:val="7D949076"/>
    <w:rsid w:val="7D9523A8"/>
    <w:rsid w:val="7DACF7C9"/>
    <w:rsid w:val="7DB385E2"/>
    <w:rsid w:val="7DBC3BBB"/>
    <w:rsid w:val="7DBF62E9"/>
    <w:rsid w:val="7DCFCDBC"/>
    <w:rsid w:val="7E0BBA7E"/>
    <w:rsid w:val="7E0ECF00"/>
    <w:rsid w:val="7E39120F"/>
    <w:rsid w:val="7E3FB46E"/>
    <w:rsid w:val="7E41071F"/>
    <w:rsid w:val="7E570A61"/>
    <w:rsid w:val="7E63B2AC"/>
    <w:rsid w:val="7E6A32DE"/>
    <w:rsid w:val="7E768820"/>
    <w:rsid w:val="7E97A09A"/>
    <w:rsid w:val="7EB5A120"/>
    <w:rsid w:val="7EC37027"/>
    <w:rsid w:val="7EC49279"/>
    <w:rsid w:val="7ED2BB6A"/>
    <w:rsid w:val="7ED53221"/>
    <w:rsid w:val="7EE5E5D5"/>
    <w:rsid w:val="7EED6596"/>
    <w:rsid w:val="7F0BA318"/>
    <w:rsid w:val="7F0DA874"/>
    <w:rsid w:val="7F224BE7"/>
    <w:rsid w:val="7F266853"/>
    <w:rsid w:val="7F43BC7A"/>
    <w:rsid w:val="7F491AFB"/>
    <w:rsid w:val="7F69F4D7"/>
    <w:rsid w:val="7F8435B8"/>
    <w:rsid w:val="7F896B4F"/>
    <w:rsid w:val="7F9829FC"/>
    <w:rsid w:val="7FB0A65A"/>
    <w:rsid w:val="7FC471E2"/>
    <w:rsid w:val="7FD7E260"/>
    <w:rsid w:val="7FF704C3"/>
    <w:rsid w:val="7FFA1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7774A"/>
  <w15:docId w15:val="{5A9169AD-92FF-4C2B-AC51-B963668C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ListParagraph"/>
    <w:next w:val="Normal"/>
    <w:link w:val="Heading1Char"/>
    <w:qFormat/>
    <w:rsid w:val="00BC78ED"/>
    <w:pPr>
      <w:numPr>
        <w:numId w:val="8"/>
      </w:numPr>
      <w:outlineLvl w:val="0"/>
    </w:pPr>
    <w:rPr>
      <w:b/>
      <w:bCs/>
      <w:sz w:val="28"/>
      <w:szCs w:val="28"/>
    </w:rPr>
  </w:style>
  <w:style w:type="paragraph" w:styleId="Heading2">
    <w:name w:val="heading 2"/>
    <w:basedOn w:val="ListParagraph"/>
    <w:next w:val="Normal"/>
    <w:qFormat/>
    <w:rsid w:val="0055628F"/>
    <w:pPr>
      <w:numPr>
        <w:ilvl w:val="1"/>
        <w:numId w:val="8"/>
      </w:numPr>
      <w:tabs>
        <w:tab w:val="clear" w:pos="1134"/>
        <w:tab w:val="left" w:pos="567"/>
      </w:tabs>
      <w:spacing w:after="120"/>
      <w:outlineLvl w:val="1"/>
    </w:pPr>
    <w:rPr>
      <w:b/>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tabs>
        <w:tab w:val="clear" w:pos="1134"/>
        <w:tab w:val="clear" w:pos="1871"/>
        <w:tab w:val="clear" w:pos="2268"/>
      </w:tabs>
    </w:pPr>
    <w:rPr>
      <w:rFonts w:cstheme="minorHAnsi"/>
      <w:b/>
      <w:bCs/>
      <w:i/>
      <w:iCs/>
      <w:szCs w:val="24"/>
    </w:rPr>
  </w:style>
  <w:style w:type="paragraph" w:styleId="TOC2">
    <w:name w:val="toc 2"/>
    <w:basedOn w:val="TOC1"/>
    <w:uiPriority w:val="39"/>
    <w:rsid w:val="007F599D"/>
    <w:rPr>
      <w:i w:val="0"/>
      <w:iCs w:val="0"/>
      <w:sz w:val="22"/>
      <w:szCs w:val="22"/>
    </w:rPr>
  </w:style>
  <w:style w:type="paragraph" w:styleId="TOC3">
    <w:name w:val="toc 3"/>
    <w:basedOn w:val="TOC2"/>
    <w:rsid w:val="001D058F"/>
    <w:pPr>
      <w:spacing w:before="0"/>
      <w:ind w:left="480"/>
    </w:pPr>
    <w:rPr>
      <w:b w:val="0"/>
      <w:bCs w:val="0"/>
      <w:sz w:val="20"/>
      <w:szCs w:val="20"/>
    </w:rPr>
  </w:style>
  <w:style w:type="paragraph" w:styleId="TOC4">
    <w:name w:val="toc 4"/>
    <w:basedOn w:val="TOC3"/>
    <w:rsid w:val="001D058F"/>
    <w:pPr>
      <w:ind w:left="720"/>
    </w:pPr>
  </w:style>
  <w:style w:type="paragraph" w:styleId="TOC5">
    <w:name w:val="toc 5"/>
    <w:basedOn w:val="TOC4"/>
    <w:rsid w:val="001D058F"/>
    <w:pPr>
      <w:ind w:left="960"/>
    </w:pPr>
  </w:style>
  <w:style w:type="paragraph" w:styleId="TOC6">
    <w:name w:val="toc 6"/>
    <w:basedOn w:val="TOC4"/>
    <w:rsid w:val="001D058F"/>
    <w:pPr>
      <w:ind w:left="1200"/>
    </w:pPr>
  </w:style>
  <w:style w:type="paragraph" w:styleId="TOC7">
    <w:name w:val="toc 7"/>
    <w:basedOn w:val="TOC4"/>
    <w:rsid w:val="001D058F"/>
    <w:pPr>
      <w:ind w:left="1440"/>
    </w:pPr>
  </w:style>
  <w:style w:type="paragraph" w:styleId="TOC8">
    <w:name w:val="toc 8"/>
    <w:basedOn w:val="TOC4"/>
    <w:rsid w:val="001D058F"/>
    <w:pPr>
      <w:ind w:left="1680"/>
    </w:pPr>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0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C78ED"/>
    <w:rPr>
      <w:rFonts w:asciiTheme="minorHAnsi" w:hAnsiTheme="minorHAnsi"/>
      <w:b/>
      <w:bCs/>
      <w:sz w:val="28"/>
      <w:szCs w:val="28"/>
      <w:lang w:val="en-GB" w:eastAsia="en-US"/>
    </w:rPr>
  </w:style>
  <w:style w:type="table" w:customStyle="1" w:styleId="TableGrid1">
    <w:name w:val="Table Grid1"/>
    <w:basedOn w:val="TableNormal"/>
    <w:next w:val="TableGrid"/>
    <w:uiPriority w:val="59"/>
    <w:rsid w:val="00080D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A4F39"/>
    <w:rPr>
      <w:color w:val="800080" w:themeColor="followedHyperlink"/>
      <w:u w:val="single"/>
    </w:rPr>
  </w:style>
  <w:style w:type="paragraph" w:customStyle="1" w:styleId="CEOcontributionStart">
    <w:name w:val="CEO_contributionStart"/>
    <w:next w:val="Normal"/>
    <w:rsid w:val="00D62D8E"/>
    <w:pPr>
      <w:spacing w:before="360" w:after="120"/>
    </w:pPr>
    <w:rPr>
      <w:rFonts w:ascii="Verdana" w:eastAsia="SimHei" w:hAnsi="Verdana" w:cs="Simplified Arabic"/>
      <w:sz w:val="19"/>
      <w:szCs w:val="28"/>
      <w:lang w:val="en-GB" w:eastAsia="en-US"/>
    </w:rPr>
  </w:style>
  <w:style w:type="paragraph" w:customStyle="1" w:styleId="BDTNormal">
    <w:name w:val="BDT_Normal"/>
    <w:link w:val="BDTNormalChar"/>
    <w:uiPriority w:val="99"/>
    <w:rsid w:val="00A31ACB"/>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uiPriority w:val="99"/>
    <w:locked/>
    <w:rsid w:val="00A31ACB"/>
    <w:rPr>
      <w:rFonts w:ascii="Calibri" w:eastAsia="SimSun" w:hAnsi="Calibri" w:cs="Traditional Arabic"/>
      <w:sz w:val="22"/>
      <w:szCs w:val="30"/>
      <w:lang w:val="es-ES" w:eastAsia="en-US"/>
    </w:rPr>
  </w:style>
  <w:style w:type="table" w:customStyle="1" w:styleId="TableGrid2">
    <w:name w:val="Table Grid2"/>
    <w:basedOn w:val="TableNormal"/>
    <w:next w:val="TableGrid"/>
    <w:locked/>
    <w:rsid w:val="00A31ACB"/>
    <w:rPr>
      <w:rFonts w:ascii="Calibri" w:eastAsia="MS Mincho"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qFormat/>
    <w:rsid w:val="00565EBE"/>
    <w:rPr>
      <w:rFonts w:ascii="Verdana" w:eastAsia="SimSun" w:hAnsi="Verdana"/>
      <w:sz w:val="19"/>
      <w:szCs w:val="19"/>
      <w:lang w:val="en-GB" w:eastAsia="en-US"/>
    </w:rPr>
  </w:style>
  <w:style w:type="character" w:customStyle="1" w:styleId="CEONormalChar">
    <w:name w:val="CEO_Normal Char"/>
    <w:link w:val="CEONormal"/>
    <w:rsid w:val="00565EBE"/>
    <w:rPr>
      <w:rFonts w:ascii="Verdana" w:eastAsia="SimSun" w:hAnsi="Verdana"/>
      <w:sz w:val="19"/>
      <w:szCs w:val="19"/>
      <w:lang w:val="en-GB" w:eastAsia="en-US"/>
    </w:rPr>
  </w:style>
  <w:style w:type="paragraph" w:styleId="TOC9">
    <w:name w:val="toc 9"/>
    <w:basedOn w:val="Normal"/>
    <w:next w:val="Normal"/>
    <w:autoRedefine/>
    <w:unhideWhenUsed/>
    <w:rsid w:val="00027B40"/>
    <w:pPr>
      <w:tabs>
        <w:tab w:val="clear" w:pos="1134"/>
        <w:tab w:val="clear" w:pos="1871"/>
        <w:tab w:val="clear" w:pos="2268"/>
      </w:tabs>
      <w:spacing w:before="0"/>
      <w:ind w:left="1920"/>
    </w:pPr>
    <w:rPr>
      <w:rFonts w:cstheme="minorHAnsi"/>
      <w:sz w:val="20"/>
    </w:rPr>
  </w:style>
  <w:style w:type="paragraph" w:styleId="Revision">
    <w:name w:val="Revision"/>
    <w:hidden/>
    <w:uiPriority w:val="99"/>
    <w:semiHidden/>
    <w:rsid w:val="00127F16"/>
    <w:rPr>
      <w:rFonts w:asciiTheme="minorHAnsi" w:hAnsiTheme="minorHAnsi"/>
      <w:sz w:val="24"/>
      <w:lang w:val="en-GB" w:eastAsia="en-US"/>
    </w:rPr>
  </w:style>
  <w:style w:type="paragraph" w:customStyle="1" w:styleId="Default">
    <w:name w:val="Default"/>
    <w:rsid w:val="000D6D4F"/>
    <w:pPr>
      <w:autoSpaceDE w:val="0"/>
      <w:autoSpaceDN w:val="0"/>
      <w:adjustRightInd w:val="0"/>
    </w:pPr>
    <w:rPr>
      <w:rFonts w:ascii="Calibri" w:eastAsiaTheme="minorEastAsia" w:hAnsi="Calibri" w:cs="Calibri"/>
      <w:color w:val="000000"/>
      <w:sz w:val="24"/>
      <w:szCs w:val="24"/>
    </w:rPr>
  </w:style>
  <w:style w:type="paragraph" w:styleId="PlainText">
    <w:name w:val="Plain Text"/>
    <w:basedOn w:val="Normal"/>
    <w:link w:val="PlainTextChar"/>
    <w:uiPriority w:val="99"/>
    <w:unhideWhenUsed/>
    <w:rsid w:val="002F10B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2F10B6"/>
    <w:rPr>
      <w:rFonts w:ascii="Calibri" w:eastAsia="SimSun" w:hAnsi="Calibri" w:cs="Arial"/>
      <w:sz w:val="22"/>
      <w:szCs w:val="21"/>
    </w:rPr>
  </w:style>
  <w:style w:type="paragraph" w:styleId="NormalWeb">
    <w:name w:val="Normal (Web)"/>
    <w:basedOn w:val="Normal"/>
    <w:uiPriority w:val="99"/>
    <w:semiHidden/>
    <w:unhideWhenUsed/>
    <w:rsid w:val="009E3A83"/>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9E3A83"/>
    <w:rPr>
      <w:sz w:val="16"/>
      <w:szCs w:val="16"/>
    </w:rPr>
  </w:style>
  <w:style w:type="paragraph" w:styleId="CommentText">
    <w:name w:val="annotation text"/>
    <w:basedOn w:val="Normal"/>
    <w:link w:val="CommentTextChar"/>
    <w:semiHidden/>
    <w:unhideWhenUsed/>
    <w:rsid w:val="009E3A83"/>
    <w:rPr>
      <w:sz w:val="20"/>
    </w:rPr>
  </w:style>
  <w:style w:type="character" w:customStyle="1" w:styleId="CommentTextChar">
    <w:name w:val="Comment Text Char"/>
    <w:basedOn w:val="DefaultParagraphFont"/>
    <w:link w:val="CommentText"/>
    <w:semiHidden/>
    <w:rsid w:val="009E3A8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E3A83"/>
    <w:rPr>
      <w:b/>
      <w:bCs/>
    </w:rPr>
  </w:style>
  <w:style w:type="character" w:customStyle="1" w:styleId="CommentSubjectChar">
    <w:name w:val="Comment Subject Char"/>
    <w:basedOn w:val="CommentTextChar"/>
    <w:link w:val="CommentSubject"/>
    <w:semiHidden/>
    <w:rsid w:val="009E3A83"/>
    <w:rPr>
      <w:rFonts w:asciiTheme="minorHAnsi" w:hAnsiTheme="minorHAnsi"/>
      <w:b/>
      <w:bCs/>
      <w:lang w:val="en-GB" w:eastAsia="en-US"/>
    </w:rPr>
  </w:style>
  <w:style w:type="character" w:customStyle="1" w:styleId="StyleComplexBodyCSArialBoldCustomColorRGB686868">
    <w:name w:val="Style (Complex) +Body CS (Arial) Bold Custom Color(RGB(686868))"/>
    <w:basedOn w:val="DefaultParagraphFont"/>
    <w:rsid w:val="00096BA9"/>
    <w:rPr>
      <w:rFonts w:asciiTheme="minorHAnsi" w:hAnsiTheme="minorHAnsi" w:cs="Calibri"/>
      <w:b/>
      <w:bCs/>
      <w:iCs w:val="0"/>
      <w:color w:val="444444"/>
    </w:rPr>
  </w:style>
  <w:style w:type="character" w:customStyle="1" w:styleId="StyleComplexBodyCSArial">
    <w:name w:val="Style (Complex) +Body CS (Arial)"/>
    <w:basedOn w:val="DefaultParagraphFont"/>
    <w:rsid w:val="00096BA9"/>
    <w:rPr>
      <w:rFonts w:asciiTheme="minorHAnsi" w:hAnsiTheme="minorHAnsi" w:cstheme="minorBidi"/>
    </w:rPr>
  </w:style>
  <w:style w:type="character" w:customStyle="1" w:styleId="StyleComplex12pt">
    <w:name w:val="Style (Complex) 12 pt"/>
    <w:basedOn w:val="DefaultParagraphFont"/>
    <w:rsid w:val="001B653E"/>
    <w:rPr>
      <w:rFonts w:asciiTheme="minorHAnsi" w:hAnsiTheme="minorHAnsi" w:cs="Calibri"/>
      <w:szCs w:val="2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B22127"/>
    <w:rPr>
      <w:rFonts w:asciiTheme="minorHAnsi" w:hAnsiTheme="minorHAnsi"/>
      <w:sz w:val="24"/>
      <w:lang w:val="en-GB" w:eastAsia="en-US"/>
    </w:rPr>
  </w:style>
  <w:style w:type="paragraph" w:customStyle="1" w:styleId="Colloquy1">
    <w:name w:val="Colloquy 1"/>
    <w:basedOn w:val="Normal"/>
    <w:next w:val="Normal"/>
    <w:uiPriority w:val="99"/>
    <w:rsid w:val="009625A6"/>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character" w:styleId="Strong">
    <w:name w:val="Strong"/>
    <w:basedOn w:val="DefaultParagraphFont"/>
    <w:uiPriority w:val="22"/>
    <w:qFormat/>
    <w:rsid w:val="002824B0"/>
    <w:rPr>
      <w:b/>
      <w:bCs/>
    </w:rPr>
  </w:style>
  <w:style w:type="character" w:styleId="PageNumber">
    <w:name w:val="page number"/>
    <w:basedOn w:val="DefaultParagraphFont"/>
    <w:rsid w:val="008D68AD"/>
    <w:rPr>
      <w:rFonts w:asciiTheme="minorHAnsi" w:hAnsiTheme="minorHAnsi"/>
    </w:rPr>
  </w:style>
  <w:style w:type="character" w:customStyle="1" w:styleId="enumlev1Char">
    <w:name w:val="enumlev1 Char"/>
    <w:basedOn w:val="DefaultParagraphFont"/>
    <w:link w:val="enumlev1"/>
    <w:rsid w:val="00413461"/>
    <w:rPr>
      <w:rFonts w:asciiTheme="minorHAnsi" w:hAnsiTheme="minorHAnsi"/>
      <w:sz w:val="24"/>
      <w:lang w:val="en-GB" w:eastAsia="en-US"/>
    </w:rPr>
  </w:style>
  <w:style w:type="character" w:customStyle="1" w:styleId="enumlev2Char">
    <w:name w:val="enumlev2 Char"/>
    <w:basedOn w:val="enumlev1Char"/>
    <w:link w:val="enumlev2"/>
    <w:rsid w:val="00413461"/>
    <w:rPr>
      <w:rFonts w:asciiTheme="minorHAnsi" w:hAnsiTheme="minorHAnsi"/>
      <w:sz w:val="24"/>
      <w:lang w:val="en-GB" w:eastAsia="en-US"/>
    </w:rPr>
  </w:style>
  <w:style w:type="character" w:styleId="UnresolvedMention">
    <w:name w:val="Unresolved Mention"/>
    <w:basedOn w:val="DefaultParagraphFont"/>
    <w:uiPriority w:val="99"/>
    <w:unhideWhenUsed/>
    <w:rsid w:val="001B35FD"/>
    <w:rPr>
      <w:color w:val="605E5C"/>
      <w:shd w:val="clear" w:color="auto" w:fill="E1DFDD"/>
    </w:rPr>
  </w:style>
  <w:style w:type="character" w:styleId="Mention">
    <w:name w:val="Mention"/>
    <w:basedOn w:val="DefaultParagraphFont"/>
    <w:uiPriority w:val="99"/>
    <w:unhideWhenUsed/>
    <w:rsid w:val="007E534A"/>
    <w:rPr>
      <w:color w:val="2B579A"/>
      <w:shd w:val="clear" w:color="auto" w:fill="E1DFDD"/>
    </w:rPr>
  </w:style>
  <w:style w:type="character" w:customStyle="1" w:styleId="ms-rtethemeforecolor-2-0">
    <w:name w:val="ms-rtethemeforecolor-2-0"/>
    <w:basedOn w:val="DefaultParagraphFont"/>
    <w:rsid w:val="007E4A96"/>
  </w:style>
  <w:style w:type="paragraph" w:styleId="TOCHeading">
    <w:name w:val="TOC Heading"/>
    <w:basedOn w:val="Heading1"/>
    <w:next w:val="Normal"/>
    <w:uiPriority w:val="39"/>
    <w:unhideWhenUsed/>
    <w:qFormat/>
    <w:rsid w:val="003A1A07"/>
    <w:pPr>
      <w:keepNext/>
      <w:keepLines/>
      <w:numPr>
        <w:numId w:val="0"/>
      </w:numPr>
      <w:tabs>
        <w:tab w:val="clear" w:pos="1134"/>
        <w:tab w:val="clear" w:pos="1871"/>
        <w:tab w:val="clear" w:pos="2268"/>
      </w:tabs>
      <w:overflowPunct/>
      <w:autoSpaceDE/>
      <w:autoSpaceDN/>
      <w:adjustRightInd/>
      <w:spacing w:before="240" w:line="259" w:lineRule="auto"/>
      <w:contextualSpacing w:val="0"/>
      <w:textAlignment w:val="auto"/>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93352478">
      <w:bodyDiv w:val="1"/>
      <w:marLeft w:val="0"/>
      <w:marRight w:val="0"/>
      <w:marTop w:val="0"/>
      <w:marBottom w:val="0"/>
      <w:divBdr>
        <w:top w:val="none" w:sz="0" w:space="0" w:color="auto"/>
        <w:left w:val="none" w:sz="0" w:space="0" w:color="auto"/>
        <w:bottom w:val="none" w:sz="0" w:space="0" w:color="auto"/>
        <w:right w:val="none" w:sz="0" w:space="0" w:color="auto"/>
      </w:divBdr>
    </w:div>
    <w:div w:id="577247862">
      <w:bodyDiv w:val="1"/>
      <w:marLeft w:val="0"/>
      <w:marRight w:val="0"/>
      <w:marTop w:val="0"/>
      <w:marBottom w:val="0"/>
      <w:divBdr>
        <w:top w:val="none" w:sz="0" w:space="0" w:color="auto"/>
        <w:left w:val="none" w:sz="0" w:space="0" w:color="auto"/>
        <w:bottom w:val="none" w:sz="0" w:space="0" w:color="auto"/>
        <w:right w:val="none" w:sz="0" w:space="0" w:color="auto"/>
      </w:divBdr>
    </w:div>
    <w:div w:id="862137550">
      <w:bodyDiv w:val="1"/>
      <w:marLeft w:val="0"/>
      <w:marRight w:val="0"/>
      <w:marTop w:val="0"/>
      <w:marBottom w:val="0"/>
      <w:divBdr>
        <w:top w:val="none" w:sz="0" w:space="0" w:color="auto"/>
        <w:left w:val="none" w:sz="0" w:space="0" w:color="auto"/>
        <w:bottom w:val="none" w:sz="0" w:space="0" w:color="auto"/>
        <w:right w:val="none" w:sz="0" w:space="0" w:color="auto"/>
      </w:divBdr>
    </w:div>
    <w:div w:id="1116826321">
      <w:bodyDiv w:val="1"/>
      <w:marLeft w:val="0"/>
      <w:marRight w:val="0"/>
      <w:marTop w:val="0"/>
      <w:marBottom w:val="0"/>
      <w:divBdr>
        <w:top w:val="none" w:sz="0" w:space="0" w:color="auto"/>
        <w:left w:val="none" w:sz="0" w:space="0" w:color="auto"/>
        <w:bottom w:val="none" w:sz="0" w:space="0" w:color="auto"/>
        <w:right w:val="none" w:sz="0" w:space="0" w:color="auto"/>
      </w:divBdr>
    </w:div>
    <w:div w:id="1129859751">
      <w:bodyDiv w:val="1"/>
      <w:marLeft w:val="0"/>
      <w:marRight w:val="0"/>
      <w:marTop w:val="0"/>
      <w:marBottom w:val="0"/>
      <w:divBdr>
        <w:top w:val="none" w:sz="0" w:space="0" w:color="auto"/>
        <w:left w:val="none" w:sz="0" w:space="0" w:color="auto"/>
        <w:bottom w:val="none" w:sz="0" w:space="0" w:color="auto"/>
        <w:right w:val="none" w:sz="0" w:space="0" w:color="auto"/>
      </w:divBdr>
    </w:div>
    <w:div w:id="116975678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67926105">
      <w:bodyDiv w:val="1"/>
      <w:marLeft w:val="0"/>
      <w:marRight w:val="0"/>
      <w:marTop w:val="0"/>
      <w:marBottom w:val="0"/>
      <w:divBdr>
        <w:top w:val="none" w:sz="0" w:space="0" w:color="auto"/>
        <w:left w:val="none" w:sz="0" w:space="0" w:color="auto"/>
        <w:bottom w:val="none" w:sz="0" w:space="0" w:color="auto"/>
        <w:right w:val="none" w:sz="0" w:space="0" w:color="auto"/>
      </w:divBdr>
    </w:div>
    <w:div w:id="1528569016">
      <w:bodyDiv w:val="1"/>
      <w:marLeft w:val="0"/>
      <w:marRight w:val="0"/>
      <w:marTop w:val="0"/>
      <w:marBottom w:val="0"/>
      <w:divBdr>
        <w:top w:val="none" w:sz="0" w:space="0" w:color="auto"/>
        <w:left w:val="none" w:sz="0" w:space="0" w:color="auto"/>
        <w:bottom w:val="none" w:sz="0" w:space="0" w:color="auto"/>
        <w:right w:val="none" w:sz="0" w:space="0" w:color="auto"/>
      </w:divBdr>
    </w:div>
    <w:div w:id="1841506804">
      <w:bodyDiv w:val="1"/>
      <w:marLeft w:val="0"/>
      <w:marRight w:val="0"/>
      <w:marTop w:val="0"/>
      <w:marBottom w:val="0"/>
      <w:divBdr>
        <w:top w:val="none" w:sz="0" w:space="0" w:color="auto"/>
        <w:left w:val="none" w:sz="0" w:space="0" w:color="auto"/>
        <w:bottom w:val="none" w:sz="0" w:space="0" w:color="auto"/>
        <w:right w:val="none" w:sz="0" w:space="0" w:color="auto"/>
      </w:divBdr>
    </w:div>
    <w:div w:id="18472047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0817412">
      <w:bodyDiv w:val="1"/>
      <w:marLeft w:val="0"/>
      <w:marRight w:val="0"/>
      <w:marTop w:val="0"/>
      <w:marBottom w:val="0"/>
      <w:divBdr>
        <w:top w:val="none" w:sz="0" w:space="0" w:color="auto"/>
        <w:left w:val="none" w:sz="0" w:space="0" w:color="auto"/>
        <w:bottom w:val="none" w:sz="0" w:space="0" w:color="auto"/>
        <w:right w:val="none" w:sz="0" w:space="0" w:color="auto"/>
      </w:divBdr>
    </w:div>
    <w:div w:id="1962610010">
      <w:bodyDiv w:val="1"/>
      <w:marLeft w:val="0"/>
      <w:marRight w:val="0"/>
      <w:marTop w:val="0"/>
      <w:marBottom w:val="0"/>
      <w:divBdr>
        <w:top w:val="none" w:sz="0" w:space="0" w:color="auto"/>
        <w:left w:val="none" w:sz="0" w:space="0" w:color="auto"/>
        <w:bottom w:val="none" w:sz="0" w:space="0" w:color="auto"/>
        <w:right w:val="none" w:sz="0" w:space="0" w:color="auto"/>
      </w:divBdr>
    </w:div>
    <w:div w:id="20983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ITU-D/tdag/" TargetMode="External"/><Relationship Id="rId21" Type="http://schemas.openxmlformats.org/officeDocument/2006/relationships/footer" Target="footer1.xml"/><Relationship Id="rId42" Type="http://schemas.openxmlformats.org/officeDocument/2006/relationships/hyperlink" Target="https://www.itu.int/md/D18-TDAG25.2-C-0031/" TargetMode="External"/><Relationship Id="rId47" Type="http://schemas.openxmlformats.org/officeDocument/2006/relationships/image" Target="media/image15.png"/><Relationship Id="rId63" Type="http://schemas.openxmlformats.org/officeDocument/2006/relationships/hyperlink" Target="https://www.itu.int/md/D18-TDAG28-C-0032/en" TargetMode="External"/><Relationship Id="rId68"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 Id="rId84"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 Id="rId89" Type="http://schemas.openxmlformats.org/officeDocument/2006/relationships/hyperlink" Target="https://www.itu.int/en/council/Documents/basic-texts/RES-191-E.pdf" TargetMode="External"/><Relationship Id="rId16" Type="http://schemas.openxmlformats.org/officeDocument/2006/relationships/hyperlink" Target="https://www.itu.int/md/meetingdoc.asp?lang=en&amp;parent=D18-TDAG26-C-0005" TargetMode="External"/><Relationship Id="rId11" Type="http://schemas.openxmlformats.org/officeDocument/2006/relationships/image" Target="media/image1.jpeg"/><Relationship Id="rId32" Type="http://schemas.openxmlformats.org/officeDocument/2006/relationships/hyperlink" Target="https://www.itu.int/md/D18-TDAG24-C-0044/en" TargetMode="External"/><Relationship Id="rId37" Type="http://schemas.openxmlformats.org/officeDocument/2006/relationships/hyperlink" Target="https://www.itu.int/md/D18-TDAG25.2-C-0059/" TargetMode="External"/><Relationship Id="rId53" Type="http://schemas.openxmlformats.org/officeDocument/2006/relationships/image" Target="media/image20.png"/><Relationship Id="rId58" Type="http://schemas.openxmlformats.org/officeDocument/2006/relationships/image" Target="media/image25.png"/><Relationship Id="rId74"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 Id="rId79"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 Id="rId5" Type="http://schemas.openxmlformats.org/officeDocument/2006/relationships/numbering" Target="numbering.xml"/><Relationship Id="rId90" Type="http://schemas.openxmlformats.org/officeDocument/2006/relationships/hyperlink" Target="https://www.itu.int/en/general-secretariat/Pages/ISCG/default.aspx" TargetMode="External"/><Relationship Id="rId22" Type="http://schemas.openxmlformats.org/officeDocument/2006/relationships/footer" Target="footer2.xml"/><Relationship Id="rId27" Type="http://schemas.openxmlformats.org/officeDocument/2006/relationships/hyperlink" Target="https://www.itu.int/en/ITU-D/Conferences/WTDC/WTDC17/Pages/default.aspx" TargetMode="External"/><Relationship Id="rId43" Type="http://schemas.openxmlformats.org/officeDocument/2006/relationships/hyperlink" Target="https://www.itu.int/md/D18-TDAG25.2-C-0032/" TargetMode="External"/><Relationship Id="rId48" Type="http://schemas.openxmlformats.org/officeDocument/2006/relationships/image" Target="media/image16.png"/><Relationship Id="rId64" Type="http://schemas.openxmlformats.org/officeDocument/2006/relationships/hyperlink" Target="https://www.itu.int/md/D18-TDAG28-C-0022/en" TargetMode="External"/><Relationship Id="rId69"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 Id="rId8" Type="http://schemas.openxmlformats.org/officeDocument/2006/relationships/webSettings" Target="webSettings.xml"/><Relationship Id="rId51" Type="http://schemas.openxmlformats.org/officeDocument/2006/relationships/hyperlink" Target="https://www.itu.int/md/D18-TDAG26-200616-TD-0003/en" TargetMode="External"/><Relationship Id="rId72"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 Id="rId80" Type="http://schemas.openxmlformats.org/officeDocument/2006/relationships/hyperlink" Target="https://www.itu.int/en/ITU-D/Conferences/WTDC/WTDC21/NoW/Pages/Events/Regional/Africa/2021_03.aspx" TargetMode="External"/><Relationship Id="rId85" Type="http://schemas.openxmlformats.org/officeDocument/2006/relationships/hyperlink" Target="https://www.itu.int/md/D18-SG01.RGQ-C-0444/en" TargetMode="External"/><Relationship Id="rId93"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18-TDAG27-C-0007/en" TargetMode="External"/><Relationship Id="rId25" Type="http://schemas.openxmlformats.org/officeDocument/2006/relationships/hyperlink" Target="http://www.itu.int/ITU-D/tdag/" TargetMode="External"/><Relationship Id="rId33" Type="http://schemas.openxmlformats.org/officeDocument/2006/relationships/image" Target="media/image7.png"/><Relationship Id="rId38" Type="http://schemas.openxmlformats.org/officeDocument/2006/relationships/image" Target="media/image11.png"/><Relationship Id="rId46" Type="http://schemas.openxmlformats.org/officeDocument/2006/relationships/hyperlink" Target="https://www.itu.int/md/D18-TDAG26-C-0005/en" TargetMode="External"/><Relationship Id="rId59" Type="http://schemas.openxmlformats.org/officeDocument/2006/relationships/image" Target="media/image26.png"/><Relationship Id="rId67" Type="http://schemas.openxmlformats.org/officeDocument/2006/relationships/hyperlink" Target="https://www.itu.int/en/ITU-D/Conferences/TDAG/Pages/TDAG_WG_SOP.aspx" TargetMode="External"/><Relationship Id="rId20" Type="http://schemas.openxmlformats.org/officeDocument/2006/relationships/header" Target="header2.xml"/><Relationship Id="rId41" Type="http://schemas.openxmlformats.org/officeDocument/2006/relationships/image" Target="media/image14.png"/><Relationship Id="rId54" Type="http://schemas.openxmlformats.org/officeDocument/2006/relationships/image" Target="media/image21.png"/><Relationship Id="rId62" Type="http://schemas.openxmlformats.org/officeDocument/2006/relationships/hyperlink" Target="https://www.itu.int/md/D18-TDAG28-C-0010/en" TargetMode="External"/><Relationship Id="rId70"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 Id="rId75" Type="http://schemas.openxmlformats.org/officeDocument/2006/relationships/hyperlink" Target="https://www.itu.int/en/ITU-D/Regulatory-Market/Pages/Events2020/RED-AFR-2020.aspx" TargetMode="External"/><Relationship Id="rId83" Type="http://schemas.openxmlformats.org/officeDocument/2006/relationships/hyperlink" Target="https://www.itu.int/en/ITU-D/Conferences/WTDC/WTDC21/R2A/Pages/Connect2Include.aspx" TargetMode="External"/><Relationship Id="rId88" Type="http://schemas.openxmlformats.org/officeDocument/2006/relationships/hyperlink" Target="https://www.itu.int/en/general-secretariat/Pages/ISCG/default.asp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18-TDAG25.2-C-0059/" TargetMode="External"/><Relationship Id="rId23" Type="http://schemas.openxmlformats.org/officeDocument/2006/relationships/header" Target="header3.xml"/><Relationship Id="rId28" Type="http://schemas.openxmlformats.org/officeDocument/2006/relationships/image" Target="media/image3.png"/><Relationship Id="rId36"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4.png"/><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hyperlink" Target="https://www.itu.int/md/D18-TDAG25.2-C-0039/" TargetMode="External"/><Relationship Id="rId52" Type="http://schemas.openxmlformats.org/officeDocument/2006/relationships/image" Target="media/image19.png"/><Relationship Id="rId60" Type="http://schemas.openxmlformats.org/officeDocument/2006/relationships/hyperlink" Target="https://www.itu.int/md/D18-TDAG28-C-0033/en" TargetMode="External"/><Relationship Id="rId65" Type="http://schemas.openxmlformats.org/officeDocument/2006/relationships/hyperlink" Target="https://www.itu.int/en/ITU-D/Conferences/TDAG/Pages/TDAG_WG_WTDC_Prep.aspx" TargetMode="External"/><Relationship Id="rId73" Type="http://schemas.openxmlformats.org/officeDocument/2006/relationships/hyperlink" Target="http://www.itu.int/itudsgpub" TargetMode="External"/><Relationship Id="rId78" Type="http://schemas.openxmlformats.org/officeDocument/2006/relationships/hyperlink" Target="https://www.itu.int/en/ITU-D/Regional-Presence/Africa/Pages/EVENTS/2020/RDF.aspx" TargetMode="External"/><Relationship Id="rId81" Type="http://schemas.openxmlformats.org/officeDocument/2006/relationships/hyperlink" Target="https://www.itu.int/en/ITU-D/Conferences/WTDC/WTDC21/Pages/RPM-EUR.aspx" TargetMode="External"/><Relationship Id="rId86"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18-TDAG23-C-0038/" TargetMode="External"/><Relationship Id="rId18" Type="http://schemas.openxmlformats.org/officeDocument/2006/relationships/hyperlink" Target="https://www.itu.int/md/D18-TDAG28-C-0039/en" TargetMode="External"/><Relationship Id="rId39" Type="http://schemas.openxmlformats.org/officeDocument/2006/relationships/image" Target="media/image12.png"/><Relationship Id="rId34" Type="http://schemas.openxmlformats.org/officeDocument/2006/relationships/image" Target="media/image8.png"/><Relationship Id="rId50" Type="http://schemas.openxmlformats.org/officeDocument/2006/relationships/image" Target="media/image18.png"/><Relationship Id="rId55" Type="http://schemas.openxmlformats.org/officeDocument/2006/relationships/image" Target="media/image22.png"/><Relationship Id="rId76" Type="http://schemas.openxmlformats.org/officeDocument/2006/relationships/hyperlink" Target="https://www.itu.int/en/ITU-D/Regulatory-Market/Pages/Events2020/RED-AFR-2020.aspx" TargetMode="External"/><Relationship Id="rId7" Type="http://schemas.openxmlformats.org/officeDocument/2006/relationships/settings" Target="settings.xml"/><Relationship Id="rId71"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4.png"/><Relationship Id="rId24" Type="http://schemas.openxmlformats.org/officeDocument/2006/relationships/footer" Target="footer3.xml"/><Relationship Id="rId40" Type="http://schemas.openxmlformats.org/officeDocument/2006/relationships/image" Target="media/image13.png"/><Relationship Id="rId45" Type="http://schemas.openxmlformats.org/officeDocument/2006/relationships/hyperlink" Target="https://www.itu.int/en/general-secretariat/Pages/ISCG/default.aspx" TargetMode="External"/><Relationship Id="rId66" Type="http://schemas.openxmlformats.org/officeDocument/2006/relationships/hyperlink" Target="https://www.itu.int/en/ITU-D/Conferences/TDAG/Pages/TDAG_WG_WTDC.aspx" TargetMode="External"/><Relationship Id="rId87" Type="http://schemas.openxmlformats.org/officeDocument/2006/relationships/hyperlink" Target="https://www.itu.int/dms_pub/itu-d/opb/tnd/D-TND-01-2020-PDF-E.pdf" TargetMode="External"/><Relationship Id="rId61" Type="http://schemas.openxmlformats.org/officeDocument/2006/relationships/hyperlink" Target="https://www.itu.int/md/D18-TDAG28-C-0037/" TargetMode="External"/><Relationship Id="rId82"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 Id="rId19" Type="http://schemas.openxmlformats.org/officeDocument/2006/relationships/header" Target="header1.xml"/><Relationship Id="rId14" Type="http://schemas.openxmlformats.org/officeDocument/2006/relationships/hyperlink" Target="https://www.itu.int/md/D18-TDAG24-C-0044/en" TargetMode="External"/><Relationship Id="rId30" Type="http://schemas.openxmlformats.org/officeDocument/2006/relationships/image" Target="media/image5.png"/><Relationship Id="rId35" Type="http://schemas.openxmlformats.org/officeDocument/2006/relationships/image" Target="media/image9.png"/><Relationship Id="rId56" Type="http://schemas.openxmlformats.org/officeDocument/2006/relationships/image" Target="media/image23.png"/><Relationship Id="rId77" Type="http://schemas.openxmlformats.org/officeDocument/2006/relationships/hyperlink" Target="https://euc-word-edit.officeapps.live.com/we/wordeditorframe.aspx?ui=en-us&amp;rs=en-us&amp;wopisrc=https%3A%2F%2Fituint.sharepoint.com%2Fsites%2FTDAG%2F_vti_bin%2Fwopi.ashx%2Ffiles%2F747227e405b049a688169499b3b93abd&amp;wdenableroaming=1&amp;mscc=1&amp;hid=6d9c75ac-e713-cd9c-0ba3-d97ed82d5871-2702&amp;uiembed=1&amp;uih=teams&amp;uihit=files&amp;hhdr=1&amp;dchat=1&amp;sc=%7B%22pmo%22%3A%22https%3A%2F%2Fteams.microsoft.com%22%2C%22pmshare%22%3Atrue%2C%22surl%22%3A%22%22%2C%22curl%22%3A%22%22%2C%22vurl%22%3A%22%22%2C%22eurl%22%3A%22https%3A%2F%2Fteams.microsoft.com%2Ffiles%2Fapps%2Fcom.microsoft.teams.files%2Ffiles%2F3066640977%2Fopen%3Fagent%3Dpostmessage%26objectUrl%3Dhttps%253A%252F%252Fituint.sharepoint.com%252Fsites%252FTDAG%252FShared%2520Documents%252FTDAG-21-2%2520(8-12%2520November%25202021)%252FDocument%252016%252FDraft%2520TDAG%2520Report_20211020.docx%26fileId%3D747227E4-05B0-49A6-8816-9499B3B93ABD%26fileType%3Ddocx%26ctx%3Dmw%26scenarioId%3D2702%26locale%3Den-us%26theme%3Ddefault%26version%3D21072105700%26setting%3Dring.id%3Ageneral%26setting%3DcreatedTime%3A1634906629005%22%7D&amp;wdorigin=TEAMS-ELECTRON.p2p_ns.mw&amp;wdhostclicktime=1634906628873&amp;jsapi=1&amp;jsapiver=v1&amp;newsession=1&amp;corrid=8641d4cd-9612-481e-acb1-f5b9d04bd5f3&amp;usid=8641d4cd-9612-481e-acb1-f5b9d04bd5f3&amp;sftc=1&amp;sams=1&amp;accloop=1&amp;sdr=6&amp;scnd=1&amp;hbcv=1&amp;htv=1&amp;hodflp=1&amp;instantedit=1&amp;wopicomplete=1&amp;wdredirectionreason=Unified_SingleFlush&amp;rct=Medium&amp;ctp=LeastProtected"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documenttasks/documenttasks1.xml><?xml version="1.0" encoding="utf-8"?>
<t:Tasks xmlns:t="http://schemas.microsoft.com/office/tasks/2019/documenttasks" xmlns:oel="http://schemas.microsoft.com/office/2019/extlst">
  <t:Task id="{E458ACB1-30EC-44ED-A48F-73D69921120C}">
    <t:Anchor>
      <t:Comment id="622312245"/>
    </t:Anchor>
    <t:History>
      <t:Event id="{EEA38D10-714D-4768-A49B-FACEC18997E9}" time="2021-10-21T12:43:51.687Z">
        <t:Attribution userId="S::maite.comasbarnes@itu.int::1672952a-b457-4b22-b070-99f7a1b298dc" userProvider="AD" userName="Comas Barnes, Maite"/>
        <t:Anchor>
          <t:Comment id="751296922"/>
        </t:Anchor>
        <t:Create/>
      </t:Event>
      <t:Event id="{5553CE77-B615-4696-9043-616FBC2B96FF}" time="2021-10-21T12:43:51.687Z">
        <t:Attribution userId="S::maite.comasbarnes@itu.int::1672952a-b457-4b22-b070-99f7a1b298dc" userProvider="AD" userName="Comas Barnes, Maite"/>
        <t:Anchor>
          <t:Comment id="751296922"/>
        </t:Anchor>
        <t:Assign userId="S::roseline.jongou@itu.int::821ff81b-b361-4a23-98d5-fc170d49479a" userProvider="AD" userName="Jongou, Roseline"/>
      </t:Event>
      <t:Event id="{11AA1D89-9A27-4D1F-96D2-49C920F11BF7}" time="2021-10-21T12:43:51.687Z">
        <t:Attribution userId="S::maite.comasbarnes@itu.int::1672952a-b457-4b22-b070-99f7a1b298dc" userProvider="AD" userName="Comas Barnes, Maite"/>
        <t:Anchor>
          <t:Comment id="751296922"/>
        </t:Anchor>
        <t:SetTitle title="@Jongou, Roseline , can you please provide stats by gender?"/>
      </t:Event>
    </t:History>
  </t:Task>
  <t:Task id="{DD00C69D-7E91-4BAF-8020-7FBD75BD612D}">
    <t:Anchor>
      <t:Comment id="622580004"/>
    </t:Anchor>
    <t:History>
      <t:Event id="{86BFA013-E5CD-4AC8-977A-96712EBE2BD7}" time="2021-10-22T12:11:24.391Z">
        <t:Attribution userId="S::maite.comasbarnes@itu.int::1672952a-b457-4b22-b070-99f7a1b298dc" userProvider="AD" userName="Comas Barnes, Maite"/>
        <t:Anchor>
          <t:Comment id="1146066508"/>
        </t:Anchor>
        <t:Create/>
      </t:Event>
      <t:Event id="{0868E958-D1B5-49F8-893B-156D7801163B}" time="2021-10-22T12:11:24.391Z">
        <t:Attribution userId="S::maite.comasbarnes@itu.int::1672952a-b457-4b22-b070-99f7a1b298dc" userProvider="AD" userName="Comas Barnes, Maite"/>
        <t:Anchor>
          <t:Comment id="1146066508"/>
        </t:Anchor>
        <t:Assign userId="S::kyungtak.lee@itu.int::537427a9-8ab0-402c-84b8-e71e7a0fa1c3" userProvider="AD" userName="Lee, Kyung Tak"/>
      </t:Event>
      <t:Event id="{06ACDF94-994B-4FE3-9FB4-7418130B29DE}" time="2021-10-22T12:11:24.391Z">
        <t:Attribution userId="S::maite.comasbarnes@itu.int::1672952a-b457-4b22-b070-99f7a1b298dc" userProvider="AD" userName="Comas Barnes, Maite"/>
        <t:Anchor>
          <t:Comment id="1146066508"/>
        </t:Anchor>
        <t:SetTitle title="@Awotar-Mauree, Rosheen , @Lee, Kyung Tak , this is the comment I was referring to. Kindly complet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29FFC0F-12DA-4002-8B37-0CE4CA12C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D966F-9898-4AC7-8087-0211AFCE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12040</Words>
  <Characters>87324</Characters>
  <Application>Microsoft Office Word</Application>
  <DocSecurity>0</DocSecurity>
  <Lines>727</Lines>
  <Paragraphs>198</Paragraphs>
  <ScaleCrop>false</ScaleCrop>
  <Manager>General Secretariat - Pool</Manager>
  <Company/>
  <LinksUpToDate>false</LinksUpToDate>
  <CharactersWithSpaces>99166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Lovato, Jean-Paul</dc:creator>
  <cp:keywords/>
  <dc:description/>
  <cp:lastModifiedBy>BDT-nd</cp:lastModifiedBy>
  <cp:revision>6</cp:revision>
  <cp:lastPrinted>2017-05-11T19:23:00Z</cp:lastPrinted>
  <dcterms:created xsi:type="dcterms:W3CDTF">2021-11-08T14:54:00Z</dcterms:created>
  <dcterms:modified xsi:type="dcterms:W3CDTF">2021-11-08T16:08:00Z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ies>
</file>