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2410"/>
        <w:gridCol w:w="3969"/>
        <w:gridCol w:w="1985"/>
        <w:gridCol w:w="1524"/>
      </w:tblGrid>
      <w:tr w:rsidR="00AD4677" w14:paraId="3F0E9EC4" w14:textId="77777777" w:rsidTr="00AD4677">
        <w:trPr>
          <w:cantSplit/>
          <w:trHeight w:val="1134"/>
        </w:trPr>
        <w:tc>
          <w:tcPr>
            <w:tcW w:w="2410" w:type="dxa"/>
          </w:tcPr>
          <w:p w14:paraId="5BB7E038" w14:textId="2F5C1E4A" w:rsidR="00AD4677" w:rsidRDefault="006A5A7E" w:rsidP="00AD4677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b/>
                <w:bCs/>
                <w:sz w:val="32"/>
                <w:szCs w:val="32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C02BE08" wp14:editId="1041237F">
                  <wp:extent cx="1369659" cy="1034104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69" b="4524"/>
                          <a:stretch/>
                        </pic:blipFill>
                        <pic:spPr bwMode="auto">
                          <a:xfrm>
                            <a:off x="0" y="0"/>
                            <a:ext cx="1374861" cy="1038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2"/>
          </w:tcPr>
          <w:p w14:paraId="68FE8375" w14:textId="77777777" w:rsidR="00AD4677" w:rsidRDefault="00AD4677" w:rsidP="00AD4677">
            <w:pPr>
              <w:tabs>
                <w:tab w:val="clear" w:pos="1191"/>
                <w:tab w:val="clear" w:pos="1588"/>
                <w:tab w:val="clear" w:pos="1985"/>
              </w:tabs>
              <w:spacing w:before="280" w:after="120"/>
              <w:ind w:left="34"/>
              <w:rPr>
                <w:b/>
                <w:bCs/>
                <w:sz w:val="32"/>
                <w:szCs w:val="32"/>
              </w:rPr>
            </w:pPr>
            <w:r w:rsidRPr="006F3D93">
              <w:rPr>
                <w:b/>
                <w:bCs/>
                <w:sz w:val="32"/>
                <w:szCs w:val="32"/>
              </w:rPr>
              <w:t>Telecommunication</w:t>
            </w:r>
            <w:r>
              <w:rPr>
                <w:b/>
                <w:bCs/>
                <w:sz w:val="32"/>
                <w:szCs w:val="32"/>
              </w:rPr>
              <w:t xml:space="preserve"> Development</w:t>
            </w:r>
            <w:r>
              <w:rPr>
                <w:b/>
                <w:bCs/>
                <w:sz w:val="32"/>
                <w:szCs w:val="32"/>
              </w:rPr>
              <w:br/>
              <w:t>Advisory Group (TDAG)</w:t>
            </w:r>
          </w:p>
          <w:p w14:paraId="5F5F590A" w14:textId="15A88761" w:rsidR="00AD4677" w:rsidRPr="00844A56" w:rsidRDefault="00AD4677" w:rsidP="00B648C7">
            <w:pPr>
              <w:tabs>
                <w:tab w:val="clear" w:pos="1191"/>
                <w:tab w:val="clear" w:pos="1588"/>
                <w:tab w:val="clear" w:pos="1985"/>
              </w:tabs>
              <w:spacing w:before="100" w:after="120"/>
              <w:ind w:left="34"/>
              <w:rPr>
                <w:rFonts w:ascii="Verdana" w:hAnsi="Verdana"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143F44">
              <w:rPr>
                <w:b/>
                <w:bCs/>
                <w:sz w:val="26"/>
                <w:szCs w:val="26"/>
              </w:rPr>
              <w:t>9</w:t>
            </w:r>
            <w:r>
              <w:rPr>
                <w:b/>
                <w:bCs/>
                <w:sz w:val="26"/>
                <w:szCs w:val="26"/>
              </w:rPr>
              <w:t xml:space="preserve">th Meeting, Virtual, </w:t>
            </w:r>
            <w:r w:rsidR="00143F44">
              <w:rPr>
                <w:b/>
                <w:bCs/>
                <w:sz w:val="26"/>
                <w:szCs w:val="26"/>
              </w:rPr>
              <w:t>8-12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43F44">
              <w:rPr>
                <w:b/>
                <w:bCs/>
                <w:sz w:val="26"/>
                <w:szCs w:val="26"/>
              </w:rPr>
              <w:t>November</w:t>
            </w:r>
            <w:r>
              <w:rPr>
                <w:b/>
                <w:bCs/>
                <w:sz w:val="26"/>
                <w:szCs w:val="26"/>
              </w:rPr>
              <w:t xml:space="preserve"> 2021</w:t>
            </w:r>
          </w:p>
        </w:tc>
        <w:tc>
          <w:tcPr>
            <w:tcW w:w="1524" w:type="dxa"/>
          </w:tcPr>
          <w:p w14:paraId="67E7B4C4" w14:textId="0F52E4CC" w:rsidR="00AD4677" w:rsidRPr="00683C32" w:rsidRDefault="00AD4677" w:rsidP="00AD4677">
            <w:pPr>
              <w:spacing w:before="240"/>
              <w:ind w:right="142"/>
              <w:jc w:val="right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7A20172F" wp14:editId="3C26654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997358" w14:paraId="3C13197B" w14:textId="77777777" w:rsidTr="0009076F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2EED9DB2" w14:textId="77777777" w:rsidR="00683C32" w:rsidRPr="00997358" w:rsidRDefault="00683C32" w:rsidP="00107E85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509" w:type="dxa"/>
            <w:gridSpan w:val="2"/>
            <w:tcBorders>
              <w:top w:val="single" w:sz="12" w:space="0" w:color="auto"/>
            </w:tcBorders>
          </w:tcPr>
          <w:p w14:paraId="6CC77CFE" w14:textId="77777777" w:rsidR="00683C32" w:rsidRPr="00997358" w:rsidRDefault="00683C32" w:rsidP="00107E85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683C32" w:rsidRPr="00002716" w14:paraId="0BB3FBC4" w14:textId="77777777" w:rsidTr="0009076F">
        <w:trPr>
          <w:cantSplit/>
        </w:trPr>
        <w:tc>
          <w:tcPr>
            <w:tcW w:w="6379" w:type="dxa"/>
            <w:gridSpan w:val="2"/>
          </w:tcPr>
          <w:p w14:paraId="43C54B3D" w14:textId="77777777" w:rsidR="00683C32" w:rsidRPr="007F1CC7" w:rsidRDefault="00683C32" w:rsidP="00400CCF">
            <w:pPr>
              <w:pStyle w:val="Committee"/>
              <w:spacing w:before="0"/>
              <w:rPr>
                <w:b w:val="0"/>
                <w:szCs w:val="24"/>
              </w:rPr>
            </w:pPr>
          </w:p>
        </w:tc>
        <w:tc>
          <w:tcPr>
            <w:tcW w:w="3509" w:type="dxa"/>
            <w:gridSpan w:val="2"/>
          </w:tcPr>
          <w:p w14:paraId="02E44EE9" w14:textId="134524FD" w:rsidR="00683C32" w:rsidRPr="007F1CC7" w:rsidRDefault="0096201B" w:rsidP="00B648C7">
            <w:pPr>
              <w:spacing w:before="0"/>
              <w:jc w:val="both"/>
              <w:rPr>
                <w:bCs/>
                <w:szCs w:val="24"/>
                <w:lang w:val="en-US"/>
              </w:rPr>
            </w:pPr>
            <w:r w:rsidRPr="00002716">
              <w:rPr>
                <w:b/>
                <w:bCs/>
                <w:lang w:val="en-US"/>
              </w:rPr>
              <w:t>Document</w:t>
            </w:r>
            <w:r w:rsidRPr="00A54E72">
              <w:rPr>
                <w:b/>
                <w:bCs/>
                <w:lang w:val="en-US"/>
              </w:rPr>
              <w:t xml:space="preserve"> </w:t>
            </w:r>
            <w:bookmarkStart w:id="0" w:name="DocRef1"/>
            <w:bookmarkEnd w:id="0"/>
            <w:r>
              <w:rPr>
                <w:b/>
                <w:bCs/>
                <w:lang w:val="en-US"/>
              </w:rPr>
              <w:t>TDAG</w:t>
            </w:r>
            <w:r w:rsidR="003242AB">
              <w:rPr>
                <w:b/>
                <w:bCs/>
                <w:lang w:val="en-US"/>
              </w:rPr>
              <w:t>-</w:t>
            </w:r>
            <w:r w:rsidR="00B648C7">
              <w:rPr>
                <w:b/>
                <w:bCs/>
                <w:lang w:val="en-US"/>
              </w:rPr>
              <w:t>2</w:t>
            </w:r>
            <w:bookmarkStart w:id="1" w:name="DocNo1"/>
            <w:bookmarkEnd w:id="1"/>
            <w:r w:rsidR="00AD4677">
              <w:rPr>
                <w:b/>
                <w:bCs/>
                <w:lang w:val="en-US"/>
              </w:rPr>
              <w:t>1</w:t>
            </w:r>
            <w:r w:rsidR="00143F44">
              <w:rPr>
                <w:b/>
                <w:bCs/>
                <w:lang w:val="en-US"/>
              </w:rPr>
              <w:t>/2</w:t>
            </w:r>
            <w:r w:rsidR="0009076F">
              <w:rPr>
                <w:b/>
                <w:bCs/>
                <w:lang w:val="en-US"/>
              </w:rPr>
              <w:t>/</w:t>
            </w:r>
            <w:r w:rsidR="00F54B94">
              <w:rPr>
                <w:b/>
                <w:bCs/>
                <w:lang w:val="en-US"/>
              </w:rPr>
              <w:t>13</w:t>
            </w:r>
            <w:r>
              <w:rPr>
                <w:b/>
                <w:bCs/>
                <w:lang w:val="en-US"/>
              </w:rPr>
              <w:t>-E</w:t>
            </w:r>
          </w:p>
        </w:tc>
      </w:tr>
      <w:tr w:rsidR="00683C32" w14:paraId="24D04936" w14:textId="77777777" w:rsidTr="0009076F">
        <w:trPr>
          <w:cantSplit/>
        </w:trPr>
        <w:tc>
          <w:tcPr>
            <w:tcW w:w="6379" w:type="dxa"/>
            <w:gridSpan w:val="2"/>
          </w:tcPr>
          <w:p w14:paraId="12CE4DBF" w14:textId="77777777" w:rsidR="00683C32" w:rsidRPr="007F1CC7" w:rsidRDefault="00683C32" w:rsidP="00400CCF">
            <w:pPr>
              <w:spacing w:before="0"/>
              <w:rPr>
                <w:b/>
                <w:bCs/>
                <w:smallCaps/>
                <w:szCs w:val="24"/>
                <w:lang w:val="en-US"/>
              </w:rPr>
            </w:pPr>
          </w:p>
        </w:tc>
        <w:tc>
          <w:tcPr>
            <w:tcW w:w="3509" w:type="dxa"/>
            <w:gridSpan w:val="2"/>
          </w:tcPr>
          <w:p w14:paraId="0F89640F" w14:textId="694583BE" w:rsidR="00683C32" w:rsidRPr="007F1CC7" w:rsidRDefault="003A0B73" w:rsidP="00B648C7">
            <w:pPr>
              <w:spacing w:before="0"/>
              <w:rPr>
                <w:b/>
                <w:szCs w:val="24"/>
              </w:rPr>
            </w:pPr>
            <w:bookmarkStart w:id="2" w:name="CreationDate"/>
            <w:bookmarkEnd w:id="2"/>
            <w:r>
              <w:rPr>
                <w:b/>
                <w:bCs/>
                <w:szCs w:val="28"/>
              </w:rPr>
              <w:t>30 August 2021</w:t>
            </w:r>
          </w:p>
        </w:tc>
      </w:tr>
      <w:tr w:rsidR="00683C32" w14:paraId="7B96545F" w14:textId="77777777" w:rsidTr="0009076F">
        <w:trPr>
          <w:cantSplit/>
        </w:trPr>
        <w:tc>
          <w:tcPr>
            <w:tcW w:w="6379" w:type="dxa"/>
            <w:gridSpan w:val="2"/>
          </w:tcPr>
          <w:p w14:paraId="65956FD3" w14:textId="77777777" w:rsidR="00683C32" w:rsidRPr="007F1CC7" w:rsidRDefault="00683C32" w:rsidP="00400CCF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509" w:type="dxa"/>
            <w:gridSpan w:val="2"/>
          </w:tcPr>
          <w:p w14:paraId="30EFD39F" w14:textId="0BF1F51F" w:rsidR="00514D2F" w:rsidRPr="007F1CC7" w:rsidRDefault="0096201B" w:rsidP="00400CCF">
            <w:pPr>
              <w:spacing w:before="0"/>
              <w:rPr>
                <w:szCs w:val="24"/>
              </w:rPr>
            </w:pPr>
            <w:r>
              <w:rPr>
                <w:b/>
              </w:rPr>
              <w:t>Original:</w:t>
            </w:r>
            <w:bookmarkStart w:id="3" w:name="Original"/>
            <w:bookmarkEnd w:id="3"/>
            <w:r w:rsidR="00CE0422">
              <w:rPr>
                <w:b/>
              </w:rPr>
              <w:t xml:space="preserve"> </w:t>
            </w:r>
            <w:r w:rsidR="00AD4677">
              <w:rPr>
                <w:b/>
              </w:rPr>
              <w:t>English</w:t>
            </w:r>
          </w:p>
        </w:tc>
      </w:tr>
      <w:tr w:rsidR="00A13162" w14:paraId="31656E31" w14:textId="77777777" w:rsidTr="00107E85">
        <w:trPr>
          <w:cantSplit/>
          <w:trHeight w:val="852"/>
        </w:trPr>
        <w:tc>
          <w:tcPr>
            <w:tcW w:w="9888" w:type="dxa"/>
            <w:gridSpan w:val="4"/>
          </w:tcPr>
          <w:p w14:paraId="512FCA01" w14:textId="3F813EEF" w:rsidR="00A13162" w:rsidRPr="0030353C" w:rsidRDefault="003A0B73" w:rsidP="0030353C">
            <w:pPr>
              <w:pStyle w:val="Source"/>
            </w:pPr>
            <w:bookmarkStart w:id="4" w:name="Source"/>
            <w:bookmarkEnd w:id="4"/>
            <w:r w:rsidRPr="003A0B73">
              <w:t>Secretary-General</w:t>
            </w:r>
          </w:p>
        </w:tc>
      </w:tr>
      <w:tr w:rsidR="00AC6F14" w:rsidRPr="002E6963" w14:paraId="2CBD3A36" w14:textId="77777777" w:rsidTr="00107E85">
        <w:trPr>
          <w:cantSplit/>
        </w:trPr>
        <w:tc>
          <w:tcPr>
            <w:tcW w:w="9888" w:type="dxa"/>
            <w:gridSpan w:val="4"/>
          </w:tcPr>
          <w:p w14:paraId="1B4121DF" w14:textId="72140B56" w:rsidR="00AC6F14" w:rsidRPr="0030353C" w:rsidRDefault="003A0B73" w:rsidP="003A0B73">
            <w:pPr>
              <w:pStyle w:val="Title1"/>
            </w:pPr>
            <w:bookmarkStart w:id="5" w:name="Title"/>
            <w:bookmarkEnd w:id="5"/>
            <w:r>
              <w:t xml:space="preserve">Draft Agenda of the World Telecommunication </w:t>
            </w:r>
            <w:r>
              <w:br/>
              <w:t>Development Conference (WTDC)</w:t>
            </w:r>
          </w:p>
        </w:tc>
      </w:tr>
      <w:tr w:rsidR="00A721F4" w:rsidRPr="002E6963" w14:paraId="23A30231" w14:textId="77777777" w:rsidTr="00A721F4">
        <w:trPr>
          <w:cantSplit/>
        </w:trPr>
        <w:tc>
          <w:tcPr>
            <w:tcW w:w="9888" w:type="dxa"/>
            <w:gridSpan w:val="4"/>
            <w:tcBorders>
              <w:bottom w:val="single" w:sz="4" w:space="0" w:color="auto"/>
            </w:tcBorders>
          </w:tcPr>
          <w:p w14:paraId="726EE70E" w14:textId="77777777" w:rsidR="00A721F4" w:rsidRPr="00A721F4" w:rsidRDefault="00A721F4" w:rsidP="0030353C"/>
        </w:tc>
      </w:tr>
    </w:tbl>
    <w:p w14:paraId="3E3EA459" w14:textId="77777777" w:rsidR="003A0B73" w:rsidRDefault="003A0B73" w:rsidP="003A0B73"/>
    <w:p w14:paraId="06C8216B" w14:textId="52731B7D" w:rsidR="00E43D05" w:rsidRDefault="00E43D05" w:rsidP="003A0B73">
      <w:r>
        <w:t xml:space="preserve">The draft agenda for the </w:t>
      </w:r>
      <w:r w:rsidR="006B78B5">
        <w:t>forthcoming WTDC is being submitted to TDAG for discussion and endorsement.  It will then need to be submitted to Council Member States</w:t>
      </w:r>
      <w:r w:rsidR="00703703">
        <w:t xml:space="preserve"> and later, to all Member States, for their approval.</w:t>
      </w:r>
    </w:p>
    <w:p w14:paraId="4C257068" w14:textId="2F73C137" w:rsidR="003A0B73" w:rsidRPr="00AB48AF" w:rsidRDefault="003A0B73" w:rsidP="003A0B73">
      <w:r w:rsidRPr="00AB48AF">
        <w:t>The text of the agenda is found in annex.</w:t>
      </w:r>
    </w:p>
    <w:p w14:paraId="535632BA" w14:textId="77777777" w:rsidR="003A0B73" w:rsidRDefault="003A0B73" w:rsidP="003A0B73"/>
    <w:p w14:paraId="2CE4E775" w14:textId="77777777" w:rsidR="003A0B73" w:rsidRDefault="003A0B73" w:rsidP="003A0B73"/>
    <w:p w14:paraId="5B29B2A3" w14:textId="77777777" w:rsidR="00923CF1" w:rsidRDefault="00923CF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2F450EBB" w14:textId="7CE57071" w:rsidR="003A0B73" w:rsidRPr="0034608E" w:rsidRDefault="003A0B73" w:rsidP="006B0601">
      <w:pPr>
        <w:pStyle w:val="Default"/>
        <w:keepNext/>
        <w:tabs>
          <w:tab w:val="left" w:pos="567"/>
          <w:tab w:val="left" w:pos="1134"/>
          <w:tab w:val="left" w:pos="1701"/>
          <w:tab w:val="left" w:pos="2268"/>
        </w:tabs>
        <w:spacing w:before="360"/>
        <w:ind w:left="567" w:hanging="567"/>
        <w:rPr>
          <w:rFonts w:asciiTheme="minorHAnsi" w:hAnsiTheme="minorHAnsi"/>
        </w:rPr>
      </w:pPr>
      <w:r w:rsidRPr="0034608E">
        <w:rPr>
          <w:rFonts w:asciiTheme="minorHAnsi" w:hAnsiTheme="minorHAnsi"/>
          <w:b/>
          <w:bCs/>
        </w:rPr>
        <w:lastRenderedPageBreak/>
        <w:t xml:space="preserve">I. </w:t>
      </w:r>
      <w:r>
        <w:rPr>
          <w:rFonts w:asciiTheme="minorHAnsi" w:hAnsiTheme="minorHAnsi"/>
          <w:b/>
          <w:bCs/>
        </w:rPr>
        <w:tab/>
      </w:r>
      <w:r w:rsidRPr="0034608E">
        <w:rPr>
          <w:rFonts w:asciiTheme="minorHAnsi" w:hAnsiTheme="minorHAnsi"/>
          <w:b/>
          <w:bCs/>
        </w:rPr>
        <w:t xml:space="preserve">Report on the implementation of the </w:t>
      </w:r>
      <w:r w:rsidR="002A4705">
        <w:rPr>
          <w:rFonts w:asciiTheme="minorHAnsi" w:hAnsiTheme="minorHAnsi"/>
          <w:b/>
          <w:bCs/>
        </w:rPr>
        <w:t>Buenos Aires</w:t>
      </w:r>
      <w:r w:rsidR="002A4705" w:rsidRPr="0034608E">
        <w:rPr>
          <w:rFonts w:asciiTheme="minorHAnsi" w:hAnsiTheme="minorHAnsi"/>
          <w:b/>
          <w:bCs/>
        </w:rPr>
        <w:t xml:space="preserve"> </w:t>
      </w:r>
      <w:r w:rsidRPr="0034608E">
        <w:rPr>
          <w:rFonts w:asciiTheme="minorHAnsi" w:hAnsiTheme="minorHAnsi"/>
          <w:b/>
          <w:bCs/>
        </w:rPr>
        <w:t xml:space="preserve">Action Plan </w:t>
      </w:r>
    </w:p>
    <w:p w14:paraId="58724E32" w14:textId="04C57D88" w:rsidR="005C3415" w:rsidRPr="005C3415" w:rsidRDefault="005C3415" w:rsidP="003A0B73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12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1. </w:t>
      </w:r>
      <w:r>
        <w:rPr>
          <w:rFonts w:asciiTheme="minorHAnsi" w:hAnsiTheme="minorHAnsi"/>
        </w:rPr>
        <w:tab/>
        <w:t>Update on</w:t>
      </w:r>
      <w:r w:rsidRPr="005C341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global digital transformation and reporting on </w:t>
      </w:r>
      <w:r w:rsidRPr="005C3415">
        <w:rPr>
          <w:rFonts w:asciiTheme="minorHAnsi" w:hAnsiTheme="minorHAnsi"/>
        </w:rPr>
        <w:t>the implementation of the WTDC-17 Buenos Aires Action Plan (including the Regional Initiatives), contribution to the implementation of the WSIS Plan of Action and the Sustainable Development Goals (SDGs)</w:t>
      </w:r>
    </w:p>
    <w:p w14:paraId="11C5DFF9" w14:textId="77777777" w:rsidR="003A0B73" w:rsidRPr="0034608E" w:rsidRDefault="003A0B73" w:rsidP="003A0B73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120"/>
        <w:ind w:left="567" w:hanging="567"/>
        <w:rPr>
          <w:rFonts w:asciiTheme="minorHAnsi" w:hAnsiTheme="minorHAnsi"/>
        </w:rPr>
      </w:pPr>
      <w:r w:rsidRPr="0062187C">
        <w:rPr>
          <w:rFonts w:asciiTheme="minorHAnsi" w:hAnsiTheme="minorHAnsi" w:cstheme="minorHAnsi"/>
        </w:rPr>
        <w:t xml:space="preserve">2. </w:t>
      </w:r>
      <w:r w:rsidRPr="0062187C">
        <w:rPr>
          <w:rFonts w:asciiTheme="minorHAnsi" w:hAnsiTheme="minorHAnsi" w:cstheme="minorHAnsi"/>
        </w:rPr>
        <w:tab/>
        <w:t>Report of the</w:t>
      </w:r>
      <w:r w:rsidRPr="0034608E">
        <w:rPr>
          <w:rFonts w:asciiTheme="minorHAnsi" w:hAnsiTheme="minorHAnsi"/>
        </w:rPr>
        <w:t xml:space="preserve"> Telecommunication Development Advisory Group </w:t>
      </w:r>
    </w:p>
    <w:p w14:paraId="6F2DFB8B" w14:textId="77777777" w:rsidR="003A0B73" w:rsidRPr="0034608E" w:rsidRDefault="003A0B73" w:rsidP="003A0B73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120"/>
        <w:ind w:left="567" w:hanging="567"/>
        <w:rPr>
          <w:rFonts w:asciiTheme="minorHAnsi" w:hAnsiTheme="minorHAnsi"/>
        </w:rPr>
      </w:pPr>
      <w:r w:rsidRPr="0034608E">
        <w:rPr>
          <w:rFonts w:asciiTheme="minorHAnsi" w:hAnsiTheme="minorHAnsi"/>
        </w:rPr>
        <w:t xml:space="preserve">3. </w:t>
      </w:r>
      <w:r>
        <w:rPr>
          <w:rFonts w:asciiTheme="minorHAnsi" w:hAnsiTheme="minorHAnsi"/>
        </w:rPr>
        <w:tab/>
      </w:r>
      <w:r w:rsidRPr="0034608E">
        <w:rPr>
          <w:rFonts w:asciiTheme="minorHAnsi" w:hAnsiTheme="minorHAnsi"/>
        </w:rPr>
        <w:t xml:space="preserve">Report of Study Groups </w:t>
      </w:r>
    </w:p>
    <w:p w14:paraId="5217E427" w14:textId="77777777" w:rsidR="003A0B73" w:rsidRPr="0034608E" w:rsidRDefault="003A0B73" w:rsidP="003A0B73">
      <w:pPr>
        <w:pStyle w:val="Default"/>
        <w:keepNext/>
        <w:tabs>
          <w:tab w:val="left" w:pos="567"/>
          <w:tab w:val="left" w:pos="1134"/>
          <w:tab w:val="left" w:pos="1701"/>
          <w:tab w:val="left" w:pos="2268"/>
        </w:tabs>
        <w:spacing w:before="120"/>
        <w:ind w:left="567" w:hanging="567"/>
        <w:rPr>
          <w:rFonts w:asciiTheme="minorHAnsi" w:hAnsiTheme="minorHAnsi"/>
        </w:rPr>
      </w:pPr>
      <w:r w:rsidRPr="0034608E">
        <w:rPr>
          <w:rFonts w:asciiTheme="minorHAnsi" w:hAnsiTheme="minorHAnsi"/>
        </w:rPr>
        <w:t xml:space="preserve">4. </w:t>
      </w:r>
      <w:r>
        <w:rPr>
          <w:rFonts w:asciiTheme="minorHAnsi" w:hAnsiTheme="minorHAnsi"/>
        </w:rPr>
        <w:tab/>
      </w:r>
      <w:r w:rsidRPr="0034608E">
        <w:rPr>
          <w:rFonts w:asciiTheme="minorHAnsi" w:hAnsiTheme="minorHAnsi"/>
        </w:rPr>
        <w:t xml:space="preserve">Report on the implementation of outcomes of other ITU Conferences, Assemblies and meetings related to ITU-D work: </w:t>
      </w:r>
    </w:p>
    <w:p w14:paraId="7998924B" w14:textId="794BF139" w:rsidR="003A0B73" w:rsidRPr="0034608E" w:rsidRDefault="003A0B73" w:rsidP="006B0601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60"/>
        <w:ind w:left="1134" w:hanging="567"/>
        <w:rPr>
          <w:rFonts w:asciiTheme="minorHAnsi" w:hAnsiTheme="minorHAnsi"/>
        </w:rPr>
      </w:pPr>
      <w:r w:rsidRPr="0034608E">
        <w:rPr>
          <w:rFonts w:asciiTheme="minorHAnsi" w:hAnsiTheme="minorHAnsi"/>
        </w:rPr>
        <w:t>a.</w:t>
      </w:r>
      <w:r>
        <w:rPr>
          <w:rFonts w:asciiTheme="minorHAnsi" w:hAnsiTheme="minorHAnsi"/>
        </w:rPr>
        <w:tab/>
      </w:r>
      <w:r w:rsidRPr="0034608E">
        <w:rPr>
          <w:rFonts w:asciiTheme="minorHAnsi" w:hAnsiTheme="minorHAnsi"/>
        </w:rPr>
        <w:t>Plenipotentiary Conference (PP-</w:t>
      </w:r>
      <w:r w:rsidR="00315E41">
        <w:rPr>
          <w:rFonts w:asciiTheme="minorHAnsi" w:hAnsiTheme="minorHAnsi"/>
        </w:rPr>
        <w:t>18</w:t>
      </w:r>
      <w:r w:rsidRPr="0034608E">
        <w:rPr>
          <w:rFonts w:asciiTheme="minorHAnsi" w:hAnsiTheme="minorHAnsi"/>
        </w:rPr>
        <w:t xml:space="preserve">) </w:t>
      </w:r>
    </w:p>
    <w:p w14:paraId="6D313730" w14:textId="42034C45" w:rsidR="003A0B73" w:rsidRPr="0034608E" w:rsidRDefault="003A0B73" w:rsidP="006B0601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60"/>
        <w:ind w:left="1134" w:hanging="567"/>
        <w:rPr>
          <w:rFonts w:asciiTheme="minorHAnsi" w:hAnsiTheme="minorHAnsi"/>
        </w:rPr>
      </w:pPr>
      <w:r w:rsidRPr="0034608E">
        <w:rPr>
          <w:rFonts w:asciiTheme="minorHAnsi" w:hAnsiTheme="minorHAnsi"/>
        </w:rPr>
        <w:t>b.</w:t>
      </w:r>
      <w:r>
        <w:rPr>
          <w:rFonts w:asciiTheme="minorHAnsi" w:hAnsiTheme="minorHAnsi"/>
        </w:rPr>
        <w:tab/>
      </w:r>
      <w:r w:rsidRPr="0034608E">
        <w:rPr>
          <w:rFonts w:asciiTheme="minorHAnsi" w:hAnsiTheme="minorHAnsi"/>
        </w:rPr>
        <w:t>Radiocommunication Assembly (RA-</w:t>
      </w:r>
      <w:r w:rsidR="00315E41">
        <w:rPr>
          <w:rFonts w:asciiTheme="minorHAnsi" w:hAnsiTheme="minorHAnsi"/>
        </w:rPr>
        <w:t>19</w:t>
      </w:r>
      <w:r w:rsidRPr="0034608E">
        <w:rPr>
          <w:rFonts w:asciiTheme="minorHAnsi" w:hAnsiTheme="minorHAnsi"/>
        </w:rPr>
        <w:t>)/World Radiocommunication Conference (WRC-</w:t>
      </w:r>
      <w:r w:rsidR="00315E41" w:rsidRPr="0034608E">
        <w:rPr>
          <w:rFonts w:asciiTheme="minorHAnsi" w:hAnsiTheme="minorHAnsi"/>
        </w:rPr>
        <w:t>1</w:t>
      </w:r>
      <w:r w:rsidR="00315E41">
        <w:rPr>
          <w:rFonts w:asciiTheme="minorHAnsi" w:hAnsiTheme="minorHAnsi"/>
        </w:rPr>
        <w:t>9</w:t>
      </w:r>
      <w:r w:rsidRPr="0034608E">
        <w:rPr>
          <w:rFonts w:asciiTheme="minorHAnsi" w:hAnsiTheme="minorHAnsi"/>
        </w:rPr>
        <w:t xml:space="preserve">) </w:t>
      </w:r>
    </w:p>
    <w:p w14:paraId="141F14AA" w14:textId="1391CA5C" w:rsidR="003A0B73" w:rsidRPr="0034608E" w:rsidRDefault="003A0B73" w:rsidP="006B0601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60"/>
        <w:ind w:left="1134" w:hanging="567"/>
        <w:rPr>
          <w:rFonts w:asciiTheme="minorHAnsi" w:hAnsiTheme="minorHAnsi"/>
        </w:rPr>
      </w:pPr>
      <w:r w:rsidRPr="0034608E">
        <w:rPr>
          <w:rFonts w:asciiTheme="minorHAnsi" w:hAnsiTheme="minorHAnsi"/>
        </w:rPr>
        <w:t>c.</w:t>
      </w:r>
      <w:r>
        <w:rPr>
          <w:rFonts w:asciiTheme="minorHAnsi" w:hAnsiTheme="minorHAnsi"/>
        </w:rPr>
        <w:tab/>
      </w:r>
      <w:r w:rsidRPr="0034608E">
        <w:rPr>
          <w:rFonts w:asciiTheme="minorHAnsi" w:hAnsiTheme="minorHAnsi"/>
        </w:rPr>
        <w:t>World Telecommunication Standardization Assembly (WTSA-</w:t>
      </w:r>
      <w:r w:rsidR="00102754">
        <w:rPr>
          <w:rFonts w:asciiTheme="minorHAnsi" w:hAnsiTheme="minorHAnsi"/>
        </w:rPr>
        <w:t>20</w:t>
      </w:r>
      <w:r w:rsidRPr="0034608E">
        <w:rPr>
          <w:rFonts w:asciiTheme="minorHAnsi" w:hAnsiTheme="minorHAnsi"/>
        </w:rPr>
        <w:t xml:space="preserve">) </w:t>
      </w:r>
    </w:p>
    <w:p w14:paraId="197CD6B7" w14:textId="17EB9C41" w:rsidR="003A0B73" w:rsidRPr="0034608E" w:rsidRDefault="003A0B73" w:rsidP="006B0601">
      <w:pPr>
        <w:pStyle w:val="Default"/>
        <w:keepNext/>
        <w:tabs>
          <w:tab w:val="left" w:pos="567"/>
          <w:tab w:val="left" w:pos="1134"/>
          <w:tab w:val="left" w:pos="1701"/>
          <w:tab w:val="left" w:pos="2268"/>
        </w:tabs>
        <w:spacing w:before="360"/>
        <w:ind w:left="567" w:hanging="567"/>
        <w:rPr>
          <w:rFonts w:asciiTheme="minorHAnsi" w:hAnsiTheme="minorHAnsi"/>
          <w:b/>
          <w:bCs/>
        </w:rPr>
      </w:pPr>
      <w:r w:rsidRPr="0034608E">
        <w:rPr>
          <w:rFonts w:asciiTheme="minorHAnsi" w:hAnsiTheme="minorHAnsi"/>
          <w:b/>
          <w:bCs/>
        </w:rPr>
        <w:t xml:space="preserve">II. </w:t>
      </w:r>
      <w:r>
        <w:rPr>
          <w:rFonts w:asciiTheme="minorHAnsi" w:hAnsiTheme="minorHAnsi"/>
          <w:b/>
          <w:bCs/>
        </w:rPr>
        <w:tab/>
      </w:r>
      <w:r w:rsidRPr="0034608E">
        <w:rPr>
          <w:rFonts w:asciiTheme="minorHAnsi" w:hAnsiTheme="minorHAnsi"/>
          <w:b/>
          <w:bCs/>
        </w:rPr>
        <w:t xml:space="preserve">ITU-D work plan for </w:t>
      </w:r>
      <w:r w:rsidR="006F0505">
        <w:rPr>
          <w:rFonts w:asciiTheme="minorHAnsi" w:hAnsiTheme="minorHAnsi"/>
          <w:b/>
          <w:bCs/>
        </w:rPr>
        <w:t>202</w:t>
      </w:r>
      <w:r w:rsidR="0090415E">
        <w:rPr>
          <w:rFonts w:asciiTheme="minorHAnsi" w:hAnsiTheme="minorHAnsi"/>
          <w:b/>
          <w:bCs/>
        </w:rPr>
        <w:t>2</w:t>
      </w:r>
      <w:r w:rsidR="006F0505">
        <w:rPr>
          <w:rFonts w:asciiTheme="minorHAnsi" w:hAnsiTheme="minorHAnsi"/>
          <w:b/>
          <w:bCs/>
        </w:rPr>
        <w:t>-2025</w:t>
      </w:r>
      <w:r w:rsidRPr="0034608E">
        <w:rPr>
          <w:rFonts w:asciiTheme="minorHAnsi" w:hAnsiTheme="minorHAnsi"/>
          <w:b/>
          <w:bCs/>
        </w:rPr>
        <w:t xml:space="preserve"> </w:t>
      </w:r>
    </w:p>
    <w:p w14:paraId="6545EE24" w14:textId="48DDCC47" w:rsidR="003A0B73" w:rsidRPr="0034608E" w:rsidRDefault="0062187C" w:rsidP="003A0B73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120"/>
        <w:ind w:left="567" w:hanging="567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5</w:t>
      </w:r>
      <w:r w:rsidR="003A0B73" w:rsidRPr="0034608E">
        <w:rPr>
          <w:rFonts w:asciiTheme="minorHAnsi" w:hAnsiTheme="minorHAnsi" w:cs="Verdana"/>
        </w:rPr>
        <w:t xml:space="preserve">. </w:t>
      </w:r>
      <w:r w:rsidR="003A0B73">
        <w:rPr>
          <w:rFonts w:asciiTheme="minorHAnsi" w:hAnsiTheme="minorHAnsi" w:cs="Verdana"/>
        </w:rPr>
        <w:tab/>
      </w:r>
      <w:r w:rsidR="003A0B73" w:rsidRPr="0034608E">
        <w:rPr>
          <w:rFonts w:asciiTheme="minorHAnsi" w:hAnsiTheme="minorHAnsi"/>
        </w:rPr>
        <w:t xml:space="preserve">Outcomes of </w:t>
      </w:r>
      <w:r w:rsidR="003A0B73" w:rsidRPr="0034608E">
        <w:rPr>
          <w:rFonts w:asciiTheme="minorHAnsi" w:hAnsiTheme="minorHAnsi" w:cs="Verdana"/>
        </w:rPr>
        <w:t xml:space="preserve">Regional Preparatory Meetings for WTDC </w:t>
      </w:r>
    </w:p>
    <w:p w14:paraId="46CDB5BE" w14:textId="1AD41851" w:rsidR="003A0B73" w:rsidRDefault="0062187C" w:rsidP="003A0B73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120"/>
        <w:ind w:left="567" w:hanging="567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6</w:t>
      </w:r>
      <w:r w:rsidR="003A0B73" w:rsidRPr="0034608E">
        <w:rPr>
          <w:rFonts w:asciiTheme="minorHAnsi" w:hAnsiTheme="minorHAnsi" w:cs="Verdana"/>
        </w:rPr>
        <w:t xml:space="preserve">. </w:t>
      </w:r>
      <w:r w:rsidR="003A0B73">
        <w:rPr>
          <w:rFonts w:asciiTheme="minorHAnsi" w:hAnsiTheme="minorHAnsi" w:cs="Verdana"/>
        </w:rPr>
        <w:tab/>
      </w:r>
      <w:r w:rsidR="003A0B73" w:rsidRPr="0034608E">
        <w:rPr>
          <w:rFonts w:asciiTheme="minorHAnsi" w:hAnsiTheme="minorHAnsi"/>
        </w:rPr>
        <w:t xml:space="preserve">ITU-D contribution to the ITU </w:t>
      </w:r>
      <w:r w:rsidR="003A0B73" w:rsidRPr="0034608E">
        <w:rPr>
          <w:rFonts w:asciiTheme="minorHAnsi" w:hAnsiTheme="minorHAnsi" w:cs="Verdana"/>
        </w:rPr>
        <w:t xml:space="preserve">Strategic Plan for </w:t>
      </w:r>
      <w:r w:rsidR="0090415E">
        <w:rPr>
          <w:rFonts w:asciiTheme="minorHAnsi" w:hAnsiTheme="minorHAnsi" w:cs="Verdana"/>
        </w:rPr>
        <w:t>2024-2027</w:t>
      </w:r>
      <w:r w:rsidR="003A0B73" w:rsidRPr="0034608E">
        <w:rPr>
          <w:rFonts w:asciiTheme="minorHAnsi" w:hAnsiTheme="minorHAnsi" w:cs="Verdana"/>
        </w:rPr>
        <w:t xml:space="preserve"> </w:t>
      </w:r>
    </w:p>
    <w:p w14:paraId="6B03DB2C" w14:textId="335FECC3" w:rsidR="005E1816" w:rsidRPr="0034608E" w:rsidRDefault="0062187C" w:rsidP="003A0B73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120"/>
        <w:ind w:left="567" w:hanging="567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7</w:t>
      </w:r>
      <w:r w:rsidR="005E1816">
        <w:rPr>
          <w:rFonts w:asciiTheme="minorHAnsi" w:hAnsiTheme="minorHAnsi" w:cs="Verdana"/>
        </w:rPr>
        <w:t>.</w:t>
      </w:r>
      <w:r w:rsidR="005E1816">
        <w:rPr>
          <w:rFonts w:asciiTheme="minorHAnsi" w:hAnsiTheme="minorHAnsi" w:cs="Verdana"/>
        </w:rPr>
        <w:tab/>
      </w:r>
      <w:r w:rsidR="00634BA5">
        <w:rPr>
          <w:rFonts w:asciiTheme="minorHAnsi" w:hAnsiTheme="minorHAnsi" w:cs="Verdana"/>
        </w:rPr>
        <w:t xml:space="preserve">ITU-D </w:t>
      </w:r>
      <w:r w:rsidR="005E1816">
        <w:rPr>
          <w:rFonts w:asciiTheme="minorHAnsi" w:hAnsiTheme="minorHAnsi" w:cs="Verdana"/>
        </w:rPr>
        <w:t>Thematic Priorities</w:t>
      </w:r>
    </w:p>
    <w:p w14:paraId="5CC20B9E" w14:textId="6FFEA50A" w:rsidR="003A0B73" w:rsidRPr="0034608E" w:rsidRDefault="0062187C" w:rsidP="003A0B73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120"/>
        <w:ind w:left="567" w:hanging="567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8</w:t>
      </w:r>
      <w:r w:rsidR="003A0B73" w:rsidRPr="0034608E">
        <w:rPr>
          <w:rFonts w:asciiTheme="minorHAnsi" w:hAnsiTheme="minorHAnsi" w:cs="Verdana"/>
        </w:rPr>
        <w:t xml:space="preserve">. </w:t>
      </w:r>
      <w:r w:rsidR="003A0B73">
        <w:rPr>
          <w:rFonts w:asciiTheme="minorHAnsi" w:hAnsiTheme="minorHAnsi" w:cs="Verdana"/>
        </w:rPr>
        <w:tab/>
      </w:r>
      <w:r w:rsidR="003A0B73" w:rsidRPr="0034608E">
        <w:rPr>
          <w:rFonts w:asciiTheme="minorHAnsi" w:hAnsiTheme="minorHAnsi" w:cs="Verdana"/>
        </w:rPr>
        <w:t xml:space="preserve">ITU-D Action Plan for </w:t>
      </w:r>
      <w:r w:rsidR="0090415E">
        <w:rPr>
          <w:rFonts w:asciiTheme="minorHAnsi" w:hAnsiTheme="minorHAnsi" w:cs="Verdana"/>
        </w:rPr>
        <w:t>2022-2025</w:t>
      </w:r>
      <w:r w:rsidR="003A0B73" w:rsidRPr="0034608E">
        <w:rPr>
          <w:rFonts w:asciiTheme="minorHAnsi" w:hAnsiTheme="minorHAnsi" w:cs="Verdana"/>
        </w:rPr>
        <w:t xml:space="preserve"> </w:t>
      </w:r>
    </w:p>
    <w:p w14:paraId="1B44A52F" w14:textId="504BBE04" w:rsidR="003A0B73" w:rsidRPr="0034608E" w:rsidRDefault="0062187C" w:rsidP="003A0B73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120"/>
        <w:ind w:left="567" w:hanging="567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9</w:t>
      </w:r>
      <w:r w:rsidR="003A0B73" w:rsidRPr="0034608E">
        <w:rPr>
          <w:rFonts w:asciiTheme="minorHAnsi" w:hAnsiTheme="minorHAnsi" w:cs="Verdana"/>
        </w:rPr>
        <w:t xml:space="preserve">. </w:t>
      </w:r>
      <w:r w:rsidR="003A0B73">
        <w:rPr>
          <w:rFonts w:asciiTheme="minorHAnsi" w:hAnsiTheme="minorHAnsi" w:cs="Verdana"/>
        </w:rPr>
        <w:tab/>
      </w:r>
      <w:r w:rsidR="0090415E">
        <w:rPr>
          <w:rFonts w:asciiTheme="minorHAnsi" w:hAnsiTheme="minorHAnsi" w:cs="Verdana"/>
        </w:rPr>
        <w:t>Addis Ababa</w:t>
      </w:r>
      <w:r>
        <w:rPr>
          <w:rFonts w:asciiTheme="minorHAnsi" w:hAnsiTheme="minorHAnsi" w:cs="Verdana"/>
        </w:rPr>
        <w:t xml:space="preserve"> </w:t>
      </w:r>
      <w:r w:rsidR="003A0B73" w:rsidRPr="0034608E">
        <w:rPr>
          <w:rFonts w:asciiTheme="minorHAnsi" w:hAnsiTheme="minorHAnsi" w:cs="Verdana"/>
        </w:rPr>
        <w:t xml:space="preserve">Declaration </w:t>
      </w:r>
    </w:p>
    <w:p w14:paraId="3381CE6C" w14:textId="674C1322" w:rsidR="003A0B73" w:rsidRPr="0034608E" w:rsidRDefault="0062187C" w:rsidP="003A0B73">
      <w:pPr>
        <w:pStyle w:val="Default"/>
        <w:keepNext/>
        <w:tabs>
          <w:tab w:val="left" w:pos="567"/>
          <w:tab w:val="left" w:pos="1134"/>
          <w:tab w:val="left" w:pos="1701"/>
          <w:tab w:val="left" w:pos="2268"/>
        </w:tabs>
        <w:spacing w:before="120"/>
        <w:ind w:left="567" w:hanging="567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10</w:t>
      </w:r>
      <w:r w:rsidR="003A0B73" w:rsidRPr="0034608E">
        <w:rPr>
          <w:rFonts w:asciiTheme="minorHAnsi" w:hAnsiTheme="minorHAnsi" w:cs="Verdana"/>
        </w:rPr>
        <w:t xml:space="preserve">. </w:t>
      </w:r>
      <w:r w:rsidR="003A0B73">
        <w:rPr>
          <w:rFonts w:asciiTheme="minorHAnsi" w:hAnsiTheme="minorHAnsi" w:cs="Verdana"/>
        </w:rPr>
        <w:tab/>
      </w:r>
      <w:r w:rsidR="003A0B73" w:rsidRPr="0034608E">
        <w:rPr>
          <w:rFonts w:asciiTheme="minorHAnsi" w:hAnsiTheme="minorHAnsi" w:cs="Verdana"/>
        </w:rPr>
        <w:t xml:space="preserve">Telecommunication Development Advisory Group </w:t>
      </w:r>
    </w:p>
    <w:p w14:paraId="15D8D09D" w14:textId="77777777" w:rsidR="003A0B73" w:rsidRPr="0034608E" w:rsidRDefault="003A0B73" w:rsidP="006B0601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60"/>
        <w:ind w:left="1134" w:hanging="567"/>
        <w:rPr>
          <w:rFonts w:asciiTheme="minorHAnsi" w:hAnsiTheme="minorHAnsi"/>
        </w:rPr>
      </w:pPr>
      <w:r>
        <w:rPr>
          <w:rFonts w:asciiTheme="minorHAnsi" w:hAnsiTheme="minorHAnsi"/>
        </w:rPr>
        <w:t>a.</w:t>
      </w:r>
      <w:r>
        <w:rPr>
          <w:rFonts w:asciiTheme="minorHAnsi" w:hAnsiTheme="minorHAnsi"/>
        </w:rPr>
        <w:tab/>
      </w:r>
      <w:r w:rsidRPr="0034608E">
        <w:rPr>
          <w:rFonts w:asciiTheme="minorHAnsi" w:hAnsiTheme="minorHAnsi"/>
        </w:rPr>
        <w:t>Authorization for the Telecommunication Development Advisory Group to act between world telecommunication development conferences (</w:t>
      </w:r>
      <w:r w:rsidRPr="002C3CFA">
        <w:rPr>
          <w:rFonts w:asciiTheme="minorHAnsi" w:hAnsiTheme="minorHAnsi"/>
        </w:rPr>
        <w:t>Resolution 24, Rev. Dubai, 2014)</w:t>
      </w:r>
      <w:r w:rsidRPr="0034608E">
        <w:rPr>
          <w:rFonts w:asciiTheme="minorHAnsi" w:hAnsiTheme="minorHAnsi"/>
        </w:rPr>
        <w:t xml:space="preserve"> </w:t>
      </w:r>
    </w:p>
    <w:p w14:paraId="39C7E689" w14:textId="77777777" w:rsidR="003A0B73" w:rsidRPr="0034608E" w:rsidRDefault="003A0B73" w:rsidP="006B0601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60"/>
        <w:ind w:left="1134" w:hanging="567"/>
        <w:rPr>
          <w:rFonts w:asciiTheme="minorHAnsi" w:hAnsiTheme="minorHAnsi"/>
        </w:rPr>
      </w:pPr>
      <w:r>
        <w:rPr>
          <w:rFonts w:asciiTheme="minorHAnsi" w:hAnsiTheme="minorHAnsi"/>
        </w:rPr>
        <w:t>b.</w:t>
      </w:r>
      <w:r>
        <w:rPr>
          <w:rFonts w:asciiTheme="minorHAnsi" w:hAnsiTheme="minorHAnsi"/>
        </w:rPr>
        <w:tab/>
      </w:r>
      <w:r w:rsidRPr="0034608E">
        <w:rPr>
          <w:rFonts w:asciiTheme="minorHAnsi" w:hAnsiTheme="minorHAnsi"/>
        </w:rPr>
        <w:t xml:space="preserve">Structure and working methods </w:t>
      </w:r>
    </w:p>
    <w:p w14:paraId="44E3E4E5" w14:textId="2A129C13" w:rsidR="003A0B73" w:rsidRPr="0034608E" w:rsidRDefault="0062187C" w:rsidP="003A0B73">
      <w:pPr>
        <w:pStyle w:val="Default"/>
        <w:keepNext/>
        <w:tabs>
          <w:tab w:val="left" w:pos="567"/>
          <w:tab w:val="left" w:pos="1134"/>
          <w:tab w:val="left" w:pos="1701"/>
          <w:tab w:val="left" w:pos="2268"/>
        </w:tabs>
        <w:spacing w:before="120"/>
        <w:ind w:left="567" w:hanging="567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11</w:t>
      </w:r>
      <w:r w:rsidR="003A0B73" w:rsidRPr="0034608E">
        <w:rPr>
          <w:rFonts w:asciiTheme="minorHAnsi" w:hAnsiTheme="minorHAnsi" w:cs="Verdana"/>
        </w:rPr>
        <w:t xml:space="preserve">. </w:t>
      </w:r>
      <w:r w:rsidR="003A0B73">
        <w:rPr>
          <w:rFonts w:asciiTheme="minorHAnsi" w:hAnsiTheme="minorHAnsi" w:cs="Verdana"/>
        </w:rPr>
        <w:tab/>
      </w:r>
      <w:r w:rsidR="003A0B73" w:rsidRPr="0034608E">
        <w:rPr>
          <w:rFonts w:asciiTheme="minorHAnsi" w:hAnsiTheme="minorHAnsi" w:cs="Verdana"/>
        </w:rPr>
        <w:t xml:space="preserve">Study Groups </w:t>
      </w:r>
    </w:p>
    <w:p w14:paraId="75D0F7D6" w14:textId="77777777" w:rsidR="003A0B73" w:rsidRPr="0034608E" w:rsidRDefault="003A0B73" w:rsidP="006B0601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60"/>
        <w:ind w:left="1134" w:hanging="567"/>
        <w:rPr>
          <w:rFonts w:asciiTheme="minorHAnsi" w:hAnsiTheme="minorHAnsi"/>
        </w:rPr>
      </w:pPr>
      <w:r w:rsidRPr="0034608E">
        <w:rPr>
          <w:rFonts w:asciiTheme="minorHAnsi" w:hAnsiTheme="minorHAnsi"/>
        </w:rPr>
        <w:t>a.</w:t>
      </w:r>
      <w:r>
        <w:rPr>
          <w:rFonts w:asciiTheme="minorHAnsi" w:hAnsiTheme="minorHAnsi"/>
        </w:rPr>
        <w:tab/>
      </w:r>
      <w:r w:rsidRPr="0034608E">
        <w:rPr>
          <w:rFonts w:asciiTheme="minorHAnsi" w:hAnsiTheme="minorHAnsi"/>
        </w:rPr>
        <w:t xml:space="preserve">Study Questions </w:t>
      </w:r>
    </w:p>
    <w:p w14:paraId="6CC0B3FE" w14:textId="77777777" w:rsidR="003A0B73" w:rsidRPr="0034608E" w:rsidRDefault="003A0B73" w:rsidP="006B0601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60"/>
        <w:ind w:left="1134" w:hanging="567"/>
        <w:rPr>
          <w:rFonts w:asciiTheme="minorHAnsi" w:hAnsiTheme="minorHAnsi"/>
        </w:rPr>
      </w:pPr>
      <w:r w:rsidRPr="0034608E">
        <w:rPr>
          <w:rFonts w:asciiTheme="minorHAnsi" w:hAnsiTheme="minorHAnsi"/>
        </w:rPr>
        <w:t>b.</w:t>
      </w:r>
      <w:r>
        <w:rPr>
          <w:rFonts w:asciiTheme="minorHAnsi" w:hAnsiTheme="minorHAnsi"/>
        </w:rPr>
        <w:tab/>
      </w:r>
      <w:r w:rsidRPr="0034608E">
        <w:rPr>
          <w:rFonts w:asciiTheme="minorHAnsi" w:hAnsiTheme="minorHAnsi"/>
        </w:rPr>
        <w:t xml:space="preserve">Structure and working methods </w:t>
      </w:r>
    </w:p>
    <w:p w14:paraId="37C5FCCD" w14:textId="1D1E4E97" w:rsidR="003A0B73" w:rsidRPr="0034608E" w:rsidRDefault="0062187C" w:rsidP="003A0B73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120"/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12</w:t>
      </w:r>
      <w:r w:rsidR="003A0B73" w:rsidRPr="0034608E">
        <w:rPr>
          <w:rFonts w:asciiTheme="minorHAnsi" w:hAnsiTheme="minorHAnsi"/>
        </w:rPr>
        <w:t xml:space="preserve">. </w:t>
      </w:r>
      <w:r w:rsidR="003A0B73">
        <w:rPr>
          <w:rFonts w:asciiTheme="minorHAnsi" w:hAnsiTheme="minorHAnsi"/>
        </w:rPr>
        <w:tab/>
      </w:r>
      <w:r w:rsidR="003A0B73" w:rsidRPr="0034608E">
        <w:rPr>
          <w:rFonts w:asciiTheme="minorHAnsi" w:hAnsiTheme="minorHAnsi"/>
        </w:rPr>
        <w:t xml:space="preserve">Resolutions and recommendations </w:t>
      </w:r>
    </w:p>
    <w:p w14:paraId="26C4B2D7" w14:textId="12D098A1" w:rsidR="003B7401" w:rsidRDefault="003B7401" w:rsidP="006B0601">
      <w:pPr>
        <w:pStyle w:val="Default"/>
        <w:keepNext/>
        <w:tabs>
          <w:tab w:val="left" w:pos="567"/>
          <w:tab w:val="left" w:pos="1134"/>
          <w:tab w:val="left" w:pos="1701"/>
          <w:tab w:val="left" w:pos="2268"/>
        </w:tabs>
        <w:spacing w:before="360"/>
        <w:ind w:left="567" w:hanging="567"/>
        <w:rPr>
          <w:rFonts w:asciiTheme="minorHAnsi" w:hAnsiTheme="minorHAnsi"/>
        </w:rPr>
      </w:pPr>
      <w:r w:rsidRPr="0034608E">
        <w:rPr>
          <w:rFonts w:asciiTheme="minorHAnsi" w:hAnsiTheme="minorHAnsi"/>
          <w:b/>
          <w:bCs/>
        </w:rPr>
        <w:t>I</w:t>
      </w:r>
      <w:r>
        <w:rPr>
          <w:rFonts w:asciiTheme="minorHAnsi" w:hAnsiTheme="minorHAnsi"/>
          <w:b/>
          <w:bCs/>
        </w:rPr>
        <w:t>I</w:t>
      </w:r>
      <w:r w:rsidRPr="0034608E">
        <w:rPr>
          <w:rFonts w:asciiTheme="minorHAnsi" w:hAnsiTheme="minorHAnsi"/>
          <w:b/>
          <w:bCs/>
        </w:rPr>
        <w:t xml:space="preserve">I. </w:t>
      </w:r>
      <w:r>
        <w:rPr>
          <w:rFonts w:asciiTheme="minorHAnsi" w:hAnsiTheme="minorHAnsi"/>
          <w:b/>
          <w:bCs/>
        </w:rPr>
        <w:tab/>
        <w:t xml:space="preserve">Partner to Connect </w:t>
      </w:r>
      <w:r w:rsidR="003C1355">
        <w:rPr>
          <w:rFonts w:asciiTheme="minorHAnsi" w:hAnsiTheme="minorHAnsi"/>
          <w:b/>
          <w:bCs/>
        </w:rPr>
        <w:t xml:space="preserve">Digital </w:t>
      </w:r>
      <w:r w:rsidR="00690FB0">
        <w:rPr>
          <w:rFonts w:asciiTheme="minorHAnsi" w:hAnsiTheme="minorHAnsi"/>
          <w:b/>
          <w:bCs/>
        </w:rPr>
        <w:t xml:space="preserve">Coalition </w:t>
      </w:r>
      <w:r>
        <w:rPr>
          <w:rFonts w:asciiTheme="minorHAnsi" w:hAnsiTheme="minorHAnsi"/>
          <w:b/>
          <w:bCs/>
        </w:rPr>
        <w:t>(P2C) – non statutory</w:t>
      </w:r>
    </w:p>
    <w:p w14:paraId="4180231B" w14:textId="016EACB8" w:rsidR="003A0B73" w:rsidRPr="0062187C" w:rsidRDefault="0062187C" w:rsidP="003A0B73">
      <w:pPr>
        <w:pStyle w:val="Default"/>
        <w:keepNext/>
        <w:tabs>
          <w:tab w:val="left" w:pos="567"/>
          <w:tab w:val="left" w:pos="1134"/>
          <w:tab w:val="left" w:pos="1701"/>
          <w:tab w:val="left" w:pos="2268"/>
        </w:tabs>
        <w:spacing w:before="120"/>
        <w:ind w:left="567" w:hanging="567"/>
        <w:rPr>
          <w:rFonts w:asciiTheme="minorHAnsi" w:hAnsiTheme="minorHAnsi"/>
          <w:highlight w:val="green"/>
        </w:rPr>
      </w:pPr>
      <w:r>
        <w:rPr>
          <w:rFonts w:asciiTheme="minorHAnsi" w:hAnsiTheme="minorHAnsi"/>
        </w:rPr>
        <w:t>13</w:t>
      </w:r>
      <w:r w:rsidR="003A0B73" w:rsidRPr="0034608E">
        <w:rPr>
          <w:rFonts w:asciiTheme="minorHAnsi" w:hAnsiTheme="minorHAnsi"/>
        </w:rPr>
        <w:t xml:space="preserve">. </w:t>
      </w:r>
      <w:r w:rsidR="003A0B73">
        <w:rPr>
          <w:rFonts w:asciiTheme="minorHAnsi" w:hAnsiTheme="minorHAnsi"/>
        </w:rPr>
        <w:tab/>
      </w:r>
      <w:r w:rsidR="00690FB0" w:rsidRPr="003C1355">
        <w:rPr>
          <w:rFonts w:asciiTheme="minorHAnsi" w:hAnsiTheme="minorHAnsi"/>
        </w:rPr>
        <w:t xml:space="preserve">P2C </w:t>
      </w:r>
      <w:r w:rsidR="00DF002D" w:rsidRPr="003C1355">
        <w:rPr>
          <w:rFonts w:asciiTheme="minorHAnsi" w:hAnsiTheme="minorHAnsi"/>
        </w:rPr>
        <w:t xml:space="preserve">Digital </w:t>
      </w:r>
      <w:r w:rsidR="00690FB0" w:rsidRPr="003C1355">
        <w:rPr>
          <w:rFonts w:asciiTheme="minorHAnsi" w:hAnsiTheme="minorHAnsi"/>
        </w:rPr>
        <w:t>Coalition</w:t>
      </w:r>
    </w:p>
    <w:p w14:paraId="7EBFE511" w14:textId="56251CC3" w:rsidR="00DF002D" w:rsidRDefault="00DF002D" w:rsidP="006B0601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60"/>
        <w:ind w:left="1134" w:hanging="567"/>
      </w:pPr>
      <w:r>
        <w:t>a.</w:t>
      </w:r>
      <w:r>
        <w:tab/>
        <w:t>Overview</w:t>
      </w:r>
    </w:p>
    <w:p w14:paraId="68CD499E" w14:textId="68E95DF7" w:rsidR="00DF002D" w:rsidRDefault="00DF002D" w:rsidP="006B0601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60"/>
        <w:ind w:left="1134" w:hanging="567"/>
      </w:pPr>
      <w:r>
        <w:t>b.</w:t>
      </w:r>
      <w:r>
        <w:tab/>
        <w:t>Governance structure and pledging process</w:t>
      </w:r>
    </w:p>
    <w:p w14:paraId="5BC6B58E" w14:textId="2CFC85C4" w:rsidR="00DF002D" w:rsidRDefault="00DF002D" w:rsidP="006B0601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60"/>
        <w:ind w:left="1134" w:hanging="567"/>
      </w:pPr>
      <w:r>
        <w:t>c.</w:t>
      </w:r>
      <w:r>
        <w:tab/>
        <w:t>P2C Event @WTDC</w:t>
      </w:r>
    </w:p>
    <w:p w14:paraId="6EA47C41" w14:textId="4C12CEAB" w:rsidR="00DF002D" w:rsidRPr="0034608E" w:rsidRDefault="00DF002D" w:rsidP="006B0601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60"/>
        <w:ind w:left="1134" w:hanging="567"/>
      </w:pPr>
      <w:r>
        <w:t>d.</w:t>
      </w:r>
      <w:r>
        <w:tab/>
        <w:t>Timeline</w:t>
      </w:r>
    </w:p>
    <w:p w14:paraId="44606037" w14:textId="1E557A91" w:rsidR="003A0B73" w:rsidRPr="0034608E" w:rsidRDefault="00634BA5" w:rsidP="003A0B73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120"/>
        <w:ind w:left="567" w:hanging="567"/>
      </w:pPr>
      <w:r>
        <w:t>1</w:t>
      </w:r>
      <w:r w:rsidR="0062187C">
        <w:t>4</w:t>
      </w:r>
      <w:r w:rsidR="003A0B73" w:rsidRPr="0034608E">
        <w:t xml:space="preserve">. </w:t>
      </w:r>
      <w:r w:rsidR="003A0B73">
        <w:tab/>
      </w:r>
      <w:r w:rsidR="003A0B73" w:rsidRPr="0034608E">
        <w:t xml:space="preserve">Any other business </w:t>
      </w:r>
    </w:p>
    <w:p w14:paraId="7759C759" w14:textId="4057F57F" w:rsidR="00821996" w:rsidRDefault="003C58BF" w:rsidP="003A0B73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</w:pPr>
      <w:bookmarkStart w:id="6" w:name="Proposal"/>
      <w:bookmarkEnd w:id="6"/>
      <w:r>
        <w:t>_____________</w:t>
      </w:r>
      <w:r w:rsidR="004122C5">
        <w:t>_</w:t>
      </w:r>
      <w:r w:rsidR="00922EC1">
        <w:t>_</w:t>
      </w:r>
    </w:p>
    <w:sectPr w:rsidR="00821996" w:rsidSect="004737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3042" w14:textId="77777777" w:rsidR="00EB089B" w:rsidRDefault="00EB089B">
      <w:r>
        <w:separator/>
      </w:r>
    </w:p>
  </w:endnote>
  <w:endnote w:type="continuationSeparator" w:id="0">
    <w:p w14:paraId="6E042DBD" w14:textId="77777777" w:rsidR="00EB089B" w:rsidRDefault="00EB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F1417" w14:textId="77777777" w:rsidR="00DE40B6" w:rsidRDefault="00DE4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1601" w14:textId="77777777" w:rsidR="00DE40B6" w:rsidRDefault="00DE40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F54B94" w:rsidRPr="004D495C" w14:paraId="695D1810" w14:textId="77777777" w:rsidTr="00F54B94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746E5A61" w14:textId="77777777" w:rsidR="00F54B94" w:rsidRPr="004D495C" w:rsidRDefault="00F54B94" w:rsidP="00F54B94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488E41E2" w14:textId="77777777" w:rsidR="00F54B94" w:rsidRPr="004D495C" w:rsidRDefault="00F54B94" w:rsidP="00F54B94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0B7581BB" w14:textId="04BD23DD" w:rsidR="00F54B94" w:rsidRPr="00AF7A97" w:rsidRDefault="00F54B94" w:rsidP="00F54B94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8064E">
            <w:rPr>
              <w:sz w:val="18"/>
              <w:szCs w:val="18"/>
              <w:lang w:val="en-US"/>
            </w:rPr>
            <w:t>M</w:t>
          </w:r>
          <w:r>
            <w:rPr>
              <w:sz w:val="18"/>
              <w:szCs w:val="18"/>
              <w:lang w:val="en-US"/>
            </w:rPr>
            <w:t>r</w:t>
          </w:r>
          <w:r w:rsidRPr="00D8064E">
            <w:rPr>
              <w:sz w:val="18"/>
              <w:szCs w:val="18"/>
              <w:lang w:val="en-US"/>
            </w:rPr>
            <w:t xml:space="preserve"> </w:t>
          </w:r>
          <w:r>
            <w:rPr>
              <w:sz w:val="18"/>
              <w:szCs w:val="18"/>
              <w:lang w:val="en-US"/>
            </w:rPr>
            <w:t>Stephen Bereaux</w:t>
          </w:r>
          <w:r w:rsidRPr="00D8064E">
            <w:rPr>
              <w:sz w:val="18"/>
              <w:szCs w:val="18"/>
              <w:lang w:val="en-US"/>
            </w:rPr>
            <w:t>,</w:t>
          </w:r>
          <w:r>
            <w:rPr>
              <w:sz w:val="18"/>
              <w:szCs w:val="18"/>
              <w:lang w:val="en-US"/>
            </w:rPr>
            <w:t xml:space="preserve"> </w:t>
          </w:r>
          <w:r w:rsidRPr="006554AC">
            <w:rPr>
              <w:sz w:val="18"/>
              <w:szCs w:val="18"/>
              <w:lang w:val="en-US"/>
            </w:rPr>
            <w:t>Deputy to the Director</w:t>
          </w:r>
          <w:r w:rsidRPr="00D8064E">
            <w:rPr>
              <w:sz w:val="18"/>
              <w:szCs w:val="18"/>
              <w:lang w:val="en-US"/>
            </w:rPr>
            <w:t xml:space="preserve">, </w:t>
          </w:r>
          <w:r w:rsidRPr="00941C46">
            <w:rPr>
              <w:sz w:val="18"/>
              <w:szCs w:val="18"/>
              <w:lang w:val="en-GB"/>
            </w:rPr>
            <w:t>Telecommunication Development Bureau</w:t>
          </w:r>
        </w:p>
      </w:tc>
      <w:bookmarkStart w:id="7" w:name="OrgName"/>
      <w:bookmarkEnd w:id="7"/>
    </w:tr>
    <w:tr w:rsidR="00F54B94" w:rsidRPr="004D495C" w14:paraId="61167678" w14:textId="77777777" w:rsidTr="00F54B94">
      <w:tc>
        <w:tcPr>
          <w:tcW w:w="1526" w:type="dxa"/>
          <w:shd w:val="clear" w:color="auto" w:fill="auto"/>
        </w:tcPr>
        <w:p w14:paraId="33710823" w14:textId="77777777" w:rsidR="00F54B94" w:rsidRPr="004D495C" w:rsidRDefault="00F54B94" w:rsidP="00F54B94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1251F6E4" w14:textId="77777777" w:rsidR="00F54B94" w:rsidRPr="004D495C" w:rsidRDefault="00F54B94" w:rsidP="00F54B94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00AC850A" w14:textId="67158024" w:rsidR="00F54B94" w:rsidRPr="00AF7A97" w:rsidRDefault="00F54B94" w:rsidP="00F54B94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523FA7">
            <w:rPr>
              <w:sz w:val="18"/>
              <w:szCs w:val="18"/>
              <w:lang w:val="en-US"/>
            </w:rPr>
            <w:t>+</w:t>
          </w:r>
          <w:r w:rsidRPr="00D934D7">
            <w:rPr>
              <w:sz w:val="18"/>
              <w:szCs w:val="18"/>
              <w:lang w:val="en-US"/>
            </w:rPr>
            <w:t>41 22 730 5131</w:t>
          </w:r>
        </w:p>
      </w:tc>
      <w:bookmarkStart w:id="8" w:name="PhoneNo"/>
      <w:bookmarkEnd w:id="8"/>
    </w:tr>
    <w:tr w:rsidR="00F54B94" w:rsidRPr="004D495C" w14:paraId="0299A231" w14:textId="77777777" w:rsidTr="00F54B94">
      <w:tc>
        <w:tcPr>
          <w:tcW w:w="1526" w:type="dxa"/>
          <w:shd w:val="clear" w:color="auto" w:fill="auto"/>
        </w:tcPr>
        <w:p w14:paraId="35CBC438" w14:textId="77777777" w:rsidR="00F54B94" w:rsidRPr="004D495C" w:rsidRDefault="00F54B94" w:rsidP="00F54B94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65335E06" w14:textId="77777777" w:rsidR="00F54B94" w:rsidRPr="004D495C" w:rsidRDefault="00F54B94" w:rsidP="00F54B94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2B121C1D" w14:textId="3EE1E162" w:rsidR="00F54B94" w:rsidRPr="00AF7A97" w:rsidRDefault="003C1355" w:rsidP="00F54B94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="00F54B94" w:rsidRPr="00D934D7">
              <w:rPr>
                <w:rStyle w:val="Hyperlink"/>
                <w:sz w:val="18"/>
                <w:szCs w:val="22"/>
              </w:rPr>
              <w:t>stephen.bereaux@itu.int</w:t>
            </w:r>
          </w:hyperlink>
          <w:r w:rsidR="00F54B94" w:rsidRPr="00D934D7">
            <w:rPr>
              <w:sz w:val="18"/>
              <w:szCs w:val="22"/>
            </w:rPr>
            <w:t xml:space="preserve"> </w:t>
          </w:r>
        </w:p>
      </w:tc>
      <w:bookmarkStart w:id="9" w:name="Email"/>
      <w:bookmarkEnd w:id="9"/>
    </w:tr>
  </w:tbl>
  <w:p w14:paraId="5AEFE7F9" w14:textId="77777777" w:rsidR="0059420B" w:rsidRDefault="0059420B" w:rsidP="00B80157">
    <w:pPr>
      <w:pStyle w:val="Footer"/>
      <w:jc w:val="center"/>
      <w:rPr>
        <w:lang w:val="en-GB"/>
      </w:rPr>
    </w:pPr>
  </w:p>
  <w:p w14:paraId="40A321D0" w14:textId="77777777" w:rsidR="00721657" w:rsidRPr="0059420B" w:rsidRDefault="003C1355" w:rsidP="00B80157">
    <w:pPr>
      <w:pStyle w:val="Footer"/>
      <w:jc w:val="center"/>
      <w:rPr>
        <w:lang w:val="en-GB"/>
      </w:rPr>
    </w:pPr>
    <w:hyperlink r:id="rId2" w:history="1">
      <w:r w:rsidR="008B47C7">
        <w:rPr>
          <w:rStyle w:val="Hyperlink"/>
          <w:caps w:val="0"/>
          <w:noProof w:val="0"/>
          <w:sz w:val="18"/>
          <w:szCs w:val="18"/>
          <w:lang w:val="en-US"/>
        </w:rPr>
        <w:t>TDAG</w:t>
      </w:r>
    </w:hyperlink>
    <w:hyperlink r:id="rId3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11A7C" w14:textId="77777777" w:rsidR="00EB089B" w:rsidRDefault="00EB089B">
      <w:r>
        <w:t>____________________</w:t>
      </w:r>
    </w:p>
  </w:footnote>
  <w:footnote w:type="continuationSeparator" w:id="0">
    <w:p w14:paraId="0C093C68" w14:textId="77777777" w:rsidR="00EB089B" w:rsidRDefault="00EB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B706" w14:textId="77777777" w:rsidR="00DE40B6" w:rsidRDefault="00DE4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FE77" w14:textId="3A7EC8DE" w:rsidR="00721657" w:rsidRPr="00A525CC" w:rsidRDefault="00A525CC" w:rsidP="00DE40B6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spacing w:before="0" w:after="120"/>
      <w:ind w:right="1"/>
      <w:rPr>
        <w:rStyle w:val="PageNumber"/>
      </w:rPr>
    </w:pPr>
    <w:r w:rsidRPr="00972BCD">
      <w:rPr>
        <w:sz w:val="22"/>
        <w:szCs w:val="22"/>
      </w:rPr>
      <w:tab/>
    </w:r>
    <w:r w:rsidRPr="00A54E72">
      <w:rPr>
        <w:sz w:val="22"/>
        <w:szCs w:val="22"/>
        <w:lang w:val="de-CH"/>
      </w:rPr>
      <w:t>TDAG</w:t>
    </w:r>
    <w:r w:rsidR="003242AB">
      <w:rPr>
        <w:sz w:val="22"/>
        <w:szCs w:val="22"/>
        <w:lang w:val="de-CH"/>
      </w:rPr>
      <w:t>-</w:t>
    </w:r>
    <w:r w:rsidR="00923CF1">
      <w:rPr>
        <w:sz w:val="22"/>
        <w:szCs w:val="22"/>
        <w:lang w:val="de-CH"/>
      </w:rPr>
      <w:t>2</w:t>
    </w:r>
    <w:r w:rsidR="00AD4677">
      <w:rPr>
        <w:sz w:val="22"/>
        <w:szCs w:val="22"/>
        <w:lang w:val="de-CH"/>
      </w:rPr>
      <w:t>1</w:t>
    </w:r>
    <w:r w:rsidR="00143F44">
      <w:rPr>
        <w:sz w:val="22"/>
        <w:szCs w:val="22"/>
        <w:lang w:val="de-CH"/>
      </w:rPr>
      <w:t>/2</w:t>
    </w:r>
    <w:r w:rsidRPr="00A54E72">
      <w:rPr>
        <w:sz w:val="22"/>
        <w:szCs w:val="22"/>
        <w:lang w:val="de-CH"/>
      </w:rPr>
      <w:t>/</w:t>
    </w:r>
    <w:r w:rsidR="00F54B94">
      <w:rPr>
        <w:sz w:val="22"/>
        <w:szCs w:val="22"/>
        <w:lang w:val="de-CH"/>
      </w:rPr>
      <w:t>13</w:t>
    </w:r>
    <w:r w:rsidRPr="006D271A">
      <w:rPr>
        <w:sz w:val="22"/>
        <w:szCs w:val="22"/>
        <w:lang w:val="de-CH"/>
      </w:rPr>
      <w:t>-E</w:t>
    </w:r>
    <w:r w:rsidRPr="006D271A">
      <w:rPr>
        <w:sz w:val="22"/>
        <w:szCs w:val="22"/>
        <w:lang w:val="de-CH"/>
      </w:rPr>
      <w:tab/>
      <w:t xml:space="preserve">Page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4D7DAB">
      <w:rPr>
        <w:noProof/>
        <w:sz w:val="22"/>
        <w:szCs w:val="22"/>
        <w:lang w:val="de-CH"/>
      </w:rPr>
      <w:t>2</w:t>
    </w:r>
    <w:r w:rsidRPr="00972BCD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EBFD" w14:textId="77777777" w:rsidR="00DE40B6" w:rsidRDefault="00DE40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5791"/>
    <w:rsid w:val="00010827"/>
    <w:rsid w:val="00015089"/>
    <w:rsid w:val="0002520B"/>
    <w:rsid w:val="00037A9E"/>
    <w:rsid w:val="00037F91"/>
    <w:rsid w:val="000539F1"/>
    <w:rsid w:val="00054747"/>
    <w:rsid w:val="00055A2A"/>
    <w:rsid w:val="000615C1"/>
    <w:rsid w:val="00061675"/>
    <w:rsid w:val="000743AA"/>
    <w:rsid w:val="0009076F"/>
    <w:rsid w:val="0009225C"/>
    <w:rsid w:val="00092F4D"/>
    <w:rsid w:val="000A17C4"/>
    <w:rsid w:val="000A36A4"/>
    <w:rsid w:val="000B2352"/>
    <w:rsid w:val="000C7B84"/>
    <w:rsid w:val="000D261B"/>
    <w:rsid w:val="000D4967"/>
    <w:rsid w:val="000D58A3"/>
    <w:rsid w:val="000E3ED4"/>
    <w:rsid w:val="000E3F9C"/>
    <w:rsid w:val="000F1550"/>
    <w:rsid w:val="000F251B"/>
    <w:rsid w:val="000F5FE8"/>
    <w:rsid w:val="000F6644"/>
    <w:rsid w:val="00100833"/>
    <w:rsid w:val="00102754"/>
    <w:rsid w:val="00102F72"/>
    <w:rsid w:val="00107E85"/>
    <w:rsid w:val="00113EE8"/>
    <w:rsid w:val="0011455A"/>
    <w:rsid w:val="00114A65"/>
    <w:rsid w:val="00133061"/>
    <w:rsid w:val="00140D65"/>
    <w:rsid w:val="00141699"/>
    <w:rsid w:val="00143F44"/>
    <w:rsid w:val="001457CD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D1E06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27EA1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A2FC6"/>
    <w:rsid w:val="002A4705"/>
    <w:rsid w:val="002C1EC7"/>
    <w:rsid w:val="002C3015"/>
    <w:rsid w:val="002C3CFA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125C3"/>
    <w:rsid w:val="00312AE6"/>
    <w:rsid w:val="00315E41"/>
    <w:rsid w:val="00317D1A"/>
    <w:rsid w:val="003211FF"/>
    <w:rsid w:val="003242AB"/>
    <w:rsid w:val="00327247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0B73"/>
    <w:rsid w:val="003A5AFE"/>
    <w:rsid w:val="003A5D5F"/>
    <w:rsid w:val="003A7FFE"/>
    <w:rsid w:val="003B0A63"/>
    <w:rsid w:val="003B50E1"/>
    <w:rsid w:val="003B7401"/>
    <w:rsid w:val="003C1355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05274"/>
    <w:rsid w:val="0041156B"/>
    <w:rsid w:val="004122C5"/>
    <w:rsid w:val="00413B78"/>
    <w:rsid w:val="00416DDE"/>
    <w:rsid w:val="0044411E"/>
    <w:rsid w:val="00453435"/>
    <w:rsid w:val="00460089"/>
    <w:rsid w:val="00466398"/>
    <w:rsid w:val="0046742D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C2DC2"/>
    <w:rsid w:val="005C304A"/>
    <w:rsid w:val="005C3415"/>
    <w:rsid w:val="005C3D69"/>
    <w:rsid w:val="005C7C98"/>
    <w:rsid w:val="005D2C3A"/>
    <w:rsid w:val="005D55A4"/>
    <w:rsid w:val="005D57C8"/>
    <w:rsid w:val="005D7761"/>
    <w:rsid w:val="005E0278"/>
    <w:rsid w:val="005E090D"/>
    <w:rsid w:val="005E1816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187C"/>
    <w:rsid w:val="00623F30"/>
    <w:rsid w:val="00625FB8"/>
    <w:rsid w:val="006261BD"/>
    <w:rsid w:val="00634BA5"/>
    <w:rsid w:val="00635EDB"/>
    <w:rsid w:val="0064734E"/>
    <w:rsid w:val="00650137"/>
    <w:rsid w:val="006509D7"/>
    <w:rsid w:val="00651CE8"/>
    <w:rsid w:val="0065521B"/>
    <w:rsid w:val="00661E3F"/>
    <w:rsid w:val="00671EF6"/>
    <w:rsid w:val="0067205B"/>
    <w:rsid w:val="006748F8"/>
    <w:rsid w:val="00680489"/>
    <w:rsid w:val="00683C32"/>
    <w:rsid w:val="00690BB2"/>
    <w:rsid w:val="00690FB0"/>
    <w:rsid w:val="00693D09"/>
    <w:rsid w:val="006A0AE3"/>
    <w:rsid w:val="006A5A7E"/>
    <w:rsid w:val="006A6549"/>
    <w:rsid w:val="006A7710"/>
    <w:rsid w:val="006A7A61"/>
    <w:rsid w:val="006B0601"/>
    <w:rsid w:val="006B1E59"/>
    <w:rsid w:val="006B2FFB"/>
    <w:rsid w:val="006B78B5"/>
    <w:rsid w:val="006C10A2"/>
    <w:rsid w:val="006C1F18"/>
    <w:rsid w:val="006C4E16"/>
    <w:rsid w:val="006D40D5"/>
    <w:rsid w:val="006F009A"/>
    <w:rsid w:val="006F0505"/>
    <w:rsid w:val="006F3D93"/>
    <w:rsid w:val="007019B1"/>
    <w:rsid w:val="00703703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7BC6"/>
    <w:rsid w:val="008300AD"/>
    <w:rsid w:val="00833024"/>
    <w:rsid w:val="008419B1"/>
    <w:rsid w:val="00844A56"/>
    <w:rsid w:val="00845B11"/>
    <w:rsid w:val="00852081"/>
    <w:rsid w:val="00872B6E"/>
    <w:rsid w:val="00874DFD"/>
    <w:rsid w:val="008802F9"/>
    <w:rsid w:val="00883086"/>
    <w:rsid w:val="008879FD"/>
    <w:rsid w:val="00894C37"/>
    <w:rsid w:val="008967FC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E4F"/>
    <w:rsid w:val="008E34F0"/>
    <w:rsid w:val="008F14F5"/>
    <w:rsid w:val="008F71C1"/>
    <w:rsid w:val="00902D41"/>
    <w:rsid w:val="00902F49"/>
    <w:rsid w:val="0090415E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6201B"/>
    <w:rsid w:val="00962081"/>
    <w:rsid w:val="00966CB5"/>
    <w:rsid w:val="00975786"/>
    <w:rsid w:val="00981CB7"/>
    <w:rsid w:val="00983E1F"/>
    <w:rsid w:val="00993F46"/>
    <w:rsid w:val="00997358"/>
    <w:rsid w:val="009A452B"/>
    <w:rsid w:val="009B050C"/>
    <w:rsid w:val="009B087F"/>
    <w:rsid w:val="009B2AF4"/>
    <w:rsid w:val="009C110B"/>
    <w:rsid w:val="009C5441"/>
    <w:rsid w:val="009D119F"/>
    <w:rsid w:val="009D49A2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705E8"/>
    <w:rsid w:val="00A721F4"/>
    <w:rsid w:val="00A9083E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6F14"/>
    <w:rsid w:val="00AC7221"/>
    <w:rsid w:val="00AD4677"/>
    <w:rsid w:val="00AE5961"/>
    <w:rsid w:val="00AF0745"/>
    <w:rsid w:val="00AF4971"/>
    <w:rsid w:val="00AF5276"/>
    <w:rsid w:val="00AF7C86"/>
    <w:rsid w:val="00B01046"/>
    <w:rsid w:val="00B310F9"/>
    <w:rsid w:val="00B37866"/>
    <w:rsid w:val="00B412FB"/>
    <w:rsid w:val="00B43D52"/>
    <w:rsid w:val="00B4576B"/>
    <w:rsid w:val="00B46350"/>
    <w:rsid w:val="00B46DF3"/>
    <w:rsid w:val="00B648C7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02B5"/>
    <w:rsid w:val="00BB1863"/>
    <w:rsid w:val="00BB25EE"/>
    <w:rsid w:val="00BB363A"/>
    <w:rsid w:val="00BC10A0"/>
    <w:rsid w:val="00BC7BA2"/>
    <w:rsid w:val="00BD426B"/>
    <w:rsid w:val="00BD79F0"/>
    <w:rsid w:val="00BE2B4D"/>
    <w:rsid w:val="00BF1724"/>
    <w:rsid w:val="00C015F8"/>
    <w:rsid w:val="00C02C2A"/>
    <w:rsid w:val="00C07E26"/>
    <w:rsid w:val="00C1011C"/>
    <w:rsid w:val="00C10971"/>
    <w:rsid w:val="00C12F94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519F"/>
    <w:rsid w:val="00D20E99"/>
    <w:rsid w:val="00D21C83"/>
    <w:rsid w:val="00D35BDD"/>
    <w:rsid w:val="00D53005"/>
    <w:rsid w:val="00D63006"/>
    <w:rsid w:val="00D71967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E40B6"/>
    <w:rsid w:val="00DF002D"/>
    <w:rsid w:val="00DF2AB3"/>
    <w:rsid w:val="00DF7250"/>
    <w:rsid w:val="00E00CAA"/>
    <w:rsid w:val="00E03EBF"/>
    <w:rsid w:val="00E05209"/>
    <w:rsid w:val="00E05AC1"/>
    <w:rsid w:val="00E11BC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3D05"/>
    <w:rsid w:val="00E44D89"/>
    <w:rsid w:val="00E477EA"/>
    <w:rsid w:val="00E55807"/>
    <w:rsid w:val="00E63B14"/>
    <w:rsid w:val="00E65CA0"/>
    <w:rsid w:val="00E70D9F"/>
    <w:rsid w:val="00E74516"/>
    <w:rsid w:val="00E83810"/>
    <w:rsid w:val="00E86933"/>
    <w:rsid w:val="00E9605B"/>
    <w:rsid w:val="00E97298"/>
    <w:rsid w:val="00E97753"/>
    <w:rsid w:val="00EA0C51"/>
    <w:rsid w:val="00EA7DE7"/>
    <w:rsid w:val="00EB089B"/>
    <w:rsid w:val="00EB7A8A"/>
    <w:rsid w:val="00EC6FED"/>
    <w:rsid w:val="00EC7F3B"/>
    <w:rsid w:val="00ED5299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305"/>
    <w:rsid w:val="00F31498"/>
    <w:rsid w:val="00F32FEF"/>
    <w:rsid w:val="00F41B1C"/>
    <w:rsid w:val="00F42E13"/>
    <w:rsid w:val="00F42F1C"/>
    <w:rsid w:val="00F43B44"/>
    <w:rsid w:val="00F440E5"/>
    <w:rsid w:val="00F448F6"/>
    <w:rsid w:val="00F52741"/>
    <w:rsid w:val="00F53D8A"/>
    <w:rsid w:val="00F54099"/>
    <w:rsid w:val="00F54B94"/>
    <w:rsid w:val="00F626F7"/>
    <w:rsid w:val="00F736F9"/>
    <w:rsid w:val="00F73833"/>
    <w:rsid w:val="00F9211C"/>
    <w:rsid w:val="00FA095D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FAF29E"/>
  <w15:docId w15:val="{DDEE480D-52BF-4038-9942-1B7C16C2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  <w:style w:type="paragraph" w:customStyle="1" w:styleId="Default">
    <w:name w:val="Default"/>
    <w:rsid w:val="003A0B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6A0A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0AE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0AE3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0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0AE3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A0AE3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stephen.bereaux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E39AE-B282-4B05-930A-EDD7EE84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BDT-nd</dc:creator>
  <cp:lastModifiedBy>Comas Barnes, Maite</cp:lastModifiedBy>
  <cp:revision>5</cp:revision>
  <cp:lastPrinted>2014-11-04T09:22:00Z</cp:lastPrinted>
  <dcterms:created xsi:type="dcterms:W3CDTF">2021-09-10T08:05:00Z</dcterms:created>
  <dcterms:modified xsi:type="dcterms:W3CDTF">2021-09-20T12:07:00Z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