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D80F36" w14:paraId="1C20896F" w14:textId="77777777" w:rsidTr="005221A2">
        <w:trPr>
          <w:cantSplit/>
          <w:trHeight w:val="1134"/>
        </w:trPr>
        <w:tc>
          <w:tcPr>
            <w:tcW w:w="2268" w:type="dxa"/>
          </w:tcPr>
          <w:p w14:paraId="45C5ED40" w14:textId="1F9903B0" w:rsidR="005221A2" w:rsidRPr="00D80F36" w:rsidRDefault="005221A2" w:rsidP="0095401F">
            <w:pPr>
              <w:tabs>
                <w:tab w:val="clear" w:pos="1191"/>
                <w:tab w:val="clear" w:pos="1588"/>
                <w:tab w:val="clear" w:pos="1985"/>
              </w:tabs>
              <w:spacing w:after="120"/>
              <w:ind w:left="34"/>
              <w:rPr>
                <w:b/>
                <w:bCs/>
                <w:sz w:val="32"/>
                <w:szCs w:val="32"/>
                <w:lang w:val="fr-FR"/>
              </w:rPr>
            </w:pPr>
            <w:r w:rsidRPr="00D80F36">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D80F36" w:rsidRDefault="005221A2" w:rsidP="0095401F">
            <w:pPr>
              <w:tabs>
                <w:tab w:val="clear" w:pos="1191"/>
                <w:tab w:val="clear" w:pos="1588"/>
                <w:tab w:val="clear" w:pos="1985"/>
              </w:tabs>
              <w:spacing w:before="280" w:after="120"/>
              <w:ind w:left="34"/>
              <w:rPr>
                <w:b/>
                <w:bCs/>
                <w:sz w:val="32"/>
                <w:szCs w:val="32"/>
                <w:lang w:val="fr-FR"/>
              </w:rPr>
            </w:pPr>
            <w:r w:rsidRPr="00D80F36">
              <w:rPr>
                <w:b/>
                <w:bCs/>
                <w:sz w:val="32"/>
                <w:szCs w:val="32"/>
                <w:lang w:val="fr-FR"/>
              </w:rPr>
              <w:t xml:space="preserve">Groupe consultatif pour le développement </w:t>
            </w:r>
            <w:r w:rsidRPr="00D80F36">
              <w:rPr>
                <w:b/>
                <w:bCs/>
                <w:sz w:val="32"/>
                <w:szCs w:val="32"/>
                <w:lang w:val="fr-FR"/>
              </w:rPr>
              <w:br/>
              <w:t>des télécommunications (GCDT)</w:t>
            </w:r>
          </w:p>
          <w:p w14:paraId="3DFE313D" w14:textId="4F5181E5" w:rsidR="005221A2" w:rsidRPr="00D80F36" w:rsidRDefault="00664916" w:rsidP="0095401F">
            <w:pPr>
              <w:tabs>
                <w:tab w:val="clear" w:pos="1191"/>
                <w:tab w:val="clear" w:pos="1588"/>
                <w:tab w:val="clear" w:pos="1985"/>
              </w:tabs>
              <w:spacing w:before="100" w:after="120"/>
              <w:ind w:left="34"/>
              <w:rPr>
                <w:rFonts w:ascii="Verdana" w:hAnsi="Verdana"/>
                <w:sz w:val="28"/>
                <w:szCs w:val="28"/>
                <w:lang w:val="fr-FR"/>
              </w:rPr>
            </w:pPr>
            <w:r w:rsidRPr="00D80F36">
              <w:rPr>
                <w:b/>
                <w:bCs/>
                <w:sz w:val="26"/>
                <w:szCs w:val="26"/>
                <w:lang w:val="fr-FR"/>
              </w:rPr>
              <w:t xml:space="preserve">29ème </w:t>
            </w:r>
            <w:r w:rsidR="005221A2" w:rsidRPr="00D80F36">
              <w:rPr>
                <w:b/>
                <w:bCs/>
                <w:sz w:val="26"/>
                <w:szCs w:val="26"/>
                <w:lang w:val="fr-FR"/>
              </w:rPr>
              <w:t xml:space="preserve">réunion, virtuelle, </w:t>
            </w:r>
            <w:r w:rsidRPr="00D80F36">
              <w:rPr>
                <w:b/>
                <w:bCs/>
                <w:sz w:val="26"/>
                <w:szCs w:val="26"/>
                <w:lang w:val="fr-FR"/>
              </w:rPr>
              <w:t>8-12 novembre</w:t>
            </w:r>
            <w:r w:rsidR="005221A2" w:rsidRPr="00D80F36">
              <w:rPr>
                <w:b/>
                <w:bCs/>
                <w:sz w:val="26"/>
                <w:szCs w:val="26"/>
                <w:lang w:val="fr-FR"/>
              </w:rPr>
              <w:t xml:space="preserve"> 2021</w:t>
            </w:r>
          </w:p>
        </w:tc>
        <w:tc>
          <w:tcPr>
            <w:tcW w:w="1524" w:type="dxa"/>
          </w:tcPr>
          <w:p w14:paraId="5BB3CF32" w14:textId="2BFBE1BC" w:rsidR="005221A2" w:rsidRPr="00D80F36" w:rsidRDefault="002E38ED" w:rsidP="0095401F">
            <w:pPr>
              <w:spacing w:before="240"/>
              <w:ind w:right="142"/>
              <w:jc w:val="right"/>
              <w:rPr>
                <w:lang w:val="fr-FR"/>
              </w:rPr>
            </w:pPr>
            <w:r w:rsidRPr="00D80F36">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F36" w14:paraId="27F9265D" w14:textId="77777777" w:rsidTr="005221A2">
        <w:trPr>
          <w:cantSplit/>
        </w:trPr>
        <w:tc>
          <w:tcPr>
            <w:tcW w:w="6379" w:type="dxa"/>
            <w:gridSpan w:val="2"/>
            <w:tcBorders>
              <w:top w:val="single" w:sz="12" w:space="0" w:color="auto"/>
            </w:tcBorders>
          </w:tcPr>
          <w:p w14:paraId="274519C1" w14:textId="77777777" w:rsidR="00683C32" w:rsidRPr="00D80F36" w:rsidRDefault="00683C32" w:rsidP="0095401F">
            <w:pPr>
              <w:spacing w:before="0"/>
              <w:rPr>
                <w:rFonts w:cs="Arial"/>
                <w:b/>
                <w:bCs/>
                <w:sz w:val="20"/>
                <w:lang w:val="fr-FR"/>
              </w:rPr>
            </w:pPr>
          </w:p>
        </w:tc>
        <w:tc>
          <w:tcPr>
            <w:tcW w:w="3509" w:type="dxa"/>
            <w:gridSpan w:val="2"/>
            <w:tcBorders>
              <w:top w:val="single" w:sz="12" w:space="0" w:color="auto"/>
            </w:tcBorders>
          </w:tcPr>
          <w:p w14:paraId="20F9BDF5" w14:textId="77777777" w:rsidR="00683C32" w:rsidRPr="00D80F36" w:rsidRDefault="00683C32" w:rsidP="0095401F">
            <w:pPr>
              <w:spacing w:before="0"/>
              <w:rPr>
                <w:b/>
                <w:bCs/>
                <w:sz w:val="20"/>
                <w:lang w:val="fr-FR"/>
              </w:rPr>
            </w:pPr>
          </w:p>
        </w:tc>
      </w:tr>
      <w:tr w:rsidR="00683C32" w:rsidRPr="00D80F36" w14:paraId="46C2A819" w14:textId="77777777" w:rsidTr="005221A2">
        <w:trPr>
          <w:cantSplit/>
        </w:trPr>
        <w:tc>
          <w:tcPr>
            <w:tcW w:w="6379" w:type="dxa"/>
            <w:gridSpan w:val="2"/>
          </w:tcPr>
          <w:p w14:paraId="1C4186C5" w14:textId="77777777" w:rsidR="00683C32" w:rsidRPr="00D80F36" w:rsidRDefault="00683C32" w:rsidP="0095401F">
            <w:pPr>
              <w:pStyle w:val="Committee"/>
              <w:spacing w:before="0"/>
              <w:rPr>
                <w:b w:val="0"/>
                <w:szCs w:val="24"/>
                <w:lang w:val="fr-FR"/>
              </w:rPr>
            </w:pPr>
          </w:p>
        </w:tc>
        <w:tc>
          <w:tcPr>
            <w:tcW w:w="3509" w:type="dxa"/>
            <w:gridSpan w:val="2"/>
          </w:tcPr>
          <w:p w14:paraId="18DBE3E6" w14:textId="04F0FCF2" w:rsidR="00683C32" w:rsidRPr="00D80F36" w:rsidRDefault="0096201B" w:rsidP="0095401F">
            <w:pPr>
              <w:spacing w:before="0"/>
              <w:jc w:val="both"/>
              <w:rPr>
                <w:bCs/>
                <w:szCs w:val="24"/>
                <w:lang w:val="fr-FR"/>
              </w:rPr>
            </w:pPr>
            <w:r w:rsidRPr="00D80F36">
              <w:rPr>
                <w:b/>
                <w:bCs/>
                <w:lang w:val="fr-FR"/>
              </w:rPr>
              <w:t xml:space="preserve">Document </w:t>
            </w:r>
            <w:bookmarkStart w:id="0" w:name="DocRef1"/>
            <w:bookmarkStart w:id="1" w:name="_Hlk83193534"/>
            <w:bookmarkEnd w:id="0"/>
            <w:r w:rsidRPr="00D80F36">
              <w:rPr>
                <w:b/>
                <w:bCs/>
                <w:lang w:val="fr-FR"/>
              </w:rPr>
              <w:t>TDAG</w:t>
            </w:r>
            <w:r w:rsidR="003242AB" w:rsidRPr="00D80F36">
              <w:rPr>
                <w:b/>
                <w:bCs/>
                <w:lang w:val="fr-FR"/>
              </w:rPr>
              <w:t>-</w:t>
            </w:r>
            <w:r w:rsidR="00B648C7" w:rsidRPr="00D80F36">
              <w:rPr>
                <w:b/>
                <w:bCs/>
                <w:lang w:val="fr-FR"/>
              </w:rPr>
              <w:t>2</w:t>
            </w:r>
            <w:bookmarkStart w:id="2" w:name="DocNo1"/>
            <w:bookmarkEnd w:id="2"/>
            <w:r w:rsidR="005221A2" w:rsidRPr="00D80F36">
              <w:rPr>
                <w:b/>
                <w:bCs/>
                <w:lang w:val="fr-FR"/>
              </w:rPr>
              <w:t>1</w:t>
            </w:r>
            <w:r w:rsidR="0009076F" w:rsidRPr="00D80F36">
              <w:rPr>
                <w:b/>
                <w:bCs/>
                <w:lang w:val="fr-FR"/>
              </w:rPr>
              <w:t>/</w:t>
            </w:r>
            <w:r w:rsidR="00664916" w:rsidRPr="00D80F36">
              <w:rPr>
                <w:b/>
                <w:bCs/>
                <w:lang w:val="fr-FR"/>
              </w:rPr>
              <w:t>2/9</w:t>
            </w:r>
            <w:r w:rsidRPr="00D80F36">
              <w:rPr>
                <w:b/>
                <w:bCs/>
                <w:lang w:val="fr-FR"/>
              </w:rPr>
              <w:t>-</w:t>
            </w:r>
            <w:r w:rsidR="00D37A23" w:rsidRPr="00D80F36">
              <w:rPr>
                <w:b/>
                <w:bCs/>
                <w:lang w:val="fr-FR"/>
              </w:rPr>
              <w:t>F</w:t>
            </w:r>
            <w:bookmarkEnd w:id="1"/>
          </w:p>
        </w:tc>
      </w:tr>
      <w:tr w:rsidR="00683C32" w:rsidRPr="00D80F36" w14:paraId="3E4E062E" w14:textId="77777777" w:rsidTr="005221A2">
        <w:trPr>
          <w:cantSplit/>
        </w:trPr>
        <w:tc>
          <w:tcPr>
            <w:tcW w:w="6379" w:type="dxa"/>
            <w:gridSpan w:val="2"/>
          </w:tcPr>
          <w:p w14:paraId="34B7B41B" w14:textId="77777777" w:rsidR="00683C32" w:rsidRPr="00D80F36" w:rsidRDefault="00683C32" w:rsidP="0095401F">
            <w:pPr>
              <w:spacing w:before="0"/>
              <w:rPr>
                <w:b/>
                <w:bCs/>
                <w:smallCaps/>
                <w:szCs w:val="24"/>
                <w:lang w:val="fr-FR"/>
              </w:rPr>
            </w:pPr>
          </w:p>
        </w:tc>
        <w:tc>
          <w:tcPr>
            <w:tcW w:w="3509" w:type="dxa"/>
            <w:gridSpan w:val="2"/>
          </w:tcPr>
          <w:p w14:paraId="06852E4D" w14:textId="2C247FB8" w:rsidR="00683C32" w:rsidRPr="00D80F36" w:rsidRDefault="00664916" w:rsidP="0095401F">
            <w:pPr>
              <w:spacing w:before="0"/>
              <w:rPr>
                <w:b/>
                <w:szCs w:val="24"/>
                <w:lang w:val="fr-FR"/>
              </w:rPr>
            </w:pPr>
            <w:bookmarkStart w:id="3" w:name="CreationDate"/>
            <w:bookmarkEnd w:id="3"/>
            <w:r w:rsidRPr="00D80F36">
              <w:rPr>
                <w:b/>
                <w:bCs/>
                <w:szCs w:val="28"/>
                <w:lang w:val="fr-FR"/>
              </w:rPr>
              <w:t>14 septembre</w:t>
            </w:r>
            <w:r w:rsidR="00CE0422" w:rsidRPr="00D80F36">
              <w:rPr>
                <w:b/>
                <w:bCs/>
                <w:szCs w:val="28"/>
                <w:lang w:val="fr-FR"/>
              </w:rPr>
              <w:t xml:space="preserve"> 20</w:t>
            </w:r>
            <w:r w:rsidR="00B648C7" w:rsidRPr="00D80F36">
              <w:rPr>
                <w:b/>
                <w:bCs/>
                <w:szCs w:val="28"/>
                <w:lang w:val="fr-FR"/>
              </w:rPr>
              <w:t>2</w:t>
            </w:r>
            <w:r w:rsidR="002C248F" w:rsidRPr="00D80F36">
              <w:rPr>
                <w:b/>
                <w:bCs/>
                <w:szCs w:val="28"/>
                <w:lang w:val="fr-FR"/>
              </w:rPr>
              <w:t>1</w:t>
            </w:r>
          </w:p>
        </w:tc>
      </w:tr>
      <w:tr w:rsidR="00683C32" w:rsidRPr="00D80F36" w14:paraId="3834278A" w14:textId="77777777" w:rsidTr="005221A2">
        <w:trPr>
          <w:cantSplit/>
        </w:trPr>
        <w:tc>
          <w:tcPr>
            <w:tcW w:w="6379" w:type="dxa"/>
            <w:gridSpan w:val="2"/>
          </w:tcPr>
          <w:p w14:paraId="524FF41E" w14:textId="77777777" w:rsidR="00683C32" w:rsidRPr="00D80F36" w:rsidRDefault="00683C32" w:rsidP="0095401F">
            <w:pPr>
              <w:spacing w:before="0"/>
              <w:rPr>
                <w:b/>
                <w:bCs/>
                <w:smallCaps/>
                <w:szCs w:val="24"/>
                <w:lang w:val="fr-FR"/>
              </w:rPr>
            </w:pPr>
          </w:p>
        </w:tc>
        <w:tc>
          <w:tcPr>
            <w:tcW w:w="3509" w:type="dxa"/>
            <w:gridSpan w:val="2"/>
          </w:tcPr>
          <w:p w14:paraId="605501D5" w14:textId="395EB052" w:rsidR="00514D2F" w:rsidRPr="00D80F36" w:rsidRDefault="0096201B" w:rsidP="0095401F">
            <w:pPr>
              <w:spacing w:before="0"/>
              <w:rPr>
                <w:szCs w:val="24"/>
                <w:lang w:val="fr-FR"/>
              </w:rPr>
            </w:pPr>
            <w:r w:rsidRPr="00D80F36">
              <w:rPr>
                <w:b/>
                <w:lang w:val="fr-FR"/>
              </w:rPr>
              <w:t>Original:</w:t>
            </w:r>
            <w:bookmarkStart w:id="4" w:name="Original"/>
            <w:bookmarkEnd w:id="4"/>
            <w:r w:rsidR="00CE0422" w:rsidRPr="00D80F36">
              <w:rPr>
                <w:b/>
                <w:lang w:val="fr-FR"/>
              </w:rPr>
              <w:t xml:space="preserve"> </w:t>
            </w:r>
            <w:r w:rsidR="009B008D" w:rsidRPr="00D80F36">
              <w:rPr>
                <w:b/>
                <w:lang w:val="fr-FR"/>
              </w:rPr>
              <w:t>anglais</w:t>
            </w:r>
          </w:p>
        </w:tc>
      </w:tr>
      <w:tr w:rsidR="00A13162" w:rsidRPr="00F96ECE" w14:paraId="29562115" w14:textId="77777777" w:rsidTr="00107E85">
        <w:trPr>
          <w:cantSplit/>
          <w:trHeight w:val="852"/>
        </w:trPr>
        <w:tc>
          <w:tcPr>
            <w:tcW w:w="9888" w:type="dxa"/>
            <w:gridSpan w:val="4"/>
          </w:tcPr>
          <w:p w14:paraId="43DDA6D5" w14:textId="0E253BE7" w:rsidR="00A13162" w:rsidRPr="00D80F36" w:rsidRDefault="00336F57" w:rsidP="0095401F">
            <w:pPr>
              <w:pStyle w:val="Source"/>
              <w:rPr>
                <w:lang w:val="fr-FR"/>
              </w:rPr>
            </w:pPr>
            <w:bookmarkStart w:id="5" w:name="Source"/>
            <w:bookmarkEnd w:id="5"/>
            <w:r w:rsidRPr="00D80F36">
              <w:rPr>
                <w:lang w:val="fr-FR"/>
              </w:rPr>
              <w:t>Président du Groupe de coordination intersectorielle</w:t>
            </w:r>
          </w:p>
        </w:tc>
      </w:tr>
      <w:tr w:rsidR="00AC6F14" w:rsidRPr="00F96ECE" w14:paraId="7644819D" w14:textId="77777777" w:rsidTr="00107E85">
        <w:trPr>
          <w:cantSplit/>
        </w:trPr>
        <w:tc>
          <w:tcPr>
            <w:tcW w:w="9888" w:type="dxa"/>
            <w:gridSpan w:val="4"/>
          </w:tcPr>
          <w:p w14:paraId="683FE517" w14:textId="4F25E3D4" w:rsidR="00AC6F14" w:rsidRPr="00D80F36" w:rsidRDefault="00336F57" w:rsidP="0095401F">
            <w:pPr>
              <w:pStyle w:val="Title1"/>
              <w:rPr>
                <w:lang w:val="fr-FR"/>
              </w:rPr>
            </w:pPr>
            <w:bookmarkStart w:id="6" w:name="Title"/>
            <w:bookmarkEnd w:id="6"/>
            <w:r w:rsidRPr="00D80F36">
              <w:rPr>
                <w:lang w:val="fr-FR"/>
              </w:rPr>
              <w:t>Rapport d'activité du Groupe de coordination intersectorielle</w:t>
            </w:r>
            <w:r w:rsidRPr="00D80F36">
              <w:rPr>
                <w:lang w:val="fr-FR"/>
              </w:rPr>
              <w:br/>
              <w:t>sur les questions d'intérêt mutuel (ISCG)</w:t>
            </w:r>
          </w:p>
        </w:tc>
      </w:tr>
      <w:tr w:rsidR="00A721F4" w:rsidRPr="00F96ECE" w14:paraId="0E912AC2" w14:textId="77777777" w:rsidTr="00A721F4">
        <w:trPr>
          <w:cantSplit/>
        </w:trPr>
        <w:tc>
          <w:tcPr>
            <w:tcW w:w="9888" w:type="dxa"/>
            <w:gridSpan w:val="4"/>
            <w:tcBorders>
              <w:bottom w:val="single" w:sz="4" w:space="0" w:color="auto"/>
            </w:tcBorders>
          </w:tcPr>
          <w:p w14:paraId="3D2D5135" w14:textId="77777777" w:rsidR="00A721F4" w:rsidRPr="00D80F36" w:rsidRDefault="00A721F4" w:rsidP="0095401F">
            <w:pPr>
              <w:rPr>
                <w:lang w:val="fr-FR"/>
              </w:rPr>
            </w:pPr>
          </w:p>
        </w:tc>
      </w:tr>
      <w:tr w:rsidR="00A721F4" w:rsidRPr="00F96ECE"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D80F36" w:rsidRDefault="00D37A23" w:rsidP="0095401F">
            <w:pPr>
              <w:spacing w:after="120"/>
              <w:rPr>
                <w:b/>
                <w:bCs/>
                <w:szCs w:val="24"/>
                <w:lang w:val="fr-FR"/>
              </w:rPr>
            </w:pPr>
            <w:r w:rsidRPr="00D80F36">
              <w:rPr>
                <w:b/>
                <w:bCs/>
                <w:szCs w:val="24"/>
                <w:lang w:val="fr-FR"/>
              </w:rPr>
              <w:t>Résumé</w:t>
            </w:r>
            <w:r w:rsidR="00A721F4" w:rsidRPr="00D80F36">
              <w:rPr>
                <w:b/>
                <w:bCs/>
                <w:szCs w:val="24"/>
                <w:lang w:val="fr-FR"/>
              </w:rPr>
              <w:t>:</w:t>
            </w:r>
          </w:p>
          <w:p w14:paraId="47745426" w14:textId="0F448B57" w:rsidR="005221A2" w:rsidRPr="00D80F36" w:rsidRDefault="00336F57" w:rsidP="0095401F">
            <w:pPr>
              <w:spacing w:after="120"/>
              <w:rPr>
                <w:szCs w:val="24"/>
                <w:lang w:val="fr-FR"/>
              </w:rPr>
            </w:pPr>
            <w:r w:rsidRPr="00D80F36">
              <w:rPr>
                <w:lang w:val="fr-FR"/>
              </w:rPr>
              <w:t xml:space="preserve">On trouvera dans le présent document un rapport d'activité du Groupe de coordination intersectorielle sur les questions d'intérêt mutuel (ISCG), qui met en avant les conclusions de la dernière réunion du Groupe, qui s'est tenue de manière virtuelle le </w:t>
            </w:r>
            <w:r w:rsidR="00664916" w:rsidRPr="00D80F36">
              <w:rPr>
                <w:lang w:val="fr-FR"/>
              </w:rPr>
              <w:t>1er septembre</w:t>
            </w:r>
            <w:r w:rsidRPr="00D80F36">
              <w:rPr>
                <w:lang w:val="fr-FR"/>
              </w:rPr>
              <w:t xml:space="preserve"> 2021.</w:t>
            </w:r>
          </w:p>
          <w:p w14:paraId="238E500E" w14:textId="33A88DD0" w:rsidR="00A721F4" w:rsidRPr="00D80F36" w:rsidRDefault="00D37A23" w:rsidP="0095401F">
            <w:pPr>
              <w:spacing w:after="120"/>
              <w:rPr>
                <w:b/>
                <w:bCs/>
                <w:szCs w:val="24"/>
                <w:lang w:val="fr-FR"/>
              </w:rPr>
            </w:pPr>
            <w:r w:rsidRPr="00D80F36">
              <w:rPr>
                <w:b/>
                <w:bCs/>
                <w:lang w:val="fr-FR"/>
              </w:rPr>
              <w:t>Suite à donner</w:t>
            </w:r>
            <w:r w:rsidR="00A721F4" w:rsidRPr="00D80F36">
              <w:rPr>
                <w:b/>
                <w:bCs/>
                <w:lang w:val="fr-FR"/>
              </w:rPr>
              <w:t>:</w:t>
            </w:r>
          </w:p>
          <w:p w14:paraId="1032B5F3" w14:textId="1EAC016F" w:rsidR="005221A2" w:rsidRPr="00D80F36" w:rsidRDefault="00336F57" w:rsidP="0095401F">
            <w:pPr>
              <w:spacing w:after="120"/>
              <w:rPr>
                <w:szCs w:val="24"/>
                <w:lang w:val="fr-FR"/>
              </w:rPr>
            </w:pPr>
            <w:r w:rsidRPr="00D80F36">
              <w:rPr>
                <w:lang w:val="fr-FR"/>
              </w:rPr>
              <w:t>Le GCDT est invité à prendre note du présent document et à fournir les orientations qu'il jugera nécessaires.</w:t>
            </w:r>
          </w:p>
          <w:p w14:paraId="4E7A67C4" w14:textId="71219986" w:rsidR="00A721F4" w:rsidRPr="00D80F36" w:rsidRDefault="00A721F4" w:rsidP="0095401F">
            <w:pPr>
              <w:spacing w:after="120"/>
              <w:rPr>
                <w:b/>
                <w:bCs/>
                <w:szCs w:val="24"/>
                <w:lang w:val="fr-FR"/>
              </w:rPr>
            </w:pPr>
            <w:r w:rsidRPr="00D80F36">
              <w:rPr>
                <w:b/>
                <w:bCs/>
                <w:szCs w:val="24"/>
                <w:lang w:val="fr-FR"/>
              </w:rPr>
              <w:t>R</w:t>
            </w:r>
            <w:r w:rsidR="00D37A23" w:rsidRPr="00D80F36">
              <w:rPr>
                <w:b/>
                <w:bCs/>
                <w:szCs w:val="24"/>
                <w:lang w:val="fr-FR"/>
              </w:rPr>
              <w:t>é</w:t>
            </w:r>
            <w:r w:rsidRPr="00D80F36">
              <w:rPr>
                <w:b/>
                <w:bCs/>
                <w:szCs w:val="24"/>
                <w:lang w:val="fr-FR"/>
              </w:rPr>
              <w:t>f</w:t>
            </w:r>
            <w:r w:rsidR="00D37A23" w:rsidRPr="00D80F36">
              <w:rPr>
                <w:b/>
                <w:bCs/>
                <w:szCs w:val="24"/>
                <w:lang w:val="fr-FR"/>
              </w:rPr>
              <w:t>é</w:t>
            </w:r>
            <w:r w:rsidRPr="00D80F36">
              <w:rPr>
                <w:b/>
                <w:bCs/>
                <w:szCs w:val="24"/>
                <w:lang w:val="fr-FR"/>
              </w:rPr>
              <w:t>rence:</w:t>
            </w:r>
          </w:p>
          <w:p w14:paraId="48EBB74C" w14:textId="7AA65754" w:rsidR="00A721F4" w:rsidRPr="00D80F36" w:rsidRDefault="003B3967" w:rsidP="0095401F">
            <w:pPr>
              <w:spacing w:after="120"/>
              <w:rPr>
                <w:szCs w:val="24"/>
                <w:lang w:val="fr-FR"/>
              </w:rPr>
            </w:pPr>
            <w:hyperlink r:id="rId10" w:history="1">
              <w:r w:rsidR="00336F57" w:rsidRPr="00D80F36">
                <w:rPr>
                  <w:rStyle w:val="Hyperlink"/>
                  <w:lang w:val="fr-FR"/>
                </w:rPr>
                <w:t>Résolution 191</w:t>
              </w:r>
            </w:hyperlink>
            <w:r w:rsidR="00336F57" w:rsidRPr="00D80F36">
              <w:rPr>
                <w:lang w:val="fr-FR"/>
              </w:rPr>
              <w:t xml:space="preserve"> (Rév. Dubaï, 2018) de la Conférence de plénipotentiaires</w:t>
            </w:r>
          </w:p>
        </w:tc>
      </w:tr>
    </w:tbl>
    <w:p w14:paraId="3020A08C" w14:textId="77777777" w:rsidR="00923CF1" w:rsidRPr="00D80F36" w:rsidRDefault="00923CF1" w:rsidP="0095401F">
      <w:pPr>
        <w:tabs>
          <w:tab w:val="clear" w:pos="794"/>
          <w:tab w:val="clear" w:pos="1191"/>
          <w:tab w:val="clear" w:pos="1588"/>
          <w:tab w:val="clear" w:pos="1985"/>
        </w:tabs>
        <w:overflowPunct/>
        <w:autoSpaceDE/>
        <w:autoSpaceDN/>
        <w:adjustRightInd/>
        <w:spacing w:before="0"/>
        <w:textAlignment w:val="auto"/>
        <w:rPr>
          <w:lang w:val="fr-FR"/>
        </w:rPr>
      </w:pPr>
      <w:r w:rsidRPr="00D80F36">
        <w:rPr>
          <w:lang w:val="fr-FR"/>
        </w:rPr>
        <w:br w:type="page"/>
      </w:r>
    </w:p>
    <w:p w14:paraId="4ADAB8C1" w14:textId="0509EC49" w:rsidR="00336F57" w:rsidRPr="00D80F36" w:rsidRDefault="00750010" w:rsidP="0095401F">
      <w:pPr>
        <w:pStyle w:val="Heading1"/>
        <w:rPr>
          <w:lang w:val="fr-FR"/>
        </w:rPr>
      </w:pPr>
      <w:r w:rsidRPr="00D80F36">
        <w:rPr>
          <w:lang w:val="fr-FR"/>
        </w:rPr>
        <w:lastRenderedPageBreak/>
        <w:t>1</w:t>
      </w:r>
      <w:r w:rsidRPr="00D80F36">
        <w:rPr>
          <w:lang w:val="fr-FR"/>
        </w:rPr>
        <w:tab/>
      </w:r>
      <w:r w:rsidR="00336F57" w:rsidRPr="00D80F36">
        <w:rPr>
          <w:lang w:val="fr-FR"/>
        </w:rPr>
        <w:t>Introduction</w:t>
      </w:r>
    </w:p>
    <w:p w14:paraId="43EEA9DE" w14:textId="7772D990" w:rsidR="00336F57" w:rsidRPr="00D80F36" w:rsidRDefault="00336F57" w:rsidP="0095401F">
      <w:pPr>
        <w:rPr>
          <w:rFonts w:ascii="Calibri" w:hAnsi="Calibri" w:cs="Calibri"/>
          <w:lang w:val="fr-FR" w:eastAsia="zh-CN"/>
        </w:rPr>
      </w:pPr>
      <w:r w:rsidRPr="00D80F36">
        <w:rPr>
          <w:lang w:val="fr-FR"/>
        </w:rPr>
        <w:t xml:space="preserve">Le </w:t>
      </w:r>
      <w:hyperlink r:id="rId11" w:history="1">
        <w:r w:rsidRPr="00D80F36">
          <w:rPr>
            <w:rStyle w:val="Hyperlink"/>
            <w:szCs w:val="24"/>
            <w:lang w:val="fr-FR"/>
          </w:rPr>
          <w:t>Groupe de coordination intersectorielle sur les questions d'intérêt mutuel (ISCG)</w:t>
        </w:r>
      </w:hyperlink>
      <w:r w:rsidRPr="00D80F36">
        <w:rPr>
          <w:lang w:val="fr-FR"/>
        </w:rPr>
        <w:t xml:space="preserve">, qui est composé de représentants du Groupe consultatif des radiocommunications (GCR), du Groupe consultatif de la normalisation des télécommunications (GCNT) et du Groupe consultatif pour le développement des télécommunications (GCDT), mène des travaux en vue d'identifier les sujets communs aux trois Secteurs et au Secrétariat général, ainsi que les mécanismes visant à renforcer la coopération et la collaboration dans tous les Secteurs sur les questions d'intérêt mutuel, </w:t>
      </w:r>
      <w:r w:rsidRPr="00D80F36">
        <w:rPr>
          <w:color w:val="000000"/>
          <w:lang w:val="fr-FR"/>
        </w:rPr>
        <w:t>de manière à éviter tout chevauchement d'activité et à optimiser l'utilisation des ressources de l'Union</w:t>
      </w:r>
      <w:r w:rsidRPr="00D80F36">
        <w:rPr>
          <w:lang w:val="fr-FR"/>
        </w:rPr>
        <w:t xml:space="preserve">, conformément à la </w:t>
      </w:r>
      <w:hyperlink r:id="rId12" w:history="1">
        <w:r w:rsidRPr="00D80F36">
          <w:rPr>
            <w:rStyle w:val="Hyperlink"/>
            <w:szCs w:val="24"/>
            <w:lang w:val="fr-FR"/>
          </w:rPr>
          <w:t>Résolution 191 (Rév. Dubaï, 2018)</w:t>
        </w:r>
      </w:hyperlink>
      <w:r w:rsidRPr="00D80F36">
        <w:rPr>
          <w:rFonts w:ascii="Calibri" w:hAnsi="Calibri" w:cs="Calibri"/>
          <w:lang w:val="fr-FR" w:eastAsia="zh-CN"/>
        </w:rPr>
        <w:t xml:space="preserve"> de la Conférence de plénipotentiaires.</w:t>
      </w:r>
    </w:p>
    <w:p w14:paraId="35F776C0" w14:textId="7FDBC116" w:rsidR="00336F57" w:rsidRPr="00D80F36" w:rsidRDefault="00336F57" w:rsidP="0095401F">
      <w:pPr>
        <w:rPr>
          <w:lang w:val="fr-FR"/>
        </w:rPr>
      </w:pPr>
      <w:r w:rsidRPr="00D80F36">
        <w:rPr>
          <w:lang w:val="fr-FR"/>
        </w:rPr>
        <w:t>Le Groupe ISCG examine les activités en cours et les nouvelles activités, ainsi que leur répartition entre l'UIT-R, l'UIT-T et l'UIT-D, pour approbation par les États Membres de l'UIT, conformément aux procédures d'approbation des Questions nouvelles et révisées. Il examine également les rapports soumis par les trois Directeurs et le Groupe spécial de coordination intersectorielle (ISC</w:t>
      </w:r>
      <w:r w:rsidR="00B950CD" w:rsidRPr="00D80F36">
        <w:rPr>
          <w:lang w:val="fr-FR"/>
        </w:rPr>
        <w:noBreakHyphen/>
      </w:r>
      <w:r w:rsidRPr="00D80F36">
        <w:rPr>
          <w:lang w:val="fr-FR"/>
        </w:rPr>
        <w:t xml:space="preserve">TF) </w:t>
      </w:r>
      <w:r w:rsidRPr="00D80F36">
        <w:rPr>
          <w:color w:val="000000"/>
          <w:lang w:val="fr-FR"/>
        </w:rPr>
        <w:t>en ce qui concerne les solutions permettant d'améliorer la coopération au niveau du secrétariat, afin de veiller à ce que la coordination soit la plus étroite possible</w:t>
      </w:r>
      <w:r w:rsidRPr="00D80F36">
        <w:rPr>
          <w:lang w:val="fr-FR"/>
        </w:rPr>
        <w:t>.</w:t>
      </w:r>
    </w:p>
    <w:p w14:paraId="71937A11" w14:textId="5F15F8BD" w:rsidR="00336F57" w:rsidRPr="00D80F36" w:rsidRDefault="00336F57" w:rsidP="0095401F">
      <w:pPr>
        <w:rPr>
          <w:lang w:val="fr-FR"/>
        </w:rPr>
      </w:pPr>
      <w:r w:rsidRPr="00D80F36">
        <w:rPr>
          <w:lang w:val="fr-FR"/>
        </w:rPr>
        <w:t xml:space="preserve">Depuis son dernier rapport présenté au GCDT, le Groupe ISCG s'est réuni </w:t>
      </w:r>
      <w:r w:rsidR="00664916" w:rsidRPr="00D80F36">
        <w:rPr>
          <w:lang w:val="fr-FR"/>
        </w:rPr>
        <w:t>une fois, soit</w:t>
      </w:r>
      <w:r w:rsidR="004114DA">
        <w:rPr>
          <w:lang w:val="fr-FR"/>
        </w:rPr>
        <w:t xml:space="preserve"> le </w:t>
      </w:r>
      <w:r w:rsidRPr="00D80F36">
        <w:rPr>
          <w:lang w:val="fr-FR"/>
        </w:rPr>
        <w:t>1er</w:t>
      </w:r>
      <w:r w:rsidR="00DC5838" w:rsidRPr="00D80F36">
        <w:rPr>
          <w:lang w:val="fr-FR"/>
        </w:rPr>
        <w:t> </w:t>
      </w:r>
      <w:r w:rsidRPr="00D80F36">
        <w:rPr>
          <w:lang w:val="fr-FR"/>
        </w:rPr>
        <w:t>septembre 2021.</w:t>
      </w:r>
    </w:p>
    <w:p w14:paraId="41BEC19B" w14:textId="4A85D5E7" w:rsidR="00336F57" w:rsidRPr="00D80F36" w:rsidRDefault="00336F57" w:rsidP="0095401F">
      <w:pPr>
        <w:rPr>
          <w:lang w:val="fr-FR"/>
        </w:rPr>
      </w:pPr>
      <w:r w:rsidRPr="00D80F36">
        <w:rPr>
          <w:lang w:val="fr-FR"/>
        </w:rPr>
        <w:t>Durant la dernière réunion du Groupe ISCG, le secrétariat du Groupe a présenté</w:t>
      </w:r>
      <w:r w:rsidR="00B92FB0" w:rsidRPr="00D80F36">
        <w:rPr>
          <w:lang w:val="fr-FR"/>
        </w:rPr>
        <w:t xml:space="preserve"> </w:t>
      </w:r>
      <w:r w:rsidR="00664916" w:rsidRPr="00D80F36">
        <w:rPr>
          <w:lang w:val="fr-FR"/>
        </w:rPr>
        <w:t>le rapport sur la mise en œuvre de la Résolution 191 (Rév. Dubaï, 2018) de la PP</w:t>
      </w:r>
      <w:r w:rsidR="00127C28" w:rsidRPr="00D80F36">
        <w:rPr>
          <w:lang w:val="fr-FR"/>
        </w:rPr>
        <w:t>, qui contient</w:t>
      </w:r>
      <w:r w:rsidR="00664916" w:rsidRPr="00D80F36">
        <w:rPr>
          <w:lang w:val="fr-FR"/>
        </w:rPr>
        <w:t xml:space="preserve"> les </w:t>
      </w:r>
      <w:r w:rsidR="00102784" w:rsidRPr="00D80F36">
        <w:rPr>
          <w:lang w:val="fr-FR"/>
        </w:rPr>
        <w:t>principales informations actualisées suivantes</w:t>
      </w:r>
      <w:r w:rsidRPr="00D80F36">
        <w:rPr>
          <w:lang w:val="fr-FR"/>
        </w:rPr>
        <w:t>:</w:t>
      </w:r>
    </w:p>
    <w:p w14:paraId="0E647787" w14:textId="3AFA921B" w:rsidR="00336F57" w:rsidRPr="00D80F36" w:rsidRDefault="00750010" w:rsidP="0095401F">
      <w:pPr>
        <w:pStyle w:val="enumlev1"/>
        <w:rPr>
          <w:lang w:val="fr-FR"/>
        </w:rPr>
      </w:pPr>
      <w:r w:rsidRPr="00D80F36">
        <w:rPr>
          <w:lang w:val="fr-FR"/>
        </w:rPr>
        <w:t>–</w:t>
      </w:r>
      <w:r w:rsidRPr="00D80F36">
        <w:rPr>
          <w:lang w:val="fr-FR"/>
        </w:rPr>
        <w:tab/>
      </w:r>
      <w:r w:rsidR="0074785D" w:rsidRPr="00D80F36">
        <w:rPr>
          <w:lang w:val="fr-FR"/>
        </w:rPr>
        <w:t>Un</w:t>
      </w:r>
      <w:r w:rsidR="00615CCF" w:rsidRPr="00D80F36">
        <w:rPr>
          <w:lang w:val="fr-FR"/>
        </w:rPr>
        <w:t xml:space="preserve"> rapport du Groupe spécial ISC-TF, subdivisé en thèmes, est désormais disponible sur la </w:t>
      </w:r>
      <w:hyperlink r:id="rId13" w:history="1">
        <w:r w:rsidR="00615CCF" w:rsidRPr="00D80F36">
          <w:rPr>
            <w:rStyle w:val="Hyperlink"/>
            <w:lang w:val="fr-FR"/>
          </w:rPr>
          <w:t>page web consacrée à la coordination intersectorielle des activités</w:t>
        </w:r>
      </w:hyperlink>
      <w:r w:rsidR="00615CCF" w:rsidRPr="00D80F36">
        <w:rPr>
          <w:lang w:val="fr-FR"/>
        </w:rPr>
        <w:t xml:space="preserve"> et est accessible à tout membre de l'UIT titulaire d'un compte TIES.</w:t>
      </w:r>
    </w:p>
    <w:p w14:paraId="09804D74" w14:textId="5AC65D57" w:rsidR="00615CCF" w:rsidRPr="00D80F36" w:rsidRDefault="0095401F" w:rsidP="0095401F">
      <w:pPr>
        <w:pStyle w:val="enumlev1"/>
        <w:rPr>
          <w:lang w:val="fr-FR"/>
        </w:rPr>
      </w:pPr>
      <w:r w:rsidRPr="00D80F36">
        <w:rPr>
          <w:lang w:val="fr-FR"/>
        </w:rPr>
        <w:t>–</w:t>
      </w:r>
      <w:r w:rsidRPr="00D80F36">
        <w:rPr>
          <w:lang w:val="fr-FR"/>
        </w:rPr>
        <w:tab/>
      </w:r>
      <w:r w:rsidR="00615CCF" w:rsidRPr="00D80F36">
        <w:rPr>
          <w:lang w:val="fr-FR"/>
        </w:rPr>
        <w:t xml:space="preserve">Un nouveau Groupe de coordination </w:t>
      </w:r>
      <w:r w:rsidR="0074785D" w:rsidRPr="00D80F36">
        <w:rPr>
          <w:lang w:val="fr-FR"/>
        </w:rPr>
        <w:t>des</w:t>
      </w:r>
      <w:r w:rsidR="00615CCF" w:rsidRPr="00D80F36">
        <w:rPr>
          <w:lang w:val="fr-FR"/>
        </w:rPr>
        <w:t xml:space="preserve"> </w:t>
      </w:r>
      <w:r w:rsidR="0074785D" w:rsidRPr="00D80F36">
        <w:rPr>
          <w:lang w:val="fr-FR"/>
        </w:rPr>
        <w:t>c</w:t>
      </w:r>
      <w:r w:rsidR="00615CCF" w:rsidRPr="00D80F36">
        <w:rPr>
          <w:lang w:val="fr-FR"/>
        </w:rPr>
        <w:t>onférence</w:t>
      </w:r>
      <w:r w:rsidR="0074785D" w:rsidRPr="00D80F36">
        <w:rPr>
          <w:lang w:val="fr-FR"/>
        </w:rPr>
        <w:t>s</w:t>
      </w:r>
      <w:r w:rsidR="00615CCF" w:rsidRPr="00D80F36">
        <w:rPr>
          <w:lang w:val="fr-FR"/>
        </w:rPr>
        <w:t xml:space="preserve"> a été créé, au sein du Secrétariat de l'UIT, afin d'améliorer la coopération, la coordination et l'harmonisation dans le cadre des travaux préparatoires en vue des principales conférences prévues en 2022.</w:t>
      </w:r>
    </w:p>
    <w:p w14:paraId="19EB4CE2" w14:textId="0ABF6DEE" w:rsidR="00615CCF" w:rsidRPr="00D80F36" w:rsidRDefault="0095401F" w:rsidP="0095401F">
      <w:pPr>
        <w:pStyle w:val="enumlev1"/>
        <w:rPr>
          <w:lang w:val="fr-FR"/>
        </w:rPr>
      </w:pPr>
      <w:r w:rsidRPr="00D80F36">
        <w:rPr>
          <w:lang w:val="fr-FR"/>
        </w:rPr>
        <w:t>–</w:t>
      </w:r>
      <w:r w:rsidRPr="00D80F36">
        <w:rPr>
          <w:lang w:val="fr-FR"/>
        </w:rPr>
        <w:tab/>
      </w:r>
      <w:r w:rsidR="005200C8" w:rsidRPr="00D80F36">
        <w:rPr>
          <w:lang w:val="fr-FR"/>
        </w:rPr>
        <w:t xml:space="preserve">L'équipe des services informatiques a fait savoir que la plate-forme Zoom a été intégrée au système d'inscription, d'authentification </w:t>
      </w:r>
      <w:r w:rsidR="00127C28" w:rsidRPr="00D80F36">
        <w:rPr>
          <w:lang w:val="fr-FR"/>
        </w:rPr>
        <w:t xml:space="preserve">et </w:t>
      </w:r>
      <w:r w:rsidR="005200C8" w:rsidRPr="00D80F36">
        <w:rPr>
          <w:lang w:val="fr-FR"/>
        </w:rPr>
        <w:t xml:space="preserve">de contrôle d'accès (CRM) de l'UIT, permettant </w:t>
      </w:r>
      <w:r w:rsidR="003A1F69" w:rsidRPr="00D80F36">
        <w:rPr>
          <w:lang w:val="fr-FR"/>
        </w:rPr>
        <w:t>un accès généralisé</w:t>
      </w:r>
      <w:r w:rsidR="005200C8" w:rsidRPr="00D80F36">
        <w:rPr>
          <w:lang w:val="fr-FR"/>
        </w:rPr>
        <w:t xml:space="preserve"> </w:t>
      </w:r>
      <w:r w:rsidR="00127C28" w:rsidRPr="00D80F36">
        <w:rPr>
          <w:lang w:val="fr-FR"/>
        </w:rPr>
        <w:t>au moyen d'un</w:t>
      </w:r>
      <w:r w:rsidR="005200C8" w:rsidRPr="00D80F36">
        <w:rPr>
          <w:lang w:val="fr-FR"/>
        </w:rPr>
        <w:t xml:space="preserve"> compte utilisateur de l'UIT. En conséquence, l'UIT a commencé à utiliser la plate-forme Zoom pour la consultation virtuelle des Conseillers, la réunion du Groupe ISCG ainsi que les réunions des </w:t>
      </w:r>
      <w:r w:rsidR="008713C7" w:rsidRPr="00D80F36">
        <w:rPr>
          <w:lang w:val="fr-FR"/>
        </w:rPr>
        <w:t>G</w:t>
      </w:r>
      <w:r w:rsidR="005200C8" w:rsidRPr="00D80F36">
        <w:rPr>
          <w:lang w:val="fr-FR"/>
        </w:rPr>
        <w:t>roupes consultatifs. Le BDT a également fait savoir que toutes ses manifestations se tiendr</w:t>
      </w:r>
      <w:r w:rsidR="00752C55" w:rsidRPr="00D80F36">
        <w:rPr>
          <w:lang w:val="fr-FR"/>
        </w:rPr>
        <w:t>aien</w:t>
      </w:r>
      <w:r w:rsidR="005200C8" w:rsidRPr="00D80F36">
        <w:rPr>
          <w:lang w:val="fr-FR"/>
        </w:rPr>
        <w:t>t</w:t>
      </w:r>
      <w:r w:rsidR="008713C7" w:rsidRPr="00D80F36">
        <w:rPr>
          <w:lang w:val="fr-FR"/>
        </w:rPr>
        <w:t xml:space="preserve"> désormais</w:t>
      </w:r>
      <w:r w:rsidR="005200C8" w:rsidRPr="00D80F36">
        <w:rPr>
          <w:lang w:val="fr-FR"/>
        </w:rPr>
        <w:t xml:space="preserve"> sur la plate-forme Zoom, tandis que le TSB a indiqué </w:t>
      </w:r>
      <w:r w:rsidR="00DD17BB" w:rsidRPr="00D80F36">
        <w:rPr>
          <w:lang w:val="fr-FR"/>
        </w:rPr>
        <w:t xml:space="preserve">procéder </w:t>
      </w:r>
      <w:r w:rsidR="005200C8" w:rsidRPr="00D80F36">
        <w:rPr>
          <w:lang w:val="fr-FR"/>
        </w:rPr>
        <w:t>à la normalisation de tous ses travaux afin d'utiliser au maximum deux plates-formes différentes (Zoom et MyMeetings</w:t>
      </w:r>
      <w:r w:rsidR="004114DA">
        <w:rPr>
          <w:lang w:val="fr-FR"/>
        </w:rPr>
        <w:t xml:space="preserve"> – L</w:t>
      </w:r>
      <w:r w:rsidR="009B5A09" w:rsidRPr="00D80F36">
        <w:rPr>
          <w:lang w:val="fr-FR"/>
        </w:rPr>
        <w:t xml:space="preserve">'UIT-T continuera d'utiliser la plate-forme MyMeetings </w:t>
      </w:r>
      <w:r w:rsidR="00DD17BB" w:rsidRPr="00D80F36">
        <w:rPr>
          <w:lang w:val="fr-FR"/>
        </w:rPr>
        <w:t xml:space="preserve">en ce qu'elle permet </w:t>
      </w:r>
      <w:r w:rsidR="0065020C" w:rsidRPr="00D80F36">
        <w:rPr>
          <w:lang w:val="fr-FR"/>
        </w:rPr>
        <w:t xml:space="preserve">de tenir </w:t>
      </w:r>
      <w:r w:rsidR="00DD17BB" w:rsidRPr="00D80F36">
        <w:rPr>
          <w:lang w:val="fr-FR"/>
        </w:rPr>
        <w:t>plusieurs manifestations en parallèle sans qu'il ne soit nécessaire de disposer de plusieurs licences</w:t>
      </w:r>
      <w:r w:rsidR="0065020C" w:rsidRPr="00D80F36">
        <w:rPr>
          <w:lang w:val="fr-FR"/>
        </w:rPr>
        <w:t>)</w:t>
      </w:r>
      <w:r w:rsidR="009B5A09" w:rsidRPr="00D80F36">
        <w:rPr>
          <w:lang w:val="fr-FR"/>
        </w:rPr>
        <w:t>.</w:t>
      </w:r>
    </w:p>
    <w:p w14:paraId="0636EB71" w14:textId="6945C490" w:rsidR="009B5A09" w:rsidRPr="00D80F36" w:rsidRDefault="0095401F" w:rsidP="0095401F">
      <w:pPr>
        <w:pStyle w:val="enumlev1"/>
        <w:rPr>
          <w:lang w:val="fr-FR"/>
        </w:rPr>
      </w:pPr>
      <w:r w:rsidRPr="00D80F36">
        <w:rPr>
          <w:lang w:val="fr-FR"/>
        </w:rPr>
        <w:t>–</w:t>
      </w:r>
      <w:r w:rsidRPr="00D80F36">
        <w:rPr>
          <w:lang w:val="fr-FR"/>
        </w:rPr>
        <w:tab/>
      </w:r>
      <w:r w:rsidR="009B5A09" w:rsidRPr="00D80F36">
        <w:rPr>
          <w:lang w:val="fr-FR"/>
        </w:rPr>
        <w:t>Le coordonnateur du Groupe spécial ISC-TF pour les questions liées à l'intelligence artificielle a présenté un rapport sur les activités qui font actuellement l'objet d'une coordination</w:t>
      </w:r>
      <w:r w:rsidR="00936D0A" w:rsidRPr="00D80F36">
        <w:rPr>
          <w:lang w:val="fr-FR"/>
        </w:rPr>
        <w:t xml:space="preserve">, dans lequel figure également </w:t>
      </w:r>
      <w:r w:rsidR="009B5A09" w:rsidRPr="00D80F36">
        <w:rPr>
          <w:lang w:val="fr-FR"/>
        </w:rPr>
        <w:t xml:space="preserve">le mandat du sous-groupe </w:t>
      </w:r>
      <w:r w:rsidR="0065020C" w:rsidRPr="00D80F36">
        <w:rPr>
          <w:lang w:val="fr-FR"/>
        </w:rPr>
        <w:t>relevant</w:t>
      </w:r>
      <w:r w:rsidR="009B5A09" w:rsidRPr="00D80F36">
        <w:rPr>
          <w:lang w:val="fr-FR"/>
        </w:rPr>
        <w:t xml:space="preserve"> du Groupe spécial ISC-TF (voir le Document </w:t>
      </w:r>
      <w:hyperlink r:id="rId14" w:history="1">
        <w:r w:rsidR="009B5A09" w:rsidRPr="00D80F36">
          <w:rPr>
            <w:rStyle w:val="Hyperlink"/>
            <w:rFonts w:cstheme="minorHAnsi"/>
            <w:lang w:val="fr-FR"/>
          </w:rPr>
          <w:t>ISCG/21-2/3-1</w:t>
        </w:r>
      </w:hyperlink>
      <w:r w:rsidR="009B5A09" w:rsidRPr="00D80F36">
        <w:rPr>
          <w:rStyle w:val="Hyperlink"/>
          <w:rFonts w:cstheme="minorHAnsi"/>
          <w:color w:val="auto"/>
          <w:u w:val="none"/>
          <w:lang w:val="fr-FR"/>
        </w:rPr>
        <w:t>).</w:t>
      </w:r>
    </w:p>
    <w:p w14:paraId="071E4C2F" w14:textId="77777777" w:rsidR="0095401F" w:rsidRPr="00D80F36" w:rsidRDefault="0095401F" w:rsidP="0095401F">
      <w:pPr>
        <w:rPr>
          <w:lang w:val="fr-FR"/>
        </w:rPr>
      </w:pPr>
      <w:r w:rsidRPr="00D80F36">
        <w:rPr>
          <w:lang w:val="fr-FR"/>
        </w:rPr>
        <w:br w:type="page"/>
      </w:r>
    </w:p>
    <w:p w14:paraId="1A898C1B" w14:textId="39D04CC7" w:rsidR="00336F57" w:rsidRPr="00D80F36" w:rsidRDefault="00336F57" w:rsidP="0095401F">
      <w:pPr>
        <w:rPr>
          <w:lang w:val="fr-FR"/>
        </w:rPr>
      </w:pPr>
      <w:r w:rsidRPr="00D80F36">
        <w:rPr>
          <w:lang w:val="fr-FR"/>
        </w:rPr>
        <w:lastRenderedPageBreak/>
        <w:t xml:space="preserve">Les membres du Groupe ISCG ont </w:t>
      </w:r>
      <w:r w:rsidR="00752C55" w:rsidRPr="00D80F36">
        <w:rPr>
          <w:lang w:val="fr-FR"/>
        </w:rPr>
        <w:t xml:space="preserve">réitéré leur demande </w:t>
      </w:r>
      <w:r w:rsidR="00443613" w:rsidRPr="00D80F36">
        <w:rPr>
          <w:lang w:val="fr-FR"/>
        </w:rPr>
        <w:t>d</w:t>
      </w:r>
      <w:r w:rsidR="00670235" w:rsidRPr="00D80F36">
        <w:rPr>
          <w:lang w:val="fr-FR"/>
        </w:rPr>
        <w:t xml:space="preserve">e pouvoir </w:t>
      </w:r>
      <w:r w:rsidR="00443613" w:rsidRPr="00D80F36">
        <w:rPr>
          <w:lang w:val="fr-FR"/>
        </w:rPr>
        <w:t>accéder à la page web consacrée au Groupe sur les sites web des trois Groupes consultatifs</w:t>
      </w:r>
      <w:r w:rsidR="00670235" w:rsidRPr="00D80F36">
        <w:rPr>
          <w:lang w:val="fr-FR"/>
        </w:rPr>
        <w:t>,</w:t>
      </w:r>
      <w:r w:rsidR="00443613" w:rsidRPr="00D80F36">
        <w:rPr>
          <w:lang w:val="fr-FR"/>
        </w:rPr>
        <w:t xml:space="preserve"> d'une façon harmonisée, étant donné que la présentation des trois sites web est différente</w:t>
      </w:r>
      <w:r w:rsidRPr="00D80F36">
        <w:rPr>
          <w:lang w:val="fr-FR"/>
        </w:rPr>
        <w:t>.</w:t>
      </w:r>
      <w:r w:rsidR="00443613" w:rsidRPr="00D80F36">
        <w:rPr>
          <w:lang w:val="fr-FR"/>
        </w:rPr>
        <w:t xml:space="preserve"> Ils ont également demandé d'harmoniser le processus relatif à la soumission des contributions, </w:t>
      </w:r>
      <w:r w:rsidR="0065020C" w:rsidRPr="00D80F36">
        <w:rPr>
          <w:lang w:val="fr-FR"/>
        </w:rPr>
        <w:t>qui</w:t>
      </w:r>
      <w:r w:rsidR="00443613" w:rsidRPr="00D80F36">
        <w:rPr>
          <w:lang w:val="fr-FR"/>
        </w:rPr>
        <w:t xml:space="preserve"> diffère d'un Secteur à </w:t>
      </w:r>
      <w:r w:rsidR="00670235" w:rsidRPr="00D80F36">
        <w:rPr>
          <w:lang w:val="fr-FR"/>
        </w:rPr>
        <w:t xml:space="preserve">un </w:t>
      </w:r>
      <w:r w:rsidR="00443613" w:rsidRPr="00D80F36">
        <w:rPr>
          <w:lang w:val="fr-FR"/>
        </w:rPr>
        <w:t>autre.</w:t>
      </w:r>
    </w:p>
    <w:p w14:paraId="07245B2C" w14:textId="2AFBEA72" w:rsidR="00443613" w:rsidRPr="00D80F36" w:rsidRDefault="00443613" w:rsidP="0095401F">
      <w:pPr>
        <w:rPr>
          <w:lang w:val="fr-FR"/>
        </w:rPr>
      </w:pPr>
      <w:r w:rsidRPr="00D80F36">
        <w:rPr>
          <w:lang w:val="fr-FR"/>
        </w:rPr>
        <w:t>Des propositions ont été formulées concernant l'utilisation de la traduction automatique pour les documents.</w:t>
      </w:r>
    </w:p>
    <w:p w14:paraId="1D5DDB9A" w14:textId="4D67FE3C" w:rsidR="00443613" w:rsidRPr="00D80F36" w:rsidRDefault="00443613" w:rsidP="0095401F">
      <w:pPr>
        <w:rPr>
          <w:lang w:val="fr-FR"/>
        </w:rPr>
      </w:pPr>
      <w:r w:rsidRPr="00D80F36">
        <w:rPr>
          <w:lang w:val="fr-FR"/>
        </w:rPr>
        <w:t xml:space="preserve">Dans le rapport, les membres ont </w:t>
      </w:r>
      <w:r w:rsidR="00670235" w:rsidRPr="00D80F36">
        <w:rPr>
          <w:lang w:val="fr-FR"/>
        </w:rPr>
        <w:t xml:space="preserve">en outre </w:t>
      </w:r>
      <w:r w:rsidRPr="00D80F36">
        <w:rPr>
          <w:lang w:val="fr-FR"/>
        </w:rPr>
        <w:t xml:space="preserve">été invités </w:t>
      </w:r>
      <w:r w:rsidR="00670235" w:rsidRPr="00D80F36">
        <w:rPr>
          <w:lang w:val="fr-FR"/>
        </w:rPr>
        <w:t xml:space="preserve">à </w:t>
      </w:r>
      <w:r w:rsidRPr="00D80F36">
        <w:rPr>
          <w:lang w:val="fr-FR"/>
        </w:rPr>
        <w:t>évaluer, dans le cadre des travaux préparatoires en vue de la PP-22, si les documents relatifs aux travaux du Groupe ISCG devaient être examinés et/ou mis à jour.</w:t>
      </w:r>
    </w:p>
    <w:p w14:paraId="19F3FD65" w14:textId="770FFE9A" w:rsidR="00443613" w:rsidRPr="00D80F36" w:rsidRDefault="00443613" w:rsidP="0095401F">
      <w:pPr>
        <w:rPr>
          <w:lang w:val="fr-FR"/>
        </w:rPr>
      </w:pPr>
      <w:r w:rsidRPr="00D80F36">
        <w:rPr>
          <w:lang w:val="fr-FR"/>
        </w:rPr>
        <w:t>Le Président du Groupe ISCG a suggéré que les Groupes consultatifs et les groupes régionaux dirigent les travaux préparatoires en vue de la PP-22.</w:t>
      </w:r>
    </w:p>
    <w:p w14:paraId="3BA759B3" w14:textId="3AC65873" w:rsidR="00E047E2" w:rsidRPr="00D80F36" w:rsidRDefault="00E047E2" w:rsidP="0095401F">
      <w:pPr>
        <w:rPr>
          <w:lang w:val="fr-FR"/>
        </w:rPr>
      </w:pPr>
      <w:r w:rsidRPr="00D80F36">
        <w:rPr>
          <w:lang w:val="fr-FR"/>
        </w:rPr>
        <w:t xml:space="preserve">Le GCDT est invité à formuler des commentaires </w:t>
      </w:r>
      <w:r w:rsidR="00587365" w:rsidRPr="00D80F36">
        <w:rPr>
          <w:lang w:val="fr-FR"/>
        </w:rPr>
        <w:t xml:space="preserve">et </w:t>
      </w:r>
      <w:r w:rsidRPr="00D80F36">
        <w:rPr>
          <w:lang w:val="fr-FR"/>
        </w:rPr>
        <w:t xml:space="preserve">à proposer une voie à suivre </w:t>
      </w:r>
      <w:r w:rsidR="00587365" w:rsidRPr="00D80F36">
        <w:rPr>
          <w:lang w:val="fr-FR"/>
        </w:rPr>
        <w:t>concernant les thèmes abordés</w:t>
      </w:r>
      <w:r w:rsidRPr="00D80F36">
        <w:rPr>
          <w:lang w:val="fr-FR"/>
        </w:rPr>
        <w:t>.</w:t>
      </w:r>
    </w:p>
    <w:p w14:paraId="29D09751" w14:textId="3831B0A3" w:rsidR="00336F57" w:rsidRPr="00D80F36" w:rsidRDefault="00750010" w:rsidP="0095401F">
      <w:pPr>
        <w:pStyle w:val="Heading1"/>
        <w:rPr>
          <w:lang w:val="fr-FR"/>
        </w:rPr>
      </w:pPr>
      <w:r w:rsidRPr="00D80F36">
        <w:rPr>
          <w:lang w:val="fr-FR"/>
        </w:rPr>
        <w:t>2</w:t>
      </w:r>
      <w:r w:rsidRPr="00D80F36">
        <w:rPr>
          <w:lang w:val="fr-FR"/>
        </w:rPr>
        <w:tab/>
      </w:r>
      <w:r w:rsidR="00336F57" w:rsidRPr="00D80F36">
        <w:rPr>
          <w:lang w:val="fr-FR"/>
        </w:rPr>
        <w:t>Renforcer la coopération et les activités communes sur les questions d'intérêt mutuel</w:t>
      </w:r>
    </w:p>
    <w:p w14:paraId="6268E62B" w14:textId="6671E0D0" w:rsidR="007322A4" w:rsidRPr="00D80F36" w:rsidRDefault="007322A4" w:rsidP="0095401F">
      <w:pPr>
        <w:rPr>
          <w:lang w:val="fr-FR"/>
        </w:rPr>
      </w:pPr>
      <w:r w:rsidRPr="00D80F36">
        <w:rPr>
          <w:lang w:val="fr-FR"/>
        </w:rPr>
        <w:t xml:space="preserve">Le secrétariat du Groupe a présenté le Document </w:t>
      </w:r>
      <w:hyperlink r:id="rId15" w:history="1">
        <w:r w:rsidRPr="00D80F36">
          <w:rPr>
            <w:rStyle w:val="Hyperlink"/>
            <w:rFonts w:cstheme="minorHAnsi"/>
            <w:lang w:val="fr-FR"/>
          </w:rPr>
          <w:t>ISCG/21-2/04-1</w:t>
        </w:r>
      </w:hyperlink>
      <w:r w:rsidRPr="00D80F36">
        <w:rPr>
          <w:lang w:val="fr-FR"/>
        </w:rPr>
        <w:t xml:space="preserve">, </w:t>
      </w:r>
      <w:r w:rsidR="003B14CA" w:rsidRPr="00D80F36">
        <w:rPr>
          <w:lang w:val="fr-FR"/>
        </w:rPr>
        <w:t>qui contient</w:t>
      </w:r>
      <w:r w:rsidRPr="00D80F36">
        <w:rPr>
          <w:lang w:val="fr-FR"/>
        </w:rPr>
        <w:t xml:space="preserve"> les tableaux de mise en correspondance actualisés compte tenu des informations transmises par les trois Secteurs jusqu'au 16 juillet 2021.</w:t>
      </w:r>
    </w:p>
    <w:p w14:paraId="4249B80C" w14:textId="4BE262AC" w:rsidR="00336F57" w:rsidRPr="00D80F36" w:rsidRDefault="007322A4" w:rsidP="0095401F">
      <w:pPr>
        <w:rPr>
          <w:lang w:val="fr-FR"/>
        </w:rPr>
      </w:pPr>
      <w:r w:rsidRPr="00D80F36">
        <w:rPr>
          <w:lang w:val="fr-FR"/>
        </w:rPr>
        <w:t>Tous les tableaux de mise en correspondance, y compris la mise en correspondance des Résolutions dans le cadre des travaux préparatoires en vue de la Conférence de plénipotentiaires, ont été mis à jour après la réunion, et sont disponibles sur la</w:t>
      </w:r>
      <w:r w:rsidRPr="00D80F36">
        <w:rPr>
          <w:rStyle w:val="Hyperlink"/>
          <w:rFonts w:cstheme="minorHAnsi"/>
          <w:u w:val="none"/>
          <w:lang w:val="fr-FR"/>
        </w:rPr>
        <w:t xml:space="preserve"> </w:t>
      </w:r>
      <w:hyperlink r:id="rId16" w:history="1">
        <w:r w:rsidRPr="00D80F36">
          <w:rPr>
            <w:rStyle w:val="Hyperlink"/>
            <w:rFonts w:cstheme="minorHAnsi"/>
            <w:lang w:val="fr-FR"/>
          </w:rPr>
          <w:t>page web du Groupe ISCG</w:t>
        </w:r>
      </w:hyperlink>
      <w:r w:rsidR="004114DA">
        <w:rPr>
          <w:lang w:val="fr-FR"/>
        </w:rPr>
        <w:t>.</w:t>
      </w:r>
    </w:p>
    <w:p w14:paraId="772821D2" w14:textId="3B94F9F4" w:rsidR="003F28E1" w:rsidRPr="00D80F36" w:rsidRDefault="003F28E1" w:rsidP="0095401F">
      <w:pPr>
        <w:rPr>
          <w:lang w:val="fr-FR"/>
        </w:rPr>
      </w:pPr>
      <w:r w:rsidRPr="00D80F36">
        <w:rPr>
          <w:lang w:val="fr-FR"/>
        </w:rPr>
        <w:t>L</w:t>
      </w:r>
      <w:r w:rsidR="0065020C" w:rsidRPr="00D80F36">
        <w:rPr>
          <w:lang w:val="fr-FR"/>
        </w:rPr>
        <w:t>es membres du</w:t>
      </w:r>
      <w:r w:rsidRPr="00D80F36">
        <w:rPr>
          <w:lang w:val="fr-FR"/>
        </w:rPr>
        <w:t xml:space="preserve"> Groupe ISCG </w:t>
      </w:r>
      <w:r w:rsidR="0065020C" w:rsidRPr="00D80F36">
        <w:rPr>
          <w:lang w:val="fr-FR"/>
        </w:rPr>
        <w:t>sont convenus</w:t>
      </w:r>
      <w:r w:rsidRPr="00D80F36">
        <w:rPr>
          <w:lang w:val="fr-FR"/>
        </w:rPr>
        <w:t xml:space="preserve"> que les travaux actuels de mise en correspondance </w:t>
      </w:r>
      <w:r w:rsidR="00421436" w:rsidRPr="00D80F36">
        <w:rPr>
          <w:lang w:val="fr-FR"/>
        </w:rPr>
        <w:t>au niveau intersectoriel</w:t>
      </w:r>
      <w:r w:rsidRPr="00D80F36">
        <w:rPr>
          <w:lang w:val="fr-FR"/>
        </w:rPr>
        <w:t xml:space="preserve"> serai</w:t>
      </w:r>
      <w:r w:rsidR="003B3967">
        <w:rPr>
          <w:lang w:val="fr-FR"/>
        </w:rPr>
        <w:t>ent</w:t>
      </w:r>
      <w:r w:rsidRPr="00D80F36">
        <w:rPr>
          <w:lang w:val="fr-FR"/>
        </w:rPr>
        <w:t xml:space="preserve"> effectué</w:t>
      </w:r>
      <w:r w:rsidR="003B3967">
        <w:rPr>
          <w:lang w:val="fr-FR"/>
        </w:rPr>
        <w:t>s</w:t>
      </w:r>
      <w:bookmarkStart w:id="7" w:name="_GoBack"/>
      <w:bookmarkEnd w:id="7"/>
      <w:r w:rsidRPr="00D80F36">
        <w:rPr>
          <w:lang w:val="fr-FR"/>
        </w:rPr>
        <w:t xml:space="preserve"> par le secrétariat du Groupe, avec l</w:t>
      </w:r>
      <w:r w:rsidR="003B14CA" w:rsidRPr="00D80F36">
        <w:rPr>
          <w:lang w:val="fr-FR"/>
        </w:rPr>
        <w:t>e concours</w:t>
      </w:r>
      <w:r w:rsidRPr="00D80F36">
        <w:rPr>
          <w:lang w:val="fr-FR"/>
        </w:rPr>
        <w:t xml:space="preserve"> des Conseillers du BDT, du BR et du TSB, compte tenu des résultats </w:t>
      </w:r>
      <w:r w:rsidR="00C9452B" w:rsidRPr="00D80F36">
        <w:rPr>
          <w:lang w:val="fr-FR"/>
        </w:rPr>
        <w:t xml:space="preserve">provenant </w:t>
      </w:r>
      <w:r w:rsidRPr="00D80F36">
        <w:rPr>
          <w:lang w:val="fr-FR"/>
        </w:rPr>
        <w:t>de toutes les commissions d'études et de tous les Groupes de travail et Groupes du Rapporteur.</w:t>
      </w:r>
    </w:p>
    <w:p w14:paraId="1EE34FD1" w14:textId="5155649A" w:rsidR="003F28E1" w:rsidRPr="00D80F36" w:rsidRDefault="003F28E1" w:rsidP="0095401F">
      <w:pPr>
        <w:rPr>
          <w:lang w:val="fr-FR"/>
        </w:rPr>
      </w:pPr>
      <w:r w:rsidRPr="00D80F36">
        <w:rPr>
          <w:lang w:val="fr-FR"/>
        </w:rPr>
        <w:t>Le GCDT est invité à transmettre cette information aux Commissions d'études de l'UIT-D afin qu'elles soumettent des informations actualisées au secrétariat du Groupe ISCG (</w:t>
      </w:r>
      <w:hyperlink r:id="rId17" w:history="1">
        <w:r w:rsidR="00134170" w:rsidRPr="00D80F36">
          <w:rPr>
            <w:rStyle w:val="Hyperlink"/>
            <w:szCs w:val="24"/>
            <w:lang w:val="fr-FR"/>
          </w:rPr>
          <w:t>iscg@itu.int</w:t>
        </w:r>
      </w:hyperlink>
      <w:r w:rsidRPr="00D80F36">
        <w:rPr>
          <w:lang w:val="fr-FR"/>
        </w:rPr>
        <w:t xml:space="preserve">). </w:t>
      </w:r>
    </w:p>
    <w:p w14:paraId="34DDFF40" w14:textId="2D348BD5" w:rsidR="003F28E1" w:rsidRPr="00D80F36" w:rsidRDefault="003F28E1" w:rsidP="0095401F">
      <w:pPr>
        <w:rPr>
          <w:lang w:val="fr-FR"/>
        </w:rPr>
      </w:pPr>
      <w:r w:rsidRPr="00D80F36">
        <w:rPr>
          <w:lang w:val="fr-FR"/>
        </w:rPr>
        <w:t xml:space="preserve">Dans le cadre </w:t>
      </w:r>
      <w:r w:rsidR="00134170" w:rsidRPr="00D80F36">
        <w:rPr>
          <w:lang w:val="fr-FR"/>
        </w:rPr>
        <w:t xml:space="preserve">de l'étude </w:t>
      </w:r>
      <w:r w:rsidRPr="00D80F36">
        <w:rPr>
          <w:lang w:val="fr-FR"/>
        </w:rPr>
        <w:t>du thème consacré aux changements climatiques (</w:t>
      </w:r>
      <w:hyperlink r:id="rId18" w:history="1">
        <w:r w:rsidRPr="00D80F36">
          <w:rPr>
            <w:rStyle w:val="Hyperlink"/>
            <w:lang w:val="fr-FR"/>
          </w:rPr>
          <w:t>https://www.itu.int/climate</w:t>
        </w:r>
      </w:hyperlink>
      <w:r w:rsidRPr="00D80F36">
        <w:rPr>
          <w:lang w:val="fr-FR"/>
        </w:rPr>
        <w:t xml:space="preserve">), le secrétariat de l'UIT a présenté un document d'information qui contient les derniers progrès </w:t>
      </w:r>
      <w:r w:rsidR="003B14CA" w:rsidRPr="00D80F36">
        <w:rPr>
          <w:lang w:val="fr-FR"/>
        </w:rPr>
        <w:t xml:space="preserve">accomplis </w:t>
      </w:r>
      <w:r w:rsidRPr="00D80F36">
        <w:rPr>
          <w:lang w:val="fr-FR"/>
        </w:rPr>
        <w:t xml:space="preserve">au niveau interne afin </w:t>
      </w:r>
      <w:r w:rsidR="00134170" w:rsidRPr="00D80F36">
        <w:rPr>
          <w:lang w:val="fr-FR"/>
        </w:rPr>
        <w:t>de</w:t>
      </w:r>
      <w:r w:rsidR="007F2D46" w:rsidRPr="00D80F36">
        <w:rPr>
          <w:lang w:val="fr-FR"/>
        </w:rPr>
        <w:t xml:space="preserve"> faire</w:t>
      </w:r>
      <w:r w:rsidRPr="00D80F36">
        <w:rPr>
          <w:lang w:val="fr-FR"/>
        </w:rPr>
        <w:t xml:space="preserve"> </w:t>
      </w:r>
      <w:r w:rsidR="00134170" w:rsidRPr="00D80F36">
        <w:rPr>
          <w:lang w:val="fr-FR"/>
        </w:rPr>
        <w:t xml:space="preserve">de l'UIT </w:t>
      </w:r>
      <w:r w:rsidRPr="00D80F36">
        <w:rPr>
          <w:lang w:val="fr-FR"/>
        </w:rPr>
        <w:t xml:space="preserve">une organisation plus soucieuse de l'écologie (voir le Document </w:t>
      </w:r>
      <w:hyperlink r:id="rId19" w:history="1">
        <w:r w:rsidRPr="00D80F36">
          <w:rPr>
            <w:rStyle w:val="Hyperlink"/>
            <w:lang w:val="fr-FR"/>
          </w:rPr>
          <w:t>ISCG/21-2/INF-1</w:t>
        </w:r>
      </w:hyperlink>
      <w:r w:rsidRPr="00D80F36">
        <w:rPr>
          <w:lang w:val="fr-FR"/>
        </w:rPr>
        <w:t>).</w:t>
      </w:r>
    </w:p>
    <w:p w14:paraId="0C1C5D5D" w14:textId="7A8FC5CC" w:rsidR="00525D64" w:rsidRPr="00D80F36" w:rsidRDefault="00525D64" w:rsidP="0095401F">
      <w:pPr>
        <w:rPr>
          <w:lang w:val="fr-FR"/>
        </w:rPr>
      </w:pPr>
      <w:r w:rsidRPr="00D80F36">
        <w:rPr>
          <w:lang w:val="fr-FR"/>
        </w:rPr>
        <w:t xml:space="preserve">En outre, le coordonnateur pour </w:t>
      </w:r>
      <w:r w:rsidR="00134170" w:rsidRPr="00D80F36">
        <w:rPr>
          <w:lang w:val="fr-FR"/>
        </w:rPr>
        <w:t>la question de</w:t>
      </w:r>
      <w:r w:rsidRPr="00D80F36">
        <w:rPr>
          <w:lang w:val="fr-FR"/>
        </w:rPr>
        <w:t xml:space="preserve"> </w:t>
      </w:r>
      <w:r w:rsidR="00134170" w:rsidRPr="00D80F36">
        <w:rPr>
          <w:lang w:val="fr-FR"/>
        </w:rPr>
        <w:t>l</w:t>
      </w:r>
      <w:r w:rsidRPr="00D80F36">
        <w:rPr>
          <w:lang w:val="fr-FR"/>
        </w:rPr>
        <w:t>'accessibilité a pré</w:t>
      </w:r>
      <w:r w:rsidR="004114DA">
        <w:rPr>
          <w:lang w:val="fr-FR"/>
        </w:rPr>
        <w:t>senté un exposé sur les travaux </w:t>
      </w:r>
      <w:r w:rsidR="00134170" w:rsidRPr="00D80F36">
        <w:rPr>
          <w:lang w:val="fr-FR"/>
        </w:rPr>
        <w:t>qui font</w:t>
      </w:r>
      <w:r w:rsidRPr="00D80F36">
        <w:rPr>
          <w:lang w:val="fr-FR"/>
        </w:rPr>
        <w:t xml:space="preserve"> l'objet d'une coordination au sein du Groupe spécial ISC-TF (voir l</w:t>
      </w:r>
      <w:r w:rsidR="0049255B" w:rsidRPr="00D80F36">
        <w:rPr>
          <w:lang w:val="fr-FR"/>
        </w:rPr>
        <w:t>e</w:t>
      </w:r>
      <w:r w:rsidRPr="00D80F36">
        <w:rPr>
          <w:lang w:val="fr-FR"/>
        </w:rPr>
        <w:t xml:space="preserve"> Document</w:t>
      </w:r>
      <w:r w:rsidR="0049255B" w:rsidRPr="00D80F36">
        <w:rPr>
          <w:rStyle w:val="Hyperlink"/>
          <w:rFonts w:cstheme="minorHAnsi"/>
          <w:u w:val="none"/>
          <w:lang w:val="fr-FR"/>
        </w:rPr>
        <w:t> </w:t>
      </w:r>
      <w:hyperlink r:id="rId20" w:history="1">
        <w:r w:rsidRPr="00D80F36">
          <w:rPr>
            <w:rStyle w:val="Hyperlink"/>
            <w:rFonts w:cstheme="minorHAnsi"/>
            <w:lang w:val="fr-FR"/>
          </w:rPr>
          <w:t>ISCG/21</w:t>
        </w:r>
        <w:r w:rsidR="0049255B" w:rsidRPr="00D80F36">
          <w:rPr>
            <w:rStyle w:val="Hyperlink"/>
            <w:rFonts w:cstheme="minorHAnsi"/>
            <w:lang w:val="fr-FR"/>
          </w:rPr>
          <w:noBreakHyphen/>
        </w:r>
        <w:r w:rsidRPr="00D80F36">
          <w:rPr>
            <w:rStyle w:val="Hyperlink"/>
            <w:rFonts w:cstheme="minorHAnsi"/>
            <w:lang w:val="fr-FR"/>
          </w:rPr>
          <w:t>2/04-2</w:t>
        </w:r>
      </w:hyperlink>
      <w:r w:rsidRPr="00D80F36">
        <w:rPr>
          <w:lang w:val="fr-FR"/>
        </w:rPr>
        <w:t>).</w:t>
      </w:r>
    </w:p>
    <w:p w14:paraId="1C0CBA90" w14:textId="07A1B493" w:rsidR="003B14CA" w:rsidRPr="00D80F36" w:rsidRDefault="00F65183" w:rsidP="0095401F">
      <w:pPr>
        <w:rPr>
          <w:color w:val="000000"/>
          <w:lang w:val="fr-FR"/>
        </w:rPr>
      </w:pPr>
      <w:r w:rsidRPr="00D80F36">
        <w:rPr>
          <w:lang w:val="fr-FR"/>
        </w:rPr>
        <w:t xml:space="preserve">Afin de renforcer la mise en œuvre de la </w:t>
      </w:r>
      <w:r w:rsidRPr="00D80F36">
        <w:rPr>
          <w:color w:val="000000"/>
          <w:lang w:val="fr-FR"/>
        </w:rPr>
        <w:t xml:space="preserve">stratégie en matière d'accessibilité à l'échelle de l'UIT, il sera nécessaire d'établir une ligne budgétaire pour l'accessibilité (100 000 CHF/an). Dans la mesure où </w:t>
      </w:r>
      <w:r w:rsidR="00AB5069" w:rsidRPr="00D80F36">
        <w:rPr>
          <w:color w:val="000000"/>
          <w:lang w:val="fr-FR"/>
        </w:rPr>
        <w:t>aucune décision n'a été prise à la consultation virtuelle des Conseillers de 2021, et où cette question ne sera pas soumise à la réunion du Groupe de travail du Conseil sur les ressources financières et les ressources humaines (GTC-FHR) en septemb</w:t>
      </w:r>
      <w:r w:rsidR="003B14CA" w:rsidRPr="00D80F36">
        <w:rPr>
          <w:color w:val="000000"/>
          <w:lang w:val="fr-FR"/>
        </w:rPr>
        <w:t>re</w:t>
      </w:r>
      <w:r w:rsidR="00AB5069" w:rsidRPr="00D80F36">
        <w:rPr>
          <w:color w:val="000000"/>
          <w:lang w:val="fr-FR"/>
        </w:rPr>
        <w:t xml:space="preserve"> 2021, une demande doit être préparée en vue de la session de 2022 du Conseil.</w:t>
      </w:r>
    </w:p>
    <w:p w14:paraId="7F20386F" w14:textId="26E681F2" w:rsidR="00AB5069" w:rsidRPr="00D80F36" w:rsidRDefault="00AB5069" w:rsidP="0095401F">
      <w:pPr>
        <w:rPr>
          <w:color w:val="000000"/>
          <w:lang w:val="fr-FR"/>
        </w:rPr>
      </w:pPr>
      <w:r w:rsidRPr="00D80F36">
        <w:rPr>
          <w:color w:val="000000"/>
          <w:lang w:val="fr-FR"/>
        </w:rPr>
        <w:t xml:space="preserve">Le coordonnateur a également invité les membres à réalimenter le Fonds </w:t>
      </w:r>
      <w:r w:rsidR="00C21334" w:rsidRPr="00D80F36">
        <w:rPr>
          <w:color w:val="000000"/>
          <w:lang w:val="fr-FR"/>
        </w:rPr>
        <w:t xml:space="preserve">UIT </w:t>
      </w:r>
      <w:r w:rsidRPr="00D80F36">
        <w:rPr>
          <w:color w:val="000000"/>
          <w:lang w:val="fr-FR"/>
        </w:rPr>
        <w:t>pour l'accessibilité.</w:t>
      </w:r>
    </w:p>
    <w:p w14:paraId="63046B80" w14:textId="2423FD08" w:rsidR="0085330B" w:rsidRPr="00D80F36" w:rsidRDefault="00F66583" w:rsidP="0095401F">
      <w:pPr>
        <w:rPr>
          <w:color w:val="000000"/>
          <w:lang w:val="fr-FR"/>
        </w:rPr>
      </w:pPr>
      <w:r w:rsidRPr="00D80F36">
        <w:rPr>
          <w:color w:val="000000"/>
          <w:lang w:val="fr-FR"/>
        </w:rPr>
        <w:t>Le Groupe ISCG est convenu d'appuyer la demande en faveur d'une ligne budgétaire pour l'accessibilité et d'envoyer une note de liaison à l'équipe de direction chargée de l'étude de la Question 7/1 de l'UIT-D assortie de l'exposé qui a été présenté, pour information.</w:t>
      </w:r>
    </w:p>
    <w:p w14:paraId="13AEE94F" w14:textId="63516A29" w:rsidR="00F66583" w:rsidRPr="00D80F36" w:rsidRDefault="00F66583" w:rsidP="0095401F">
      <w:pPr>
        <w:pStyle w:val="Heading1"/>
        <w:rPr>
          <w:lang w:val="fr-FR"/>
        </w:rPr>
      </w:pPr>
      <w:r w:rsidRPr="00D80F36">
        <w:rPr>
          <w:lang w:val="fr-FR"/>
        </w:rPr>
        <w:t>3</w:t>
      </w:r>
      <w:r w:rsidRPr="00D80F36">
        <w:rPr>
          <w:lang w:val="fr-FR"/>
        </w:rPr>
        <w:tab/>
        <w:t>Futurs thèmes possibles</w:t>
      </w:r>
    </w:p>
    <w:p w14:paraId="00D43CA8" w14:textId="5D1CA1A9" w:rsidR="003E1AF5" w:rsidRPr="00D80F36" w:rsidRDefault="003E1AF5" w:rsidP="0095401F">
      <w:pPr>
        <w:rPr>
          <w:color w:val="000000"/>
          <w:lang w:val="fr-FR"/>
        </w:rPr>
      </w:pPr>
      <w:r w:rsidRPr="00D80F36">
        <w:rPr>
          <w:color w:val="000000"/>
          <w:lang w:val="fr-FR"/>
        </w:rPr>
        <w:t>Il est proposé que le Groupe ISCG examine les thèmes suivants:</w:t>
      </w:r>
    </w:p>
    <w:p w14:paraId="2E72C0DE" w14:textId="34DFCC97" w:rsidR="003E1AF5" w:rsidRPr="00D80F36" w:rsidRDefault="00D80F36" w:rsidP="00D80F36">
      <w:pPr>
        <w:pStyle w:val="enumlev1"/>
        <w:rPr>
          <w:lang w:val="fr-FR"/>
        </w:rPr>
      </w:pPr>
      <w:r w:rsidRPr="00D80F36">
        <w:rPr>
          <w:lang w:val="fr-FR"/>
        </w:rPr>
        <w:t>–</w:t>
      </w:r>
      <w:r w:rsidRPr="00D80F36">
        <w:rPr>
          <w:lang w:val="fr-FR"/>
        </w:rPr>
        <w:tab/>
      </w:r>
      <w:r w:rsidR="003B14CA" w:rsidRPr="00D80F36">
        <w:rPr>
          <w:lang w:val="fr-FR"/>
        </w:rPr>
        <w:t>I</w:t>
      </w:r>
      <w:r w:rsidR="003E1AF5" w:rsidRPr="00D80F36">
        <w:rPr>
          <w:lang w:val="fr-FR"/>
        </w:rPr>
        <w:t xml:space="preserve">ncidences du partage de ressources </w:t>
      </w:r>
      <w:r w:rsidR="00AE5F46" w:rsidRPr="00D80F36">
        <w:rPr>
          <w:lang w:val="fr-FR"/>
        </w:rPr>
        <w:t>dans le cadre des activités intersectorielles</w:t>
      </w:r>
      <w:r w:rsidR="003B14CA" w:rsidRPr="00D80F36">
        <w:rPr>
          <w:lang w:val="fr-FR"/>
        </w:rPr>
        <w:t>.</w:t>
      </w:r>
    </w:p>
    <w:p w14:paraId="23AE3913" w14:textId="0AAE0063" w:rsidR="00AE5F46" w:rsidRPr="00D80F36" w:rsidRDefault="00D80F36" w:rsidP="00D80F36">
      <w:pPr>
        <w:pStyle w:val="enumlev1"/>
        <w:rPr>
          <w:lang w:val="fr-FR"/>
        </w:rPr>
      </w:pPr>
      <w:r w:rsidRPr="00D80F36">
        <w:rPr>
          <w:lang w:val="fr-FR"/>
        </w:rPr>
        <w:t>–</w:t>
      </w:r>
      <w:r w:rsidRPr="00D80F36">
        <w:rPr>
          <w:lang w:val="fr-FR"/>
        </w:rPr>
        <w:tab/>
      </w:r>
      <w:r w:rsidR="003B14CA" w:rsidRPr="00D80F36">
        <w:rPr>
          <w:lang w:val="fr-FR"/>
        </w:rPr>
        <w:t>H</w:t>
      </w:r>
      <w:r w:rsidR="00AE5F46" w:rsidRPr="00D80F36">
        <w:rPr>
          <w:lang w:val="fr-FR"/>
        </w:rPr>
        <w:t xml:space="preserve">armonisation </w:t>
      </w:r>
      <w:r w:rsidR="003B14CA" w:rsidRPr="00D80F36">
        <w:rPr>
          <w:lang w:val="fr-FR"/>
        </w:rPr>
        <w:t>d</w:t>
      </w:r>
      <w:r w:rsidR="00AE5F46" w:rsidRPr="00D80F36">
        <w:rPr>
          <w:lang w:val="fr-FR"/>
        </w:rPr>
        <w:t xml:space="preserve">es modalités d'accès et de partage des documents sur les activités intersectorielles </w:t>
      </w:r>
      <w:r w:rsidR="00134170" w:rsidRPr="00D80F36">
        <w:rPr>
          <w:lang w:val="fr-FR"/>
        </w:rPr>
        <w:t>à l'échelle</w:t>
      </w:r>
      <w:r w:rsidR="00AE5F46" w:rsidRPr="00D80F36">
        <w:rPr>
          <w:lang w:val="fr-FR"/>
        </w:rPr>
        <w:t xml:space="preserve"> des trois Secteurs, au moyen d'un compte TIES, indépendamment de la catégorie de membre ou de l'affiliation. Le secrétariat du Groupe</w:t>
      </w:r>
      <w:r w:rsidRPr="00D80F36">
        <w:rPr>
          <w:lang w:val="fr-FR"/>
        </w:rPr>
        <w:t> </w:t>
      </w:r>
      <w:r w:rsidR="00AE5F46" w:rsidRPr="00D80F36">
        <w:rPr>
          <w:lang w:val="fr-FR"/>
        </w:rPr>
        <w:t xml:space="preserve">ISCG élaborera des lignes directrices à l'intention de tous les Conseillers afin qu'ils puissent </w:t>
      </w:r>
      <w:r w:rsidR="00FF34D6" w:rsidRPr="00D80F36">
        <w:rPr>
          <w:lang w:val="fr-FR"/>
        </w:rPr>
        <w:t>se référer</w:t>
      </w:r>
      <w:r w:rsidR="00AE5F46" w:rsidRPr="00D80F36">
        <w:rPr>
          <w:lang w:val="fr-FR"/>
        </w:rPr>
        <w:t xml:space="preserve"> correctement aux documents sur les activités intersectorielles</w:t>
      </w:r>
      <w:r w:rsidR="003B14CA" w:rsidRPr="00D80F36">
        <w:rPr>
          <w:lang w:val="fr-FR"/>
        </w:rPr>
        <w:t>.</w:t>
      </w:r>
    </w:p>
    <w:p w14:paraId="1C02B93C" w14:textId="7478C3F9" w:rsidR="00AE5F46" w:rsidRPr="00D80F36" w:rsidRDefault="00D80F36" w:rsidP="00D80F36">
      <w:pPr>
        <w:pStyle w:val="enumlev1"/>
        <w:rPr>
          <w:lang w:val="fr-FR"/>
        </w:rPr>
      </w:pPr>
      <w:r w:rsidRPr="00D80F36">
        <w:rPr>
          <w:lang w:val="fr-FR"/>
        </w:rPr>
        <w:t>–</w:t>
      </w:r>
      <w:r w:rsidRPr="00D80F36">
        <w:rPr>
          <w:lang w:val="fr-FR"/>
        </w:rPr>
        <w:tab/>
      </w:r>
      <w:r w:rsidR="003B14CA" w:rsidRPr="00D80F36">
        <w:rPr>
          <w:lang w:val="fr-FR"/>
        </w:rPr>
        <w:t>L</w:t>
      </w:r>
      <w:r w:rsidR="00AE5F46" w:rsidRPr="00D80F36">
        <w:rPr>
          <w:lang w:val="fr-FR"/>
        </w:rPr>
        <w:t xml:space="preserve">e représentant du GCR s'est exprimé </w:t>
      </w:r>
      <w:r w:rsidR="003B14CA" w:rsidRPr="00D80F36">
        <w:rPr>
          <w:lang w:val="fr-FR"/>
        </w:rPr>
        <w:t>quant à</w:t>
      </w:r>
      <w:r w:rsidR="00AE5F46" w:rsidRPr="00D80F36">
        <w:rPr>
          <w:lang w:val="fr-FR"/>
        </w:rPr>
        <w:t xml:space="preserve"> une proposition formulée à la dernière réunion du GCR </w:t>
      </w:r>
      <w:r w:rsidR="00AE5F46" w:rsidRPr="00D80F36">
        <w:rPr>
          <w:color w:val="000000"/>
          <w:lang w:val="fr-FR"/>
        </w:rPr>
        <w:t>sur la façon d'harmoniser les lignes directrices afin d'indiquer les principales réalisations/les principaux produits des Secteurs de l'UIT-R et de l'UIT-T qui seront transmis à l'UIT-D à l'appui de leurs activités, sur les thèmes présentant un intérêt particulier pour les pays en développement.</w:t>
      </w:r>
    </w:p>
    <w:p w14:paraId="055C6F5B" w14:textId="696CF0AA" w:rsidR="00AE5F46" w:rsidRPr="00D80F36" w:rsidRDefault="00AE5F46" w:rsidP="0095401F">
      <w:pPr>
        <w:rPr>
          <w:lang w:val="fr-FR"/>
        </w:rPr>
      </w:pPr>
      <w:r w:rsidRPr="00D80F36">
        <w:rPr>
          <w:lang w:val="fr-FR"/>
        </w:rPr>
        <w:t>Le Président du Gro</w:t>
      </w:r>
      <w:r w:rsidR="00587365" w:rsidRPr="00D80F36">
        <w:rPr>
          <w:lang w:val="fr-FR"/>
        </w:rPr>
        <w:t>u</w:t>
      </w:r>
      <w:r w:rsidRPr="00D80F36">
        <w:rPr>
          <w:lang w:val="fr-FR"/>
        </w:rPr>
        <w:t xml:space="preserve">pe ISCG souhaite également </w:t>
      </w:r>
      <w:r w:rsidR="00587365" w:rsidRPr="00D80F36">
        <w:rPr>
          <w:lang w:val="fr-FR"/>
        </w:rPr>
        <w:t>indique</w:t>
      </w:r>
      <w:r w:rsidRPr="00D80F36">
        <w:rPr>
          <w:lang w:val="fr-FR"/>
        </w:rPr>
        <w:t>r que</w:t>
      </w:r>
      <w:r w:rsidR="00587365" w:rsidRPr="00D80F36">
        <w:rPr>
          <w:lang w:val="fr-FR"/>
        </w:rPr>
        <w:t>,</w:t>
      </w:r>
      <w:r w:rsidRPr="00D80F36">
        <w:rPr>
          <w:lang w:val="fr-FR"/>
        </w:rPr>
        <w:t xml:space="preserve"> lo</w:t>
      </w:r>
      <w:r w:rsidR="00F96ECE">
        <w:rPr>
          <w:lang w:val="fr-FR"/>
        </w:rPr>
        <w:t>rs de la dernière réunion du </w:t>
      </w:r>
      <w:r w:rsidRPr="00D80F36">
        <w:rPr>
          <w:lang w:val="fr-FR"/>
        </w:rPr>
        <w:t>GCDT, il a été proposé que la question de la conformité et de l'interopérabilité soit examinée par le Groupe ISCG en tant que thème</w:t>
      </w:r>
      <w:r w:rsidR="00573E29" w:rsidRPr="00D80F36">
        <w:rPr>
          <w:lang w:val="fr-FR"/>
        </w:rPr>
        <w:t xml:space="preserve"> d'étude</w:t>
      </w:r>
      <w:r w:rsidRPr="00D80F36">
        <w:rPr>
          <w:lang w:val="fr-FR"/>
        </w:rPr>
        <w:t>.</w:t>
      </w:r>
    </w:p>
    <w:p w14:paraId="4B559932" w14:textId="35462802" w:rsidR="00336F57" w:rsidRPr="00D80F36" w:rsidRDefault="00573E29" w:rsidP="0095401F">
      <w:pPr>
        <w:rPr>
          <w:lang w:val="fr-FR"/>
        </w:rPr>
      </w:pPr>
      <w:r w:rsidRPr="00D80F36">
        <w:rPr>
          <w:lang w:val="fr-FR"/>
        </w:rPr>
        <w:t>Il</w:t>
      </w:r>
      <w:r w:rsidR="00AE5F46" w:rsidRPr="00D80F36">
        <w:rPr>
          <w:lang w:val="fr-FR"/>
        </w:rPr>
        <w:t xml:space="preserve"> souhaite en outre inviter tous les membres du GCDT à soumettre des contributions sur les questions qu'ils souhaitent examiner.</w:t>
      </w:r>
    </w:p>
    <w:p w14:paraId="2DE2DE05" w14:textId="498A8D09" w:rsidR="00336F57" w:rsidRPr="00D80F36" w:rsidRDefault="00146E16" w:rsidP="0095401F">
      <w:pPr>
        <w:pStyle w:val="Heading1"/>
        <w:rPr>
          <w:lang w:val="fr-FR"/>
        </w:rPr>
      </w:pPr>
      <w:r w:rsidRPr="00D80F36">
        <w:rPr>
          <w:lang w:val="fr-FR"/>
        </w:rPr>
        <w:t>4</w:t>
      </w:r>
      <w:r w:rsidR="00750010" w:rsidRPr="00D80F36">
        <w:rPr>
          <w:lang w:val="fr-FR"/>
        </w:rPr>
        <w:tab/>
      </w:r>
      <w:r w:rsidR="00336F57" w:rsidRPr="00D80F36">
        <w:rPr>
          <w:lang w:val="fr-FR"/>
        </w:rPr>
        <w:t>Conclusion</w:t>
      </w:r>
    </w:p>
    <w:p w14:paraId="736C2AE6" w14:textId="69D0553B" w:rsidR="00336F57" w:rsidRPr="00D80F36" w:rsidRDefault="00336F57" w:rsidP="0095401F">
      <w:pPr>
        <w:rPr>
          <w:lang w:val="fr-FR"/>
        </w:rPr>
      </w:pPr>
      <w:r w:rsidRPr="00D80F36">
        <w:rPr>
          <w:lang w:val="fr-FR"/>
        </w:rPr>
        <w:t xml:space="preserve">Le GCDT est invité à examiner le présent document et à soumettre des commentaires et des propositions au Groupe ISCG concernant les thèmes qui ont été présentés et </w:t>
      </w:r>
      <w:r w:rsidR="00AE5F46" w:rsidRPr="00D80F36">
        <w:rPr>
          <w:lang w:val="fr-FR"/>
        </w:rPr>
        <w:t>toute autre activité qui pourrait être menée</w:t>
      </w:r>
      <w:r w:rsidRPr="00D80F36">
        <w:rPr>
          <w:lang w:val="fr-FR"/>
        </w:rPr>
        <w:t xml:space="preserve"> conjointement par tous les Secteurs ou par deux Secteurs, ainsi que des mécanismes propres à renforcer la coopération.</w:t>
      </w:r>
    </w:p>
    <w:p w14:paraId="17B6A587" w14:textId="78629D49" w:rsidR="00336F57" w:rsidRPr="00D80F36" w:rsidRDefault="00AE5F46" w:rsidP="0095401F">
      <w:pPr>
        <w:rPr>
          <w:lang w:val="fr-FR"/>
        </w:rPr>
      </w:pPr>
      <w:r w:rsidRPr="00D80F36">
        <w:rPr>
          <w:lang w:val="fr-FR"/>
        </w:rPr>
        <w:t xml:space="preserve">La prochaine réunion du Groupe ISCG se tiendra à la fin de janvier ou au début de février 2022. Le secrétariat se chargera de la coordination et </w:t>
      </w:r>
      <w:r w:rsidR="005535E0" w:rsidRPr="00D80F36">
        <w:rPr>
          <w:lang w:val="fr-FR"/>
        </w:rPr>
        <w:t xml:space="preserve">fournira des informations en temps voulu. </w:t>
      </w:r>
      <w:r w:rsidR="00336F57" w:rsidRPr="00D80F36">
        <w:rPr>
          <w:lang w:val="fr-FR"/>
        </w:rPr>
        <w:t xml:space="preserve">Des informations détaillées seront publiées sur le </w:t>
      </w:r>
      <w:hyperlink r:id="rId21" w:history="1">
        <w:r w:rsidR="00336F57" w:rsidRPr="00D80F36">
          <w:rPr>
            <w:rStyle w:val="Hyperlink"/>
            <w:szCs w:val="24"/>
            <w:lang w:val="fr-FR"/>
          </w:rPr>
          <w:t>portail des manifestations de l'UIT</w:t>
        </w:r>
      </w:hyperlink>
      <w:r w:rsidR="00336F57" w:rsidRPr="00D80F36">
        <w:rPr>
          <w:lang w:val="fr-FR"/>
        </w:rPr>
        <w:t>.</w:t>
      </w:r>
    </w:p>
    <w:p w14:paraId="39F53C3A" w14:textId="77777777" w:rsidR="00821996" w:rsidRPr="00D80F36" w:rsidRDefault="003C58BF" w:rsidP="0095401F">
      <w:pPr>
        <w:tabs>
          <w:tab w:val="clear" w:pos="794"/>
          <w:tab w:val="clear" w:pos="1191"/>
          <w:tab w:val="clear" w:pos="1588"/>
          <w:tab w:val="clear" w:pos="1985"/>
        </w:tabs>
        <w:spacing w:before="360" w:after="120"/>
        <w:jc w:val="center"/>
        <w:rPr>
          <w:lang w:val="fr-FR"/>
        </w:rPr>
      </w:pPr>
      <w:bookmarkStart w:id="8" w:name="Proposal"/>
      <w:bookmarkEnd w:id="8"/>
      <w:r w:rsidRPr="00D80F36">
        <w:rPr>
          <w:lang w:val="fr-FR"/>
        </w:rPr>
        <w:t>_____________</w:t>
      </w:r>
      <w:r w:rsidR="004122C5" w:rsidRPr="00D80F36">
        <w:rPr>
          <w:lang w:val="fr-FR"/>
        </w:rPr>
        <w:t>_</w:t>
      </w:r>
      <w:r w:rsidR="00922EC1" w:rsidRPr="00D80F36">
        <w:rPr>
          <w:lang w:val="fr-FR"/>
        </w:rPr>
        <w:t>_</w:t>
      </w:r>
    </w:p>
    <w:sectPr w:rsidR="00821996" w:rsidRPr="00D80F36" w:rsidSect="00473791">
      <w:headerReference w:type="default" r:id="rId22"/>
      <w:foot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CAD9" w14:textId="55B45631" w:rsidR="008D239A" w:rsidRDefault="00D80F36" w:rsidP="008D239A">
    <w:pPr>
      <w:pStyle w:val="Footer"/>
    </w:pPr>
    <w:fldSimple w:instr=" FILENAME \p  \* MERGEFORMAT ">
      <w:r w:rsidR="003B3967">
        <w:t>P:\FRA\ITU-D\CONF-D\TDAG21\TDAG21-29\000\009F.docx</w:t>
      </w:r>
    </w:fldSimple>
    <w:r w:rsidR="008D239A">
      <w:t xml:space="preserve"> (4</w:t>
    </w:r>
    <w:r>
      <w:t>94511</w:t>
    </w:r>
    <w:r w:rsidR="008D239A">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336F57" w:rsidRPr="00664916" w14:paraId="60D8084E" w14:textId="77777777" w:rsidTr="00336F57">
      <w:tc>
        <w:tcPr>
          <w:tcW w:w="1526" w:type="dxa"/>
          <w:tcBorders>
            <w:top w:val="single" w:sz="4" w:space="0" w:color="000000"/>
          </w:tcBorders>
          <w:shd w:val="clear" w:color="auto" w:fill="auto"/>
        </w:tcPr>
        <w:p w14:paraId="754884C4" w14:textId="77777777" w:rsidR="00336F57" w:rsidRPr="004D495C" w:rsidRDefault="00336F57" w:rsidP="00336F5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336F57" w:rsidRPr="004D495C" w:rsidRDefault="00336F57" w:rsidP="00336F57">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2D1FFD6F" w14:textId="4A0CD8ED" w:rsidR="00336F57" w:rsidRPr="00336F57" w:rsidRDefault="00336F57" w:rsidP="00336F57">
          <w:pPr>
            <w:pStyle w:val="FirstFooter"/>
            <w:tabs>
              <w:tab w:val="left" w:pos="2302"/>
            </w:tabs>
            <w:rPr>
              <w:sz w:val="18"/>
              <w:szCs w:val="18"/>
            </w:rPr>
          </w:pPr>
          <w:r w:rsidRPr="00151A40">
            <w:rPr>
              <w:sz w:val="18"/>
              <w:szCs w:val="18"/>
            </w:rPr>
            <w:t>M. Fabio Bigi</w:t>
          </w:r>
        </w:p>
      </w:tc>
      <w:bookmarkStart w:id="9" w:name="OrgName"/>
      <w:bookmarkEnd w:id="9"/>
    </w:tr>
    <w:tr w:rsidR="00336F57" w:rsidRPr="004D495C" w14:paraId="0B563E22" w14:textId="77777777" w:rsidTr="00336F57">
      <w:tc>
        <w:tcPr>
          <w:tcW w:w="1526" w:type="dxa"/>
          <w:shd w:val="clear" w:color="auto" w:fill="auto"/>
        </w:tcPr>
        <w:p w14:paraId="5AC383C8" w14:textId="77777777" w:rsidR="00336F57" w:rsidRPr="00336F57" w:rsidRDefault="00336F57" w:rsidP="00336F57">
          <w:pPr>
            <w:pStyle w:val="FirstFooter"/>
            <w:tabs>
              <w:tab w:val="left" w:pos="1559"/>
              <w:tab w:val="left" w:pos="3828"/>
            </w:tabs>
            <w:rPr>
              <w:sz w:val="20"/>
            </w:rPr>
          </w:pPr>
        </w:p>
      </w:tc>
      <w:tc>
        <w:tcPr>
          <w:tcW w:w="2410" w:type="dxa"/>
          <w:shd w:val="clear" w:color="auto" w:fill="auto"/>
        </w:tcPr>
        <w:p w14:paraId="19A37BA1" w14:textId="1907678E" w:rsidR="00336F57" w:rsidRPr="004D495C" w:rsidRDefault="00336F57" w:rsidP="00336F57">
          <w:pPr>
            <w:pStyle w:val="FirstFooter"/>
            <w:tabs>
              <w:tab w:val="left" w:pos="2302"/>
            </w:tabs>
            <w:rPr>
              <w:sz w:val="18"/>
              <w:szCs w:val="18"/>
              <w:lang w:val="en-US"/>
            </w:rPr>
          </w:pPr>
          <w:r w:rsidRPr="009D3681">
            <w:rPr>
              <w:sz w:val="18"/>
              <w:szCs w:val="18"/>
            </w:rPr>
            <w:t>Numéro de téléphone:</w:t>
          </w:r>
        </w:p>
      </w:tc>
      <w:tc>
        <w:tcPr>
          <w:tcW w:w="5987" w:type="dxa"/>
        </w:tcPr>
        <w:p w14:paraId="22DE7C07" w14:textId="0F3D7A3D" w:rsidR="00336F57" w:rsidRPr="00AF7A97" w:rsidRDefault="00336F57" w:rsidP="00336F57">
          <w:pPr>
            <w:pStyle w:val="FirstFooter"/>
            <w:tabs>
              <w:tab w:val="left" w:pos="2302"/>
            </w:tabs>
            <w:rPr>
              <w:sz w:val="18"/>
              <w:szCs w:val="18"/>
              <w:lang w:val="en-US"/>
            </w:rPr>
          </w:pPr>
          <w:r>
            <w:rPr>
              <w:sz w:val="18"/>
              <w:szCs w:val="18"/>
              <w:lang w:val="en-US"/>
            </w:rPr>
            <w:t>n/a</w:t>
          </w:r>
        </w:p>
      </w:tc>
      <w:bookmarkStart w:id="10" w:name="PhoneNo"/>
      <w:bookmarkEnd w:id="10"/>
    </w:tr>
    <w:tr w:rsidR="00336F57" w:rsidRPr="004D495C" w14:paraId="4F182B07" w14:textId="77777777" w:rsidTr="00336F57">
      <w:tc>
        <w:tcPr>
          <w:tcW w:w="1526" w:type="dxa"/>
          <w:shd w:val="clear" w:color="auto" w:fill="auto"/>
        </w:tcPr>
        <w:p w14:paraId="069A5427" w14:textId="77777777" w:rsidR="00336F57" w:rsidRPr="004D495C" w:rsidRDefault="00336F57" w:rsidP="00336F57">
          <w:pPr>
            <w:pStyle w:val="FirstFooter"/>
            <w:tabs>
              <w:tab w:val="left" w:pos="1559"/>
              <w:tab w:val="left" w:pos="3828"/>
            </w:tabs>
            <w:rPr>
              <w:sz w:val="20"/>
              <w:lang w:val="en-US"/>
            </w:rPr>
          </w:pPr>
        </w:p>
      </w:tc>
      <w:tc>
        <w:tcPr>
          <w:tcW w:w="2410" w:type="dxa"/>
          <w:shd w:val="clear" w:color="auto" w:fill="auto"/>
        </w:tcPr>
        <w:p w14:paraId="699B1FAD" w14:textId="0375578C" w:rsidR="00336F57" w:rsidRPr="004D495C" w:rsidRDefault="00336F57" w:rsidP="00336F57">
          <w:pPr>
            <w:pStyle w:val="FirstFooter"/>
            <w:tabs>
              <w:tab w:val="left" w:pos="2302"/>
            </w:tabs>
            <w:rPr>
              <w:sz w:val="18"/>
              <w:szCs w:val="18"/>
              <w:lang w:val="en-US"/>
            </w:rPr>
          </w:pPr>
          <w:r w:rsidRPr="009D3681">
            <w:rPr>
              <w:sz w:val="18"/>
              <w:szCs w:val="18"/>
            </w:rPr>
            <w:t>Courriel:</w:t>
          </w:r>
        </w:p>
      </w:tc>
      <w:tc>
        <w:tcPr>
          <w:tcW w:w="5987" w:type="dxa"/>
        </w:tcPr>
        <w:p w14:paraId="23C9DF52" w14:textId="0F289745" w:rsidR="00336F57" w:rsidRPr="00AF7A97" w:rsidRDefault="003B3967" w:rsidP="00336F57">
          <w:pPr>
            <w:pStyle w:val="FirstFooter"/>
            <w:tabs>
              <w:tab w:val="left" w:pos="2302"/>
            </w:tabs>
            <w:rPr>
              <w:sz w:val="18"/>
              <w:szCs w:val="18"/>
              <w:lang w:val="en-US"/>
            </w:rPr>
          </w:pPr>
          <w:hyperlink r:id="rId1" w:history="1">
            <w:r w:rsidR="00336F57" w:rsidRPr="00B6232A">
              <w:rPr>
                <w:rStyle w:val="Hyperlink"/>
                <w:sz w:val="18"/>
                <w:szCs w:val="18"/>
              </w:rPr>
              <w:t>fabio.bigi@virgilio.it</w:t>
            </w:r>
          </w:hyperlink>
        </w:p>
      </w:tc>
      <w:bookmarkStart w:id="11" w:name="Email"/>
      <w:bookmarkEnd w:id="11"/>
    </w:tr>
  </w:tbl>
  <w:p w14:paraId="04CE603F" w14:textId="0C39F2D0" w:rsidR="00721657" w:rsidRPr="0059420B" w:rsidRDefault="003B3967" w:rsidP="00800942">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347DFE13"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95401F">
      <w:rPr>
        <w:sz w:val="22"/>
        <w:szCs w:val="22"/>
        <w:lang w:val="de-CH"/>
      </w:rPr>
      <w:t>2/9</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B3967">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737560"/>
    <w:multiLevelType w:val="hybridMultilevel"/>
    <w:tmpl w:val="7BC26498"/>
    <w:lvl w:ilvl="0" w:tplc="379816D0">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520B"/>
    <w:rsid w:val="00037A9E"/>
    <w:rsid w:val="00037F91"/>
    <w:rsid w:val="000534C9"/>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D5D7D"/>
    <w:rsid w:val="000E3ED4"/>
    <w:rsid w:val="000E3F9C"/>
    <w:rsid w:val="000F1550"/>
    <w:rsid w:val="000F251B"/>
    <w:rsid w:val="000F5FE8"/>
    <w:rsid w:val="000F6644"/>
    <w:rsid w:val="00100833"/>
    <w:rsid w:val="00102784"/>
    <w:rsid w:val="00102F72"/>
    <w:rsid w:val="00107E85"/>
    <w:rsid w:val="00113EE8"/>
    <w:rsid w:val="0011455A"/>
    <w:rsid w:val="00114A65"/>
    <w:rsid w:val="00127C28"/>
    <w:rsid w:val="00133061"/>
    <w:rsid w:val="00134170"/>
    <w:rsid w:val="00141699"/>
    <w:rsid w:val="00146E16"/>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0E5"/>
    <w:rsid w:val="00317D1A"/>
    <w:rsid w:val="003211FF"/>
    <w:rsid w:val="003242AB"/>
    <w:rsid w:val="00327247"/>
    <w:rsid w:val="00327A9D"/>
    <w:rsid w:val="0033130E"/>
    <w:rsid w:val="0033269C"/>
    <w:rsid w:val="00336F57"/>
    <w:rsid w:val="00351C79"/>
    <w:rsid w:val="0035516C"/>
    <w:rsid w:val="00355A4C"/>
    <w:rsid w:val="003604FB"/>
    <w:rsid w:val="00360B73"/>
    <w:rsid w:val="00380B71"/>
    <w:rsid w:val="0038365A"/>
    <w:rsid w:val="0038440A"/>
    <w:rsid w:val="00386A89"/>
    <w:rsid w:val="0039648E"/>
    <w:rsid w:val="003A1F69"/>
    <w:rsid w:val="003A5AFE"/>
    <w:rsid w:val="003A5D5F"/>
    <w:rsid w:val="003A7FFE"/>
    <w:rsid w:val="003B0A63"/>
    <w:rsid w:val="003B14CA"/>
    <w:rsid w:val="003B3967"/>
    <w:rsid w:val="003B50E1"/>
    <w:rsid w:val="003C1746"/>
    <w:rsid w:val="003C2AA9"/>
    <w:rsid w:val="003C58BF"/>
    <w:rsid w:val="003D451D"/>
    <w:rsid w:val="003E1AF5"/>
    <w:rsid w:val="003F28E1"/>
    <w:rsid w:val="003F2DD8"/>
    <w:rsid w:val="003F3F2D"/>
    <w:rsid w:val="003F50B2"/>
    <w:rsid w:val="00400CCF"/>
    <w:rsid w:val="00401BFF"/>
    <w:rsid w:val="00404424"/>
    <w:rsid w:val="004114DA"/>
    <w:rsid w:val="0041156B"/>
    <w:rsid w:val="004122C5"/>
    <w:rsid w:val="00413B78"/>
    <w:rsid w:val="00416DDE"/>
    <w:rsid w:val="00421436"/>
    <w:rsid w:val="00443613"/>
    <w:rsid w:val="0044411E"/>
    <w:rsid w:val="00453435"/>
    <w:rsid w:val="00460089"/>
    <w:rsid w:val="00466398"/>
    <w:rsid w:val="0047306D"/>
    <w:rsid w:val="00473791"/>
    <w:rsid w:val="00476E48"/>
    <w:rsid w:val="00481DE9"/>
    <w:rsid w:val="0049128B"/>
    <w:rsid w:val="0049255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00C8"/>
    <w:rsid w:val="005221A2"/>
    <w:rsid w:val="00525D64"/>
    <w:rsid w:val="0054420E"/>
    <w:rsid w:val="00544D1B"/>
    <w:rsid w:val="00545DC0"/>
    <w:rsid w:val="00545F6C"/>
    <w:rsid w:val="005477D9"/>
    <w:rsid w:val="005535E0"/>
    <w:rsid w:val="0055720C"/>
    <w:rsid w:val="00561796"/>
    <w:rsid w:val="005632DD"/>
    <w:rsid w:val="0056423B"/>
    <w:rsid w:val="00573424"/>
    <w:rsid w:val="00573E29"/>
    <w:rsid w:val="0057402F"/>
    <w:rsid w:val="00581653"/>
    <w:rsid w:val="005849D6"/>
    <w:rsid w:val="00585367"/>
    <w:rsid w:val="005871A1"/>
    <w:rsid w:val="00587365"/>
    <w:rsid w:val="0058737E"/>
    <w:rsid w:val="00592518"/>
    <w:rsid w:val="00592E87"/>
    <w:rsid w:val="0059420B"/>
    <w:rsid w:val="00594C4D"/>
    <w:rsid w:val="00597673"/>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5CCF"/>
    <w:rsid w:val="00623F30"/>
    <w:rsid w:val="00625FB8"/>
    <w:rsid w:val="006261BD"/>
    <w:rsid w:val="00635EDB"/>
    <w:rsid w:val="0064734E"/>
    <w:rsid w:val="00650137"/>
    <w:rsid w:val="0065020C"/>
    <w:rsid w:val="006509D7"/>
    <w:rsid w:val="00651CE8"/>
    <w:rsid w:val="0065521B"/>
    <w:rsid w:val="00664916"/>
    <w:rsid w:val="00670235"/>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0994"/>
    <w:rsid w:val="006E4565"/>
    <w:rsid w:val="006F009A"/>
    <w:rsid w:val="006F3D93"/>
    <w:rsid w:val="007019B1"/>
    <w:rsid w:val="00721657"/>
    <w:rsid w:val="007279A8"/>
    <w:rsid w:val="00727B1A"/>
    <w:rsid w:val="007322A4"/>
    <w:rsid w:val="00741337"/>
    <w:rsid w:val="0074785D"/>
    <w:rsid w:val="00750010"/>
    <w:rsid w:val="00752258"/>
    <w:rsid w:val="007529E1"/>
    <w:rsid w:val="00752C55"/>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7F2D46"/>
    <w:rsid w:val="00800942"/>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330B"/>
    <w:rsid w:val="008713C7"/>
    <w:rsid w:val="00872B6E"/>
    <w:rsid w:val="00874DFD"/>
    <w:rsid w:val="008802F9"/>
    <w:rsid w:val="00883086"/>
    <w:rsid w:val="008879FD"/>
    <w:rsid w:val="00894C37"/>
    <w:rsid w:val="008A00EA"/>
    <w:rsid w:val="008A3F93"/>
    <w:rsid w:val="008A6236"/>
    <w:rsid w:val="008A690F"/>
    <w:rsid w:val="008A6E1C"/>
    <w:rsid w:val="008A72FD"/>
    <w:rsid w:val="008B2EDF"/>
    <w:rsid w:val="008B47C7"/>
    <w:rsid w:val="008B54CB"/>
    <w:rsid w:val="008B5A3D"/>
    <w:rsid w:val="008C4010"/>
    <w:rsid w:val="008C4FDF"/>
    <w:rsid w:val="008C6B1F"/>
    <w:rsid w:val="008D239A"/>
    <w:rsid w:val="008D5E4F"/>
    <w:rsid w:val="008F14F5"/>
    <w:rsid w:val="008F71C1"/>
    <w:rsid w:val="00902D41"/>
    <w:rsid w:val="00902F49"/>
    <w:rsid w:val="00904230"/>
    <w:rsid w:val="00914004"/>
    <w:rsid w:val="00922EC1"/>
    <w:rsid w:val="00923CF1"/>
    <w:rsid w:val="009301F1"/>
    <w:rsid w:val="009307DF"/>
    <w:rsid w:val="009359B8"/>
    <w:rsid w:val="00935FF0"/>
    <w:rsid w:val="00936D0A"/>
    <w:rsid w:val="009431F8"/>
    <w:rsid w:val="00947A35"/>
    <w:rsid w:val="0095401F"/>
    <w:rsid w:val="0096201B"/>
    <w:rsid w:val="00962081"/>
    <w:rsid w:val="00966CB5"/>
    <w:rsid w:val="00975786"/>
    <w:rsid w:val="00981CB7"/>
    <w:rsid w:val="00983E1F"/>
    <w:rsid w:val="00993F46"/>
    <w:rsid w:val="00997358"/>
    <w:rsid w:val="009A452B"/>
    <w:rsid w:val="009B008D"/>
    <w:rsid w:val="009B050C"/>
    <w:rsid w:val="009B087F"/>
    <w:rsid w:val="009B2AF4"/>
    <w:rsid w:val="009B5A09"/>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5069"/>
    <w:rsid w:val="00AB734E"/>
    <w:rsid w:val="00AB740F"/>
    <w:rsid w:val="00AC6F14"/>
    <w:rsid w:val="00AC7221"/>
    <w:rsid w:val="00AE5961"/>
    <w:rsid w:val="00AE5F46"/>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2FB0"/>
    <w:rsid w:val="00B950CD"/>
    <w:rsid w:val="00B97BB9"/>
    <w:rsid w:val="00BA0009"/>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21334"/>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452B"/>
    <w:rsid w:val="00C954BC"/>
    <w:rsid w:val="00CA1F0B"/>
    <w:rsid w:val="00CB110F"/>
    <w:rsid w:val="00CB2A2E"/>
    <w:rsid w:val="00CB338A"/>
    <w:rsid w:val="00CB79C5"/>
    <w:rsid w:val="00CC411F"/>
    <w:rsid w:val="00CC4B75"/>
    <w:rsid w:val="00CC732E"/>
    <w:rsid w:val="00CD150E"/>
    <w:rsid w:val="00CD2FCD"/>
    <w:rsid w:val="00CD46C0"/>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7A23"/>
    <w:rsid w:val="00D52591"/>
    <w:rsid w:val="00D63006"/>
    <w:rsid w:val="00D72301"/>
    <w:rsid w:val="00D80F36"/>
    <w:rsid w:val="00D911DE"/>
    <w:rsid w:val="00D91B97"/>
    <w:rsid w:val="00D93ACC"/>
    <w:rsid w:val="00D93C08"/>
    <w:rsid w:val="00D95DAC"/>
    <w:rsid w:val="00DA0B53"/>
    <w:rsid w:val="00DB1171"/>
    <w:rsid w:val="00DB1519"/>
    <w:rsid w:val="00DB2840"/>
    <w:rsid w:val="00DC1BD3"/>
    <w:rsid w:val="00DC2C1A"/>
    <w:rsid w:val="00DC5838"/>
    <w:rsid w:val="00DD17BB"/>
    <w:rsid w:val="00DD66B4"/>
    <w:rsid w:val="00DE1972"/>
    <w:rsid w:val="00DE27AB"/>
    <w:rsid w:val="00DF2AB3"/>
    <w:rsid w:val="00DF7250"/>
    <w:rsid w:val="00E00CAA"/>
    <w:rsid w:val="00E03EBF"/>
    <w:rsid w:val="00E047E2"/>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77FD"/>
    <w:rsid w:val="00F16B6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5183"/>
    <w:rsid w:val="00F66583"/>
    <w:rsid w:val="00F736F9"/>
    <w:rsid w:val="00F73833"/>
    <w:rsid w:val="00F9211C"/>
    <w:rsid w:val="00F96ECE"/>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4D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336F57"/>
    <w:rPr>
      <w:color w:val="605E5C"/>
      <w:shd w:val="clear" w:color="auto" w:fill="E1DFDD"/>
    </w:rPr>
  </w:style>
  <w:style w:type="character" w:styleId="FollowedHyperlink">
    <w:name w:val="FollowedHyperlink"/>
    <w:basedOn w:val="DefaultParagraphFont"/>
    <w:semiHidden/>
    <w:unhideWhenUsed/>
    <w:rsid w:val="00336F57"/>
    <w:rPr>
      <w:color w:val="800080" w:themeColor="followedHyperlink"/>
      <w:u w:val="single"/>
    </w:rPr>
  </w:style>
  <w:style w:type="character" w:customStyle="1" w:styleId="ListParagraphChar">
    <w:name w:val="List Paragraph Char"/>
    <w:basedOn w:val="DefaultParagraphFont"/>
    <w:link w:val="ListParagraph"/>
    <w:uiPriority w:val="34"/>
    <w:rsid w:val="00336F57"/>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sid w:val="003F28E1"/>
    <w:rPr>
      <w:color w:val="605E5C"/>
      <w:shd w:val="clear" w:color="auto" w:fill="E1DFDD"/>
    </w:rPr>
  </w:style>
  <w:style w:type="character" w:styleId="CommentReference">
    <w:name w:val="annotation reference"/>
    <w:basedOn w:val="DefaultParagraphFont"/>
    <w:semiHidden/>
    <w:unhideWhenUsed/>
    <w:rsid w:val="008713C7"/>
    <w:rPr>
      <w:sz w:val="16"/>
      <w:szCs w:val="16"/>
    </w:rPr>
  </w:style>
  <w:style w:type="paragraph" w:styleId="CommentText">
    <w:name w:val="annotation text"/>
    <w:basedOn w:val="Normal"/>
    <w:link w:val="CommentTextChar"/>
    <w:semiHidden/>
    <w:unhideWhenUsed/>
    <w:rsid w:val="008713C7"/>
    <w:rPr>
      <w:sz w:val="20"/>
    </w:rPr>
  </w:style>
  <w:style w:type="character" w:customStyle="1" w:styleId="CommentTextChar">
    <w:name w:val="Comment Text Char"/>
    <w:basedOn w:val="DefaultParagraphFont"/>
    <w:link w:val="CommentText"/>
    <w:semiHidden/>
    <w:rsid w:val="008713C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713C7"/>
    <w:rPr>
      <w:b/>
      <w:bCs/>
    </w:rPr>
  </w:style>
  <w:style w:type="character" w:customStyle="1" w:styleId="CommentSubjectChar">
    <w:name w:val="Comment Subject Char"/>
    <w:basedOn w:val="CommentTextChar"/>
    <w:link w:val="CommentSubject"/>
    <w:semiHidden/>
    <w:rsid w:val="008713C7"/>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general-secretariat/Pages/intersectoral-coordination.aspx" TargetMode="External"/><Relationship Id="rId18" Type="http://schemas.openxmlformats.org/officeDocument/2006/relationships/hyperlink" Target="https://www.itu.int/clima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events/Pages/default.aspx" TargetMode="External"/><Relationship Id="rId7" Type="http://schemas.openxmlformats.org/officeDocument/2006/relationships/endnotes" Target="endnotes.xml"/><Relationship Id="rId12" Type="http://schemas.openxmlformats.org/officeDocument/2006/relationships/hyperlink" Target="https://www.itu.int/en/council/Documents/basic-texts/RES-191-F.pdf" TargetMode="External"/><Relationship Id="rId17" Type="http://schemas.openxmlformats.org/officeDocument/2006/relationships/hyperlink" Target="mailto:iscg@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general-secretariat/Pages/ISCG/default.aspx" TargetMode="External"/><Relationship Id="rId20" Type="http://schemas.openxmlformats.org/officeDocument/2006/relationships/hyperlink" Target="https://www.itu.int/en/general-secretariat/ties/ISCGDocumentLibrary/2nd%20Meeting%202021/ISCG-21-2-04-2-Accessibil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ISCG/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general-secretariat/ties/ISCGDocumentLibrary/2nd%20Meeting%202021/ISCG-21-2-04-1-E-Mapping%20Tables.docx" TargetMode="External"/><Relationship Id="rId23" Type="http://schemas.openxmlformats.org/officeDocument/2006/relationships/footer" Target="footer1.xml"/><Relationship Id="rId10" Type="http://schemas.openxmlformats.org/officeDocument/2006/relationships/hyperlink" Target="https://www.itu.int/en/council/Documents/basic-texts/RES-191-F.pdf" TargetMode="External"/><Relationship Id="rId19" Type="http://schemas.openxmlformats.org/officeDocument/2006/relationships/hyperlink" Target="https://www.itu.int/en/general-secretariat/ties/ISCGDocumentLibrary/2nd%20Meeting%202021/ISCG-21-2-INF-1-Greening%20ITU.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general-secretariat/ties/ISCGDocumentLibrary/2nd%20Meeting%202021/ISCG-21-2-03-1-ETD%20AI.docx"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F0A5-3026-435E-8562-DE945691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1467</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6</cp:revision>
  <cp:lastPrinted>2014-11-04T09:22:00Z</cp:lastPrinted>
  <dcterms:created xsi:type="dcterms:W3CDTF">2021-09-23T06:43:00Z</dcterms:created>
  <dcterms:modified xsi:type="dcterms:W3CDTF">2021-09-23T09:43:00Z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