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268"/>
        <w:gridCol w:w="4111"/>
        <w:gridCol w:w="1985"/>
        <w:gridCol w:w="1524"/>
      </w:tblGrid>
      <w:tr w:rsidR="005221A2" w:rsidRPr="003D1E8B" w14:paraId="1C20896F" w14:textId="77777777" w:rsidTr="005221A2">
        <w:trPr>
          <w:cantSplit/>
          <w:trHeight w:val="1134"/>
        </w:trPr>
        <w:tc>
          <w:tcPr>
            <w:tcW w:w="2268" w:type="dxa"/>
          </w:tcPr>
          <w:p w14:paraId="45C5ED40" w14:textId="2302CB51" w:rsidR="005221A2" w:rsidRPr="003D1E8B" w:rsidRDefault="008463B6" w:rsidP="00426639">
            <w:pPr>
              <w:tabs>
                <w:tab w:val="clear" w:pos="1191"/>
                <w:tab w:val="clear" w:pos="1588"/>
                <w:tab w:val="clear" w:pos="1985"/>
              </w:tabs>
              <w:spacing w:after="120"/>
              <w:ind w:left="34"/>
              <w:rPr>
                <w:b/>
                <w:bCs/>
                <w:sz w:val="32"/>
                <w:szCs w:val="32"/>
                <w:lang w:val="fr-FR"/>
              </w:rPr>
            </w:pPr>
            <w:r w:rsidRPr="003D1E8B">
              <w:rPr>
                <w:noProof/>
                <w:lang w:val="fr-FR"/>
              </w:rPr>
              <w:drawing>
                <wp:inline distT="0" distB="0" distL="0" distR="0" wp14:anchorId="3D3E9F91" wp14:editId="267C5FE9">
                  <wp:extent cx="1430995" cy="1061049"/>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72" b="6146"/>
                          <a:stretch/>
                        </pic:blipFill>
                        <pic:spPr bwMode="auto">
                          <a:xfrm>
                            <a:off x="0" y="0"/>
                            <a:ext cx="1430995" cy="10610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096" w:type="dxa"/>
            <w:gridSpan w:val="2"/>
          </w:tcPr>
          <w:p w14:paraId="3F7D2D25" w14:textId="77777777" w:rsidR="005221A2" w:rsidRPr="003D1E8B" w:rsidRDefault="005221A2" w:rsidP="00426639">
            <w:pPr>
              <w:tabs>
                <w:tab w:val="clear" w:pos="1191"/>
                <w:tab w:val="clear" w:pos="1588"/>
                <w:tab w:val="clear" w:pos="1985"/>
              </w:tabs>
              <w:spacing w:before="280" w:after="120"/>
              <w:ind w:left="34"/>
              <w:rPr>
                <w:b/>
                <w:bCs/>
                <w:sz w:val="32"/>
                <w:szCs w:val="32"/>
                <w:lang w:val="fr-FR"/>
              </w:rPr>
            </w:pPr>
            <w:r w:rsidRPr="003D1E8B">
              <w:rPr>
                <w:b/>
                <w:bCs/>
                <w:sz w:val="32"/>
                <w:szCs w:val="32"/>
                <w:lang w:val="fr-FR"/>
              </w:rPr>
              <w:t xml:space="preserve">Groupe consultatif pour le développement </w:t>
            </w:r>
            <w:r w:rsidRPr="003D1E8B">
              <w:rPr>
                <w:b/>
                <w:bCs/>
                <w:sz w:val="32"/>
                <w:szCs w:val="32"/>
                <w:lang w:val="fr-FR"/>
              </w:rPr>
              <w:br/>
              <w:t>des télécommunications (GCDT)</w:t>
            </w:r>
          </w:p>
          <w:p w14:paraId="3DFE313D" w14:textId="3AA721C0" w:rsidR="005221A2" w:rsidRPr="003D1E8B" w:rsidRDefault="00BE62D1" w:rsidP="00426639">
            <w:pPr>
              <w:tabs>
                <w:tab w:val="clear" w:pos="1191"/>
                <w:tab w:val="clear" w:pos="1588"/>
                <w:tab w:val="clear" w:pos="1985"/>
              </w:tabs>
              <w:spacing w:before="100" w:after="120"/>
              <w:ind w:left="34"/>
              <w:rPr>
                <w:rFonts w:ascii="Verdana" w:hAnsi="Verdana"/>
                <w:sz w:val="28"/>
                <w:szCs w:val="28"/>
                <w:lang w:val="fr-FR"/>
              </w:rPr>
            </w:pPr>
            <w:r w:rsidRPr="003D1E8B">
              <w:rPr>
                <w:b/>
                <w:bCs/>
                <w:sz w:val="26"/>
                <w:szCs w:val="26"/>
                <w:lang w:val="fr-FR"/>
              </w:rPr>
              <w:t>29ème réunion, virtuelle, 8-12 novembre 2021</w:t>
            </w:r>
          </w:p>
        </w:tc>
        <w:tc>
          <w:tcPr>
            <w:tcW w:w="1524" w:type="dxa"/>
          </w:tcPr>
          <w:p w14:paraId="5BB3CF32" w14:textId="2BFBE1BC" w:rsidR="005221A2" w:rsidRPr="003D1E8B" w:rsidRDefault="002E38ED" w:rsidP="00426639">
            <w:pPr>
              <w:spacing w:before="240"/>
              <w:ind w:right="142"/>
              <w:jc w:val="right"/>
              <w:rPr>
                <w:lang w:val="fr-FR"/>
              </w:rPr>
            </w:pPr>
            <w:r w:rsidRPr="003D1E8B">
              <w:rPr>
                <w:noProof/>
                <w:lang w:val="fr-FR"/>
              </w:rPr>
              <w:drawing>
                <wp:inline distT="0" distB="0" distL="0" distR="0" wp14:anchorId="790FBF89" wp14:editId="6C33ED98">
                  <wp:extent cx="712470" cy="785495"/>
                  <wp:effectExtent l="0" t="0" r="0" b="0"/>
                  <wp:docPr id="3" name="Picture 3"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3D1E8B" w14:paraId="27F9265D" w14:textId="77777777" w:rsidTr="005221A2">
        <w:trPr>
          <w:cantSplit/>
        </w:trPr>
        <w:tc>
          <w:tcPr>
            <w:tcW w:w="6379" w:type="dxa"/>
            <w:gridSpan w:val="2"/>
            <w:tcBorders>
              <w:top w:val="single" w:sz="12" w:space="0" w:color="auto"/>
            </w:tcBorders>
          </w:tcPr>
          <w:p w14:paraId="274519C1" w14:textId="77777777" w:rsidR="00683C32" w:rsidRPr="003D1E8B" w:rsidRDefault="00683C32" w:rsidP="00426639">
            <w:pPr>
              <w:spacing w:before="0"/>
              <w:rPr>
                <w:rFonts w:cs="Arial"/>
                <w:b/>
                <w:bCs/>
                <w:sz w:val="20"/>
                <w:lang w:val="fr-FR"/>
              </w:rPr>
            </w:pPr>
          </w:p>
        </w:tc>
        <w:tc>
          <w:tcPr>
            <w:tcW w:w="3509" w:type="dxa"/>
            <w:gridSpan w:val="2"/>
            <w:tcBorders>
              <w:top w:val="single" w:sz="12" w:space="0" w:color="auto"/>
            </w:tcBorders>
          </w:tcPr>
          <w:p w14:paraId="20F9BDF5" w14:textId="77777777" w:rsidR="00683C32" w:rsidRPr="003D1E8B" w:rsidRDefault="00683C32" w:rsidP="00426639">
            <w:pPr>
              <w:spacing w:before="0"/>
              <w:rPr>
                <w:b/>
                <w:bCs/>
                <w:sz w:val="20"/>
                <w:lang w:val="fr-FR"/>
              </w:rPr>
            </w:pPr>
          </w:p>
        </w:tc>
      </w:tr>
      <w:tr w:rsidR="00BE62D1" w:rsidRPr="00A8477F" w14:paraId="46C2A819" w14:textId="77777777" w:rsidTr="005221A2">
        <w:trPr>
          <w:cantSplit/>
        </w:trPr>
        <w:tc>
          <w:tcPr>
            <w:tcW w:w="6379" w:type="dxa"/>
            <w:gridSpan w:val="2"/>
          </w:tcPr>
          <w:p w14:paraId="1C4186C5" w14:textId="77777777" w:rsidR="00BE62D1" w:rsidRPr="003D1E8B" w:rsidRDefault="00BE62D1" w:rsidP="00426639">
            <w:pPr>
              <w:pStyle w:val="Committee"/>
              <w:spacing w:before="0"/>
              <w:rPr>
                <w:b w:val="0"/>
                <w:szCs w:val="24"/>
                <w:lang w:val="fr-FR"/>
              </w:rPr>
            </w:pPr>
          </w:p>
        </w:tc>
        <w:tc>
          <w:tcPr>
            <w:tcW w:w="3509" w:type="dxa"/>
            <w:gridSpan w:val="2"/>
          </w:tcPr>
          <w:p w14:paraId="18DBE3E6" w14:textId="3C37C31C" w:rsidR="00BE62D1" w:rsidRPr="003D1E8B" w:rsidRDefault="00A8477F" w:rsidP="00426639">
            <w:pPr>
              <w:spacing w:before="0"/>
              <w:jc w:val="both"/>
              <w:rPr>
                <w:bCs/>
                <w:szCs w:val="24"/>
                <w:lang w:val="fr-FR"/>
              </w:rPr>
            </w:pPr>
            <w:r>
              <w:rPr>
                <w:b/>
                <w:bCs/>
                <w:lang w:val="fr-FR"/>
              </w:rPr>
              <w:t>Révision 1 du</w:t>
            </w:r>
            <w:r w:rsidR="00426639">
              <w:rPr>
                <w:b/>
                <w:bCs/>
                <w:lang w:val="fr-FR"/>
              </w:rPr>
              <w:br/>
            </w:r>
            <w:r w:rsidR="00BE62D1" w:rsidRPr="003D1E8B">
              <w:rPr>
                <w:b/>
                <w:bCs/>
                <w:lang w:val="fr-FR"/>
              </w:rPr>
              <w:t xml:space="preserve">Document </w:t>
            </w:r>
            <w:bookmarkStart w:id="0" w:name="DocRef1"/>
            <w:bookmarkEnd w:id="0"/>
            <w:r w:rsidR="00BE62D1" w:rsidRPr="003D1E8B">
              <w:rPr>
                <w:b/>
                <w:bCs/>
                <w:lang w:val="fr-FR"/>
              </w:rPr>
              <w:t>TDAG-2</w:t>
            </w:r>
            <w:bookmarkStart w:id="1" w:name="DocNo1"/>
            <w:bookmarkEnd w:id="1"/>
            <w:r w:rsidR="00BE62D1" w:rsidRPr="003D1E8B">
              <w:rPr>
                <w:b/>
                <w:bCs/>
                <w:lang w:val="fr-FR"/>
              </w:rPr>
              <w:t>1/2/</w:t>
            </w:r>
            <w:r w:rsidR="0031739D" w:rsidRPr="003D1E8B">
              <w:rPr>
                <w:b/>
                <w:bCs/>
                <w:lang w:val="fr-FR"/>
              </w:rPr>
              <w:t>8</w:t>
            </w:r>
            <w:r w:rsidR="00BE62D1" w:rsidRPr="003D1E8B">
              <w:rPr>
                <w:b/>
                <w:bCs/>
                <w:lang w:val="fr-FR"/>
              </w:rPr>
              <w:t>-F</w:t>
            </w:r>
          </w:p>
        </w:tc>
      </w:tr>
      <w:tr w:rsidR="00BE62D1" w:rsidRPr="003D1E8B" w14:paraId="3E4E062E" w14:textId="77777777" w:rsidTr="005221A2">
        <w:trPr>
          <w:cantSplit/>
        </w:trPr>
        <w:tc>
          <w:tcPr>
            <w:tcW w:w="6379" w:type="dxa"/>
            <w:gridSpan w:val="2"/>
          </w:tcPr>
          <w:p w14:paraId="34B7B41B" w14:textId="77777777" w:rsidR="00BE62D1" w:rsidRPr="003D1E8B" w:rsidRDefault="00BE62D1" w:rsidP="00426639">
            <w:pPr>
              <w:spacing w:before="0"/>
              <w:rPr>
                <w:b/>
                <w:bCs/>
                <w:smallCaps/>
                <w:szCs w:val="24"/>
                <w:lang w:val="fr-FR"/>
              </w:rPr>
            </w:pPr>
          </w:p>
        </w:tc>
        <w:tc>
          <w:tcPr>
            <w:tcW w:w="3509" w:type="dxa"/>
            <w:gridSpan w:val="2"/>
          </w:tcPr>
          <w:p w14:paraId="06852E4D" w14:textId="7AF1C5B1" w:rsidR="00BE62D1" w:rsidRPr="003D1E8B" w:rsidRDefault="00A8477F" w:rsidP="00426639">
            <w:pPr>
              <w:spacing w:before="0"/>
              <w:rPr>
                <w:b/>
                <w:szCs w:val="24"/>
                <w:lang w:val="fr-FR"/>
              </w:rPr>
            </w:pPr>
            <w:bookmarkStart w:id="2" w:name="CreationDate"/>
            <w:bookmarkEnd w:id="2"/>
            <w:r>
              <w:rPr>
                <w:b/>
                <w:bCs/>
                <w:szCs w:val="28"/>
                <w:lang w:val="fr-FR"/>
              </w:rPr>
              <w:t xml:space="preserve">27 </w:t>
            </w:r>
            <w:r w:rsidR="0031739D" w:rsidRPr="003D1E8B">
              <w:rPr>
                <w:b/>
                <w:bCs/>
                <w:szCs w:val="28"/>
                <w:lang w:val="fr-FR"/>
              </w:rPr>
              <w:t>septembre</w:t>
            </w:r>
            <w:r w:rsidR="00BE62D1" w:rsidRPr="003D1E8B">
              <w:rPr>
                <w:b/>
                <w:bCs/>
                <w:szCs w:val="28"/>
                <w:lang w:val="fr-FR"/>
              </w:rPr>
              <w:t xml:space="preserve"> 2021</w:t>
            </w:r>
          </w:p>
        </w:tc>
      </w:tr>
      <w:tr w:rsidR="00683C32" w:rsidRPr="003D1E8B" w14:paraId="3834278A" w14:textId="77777777" w:rsidTr="005221A2">
        <w:trPr>
          <w:cantSplit/>
        </w:trPr>
        <w:tc>
          <w:tcPr>
            <w:tcW w:w="6379" w:type="dxa"/>
            <w:gridSpan w:val="2"/>
          </w:tcPr>
          <w:p w14:paraId="524FF41E" w14:textId="77777777" w:rsidR="00683C32" w:rsidRPr="003D1E8B" w:rsidRDefault="00683C32" w:rsidP="00426639">
            <w:pPr>
              <w:spacing w:before="0"/>
              <w:rPr>
                <w:b/>
                <w:bCs/>
                <w:smallCaps/>
                <w:szCs w:val="24"/>
                <w:lang w:val="fr-FR"/>
              </w:rPr>
            </w:pPr>
          </w:p>
        </w:tc>
        <w:tc>
          <w:tcPr>
            <w:tcW w:w="3509" w:type="dxa"/>
            <w:gridSpan w:val="2"/>
          </w:tcPr>
          <w:p w14:paraId="605501D5" w14:textId="395EB052" w:rsidR="00514D2F" w:rsidRPr="003D1E8B" w:rsidRDefault="0096201B" w:rsidP="00426639">
            <w:pPr>
              <w:spacing w:before="0"/>
              <w:rPr>
                <w:szCs w:val="24"/>
                <w:lang w:val="fr-FR"/>
              </w:rPr>
            </w:pPr>
            <w:r w:rsidRPr="003D1E8B">
              <w:rPr>
                <w:b/>
                <w:lang w:val="fr-FR"/>
              </w:rPr>
              <w:t>Original:</w:t>
            </w:r>
            <w:bookmarkStart w:id="3" w:name="Original"/>
            <w:bookmarkEnd w:id="3"/>
            <w:r w:rsidR="00CE0422" w:rsidRPr="003D1E8B">
              <w:rPr>
                <w:b/>
                <w:lang w:val="fr-FR"/>
              </w:rPr>
              <w:t xml:space="preserve"> </w:t>
            </w:r>
            <w:r w:rsidR="009B008D" w:rsidRPr="003D1E8B">
              <w:rPr>
                <w:b/>
                <w:lang w:val="fr-FR"/>
              </w:rPr>
              <w:t>anglais</w:t>
            </w:r>
          </w:p>
        </w:tc>
      </w:tr>
      <w:tr w:rsidR="00A13162" w:rsidRPr="00A8477F" w14:paraId="29562115" w14:textId="77777777" w:rsidTr="00107E85">
        <w:trPr>
          <w:cantSplit/>
          <w:trHeight w:val="852"/>
        </w:trPr>
        <w:tc>
          <w:tcPr>
            <w:tcW w:w="9888" w:type="dxa"/>
            <w:gridSpan w:val="4"/>
          </w:tcPr>
          <w:p w14:paraId="43DDA6D5" w14:textId="4883B4FF" w:rsidR="00A13162" w:rsidRPr="003D1E8B" w:rsidRDefault="0031739D" w:rsidP="00426639">
            <w:pPr>
              <w:pStyle w:val="Source"/>
              <w:rPr>
                <w:lang w:val="fr-FR"/>
              </w:rPr>
            </w:pPr>
            <w:bookmarkStart w:id="4" w:name="Source"/>
            <w:bookmarkEnd w:id="4"/>
            <w:r w:rsidRPr="003D1E8B">
              <w:rPr>
                <w:bCs/>
                <w:lang w:val="fr-FR"/>
              </w:rPr>
              <w:t>Directrice du Bureau de développement des télécommunications</w:t>
            </w:r>
          </w:p>
        </w:tc>
      </w:tr>
      <w:tr w:rsidR="00AC6F14" w:rsidRPr="00A8477F" w14:paraId="7644819D" w14:textId="77777777" w:rsidTr="00107E85">
        <w:trPr>
          <w:cantSplit/>
        </w:trPr>
        <w:tc>
          <w:tcPr>
            <w:tcW w:w="9888" w:type="dxa"/>
            <w:gridSpan w:val="4"/>
          </w:tcPr>
          <w:p w14:paraId="683FE517" w14:textId="5F1D0DD2" w:rsidR="00AC6F14" w:rsidRPr="003D1E8B" w:rsidRDefault="0031739D" w:rsidP="00426639">
            <w:pPr>
              <w:pStyle w:val="Title1"/>
              <w:rPr>
                <w:lang w:val="fr-FR"/>
              </w:rPr>
            </w:pPr>
            <w:bookmarkStart w:id="5" w:name="Title"/>
            <w:bookmarkEnd w:id="5"/>
            <w:r w:rsidRPr="003D1E8B">
              <w:rPr>
                <w:lang w:val="fr-FR"/>
              </w:rPr>
              <w:t>MEMBRES DU SECTEUR ET ASSOCIÉS DE L'UIT-D ET ÉTABLISSEMENTS UNIVERSITAIRES PARTICIPANT AUX TRAVAUX DE L'UIT-D</w:t>
            </w:r>
          </w:p>
        </w:tc>
      </w:tr>
      <w:tr w:rsidR="00A721F4" w:rsidRPr="00A8477F" w14:paraId="0E912AC2" w14:textId="77777777" w:rsidTr="00A721F4">
        <w:trPr>
          <w:cantSplit/>
        </w:trPr>
        <w:tc>
          <w:tcPr>
            <w:tcW w:w="9888" w:type="dxa"/>
            <w:gridSpan w:val="4"/>
            <w:tcBorders>
              <w:bottom w:val="single" w:sz="4" w:space="0" w:color="auto"/>
            </w:tcBorders>
          </w:tcPr>
          <w:p w14:paraId="3D2D5135" w14:textId="77777777" w:rsidR="00A721F4" w:rsidRPr="003D1E8B" w:rsidRDefault="00A721F4" w:rsidP="00426639">
            <w:pPr>
              <w:rPr>
                <w:lang w:val="fr-FR"/>
              </w:rPr>
            </w:pPr>
          </w:p>
        </w:tc>
      </w:tr>
      <w:tr w:rsidR="00A721F4" w:rsidRPr="00A8477F" w14:paraId="15E3CA6F"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2221968" w14:textId="7AAE885A" w:rsidR="00A721F4" w:rsidRPr="003D1E8B" w:rsidRDefault="00D37A23" w:rsidP="00426639">
            <w:pPr>
              <w:spacing w:after="120"/>
              <w:rPr>
                <w:b/>
                <w:bCs/>
                <w:szCs w:val="24"/>
                <w:lang w:val="fr-FR"/>
              </w:rPr>
            </w:pPr>
            <w:r w:rsidRPr="003D1E8B">
              <w:rPr>
                <w:b/>
                <w:bCs/>
                <w:szCs w:val="24"/>
                <w:lang w:val="fr-FR"/>
              </w:rPr>
              <w:t>Résumé</w:t>
            </w:r>
            <w:r w:rsidR="00A721F4" w:rsidRPr="003D1E8B">
              <w:rPr>
                <w:b/>
                <w:bCs/>
                <w:szCs w:val="24"/>
                <w:lang w:val="fr-FR"/>
              </w:rPr>
              <w:t>:</w:t>
            </w:r>
          </w:p>
          <w:p w14:paraId="47745426" w14:textId="6E2F6E8E" w:rsidR="005221A2" w:rsidRPr="003D1E8B" w:rsidRDefault="0031739D" w:rsidP="00426639">
            <w:pPr>
              <w:spacing w:after="120"/>
              <w:rPr>
                <w:szCs w:val="24"/>
                <w:lang w:val="fr-FR"/>
              </w:rPr>
            </w:pPr>
            <w:r w:rsidRPr="003D1E8B">
              <w:rPr>
                <w:lang w:val="fr-FR"/>
              </w:rPr>
              <w:t>Le présent document</w:t>
            </w:r>
            <w:r w:rsidR="00632E82" w:rsidRPr="003D1E8B">
              <w:rPr>
                <w:lang w:val="fr-FR"/>
              </w:rPr>
              <w:t xml:space="preserve"> </w:t>
            </w:r>
            <w:r w:rsidR="006E4D25" w:rsidRPr="003D1E8B">
              <w:rPr>
                <w:color w:val="000000"/>
                <w:lang w:val="fr-FR"/>
              </w:rPr>
              <w:t xml:space="preserve">s'appuie </w:t>
            </w:r>
            <w:r w:rsidR="0050235B" w:rsidRPr="003D1E8B">
              <w:rPr>
                <w:lang w:val="fr-FR"/>
              </w:rPr>
              <w:t xml:space="preserve">sur </w:t>
            </w:r>
            <w:r w:rsidR="001C28BA" w:rsidRPr="003D1E8B">
              <w:rPr>
                <w:lang w:val="fr-FR"/>
              </w:rPr>
              <w:t>le rapport présenté à la réunion du GCDT tenue du 24 au 28</w:t>
            </w:r>
            <w:r w:rsidR="00E21D1A" w:rsidRPr="003D1E8B">
              <w:rPr>
                <w:lang w:val="fr-FR"/>
              </w:rPr>
              <w:t> </w:t>
            </w:r>
            <w:r w:rsidR="001C28BA" w:rsidRPr="003D1E8B">
              <w:rPr>
                <w:lang w:val="fr-FR"/>
              </w:rPr>
              <w:t>mai</w:t>
            </w:r>
            <w:r w:rsidR="00E21D1A" w:rsidRPr="003D1E8B">
              <w:rPr>
                <w:lang w:val="fr-FR"/>
              </w:rPr>
              <w:t> </w:t>
            </w:r>
            <w:r w:rsidR="001C28BA" w:rsidRPr="003D1E8B">
              <w:rPr>
                <w:lang w:val="fr-FR"/>
              </w:rPr>
              <w:t xml:space="preserve">2021 (Document </w:t>
            </w:r>
            <w:hyperlink r:id="rId10" w:history="1">
              <w:r w:rsidR="001C28BA" w:rsidRPr="003D1E8B">
                <w:rPr>
                  <w:rStyle w:val="Hyperlink"/>
                  <w:lang w:val="fr-FR"/>
                </w:rPr>
                <w:t>TDAG-21/12</w:t>
              </w:r>
            </w:hyperlink>
            <w:r w:rsidR="001C28BA" w:rsidRPr="003D1E8B">
              <w:rPr>
                <w:lang w:val="fr-FR"/>
              </w:rPr>
              <w:t xml:space="preserve">). Il </w:t>
            </w:r>
            <w:r w:rsidRPr="003D1E8B">
              <w:rPr>
                <w:lang w:val="fr-FR"/>
              </w:rPr>
              <w:t>donne un aperçu de l'évolution de la composition de l'UIT</w:t>
            </w:r>
            <w:r w:rsidR="00E21D1A" w:rsidRPr="003D1E8B">
              <w:rPr>
                <w:lang w:val="fr-FR"/>
              </w:rPr>
              <w:noBreakHyphen/>
            </w:r>
            <w:r w:rsidRPr="003D1E8B">
              <w:rPr>
                <w:lang w:val="fr-FR"/>
              </w:rPr>
              <w:t>D</w:t>
            </w:r>
            <w:r w:rsidR="00E83EE4" w:rsidRPr="003D1E8B">
              <w:rPr>
                <w:lang w:val="fr-FR"/>
              </w:rPr>
              <w:t xml:space="preserve"> en 2021</w:t>
            </w:r>
            <w:r w:rsidRPr="003D1E8B">
              <w:rPr>
                <w:lang w:val="fr-FR"/>
              </w:rPr>
              <w:t xml:space="preserve">. </w:t>
            </w:r>
            <w:r w:rsidR="006E4D25" w:rsidRPr="003D1E8B">
              <w:rPr>
                <w:lang w:val="fr-FR"/>
              </w:rPr>
              <w:t>On y trouve</w:t>
            </w:r>
            <w:r w:rsidR="00632E82" w:rsidRPr="003D1E8B">
              <w:rPr>
                <w:lang w:val="fr-FR"/>
              </w:rPr>
              <w:t xml:space="preserve"> </w:t>
            </w:r>
            <w:r w:rsidR="006E4D25" w:rsidRPr="003D1E8B">
              <w:rPr>
                <w:lang w:val="fr-FR"/>
              </w:rPr>
              <w:t>également</w:t>
            </w:r>
            <w:r w:rsidRPr="003D1E8B">
              <w:rPr>
                <w:lang w:val="fr-FR"/>
              </w:rPr>
              <w:t xml:space="preserve"> des recommandations concernant les mesures </w:t>
            </w:r>
            <w:r w:rsidR="000A2895" w:rsidRPr="003D1E8B">
              <w:rPr>
                <w:lang w:val="fr-FR"/>
              </w:rPr>
              <w:t>visant à</w:t>
            </w:r>
            <w:r w:rsidR="00EF2EEF" w:rsidRPr="003D1E8B">
              <w:rPr>
                <w:lang w:val="fr-FR"/>
              </w:rPr>
              <w:t xml:space="preserve"> </w:t>
            </w:r>
            <w:r w:rsidR="006E4D25" w:rsidRPr="003D1E8B">
              <w:rPr>
                <w:lang w:val="fr-FR"/>
              </w:rPr>
              <w:t xml:space="preserve">intensifier </w:t>
            </w:r>
            <w:r w:rsidR="00EF2EEF" w:rsidRPr="003D1E8B">
              <w:rPr>
                <w:lang w:val="fr-FR"/>
              </w:rPr>
              <w:t>les efforts consentis pour</w:t>
            </w:r>
            <w:r w:rsidR="00632E82" w:rsidRPr="003D1E8B">
              <w:rPr>
                <w:lang w:val="fr-FR"/>
              </w:rPr>
              <w:t xml:space="preserve"> </w:t>
            </w:r>
            <w:r w:rsidR="006E4D25" w:rsidRPr="003D1E8B">
              <w:rPr>
                <w:color w:val="000000"/>
                <w:lang w:val="fr-FR"/>
              </w:rPr>
              <w:t>garder</w:t>
            </w:r>
            <w:r w:rsidR="00632E82" w:rsidRPr="003D1E8B">
              <w:rPr>
                <w:color w:val="000000"/>
                <w:lang w:val="fr-FR"/>
              </w:rPr>
              <w:t xml:space="preserve"> </w:t>
            </w:r>
            <w:r w:rsidR="006E4D25" w:rsidRPr="003D1E8B">
              <w:rPr>
                <w:color w:val="000000"/>
                <w:lang w:val="fr-FR"/>
              </w:rPr>
              <w:t xml:space="preserve">davantage de membres et en </w:t>
            </w:r>
            <w:r w:rsidR="005D711F" w:rsidRPr="003D1E8B">
              <w:rPr>
                <w:lang w:val="fr-FR"/>
              </w:rPr>
              <w:t>attirer de nouveaux</w:t>
            </w:r>
            <w:r w:rsidR="00826E44" w:rsidRPr="003D1E8B">
              <w:rPr>
                <w:lang w:val="fr-FR"/>
              </w:rPr>
              <w:t xml:space="preserve">. </w:t>
            </w:r>
            <w:r w:rsidR="00D605BD" w:rsidRPr="003D1E8B">
              <w:rPr>
                <w:lang w:val="fr-FR"/>
              </w:rPr>
              <w:t>L'UIT</w:t>
            </w:r>
            <w:r w:rsidR="00187554" w:rsidRPr="003D1E8B">
              <w:rPr>
                <w:lang w:val="fr-FR"/>
              </w:rPr>
              <w:t>-D comprend</w:t>
            </w:r>
            <w:r w:rsidRPr="003D1E8B">
              <w:rPr>
                <w:lang w:val="fr-FR"/>
              </w:rPr>
              <w:t xml:space="preserve"> des Membres de Secteur, des Associés et des établissements universitaires</w:t>
            </w:r>
            <w:bookmarkStart w:id="6" w:name="dorlang"/>
            <w:bookmarkEnd w:id="6"/>
            <w:r w:rsidRPr="003D1E8B">
              <w:rPr>
                <w:rStyle w:val="FootnoteReference"/>
                <w:lang w:val="fr-FR"/>
              </w:rPr>
              <w:footnoteReference w:id="1"/>
            </w:r>
            <w:r w:rsidRPr="003D1E8B">
              <w:rPr>
                <w:lang w:val="fr-FR"/>
              </w:rPr>
              <w:t>.</w:t>
            </w:r>
          </w:p>
          <w:p w14:paraId="238E500E" w14:textId="33A88DD0" w:rsidR="00A721F4" w:rsidRPr="003D1E8B" w:rsidRDefault="00D37A23" w:rsidP="00426639">
            <w:pPr>
              <w:spacing w:after="120"/>
              <w:rPr>
                <w:b/>
                <w:bCs/>
                <w:szCs w:val="24"/>
                <w:lang w:val="fr-FR"/>
              </w:rPr>
            </w:pPr>
            <w:r w:rsidRPr="003D1E8B">
              <w:rPr>
                <w:b/>
                <w:bCs/>
                <w:lang w:val="fr-FR"/>
              </w:rPr>
              <w:t>Suite à donner</w:t>
            </w:r>
            <w:r w:rsidR="00A721F4" w:rsidRPr="003D1E8B">
              <w:rPr>
                <w:b/>
                <w:bCs/>
                <w:lang w:val="fr-FR"/>
              </w:rPr>
              <w:t>:</w:t>
            </w:r>
          </w:p>
          <w:p w14:paraId="1032B5F3" w14:textId="7040EA6A" w:rsidR="005221A2" w:rsidRPr="003D1E8B" w:rsidRDefault="0031739D" w:rsidP="00426639">
            <w:pPr>
              <w:spacing w:after="120"/>
              <w:rPr>
                <w:szCs w:val="24"/>
                <w:lang w:val="fr-FR"/>
              </w:rPr>
            </w:pPr>
            <w:r w:rsidRPr="003D1E8B">
              <w:rPr>
                <w:lang w:val="fr-FR"/>
              </w:rPr>
              <w:t>Le GCDT est invité à prendre note du présent document et à fournir les orientations qu'il jugera nécessaires.</w:t>
            </w:r>
          </w:p>
          <w:p w14:paraId="4E7A67C4" w14:textId="318D14E2" w:rsidR="00A721F4" w:rsidRPr="003D1E8B" w:rsidRDefault="00A721F4" w:rsidP="00426639">
            <w:pPr>
              <w:spacing w:after="120"/>
              <w:rPr>
                <w:b/>
                <w:bCs/>
                <w:szCs w:val="24"/>
                <w:lang w:val="fr-FR"/>
              </w:rPr>
            </w:pPr>
            <w:r w:rsidRPr="003D1E8B">
              <w:rPr>
                <w:b/>
                <w:bCs/>
                <w:szCs w:val="24"/>
                <w:lang w:val="fr-FR"/>
              </w:rPr>
              <w:t>R</w:t>
            </w:r>
            <w:r w:rsidR="00D37A23" w:rsidRPr="003D1E8B">
              <w:rPr>
                <w:b/>
                <w:bCs/>
                <w:szCs w:val="24"/>
                <w:lang w:val="fr-FR"/>
              </w:rPr>
              <w:t>é</w:t>
            </w:r>
            <w:r w:rsidRPr="003D1E8B">
              <w:rPr>
                <w:b/>
                <w:bCs/>
                <w:szCs w:val="24"/>
                <w:lang w:val="fr-FR"/>
              </w:rPr>
              <w:t>f</w:t>
            </w:r>
            <w:r w:rsidR="00D37A23" w:rsidRPr="003D1E8B">
              <w:rPr>
                <w:b/>
                <w:bCs/>
                <w:szCs w:val="24"/>
                <w:lang w:val="fr-FR"/>
              </w:rPr>
              <w:t>é</w:t>
            </w:r>
            <w:r w:rsidRPr="003D1E8B">
              <w:rPr>
                <w:b/>
                <w:bCs/>
                <w:szCs w:val="24"/>
                <w:lang w:val="fr-FR"/>
              </w:rPr>
              <w:t>rences:</w:t>
            </w:r>
          </w:p>
          <w:p w14:paraId="48EBB74C" w14:textId="293786D4" w:rsidR="00A721F4" w:rsidRPr="003D1E8B" w:rsidRDefault="0031739D" w:rsidP="00426639">
            <w:pPr>
              <w:spacing w:after="120"/>
              <w:rPr>
                <w:szCs w:val="24"/>
                <w:lang w:val="fr-FR"/>
              </w:rPr>
            </w:pPr>
            <w:r w:rsidRPr="003D1E8B">
              <w:rPr>
                <w:lang w:val="fr-FR"/>
              </w:rPr>
              <w:t>Résolution 71 (Rév.Buenos Aires, 2017) de la CMDT; Résolutions 169 (Rév.Dubaï, 2018), 205 (Dubaï, 2018) et 209 (Dubaï, 2018) de la Conférence de plénipotentiaires.</w:t>
            </w:r>
          </w:p>
        </w:tc>
      </w:tr>
    </w:tbl>
    <w:p w14:paraId="54B2E332" w14:textId="64BD3458" w:rsidR="00D24347" w:rsidRPr="003D1E8B" w:rsidRDefault="00D24347" w:rsidP="00426639">
      <w:pPr>
        <w:spacing w:before="240"/>
        <w:rPr>
          <w:lang w:val="fr-FR"/>
        </w:rPr>
      </w:pPr>
      <w:r w:rsidRPr="003D1E8B">
        <w:rPr>
          <w:lang w:val="fr-FR"/>
        </w:rPr>
        <w:br w:type="page"/>
      </w:r>
    </w:p>
    <w:p w14:paraId="51990AFC" w14:textId="77777777" w:rsidR="00A77779" w:rsidRPr="003D1E8B" w:rsidRDefault="00A77779" w:rsidP="00426639">
      <w:pPr>
        <w:pStyle w:val="Heading1"/>
        <w:rPr>
          <w:lang w:val="fr-FR"/>
        </w:rPr>
      </w:pPr>
      <w:r w:rsidRPr="003D1E8B">
        <w:rPr>
          <w:lang w:val="fr-FR"/>
        </w:rPr>
        <w:lastRenderedPageBreak/>
        <w:t>1</w:t>
      </w:r>
      <w:r w:rsidRPr="003D1E8B">
        <w:rPr>
          <w:lang w:val="fr-FR"/>
        </w:rPr>
        <w:tab/>
        <w:t>Rappel</w:t>
      </w:r>
    </w:p>
    <w:p w14:paraId="77473EB5" w14:textId="308F0761" w:rsidR="00A77779" w:rsidRPr="003D1E8B" w:rsidRDefault="00A77779" w:rsidP="00426639">
      <w:pPr>
        <w:rPr>
          <w:lang w:val="fr-FR"/>
        </w:rPr>
      </w:pPr>
      <w:r w:rsidRPr="003D1E8B">
        <w:rPr>
          <w:lang w:val="fr-FR"/>
        </w:rPr>
        <w:t>La Conférence mondiale de développement des télécommunications tenue en 2017 (CMDT-17) a modifié et adopté la Résolution 71 (Rév.Buenos Aires, 2017)</w:t>
      </w:r>
      <w:r w:rsidR="00E21D1A" w:rsidRPr="003D1E8B">
        <w:rPr>
          <w:rStyle w:val="FootnoteReference"/>
          <w:lang w:val="fr-FR"/>
        </w:rPr>
        <w:footnoteReference w:id="2"/>
      </w:r>
      <w:r w:rsidR="006E4D25" w:rsidRPr="003D1E8B">
        <w:rPr>
          <w:lang w:val="fr-FR"/>
        </w:rPr>
        <w:t xml:space="preserve">, </w:t>
      </w:r>
      <w:r w:rsidRPr="003D1E8B">
        <w:rPr>
          <w:lang w:val="fr-FR"/>
        </w:rPr>
        <w:t xml:space="preserve">afin de promouvoir une participation active des actuels Membres de Secteur, Associés et établissements universitaires participant aux activités de l'UIT-D, y compris la participation aux travaux des </w:t>
      </w:r>
      <w:r w:rsidR="00E21D1A" w:rsidRPr="003D1E8B">
        <w:rPr>
          <w:lang w:val="fr-FR"/>
        </w:rPr>
        <w:t>C</w:t>
      </w:r>
      <w:r w:rsidR="006E4D25" w:rsidRPr="003D1E8B">
        <w:rPr>
          <w:lang w:val="fr-FR"/>
        </w:rPr>
        <w:t xml:space="preserve">ommissions </w:t>
      </w:r>
      <w:r w:rsidRPr="003D1E8B">
        <w:rPr>
          <w:lang w:val="fr-FR"/>
        </w:rPr>
        <w:t>d'études de l'UIT-D – et d'attirer de nouveaux membres des secteurs public, privé et universitaire.</w:t>
      </w:r>
    </w:p>
    <w:p w14:paraId="033DABCE" w14:textId="09C852A1" w:rsidR="00A77779" w:rsidRPr="003D1E8B" w:rsidRDefault="00A77779" w:rsidP="00426639">
      <w:pPr>
        <w:rPr>
          <w:lang w:val="fr-FR"/>
        </w:rPr>
      </w:pPr>
      <w:r w:rsidRPr="003D1E8B">
        <w:rPr>
          <w:lang w:val="fr-FR"/>
        </w:rPr>
        <w:t xml:space="preserve">La Résolution 71 (Rév.Buenos Aires, 2017) a mis davantage en lumière </w:t>
      </w:r>
      <w:r w:rsidR="000B27A9" w:rsidRPr="003D1E8B">
        <w:rPr>
          <w:lang w:val="fr-FR"/>
        </w:rPr>
        <w:t>le</w:t>
      </w:r>
      <w:r w:rsidRPr="003D1E8B">
        <w:rPr>
          <w:lang w:val="fr-FR"/>
        </w:rPr>
        <w:t xml:space="preserve"> rôle du secteur privé au sein de l'UIT-D, </w:t>
      </w:r>
      <w:r w:rsidR="006E4D25" w:rsidRPr="003D1E8B">
        <w:rPr>
          <w:lang w:val="fr-FR"/>
        </w:rPr>
        <w:t>et a chargé</w:t>
      </w:r>
      <w:r w:rsidR="00632E82" w:rsidRPr="003D1E8B">
        <w:rPr>
          <w:lang w:val="fr-FR"/>
        </w:rPr>
        <w:t xml:space="preserve"> </w:t>
      </w:r>
      <w:r w:rsidRPr="003D1E8B">
        <w:rPr>
          <w:lang w:val="fr-FR"/>
        </w:rPr>
        <w:t>le BDT</w:t>
      </w:r>
      <w:r w:rsidR="00632E82" w:rsidRPr="003D1E8B">
        <w:rPr>
          <w:lang w:val="fr-FR"/>
        </w:rPr>
        <w:t xml:space="preserve"> </w:t>
      </w:r>
      <w:r w:rsidRPr="003D1E8B">
        <w:rPr>
          <w:lang w:val="fr-FR"/>
        </w:rPr>
        <w:t>de continuer d'organiser des réunions de hauts dirigeants du secteur, par exemple des réunions du Groupe consultatif de professionnels chargé des questions de développement (IAGDI</w:t>
      </w:r>
      <w:r w:rsidR="000B6E94" w:rsidRPr="003D1E8B">
        <w:rPr>
          <w:lang w:val="fr-FR"/>
        </w:rPr>
        <w:t>) et des</w:t>
      </w:r>
      <w:r w:rsidRPr="003D1E8B">
        <w:rPr>
          <w:lang w:val="fr-FR"/>
        </w:rPr>
        <w:t xml:space="preserve"> réunions des Directeurs de la réglementation du secteur privé.</w:t>
      </w:r>
    </w:p>
    <w:p w14:paraId="6FF4AFA9" w14:textId="30E6650C" w:rsidR="00A77779" w:rsidRPr="003D1E8B" w:rsidRDefault="00A77779" w:rsidP="00426639">
      <w:pPr>
        <w:pStyle w:val="Heading1"/>
        <w:rPr>
          <w:lang w:val="fr-FR"/>
        </w:rPr>
      </w:pPr>
      <w:r w:rsidRPr="003D1E8B">
        <w:rPr>
          <w:lang w:val="fr-FR"/>
        </w:rPr>
        <w:t>2</w:t>
      </w:r>
      <w:r w:rsidRPr="003D1E8B">
        <w:rPr>
          <w:lang w:val="fr-FR"/>
        </w:rPr>
        <w:tab/>
      </w:r>
      <w:r w:rsidR="00EF23A8" w:rsidRPr="003D1E8B">
        <w:rPr>
          <w:lang w:val="fr-FR"/>
        </w:rPr>
        <w:t>Évolution de la c</w:t>
      </w:r>
      <w:r w:rsidRPr="003D1E8B">
        <w:rPr>
          <w:lang w:val="fr-FR"/>
        </w:rPr>
        <w:t>omposition de l'UIT-D</w:t>
      </w:r>
    </w:p>
    <w:p w14:paraId="1903DE96" w14:textId="6FA12298" w:rsidR="00A77779" w:rsidRPr="003D1E8B" w:rsidRDefault="00E21D1A" w:rsidP="00426639">
      <w:pPr>
        <w:spacing w:after="480"/>
        <w:rPr>
          <w:lang w:val="fr-FR"/>
        </w:rPr>
      </w:pPr>
      <w:r w:rsidRPr="003D1E8B">
        <w:rPr>
          <w:noProof/>
          <w:lang w:val="fr-FR"/>
        </w:rPr>
        <mc:AlternateContent>
          <mc:Choice Requires="wps">
            <w:drawing>
              <wp:anchor distT="45720" distB="45720" distL="114300" distR="114300" simplePos="0" relativeHeight="251641856" behindDoc="0" locked="0" layoutInCell="1" allowOverlap="1" wp14:anchorId="5032EB56" wp14:editId="610B338A">
                <wp:simplePos x="0" y="0"/>
                <wp:positionH relativeFrom="column">
                  <wp:posOffset>432435</wp:posOffset>
                </wp:positionH>
                <wp:positionV relativeFrom="paragraph">
                  <wp:posOffset>894826</wp:posOffset>
                </wp:positionV>
                <wp:extent cx="5795921" cy="5486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548640"/>
                        </a:xfrm>
                        <a:prstGeom prst="rect">
                          <a:avLst/>
                        </a:prstGeom>
                        <a:solidFill>
                          <a:srgbClr val="FFFFFF"/>
                        </a:solidFill>
                        <a:ln w="9525">
                          <a:noFill/>
                          <a:miter lim="800000"/>
                          <a:headEnd/>
                          <a:tailEnd/>
                        </a:ln>
                      </wps:spPr>
                      <wps:txbx>
                        <w:txbxContent>
                          <w:p w14:paraId="60FC89E1" w14:textId="2BFFD47C" w:rsidR="00E21D1A" w:rsidRPr="00E21D1A" w:rsidRDefault="00E21D1A" w:rsidP="00E21D1A">
                            <w:pPr>
                              <w:spacing w:before="0"/>
                              <w:jc w:val="center"/>
                              <w:rPr>
                                <w:b/>
                                <w:bCs/>
                                <w:sz w:val="22"/>
                                <w:szCs w:val="18"/>
                                <w:lang w:val="fr-CH"/>
                              </w:rPr>
                            </w:pPr>
                            <w:r w:rsidRPr="00E21D1A">
                              <w:rPr>
                                <w:b/>
                                <w:bCs/>
                                <w:sz w:val="22"/>
                                <w:szCs w:val="18"/>
                                <w:lang w:val="fr-CH"/>
                              </w:rPr>
                              <w:t>Graphique 1</w:t>
                            </w:r>
                            <w:r w:rsidR="00FB29C7">
                              <w:rPr>
                                <w:b/>
                                <w:bCs/>
                                <w:sz w:val="22"/>
                                <w:szCs w:val="18"/>
                                <w:lang w:val="fr-CH"/>
                              </w:rPr>
                              <w:t xml:space="preserve"> −</w:t>
                            </w:r>
                            <w:r w:rsidRPr="00E21D1A">
                              <w:rPr>
                                <w:b/>
                                <w:bCs/>
                                <w:sz w:val="22"/>
                                <w:szCs w:val="18"/>
                                <w:lang w:val="fr-CH"/>
                              </w:rPr>
                              <w:t xml:space="preserve"> Évolution de la composition de l'UIT-D (Membres de Secteur, Associés et établissements universitaires participant aux travaux de l'UIT-D) – Croissance en chiffres absolus</w:t>
                            </w:r>
                          </w:p>
                          <w:p w14:paraId="1C176E59" w14:textId="53426437" w:rsidR="00E21D1A" w:rsidRPr="00A77779" w:rsidRDefault="00E21D1A" w:rsidP="00E21D1A">
                            <w:pPr>
                              <w:spacing w:before="0"/>
                              <w:jc w:val="center"/>
                              <w:rPr>
                                <w:b/>
                                <w:bCs/>
                                <w:sz w:val="22"/>
                                <w:szCs w:val="18"/>
                                <w:lang w:val="fr-CH"/>
                              </w:rPr>
                            </w:pPr>
                            <w:r w:rsidRPr="00E21D1A">
                              <w:rPr>
                                <w:b/>
                                <w:bCs/>
                                <w:sz w:val="22"/>
                                <w:szCs w:val="18"/>
                                <w:lang w:val="fr-CH"/>
                              </w:rPr>
                              <w:t>(décembre 2020 et septembre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32EB56" id="_x0000_t202" coordsize="21600,21600" o:spt="202" path="m,l,21600r21600,l21600,xe">
                <v:stroke joinstyle="miter"/>
                <v:path gradientshapeok="t" o:connecttype="rect"/>
              </v:shapetype>
              <v:shape id="Text Box 2" o:spid="_x0000_s1026" type="#_x0000_t202" style="position:absolute;margin-left:34.05pt;margin-top:70.45pt;width:456.35pt;height:43.2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" stroked="f">
                <v:textbox inset="0,0,0,0">
                  <w:txbxContent>
                    <w:p w14:paraId="60FC89E1" w14:textId="2BFFD47C" w:rsidR="00E21D1A" w:rsidRPr="00E21D1A" w:rsidRDefault="00E21D1A" w:rsidP="00E21D1A">
                      <w:pPr>
                        <w:spacing w:before="0"/>
                        <w:jc w:val="center"/>
                        <w:rPr>
                          <w:b/>
                          <w:bCs/>
                          <w:sz w:val="22"/>
                          <w:szCs w:val="18"/>
                          <w:lang w:val="fr-CH"/>
                        </w:rPr>
                      </w:pPr>
                      <w:r w:rsidRPr="00E21D1A">
                        <w:rPr>
                          <w:b/>
                          <w:bCs/>
                          <w:sz w:val="22"/>
                          <w:szCs w:val="18"/>
                          <w:lang w:val="fr-CH"/>
                        </w:rPr>
                        <w:t>Graphique 1</w:t>
                      </w:r>
                      <w:r w:rsidR="00FB29C7">
                        <w:rPr>
                          <w:b/>
                          <w:bCs/>
                          <w:sz w:val="22"/>
                          <w:szCs w:val="18"/>
                          <w:lang w:val="fr-CH"/>
                        </w:rPr>
                        <w:t xml:space="preserve"> −</w:t>
                      </w:r>
                      <w:r w:rsidRPr="00E21D1A">
                        <w:rPr>
                          <w:b/>
                          <w:bCs/>
                          <w:sz w:val="22"/>
                          <w:szCs w:val="18"/>
                          <w:lang w:val="fr-CH"/>
                        </w:rPr>
                        <w:t xml:space="preserve"> Évolution de la composition de l'UIT-D (Membres de Secteur, Associés et établissements universitaires participant aux travaux de l'UIT-D) – Croissance en chiffres absolus</w:t>
                      </w:r>
                    </w:p>
                    <w:p w14:paraId="1C176E59" w14:textId="53426437" w:rsidR="00E21D1A" w:rsidRPr="00A77779" w:rsidRDefault="00E21D1A" w:rsidP="00E21D1A">
                      <w:pPr>
                        <w:spacing w:before="0"/>
                        <w:jc w:val="center"/>
                        <w:rPr>
                          <w:b/>
                          <w:bCs/>
                          <w:sz w:val="22"/>
                          <w:szCs w:val="18"/>
                          <w:lang w:val="fr-CH"/>
                        </w:rPr>
                      </w:pPr>
                      <w:r w:rsidRPr="00E21D1A">
                        <w:rPr>
                          <w:b/>
                          <w:bCs/>
                          <w:sz w:val="22"/>
                          <w:szCs w:val="18"/>
                          <w:lang w:val="fr-CH"/>
                        </w:rPr>
                        <w:t>(décembre 2020 et septembre 2021)</w:t>
                      </w:r>
                    </w:p>
                  </w:txbxContent>
                </v:textbox>
              </v:shape>
            </w:pict>
          </mc:Fallback>
        </mc:AlternateContent>
      </w:r>
      <w:r w:rsidR="004E42B0" w:rsidRPr="003D1E8B">
        <w:rPr>
          <w:lang w:val="fr-FR"/>
        </w:rPr>
        <w:t xml:space="preserve">Le </w:t>
      </w:r>
      <w:r w:rsidR="006E4D25" w:rsidRPr="00B74EE0">
        <w:rPr>
          <w:b/>
          <w:bCs/>
          <w:lang w:val="fr-FR"/>
        </w:rPr>
        <w:t xml:space="preserve">Graphique </w:t>
      </w:r>
      <w:r w:rsidR="00982BC5" w:rsidRPr="00B74EE0">
        <w:rPr>
          <w:b/>
          <w:bCs/>
          <w:lang w:val="fr-FR"/>
        </w:rPr>
        <w:t>1</w:t>
      </w:r>
      <w:r w:rsidR="00A77779" w:rsidRPr="003D1E8B">
        <w:rPr>
          <w:lang w:val="fr-FR"/>
        </w:rPr>
        <w:t xml:space="preserve"> ci-dessous</w:t>
      </w:r>
      <w:r w:rsidR="00632E82" w:rsidRPr="003D1E8B">
        <w:rPr>
          <w:lang w:val="fr-FR"/>
        </w:rPr>
        <w:t xml:space="preserve"> </w:t>
      </w:r>
      <w:r w:rsidR="006E4D25" w:rsidRPr="003D1E8B">
        <w:rPr>
          <w:lang w:val="fr-FR"/>
        </w:rPr>
        <w:t xml:space="preserve">illustre </w:t>
      </w:r>
      <w:r w:rsidR="00A77779" w:rsidRPr="003D1E8B">
        <w:rPr>
          <w:lang w:val="fr-FR"/>
        </w:rPr>
        <w:t>l'évolution de la composition de l'UIT-D (Membres de Secteur, Associés et établissements universitaires)</w:t>
      </w:r>
      <w:r w:rsidR="006E4D25" w:rsidRPr="003D1E8B">
        <w:rPr>
          <w:lang w:val="fr-FR"/>
        </w:rPr>
        <w:t xml:space="preserve"> et</w:t>
      </w:r>
      <w:r w:rsidR="00632E82" w:rsidRPr="003D1E8B">
        <w:rPr>
          <w:lang w:val="fr-FR"/>
        </w:rPr>
        <w:t xml:space="preserve"> </w:t>
      </w:r>
      <w:r w:rsidR="006E4D25" w:rsidRPr="003D1E8B">
        <w:rPr>
          <w:lang w:val="fr-FR"/>
        </w:rPr>
        <w:t xml:space="preserve">indique </w:t>
      </w:r>
      <w:r w:rsidR="00753D50" w:rsidRPr="003D1E8B">
        <w:rPr>
          <w:lang w:val="fr-FR"/>
        </w:rPr>
        <w:t xml:space="preserve">en chiffres absolus </w:t>
      </w:r>
      <w:r w:rsidR="006F6EED" w:rsidRPr="003D1E8B">
        <w:rPr>
          <w:lang w:val="fr-FR"/>
        </w:rPr>
        <w:t xml:space="preserve">le nombre de nouveaux </w:t>
      </w:r>
      <w:r w:rsidR="0022706C" w:rsidRPr="003D1E8B">
        <w:rPr>
          <w:lang w:val="fr-FR"/>
        </w:rPr>
        <w:t xml:space="preserve">Membres du Secteur de l'UIT-D et </w:t>
      </w:r>
      <w:r w:rsidR="007E14E5" w:rsidRPr="003D1E8B">
        <w:rPr>
          <w:lang w:val="fr-FR"/>
        </w:rPr>
        <w:t xml:space="preserve">de nouveaux </w:t>
      </w:r>
      <w:r w:rsidR="0022706C" w:rsidRPr="003D1E8B">
        <w:rPr>
          <w:lang w:val="fr-FR"/>
        </w:rPr>
        <w:t xml:space="preserve">établissements universitaires participant aux travaux </w:t>
      </w:r>
      <w:r w:rsidR="00104E1A" w:rsidRPr="003D1E8B">
        <w:rPr>
          <w:lang w:val="fr-FR"/>
        </w:rPr>
        <w:t>de ce Secteur</w:t>
      </w:r>
      <w:r w:rsidR="0022706C" w:rsidRPr="003D1E8B">
        <w:rPr>
          <w:lang w:val="fr-FR"/>
        </w:rPr>
        <w:t xml:space="preserve"> à</w:t>
      </w:r>
      <w:r w:rsidR="006953FB" w:rsidRPr="003D1E8B">
        <w:rPr>
          <w:lang w:val="fr-FR"/>
        </w:rPr>
        <w:t xml:space="preserve"> la fin de décembre 2020 </w:t>
      </w:r>
      <w:r w:rsidR="007E14E5" w:rsidRPr="003D1E8B">
        <w:rPr>
          <w:lang w:val="fr-FR"/>
        </w:rPr>
        <w:t>et en 2021 (janvier</w:t>
      </w:r>
      <w:r w:rsidR="006E4D25" w:rsidRPr="003D1E8B">
        <w:rPr>
          <w:lang w:val="fr-FR"/>
        </w:rPr>
        <w:t xml:space="preserve"> à </w:t>
      </w:r>
      <w:r w:rsidR="007E14E5" w:rsidRPr="003D1E8B">
        <w:rPr>
          <w:lang w:val="fr-FR"/>
        </w:rPr>
        <w:t xml:space="preserve">septembre). </w:t>
      </w:r>
    </w:p>
    <w:p w14:paraId="76DF8FCF" w14:textId="50E206F3" w:rsidR="00C529BD" w:rsidRPr="003D1E8B" w:rsidRDefault="00E21D1A" w:rsidP="00426639">
      <w:pPr>
        <w:keepNext/>
        <w:rPr>
          <w:lang w:val="fr-FR"/>
        </w:rPr>
      </w:pPr>
      <w:r w:rsidRPr="003D1E8B">
        <w:rPr>
          <w:noProof/>
          <w:lang w:val="fr-FR"/>
        </w:rPr>
        <mc:AlternateContent>
          <mc:Choice Requires="wps">
            <w:drawing>
              <wp:anchor distT="45720" distB="45720" distL="114300" distR="114300" simplePos="0" relativeHeight="251640832" behindDoc="0" locked="0" layoutInCell="1" allowOverlap="1" wp14:anchorId="49BBE610" wp14:editId="2BD11C63">
                <wp:simplePos x="0" y="0"/>
                <wp:positionH relativeFrom="column">
                  <wp:posOffset>4340860</wp:posOffset>
                </wp:positionH>
                <wp:positionV relativeFrom="paragraph">
                  <wp:posOffset>2976383</wp:posOffset>
                </wp:positionV>
                <wp:extent cx="1304014"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1404620"/>
                        </a:xfrm>
                        <a:prstGeom prst="rect">
                          <a:avLst/>
                        </a:prstGeom>
                        <a:solidFill>
                          <a:srgbClr val="FFFFFF"/>
                        </a:solidFill>
                        <a:ln w="9525">
                          <a:noFill/>
                          <a:miter lim="800000"/>
                          <a:headEnd/>
                          <a:tailEnd/>
                        </a:ln>
                      </wps:spPr>
                      <wps:txbx>
                        <w:txbxContent>
                          <w:p w14:paraId="0815867C" w14:textId="3E89EE60" w:rsidR="00A77779" w:rsidRPr="00A77779" w:rsidRDefault="00A77779" w:rsidP="00A77779">
                            <w:pPr>
                              <w:spacing w:before="0"/>
                              <w:rPr>
                                <w:b/>
                                <w:bCs/>
                                <w:sz w:val="22"/>
                                <w:szCs w:val="18"/>
                                <w:lang w:val="fr-CH"/>
                              </w:rPr>
                            </w:pPr>
                            <w:r>
                              <w:rPr>
                                <w:b/>
                                <w:bCs/>
                                <w:sz w:val="22"/>
                                <w:szCs w:val="18"/>
                                <w:lang w:val="fr-CH"/>
                              </w:rPr>
                              <w:t>Établissements universitaires</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BBE610" id="_x0000_s1027" type="#_x0000_t202" style="position:absolute;margin-left:341.8pt;margin-top:234.35pt;width:102.7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" stroked="f">
                <v:textbox style="mso-fit-shape-to-text:t" inset="0,0,0,0">
                  <w:txbxContent>
                    <w:p w14:paraId="0815867C" w14:textId="3E89EE60" w:rsidR="00A77779" w:rsidRPr="00A77779" w:rsidRDefault="00A77779" w:rsidP="00A77779">
                      <w:pPr>
                        <w:spacing w:before="0"/>
                        <w:rPr>
                          <w:b/>
                          <w:bCs/>
                          <w:sz w:val="22"/>
                          <w:szCs w:val="18"/>
                          <w:lang w:val="fr-CH"/>
                        </w:rPr>
                      </w:pPr>
                      <w:r>
                        <w:rPr>
                          <w:b/>
                          <w:bCs/>
                          <w:sz w:val="22"/>
                          <w:szCs w:val="18"/>
                          <w:lang w:val="fr-CH"/>
                        </w:rPr>
                        <w:t>Établissements universitaires</w:t>
                      </w:r>
                    </w:p>
                  </w:txbxContent>
                </v:textbox>
              </v:shape>
            </w:pict>
          </mc:Fallback>
        </mc:AlternateContent>
      </w:r>
      <w:r w:rsidRPr="003D1E8B">
        <w:rPr>
          <w:noProof/>
          <w:lang w:val="fr-FR"/>
        </w:rPr>
        <mc:AlternateContent>
          <mc:Choice Requires="wps">
            <w:drawing>
              <wp:anchor distT="45720" distB="45720" distL="114300" distR="114300" simplePos="0" relativeHeight="251639808" behindDoc="0" locked="0" layoutInCell="1" allowOverlap="1" wp14:anchorId="1D62E119" wp14:editId="5F6FB542">
                <wp:simplePos x="0" y="0"/>
                <wp:positionH relativeFrom="column">
                  <wp:posOffset>2222500</wp:posOffset>
                </wp:positionH>
                <wp:positionV relativeFrom="paragraph">
                  <wp:posOffset>3024395</wp:posOffset>
                </wp:positionV>
                <wp:extent cx="738554" cy="261257"/>
                <wp:effectExtent l="0" t="0" r="444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54" cy="261257"/>
                        </a:xfrm>
                        <a:prstGeom prst="rect">
                          <a:avLst/>
                        </a:prstGeom>
                        <a:solidFill>
                          <a:srgbClr val="FFFFFF"/>
                        </a:solidFill>
                        <a:ln w="9525">
                          <a:noFill/>
                          <a:miter lim="800000"/>
                          <a:headEnd/>
                          <a:tailEnd/>
                        </a:ln>
                      </wps:spPr>
                      <wps:txbx>
                        <w:txbxContent>
                          <w:p w14:paraId="65E084C2" w14:textId="79D80B61" w:rsidR="00A77779" w:rsidRPr="00A77779" w:rsidRDefault="00A77779" w:rsidP="00A77779">
                            <w:pPr>
                              <w:spacing w:before="0"/>
                              <w:rPr>
                                <w:b/>
                                <w:bCs/>
                                <w:sz w:val="22"/>
                                <w:szCs w:val="18"/>
                                <w:lang w:val="fr-CH"/>
                              </w:rPr>
                            </w:pPr>
                            <w:r>
                              <w:rPr>
                                <w:b/>
                                <w:bCs/>
                                <w:sz w:val="22"/>
                                <w:szCs w:val="18"/>
                                <w:lang w:val="fr-CH"/>
                              </w:rPr>
                              <w:t>Associés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2E119" id="_x0000_s1028" type="#_x0000_t202" style="position:absolute;margin-left:175pt;margin-top:238.15pt;width:58.15pt;height:20.5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" stroked="f">
                <v:textbox inset="0,0,0,0">
                  <w:txbxContent>
                    <w:p w14:paraId="65E084C2" w14:textId="79D80B61" w:rsidR="00A77779" w:rsidRPr="00A77779" w:rsidRDefault="00A77779" w:rsidP="00A77779">
                      <w:pPr>
                        <w:spacing w:before="0"/>
                        <w:rPr>
                          <w:b/>
                          <w:bCs/>
                          <w:sz w:val="22"/>
                          <w:szCs w:val="18"/>
                          <w:lang w:val="fr-CH"/>
                        </w:rPr>
                      </w:pPr>
                      <w:r>
                        <w:rPr>
                          <w:b/>
                          <w:bCs/>
                          <w:sz w:val="22"/>
                          <w:szCs w:val="18"/>
                          <w:lang w:val="fr-CH"/>
                        </w:rPr>
                        <w:t>Associés</w:t>
                      </w:r>
                    </w:p>
                  </w:txbxContent>
                </v:textbox>
              </v:shape>
            </w:pict>
          </mc:Fallback>
        </mc:AlternateContent>
      </w:r>
      <w:r w:rsidRPr="003D1E8B">
        <w:rPr>
          <w:noProof/>
          <w:lang w:val="fr-FR"/>
        </w:rPr>
        <mc:AlternateContent>
          <mc:Choice Requires="wps">
            <w:drawing>
              <wp:anchor distT="45720" distB="45720" distL="114300" distR="114300" simplePos="0" relativeHeight="251638784" behindDoc="0" locked="0" layoutInCell="1" allowOverlap="1" wp14:anchorId="0AAAECA1" wp14:editId="41907803">
                <wp:simplePos x="0" y="0"/>
                <wp:positionH relativeFrom="column">
                  <wp:posOffset>727710</wp:posOffset>
                </wp:positionH>
                <wp:positionV relativeFrom="paragraph">
                  <wp:posOffset>3025334</wp:posOffset>
                </wp:positionV>
                <wp:extent cx="1304014"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1404620"/>
                        </a:xfrm>
                        <a:prstGeom prst="rect">
                          <a:avLst/>
                        </a:prstGeom>
                        <a:solidFill>
                          <a:srgbClr val="FFFFFF"/>
                        </a:solidFill>
                        <a:ln w="9525">
                          <a:noFill/>
                          <a:miter lim="800000"/>
                          <a:headEnd/>
                          <a:tailEnd/>
                        </a:ln>
                      </wps:spPr>
                      <wps:txbx>
                        <w:txbxContent>
                          <w:p w14:paraId="052BAC41" w14:textId="5013ABA3" w:rsidR="00A77779" w:rsidRPr="00A77779" w:rsidRDefault="00A77779" w:rsidP="00A77779">
                            <w:pPr>
                              <w:spacing w:before="0"/>
                              <w:rPr>
                                <w:b/>
                                <w:bCs/>
                                <w:sz w:val="22"/>
                                <w:szCs w:val="18"/>
                              </w:rPr>
                            </w:pPr>
                            <w:proofErr w:type="spellStart"/>
                            <w:r w:rsidRPr="00A77779">
                              <w:rPr>
                                <w:b/>
                                <w:bCs/>
                                <w:sz w:val="22"/>
                                <w:szCs w:val="18"/>
                              </w:rPr>
                              <w:t>Membres</w:t>
                            </w:r>
                            <w:proofErr w:type="spellEnd"/>
                            <w:r w:rsidRPr="00A77779">
                              <w:rPr>
                                <w:b/>
                                <w:bCs/>
                                <w:sz w:val="22"/>
                                <w:szCs w:val="18"/>
                              </w:rPr>
                              <w:t xml:space="preserve"> de </w:t>
                            </w:r>
                            <w:proofErr w:type="spellStart"/>
                            <w:r w:rsidRPr="00A77779">
                              <w:rPr>
                                <w:b/>
                                <w:bCs/>
                                <w:sz w:val="22"/>
                                <w:szCs w:val="18"/>
                              </w:rPr>
                              <w:t>Secteur</w:t>
                            </w:r>
                            <w:proofErr w:type="spell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AAECA1" id="_x0000_s1029" type="#_x0000_t202" style="position:absolute;margin-left:57.3pt;margin-top:238.2pt;width:102.7pt;height:110.6pt;z-index:2516387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" stroked="f">
                <v:textbox style="mso-fit-shape-to-text:t" inset="0,0,0,0">
                  <w:txbxContent>
                    <w:p w14:paraId="052BAC41" w14:textId="5013ABA3" w:rsidR="00A77779" w:rsidRPr="00A77779" w:rsidRDefault="00A77779" w:rsidP="00A77779">
                      <w:pPr>
                        <w:spacing w:before="0"/>
                        <w:rPr>
                          <w:b/>
                          <w:bCs/>
                          <w:sz w:val="22"/>
                          <w:szCs w:val="18"/>
                        </w:rPr>
                      </w:pPr>
                      <w:proofErr w:type="spellStart"/>
                      <w:r w:rsidRPr="00A77779">
                        <w:rPr>
                          <w:b/>
                          <w:bCs/>
                          <w:sz w:val="22"/>
                          <w:szCs w:val="18"/>
                        </w:rPr>
                        <w:t>Membres</w:t>
                      </w:r>
                      <w:proofErr w:type="spellEnd"/>
                      <w:r w:rsidRPr="00A77779">
                        <w:rPr>
                          <w:b/>
                          <w:bCs/>
                          <w:sz w:val="22"/>
                          <w:szCs w:val="18"/>
                        </w:rPr>
                        <w:t xml:space="preserve"> de </w:t>
                      </w:r>
                      <w:proofErr w:type="spellStart"/>
                      <w:r w:rsidRPr="00A77779">
                        <w:rPr>
                          <w:b/>
                          <w:bCs/>
                          <w:sz w:val="22"/>
                          <w:szCs w:val="18"/>
                        </w:rPr>
                        <w:t>Secteur</w:t>
                      </w:r>
                      <w:proofErr w:type="spellEnd"/>
                    </w:p>
                  </w:txbxContent>
                </v:textbox>
              </v:shape>
            </w:pict>
          </mc:Fallback>
        </mc:AlternateContent>
      </w:r>
      <w:r w:rsidR="00383C87">
        <w:rPr>
          <w:rFonts w:ascii="Calibri" w:hAnsi="Calibri" w:cs="Arial"/>
          <w:noProof/>
          <w:lang w:val="en-US" w:eastAsia="zh-CN"/>
        </w:rPr>
        <w:drawing>
          <wp:inline distT="0" distB="0" distL="0" distR="0" wp14:anchorId="0A31781D" wp14:editId="7F719987">
            <wp:extent cx="6120765" cy="3327400"/>
            <wp:effectExtent l="0" t="0" r="0" b="6350"/>
            <wp:docPr id="12" name="Picture 1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120765" cy="3327400"/>
                    </a:xfrm>
                    <a:prstGeom prst="rect">
                      <a:avLst/>
                    </a:prstGeom>
                  </pic:spPr>
                </pic:pic>
              </a:graphicData>
            </a:graphic>
          </wp:inline>
        </w:drawing>
      </w:r>
    </w:p>
    <w:p w14:paraId="01FD069A" w14:textId="441BD5CA" w:rsidR="00A77779" w:rsidRPr="003D1E8B" w:rsidRDefault="00A77779" w:rsidP="00426639">
      <w:pPr>
        <w:tabs>
          <w:tab w:val="clear" w:pos="794"/>
          <w:tab w:val="left" w:pos="284"/>
        </w:tabs>
        <w:ind w:left="284" w:hanging="284"/>
        <w:rPr>
          <w:rFonts w:ascii="Calibri" w:hAnsi="Calibri" w:cs="Arial"/>
          <w:sz w:val="18"/>
          <w:szCs w:val="14"/>
          <w:lang w:val="fr-FR" w:eastAsia="zh-CN"/>
        </w:rPr>
      </w:pPr>
      <w:r w:rsidRPr="003D1E8B">
        <w:rPr>
          <w:rFonts w:ascii="Calibri" w:hAnsi="Calibri" w:cs="Arial"/>
          <w:sz w:val="18"/>
          <w:szCs w:val="14"/>
          <w:lang w:val="fr-FR" w:eastAsia="zh-CN"/>
        </w:rPr>
        <w:t>*</w:t>
      </w:r>
      <w:r w:rsidR="00E21D1A" w:rsidRPr="003D1E8B">
        <w:rPr>
          <w:rFonts w:ascii="Calibri" w:hAnsi="Calibri" w:cs="Arial"/>
          <w:sz w:val="18"/>
          <w:szCs w:val="14"/>
          <w:lang w:val="fr-FR" w:eastAsia="zh-CN"/>
        </w:rPr>
        <w:tab/>
      </w:r>
      <w:r w:rsidR="007152AB" w:rsidRPr="003D1E8B">
        <w:rPr>
          <w:rFonts w:ascii="Calibri" w:hAnsi="Calibri" w:cs="Arial"/>
          <w:sz w:val="18"/>
          <w:szCs w:val="14"/>
          <w:lang w:val="fr-FR" w:eastAsia="zh-CN"/>
        </w:rPr>
        <w:t>Trois dénonciations de Membres de Secteur</w:t>
      </w:r>
      <w:r w:rsidR="00C47456" w:rsidRPr="003D1E8B">
        <w:rPr>
          <w:rFonts w:ascii="Calibri" w:hAnsi="Calibri" w:cs="Arial"/>
          <w:sz w:val="18"/>
          <w:szCs w:val="14"/>
          <w:lang w:val="fr-FR" w:eastAsia="zh-CN"/>
        </w:rPr>
        <w:t>,</w:t>
      </w:r>
      <w:r w:rsidR="007152AB" w:rsidRPr="003D1E8B">
        <w:rPr>
          <w:rFonts w:ascii="Calibri" w:hAnsi="Calibri" w:cs="Arial"/>
          <w:sz w:val="18"/>
          <w:szCs w:val="14"/>
          <w:lang w:val="fr-FR" w:eastAsia="zh-CN"/>
        </w:rPr>
        <w:t xml:space="preserve"> dont la participation</w:t>
      </w:r>
      <w:r w:rsidR="006E4D25" w:rsidRPr="003D1E8B">
        <w:rPr>
          <w:rFonts w:ascii="Calibri" w:hAnsi="Calibri" w:cs="Arial"/>
          <w:sz w:val="18"/>
          <w:szCs w:val="14"/>
          <w:lang w:val="fr-FR" w:eastAsia="zh-CN"/>
        </w:rPr>
        <w:t xml:space="preserve"> était</w:t>
      </w:r>
      <w:r w:rsidR="007152AB" w:rsidRPr="003D1E8B">
        <w:rPr>
          <w:rFonts w:ascii="Calibri" w:hAnsi="Calibri" w:cs="Arial"/>
          <w:sz w:val="18"/>
          <w:szCs w:val="14"/>
          <w:lang w:val="fr-FR" w:eastAsia="zh-CN"/>
        </w:rPr>
        <w:t xml:space="preserve"> gelée depuis longtemps</w:t>
      </w:r>
      <w:r w:rsidR="00383C87">
        <w:rPr>
          <w:rFonts w:ascii="Calibri" w:hAnsi="Calibri" w:cs="Arial"/>
          <w:sz w:val="18"/>
          <w:szCs w:val="14"/>
          <w:lang w:val="fr-FR" w:eastAsia="zh-CN"/>
        </w:rPr>
        <w:t>,</w:t>
      </w:r>
      <w:r w:rsidR="006E4D25" w:rsidRPr="003D1E8B">
        <w:rPr>
          <w:rFonts w:ascii="Calibri" w:hAnsi="Calibri" w:cs="Arial"/>
          <w:sz w:val="18"/>
          <w:szCs w:val="14"/>
          <w:lang w:val="fr-FR" w:eastAsia="zh-CN"/>
        </w:rPr>
        <w:t xml:space="preserve"> ont été </w:t>
      </w:r>
      <w:r w:rsidR="00E2383F" w:rsidRPr="003D1E8B">
        <w:rPr>
          <w:rFonts w:ascii="Calibri" w:hAnsi="Calibri" w:cs="Arial"/>
          <w:sz w:val="18"/>
          <w:szCs w:val="14"/>
          <w:lang w:val="fr-FR" w:eastAsia="zh-CN"/>
        </w:rPr>
        <w:t>reçues</w:t>
      </w:r>
      <w:r w:rsidR="006E4D25" w:rsidRPr="003D1E8B">
        <w:rPr>
          <w:rFonts w:ascii="Calibri" w:hAnsi="Calibri" w:cs="Arial"/>
          <w:sz w:val="18"/>
          <w:szCs w:val="14"/>
          <w:lang w:val="fr-FR" w:eastAsia="zh-CN"/>
        </w:rPr>
        <w:t xml:space="preserve"> après</w:t>
      </w:r>
      <w:r w:rsidR="00632E82" w:rsidRPr="003D1E8B">
        <w:rPr>
          <w:rFonts w:ascii="Calibri" w:hAnsi="Calibri" w:cs="Arial"/>
          <w:sz w:val="18"/>
          <w:szCs w:val="14"/>
          <w:lang w:val="fr-FR" w:eastAsia="zh-CN"/>
        </w:rPr>
        <w:t xml:space="preserve"> </w:t>
      </w:r>
      <w:r w:rsidR="00E2383F" w:rsidRPr="003D1E8B">
        <w:rPr>
          <w:rFonts w:ascii="Calibri" w:hAnsi="Calibri" w:cs="Arial"/>
          <w:sz w:val="18"/>
          <w:szCs w:val="14"/>
          <w:lang w:val="fr-FR" w:eastAsia="zh-CN"/>
        </w:rPr>
        <w:t xml:space="preserve">la réunion de 2021 du GCDT </w:t>
      </w:r>
      <w:r w:rsidR="006E4D25" w:rsidRPr="003D1E8B">
        <w:rPr>
          <w:rFonts w:ascii="Calibri" w:hAnsi="Calibri" w:cs="Arial"/>
          <w:sz w:val="18"/>
          <w:szCs w:val="14"/>
          <w:lang w:val="fr-FR" w:eastAsia="zh-CN"/>
        </w:rPr>
        <w:t xml:space="preserve">et </w:t>
      </w:r>
      <w:r w:rsidR="00E2383F" w:rsidRPr="003D1E8B">
        <w:rPr>
          <w:rFonts w:ascii="Calibri" w:hAnsi="Calibri" w:cs="Arial"/>
          <w:sz w:val="18"/>
          <w:szCs w:val="14"/>
          <w:lang w:val="fr-FR" w:eastAsia="zh-CN"/>
        </w:rPr>
        <w:t xml:space="preserve">ont été </w:t>
      </w:r>
      <w:r w:rsidR="006E4D25" w:rsidRPr="003D1E8B">
        <w:rPr>
          <w:rFonts w:ascii="Calibri" w:hAnsi="Calibri" w:cs="Arial"/>
          <w:sz w:val="18"/>
          <w:szCs w:val="14"/>
          <w:lang w:val="fr-FR" w:eastAsia="zh-CN"/>
        </w:rPr>
        <w:t>comptabilisées</w:t>
      </w:r>
      <w:r w:rsidR="00632E82" w:rsidRPr="003D1E8B">
        <w:rPr>
          <w:rFonts w:ascii="Calibri" w:hAnsi="Calibri" w:cs="Arial"/>
          <w:sz w:val="18"/>
          <w:szCs w:val="14"/>
          <w:lang w:val="fr-FR" w:eastAsia="zh-CN"/>
        </w:rPr>
        <w:t xml:space="preserve"> </w:t>
      </w:r>
      <w:r w:rsidR="00E2383F" w:rsidRPr="003D1E8B">
        <w:rPr>
          <w:rFonts w:ascii="Calibri" w:hAnsi="Calibri" w:cs="Arial"/>
          <w:sz w:val="18"/>
          <w:szCs w:val="14"/>
          <w:lang w:val="fr-FR" w:eastAsia="zh-CN"/>
        </w:rPr>
        <w:t xml:space="preserve">en tant que pertes en 2020, </w:t>
      </w:r>
      <w:r w:rsidR="008B3631" w:rsidRPr="003D1E8B">
        <w:rPr>
          <w:rFonts w:ascii="Calibri" w:hAnsi="Calibri" w:cs="Arial"/>
          <w:sz w:val="18"/>
          <w:szCs w:val="14"/>
          <w:lang w:val="fr-FR" w:eastAsia="zh-CN"/>
        </w:rPr>
        <w:t xml:space="preserve">conformément </w:t>
      </w:r>
      <w:r w:rsidR="00B45EB4" w:rsidRPr="003D1E8B">
        <w:rPr>
          <w:rFonts w:ascii="Calibri" w:hAnsi="Calibri" w:cs="Arial"/>
          <w:sz w:val="18"/>
          <w:szCs w:val="14"/>
          <w:lang w:val="fr-FR" w:eastAsia="zh-CN"/>
        </w:rPr>
        <w:t>aux</w:t>
      </w:r>
      <w:r w:rsidR="00632E82" w:rsidRPr="003D1E8B">
        <w:rPr>
          <w:rFonts w:ascii="Calibri" w:hAnsi="Calibri" w:cs="Arial"/>
          <w:sz w:val="18"/>
          <w:szCs w:val="14"/>
          <w:lang w:val="fr-FR" w:eastAsia="zh-CN"/>
        </w:rPr>
        <w:t xml:space="preserve"> </w:t>
      </w:r>
      <w:r w:rsidR="006E4D25" w:rsidRPr="003D1E8B">
        <w:rPr>
          <w:rFonts w:ascii="Calibri" w:hAnsi="Calibri" w:cs="Arial"/>
          <w:sz w:val="18"/>
          <w:szCs w:val="14"/>
          <w:lang w:val="fr-FR" w:eastAsia="zh-CN"/>
        </w:rPr>
        <w:t>règlements</w:t>
      </w:r>
      <w:r w:rsidR="00632E82" w:rsidRPr="003D1E8B">
        <w:rPr>
          <w:rFonts w:ascii="Calibri" w:hAnsi="Calibri" w:cs="Arial"/>
          <w:sz w:val="18"/>
          <w:szCs w:val="14"/>
          <w:lang w:val="fr-FR" w:eastAsia="zh-CN"/>
        </w:rPr>
        <w:t xml:space="preserve"> </w:t>
      </w:r>
      <w:r w:rsidR="006E4D25" w:rsidRPr="003D1E8B">
        <w:rPr>
          <w:rFonts w:ascii="Calibri" w:hAnsi="Calibri" w:cs="Arial"/>
          <w:sz w:val="18"/>
          <w:szCs w:val="14"/>
          <w:lang w:val="fr-FR" w:eastAsia="zh-CN"/>
        </w:rPr>
        <w:t xml:space="preserve">de </w:t>
      </w:r>
      <w:r w:rsidR="00107931" w:rsidRPr="003D1E8B">
        <w:rPr>
          <w:rFonts w:ascii="Calibri" w:hAnsi="Calibri" w:cs="Arial"/>
          <w:sz w:val="18"/>
          <w:szCs w:val="14"/>
          <w:lang w:val="fr-FR" w:eastAsia="zh-CN"/>
        </w:rPr>
        <w:t xml:space="preserve">l'UIT. </w:t>
      </w:r>
      <w:r w:rsidR="00D42478" w:rsidRPr="003D1E8B">
        <w:rPr>
          <w:rFonts w:ascii="Calibri" w:hAnsi="Calibri" w:cs="Arial"/>
          <w:sz w:val="18"/>
          <w:szCs w:val="14"/>
          <w:lang w:val="fr-FR" w:eastAsia="zh-CN"/>
        </w:rPr>
        <w:t xml:space="preserve">Le nombre total </w:t>
      </w:r>
      <w:r w:rsidR="006E4D25" w:rsidRPr="003D1E8B">
        <w:rPr>
          <w:rFonts w:ascii="Calibri" w:hAnsi="Calibri" w:cs="Arial"/>
          <w:sz w:val="18"/>
          <w:szCs w:val="14"/>
          <w:lang w:val="fr-FR" w:eastAsia="zh-CN"/>
        </w:rPr>
        <w:t xml:space="preserve">initial </w:t>
      </w:r>
      <w:r w:rsidR="00D42478" w:rsidRPr="003D1E8B">
        <w:rPr>
          <w:rFonts w:ascii="Calibri" w:hAnsi="Calibri" w:cs="Arial"/>
          <w:sz w:val="18"/>
          <w:szCs w:val="14"/>
          <w:lang w:val="fr-FR" w:eastAsia="zh-CN"/>
        </w:rPr>
        <w:t xml:space="preserve">de Membres de Secteur </w:t>
      </w:r>
      <w:r w:rsidR="001D3CB1" w:rsidRPr="003D1E8B">
        <w:rPr>
          <w:rFonts w:ascii="Calibri" w:hAnsi="Calibri" w:cs="Arial"/>
          <w:sz w:val="18"/>
          <w:szCs w:val="14"/>
          <w:lang w:val="fr-FR" w:eastAsia="zh-CN"/>
        </w:rPr>
        <w:t>en</w:t>
      </w:r>
      <w:r w:rsidR="008D1B1F" w:rsidRPr="003D1E8B">
        <w:rPr>
          <w:rFonts w:ascii="Calibri" w:hAnsi="Calibri" w:cs="Arial"/>
          <w:sz w:val="18"/>
          <w:szCs w:val="14"/>
          <w:lang w:val="fr-FR" w:eastAsia="zh-CN"/>
        </w:rPr>
        <w:t>registré en</w:t>
      </w:r>
      <w:r w:rsidR="00D42478" w:rsidRPr="003D1E8B">
        <w:rPr>
          <w:rFonts w:ascii="Calibri" w:hAnsi="Calibri" w:cs="Arial"/>
          <w:sz w:val="18"/>
          <w:szCs w:val="14"/>
          <w:lang w:val="fr-FR" w:eastAsia="zh-CN"/>
        </w:rPr>
        <w:t xml:space="preserve"> décembre 2020 </w:t>
      </w:r>
      <w:r w:rsidR="000013B7" w:rsidRPr="003D1E8B">
        <w:rPr>
          <w:rFonts w:ascii="Calibri" w:hAnsi="Calibri" w:cs="Arial"/>
          <w:sz w:val="18"/>
          <w:szCs w:val="14"/>
          <w:lang w:val="fr-FR" w:eastAsia="zh-CN"/>
        </w:rPr>
        <w:t>s'élève</w:t>
      </w:r>
      <w:r w:rsidR="00D42478" w:rsidRPr="003D1E8B">
        <w:rPr>
          <w:rFonts w:ascii="Calibri" w:hAnsi="Calibri" w:cs="Arial"/>
          <w:sz w:val="18"/>
          <w:szCs w:val="14"/>
          <w:lang w:val="fr-FR" w:eastAsia="zh-CN"/>
        </w:rPr>
        <w:t xml:space="preserve"> désormais officiellement </w:t>
      </w:r>
      <w:r w:rsidR="000013B7" w:rsidRPr="003D1E8B">
        <w:rPr>
          <w:rFonts w:ascii="Calibri" w:hAnsi="Calibri" w:cs="Arial"/>
          <w:sz w:val="18"/>
          <w:szCs w:val="14"/>
          <w:lang w:val="fr-FR" w:eastAsia="zh-CN"/>
        </w:rPr>
        <w:t>à</w:t>
      </w:r>
      <w:r w:rsidR="00F85340" w:rsidRPr="003D1E8B">
        <w:rPr>
          <w:rFonts w:ascii="Calibri" w:hAnsi="Calibri" w:cs="Arial"/>
          <w:sz w:val="18"/>
          <w:szCs w:val="14"/>
          <w:lang w:val="fr-FR" w:eastAsia="zh-CN"/>
        </w:rPr>
        <w:t xml:space="preserve"> 295.</w:t>
      </w:r>
      <w:r w:rsidRPr="003D1E8B">
        <w:rPr>
          <w:rFonts w:ascii="Calibri" w:hAnsi="Calibri" w:cs="Arial"/>
          <w:sz w:val="18"/>
          <w:szCs w:val="14"/>
          <w:lang w:val="fr-FR" w:eastAsia="zh-CN"/>
        </w:rPr>
        <w:t xml:space="preserve"> </w:t>
      </w:r>
    </w:p>
    <w:p w14:paraId="62F2E516" w14:textId="393D8120" w:rsidR="00A77779" w:rsidRPr="003D1E8B" w:rsidRDefault="00F85340" w:rsidP="00426639">
      <w:pPr>
        <w:rPr>
          <w:lang w:val="fr-FR" w:eastAsia="zh-CN"/>
        </w:rPr>
      </w:pPr>
      <w:r w:rsidRPr="003D1E8B">
        <w:rPr>
          <w:lang w:val="fr-FR" w:eastAsia="zh-CN"/>
        </w:rPr>
        <w:t xml:space="preserve">Il y a lieu de noter que </w:t>
      </w:r>
      <w:r w:rsidR="006E4D25" w:rsidRPr="003D1E8B">
        <w:rPr>
          <w:lang w:val="fr-FR" w:eastAsia="zh-CN"/>
        </w:rPr>
        <w:t xml:space="preserve">si </w:t>
      </w:r>
      <w:r w:rsidRPr="003D1E8B">
        <w:rPr>
          <w:lang w:val="fr-FR" w:eastAsia="zh-CN"/>
        </w:rPr>
        <w:t>le nombre d'Associés a diminué</w:t>
      </w:r>
      <w:r w:rsidR="007C024A" w:rsidRPr="003D1E8B">
        <w:rPr>
          <w:lang w:val="fr-FR" w:eastAsia="zh-CN"/>
        </w:rPr>
        <w:t>, c</w:t>
      </w:r>
      <w:r w:rsidR="00E21D1A" w:rsidRPr="003D1E8B">
        <w:rPr>
          <w:lang w:val="fr-FR" w:eastAsia="zh-CN"/>
        </w:rPr>
        <w:t>'</w:t>
      </w:r>
      <w:r w:rsidR="007C024A" w:rsidRPr="003D1E8B">
        <w:rPr>
          <w:lang w:val="fr-FR" w:eastAsia="zh-CN"/>
        </w:rPr>
        <w:t xml:space="preserve">est </w:t>
      </w:r>
      <w:r w:rsidR="00370038" w:rsidRPr="003D1E8B">
        <w:rPr>
          <w:lang w:val="fr-FR" w:eastAsia="zh-CN"/>
        </w:rPr>
        <w:t>principalement</w:t>
      </w:r>
      <w:r w:rsidR="00632E82" w:rsidRPr="003D1E8B">
        <w:rPr>
          <w:lang w:val="fr-FR" w:eastAsia="zh-CN"/>
        </w:rPr>
        <w:t xml:space="preserve"> </w:t>
      </w:r>
      <w:r w:rsidR="007C024A" w:rsidRPr="003D1E8B">
        <w:rPr>
          <w:lang w:val="fr-FR" w:eastAsia="zh-CN"/>
        </w:rPr>
        <w:t>parce que</w:t>
      </w:r>
      <w:r w:rsidR="008479F6" w:rsidRPr="003D1E8B">
        <w:rPr>
          <w:lang w:val="fr-FR" w:eastAsia="zh-CN"/>
        </w:rPr>
        <w:t xml:space="preserve"> certains Associés</w:t>
      </w:r>
      <w:r w:rsidR="00632E82" w:rsidRPr="003D1E8B">
        <w:rPr>
          <w:lang w:val="fr-FR" w:eastAsia="zh-CN"/>
        </w:rPr>
        <w:t xml:space="preserve"> </w:t>
      </w:r>
      <w:r w:rsidR="007C024A" w:rsidRPr="003D1E8B">
        <w:rPr>
          <w:lang w:val="fr-FR" w:eastAsia="zh-CN"/>
        </w:rPr>
        <w:t>qui n</w:t>
      </w:r>
      <w:r w:rsidR="00E21D1A" w:rsidRPr="003D1E8B">
        <w:rPr>
          <w:lang w:val="fr-FR" w:eastAsia="zh-CN"/>
        </w:rPr>
        <w:t>'</w:t>
      </w:r>
      <w:r w:rsidR="00AE241A" w:rsidRPr="003D1E8B">
        <w:rPr>
          <w:lang w:val="fr-FR" w:eastAsia="zh-CN"/>
        </w:rPr>
        <w:t xml:space="preserve">étaient </w:t>
      </w:r>
      <w:r w:rsidR="007C024A" w:rsidRPr="003D1E8B">
        <w:rPr>
          <w:lang w:val="fr-FR" w:eastAsia="zh-CN"/>
        </w:rPr>
        <w:t>pas en mesure de</w:t>
      </w:r>
      <w:r w:rsidR="00632E82" w:rsidRPr="003D1E8B">
        <w:rPr>
          <w:lang w:val="fr-FR" w:eastAsia="zh-CN"/>
        </w:rPr>
        <w:t xml:space="preserve"> </w:t>
      </w:r>
      <w:r w:rsidR="007B3D7C" w:rsidRPr="003D1E8B">
        <w:rPr>
          <w:lang w:val="fr-FR" w:eastAsia="zh-CN"/>
        </w:rPr>
        <w:t>s'acquitter de leurs contributions</w:t>
      </w:r>
      <w:r w:rsidR="007C024A" w:rsidRPr="003D1E8B">
        <w:rPr>
          <w:lang w:val="fr-FR" w:eastAsia="zh-CN"/>
        </w:rPr>
        <w:t xml:space="preserve"> ont été exclus</w:t>
      </w:r>
      <w:r w:rsidR="00A77779" w:rsidRPr="003D1E8B">
        <w:rPr>
          <w:lang w:val="fr-FR" w:eastAsia="zh-CN"/>
        </w:rPr>
        <w:t xml:space="preserve">. </w:t>
      </w:r>
      <w:r w:rsidR="00F905FD" w:rsidRPr="003D1E8B">
        <w:rPr>
          <w:lang w:val="fr-FR" w:eastAsia="zh-CN"/>
        </w:rPr>
        <w:t>On a dénombré trois exclusions</w:t>
      </w:r>
      <w:r w:rsidR="00AE241A" w:rsidRPr="003D1E8B">
        <w:rPr>
          <w:lang w:val="fr-FR" w:eastAsia="zh-CN"/>
        </w:rPr>
        <w:t>,</w:t>
      </w:r>
      <w:r w:rsidR="00B271DF" w:rsidRPr="003D1E8B">
        <w:rPr>
          <w:lang w:val="fr-FR" w:eastAsia="zh-CN"/>
        </w:rPr>
        <w:t xml:space="preserve"> tandis qu'un Associé est devenu Membre de Secteur.</w:t>
      </w:r>
      <w:r w:rsidR="00F905FD" w:rsidRPr="003D1E8B">
        <w:rPr>
          <w:lang w:val="fr-FR" w:eastAsia="zh-CN"/>
        </w:rPr>
        <w:t xml:space="preserve"> </w:t>
      </w:r>
    </w:p>
    <w:p w14:paraId="1B4B5E1B" w14:textId="07C6EF97" w:rsidR="00A77779" w:rsidRPr="003D1E8B" w:rsidRDefault="00343723" w:rsidP="00426639">
      <w:pPr>
        <w:pStyle w:val="Headingb"/>
        <w:rPr>
          <w:lang w:val="fr-FR" w:eastAsia="zh-CN"/>
        </w:rPr>
      </w:pPr>
      <w:r w:rsidRPr="003D1E8B">
        <w:rPr>
          <w:lang w:val="fr-FR" w:eastAsia="zh-CN"/>
        </w:rPr>
        <w:lastRenderedPageBreak/>
        <w:t xml:space="preserve">Nouveaux </w:t>
      </w:r>
      <w:r w:rsidR="00DC02EF" w:rsidRPr="003D1E8B">
        <w:rPr>
          <w:lang w:val="fr-FR" w:eastAsia="zh-CN"/>
        </w:rPr>
        <w:t>M</w:t>
      </w:r>
      <w:r w:rsidRPr="003D1E8B">
        <w:rPr>
          <w:lang w:val="fr-FR" w:eastAsia="zh-CN"/>
        </w:rPr>
        <w:t>embres</w:t>
      </w:r>
      <w:r w:rsidR="00A77779" w:rsidRPr="003D1E8B">
        <w:rPr>
          <w:lang w:val="fr-FR" w:eastAsia="zh-CN"/>
        </w:rPr>
        <w:t>:</w:t>
      </w:r>
    </w:p>
    <w:p w14:paraId="3565E583" w14:textId="125C9958" w:rsidR="00A77779" w:rsidRPr="003D1E8B" w:rsidRDefault="003967F3" w:rsidP="00426639">
      <w:pPr>
        <w:rPr>
          <w:lang w:val="fr-FR" w:eastAsia="zh-CN"/>
        </w:rPr>
      </w:pPr>
      <w:r w:rsidRPr="003D1E8B">
        <w:rPr>
          <w:lang w:val="fr-FR" w:eastAsia="zh-CN"/>
        </w:rPr>
        <w:t>L</w:t>
      </w:r>
      <w:r w:rsidR="00932990" w:rsidRPr="003D1E8B">
        <w:rPr>
          <w:lang w:val="fr-FR" w:eastAsia="zh-CN"/>
        </w:rPr>
        <w:t>e</w:t>
      </w:r>
      <w:r w:rsidRPr="003D1E8B">
        <w:rPr>
          <w:b/>
          <w:bCs/>
          <w:lang w:val="fr-FR" w:eastAsia="zh-CN"/>
        </w:rPr>
        <w:t xml:space="preserve"> </w:t>
      </w:r>
      <w:r w:rsidR="00FB29C7" w:rsidRPr="003D1E8B">
        <w:rPr>
          <w:b/>
          <w:bCs/>
          <w:lang w:val="fr-FR" w:eastAsia="zh-CN"/>
        </w:rPr>
        <w:t>G</w:t>
      </w:r>
      <w:r w:rsidR="00932990" w:rsidRPr="003D1E8B">
        <w:rPr>
          <w:b/>
          <w:bCs/>
          <w:lang w:val="fr-FR" w:eastAsia="zh-CN"/>
        </w:rPr>
        <w:t xml:space="preserve">raphique </w:t>
      </w:r>
      <w:r w:rsidR="00A77779" w:rsidRPr="003D1E8B">
        <w:rPr>
          <w:b/>
          <w:bCs/>
          <w:lang w:val="fr-FR" w:eastAsia="zh-CN"/>
        </w:rPr>
        <w:t>2</w:t>
      </w:r>
      <w:r w:rsidR="00A77779" w:rsidRPr="003D1E8B">
        <w:rPr>
          <w:lang w:val="fr-FR" w:eastAsia="zh-CN"/>
        </w:rPr>
        <w:t xml:space="preserve"> </w:t>
      </w:r>
      <w:r w:rsidRPr="003D1E8B">
        <w:rPr>
          <w:lang w:val="fr-FR" w:eastAsia="zh-CN"/>
        </w:rPr>
        <w:t>ci-dessous montre qu</w:t>
      </w:r>
      <w:r w:rsidR="00E21D1A" w:rsidRPr="003D1E8B">
        <w:rPr>
          <w:lang w:val="fr-FR" w:eastAsia="zh-CN"/>
        </w:rPr>
        <w:t>'</w:t>
      </w:r>
      <w:r w:rsidR="00444EF1" w:rsidRPr="003D1E8B">
        <w:rPr>
          <w:lang w:val="fr-FR" w:eastAsia="zh-CN"/>
        </w:rPr>
        <w:t xml:space="preserve">en septembre 2021, </w:t>
      </w:r>
      <w:r w:rsidR="00383C87">
        <w:rPr>
          <w:b/>
          <w:bCs/>
          <w:lang w:val="fr-FR" w:eastAsia="zh-CN"/>
        </w:rPr>
        <w:t>seize</w:t>
      </w:r>
      <w:r w:rsidR="00444EF1" w:rsidRPr="003D1E8B">
        <w:rPr>
          <w:b/>
          <w:bCs/>
          <w:lang w:val="fr-FR" w:eastAsia="zh-CN"/>
        </w:rPr>
        <w:t xml:space="preserve"> nouveaux </w:t>
      </w:r>
      <w:r w:rsidR="00444EF1" w:rsidRPr="003D1E8B">
        <w:rPr>
          <w:b/>
          <w:bCs/>
          <w:i/>
          <w:iCs/>
          <w:lang w:val="fr-FR" w:eastAsia="zh-CN"/>
        </w:rPr>
        <w:t>Membres de Secteur</w:t>
      </w:r>
      <w:r w:rsidR="00A77779" w:rsidRPr="003D1E8B">
        <w:rPr>
          <w:rStyle w:val="FootnoteReference"/>
          <w:lang w:val="fr-FR"/>
        </w:rPr>
        <w:footnoteReference w:id="3"/>
      </w:r>
      <w:r w:rsidR="00520710" w:rsidRPr="003D1E8B">
        <w:rPr>
          <w:b/>
          <w:bCs/>
          <w:lang w:val="fr-FR" w:eastAsia="zh-CN"/>
        </w:rPr>
        <w:t xml:space="preserve"> </w:t>
      </w:r>
      <w:r w:rsidR="00520710" w:rsidRPr="003D1E8B">
        <w:rPr>
          <w:lang w:val="fr-FR" w:eastAsia="zh-CN"/>
        </w:rPr>
        <w:t>ont rejoint l'UIT-D</w:t>
      </w:r>
      <w:r w:rsidR="00A77779" w:rsidRPr="003D1E8B">
        <w:rPr>
          <w:lang w:val="fr-FR" w:eastAsia="zh-CN"/>
        </w:rPr>
        <w:t xml:space="preserve">. </w:t>
      </w:r>
      <w:r w:rsidR="00444EF1" w:rsidRPr="003D1E8B">
        <w:rPr>
          <w:lang w:val="fr-FR" w:eastAsia="zh-CN"/>
        </w:rPr>
        <w:t xml:space="preserve">Douze </w:t>
      </w:r>
      <w:r w:rsidR="00AE241A" w:rsidRPr="003D1E8B">
        <w:rPr>
          <w:lang w:val="fr-FR" w:eastAsia="zh-CN"/>
        </w:rPr>
        <w:t>d</w:t>
      </w:r>
      <w:r w:rsidR="00E21D1A" w:rsidRPr="003D1E8B">
        <w:rPr>
          <w:lang w:val="fr-FR" w:eastAsia="zh-CN"/>
        </w:rPr>
        <w:t>'</w:t>
      </w:r>
      <w:r w:rsidR="00AE241A" w:rsidRPr="003D1E8B">
        <w:rPr>
          <w:lang w:val="fr-FR" w:eastAsia="zh-CN"/>
        </w:rPr>
        <w:t xml:space="preserve">entre eux </w:t>
      </w:r>
      <w:r w:rsidR="00444EF1" w:rsidRPr="003D1E8B">
        <w:rPr>
          <w:lang w:val="fr-FR" w:eastAsia="zh-CN"/>
        </w:rPr>
        <w:t>sont</w:t>
      </w:r>
      <w:r w:rsidR="00632E82" w:rsidRPr="003D1E8B">
        <w:rPr>
          <w:lang w:val="fr-FR" w:eastAsia="zh-CN"/>
        </w:rPr>
        <w:t xml:space="preserve"> </w:t>
      </w:r>
      <w:r w:rsidR="00556055" w:rsidRPr="003D1E8B">
        <w:rPr>
          <w:lang w:val="fr-FR" w:eastAsia="zh-CN"/>
        </w:rPr>
        <w:t>membres à part entière</w:t>
      </w:r>
      <w:r w:rsidR="00444EF1" w:rsidRPr="003D1E8B">
        <w:rPr>
          <w:lang w:val="fr-FR" w:eastAsia="zh-CN"/>
        </w:rPr>
        <w:t xml:space="preserve"> et </w:t>
      </w:r>
      <w:r w:rsidR="00383C87">
        <w:rPr>
          <w:lang w:val="fr-FR" w:eastAsia="zh-CN"/>
        </w:rPr>
        <w:t>quatre</w:t>
      </w:r>
      <w:r w:rsidR="00632E82" w:rsidRPr="003D1E8B">
        <w:rPr>
          <w:lang w:val="fr-FR" w:eastAsia="zh-CN"/>
        </w:rPr>
        <w:t xml:space="preserve"> </w:t>
      </w:r>
      <w:r w:rsidR="00BE36CF" w:rsidRPr="003D1E8B">
        <w:rPr>
          <w:lang w:val="fr-FR" w:eastAsia="zh-CN"/>
        </w:rPr>
        <w:t xml:space="preserve">mènent </w:t>
      </w:r>
      <w:r w:rsidR="00B577F5" w:rsidRPr="003D1E8B">
        <w:rPr>
          <w:lang w:val="fr-FR" w:eastAsia="zh-CN"/>
        </w:rPr>
        <w:t xml:space="preserve">actuellement </w:t>
      </w:r>
      <w:r w:rsidR="00BE36CF" w:rsidRPr="003D1E8B">
        <w:rPr>
          <w:lang w:val="fr-FR" w:eastAsia="zh-CN"/>
        </w:rPr>
        <w:t xml:space="preserve">à </w:t>
      </w:r>
      <w:r w:rsidR="00287A7A" w:rsidRPr="003D1E8B">
        <w:rPr>
          <w:lang w:val="fr-FR" w:eastAsia="zh-CN"/>
        </w:rPr>
        <w:t>terme</w:t>
      </w:r>
      <w:r w:rsidR="00632E82" w:rsidRPr="003D1E8B">
        <w:rPr>
          <w:lang w:val="fr-FR" w:eastAsia="zh-CN"/>
        </w:rPr>
        <w:t xml:space="preserve"> </w:t>
      </w:r>
      <w:r w:rsidR="00287A7A" w:rsidRPr="003D1E8B">
        <w:rPr>
          <w:lang w:val="fr-FR" w:eastAsia="zh-CN"/>
        </w:rPr>
        <w:t xml:space="preserve">leur </w:t>
      </w:r>
      <w:r w:rsidR="00BA6C59" w:rsidRPr="003D1E8B">
        <w:rPr>
          <w:lang w:val="fr-FR" w:eastAsia="zh-CN"/>
        </w:rPr>
        <w:t xml:space="preserve">processus de paiement. </w:t>
      </w:r>
      <w:r w:rsidR="00C917B5" w:rsidRPr="003D1E8B">
        <w:rPr>
          <w:lang w:val="fr-FR" w:eastAsia="zh-CN"/>
        </w:rPr>
        <w:t>On</w:t>
      </w:r>
      <w:r w:rsidR="00632E82" w:rsidRPr="003D1E8B">
        <w:rPr>
          <w:lang w:val="fr-FR" w:eastAsia="zh-CN"/>
        </w:rPr>
        <w:t xml:space="preserve"> </w:t>
      </w:r>
      <w:r w:rsidR="00BE36CF" w:rsidRPr="003D1E8B">
        <w:rPr>
          <w:lang w:val="fr-FR" w:eastAsia="zh-CN"/>
        </w:rPr>
        <w:t>constate</w:t>
      </w:r>
      <w:r w:rsidR="00632E82" w:rsidRPr="003D1E8B">
        <w:rPr>
          <w:lang w:val="fr-FR" w:eastAsia="zh-CN"/>
        </w:rPr>
        <w:t xml:space="preserve"> </w:t>
      </w:r>
      <w:r w:rsidR="00BA6C59" w:rsidRPr="003D1E8B">
        <w:rPr>
          <w:lang w:val="fr-FR" w:eastAsia="zh-CN"/>
        </w:rPr>
        <w:t>que le nombre de nouvelles entités en septembre</w:t>
      </w:r>
      <w:r w:rsidR="00ED1207" w:rsidRPr="003D1E8B">
        <w:rPr>
          <w:lang w:val="fr-FR" w:eastAsia="zh-CN"/>
        </w:rPr>
        <w:t> </w:t>
      </w:r>
      <w:r w:rsidR="00BA6C59" w:rsidRPr="003D1E8B">
        <w:rPr>
          <w:lang w:val="fr-FR" w:eastAsia="zh-CN"/>
        </w:rPr>
        <w:t>2021 est déjà supérieur au</w:t>
      </w:r>
      <w:r w:rsidR="00BE36CF" w:rsidRPr="003D1E8B">
        <w:rPr>
          <w:lang w:val="fr-FR" w:eastAsia="zh-CN"/>
        </w:rPr>
        <w:t xml:space="preserve"> nombre</w:t>
      </w:r>
      <w:r w:rsidR="00BA6C59" w:rsidRPr="003D1E8B">
        <w:rPr>
          <w:lang w:val="fr-FR" w:eastAsia="zh-CN"/>
        </w:rPr>
        <w:t xml:space="preserve"> total de nouveaux membres</w:t>
      </w:r>
      <w:r w:rsidR="00632E82" w:rsidRPr="003D1E8B">
        <w:rPr>
          <w:lang w:val="fr-FR" w:eastAsia="zh-CN"/>
        </w:rPr>
        <w:t xml:space="preserve"> </w:t>
      </w:r>
      <w:r w:rsidR="00BE36CF" w:rsidRPr="003D1E8B">
        <w:rPr>
          <w:lang w:val="fr-FR" w:eastAsia="zh-CN"/>
        </w:rPr>
        <w:t>pendant toute l</w:t>
      </w:r>
      <w:r w:rsidR="00E21D1A" w:rsidRPr="003D1E8B">
        <w:rPr>
          <w:lang w:val="fr-FR" w:eastAsia="zh-CN"/>
        </w:rPr>
        <w:t>'</w:t>
      </w:r>
      <w:r w:rsidR="00BE36CF" w:rsidRPr="003D1E8B">
        <w:rPr>
          <w:lang w:val="fr-FR" w:eastAsia="zh-CN"/>
        </w:rPr>
        <w:t>année</w:t>
      </w:r>
      <w:r w:rsidR="00CE7E1A" w:rsidRPr="003D1E8B">
        <w:rPr>
          <w:lang w:val="fr-FR" w:eastAsia="zh-CN"/>
        </w:rPr>
        <w:t xml:space="preserve"> 2020 (10 Membres de Secteur et 4 Associés).</w:t>
      </w:r>
      <w:r w:rsidR="00A77779" w:rsidRPr="003D1E8B">
        <w:rPr>
          <w:lang w:val="fr-FR" w:eastAsia="zh-CN"/>
        </w:rPr>
        <w:t xml:space="preserve"> </w:t>
      </w:r>
    </w:p>
    <w:p w14:paraId="212292CE" w14:textId="4DC159FA" w:rsidR="00A77779" w:rsidRPr="003D1E8B" w:rsidRDefault="00CE7E1A" w:rsidP="00426639">
      <w:pPr>
        <w:rPr>
          <w:b/>
          <w:bCs/>
          <w:lang w:val="fr-FR" w:eastAsia="zh-CN"/>
        </w:rPr>
      </w:pPr>
      <w:r w:rsidRPr="003D1E8B">
        <w:rPr>
          <w:lang w:val="fr-FR" w:eastAsia="zh-CN"/>
        </w:rPr>
        <w:t xml:space="preserve">En outre, en septembre 2021, </w:t>
      </w:r>
      <w:r w:rsidR="00B86ABB" w:rsidRPr="003D1E8B">
        <w:rPr>
          <w:lang w:val="fr-FR" w:eastAsia="zh-CN"/>
        </w:rPr>
        <w:t xml:space="preserve">il est prévu que </w:t>
      </w:r>
      <w:r w:rsidR="00383C87">
        <w:rPr>
          <w:b/>
          <w:bCs/>
          <w:lang w:val="fr-FR" w:eastAsia="zh-CN"/>
        </w:rPr>
        <w:t xml:space="preserve">huit </w:t>
      </w:r>
      <w:r w:rsidR="00BE36CF" w:rsidRPr="003D1E8B">
        <w:rPr>
          <w:lang w:val="fr-FR" w:eastAsia="zh-CN"/>
        </w:rPr>
        <w:t xml:space="preserve">autres </w:t>
      </w:r>
      <w:r w:rsidR="00B86ABB" w:rsidRPr="003D1E8B">
        <w:rPr>
          <w:lang w:val="fr-FR" w:eastAsia="zh-CN"/>
        </w:rPr>
        <w:t>entités</w:t>
      </w:r>
      <w:r w:rsidR="00632E82" w:rsidRPr="003D1E8B">
        <w:rPr>
          <w:lang w:val="fr-FR" w:eastAsia="zh-CN"/>
        </w:rPr>
        <w:t xml:space="preserve"> </w:t>
      </w:r>
      <w:r w:rsidR="00B86ABB" w:rsidRPr="003D1E8B">
        <w:rPr>
          <w:lang w:val="fr-FR" w:eastAsia="zh-CN"/>
        </w:rPr>
        <w:t xml:space="preserve">rejoignent </w:t>
      </w:r>
      <w:r w:rsidR="00623946" w:rsidRPr="003D1E8B">
        <w:rPr>
          <w:lang w:val="fr-FR" w:eastAsia="zh-CN"/>
        </w:rPr>
        <w:t>l'UIT-D</w:t>
      </w:r>
      <w:r w:rsidR="00B86ABB" w:rsidRPr="003D1E8B">
        <w:rPr>
          <w:lang w:val="fr-FR" w:eastAsia="zh-CN"/>
        </w:rPr>
        <w:t>.</w:t>
      </w:r>
      <w:r w:rsidR="00A77779" w:rsidRPr="003D1E8B">
        <w:rPr>
          <w:lang w:val="fr-FR" w:eastAsia="zh-CN"/>
        </w:rPr>
        <w:t xml:space="preserve"> </w:t>
      </w:r>
      <w:r w:rsidR="00BE36CF" w:rsidRPr="003D1E8B">
        <w:rPr>
          <w:lang w:val="fr-FR" w:eastAsia="zh-CN"/>
        </w:rPr>
        <w:t>Ces entités, qui</w:t>
      </w:r>
      <w:r w:rsidR="001A0C8D" w:rsidRPr="003D1E8B">
        <w:rPr>
          <w:lang w:val="fr-FR" w:eastAsia="zh-CN"/>
        </w:rPr>
        <w:t xml:space="preserve"> </w:t>
      </w:r>
      <w:r w:rsidR="00064210" w:rsidRPr="003D1E8B">
        <w:rPr>
          <w:lang w:val="fr-FR" w:eastAsia="zh-CN"/>
        </w:rPr>
        <w:t>attendent actuellement</w:t>
      </w:r>
      <w:r w:rsidR="001A0C8D" w:rsidRPr="003D1E8B">
        <w:rPr>
          <w:lang w:val="fr-FR" w:eastAsia="zh-CN"/>
        </w:rPr>
        <w:t xml:space="preserve"> l'a</w:t>
      </w:r>
      <w:r w:rsidR="00E40100" w:rsidRPr="003D1E8B">
        <w:rPr>
          <w:lang w:val="fr-FR" w:eastAsia="zh-CN"/>
        </w:rPr>
        <w:t>pprobation</w:t>
      </w:r>
      <w:r w:rsidR="001A0C8D" w:rsidRPr="003D1E8B">
        <w:rPr>
          <w:lang w:val="fr-FR" w:eastAsia="zh-CN"/>
        </w:rPr>
        <w:t xml:space="preserve"> de leur administration</w:t>
      </w:r>
      <w:r w:rsidR="00BE36CF" w:rsidRPr="003D1E8B">
        <w:rPr>
          <w:lang w:val="fr-FR" w:eastAsia="zh-CN"/>
        </w:rPr>
        <w:t>, sont les</w:t>
      </w:r>
      <w:r w:rsidR="00632E82" w:rsidRPr="003D1E8B">
        <w:rPr>
          <w:lang w:val="fr-FR" w:eastAsia="zh-CN"/>
        </w:rPr>
        <w:t xml:space="preserve"> </w:t>
      </w:r>
      <w:r w:rsidR="001A0C8D" w:rsidRPr="003D1E8B">
        <w:rPr>
          <w:lang w:val="fr-FR" w:eastAsia="zh-CN"/>
        </w:rPr>
        <w:t>suivantes:</w:t>
      </w:r>
      <w:r w:rsidR="00A77779" w:rsidRPr="003D1E8B">
        <w:rPr>
          <w:lang w:val="fr-FR" w:eastAsia="zh-CN"/>
        </w:rPr>
        <w:t xml:space="preserve"> </w:t>
      </w:r>
    </w:p>
    <w:p w14:paraId="4666B5DD" w14:textId="2CA6F2A6" w:rsidR="00A77779" w:rsidRPr="003D1E8B" w:rsidRDefault="00E83015" w:rsidP="00426639">
      <w:pPr>
        <w:pStyle w:val="enumlev1"/>
        <w:rPr>
          <w:lang w:val="fr-FR"/>
        </w:rPr>
      </w:pPr>
      <w:r w:rsidRPr="003D1E8B">
        <w:rPr>
          <w:rFonts w:ascii="Calibri" w:hAnsi="Calibri"/>
          <w:bCs/>
          <w:lang w:val="fr-FR"/>
        </w:rPr>
        <w:t>a)</w:t>
      </w:r>
      <w:r w:rsidRPr="003D1E8B">
        <w:rPr>
          <w:rFonts w:ascii="Calibri" w:hAnsi="Calibri"/>
          <w:b/>
          <w:lang w:val="fr-FR"/>
        </w:rPr>
        <w:tab/>
      </w:r>
      <w:r w:rsidR="001A0C8D" w:rsidRPr="003D1E8B">
        <w:rPr>
          <w:rFonts w:ascii="Calibri" w:hAnsi="Calibri"/>
          <w:b/>
          <w:lang w:val="fr-FR"/>
        </w:rPr>
        <w:t xml:space="preserve">Trois </w:t>
      </w:r>
      <w:r w:rsidR="001A0C8D" w:rsidRPr="003D1E8B">
        <w:rPr>
          <w:rFonts w:ascii="Calibri" w:hAnsi="Calibri"/>
          <w:b/>
          <w:i/>
          <w:iCs/>
          <w:lang w:val="fr-FR"/>
        </w:rPr>
        <w:t>Membres de Secteur</w:t>
      </w:r>
      <w:r w:rsidR="00A77779" w:rsidRPr="003D1E8B">
        <w:rPr>
          <w:lang w:val="fr-FR"/>
        </w:rPr>
        <w:t xml:space="preserve">: Alpha Indo </w:t>
      </w:r>
      <w:proofErr w:type="spellStart"/>
      <w:r w:rsidR="00A77779" w:rsidRPr="003D1E8B">
        <w:rPr>
          <w:lang w:val="fr-FR"/>
        </w:rPr>
        <w:t>Nusa</w:t>
      </w:r>
      <w:proofErr w:type="spellEnd"/>
      <w:r w:rsidR="00A77779" w:rsidRPr="003D1E8B">
        <w:rPr>
          <w:lang w:val="fr-FR"/>
        </w:rPr>
        <w:t xml:space="preserve"> (Indon</w:t>
      </w:r>
      <w:r w:rsidR="001A0C8D" w:rsidRPr="003D1E8B">
        <w:rPr>
          <w:lang w:val="fr-FR"/>
        </w:rPr>
        <w:t>ésie</w:t>
      </w:r>
      <w:r w:rsidR="00A77779" w:rsidRPr="003D1E8B">
        <w:rPr>
          <w:lang w:val="fr-FR"/>
        </w:rPr>
        <w:t>), Science and Advanced Global Technologies Trust (Zimbabwe</w:t>
      </w:r>
      <w:r w:rsidR="003B2691" w:rsidRPr="003D1E8B">
        <w:rPr>
          <w:lang w:val="fr-FR"/>
        </w:rPr>
        <w:t>) et</w:t>
      </w:r>
      <w:r w:rsidR="00A77779" w:rsidRPr="003D1E8B">
        <w:rPr>
          <w:lang w:val="fr-FR"/>
        </w:rPr>
        <w:t xml:space="preserve"> </w:t>
      </w:r>
      <w:proofErr w:type="spellStart"/>
      <w:r w:rsidR="00A77779" w:rsidRPr="003D1E8B">
        <w:rPr>
          <w:lang w:val="fr-FR"/>
        </w:rPr>
        <w:t>Cameroon</w:t>
      </w:r>
      <w:proofErr w:type="spellEnd"/>
      <w:r w:rsidR="00A77779" w:rsidRPr="003D1E8B">
        <w:rPr>
          <w:lang w:val="fr-FR"/>
        </w:rPr>
        <w:t xml:space="preserve"> </w:t>
      </w:r>
      <w:proofErr w:type="spellStart"/>
      <w:r w:rsidR="00A77779" w:rsidRPr="003D1E8B">
        <w:rPr>
          <w:lang w:val="fr-FR"/>
        </w:rPr>
        <w:t>Telecommunications</w:t>
      </w:r>
      <w:proofErr w:type="spellEnd"/>
      <w:r w:rsidR="00A77779" w:rsidRPr="003D1E8B">
        <w:rPr>
          <w:lang w:val="fr-FR"/>
        </w:rPr>
        <w:t xml:space="preserve"> (Camer</w:t>
      </w:r>
      <w:r w:rsidR="001A0C8D" w:rsidRPr="003D1E8B">
        <w:rPr>
          <w:lang w:val="fr-FR"/>
        </w:rPr>
        <w:t>oun</w:t>
      </w:r>
      <w:r w:rsidR="00A77779" w:rsidRPr="003D1E8B">
        <w:rPr>
          <w:lang w:val="fr-FR"/>
        </w:rPr>
        <w:t xml:space="preserve">). </w:t>
      </w:r>
    </w:p>
    <w:p w14:paraId="20EBEC81" w14:textId="609638AB" w:rsidR="00E65C6F" w:rsidRPr="00E65C6F" w:rsidRDefault="00FB29C7" w:rsidP="00426639">
      <w:pPr>
        <w:pStyle w:val="enumlev1"/>
        <w:spacing w:after="360"/>
        <w:rPr>
          <w:lang w:val="fr-FR"/>
        </w:rPr>
      </w:pPr>
      <w:r w:rsidRPr="003D1E8B">
        <w:rPr>
          <w:noProof/>
          <w:lang w:val="fr-FR"/>
        </w:rPr>
        <mc:AlternateContent>
          <mc:Choice Requires="wps">
            <w:drawing>
              <wp:anchor distT="45720" distB="45720" distL="114300" distR="114300" simplePos="0" relativeHeight="251645952" behindDoc="0" locked="0" layoutInCell="1" allowOverlap="1" wp14:anchorId="3F446F4E" wp14:editId="2268180E">
                <wp:simplePos x="0" y="0"/>
                <wp:positionH relativeFrom="margin">
                  <wp:align>center</wp:align>
                </wp:positionH>
                <wp:positionV relativeFrom="paragraph">
                  <wp:posOffset>995254</wp:posOffset>
                </wp:positionV>
                <wp:extent cx="5795921" cy="397565"/>
                <wp:effectExtent l="0" t="0" r="0" b="25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397565"/>
                        </a:xfrm>
                        <a:prstGeom prst="rect">
                          <a:avLst/>
                        </a:prstGeom>
                        <a:solidFill>
                          <a:srgbClr val="FFFFFF"/>
                        </a:solidFill>
                        <a:ln w="9525">
                          <a:noFill/>
                          <a:miter lim="800000"/>
                          <a:headEnd/>
                          <a:tailEnd/>
                        </a:ln>
                      </wps:spPr>
                      <wps:txbx>
                        <w:txbxContent>
                          <w:p w14:paraId="0499B1DD"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2 −</w:t>
                            </w:r>
                            <w:r w:rsidRPr="00E21D1A">
                              <w:rPr>
                                <w:b/>
                                <w:bCs/>
                                <w:sz w:val="22"/>
                                <w:szCs w:val="18"/>
                                <w:lang w:val="fr-CH"/>
                              </w:rPr>
                              <w:t xml:space="preserve"> </w:t>
                            </w:r>
                            <w:r w:rsidRPr="00FB29C7">
                              <w:rPr>
                                <w:b/>
                                <w:bCs/>
                                <w:sz w:val="22"/>
                                <w:szCs w:val="18"/>
                                <w:lang w:val="fr-CH"/>
                              </w:rPr>
                              <w:t xml:space="preserve">Accroissement du nombre de Membres de Secteur et d'Associés de l'UIT-D: </w:t>
                            </w:r>
                          </w:p>
                          <w:p w14:paraId="0661974E" w14:textId="69A1425B" w:rsidR="00FB29C7" w:rsidRPr="00A77779" w:rsidRDefault="00FB29C7" w:rsidP="00FB29C7">
                            <w:pPr>
                              <w:spacing w:before="0"/>
                              <w:jc w:val="center"/>
                              <w:rPr>
                                <w:b/>
                                <w:bCs/>
                                <w:sz w:val="22"/>
                                <w:szCs w:val="18"/>
                                <w:lang w:val="fr-CH"/>
                              </w:rPr>
                            </w:pPr>
                            <w:r w:rsidRPr="00FB29C7">
                              <w:rPr>
                                <w:b/>
                                <w:bCs/>
                                <w:sz w:val="22"/>
                                <w:szCs w:val="18"/>
                                <w:lang w:val="fr-CH"/>
                              </w:rPr>
                              <w:t>Comparaison entre 2020 et 2021 (septembre</w:t>
                            </w:r>
                            <w:r w:rsidRPr="00E21D1A">
                              <w:rPr>
                                <w:b/>
                                <w:bCs/>
                                <w:sz w:val="22"/>
                                <w:szCs w:val="18"/>
                                <w:lang w:val="fr-CH"/>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46F4E" id="_x0000_s1030" type="#_x0000_t202" style="position:absolute;left:0;text-align:left;margin-left:0;margin-top:78.35pt;width:456.35pt;height:31.3pt;z-index:2516459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" stroked="f">
                <v:textbox inset="0,0,0,0">
                  <w:txbxContent>
                    <w:p w14:paraId="0499B1DD"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2 −</w:t>
                      </w:r>
                      <w:r w:rsidRPr="00E21D1A">
                        <w:rPr>
                          <w:b/>
                          <w:bCs/>
                          <w:sz w:val="22"/>
                          <w:szCs w:val="18"/>
                          <w:lang w:val="fr-CH"/>
                        </w:rPr>
                        <w:t xml:space="preserve"> </w:t>
                      </w:r>
                      <w:r w:rsidRPr="00FB29C7">
                        <w:rPr>
                          <w:b/>
                          <w:bCs/>
                          <w:sz w:val="22"/>
                          <w:szCs w:val="18"/>
                          <w:lang w:val="fr-CH"/>
                        </w:rPr>
                        <w:t xml:space="preserve">Accroissement du nombre de Membres de Secteur et d'Associés de l'UIT-D: </w:t>
                      </w:r>
                    </w:p>
                    <w:p w14:paraId="0661974E" w14:textId="69A1425B" w:rsidR="00FB29C7" w:rsidRPr="00A77779" w:rsidRDefault="00FB29C7" w:rsidP="00FB29C7">
                      <w:pPr>
                        <w:spacing w:before="0"/>
                        <w:jc w:val="center"/>
                        <w:rPr>
                          <w:b/>
                          <w:bCs/>
                          <w:sz w:val="22"/>
                          <w:szCs w:val="18"/>
                          <w:lang w:val="fr-CH"/>
                        </w:rPr>
                      </w:pPr>
                      <w:r w:rsidRPr="00FB29C7">
                        <w:rPr>
                          <w:b/>
                          <w:bCs/>
                          <w:sz w:val="22"/>
                          <w:szCs w:val="18"/>
                          <w:lang w:val="fr-CH"/>
                        </w:rPr>
                        <w:t>Comparaison entre 2020 et 2021 (septembre</w:t>
                      </w:r>
                      <w:r w:rsidRPr="00E21D1A">
                        <w:rPr>
                          <w:b/>
                          <w:bCs/>
                          <w:sz w:val="22"/>
                          <w:szCs w:val="18"/>
                          <w:lang w:val="fr-CH"/>
                        </w:rPr>
                        <w:t>)</w:t>
                      </w:r>
                    </w:p>
                  </w:txbxContent>
                </v:textbox>
                <w10:wrap anchorx="margin"/>
              </v:shape>
            </w:pict>
          </mc:Fallback>
        </mc:AlternateContent>
      </w:r>
      <w:r w:rsidR="00E83015" w:rsidRPr="003D1E8B">
        <w:rPr>
          <w:rFonts w:ascii="Calibri" w:hAnsi="Calibri"/>
          <w:bCs/>
          <w:lang w:val="fr-FR"/>
        </w:rPr>
        <w:t>b)</w:t>
      </w:r>
      <w:r w:rsidR="00E83015" w:rsidRPr="003D1E8B">
        <w:rPr>
          <w:rFonts w:ascii="Calibri" w:hAnsi="Calibri"/>
          <w:b/>
          <w:lang w:val="fr-FR"/>
        </w:rPr>
        <w:tab/>
      </w:r>
      <w:r w:rsidR="00383C87">
        <w:rPr>
          <w:rFonts w:ascii="Calibri" w:hAnsi="Calibri" w:cs="Arial"/>
          <w:b/>
          <w:bCs/>
          <w:lang w:val="fr-FR" w:eastAsia="zh-CN"/>
        </w:rPr>
        <w:t>Cinq</w:t>
      </w:r>
      <w:r w:rsidR="00A77779" w:rsidRPr="003D1E8B">
        <w:rPr>
          <w:rFonts w:ascii="Calibri" w:hAnsi="Calibri" w:cs="Arial"/>
          <w:lang w:val="fr-FR" w:eastAsia="zh-CN"/>
        </w:rPr>
        <w:t xml:space="preserve"> </w:t>
      </w:r>
      <w:r w:rsidR="001A0C8D" w:rsidRPr="003D1E8B">
        <w:rPr>
          <w:rFonts w:ascii="Calibri" w:hAnsi="Calibri"/>
          <w:b/>
          <w:bCs/>
          <w:i/>
          <w:iCs/>
          <w:lang w:val="fr-FR"/>
        </w:rPr>
        <w:t>Associés</w:t>
      </w:r>
      <w:r w:rsidR="00A77779" w:rsidRPr="003D1E8B">
        <w:rPr>
          <w:b/>
          <w:bCs/>
          <w:i/>
          <w:iCs/>
          <w:lang w:val="fr-FR"/>
        </w:rPr>
        <w:t xml:space="preserve">: </w:t>
      </w:r>
      <w:proofErr w:type="spellStart"/>
      <w:r w:rsidR="00A77779" w:rsidRPr="003D1E8B">
        <w:rPr>
          <w:lang w:val="fr-FR"/>
        </w:rPr>
        <w:t>Acquity</w:t>
      </w:r>
      <w:proofErr w:type="spellEnd"/>
      <w:r w:rsidR="00A77779" w:rsidRPr="003D1E8B">
        <w:rPr>
          <w:lang w:val="fr-FR"/>
        </w:rPr>
        <w:t xml:space="preserve"> Global Services (Nig</w:t>
      </w:r>
      <w:r w:rsidR="001A0C8D" w:rsidRPr="003D1E8B">
        <w:rPr>
          <w:lang w:val="fr-FR"/>
        </w:rPr>
        <w:t>é</w:t>
      </w:r>
      <w:r w:rsidR="00A77779" w:rsidRPr="003D1E8B">
        <w:rPr>
          <w:lang w:val="fr-FR"/>
        </w:rPr>
        <w:t xml:space="preserve">ria), </w:t>
      </w:r>
      <w:r w:rsidR="005B4183">
        <w:rPr>
          <w:lang w:val="fr-FR"/>
        </w:rPr>
        <w:t>P2P Network Communications Limited (Trinité-et-Tobago)</w:t>
      </w:r>
      <w:r w:rsidR="00A77779" w:rsidRPr="003D1E8B">
        <w:rPr>
          <w:lang w:val="fr-FR"/>
        </w:rPr>
        <w:t xml:space="preserve">, Broadband </w:t>
      </w:r>
      <w:proofErr w:type="spellStart"/>
      <w:r w:rsidR="00A77779" w:rsidRPr="003D1E8B">
        <w:rPr>
          <w:lang w:val="fr-FR"/>
        </w:rPr>
        <w:t>India</w:t>
      </w:r>
      <w:proofErr w:type="spellEnd"/>
      <w:r w:rsidR="00A77779" w:rsidRPr="003D1E8B">
        <w:rPr>
          <w:lang w:val="fr-FR"/>
        </w:rPr>
        <w:t xml:space="preserve"> Forum (Ind</w:t>
      </w:r>
      <w:r w:rsidR="001A0C8D" w:rsidRPr="003D1E8B">
        <w:rPr>
          <w:lang w:val="fr-FR"/>
        </w:rPr>
        <w:t>e</w:t>
      </w:r>
      <w:r w:rsidR="00A77779" w:rsidRPr="003D1E8B">
        <w:rPr>
          <w:lang w:val="fr-FR"/>
        </w:rPr>
        <w:t>),</w:t>
      </w:r>
      <w:r w:rsidR="00AB0E1B" w:rsidRPr="003D1E8B">
        <w:rPr>
          <w:lang w:val="fr-FR"/>
        </w:rPr>
        <w:t xml:space="preserve"> </w:t>
      </w:r>
      <w:r w:rsidR="00A77779" w:rsidRPr="003D1E8B">
        <w:rPr>
          <w:lang w:val="fr-FR"/>
        </w:rPr>
        <w:t>TELEGLOBAL Group (Lib</w:t>
      </w:r>
      <w:r w:rsidR="006E7358" w:rsidRPr="003D1E8B">
        <w:rPr>
          <w:lang w:val="fr-FR"/>
        </w:rPr>
        <w:t>é</w:t>
      </w:r>
      <w:r w:rsidR="00A77779" w:rsidRPr="003D1E8B">
        <w:rPr>
          <w:lang w:val="fr-FR"/>
        </w:rPr>
        <w:t>ria)</w:t>
      </w:r>
      <w:r w:rsidR="006A7EEB" w:rsidRPr="003D1E8B">
        <w:rPr>
          <w:lang w:val="fr-FR"/>
        </w:rPr>
        <w:t xml:space="preserve"> et</w:t>
      </w:r>
      <w:r w:rsidR="00A77779" w:rsidRPr="003D1E8B">
        <w:rPr>
          <w:lang w:val="fr-FR"/>
        </w:rPr>
        <w:t xml:space="preserve"> The Town </w:t>
      </w:r>
      <w:proofErr w:type="spellStart"/>
      <w:r w:rsidR="00A77779" w:rsidRPr="003D1E8B">
        <w:rPr>
          <w:lang w:val="fr-FR"/>
        </w:rPr>
        <w:t>Owl</w:t>
      </w:r>
      <w:proofErr w:type="spellEnd"/>
      <w:r w:rsidR="00A77779" w:rsidRPr="003D1E8B">
        <w:rPr>
          <w:lang w:val="fr-FR"/>
        </w:rPr>
        <w:t xml:space="preserve"> (</w:t>
      </w:r>
      <w:r w:rsidR="006E7358" w:rsidRPr="003D1E8B">
        <w:rPr>
          <w:lang w:val="fr-FR"/>
        </w:rPr>
        <w:t>États-Unis d'Amérique</w:t>
      </w:r>
      <w:r w:rsidR="00A77779" w:rsidRPr="003D1E8B">
        <w:rPr>
          <w:lang w:val="fr-FR"/>
        </w:rPr>
        <w:t>).</w:t>
      </w:r>
    </w:p>
    <w:p w14:paraId="71476466" w14:textId="2B60EE3E" w:rsidR="00A77779" w:rsidRPr="003D1E8B" w:rsidRDefault="00FB29C7" w:rsidP="00426639">
      <w:pPr>
        <w:shd w:val="clear" w:color="auto" w:fill="FFFFFF" w:themeFill="background1"/>
        <w:spacing w:after="120"/>
        <w:jc w:val="both"/>
        <w:rPr>
          <w:rFonts w:ascii="Calibri" w:hAnsi="Calibri"/>
          <w:b/>
          <w:bCs/>
          <w:lang w:val="fr-FR"/>
        </w:rPr>
      </w:pPr>
      <w:r w:rsidRPr="003D1E8B">
        <w:rPr>
          <w:noProof/>
          <w:lang w:val="fr-FR"/>
        </w:rPr>
        <mc:AlternateContent>
          <mc:Choice Requires="wps">
            <w:drawing>
              <wp:anchor distT="45720" distB="45720" distL="114300" distR="114300" simplePos="0" relativeHeight="251643904" behindDoc="0" locked="0" layoutInCell="1" allowOverlap="1" wp14:anchorId="7E2975AC" wp14:editId="7ACAF5D8">
                <wp:simplePos x="0" y="0"/>
                <wp:positionH relativeFrom="column">
                  <wp:posOffset>3239135</wp:posOffset>
                </wp:positionH>
                <wp:positionV relativeFrom="paragraph">
                  <wp:posOffset>1967396</wp:posOffset>
                </wp:positionV>
                <wp:extent cx="2337683" cy="1404620"/>
                <wp:effectExtent l="0" t="0" r="5715"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683" cy="1404620"/>
                        </a:xfrm>
                        <a:prstGeom prst="rect">
                          <a:avLst/>
                        </a:prstGeom>
                        <a:solidFill>
                          <a:srgbClr val="FFFFFF"/>
                        </a:solidFill>
                        <a:ln w="9525">
                          <a:noFill/>
                          <a:miter lim="800000"/>
                          <a:headEnd/>
                          <a:tailEnd/>
                        </a:ln>
                      </wps:spPr>
                      <wps:txbx>
                        <w:txbxContent>
                          <w:p w14:paraId="5FF91828" w14:textId="01A74EBA" w:rsidR="00FB29C7" w:rsidRPr="00A8477F" w:rsidRDefault="00FB29C7" w:rsidP="00FB29C7">
                            <w:pPr>
                              <w:spacing w:before="0"/>
                              <w:rPr>
                                <w:b/>
                                <w:bCs/>
                                <w:sz w:val="22"/>
                                <w:szCs w:val="18"/>
                                <w:lang w:val="fr-FR"/>
                              </w:rPr>
                            </w:pPr>
                            <w:r w:rsidRPr="00A8477F">
                              <w:rPr>
                                <w:b/>
                                <w:bCs/>
                                <w:sz w:val="22"/>
                                <w:szCs w:val="18"/>
                                <w:lang w:val="fr-FR"/>
                              </w:rPr>
                              <w:t>Entités attendant l'approbation de leur administration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975AC" id="_x0000_s1031" type="#_x0000_t202" style="position:absolute;left:0;text-align:left;margin-left:255.05pt;margin-top:154.9pt;width:184.05pt;height:110.6pt;z-index:251643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" stroked="f">
                <v:textbox style="mso-fit-shape-to-text:t" inset="0,0,0,0">
                  <w:txbxContent>
                    <w:p w14:paraId="5FF91828" w14:textId="01A74EBA" w:rsidR="00FB29C7" w:rsidRPr="00A8477F" w:rsidRDefault="00FB29C7" w:rsidP="00FB29C7">
                      <w:pPr>
                        <w:spacing w:before="0"/>
                        <w:rPr>
                          <w:b/>
                          <w:bCs/>
                          <w:sz w:val="22"/>
                          <w:szCs w:val="18"/>
                          <w:lang w:val="fr-FR"/>
                        </w:rPr>
                      </w:pPr>
                      <w:r w:rsidRPr="00A8477F">
                        <w:rPr>
                          <w:b/>
                          <w:bCs/>
                          <w:sz w:val="22"/>
                          <w:szCs w:val="18"/>
                          <w:lang w:val="fr-FR"/>
                        </w:rPr>
                        <w:t>Entités attendant l'approbation de leur administration</w:t>
                      </w:r>
                    </w:p>
                  </w:txbxContent>
                </v:textbox>
              </v:shape>
            </w:pict>
          </mc:Fallback>
        </mc:AlternateContent>
      </w:r>
      <w:r w:rsidRPr="003D1E8B">
        <w:rPr>
          <w:noProof/>
          <w:lang w:val="fr-FR"/>
        </w:rPr>
        <mc:AlternateContent>
          <mc:Choice Requires="wps">
            <w:drawing>
              <wp:anchor distT="45720" distB="45720" distL="114300" distR="114300" simplePos="0" relativeHeight="251642880" behindDoc="0" locked="0" layoutInCell="1" allowOverlap="1" wp14:anchorId="584CDBCA" wp14:editId="7D25F937">
                <wp:simplePos x="0" y="0"/>
                <wp:positionH relativeFrom="column">
                  <wp:posOffset>1256030</wp:posOffset>
                </wp:positionH>
                <wp:positionV relativeFrom="paragraph">
                  <wp:posOffset>1995059</wp:posOffset>
                </wp:positionV>
                <wp:extent cx="1304014" cy="140462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014" cy="1404620"/>
                        </a:xfrm>
                        <a:prstGeom prst="rect">
                          <a:avLst/>
                        </a:prstGeom>
                        <a:solidFill>
                          <a:srgbClr val="FFFFFF"/>
                        </a:solidFill>
                        <a:ln w="9525">
                          <a:noFill/>
                          <a:miter lim="800000"/>
                          <a:headEnd/>
                          <a:tailEnd/>
                        </a:ln>
                      </wps:spPr>
                      <wps:txbx>
                        <w:txbxContent>
                          <w:p w14:paraId="3C6F1DA6" w14:textId="2A9637D4" w:rsidR="00FB29C7" w:rsidRPr="00A77779" w:rsidRDefault="00FB29C7" w:rsidP="00FB29C7">
                            <w:pPr>
                              <w:spacing w:before="0"/>
                              <w:rPr>
                                <w:b/>
                                <w:bCs/>
                                <w:sz w:val="22"/>
                                <w:szCs w:val="18"/>
                              </w:rPr>
                            </w:pPr>
                            <w:r w:rsidRPr="00FB29C7">
                              <w:rPr>
                                <w:b/>
                                <w:bCs/>
                                <w:sz w:val="22"/>
                                <w:szCs w:val="18"/>
                              </w:rPr>
                              <w:t xml:space="preserve">Nouveaux </w:t>
                            </w:r>
                            <w:proofErr w:type="spellStart"/>
                            <w:r w:rsidRPr="00FB29C7">
                              <w:rPr>
                                <w:b/>
                                <w:bCs/>
                                <w:sz w:val="22"/>
                                <w:szCs w:val="18"/>
                              </w:rPr>
                              <w:t>membres</w:t>
                            </w:r>
                            <w:proofErr w:type="spell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4CDBCA" id="_x0000_s1032" type="#_x0000_t202" style="position:absolute;left:0;text-align:left;margin-left:98.9pt;margin-top:157.1pt;width:102.7pt;height:110.6pt;z-index:251642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" stroked="f">
                <v:textbox style="mso-fit-shape-to-text:t" inset="0,0,0,0">
                  <w:txbxContent>
                    <w:p w14:paraId="3C6F1DA6" w14:textId="2A9637D4" w:rsidR="00FB29C7" w:rsidRPr="00A77779" w:rsidRDefault="00FB29C7" w:rsidP="00FB29C7">
                      <w:pPr>
                        <w:spacing w:before="0"/>
                        <w:rPr>
                          <w:b/>
                          <w:bCs/>
                          <w:sz w:val="22"/>
                          <w:szCs w:val="18"/>
                        </w:rPr>
                      </w:pPr>
                      <w:r w:rsidRPr="00FB29C7">
                        <w:rPr>
                          <w:b/>
                          <w:bCs/>
                          <w:sz w:val="22"/>
                          <w:szCs w:val="18"/>
                        </w:rPr>
                        <w:t xml:space="preserve">Nouveaux </w:t>
                      </w:r>
                      <w:proofErr w:type="spellStart"/>
                      <w:r w:rsidRPr="00FB29C7">
                        <w:rPr>
                          <w:b/>
                          <w:bCs/>
                          <w:sz w:val="22"/>
                          <w:szCs w:val="18"/>
                        </w:rPr>
                        <w:t>membres</w:t>
                      </w:r>
                      <w:proofErr w:type="spellEnd"/>
                    </w:p>
                  </w:txbxContent>
                </v:textbox>
              </v:shape>
            </w:pict>
          </mc:Fallback>
        </mc:AlternateContent>
      </w:r>
      <w:r w:rsidR="00E315D3">
        <w:rPr>
          <w:rFonts w:ascii="Calibri" w:hAnsi="Calibri"/>
          <w:b/>
          <w:bCs/>
          <w:noProof/>
        </w:rPr>
        <w:drawing>
          <wp:inline distT="0" distB="0" distL="0" distR="0" wp14:anchorId="40A07C17" wp14:editId="0A824CCD">
            <wp:extent cx="6120765" cy="2233930"/>
            <wp:effectExtent l="0" t="0" r="0" b="0"/>
            <wp:docPr id="22" name="Picture 2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20765" cy="2233930"/>
                    </a:xfrm>
                    <a:prstGeom prst="rect">
                      <a:avLst/>
                    </a:prstGeom>
                  </pic:spPr>
                </pic:pic>
              </a:graphicData>
            </a:graphic>
          </wp:inline>
        </w:drawing>
      </w:r>
    </w:p>
    <w:p w14:paraId="5AE39E74" w14:textId="54A892FD" w:rsidR="00A77779" w:rsidRPr="003D1E8B" w:rsidRDefault="00717194" w:rsidP="00426639">
      <w:pPr>
        <w:spacing w:before="240" w:after="360"/>
        <w:rPr>
          <w:lang w:val="fr-FR"/>
        </w:rPr>
      </w:pPr>
      <w:r w:rsidRPr="003D1E8B">
        <w:rPr>
          <w:rFonts w:cs="Arial"/>
          <w:lang w:val="fr-FR" w:eastAsia="zh-CN"/>
        </w:rPr>
        <w:t>En ce qui concerne les établissements universitaires</w:t>
      </w:r>
      <w:r w:rsidR="00A77779" w:rsidRPr="003D1E8B">
        <w:rPr>
          <w:rStyle w:val="FootnoteReference"/>
          <w:rFonts w:cs="Arial"/>
          <w:lang w:val="fr-FR" w:eastAsia="zh-CN"/>
        </w:rPr>
        <w:footnoteReference w:id="4"/>
      </w:r>
      <w:r w:rsidR="00A77779" w:rsidRPr="003D1E8B">
        <w:rPr>
          <w:rFonts w:cs="Arial"/>
          <w:lang w:val="fr-FR" w:eastAsia="zh-CN"/>
        </w:rPr>
        <w:t xml:space="preserve">, </w:t>
      </w:r>
      <w:r w:rsidR="00443628" w:rsidRPr="003D1E8B">
        <w:rPr>
          <w:lang w:val="fr-FR"/>
        </w:rPr>
        <w:t xml:space="preserve">le </w:t>
      </w:r>
      <w:r w:rsidR="00B577F5" w:rsidRPr="003D1E8B">
        <w:rPr>
          <w:b/>
          <w:bCs/>
          <w:lang w:val="fr-FR"/>
        </w:rPr>
        <w:t xml:space="preserve">Graphique </w:t>
      </w:r>
      <w:r w:rsidR="00443628" w:rsidRPr="003D1E8B">
        <w:rPr>
          <w:b/>
          <w:bCs/>
          <w:lang w:val="fr-FR"/>
        </w:rPr>
        <w:t>3</w:t>
      </w:r>
      <w:r w:rsidR="00A77779" w:rsidRPr="003D1E8B">
        <w:rPr>
          <w:lang w:val="fr-FR"/>
        </w:rPr>
        <w:t xml:space="preserve"> </w:t>
      </w:r>
      <w:r w:rsidR="00982750" w:rsidRPr="003D1E8B">
        <w:rPr>
          <w:lang w:val="fr-FR"/>
        </w:rPr>
        <w:t>montre qu'en 2021</w:t>
      </w:r>
      <w:r w:rsidR="00A77779" w:rsidRPr="003D1E8B">
        <w:rPr>
          <w:lang w:val="fr-FR"/>
        </w:rPr>
        <w:t xml:space="preserve">, </w:t>
      </w:r>
      <w:r w:rsidR="00225FB4" w:rsidRPr="003D1E8B">
        <w:rPr>
          <w:lang w:val="fr-FR"/>
        </w:rPr>
        <w:t xml:space="preserve">grâce à des initiatives menées en coordination avec le Secrétariat général, </w:t>
      </w:r>
      <w:r w:rsidR="00225FB4" w:rsidRPr="003D1E8B">
        <w:rPr>
          <w:b/>
          <w:bCs/>
          <w:lang w:val="fr-FR"/>
        </w:rPr>
        <w:t xml:space="preserve">quinze </w:t>
      </w:r>
      <w:r w:rsidR="00225FB4" w:rsidRPr="003D1E8B">
        <w:rPr>
          <w:b/>
          <w:bCs/>
          <w:i/>
          <w:iCs/>
          <w:lang w:val="fr-FR"/>
        </w:rPr>
        <w:t xml:space="preserve">nouveaux </w:t>
      </w:r>
      <w:r w:rsidR="00225FB4" w:rsidRPr="003D1E8B">
        <w:rPr>
          <w:b/>
          <w:bCs/>
          <w:i/>
          <w:iCs/>
          <w:lang w:val="fr-FR"/>
        </w:rPr>
        <w:lastRenderedPageBreak/>
        <w:t>établissements universitaires</w:t>
      </w:r>
      <w:r w:rsidR="00161569" w:rsidRPr="003D1E8B">
        <w:rPr>
          <w:rStyle w:val="FootnoteReference"/>
          <w:lang w:val="fr-FR"/>
        </w:rPr>
        <w:footnoteReference w:id="5"/>
      </w:r>
      <w:r w:rsidR="00225FB4" w:rsidRPr="003D1E8B">
        <w:rPr>
          <w:b/>
          <w:bCs/>
          <w:i/>
          <w:iCs/>
          <w:lang w:val="fr-FR"/>
        </w:rPr>
        <w:t xml:space="preserve"> </w:t>
      </w:r>
      <w:r w:rsidR="00225FB4" w:rsidRPr="003D1E8B">
        <w:rPr>
          <w:lang w:val="fr-FR"/>
        </w:rPr>
        <w:t xml:space="preserve">ont </w:t>
      </w:r>
      <w:r w:rsidR="00161569" w:rsidRPr="003D1E8B">
        <w:rPr>
          <w:lang w:val="fr-FR"/>
        </w:rPr>
        <w:t>été admis à participer aux travaux de l'UIT-D</w:t>
      </w:r>
      <w:r w:rsidR="00A77779" w:rsidRPr="003D1E8B">
        <w:rPr>
          <w:lang w:val="fr-FR"/>
        </w:rPr>
        <w:t>.</w:t>
      </w:r>
      <w:r w:rsidR="00A77779" w:rsidRPr="003D1E8B">
        <w:rPr>
          <w:b/>
          <w:bCs/>
          <w:i/>
          <w:iCs/>
          <w:lang w:val="fr-FR"/>
        </w:rPr>
        <w:t xml:space="preserve"> </w:t>
      </w:r>
      <w:r w:rsidR="00161569" w:rsidRPr="003D1E8B">
        <w:rPr>
          <w:lang w:val="fr-FR"/>
        </w:rPr>
        <w:t xml:space="preserve">Neuf </w:t>
      </w:r>
      <w:r w:rsidR="00F6247E" w:rsidRPr="003D1E8B">
        <w:rPr>
          <w:lang w:val="fr-FR"/>
        </w:rPr>
        <w:t>sont des membres à part entiè</w:t>
      </w:r>
      <w:r w:rsidR="00E61908" w:rsidRPr="003D1E8B">
        <w:rPr>
          <w:lang w:val="fr-FR"/>
        </w:rPr>
        <w:t xml:space="preserve">re et six </w:t>
      </w:r>
      <w:r w:rsidR="00B577F5" w:rsidRPr="003D1E8B">
        <w:rPr>
          <w:lang w:val="fr-FR" w:eastAsia="zh-CN"/>
        </w:rPr>
        <w:t xml:space="preserve">mènent actuellement à terme </w:t>
      </w:r>
      <w:r w:rsidR="00D70B72" w:rsidRPr="003D1E8B">
        <w:rPr>
          <w:lang w:val="fr-FR" w:eastAsia="zh-CN"/>
        </w:rPr>
        <w:t>leur processus de paiement</w:t>
      </w:r>
      <w:r w:rsidR="00A77779" w:rsidRPr="003D1E8B">
        <w:rPr>
          <w:rFonts w:cs="Arial"/>
          <w:lang w:val="fr-FR" w:eastAsia="zh-CN"/>
        </w:rPr>
        <w:t xml:space="preserve">. </w:t>
      </w:r>
      <w:r w:rsidR="004E4810" w:rsidRPr="003D1E8B">
        <w:rPr>
          <w:rFonts w:cs="Arial"/>
          <w:b/>
          <w:bCs/>
          <w:lang w:val="fr-FR" w:eastAsia="zh-CN"/>
        </w:rPr>
        <w:t xml:space="preserve">Treize </w:t>
      </w:r>
      <w:r w:rsidR="00C779F5" w:rsidRPr="003D1E8B">
        <w:rPr>
          <w:noProof/>
          <w:lang w:val="fr-FR"/>
        </w:rPr>
        <mc:AlternateContent>
          <mc:Choice Requires="wps">
            <w:drawing>
              <wp:anchor distT="45720" distB="45720" distL="114300" distR="114300" simplePos="0" relativeHeight="251651072" behindDoc="0" locked="0" layoutInCell="1" allowOverlap="1" wp14:anchorId="5FB20EAD" wp14:editId="471783F4">
                <wp:simplePos x="0" y="0"/>
                <wp:positionH relativeFrom="column">
                  <wp:posOffset>81142</wp:posOffset>
                </wp:positionH>
                <wp:positionV relativeFrom="paragraph">
                  <wp:posOffset>692646</wp:posOffset>
                </wp:positionV>
                <wp:extent cx="5795921" cy="397565"/>
                <wp:effectExtent l="0" t="0" r="0" b="25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397565"/>
                        </a:xfrm>
                        <a:prstGeom prst="rect">
                          <a:avLst/>
                        </a:prstGeom>
                        <a:solidFill>
                          <a:srgbClr val="FFFFFF"/>
                        </a:solidFill>
                        <a:ln w="9525">
                          <a:noFill/>
                          <a:miter lim="800000"/>
                          <a:headEnd/>
                          <a:tailEnd/>
                        </a:ln>
                      </wps:spPr>
                      <wps:txbx>
                        <w:txbxContent>
                          <w:p w14:paraId="3B4D02AE"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3 −</w:t>
                            </w:r>
                            <w:r w:rsidRPr="00E21D1A">
                              <w:rPr>
                                <w:b/>
                                <w:bCs/>
                                <w:sz w:val="22"/>
                                <w:szCs w:val="18"/>
                                <w:lang w:val="fr-CH"/>
                              </w:rPr>
                              <w:t xml:space="preserve"> </w:t>
                            </w:r>
                            <w:r w:rsidRPr="00FB29C7">
                              <w:rPr>
                                <w:b/>
                                <w:bCs/>
                                <w:sz w:val="22"/>
                                <w:szCs w:val="18"/>
                                <w:lang w:val="fr-CH"/>
                              </w:rPr>
                              <w:t xml:space="preserve">Accroissement du nombre d'établissements universitaires: </w:t>
                            </w:r>
                          </w:p>
                          <w:p w14:paraId="4A112F74" w14:textId="146CA9C0" w:rsidR="00FB29C7" w:rsidRPr="00A77779" w:rsidRDefault="00FB29C7" w:rsidP="00FB29C7">
                            <w:pPr>
                              <w:spacing w:before="0"/>
                              <w:jc w:val="center"/>
                              <w:rPr>
                                <w:b/>
                                <w:bCs/>
                                <w:sz w:val="22"/>
                                <w:szCs w:val="18"/>
                                <w:lang w:val="fr-CH"/>
                              </w:rPr>
                            </w:pPr>
                            <w:r w:rsidRPr="00FB29C7">
                              <w:rPr>
                                <w:b/>
                                <w:bCs/>
                                <w:sz w:val="22"/>
                                <w:szCs w:val="18"/>
                                <w:lang w:val="fr-CH"/>
                              </w:rPr>
                              <w:t>Comparaison entre décembre 2020 et septembre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20EAD" id="_x0000_s1033" type="#_x0000_t202" style="position:absolute;margin-left:6.4pt;margin-top:54.55pt;width:456.35pt;height:31.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" stroked="f">
                <v:textbox inset="0,0,0,0">
                  <w:txbxContent>
                    <w:p w14:paraId="3B4D02AE"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3 −</w:t>
                      </w:r>
                      <w:r w:rsidRPr="00E21D1A">
                        <w:rPr>
                          <w:b/>
                          <w:bCs/>
                          <w:sz w:val="22"/>
                          <w:szCs w:val="18"/>
                          <w:lang w:val="fr-CH"/>
                        </w:rPr>
                        <w:t xml:space="preserve"> </w:t>
                      </w:r>
                      <w:r w:rsidRPr="00FB29C7">
                        <w:rPr>
                          <w:b/>
                          <w:bCs/>
                          <w:sz w:val="22"/>
                          <w:szCs w:val="18"/>
                          <w:lang w:val="fr-CH"/>
                        </w:rPr>
                        <w:t xml:space="preserve">Accroissement du nombre d'établissements universitaires: </w:t>
                      </w:r>
                    </w:p>
                    <w:p w14:paraId="4A112F74" w14:textId="146CA9C0" w:rsidR="00FB29C7" w:rsidRPr="00A77779" w:rsidRDefault="00FB29C7" w:rsidP="00FB29C7">
                      <w:pPr>
                        <w:spacing w:before="0"/>
                        <w:jc w:val="center"/>
                        <w:rPr>
                          <w:b/>
                          <w:bCs/>
                          <w:sz w:val="22"/>
                          <w:szCs w:val="18"/>
                          <w:lang w:val="fr-CH"/>
                        </w:rPr>
                      </w:pPr>
                      <w:r w:rsidRPr="00FB29C7">
                        <w:rPr>
                          <w:b/>
                          <w:bCs/>
                          <w:sz w:val="22"/>
                          <w:szCs w:val="18"/>
                          <w:lang w:val="fr-CH"/>
                        </w:rPr>
                        <w:t>Comparaison entre décembre 2020 et septembre 2021</w:t>
                      </w:r>
                    </w:p>
                  </w:txbxContent>
                </v:textbox>
              </v:shape>
            </w:pict>
          </mc:Fallback>
        </mc:AlternateContent>
      </w:r>
      <w:r w:rsidR="004E4810" w:rsidRPr="003D1E8B">
        <w:rPr>
          <w:rFonts w:cs="Arial"/>
          <w:lang w:val="fr-FR" w:eastAsia="zh-CN"/>
        </w:rPr>
        <w:t xml:space="preserve">établissements universitaires attentent actuellement l'approbation de leur administration. </w:t>
      </w:r>
    </w:p>
    <w:p w14:paraId="6942BCA7" w14:textId="35D42317" w:rsidR="00A77779" w:rsidRPr="003D1E8B" w:rsidRDefault="00FB29C7" w:rsidP="00426639">
      <w:pPr>
        <w:tabs>
          <w:tab w:val="clear" w:pos="794"/>
          <w:tab w:val="clear" w:pos="1191"/>
          <w:tab w:val="clear" w:pos="1588"/>
          <w:tab w:val="clear" w:pos="1985"/>
          <w:tab w:val="left" w:pos="1134"/>
          <w:tab w:val="left" w:pos="1871"/>
          <w:tab w:val="left" w:pos="2268"/>
        </w:tabs>
        <w:spacing w:after="120"/>
        <w:jc w:val="both"/>
        <w:rPr>
          <w:rFonts w:ascii="Calibri" w:hAnsi="Calibri"/>
          <w:lang w:val="fr-FR"/>
        </w:rPr>
      </w:pPr>
      <w:r w:rsidRPr="003D1E8B">
        <w:rPr>
          <w:noProof/>
          <w:lang w:val="fr-FR"/>
        </w:rPr>
        <mc:AlternateContent>
          <mc:Choice Requires="wps">
            <w:drawing>
              <wp:anchor distT="45720" distB="45720" distL="114300" distR="114300" simplePos="0" relativeHeight="251646976" behindDoc="0" locked="0" layoutInCell="1" allowOverlap="1" wp14:anchorId="28CA6695" wp14:editId="341ED3CC">
                <wp:simplePos x="0" y="0"/>
                <wp:positionH relativeFrom="column">
                  <wp:posOffset>1561134</wp:posOffset>
                </wp:positionH>
                <wp:positionV relativeFrom="paragraph">
                  <wp:posOffset>2000250</wp:posOffset>
                </wp:positionV>
                <wp:extent cx="930275" cy="1404620"/>
                <wp:effectExtent l="0" t="0" r="3175" b="254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275" cy="1404620"/>
                        </a:xfrm>
                        <a:prstGeom prst="rect">
                          <a:avLst/>
                        </a:prstGeom>
                        <a:solidFill>
                          <a:srgbClr val="FFFFFF"/>
                        </a:solidFill>
                        <a:ln w="9525">
                          <a:noFill/>
                          <a:miter lim="800000"/>
                          <a:headEnd/>
                          <a:tailEnd/>
                        </a:ln>
                      </wps:spPr>
                      <wps:txbx>
                        <w:txbxContent>
                          <w:p w14:paraId="1AD2A02B" w14:textId="3E122318" w:rsidR="00FB29C7" w:rsidRPr="00FB29C7" w:rsidRDefault="00FB29C7" w:rsidP="00FB29C7">
                            <w:pPr>
                              <w:spacing w:before="0"/>
                              <w:rPr>
                                <w:b/>
                                <w:bCs/>
                                <w:sz w:val="20"/>
                              </w:rPr>
                            </w:pPr>
                            <w:r w:rsidRPr="00FB29C7">
                              <w:rPr>
                                <w:b/>
                                <w:bCs/>
                                <w:sz w:val="20"/>
                              </w:rPr>
                              <w:t xml:space="preserve">Nouveaux </w:t>
                            </w:r>
                            <w:proofErr w:type="spellStart"/>
                            <w:r w:rsidRPr="00FB29C7">
                              <w:rPr>
                                <w:b/>
                                <w:bCs/>
                                <w:sz w:val="20"/>
                              </w:rPr>
                              <w:t>établissements</w:t>
                            </w:r>
                            <w:proofErr w:type="spellEnd"/>
                            <w:r w:rsidRPr="00FB29C7">
                              <w:rPr>
                                <w:b/>
                                <w:bCs/>
                                <w:sz w:val="20"/>
                              </w:rPr>
                              <w:t xml:space="preserve"> </w:t>
                            </w:r>
                            <w:proofErr w:type="spellStart"/>
                            <w:r w:rsidRPr="00FB29C7">
                              <w:rPr>
                                <w:b/>
                                <w:bCs/>
                                <w:sz w:val="20"/>
                              </w:rPr>
                              <w:t>universitaires</w:t>
                            </w:r>
                            <w:proofErr w:type="spell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CA6695" id="_x0000_s1034" type="#_x0000_t202" style="position:absolute;left:0;text-align:left;margin-left:122.9pt;margin-top:157.5pt;width:73.2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" stroked="f">
                <v:textbox style="mso-fit-shape-to-text:t" inset="0,0,0,0">
                  <w:txbxContent>
                    <w:p w14:paraId="1AD2A02B" w14:textId="3E122318" w:rsidR="00FB29C7" w:rsidRPr="00FB29C7" w:rsidRDefault="00FB29C7" w:rsidP="00FB29C7">
                      <w:pPr>
                        <w:spacing w:before="0"/>
                        <w:rPr>
                          <w:b/>
                          <w:bCs/>
                          <w:sz w:val="20"/>
                        </w:rPr>
                      </w:pPr>
                      <w:r w:rsidRPr="00FB29C7">
                        <w:rPr>
                          <w:b/>
                          <w:bCs/>
                          <w:sz w:val="20"/>
                        </w:rPr>
                        <w:t xml:space="preserve">Nouveaux </w:t>
                      </w:r>
                      <w:proofErr w:type="spellStart"/>
                      <w:r w:rsidRPr="00FB29C7">
                        <w:rPr>
                          <w:b/>
                          <w:bCs/>
                          <w:sz w:val="20"/>
                        </w:rPr>
                        <w:t>établissements</w:t>
                      </w:r>
                      <w:proofErr w:type="spellEnd"/>
                      <w:r w:rsidRPr="00FB29C7">
                        <w:rPr>
                          <w:b/>
                          <w:bCs/>
                          <w:sz w:val="20"/>
                        </w:rPr>
                        <w:t xml:space="preserve"> </w:t>
                      </w:r>
                      <w:proofErr w:type="spellStart"/>
                      <w:r w:rsidRPr="00FB29C7">
                        <w:rPr>
                          <w:b/>
                          <w:bCs/>
                          <w:sz w:val="20"/>
                        </w:rPr>
                        <w:t>universitaires</w:t>
                      </w:r>
                      <w:proofErr w:type="spellEnd"/>
                    </w:p>
                  </w:txbxContent>
                </v:textbox>
              </v:shape>
            </w:pict>
          </mc:Fallback>
        </mc:AlternateContent>
      </w:r>
      <w:r w:rsidRPr="003D1E8B">
        <w:rPr>
          <w:noProof/>
          <w:lang w:val="fr-FR"/>
        </w:rPr>
        <mc:AlternateContent>
          <mc:Choice Requires="wps">
            <w:drawing>
              <wp:anchor distT="45720" distB="45720" distL="114300" distR="114300" simplePos="0" relativeHeight="251648000" behindDoc="0" locked="0" layoutInCell="1" allowOverlap="1" wp14:anchorId="470166B2" wp14:editId="2653061E">
                <wp:simplePos x="0" y="0"/>
                <wp:positionH relativeFrom="column">
                  <wp:posOffset>3055924</wp:posOffset>
                </wp:positionH>
                <wp:positionV relativeFrom="paragraph">
                  <wp:posOffset>2000250</wp:posOffset>
                </wp:positionV>
                <wp:extent cx="2560320" cy="1404620"/>
                <wp:effectExtent l="0" t="0" r="0"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404620"/>
                        </a:xfrm>
                        <a:prstGeom prst="rect">
                          <a:avLst/>
                        </a:prstGeom>
                        <a:solidFill>
                          <a:srgbClr val="FFFFFF"/>
                        </a:solidFill>
                        <a:ln w="9525">
                          <a:noFill/>
                          <a:miter lim="800000"/>
                          <a:headEnd/>
                          <a:tailEnd/>
                        </a:ln>
                      </wps:spPr>
                      <wps:txbx>
                        <w:txbxContent>
                          <w:p w14:paraId="44E442C7" w14:textId="32E6B595" w:rsidR="00FB29C7" w:rsidRPr="00A8477F" w:rsidRDefault="00FB29C7" w:rsidP="00FB29C7">
                            <w:pPr>
                              <w:spacing w:before="0"/>
                              <w:rPr>
                                <w:b/>
                                <w:bCs/>
                                <w:sz w:val="20"/>
                                <w:lang w:val="fr-FR"/>
                              </w:rPr>
                            </w:pPr>
                            <w:r w:rsidRPr="00A8477F">
                              <w:rPr>
                                <w:b/>
                                <w:bCs/>
                                <w:sz w:val="20"/>
                                <w:lang w:val="fr-FR"/>
                              </w:rPr>
                              <w:t>Établissements universitaires attendant l'approbation de leur administration</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166B2" id="_x0000_s1035" type="#_x0000_t202" style="position:absolute;left:0;text-align:left;margin-left:240.6pt;margin-top:157.5pt;width:201.6pt;height:110.6pt;z-index:251648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" stroked="f">
                <v:textbox style="mso-fit-shape-to-text:t" inset="0,0,0,0">
                  <w:txbxContent>
                    <w:p w14:paraId="44E442C7" w14:textId="32E6B595" w:rsidR="00FB29C7" w:rsidRPr="00A8477F" w:rsidRDefault="00FB29C7" w:rsidP="00FB29C7">
                      <w:pPr>
                        <w:spacing w:before="0"/>
                        <w:rPr>
                          <w:b/>
                          <w:bCs/>
                          <w:sz w:val="20"/>
                          <w:lang w:val="fr-FR"/>
                        </w:rPr>
                      </w:pPr>
                      <w:r w:rsidRPr="00A8477F">
                        <w:rPr>
                          <w:b/>
                          <w:bCs/>
                          <w:sz w:val="20"/>
                          <w:lang w:val="fr-FR"/>
                        </w:rPr>
                        <w:t>Établissements universitaires attendant l'approbation de leur administration</w:t>
                      </w:r>
                    </w:p>
                  </w:txbxContent>
                </v:textbox>
              </v:shape>
            </w:pict>
          </mc:Fallback>
        </mc:AlternateContent>
      </w:r>
      <w:r w:rsidR="00A77779" w:rsidRPr="003D1E8B">
        <w:rPr>
          <w:noProof/>
          <w:lang w:val="fr-FR"/>
        </w:rPr>
        <w:drawing>
          <wp:inline distT="0" distB="0" distL="0" distR="0" wp14:anchorId="2D0CC6E9" wp14:editId="5E37A4D8">
            <wp:extent cx="6120765" cy="2177142"/>
            <wp:effectExtent l="0" t="0" r="635" b="0"/>
            <wp:docPr id="6" name="Picture 6"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imelin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b="3529"/>
                    <a:stretch/>
                  </pic:blipFill>
                  <pic:spPr bwMode="auto">
                    <a:xfrm>
                      <a:off x="0" y="0"/>
                      <a:ext cx="6120765" cy="2177142"/>
                    </a:xfrm>
                    <a:prstGeom prst="rect">
                      <a:avLst/>
                    </a:prstGeom>
                    <a:noFill/>
                    <a:ln>
                      <a:noFill/>
                    </a:ln>
                    <a:extLst>
                      <a:ext uri="{53640926-AAD7-44D8-BBD7-CCE9431645EC}">
                        <a14:shadowObscured xmlns:a14="http://schemas.microsoft.com/office/drawing/2010/main"/>
                      </a:ext>
                    </a:extLst>
                  </pic:spPr>
                </pic:pic>
              </a:graphicData>
            </a:graphic>
          </wp:inline>
        </w:drawing>
      </w:r>
    </w:p>
    <w:p w14:paraId="404C3DD1" w14:textId="381B35B4" w:rsidR="00A77779" w:rsidRPr="003D1E8B" w:rsidRDefault="00B577F5" w:rsidP="00426639">
      <w:pPr>
        <w:spacing w:before="600"/>
        <w:rPr>
          <w:lang w:val="fr-FR"/>
        </w:rPr>
      </w:pPr>
      <w:r w:rsidRPr="003D1E8B">
        <w:rPr>
          <w:lang w:val="fr-FR"/>
        </w:rPr>
        <w:t xml:space="preserve">Le </w:t>
      </w:r>
      <w:r w:rsidRPr="003D1E8B">
        <w:rPr>
          <w:b/>
          <w:bCs/>
          <w:lang w:val="fr-FR"/>
        </w:rPr>
        <w:t>Graphique</w:t>
      </w:r>
      <w:r w:rsidR="003C3604" w:rsidRPr="003D1E8B">
        <w:rPr>
          <w:b/>
          <w:bCs/>
          <w:lang w:val="fr-FR"/>
        </w:rPr>
        <w:t xml:space="preserve"> 4 </w:t>
      </w:r>
      <w:r w:rsidR="003C3604" w:rsidRPr="003D1E8B">
        <w:rPr>
          <w:lang w:val="fr-FR"/>
        </w:rPr>
        <w:t>ci-dessous</w:t>
      </w:r>
      <w:r w:rsidR="00EE4DF3" w:rsidRPr="003D1E8B">
        <w:rPr>
          <w:lang w:val="fr-FR"/>
        </w:rPr>
        <w:t xml:space="preserve"> indique</w:t>
      </w:r>
      <w:r w:rsidR="0073251F" w:rsidRPr="003D1E8B">
        <w:rPr>
          <w:lang w:val="fr-FR"/>
        </w:rPr>
        <w:t xml:space="preserve"> </w:t>
      </w:r>
      <w:r w:rsidR="00EE4DF3" w:rsidRPr="003D1E8B">
        <w:rPr>
          <w:lang w:val="fr-FR"/>
        </w:rPr>
        <w:t>la diminution du</w:t>
      </w:r>
      <w:r w:rsidR="00632E82" w:rsidRPr="003D1E8B">
        <w:rPr>
          <w:lang w:val="fr-FR"/>
        </w:rPr>
        <w:t xml:space="preserve"> </w:t>
      </w:r>
      <w:r w:rsidR="0073251F" w:rsidRPr="003D1E8B">
        <w:rPr>
          <w:lang w:val="fr-FR"/>
        </w:rPr>
        <w:t xml:space="preserve">nombre de </w:t>
      </w:r>
      <w:r w:rsidR="006C617E" w:rsidRPr="003D1E8B">
        <w:rPr>
          <w:lang w:val="fr-FR"/>
        </w:rPr>
        <w:t>M</w:t>
      </w:r>
      <w:r w:rsidR="0073251F" w:rsidRPr="003D1E8B">
        <w:rPr>
          <w:lang w:val="fr-FR"/>
        </w:rPr>
        <w:t xml:space="preserve">embres de l'UIT-D et d'établissements universitaires </w:t>
      </w:r>
      <w:r w:rsidR="004E2B83" w:rsidRPr="003D1E8B">
        <w:rPr>
          <w:lang w:val="fr-FR"/>
        </w:rPr>
        <w:t>participant</w:t>
      </w:r>
      <w:r w:rsidR="00632E82" w:rsidRPr="003D1E8B">
        <w:rPr>
          <w:lang w:val="fr-FR"/>
        </w:rPr>
        <w:t xml:space="preserve"> </w:t>
      </w:r>
      <w:r w:rsidR="00EE4DF3" w:rsidRPr="003D1E8B">
        <w:rPr>
          <w:lang w:val="fr-FR"/>
        </w:rPr>
        <w:t>à ses</w:t>
      </w:r>
      <w:r w:rsidR="00632E82" w:rsidRPr="003D1E8B">
        <w:rPr>
          <w:lang w:val="fr-FR"/>
        </w:rPr>
        <w:t xml:space="preserve"> </w:t>
      </w:r>
      <w:r w:rsidR="001709F3" w:rsidRPr="003D1E8B">
        <w:rPr>
          <w:lang w:val="fr-FR"/>
        </w:rPr>
        <w:t>travaux</w:t>
      </w:r>
      <w:r w:rsidR="00632E82" w:rsidRPr="003D1E8B">
        <w:rPr>
          <w:lang w:val="fr-FR"/>
        </w:rPr>
        <w:t xml:space="preserve"> </w:t>
      </w:r>
      <w:r w:rsidR="000A2453" w:rsidRPr="003D1E8B">
        <w:rPr>
          <w:lang w:val="fr-FR"/>
        </w:rPr>
        <w:t>par rapport à 2020.</w:t>
      </w:r>
      <w:r w:rsidR="00A77779" w:rsidRPr="003D1E8B">
        <w:rPr>
          <w:lang w:val="fr-FR"/>
        </w:rPr>
        <w:t xml:space="preserve"> </w:t>
      </w:r>
      <w:r w:rsidR="000A2453" w:rsidRPr="003D1E8B">
        <w:rPr>
          <w:lang w:val="fr-FR"/>
        </w:rPr>
        <w:t xml:space="preserve">Malgré </w:t>
      </w:r>
      <w:r w:rsidR="001709F3" w:rsidRPr="003D1E8B">
        <w:rPr>
          <w:lang w:val="fr-FR"/>
        </w:rPr>
        <w:t>le nombre croissant de comptes à risque en 2021</w:t>
      </w:r>
      <w:r w:rsidR="009F5863" w:rsidRPr="003D1E8B">
        <w:rPr>
          <w:lang w:val="fr-FR"/>
        </w:rPr>
        <w:t>,</w:t>
      </w:r>
      <w:r w:rsidR="001709F3" w:rsidRPr="003D1E8B">
        <w:rPr>
          <w:lang w:val="fr-FR"/>
        </w:rPr>
        <w:t xml:space="preserve"> </w:t>
      </w:r>
      <w:r w:rsidR="00957E58" w:rsidRPr="003D1E8B">
        <w:rPr>
          <w:lang w:val="fr-FR"/>
        </w:rPr>
        <w:t>pour défaut de paiement</w:t>
      </w:r>
      <w:r w:rsidR="001709F3" w:rsidRPr="003D1E8B">
        <w:rPr>
          <w:lang w:val="fr-FR"/>
        </w:rPr>
        <w:t xml:space="preserve">, le nombre total de dénonciations et d'exclusions concernant les </w:t>
      </w:r>
      <w:r w:rsidR="00784373" w:rsidRPr="003D1E8B">
        <w:rPr>
          <w:lang w:val="fr-FR"/>
        </w:rPr>
        <w:t>M</w:t>
      </w:r>
      <w:r w:rsidR="001709F3" w:rsidRPr="003D1E8B">
        <w:rPr>
          <w:lang w:val="fr-FR"/>
        </w:rPr>
        <w:t xml:space="preserve">embres de l'UIT-D et les établissements universitaires </w:t>
      </w:r>
      <w:r w:rsidR="0029330B" w:rsidRPr="003D1E8B">
        <w:rPr>
          <w:lang w:val="fr-FR"/>
        </w:rPr>
        <w:t>participant</w:t>
      </w:r>
      <w:r w:rsidR="001709F3" w:rsidRPr="003D1E8B">
        <w:rPr>
          <w:lang w:val="fr-FR"/>
        </w:rPr>
        <w:t xml:space="preserve"> aux travaux d</w:t>
      </w:r>
      <w:r w:rsidR="00767862" w:rsidRPr="003D1E8B">
        <w:rPr>
          <w:lang w:val="fr-FR"/>
        </w:rPr>
        <w:t>e ce</w:t>
      </w:r>
      <w:r w:rsidR="001709F3" w:rsidRPr="003D1E8B">
        <w:rPr>
          <w:lang w:val="fr-FR"/>
        </w:rPr>
        <w:t xml:space="preserve"> Secteur est inférieur à celui de 2020.</w:t>
      </w:r>
      <w:r w:rsidR="00A77779" w:rsidRPr="003D1E8B">
        <w:rPr>
          <w:lang w:val="fr-FR"/>
        </w:rPr>
        <w:t xml:space="preserve"> </w:t>
      </w:r>
    </w:p>
    <w:p w14:paraId="47EC4B06" w14:textId="5EE5CE15" w:rsidR="00A77779" w:rsidRPr="003D1E8B" w:rsidRDefault="00B461FE" w:rsidP="00426639">
      <w:pPr>
        <w:rPr>
          <w:lang w:val="fr-FR"/>
        </w:rPr>
      </w:pPr>
      <w:r w:rsidRPr="003D1E8B">
        <w:rPr>
          <w:lang w:val="fr-FR"/>
        </w:rPr>
        <w:t>En</w:t>
      </w:r>
      <w:r w:rsidR="00A77779" w:rsidRPr="003D1E8B">
        <w:rPr>
          <w:lang w:val="fr-FR"/>
        </w:rPr>
        <w:t xml:space="preserve"> 2021</w:t>
      </w:r>
      <w:r w:rsidRPr="003D1E8B">
        <w:rPr>
          <w:lang w:val="fr-FR"/>
        </w:rPr>
        <w:t xml:space="preserve">, </w:t>
      </w:r>
      <w:r w:rsidRPr="003D1E8B">
        <w:rPr>
          <w:b/>
          <w:bCs/>
          <w:lang w:val="fr-FR"/>
        </w:rPr>
        <w:t xml:space="preserve">13 entités </w:t>
      </w:r>
      <w:r w:rsidRPr="003D1E8B">
        <w:rPr>
          <w:lang w:val="fr-FR"/>
        </w:rPr>
        <w:t xml:space="preserve">au total ont quitté l'UIT-D: </w:t>
      </w:r>
      <w:r w:rsidRPr="003D1E8B">
        <w:rPr>
          <w:b/>
          <w:bCs/>
          <w:lang w:val="fr-FR"/>
        </w:rPr>
        <w:t>six entités ont dénoncé leur participation</w:t>
      </w:r>
      <w:r w:rsidRPr="003D1E8B">
        <w:rPr>
          <w:rStyle w:val="FootnoteReference"/>
          <w:lang w:val="fr-FR"/>
        </w:rPr>
        <w:footnoteReference w:id="6"/>
      </w:r>
      <w:r w:rsidRPr="003D1E8B">
        <w:rPr>
          <w:lang w:val="fr-FR"/>
        </w:rPr>
        <w:t xml:space="preserve"> et </w:t>
      </w:r>
      <w:r w:rsidRPr="003D1E8B">
        <w:rPr>
          <w:b/>
          <w:bCs/>
          <w:lang w:val="fr-FR"/>
        </w:rPr>
        <w:t>sept entités ont été exclues</w:t>
      </w:r>
      <w:r w:rsidR="00A77779" w:rsidRPr="003D1E8B">
        <w:rPr>
          <w:rStyle w:val="FootnoteReference"/>
          <w:lang w:val="fr-FR"/>
        </w:rPr>
        <w:footnoteReference w:id="7"/>
      </w:r>
      <w:r w:rsidR="00A77779" w:rsidRPr="003D1E8B">
        <w:rPr>
          <w:lang w:val="fr-FR"/>
        </w:rPr>
        <w:t xml:space="preserve"> (</w:t>
      </w:r>
      <w:r w:rsidR="00C236D3" w:rsidRPr="003D1E8B">
        <w:rPr>
          <w:lang w:val="fr-FR"/>
        </w:rPr>
        <w:t xml:space="preserve">pour les raisons suivantes: </w:t>
      </w:r>
      <w:r w:rsidR="00EE4DF3" w:rsidRPr="003D1E8B">
        <w:rPr>
          <w:lang w:val="fr-FR"/>
        </w:rPr>
        <w:t xml:space="preserve">clôture </w:t>
      </w:r>
      <w:r w:rsidR="00C236D3" w:rsidRPr="003D1E8B">
        <w:rPr>
          <w:lang w:val="fr-FR"/>
        </w:rPr>
        <w:t>de programme</w:t>
      </w:r>
      <w:r w:rsidR="007162B1" w:rsidRPr="003D1E8B">
        <w:rPr>
          <w:lang w:val="fr-FR"/>
        </w:rPr>
        <w:t>s</w:t>
      </w:r>
      <w:r w:rsidR="00C236D3" w:rsidRPr="003D1E8B">
        <w:rPr>
          <w:lang w:val="fr-FR"/>
        </w:rPr>
        <w:t>, examen de la stratégie</w:t>
      </w:r>
      <w:r w:rsidR="00255F54" w:rsidRPr="003D1E8B">
        <w:rPr>
          <w:lang w:val="fr-FR"/>
        </w:rPr>
        <w:t xml:space="preserve"> institutionnelle, difficultés financières à </w:t>
      </w:r>
      <w:r w:rsidR="005210B1" w:rsidRPr="003D1E8B">
        <w:rPr>
          <w:lang w:val="fr-FR"/>
        </w:rPr>
        <w:t xml:space="preserve">acquitter des contributions ou </w:t>
      </w:r>
      <w:r w:rsidR="005F77DE" w:rsidRPr="003D1E8B">
        <w:rPr>
          <w:lang w:val="fr-FR"/>
        </w:rPr>
        <w:t>raisons non divulguées</w:t>
      </w:r>
      <w:r w:rsidR="00A77779" w:rsidRPr="003D1E8B">
        <w:rPr>
          <w:lang w:val="fr-FR"/>
        </w:rPr>
        <w:t xml:space="preserve">). </w:t>
      </w:r>
      <w:r w:rsidR="002E4AC7" w:rsidRPr="003D1E8B">
        <w:rPr>
          <w:lang w:val="fr-FR"/>
        </w:rPr>
        <w:t xml:space="preserve">Grâce </w:t>
      </w:r>
      <w:r w:rsidR="007162B1" w:rsidRPr="003D1E8B">
        <w:rPr>
          <w:lang w:val="fr-FR"/>
        </w:rPr>
        <w:t>aux</w:t>
      </w:r>
      <w:r w:rsidR="002E4AC7" w:rsidRPr="003D1E8B">
        <w:rPr>
          <w:lang w:val="fr-FR"/>
        </w:rPr>
        <w:t xml:space="preserve"> </w:t>
      </w:r>
      <w:r w:rsidR="00616617" w:rsidRPr="003D1E8B">
        <w:rPr>
          <w:lang w:val="fr-FR"/>
        </w:rPr>
        <w:t xml:space="preserve">efforts de fidélisation déployés en coordination avec </w:t>
      </w:r>
      <w:r w:rsidR="007162B1" w:rsidRPr="003D1E8B">
        <w:rPr>
          <w:lang w:val="fr-FR"/>
        </w:rPr>
        <w:t xml:space="preserve">le </w:t>
      </w:r>
      <w:r w:rsidR="00616617" w:rsidRPr="003D1E8B">
        <w:rPr>
          <w:lang w:val="fr-FR"/>
        </w:rPr>
        <w:t xml:space="preserve">personnel sur le terrain, </w:t>
      </w:r>
      <w:r w:rsidR="00347B96" w:rsidRPr="003D1E8B">
        <w:rPr>
          <w:lang w:val="fr-FR"/>
        </w:rPr>
        <w:t>nous avons fait en sorte que</w:t>
      </w:r>
      <w:r w:rsidR="00AA719B" w:rsidRPr="003D1E8B">
        <w:rPr>
          <w:lang w:val="fr-FR"/>
        </w:rPr>
        <w:t xml:space="preserve"> </w:t>
      </w:r>
      <w:r w:rsidR="00AA719B" w:rsidRPr="003D1E8B">
        <w:rPr>
          <w:b/>
          <w:bCs/>
          <w:lang w:val="fr-FR"/>
        </w:rPr>
        <w:t xml:space="preserve">dix </w:t>
      </w:r>
      <w:r w:rsidR="00AA719B" w:rsidRPr="003D1E8B">
        <w:rPr>
          <w:lang w:val="fr-FR"/>
        </w:rPr>
        <w:t>Membres de Secteur dont les comptes étaient à risque</w:t>
      </w:r>
      <w:r w:rsidR="00DD2010" w:rsidRPr="003D1E8B">
        <w:rPr>
          <w:lang w:val="fr-FR"/>
        </w:rPr>
        <w:t xml:space="preserve"> </w:t>
      </w:r>
      <w:r w:rsidR="00347B96" w:rsidRPr="003D1E8B">
        <w:rPr>
          <w:lang w:val="fr-FR"/>
        </w:rPr>
        <w:t>ne mettent pas</w:t>
      </w:r>
      <w:r w:rsidR="00DD2010" w:rsidRPr="003D1E8B">
        <w:rPr>
          <w:lang w:val="fr-FR"/>
        </w:rPr>
        <w:t xml:space="preserve"> un terme à leur participation</w:t>
      </w:r>
      <w:r w:rsidR="00AA719B" w:rsidRPr="003D1E8B">
        <w:rPr>
          <w:lang w:val="fr-FR"/>
        </w:rPr>
        <w:t xml:space="preserve"> (en réglant les contributions ou en </w:t>
      </w:r>
      <w:r w:rsidR="00B03749" w:rsidRPr="003D1E8B">
        <w:rPr>
          <w:lang w:val="fr-FR"/>
        </w:rPr>
        <w:t xml:space="preserve">annulant les dénonciations de participation). </w:t>
      </w:r>
    </w:p>
    <w:p w14:paraId="4F0705B0" w14:textId="2010A10D" w:rsidR="00A77779" w:rsidRPr="003D1E8B" w:rsidRDefault="00C779F5" w:rsidP="00426639">
      <w:pPr>
        <w:spacing w:after="120"/>
        <w:jc w:val="both"/>
        <w:rPr>
          <w:lang w:val="fr-FR"/>
        </w:rPr>
      </w:pPr>
      <w:r w:rsidRPr="003D1E8B">
        <w:rPr>
          <w:noProof/>
          <w:lang w:val="fr-FR"/>
        </w:rPr>
        <w:lastRenderedPageBreak/>
        <mc:AlternateContent>
          <mc:Choice Requires="wps">
            <w:drawing>
              <wp:anchor distT="45720" distB="45720" distL="114300" distR="114300" simplePos="0" relativeHeight="251671552" behindDoc="0" locked="0" layoutInCell="1" allowOverlap="1" wp14:anchorId="24CB14B5" wp14:editId="491E8EBE">
                <wp:simplePos x="0" y="0"/>
                <wp:positionH relativeFrom="column">
                  <wp:posOffset>3466465</wp:posOffset>
                </wp:positionH>
                <wp:positionV relativeFrom="paragraph">
                  <wp:posOffset>2230755</wp:posOffset>
                </wp:positionV>
                <wp:extent cx="2258060" cy="1404620"/>
                <wp:effectExtent l="0" t="0" r="889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1404620"/>
                        </a:xfrm>
                        <a:prstGeom prst="rect">
                          <a:avLst/>
                        </a:prstGeom>
                        <a:solidFill>
                          <a:srgbClr val="FFFFFF"/>
                        </a:solidFill>
                        <a:ln w="9525">
                          <a:noFill/>
                          <a:miter lim="800000"/>
                          <a:headEnd/>
                          <a:tailEnd/>
                        </a:ln>
                      </wps:spPr>
                      <wps:txbx>
                        <w:txbxContent>
                          <w:p w14:paraId="45E8151A" w14:textId="690C5ED7" w:rsidR="00FB29C7" w:rsidRPr="00A77779" w:rsidRDefault="00FB29C7" w:rsidP="00FB29C7">
                            <w:pPr>
                              <w:spacing w:before="0"/>
                              <w:rPr>
                                <w:b/>
                                <w:bCs/>
                                <w:sz w:val="22"/>
                                <w:szCs w:val="18"/>
                              </w:rPr>
                            </w:pPr>
                            <w:r>
                              <w:rPr>
                                <w:b/>
                                <w:bCs/>
                                <w:sz w:val="22"/>
                                <w:szCs w:val="18"/>
                              </w:rPr>
                              <w:t>Exclusion</w:t>
                            </w:r>
                            <w:r w:rsidRPr="00FB29C7">
                              <w:rPr>
                                <w:b/>
                                <w:bCs/>
                                <w:sz w:val="22"/>
                                <w:szCs w:val="18"/>
                              </w:rPr>
                              <w:t xml:space="preserve">s – </w:t>
                            </w:r>
                            <w:proofErr w:type="spellStart"/>
                            <w:r w:rsidRPr="00FB29C7">
                              <w:rPr>
                                <w:b/>
                                <w:bCs/>
                                <w:sz w:val="22"/>
                                <w:szCs w:val="18"/>
                              </w:rPr>
                              <w:t>Établissements</w:t>
                            </w:r>
                            <w:proofErr w:type="spellEnd"/>
                            <w:r w:rsidRPr="00FB29C7">
                              <w:rPr>
                                <w:b/>
                                <w:bCs/>
                                <w:sz w:val="22"/>
                                <w:szCs w:val="18"/>
                              </w:rPr>
                              <w:t xml:space="preserve"> </w:t>
                            </w:r>
                            <w:proofErr w:type="spellStart"/>
                            <w:r w:rsidRPr="00FB29C7">
                              <w:rPr>
                                <w:b/>
                                <w:bCs/>
                                <w:sz w:val="22"/>
                                <w:szCs w:val="18"/>
                              </w:rPr>
                              <w:t>universitaires</w:t>
                            </w:r>
                            <w:proofErr w:type="spell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B14B5" id="_x0000_s1036" type="#_x0000_t202" style="position:absolute;left:0;text-align:left;margin-left:272.95pt;margin-top:175.65pt;width:177.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" stroked="f">
                <v:textbox style="mso-fit-shape-to-text:t" inset="0,0,0,0">
                  <w:txbxContent>
                    <w:p w14:paraId="45E8151A" w14:textId="690C5ED7" w:rsidR="00FB29C7" w:rsidRPr="00A77779" w:rsidRDefault="00FB29C7" w:rsidP="00FB29C7">
                      <w:pPr>
                        <w:spacing w:before="0"/>
                        <w:rPr>
                          <w:b/>
                          <w:bCs/>
                          <w:sz w:val="22"/>
                          <w:szCs w:val="18"/>
                        </w:rPr>
                      </w:pPr>
                      <w:r>
                        <w:rPr>
                          <w:b/>
                          <w:bCs/>
                          <w:sz w:val="22"/>
                          <w:szCs w:val="18"/>
                        </w:rPr>
                        <w:t>Exclusion</w:t>
                      </w:r>
                      <w:r w:rsidRPr="00FB29C7">
                        <w:rPr>
                          <w:b/>
                          <w:bCs/>
                          <w:sz w:val="22"/>
                          <w:szCs w:val="18"/>
                        </w:rPr>
                        <w:t xml:space="preserve">s – </w:t>
                      </w:r>
                      <w:proofErr w:type="spellStart"/>
                      <w:r w:rsidRPr="00FB29C7">
                        <w:rPr>
                          <w:b/>
                          <w:bCs/>
                          <w:sz w:val="22"/>
                          <w:szCs w:val="18"/>
                        </w:rPr>
                        <w:t>Établissements</w:t>
                      </w:r>
                      <w:proofErr w:type="spellEnd"/>
                      <w:r w:rsidRPr="00FB29C7">
                        <w:rPr>
                          <w:b/>
                          <w:bCs/>
                          <w:sz w:val="22"/>
                          <w:szCs w:val="18"/>
                        </w:rPr>
                        <w:t xml:space="preserve"> </w:t>
                      </w:r>
                      <w:proofErr w:type="spellStart"/>
                      <w:r w:rsidRPr="00FB29C7">
                        <w:rPr>
                          <w:b/>
                          <w:bCs/>
                          <w:sz w:val="22"/>
                          <w:szCs w:val="18"/>
                        </w:rPr>
                        <w:t>universitaires</w:t>
                      </w:r>
                      <w:proofErr w:type="spellEnd"/>
                    </w:p>
                  </w:txbxContent>
                </v:textbox>
              </v:shape>
            </w:pict>
          </mc:Fallback>
        </mc:AlternateContent>
      </w:r>
      <w:r w:rsidRPr="003D1E8B">
        <w:rPr>
          <w:noProof/>
          <w:lang w:val="fr-FR"/>
        </w:rPr>
        <mc:AlternateContent>
          <mc:Choice Requires="wps">
            <w:drawing>
              <wp:anchor distT="45720" distB="45720" distL="114300" distR="114300" simplePos="0" relativeHeight="251666432" behindDoc="0" locked="0" layoutInCell="1" allowOverlap="1" wp14:anchorId="3BAB23F3" wp14:editId="03859786">
                <wp:simplePos x="0" y="0"/>
                <wp:positionH relativeFrom="column">
                  <wp:posOffset>3453765</wp:posOffset>
                </wp:positionH>
                <wp:positionV relativeFrom="paragraph">
                  <wp:posOffset>1982966</wp:posOffset>
                </wp:positionV>
                <wp:extent cx="2258171" cy="1404620"/>
                <wp:effectExtent l="0" t="0" r="889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171" cy="1404620"/>
                        </a:xfrm>
                        <a:prstGeom prst="rect">
                          <a:avLst/>
                        </a:prstGeom>
                        <a:solidFill>
                          <a:srgbClr val="FFFFFF"/>
                        </a:solidFill>
                        <a:ln w="9525">
                          <a:noFill/>
                          <a:miter lim="800000"/>
                          <a:headEnd/>
                          <a:tailEnd/>
                        </a:ln>
                      </wps:spPr>
                      <wps:txbx>
                        <w:txbxContent>
                          <w:p w14:paraId="4A41BEAD" w14:textId="384C8CEE" w:rsidR="00FB29C7" w:rsidRPr="00A77779" w:rsidRDefault="00FB29C7" w:rsidP="00FB29C7">
                            <w:pPr>
                              <w:spacing w:before="0"/>
                              <w:rPr>
                                <w:b/>
                                <w:bCs/>
                                <w:sz w:val="22"/>
                                <w:szCs w:val="18"/>
                              </w:rPr>
                            </w:pPr>
                            <w:r>
                              <w:rPr>
                                <w:b/>
                                <w:bCs/>
                                <w:sz w:val="22"/>
                                <w:szCs w:val="18"/>
                              </w:rPr>
                              <w:t>E</w:t>
                            </w:r>
                            <w:r w:rsidR="003D1E8B">
                              <w:rPr>
                                <w:b/>
                                <w:bCs/>
                                <w:sz w:val="22"/>
                                <w:szCs w:val="18"/>
                              </w:rPr>
                              <w:t>x</w:t>
                            </w:r>
                            <w:r>
                              <w:rPr>
                                <w:b/>
                                <w:bCs/>
                                <w:sz w:val="22"/>
                                <w:szCs w:val="18"/>
                              </w:rPr>
                              <w:t>clusions</w:t>
                            </w:r>
                            <w:r w:rsidRPr="00FB29C7">
                              <w:rPr>
                                <w:b/>
                                <w:bCs/>
                                <w:sz w:val="22"/>
                                <w:szCs w:val="18"/>
                              </w:rPr>
                              <w:t xml:space="preserve"> – </w:t>
                            </w:r>
                            <w:proofErr w:type="spellStart"/>
                            <w:r w:rsidRPr="00FB29C7">
                              <w:rPr>
                                <w:b/>
                                <w:bCs/>
                                <w:sz w:val="22"/>
                                <w:szCs w:val="18"/>
                              </w:rPr>
                              <w:t>Membres</w:t>
                            </w:r>
                            <w:proofErr w:type="spellEnd"/>
                            <w:r w:rsidRPr="00FB29C7">
                              <w:rPr>
                                <w:b/>
                                <w:bCs/>
                                <w:sz w:val="22"/>
                                <w:szCs w:val="18"/>
                              </w:rPr>
                              <w:t xml:space="preserve"> de </w:t>
                            </w:r>
                            <w:proofErr w:type="spellStart"/>
                            <w:r w:rsidRPr="00FB29C7">
                              <w:rPr>
                                <w:b/>
                                <w:bCs/>
                                <w:sz w:val="22"/>
                                <w:szCs w:val="18"/>
                              </w:rPr>
                              <w:t>l'UIT</w:t>
                            </w:r>
                            <w:proofErr w:type="spellEnd"/>
                            <w:r w:rsidRPr="00FB29C7">
                              <w:rPr>
                                <w:b/>
                                <w:bCs/>
                                <w:sz w:val="22"/>
                                <w:szCs w:val="18"/>
                              </w:rPr>
                              <w:t>-D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AB23F3" id="_x0000_s1037" type="#_x0000_t202" style="position:absolute;left:0;text-align:left;margin-left:271.95pt;margin-top:156.15pt;width:177.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" stroked="f">
                <v:textbox style="mso-fit-shape-to-text:t" inset="0,0,0,0">
                  <w:txbxContent>
                    <w:p w14:paraId="4A41BEAD" w14:textId="384C8CEE" w:rsidR="00FB29C7" w:rsidRPr="00A77779" w:rsidRDefault="00FB29C7" w:rsidP="00FB29C7">
                      <w:pPr>
                        <w:spacing w:before="0"/>
                        <w:rPr>
                          <w:b/>
                          <w:bCs/>
                          <w:sz w:val="22"/>
                          <w:szCs w:val="18"/>
                        </w:rPr>
                      </w:pPr>
                      <w:r>
                        <w:rPr>
                          <w:b/>
                          <w:bCs/>
                          <w:sz w:val="22"/>
                          <w:szCs w:val="18"/>
                        </w:rPr>
                        <w:t>E</w:t>
                      </w:r>
                      <w:r w:rsidR="003D1E8B">
                        <w:rPr>
                          <w:b/>
                          <w:bCs/>
                          <w:sz w:val="22"/>
                          <w:szCs w:val="18"/>
                        </w:rPr>
                        <w:t>x</w:t>
                      </w:r>
                      <w:r>
                        <w:rPr>
                          <w:b/>
                          <w:bCs/>
                          <w:sz w:val="22"/>
                          <w:szCs w:val="18"/>
                        </w:rPr>
                        <w:t>clusions</w:t>
                      </w:r>
                      <w:r w:rsidRPr="00FB29C7">
                        <w:rPr>
                          <w:b/>
                          <w:bCs/>
                          <w:sz w:val="22"/>
                          <w:szCs w:val="18"/>
                        </w:rPr>
                        <w:t xml:space="preserve"> – </w:t>
                      </w:r>
                      <w:proofErr w:type="spellStart"/>
                      <w:r w:rsidRPr="00FB29C7">
                        <w:rPr>
                          <w:b/>
                          <w:bCs/>
                          <w:sz w:val="22"/>
                          <w:szCs w:val="18"/>
                        </w:rPr>
                        <w:t>Membres</w:t>
                      </w:r>
                      <w:proofErr w:type="spellEnd"/>
                      <w:r w:rsidRPr="00FB29C7">
                        <w:rPr>
                          <w:b/>
                          <w:bCs/>
                          <w:sz w:val="22"/>
                          <w:szCs w:val="18"/>
                        </w:rPr>
                        <w:t xml:space="preserve"> de </w:t>
                      </w:r>
                      <w:proofErr w:type="spellStart"/>
                      <w:r w:rsidRPr="00FB29C7">
                        <w:rPr>
                          <w:b/>
                          <w:bCs/>
                          <w:sz w:val="22"/>
                          <w:szCs w:val="18"/>
                        </w:rPr>
                        <w:t>l'UIT</w:t>
                      </w:r>
                      <w:proofErr w:type="spellEnd"/>
                      <w:r w:rsidRPr="00FB29C7">
                        <w:rPr>
                          <w:b/>
                          <w:bCs/>
                          <w:sz w:val="22"/>
                          <w:szCs w:val="18"/>
                        </w:rPr>
                        <w:t>-D</w:t>
                      </w:r>
                    </w:p>
                  </w:txbxContent>
                </v:textbox>
              </v:shape>
            </w:pict>
          </mc:Fallback>
        </mc:AlternateContent>
      </w:r>
      <w:r w:rsidRPr="003D1E8B">
        <w:rPr>
          <w:noProof/>
          <w:lang w:val="fr-FR"/>
        </w:rPr>
        <mc:AlternateContent>
          <mc:Choice Requires="wps">
            <w:drawing>
              <wp:anchor distT="45720" distB="45720" distL="114300" distR="114300" simplePos="0" relativeHeight="251661312" behindDoc="0" locked="0" layoutInCell="1" allowOverlap="1" wp14:anchorId="0D98FE9C" wp14:editId="7537CF60">
                <wp:simplePos x="0" y="0"/>
                <wp:positionH relativeFrom="column">
                  <wp:posOffset>726440</wp:posOffset>
                </wp:positionH>
                <wp:positionV relativeFrom="paragraph">
                  <wp:posOffset>2241550</wp:posOffset>
                </wp:positionV>
                <wp:extent cx="2258060" cy="1404620"/>
                <wp:effectExtent l="0" t="0" r="889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1404620"/>
                        </a:xfrm>
                        <a:prstGeom prst="rect">
                          <a:avLst/>
                        </a:prstGeom>
                        <a:solidFill>
                          <a:srgbClr val="FFFFFF"/>
                        </a:solidFill>
                        <a:ln w="9525">
                          <a:noFill/>
                          <a:miter lim="800000"/>
                          <a:headEnd/>
                          <a:tailEnd/>
                        </a:ln>
                      </wps:spPr>
                      <wps:txbx>
                        <w:txbxContent>
                          <w:p w14:paraId="744D710C" w14:textId="7797E396" w:rsidR="00FB29C7" w:rsidRPr="00A77779" w:rsidRDefault="00FB29C7" w:rsidP="00FB29C7">
                            <w:pPr>
                              <w:spacing w:before="0"/>
                              <w:rPr>
                                <w:b/>
                                <w:bCs/>
                                <w:sz w:val="22"/>
                                <w:szCs w:val="18"/>
                              </w:rPr>
                            </w:pPr>
                            <w:proofErr w:type="spellStart"/>
                            <w:r w:rsidRPr="00FB29C7">
                              <w:rPr>
                                <w:b/>
                                <w:bCs/>
                                <w:sz w:val="22"/>
                                <w:szCs w:val="18"/>
                              </w:rPr>
                              <w:t>Dénonciations</w:t>
                            </w:r>
                            <w:proofErr w:type="spellEnd"/>
                            <w:r w:rsidRPr="00FB29C7">
                              <w:rPr>
                                <w:b/>
                                <w:bCs/>
                                <w:sz w:val="22"/>
                                <w:szCs w:val="18"/>
                              </w:rPr>
                              <w:t xml:space="preserve"> – </w:t>
                            </w:r>
                            <w:proofErr w:type="spellStart"/>
                            <w:r w:rsidRPr="00FB29C7">
                              <w:rPr>
                                <w:b/>
                                <w:bCs/>
                                <w:sz w:val="22"/>
                                <w:szCs w:val="18"/>
                              </w:rPr>
                              <w:t>Établissements</w:t>
                            </w:r>
                            <w:proofErr w:type="spellEnd"/>
                            <w:r w:rsidRPr="00FB29C7">
                              <w:rPr>
                                <w:b/>
                                <w:bCs/>
                                <w:sz w:val="22"/>
                                <w:szCs w:val="18"/>
                              </w:rPr>
                              <w:t xml:space="preserve"> </w:t>
                            </w:r>
                            <w:proofErr w:type="spellStart"/>
                            <w:r w:rsidRPr="00FB29C7">
                              <w:rPr>
                                <w:b/>
                                <w:bCs/>
                                <w:sz w:val="22"/>
                                <w:szCs w:val="18"/>
                              </w:rPr>
                              <w:t>universitaires</w:t>
                            </w:r>
                            <w:proofErr w:type="spell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98FE9C" id="_x0000_s1038" type="#_x0000_t202" style="position:absolute;left:0;text-align:left;margin-left:57.2pt;margin-top:176.5pt;width:177.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" stroked="f">
                <v:textbox style="mso-fit-shape-to-text:t" inset="0,0,0,0">
                  <w:txbxContent>
                    <w:p w14:paraId="744D710C" w14:textId="7797E396" w:rsidR="00FB29C7" w:rsidRPr="00A77779" w:rsidRDefault="00FB29C7" w:rsidP="00FB29C7">
                      <w:pPr>
                        <w:spacing w:before="0"/>
                        <w:rPr>
                          <w:b/>
                          <w:bCs/>
                          <w:sz w:val="22"/>
                          <w:szCs w:val="18"/>
                        </w:rPr>
                      </w:pPr>
                      <w:proofErr w:type="spellStart"/>
                      <w:r w:rsidRPr="00FB29C7">
                        <w:rPr>
                          <w:b/>
                          <w:bCs/>
                          <w:sz w:val="22"/>
                          <w:szCs w:val="18"/>
                        </w:rPr>
                        <w:t>Dénonciations</w:t>
                      </w:r>
                      <w:proofErr w:type="spellEnd"/>
                      <w:r w:rsidRPr="00FB29C7">
                        <w:rPr>
                          <w:b/>
                          <w:bCs/>
                          <w:sz w:val="22"/>
                          <w:szCs w:val="18"/>
                        </w:rPr>
                        <w:t xml:space="preserve"> – </w:t>
                      </w:r>
                      <w:proofErr w:type="spellStart"/>
                      <w:r w:rsidRPr="00FB29C7">
                        <w:rPr>
                          <w:b/>
                          <w:bCs/>
                          <w:sz w:val="22"/>
                          <w:szCs w:val="18"/>
                        </w:rPr>
                        <w:t>Établissements</w:t>
                      </w:r>
                      <w:proofErr w:type="spellEnd"/>
                      <w:r w:rsidRPr="00FB29C7">
                        <w:rPr>
                          <w:b/>
                          <w:bCs/>
                          <w:sz w:val="22"/>
                          <w:szCs w:val="18"/>
                        </w:rPr>
                        <w:t xml:space="preserve"> </w:t>
                      </w:r>
                      <w:proofErr w:type="spellStart"/>
                      <w:r w:rsidRPr="00FB29C7">
                        <w:rPr>
                          <w:b/>
                          <w:bCs/>
                          <w:sz w:val="22"/>
                          <w:szCs w:val="18"/>
                        </w:rPr>
                        <w:t>universitaires</w:t>
                      </w:r>
                      <w:proofErr w:type="spellEnd"/>
                    </w:p>
                  </w:txbxContent>
                </v:textbox>
              </v:shape>
            </w:pict>
          </mc:Fallback>
        </mc:AlternateContent>
      </w:r>
      <w:r w:rsidRPr="003D1E8B">
        <w:rPr>
          <w:noProof/>
          <w:lang w:val="fr-FR"/>
        </w:rPr>
        <mc:AlternateContent>
          <mc:Choice Requires="wps">
            <w:drawing>
              <wp:anchor distT="45720" distB="45720" distL="114300" distR="114300" simplePos="0" relativeHeight="251656192" behindDoc="0" locked="0" layoutInCell="1" allowOverlap="1" wp14:anchorId="0506EB4B" wp14:editId="233933A5">
                <wp:simplePos x="0" y="0"/>
                <wp:positionH relativeFrom="column">
                  <wp:posOffset>726440</wp:posOffset>
                </wp:positionH>
                <wp:positionV relativeFrom="paragraph">
                  <wp:posOffset>1984568</wp:posOffset>
                </wp:positionV>
                <wp:extent cx="2258171" cy="1404620"/>
                <wp:effectExtent l="0" t="0" r="889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171" cy="1404620"/>
                        </a:xfrm>
                        <a:prstGeom prst="rect">
                          <a:avLst/>
                        </a:prstGeom>
                        <a:solidFill>
                          <a:srgbClr val="FFFFFF"/>
                        </a:solidFill>
                        <a:ln w="9525">
                          <a:noFill/>
                          <a:miter lim="800000"/>
                          <a:headEnd/>
                          <a:tailEnd/>
                        </a:ln>
                      </wps:spPr>
                      <wps:txbx>
                        <w:txbxContent>
                          <w:p w14:paraId="40010FC6" w14:textId="22BA2B22" w:rsidR="00FB29C7" w:rsidRPr="00A77779" w:rsidRDefault="00FB29C7" w:rsidP="00FB29C7">
                            <w:pPr>
                              <w:spacing w:before="0"/>
                              <w:rPr>
                                <w:b/>
                                <w:bCs/>
                                <w:sz w:val="22"/>
                                <w:szCs w:val="18"/>
                              </w:rPr>
                            </w:pPr>
                            <w:proofErr w:type="spellStart"/>
                            <w:r w:rsidRPr="00FB29C7">
                              <w:rPr>
                                <w:b/>
                                <w:bCs/>
                                <w:sz w:val="22"/>
                                <w:szCs w:val="18"/>
                              </w:rPr>
                              <w:t>Dénonciations</w:t>
                            </w:r>
                            <w:proofErr w:type="spellEnd"/>
                            <w:r w:rsidRPr="00FB29C7">
                              <w:rPr>
                                <w:b/>
                                <w:bCs/>
                                <w:sz w:val="22"/>
                                <w:szCs w:val="18"/>
                              </w:rPr>
                              <w:t xml:space="preserve"> – </w:t>
                            </w:r>
                            <w:proofErr w:type="spellStart"/>
                            <w:r w:rsidRPr="00FB29C7">
                              <w:rPr>
                                <w:b/>
                                <w:bCs/>
                                <w:sz w:val="22"/>
                                <w:szCs w:val="18"/>
                              </w:rPr>
                              <w:t>Membres</w:t>
                            </w:r>
                            <w:proofErr w:type="spellEnd"/>
                            <w:r w:rsidRPr="00FB29C7">
                              <w:rPr>
                                <w:b/>
                                <w:bCs/>
                                <w:sz w:val="22"/>
                                <w:szCs w:val="18"/>
                              </w:rPr>
                              <w:t xml:space="preserve"> de </w:t>
                            </w:r>
                            <w:proofErr w:type="spellStart"/>
                            <w:r w:rsidRPr="00FB29C7">
                              <w:rPr>
                                <w:b/>
                                <w:bCs/>
                                <w:sz w:val="22"/>
                                <w:szCs w:val="18"/>
                              </w:rPr>
                              <w:t>l'UIT</w:t>
                            </w:r>
                            <w:proofErr w:type="spellEnd"/>
                            <w:r w:rsidRPr="00FB29C7">
                              <w:rPr>
                                <w:b/>
                                <w:bCs/>
                                <w:sz w:val="22"/>
                                <w:szCs w:val="18"/>
                              </w:rPr>
                              <w:t>-D</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06EB4B" id="_x0000_s1039" type="#_x0000_t202" style="position:absolute;left:0;text-align:left;margin-left:57.2pt;margin-top:156.25pt;width:177.8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" stroked="f">
                <v:textbox style="mso-fit-shape-to-text:t" inset="0,0,0,0">
                  <w:txbxContent>
                    <w:p w14:paraId="40010FC6" w14:textId="22BA2B22" w:rsidR="00FB29C7" w:rsidRPr="00A77779" w:rsidRDefault="00FB29C7" w:rsidP="00FB29C7">
                      <w:pPr>
                        <w:spacing w:before="0"/>
                        <w:rPr>
                          <w:b/>
                          <w:bCs/>
                          <w:sz w:val="22"/>
                          <w:szCs w:val="18"/>
                        </w:rPr>
                      </w:pPr>
                      <w:proofErr w:type="spellStart"/>
                      <w:r w:rsidRPr="00FB29C7">
                        <w:rPr>
                          <w:b/>
                          <w:bCs/>
                          <w:sz w:val="22"/>
                          <w:szCs w:val="18"/>
                        </w:rPr>
                        <w:t>Dénonciations</w:t>
                      </w:r>
                      <w:proofErr w:type="spellEnd"/>
                      <w:r w:rsidRPr="00FB29C7">
                        <w:rPr>
                          <w:b/>
                          <w:bCs/>
                          <w:sz w:val="22"/>
                          <w:szCs w:val="18"/>
                        </w:rPr>
                        <w:t xml:space="preserve"> – </w:t>
                      </w:r>
                      <w:proofErr w:type="spellStart"/>
                      <w:r w:rsidRPr="00FB29C7">
                        <w:rPr>
                          <w:b/>
                          <w:bCs/>
                          <w:sz w:val="22"/>
                          <w:szCs w:val="18"/>
                        </w:rPr>
                        <w:t>Membres</w:t>
                      </w:r>
                      <w:proofErr w:type="spellEnd"/>
                      <w:r w:rsidRPr="00FB29C7">
                        <w:rPr>
                          <w:b/>
                          <w:bCs/>
                          <w:sz w:val="22"/>
                          <w:szCs w:val="18"/>
                        </w:rPr>
                        <w:t xml:space="preserve"> de </w:t>
                      </w:r>
                      <w:proofErr w:type="spellStart"/>
                      <w:r w:rsidRPr="00FB29C7">
                        <w:rPr>
                          <w:b/>
                          <w:bCs/>
                          <w:sz w:val="22"/>
                          <w:szCs w:val="18"/>
                        </w:rPr>
                        <w:t>l'UIT</w:t>
                      </w:r>
                      <w:proofErr w:type="spellEnd"/>
                      <w:r w:rsidRPr="00FB29C7">
                        <w:rPr>
                          <w:b/>
                          <w:bCs/>
                          <w:sz w:val="22"/>
                          <w:szCs w:val="18"/>
                        </w:rPr>
                        <w:t>-D</w:t>
                      </w:r>
                    </w:p>
                  </w:txbxContent>
                </v:textbox>
              </v:shape>
            </w:pict>
          </mc:Fallback>
        </mc:AlternateContent>
      </w:r>
      <w:r w:rsidR="00FB29C7" w:rsidRPr="003D1E8B">
        <w:rPr>
          <w:noProof/>
          <w:lang w:val="fr-FR"/>
        </w:rPr>
        <mc:AlternateContent>
          <mc:Choice Requires="wps">
            <w:drawing>
              <wp:anchor distT="45720" distB="45720" distL="114300" distR="114300" simplePos="0" relativeHeight="251676672" behindDoc="0" locked="0" layoutInCell="1" allowOverlap="1" wp14:anchorId="7E238470" wp14:editId="7D3E6A82">
                <wp:simplePos x="0" y="0"/>
                <wp:positionH relativeFrom="column">
                  <wp:posOffset>3479</wp:posOffset>
                </wp:positionH>
                <wp:positionV relativeFrom="paragraph">
                  <wp:posOffset>-153007</wp:posOffset>
                </wp:positionV>
                <wp:extent cx="5795921" cy="548584"/>
                <wp:effectExtent l="0" t="0" r="0" b="44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921" cy="548584"/>
                        </a:xfrm>
                        <a:prstGeom prst="rect">
                          <a:avLst/>
                        </a:prstGeom>
                        <a:solidFill>
                          <a:srgbClr val="FFFFFF"/>
                        </a:solidFill>
                        <a:ln w="9525">
                          <a:noFill/>
                          <a:miter lim="800000"/>
                          <a:headEnd/>
                          <a:tailEnd/>
                        </a:ln>
                      </wps:spPr>
                      <wps:txbx>
                        <w:txbxContent>
                          <w:p w14:paraId="7683D56E"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4 −</w:t>
                            </w:r>
                            <w:r w:rsidRPr="00E21D1A">
                              <w:rPr>
                                <w:b/>
                                <w:bCs/>
                                <w:sz w:val="22"/>
                                <w:szCs w:val="18"/>
                                <w:lang w:val="fr-CH"/>
                              </w:rPr>
                              <w:t xml:space="preserve"> </w:t>
                            </w:r>
                            <w:r w:rsidRPr="00FB29C7">
                              <w:rPr>
                                <w:b/>
                                <w:bCs/>
                                <w:sz w:val="22"/>
                                <w:szCs w:val="18"/>
                                <w:lang w:val="fr-CH"/>
                              </w:rPr>
                              <w:t>Dénonciations et exclusions de Membres de l'UIT-D et d'établissements universitaires participant aux travaux du Secteur</w:t>
                            </w:r>
                          </w:p>
                          <w:p w14:paraId="236695C8" w14:textId="3A9FC736" w:rsidR="00FB29C7" w:rsidRPr="00A77779" w:rsidRDefault="00FB29C7" w:rsidP="00FB29C7">
                            <w:pPr>
                              <w:spacing w:before="0"/>
                              <w:jc w:val="center"/>
                              <w:rPr>
                                <w:b/>
                                <w:bCs/>
                                <w:sz w:val="22"/>
                                <w:szCs w:val="18"/>
                                <w:lang w:val="fr-CH"/>
                              </w:rPr>
                            </w:pPr>
                            <w:r w:rsidRPr="00FB29C7">
                              <w:rPr>
                                <w:b/>
                                <w:bCs/>
                                <w:sz w:val="22"/>
                                <w:szCs w:val="18"/>
                                <w:lang w:val="fr-CH"/>
                              </w:rPr>
                              <w:t>(décembre 2020 et septembre 2021)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38470" id="_x0000_s1040" type="#_x0000_t202" style="position:absolute;left:0;text-align:left;margin-left:.25pt;margin-top:-12.05pt;width:456.35pt;height:43.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" stroked="f">
                <v:textbox inset="0,0,0,0">
                  <w:txbxContent>
                    <w:p w14:paraId="7683D56E" w14:textId="77777777" w:rsidR="00FB29C7" w:rsidRPr="00FB29C7" w:rsidRDefault="00FB29C7" w:rsidP="00FB29C7">
                      <w:pPr>
                        <w:spacing w:before="0"/>
                        <w:jc w:val="center"/>
                        <w:rPr>
                          <w:b/>
                          <w:bCs/>
                          <w:sz w:val="22"/>
                          <w:szCs w:val="18"/>
                          <w:lang w:val="fr-CH"/>
                        </w:rPr>
                      </w:pPr>
                      <w:r w:rsidRPr="00E21D1A">
                        <w:rPr>
                          <w:b/>
                          <w:bCs/>
                          <w:sz w:val="22"/>
                          <w:szCs w:val="18"/>
                          <w:lang w:val="fr-CH"/>
                        </w:rPr>
                        <w:t xml:space="preserve">Graphique </w:t>
                      </w:r>
                      <w:r>
                        <w:rPr>
                          <w:b/>
                          <w:bCs/>
                          <w:sz w:val="22"/>
                          <w:szCs w:val="18"/>
                          <w:lang w:val="fr-CH"/>
                        </w:rPr>
                        <w:t>4 −</w:t>
                      </w:r>
                      <w:r w:rsidRPr="00E21D1A">
                        <w:rPr>
                          <w:b/>
                          <w:bCs/>
                          <w:sz w:val="22"/>
                          <w:szCs w:val="18"/>
                          <w:lang w:val="fr-CH"/>
                        </w:rPr>
                        <w:t xml:space="preserve"> </w:t>
                      </w:r>
                      <w:r w:rsidRPr="00FB29C7">
                        <w:rPr>
                          <w:b/>
                          <w:bCs/>
                          <w:sz w:val="22"/>
                          <w:szCs w:val="18"/>
                          <w:lang w:val="fr-CH"/>
                        </w:rPr>
                        <w:t>Dénonciations et exclusions de Membres de l'UIT-D et d'établissements universitaires participant aux travaux du Secteur</w:t>
                      </w:r>
                    </w:p>
                    <w:p w14:paraId="236695C8" w14:textId="3A9FC736" w:rsidR="00FB29C7" w:rsidRPr="00A77779" w:rsidRDefault="00FB29C7" w:rsidP="00FB29C7">
                      <w:pPr>
                        <w:spacing w:before="0"/>
                        <w:jc w:val="center"/>
                        <w:rPr>
                          <w:b/>
                          <w:bCs/>
                          <w:sz w:val="22"/>
                          <w:szCs w:val="18"/>
                          <w:lang w:val="fr-CH"/>
                        </w:rPr>
                      </w:pPr>
                      <w:r w:rsidRPr="00FB29C7">
                        <w:rPr>
                          <w:b/>
                          <w:bCs/>
                          <w:sz w:val="22"/>
                          <w:szCs w:val="18"/>
                          <w:lang w:val="fr-CH"/>
                        </w:rPr>
                        <w:t>(décembre 2020 et septembre 2021)</w:t>
                      </w:r>
                    </w:p>
                  </w:txbxContent>
                </v:textbox>
              </v:shape>
            </w:pict>
          </mc:Fallback>
        </mc:AlternateContent>
      </w:r>
      <w:r w:rsidR="00A77779" w:rsidRPr="003D1E8B">
        <w:rPr>
          <w:noProof/>
          <w:lang w:val="fr-FR"/>
        </w:rPr>
        <w:drawing>
          <wp:inline distT="0" distB="0" distL="0" distR="0" wp14:anchorId="17BBE842" wp14:editId="1EC9F423">
            <wp:extent cx="6120765" cy="2605405"/>
            <wp:effectExtent l="0" t="0" r="635" b="0"/>
            <wp:docPr id="11" name="Picture 1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120765" cy="2605405"/>
                    </a:xfrm>
                    <a:prstGeom prst="rect">
                      <a:avLst/>
                    </a:prstGeom>
                  </pic:spPr>
                </pic:pic>
              </a:graphicData>
            </a:graphic>
          </wp:inline>
        </w:drawing>
      </w:r>
    </w:p>
    <w:p w14:paraId="5B7208FA" w14:textId="1350FACC" w:rsidR="00A77779" w:rsidRPr="003D1E8B" w:rsidRDefault="004C1F77" w:rsidP="00426639">
      <w:pPr>
        <w:spacing w:after="360"/>
        <w:rPr>
          <w:lang w:val="fr-FR"/>
        </w:rPr>
      </w:pPr>
      <w:r w:rsidRPr="003D1E8B">
        <w:rPr>
          <w:lang w:val="fr-FR"/>
        </w:rPr>
        <w:t xml:space="preserve">Le </w:t>
      </w:r>
      <w:r w:rsidR="00D03516" w:rsidRPr="003D1E8B">
        <w:rPr>
          <w:rFonts w:cstheme="minorHAnsi"/>
          <w:b/>
          <w:bCs/>
          <w:szCs w:val="18"/>
          <w:lang w:val="fr-FR"/>
        </w:rPr>
        <w:t>Graphique</w:t>
      </w:r>
      <w:r w:rsidR="00D03516" w:rsidRPr="003D1E8B" w:rsidDel="00D03516">
        <w:rPr>
          <w:b/>
          <w:bCs/>
          <w:lang w:val="fr-FR"/>
        </w:rPr>
        <w:t xml:space="preserve"> </w:t>
      </w:r>
      <w:r w:rsidR="00A77779" w:rsidRPr="003D1E8B">
        <w:rPr>
          <w:b/>
          <w:bCs/>
          <w:lang w:val="fr-FR"/>
        </w:rPr>
        <w:t>5</w:t>
      </w:r>
      <w:r w:rsidR="00632E82" w:rsidRPr="003D1E8B">
        <w:rPr>
          <w:lang w:val="fr-FR"/>
        </w:rPr>
        <w:t xml:space="preserve"> </w:t>
      </w:r>
      <w:r w:rsidR="00D03516" w:rsidRPr="003D1E8B">
        <w:rPr>
          <w:lang w:val="fr-FR"/>
        </w:rPr>
        <w:t>indique</w:t>
      </w:r>
      <w:r w:rsidR="00632E82" w:rsidRPr="003D1E8B">
        <w:rPr>
          <w:lang w:val="fr-FR"/>
        </w:rPr>
        <w:t xml:space="preserve"> </w:t>
      </w:r>
      <w:r w:rsidR="00330CE3" w:rsidRPr="003D1E8B">
        <w:rPr>
          <w:lang w:val="fr-FR"/>
        </w:rPr>
        <w:t>la variation nette d</w:t>
      </w:r>
      <w:r w:rsidR="00B81734" w:rsidRPr="003D1E8B">
        <w:rPr>
          <w:lang w:val="fr-FR"/>
        </w:rPr>
        <w:t>u nombre de M</w:t>
      </w:r>
      <w:r w:rsidR="007B3684" w:rsidRPr="003D1E8B">
        <w:rPr>
          <w:lang w:val="fr-FR"/>
        </w:rPr>
        <w:t>embres de l'UIT-D et d</w:t>
      </w:r>
      <w:r w:rsidR="00E21D1A" w:rsidRPr="003D1E8B">
        <w:rPr>
          <w:lang w:val="fr-FR"/>
        </w:rPr>
        <w:t>'</w:t>
      </w:r>
      <w:r w:rsidR="007B3684" w:rsidRPr="003D1E8B">
        <w:rPr>
          <w:lang w:val="fr-FR"/>
        </w:rPr>
        <w:t xml:space="preserve">établissements universitaires participant aux travaux de ce Secteur, </w:t>
      </w:r>
      <w:r w:rsidR="00D03516" w:rsidRPr="003D1E8B">
        <w:rPr>
          <w:lang w:val="fr-FR"/>
        </w:rPr>
        <w:t>ainsi que</w:t>
      </w:r>
      <w:r w:rsidR="007B3684" w:rsidRPr="003D1E8B">
        <w:rPr>
          <w:lang w:val="fr-FR"/>
        </w:rPr>
        <w:t xml:space="preserve"> </w:t>
      </w:r>
      <w:r w:rsidR="00E24930" w:rsidRPr="003D1E8B">
        <w:rPr>
          <w:lang w:val="fr-FR"/>
        </w:rPr>
        <w:t>la situation actuelle</w:t>
      </w:r>
      <w:r w:rsidR="00632E82" w:rsidRPr="003D1E8B">
        <w:rPr>
          <w:lang w:val="fr-FR"/>
        </w:rPr>
        <w:t xml:space="preserve"> </w:t>
      </w:r>
      <w:r w:rsidR="007B3684" w:rsidRPr="003D1E8B">
        <w:rPr>
          <w:lang w:val="fr-FR"/>
        </w:rPr>
        <w:t>en septembre</w:t>
      </w:r>
      <w:r w:rsidR="003D1E8B">
        <w:rPr>
          <w:lang w:val="fr-FR"/>
        </w:rPr>
        <w:t> </w:t>
      </w:r>
      <w:r w:rsidR="007B3684" w:rsidRPr="003D1E8B">
        <w:rPr>
          <w:lang w:val="fr-FR"/>
        </w:rPr>
        <w:t xml:space="preserve">2021. Les chiffres </w:t>
      </w:r>
      <w:r w:rsidR="00874072" w:rsidRPr="003D1E8B">
        <w:rPr>
          <w:lang w:val="fr-FR"/>
        </w:rPr>
        <w:t>définitifs montrent qu'en septembre 2021, le Secteur de l'UIT-D comptait 30</w:t>
      </w:r>
      <w:r w:rsidR="00E315D3">
        <w:rPr>
          <w:lang w:val="fr-FR"/>
        </w:rPr>
        <w:t>1</w:t>
      </w:r>
      <w:r w:rsidR="00874072" w:rsidRPr="003D1E8B">
        <w:rPr>
          <w:lang w:val="fr-FR"/>
        </w:rPr>
        <w:t xml:space="preserve"> Membres de Secteur, 17 Associés et 163 établissements universitaires.</w:t>
      </w:r>
      <w:r w:rsidR="00A77779" w:rsidRPr="003D1E8B">
        <w:rPr>
          <w:lang w:val="fr-FR"/>
        </w:rPr>
        <w:t xml:space="preserve"> </w:t>
      </w:r>
    </w:p>
    <w:p w14:paraId="13046CD0" w14:textId="7B43CC86" w:rsidR="00FB29C7" w:rsidRPr="003D1E8B" w:rsidRDefault="00FB29C7" w:rsidP="00426639">
      <w:pPr>
        <w:pStyle w:val="Figuretitle"/>
        <w:spacing w:after="240"/>
        <w:rPr>
          <w:lang w:val="fr-FR"/>
        </w:rPr>
      </w:pPr>
      <w:r w:rsidRPr="003D1E8B">
        <w:rPr>
          <w:lang w:val="fr-FR"/>
        </w:rPr>
        <w:t>Graphique 5 − Récapitulatif de la variation du nombre de Membres de l'UIT-D</w:t>
      </w:r>
      <w:r w:rsidRPr="003D1E8B">
        <w:rPr>
          <w:lang w:val="fr-FR"/>
        </w:rPr>
        <w:br/>
        <w:t>(septembre 2021)</w:t>
      </w:r>
    </w:p>
    <w:tbl>
      <w:tblPr>
        <w:tblStyle w:val="TableGrid"/>
        <w:tblW w:w="0" w:type="auto"/>
        <w:tblLook w:val="04A0" w:firstRow="1" w:lastRow="0" w:firstColumn="1" w:lastColumn="0" w:noHBand="0" w:noVBand="1"/>
      </w:tblPr>
      <w:tblGrid>
        <w:gridCol w:w="1604"/>
        <w:gridCol w:w="1605"/>
        <w:gridCol w:w="1605"/>
        <w:gridCol w:w="1605"/>
        <w:gridCol w:w="1605"/>
        <w:gridCol w:w="1605"/>
      </w:tblGrid>
      <w:tr w:rsidR="00FB29C7" w:rsidRPr="003D1E8B" w14:paraId="1D97D8F6" w14:textId="77777777" w:rsidTr="001F5D93">
        <w:tc>
          <w:tcPr>
            <w:tcW w:w="1604" w:type="dxa"/>
          </w:tcPr>
          <w:p w14:paraId="7E105216" w14:textId="77777777" w:rsidR="00FB29C7" w:rsidRPr="003D1E8B" w:rsidRDefault="00FB29C7" w:rsidP="00426639">
            <w:pPr>
              <w:pStyle w:val="Tablehead"/>
              <w:rPr>
                <w:lang w:val="fr-FR"/>
              </w:rPr>
            </w:pPr>
          </w:p>
        </w:tc>
        <w:tc>
          <w:tcPr>
            <w:tcW w:w="1605" w:type="dxa"/>
          </w:tcPr>
          <w:p w14:paraId="532A1811" w14:textId="3F2E911B" w:rsidR="00FB29C7" w:rsidRPr="003D1E8B" w:rsidRDefault="00FB29C7" w:rsidP="00426639">
            <w:pPr>
              <w:pStyle w:val="Tablehead"/>
              <w:rPr>
                <w:lang w:val="fr-FR"/>
              </w:rPr>
            </w:pPr>
            <w:r w:rsidRPr="003D1E8B">
              <w:rPr>
                <w:lang w:val="fr-FR"/>
              </w:rPr>
              <w:t>Décembre 2020</w:t>
            </w:r>
          </w:p>
        </w:tc>
        <w:tc>
          <w:tcPr>
            <w:tcW w:w="1605" w:type="dxa"/>
          </w:tcPr>
          <w:p w14:paraId="10EA2A9B" w14:textId="1C989CC7" w:rsidR="00FB29C7" w:rsidRPr="003D1E8B" w:rsidRDefault="00FB29C7" w:rsidP="00426639">
            <w:pPr>
              <w:pStyle w:val="Tablehead"/>
              <w:rPr>
                <w:lang w:val="fr-FR"/>
              </w:rPr>
            </w:pPr>
            <w:r w:rsidRPr="003D1E8B">
              <w:rPr>
                <w:rFonts w:cstheme="minorHAnsi"/>
                <w:bCs/>
                <w:color w:val="000000" w:themeColor="text1"/>
                <w:szCs w:val="18"/>
                <w:lang w:val="fr-FR"/>
              </w:rPr>
              <w:t>Accroissement</w:t>
            </w:r>
            <w:r w:rsidRPr="003D1E8B">
              <w:rPr>
                <w:rFonts w:cstheme="minorHAnsi"/>
                <w:bCs/>
                <w:color w:val="000000" w:themeColor="text1"/>
                <w:szCs w:val="18"/>
                <w:lang w:val="fr-FR"/>
              </w:rPr>
              <w:br/>
              <w:t>(2021)</w:t>
            </w:r>
          </w:p>
        </w:tc>
        <w:tc>
          <w:tcPr>
            <w:tcW w:w="1605" w:type="dxa"/>
          </w:tcPr>
          <w:p w14:paraId="02713B67" w14:textId="25C348EC" w:rsidR="00FB29C7" w:rsidRPr="003D1E8B" w:rsidRDefault="00FB29C7" w:rsidP="00426639">
            <w:pPr>
              <w:pStyle w:val="Tablehead"/>
              <w:rPr>
                <w:lang w:val="fr-FR"/>
              </w:rPr>
            </w:pPr>
            <w:r w:rsidRPr="003D1E8B">
              <w:rPr>
                <w:rFonts w:cstheme="minorHAnsi"/>
                <w:bCs/>
                <w:color w:val="000000" w:themeColor="text1"/>
                <w:szCs w:val="18"/>
                <w:lang w:val="fr-FR"/>
              </w:rPr>
              <w:t>Diminution</w:t>
            </w:r>
            <w:r w:rsidRPr="003D1E8B">
              <w:rPr>
                <w:rFonts w:cstheme="minorHAnsi"/>
                <w:bCs/>
                <w:color w:val="000000" w:themeColor="text1"/>
                <w:szCs w:val="18"/>
                <w:lang w:val="fr-FR"/>
              </w:rPr>
              <w:br/>
              <w:t>(2021)</w:t>
            </w:r>
          </w:p>
        </w:tc>
        <w:tc>
          <w:tcPr>
            <w:tcW w:w="1605" w:type="dxa"/>
          </w:tcPr>
          <w:p w14:paraId="4D008FA5" w14:textId="4FD15C47" w:rsidR="00FB29C7" w:rsidRPr="003D1E8B" w:rsidRDefault="00FB29C7" w:rsidP="00426639">
            <w:pPr>
              <w:pStyle w:val="Tablehead"/>
              <w:rPr>
                <w:lang w:val="fr-FR"/>
              </w:rPr>
            </w:pPr>
            <w:r w:rsidRPr="003D1E8B">
              <w:rPr>
                <w:rFonts w:cstheme="minorHAnsi"/>
                <w:bCs/>
                <w:color w:val="000000" w:themeColor="text1"/>
                <w:szCs w:val="18"/>
                <w:lang w:val="fr-FR"/>
              </w:rPr>
              <w:t>Variation nette</w:t>
            </w:r>
            <w:r w:rsidRPr="003D1E8B">
              <w:rPr>
                <w:rFonts w:cstheme="minorHAnsi"/>
                <w:bCs/>
                <w:color w:val="000000" w:themeColor="text1"/>
                <w:szCs w:val="18"/>
                <w:lang w:val="fr-FR"/>
              </w:rPr>
              <w:br/>
              <w:t>(2021)</w:t>
            </w:r>
          </w:p>
        </w:tc>
        <w:tc>
          <w:tcPr>
            <w:tcW w:w="1605" w:type="dxa"/>
            <w:vAlign w:val="center"/>
          </w:tcPr>
          <w:p w14:paraId="299393BF" w14:textId="2DCDE1C4" w:rsidR="00FB29C7" w:rsidRPr="003D1E8B" w:rsidRDefault="00FB29C7" w:rsidP="00426639">
            <w:pPr>
              <w:pStyle w:val="Tablehead"/>
              <w:rPr>
                <w:lang w:val="fr-FR"/>
              </w:rPr>
            </w:pPr>
            <w:r w:rsidRPr="003D1E8B">
              <w:rPr>
                <w:rFonts w:cstheme="minorHAnsi"/>
                <w:bCs/>
                <w:color w:val="000000" w:themeColor="text1"/>
                <w:szCs w:val="18"/>
                <w:lang w:val="fr-FR"/>
              </w:rPr>
              <w:t>Situation actuelle</w:t>
            </w:r>
          </w:p>
        </w:tc>
      </w:tr>
      <w:tr w:rsidR="00FB29C7" w:rsidRPr="003D1E8B" w14:paraId="1BA9D292" w14:textId="77777777" w:rsidTr="00550283">
        <w:tc>
          <w:tcPr>
            <w:tcW w:w="1604" w:type="dxa"/>
          </w:tcPr>
          <w:p w14:paraId="656B0F49" w14:textId="10FA288D" w:rsidR="00FB29C7" w:rsidRPr="003D1E8B" w:rsidRDefault="00FB29C7" w:rsidP="00426639">
            <w:pPr>
              <w:pStyle w:val="Tablehead"/>
              <w:rPr>
                <w:lang w:val="fr-FR"/>
              </w:rPr>
            </w:pPr>
            <w:r w:rsidRPr="003D1E8B">
              <w:rPr>
                <w:rFonts w:cstheme="minorHAnsi"/>
                <w:bCs/>
                <w:color w:val="000000" w:themeColor="text1"/>
                <w:szCs w:val="18"/>
                <w:lang w:val="fr-FR"/>
              </w:rPr>
              <w:t>Membres de Secteur</w:t>
            </w:r>
          </w:p>
        </w:tc>
        <w:tc>
          <w:tcPr>
            <w:tcW w:w="1605" w:type="dxa"/>
            <w:vAlign w:val="center"/>
          </w:tcPr>
          <w:p w14:paraId="57364D04" w14:textId="7000601B" w:rsidR="00FB29C7" w:rsidRPr="003D1E8B" w:rsidRDefault="00FB29C7" w:rsidP="00426639">
            <w:pPr>
              <w:pStyle w:val="Tabletext"/>
              <w:jc w:val="center"/>
              <w:rPr>
                <w:b/>
                <w:bCs/>
                <w:lang w:val="fr-FR"/>
              </w:rPr>
            </w:pPr>
            <w:r w:rsidRPr="003D1E8B">
              <w:rPr>
                <w:b/>
                <w:bCs/>
                <w:lang w:val="fr-FR"/>
              </w:rPr>
              <w:t>295</w:t>
            </w:r>
          </w:p>
        </w:tc>
        <w:tc>
          <w:tcPr>
            <w:tcW w:w="1605" w:type="dxa"/>
            <w:vAlign w:val="center"/>
          </w:tcPr>
          <w:p w14:paraId="59358910" w14:textId="7291A71A" w:rsidR="00FB29C7" w:rsidRPr="003D1E8B" w:rsidRDefault="00FB29C7" w:rsidP="00426639">
            <w:pPr>
              <w:pStyle w:val="Tabletext"/>
              <w:jc w:val="center"/>
              <w:rPr>
                <w:b/>
                <w:bCs/>
                <w:lang w:val="fr-FR"/>
              </w:rPr>
            </w:pPr>
            <w:r w:rsidRPr="003D1E8B">
              <w:rPr>
                <w:b/>
                <w:bCs/>
                <w:color w:val="00B050"/>
                <w:lang w:val="fr-FR"/>
              </w:rPr>
              <w:t>+1</w:t>
            </w:r>
            <w:r w:rsidR="00723F9B">
              <w:rPr>
                <w:b/>
                <w:bCs/>
                <w:color w:val="00B050"/>
                <w:lang w:val="fr-FR"/>
              </w:rPr>
              <w:t>6</w:t>
            </w:r>
          </w:p>
        </w:tc>
        <w:tc>
          <w:tcPr>
            <w:tcW w:w="1605" w:type="dxa"/>
            <w:vAlign w:val="center"/>
          </w:tcPr>
          <w:p w14:paraId="75D81941" w14:textId="2132BBF4" w:rsidR="00FB29C7" w:rsidRPr="003D1E8B" w:rsidRDefault="00FB29C7" w:rsidP="00426639">
            <w:pPr>
              <w:pStyle w:val="Tabletext"/>
              <w:jc w:val="center"/>
              <w:rPr>
                <w:b/>
                <w:bCs/>
                <w:color w:val="C00000"/>
                <w:lang w:val="fr-FR"/>
              </w:rPr>
            </w:pPr>
            <w:r w:rsidRPr="003D1E8B">
              <w:rPr>
                <w:b/>
                <w:bCs/>
                <w:color w:val="C00000"/>
                <w:lang w:val="fr-FR"/>
              </w:rPr>
              <w:t>−10</w:t>
            </w:r>
          </w:p>
        </w:tc>
        <w:tc>
          <w:tcPr>
            <w:tcW w:w="1605" w:type="dxa"/>
            <w:vAlign w:val="center"/>
          </w:tcPr>
          <w:p w14:paraId="7E4DC8C6" w14:textId="05EE5913" w:rsidR="00FB29C7" w:rsidRPr="003D1E8B" w:rsidRDefault="00FB29C7" w:rsidP="00426639">
            <w:pPr>
              <w:pStyle w:val="Tabletext"/>
              <w:jc w:val="center"/>
              <w:rPr>
                <w:b/>
                <w:bCs/>
                <w:lang w:val="fr-FR"/>
              </w:rPr>
            </w:pPr>
            <w:r w:rsidRPr="003D1E8B">
              <w:rPr>
                <w:b/>
                <w:bCs/>
                <w:color w:val="00B050"/>
                <w:lang w:val="fr-FR"/>
              </w:rPr>
              <w:t>+</w:t>
            </w:r>
            <w:r w:rsidR="00723F9B">
              <w:rPr>
                <w:b/>
                <w:bCs/>
                <w:color w:val="00B050"/>
                <w:lang w:val="fr-FR"/>
              </w:rPr>
              <w:t>6</w:t>
            </w:r>
          </w:p>
        </w:tc>
        <w:tc>
          <w:tcPr>
            <w:tcW w:w="1605" w:type="dxa"/>
            <w:vAlign w:val="center"/>
          </w:tcPr>
          <w:p w14:paraId="091C3F02" w14:textId="470E64A4" w:rsidR="00FB29C7" w:rsidRPr="003D1E8B" w:rsidRDefault="00FB29C7" w:rsidP="00426639">
            <w:pPr>
              <w:pStyle w:val="Tabletext"/>
              <w:jc w:val="center"/>
              <w:rPr>
                <w:b/>
                <w:bCs/>
                <w:lang w:val="fr-FR"/>
              </w:rPr>
            </w:pPr>
            <w:r w:rsidRPr="003D1E8B">
              <w:rPr>
                <w:b/>
                <w:bCs/>
                <w:lang w:val="fr-FR"/>
              </w:rPr>
              <w:t>30</w:t>
            </w:r>
            <w:r w:rsidR="00723F9B">
              <w:rPr>
                <w:b/>
                <w:bCs/>
                <w:lang w:val="fr-FR"/>
              </w:rPr>
              <w:t>1</w:t>
            </w:r>
          </w:p>
        </w:tc>
      </w:tr>
      <w:tr w:rsidR="00FB29C7" w:rsidRPr="003D1E8B" w14:paraId="50AB51A2" w14:textId="77777777" w:rsidTr="00550283">
        <w:tc>
          <w:tcPr>
            <w:tcW w:w="1604" w:type="dxa"/>
          </w:tcPr>
          <w:p w14:paraId="5CFFF045" w14:textId="38BAC6CE" w:rsidR="00FB29C7" w:rsidRPr="003D1E8B" w:rsidRDefault="00FB29C7" w:rsidP="00426639">
            <w:pPr>
              <w:pStyle w:val="Tablehead"/>
              <w:rPr>
                <w:lang w:val="fr-FR"/>
              </w:rPr>
            </w:pPr>
            <w:r w:rsidRPr="003D1E8B">
              <w:rPr>
                <w:rFonts w:cstheme="minorHAnsi"/>
                <w:bCs/>
                <w:color w:val="000000" w:themeColor="text1"/>
                <w:szCs w:val="18"/>
                <w:lang w:val="fr-FR"/>
              </w:rPr>
              <w:t>Associés</w:t>
            </w:r>
          </w:p>
        </w:tc>
        <w:tc>
          <w:tcPr>
            <w:tcW w:w="1605" w:type="dxa"/>
            <w:vAlign w:val="center"/>
          </w:tcPr>
          <w:p w14:paraId="61B180F9" w14:textId="268FA17D" w:rsidR="00FB29C7" w:rsidRPr="003D1E8B" w:rsidRDefault="00FB29C7" w:rsidP="00426639">
            <w:pPr>
              <w:pStyle w:val="Tabletext"/>
              <w:jc w:val="center"/>
              <w:rPr>
                <w:b/>
                <w:bCs/>
                <w:lang w:val="fr-FR"/>
              </w:rPr>
            </w:pPr>
            <w:r w:rsidRPr="003D1E8B">
              <w:rPr>
                <w:b/>
                <w:bCs/>
                <w:lang w:val="fr-FR"/>
              </w:rPr>
              <w:t>21</w:t>
            </w:r>
          </w:p>
        </w:tc>
        <w:tc>
          <w:tcPr>
            <w:tcW w:w="1605" w:type="dxa"/>
            <w:vAlign w:val="center"/>
          </w:tcPr>
          <w:p w14:paraId="71ADBE99" w14:textId="7E6AD0F4" w:rsidR="00FB29C7" w:rsidRPr="003D1E8B" w:rsidRDefault="00FB29C7" w:rsidP="00426639">
            <w:pPr>
              <w:pStyle w:val="Tabletext"/>
              <w:jc w:val="center"/>
              <w:rPr>
                <w:b/>
                <w:bCs/>
                <w:lang w:val="fr-FR"/>
              </w:rPr>
            </w:pPr>
            <w:r w:rsidRPr="003D1E8B">
              <w:rPr>
                <w:b/>
                <w:bCs/>
                <w:lang w:val="fr-FR"/>
              </w:rPr>
              <w:t>N/A</w:t>
            </w:r>
          </w:p>
        </w:tc>
        <w:tc>
          <w:tcPr>
            <w:tcW w:w="1605" w:type="dxa"/>
            <w:vAlign w:val="center"/>
          </w:tcPr>
          <w:p w14:paraId="3175F43C" w14:textId="249CF48F" w:rsidR="00FB29C7" w:rsidRPr="003D1E8B" w:rsidRDefault="00FB29C7" w:rsidP="00426639">
            <w:pPr>
              <w:pStyle w:val="Tabletext"/>
              <w:jc w:val="center"/>
              <w:rPr>
                <w:b/>
                <w:bCs/>
                <w:color w:val="C00000"/>
                <w:lang w:val="fr-FR"/>
              </w:rPr>
            </w:pPr>
            <w:r w:rsidRPr="003D1E8B">
              <w:rPr>
                <w:b/>
                <w:bCs/>
                <w:color w:val="C00000"/>
                <w:lang w:val="fr-FR"/>
              </w:rPr>
              <w:t>−4</w:t>
            </w:r>
          </w:p>
        </w:tc>
        <w:tc>
          <w:tcPr>
            <w:tcW w:w="1605" w:type="dxa"/>
            <w:vAlign w:val="center"/>
          </w:tcPr>
          <w:p w14:paraId="152776FE" w14:textId="37F01CE9" w:rsidR="00FB29C7" w:rsidRPr="003D1E8B" w:rsidRDefault="00FB29C7" w:rsidP="00426639">
            <w:pPr>
              <w:pStyle w:val="Tabletext"/>
              <w:jc w:val="center"/>
              <w:rPr>
                <w:b/>
                <w:bCs/>
                <w:lang w:val="fr-FR"/>
              </w:rPr>
            </w:pPr>
            <w:r w:rsidRPr="003D1E8B">
              <w:rPr>
                <w:b/>
                <w:bCs/>
                <w:color w:val="C00000"/>
                <w:lang w:val="fr-FR"/>
              </w:rPr>
              <w:t>−4</w:t>
            </w:r>
          </w:p>
        </w:tc>
        <w:tc>
          <w:tcPr>
            <w:tcW w:w="1605" w:type="dxa"/>
            <w:vAlign w:val="center"/>
          </w:tcPr>
          <w:p w14:paraId="260CB5E8" w14:textId="24EF0BCD" w:rsidR="00FB29C7" w:rsidRPr="003D1E8B" w:rsidRDefault="00FB29C7" w:rsidP="00426639">
            <w:pPr>
              <w:pStyle w:val="Tabletext"/>
              <w:jc w:val="center"/>
              <w:rPr>
                <w:b/>
                <w:bCs/>
                <w:lang w:val="fr-FR"/>
              </w:rPr>
            </w:pPr>
            <w:r w:rsidRPr="003D1E8B">
              <w:rPr>
                <w:b/>
                <w:bCs/>
                <w:lang w:val="fr-FR"/>
              </w:rPr>
              <w:t>17</w:t>
            </w:r>
          </w:p>
        </w:tc>
      </w:tr>
      <w:tr w:rsidR="00FB29C7" w:rsidRPr="003D1E8B" w14:paraId="19D3F5CB" w14:textId="77777777" w:rsidTr="00550283">
        <w:tc>
          <w:tcPr>
            <w:tcW w:w="1604" w:type="dxa"/>
          </w:tcPr>
          <w:p w14:paraId="57679136" w14:textId="52E3229C" w:rsidR="00FB29C7" w:rsidRPr="003D1E8B" w:rsidRDefault="00FB29C7" w:rsidP="00426639">
            <w:pPr>
              <w:pStyle w:val="Tablehead"/>
              <w:rPr>
                <w:lang w:val="fr-FR"/>
              </w:rPr>
            </w:pPr>
            <w:r w:rsidRPr="003D1E8B">
              <w:rPr>
                <w:rFonts w:cstheme="minorHAnsi"/>
                <w:bCs/>
                <w:color w:val="000000" w:themeColor="text1"/>
                <w:szCs w:val="18"/>
                <w:lang w:val="fr-FR"/>
              </w:rPr>
              <w:t>Établissements universitaires</w:t>
            </w:r>
          </w:p>
        </w:tc>
        <w:tc>
          <w:tcPr>
            <w:tcW w:w="1605" w:type="dxa"/>
            <w:vAlign w:val="center"/>
          </w:tcPr>
          <w:p w14:paraId="3B3AAAE5" w14:textId="655266C9" w:rsidR="00FB29C7" w:rsidRPr="003D1E8B" w:rsidRDefault="00FB29C7" w:rsidP="00426639">
            <w:pPr>
              <w:pStyle w:val="Tabletext"/>
              <w:jc w:val="center"/>
              <w:rPr>
                <w:b/>
                <w:bCs/>
                <w:lang w:val="fr-FR"/>
              </w:rPr>
            </w:pPr>
            <w:r w:rsidRPr="003D1E8B">
              <w:rPr>
                <w:b/>
                <w:bCs/>
                <w:lang w:val="fr-FR"/>
              </w:rPr>
              <w:t>163</w:t>
            </w:r>
          </w:p>
        </w:tc>
        <w:tc>
          <w:tcPr>
            <w:tcW w:w="1605" w:type="dxa"/>
            <w:vAlign w:val="center"/>
          </w:tcPr>
          <w:p w14:paraId="54BAEAB5" w14:textId="425DFF44" w:rsidR="00FB29C7" w:rsidRPr="003D1E8B" w:rsidRDefault="00FB29C7" w:rsidP="00426639">
            <w:pPr>
              <w:pStyle w:val="Tabletext"/>
              <w:jc w:val="center"/>
              <w:rPr>
                <w:b/>
                <w:bCs/>
                <w:lang w:val="fr-FR"/>
              </w:rPr>
            </w:pPr>
            <w:r w:rsidRPr="003D1E8B">
              <w:rPr>
                <w:b/>
                <w:bCs/>
                <w:color w:val="00B050"/>
                <w:lang w:val="fr-FR"/>
              </w:rPr>
              <w:t>+15</w:t>
            </w:r>
          </w:p>
        </w:tc>
        <w:tc>
          <w:tcPr>
            <w:tcW w:w="1605" w:type="dxa"/>
            <w:vAlign w:val="center"/>
          </w:tcPr>
          <w:p w14:paraId="21CB0197" w14:textId="1DA27AFA" w:rsidR="00FB29C7" w:rsidRPr="003D1E8B" w:rsidRDefault="00FB29C7" w:rsidP="00426639">
            <w:pPr>
              <w:pStyle w:val="Tabletext"/>
              <w:jc w:val="center"/>
              <w:rPr>
                <w:b/>
                <w:bCs/>
                <w:color w:val="C00000"/>
                <w:lang w:val="fr-FR"/>
              </w:rPr>
            </w:pPr>
            <w:r w:rsidRPr="003D1E8B">
              <w:rPr>
                <w:b/>
                <w:bCs/>
                <w:color w:val="C00000"/>
                <w:lang w:val="fr-FR"/>
              </w:rPr>
              <w:t>−5</w:t>
            </w:r>
          </w:p>
        </w:tc>
        <w:tc>
          <w:tcPr>
            <w:tcW w:w="1605" w:type="dxa"/>
            <w:vAlign w:val="center"/>
          </w:tcPr>
          <w:p w14:paraId="0408BD8C" w14:textId="7D547F84" w:rsidR="00FB29C7" w:rsidRPr="003D1E8B" w:rsidRDefault="00FB29C7" w:rsidP="00426639">
            <w:pPr>
              <w:pStyle w:val="Tabletext"/>
              <w:jc w:val="center"/>
              <w:rPr>
                <w:b/>
                <w:bCs/>
                <w:lang w:val="fr-FR"/>
              </w:rPr>
            </w:pPr>
            <w:r w:rsidRPr="003D1E8B">
              <w:rPr>
                <w:b/>
                <w:bCs/>
                <w:lang w:val="fr-FR"/>
              </w:rPr>
              <w:t>0</w:t>
            </w:r>
          </w:p>
        </w:tc>
        <w:tc>
          <w:tcPr>
            <w:tcW w:w="1605" w:type="dxa"/>
            <w:vAlign w:val="center"/>
          </w:tcPr>
          <w:p w14:paraId="5E5C6678" w14:textId="5A6761AC" w:rsidR="00FB29C7" w:rsidRPr="003D1E8B" w:rsidRDefault="00FB29C7" w:rsidP="00426639">
            <w:pPr>
              <w:pStyle w:val="Tabletext"/>
              <w:jc w:val="center"/>
              <w:rPr>
                <w:b/>
                <w:bCs/>
                <w:lang w:val="fr-FR"/>
              </w:rPr>
            </w:pPr>
            <w:r w:rsidRPr="003D1E8B">
              <w:rPr>
                <w:b/>
                <w:bCs/>
                <w:lang w:val="fr-FR"/>
              </w:rPr>
              <w:t>163</w:t>
            </w:r>
          </w:p>
        </w:tc>
      </w:tr>
    </w:tbl>
    <w:p w14:paraId="6B3300BE" w14:textId="41736E2E" w:rsidR="00A77779" w:rsidRPr="003D1E8B" w:rsidRDefault="00E83015" w:rsidP="00426639">
      <w:pPr>
        <w:pStyle w:val="Heading1"/>
        <w:rPr>
          <w:lang w:val="fr-FR" w:eastAsia="zh-CN"/>
        </w:rPr>
      </w:pPr>
      <w:r w:rsidRPr="003D1E8B">
        <w:rPr>
          <w:lang w:val="fr-FR" w:eastAsia="zh-CN"/>
        </w:rPr>
        <w:t>3</w:t>
      </w:r>
      <w:r w:rsidRPr="003D1E8B">
        <w:rPr>
          <w:lang w:val="fr-FR" w:eastAsia="zh-CN"/>
        </w:rPr>
        <w:tab/>
      </w:r>
      <w:r w:rsidR="00332A2A" w:rsidRPr="003D1E8B">
        <w:rPr>
          <w:lang w:val="fr-FR" w:eastAsia="zh-CN"/>
        </w:rPr>
        <w:t xml:space="preserve">Mobilisation, fidélisation, promotion et sensibilisation </w:t>
      </w:r>
    </w:p>
    <w:p w14:paraId="1EB0649F" w14:textId="2A115BD6" w:rsidR="00A77779" w:rsidRPr="003D1E8B" w:rsidRDefault="003E1CA1" w:rsidP="00426639">
      <w:pPr>
        <w:rPr>
          <w:rFonts w:ascii="Calibri" w:hAnsi="Calibri"/>
          <w:szCs w:val="24"/>
          <w:lang w:val="fr-FR"/>
        </w:rPr>
      </w:pPr>
      <w:r w:rsidRPr="003D1E8B">
        <w:rPr>
          <w:lang w:val="fr-FR"/>
        </w:rPr>
        <w:t xml:space="preserve">Outre les activités </w:t>
      </w:r>
      <w:r w:rsidR="008C28C5" w:rsidRPr="003D1E8B">
        <w:rPr>
          <w:lang w:val="fr-FR"/>
        </w:rPr>
        <w:t xml:space="preserve">régulières </w:t>
      </w:r>
      <w:r w:rsidRPr="003D1E8B">
        <w:rPr>
          <w:lang w:val="fr-FR"/>
        </w:rPr>
        <w:t>de sensibilisation, de mobilisation et de fidélisation</w:t>
      </w:r>
      <w:r w:rsidR="00632E82" w:rsidRPr="003D1E8B">
        <w:rPr>
          <w:lang w:val="fr-FR"/>
        </w:rPr>
        <w:t xml:space="preserve"> </w:t>
      </w:r>
      <w:r w:rsidRPr="003D1E8B">
        <w:rPr>
          <w:lang w:val="fr-FR"/>
        </w:rPr>
        <w:t>des membres, le</w:t>
      </w:r>
      <w:r w:rsidR="00550283" w:rsidRPr="003D1E8B">
        <w:rPr>
          <w:lang w:val="fr-FR"/>
        </w:rPr>
        <w:t> </w:t>
      </w:r>
      <w:r w:rsidRPr="003D1E8B">
        <w:rPr>
          <w:lang w:val="fr-FR"/>
        </w:rPr>
        <w:t xml:space="preserve">BDT </w:t>
      </w:r>
      <w:r w:rsidR="004214D4" w:rsidRPr="003D1E8B">
        <w:rPr>
          <w:lang w:val="fr-FR"/>
        </w:rPr>
        <w:t>a continué de mener les activités suivantes</w:t>
      </w:r>
      <w:r w:rsidR="00A77779" w:rsidRPr="003D1E8B">
        <w:rPr>
          <w:rFonts w:ascii="Calibri" w:hAnsi="Calibri"/>
          <w:szCs w:val="24"/>
          <w:lang w:val="fr-FR"/>
        </w:rPr>
        <w:t xml:space="preserve">: </w:t>
      </w:r>
    </w:p>
    <w:p w14:paraId="7010FB4E" w14:textId="4C3EC43B" w:rsidR="00A77779" w:rsidRPr="003D1E8B" w:rsidRDefault="00E83015" w:rsidP="00426639">
      <w:pPr>
        <w:pStyle w:val="enumlev1"/>
        <w:rPr>
          <w:lang w:val="fr-FR"/>
        </w:rPr>
      </w:pPr>
      <w:r w:rsidRPr="003D1E8B">
        <w:rPr>
          <w:lang w:val="fr-FR"/>
        </w:rPr>
        <w:t>–</w:t>
      </w:r>
      <w:r w:rsidRPr="003D1E8B">
        <w:rPr>
          <w:lang w:val="fr-FR"/>
        </w:rPr>
        <w:tab/>
      </w:r>
      <w:r w:rsidR="004214D4" w:rsidRPr="003D1E8B">
        <w:rPr>
          <w:lang w:val="fr-FR"/>
        </w:rPr>
        <w:t xml:space="preserve">La </w:t>
      </w:r>
      <w:r w:rsidR="00A02126" w:rsidRPr="003D1E8B">
        <w:rPr>
          <w:lang w:val="fr-FR"/>
        </w:rPr>
        <w:t xml:space="preserve">réunion du </w:t>
      </w:r>
      <w:r w:rsidR="00A02126" w:rsidRPr="003D1E8B">
        <w:rPr>
          <w:b/>
          <w:bCs/>
          <w:color w:val="000000"/>
          <w:lang w:val="fr-FR"/>
        </w:rPr>
        <w:t>Groupe consultatif de professionnels chargé des questions de développement et des Directeurs de la réglementation du secteur privé (IAGDI-CRO)</w:t>
      </w:r>
      <w:r w:rsidR="00A77779" w:rsidRPr="003D1E8B">
        <w:rPr>
          <w:lang w:val="fr-FR"/>
        </w:rPr>
        <w:t xml:space="preserve"> </w:t>
      </w:r>
      <w:r w:rsidR="00A02126" w:rsidRPr="003D1E8B">
        <w:rPr>
          <w:lang w:val="fr-FR"/>
        </w:rPr>
        <w:t>s'est tenue de manière virtuelle le 22 juin 2021</w:t>
      </w:r>
      <w:r w:rsidR="00E16F75" w:rsidRPr="003D1E8B">
        <w:rPr>
          <w:lang w:val="fr-FR"/>
        </w:rPr>
        <w:t>.</w:t>
      </w:r>
      <w:r w:rsidR="00632E82" w:rsidRPr="003D1E8B">
        <w:rPr>
          <w:lang w:val="fr-FR"/>
        </w:rPr>
        <w:t xml:space="preserve"> </w:t>
      </w:r>
      <w:r w:rsidR="00D03516" w:rsidRPr="003D1E8B">
        <w:rPr>
          <w:lang w:val="fr-FR"/>
        </w:rPr>
        <w:t>L</w:t>
      </w:r>
      <w:r w:rsidR="00E16F75" w:rsidRPr="003D1E8B">
        <w:rPr>
          <w:lang w:val="fr-FR"/>
        </w:rPr>
        <w:t>a</w:t>
      </w:r>
      <w:r w:rsidR="00C352AA" w:rsidRPr="003D1E8B">
        <w:rPr>
          <w:lang w:val="fr-FR"/>
        </w:rPr>
        <w:t xml:space="preserve"> </w:t>
      </w:r>
      <w:hyperlink r:id="rId15" w:history="1">
        <w:r w:rsidR="00C352AA" w:rsidRPr="003D1E8B">
          <w:rPr>
            <w:rStyle w:val="Hyperlink"/>
            <w:lang w:val="fr-FR"/>
          </w:rPr>
          <w:t>déclaration finale</w:t>
        </w:r>
      </w:hyperlink>
      <w:r w:rsidR="00C352AA" w:rsidRPr="003D1E8B">
        <w:rPr>
          <w:lang w:val="fr-FR"/>
        </w:rPr>
        <w:t xml:space="preserve"> et le rapport du Président</w:t>
      </w:r>
      <w:r w:rsidR="00D03516" w:rsidRPr="003D1E8B">
        <w:rPr>
          <w:lang w:val="fr-FR"/>
        </w:rPr>
        <w:t xml:space="preserve"> figurent</w:t>
      </w:r>
      <w:r w:rsidR="00632E82" w:rsidRPr="003D1E8B">
        <w:rPr>
          <w:lang w:val="fr-FR"/>
        </w:rPr>
        <w:t xml:space="preserve"> </w:t>
      </w:r>
      <w:hyperlink r:id="rId16" w:history="1">
        <w:r w:rsidR="00E16F75" w:rsidRPr="003D1E8B">
          <w:rPr>
            <w:rStyle w:val="Hyperlink"/>
            <w:lang w:val="fr-FR"/>
          </w:rPr>
          <w:t>ici</w:t>
        </w:r>
      </w:hyperlink>
      <w:r w:rsidR="00A77779" w:rsidRPr="003D1E8B">
        <w:rPr>
          <w:lang w:val="fr-FR"/>
        </w:rPr>
        <w:t xml:space="preserve">. </w:t>
      </w:r>
      <w:r w:rsidR="00810219" w:rsidRPr="003D1E8B">
        <w:rPr>
          <w:lang w:val="fr-FR"/>
        </w:rPr>
        <w:t>La prochaine réunion</w:t>
      </w:r>
      <w:r w:rsidR="00A77779" w:rsidRPr="003D1E8B">
        <w:rPr>
          <w:lang w:val="fr-FR"/>
        </w:rPr>
        <w:t xml:space="preserve"> IAGDI-CRO, </w:t>
      </w:r>
      <w:r w:rsidR="00810219" w:rsidRPr="003D1E8B">
        <w:rPr>
          <w:lang w:val="fr-FR"/>
        </w:rPr>
        <w:t>qui sera consacrée</w:t>
      </w:r>
      <w:r w:rsidR="00971E65" w:rsidRPr="003D1E8B">
        <w:rPr>
          <w:lang w:val="fr-FR"/>
        </w:rPr>
        <w:t xml:space="preserve"> exclusivement</w:t>
      </w:r>
      <w:r w:rsidR="00810219" w:rsidRPr="003D1E8B">
        <w:rPr>
          <w:lang w:val="fr-FR"/>
        </w:rPr>
        <w:t xml:space="preserve"> à l'initiative "</w:t>
      </w:r>
      <w:r w:rsidR="00A77779" w:rsidRPr="003D1E8B">
        <w:rPr>
          <w:lang w:val="fr-FR"/>
        </w:rPr>
        <w:t>Partner2Connect</w:t>
      </w:r>
      <w:r w:rsidR="00810219" w:rsidRPr="003D1E8B">
        <w:rPr>
          <w:lang w:val="fr-FR"/>
        </w:rPr>
        <w:t>"</w:t>
      </w:r>
      <w:r w:rsidR="00A77779" w:rsidRPr="003D1E8B">
        <w:rPr>
          <w:lang w:val="fr-FR"/>
        </w:rPr>
        <w:t xml:space="preserve">, </w:t>
      </w:r>
      <w:r w:rsidR="00810219" w:rsidRPr="003D1E8B">
        <w:rPr>
          <w:lang w:val="fr-FR"/>
        </w:rPr>
        <w:t xml:space="preserve">se tiendra en février 2022 </w:t>
      </w:r>
      <w:r w:rsidR="00CD2C22" w:rsidRPr="003D1E8B">
        <w:rPr>
          <w:lang w:val="fr-FR"/>
        </w:rPr>
        <w:t>(à une date qui sera définie prochainement)</w:t>
      </w:r>
      <w:r w:rsidR="00A77779" w:rsidRPr="003D1E8B">
        <w:rPr>
          <w:lang w:val="fr-FR"/>
        </w:rPr>
        <w:t xml:space="preserve">. </w:t>
      </w:r>
    </w:p>
    <w:p w14:paraId="5685CD7B" w14:textId="6B552E25" w:rsidR="00A77779" w:rsidRPr="003D1E8B" w:rsidRDefault="00E83015" w:rsidP="00426639">
      <w:pPr>
        <w:pStyle w:val="enumlev1"/>
        <w:keepLines/>
        <w:rPr>
          <w:lang w:val="fr-FR"/>
        </w:rPr>
      </w:pPr>
      <w:r w:rsidRPr="003D1E8B">
        <w:rPr>
          <w:lang w:val="fr-FR"/>
        </w:rPr>
        <w:lastRenderedPageBreak/>
        <w:t>–</w:t>
      </w:r>
      <w:r w:rsidRPr="003D1E8B">
        <w:rPr>
          <w:lang w:val="fr-FR"/>
        </w:rPr>
        <w:tab/>
      </w:r>
      <w:r w:rsidR="00262108" w:rsidRPr="003D1E8B">
        <w:rPr>
          <w:lang w:val="fr-FR"/>
        </w:rPr>
        <w:t xml:space="preserve">La </w:t>
      </w:r>
      <w:r w:rsidR="00262108" w:rsidRPr="003D1E8B">
        <w:rPr>
          <w:b/>
          <w:bCs/>
          <w:lang w:val="fr-FR"/>
        </w:rPr>
        <w:t xml:space="preserve">campagne de témoignages des </w:t>
      </w:r>
      <w:r w:rsidR="008D2B49" w:rsidRPr="003D1E8B">
        <w:rPr>
          <w:b/>
          <w:bCs/>
          <w:lang w:val="fr-FR"/>
        </w:rPr>
        <w:t>M</w:t>
      </w:r>
      <w:r w:rsidR="00262108" w:rsidRPr="003D1E8B">
        <w:rPr>
          <w:b/>
          <w:bCs/>
          <w:lang w:val="fr-FR"/>
        </w:rPr>
        <w:t xml:space="preserve">embres de l'UIT-D </w:t>
      </w:r>
      <w:r w:rsidR="00262108" w:rsidRPr="003D1E8B">
        <w:rPr>
          <w:lang w:val="fr-FR"/>
        </w:rPr>
        <w:t>a été lancée et se poursuivra</w:t>
      </w:r>
      <w:r w:rsidR="00D03516" w:rsidRPr="003D1E8B">
        <w:rPr>
          <w:lang w:val="fr-FR"/>
        </w:rPr>
        <w:t xml:space="preserve">, </w:t>
      </w:r>
      <w:r w:rsidR="00927FB2" w:rsidRPr="003D1E8B">
        <w:rPr>
          <w:lang w:val="fr-FR"/>
        </w:rPr>
        <w:t>afin</w:t>
      </w:r>
      <w:r w:rsidR="003C53C6" w:rsidRPr="003D1E8B">
        <w:rPr>
          <w:lang w:val="fr-FR"/>
        </w:rPr>
        <w:t xml:space="preserve"> de recueillir les vues des membres représentant de</w:t>
      </w:r>
      <w:r w:rsidR="00955C19" w:rsidRPr="003D1E8B">
        <w:rPr>
          <w:lang w:val="fr-FR"/>
        </w:rPr>
        <w:t>s</w:t>
      </w:r>
      <w:r w:rsidR="003C53C6" w:rsidRPr="003D1E8B">
        <w:rPr>
          <w:lang w:val="fr-FR"/>
        </w:rPr>
        <w:t xml:space="preserve"> hauts dirigeants d'entreprises </w:t>
      </w:r>
      <w:r w:rsidR="00A00D72" w:rsidRPr="003D1E8B">
        <w:rPr>
          <w:lang w:val="fr-FR"/>
        </w:rPr>
        <w:t xml:space="preserve">et le secteur privé </w:t>
      </w:r>
      <w:r w:rsidR="006E47EA" w:rsidRPr="003D1E8B">
        <w:rPr>
          <w:lang w:val="fr-FR"/>
        </w:rPr>
        <w:t xml:space="preserve">sur </w:t>
      </w:r>
      <w:r w:rsidR="003C5467" w:rsidRPr="003D1E8B">
        <w:rPr>
          <w:color w:val="000000"/>
          <w:lang w:val="fr-FR"/>
        </w:rPr>
        <w:t>les avantages que confère le statut de Membre</w:t>
      </w:r>
      <w:r w:rsidR="003C5467" w:rsidRPr="003D1E8B" w:rsidDel="003C5467">
        <w:rPr>
          <w:lang w:val="fr-FR"/>
        </w:rPr>
        <w:t xml:space="preserve"> </w:t>
      </w:r>
      <w:r w:rsidR="00415C7D" w:rsidRPr="003D1E8B">
        <w:rPr>
          <w:lang w:val="fr-FR"/>
        </w:rPr>
        <w:t>de l'UIT-D</w:t>
      </w:r>
      <w:r w:rsidR="003C5467" w:rsidRPr="003D1E8B">
        <w:rPr>
          <w:szCs w:val="24"/>
          <w:lang w:val="fr-FR"/>
        </w:rPr>
        <w:t>. Cette campagne</w:t>
      </w:r>
      <w:r w:rsidR="00632E82" w:rsidRPr="003D1E8B">
        <w:rPr>
          <w:szCs w:val="24"/>
          <w:lang w:val="fr-FR"/>
        </w:rPr>
        <w:t xml:space="preserve"> </w:t>
      </w:r>
      <w:r w:rsidR="003C5467" w:rsidRPr="003D1E8B">
        <w:rPr>
          <w:szCs w:val="24"/>
          <w:lang w:val="fr-FR"/>
        </w:rPr>
        <w:t>sera</w:t>
      </w:r>
      <w:r w:rsidR="00291622" w:rsidRPr="003D1E8B">
        <w:rPr>
          <w:szCs w:val="24"/>
          <w:lang w:val="fr-FR"/>
        </w:rPr>
        <w:t xml:space="preserve"> </w:t>
      </w:r>
      <w:r w:rsidR="003C5467" w:rsidRPr="003D1E8B">
        <w:rPr>
          <w:szCs w:val="24"/>
          <w:lang w:val="fr-FR"/>
        </w:rPr>
        <w:t>mise</w:t>
      </w:r>
      <w:r w:rsidR="00632E82" w:rsidRPr="003D1E8B">
        <w:rPr>
          <w:szCs w:val="24"/>
          <w:lang w:val="fr-FR"/>
        </w:rPr>
        <w:t xml:space="preserve"> </w:t>
      </w:r>
      <w:r w:rsidR="00291622" w:rsidRPr="003D1E8B">
        <w:rPr>
          <w:szCs w:val="24"/>
          <w:lang w:val="fr-FR"/>
        </w:rPr>
        <w:t>en avant</w:t>
      </w:r>
      <w:r w:rsidR="00DF0248" w:rsidRPr="003D1E8B">
        <w:rPr>
          <w:szCs w:val="24"/>
          <w:lang w:val="fr-FR"/>
        </w:rPr>
        <w:t xml:space="preserve"> </w:t>
      </w:r>
      <w:r w:rsidR="00291622" w:rsidRPr="003D1E8B">
        <w:rPr>
          <w:szCs w:val="24"/>
          <w:lang w:val="fr-FR"/>
        </w:rPr>
        <w:t>lors des</w:t>
      </w:r>
      <w:r w:rsidR="00710AC2" w:rsidRPr="003D1E8B">
        <w:rPr>
          <w:szCs w:val="24"/>
          <w:lang w:val="fr-FR"/>
        </w:rPr>
        <w:t xml:space="preserve"> manifestations de l'UIT et sur</w:t>
      </w:r>
      <w:r w:rsidR="00632E82" w:rsidRPr="003D1E8B">
        <w:rPr>
          <w:szCs w:val="24"/>
          <w:lang w:val="fr-FR"/>
        </w:rPr>
        <w:t xml:space="preserve"> </w:t>
      </w:r>
      <w:r w:rsidR="003C5467" w:rsidRPr="003D1E8B">
        <w:rPr>
          <w:szCs w:val="24"/>
          <w:lang w:val="fr-FR"/>
        </w:rPr>
        <w:t>les réseaux</w:t>
      </w:r>
      <w:r w:rsidR="003B55C3" w:rsidRPr="003D1E8B">
        <w:rPr>
          <w:szCs w:val="24"/>
          <w:lang w:val="fr-FR"/>
        </w:rPr>
        <w:t xml:space="preserve"> sociaux</w:t>
      </w:r>
      <w:r w:rsidR="00EA42CB" w:rsidRPr="003D1E8B">
        <w:rPr>
          <w:szCs w:val="24"/>
          <w:lang w:val="fr-FR"/>
        </w:rPr>
        <w:t>, notamment sur</w:t>
      </w:r>
      <w:r w:rsidR="003B55C3" w:rsidRPr="003D1E8B">
        <w:rPr>
          <w:szCs w:val="24"/>
          <w:lang w:val="fr-FR"/>
        </w:rPr>
        <w:t xml:space="preserve"> la chaîne </w:t>
      </w:r>
      <w:hyperlink r:id="rId17" w:history="1">
        <w:r w:rsidR="003B55C3" w:rsidRPr="003D1E8B">
          <w:rPr>
            <w:lang w:val="fr-FR"/>
          </w:rPr>
          <w:t>"</w:t>
        </w:r>
        <w:proofErr w:type="spellStart"/>
        <w:r w:rsidR="00A77779" w:rsidRPr="003D1E8B">
          <w:rPr>
            <w:rStyle w:val="Hyperlink"/>
            <w:szCs w:val="24"/>
            <w:lang w:val="fr-FR"/>
          </w:rPr>
          <w:t>Why</w:t>
        </w:r>
        <w:proofErr w:type="spellEnd"/>
        <w:r w:rsidR="00A77779" w:rsidRPr="003D1E8B">
          <w:rPr>
            <w:rStyle w:val="Hyperlink"/>
            <w:szCs w:val="24"/>
            <w:lang w:val="fr-FR"/>
          </w:rPr>
          <w:t xml:space="preserve"> are </w:t>
        </w:r>
        <w:proofErr w:type="spellStart"/>
        <w:r w:rsidR="00A77779" w:rsidRPr="003D1E8B">
          <w:rPr>
            <w:rStyle w:val="Hyperlink"/>
            <w:szCs w:val="24"/>
            <w:lang w:val="fr-FR"/>
          </w:rPr>
          <w:t>we</w:t>
        </w:r>
        <w:proofErr w:type="spellEnd"/>
        <w:r w:rsidR="00A77779" w:rsidRPr="003D1E8B">
          <w:rPr>
            <w:rStyle w:val="Hyperlink"/>
            <w:szCs w:val="24"/>
            <w:lang w:val="fr-FR"/>
          </w:rPr>
          <w:t xml:space="preserve"> ITU-D </w:t>
        </w:r>
        <w:proofErr w:type="spellStart"/>
        <w:r w:rsidR="00A77779" w:rsidRPr="003D1E8B">
          <w:rPr>
            <w:rStyle w:val="Hyperlink"/>
            <w:szCs w:val="24"/>
            <w:lang w:val="fr-FR"/>
          </w:rPr>
          <w:t>Members</w:t>
        </w:r>
        <w:proofErr w:type="spellEnd"/>
        <w:r w:rsidR="00A77779" w:rsidRPr="003D1E8B">
          <w:rPr>
            <w:rStyle w:val="Hyperlink"/>
            <w:szCs w:val="24"/>
            <w:lang w:val="fr-FR"/>
          </w:rPr>
          <w:t>?</w:t>
        </w:r>
        <w:r w:rsidR="003B55C3" w:rsidRPr="003D1E8B">
          <w:rPr>
            <w:lang w:val="fr-FR"/>
          </w:rPr>
          <w:t>"</w:t>
        </w:r>
      </w:hyperlink>
      <w:r w:rsidR="00A77779" w:rsidRPr="003D1E8B">
        <w:rPr>
          <w:lang w:val="fr-FR"/>
        </w:rPr>
        <w:t xml:space="preserve"> </w:t>
      </w:r>
      <w:r w:rsidR="003B55C3" w:rsidRPr="003D1E8B">
        <w:rPr>
          <w:szCs w:val="24"/>
          <w:lang w:val="fr-FR"/>
        </w:rPr>
        <w:t xml:space="preserve">(Pourquoi sommes-nous </w:t>
      </w:r>
      <w:r w:rsidR="00E06ABB" w:rsidRPr="003D1E8B">
        <w:rPr>
          <w:szCs w:val="24"/>
          <w:lang w:val="fr-FR"/>
        </w:rPr>
        <w:t>M</w:t>
      </w:r>
      <w:r w:rsidR="003B55C3" w:rsidRPr="003D1E8B">
        <w:rPr>
          <w:szCs w:val="24"/>
          <w:lang w:val="fr-FR"/>
        </w:rPr>
        <w:t>embres de l'UIT-D?)</w:t>
      </w:r>
      <w:r w:rsidR="00EA42CB" w:rsidRPr="003D1E8B">
        <w:rPr>
          <w:szCs w:val="24"/>
          <w:lang w:val="fr-FR"/>
        </w:rPr>
        <w:t xml:space="preserve">, qui </w:t>
      </w:r>
      <w:r w:rsidR="009A103E" w:rsidRPr="003D1E8B">
        <w:rPr>
          <w:szCs w:val="24"/>
          <w:lang w:val="fr-FR"/>
        </w:rPr>
        <w:t xml:space="preserve">offre </w:t>
      </w:r>
      <w:r w:rsidR="00EA42CB" w:rsidRPr="003D1E8B">
        <w:rPr>
          <w:szCs w:val="24"/>
          <w:lang w:val="fr-FR"/>
        </w:rPr>
        <w:t xml:space="preserve">un nouveau support de sensibilisation </w:t>
      </w:r>
      <w:r w:rsidR="009A103E" w:rsidRPr="003D1E8B">
        <w:rPr>
          <w:szCs w:val="24"/>
          <w:lang w:val="fr-FR"/>
        </w:rPr>
        <w:t>à l</w:t>
      </w:r>
      <w:r w:rsidR="00E21D1A" w:rsidRPr="003D1E8B">
        <w:rPr>
          <w:szCs w:val="24"/>
          <w:lang w:val="fr-FR"/>
        </w:rPr>
        <w:t>'</w:t>
      </w:r>
      <w:r w:rsidR="009A103E" w:rsidRPr="003D1E8B">
        <w:rPr>
          <w:szCs w:val="24"/>
          <w:lang w:val="fr-FR"/>
        </w:rPr>
        <w:t>intention des Membres potentiels</w:t>
      </w:r>
      <w:r w:rsidR="00EA42CB" w:rsidRPr="003D1E8B">
        <w:rPr>
          <w:szCs w:val="24"/>
          <w:lang w:val="fr-FR"/>
        </w:rPr>
        <w:t>.</w:t>
      </w:r>
    </w:p>
    <w:p w14:paraId="6628C21F" w14:textId="75306B9F" w:rsidR="00A77779" w:rsidRPr="003D1E8B" w:rsidRDefault="00E83015" w:rsidP="00426639">
      <w:pPr>
        <w:pStyle w:val="enumlev1"/>
        <w:rPr>
          <w:lang w:val="fr-FR"/>
        </w:rPr>
      </w:pPr>
      <w:r w:rsidRPr="003D1E8B">
        <w:rPr>
          <w:lang w:val="fr-FR"/>
        </w:rPr>
        <w:t>–</w:t>
      </w:r>
      <w:r w:rsidRPr="003D1E8B">
        <w:rPr>
          <w:lang w:val="fr-FR"/>
        </w:rPr>
        <w:tab/>
      </w:r>
      <w:r w:rsidR="009E6CFE" w:rsidRPr="003D1E8B">
        <w:rPr>
          <w:lang w:val="fr-FR"/>
        </w:rPr>
        <w:t>Dans le cadre de la</w:t>
      </w:r>
      <w:r w:rsidR="00EA42CB" w:rsidRPr="003D1E8B">
        <w:rPr>
          <w:lang w:val="fr-FR"/>
        </w:rPr>
        <w:t xml:space="preserve"> série</w:t>
      </w:r>
      <w:r w:rsidR="0073394A" w:rsidRPr="003D1E8B">
        <w:rPr>
          <w:lang w:val="fr-FR"/>
        </w:rPr>
        <w:t xml:space="preserve"> </w:t>
      </w:r>
      <w:r w:rsidR="009A103E" w:rsidRPr="003D1E8B">
        <w:rPr>
          <w:lang w:val="fr-FR"/>
        </w:rPr>
        <w:t xml:space="preserve">de manifestations </w:t>
      </w:r>
      <w:r w:rsidR="00EA42CB" w:rsidRPr="003D1E8B">
        <w:rPr>
          <w:lang w:val="fr-FR"/>
        </w:rPr>
        <w:t>"</w:t>
      </w:r>
      <w:r w:rsidR="00A77779" w:rsidRPr="003D1E8B">
        <w:rPr>
          <w:b/>
          <w:bCs/>
          <w:lang w:val="fr-FR"/>
        </w:rPr>
        <w:t xml:space="preserve">Know </w:t>
      </w:r>
      <w:proofErr w:type="spellStart"/>
      <w:r w:rsidR="00A77779" w:rsidRPr="003D1E8B">
        <w:rPr>
          <w:b/>
          <w:bCs/>
          <w:lang w:val="fr-FR"/>
        </w:rPr>
        <w:t>Your</w:t>
      </w:r>
      <w:proofErr w:type="spellEnd"/>
      <w:r w:rsidR="00A77779" w:rsidRPr="003D1E8B">
        <w:rPr>
          <w:b/>
          <w:bCs/>
          <w:lang w:val="fr-FR"/>
        </w:rPr>
        <w:t xml:space="preserve"> </w:t>
      </w:r>
      <w:proofErr w:type="spellStart"/>
      <w:r w:rsidR="00A77779" w:rsidRPr="003D1E8B">
        <w:rPr>
          <w:b/>
          <w:bCs/>
          <w:lang w:val="fr-FR"/>
        </w:rPr>
        <w:t>Members</w:t>
      </w:r>
      <w:proofErr w:type="spellEnd"/>
      <w:r w:rsidR="00EA42CB" w:rsidRPr="003D1E8B">
        <w:rPr>
          <w:lang w:val="fr-FR"/>
        </w:rPr>
        <w:t>"</w:t>
      </w:r>
      <w:r w:rsidR="00A77779" w:rsidRPr="003D1E8B">
        <w:rPr>
          <w:lang w:val="fr-FR"/>
        </w:rPr>
        <w:t xml:space="preserve"> </w:t>
      </w:r>
      <w:r w:rsidR="00EA42CB" w:rsidRPr="003D1E8B">
        <w:rPr>
          <w:lang w:val="fr-FR"/>
        </w:rPr>
        <w:t xml:space="preserve">(À la rencontre des Membres) </w:t>
      </w:r>
      <w:r w:rsidR="009E6CFE" w:rsidRPr="003D1E8B">
        <w:rPr>
          <w:lang w:val="fr-FR"/>
        </w:rPr>
        <w:t>et de</w:t>
      </w:r>
      <w:r w:rsidR="0073394A" w:rsidRPr="003D1E8B">
        <w:rPr>
          <w:lang w:val="fr-FR"/>
        </w:rPr>
        <w:t xml:space="preserve"> la </w:t>
      </w:r>
      <w:r w:rsidR="0073394A" w:rsidRPr="003D1E8B">
        <w:rPr>
          <w:b/>
          <w:bCs/>
          <w:lang w:val="fr-FR"/>
        </w:rPr>
        <w:t>série de discussions sur les technologies</w:t>
      </w:r>
      <w:r w:rsidR="0073394A" w:rsidRPr="003D1E8B">
        <w:rPr>
          <w:lang w:val="fr-FR"/>
        </w:rPr>
        <w:t>, lancées en 2021,</w:t>
      </w:r>
      <w:r w:rsidR="00632E82" w:rsidRPr="003D1E8B">
        <w:rPr>
          <w:lang w:val="fr-FR"/>
        </w:rPr>
        <w:t xml:space="preserve"> </w:t>
      </w:r>
      <w:r w:rsidR="00CA3D76">
        <w:rPr>
          <w:lang w:val="fr-FR"/>
        </w:rPr>
        <w:t xml:space="preserve">une plate-forme réservée </w:t>
      </w:r>
      <w:r w:rsidR="00D22915">
        <w:rPr>
          <w:lang w:val="fr-FR"/>
        </w:rPr>
        <w:t>aux membres continue d'être mise</w:t>
      </w:r>
      <w:r w:rsidR="009A103E" w:rsidRPr="003D1E8B">
        <w:rPr>
          <w:lang w:val="fr-FR"/>
        </w:rPr>
        <w:t xml:space="preserve"> à disposition </w:t>
      </w:r>
      <w:r w:rsidR="00897320" w:rsidRPr="003D1E8B">
        <w:rPr>
          <w:lang w:val="fr-FR"/>
        </w:rPr>
        <w:t>pour favoriser les</w:t>
      </w:r>
      <w:r w:rsidR="009E6CFE" w:rsidRPr="003D1E8B">
        <w:rPr>
          <w:lang w:val="fr-FR"/>
        </w:rPr>
        <w:t xml:space="preserve"> consultations avec </w:t>
      </w:r>
      <w:r w:rsidR="009A103E" w:rsidRPr="003D1E8B">
        <w:rPr>
          <w:lang w:val="fr-FR"/>
        </w:rPr>
        <w:t>la direction</w:t>
      </w:r>
      <w:r w:rsidR="009E6CFE" w:rsidRPr="003D1E8B">
        <w:rPr>
          <w:lang w:val="fr-FR"/>
        </w:rPr>
        <w:t xml:space="preserve"> et l'échange de connaissances</w:t>
      </w:r>
      <w:r w:rsidR="00774C71" w:rsidRPr="003D1E8B">
        <w:rPr>
          <w:lang w:val="fr-FR"/>
        </w:rPr>
        <w:t xml:space="preserve"> entre les représentants du secteur et les fonctionnaires de l'UIT</w:t>
      </w:r>
      <w:r w:rsidR="00A77779" w:rsidRPr="003D1E8B">
        <w:rPr>
          <w:lang w:val="fr-FR"/>
        </w:rPr>
        <w:t xml:space="preserve">. </w:t>
      </w:r>
      <w:r w:rsidR="00774C71" w:rsidRPr="003D1E8B">
        <w:rPr>
          <w:lang w:val="fr-FR"/>
        </w:rPr>
        <w:t xml:space="preserve">La prochaine </w:t>
      </w:r>
      <w:r w:rsidR="009A103E" w:rsidRPr="003D1E8B">
        <w:rPr>
          <w:lang w:val="fr-FR"/>
        </w:rPr>
        <w:t xml:space="preserve">manifestation </w:t>
      </w:r>
      <w:r w:rsidR="00774C71" w:rsidRPr="003D1E8B">
        <w:rPr>
          <w:lang w:val="fr-FR"/>
        </w:rPr>
        <w:t xml:space="preserve">de la série "Know </w:t>
      </w:r>
      <w:proofErr w:type="spellStart"/>
      <w:r w:rsidR="00774C71" w:rsidRPr="003D1E8B">
        <w:rPr>
          <w:lang w:val="fr-FR"/>
        </w:rPr>
        <w:t>Your</w:t>
      </w:r>
      <w:proofErr w:type="spellEnd"/>
      <w:r w:rsidR="00774C71" w:rsidRPr="003D1E8B">
        <w:rPr>
          <w:lang w:val="fr-FR"/>
        </w:rPr>
        <w:t xml:space="preserve"> </w:t>
      </w:r>
      <w:proofErr w:type="spellStart"/>
      <w:r w:rsidR="00774C71" w:rsidRPr="003D1E8B">
        <w:rPr>
          <w:lang w:val="fr-FR"/>
        </w:rPr>
        <w:t>Members</w:t>
      </w:r>
      <w:proofErr w:type="spellEnd"/>
      <w:r w:rsidR="00774C71" w:rsidRPr="003D1E8B">
        <w:rPr>
          <w:lang w:val="fr-FR"/>
        </w:rPr>
        <w:t>"</w:t>
      </w:r>
      <w:r w:rsidR="000367A4" w:rsidRPr="003D1E8B">
        <w:rPr>
          <w:lang w:val="fr-FR"/>
        </w:rPr>
        <w:t>,</w:t>
      </w:r>
      <w:r w:rsidR="0072049F" w:rsidRPr="003D1E8B">
        <w:rPr>
          <w:lang w:val="fr-FR"/>
        </w:rPr>
        <w:t xml:space="preserve"> </w:t>
      </w:r>
      <w:r w:rsidR="000367A4" w:rsidRPr="003D1E8B">
        <w:rPr>
          <w:lang w:val="fr-FR"/>
        </w:rPr>
        <w:t xml:space="preserve">qui réunira </w:t>
      </w:r>
      <w:r w:rsidR="009A7F12" w:rsidRPr="003D1E8B">
        <w:rPr>
          <w:lang w:val="fr-FR"/>
        </w:rPr>
        <w:t>de</w:t>
      </w:r>
      <w:r w:rsidR="000367A4" w:rsidRPr="003D1E8B">
        <w:rPr>
          <w:lang w:val="fr-FR"/>
        </w:rPr>
        <w:t>s</w:t>
      </w:r>
      <w:r w:rsidR="009A7F12" w:rsidRPr="003D1E8B">
        <w:rPr>
          <w:lang w:val="fr-FR"/>
        </w:rPr>
        <w:t xml:space="preserve"> représentants</w:t>
      </w:r>
      <w:r w:rsidR="00632E82" w:rsidRPr="003D1E8B">
        <w:rPr>
          <w:lang w:val="fr-FR"/>
        </w:rPr>
        <w:t xml:space="preserve"> </w:t>
      </w:r>
      <w:r w:rsidR="000367A4" w:rsidRPr="003D1E8B">
        <w:rPr>
          <w:lang w:val="fr-FR"/>
        </w:rPr>
        <w:t>d</w:t>
      </w:r>
      <w:r w:rsidR="00E21D1A" w:rsidRPr="003D1E8B">
        <w:rPr>
          <w:lang w:val="fr-FR"/>
        </w:rPr>
        <w:t>'</w:t>
      </w:r>
      <w:r w:rsidR="002A1615" w:rsidRPr="003D1E8B">
        <w:rPr>
          <w:lang w:val="fr-FR"/>
        </w:rPr>
        <w:t xml:space="preserve">exploitations reconnues </w:t>
      </w:r>
      <w:r w:rsidR="000367A4" w:rsidRPr="003D1E8B">
        <w:rPr>
          <w:lang w:val="fr-FR"/>
        </w:rPr>
        <w:t xml:space="preserve">Membres </w:t>
      </w:r>
      <w:r w:rsidR="003000F1" w:rsidRPr="003D1E8B">
        <w:rPr>
          <w:lang w:val="fr-FR"/>
        </w:rPr>
        <w:t xml:space="preserve">de </w:t>
      </w:r>
      <w:r w:rsidR="002A1615" w:rsidRPr="003D1E8B">
        <w:rPr>
          <w:lang w:val="fr-FR"/>
        </w:rPr>
        <w:t>l'UIT-D</w:t>
      </w:r>
      <w:r w:rsidR="000367A4" w:rsidRPr="003D1E8B">
        <w:rPr>
          <w:lang w:val="fr-FR"/>
        </w:rPr>
        <w:t>, se tiendra le 14 octobre 2021</w:t>
      </w:r>
      <w:r w:rsidR="002A1615" w:rsidRPr="003D1E8B">
        <w:rPr>
          <w:lang w:val="fr-FR"/>
        </w:rPr>
        <w:t>. Une session de discussions sur les technologies aura lieu le 4 novembre 2021</w:t>
      </w:r>
      <w:r w:rsidR="0025289F" w:rsidRPr="003D1E8B">
        <w:rPr>
          <w:lang w:val="fr-FR"/>
        </w:rPr>
        <w:t xml:space="preserve"> avec les </w:t>
      </w:r>
      <w:r w:rsidR="009078C6" w:rsidRPr="003D1E8B">
        <w:rPr>
          <w:lang w:val="fr-FR"/>
        </w:rPr>
        <w:t xml:space="preserve">membres relevant </w:t>
      </w:r>
      <w:r w:rsidR="00A474D3" w:rsidRPr="003D1E8B">
        <w:rPr>
          <w:lang w:val="fr-FR"/>
        </w:rPr>
        <w:t xml:space="preserve">de la catégorie </w:t>
      </w:r>
      <w:r w:rsidR="00132104" w:rsidRPr="003D1E8B">
        <w:rPr>
          <w:lang w:val="fr-FR"/>
        </w:rPr>
        <w:t>"Autre entité"</w:t>
      </w:r>
      <w:r w:rsidR="0025289F" w:rsidRPr="003D1E8B">
        <w:rPr>
          <w:lang w:val="fr-FR"/>
        </w:rPr>
        <w:t>.</w:t>
      </w:r>
      <w:r w:rsidR="002A1615" w:rsidRPr="003D1E8B">
        <w:rPr>
          <w:lang w:val="fr-FR"/>
        </w:rPr>
        <w:t xml:space="preserve"> </w:t>
      </w:r>
      <w:r w:rsidR="0025289F" w:rsidRPr="003D1E8B">
        <w:rPr>
          <w:lang w:val="fr-FR"/>
        </w:rPr>
        <w:t xml:space="preserve">On trouvera </w:t>
      </w:r>
      <w:hyperlink r:id="rId18" w:history="1">
        <w:r w:rsidR="0025289F" w:rsidRPr="003D1E8B">
          <w:rPr>
            <w:rStyle w:val="Hyperlink"/>
            <w:lang w:val="fr-FR"/>
          </w:rPr>
          <w:t>ici</w:t>
        </w:r>
      </w:hyperlink>
      <w:r w:rsidR="009078C6" w:rsidRPr="003D1E8B">
        <w:rPr>
          <w:lang w:val="fr-FR"/>
        </w:rPr>
        <w:t xml:space="preserve"> </w:t>
      </w:r>
      <w:r w:rsidR="0025289F" w:rsidRPr="003D1E8B">
        <w:rPr>
          <w:lang w:val="fr-FR"/>
        </w:rPr>
        <w:t>de plus amples renseignements sur les manifestations à venir et les manifestations passées</w:t>
      </w:r>
      <w:r w:rsidR="00174A7D" w:rsidRPr="003D1E8B">
        <w:rPr>
          <w:lang w:val="fr-FR"/>
        </w:rPr>
        <w:t>.</w:t>
      </w:r>
      <w:r w:rsidR="00A77779" w:rsidRPr="003D1E8B">
        <w:rPr>
          <w:lang w:val="fr-FR"/>
        </w:rPr>
        <w:t xml:space="preserve"> </w:t>
      </w:r>
    </w:p>
    <w:p w14:paraId="44AC0251" w14:textId="26A4C116" w:rsidR="00A77779" w:rsidRPr="003D1E8B" w:rsidRDefault="00E83015" w:rsidP="00426639">
      <w:pPr>
        <w:pStyle w:val="Heading1"/>
        <w:rPr>
          <w:lang w:val="fr-FR" w:eastAsia="zh-CN"/>
        </w:rPr>
      </w:pPr>
      <w:r w:rsidRPr="003D1E8B">
        <w:rPr>
          <w:lang w:val="fr-FR" w:eastAsia="zh-CN"/>
        </w:rPr>
        <w:t>4</w:t>
      </w:r>
      <w:r w:rsidRPr="003D1E8B">
        <w:rPr>
          <w:lang w:val="fr-FR" w:eastAsia="zh-CN"/>
        </w:rPr>
        <w:tab/>
      </w:r>
      <w:r w:rsidR="00A77779" w:rsidRPr="003D1E8B">
        <w:rPr>
          <w:lang w:val="fr-FR" w:eastAsia="zh-CN"/>
        </w:rPr>
        <w:t>Conclusions</w:t>
      </w:r>
    </w:p>
    <w:p w14:paraId="001FCA95" w14:textId="77777777" w:rsidR="00A77779" w:rsidRPr="003D1E8B" w:rsidRDefault="00A77779" w:rsidP="00426639">
      <w:pPr>
        <w:rPr>
          <w:lang w:val="fr-FR"/>
        </w:rPr>
      </w:pPr>
      <w:r w:rsidRPr="003D1E8B">
        <w:rPr>
          <w:lang w:val="fr-FR"/>
        </w:rPr>
        <w:t>Le BDT est déterminé à:</w:t>
      </w:r>
    </w:p>
    <w:p w14:paraId="5EAB5E24" w14:textId="781B752A" w:rsidR="00A77779" w:rsidRPr="003D1E8B" w:rsidRDefault="00A77779" w:rsidP="00426639">
      <w:pPr>
        <w:pStyle w:val="enumlev1"/>
        <w:rPr>
          <w:lang w:val="fr-FR"/>
        </w:rPr>
      </w:pPr>
      <w:r w:rsidRPr="003D1E8B">
        <w:rPr>
          <w:lang w:val="fr-FR"/>
        </w:rPr>
        <w:t>a)</w:t>
      </w:r>
      <w:r w:rsidRPr="003D1E8B">
        <w:rPr>
          <w:lang w:val="fr-FR"/>
        </w:rPr>
        <w:tab/>
      </w:r>
      <w:r w:rsidR="00480CC4" w:rsidRPr="003D1E8B">
        <w:rPr>
          <w:lang w:val="fr-FR"/>
        </w:rPr>
        <w:t>A</w:t>
      </w:r>
      <w:r w:rsidR="00533D16" w:rsidRPr="003D1E8B">
        <w:rPr>
          <w:lang w:val="fr-FR"/>
        </w:rPr>
        <w:t xml:space="preserve">tténuer les effets de la pandémie de COVID-19 en prenant des mesures pour attirer de nouveaux Membres de Secteur et fidéliser les </w:t>
      </w:r>
      <w:r w:rsidR="00867F6E" w:rsidRPr="003D1E8B">
        <w:rPr>
          <w:lang w:val="fr-FR"/>
        </w:rPr>
        <w:t>m</w:t>
      </w:r>
      <w:r w:rsidR="00533D16" w:rsidRPr="003D1E8B">
        <w:rPr>
          <w:lang w:val="fr-FR"/>
        </w:rPr>
        <w:t>embres actuel</w:t>
      </w:r>
      <w:r w:rsidR="003D7795" w:rsidRPr="003D1E8B">
        <w:rPr>
          <w:lang w:val="fr-FR"/>
        </w:rPr>
        <w:t>s</w:t>
      </w:r>
      <w:r w:rsidR="00480CC4" w:rsidRPr="003D1E8B">
        <w:rPr>
          <w:lang w:val="fr-FR"/>
        </w:rPr>
        <w:t>.</w:t>
      </w:r>
    </w:p>
    <w:p w14:paraId="6F4764C4" w14:textId="54AA6B07" w:rsidR="00A77779" w:rsidRPr="003D1E8B" w:rsidRDefault="00A77779" w:rsidP="00426639">
      <w:pPr>
        <w:pStyle w:val="enumlev1"/>
        <w:rPr>
          <w:lang w:val="fr-FR"/>
        </w:rPr>
      </w:pPr>
      <w:r w:rsidRPr="003D1E8B">
        <w:rPr>
          <w:lang w:val="fr-FR"/>
        </w:rPr>
        <w:t>b)</w:t>
      </w:r>
      <w:r w:rsidRPr="003D1E8B">
        <w:rPr>
          <w:lang w:val="fr-FR"/>
        </w:rPr>
        <w:tab/>
      </w:r>
      <w:r w:rsidR="00480CC4" w:rsidRPr="003D1E8B">
        <w:rPr>
          <w:lang w:val="fr-FR"/>
        </w:rPr>
        <w:t>R</w:t>
      </w:r>
      <w:r w:rsidRPr="003D1E8B">
        <w:rPr>
          <w:lang w:val="fr-FR"/>
        </w:rPr>
        <w:t xml:space="preserve">enforcer la </w:t>
      </w:r>
      <w:r w:rsidR="004819DE" w:rsidRPr="003D1E8B">
        <w:rPr>
          <w:lang w:val="fr-FR"/>
        </w:rPr>
        <w:t xml:space="preserve">collaboration avec les Membres du Secteur de l'UIT-D dans le cadre des travaux </w:t>
      </w:r>
      <w:r w:rsidRPr="003D1E8B">
        <w:rPr>
          <w:lang w:val="fr-FR"/>
        </w:rPr>
        <w:t>du Secteur</w:t>
      </w:r>
      <w:r w:rsidR="006E1EB9" w:rsidRPr="003D1E8B">
        <w:rPr>
          <w:lang w:val="fr-FR"/>
        </w:rPr>
        <w:t>,</w:t>
      </w:r>
      <w:r w:rsidRPr="003D1E8B">
        <w:rPr>
          <w:lang w:val="fr-FR"/>
        </w:rPr>
        <w:t xml:space="preserve"> </w:t>
      </w:r>
      <w:r w:rsidR="00B20D52" w:rsidRPr="003D1E8B">
        <w:rPr>
          <w:lang w:val="fr-FR"/>
        </w:rPr>
        <w:t xml:space="preserve">en démontrant les avantages </w:t>
      </w:r>
      <w:r w:rsidR="000367A4" w:rsidRPr="003D1E8B">
        <w:rPr>
          <w:lang w:val="fr-FR"/>
        </w:rPr>
        <w:t>de la participation à ces travaux.</w:t>
      </w:r>
      <w:r w:rsidR="00632E82" w:rsidRPr="003D1E8B">
        <w:rPr>
          <w:lang w:val="fr-FR"/>
        </w:rPr>
        <w:t xml:space="preserve"> </w:t>
      </w:r>
      <w:r w:rsidR="00550283" w:rsidRPr="003D1E8B">
        <w:rPr>
          <w:lang w:val="fr-FR"/>
        </w:rPr>
        <w:t>C</w:t>
      </w:r>
      <w:r w:rsidR="00B20D52" w:rsidRPr="003D1E8B">
        <w:rPr>
          <w:lang w:val="fr-FR"/>
        </w:rPr>
        <w:t xml:space="preserve">ela a </w:t>
      </w:r>
      <w:r w:rsidR="000367A4" w:rsidRPr="003D1E8B">
        <w:rPr>
          <w:lang w:val="fr-FR"/>
        </w:rPr>
        <w:t>incité</w:t>
      </w:r>
      <w:r w:rsidR="00CD1E7F" w:rsidRPr="003D1E8B">
        <w:rPr>
          <w:lang w:val="fr-FR"/>
        </w:rPr>
        <w:t xml:space="preserve"> les Membres de l'UIT-D</w:t>
      </w:r>
      <w:r w:rsidR="00632E82" w:rsidRPr="003D1E8B">
        <w:rPr>
          <w:lang w:val="fr-FR"/>
        </w:rPr>
        <w:t xml:space="preserve"> </w:t>
      </w:r>
      <w:r w:rsidR="000367A4" w:rsidRPr="003D1E8B">
        <w:rPr>
          <w:lang w:val="fr-FR"/>
        </w:rPr>
        <w:t>à</w:t>
      </w:r>
      <w:r w:rsidR="00CD1E7F" w:rsidRPr="003D1E8B">
        <w:rPr>
          <w:lang w:val="fr-FR"/>
        </w:rPr>
        <w:t xml:space="preserve"> établir des</w:t>
      </w:r>
      <w:r w:rsidRPr="003D1E8B">
        <w:rPr>
          <w:lang w:val="fr-FR"/>
        </w:rPr>
        <w:t xml:space="preserve"> partenariats </w:t>
      </w:r>
      <w:r w:rsidR="009E1126" w:rsidRPr="003D1E8B">
        <w:rPr>
          <w:lang w:val="fr-FR"/>
        </w:rPr>
        <w:t>permettant</w:t>
      </w:r>
      <w:r w:rsidR="00CD1E7F" w:rsidRPr="003D1E8B">
        <w:rPr>
          <w:lang w:val="fr-FR"/>
        </w:rPr>
        <w:t xml:space="preserve"> de</w:t>
      </w:r>
      <w:r w:rsidR="000F0318" w:rsidRPr="003D1E8B">
        <w:rPr>
          <w:lang w:val="fr-FR"/>
        </w:rPr>
        <w:t xml:space="preserve"> dégager des ressources financières pour</w:t>
      </w:r>
      <w:r w:rsidRPr="003D1E8B">
        <w:rPr>
          <w:lang w:val="fr-FR"/>
        </w:rPr>
        <w:t xml:space="preserve"> financer des projets et des initiatives à fort impact</w:t>
      </w:r>
      <w:r w:rsidR="00480CC4" w:rsidRPr="003D1E8B">
        <w:rPr>
          <w:lang w:val="fr-FR"/>
        </w:rPr>
        <w:t>.</w:t>
      </w:r>
    </w:p>
    <w:p w14:paraId="20F1ABB1" w14:textId="00CBF04E" w:rsidR="00A77779" w:rsidRPr="003D1E8B" w:rsidRDefault="00A77779" w:rsidP="00426639">
      <w:pPr>
        <w:pStyle w:val="enumlev1"/>
        <w:rPr>
          <w:lang w:val="fr-FR"/>
        </w:rPr>
      </w:pPr>
      <w:r w:rsidRPr="003D1E8B">
        <w:rPr>
          <w:lang w:val="fr-FR"/>
        </w:rPr>
        <w:t>c)</w:t>
      </w:r>
      <w:r w:rsidRPr="003D1E8B">
        <w:rPr>
          <w:lang w:val="fr-FR"/>
        </w:rPr>
        <w:tab/>
      </w:r>
      <w:r w:rsidR="00480CC4" w:rsidRPr="003D1E8B">
        <w:rPr>
          <w:lang w:val="fr-FR"/>
        </w:rPr>
        <w:t>R</w:t>
      </w:r>
      <w:r w:rsidRPr="003D1E8B">
        <w:rPr>
          <w:lang w:val="fr-FR"/>
        </w:rPr>
        <w:t>enforcer la participation des Membres du Secteur de l'UIT-D aux activités et aux manifestations du Secteur qui produisent des résultats</w:t>
      </w:r>
      <w:r w:rsidR="002A138C" w:rsidRPr="003D1E8B">
        <w:rPr>
          <w:lang w:val="fr-FR"/>
        </w:rPr>
        <w:t>.</w:t>
      </w:r>
    </w:p>
    <w:p w14:paraId="72545BC5" w14:textId="1ED8262B" w:rsidR="00A77779" w:rsidRPr="003D1E8B" w:rsidRDefault="00A77779" w:rsidP="00426639">
      <w:pPr>
        <w:pStyle w:val="enumlev1"/>
        <w:rPr>
          <w:lang w:val="fr-FR"/>
        </w:rPr>
      </w:pPr>
      <w:r w:rsidRPr="003D1E8B">
        <w:rPr>
          <w:lang w:val="fr-FR"/>
        </w:rPr>
        <w:t>d)</w:t>
      </w:r>
      <w:r w:rsidRPr="003D1E8B">
        <w:rPr>
          <w:lang w:val="fr-FR"/>
        </w:rPr>
        <w:tab/>
      </w:r>
      <w:r w:rsidR="00D37B8D" w:rsidRPr="003D1E8B">
        <w:rPr>
          <w:lang w:val="fr-FR"/>
        </w:rPr>
        <w:t>A</w:t>
      </w:r>
      <w:r w:rsidRPr="003D1E8B">
        <w:rPr>
          <w:lang w:val="fr-FR"/>
        </w:rPr>
        <w:t>méliorer en permanence les outils et les services</w:t>
      </w:r>
      <w:r w:rsidR="000367A4" w:rsidRPr="003D1E8B">
        <w:rPr>
          <w:lang w:val="fr-FR"/>
        </w:rPr>
        <w:t>,</w:t>
      </w:r>
      <w:r w:rsidRPr="003D1E8B">
        <w:rPr>
          <w:lang w:val="fr-FR"/>
        </w:rPr>
        <w:t xml:space="preserve"> afin de faciliter la participation et</w:t>
      </w:r>
      <w:r w:rsidR="00632E82" w:rsidRPr="003D1E8B">
        <w:rPr>
          <w:lang w:val="fr-FR"/>
        </w:rPr>
        <w:t xml:space="preserve"> </w:t>
      </w:r>
      <w:r w:rsidR="000367A4" w:rsidRPr="003D1E8B">
        <w:rPr>
          <w:lang w:val="fr-FR"/>
        </w:rPr>
        <w:t>la mobilisation</w:t>
      </w:r>
      <w:r w:rsidR="00632E82" w:rsidRPr="003D1E8B">
        <w:rPr>
          <w:lang w:val="fr-FR"/>
        </w:rPr>
        <w:t xml:space="preserve"> </w:t>
      </w:r>
      <w:r w:rsidRPr="003D1E8B">
        <w:rPr>
          <w:lang w:val="fr-FR"/>
        </w:rPr>
        <w:t>des membres.</w:t>
      </w:r>
    </w:p>
    <w:p w14:paraId="385088F3" w14:textId="557985A1" w:rsidR="00E83015" w:rsidRPr="003D1E8B" w:rsidRDefault="00E83015" w:rsidP="00426639">
      <w:pPr>
        <w:pStyle w:val="Heading1"/>
        <w:rPr>
          <w:lang w:val="fr-FR"/>
        </w:rPr>
      </w:pPr>
      <w:r w:rsidRPr="003D1E8B">
        <w:rPr>
          <w:lang w:val="fr-FR"/>
        </w:rPr>
        <w:t>5</w:t>
      </w:r>
      <w:r w:rsidRPr="003D1E8B">
        <w:rPr>
          <w:lang w:val="fr-FR"/>
        </w:rPr>
        <w:tab/>
      </w:r>
      <w:r w:rsidR="00772616" w:rsidRPr="003D1E8B">
        <w:rPr>
          <w:lang w:val="fr-FR"/>
        </w:rPr>
        <w:t>Invitation à fournir un appui</w:t>
      </w:r>
      <w:r w:rsidR="00C417D9" w:rsidRPr="003D1E8B">
        <w:rPr>
          <w:lang w:val="fr-FR"/>
        </w:rPr>
        <w:t xml:space="preserve"> </w:t>
      </w:r>
    </w:p>
    <w:p w14:paraId="498E09AE" w14:textId="5EED4039" w:rsidR="00D24347" w:rsidRPr="003D1E8B" w:rsidRDefault="00AD54F6" w:rsidP="00426639">
      <w:pPr>
        <w:rPr>
          <w:lang w:val="fr-FR"/>
        </w:rPr>
      </w:pPr>
      <w:r w:rsidRPr="003D1E8B">
        <w:rPr>
          <w:lang w:val="fr-FR"/>
        </w:rPr>
        <w:t>Les États Membres sont invités et encouragés à</w:t>
      </w:r>
      <w:r w:rsidR="00FC7E2B" w:rsidRPr="003D1E8B">
        <w:rPr>
          <w:lang w:val="fr-FR"/>
        </w:rPr>
        <w:t xml:space="preserve"> </w:t>
      </w:r>
      <w:r w:rsidR="000367A4" w:rsidRPr="003D1E8B">
        <w:rPr>
          <w:lang w:val="fr-FR"/>
        </w:rPr>
        <w:t xml:space="preserve">nouer des contacts </w:t>
      </w:r>
      <w:r w:rsidR="00FC7E2B" w:rsidRPr="003D1E8B">
        <w:rPr>
          <w:lang w:val="fr-FR"/>
        </w:rPr>
        <w:t xml:space="preserve">avec les acteurs </w:t>
      </w:r>
      <w:r w:rsidR="00E53F48" w:rsidRPr="003D1E8B">
        <w:rPr>
          <w:lang w:val="fr-FR"/>
        </w:rPr>
        <w:t xml:space="preserve">du secteur privé et les entreprises au niveau national </w:t>
      </w:r>
      <w:r w:rsidR="00067237" w:rsidRPr="003D1E8B">
        <w:rPr>
          <w:lang w:val="fr-FR"/>
        </w:rPr>
        <w:t>pour les inciter à rejoindre</w:t>
      </w:r>
      <w:r w:rsidR="00E53F48" w:rsidRPr="003D1E8B">
        <w:rPr>
          <w:lang w:val="fr-FR"/>
        </w:rPr>
        <w:t xml:space="preserve"> l'UIT-D. </w:t>
      </w:r>
      <w:r w:rsidR="005348A9" w:rsidRPr="003D1E8B">
        <w:rPr>
          <w:lang w:val="fr-FR"/>
        </w:rPr>
        <w:t>Une fois que les administrations auront</w:t>
      </w:r>
      <w:r w:rsidR="00632E82" w:rsidRPr="003D1E8B">
        <w:rPr>
          <w:lang w:val="fr-FR"/>
        </w:rPr>
        <w:t xml:space="preserve"> </w:t>
      </w:r>
      <w:r w:rsidR="00772616" w:rsidRPr="003D1E8B">
        <w:rPr>
          <w:lang w:val="fr-FR"/>
        </w:rPr>
        <w:t>fait preuve de</w:t>
      </w:r>
      <w:r w:rsidR="00632E82" w:rsidRPr="003D1E8B">
        <w:rPr>
          <w:lang w:val="fr-FR"/>
        </w:rPr>
        <w:t xml:space="preserve"> </w:t>
      </w:r>
      <w:r w:rsidR="00772616" w:rsidRPr="003D1E8B">
        <w:rPr>
          <w:lang w:val="fr-FR"/>
        </w:rPr>
        <w:t>la</w:t>
      </w:r>
      <w:r w:rsidR="00632E82" w:rsidRPr="003D1E8B">
        <w:rPr>
          <w:lang w:val="fr-FR"/>
        </w:rPr>
        <w:t xml:space="preserve"> </w:t>
      </w:r>
      <w:r w:rsidR="00724403" w:rsidRPr="003D1E8B">
        <w:rPr>
          <w:lang w:val="fr-FR"/>
        </w:rPr>
        <w:t xml:space="preserve">diligence </w:t>
      </w:r>
      <w:r w:rsidR="00772616" w:rsidRPr="003D1E8B">
        <w:rPr>
          <w:lang w:val="fr-FR"/>
        </w:rPr>
        <w:t xml:space="preserve">voulue </w:t>
      </w:r>
      <w:r w:rsidR="00DC48DD" w:rsidRPr="003D1E8B">
        <w:rPr>
          <w:lang w:val="fr-FR"/>
        </w:rPr>
        <w:t xml:space="preserve">pour </w:t>
      </w:r>
      <w:r w:rsidR="00772616" w:rsidRPr="003D1E8B">
        <w:rPr>
          <w:lang w:val="fr-FR"/>
        </w:rPr>
        <w:t>permettre rapidement</w:t>
      </w:r>
      <w:r w:rsidR="00FB4103" w:rsidRPr="003D1E8B">
        <w:rPr>
          <w:lang w:val="fr-FR"/>
        </w:rPr>
        <w:t xml:space="preserve"> </w:t>
      </w:r>
      <w:r w:rsidR="00DC48DD" w:rsidRPr="003D1E8B">
        <w:rPr>
          <w:lang w:val="fr-FR"/>
        </w:rPr>
        <w:t xml:space="preserve">aux </w:t>
      </w:r>
      <w:r w:rsidR="00880268" w:rsidRPr="003D1E8B">
        <w:rPr>
          <w:lang w:val="fr-FR"/>
        </w:rPr>
        <w:t xml:space="preserve">nouvelles entités qui souhaitent devenir </w:t>
      </w:r>
      <w:r w:rsidR="00772616" w:rsidRPr="003D1E8B">
        <w:rPr>
          <w:lang w:val="fr-FR"/>
        </w:rPr>
        <w:t xml:space="preserve">Membres </w:t>
      </w:r>
      <w:r w:rsidR="00880268" w:rsidRPr="003D1E8B">
        <w:rPr>
          <w:lang w:val="fr-FR"/>
        </w:rPr>
        <w:t>de l'UIT-D</w:t>
      </w:r>
      <w:r w:rsidR="007831AD" w:rsidRPr="003D1E8B">
        <w:rPr>
          <w:lang w:val="fr-FR"/>
        </w:rPr>
        <w:t xml:space="preserve">, celles-ci </w:t>
      </w:r>
      <w:r w:rsidR="00F55FE8" w:rsidRPr="003D1E8B">
        <w:rPr>
          <w:lang w:val="fr-FR"/>
        </w:rPr>
        <w:t>pourront</w:t>
      </w:r>
      <w:r w:rsidR="007831AD" w:rsidRPr="003D1E8B">
        <w:rPr>
          <w:lang w:val="fr-FR"/>
        </w:rPr>
        <w:t xml:space="preserve"> mener à terme le processus d'adhésion.</w:t>
      </w:r>
      <w:r w:rsidR="00880268" w:rsidRPr="003D1E8B">
        <w:rPr>
          <w:lang w:val="fr-FR"/>
        </w:rPr>
        <w:t xml:space="preserve"> </w:t>
      </w:r>
      <w:r w:rsidR="00015324" w:rsidRPr="003D1E8B">
        <w:rPr>
          <w:lang w:val="fr-FR"/>
        </w:rPr>
        <w:t>Si les administrations donnent leur approbation le plus rapidement possible, les entités qui présentent une demande d'adhésion seront encouragées à</w:t>
      </w:r>
      <w:r w:rsidR="002B15DC" w:rsidRPr="003D1E8B">
        <w:rPr>
          <w:lang w:val="fr-FR"/>
        </w:rPr>
        <w:t xml:space="preserve"> </w:t>
      </w:r>
      <w:r w:rsidR="000B7CC9" w:rsidRPr="003D1E8B">
        <w:rPr>
          <w:lang w:val="fr-FR"/>
        </w:rPr>
        <w:t xml:space="preserve">mener à bonne fin </w:t>
      </w:r>
      <w:r w:rsidR="00DF65A9" w:rsidRPr="003D1E8B">
        <w:rPr>
          <w:lang w:val="fr-FR"/>
        </w:rPr>
        <w:t>le processus d'adhésion</w:t>
      </w:r>
      <w:r w:rsidR="003D1E8B" w:rsidRPr="003D1E8B">
        <w:rPr>
          <w:lang w:val="fr-FR"/>
        </w:rPr>
        <w:t>.</w:t>
      </w:r>
    </w:p>
    <w:p w14:paraId="432E4762" w14:textId="77777777" w:rsidR="00A77779" w:rsidRPr="003D1E8B" w:rsidRDefault="00A77779" w:rsidP="00426639">
      <w:pPr>
        <w:rPr>
          <w:lang w:val="fr-FR"/>
        </w:rPr>
      </w:pPr>
    </w:p>
    <w:p w14:paraId="39F53C3A" w14:textId="77777777" w:rsidR="00821996" w:rsidRPr="003D1E8B" w:rsidRDefault="003C58BF" w:rsidP="00426639">
      <w:pPr>
        <w:tabs>
          <w:tab w:val="clear" w:pos="794"/>
          <w:tab w:val="clear" w:pos="1191"/>
          <w:tab w:val="clear" w:pos="1588"/>
          <w:tab w:val="clear" w:pos="1985"/>
        </w:tabs>
        <w:spacing w:before="360" w:after="120"/>
        <w:jc w:val="center"/>
        <w:rPr>
          <w:lang w:val="fr-FR"/>
        </w:rPr>
      </w:pPr>
      <w:bookmarkStart w:id="7" w:name="Proposal"/>
      <w:bookmarkEnd w:id="7"/>
      <w:r w:rsidRPr="003D1E8B">
        <w:rPr>
          <w:lang w:val="fr-FR"/>
        </w:rPr>
        <w:t>_____________</w:t>
      </w:r>
      <w:r w:rsidR="004122C5" w:rsidRPr="003D1E8B">
        <w:rPr>
          <w:lang w:val="fr-FR"/>
        </w:rPr>
        <w:t>_</w:t>
      </w:r>
      <w:r w:rsidR="00922EC1" w:rsidRPr="003D1E8B">
        <w:rPr>
          <w:lang w:val="fr-FR"/>
        </w:rPr>
        <w:t>_</w:t>
      </w:r>
    </w:p>
    <w:sectPr w:rsidR="00821996" w:rsidRPr="003D1E8B" w:rsidSect="00473791">
      <w:headerReference w:type="default" r:id="rId19"/>
      <w:footerReference w:type="default" r:id="rId20"/>
      <w:footerReference w:type="first" r:id="rId21"/>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7518" w14:textId="77777777" w:rsidR="007D591D" w:rsidRDefault="007D591D">
      <w:r>
        <w:separator/>
      </w:r>
    </w:p>
  </w:endnote>
  <w:endnote w:type="continuationSeparator" w:id="0">
    <w:p w14:paraId="58AA70C8" w14:textId="77777777" w:rsidR="007D591D" w:rsidRDefault="007D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557C" w14:textId="3ECFAB0C" w:rsidR="00D24347" w:rsidRDefault="00C779F5" w:rsidP="00D24347">
    <w:pPr>
      <w:pStyle w:val="Footer"/>
    </w:pPr>
    <w:r>
      <w:fldChar w:fldCharType="begin"/>
    </w:r>
    <w:r>
      <w:instrText xml:space="preserve"> FILENAME \p  \* MERGEFORMAT </w:instrText>
    </w:r>
    <w:r>
      <w:fldChar w:fldCharType="separate"/>
    </w:r>
    <w:r>
      <w:t>P:\FRA\ITU-D\CONF-D\TDAG21\TDAG21-29\000\008REV1F.docx</w:t>
    </w:r>
    <w:r>
      <w:fldChar w:fldCharType="end"/>
    </w:r>
    <w:r w:rsidR="00D24347">
      <w:t xml:space="preserve"> (49</w:t>
    </w:r>
    <w:r>
      <w:t>5173</w:t>
    </w:r>
    <w:r w:rsidR="00D2434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A77779" w:rsidRPr="00A8477F" w14:paraId="60D8084E" w14:textId="77777777" w:rsidTr="004E3CF5">
      <w:tc>
        <w:tcPr>
          <w:tcW w:w="1526" w:type="dxa"/>
          <w:tcBorders>
            <w:top w:val="single" w:sz="4" w:space="0" w:color="000000"/>
          </w:tcBorders>
          <w:shd w:val="clear" w:color="auto" w:fill="auto"/>
        </w:tcPr>
        <w:p w14:paraId="754884C4" w14:textId="77777777" w:rsidR="00A77779" w:rsidRPr="004D495C" w:rsidRDefault="00A77779" w:rsidP="00A77779">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7A1A502E" w14:textId="74E5DAA4" w:rsidR="00A77779" w:rsidRPr="004D495C" w:rsidRDefault="00A77779" w:rsidP="00A77779">
          <w:pPr>
            <w:pStyle w:val="FirstFooter"/>
            <w:tabs>
              <w:tab w:val="left" w:pos="2302"/>
            </w:tabs>
            <w:ind w:left="2302" w:hanging="2302"/>
            <w:rPr>
              <w:sz w:val="18"/>
              <w:szCs w:val="18"/>
              <w:lang w:val="en-US"/>
            </w:rPr>
          </w:pPr>
          <w:r>
            <w:rPr>
              <w:sz w:val="18"/>
              <w:szCs w:val="18"/>
              <w:lang w:val="en-US"/>
            </w:rPr>
            <w:t>Nom</w:t>
          </w:r>
          <w:r w:rsidRPr="004D495C">
            <w:rPr>
              <w:sz w:val="18"/>
              <w:szCs w:val="18"/>
              <w:lang w:val="en-US"/>
            </w:rPr>
            <w:t>/</w:t>
          </w:r>
          <w:r w:rsidRPr="00EF7069">
            <w:rPr>
              <w:sz w:val="18"/>
              <w:szCs w:val="18"/>
            </w:rPr>
            <w:t>Organisation</w:t>
          </w:r>
          <w:r w:rsidRPr="004D495C">
            <w:rPr>
              <w:sz w:val="18"/>
              <w:szCs w:val="18"/>
              <w:lang w:val="en-US"/>
            </w:rPr>
            <w:t>/</w:t>
          </w:r>
          <w:r w:rsidRPr="00EF7069">
            <w:rPr>
              <w:sz w:val="18"/>
              <w:szCs w:val="18"/>
            </w:rPr>
            <w:t>Entité</w:t>
          </w:r>
          <w:r w:rsidRPr="004D495C">
            <w:rPr>
              <w:sz w:val="18"/>
              <w:szCs w:val="18"/>
              <w:lang w:val="en-US"/>
            </w:rPr>
            <w:t>:</w:t>
          </w:r>
        </w:p>
      </w:tc>
      <w:tc>
        <w:tcPr>
          <w:tcW w:w="5987" w:type="dxa"/>
          <w:tcBorders>
            <w:top w:val="single" w:sz="4" w:space="0" w:color="000000"/>
          </w:tcBorders>
        </w:tcPr>
        <w:p w14:paraId="5E82F403" w14:textId="6AA350F4" w:rsidR="00A77779" w:rsidRPr="0050235B" w:rsidRDefault="00A77779" w:rsidP="00A77779">
          <w:pPr>
            <w:pStyle w:val="FirstFooter"/>
            <w:tabs>
              <w:tab w:val="left" w:pos="2302"/>
            </w:tabs>
            <w:rPr>
              <w:sz w:val="18"/>
              <w:szCs w:val="18"/>
            </w:rPr>
          </w:pPr>
          <w:r w:rsidRPr="00C803F2">
            <w:rPr>
              <w:sz w:val="18"/>
              <w:szCs w:val="18"/>
              <w:lang w:val="fr-CH"/>
            </w:rPr>
            <w:t xml:space="preserve">M. </w:t>
          </w:r>
          <w:proofErr w:type="spellStart"/>
          <w:r w:rsidRPr="00C803F2">
            <w:rPr>
              <w:sz w:val="18"/>
              <w:szCs w:val="18"/>
              <w:lang w:val="fr-CH"/>
            </w:rPr>
            <w:t>Cosmas</w:t>
          </w:r>
          <w:proofErr w:type="spellEnd"/>
          <w:r w:rsidRPr="00C803F2">
            <w:rPr>
              <w:sz w:val="18"/>
              <w:szCs w:val="18"/>
              <w:lang w:val="fr-CH"/>
            </w:rPr>
            <w:t xml:space="preserve"> </w:t>
          </w:r>
          <w:proofErr w:type="spellStart"/>
          <w:r w:rsidRPr="00C803F2">
            <w:rPr>
              <w:sz w:val="18"/>
              <w:szCs w:val="18"/>
              <w:lang w:val="fr-CH"/>
            </w:rPr>
            <w:t>Zavazava</w:t>
          </w:r>
          <w:proofErr w:type="spellEnd"/>
          <w:r w:rsidRPr="00C803F2">
            <w:rPr>
              <w:sz w:val="18"/>
              <w:szCs w:val="18"/>
              <w:lang w:val="fr-CH"/>
            </w:rPr>
            <w:t>, Chef du Département des partenariats pour le développement numérique, Bureau de développement des télécommunications</w:t>
          </w:r>
        </w:p>
      </w:tc>
      <w:bookmarkStart w:id="8" w:name="OrgName"/>
      <w:bookmarkEnd w:id="8"/>
    </w:tr>
    <w:tr w:rsidR="00A77779" w:rsidRPr="004D495C" w14:paraId="0B563E22" w14:textId="77777777" w:rsidTr="004E3CF5">
      <w:tc>
        <w:tcPr>
          <w:tcW w:w="1526" w:type="dxa"/>
          <w:shd w:val="clear" w:color="auto" w:fill="auto"/>
        </w:tcPr>
        <w:p w14:paraId="5AC383C8" w14:textId="77777777" w:rsidR="00A77779" w:rsidRPr="0050235B" w:rsidRDefault="00A77779" w:rsidP="00A77779">
          <w:pPr>
            <w:pStyle w:val="FirstFooter"/>
            <w:tabs>
              <w:tab w:val="left" w:pos="1559"/>
              <w:tab w:val="left" w:pos="3828"/>
            </w:tabs>
            <w:rPr>
              <w:sz w:val="20"/>
            </w:rPr>
          </w:pPr>
        </w:p>
      </w:tc>
      <w:tc>
        <w:tcPr>
          <w:tcW w:w="2410" w:type="dxa"/>
          <w:shd w:val="clear" w:color="auto" w:fill="auto"/>
        </w:tcPr>
        <w:p w14:paraId="19A37BA1" w14:textId="1907678E" w:rsidR="00A77779" w:rsidRPr="004D495C" w:rsidRDefault="00A77779" w:rsidP="00A77779">
          <w:pPr>
            <w:pStyle w:val="FirstFooter"/>
            <w:tabs>
              <w:tab w:val="left" w:pos="2302"/>
            </w:tabs>
            <w:rPr>
              <w:sz w:val="18"/>
              <w:szCs w:val="18"/>
              <w:lang w:val="en-US"/>
            </w:rPr>
          </w:pPr>
          <w:r w:rsidRPr="009D3681">
            <w:rPr>
              <w:sz w:val="18"/>
              <w:szCs w:val="18"/>
            </w:rPr>
            <w:t>Numéro de téléphone:</w:t>
          </w:r>
        </w:p>
      </w:tc>
      <w:tc>
        <w:tcPr>
          <w:tcW w:w="5987" w:type="dxa"/>
        </w:tcPr>
        <w:p w14:paraId="2FCA9F83" w14:textId="1665A112" w:rsidR="00A77779" w:rsidRPr="00AF7A97" w:rsidRDefault="00A77779" w:rsidP="00A77779">
          <w:pPr>
            <w:pStyle w:val="FirstFooter"/>
            <w:tabs>
              <w:tab w:val="left" w:pos="2302"/>
            </w:tabs>
            <w:rPr>
              <w:sz w:val="18"/>
              <w:szCs w:val="18"/>
              <w:lang w:val="en-US"/>
            </w:rPr>
          </w:pPr>
          <w:r w:rsidRPr="00C803F2">
            <w:rPr>
              <w:sz w:val="18"/>
              <w:szCs w:val="18"/>
              <w:lang w:val="fr-CH"/>
            </w:rPr>
            <w:t>+41 22 730 5447</w:t>
          </w:r>
        </w:p>
      </w:tc>
      <w:bookmarkStart w:id="9" w:name="PhoneNo"/>
      <w:bookmarkEnd w:id="9"/>
    </w:tr>
    <w:tr w:rsidR="0059420B" w:rsidRPr="004D495C" w14:paraId="4F182B07" w14:textId="77777777" w:rsidTr="004E3CF5">
      <w:tc>
        <w:tcPr>
          <w:tcW w:w="1526" w:type="dxa"/>
          <w:shd w:val="clear" w:color="auto" w:fill="auto"/>
        </w:tcPr>
        <w:p w14:paraId="069A5427" w14:textId="77777777" w:rsidR="0059420B" w:rsidRPr="004D495C" w:rsidRDefault="0059420B" w:rsidP="0059420B">
          <w:pPr>
            <w:pStyle w:val="FirstFooter"/>
            <w:tabs>
              <w:tab w:val="left" w:pos="1559"/>
              <w:tab w:val="left" w:pos="3828"/>
            </w:tabs>
            <w:rPr>
              <w:sz w:val="20"/>
              <w:lang w:val="en-US"/>
            </w:rPr>
          </w:pPr>
        </w:p>
      </w:tc>
      <w:tc>
        <w:tcPr>
          <w:tcW w:w="2410" w:type="dxa"/>
          <w:shd w:val="clear" w:color="auto" w:fill="auto"/>
        </w:tcPr>
        <w:p w14:paraId="699B1FAD" w14:textId="0375578C" w:rsidR="0059420B" w:rsidRPr="004D495C" w:rsidRDefault="00D37A23" w:rsidP="0059420B">
          <w:pPr>
            <w:pStyle w:val="FirstFooter"/>
            <w:tabs>
              <w:tab w:val="left" w:pos="2302"/>
            </w:tabs>
            <w:rPr>
              <w:sz w:val="18"/>
              <w:szCs w:val="18"/>
              <w:lang w:val="en-US"/>
            </w:rPr>
          </w:pPr>
          <w:r w:rsidRPr="009D3681">
            <w:rPr>
              <w:sz w:val="18"/>
              <w:szCs w:val="18"/>
            </w:rPr>
            <w:t>Courriel:</w:t>
          </w:r>
        </w:p>
      </w:tc>
      <w:tc>
        <w:tcPr>
          <w:tcW w:w="5987" w:type="dxa"/>
        </w:tcPr>
        <w:p w14:paraId="7F1B22EF" w14:textId="775A8C23" w:rsidR="0059420B" w:rsidRPr="00AF7A97" w:rsidRDefault="00C779F5" w:rsidP="0059420B">
          <w:pPr>
            <w:pStyle w:val="FirstFooter"/>
            <w:tabs>
              <w:tab w:val="left" w:pos="2302"/>
            </w:tabs>
            <w:rPr>
              <w:sz w:val="18"/>
              <w:szCs w:val="18"/>
              <w:lang w:val="en-US"/>
            </w:rPr>
          </w:pPr>
          <w:hyperlink r:id="rId1" w:history="1">
            <w:r w:rsidR="00A77779" w:rsidRPr="002128D5">
              <w:rPr>
                <w:rStyle w:val="Hyperlink"/>
                <w:sz w:val="18"/>
                <w:szCs w:val="18"/>
                <w:lang w:val="en-US"/>
              </w:rPr>
              <w:t>cosmas.zavazava@itu.int</w:t>
            </w:r>
          </w:hyperlink>
        </w:p>
      </w:tc>
      <w:bookmarkStart w:id="10" w:name="Email"/>
      <w:bookmarkEnd w:id="10"/>
    </w:tr>
  </w:tbl>
  <w:p w14:paraId="04CE603F" w14:textId="0C39F2D0" w:rsidR="00721657" w:rsidRPr="0059420B" w:rsidRDefault="00C779F5" w:rsidP="00D24347">
    <w:pPr>
      <w:pStyle w:val="Footer"/>
      <w:spacing w:before="120"/>
      <w:jc w:val="center"/>
      <w:rPr>
        <w:lang w:val="en-GB"/>
      </w:rPr>
    </w:pPr>
    <w:hyperlink r:id="rId2" w:history="1">
      <w:r w:rsidR="00D37A23">
        <w:rPr>
          <w:rStyle w:val="Hyperlink"/>
          <w:caps w:val="0"/>
          <w:noProof w:val="0"/>
          <w:sz w:val="18"/>
          <w:szCs w:val="18"/>
          <w:lang w:val="en-US"/>
        </w:rPr>
        <w:t>GCDT</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E478" w14:textId="77777777" w:rsidR="007D591D" w:rsidRDefault="007D591D">
      <w:r>
        <w:t>____________________</w:t>
      </w:r>
    </w:p>
  </w:footnote>
  <w:footnote w:type="continuationSeparator" w:id="0">
    <w:p w14:paraId="1F63E47E" w14:textId="77777777" w:rsidR="007D591D" w:rsidRDefault="007D591D">
      <w:r>
        <w:continuationSeparator/>
      </w:r>
    </w:p>
  </w:footnote>
  <w:footnote w:id="1">
    <w:p w14:paraId="2C3FFD80" w14:textId="77777777" w:rsidR="0031739D" w:rsidRPr="00C803F2" w:rsidRDefault="0031739D" w:rsidP="00426639">
      <w:pPr>
        <w:pStyle w:val="FootnoteText"/>
        <w:spacing w:after="240"/>
        <w:rPr>
          <w:lang w:val="fr-FR"/>
        </w:rPr>
      </w:pPr>
      <w:r w:rsidRPr="007A4086">
        <w:rPr>
          <w:rStyle w:val="FootnoteReference"/>
        </w:rPr>
        <w:footnoteRef/>
      </w:r>
      <w:r w:rsidRPr="00C803F2">
        <w:rPr>
          <w:lang w:val="fr-FR"/>
        </w:rPr>
        <w:tab/>
      </w:r>
      <w:r w:rsidRPr="00B74EE0">
        <w:rPr>
          <w:sz w:val="20"/>
          <w:lang w:val="fr-FR"/>
        </w:rPr>
        <w:t>Voir la Résolution 169 (Guadalajara, 2010) de la Conférence de plénipotentiaires, qui a créé une nouvelle catégorie de membres permettant aux établissements universitaires de participer aux travaux de l'UIT.</w:t>
      </w:r>
    </w:p>
  </w:footnote>
  <w:footnote w:id="2">
    <w:p w14:paraId="2CE3FC94" w14:textId="77777777" w:rsidR="00E21D1A" w:rsidRPr="00C803F2" w:rsidRDefault="00E21D1A" w:rsidP="00426639">
      <w:pPr>
        <w:pStyle w:val="FootnoteText"/>
        <w:rPr>
          <w:lang w:val="fr-FR"/>
        </w:rPr>
      </w:pPr>
      <w:r w:rsidRPr="007A4086">
        <w:rPr>
          <w:rStyle w:val="FootnoteReference"/>
        </w:rPr>
        <w:footnoteRef/>
      </w:r>
      <w:r w:rsidRPr="00C803F2">
        <w:rPr>
          <w:lang w:val="fr-FR"/>
        </w:rPr>
        <w:tab/>
      </w:r>
      <w:r w:rsidRPr="00B74EE0">
        <w:rPr>
          <w:sz w:val="20"/>
          <w:lang w:val="fr-FR"/>
        </w:rPr>
        <w:t>Résolution 71 (Rév.Buenos Aires, 2017) "Renforcement de la coopération entre les États Membres, les Membres de Secteur, les Associés et les établissements universitaires participant aux travaux du Secteur du développement des télécommunications de l'UIT et évolution du rôle du secteur privé au sein du Secteur du développement des télécommunications de l'UIT".</w:t>
      </w:r>
    </w:p>
  </w:footnote>
  <w:footnote w:id="3">
    <w:p w14:paraId="5193B0D4" w14:textId="7E08D9D3" w:rsidR="00A77779" w:rsidRPr="002A6952" w:rsidRDefault="00A77779" w:rsidP="00426639">
      <w:pPr>
        <w:pStyle w:val="FootnoteText"/>
        <w:spacing w:before="0"/>
        <w:contextualSpacing/>
        <w:rPr>
          <w:sz w:val="20"/>
          <w:lang w:val="fr-FR"/>
        </w:rPr>
      </w:pPr>
      <w:r w:rsidRPr="00150B47">
        <w:rPr>
          <w:rStyle w:val="FootnoteReference"/>
          <w:sz w:val="20"/>
        </w:rPr>
        <w:footnoteRef/>
      </w:r>
      <w:r w:rsidR="00FB29C7">
        <w:rPr>
          <w:sz w:val="20"/>
          <w:lang w:val="fr-FR"/>
        </w:rPr>
        <w:tab/>
      </w:r>
      <w:proofErr w:type="spellStart"/>
      <w:r w:rsidRPr="002A6952">
        <w:rPr>
          <w:sz w:val="20"/>
          <w:lang w:val="fr-FR"/>
        </w:rPr>
        <w:t>Axon</w:t>
      </w:r>
      <w:proofErr w:type="spellEnd"/>
      <w:r w:rsidRPr="002A6952">
        <w:rPr>
          <w:sz w:val="20"/>
          <w:lang w:val="fr-FR"/>
        </w:rPr>
        <w:t xml:space="preserve"> </w:t>
      </w:r>
      <w:proofErr w:type="spellStart"/>
      <w:r w:rsidRPr="002A6952">
        <w:rPr>
          <w:sz w:val="20"/>
          <w:lang w:val="fr-FR"/>
        </w:rPr>
        <w:t>Partners</w:t>
      </w:r>
      <w:proofErr w:type="spellEnd"/>
      <w:r w:rsidRPr="002A6952">
        <w:rPr>
          <w:sz w:val="20"/>
          <w:lang w:val="fr-FR"/>
        </w:rPr>
        <w:t xml:space="preserve"> Group (</w:t>
      </w:r>
      <w:r w:rsidR="002A6952" w:rsidRPr="002A6952">
        <w:rPr>
          <w:sz w:val="20"/>
          <w:lang w:val="fr-FR"/>
        </w:rPr>
        <w:t>Espagne</w:t>
      </w:r>
      <w:r w:rsidRPr="002A6952">
        <w:rPr>
          <w:sz w:val="20"/>
          <w:lang w:val="fr-FR"/>
        </w:rPr>
        <w:t>), Deloitte Risk Advisory (Ital</w:t>
      </w:r>
      <w:r w:rsidR="002A6952" w:rsidRPr="002A6952">
        <w:rPr>
          <w:sz w:val="20"/>
          <w:lang w:val="fr-FR"/>
        </w:rPr>
        <w:t>ie</w:t>
      </w:r>
      <w:r w:rsidRPr="002A6952">
        <w:rPr>
          <w:sz w:val="20"/>
          <w:lang w:val="fr-FR"/>
        </w:rPr>
        <w:t xml:space="preserve">), New Jersey </w:t>
      </w:r>
      <w:proofErr w:type="spellStart"/>
      <w:r w:rsidRPr="002A6952">
        <w:rPr>
          <w:sz w:val="20"/>
          <w:lang w:val="fr-FR"/>
        </w:rPr>
        <w:t>Fiber</w:t>
      </w:r>
      <w:proofErr w:type="spellEnd"/>
      <w:r w:rsidRPr="002A6952">
        <w:rPr>
          <w:sz w:val="20"/>
          <w:lang w:val="fr-FR"/>
        </w:rPr>
        <w:t xml:space="preserve"> Exchange (</w:t>
      </w:r>
      <w:r w:rsidR="002A6952" w:rsidRPr="002A6952">
        <w:rPr>
          <w:sz w:val="20"/>
          <w:lang w:val="fr-FR"/>
        </w:rPr>
        <w:t>États-Unis d'Amérique</w:t>
      </w:r>
      <w:r w:rsidRPr="002A6952">
        <w:rPr>
          <w:sz w:val="20"/>
          <w:lang w:val="fr-FR"/>
        </w:rPr>
        <w:t>), Security Alliance Limited (</w:t>
      </w:r>
      <w:r w:rsidR="002A6952" w:rsidRPr="002A6952">
        <w:rPr>
          <w:sz w:val="20"/>
          <w:lang w:val="fr-FR"/>
        </w:rPr>
        <w:t>Royaume-Uni</w:t>
      </w:r>
      <w:r w:rsidRPr="002A6952">
        <w:rPr>
          <w:sz w:val="20"/>
          <w:lang w:val="fr-FR"/>
        </w:rPr>
        <w:t>), Cullen International (Belg</w:t>
      </w:r>
      <w:r w:rsidR="002A6952">
        <w:rPr>
          <w:sz w:val="20"/>
          <w:lang w:val="fr-FR"/>
        </w:rPr>
        <w:t>ique</w:t>
      </w:r>
      <w:r w:rsidRPr="002A6952">
        <w:rPr>
          <w:sz w:val="20"/>
          <w:lang w:val="fr-FR"/>
        </w:rPr>
        <w:t>), Amazon.com (</w:t>
      </w:r>
      <w:r w:rsidR="002A6952" w:rsidRPr="002A6952">
        <w:rPr>
          <w:sz w:val="20"/>
          <w:lang w:val="fr-FR"/>
        </w:rPr>
        <w:t>États-Unis d'Amérique</w:t>
      </w:r>
      <w:r w:rsidRPr="002A6952">
        <w:rPr>
          <w:sz w:val="20"/>
          <w:lang w:val="fr-FR"/>
        </w:rPr>
        <w:t xml:space="preserve">), </w:t>
      </w:r>
      <w:proofErr w:type="spellStart"/>
      <w:r w:rsidRPr="002A6952">
        <w:rPr>
          <w:sz w:val="20"/>
          <w:lang w:val="fr-FR"/>
        </w:rPr>
        <w:t>Millicom</w:t>
      </w:r>
      <w:proofErr w:type="spellEnd"/>
      <w:r w:rsidRPr="002A6952">
        <w:rPr>
          <w:sz w:val="20"/>
          <w:lang w:val="fr-FR"/>
        </w:rPr>
        <w:t xml:space="preserve"> (Luxembourg), </w:t>
      </w:r>
      <w:proofErr w:type="spellStart"/>
      <w:r w:rsidRPr="002A6952">
        <w:rPr>
          <w:sz w:val="20"/>
          <w:lang w:val="fr-FR"/>
        </w:rPr>
        <w:t>Techfugees</w:t>
      </w:r>
      <w:proofErr w:type="spellEnd"/>
      <w:r w:rsidRPr="002A6952">
        <w:rPr>
          <w:sz w:val="20"/>
          <w:lang w:val="fr-FR"/>
        </w:rPr>
        <w:t xml:space="preserve"> (</w:t>
      </w:r>
      <w:r w:rsidR="002A6952" w:rsidRPr="002A6952">
        <w:rPr>
          <w:sz w:val="20"/>
          <w:lang w:val="fr-FR"/>
        </w:rPr>
        <w:t>Royaume-Uni</w:t>
      </w:r>
      <w:r w:rsidRPr="002A6952">
        <w:rPr>
          <w:sz w:val="20"/>
          <w:lang w:val="fr-FR"/>
        </w:rPr>
        <w:t xml:space="preserve">), Organisation Internationale de la Francophonie (France), </w:t>
      </w:r>
      <w:proofErr w:type="spellStart"/>
      <w:r w:rsidRPr="002A6952">
        <w:rPr>
          <w:sz w:val="20"/>
          <w:lang w:val="fr-FR"/>
        </w:rPr>
        <w:t>Telesat</w:t>
      </w:r>
      <w:proofErr w:type="spellEnd"/>
      <w:r w:rsidRPr="002A6952">
        <w:rPr>
          <w:sz w:val="20"/>
          <w:lang w:val="fr-FR"/>
        </w:rPr>
        <w:t xml:space="preserve"> (Canada), Center for Global IT-</w:t>
      </w:r>
      <w:proofErr w:type="spellStart"/>
      <w:r w:rsidRPr="002A6952">
        <w:rPr>
          <w:sz w:val="20"/>
          <w:lang w:val="fr-FR"/>
        </w:rPr>
        <w:t>Federation</w:t>
      </w:r>
      <w:proofErr w:type="spellEnd"/>
      <w:r w:rsidRPr="002A6952">
        <w:rPr>
          <w:sz w:val="20"/>
          <w:lang w:val="fr-FR"/>
        </w:rPr>
        <w:t xml:space="preserve"> (</w:t>
      </w:r>
      <w:r w:rsidR="002A6952">
        <w:rPr>
          <w:sz w:val="20"/>
          <w:lang w:val="fr-FR"/>
        </w:rPr>
        <w:t>Fédération de Russie</w:t>
      </w:r>
      <w:r w:rsidRPr="002A6952">
        <w:rPr>
          <w:sz w:val="20"/>
          <w:lang w:val="fr-FR"/>
        </w:rPr>
        <w:t xml:space="preserve">) </w:t>
      </w:r>
      <w:r w:rsidR="002A6952">
        <w:rPr>
          <w:sz w:val="20"/>
          <w:lang w:val="fr-FR"/>
        </w:rPr>
        <w:t>et</w:t>
      </w:r>
      <w:r w:rsidRPr="002A6952">
        <w:rPr>
          <w:sz w:val="20"/>
          <w:lang w:val="fr-FR"/>
        </w:rPr>
        <w:t xml:space="preserve"> Hewlett Packard Enterprise (</w:t>
      </w:r>
      <w:r w:rsidR="002A6952" w:rsidRPr="002A6952">
        <w:rPr>
          <w:sz w:val="20"/>
          <w:lang w:val="fr-FR"/>
        </w:rPr>
        <w:t>États-Unis d'Amérique</w:t>
      </w:r>
      <w:r w:rsidRPr="002A6952">
        <w:rPr>
          <w:sz w:val="20"/>
          <w:lang w:val="fr-FR"/>
        </w:rPr>
        <w:t>), Lulu for Advanced Tech (S</w:t>
      </w:r>
      <w:r w:rsidR="00613F81">
        <w:rPr>
          <w:sz w:val="20"/>
          <w:lang w:val="fr-FR"/>
        </w:rPr>
        <w:t>o</w:t>
      </w:r>
      <w:r w:rsidRPr="002A6952">
        <w:rPr>
          <w:sz w:val="20"/>
          <w:lang w:val="fr-FR"/>
        </w:rPr>
        <w:t>udan), Netflix (</w:t>
      </w:r>
      <w:r w:rsidR="002A6952" w:rsidRPr="002A6952">
        <w:rPr>
          <w:sz w:val="20"/>
          <w:lang w:val="fr-FR"/>
        </w:rPr>
        <w:t>États-Unis d'Amérique</w:t>
      </w:r>
      <w:r w:rsidRPr="002A6952">
        <w:rPr>
          <w:sz w:val="20"/>
          <w:lang w:val="fr-FR"/>
        </w:rPr>
        <w:t xml:space="preserve">), Digital </w:t>
      </w:r>
      <w:proofErr w:type="spellStart"/>
      <w:r w:rsidRPr="002A6952">
        <w:rPr>
          <w:sz w:val="20"/>
          <w:lang w:val="fr-FR"/>
        </w:rPr>
        <w:t>Nasional</w:t>
      </w:r>
      <w:proofErr w:type="spellEnd"/>
      <w:r w:rsidRPr="002A6952">
        <w:rPr>
          <w:sz w:val="20"/>
          <w:lang w:val="fr-FR"/>
        </w:rPr>
        <w:t xml:space="preserve"> (Mala</w:t>
      </w:r>
      <w:r w:rsidR="00613F81">
        <w:rPr>
          <w:sz w:val="20"/>
          <w:lang w:val="fr-FR"/>
        </w:rPr>
        <w:t>isie</w:t>
      </w:r>
      <w:r w:rsidRPr="002A6952">
        <w:rPr>
          <w:sz w:val="20"/>
          <w:lang w:val="fr-FR"/>
        </w:rPr>
        <w:t>)</w:t>
      </w:r>
      <w:r w:rsidR="004E6F66" w:rsidRPr="0061056C">
        <w:rPr>
          <w:sz w:val="20"/>
          <w:lang w:val="fr-FR"/>
        </w:rPr>
        <w:t xml:space="preserve"> </w:t>
      </w:r>
      <w:r w:rsidR="002D07D1" w:rsidRPr="0061056C">
        <w:rPr>
          <w:sz w:val="20"/>
          <w:lang w:val="fr-FR"/>
        </w:rPr>
        <w:t>et</w:t>
      </w:r>
      <w:r w:rsidRPr="0061056C">
        <w:rPr>
          <w:sz w:val="20"/>
          <w:lang w:val="fr-FR"/>
        </w:rPr>
        <w:t xml:space="preserve"> </w:t>
      </w:r>
      <w:proofErr w:type="spellStart"/>
      <w:r w:rsidRPr="0061056C">
        <w:rPr>
          <w:sz w:val="20"/>
          <w:lang w:val="fr-FR"/>
        </w:rPr>
        <w:t>Tospay</w:t>
      </w:r>
      <w:proofErr w:type="spellEnd"/>
      <w:r w:rsidRPr="0061056C">
        <w:rPr>
          <w:sz w:val="20"/>
          <w:lang w:val="fr-FR"/>
        </w:rPr>
        <w:t xml:space="preserve"> Limited (Kenya).</w:t>
      </w:r>
    </w:p>
  </w:footnote>
  <w:footnote w:id="4">
    <w:p w14:paraId="29F39A3F" w14:textId="32CB776A" w:rsidR="00A77779" w:rsidRPr="00CD6596" w:rsidRDefault="00A77779" w:rsidP="00426639">
      <w:pPr>
        <w:pStyle w:val="FootnoteText"/>
        <w:spacing w:before="0"/>
        <w:contextualSpacing/>
        <w:rPr>
          <w:sz w:val="20"/>
          <w:lang w:val="fr-FR"/>
        </w:rPr>
      </w:pPr>
      <w:r w:rsidRPr="00150B47">
        <w:rPr>
          <w:rStyle w:val="FootnoteReference"/>
          <w:sz w:val="20"/>
        </w:rPr>
        <w:footnoteRef/>
      </w:r>
      <w:r w:rsidR="00E83015" w:rsidRPr="00CD6596">
        <w:rPr>
          <w:sz w:val="20"/>
          <w:lang w:val="fr-FR"/>
        </w:rPr>
        <w:tab/>
      </w:r>
      <w:r w:rsidR="00CD6596" w:rsidRPr="00CD6596">
        <w:rPr>
          <w:sz w:val="20"/>
          <w:lang w:val="fr-FR"/>
        </w:rPr>
        <w:t xml:space="preserve">Les établissements universitaires </w:t>
      </w:r>
      <w:r w:rsidR="00B577F5">
        <w:rPr>
          <w:sz w:val="20"/>
          <w:lang w:val="fr-FR"/>
        </w:rPr>
        <w:t>sont admis à participer</w:t>
      </w:r>
      <w:r w:rsidR="00CD6596" w:rsidRPr="00CD6596">
        <w:rPr>
          <w:sz w:val="20"/>
          <w:lang w:val="fr-FR"/>
        </w:rPr>
        <w:t xml:space="preserve"> aux travaux des trois Secteurs de l'UIT, y compris à ceux des groupes consultatifs des trois Secteurs. Ils participent également à d'autres conférences mondiales</w:t>
      </w:r>
      <w:r w:rsidR="00B577F5">
        <w:rPr>
          <w:sz w:val="20"/>
          <w:lang w:val="fr-FR"/>
        </w:rPr>
        <w:t xml:space="preserve"> ou</w:t>
      </w:r>
      <w:r w:rsidR="00632E82">
        <w:rPr>
          <w:sz w:val="20"/>
          <w:lang w:val="fr-FR"/>
        </w:rPr>
        <w:t xml:space="preserve"> </w:t>
      </w:r>
      <w:r w:rsidR="00CD6596" w:rsidRPr="00CD6596">
        <w:rPr>
          <w:sz w:val="20"/>
          <w:lang w:val="fr-FR"/>
        </w:rPr>
        <w:t xml:space="preserve">régionales, ateliers et activités de l'Union, à l'exception des </w:t>
      </w:r>
      <w:r w:rsidR="00B577F5">
        <w:rPr>
          <w:sz w:val="20"/>
          <w:lang w:val="fr-FR"/>
        </w:rPr>
        <w:t>C</w:t>
      </w:r>
      <w:r w:rsidR="00CD6596" w:rsidRPr="00CD6596">
        <w:rPr>
          <w:sz w:val="20"/>
          <w:lang w:val="fr-FR"/>
        </w:rPr>
        <w:t>onférences de plénipotentiaires, des conférences mondiales des radiocommunications, des conférences mondiales des télécommunications internationales et du Conseil de l'UIT, conformément au règlement intérieur des différents Secteurs.</w:t>
      </w:r>
    </w:p>
  </w:footnote>
  <w:footnote w:id="5">
    <w:p w14:paraId="5536E5B0" w14:textId="17F73B10" w:rsidR="00161569" w:rsidRPr="00AC130E" w:rsidRDefault="00161569" w:rsidP="00426639">
      <w:pPr>
        <w:pStyle w:val="FootnoteText"/>
        <w:spacing w:before="0"/>
        <w:contextualSpacing/>
        <w:rPr>
          <w:sz w:val="20"/>
          <w:lang w:val="fr-FR" w:eastAsia="zh-CN"/>
        </w:rPr>
      </w:pPr>
      <w:r w:rsidRPr="00150B47">
        <w:rPr>
          <w:rStyle w:val="FootnoteReference"/>
          <w:sz w:val="20"/>
        </w:rPr>
        <w:footnoteRef/>
      </w:r>
      <w:r w:rsidRPr="00FF578E">
        <w:rPr>
          <w:sz w:val="20"/>
          <w:lang w:val="fr-FR" w:eastAsia="zh-CN"/>
        </w:rPr>
        <w:tab/>
      </w:r>
      <w:r w:rsidR="00FF578E" w:rsidRPr="00FF578E">
        <w:rPr>
          <w:sz w:val="20"/>
          <w:lang w:val="fr-FR" w:eastAsia="zh-CN"/>
        </w:rPr>
        <w:t>Centre d'éducation technique et supérieu</w:t>
      </w:r>
      <w:r w:rsidR="00FF578E">
        <w:rPr>
          <w:sz w:val="20"/>
          <w:lang w:val="fr-FR" w:eastAsia="zh-CN"/>
        </w:rPr>
        <w:t>re</w:t>
      </w:r>
      <w:r w:rsidRPr="00FF578E">
        <w:rPr>
          <w:sz w:val="20"/>
          <w:lang w:val="fr-FR" w:eastAsia="zh-CN"/>
        </w:rPr>
        <w:t xml:space="preserve"> (Mexi</w:t>
      </w:r>
      <w:r w:rsidR="00CD6596" w:rsidRPr="00FF578E">
        <w:rPr>
          <w:sz w:val="20"/>
          <w:lang w:val="fr-FR" w:eastAsia="zh-CN"/>
        </w:rPr>
        <w:t>que</w:t>
      </w:r>
      <w:r w:rsidRPr="00FF578E">
        <w:rPr>
          <w:sz w:val="20"/>
          <w:lang w:val="fr-FR" w:eastAsia="zh-CN"/>
        </w:rPr>
        <w:t xml:space="preserve">), </w:t>
      </w:r>
      <w:r w:rsidR="00FF578E">
        <w:rPr>
          <w:sz w:val="20"/>
          <w:lang w:val="fr-FR" w:eastAsia="zh-CN"/>
        </w:rPr>
        <w:t>Centre</w:t>
      </w:r>
      <w:r w:rsidRPr="00FF578E">
        <w:rPr>
          <w:sz w:val="20"/>
          <w:lang w:val="fr-FR" w:eastAsia="zh-CN"/>
        </w:rPr>
        <w:t xml:space="preserve"> Mexico Digital (Mexi</w:t>
      </w:r>
      <w:r w:rsidR="00CD6596" w:rsidRPr="00FF578E">
        <w:rPr>
          <w:sz w:val="20"/>
          <w:lang w:val="fr-FR" w:eastAsia="zh-CN"/>
        </w:rPr>
        <w:t>que</w:t>
      </w:r>
      <w:r w:rsidRPr="00FF578E">
        <w:rPr>
          <w:sz w:val="20"/>
          <w:lang w:val="fr-FR" w:eastAsia="zh-CN"/>
        </w:rPr>
        <w:t xml:space="preserve">), </w:t>
      </w:r>
      <w:r w:rsidR="00F919CC">
        <w:rPr>
          <w:sz w:val="20"/>
          <w:lang w:val="fr-FR" w:eastAsia="zh-CN"/>
        </w:rPr>
        <w:t xml:space="preserve">École de commerce </w:t>
      </w:r>
      <w:r w:rsidR="0025414D">
        <w:rPr>
          <w:sz w:val="20"/>
          <w:lang w:val="fr-FR" w:eastAsia="zh-CN"/>
        </w:rPr>
        <w:t xml:space="preserve">UE </w:t>
      </w:r>
      <w:r w:rsidRPr="00FF578E">
        <w:rPr>
          <w:sz w:val="20"/>
          <w:lang w:val="fr-FR" w:eastAsia="zh-CN"/>
        </w:rPr>
        <w:t>(</w:t>
      </w:r>
      <w:r w:rsidR="00CD6596" w:rsidRPr="00FF578E">
        <w:rPr>
          <w:sz w:val="20"/>
          <w:lang w:val="fr-FR" w:eastAsia="zh-CN"/>
        </w:rPr>
        <w:t>Suisse</w:t>
      </w:r>
      <w:r w:rsidRPr="00FF578E">
        <w:rPr>
          <w:sz w:val="20"/>
          <w:lang w:val="fr-FR" w:eastAsia="zh-CN"/>
        </w:rPr>
        <w:t xml:space="preserve">), </w:t>
      </w:r>
      <w:r w:rsidR="00F919CC">
        <w:rPr>
          <w:sz w:val="20"/>
          <w:lang w:val="fr-FR" w:eastAsia="zh-CN"/>
        </w:rPr>
        <w:t xml:space="preserve">Université </w:t>
      </w:r>
      <w:r w:rsidRPr="00FF578E">
        <w:rPr>
          <w:sz w:val="20"/>
          <w:lang w:val="fr-FR" w:eastAsia="zh-CN"/>
        </w:rPr>
        <w:t>Kadir Has (Tur</w:t>
      </w:r>
      <w:r w:rsidR="00CD6596" w:rsidRPr="00FF578E">
        <w:rPr>
          <w:sz w:val="20"/>
          <w:lang w:val="fr-FR" w:eastAsia="zh-CN"/>
        </w:rPr>
        <w:t>quie</w:t>
      </w:r>
      <w:r w:rsidRPr="00FF578E">
        <w:rPr>
          <w:sz w:val="20"/>
          <w:lang w:val="fr-FR" w:eastAsia="zh-CN"/>
        </w:rPr>
        <w:t xml:space="preserve">), </w:t>
      </w:r>
      <w:r w:rsidR="00F919CC">
        <w:rPr>
          <w:sz w:val="20"/>
          <w:lang w:val="fr-FR" w:eastAsia="zh-CN"/>
        </w:rPr>
        <w:t>Institut de recherche</w:t>
      </w:r>
      <w:r w:rsidR="00572A78">
        <w:rPr>
          <w:sz w:val="20"/>
          <w:lang w:val="fr-FR" w:eastAsia="zh-CN"/>
        </w:rPr>
        <w:t>s</w:t>
      </w:r>
      <w:r w:rsidR="00F919CC">
        <w:rPr>
          <w:sz w:val="20"/>
          <w:lang w:val="fr-FR" w:eastAsia="zh-CN"/>
        </w:rPr>
        <w:t xml:space="preserve"> avancée</w:t>
      </w:r>
      <w:r w:rsidR="00572A78">
        <w:rPr>
          <w:sz w:val="20"/>
          <w:lang w:val="fr-FR" w:eastAsia="zh-CN"/>
        </w:rPr>
        <w:t>s</w:t>
      </w:r>
      <w:r w:rsidR="00F919CC">
        <w:rPr>
          <w:sz w:val="20"/>
          <w:lang w:val="fr-FR" w:eastAsia="zh-CN"/>
        </w:rPr>
        <w:t xml:space="preserve"> de </w:t>
      </w:r>
      <w:r w:rsidRPr="00FF578E">
        <w:rPr>
          <w:sz w:val="20"/>
          <w:lang w:val="fr-FR" w:eastAsia="zh-CN"/>
        </w:rPr>
        <w:t>Shanghai (Chin</w:t>
      </w:r>
      <w:r w:rsidR="00CD6596" w:rsidRPr="00FF578E">
        <w:rPr>
          <w:sz w:val="20"/>
          <w:lang w:val="fr-FR" w:eastAsia="zh-CN"/>
        </w:rPr>
        <w:t>e</w:t>
      </w:r>
      <w:r w:rsidRPr="00FF578E">
        <w:rPr>
          <w:sz w:val="20"/>
          <w:lang w:val="fr-FR" w:eastAsia="zh-CN"/>
        </w:rPr>
        <w:t xml:space="preserve">), </w:t>
      </w:r>
      <w:r w:rsidR="00572A78">
        <w:rPr>
          <w:sz w:val="20"/>
          <w:lang w:val="fr-FR" w:eastAsia="zh-CN"/>
        </w:rPr>
        <w:t>Université des Émirats arabes unis</w:t>
      </w:r>
      <w:r w:rsidRPr="00FF578E">
        <w:rPr>
          <w:sz w:val="20"/>
          <w:lang w:val="fr-FR" w:eastAsia="zh-CN"/>
        </w:rPr>
        <w:t xml:space="preserve"> (</w:t>
      </w:r>
      <w:r w:rsidR="00CD6596" w:rsidRPr="00FF578E">
        <w:rPr>
          <w:sz w:val="20"/>
          <w:lang w:val="fr-FR" w:eastAsia="zh-CN"/>
        </w:rPr>
        <w:t>Émirats arabes unis</w:t>
      </w:r>
      <w:r w:rsidRPr="00FF578E">
        <w:rPr>
          <w:sz w:val="20"/>
          <w:lang w:val="fr-FR" w:eastAsia="zh-CN"/>
        </w:rPr>
        <w:t xml:space="preserve">), </w:t>
      </w:r>
      <w:r w:rsidR="00572A78">
        <w:rPr>
          <w:sz w:val="20"/>
          <w:lang w:val="fr-FR" w:eastAsia="zh-CN"/>
        </w:rPr>
        <w:t xml:space="preserve">Université </w:t>
      </w:r>
      <w:r w:rsidR="00E343A5">
        <w:rPr>
          <w:sz w:val="20"/>
          <w:lang w:val="fr-FR" w:eastAsia="zh-CN"/>
        </w:rPr>
        <w:t xml:space="preserve">de l'Écosse de l'Ouest </w:t>
      </w:r>
      <w:r w:rsidRPr="00FF578E">
        <w:rPr>
          <w:sz w:val="20"/>
          <w:lang w:val="fr-FR" w:eastAsia="zh-CN"/>
        </w:rPr>
        <w:t>(</w:t>
      </w:r>
      <w:r w:rsidR="00CD6596" w:rsidRPr="00FF578E">
        <w:rPr>
          <w:sz w:val="20"/>
          <w:lang w:val="fr-FR" w:eastAsia="zh-CN"/>
        </w:rPr>
        <w:t>Royaume-Uni</w:t>
      </w:r>
      <w:r w:rsidRPr="00FF578E">
        <w:rPr>
          <w:sz w:val="20"/>
          <w:lang w:val="fr-FR" w:eastAsia="zh-CN"/>
        </w:rPr>
        <w:t>), Universit</w:t>
      </w:r>
      <w:r w:rsidR="00E343A5">
        <w:rPr>
          <w:sz w:val="20"/>
          <w:lang w:val="fr-FR" w:eastAsia="zh-CN"/>
        </w:rPr>
        <w:t>é</w:t>
      </w:r>
      <w:r w:rsidRPr="00FF578E">
        <w:rPr>
          <w:sz w:val="20"/>
          <w:lang w:val="fr-FR" w:eastAsia="zh-CN"/>
        </w:rPr>
        <w:t xml:space="preserve"> </w:t>
      </w:r>
      <w:r w:rsidR="00D142D2">
        <w:rPr>
          <w:sz w:val="20"/>
          <w:lang w:val="fr-FR" w:eastAsia="zh-CN"/>
        </w:rPr>
        <w:t>de Thessalie</w:t>
      </w:r>
      <w:r w:rsidRPr="00FF578E">
        <w:rPr>
          <w:sz w:val="20"/>
          <w:lang w:val="fr-FR" w:eastAsia="zh-CN"/>
        </w:rPr>
        <w:t xml:space="preserve"> (Gr</w:t>
      </w:r>
      <w:r w:rsidR="00CD6596" w:rsidRPr="00FF578E">
        <w:rPr>
          <w:sz w:val="20"/>
          <w:lang w:val="fr-FR" w:eastAsia="zh-CN"/>
        </w:rPr>
        <w:t>èce</w:t>
      </w:r>
      <w:r w:rsidRPr="00FF578E">
        <w:rPr>
          <w:sz w:val="20"/>
          <w:lang w:val="fr-FR" w:eastAsia="zh-CN"/>
        </w:rPr>
        <w:t xml:space="preserve">), </w:t>
      </w:r>
      <w:r w:rsidR="00A51C15">
        <w:rPr>
          <w:sz w:val="20"/>
          <w:lang w:val="fr-FR" w:eastAsia="zh-CN"/>
        </w:rPr>
        <w:t xml:space="preserve">Université </w:t>
      </w:r>
      <w:r w:rsidR="00EA3351">
        <w:rPr>
          <w:sz w:val="20"/>
          <w:lang w:val="fr-FR" w:eastAsia="zh-CN"/>
        </w:rPr>
        <w:t>de Hawaii</w:t>
      </w:r>
      <w:r w:rsidRPr="00FF578E">
        <w:rPr>
          <w:sz w:val="20"/>
          <w:lang w:val="fr-FR" w:eastAsia="zh-CN"/>
        </w:rPr>
        <w:t xml:space="preserve"> (</w:t>
      </w:r>
      <w:r w:rsidR="00CD6596" w:rsidRPr="00FF578E">
        <w:rPr>
          <w:sz w:val="20"/>
          <w:lang w:val="fr-FR" w:eastAsia="zh-CN"/>
        </w:rPr>
        <w:t>États-Unis d'Amérique</w:t>
      </w:r>
      <w:r w:rsidRPr="00FF578E">
        <w:rPr>
          <w:sz w:val="20"/>
          <w:lang w:val="fr-FR" w:eastAsia="zh-CN"/>
        </w:rPr>
        <w:t xml:space="preserve">), </w:t>
      </w:r>
      <w:r w:rsidR="00237367">
        <w:rPr>
          <w:sz w:val="20"/>
          <w:lang w:val="fr-FR" w:eastAsia="zh-CN"/>
        </w:rPr>
        <w:t>I</w:t>
      </w:r>
      <w:r w:rsidR="00237367" w:rsidRPr="00237367">
        <w:rPr>
          <w:sz w:val="20"/>
          <w:lang w:val="fr-FR" w:eastAsia="zh-CN"/>
        </w:rPr>
        <w:t xml:space="preserve">nstitut d'État de recherche sur les réseaux d'alimentation électrique </w:t>
      </w:r>
      <w:r w:rsidR="00237367">
        <w:rPr>
          <w:sz w:val="20"/>
          <w:lang w:val="fr-FR" w:eastAsia="zh-CN"/>
        </w:rPr>
        <w:t xml:space="preserve">de Jiangsu </w:t>
      </w:r>
      <w:r w:rsidRPr="00FF578E">
        <w:rPr>
          <w:sz w:val="20"/>
          <w:lang w:val="fr-FR" w:eastAsia="zh-CN"/>
        </w:rPr>
        <w:t>(Chin</w:t>
      </w:r>
      <w:r w:rsidR="00011160" w:rsidRPr="00FF578E">
        <w:rPr>
          <w:sz w:val="20"/>
          <w:lang w:val="fr-FR" w:eastAsia="zh-CN"/>
        </w:rPr>
        <w:t>e</w:t>
      </w:r>
      <w:r w:rsidRPr="00FF578E">
        <w:rPr>
          <w:sz w:val="20"/>
          <w:lang w:val="fr-FR" w:eastAsia="zh-CN"/>
        </w:rPr>
        <w:t xml:space="preserve">), </w:t>
      </w:r>
      <w:r w:rsidR="00AC130E">
        <w:rPr>
          <w:sz w:val="20"/>
          <w:lang w:val="fr-FR" w:eastAsia="zh-CN"/>
        </w:rPr>
        <w:t xml:space="preserve">Institut d'État de recherche </w:t>
      </w:r>
      <w:r w:rsidR="00806BB8">
        <w:rPr>
          <w:sz w:val="20"/>
          <w:lang w:val="fr-FR" w:eastAsia="zh-CN"/>
        </w:rPr>
        <w:t xml:space="preserve">de la compagnie </w:t>
      </w:r>
      <w:r w:rsidR="005E5883">
        <w:rPr>
          <w:sz w:val="20"/>
          <w:lang w:val="fr-FR" w:eastAsia="zh-CN"/>
        </w:rPr>
        <w:t>d'électricité</w:t>
      </w:r>
      <w:r w:rsidR="00042234">
        <w:rPr>
          <w:sz w:val="20"/>
          <w:lang w:val="fr-FR" w:eastAsia="zh-CN"/>
        </w:rPr>
        <w:t xml:space="preserve"> de Zhe</w:t>
      </w:r>
      <w:r w:rsidR="004B4099">
        <w:rPr>
          <w:sz w:val="20"/>
          <w:lang w:val="fr-FR" w:eastAsia="zh-CN"/>
        </w:rPr>
        <w:t>ji</w:t>
      </w:r>
      <w:r w:rsidR="00042234">
        <w:rPr>
          <w:sz w:val="20"/>
          <w:lang w:val="fr-FR" w:eastAsia="zh-CN"/>
        </w:rPr>
        <w:t>ang</w:t>
      </w:r>
      <w:r w:rsidRPr="00AC130E">
        <w:rPr>
          <w:sz w:val="20"/>
          <w:lang w:val="fr-FR" w:eastAsia="zh-CN"/>
        </w:rPr>
        <w:t xml:space="preserve"> (Chin</w:t>
      </w:r>
      <w:r w:rsidR="00011160" w:rsidRPr="00AC130E">
        <w:rPr>
          <w:sz w:val="20"/>
          <w:lang w:val="fr-FR" w:eastAsia="zh-CN"/>
        </w:rPr>
        <w:t>e</w:t>
      </w:r>
      <w:r w:rsidRPr="00AC130E">
        <w:rPr>
          <w:sz w:val="20"/>
          <w:lang w:val="fr-FR" w:eastAsia="zh-CN"/>
        </w:rPr>
        <w:t xml:space="preserve">), </w:t>
      </w:r>
      <w:r w:rsidR="005E5883">
        <w:rPr>
          <w:sz w:val="20"/>
          <w:lang w:val="fr-FR" w:eastAsia="zh-CN"/>
        </w:rPr>
        <w:t>Université des sciences et de</w:t>
      </w:r>
      <w:r w:rsidR="00B577F5">
        <w:rPr>
          <w:sz w:val="20"/>
          <w:lang w:val="fr-FR" w:eastAsia="zh-CN"/>
        </w:rPr>
        <w:t>s</w:t>
      </w:r>
      <w:r w:rsidR="00632E82">
        <w:rPr>
          <w:sz w:val="20"/>
          <w:lang w:val="fr-FR" w:eastAsia="zh-CN"/>
        </w:rPr>
        <w:t xml:space="preserve"> </w:t>
      </w:r>
      <w:r w:rsidR="005E5883">
        <w:rPr>
          <w:sz w:val="20"/>
          <w:lang w:val="fr-FR" w:eastAsia="zh-CN"/>
        </w:rPr>
        <w:t>technologie</w:t>
      </w:r>
      <w:r w:rsidR="00B577F5">
        <w:rPr>
          <w:sz w:val="20"/>
          <w:lang w:val="fr-FR" w:eastAsia="zh-CN"/>
        </w:rPr>
        <w:t>s</w:t>
      </w:r>
      <w:r w:rsidR="005E5883">
        <w:rPr>
          <w:sz w:val="20"/>
          <w:lang w:val="fr-FR" w:eastAsia="zh-CN"/>
        </w:rPr>
        <w:t xml:space="preserve"> de </w:t>
      </w:r>
      <w:r w:rsidRPr="00AC130E">
        <w:rPr>
          <w:sz w:val="20"/>
          <w:lang w:val="fr-FR" w:eastAsia="zh-CN"/>
        </w:rPr>
        <w:t>Beijing (Chin</w:t>
      </w:r>
      <w:r w:rsidR="00011160" w:rsidRPr="00AC130E">
        <w:rPr>
          <w:sz w:val="20"/>
          <w:lang w:val="fr-FR" w:eastAsia="zh-CN"/>
        </w:rPr>
        <w:t>e</w:t>
      </w:r>
      <w:r w:rsidRPr="00AC130E">
        <w:rPr>
          <w:sz w:val="20"/>
          <w:lang w:val="fr-FR" w:eastAsia="zh-CN"/>
        </w:rPr>
        <w:t xml:space="preserve">), </w:t>
      </w:r>
      <w:r w:rsidR="007B0716">
        <w:rPr>
          <w:sz w:val="20"/>
          <w:lang w:val="fr-FR" w:eastAsia="zh-CN"/>
        </w:rPr>
        <w:t>I</w:t>
      </w:r>
      <w:r w:rsidR="007B0716" w:rsidRPr="00237367">
        <w:rPr>
          <w:sz w:val="20"/>
          <w:lang w:val="fr-FR" w:eastAsia="zh-CN"/>
        </w:rPr>
        <w:t xml:space="preserve">nstitut d'État de recherche </w:t>
      </w:r>
      <w:r w:rsidR="006E5CDD">
        <w:rPr>
          <w:sz w:val="20"/>
          <w:lang w:val="fr-FR" w:eastAsia="zh-CN"/>
        </w:rPr>
        <w:t xml:space="preserve">sur l'énergie électrique </w:t>
      </w:r>
      <w:r w:rsidR="00FF2328">
        <w:rPr>
          <w:sz w:val="20"/>
          <w:lang w:val="fr-FR" w:eastAsia="zh-CN"/>
        </w:rPr>
        <w:t>de</w:t>
      </w:r>
      <w:r w:rsidRPr="00AC130E">
        <w:rPr>
          <w:sz w:val="20"/>
          <w:lang w:val="fr-FR" w:eastAsia="zh-CN"/>
        </w:rPr>
        <w:t xml:space="preserve"> Beijing (Chin</w:t>
      </w:r>
      <w:r w:rsidR="00011160" w:rsidRPr="00AC130E">
        <w:rPr>
          <w:sz w:val="20"/>
          <w:lang w:val="fr-FR" w:eastAsia="zh-CN"/>
        </w:rPr>
        <w:t>e</w:t>
      </w:r>
      <w:r w:rsidRPr="00AC130E">
        <w:rPr>
          <w:sz w:val="20"/>
          <w:lang w:val="fr-FR" w:eastAsia="zh-CN"/>
        </w:rPr>
        <w:t xml:space="preserve">), </w:t>
      </w:r>
      <w:r w:rsidR="00536339">
        <w:rPr>
          <w:sz w:val="20"/>
          <w:lang w:val="fr-FR" w:eastAsia="zh-CN"/>
        </w:rPr>
        <w:t xml:space="preserve">Fondation </w:t>
      </w:r>
      <w:r w:rsidRPr="00AC130E">
        <w:rPr>
          <w:sz w:val="20"/>
          <w:lang w:val="fr-FR" w:eastAsia="zh-CN"/>
        </w:rPr>
        <w:t>Konrad Adenauer (</w:t>
      </w:r>
      <w:r w:rsidR="00011160" w:rsidRPr="00AC130E">
        <w:rPr>
          <w:sz w:val="20"/>
          <w:lang w:val="fr-FR" w:eastAsia="zh-CN"/>
        </w:rPr>
        <w:t>Allemagne</w:t>
      </w:r>
      <w:r w:rsidRPr="00AC130E">
        <w:rPr>
          <w:sz w:val="20"/>
          <w:lang w:val="fr-FR" w:eastAsia="zh-CN"/>
        </w:rPr>
        <w:t xml:space="preserve">) </w:t>
      </w:r>
      <w:r w:rsidR="00011160" w:rsidRPr="00AC130E">
        <w:rPr>
          <w:sz w:val="20"/>
          <w:lang w:val="fr-FR" w:eastAsia="zh-CN"/>
        </w:rPr>
        <w:t>et</w:t>
      </w:r>
      <w:r w:rsidRPr="00AC130E">
        <w:rPr>
          <w:sz w:val="20"/>
          <w:lang w:val="fr-FR" w:eastAsia="zh-CN"/>
        </w:rPr>
        <w:t xml:space="preserve"> </w:t>
      </w:r>
      <w:r w:rsidR="00536339">
        <w:rPr>
          <w:sz w:val="20"/>
          <w:lang w:val="fr-FR" w:eastAsia="zh-CN"/>
        </w:rPr>
        <w:t xml:space="preserve">Université polytechnique de Catalogne </w:t>
      </w:r>
      <w:r w:rsidRPr="00AC130E">
        <w:rPr>
          <w:sz w:val="20"/>
          <w:lang w:val="fr-FR" w:eastAsia="zh-CN"/>
        </w:rPr>
        <w:t>(</w:t>
      </w:r>
      <w:r w:rsidR="00011160" w:rsidRPr="00AC130E">
        <w:rPr>
          <w:sz w:val="20"/>
          <w:lang w:val="fr-FR" w:eastAsia="zh-CN"/>
        </w:rPr>
        <w:t>Espagne</w:t>
      </w:r>
      <w:r w:rsidRPr="00AC130E">
        <w:rPr>
          <w:sz w:val="20"/>
          <w:lang w:val="fr-FR" w:eastAsia="zh-CN"/>
        </w:rPr>
        <w:t>).</w:t>
      </w:r>
    </w:p>
  </w:footnote>
  <w:footnote w:id="6">
    <w:p w14:paraId="18B1FBCC" w14:textId="07EA6EF2" w:rsidR="00B461FE" w:rsidRPr="00011160" w:rsidRDefault="00B461FE" w:rsidP="00426639">
      <w:pPr>
        <w:pStyle w:val="FootnoteText"/>
        <w:spacing w:before="0"/>
        <w:rPr>
          <w:sz w:val="20"/>
          <w:lang w:val="fr-FR"/>
        </w:rPr>
      </w:pPr>
      <w:r w:rsidRPr="00150B47">
        <w:rPr>
          <w:rStyle w:val="FootnoteReference"/>
          <w:sz w:val="20"/>
        </w:rPr>
        <w:footnoteRef/>
      </w:r>
      <w:r w:rsidRPr="00011160">
        <w:rPr>
          <w:sz w:val="20"/>
          <w:lang w:val="fr-FR"/>
        </w:rPr>
        <w:tab/>
      </w:r>
      <w:proofErr w:type="spellStart"/>
      <w:r w:rsidRPr="00011160">
        <w:rPr>
          <w:sz w:val="20"/>
          <w:lang w:val="fr-FR"/>
        </w:rPr>
        <w:t>Loon</w:t>
      </w:r>
      <w:proofErr w:type="spellEnd"/>
      <w:r w:rsidRPr="00011160">
        <w:rPr>
          <w:sz w:val="20"/>
          <w:lang w:val="fr-FR"/>
        </w:rPr>
        <w:t xml:space="preserve"> (</w:t>
      </w:r>
      <w:r w:rsidRPr="00011160">
        <w:rPr>
          <w:sz w:val="20"/>
          <w:lang w:val="fr-FR" w:eastAsia="zh-CN"/>
        </w:rPr>
        <w:t>États-Unis d'Amérique</w:t>
      </w:r>
      <w:r w:rsidRPr="00011160">
        <w:rPr>
          <w:sz w:val="20"/>
          <w:lang w:val="fr-FR"/>
        </w:rPr>
        <w:t xml:space="preserve">), </w:t>
      </w:r>
      <w:proofErr w:type="spellStart"/>
      <w:r w:rsidRPr="00011160">
        <w:rPr>
          <w:sz w:val="20"/>
          <w:lang w:val="fr-FR"/>
        </w:rPr>
        <w:t>Tactikom</w:t>
      </w:r>
      <w:proofErr w:type="spellEnd"/>
      <w:r w:rsidRPr="00011160">
        <w:rPr>
          <w:sz w:val="20"/>
          <w:lang w:val="fr-FR"/>
        </w:rPr>
        <w:t xml:space="preserve"> </w:t>
      </w:r>
      <w:proofErr w:type="spellStart"/>
      <w:r w:rsidRPr="00011160">
        <w:rPr>
          <w:sz w:val="20"/>
          <w:lang w:val="fr-FR"/>
        </w:rPr>
        <w:t>Africa</w:t>
      </w:r>
      <w:proofErr w:type="spellEnd"/>
      <w:r w:rsidRPr="00011160">
        <w:rPr>
          <w:sz w:val="20"/>
          <w:lang w:val="fr-FR"/>
        </w:rPr>
        <w:t xml:space="preserve"> (Sénégal), J.S.C. </w:t>
      </w:r>
      <w:proofErr w:type="spellStart"/>
      <w:r w:rsidRPr="00011160">
        <w:rPr>
          <w:sz w:val="20"/>
          <w:lang w:val="fr-FR"/>
        </w:rPr>
        <w:t>Silknet</w:t>
      </w:r>
      <w:proofErr w:type="spellEnd"/>
      <w:r w:rsidRPr="00011160">
        <w:rPr>
          <w:sz w:val="20"/>
          <w:lang w:val="fr-FR"/>
        </w:rPr>
        <w:t xml:space="preserve"> (Géorgie), Emirates Integrated </w:t>
      </w:r>
      <w:proofErr w:type="spellStart"/>
      <w:r w:rsidRPr="00011160">
        <w:rPr>
          <w:sz w:val="20"/>
          <w:lang w:val="fr-FR"/>
        </w:rPr>
        <w:t>Telecommunications</w:t>
      </w:r>
      <w:proofErr w:type="spellEnd"/>
      <w:r w:rsidRPr="00011160">
        <w:rPr>
          <w:sz w:val="20"/>
          <w:lang w:val="fr-FR"/>
        </w:rPr>
        <w:t xml:space="preserve"> </w:t>
      </w:r>
      <w:proofErr w:type="spellStart"/>
      <w:r w:rsidRPr="00011160">
        <w:rPr>
          <w:sz w:val="20"/>
          <w:lang w:val="fr-FR"/>
        </w:rPr>
        <w:t>Company</w:t>
      </w:r>
      <w:proofErr w:type="spellEnd"/>
      <w:r w:rsidRPr="00011160">
        <w:rPr>
          <w:sz w:val="20"/>
          <w:lang w:val="fr-FR"/>
        </w:rPr>
        <w:t xml:space="preserve"> (</w:t>
      </w:r>
      <w:r w:rsidRPr="00011160">
        <w:rPr>
          <w:sz w:val="20"/>
          <w:lang w:val="fr-FR" w:eastAsia="zh-CN"/>
        </w:rPr>
        <w:t>Émirats arabes unis</w:t>
      </w:r>
      <w:r w:rsidRPr="00011160">
        <w:rPr>
          <w:sz w:val="20"/>
          <w:lang w:val="fr-FR"/>
        </w:rPr>
        <w:t xml:space="preserve">), Bangladesh Communication Satellite </w:t>
      </w:r>
      <w:proofErr w:type="spellStart"/>
      <w:r w:rsidRPr="00011160">
        <w:rPr>
          <w:sz w:val="20"/>
          <w:lang w:val="fr-FR"/>
        </w:rPr>
        <w:t>Company</w:t>
      </w:r>
      <w:proofErr w:type="spellEnd"/>
      <w:r w:rsidRPr="00011160">
        <w:rPr>
          <w:sz w:val="20"/>
          <w:lang w:val="fr-FR"/>
        </w:rPr>
        <w:t xml:space="preserve"> Limited (Bangladesh)</w:t>
      </w:r>
      <w:r w:rsidR="00830433">
        <w:rPr>
          <w:sz w:val="20"/>
          <w:lang w:val="fr-FR"/>
        </w:rPr>
        <w:t xml:space="preserve"> </w:t>
      </w:r>
      <w:r w:rsidRPr="00011160">
        <w:rPr>
          <w:sz w:val="20"/>
          <w:lang w:val="fr-FR"/>
        </w:rPr>
        <w:t xml:space="preserve">et </w:t>
      </w:r>
      <w:proofErr w:type="spellStart"/>
      <w:r w:rsidRPr="00011160">
        <w:rPr>
          <w:sz w:val="20"/>
          <w:lang w:val="fr-FR"/>
        </w:rPr>
        <w:t>Altel</w:t>
      </w:r>
      <w:proofErr w:type="spellEnd"/>
      <w:r w:rsidRPr="00011160">
        <w:rPr>
          <w:sz w:val="20"/>
          <w:lang w:val="fr-FR"/>
        </w:rPr>
        <w:t xml:space="preserve"> Communications (Mala</w:t>
      </w:r>
      <w:r>
        <w:rPr>
          <w:sz w:val="20"/>
          <w:lang w:val="fr-FR"/>
        </w:rPr>
        <w:t>isie</w:t>
      </w:r>
      <w:r w:rsidRPr="00011160">
        <w:rPr>
          <w:sz w:val="20"/>
          <w:lang w:val="fr-FR"/>
        </w:rPr>
        <w:t>).</w:t>
      </w:r>
    </w:p>
  </w:footnote>
  <w:footnote w:id="7">
    <w:p w14:paraId="675ABCB2" w14:textId="360746E6" w:rsidR="00A77779" w:rsidRPr="00B17DEA" w:rsidRDefault="00A77779" w:rsidP="00426639">
      <w:pPr>
        <w:pStyle w:val="FootnoteText"/>
        <w:spacing w:before="0"/>
        <w:rPr>
          <w:sz w:val="20"/>
          <w:lang w:val="fr-FR"/>
        </w:rPr>
      </w:pPr>
      <w:r w:rsidRPr="00150B47">
        <w:rPr>
          <w:rStyle w:val="FootnoteReference"/>
          <w:sz w:val="20"/>
        </w:rPr>
        <w:footnoteRef/>
      </w:r>
      <w:r w:rsidR="00E83015" w:rsidRPr="00B17DEA">
        <w:rPr>
          <w:sz w:val="20"/>
          <w:lang w:val="fr-FR"/>
        </w:rPr>
        <w:tab/>
      </w:r>
      <w:r w:rsidRPr="00B17DEA">
        <w:rPr>
          <w:sz w:val="20"/>
          <w:lang w:val="fr-FR"/>
        </w:rPr>
        <w:t xml:space="preserve">Orange </w:t>
      </w:r>
      <w:proofErr w:type="spellStart"/>
      <w:r w:rsidRPr="00B17DEA">
        <w:rPr>
          <w:sz w:val="20"/>
          <w:lang w:val="fr-FR"/>
        </w:rPr>
        <w:t>Egypt</w:t>
      </w:r>
      <w:proofErr w:type="spellEnd"/>
      <w:r w:rsidRPr="00B17DEA">
        <w:rPr>
          <w:sz w:val="20"/>
          <w:lang w:val="fr-FR"/>
        </w:rPr>
        <w:t xml:space="preserve"> (Associ</w:t>
      </w:r>
      <w:r w:rsidR="00B17DEA" w:rsidRPr="00B17DEA">
        <w:rPr>
          <w:sz w:val="20"/>
          <w:lang w:val="fr-FR"/>
        </w:rPr>
        <w:t>é</w:t>
      </w:r>
      <w:r w:rsidRPr="00B17DEA">
        <w:rPr>
          <w:sz w:val="20"/>
          <w:lang w:val="fr-FR"/>
        </w:rPr>
        <w:t xml:space="preserve">), Konkan Railway Corporation, </w:t>
      </w:r>
      <w:proofErr w:type="spellStart"/>
      <w:r w:rsidRPr="00B17DEA">
        <w:rPr>
          <w:sz w:val="20"/>
          <w:lang w:val="fr-FR"/>
        </w:rPr>
        <w:t>India</w:t>
      </w:r>
      <w:proofErr w:type="spellEnd"/>
      <w:r w:rsidRPr="00B17DEA">
        <w:rPr>
          <w:sz w:val="20"/>
          <w:lang w:val="fr-FR"/>
        </w:rPr>
        <w:t xml:space="preserve"> (Associ</w:t>
      </w:r>
      <w:r w:rsidR="00B17DEA">
        <w:rPr>
          <w:sz w:val="20"/>
          <w:lang w:val="fr-FR"/>
        </w:rPr>
        <w:t>é</w:t>
      </w:r>
      <w:r w:rsidRPr="00B17DEA">
        <w:rPr>
          <w:sz w:val="20"/>
          <w:lang w:val="fr-FR"/>
        </w:rPr>
        <w:t xml:space="preserve">), </w:t>
      </w:r>
      <w:proofErr w:type="spellStart"/>
      <w:r w:rsidRPr="00B17DEA">
        <w:rPr>
          <w:sz w:val="20"/>
          <w:lang w:val="fr-FR"/>
        </w:rPr>
        <w:t>Iranian</w:t>
      </w:r>
      <w:proofErr w:type="spellEnd"/>
      <w:r w:rsidRPr="00B17DEA">
        <w:rPr>
          <w:sz w:val="20"/>
          <w:lang w:val="fr-FR"/>
        </w:rPr>
        <w:t xml:space="preserve"> Net Communication and </w:t>
      </w:r>
      <w:proofErr w:type="spellStart"/>
      <w:r w:rsidRPr="00B17DEA">
        <w:rPr>
          <w:sz w:val="20"/>
          <w:lang w:val="fr-FR"/>
        </w:rPr>
        <w:t>Electronic</w:t>
      </w:r>
      <w:proofErr w:type="spellEnd"/>
      <w:r w:rsidRPr="00B17DEA">
        <w:rPr>
          <w:sz w:val="20"/>
          <w:lang w:val="fr-FR"/>
        </w:rPr>
        <w:t xml:space="preserve"> Services, Iran (Associ</w:t>
      </w:r>
      <w:r w:rsidR="00B17DEA">
        <w:rPr>
          <w:sz w:val="20"/>
          <w:lang w:val="fr-FR"/>
        </w:rPr>
        <w:t>é</w:t>
      </w:r>
      <w:r w:rsidRPr="00B17DEA">
        <w:rPr>
          <w:sz w:val="20"/>
          <w:lang w:val="fr-FR"/>
        </w:rPr>
        <w:t xml:space="preserve">), Office </w:t>
      </w:r>
      <w:r w:rsidR="00D03516" w:rsidRPr="00B17DEA">
        <w:rPr>
          <w:sz w:val="20"/>
          <w:lang w:val="fr-FR"/>
        </w:rPr>
        <w:t>National</w:t>
      </w:r>
      <w:r w:rsidR="00D03516">
        <w:rPr>
          <w:sz w:val="20"/>
          <w:lang w:val="fr-FR"/>
        </w:rPr>
        <w:t xml:space="preserve"> </w:t>
      </w:r>
      <w:r w:rsidRPr="00B17DEA">
        <w:rPr>
          <w:sz w:val="20"/>
          <w:lang w:val="fr-FR"/>
        </w:rPr>
        <w:t>des T</w:t>
      </w:r>
      <w:r w:rsidR="00B17DEA">
        <w:rPr>
          <w:sz w:val="20"/>
          <w:lang w:val="fr-FR"/>
        </w:rPr>
        <w:t>élé</w:t>
      </w:r>
      <w:r w:rsidRPr="00B17DEA">
        <w:rPr>
          <w:sz w:val="20"/>
          <w:lang w:val="fr-FR"/>
        </w:rPr>
        <w:t>communications, Burundi (</w:t>
      </w:r>
      <w:r w:rsidR="00B17DEA">
        <w:rPr>
          <w:sz w:val="20"/>
          <w:lang w:val="fr-FR"/>
        </w:rPr>
        <w:t>Membre de Secteur</w:t>
      </w:r>
      <w:r w:rsidRPr="00B17DEA">
        <w:rPr>
          <w:sz w:val="20"/>
          <w:lang w:val="fr-FR"/>
        </w:rPr>
        <w:t>), Le Consortium du Service Universel, S</w:t>
      </w:r>
      <w:r w:rsidR="00B17DEA">
        <w:rPr>
          <w:sz w:val="20"/>
          <w:lang w:val="fr-FR"/>
        </w:rPr>
        <w:t>éné</w:t>
      </w:r>
      <w:r w:rsidRPr="00B17DEA">
        <w:rPr>
          <w:sz w:val="20"/>
          <w:lang w:val="fr-FR"/>
        </w:rPr>
        <w:t>gal (</w:t>
      </w:r>
      <w:r w:rsidR="00B17DEA">
        <w:rPr>
          <w:sz w:val="20"/>
          <w:lang w:val="fr-FR"/>
        </w:rPr>
        <w:t>Membre de Secteur</w:t>
      </w:r>
      <w:r w:rsidRPr="00B17DEA">
        <w:rPr>
          <w:sz w:val="20"/>
          <w:lang w:val="fr-FR"/>
        </w:rPr>
        <w:t xml:space="preserve">), </w:t>
      </w:r>
      <w:proofErr w:type="spellStart"/>
      <w:r w:rsidRPr="00B17DEA">
        <w:rPr>
          <w:sz w:val="20"/>
          <w:lang w:val="fr-FR"/>
        </w:rPr>
        <w:t>Compania</w:t>
      </w:r>
      <w:proofErr w:type="spellEnd"/>
      <w:r w:rsidRPr="00B17DEA">
        <w:rPr>
          <w:sz w:val="20"/>
          <w:lang w:val="fr-FR"/>
        </w:rPr>
        <w:t xml:space="preserve"> </w:t>
      </w:r>
      <w:proofErr w:type="spellStart"/>
      <w:r w:rsidRPr="00B17DEA">
        <w:rPr>
          <w:sz w:val="20"/>
          <w:lang w:val="fr-FR"/>
        </w:rPr>
        <w:t>Anonima</w:t>
      </w:r>
      <w:proofErr w:type="spellEnd"/>
      <w:r w:rsidRPr="00B17DEA">
        <w:rPr>
          <w:sz w:val="20"/>
          <w:lang w:val="fr-FR"/>
        </w:rPr>
        <w:t xml:space="preserve"> </w:t>
      </w:r>
      <w:proofErr w:type="spellStart"/>
      <w:r w:rsidRPr="00B17DEA">
        <w:rPr>
          <w:sz w:val="20"/>
          <w:lang w:val="fr-FR"/>
        </w:rPr>
        <w:t>Nacional</w:t>
      </w:r>
      <w:proofErr w:type="spellEnd"/>
      <w:r w:rsidRPr="00B17DEA">
        <w:rPr>
          <w:sz w:val="20"/>
          <w:lang w:val="fr-FR"/>
        </w:rPr>
        <w:t xml:space="preserve"> </w:t>
      </w:r>
      <w:proofErr w:type="spellStart"/>
      <w:r w:rsidRPr="00B17DEA">
        <w:rPr>
          <w:sz w:val="20"/>
          <w:lang w:val="fr-FR"/>
        </w:rPr>
        <w:t>Telefonos</w:t>
      </w:r>
      <w:proofErr w:type="spellEnd"/>
      <w:r w:rsidRPr="00B17DEA">
        <w:rPr>
          <w:sz w:val="20"/>
          <w:lang w:val="fr-FR"/>
        </w:rPr>
        <w:t xml:space="preserve"> de Venezuela (</w:t>
      </w:r>
      <w:r w:rsidR="00B17DEA">
        <w:rPr>
          <w:sz w:val="20"/>
          <w:lang w:val="fr-FR"/>
        </w:rPr>
        <w:t>Membre de Secteur</w:t>
      </w:r>
      <w:r w:rsidRPr="00B17DEA">
        <w:rPr>
          <w:sz w:val="20"/>
          <w:lang w:val="fr-FR"/>
        </w:rPr>
        <w:t>), Agence Tunisienne d</w:t>
      </w:r>
      <w:r w:rsidR="00B17DEA">
        <w:rPr>
          <w:sz w:val="20"/>
          <w:lang w:val="fr-FR"/>
        </w:rPr>
        <w:t>'</w:t>
      </w:r>
      <w:r w:rsidRPr="00B17DEA">
        <w:rPr>
          <w:sz w:val="20"/>
          <w:lang w:val="fr-FR"/>
        </w:rPr>
        <w:t>Internet, Tunisi</w:t>
      </w:r>
      <w:r w:rsidR="00B17DEA">
        <w:rPr>
          <w:sz w:val="20"/>
          <w:lang w:val="fr-FR"/>
        </w:rPr>
        <w:t>e</w:t>
      </w:r>
      <w:r w:rsidRPr="00B17DEA">
        <w:rPr>
          <w:sz w:val="20"/>
          <w:lang w:val="fr-FR"/>
        </w:rPr>
        <w:t xml:space="preserve"> (</w:t>
      </w:r>
      <w:r w:rsidR="00B17DEA">
        <w:rPr>
          <w:sz w:val="20"/>
          <w:lang w:val="fr-FR"/>
        </w:rPr>
        <w:t>Membre de Secteur</w:t>
      </w:r>
      <w:r w:rsidRPr="00B17DEA">
        <w:rPr>
          <w:sz w:val="20"/>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DAC3" w14:textId="671416EF" w:rsidR="00721657" w:rsidRPr="00A525CC" w:rsidRDefault="00A525CC" w:rsidP="00D24347">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7E515B">
      <w:rPr>
        <w:sz w:val="22"/>
        <w:szCs w:val="22"/>
        <w:lang w:val="de-CH"/>
      </w:rPr>
      <w:t>TDAG</w:t>
    </w:r>
    <w:r w:rsidR="003242AB" w:rsidRPr="007E515B">
      <w:rPr>
        <w:sz w:val="22"/>
        <w:szCs w:val="22"/>
        <w:lang w:val="de-CH"/>
      </w:rPr>
      <w:t>-</w:t>
    </w:r>
    <w:r w:rsidR="00923CF1" w:rsidRPr="007E515B">
      <w:rPr>
        <w:sz w:val="22"/>
        <w:szCs w:val="22"/>
        <w:lang w:val="de-CH"/>
      </w:rPr>
      <w:t>2</w:t>
    </w:r>
    <w:r w:rsidR="005221A2" w:rsidRPr="007E515B">
      <w:rPr>
        <w:sz w:val="22"/>
        <w:szCs w:val="22"/>
        <w:lang w:val="de-CH"/>
      </w:rPr>
      <w:t>1</w:t>
    </w:r>
    <w:r w:rsidRPr="007E515B">
      <w:rPr>
        <w:sz w:val="22"/>
        <w:szCs w:val="22"/>
        <w:lang w:val="de-CH"/>
      </w:rPr>
      <w:t>/</w:t>
    </w:r>
    <w:r w:rsidR="00D24347">
      <w:rPr>
        <w:sz w:val="22"/>
        <w:szCs w:val="22"/>
        <w:lang w:val="de-CH"/>
      </w:rPr>
      <w:t>2/</w:t>
    </w:r>
    <w:r w:rsidR="00A77779">
      <w:rPr>
        <w:sz w:val="22"/>
        <w:szCs w:val="22"/>
        <w:lang w:val="de-CH"/>
      </w:rPr>
      <w:t>8</w:t>
    </w:r>
    <w:r w:rsidR="00426639">
      <w:rPr>
        <w:sz w:val="22"/>
        <w:szCs w:val="22"/>
        <w:lang w:val="de-CH"/>
      </w:rPr>
      <w:t>(Rév.1)</w:t>
    </w:r>
    <w:r w:rsidRPr="007E515B">
      <w:rPr>
        <w:sz w:val="22"/>
        <w:szCs w:val="22"/>
        <w:lang w:val="de-CH"/>
      </w:rPr>
      <w:t>-</w:t>
    </w:r>
    <w:r w:rsidR="00D52591" w:rsidRPr="007E515B">
      <w:rPr>
        <w:sz w:val="22"/>
        <w:szCs w:val="22"/>
        <w:lang w:val="de-CH"/>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D24347">
      <w:rPr>
        <w:noProof/>
        <w:sz w:val="22"/>
        <w:szCs w:val="22"/>
        <w:lang w:val="de-CH"/>
      </w:rPr>
      <w:t>2</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B252B"/>
    <w:multiLevelType w:val="hybridMultilevel"/>
    <w:tmpl w:val="18F4A99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1" w15:restartNumberingAfterBreak="0">
    <w:nsid w:val="2C0B4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C276C7"/>
    <w:multiLevelType w:val="hybridMultilevel"/>
    <w:tmpl w:val="AECC673A"/>
    <w:lvl w:ilvl="0" w:tplc="899A84F2">
      <w:start w:val="1"/>
      <w:numFmt w:val="lowerLetter"/>
      <w:lvlText w:val="%1)"/>
      <w:lvlJc w:val="left"/>
      <w:pPr>
        <w:ind w:left="360" w:hanging="360"/>
      </w:pPr>
      <w:rPr>
        <w:rFonts w:ascii="Calibri" w:hAnsi="Calibri" w:cs="Aria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6241A02"/>
    <w:multiLevelType w:val="hybridMultilevel"/>
    <w:tmpl w:val="512433B4"/>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6580AB4-BBDB-4317-9206-4100A5263675}"/>
    <w:docVar w:name="dgnword-eventsink" w:val="1986597747008"/>
  </w:docVars>
  <w:rsids>
    <w:rsidRoot w:val="00C63CFE"/>
    <w:rsid w:val="000013B7"/>
    <w:rsid w:val="00002716"/>
    <w:rsid w:val="00005791"/>
    <w:rsid w:val="00010827"/>
    <w:rsid w:val="00011160"/>
    <w:rsid w:val="00015089"/>
    <w:rsid w:val="00015324"/>
    <w:rsid w:val="0002520B"/>
    <w:rsid w:val="000367A4"/>
    <w:rsid w:val="00037A9E"/>
    <w:rsid w:val="00037F91"/>
    <w:rsid w:val="00042234"/>
    <w:rsid w:val="000422FA"/>
    <w:rsid w:val="00045426"/>
    <w:rsid w:val="000534C9"/>
    <w:rsid w:val="000539F1"/>
    <w:rsid w:val="00054747"/>
    <w:rsid w:val="00054991"/>
    <w:rsid w:val="00055A2A"/>
    <w:rsid w:val="000615C1"/>
    <w:rsid w:val="00061675"/>
    <w:rsid w:val="00063780"/>
    <w:rsid w:val="00064210"/>
    <w:rsid w:val="00067237"/>
    <w:rsid w:val="00073673"/>
    <w:rsid w:val="000743AA"/>
    <w:rsid w:val="00083119"/>
    <w:rsid w:val="0009076F"/>
    <w:rsid w:val="0009225C"/>
    <w:rsid w:val="000A17C4"/>
    <w:rsid w:val="000A2453"/>
    <w:rsid w:val="000A2895"/>
    <w:rsid w:val="000A36A4"/>
    <w:rsid w:val="000B2352"/>
    <w:rsid w:val="000B27A9"/>
    <w:rsid w:val="000B6E94"/>
    <w:rsid w:val="000B7CC9"/>
    <w:rsid w:val="000C7B84"/>
    <w:rsid w:val="000D261B"/>
    <w:rsid w:val="000D58A3"/>
    <w:rsid w:val="000E3ED4"/>
    <w:rsid w:val="000E3F9C"/>
    <w:rsid w:val="000F02F8"/>
    <w:rsid w:val="000F0318"/>
    <w:rsid w:val="000F1550"/>
    <w:rsid w:val="000F251B"/>
    <w:rsid w:val="000F5AC3"/>
    <w:rsid w:val="000F5FE8"/>
    <w:rsid w:val="000F6644"/>
    <w:rsid w:val="00100833"/>
    <w:rsid w:val="00102F72"/>
    <w:rsid w:val="00104E1A"/>
    <w:rsid w:val="00107931"/>
    <w:rsid w:val="00107E85"/>
    <w:rsid w:val="00113EE8"/>
    <w:rsid w:val="0011455A"/>
    <w:rsid w:val="00114A65"/>
    <w:rsid w:val="00132104"/>
    <w:rsid w:val="00133061"/>
    <w:rsid w:val="00141699"/>
    <w:rsid w:val="00147000"/>
    <w:rsid w:val="00147C53"/>
    <w:rsid w:val="001561B3"/>
    <w:rsid w:val="00161569"/>
    <w:rsid w:val="00163091"/>
    <w:rsid w:val="001645CB"/>
    <w:rsid w:val="00166305"/>
    <w:rsid w:val="00167545"/>
    <w:rsid w:val="001703C6"/>
    <w:rsid w:val="001709F3"/>
    <w:rsid w:val="00173781"/>
    <w:rsid w:val="00174A7D"/>
    <w:rsid w:val="00175ADF"/>
    <w:rsid w:val="00175CAE"/>
    <w:rsid w:val="001828DB"/>
    <w:rsid w:val="001850FE"/>
    <w:rsid w:val="00185135"/>
    <w:rsid w:val="00185A23"/>
    <w:rsid w:val="00187554"/>
    <w:rsid w:val="0019037C"/>
    <w:rsid w:val="001905A9"/>
    <w:rsid w:val="00191189"/>
    <w:rsid w:val="00191273"/>
    <w:rsid w:val="001942A7"/>
    <w:rsid w:val="0019587B"/>
    <w:rsid w:val="001979D4"/>
    <w:rsid w:val="001A0C8D"/>
    <w:rsid w:val="001A163D"/>
    <w:rsid w:val="001A28DE"/>
    <w:rsid w:val="001A441E"/>
    <w:rsid w:val="001A6733"/>
    <w:rsid w:val="001B357F"/>
    <w:rsid w:val="001C28BA"/>
    <w:rsid w:val="001C3444"/>
    <w:rsid w:val="001C3702"/>
    <w:rsid w:val="001C4656"/>
    <w:rsid w:val="001C46BC"/>
    <w:rsid w:val="001D3CB1"/>
    <w:rsid w:val="001D4CD6"/>
    <w:rsid w:val="001E5592"/>
    <w:rsid w:val="001E79A3"/>
    <w:rsid w:val="001F23E6"/>
    <w:rsid w:val="001F4238"/>
    <w:rsid w:val="00200A38"/>
    <w:rsid w:val="00200A46"/>
    <w:rsid w:val="00205FFB"/>
    <w:rsid w:val="00211B6F"/>
    <w:rsid w:val="00217CC3"/>
    <w:rsid w:val="00220AB6"/>
    <w:rsid w:val="0022120F"/>
    <w:rsid w:val="002225B3"/>
    <w:rsid w:val="00225FB4"/>
    <w:rsid w:val="0022706C"/>
    <w:rsid w:val="0022754A"/>
    <w:rsid w:val="00236560"/>
    <w:rsid w:val="0023662E"/>
    <w:rsid w:val="00237367"/>
    <w:rsid w:val="00241C59"/>
    <w:rsid w:val="00245D0F"/>
    <w:rsid w:val="002477C7"/>
    <w:rsid w:val="0025289F"/>
    <w:rsid w:val="0025414D"/>
    <w:rsid w:val="002548C3"/>
    <w:rsid w:val="00255F54"/>
    <w:rsid w:val="00257ACD"/>
    <w:rsid w:val="00262108"/>
    <w:rsid w:val="00262908"/>
    <w:rsid w:val="002650F4"/>
    <w:rsid w:val="002715FD"/>
    <w:rsid w:val="002770B1"/>
    <w:rsid w:val="00285B33"/>
    <w:rsid w:val="00287A3C"/>
    <w:rsid w:val="00287A7A"/>
    <w:rsid w:val="00291622"/>
    <w:rsid w:val="0029330B"/>
    <w:rsid w:val="002952BD"/>
    <w:rsid w:val="002A138C"/>
    <w:rsid w:val="002A1615"/>
    <w:rsid w:val="002A2FC6"/>
    <w:rsid w:val="002A6952"/>
    <w:rsid w:val="002B15DC"/>
    <w:rsid w:val="002C1EC7"/>
    <w:rsid w:val="002C248F"/>
    <w:rsid w:val="002C3015"/>
    <w:rsid w:val="002C4342"/>
    <w:rsid w:val="002C7EA3"/>
    <w:rsid w:val="002D07D1"/>
    <w:rsid w:val="002D20AE"/>
    <w:rsid w:val="002D3A52"/>
    <w:rsid w:val="002D6C61"/>
    <w:rsid w:val="002E2104"/>
    <w:rsid w:val="002E2DAC"/>
    <w:rsid w:val="002E38ED"/>
    <w:rsid w:val="002E4AC7"/>
    <w:rsid w:val="002E6963"/>
    <w:rsid w:val="002E6F8F"/>
    <w:rsid w:val="002F05D8"/>
    <w:rsid w:val="002F2DE0"/>
    <w:rsid w:val="002F5E25"/>
    <w:rsid w:val="003000F1"/>
    <w:rsid w:val="0030353C"/>
    <w:rsid w:val="003058DB"/>
    <w:rsid w:val="003125C3"/>
    <w:rsid w:val="00312953"/>
    <w:rsid w:val="00312AE6"/>
    <w:rsid w:val="0031739D"/>
    <w:rsid w:val="00317D1A"/>
    <w:rsid w:val="003211FF"/>
    <w:rsid w:val="003242AB"/>
    <w:rsid w:val="00327247"/>
    <w:rsid w:val="00327A9D"/>
    <w:rsid w:val="00330CE3"/>
    <w:rsid w:val="0033130E"/>
    <w:rsid w:val="0033269C"/>
    <w:rsid w:val="00332A2A"/>
    <w:rsid w:val="00342BD7"/>
    <w:rsid w:val="00343723"/>
    <w:rsid w:val="00347B96"/>
    <w:rsid w:val="00351C79"/>
    <w:rsid w:val="0035516C"/>
    <w:rsid w:val="00355A4C"/>
    <w:rsid w:val="003604FB"/>
    <w:rsid w:val="00360B73"/>
    <w:rsid w:val="00370038"/>
    <w:rsid w:val="00380B71"/>
    <w:rsid w:val="00381DCC"/>
    <w:rsid w:val="0038365A"/>
    <w:rsid w:val="00383C87"/>
    <w:rsid w:val="0038440A"/>
    <w:rsid w:val="00386A89"/>
    <w:rsid w:val="0039648E"/>
    <w:rsid w:val="003967F3"/>
    <w:rsid w:val="003A5AFE"/>
    <w:rsid w:val="003A5D5F"/>
    <w:rsid w:val="003A7FFE"/>
    <w:rsid w:val="003B0A63"/>
    <w:rsid w:val="003B2691"/>
    <w:rsid w:val="003B50E1"/>
    <w:rsid w:val="003B55C3"/>
    <w:rsid w:val="003C1746"/>
    <w:rsid w:val="003C2AA9"/>
    <w:rsid w:val="003C3604"/>
    <w:rsid w:val="003C53C6"/>
    <w:rsid w:val="003C5467"/>
    <w:rsid w:val="003C58BF"/>
    <w:rsid w:val="003D1E8B"/>
    <w:rsid w:val="003D451D"/>
    <w:rsid w:val="003D7795"/>
    <w:rsid w:val="003E1CA1"/>
    <w:rsid w:val="003F2DD8"/>
    <w:rsid w:val="003F3F2D"/>
    <w:rsid w:val="003F50B2"/>
    <w:rsid w:val="003F6EB2"/>
    <w:rsid w:val="00400CCF"/>
    <w:rsid w:val="00401BFF"/>
    <w:rsid w:val="00403E52"/>
    <w:rsid w:val="00404424"/>
    <w:rsid w:val="00404EE1"/>
    <w:rsid w:val="004074B7"/>
    <w:rsid w:val="0041156B"/>
    <w:rsid w:val="004122C5"/>
    <w:rsid w:val="00413B78"/>
    <w:rsid w:val="00415C7D"/>
    <w:rsid w:val="00416DDE"/>
    <w:rsid w:val="004214D4"/>
    <w:rsid w:val="00426639"/>
    <w:rsid w:val="00443628"/>
    <w:rsid w:val="0044411E"/>
    <w:rsid w:val="00444EF1"/>
    <w:rsid w:val="00453435"/>
    <w:rsid w:val="00455938"/>
    <w:rsid w:val="00460089"/>
    <w:rsid w:val="00466398"/>
    <w:rsid w:val="0047306D"/>
    <w:rsid w:val="00473791"/>
    <w:rsid w:val="00476E48"/>
    <w:rsid w:val="00480CC4"/>
    <w:rsid w:val="004819DE"/>
    <w:rsid w:val="00481DE9"/>
    <w:rsid w:val="0049128B"/>
    <w:rsid w:val="00493B49"/>
    <w:rsid w:val="00495501"/>
    <w:rsid w:val="004A070A"/>
    <w:rsid w:val="004A320E"/>
    <w:rsid w:val="004A4E9C"/>
    <w:rsid w:val="004A5C84"/>
    <w:rsid w:val="004B1A3C"/>
    <w:rsid w:val="004B4099"/>
    <w:rsid w:val="004C17FA"/>
    <w:rsid w:val="004C1F77"/>
    <w:rsid w:val="004C3BD6"/>
    <w:rsid w:val="004D2CC3"/>
    <w:rsid w:val="004D35CB"/>
    <w:rsid w:val="004D5EE2"/>
    <w:rsid w:val="004D7DAB"/>
    <w:rsid w:val="004E20E5"/>
    <w:rsid w:val="004E2B83"/>
    <w:rsid w:val="004E42B0"/>
    <w:rsid w:val="004E4810"/>
    <w:rsid w:val="004E64EA"/>
    <w:rsid w:val="004E6F66"/>
    <w:rsid w:val="004E7828"/>
    <w:rsid w:val="004F46AA"/>
    <w:rsid w:val="004F6A70"/>
    <w:rsid w:val="00500AD7"/>
    <w:rsid w:val="0050235B"/>
    <w:rsid w:val="00502ABF"/>
    <w:rsid w:val="00504DB0"/>
    <w:rsid w:val="00507C35"/>
    <w:rsid w:val="00510735"/>
    <w:rsid w:val="00514D2F"/>
    <w:rsid w:val="00520710"/>
    <w:rsid w:val="005210B1"/>
    <w:rsid w:val="005221A2"/>
    <w:rsid w:val="00533D16"/>
    <w:rsid w:val="005348A9"/>
    <w:rsid w:val="00536339"/>
    <w:rsid w:val="0054420E"/>
    <w:rsid w:val="00544D1B"/>
    <w:rsid w:val="00545DC0"/>
    <w:rsid w:val="00545F6C"/>
    <w:rsid w:val="005477D9"/>
    <w:rsid w:val="00550283"/>
    <w:rsid w:val="00551DE2"/>
    <w:rsid w:val="00556055"/>
    <w:rsid w:val="0055720C"/>
    <w:rsid w:val="00561796"/>
    <w:rsid w:val="005632DD"/>
    <w:rsid w:val="0056423B"/>
    <w:rsid w:val="00572A78"/>
    <w:rsid w:val="00573424"/>
    <w:rsid w:val="0057402F"/>
    <w:rsid w:val="00581653"/>
    <w:rsid w:val="005849D6"/>
    <w:rsid w:val="00585367"/>
    <w:rsid w:val="005871A1"/>
    <w:rsid w:val="0058737E"/>
    <w:rsid w:val="00587BD3"/>
    <w:rsid w:val="00592518"/>
    <w:rsid w:val="00592E87"/>
    <w:rsid w:val="0059420B"/>
    <w:rsid w:val="00594C4D"/>
    <w:rsid w:val="005A33B0"/>
    <w:rsid w:val="005B4183"/>
    <w:rsid w:val="005C1FE8"/>
    <w:rsid w:val="005C2DC2"/>
    <w:rsid w:val="005C304A"/>
    <w:rsid w:val="005C3D69"/>
    <w:rsid w:val="005C7C98"/>
    <w:rsid w:val="005D2C3A"/>
    <w:rsid w:val="005D55A4"/>
    <w:rsid w:val="005D57C8"/>
    <w:rsid w:val="005D711F"/>
    <w:rsid w:val="005D7761"/>
    <w:rsid w:val="005E0278"/>
    <w:rsid w:val="005E090D"/>
    <w:rsid w:val="005E3CA0"/>
    <w:rsid w:val="005E44B1"/>
    <w:rsid w:val="005E5883"/>
    <w:rsid w:val="005E67B0"/>
    <w:rsid w:val="005E7047"/>
    <w:rsid w:val="005E777F"/>
    <w:rsid w:val="005F1CA7"/>
    <w:rsid w:val="005F26C1"/>
    <w:rsid w:val="005F43DD"/>
    <w:rsid w:val="005F51A9"/>
    <w:rsid w:val="005F6BE1"/>
    <w:rsid w:val="005F7416"/>
    <w:rsid w:val="005F77DE"/>
    <w:rsid w:val="00600C11"/>
    <w:rsid w:val="00601C1D"/>
    <w:rsid w:val="00606B89"/>
    <w:rsid w:val="0061056C"/>
    <w:rsid w:val="00611EAF"/>
    <w:rsid w:val="00613F81"/>
    <w:rsid w:val="00616617"/>
    <w:rsid w:val="00623946"/>
    <w:rsid w:val="00623ACC"/>
    <w:rsid w:val="00623F30"/>
    <w:rsid w:val="00625FB8"/>
    <w:rsid w:val="006260C5"/>
    <w:rsid w:val="006261BD"/>
    <w:rsid w:val="00632E82"/>
    <w:rsid w:val="00635EDB"/>
    <w:rsid w:val="0064734E"/>
    <w:rsid w:val="00650137"/>
    <w:rsid w:val="006509D7"/>
    <w:rsid w:val="00651CE8"/>
    <w:rsid w:val="0065521B"/>
    <w:rsid w:val="00671EF6"/>
    <w:rsid w:val="0067205B"/>
    <w:rsid w:val="006748F8"/>
    <w:rsid w:val="00680489"/>
    <w:rsid w:val="00683C32"/>
    <w:rsid w:val="00685766"/>
    <w:rsid w:val="006874C0"/>
    <w:rsid w:val="00690BB2"/>
    <w:rsid w:val="00693D09"/>
    <w:rsid w:val="006953FB"/>
    <w:rsid w:val="006A3D1E"/>
    <w:rsid w:val="006A6549"/>
    <w:rsid w:val="006A7710"/>
    <w:rsid w:val="006A7A61"/>
    <w:rsid w:val="006A7EEB"/>
    <w:rsid w:val="006B1E59"/>
    <w:rsid w:val="006B2FFB"/>
    <w:rsid w:val="006C10A2"/>
    <w:rsid w:val="006C1F18"/>
    <w:rsid w:val="006C241B"/>
    <w:rsid w:val="006C617E"/>
    <w:rsid w:val="006D40D5"/>
    <w:rsid w:val="006E1EB9"/>
    <w:rsid w:val="006E47EA"/>
    <w:rsid w:val="006E4D25"/>
    <w:rsid w:val="006E5CDD"/>
    <w:rsid w:val="006E7358"/>
    <w:rsid w:val="006F009A"/>
    <w:rsid w:val="006F3D93"/>
    <w:rsid w:val="006F6EED"/>
    <w:rsid w:val="007019B1"/>
    <w:rsid w:val="00710AC2"/>
    <w:rsid w:val="00711248"/>
    <w:rsid w:val="0071234B"/>
    <w:rsid w:val="007152AB"/>
    <w:rsid w:val="007162B1"/>
    <w:rsid w:val="00717194"/>
    <w:rsid w:val="0072049F"/>
    <w:rsid w:val="00721657"/>
    <w:rsid w:val="007232AC"/>
    <w:rsid w:val="00723F9B"/>
    <w:rsid w:val="00724403"/>
    <w:rsid w:val="007279A8"/>
    <w:rsid w:val="00727B1A"/>
    <w:rsid w:val="0073251F"/>
    <w:rsid w:val="0073394A"/>
    <w:rsid w:val="00733D9C"/>
    <w:rsid w:val="0073589D"/>
    <w:rsid w:val="00741337"/>
    <w:rsid w:val="00752258"/>
    <w:rsid w:val="007529E1"/>
    <w:rsid w:val="00753BDA"/>
    <w:rsid w:val="00753D50"/>
    <w:rsid w:val="00762880"/>
    <w:rsid w:val="00762AD6"/>
    <w:rsid w:val="00762E02"/>
    <w:rsid w:val="00767862"/>
    <w:rsid w:val="00772290"/>
    <w:rsid w:val="00772616"/>
    <w:rsid w:val="00774C71"/>
    <w:rsid w:val="00777265"/>
    <w:rsid w:val="007805E7"/>
    <w:rsid w:val="0078222A"/>
    <w:rsid w:val="007831AD"/>
    <w:rsid w:val="00784373"/>
    <w:rsid w:val="00787D48"/>
    <w:rsid w:val="00791A2C"/>
    <w:rsid w:val="00795294"/>
    <w:rsid w:val="007A4E50"/>
    <w:rsid w:val="007B0716"/>
    <w:rsid w:val="007B18A7"/>
    <w:rsid w:val="007B250E"/>
    <w:rsid w:val="007B3684"/>
    <w:rsid w:val="007B3D7C"/>
    <w:rsid w:val="007B4A37"/>
    <w:rsid w:val="007C024A"/>
    <w:rsid w:val="007C27FC"/>
    <w:rsid w:val="007C51FF"/>
    <w:rsid w:val="007D0B64"/>
    <w:rsid w:val="007D50E4"/>
    <w:rsid w:val="007D591D"/>
    <w:rsid w:val="007E14E5"/>
    <w:rsid w:val="007E2DC5"/>
    <w:rsid w:val="007E3282"/>
    <w:rsid w:val="007E43CD"/>
    <w:rsid w:val="007E515B"/>
    <w:rsid w:val="007F1CC7"/>
    <w:rsid w:val="007F77C6"/>
    <w:rsid w:val="008027AC"/>
    <w:rsid w:val="008028CE"/>
    <w:rsid w:val="0080332E"/>
    <w:rsid w:val="00806BB8"/>
    <w:rsid w:val="00810219"/>
    <w:rsid w:val="008141E0"/>
    <w:rsid w:val="00816EE1"/>
    <w:rsid w:val="00816F88"/>
    <w:rsid w:val="008170E4"/>
    <w:rsid w:val="00821996"/>
    <w:rsid w:val="00822323"/>
    <w:rsid w:val="00826E44"/>
    <w:rsid w:val="00827BC6"/>
    <w:rsid w:val="008300AD"/>
    <w:rsid w:val="00830433"/>
    <w:rsid w:val="00833024"/>
    <w:rsid w:val="008348D3"/>
    <w:rsid w:val="008419B1"/>
    <w:rsid w:val="00844A56"/>
    <w:rsid w:val="00845B11"/>
    <w:rsid w:val="008463B6"/>
    <w:rsid w:val="008479F6"/>
    <w:rsid w:val="00852081"/>
    <w:rsid w:val="0086357F"/>
    <w:rsid w:val="008658BD"/>
    <w:rsid w:val="00867F6E"/>
    <w:rsid w:val="00871C0E"/>
    <w:rsid w:val="00872B6E"/>
    <w:rsid w:val="00874072"/>
    <w:rsid w:val="00874DFD"/>
    <w:rsid w:val="00880268"/>
    <w:rsid w:val="008802F9"/>
    <w:rsid w:val="00883086"/>
    <w:rsid w:val="008879FD"/>
    <w:rsid w:val="00894C37"/>
    <w:rsid w:val="00897320"/>
    <w:rsid w:val="008A00EA"/>
    <w:rsid w:val="008A14DA"/>
    <w:rsid w:val="008A3391"/>
    <w:rsid w:val="008A3F93"/>
    <w:rsid w:val="008A6236"/>
    <w:rsid w:val="008A6E1C"/>
    <w:rsid w:val="008A72FD"/>
    <w:rsid w:val="008B2EDF"/>
    <w:rsid w:val="008B3631"/>
    <w:rsid w:val="008B47C7"/>
    <w:rsid w:val="008B54CB"/>
    <w:rsid w:val="008B5A3D"/>
    <w:rsid w:val="008C28C5"/>
    <w:rsid w:val="008C4010"/>
    <w:rsid w:val="008C4FDF"/>
    <w:rsid w:val="008C6B1F"/>
    <w:rsid w:val="008D1B1F"/>
    <w:rsid w:val="008D2B49"/>
    <w:rsid w:val="008D537C"/>
    <w:rsid w:val="008D5E4F"/>
    <w:rsid w:val="008F14F5"/>
    <w:rsid w:val="008F6E2C"/>
    <w:rsid w:val="008F71C1"/>
    <w:rsid w:val="00900746"/>
    <w:rsid w:val="009012DD"/>
    <w:rsid w:val="00902D41"/>
    <w:rsid w:val="00902F49"/>
    <w:rsid w:val="00904230"/>
    <w:rsid w:val="009078C6"/>
    <w:rsid w:val="00914004"/>
    <w:rsid w:val="00920576"/>
    <w:rsid w:val="009222D3"/>
    <w:rsid w:val="00922EC1"/>
    <w:rsid w:val="00923CF1"/>
    <w:rsid w:val="00927FB2"/>
    <w:rsid w:val="009301F1"/>
    <w:rsid w:val="009307DF"/>
    <w:rsid w:val="00932990"/>
    <w:rsid w:val="009359B8"/>
    <w:rsid w:val="00935FF0"/>
    <w:rsid w:val="009431F8"/>
    <w:rsid w:val="00946110"/>
    <w:rsid w:val="00947A35"/>
    <w:rsid w:val="009538CC"/>
    <w:rsid w:val="00955C19"/>
    <w:rsid w:val="00957E58"/>
    <w:rsid w:val="0096201B"/>
    <w:rsid w:val="00962081"/>
    <w:rsid w:val="00966CB5"/>
    <w:rsid w:val="00971E65"/>
    <w:rsid w:val="00975786"/>
    <w:rsid w:val="00981CB7"/>
    <w:rsid w:val="00982750"/>
    <w:rsid w:val="00982BC5"/>
    <w:rsid w:val="00983E1F"/>
    <w:rsid w:val="00993F46"/>
    <w:rsid w:val="00997358"/>
    <w:rsid w:val="009A103E"/>
    <w:rsid w:val="009A3EEB"/>
    <w:rsid w:val="009A452B"/>
    <w:rsid w:val="009A7F12"/>
    <w:rsid w:val="009B008D"/>
    <w:rsid w:val="009B050C"/>
    <w:rsid w:val="009B087F"/>
    <w:rsid w:val="009B2AF4"/>
    <w:rsid w:val="009B3A2E"/>
    <w:rsid w:val="009C110B"/>
    <w:rsid w:val="009C5441"/>
    <w:rsid w:val="009D119F"/>
    <w:rsid w:val="009D49A2"/>
    <w:rsid w:val="009E1126"/>
    <w:rsid w:val="009E6CFE"/>
    <w:rsid w:val="009F3940"/>
    <w:rsid w:val="009F3EB2"/>
    <w:rsid w:val="009F5863"/>
    <w:rsid w:val="009F6EB1"/>
    <w:rsid w:val="00A00D72"/>
    <w:rsid w:val="00A02126"/>
    <w:rsid w:val="00A11D05"/>
    <w:rsid w:val="00A13162"/>
    <w:rsid w:val="00A20267"/>
    <w:rsid w:val="00A21CB7"/>
    <w:rsid w:val="00A25EAE"/>
    <w:rsid w:val="00A3158C"/>
    <w:rsid w:val="00A32DF3"/>
    <w:rsid w:val="00A33E32"/>
    <w:rsid w:val="00A35E20"/>
    <w:rsid w:val="00A36F6D"/>
    <w:rsid w:val="00A474D3"/>
    <w:rsid w:val="00A50CA0"/>
    <w:rsid w:val="00A51C15"/>
    <w:rsid w:val="00A525CC"/>
    <w:rsid w:val="00A53E7C"/>
    <w:rsid w:val="00A60087"/>
    <w:rsid w:val="00A63F9D"/>
    <w:rsid w:val="00A705E8"/>
    <w:rsid w:val="00A721F4"/>
    <w:rsid w:val="00A77779"/>
    <w:rsid w:val="00A8477F"/>
    <w:rsid w:val="00A87632"/>
    <w:rsid w:val="00A9392C"/>
    <w:rsid w:val="00A9462B"/>
    <w:rsid w:val="00A97D59"/>
    <w:rsid w:val="00AA3E09"/>
    <w:rsid w:val="00AA4BEF"/>
    <w:rsid w:val="00AA701D"/>
    <w:rsid w:val="00AA719B"/>
    <w:rsid w:val="00AA7D3D"/>
    <w:rsid w:val="00AB0E1B"/>
    <w:rsid w:val="00AB1659"/>
    <w:rsid w:val="00AB31E9"/>
    <w:rsid w:val="00AB4962"/>
    <w:rsid w:val="00AB734E"/>
    <w:rsid w:val="00AB740F"/>
    <w:rsid w:val="00AC130E"/>
    <w:rsid w:val="00AC6F14"/>
    <w:rsid w:val="00AC7221"/>
    <w:rsid w:val="00AD3B1D"/>
    <w:rsid w:val="00AD54F6"/>
    <w:rsid w:val="00AE241A"/>
    <w:rsid w:val="00AE5961"/>
    <w:rsid w:val="00AE7A6E"/>
    <w:rsid w:val="00AF0745"/>
    <w:rsid w:val="00AF4971"/>
    <w:rsid w:val="00AF5276"/>
    <w:rsid w:val="00AF7C86"/>
    <w:rsid w:val="00B01046"/>
    <w:rsid w:val="00B03749"/>
    <w:rsid w:val="00B17DEA"/>
    <w:rsid w:val="00B20D52"/>
    <w:rsid w:val="00B271DF"/>
    <w:rsid w:val="00B27859"/>
    <w:rsid w:val="00B310F9"/>
    <w:rsid w:val="00B37866"/>
    <w:rsid w:val="00B412FB"/>
    <w:rsid w:val="00B41A8B"/>
    <w:rsid w:val="00B433B0"/>
    <w:rsid w:val="00B4576B"/>
    <w:rsid w:val="00B45EB4"/>
    <w:rsid w:val="00B461FE"/>
    <w:rsid w:val="00B46350"/>
    <w:rsid w:val="00B46DF3"/>
    <w:rsid w:val="00B51E9F"/>
    <w:rsid w:val="00B577F5"/>
    <w:rsid w:val="00B62979"/>
    <w:rsid w:val="00B62B4E"/>
    <w:rsid w:val="00B648C7"/>
    <w:rsid w:val="00B66E8F"/>
    <w:rsid w:val="00B74EE0"/>
    <w:rsid w:val="00B80157"/>
    <w:rsid w:val="00B81734"/>
    <w:rsid w:val="00B83D5E"/>
    <w:rsid w:val="00B8460A"/>
    <w:rsid w:val="00B8650D"/>
    <w:rsid w:val="00B86ABB"/>
    <w:rsid w:val="00B879B4"/>
    <w:rsid w:val="00B90E64"/>
    <w:rsid w:val="00B90F07"/>
    <w:rsid w:val="00B97BB9"/>
    <w:rsid w:val="00BA0009"/>
    <w:rsid w:val="00BA6C59"/>
    <w:rsid w:val="00BB1863"/>
    <w:rsid w:val="00BB25EE"/>
    <w:rsid w:val="00BB363A"/>
    <w:rsid w:val="00BC10A0"/>
    <w:rsid w:val="00BC22BE"/>
    <w:rsid w:val="00BC453D"/>
    <w:rsid w:val="00BC7BA2"/>
    <w:rsid w:val="00BD426B"/>
    <w:rsid w:val="00BD65D7"/>
    <w:rsid w:val="00BD79F0"/>
    <w:rsid w:val="00BE2B4D"/>
    <w:rsid w:val="00BE36CF"/>
    <w:rsid w:val="00BE62D1"/>
    <w:rsid w:val="00C015F8"/>
    <w:rsid w:val="00C02C2A"/>
    <w:rsid w:val="00C07E26"/>
    <w:rsid w:val="00C1011C"/>
    <w:rsid w:val="00C12F94"/>
    <w:rsid w:val="00C17657"/>
    <w:rsid w:val="00C177C5"/>
    <w:rsid w:val="00C236D3"/>
    <w:rsid w:val="00C34EC3"/>
    <w:rsid w:val="00C352AA"/>
    <w:rsid w:val="00C4038C"/>
    <w:rsid w:val="00C417D9"/>
    <w:rsid w:val="00C42BA2"/>
    <w:rsid w:val="00C44066"/>
    <w:rsid w:val="00C44E13"/>
    <w:rsid w:val="00C46E10"/>
    <w:rsid w:val="00C47456"/>
    <w:rsid w:val="00C529BD"/>
    <w:rsid w:val="00C568BD"/>
    <w:rsid w:val="00C60A41"/>
    <w:rsid w:val="00C62DE8"/>
    <w:rsid w:val="00C62DFB"/>
    <w:rsid w:val="00C630E6"/>
    <w:rsid w:val="00C63812"/>
    <w:rsid w:val="00C63CFE"/>
    <w:rsid w:val="00C64AF3"/>
    <w:rsid w:val="00C66F4D"/>
    <w:rsid w:val="00C67BB5"/>
    <w:rsid w:val="00C72713"/>
    <w:rsid w:val="00C779F5"/>
    <w:rsid w:val="00C848EF"/>
    <w:rsid w:val="00C86600"/>
    <w:rsid w:val="00C87BCA"/>
    <w:rsid w:val="00C87EED"/>
    <w:rsid w:val="00C917B5"/>
    <w:rsid w:val="00C94506"/>
    <w:rsid w:val="00C954BC"/>
    <w:rsid w:val="00CA1F0B"/>
    <w:rsid w:val="00CA3D76"/>
    <w:rsid w:val="00CB110F"/>
    <w:rsid w:val="00CB2A2E"/>
    <w:rsid w:val="00CB338A"/>
    <w:rsid w:val="00CB79C5"/>
    <w:rsid w:val="00CC411F"/>
    <w:rsid w:val="00CC4B75"/>
    <w:rsid w:val="00CC5ECB"/>
    <w:rsid w:val="00CC732E"/>
    <w:rsid w:val="00CD1E7F"/>
    <w:rsid w:val="00CD2C22"/>
    <w:rsid w:val="00CD2FCD"/>
    <w:rsid w:val="00CD5B2E"/>
    <w:rsid w:val="00CD6596"/>
    <w:rsid w:val="00CD7207"/>
    <w:rsid w:val="00CE0422"/>
    <w:rsid w:val="00CE0DBE"/>
    <w:rsid w:val="00CE5E4D"/>
    <w:rsid w:val="00CE7E1A"/>
    <w:rsid w:val="00CF02C4"/>
    <w:rsid w:val="00CF167F"/>
    <w:rsid w:val="00CF72E5"/>
    <w:rsid w:val="00D013EE"/>
    <w:rsid w:val="00D01F54"/>
    <w:rsid w:val="00D03516"/>
    <w:rsid w:val="00D040F7"/>
    <w:rsid w:val="00D04A76"/>
    <w:rsid w:val="00D10FC7"/>
    <w:rsid w:val="00D142D2"/>
    <w:rsid w:val="00D1519F"/>
    <w:rsid w:val="00D20E99"/>
    <w:rsid w:val="00D21C83"/>
    <w:rsid w:val="00D22915"/>
    <w:rsid w:val="00D24347"/>
    <w:rsid w:val="00D3038D"/>
    <w:rsid w:val="00D35BDD"/>
    <w:rsid w:val="00D37576"/>
    <w:rsid w:val="00D37A23"/>
    <w:rsid w:val="00D37B8D"/>
    <w:rsid w:val="00D42478"/>
    <w:rsid w:val="00D474BE"/>
    <w:rsid w:val="00D52591"/>
    <w:rsid w:val="00D605BD"/>
    <w:rsid w:val="00D60C23"/>
    <w:rsid w:val="00D63006"/>
    <w:rsid w:val="00D70B72"/>
    <w:rsid w:val="00D71290"/>
    <w:rsid w:val="00D7184B"/>
    <w:rsid w:val="00D72301"/>
    <w:rsid w:val="00D74F87"/>
    <w:rsid w:val="00D7734B"/>
    <w:rsid w:val="00D911DE"/>
    <w:rsid w:val="00D91B97"/>
    <w:rsid w:val="00D924EC"/>
    <w:rsid w:val="00D93ACC"/>
    <w:rsid w:val="00D93C08"/>
    <w:rsid w:val="00D95DAC"/>
    <w:rsid w:val="00D965F6"/>
    <w:rsid w:val="00DA0B53"/>
    <w:rsid w:val="00DA1A6A"/>
    <w:rsid w:val="00DB1171"/>
    <w:rsid w:val="00DB1519"/>
    <w:rsid w:val="00DB2840"/>
    <w:rsid w:val="00DB3269"/>
    <w:rsid w:val="00DB5C8B"/>
    <w:rsid w:val="00DC02EF"/>
    <w:rsid w:val="00DC1BD3"/>
    <w:rsid w:val="00DC2C1A"/>
    <w:rsid w:val="00DC48DD"/>
    <w:rsid w:val="00DD2010"/>
    <w:rsid w:val="00DD66B4"/>
    <w:rsid w:val="00DE1972"/>
    <w:rsid w:val="00DE27AB"/>
    <w:rsid w:val="00DF0248"/>
    <w:rsid w:val="00DF2AB3"/>
    <w:rsid w:val="00DF65A9"/>
    <w:rsid w:val="00DF7250"/>
    <w:rsid w:val="00E00CAA"/>
    <w:rsid w:val="00E03EBF"/>
    <w:rsid w:val="00E05209"/>
    <w:rsid w:val="00E06ABB"/>
    <w:rsid w:val="00E11BCF"/>
    <w:rsid w:val="00E16F75"/>
    <w:rsid w:val="00E21A1A"/>
    <w:rsid w:val="00E21D1A"/>
    <w:rsid w:val="00E2258E"/>
    <w:rsid w:val="00E2383F"/>
    <w:rsid w:val="00E24930"/>
    <w:rsid w:val="00E260C2"/>
    <w:rsid w:val="00E315D3"/>
    <w:rsid w:val="00E32596"/>
    <w:rsid w:val="00E343A5"/>
    <w:rsid w:val="00E34658"/>
    <w:rsid w:val="00E368F7"/>
    <w:rsid w:val="00E36EB8"/>
    <w:rsid w:val="00E37FB8"/>
    <w:rsid w:val="00E40100"/>
    <w:rsid w:val="00E40B07"/>
    <w:rsid w:val="00E4120F"/>
    <w:rsid w:val="00E42326"/>
    <w:rsid w:val="00E43544"/>
    <w:rsid w:val="00E44D89"/>
    <w:rsid w:val="00E477EA"/>
    <w:rsid w:val="00E53F48"/>
    <w:rsid w:val="00E55807"/>
    <w:rsid w:val="00E61908"/>
    <w:rsid w:val="00E63B14"/>
    <w:rsid w:val="00E65C6F"/>
    <w:rsid w:val="00E65CA0"/>
    <w:rsid w:val="00E70939"/>
    <w:rsid w:val="00E70D9F"/>
    <w:rsid w:val="00E83015"/>
    <w:rsid w:val="00E83810"/>
    <w:rsid w:val="00E83EE4"/>
    <w:rsid w:val="00E86933"/>
    <w:rsid w:val="00E952B9"/>
    <w:rsid w:val="00E9605B"/>
    <w:rsid w:val="00E97298"/>
    <w:rsid w:val="00E97753"/>
    <w:rsid w:val="00EA0C51"/>
    <w:rsid w:val="00EA3351"/>
    <w:rsid w:val="00EA42CB"/>
    <w:rsid w:val="00EA7DE7"/>
    <w:rsid w:val="00EB58CC"/>
    <w:rsid w:val="00EB7A8A"/>
    <w:rsid w:val="00EC6FED"/>
    <w:rsid w:val="00EC7F3B"/>
    <w:rsid w:val="00ED1207"/>
    <w:rsid w:val="00ED5299"/>
    <w:rsid w:val="00EE3A64"/>
    <w:rsid w:val="00EE4DF3"/>
    <w:rsid w:val="00EE50E5"/>
    <w:rsid w:val="00EF01CF"/>
    <w:rsid w:val="00EF23A8"/>
    <w:rsid w:val="00EF2EEF"/>
    <w:rsid w:val="00EF5823"/>
    <w:rsid w:val="00EF7069"/>
    <w:rsid w:val="00F03590"/>
    <w:rsid w:val="00F03622"/>
    <w:rsid w:val="00F077FD"/>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D0"/>
    <w:rsid w:val="00F448F6"/>
    <w:rsid w:val="00F44C22"/>
    <w:rsid w:val="00F52741"/>
    <w:rsid w:val="00F53D8A"/>
    <w:rsid w:val="00F55FE8"/>
    <w:rsid w:val="00F6247E"/>
    <w:rsid w:val="00F626F7"/>
    <w:rsid w:val="00F736F9"/>
    <w:rsid w:val="00F73833"/>
    <w:rsid w:val="00F8139D"/>
    <w:rsid w:val="00F85340"/>
    <w:rsid w:val="00F905FD"/>
    <w:rsid w:val="00F919CC"/>
    <w:rsid w:val="00F9211C"/>
    <w:rsid w:val="00F97CA8"/>
    <w:rsid w:val="00FA095D"/>
    <w:rsid w:val="00FA6C8B"/>
    <w:rsid w:val="00FA6CDA"/>
    <w:rsid w:val="00FA7C89"/>
    <w:rsid w:val="00FB29C7"/>
    <w:rsid w:val="00FB4103"/>
    <w:rsid w:val="00FB4139"/>
    <w:rsid w:val="00FB476E"/>
    <w:rsid w:val="00FB6416"/>
    <w:rsid w:val="00FC0D90"/>
    <w:rsid w:val="00FC7D8C"/>
    <w:rsid w:val="00FC7E2B"/>
    <w:rsid w:val="00FD3980"/>
    <w:rsid w:val="00FD431E"/>
    <w:rsid w:val="00FD5A2C"/>
    <w:rsid w:val="00FE0B7B"/>
    <w:rsid w:val="00FE0D47"/>
    <w:rsid w:val="00FE1D5C"/>
    <w:rsid w:val="00FE2F8B"/>
    <w:rsid w:val="00FE3669"/>
    <w:rsid w:val="00FE5204"/>
    <w:rsid w:val="00FF2328"/>
    <w:rsid w:val="00FF287F"/>
    <w:rsid w:val="00FF578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CC8F0F"/>
  <w15:docId w15:val="{95080E75-0703-404C-BBB9-7AA5E30E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A77779"/>
    <w:pPr>
      <w:keepNext/>
      <w:keepLines/>
      <w:spacing w:before="280"/>
      <w:ind w:left="794" w:hanging="794"/>
      <w:outlineLvl w:val="0"/>
    </w:pPr>
    <w:rPr>
      <w:b/>
    </w:rPr>
  </w:style>
  <w:style w:type="paragraph" w:styleId="Heading2">
    <w:name w:val="heading 2"/>
    <w:basedOn w:val="Heading1"/>
    <w:next w:val="Normal"/>
    <w:qFormat/>
    <w:rsid w:val="00B37866"/>
    <w:pPr>
      <w:spacing w:before="200"/>
      <w:outlineLvl w:val="1"/>
    </w:pPr>
  </w:style>
  <w:style w:type="paragraph" w:styleId="Heading3">
    <w:name w:val="heading 3"/>
    <w:basedOn w:val="Heading1"/>
    <w:next w:val="Normal"/>
    <w:qFormat/>
    <w:rsid w:val="00B37866"/>
    <w:pPr>
      <w:spacing w:before="200"/>
      <w:outlineLvl w:val="2"/>
    </w:p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900746"/>
    <w:rPr>
      <w:color w:val="800080" w:themeColor="followedHyperlink"/>
      <w:u w:val="single"/>
    </w:rPr>
  </w:style>
  <w:style w:type="character" w:customStyle="1" w:styleId="FootnoteTextChar">
    <w:name w:val="Footnote Text Char"/>
    <w:basedOn w:val="DefaultParagraphFont"/>
    <w:link w:val="FootnoteText"/>
    <w:rsid w:val="0031739D"/>
    <w:rPr>
      <w:rFonts w:asciiTheme="minorHAnsi" w:hAnsiTheme="minorHAnsi"/>
      <w:sz w:val="24"/>
      <w:lang w:val="en-GB" w:eastAsia="en-US"/>
    </w:rPr>
  </w:style>
  <w:style w:type="paragraph" w:styleId="Caption">
    <w:name w:val="caption"/>
    <w:basedOn w:val="Normal"/>
    <w:next w:val="Normal"/>
    <w:unhideWhenUsed/>
    <w:qFormat/>
    <w:rsid w:val="00C529BD"/>
    <w:pPr>
      <w:spacing w:before="0" w:after="200"/>
    </w:pPr>
    <w:rPr>
      <w:i/>
      <w:iCs/>
      <w:color w:val="1F497D" w:themeColor="text2"/>
      <w:sz w:val="18"/>
      <w:szCs w:val="18"/>
    </w:rPr>
  </w:style>
  <w:style w:type="character" w:styleId="UnresolvedMention">
    <w:name w:val="Unresolved Mention"/>
    <w:basedOn w:val="DefaultParagraphFont"/>
    <w:uiPriority w:val="99"/>
    <w:semiHidden/>
    <w:unhideWhenUsed/>
    <w:rsid w:val="00C3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3487">
      <w:bodyDiv w:val="1"/>
      <w:marLeft w:val="0"/>
      <w:marRight w:val="0"/>
      <w:marTop w:val="0"/>
      <w:marBottom w:val="0"/>
      <w:divBdr>
        <w:top w:val="none" w:sz="0" w:space="0" w:color="auto"/>
        <w:left w:val="none" w:sz="0" w:space="0" w:color="auto"/>
        <w:bottom w:val="none" w:sz="0" w:space="0" w:color="auto"/>
        <w:right w:val="none" w:sz="0" w:space="0" w:color="auto"/>
      </w:divBdr>
    </w:div>
    <w:div w:id="134879906">
      <w:bodyDiv w:val="1"/>
      <w:marLeft w:val="0"/>
      <w:marRight w:val="0"/>
      <w:marTop w:val="0"/>
      <w:marBottom w:val="0"/>
      <w:divBdr>
        <w:top w:val="none" w:sz="0" w:space="0" w:color="auto"/>
        <w:left w:val="none" w:sz="0" w:space="0" w:color="auto"/>
        <w:bottom w:val="none" w:sz="0" w:space="0" w:color="auto"/>
        <w:right w:val="none" w:sz="0" w:space="0" w:color="auto"/>
      </w:divBdr>
    </w:div>
    <w:div w:id="142938231">
      <w:bodyDiv w:val="1"/>
      <w:marLeft w:val="0"/>
      <w:marRight w:val="0"/>
      <w:marTop w:val="0"/>
      <w:marBottom w:val="0"/>
      <w:divBdr>
        <w:top w:val="none" w:sz="0" w:space="0" w:color="auto"/>
        <w:left w:val="none" w:sz="0" w:space="0" w:color="auto"/>
        <w:bottom w:val="none" w:sz="0" w:space="0" w:color="auto"/>
        <w:right w:val="none" w:sz="0" w:space="0" w:color="auto"/>
      </w:divBdr>
    </w:div>
    <w:div w:id="844855857">
      <w:bodyDiv w:val="1"/>
      <w:marLeft w:val="0"/>
      <w:marRight w:val="0"/>
      <w:marTop w:val="0"/>
      <w:marBottom w:val="0"/>
      <w:divBdr>
        <w:top w:val="none" w:sz="0" w:space="0" w:color="auto"/>
        <w:left w:val="none" w:sz="0" w:space="0" w:color="auto"/>
        <w:bottom w:val="none" w:sz="0" w:space="0" w:color="auto"/>
        <w:right w:val="none" w:sz="0" w:space="0" w:color="auto"/>
      </w:divBdr>
    </w:div>
    <w:div w:id="1216503442">
      <w:bodyDiv w:val="1"/>
      <w:marLeft w:val="0"/>
      <w:marRight w:val="0"/>
      <w:marTop w:val="0"/>
      <w:marBottom w:val="0"/>
      <w:divBdr>
        <w:top w:val="none" w:sz="0" w:space="0" w:color="auto"/>
        <w:left w:val="none" w:sz="0" w:space="0" w:color="auto"/>
        <w:bottom w:val="none" w:sz="0" w:space="0" w:color="auto"/>
        <w:right w:val="none" w:sz="0" w:space="0" w:color="auto"/>
      </w:divBdr>
    </w:div>
    <w:div w:id="173862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www.itu.int/en/ITU-D/MembersPartners/Pages/tech-talks.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youtube.com/playlist?list=PLpoIPNlF8P2OX9dfnqDyRxeLg2k0B66A1" TargetMode="External"/><Relationship Id="rId2" Type="http://schemas.openxmlformats.org/officeDocument/2006/relationships/numbering" Target="numbering.xml"/><Relationship Id="rId16" Type="http://schemas.openxmlformats.org/officeDocument/2006/relationships/hyperlink" Target="https://www.itu.int/en/ITU-D/Conferences/CRO/Documents/IAGDI-CRO%20-%20Chairman%27s%20Repor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itu.int/en/ITU-D/Conferences/CRO/Documents/IAGDI-CRO%20Outcome%20Statement.pdf" TargetMode="External"/><Relationship Id="rId23" Type="http://schemas.openxmlformats.org/officeDocument/2006/relationships/theme" Target="theme/theme1.xml"/><Relationship Id="rId10" Type="http://schemas.openxmlformats.org/officeDocument/2006/relationships/hyperlink" Target="https://www.itu.int/md/D18-TDAG28-C-0012/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cosmas.zavazava@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EFCE-A94D-43E8-9591-BBC14304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1433</Words>
  <Characters>8643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French</dc:creator>
  <cp:lastModifiedBy>French</cp:lastModifiedBy>
  <cp:revision>3</cp:revision>
  <cp:lastPrinted>2014-11-04T09:22:00Z</cp:lastPrinted>
  <dcterms:created xsi:type="dcterms:W3CDTF">2021-10-01T07:52:00Z</dcterms:created>
  <dcterms:modified xsi:type="dcterms:W3CDTF">2021-10-01T07:54:00Z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