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AD4677" w14:paraId="3F0E9EC4" w14:textId="77777777" w:rsidTr="3879300C">
        <w:trPr>
          <w:cantSplit/>
          <w:trHeight w:val="1134"/>
        </w:trPr>
        <w:tc>
          <w:tcPr>
            <w:tcW w:w="2410" w:type="dxa"/>
          </w:tcPr>
          <w:p w14:paraId="5BB7E038" w14:textId="1B060A15" w:rsidR="00AD4677" w:rsidRDefault="001A1332" w:rsidP="00AD4677">
            <w:pPr>
              <w:tabs>
                <w:tab w:val="clear" w:pos="1191"/>
                <w:tab w:val="clear" w:pos="1588"/>
                <w:tab w:val="clear" w:pos="1985"/>
              </w:tabs>
              <w:spacing w:after="120"/>
              <w:ind w:left="34"/>
              <w:rPr>
                <w:b/>
                <w:bCs/>
                <w:sz w:val="32"/>
                <w:szCs w:val="32"/>
              </w:rPr>
            </w:pPr>
            <w:bookmarkStart w:id="0" w:name="_GoBack"/>
            <w:bookmarkEnd w:id="0"/>
            <w:r>
              <w:rPr>
                <w:b/>
                <w:bCs/>
                <w:noProof/>
                <w:sz w:val="32"/>
                <w:szCs w:val="32"/>
              </w:rPr>
              <w:drawing>
                <wp:inline distT="0" distB="0" distL="0" distR="0" wp14:anchorId="51BD8512" wp14:editId="6EA6F248">
                  <wp:extent cx="1374140" cy="1036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140" cy="1036955"/>
                          </a:xfrm>
                          <a:prstGeom prst="rect">
                            <a:avLst/>
                          </a:prstGeom>
                          <a:noFill/>
                          <a:ln>
                            <a:noFill/>
                          </a:ln>
                        </pic:spPr>
                      </pic:pic>
                    </a:graphicData>
                  </a:graphic>
                </wp:inline>
              </w:drawing>
            </w:r>
          </w:p>
        </w:tc>
        <w:tc>
          <w:tcPr>
            <w:tcW w:w="5954" w:type="dxa"/>
            <w:gridSpan w:val="2"/>
          </w:tcPr>
          <w:p w14:paraId="68FE8375" w14:textId="77777777" w:rsidR="00AD4677" w:rsidRDefault="00AD4677" w:rsidP="00AD4677">
            <w:pPr>
              <w:tabs>
                <w:tab w:val="clear" w:pos="1191"/>
                <w:tab w:val="clear" w:pos="1588"/>
                <w:tab w:val="clear" w:pos="1985"/>
              </w:tabs>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18CE3A39" w:rsidR="00AD4677" w:rsidRPr="00844A56" w:rsidRDefault="00AD4677" w:rsidP="00B648C7">
            <w:pPr>
              <w:tabs>
                <w:tab w:val="clear" w:pos="1191"/>
                <w:tab w:val="clear" w:pos="1588"/>
                <w:tab w:val="clear" w:pos="1985"/>
              </w:tabs>
              <w:spacing w:before="100" w:after="120"/>
              <w:ind w:left="34"/>
              <w:rPr>
                <w:rFonts w:ascii="Verdana" w:hAnsi="Verdana"/>
                <w:sz w:val="28"/>
                <w:szCs w:val="28"/>
              </w:rPr>
            </w:pPr>
            <w:r>
              <w:rPr>
                <w:b/>
                <w:bCs/>
                <w:sz w:val="26"/>
                <w:szCs w:val="26"/>
              </w:rPr>
              <w:t>2</w:t>
            </w:r>
            <w:r w:rsidR="001F1C15">
              <w:rPr>
                <w:b/>
                <w:bCs/>
                <w:sz w:val="26"/>
                <w:szCs w:val="26"/>
              </w:rPr>
              <w:t>9</w:t>
            </w:r>
            <w:r>
              <w:rPr>
                <w:b/>
                <w:bCs/>
                <w:sz w:val="26"/>
                <w:szCs w:val="26"/>
              </w:rPr>
              <w:t xml:space="preserve">th Meeting, Virtual, </w:t>
            </w:r>
            <w:r w:rsidR="001F1C15">
              <w:rPr>
                <w:b/>
                <w:bCs/>
                <w:sz w:val="26"/>
                <w:szCs w:val="26"/>
              </w:rPr>
              <w:t>8-12</w:t>
            </w:r>
            <w:r>
              <w:rPr>
                <w:b/>
                <w:bCs/>
                <w:sz w:val="26"/>
                <w:szCs w:val="26"/>
              </w:rPr>
              <w:t xml:space="preserve"> </w:t>
            </w:r>
            <w:r w:rsidR="001F1C15">
              <w:rPr>
                <w:b/>
                <w:bCs/>
                <w:sz w:val="26"/>
                <w:szCs w:val="26"/>
              </w:rPr>
              <w:t>November</w:t>
            </w:r>
            <w:r>
              <w:rPr>
                <w:b/>
                <w:bCs/>
                <w:sz w:val="26"/>
                <w:szCs w:val="26"/>
              </w:rPr>
              <w:t xml:space="preserve"> 2021</w:t>
            </w:r>
          </w:p>
        </w:tc>
        <w:tc>
          <w:tcPr>
            <w:tcW w:w="1524" w:type="dxa"/>
          </w:tcPr>
          <w:p w14:paraId="67E7B4C4" w14:textId="0F52E4CC" w:rsidR="00AD4677" w:rsidRPr="00683C32" w:rsidRDefault="00AD4677" w:rsidP="00AD4677">
            <w:pPr>
              <w:spacing w:before="24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3879300C">
        <w:trPr>
          <w:cantSplit/>
        </w:trPr>
        <w:tc>
          <w:tcPr>
            <w:tcW w:w="6379" w:type="dxa"/>
            <w:gridSpan w:val="2"/>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gridSpan w:val="2"/>
            <w:tcBorders>
              <w:top w:val="single" w:sz="12" w:space="0" w:color="auto"/>
            </w:tcBorders>
          </w:tcPr>
          <w:p w14:paraId="6CC77CFE" w14:textId="2E54E68F" w:rsidR="00683C32" w:rsidRPr="00DC66DF" w:rsidRDefault="00DC66DF" w:rsidP="00107E85">
            <w:pPr>
              <w:spacing w:before="0"/>
              <w:rPr>
                <w:b/>
                <w:bCs/>
                <w:szCs w:val="24"/>
              </w:rPr>
            </w:pPr>
            <w:r w:rsidRPr="00DC66DF">
              <w:rPr>
                <w:b/>
                <w:bCs/>
                <w:szCs w:val="24"/>
              </w:rPr>
              <w:t>Revision 1 to</w:t>
            </w:r>
          </w:p>
        </w:tc>
      </w:tr>
      <w:tr w:rsidR="00683C32" w:rsidRPr="00002716" w14:paraId="0BB3FBC4" w14:textId="77777777" w:rsidTr="3879300C">
        <w:trPr>
          <w:cantSplit/>
        </w:trPr>
        <w:tc>
          <w:tcPr>
            <w:tcW w:w="6379" w:type="dxa"/>
            <w:gridSpan w:val="2"/>
          </w:tcPr>
          <w:p w14:paraId="43C54B3D" w14:textId="77777777" w:rsidR="00683C32" w:rsidRPr="007F1CC7" w:rsidRDefault="00683C32" w:rsidP="00400CCF">
            <w:pPr>
              <w:pStyle w:val="Committee"/>
              <w:spacing w:before="0"/>
              <w:rPr>
                <w:b w:val="0"/>
                <w:szCs w:val="24"/>
              </w:rPr>
            </w:pPr>
          </w:p>
        </w:tc>
        <w:tc>
          <w:tcPr>
            <w:tcW w:w="3509" w:type="dxa"/>
            <w:gridSpan w:val="2"/>
          </w:tcPr>
          <w:p w14:paraId="02E44EE9" w14:textId="12C3928D" w:rsidR="00683C32" w:rsidRPr="007F1CC7" w:rsidRDefault="0096201B" w:rsidP="00B648C7">
            <w:pPr>
              <w:spacing w:before="0"/>
              <w:jc w:val="both"/>
              <w:rPr>
                <w:rStyle w:val="normaltextrun"/>
                <w:rFonts w:ascii="Calibri" w:hAnsi="Calibri" w:cs="Calibri"/>
                <w:b/>
                <w:bCs/>
                <w:color w:val="000000" w:themeColor="text1"/>
                <w:lang w:val="en-US"/>
              </w:rPr>
            </w:pPr>
            <w:r w:rsidRPr="00002716">
              <w:rPr>
                <w:b/>
                <w:bCs/>
                <w:lang w:val="en-US"/>
              </w:rPr>
              <w:t>Document</w:t>
            </w:r>
            <w:bookmarkStart w:id="1" w:name="DocRef1"/>
            <w:bookmarkEnd w:id="1"/>
            <w:r w:rsidR="001A1332">
              <w:rPr>
                <w:rFonts w:ascii="Calibri" w:hAnsi="Calibri" w:cs="Calibri"/>
                <w:b/>
                <w:bCs/>
                <w:color w:val="000000"/>
                <w:shd w:val="clear" w:color="auto" w:fill="FFFFFF"/>
              </w:rPr>
              <w:t xml:space="preserve"> </w:t>
            </w:r>
            <w:r w:rsidR="001A1332">
              <w:rPr>
                <w:rStyle w:val="normaltextrun"/>
                <w:rFonts w:ascii="Calibri" w:hAnsi="Calibri" w:cs="Calibri"/>
                <w:b/>
                <w:bCs/>
                <w:color w:val="000000"/>
                <w:shd w:val="clear" w:color="auto" w:fill="FFFFFF"/>
              </w:rPr>
              <w:t>TDAG-21/2/</w:t>
            </w:r>
            <w:r w:rsidR="261AF59D">
              <w:rPr>
                <w:rStyle w:val="normaltextrun"/>
                <w:rFonts w:ascii="Calibri" w:hAnsi="Calibri" w:cs="Calibri"/>
                <w:b/>
                <w:bCs/>
                <w:color w:val="000000"/>
                <w:shd w:val="clear" w:color="auto" w:fill="FFFFFF"/>
              </w:rPr>
              <w:t>8</w:t>
            </w:r>
            <w:r w:rsidR="00DC66DF">
              <w:rPr>
                <w:rStyle w:val="normaltextrun"/>
                <w:rFonts w:ascii="Calibri" w:hAnsi="Calibri" w:cs="Calibri"/>
                <w:b/>
                <w:bCs/>
                <w:color w:val="000000"/>
                <w:shd w:val="clear" w:color="auto" w:fill="FFFFFF"/>
              </w:rPr>
              <w:t>-E</w:t>
            </w:r>
          </w:p>
        </w:tc>
      </w:tr>
      <w:tr w:rsidR="00683C32" w14:paraId="24D04936" w14:textId="77777777" w:rsidTr="3879300C">
        <w:trPr>
          <w:cantSplit/>
        </w:trPr>
        <w:tc>
          <w:tcPr>
            <w:tcW w:w="6379" w:type="dxa"/>
            <w:gridSpan w:val="2"/>
          </w:tcPr>
          <w:p w14:paraId="12CE4DBF" w14:textId="77777777" w:rsidR="00683C32" w:rsidRPr="007F1CC7" w:rsidRDefault="00683C32" w:rsidP="00400CCF">
            <w:pPr>
              <w:spacing w:before="0"/>
              <w:rPr>
                <w:b/>
                <w:bCs/>
                <w:smallCaps/>
                <w:szCs w:val="24"/>
                <w:lang w:val="en-US"/>
              </w:rPr>
            </w:pPr>
          </w:p>
        </w:tc>
        <w:tc>
          <w:tcPr>
            <w:tcW w:w="3509" w:type="dxa"/>
            <w:gridSpan w:val="2"/>
          </w:tcPr>
          <w:p w14:paraId="0F89640F" w14:textId="7905C161" w:rsidR="00683C32" w:rsidRPr="007F1CC7" w:rsidRDefault="00DC66DF" w:rsidP="00B648C7">
            <w:pPr>
              <w:spacing w:before="0"/>
              <w:rPr>
                <w:b/>
                <w:szCs w:val="24"/>
              </w:rPr>
            </w:pPr>
            <w:bookmarkStart w:id="2" w:name="CreationDate"/>
            <w:bookmarkEnd w:id="2"/>
            <w:r>
              <w:rPr>
                <w:b/>
                <w:bCs/>
                <w:szCs w:val="28"/>
              </w:rPr>
              <w:t>27</w:t>
            </w:r>
            <w:r w:rsidR="00A244BC">
              <w:rPr>
                <w:b/>
                <w:bCs/>
                <w:szCs w:val="28"/>
              </w:rPr>
              <w:t xml:space="preserve"> </w:t>
            </w:r>
            <w:r w:rsidR="001F1C15">
              <w:rPr>
                <w:b/>
                <w:bCs/>
                <w:szCs w:val="28"/>
              </w:rPr>
              <w:t>September</w:t>
            </w:r>
            <w:r w:rsidR="00A244BC">
              <w:rPr>
                <w:b/>
                <w:bCs/>
                <w:szCs w:val="28"/>
              </w:rPr>
              <w:t xml:space="preserve"> 2021</w:t>
            </w:r>
          </w:p>
        </w:tc>
      </w:tr>
      <w:tr w:rsidR="00683C32" w14:paraId="7B96545F" w14:textId="77777777" w:rsidTr="3879300C">
        <w:trPr>
          <w:cantSplit/>
        </w:trPr>
        <w:tc>
          <w:tcPr>
            <w:tcW w:w="6379" w:type="dxa"/>
            <w:gridSpan w:val="2"/>
          </w:tcPr>
          <w:p w14:paraId="65956FD3" w14:textId="77777777" w:rsidR="00683C32" w:rsidRPr="007F1CC7" w:rsidRDefault="00683C32" w:rsidP="00400CCF">
            <w:pPr>
              <w:spacing w:before="0"/>
              <w:rPr>
                <w:b/>
                <w:bCs/>
                <w:smallCaps/>
                <w:szCs w:val="24"/>
              </w:rPr>
            </w:pPr>
          </w:p>
        </w:tc>
        <w:tc>
          <w:tcPr>
            <w:tcW w:w="3509" w:type="dxa"/>
            <w:gridSpan w:val="2"/>
          </w:tcPr>
          <w:p w14:paraId="30EFD39F" w14:textId="0BF1F51F" w:rsidR="00514D2F" w:rsidRPr="007F1CC7" w:rsidRDefault="0096201B" w:rsidP="00400CCF">
            <w:pPr>
              <w:spacing w:before="0"/>
              <w:rPr>
                <w:szCs w:val="24"/>
              </w:rPr>
            </w:pPr>
            <w:r>
              <w:rPr>
                <w:b/>
              </w:rPr>
              <w:t>Original:</w:t>
            </w:r>
            <w:bookmarkStart w:id="3" w:name="Original"/>
            <w:bookmarkEnd w:id="3"/>
            <w:r w:rsidR="00CE0422">
              <w:rPr>
                <w:b/>
              </w:rPr>
              <w:t xml:space="preserve"> </w:t>
            </w:r>
            <w:r w:rsidR="00AD4677">
              <w:rPr>
                <w:b/>
              </w:rPr>
              <w:t>English</w:t>
            </w:r>
          </w:p>
        </w:tc>
      </w:tr>
      <w:tr w:rsidR="00A13162" w14:paraId="31656E31" w14:textId="77777777" w:rsidTr="3879300C">
        <w:trPr>
          <w:cantSplit/>
          <w:trHeight w:val="852"/>
        </w:trPr>
        <w:tc>
          <w:tcPr>
            <w:tcW w:w="9888" w:type="dxa"/>
            <w:gridSpan w:val="4"/>
          </w:tcPr>
          <w:p w14:paraId="512FCA01" w14:textId="37305498" w:rsidR="00A13162" w:rsidRPr="0030353C" w:rsidRDefault="00886722" w:rsidP="0030353C">
            <w:pPr>
              <w:pStyle w:val="Source"/>
            </w:pPr>
            <w:bookmarkStart w:id="4" w:name="Source"/>
            <w:bookmarkEnd w:id="4"/>
            <w:r w:rsidRPr="00886722">
              <w:t>Director, Telecommunication Development Bureau</w:t>
            </w:r>
          </w:p>
        </w:tc>
      </w:tr>
      <w:tr w:rsidR="00AC6F14" w:rsidRPr="002E6963" w14:paraId="2CBD3A36" w14:textId="77777777" w:rsidTr="3879300C">
        <w:trPr>
          <w:cantSplit/>
        </w:trPr>
        <w:tc>
          <w:tcPr>
            <w:tcW w:w="9888" w:type="dxa"/>
            <w:gridSpan w:val="4"/>
          </w:tcPr>
          <w:p w14:paraId="1B4121DF" w14:textId="46699DB4" w:rsidR="00AC6F14" w:rsidRPr="0030353C" w:rsidRDefault="00886722" w:rsidP="0030353C">
            <w:pPr>
              <w:pStyle w:val="Title1"/>
            </w:pPr>
            <w:bookmarkStart w:id="5" w:name="Title"/>
            <w:bookmarkStart w:id="6" w:name="_Hlk68881400"/>
            <w:bookmarkEnd w:id="5"/>
            <w:r w:rsidRPr="00886722">
              <w:t>ITU-D S</w:t>
            </w:r>
            <w:r w:rsidR="00A244BC">
              <w:t>ector Members</w:t>
            </w:r>
            <w:r w:rsidRPr="00886722">
              <w:t>, A</w:t>
            </w:r>
            <w:r w:rsidR="00A244BC">
              <w:t>ssociates and Academia</w:t>
            </w:r>
            <w:bookmarkEnd w:id="6"/>
          </w:p>
        </w:tc>
      </w:tr>
      <w:tr w:rsidR="00A721F4" w:rsidRPr="002E6963" w14:paraId="23A30231" w14:textId="77777777" w:rsidTr="3879300C">
        <w:trPr>
          <w:cantSplit/>
        </w:trPr>
        <w:tc>
          <w:tcPr>
            <w:tcW w:w="9888" w:type="dxa"/>
            <w:gridSpan w:val="4"/>
            <w:tcBorders>
              <w:bottom w:val="single" w:sz="4" w:space="0" w:color="auto"/>
            </w:tcBorders>
          </w:tcPr>
          <w:p w14:paraId="726EE70E" w14:textId="77777777" w:rsidR="00A721F4" w:rsidRPr="00A721F4" w:rsidRDefault="00A721F4" w:rsidP="0030353C"/>
        </w:tc>
      </w:tr>
      <w:tr w:rsidR="00A721F4" w:rsidRPr="002E6963" w14:paraId="590033C8" w14:textId="77777777" w:rsidTr="3879300C">
        <w:trPr>
          <w:cantSplit/>
        </w:trPr>
        <w:tc>
          <w:tcPr>
            <w:tcW w:w="9888" w:type="dxa"/>
            <w:gridSpan w:val="4"/>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EA0C51">
            <w:pPr>
              <w:spacing w:after="120"/>
              <w:rPr>
                <w:b/>
                <w:bCs/>
                <w:szCs w:val="24"/>
              </w:rPr>
            </w:pPr>
            <w:r w:rsidRPr="00F161E5">
              <w:rPr>
                <w:b/>
                <w:szCs w:val="24"/>
              </w:rPr>
              <w:t>Summary:</w:t>
            </w:r>
          </w:p>
          <w:p w14:paraId="0E76B3C3" w14:textId="4E2B5229" w:rsidR="00B75DD9" w:rsidRPr="00C82CC2" w:rsidRDefault="00886722" w:rsidP="00DC66DF">
            <w:pPr>
              <w:tabs>
                <w:tab w:val="clear" w:pos="794"/>
                <w:tab w:val="clear" w:pos="1191"/>
                <w:tab w:val="clear" w:pos="1588"/>
                <w:tab w:val="clear" w:pos="1985"/>
                <w:tab w:val="left" w:pos="1134"/>
                <w:tab w:val="left" w:pos="1871"/>
                <w:tab w:val="left" w:pos="2268"/>
              </w:tabs>
              <w:rPr>
                <w:rFonts w:ascii="Calibri" w:hAnsi="Calibri"/>
                <w:szCs w:val="24"/>
                <w:lang w:eastAsia="zh-CN"/>
              </w:rPr>
            </w:pPr>
            <w:r w:rsidRPr="00886722">
              <w:rPr>
                <w:rFonts w:ascii="Calibri" w:hAnsi="Calibri"/>
                <w:szCs w:val="24"/>
                <w:lang w:val="en-US"/>
              </w:rPr>
              <w:t xml:space="preserve">This document </w:t>
            </w:r>
            <w:r w:rsidR="002D0816">
              <w:rPr>
                <w:rFonts w:ascii="Calibri" w:hAnsi="Calibri" w:hint="eastAsia"/>
                <w:szCs w:val="24"/>
                <w:lang w:val="en-US" w:eastAsia="zh-CN"/>
              </w:rPr>
              <w:t>builds</w:t>
            </w:r>
            <w:r w:rsidR="002D0816">
              <w:rPr>
                <w:rFonts w:ascii="Calibri" w:hAnsi="Calibri"/>
                <w:szCs w:val="24"/>
                <w:lang w:eastAsia="zh-CN"/>
              </w:rPr>
              <w:t xml:space="preserve"> </w:t>
            </w:r>
            <w:r w:rsidR="002D0816" w:rsidRPr="002D0816">
              <w:rPr>
                <w:rFonts w:ascii="Calibri" w:hAnsi="Calibri"/>
                <w:szCs w:val="24"/>
                <w:lang w:val="en-US" w:eastAsia="zh-CN"/>
              </w:rPr>
              <w:t>on the report</w:t>
            </w:r>
            <w:r w:rsidR="00EB0518">
              <w:rPr>
                <w:rFonts w:ascii="Calibri" w:hAnsi="Calibri"/>
                <w:szCs w:val="24"/>
                <w:lang w:val="en-US" w:eastAsia="zh-CN"/>
              </w:rPr>
              <w:t xml:space="preserve"> presented</w:t>
            </w:r>
            <w:r w:rsidR="002D0816" w:rsidRPr="002D0816">
              <w:rPr>
                <w:rFonts w:ascii="Calibri" w:hAnsi="Calibri"/>
                <w:szCs w:val="24"/>
                <w:lang w:val="en-US" w:eastAsia="zh-CN"/>
              </w:rPr>
              <w:t xml:space="preserve"> </w:t>
            </w:r>
            <w:r w:rsidR="002226B3">
              <w:rPr>
                <w:rFonts w:ascii="Calibri" w:hAnsi="Calibri"/>
                <w:szCs w:val="24"/>
                <w:lang w:val="en-US" w:eastAsia="zh-CN"/>
              </w:rPr>
              <w:t>to the TDAG meeting</w:t>
            </w:r>
            <w:r w:rsidR="00EB0518">
              <w:rPr>
                <w:rFonts w:ascii="Calibri" w:hAnsi="Calibri"/>
                <w:szCs w:val="24"/>
                <w:lang w:val="en-US" w:eastAsia="zh-CN"/>
              </w:rPr>
              <w:t xml:space="preserve"> </w:t>
            </w:r>
            <w:r w:rsidR="002D0816" w:rsidRPr="002D0816">
              <w:rPr>
                <w:rFonts w:ascii="Calibri" w:hAnsi="Calibri"/>
                <w:szCs w:val="24"/>
                <w:lang w:val="en-US" w:eastAsia="zh-CN"/>
              </w:rPr>
              <w:t xml:space="preserve">held </w:t>
            </w:r>
            <w:r w:rsidR="002226B3">
              <w:rPr>
                <w:rFonts w:ascii="Calibri" w:hAnsi="Calibri"/>
                <w:szCs w:val="24"/>
                <w:lang w:eastAsia="zh-CN"/>
              </w:rPr>
              <w:t>from</w:t>
            </w:r>
            <w:r w:rsidR="002D0816">
              <w:rPr>
                <w:rFonts w:ascii="Calibri" w:hAnsi="Calibri"/>
                <w:szCs w:val="24"/>
                <w:lang w:eastAsia="zh-CN"/>
              </w:rPr>
              <w:t xml:space="preserve"> 24</w:t>
            </w:r>
            <w:r w:rsidR="002226B3">
              <w:rPr>
                <w:rFonts w:ascii="Calibri" w:hAnsi="Calibri"/>
                <w:szCs w:val="24"/>
                <w:lang w:eastAsia="zh-CN"/>
              </w:rPr>
              <w:t xml:space="preserve"> to </w:t>
            </w:r>
            <w:r w:rsidR="002D0816">
              <w:rPr>
                <w:rFonts w:ascii="Calibri" w:hAnsi="Calibri"/>
                <w:szCs w:val="24"/>
                <w:lang w:eastAsia="zh-CN"/>
              </w:rPr>
              <w:t>28 May 2021</w:t>
            </w:r>
            <w:r w:rsidR="001A777A">
              <w:rPr>
                <w:rFonts w:ascii="Calibri" w:hAnsi="Calibri"/>
                <w:szCs w:val="24"/>
                <w:lang w:eastAsia="zh-CN"/>
              </w:rPr>
              <w:t xml:space="preserve"> </w:t>
            </w:r>
            <w:r w:rsidR="002226B3">
              <w:rPr>
                <w:rFonts w:ascii="Calibri" w:hAnsi="Calibri"/>
                <w:szCs w:val="24"/>
                <w:lang w:eastAsia="zh-CN"/>
              </w:rPr>
              <w:t>contained in</w:t>
            </w:r>
            <w:r w:rsidR="002D0816" w:rsidRPr="002D0816">
              <w:rPr>
                <w:rFonts w:ascii="Calibri" w:hAnsi="Calibri"/>
                <w:szCs w:val="24"/>
                <w:lang w:val="en-US" w:eastAsia="zh-CN"/>
              </w:rPr>
              <w:t xml:space="preserve"> document number</w:t>
            </w:r>
            <w:r w:rsidR="001A777A">
              <w:rPr>
                <w:rFonts w:ascii="Calibri" w:hAnsi="Calibri"/>
                <w:szCs w:val="24"/>
                <w:lang w:eastAsia="zh-CN"/>
              </w:rPr>
              <w:t xml:space="preserve"> </w:t>
            </w:r>
            <w:hyperlink r:id="rId13" w:history="1">
              <w:r w:rsidR="001A777A" w:rsidRPr="00047A99">
                <w:rPr>
                  <w:rStyle w:val="Hyperlink"/>
                  <w:rFonts w:ascii="Calibri" w:hAnsi="Calibri"/>
                  <w:szCs w:val="24"/>
                  <w:lang w:eastAsia="zh-CN"/>
                </w:rPr>
                <w:t>TDAG-21/12</w:t>
              </w:r>
            </w:hyperlink>
            <w:r w:rsidR="00FE24C4">
              <w:rPr>
                <w:rFonts w:ascii="Calibri" w:hAnsi="Calibri"/>
                <w:szCs w:val="24"/>
                <w:lang w:eastAsia="zh-CN"/>
              </w:rPr>
              <w:t>.</w:t>
            </w:r>
            <w:r w:rsidR="00005430">
              <w:rPr>
                <w:rFonts w:ascii="Calibri" w:hAnsi="Calibri"/>
                <w:szCs w:val="24"/>
                <w:lang w:eastAsia="zh-CN"/>
              </w:rPr>
              <w:t xml:space="preserve"> </w:t>
            </w:r>
            <w:r w:rsidR="00FE24C4">
              <w:rPr>
                <w:rFonts w:ascii="Calibri" w:hAnsi="Calibri"/>
                <w:szCs w:val="24"/>
                <w:lang w:eastAsia="zh-CN"/>
              </w:rPr>
              <w:t xml:space="preserve">It </w:t>
            </w:r>
            <w:r w:rsidRPr="00886722">
              <w:rPr>
                <w:rFonts w:ascii="Calibri" w:hAnsi="Calibri"/>
                <w:szCs w:val="24"/>
                <w:lang w:val="en-US"/>
              </w:rPr>
              <w:t>provides an overview of the ITU-D membership</w:t>
            </w:r>
            <w:r w:rsidR="0050173D">
              <w:rPr>
                <w:rFonts w:ascii="Calibri" w:hAnsi="Calibri"/>
                <w:szCs w:val="24"/>
                <w:lang w:val="en-US"/>
              </w:rPr>
              <w:t xml:space="preserve"> </w:t>
            </w:r>
            <w:r w:rsidR="002226B3">
              <w:rPr>
                <w:rFonts w:ascii="Calibri" w:hAnsi="Calibri"/>
                <w:szCs w:val="24"/>
                <w:lang w:val="en-US"/>
              </w:rPr>
              <w:t>evolution</w:t>
            </w:r>
            <w:r w:rsidR="0050173D">
              <w:rPr>
                <w:rFonts w:ascii="Calibri" w:hAnsi="Calibri"/>
                <w:szCs w:val="24"/>
                <w:lang w:val="en-US"/>
              </w:rPr>
              <w:t xml:space="preserve"> in 2021</w:t>
            </w:r>
            <w:r w:rsidRPr="00886722">
              <w:rPr>
                <w:rFonts w:ascii="Calibri" w:hAnsi="Calibri"/>
                <w:szCs w:val="24"/>
                <w:lang w:val="en-US"/>
              </w:rPr>
              <w:t xml:space="preserve">. It also recommends actions </w:t>
            </w:r>
            <w:r w:rsidR="002226B3">
              <w:rPr>
                <w:rFonts w:ascii="Calibri" w:hAnsi="Calibri"/>
                <w:szCs w:val="24"/>
                <w:lang w:val="en-US"/>
              </w:rPr>
              <w:t xml:space="preserve">aimed at </w:t>
            </w:r>
            <w:r w:rsidR="00EB0518">
              <w:rPr>
                <w:rFonts w:ascii="Calibri" w:hAnsi="Calibri"/>
                <w:szCs w:val="24"/>
                <w:lang w:val="en-US"/>
              </w:rPr>
              <w:t>continue</w:t>
            </w:r>
            <w:r w:rsidR="002226B3">
              <w:rPr>
                <w:rFonts w:ascii="Calibri" w:hAnsi="Calibri"/>
                <w:szCs w:val="24"/>
                <w:lang w:val="en-US"/>
              </w:rPr>
              <w:t>d</w:t>
            </w:r>
            <w:r w:rsidR="00EB0518">
              <w:rPr>
                <w:rFonts w:ascii="Calibri" w:hAnsi="Calibri"/>
                <w:szCs w:val="24"/>
                <w:lang w:val="en-US"/>
              </w:rPr>
              <w:t xml:space="preserve"> </w:t>
            </w:r>
            <w:r w:rsidRPr="00886722">
              <w:rPr>
                <w:rFonts w:ascii="Calibri" w:hAnsi="Calibri"/>
                <w:szCs w:val="24"/>
                <w:lang w:val="en-US"/>
              </w:rPr>
              <w:t>strengthen</w:t>
            </w:r>
            <w:r w:rsidR="00EB0518">
              <w:rPr>
                <w:rFonts w:ascii="Calibri" w:hAnsi="Calibri"/>
                <w:szCs w:val="24"/>
                <w:lang w:val="en-US"/>
              </w:rPr>
              <w:t>ing</w:t>
            </w:r>
            <w:r w:rsidRPr="00886722">
              <w:rPr>
                <w:rFonts w:ascii="Calibri" w:hAnsi="Calibri"/>
                <w:szCs w:val="24"/>
                <w:lang w:val="en-US"/>
              </w:rPr>
              <w:t xml:space="preserve"> </w:t>
            </w:r>
            <w:r w:rsidR="002226B3">
              <w:rPr>
                <w:rFonts w:ascii="Calibri" w:hAnsi="Calibri"/>
                <w:szCs w:val="24"/>
                <w:lang w:val="en-US"/>
              </w:rPr>
              <w:t>of efforts to recruit and keep more members.</w:t>
            </w:r>
            <w:r w:rsidRPr="00886722">
              <w:rPr>
                <w:rFonts w:ascii="Calibri" w:hAnsi="Calibri"/>
                <w:szCs w:val="24"/>
                <w:lang w:val="en-US"/>
              </w:rPr>
              <w:t xml:space="preserve"> ITU-D membership includes Sector Members, Associates and Academia</w:t>
            </w:r>
            <w:bookmarkStart w:id="7" w:name="dorlang"/>
            <w:bookmarkEnd w:id="7"/>
            <w:r w:rsidRPr="00886722">
              <w:rPr>
                <w:rFonts w:ascii="Calibri" w:hAnsi="Calibri"/>
                <w:szCs w:val="24"/>
                <w:vertAlign w:val="superscript"/>
              </w:rPr>
              <w:footnoteReference w:id="2"/>
            </w:r>
            <w:r w:rsidRPr="00886722">
              <w:rPr>
                <w:rFonts w:ascii="Calibri" w:hAnsi="Calibri"/>
                <w:szCs w:val="24"/>
                <w:lang w:val="en-US"/>
              </w:rPr>
              <w:t>.</w:t>
            </w:r>
          </w:p>
          <w:p w14:paraId="76A1C541" w14:textId="77777777" w:rsidR="00A721F4" w:rsidRPr="00D9621A" w:rsidRDefault="00A721F4" w:rsidP="00EA0C51">
            <w:pPr>
              <w:spacing w:after="120"/>
              <w:rPr>
                <w:b/>
                <w:bCs/>
                <w:szCs w:val="24"/>
              </w:rPr>
            </w:pPr>
            <w:r w:rsidRPr="005E090D">
              <w:rPr>
                <w:b/>
                <w:bCs/>
              </w:rPr>
              <w:t>Action required:</w:t>
            </w:r>
          </w:p>
          <w:p w14:paraId="371956FC" w14:textId="1D0C9040" w:rsidR="00A721F4" w:rsidRPr="00886722" w:rsidRDefault="00886722" w:rsidP="00886722">
            <w:pPr>
              <w:tabs>
                <w:tab w:val="clear" w:pos="794"/>
                <w:tab w:val="clear" w:pos="1191"/>
                <w:tab w:val="clear" w:pos="1588"/>
                <w:tab w:val="clear" w:pos="1985"/>
                <w:tab w:val="left" w:pos="1134"/>
                <w:tab w:val="left" w:pos="1871"/>
                <w:tab w:val="left" w:pos="2268"/>
              </w:tabs>
              <w:rPr>
                <w:rFonts w:ascii="Calibri" w:hAnsi="Calibri"/>
                <w:szCs w:val="24"/>
                <w:lang w:val="en-US"/>
              </w:rPr>
            </w:pPr>
            <w:r w:rsidRPr="00886722">
              <w:rPr>
                <w:rFonts w:ascii="Calibri" w:hAnsi="Calibri"/>
                <w:szCs w:val="24"/>
                <w:lang w:val="en-US"/>
              </w:rPr>
              <w:t>TDAG is invited to note the document and provide guidance as deemed appropriate.</w:t>
            </w:r>
          </w:p>
          <w:p w14:paraId="622ACB80" w14:textId="77777777" w:rsidR="00A721F4" w:rsidRPr="00D9621A" w:rsidRDefault="00A721F4" w:rsidP="00EA0C51">
            <w:pPr>
              <w:spacing w:after="120"/>
              <w:rPr>
                <w:b/>
                <w:bCs/>
                <w:szCs w:val="24"/>
              </w:rPr>
            </w:pPr>
            <w:r w:rsidRPr="00D9621A">
              <w:rPr>
                <w:b/>
                <w:bCs/>
                <w:szCs w:val="24"/>
              </w:rPr>
              <w:t>References:</w:t>
            </w:r>
          </w:p>
          <w:p w14:paraId="1ECDD20E" w14:textId="012FFA79" w:rsidR="00A721F4" w:rsidRPr="00D9621A" w:rsidRDefault="00886722" w:rsidP="007E5A27">
            <w:pPr>
              <w:spacing w:after="120"/>
              <w:jc w:val="both"/>
            </w:pPr>
            <w:r w:rsidRPr="00886722">
              <w:rPr>
                <w:rFonts w:ascii="Calibri" w:hAnsi="Calibri"/>
              </w:rPr>
              <w:t xml:space="preserve">Resolution 71 (Rev. Buenos Aires, 2017) of WTDC; Resolutions 169 (Rev. Dubai, 2018), 205 (Dubai, 2018) and 209 (Dubai, 2018) of </w:t>
            </w:r>
            <w:r w:rsidRPr="00886722">
              <w:rPr>
                <w:rFonts w:ascii="Calibri" w:hAnsi="Calibri"/>
                <w:szCs w:val="24"/>
                <w:lang w:val="en-US"/>
              </w:rPr>
              <w:t>the Plenipotentiary Conference</w:t>
            </w:r>
            <w:r w:rsidRPr="00886722">
              <w:rPr>
                <w:rFonts w:ascii="Calibri" w:hAnsi="Calibri"/>
              </w:rPr>
              <w:t>.</w:t>
            </w:r>
          </w:p>
        </w:tc>
      </w:tr>
    </w:tbl>
    <w:p w14:paraId="77CF718B" w14:textId="77777777" w:rsidR="00AC6F14" w:rsidRDefault="00AC6F14" w:rsidP="00EA0C51">
      <w:pPr>
        <w:spacing w:after="120"/>
      </w:pPr>
    </w:p>
    <w:p w14:paraId="69B70EE0" w14:textId="05EDB1A0" w:rsidR="00EC6FED" w:rsidRDefault="00923CF1" w:rsidP="007726EA">
      <w:pPr>
        <w:tabs>
          <w:tab w:val="clear" w:pos="794"/>
          <w:tab w:val="clear" w:pos="1191"/>
          <w:tab w:val="clear" w:pos="1588"/>
          <w:tab w:val="clear" w:pos="1985"/>
        </w:tabs>
        <w:overflowPunct/>
        <w:autoSpaceDE/>
        <w:autoSpaceDN/>
        <w:adjustRightInd/>
        <w:spacing w:before="0"/>
        <w:textAlignment w:val="auto"/>
      </w:pPr>
      <w:r>
        <w:br w:type="page"/>
      </w:r>
    </w:p>
    <w:p w14:paraId="6C35DDBE" w14:textId="77777777" w:rsidR="00D00EDC" w:rsidRPr="00D00EDC" w:rsidRDefault="00D00EDC" w:rsidP="00A244BC">
      <w:pPr>
        <w:numPr>
          <w:ilvl w:val="0"/>
          <w:numId w:val="6"/>
        </w:numPr>
        <w:tabs>
          <w:tab w:val="clear" w:pos="794"/>
          <w:tab w:val="clear" w:pos="1191"/>
          <w:tab w:val="clear" w:pos="1588"/>
          <w:tab w:val="clear" w:pos="1985"/>
          <w:tab w:val="left" w:pos="1134"/>
          <w:tab w:val="left" w:pos="1871"/>
          <w:tab w:val="left" w:pos="2268"/>
        </w:tabs>
        <w:overflowPunct/>
        <w:autoSpaceDE/>
        <w:autoSpaceDN/>
        <w:adjustRightInd/>
        <w:spacing w:after="120"/>
        <w:textAlignment w:val="auto"/>
        <w:rPr>
          <w:rFonts w:ascii="Calibri" w:hAnsi="Calibri" w:cs="Arial"/>
          <w:b/>
          <w:bCs/>
          <w:szCs w:val="24"/>
          <w:lang w:val="en-US" w:eastAsia="zh-CN"/>
        </w:rPr>
      </w:pPr>
      <w:bookmarkStart w:id="8" w:name="Proposal"/>
      <w:bookmarkEnd w:id="8"/>
      <w:r w:rsidRPr="00D00EDC">
        <w:rPr>
          <w:rFonts w:ascii="Calibri" w:hAnsi="Calibri" w:cs="Arial"/>
          <w:b/>
          <w:bCs/>
          <w:szCs w:val="24"/>
          <w:lang w:val="en-US" w:eastAsia="zh-CN"/>
        </w:rPr>
        <w:lastRenderedPageBreak/>
        <w:t>Background</w:t>
      </w:r>
    </w:p>
    <w:p w14:paraId="6988C06D" w14:textId="3E476F79" w:rsidR="00D00EDC" w:rsidRPr="00D00EDC" w:rsidRDefault="00D00EDC" w:rsidP="00DC66DF">
      <w:pPr>
        <w:tabs>
          <w:tab w:val="clear" w:pos="794"/>
          <w:tab w:val="clear" w:pos="1191"/>
          <w:tab w:val="clear" w:pos="1588"/>
          <w:tab w:val="clear" w:pos="1985"/>
          <w:tab w:val="left" w:pos="1134"/>
          <w:tab w:val="left" w:pos="1871"/>
          <w:tab w:val="left" w:pos="2268"/>
        </w:tabs>
        <w:spacing w:after="120"/>
        <w:rPr>
          <w:rFonts w:ascii="Calibri" w:hAnsi="Calibri"/>
          <w:szCs w:val="24"/>
        </w:rPr>
      </w:pPr>
      <w:r w:rsidRPr="00D00EDC">
        <w:rPr>
          <w:rFonts w:ascii="Calibri" w:hAnsi="Calibri"/>
          <w:szCs w:val="24"/>
        </w:rPr>
        <w:t>The World Telecommunication Development Conference in 2017 (WTDC-17) revised and adopted Resolution 71 (Rev. Buenos Aires, 2017</w:t>
      </w:r>
      <w:r w:rsidRPr="00D00EDC">
        <w:rPr>
          <w:rFonts w:ascii="Calibri" w:hAnsi="Calibri"/>
          <w:szCs w:val="24"/>
          <w:vertAlign w:val="superscript"/>
        </w:rPr>
        <w:footnoteReference w:id="3"/>
      </w:r>
      <w:r w:rsidRPr="00D00EDC">
        <w:rPr>
          <w:rFonts w:ascii="Calibri" w:hAnsi="Calibri"/>
          <w:szCs w:val="24"/>
        </w:rPr>
        <w:t xml:space="preserve">) to promote active involvement of current Sector Members, Associates and Academia in ITU-D activities, including participation in the work of ITU-D study groups and to attract new members from the public, private and academic sectors. </w:t>
      </w:r>
    </w:p>
    <w:p w14:paraId="7968367E" w14:textId="18199797" w:rsidR="008A29DC" w:rsidRDefault="00D00EDC" w:rsidP="00DC66DF">
      <w:pPr>
        <w:tabs>
          <w:tab w:val="clear" w:pos="794"/>
          <w:tab w:val="clear" w:pos="1191"/>
          <w:tab w:val="clear" w:pos="1588"/>
          <w:tab w:val="clear" w:pos="1985"/>
          <w:tab w:val="left" w:pos="1134"/>
          <w:tab w:val="left" w:pos="1871"/>
          <w:tab w:val="left" w:pos="2268"/>
        </w:tabs>
        <w:spacing w:after="120"/>
        <w:rPr>
          <w:rFonts w:ascii="Calibri" w:hAnsi="Calibri"/>
          <w:iCs/>
          <w:szCs w:val="24"/>
        </w:rPr>
      </w:pPr>
      <w:r w:rsidRPr="00D00EDC">
        <w:rPr>
          <w:rFonts w:ascii="Calibri" w:hAnsi="Calibri"/>
          <w:szCs w:val="24"/>
        </w:rPr>
        <w:t xml:space="preserve">Resolution 71 (Rev. Buenos Aires, 2017) brought </w:t>
      </w:r>
      <w:r w:rsidR="002226B3">
        <w:rPr>
          <w:rFonts w:ascii="Calibri" w:hAnsi="Calibri"/>
          <w:szCs w:val="24"/>
        </w:rPr>
        <w:t>more</w:t>
      </w:r>
      <w:r w:rsidRPr="00D00EDC">
        <w:rPr>
          <w:rFonts w:ascii="Calibri" w:hAnsi="Calibri"/>
          <w:szCs w:val="24"/>
        </w:rPr>
        <w:t xml:space="preserve"> focus to the role of the private sector in ITU-D, with its instruction to BDT to continue to organize meetings for high-level industry executives </w:t>
      </w:r>
      <w:r w:rsidR="002226B3">
        <w:rPr>
          <w:rFonts w:ascii="Calibri" w:hAnsi="Calibri"/>
          <w:szCs w:val="24"/>
        </w:rPr>
        <w:t>e.g.</w:t>
      </w:r>
      <w:r w:rsidR="00DC66DF">
        <w:rPr>
          <w:rFonts w:ascii="Calibri" w:hAnsi="Calibri"/>
          <w:szCs w:val="24"/>
        </w:rPr>
        <w:t xml:space="preserve"> </w:t>
      </w:r>
      <w:r w:rsidRPr="00D00EDC">
        <w:rPr>
          <w:rFonts w:ascii="Calibri" w:hAnsi="Calibri"/>
          <w:szCs w:val="24"/>
        </w:rPr>
        <w:t xml:space="preserve">the </w:t>
      </w:r>
      <w:r w:rsidRPr="00D00EDC">
        <w:rPr>
          <w:rFonts w:ascii="Calibri" w:hAnsi="Calibri"/>
          <w:iCs/>
          <w:szCs w:val="24"/>
        </w:rPr>
        <w:t>Industry Advisory Group for Development Issues (IAGDI)</w:t>
      </w:r>
      <w:r w:rsidR="002D33B9">
        <w:rPr>
          <w:rFonts w:ascii="Calibri" w:hAnsi="Calibri"/>
          <w:iCs/>
          <w:szCs w:val="24"/>
        </w:rPr>
        <w:t xml:space="preserve"> and </w:t>
      </w:r>
      <w:r w:rsidR="002D33B9" w:rsidRPr="00D00EDC">
        <w:rPr>
          <w:rFonts w:ascii="Calibri" w:hAnsi="Calibri"/>
          <w:szCs w:val="24"/>
          <w:lang w:eastAsia="en-AU"/>
        </w:rPr>
        <w:t xml:space="preserve">the </w:t>
      </w:r>
      <w:r w:rsidR="002D33B9">
        <w:rPr>
          <w:rFonts w:ascii="Calibri" w:hAnsi="Calibri"/>
          <w:szCs w:val="24"/>
          <w:lang w:eastAsia="en-AU"/>
        </w:rPr>
        <w:t xml:space="preserve">meeting of </w:t>
      </w:r>
      <w:r w:rsidR="002D33B9" w:rsidRPr="00D00EDC">
        <w:rPr>
          <w:rFonts w:ascii="Calibri" w:hAnsi="Calibri"/>
          <w:szCs w:val="24"/>
          <w:lang w:eastAsia="en-AU"/>
        </w:rPr>
        <w:t>Chief Regulatory Officers (CRO)</w:t>
      </w:r>
      <w:r w:rsidRPr="00D00EDC">
        <w:rPr>
          <w:rFonts w:ascii="Calibri" w:hAnsi="Calibri"/>
          <w:iCs/>
          <w:szCs w:val="24"/>
        </w:rPr>
        <w:t>.</w:t>
      </w:r>
    </w:p>
    <w:p w14:paraId="76732155" w14:textId="772D925C" w:rsidR="005400E8" w:rsidRPr="008A29DC" w:rsidRDefault="00D253FC" w:rsidP="00DC66DF">
      <w:pPr>
        <w:pStyle w:val="ListParagraph"/>
        <w:numPr>
          <w:ilvl w:val="0"/>
          <w:numId w:val="6"/>
        </w:numPr>
        <w:spacing w:after="120"/>
        <w:rPr>
          <w:rFonts w:ascii="Calibri" w:hAnsi="Calibri" w:cs="Arial"/>
          <w:b/>
          <w:bCs/>
          <w:szCs w:val="24"/>
          <w:lang w:val="en-US" w:eastAsia="zh-CN"/>
        </w:rPr>
      </w:pPr>
      <w:r w:rsidRPr="008A29DC">
        <w:rPr>
          <w:rFonts w:ascii="Calibri" w:hAnsi="Calibri" w:cs="Arial"/>
          <w:b/>
          <w:bCs/>
          <w:szCs w:val="24"/>
          <w:lang w:val="en-US" w:eastAsia="zh-CN"/>
        </w:rPr>
        <w:t xml:space="preserve">ITU-D membership </w:t>
      </w:r>
      <w:r w:rsidR="007C11E6">
        <w:rPr>
          <w:rFonts w:ascii="Calibri" w:hAnsi="Calibri" w:cs="Arial"/>
          <w:b/>
          <w:bCs/>
          <w:szCs w:val="24"/>
          <w:lang w:val="en-US" w:eastAsia="zh-CN"/>
        </w:rPr>
        <w:t>evolution</w:t>
      </w:r>
    </w:p>
    <w:p w14:paraId="1C89EF20" w14:textId="623D5A89" w:rsidR="005400E8" w:rsidRPr="00B34F02" w:rsidRDefault="00BD47A8" w:rsidP="00DC66DF">
      <w:pPr>
        <w:rPr>
          <w:rFonts w:ascii="Calibri" w:hAnsi="Calibri" w:cs="Arial"/>
          <w:lang w:eastAsia="zh-CN"/>
        </w:rPr>
      </w:pPr>
      <w:r w:rsidRPr="00A21E2F">
        <w:rPr>
          <w:rFonts w:ascii="Calibri" w:hAnsi="Calibri"/>
          <w:b/>
          <w:bCs/>
          <w:szCs w:val="24"/>
          <w:lang w:eastAsia="zh-CN"/>
        </w:rPr>
        <w:t>Chart 1</w:t>
      </w:r>
      <w:r w:rsidR="0025611E" w:rsidRPr="00A21E2F">
        <w:rPr>
          <w:rFonts w:ascii="Calibri" w:hAnsi="Calibri"/>
          <w:szCs w:val="24"/>
          <w:lang w:eastAsia="zh-CN"/>
        </w:rPr>
        <w:t xml:space="preserve"> below</w:t>
      </w:r>
      <w:r w:rsidR="00CF6A50" w:rsidRPr="00A21E2F">
        <w:rPr>
          <w:rFonts w:ascii="Calibri" w:hAnsi="Calibri"/>
          <w:szCs w:val="24"/>
          <w:lang w:eastAsia="zh-CN"/>
        </w:rPr>
        <w:t xml:space="preserve"> illustrat</w:t>
      </w:r>
      <w:r w:rsidR="0025611E" w:rsidRPr="00A21E2F">
        <w:rPr>
          <w:rFonts w:ascii="Calibri" w:hAnsi="Calibri"/>
          <w:szCs w:val="24"/>
          <w:lang w:eastAsia="zh-CN"/>
        </w:rPr>
        <w:t>es</w:t>
      </w:r>
      <w:r w:rsidR="00CF6A50" w:rsidRPr="00A21E2F">
        <w:rPr>
          <w:rFonts w:ascii="Calibri" w:hAnsi="Calibri"/>
          <w:szCs w:val="24"/>
          <w:lang w:eastAsia="zh-CN"/>
        </w:rPr>
        <w:t xml:space="preserve"> </w:t>
      </w:r>
      <w:r w:rsidR="00293B01" w:rsidRPr="00A21E2F">
        <w:rPr>
          <w:rFonts w:ascii="Calibri" w:hAnsi="Calibri" w:cs="Arial"/>
          <w:lang w:val="en-US" w:eastAsia="zh-CN"/>
        </w:rPr>
        <w:t>the</w:t>
      </w:r>
      <w:r w:rsidR="00A203B8" w:rsidRPr="00A21E2F">
        <w:rPr>
          <w:rFonts w:ascii="Calibri" w:hAnsi="Calibri" w:cs="Arial"/>
          <w:lang w:val="en-US" w:eastAsia="zh-CN"/>
        </w:rPr>
        <w:t xml:space="preserve"> ITU-D membership</w:t>
      </w:r>
      <w:r w:rsidR="00AA2365" w:rsidRPr="00A21E2F">
        <w:rPr>
          <w:rFonts w:ascii="Calibri" w:hAnsi="Calibri" w:cs="Arial"/>
          <w:lang w:val="en-US" w:eastAsia="zh-CN"/>
        </w:rPr>
        <w:t xml:space="preserve"> evolution</w:t>
      </w:r>
      <w:r w:rsidR="00A203B8" w:rsidRPr="00A21E2F">
        <w:rPr>
          <w:rFonts w:ascii="Calibri" w:hAnsi="Calibri" w:cs="Arial"/>
          <w:lang w:val="en-US" w:eastAsia="zh-CN"/>
        </w:rPr>
        <w:t xml:space="preserve"> (Sector Members, Associates and Academia)</w:t>
      </w:r>
      <w:r w:rsidR="00AA2365" w:rsidRPr="00A21E2F">
        <w:rPr>
          <w:rFonts w:ascii="Calibri" w:hAnsi="Calibri" w:cs="Arial"/>
          <w:lang w:val="en-US" w:eastAsia="zh-CN"/>
        </w:rPr>
        <w:t>.</w:t>
      </w:r>
      <w:r w:rsidR="00BA463C" w:rsidRPr="00A21E2F">
        <w:rPr>
          <w:rFonts w:ascii="Calibri" w:hAnsi="Calibri" w:cs="Arial"/>
          <w:lang w:val="en-US" w:eastAsia="zh-CN"/>
        </w:rPr>
        <w:t xml:space="preserve"> The Chart </w:t>
      </w:r>
      <w:r w:rsidR="003A1A53">
        <w:rPr>
          <w:rFonts w:ascii="Calibri" w:hAnsi="Calibri" w:cs="Arial"/>
          <w:lang w:val="en-US" w:eastAsia="zh-CN"/>
        </w:rPr>
        <w:t xml:space="preserve">shows absolute </w:t>
      </w:r>
      <w:r w:rsidR="00BA463C" w:rsidRPr="00A21E2F">
        <w:rPr>
          <w:rFonts w:ascii="Calibri" w:hAnsi="Calibri" w:cs="Arial"/>
          <w:lang w:val="en-US" w:eastAsia="zh-CN"/>
        </w:rPr>
        <w:t>figures</w:t>
      </w:r>
      <w:r w:rsidR="003A1A53" w:rsidRPr="00A21E2F">
        <w:rPr>
          <w:rFonts w:ascii="Calibri" w:hAnsi="Calibri" w:cs="Arial"/>
          <w:lang w:val="en-US" w:eastAsia="zh-CN"/>
        </w:rPr>
        <w:t xml:space="preserve"> of new </w:t>
      </w:r>
      <w:r w:rsidR="003A1A53">
        <w:rPr>
          <w:rFonts w:ascii="Calibri" w:hAnsi="Calibri" w:cs="Arial"/>
          <w:lang w:val="en-US" w:eastAsia="zh-CN"/>
        </w:rPr>
        <w:t>ITU-D S</w:t>
      </w:r>
      <w:r w:rsidR="003A1A53" w:rsidRPr="00A21E2F">
        <w:rPr>
          <w:rFonts w:ascii="Calibri" w:hAnsi="Calibri" w:cs="Arial"/>
          <w:lang w:val="en-US" w:eastAsia="zh-CN"/>
        </w:rPr>
        <w:t xml:space="preserve">ector </w:t>
      </w:r>
      <w:r w:rsidR="003A1A53">
        <w:rPr>
          <w:rFonts w:ascii="Calibri" w:hAnsi="Calibri" w:cs="Arial"/>
          <w:lang w:val="en-US" w:eastAsia="zh-CN"/>
        </w:rPr>
        <w:t>M</w:t>
      </w:r>
      <w:r w:rsidR="003A1A53" w:rsidRPr="00A21E2F">
        <w:rPr>
          <w:rFonts w:ascii="Calibri" w:hAnsi="Calibri" w:cs="Arial"/>
          <w:lang w:val="en-US" w:eastAsia="zh-CN"/>
        </w:rPr>
        <w:t xml:space="preserve">embers and Academia </w:t>
      </w:r>
      <w:r w:rsidR="003A1A53">
        <w:rPr>
          <w:rFonts w:ascii="Calibri" w:hAnsi="Calibri" w:cs="Arial"/>
          <w:lang w:val="en-US" w:eastAsia="zh-CN"/>
        </w:rPr>
        <w:t>by end of</w:t>
      </w:r>
      <w:r w:rsidR="00BA463C" w:rsidRPr="00A21E2F">
        <w:rPr>
          <w:rFonts w:ascii="Calibri" w:hAnsi="Calibri" w:cs="Arial"/>
          <w:lang w:val="en-US" w:eastAsia="zh-CN"/>
        </w:rPr>
        <w:t xml:space="preserve"> December 2020 </w:t>
      </w:r>
      <w:r w:rsidR="00A21E2F">
        <w:rPr>
          <w:rFonts w:ascii="Calibri" w:hAnsi="Calibri" w:cs="Arial"/>
          <w:lang w:val="en-US" w:eastAsia="zh-CN"/>
        </w:rPr>
        <w:t xml:space="preserve">and </w:t>
      </w:r>
      <w:r w:rsidR="003A1A53">
        <w:rPr>
          <w:rFonts w:ascii="Calibri" w:hAnsi="Calibri" w:cs="Arial"/>
          <w:lang w:val="en-US" w:eastAsia="zh-CN"/>
        </w:rPr>
        <w:t>those of 2021 (Jan</w:t>
      </w:r>
      <w:r w:rsidR="00B34F02">
        <w:rPr>
          <w:rFonts w:ascii="Calibri" w:hAnsi="Calibri" w:cs="Arial"/>
          <w:lang w:val="en-US" w:eastAsia="zh-CN"/>
        </w:rPr>
        <w:t xml:space="preserve">uary </w:t>
      </w:r>
      <w:r w:rsidR="003A1A53">
        <w:rPr>
          <w:rFonts w:ascii="Calibri" w:hAnsi="Calibri" w:cs="Arial"/>
          <w:lang w:val="en-US" w:eastAsia="zh-CN"/>
        </w:rPr>
        <w:t>-</w:t>
      </w:r>
      <w:r w:rsidR="00B34F02">
        <w:rPr>
          <w:rFonts w:ascii="Calibri" w:hAnsi="Calibri" w:cs="Arial"/>
          <w:lang w:val="en-US" w:eastAsia="zh-CN"/>
        </w:rPr>
        <w:t xml:space="preserve"> </w:t>
      </w:r>
      <w:r w:rsidR="003A1A53">
        <w:rPr>
          <w:rFonts w:ascii="Calibri" w:hAnsi="Calibri" w:cs="Arial"/>
          <w:lang w:val="en-US" w:eastAsia="zh-CN"/>
        </w:rPr>
        <w:t>September)</w:t>
      </w:r>
      <w:r w:rsidR="00B34F02">
        <w:rPr>
          <w:rFonts w:ascii="Calibri" w:hAnsi="Calibri" w:cs="Arial"/>
          <w:lang w:eastAsia="zh-CN"/>
        </w:rPr>
        <w:t>.</w:t>
      </w:r>
    </w:p>
    <w:p w14:paraId="509A1E5B" w14:textId="0DA4FC4D" w:rsidR="005400E8" w:rsidRDefault="0020666C" w:rsidP="00A21E2F">
      <w:pPr>
        <w:rPr>
          <w:rFonts w:ascii="Calibri" w:hAnsi="Calibri" w:cs="Arial"/>
          <w:lang w:val="en-US" w:eastAsia="zh-CN"/>
        </w:rPr>
      </w:pPr>
      <w:r>
        <w:rPr>
          <w:rFonts w:ascii="Calibri" w:hAnsi="Calibri" w:cs="Arial"/>
          <w:noProof/>
          <w:lang w:val="en-US" w:eastAsia="zh-CN"/>
        </w:rPr>
        <w:drawing>
          <wp:inline distT="0" distB="0" distL="0" distR="0" wp14:anchorId="0FB2C042" wp14:editId="6C97EFBD">
            <wp:extent cx="6120765" cy="3327400"/>
            <wp:effectExtent l="0" t="0" r="0" b="635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120765" cy="3327400"/>
                    </a:xfrm>
                    <a:prstGeom prst="rect">
                      <a:avLst/>
                    </a:prstGeom>
                  </pic:spPr>
                </pic:pic>
              </a:graphicData>
            </a:graphic>
          </wp:inline>
        </w:drawing>
      </w:r>
    </w:p>
    <w:p w14:paraId="621620C8" w14:textId="301C22ED" w:rsidR="00A21E2F" w:rsidRDefault="00994AEB" w:rsidP="00D227E0">
      <w:pPr>
        <w:rPr>
          <w:rFonts w:ascii="Calibri" w:hAnsi="Calibri" w:cs="Arial"/>
          <w:lang w:val="en-US" w:eastAsia="zh-CN"/>
        </w:rPr>
      </w:pPr>
      <w:r w:rsidRPr="00994AEB">
        <w:rPr>
          <w:rFonts w:ascii="Calibri" w:hAnsi="Calibri" w:cs="Arial"/>
          <w:sz w:val="16"/>
          <w:szCs w:val="12"/>
          <w:lang w:val="en-US" w:eastAsia="zh-CN"/>
        </w:rPr>
        <w:t xml:space="preserve">*Three denunciations of </w:t>
      </w:r>
      <w:r w:rsidR="00DE5326">
        <w:rPr>
          <w:rFonts w:ascii="Calibri" w:hAnsi="Calibri" w:cs="Arial"/>
          <w:sz w:val="16"/>
          <w:szCs w:val="12"/>
          <w:lang w:val="en-US" w:eastAsia="zh-CN"/>
        </w:rPr>
        <w:t xml:space="preserve">longstanding </w:t>
      </w:r>
      <w:r w:rsidR="00AA2365">
        <w:rPr>
          <w:rFonts w:ascii="Calibri" w:hAnsi="Calibri" w:cs="Arial"/>
          <w:sz w:val="16"/>
          <w:szCs w:val="12"/>
          <w:lang w:val="en-US" w:eastAsia="zh-CN"/>
        </w:rPr>
        <w:t xml:space="preserve">frozen </w:t>
      </w:r>
      <w:r w:rsidRPr="00994AEB">
        <w:rPr>
          <w:rFonts w:ascii="Calibri" w:hAnsi="Calibri" w:cs="Arial"/>
          <w:sz w:val="16"/>
          <w:szCs w:val="12"/>
          <w:lang w:val="en-US" w:eastAsia="zh-CN"/>
        </w:rPr>
        <w:t>Sector Members received after TDAG-21</w:t>
      </w:r>
      <w:r w:rsidR="00AA2365">
        <w:rPr>
          <w:rFonts w:ascii="Calibri" w:hAnsi="Calibri" w:cs="Arial"/>
          <w:sz w:val="16"/>
          <w:szCs w:val="12"/>
          <w:lang w:val="en-US" w:eastAsia="zh-CN"/>
        </w:rPr>
        <w:t xml:space="preserve"> were recorded as losses in 2020 according to ITU’s regulations. The original total Sector Member figure</w:t>
      </w:r>
      <w:r w:rsidR="00DE5326">
        <w:rPr>
          <w:rFonts w:ascii="Calibri" w:hAnsi="Calibri" w:cs="Arial"/>
          <w:sz w:val="16"/>
          <w:szCs w:val="12"/>
          <w:lang w:val="en-US" w:eastAsia="zh-CN"/>
        </w:rPr>
        <w:t>s</w:t>
      </w:r>
      <w:r w:rsidR="00AA2365">
        <w:rPr>
          <w:rFonts w:ascii="Calibri" w:hAnsi="Calibri" w:cs="Arial"/>
          <w:sz w:val="16"/>
          <w:szCs w:val="12"/>
          <w:lang w:val="en-US" w:eastAsia="zh-CN"/>
        </w:rPr>
        <w:t xml:space="preserve"> for </w:t>
      </w:r>
      <w:r w:rsidR="00985F94">
        <w:rPr>
          <w:rFonts w:ascii="Calibri" w:hAnsi="Calibri" w:cs="Arial"/>
          <w:sz w:val="16"/>
          <w:szCs w:val="12"/>
          <w:lang w:val="en-US" w:eastAsia="zh-CN"/>
        </w:rPr>
        <w:t xml:space="preserve">December </w:t>
      </w:r>
      <w:r w:rsidR="00AA2365">
        <w:rPr>
          <w:rFonts w:ascii="Calibri" w:hAnsi="Calibri" w:cs="Arial"/>
          <w:sz w:val="16"/>
          <w:szCs w:val="12"/>
          <w:lang w:val="en-US" w:eastAsia="zh-CN"/>
        </w:rPr>
        <w:t>2020</w:t>
      </w:r>
      <w:r w:rsidR="003A1A53">
        <w:rPr>
          <w:rFonts w:ascii="Calibri" w:hAnsi="Calibri" w:cs="Arial"/>
          <w:sz w:val="16"/>
          <w:szCs w:val="12"/>
          <w:lang w:val="en-US" w:eastAsia="zh-CN"/>
        </w:rPr>
        <w:t xml:space="preserve"> </w:t>
      </w:r>
      <w:r w:rsidR="00DE5326">
        <w:rPr>
          <w:rFonts w:ascii="Calibri" w:hAnsi="Calibri" w:cs="Arial"/>
          <w:sz w:val="16"/>
          <w:szCs w:val="12"/>
          <w:lang w:val="en-US" w:eastAsia="zh-CN"/>
        </w:rPr>
        <w:t xml:space="preserve">s are now </w:t>
      </w:r>
      <w:r w:rsidR="00A21E2F">
        <w:rPr>
          <w:rFonts w:ascii="Calibri" w:hAnsi="Calibri" w:cs="Arial"/>
          <w:sz w:val="16"/>
          <w:szCs w:val="12"/>
          <w:lang w:val="en-US" w:eastAsia="zh-CN"/>
        </w:rPr>
        <w:t xml:space="preserve">officially </w:t>
      </w:r>
      <w:r w:rsidR="00DE5326">
        <w:rPr>
          <w:rFonts w:ascii="Calibri" w:hAnsi="Calibri" w:cs="Arial"/>
          <w:sz w:val="16"/>
          <w:szCs w:val="12"/>
          <w:lang w:val="en-US" w:eastAsia="zh-CN"/>
        </w:rPr>
        <w:t xml:space="preserve">recorded as </w:t>
      </w:r>
      <w:r w:rsidR="00BA463C">
        <w:rPr>
          <w:rFonts w:ascii="Calibri" w:hAnsi="Calibri" w:cs="Arial"/>
          <w:sz w:val="16"/>
          <w:szCs w:val="12"/>
          <w:lang w:val="en-US" w:eastAsia="zh-CN"/>
        </w:rPr>
        <w:t>29</w:t>
      </w:r>
      <w:r w:rsidR="00DE5326">
        <w:rPr>
          <w:rFonts w:ascii="Calibri" w:hAnsi="Calibri" w:cs="Arial"/>
          <w:sz w:val="16"/>
          <w:szCs w:val="12"/>
          <w:lang w:val="en-US" w:eastAsia="zh-CN"/>
        </w:rPr>
        <w:t>5.</w:t>
      </w:r>
      <w:r w:rsidR="00AA2365">
        <w:rPr>
          <w:rFonts w:ascii="Calibri" w:hAnsi="Calibri" w:cs="Arial"/>
          <w:sz w:val="16"/>
          <w:szCs w:val="12"/>
          <w:lang w:val="en-US" w:eastAsia="zh-CN"/>
        </w:rPr>
        <w:t xml:space="preserve"> </w:t>
      </w:r>
    </w:p>
    <w:p w14:paraId="1C45F1A3" w14:textId="7591002A" w:rsidR="0080487B" w:rsidRDefault="00985F94" w:rsidP="00DC66DF">
      <w:pPr>
        <w:rPr>
          <w:rFonts w:ascii="Calibri" w:hAnsi="Calibri" w:cs="Arial"/>
          <w:lang w:val="en-US" w:eastAsia="zh-CN"/>
        </w:rPr>
      </w:pPr>
      <w:r>
        <w:rPr>
          <w:rFonts w:ascii="Calibri" w:hAnsi="Calibri" w:cs="Arial"/>
          <w:lang w:val="en-US" w:eastAsia="zh-CN"/>
        </w:rPr>
        <w:t xml:space="preserve">It is worth noting that the number of Associates </w:t>
      </w:r>
      <w:proofErr w:type="gramStart"/>
      <w:r>
        <w:rPr>
          <w:rFonts w:ascii="Calibri" w:hAnsi="Calibri" w:cs="Arial"/>
          <w:lang w:val="en-US" w:eastAsia="zh-CN"/>
        </w:rPr>
        <w:t>have</w:t>
      </w:r>
      <w:proofErr w:type="gramEnd"/>
      <w:r>
        <w:rPr>
          <w:rFonts w:ascii="Calibri" w:hAnsi="Calibri" w:cs="Arial"/>
          <w:lang w:val="en-US" w:eastAsia="zh-CN"/>
        </w:rPr>
        <w:t xml:space="preserve"> decreased mainly due</w:t>
      </w:r>
      <w:r w:rsidR="00162577">
        <w:rPr>
          <w:rFonts w:ascii="Calibri" w:hAnsi="Calibri" w:cs="Arial"/>
          <w:lang w:val="en-US" w:eastAsia="zh-CN"/>
        </w:rPr>
        <w:t xml:space="preserve"> to exclusions </w:t>
      </w:r>
      <w:r w:rsidR="003A1A53">
        <w:rPr>
          <w:rFonts w:ascii="Calibri" w:hAnsi="Calibri" w:cs="Arial"/>
          <w:lang w:val="en-US" w:eastAsia="zh-CN"/>
        </w:rPr>
        <w:t>resulting from thei</w:t>
      </w:r>
      <w:r w:rsidR="0080487B">
        <w:rPr>
          <w:rFonts w:ascii="Calibri" w:hAnsi="Calibri" w:cs="Arial"/>
          <w:lang w:val="en-US" w:eastAsia="zh-CN"/>
        </w:rPr>
        <w:t>r</w:t>
      </w:r>
      <w:r w:rsidR="00162577">
        <w:rPr>
          <w:rFonts w:ascii="Calibri" w:hAnsi="Calibri" w:cs="Arial"/>
          <w:lang w:val="en-US" w:eastAsia="zh-CN"/>
        </w:rPr>
        <w:t xml:space="preserve"> inability to settle fees</w:t>
      </w:r>
      <w:r w:rsidR="0066499B">
        <w:rPr>
          <w:rFonts w:ascii="Calibri" w:hAnsi="Calibri" w:cs="Arial"/>
          <w:lang w:val="en-US" w:eastAsia="zh-CN"/>
        </w:rPr>
        <w:t>. There have been three</w:t>
      </w:r>
      <w:r w:rsidR="00B34F02">
        <w:rPr>
          <w:rFonts w:ascii="Calibri" w:hAnsi="Calibri" w:cs="Arial"/>
          <w:lang w:val="en-US" w:eastAsia="zh-CN"/>
        </w:rPr>
        <w:t xml:space="preserve"> </w:t>
      </w:r>
      <w:r w:rsidR="0066499B">
        <w:rPr>
          <w:rFonts w:ascii="Calibri" w:hAnsi="Calibri" w:cs="Arial"/>
          <w:lang w:val="en-US" w:eastAsia="zh-CN"/>
        </w:rPr>
        <w:t>exclusions and</w:t>
      </w:r>
      <w:r w:rsidR="00FD12AA">
        <w:rPr>
          <w:rFonts w:ascii="Calibri" w:hAnsi="Calibri" w:cs="Arial"/>
          <w:lang w:val="en-US" w:eastAsia="zh-CN"/>
        </w:rPr>
        <w:t xml:space="preserve"> one </w:t>
      </w:r>
      <w:r w:rsidR="0066499B">
        <w:rPr>
          <w:rFonts w:ascii="Calibri" w:hAnsi="Calibri" w:cs="Arial"/>
          <w:lang w:val="en-US" w:eastAsia="zh-CN"/>
        </w:rPr>
        <w:t>Associate that upgraded to become a</w:t>
      </w:r>
      <w:r w:rsidR="00FD12AA">
        <w:rPr>
          <w:rFonts w:ascii="Calibri" w:hAnsi="Calibri" w:cs="Arial"/>
          <w:lang w:val="en-US" w:eastAsia="zh-CN"/>
        </w:rPr>
        <w:t xml:space="preserve"> Sector Member. </w:t>
      </w:r>
    </w:p>
    <w:p w14:paraId="2CEF6C37" w14:textId="3EE137E0" w:rsidR="00A21E2F" w:rsidRDefault="00A21E2F" w:rsidP="00DC66DF">
      <w:pPr>
        <w:keepNext/>
        <w:shd w:val="clear" w:color="auto" w:fill="FFFFFF" w:themeFill="background1"/>
        <w:overflowPunct/>
        <w:autoSpaceDE/>
        <w:autoSpaceDN/>
        <w:adjustRightInd/>
        <w:spacing w:after="120"/>
        <w:textAlignment w:val="auto"/>
        <w:rPr>
          <w:rFonts w:ascii="Calibri" w:hAnsi="Calibri" w:cs="Arial"/>
          <w:b/>
          <w:bCs/>
          <w:lang w:val="en-US" w:eastAsia="zh-CN"/>
        </w:rPr>
      </w:pPr>
      <w:r>
        <w:rPr>
          <w:rFonts w:ascii="Calibri" w:hAnsi="Calibri" w:cs="Arial"/>
          <w:b/>
          <w:bCs/>
          <w:lang w:val="en-US" w:eastAsia="zh-CN"/>
        </w:rPr>
        <w:lastRenderedPageBreak/>
        <w:t>New Members:</w:t>
      </w:r>
    </w:p>
    <w:p w14:paraId="1C1C73D2" w14:textId="480D35E4" w:rsidR="00FD12AA" w:rsidRDefault="00162577" w:rsidP="00DC66DF">
      <w:pPr>
        <w:keepNext/>
        <w:shd w:val="clear" w:color="auto" w:fill="FFFFFF" w:themeFill="background1"/>
        <w:overflowPunct/>
        <w:autoSpaceDE/>
        <w:autoSpaceDN/>
        <w:adjustRightInd/>
        <w:spacing w:after="120"/>
        <w:textAlignment w:val="auto"/>
        <w:rPr>
          <w:rFonts w:ascii="Calibri" w:hAnsi="Calibri" w:cs="Arial"/>
          <w:lang w:val="en-US" w:eastAsia="zh-CN"/>
        </w:rPr>
      </w:pPr>
      <w:r w:rsidRPr="00E97ABD">
        <w:rPr>
          <w:rFonts w:ascii="Calibri" w:hAnsi="Calibri" w:cs="Arial"/>
          <w:b/>
          <w:bCs/>
          <w:lang w:val="en-US" w:eastAsia="zh-CN"/>
        </w:rPr>
        <w:t>Chart 2</w:t>
      </w:r>
      <w:r>
        <w:rPr>
          <w:rFonts w:ascii="Calibri" w:hAnsi="Calibri" w:cs="Arial"/>
          <w:lang w:val="en-US" w:eastAsia="zh-CN"/>
        </w:rPr>
        <w:t xml:space="preserve"> below shows that, as of September </w:t>
      </w:r>
      <w:r w:rsidR="0066499B">
        <w:rPr>
          <w:rFonts w:ascii="Calibri" w:hAnsi="Calibri" w:cs="Arial"/>
          <w:lang w:val="en-US" w:eastAsia="zh-CN"/>
        </w:rPr>
        <w:t xml:space="preserve">of </w:t>
      </w:r>
      <w:r w:rsidRPr="32A9D8A7">
        <w:rPr>
          <w:rFonts w:ascii="Calibri" w:hAnsi="Calibri" w:cs="Arial"/>
          <w:lang w:val="en-US" w:eastAsia="zh-CN"/>
        </w:rPr>
        <w:t xml:space="preserve">2021 </w:t>
      </w:r>
      <w:r w:rsidR="00FD12AA">
        <w:rPr>
          <w:rFonts w:ascii="Calibri" w:hAnsi="Calibri" w:cs="Arial"/>
          <w:lang w:val="en-US" w:eastAsia="zh-CN"/>
        </w:rPr>
        <w:t>ITU-D attracted</w:t>
      </w:r>
      <w:r w:rsidR="00FD12AA">
        <w:rPr>
          <w:rFonts w:ascii="Calibri" w:hAnsi="Calibri" w:cs="Arial"/>
          <w:b/>
          <w:bCs/>
          <w:lang w:val="en-US" w:eastAsia="zh-CN"/>
        </w:rPr>
        <w:t xml:space="preserve"> </w:t>
      </w:r>
      <w:r w:rsidR="00FD12AA" w:rsidRPr="00994AEB">
        <w:rPr>
          <w:rFonts w:ascii="Calibri" w:hAnsi="Calibri" w:cs="Arial"/>
          <w:b/>
          <w:bCs/>
          <w:lang w:val="en-US" w:eastAsia="zh-CN"/>
        </w:rPr>
        <w:t>s</w:t>
      </w:r>
      <w:r w:rsidR="0020666C">
        <w:rPr>
          <w:rFonts w:ascii="Calibri" w:hAnsi="Calibri" w:cs="Arial"/>
          <w:b/>
          <w:bCs/>
          <w:lang w:val="en-US" w:eastAsia="zh-CN"/>
        </w:rPr>
        <w:t>ix</w:t>
      </w:r>
      <w:r w:rsidR="00FD12AA" w:rsidRPr="00994AEB">
        <w:rPr>
          <w:rFonts w:ascii="Calibri" w:hAnsi="Calibri" w:cs="Arial"/>
          <w:b/>
          <w:bCs/>
          <w:lang w:val="en-US" w:eastAsia="zh-CN"/>
        </w:rPr>
        <w:t xml:space="preserve">teen new </w:t>
      </w:r>
      <w:r w:rsidR="00FD12AA" w:rsidRPr="00994AEB">
        <w:rPr>
          <w:rFonts w:ascii="Calibri" w:hAnsi="Calibri"/>
          <w:b/>
          <w:bCs/>
          <w:i/>
          <w:iCs/>
        </w:rPr>
        <w:t>Sector Members</w:t>
      </w:r>
      <w:r w:rsidR="00FD12AA">
        <w:rPr>
          <w:rStyle w:val="FootnoteReference"/>
          <w:b/>
          <w:bCs/>
          <w:i/>
          <w:iCs/>
        </w:rPr>
        <w:footnoteReference w:id="4"/>
      </w:r>
      <w:r w:rsidR="00FD12AA">
        <w:rPr>
          <w:rFonts w:ascii="Calibri" w:hAnsi="Calibri" w:cs="Arial"/>
          <w:lang w:val="en-US" w:eastAsia="zh-CN"/>
        </w:rPr>
        <w:t>. Twelve are fully active and f</w:t>
      </w:r>
      <w:r w:rsidR="0020666C">
        <w:rPr>
          <w:rFonts w:ascii="Calibri" w:hAnsi="Calibri" w:cs="Arial"/>
          <w:lang w:val="en-US" w:eastAsia="zh-CN"/>
        </w:rPr>
        <w:t>our</w:t>
      </w:r>
      <w:r w:rsidR="00FD12AA">
        <w:rPr>
          <w:rFonts w:ascii="Calibri" w:hAnsi="Calibri" w:cs="Arial"/>
          <w:lang w:val="en-US" w:eastAsia="zh-CN"/>
        </w:rPr>
        <w:t xml:space="preserve"> are in the process of finalizing payment. It shows that </w:t>
      </w:r>
      <w:r w:rsidRPr="32A9D8A7">
        <w:rPr>
          <w:rFonts w:ascii="Calibri" w:hAnsi="Calibri" w:cs="Arial"/>
          <w:lang w:val="en-US" w:eastAsia="zh-CN"/>
        </w:rPr>
        <w:t xml:space="preserve">the number of </w:t>
      </w:r>
      <w:r w:rsidRPr="00E6485F">
        <w:rPr>
          <w:rFonts w:ascii="Calibri" w:hAnsi="Calibri" w:cs="Arial"/>
          <w:lang w:val="en-US" w:eastAsia="zh-CN"/>
        </w:rPr>
        <w:t>new</w:t>
      </w:r>
      <w:r w:rsidRPr="32A9D8A7">
        <w:rPr>
          <w:rFonts w:ascii="Calibri" w:hAnsi="Calibri" w:cs="Arial"/>
          <w:lang w:val="en-US" w:eastAsia="zh-CN"/>
        </w:rPr>
        <w:t xml:space="preserve"> </w:t>
      </w:r>
      <w:r w:rsidR="00E253E2">
        <w:rPr>
          <w:rFonts w:ascii="Calibri" w:hAnsi="Calibri" w:cs="Arial"/>
          <w:lang w:val="en-US" w:eastAsia="zh-CN"/>
        </w:rPr>
        <w:t>entities</w:t>
      </w:r>
      <w:r w:rsidRPr="32A9D8A7">
        <w:rPr>
          <w:rFonts w:ascii="Calibri" w:hAnsi="Calibri" w:cs="Arial"/>
          <w:lang w:val="en-US" w:eastAsia="zh-CN"/>
        </w:rPr>
        <w:t xml:space="preserve"> </w:t>
      </w:r>
      <w:r w:rsidR="00FD12AA">
        <w:rPr>
          <w:rFonts w:ascii="Calibri" w:hAnsi="Calibri" w:cs="Arial"/>
          <w:lang w:val="en-US" w:eastAsia="zh-CN"/>
        </w:rPr>
        <w:t>as of September 2021</w:t>
      </w:r>
      <w:r>
        <w:rPr>
          <w:rFonts w:ascii="Calibri" w:hAnsi="Calibri" w:cs="Arial"/>
          <w:lang w:val="en-US" w:eastAsia="zh-CN"/>
        </w:rPr>
        <w:t xml:space="preserve"> </w:t>
      </w:r>
      <w:r w:rsidR="00A21E2F">
        <w:rPr>
          <w:rFonts w:ascii="Calibri" w:hAnsi="Calibri" w:cs="Arial"/>
          <w:lang w:val="en-US" w:eastAsia="zh-CN"/>
        </w:rPr>
        <w:t>is already higher</w:t>
      </w:r>
      <w:r>
        <w:rPr>
          <w:rFonts w:ascii="Calibri" w:hAnsi="Calibri" w:cs="Arial"/>
          <w:lang w:val="en-US" w:eastAsia="zh-CN"/>
        </w:rPr>
        <w:t xml:space="preserve"> than the </w:t>
      </w:r>
      <w:r w:rsidR="00A21E2F">
        <w:rPr>
          <w:rFonts w:ascii="Calibri" w:hAnsi="Calibri" w:cs="Arial"/>
          <w:lang w:val="en-US" w:eastAsia="zh-CN"/>
        </w:rPr>
        <w:t>total of new members for</w:t>
      </w:r>
      <w:r w:rsidR="00E253E2">
        <w:rPr>
          <w:rFonts w:ascii="Calibri" w:hAnsi="Calibri" w:cs="Arial"/>
          <w:lang w:val="en-US" w:eastAsia="zh-CN"/>
        </w:rPr>
        <w:t xml:space="preserve"> the full year of</w:t>
      </w:r>
      <w:r>
        <w:rPr>
          <w:rFonts w:ascii="Calibri" w:hAnsi="Calibri" w:cs="Arial"/>
          <w:lang w:val="en-US" w:eastAsia="zh-CN"/>
        </w:rPr>
        <w:t xml:space="preserve"> 2020</w:t>
      </w:r>
      <w:r w:rsidR="00A21E2F">
        <w:rPr>
          <w:rFonts w:ascii="Calibri" w:hAnsi="Calibri" w:cs="Arial"/>
          <w:lang w:val="en-US" w:eastAsia="zh-CN"/>
        </w:rPr>
        <w:t xml:space="preserve"> (1</w:t>
      </w:r>
      <w:r w:rsidR="00211B15">
        <w:rPr>
          <w:rFonts w:ascii="Calibri" w:hAnsi="Calibri" w:cs="Arial"/>
          <w:lang w:val="en-US" w:eastAsia="zh-CN"/>
        </w:rPr>
        <w:t xml:space="preserve">0 Sector Members and </w:t>
      </w:r>
      <w:r w:rsidR="00A21E2F">
        <w:rPr>
          <w:rFonts w:ascii="Calibri" w:hAnsi="Calibri" w:cs="Arial"/>
          <w:lang w:val="en-US" w:eastAsia="zh-CN"/>
        </w:rPr>
        <w:t>4</w:t>
      </w:r>
      <w:r w:rsidR="00E253E2">
        <w:rPr>
          <w:rFonts w:ascii="Calibri" w:hAnsi="Calibri" w:cs="Arial"/>
          <w:lang w:val="en-US" w:eastAsia="zh-CN"/>
        </w:rPr>
        <w:t xml:space="preserve"> </w:t>
      </w:r>
      <w:r w:rsidR="00211B15">
        <w:rPr>
          <w:rFonts w:ascii="Calibri" w:hAnsi="Calibri" w:cs="Arial"/>
          <w:lang w:val="en-US" w:eastAsia="zh-CN"/>
        </w:rPr>
        <w:t>Associates</w:t>
      </w:r>
      <w:r w:rsidR="00A21E2F">
        <w:rPr>
          <w:rFonts w:ascii="Calibri" w:hAnsi="Calibri" w:cs="Arial"/>
          <w:lang w:val="en-US" w:eastAsia="zh-CN"/>
        </w:rPr>
        <w:t>)</w:t>
      </w:r>
      <w:r>
        <w:rPr>
          <w:rFonts w:ascii="Calibri" w:hAnsi="Calibri" w:cs="Arial"/>
          <w:lang w:val="en-US" w:eastAsia="zh-CN"/>
        </w:rPr>
        <w:t xml:space="preserve">. </w:t>
      </w:r>
    </w:p>
    <w:p w14:paraId="71C192B7" w14:textId="3DD95793" w:rsidR="00815B9F" w:rsidRPr="00815B9F" w:rsidRDefault="00E253E2" w:rsidP="00DC66DF">
      <w:pPr>
        <w:keepNext/>
        <w:shd w:val="clear" w:color="auto" w:fill="FFFFFF" w:themeFill="background1"/>
        <w:overflowPunct/>
        <w:autoSpaceDE/>
        <w:autoSpaceDN/>
        <w:adjustRightInd/>
        <w:spacing w:after="120"/>
        <w:textAlignment w:val="auto"/>
        <w:rPr>
          <w:rFonts w:ascii="Calibri" w:hAnsi="Calibri" w:cs="Arial"/>
          <w:b/>
          <w:bCs/>
          <w:lang w:val="en-US" w:eastAsia="zh-CN"/>
        </w:rPr>
      </w:pPr>
      <w:proofErr w:type="spellStart"/>
      <w:r>
        <w:rPr>
          <w:rFonts w:ascii="Calibri" w:hAnsi="Calibri" w:cs="Arial"/>
          <w:lang w:val="en-US" w:eastAsia="zh-CN"/>
        </w:rPr>
        <w:t>Morever</w:t>
      </w:r>
      <w:proofErr w:type="spellEnd"/>
      <w:r w:rsidR="00496FA2">
        <w:rPr>
          <w:rFonts w:ascii="Calibri" w:hAnsi="Calibri" w:cs="Arial"/>
          <w:lang w:val="en-US" w:eastAsia="zh-CN"/>
        </w:rPr>
        <w:t>,</w:t>
      </w:r>
      <w:r>
        <w:rPr>
          <w:rFonts w:ascii="Calibri" w:hAnsi="Calibri" w:cs="Arial"/>
          <w:lang w:val="en-US" w:eastAsia="zh-CN"/>
        </w:rPr>
        <w:t xml:space="preserve"> as of September 2021</w:t>
      </w:r>
      <w:r w:rsidR="00FD12AA">
        <w:rPr>
          <w:rFonts w:ascii="Calibri" w:hAnsi="Calibri" w:cs="Arial"/>
          <w:lang w:val="en-US" w:eastAsia="zh-CN"/>
        </w:rPr>
        <w:t>,</w:t>
      </w:r>
      <w:r>
        <w:rPr>
          <w:rFonts w:ascii="Calibri" w:hAnsi="Calibri" w:cs="Arial"/>
          <w:lang w:val="en-US" w:eastAsia="zh-CN"/>
        </w:rPr>
        <w:t xml:space="preserve"> there are </w:t>
      </w:r>
      <w:r w:rsidR="00B40DFA">
        <w:rPr>
          <w:rFonts w:ascii="Calibri" w:hAnsi="Calibri" w:cs="Arial"/>
          <w:b/>
          <w:bCs/>
          <w:lang w:val="en-US" w:eastAsia="zh-CN"/>
        </w:rPr>
        <w:t>eight</w:t>
      </w:r>
      <w:r w:rsidR="00496FA2" w:rsidRPr="00E253E2">
        <w:rPr>
          <w:rFonts w:ascii="Calibri" w:hAnsi="Calibri" w:cs="Arial"/>
          <w:lang w:val="en-US" w:eastAsia="zh-CN"/>
        </w:rPr>
        <w:t xml:space="preserve"> </w:t>
      </w:r>
      <w:r w:rsidR="00FD12AA">
        <w:rPr>
          <w:rFonts w:ascii="Calibri" w:hAnsi="Calibri" w:cs="Arial"/>
          <w:lang w:val="en-US" w:eastAsia="zh-CN"/>
        </w:rPr>
        <w:t xml:space="preserve">additional </w:t>
      </w:r>
      <w:r w:rsidR="00496FA2" w:rsidRPr="00E253E2">
        <w:rPr>
          <w:rFonts w:ascii="Calibri" w:hAnsi="Calibri" w:cs="Arial"/>
          <w:lang w:val="en-US" w:eastAsia="zh-CN"/>
        </w:rPr>
        <w:t xml:space="preserve">entities </w:t>
      </w:r>
      <w:r w:rsidR="00FD12AA">
        <w:rPr>
          <w:rFonts w:ascii="Calibri" w:hAnsi="Calibri" w:cs="Arial"/>
          <w:lang w:val="en-US" w:eastAsia="zh-CN"/>
        </w:rPr>
        <w:t xml:space="preserve">which </w:t>
      </w:r>
      <w:r w:rsidRPr="00E253E2">
        <w:rPr>
          <w:rFonts w:ascii="Calibri" w:hAnsi="Calibri" w:cs="Arial"/>
          <w:lang w:val="en-US" w:eastAsia="zh-CN"/>
        </w:rPr>
        <w:t xml:space="preserve">are expected to join. They are </w:t>
      </w:r>
      <w:r w:rsidR="00496FA2" w:rsidRPr="00E253E2">
        <w:rPr>
          <w:rFonts w:ascii="Calibri" w:hAnsi="Calibri" w:cs="Arial"/>
          <w:lang w:val="en-US" w:eastAsia="zh-CN"/>
        </w:rPr>
        <w:t xml:space="preserve">currently </w:t>
      </w:r>
      <w:r w:rsidR="00162577" w:rsidRPr="00E253E2">
        <w:rPr>
          <w:rFonts w:ascii="Calibri" w:hAnsi="Calibri" w:cs="Arial"/>
          <w:lang w:val="en-US" w:eastAsia="zh-CN"/>
        </w:rPr>
        <w:t>pending</w:t>
      </w:r>
      <w:r w:rsidR="00496FA2" w:rsidRPr="00E253E2">
        <w:rPr>
          <w:rFonts w:ascii="Calibri" w:hAnsi="Calibri" w:cs="Arial"/>
          <w:lang w:val="en-US" w:eastAsia="zh-CN"/>
        </w:rPr>
        <w:t xml:space="preserve"> </w:t>
      </w:r>
      <w:r w:rsidRPr="00E253E2">
        <w:rPr>
          <w:rFonts w:ascii="Calibri" w:hAnsi="Calibri" w:cs="Arial"/>
          <w:lang w:val="en-US" w:eastAsia="zh-CN"/>
        </w:rPr>
        <w:t>clearance</w:t>
      </w:r>
      <w:r w:rsidR="00496FA2" w:rsidRPr="00E253E2">
        <w:rPr>
          <w:rFonts w:ascii="Calibri" w:hAnsi="Calibri" w:cs="Arial"/>
          <w:lang w:val="en-US" w:eastAsia="zh-CN"/>
        </w:rPr>
        <w:t xml:space="preserve"> from</w:t>
      </w:r>
      <w:r w:rsidRPr="00E253E2">
        <w:rPr>
          <w:rFonts w:ascii="Calibri" w:hAnsi="Calibri" w:cs="Arial"/>
          <w:lang w:val="en-US" w:eastAsia="zh-CN"/>
        </w:rPr>
        <w:t xml:space="preserve"> their</w:t>
      </w:r>
      <w:r w:rsidR="00496FA2" w:rsidRPr="00E253E2">
        <w:rPr>
          <w:rFonts w:ascii="Calibri" w:hAnsi="Calibri" w:cs="Arial"/>
          <w:lang w:val="en-US" w:eastAsia="zh-CN"/>
        </w:rPr>
        <w:t xml:space="preserve"> respective administrations as follows: </w:t>
      </w:r>
    </w:p>
    <w:p w14:paraId="46343E15" w14:textId="2F160449" w:rsidR="00496FA2" w:rsidRPr="00496FA2" w:rsidRDefault="00496FA2" w:rsidP="00DC66DF">
      <w:pPr>
        <w:pStyle w:val="ListParagraph"/>
        <w:keepNext/>
        <w:numPr>
          <w:ilvl w:val="0"/>
          <w:numId w:val="11"/>
        </w:numPr>
        <w:shd w:val="clear" w:color="auto" w:fill="FFFFFF" w:themeFill="background1"/>
        <w:overflowPunct/>
        <w:autoSpaceDE/>
        <w:autoSpaceDN/>
        <w:adjustRightInd/>
        <w:spacing w:before="60" w:after="60"/>
        <w:ind w:left="357" w:hanging="357"/>
        <w:contextualSpacing w:val="0"/>
        <w:textAlignment w:val="auto"/>
      </w:pPr>
      <w:r w:rsidRPr="00D227E0">
        <w:rPr>
          <w:rFonts w:ascii="Calibri" w:hAnsi="Calibri"/>
          <w:b/>
        </w:rPr>
        <w:t xml:space="preserve">Three </w:t>
      </w:r>
      <w:r w:rsidR="00B20728" w:rsidRPr="00496FA2">
        <w:rPr>
          <w:rFonts w:ascii="Calibri" w:hAnsi="Calibri"/>
          <w:b/>
          <w:bCs/>
          <w:i/>
          <w:iCs/>
        </w:rPr>
        <w:t>Sector Members</w:t>
      </w:r>
      <w:r w:rsidR="00B20728" w:rsidRPr="00B20728">
        <w:t>:</w:t>
      </w:r>
      <w:r>
        <w:t xml:space="preserve"> </w:t>
      </w:r>
      <w:r w:rsidR="00B20728" w:rsidRPr="00B20728">
        <w:t>Alpha Indo Nusa (Indonesia), Science and Advanced Global Technologies Trust (Zimbabwe), Cameroon Telecommunications (Cameroon)</w:t>
      </w:r>
      <w:r w:rsidR="00DC6DB4">
        <w:t>.</w:t>
      </w:r>
      <w:r w:rsidR="00DC66DF">
        <w:t xml:space="preserve"> </w:t>
      </w:r>
    </w:p>
    <w:p w14:paraId="10CA9821" w14:textId="4E091067" w:rsidR="00D227E0" w:rsidRPr="00B34F02" w:rsidRDefault="0020666C" w:rsidP="00DC66DF">
      <w:pPr>
        <w:pStyle w:val="ListParagraph"/>
        <w:keepNext/>
        <w:numPr>
          <w:ilvl w:val="0"/>
          <w:numId w:val="11"/>
        </w:numPr>
        <w:shd w:val="clear" w:color="auto" w:fill="FFFFFF" w:themeFill="background1"/>
        <w:overflowPunct/>
        <w:autoSpaceDE/>
        <w:autoSpaceDN/>
        <w:adjustRightInd/>
        <w:spacing w:before="60" w:after="120"/>
        <w:ind w:left="357" w:hanging="357"/>
        <w:contextualSpacing w:val="0"/>
        <w:textAlignment w:val="auto"/>
        <w:rPr>
          <w:rFonts w:ascii="Calibri" w:hAnsi="Calibri" w:cs="Arial"/>
          <w:b/>
          <w:lang w:val="en-US" w:eastAsia="zh-CN"/>
        </w:rPr>
      </w:pPr>
      <w:r>
        <w:rPr>
          <w:rFonts w:ascii="Calibri" w:hAnsi="Calibri" w:cs="Arial"/>
          <w:b/>
          <w:bCs/>
          <w:lang w:val="en-US" w:eastAsia="zh-CN"/>
        </w:rPr>
        <w:t>Five</w:t>
      </w:r>
      <w:r w:rsidR="00B20728" w:rsidRPr="00162577">
        <w:rPr>
          <w:rFonts w:ascii="Calibri" w:hAnsi="Calibri" w:cs="Arial"/>
          <w:lang w:val="en-US" w:eastAsia="zh-CN"/>
        </w:rPr>
        <w:t xml:space="preserve"> </w:t>
      </w:r>
      <w:r w:rsidR="00B20728" w:rsidRPr="00162577">
        <w:rPr>
          <w:rFonts w:ascii="Calibri" w:hAnsi="Calibri"/>
          <w:b/>
          <w:bCs/>
          <w:i/>
          <w:iCs/>
        </w:rPr>
        <w:t>Associates</w:t>
      </w:r>
      <w:r w:rsidR="00B20728" w:rsidRPr="00162577">
        <w:rPr>
          <w:b/>
          <w:bCs/>
          <w:i/>
          <w:iCs/>
        </w:rPr>
        <w:t xml:space="preserve">: </w:t>
      </w:r>
      <w:proofErr w:type="spellStart"/>
      <w:r w:rsidR="00B20728" w:rsidRPr="00B20728">
        <w:t>Acquity</w:t>
      </w:r>
      <w:proofErr w:type="spellEnd"/>
      <w:r w:rsidR="00B20728" w:rsidRPr="00B20728">
        <w:t xml:space="preserve"> Global Services (Nigeria),</w:t>
      </w:r>
      <w:r w:rsidR="003A42E3">
        <w:t xml:space="preserve"> P2P Network Communications Limited (Trinidad and Tobago</w:t>
      </w:r>
      <w:r w:rsidR="00B20728" w:rsidRPr="00B20728">
        <w:t>), Broadband India Forum (India), TELEGLOBAL Group (Liberia), The Town Owl (United States of America)</w:t>
      </w:r>
      <w:r w:rsidR="00496FA2">
        <w:t>.</w:t>
      </w:r>
    </w:p>
    <w:p w14:paraId="5B45A2E9" w14:textId="4CC70D7E" w:rsidR="00E253E2" w:rsidRDefault="0020666C" w:rsidP="00D227E0">
      <w:pPr>
        <w:keepNext/>
        <w:shd w:val="clear" w:color="auto" w:fill="FFFFFF" w:themeFill="background1"/>
        <w:overflowPunct/>
        <w:autoSpaceDE/>
        <w:autoSpaceDN/>
        <w:adjustRightInd/>
        <w:spacing w:after="120"/>
        <w:jc w:val="both"/>
        <w:textAlignment w:val="auto"/>
        <w:rPr>
          <w:rFonts w:ascii="Calibri" w:hAnsi="Calibri"/>
          <w:b/>
          <w:bCs/>
        </w:rPr>
      </w:pPr>
      <w:r>
        <w:rPr>
          <w:rFonts w:ascii="Calibri" w:hAnsi="Calibri"/>
          <w:b/>
          <w:bCs/>
          <w:noProof/>
        </w:rPr>
        <w:drawing>
          <wp:inline distT="0" distB="0" distL="0" distR="0" wp14:anchorId="085DFD11" wp14:editId="53EE5B47">
            <wp:extent cx="6120765" cy="2233930"/>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120765" cy="2233930"/>
                    </a:xfrm>
                    <a:prstGeom prst="rect">
                      <a:avLst/>
                    </a:prstGeom>
                  </pic:spPr>
                </pic:pic>
              </a:graphicData>
            </a:graphic>
          </wp:inline>
        </w:drawing>
      </w:r>
    </w:p>
    <w:p w14:paraId="49ED4EFB" w14:textId="60041D4C" w:rsidR="00B34F02" w:rsidRDefault="00D97B2F" w:rsidP="00DC66DF">
      <w:pPr>
        <w:tabs>
          <w:tab w:val="clear" w:pos="794"/>
          <w:tab w:val="clear" w:pos="1191"/>
          <w:tab w:val="clear" w:pos="1588"/>
          <w:tab w:val="clear" w:pos="1985"/>
          <w:tab w:val="left" w:pos="1134"/>
          <w:tab w:val="left" w:pos="1871"/>
          <w:tab w:val="left" w:pos="2268"/>
        </w:tabs>
        <w:spacing w:after="120"/>
        <w:rPr>
          <w:rFonts w:ascii="Calibri" w:hAnsi="Calibri"/>
        </w:rPr>
      </w:pPr>
      <w:r>
        <w:rPr>
          <w:rFonts w:ascii="Calibri" w:hAnsi="Calibri" w:cs="Arial"/>
          <w:lang w:val="en-US" w:eastAsia="zh-CN"/>
        </w:rPr>
        <w:t>In terms of Academia</w:t>
      </w:r>
      <w:r w:rsidRPr="00D97B2F">
        <w:rPr>
          <w:rStyle w:val="FootnoteReference"/>
          <w:rFonts w:cs="Arial"/>
          <w:lang w:val="en-US" w:eastAsia="zh-CN"/>
        </w:rPr>
        <w:footnoteReference w:id="5"/>
      </w:r>
      <w:r w:rsidRPr="00D97B2F">
        <w:rPr>
          <w:rFonts w:ascii="Calibri" w:hAnsi="Calibri" w:cs="Arial"/>
          <w:lang w:val="en-US" w:eastAsia="zh-CN"/>
        </w:rPr>
        <w:t>,</w:t>
      </w:r>
      <w:r>
        <w:rPr>
          <w:rFonts w:ascii="Calibri" w:hAnsi="Calibri" w:cs="Arial"/>
          <w:lang w:val="en-US" w:eastAsia="zh-CN"/>
        </w:rPr>
        <w:t xml:space="preserve"> </w:t>
      </w:r>
      <w:r w:rsidR="00E97ABD" w:rsidRPr="00E97ABD">
        <w:rPr>
          <w:rFonts w:ascii="Calibri" w:hAnsi="Calibri"/>
          <w:b/>
          <w:bCs/>
        </w:rPr>
        <w:t>Chart 3</w:t>
      </w:r>
      <w:r w:rsidR="00E97ABD">
        <w:rPr>
          <w:rFonts w:ascii="Calibri" w:hAnsi="Calibri"/>
        </w:rPr>
        <w:t xml:space="preserve"> shows that i</w:t>
      </w:r>
      <w:r w:rsidR="1830FBDA" w:rsidRPr="6EC6651B">
        <w:rPr>
          <w:rFonts w:ascii="Calibri" w:hAnsi="Calibri"/>
        </w:rPr>
        <w:t>n 2021</w:t>
      </w:r>
      <w:r w:rsidR="00D00EDC" w:rsidRPr="6EC6651B">
        <w:rPr>
          <w:rFonts w:ascii="Calibri" w:hAnsi="Calibri"/>
        </w:rPr>
        <w:t xml:space="preserve">, through efforts coordinated with the General Secretariat, </w:t>
      </w:r>
      <w:r>
        <w:rPr>
          <w:rFonts w:ascii="Calibri" w:hAnsi="Calibri"/>
          <w:b/>
          <w:bCs/>
        </w:rPr>
        <w:t>fifteen</w:t>
      </w:r>
      <w:r w:rsidR="00D00EDC" w:rsidRPr="00D97B2F">
        <w:rPr>
          <w:rFonts w:ascii="Calibri" w:hAnsi="Calibri"/>
          <w:b/>
          <w:bCs/>
          <w:i/>
          <w:iCs/>
        </w:rPr>
        <w:t xml:space="preserve"> new Academia</w:t>
      </w:r>
      <w:r w:rsidR="00BA52D7" w:rsidRPr="00D97B2F">
        <w:rPr>
          <w:rStyle w:val="FootnoteReference"/>
          <w:b/>
          <w:bCs/>
          <w:i/>
          <w:iCs/>
        </w:rPr>
        <w:footnoteReference w:id="6"/>
      </w:r>
      <w:r>
        <w:rPr>
          <w:rFonts w:ascii="Calibri" w:hAnsi="Calibri"/>
          <w:b/>
          <w:bCs/>
          <w:i/>
          <w:iCs/>
        </w:rPr>
        <w:t xml:space="preserve"> </w:t>
      </w:r>
      <w:r w:rsidRPr="00D97B2F">
        <w:rPr>
          <w:rFonts w:ascii="Calibri" w:hAnsi="Calibri"/>
        </w:rPr>
        <w:t>have been attrac</w:t>
      </w:r>
      <w:r>
        <w:rPr>
          <w:rFonts w:ascii="Calibri" w:hAnsi="Calibri"/>
        </w:rPr>
        <w:t>t</w:t>
      </w:r>
      <w:r w:rsidRPr="00D97B2F">
        <w:rPr>
          <w:rFonts w:ascii="Calibri" w:hAnsi="Calibri"/>
        </w:rPr>
        <w:t>ed.</w:t>
      </w:r>
      <w:r>
        <w:rPr>
          <w:rFonts w:ascii="Calibri" w:hAnsi="Calibri"/>
          <w:b/>
          <w:bCs/>
          <w:i/>
          <w:iCs/>
        </w:rPr>
        <w:t xml:space="preserve"> </w:t>
      </w:r>
      <w:r>
        <w:rPr>
          <w:rFonts w:ascii="Calibri" w:hAnsi="Calibri" w:cs="Arial"/>
          <w:lang w:val="en-US" w:eastAsia="zh-CN"/>
        </w:rPr>
        <w:t xml:space="preserve">Nine are fully active and six are in the process of finalizing payment. </w:t>
      </w:r>
      <w:r>
        <w:rPr>
          <w:rFonts w:ascii="Calibri" w:hAnsi="Calibri"/>
          <w:b/>
          <w:bCs/>
        </w:rPr>
        <w:t>Thirteen</w:t>
      </w:r>
      <w:r w:rsidR="6A2E70B0" w:rsidRPr="00D97B2F">
        <w:rPr>
          <w:rFonts w:ascii="Calibri" w:hAnsi="Calibri"/>
        </w:rPr>
        <w:t xml:space="preserve"> </w:t>
      </w:r>
      <w:r>
        <w:rPr>
          <w:rFonts w:ascii="Calibri" w:hAnsi="Calibri"/>
        </w:rPr>
        <w:t xml:space="preserve">are currently </w:t>
      </w:r>
      <w:r w:rsidR="0066499B">
        <w:rPr>
          <w:rFonts w:ascii="Calibri" w:hAnsi="Calibri"/>
        </w:rPr>
        <w:t>awaiting</w:t>
      </w:r>
      <w:r>
        <w:rPr>
          <w:rFonts w:ascii="Calibri" w:hAnsi="Calibri"/>
        </w:rPr>
        <w:t xml:space="preserve"> administrative approval.</w:t>
      </w:r>
    </w:p>
    <w:p w14:paraId="35BAFD61" w14:textId="25531A03" w:rsidR="00967F80" w:rsidRPr="000D358F" w:rsidRDefault="00ED3BEB" w:rsidP="009E606A">
      <w:pPr>
        <w:tabs>
          <w:tab w:val="clear" w:pos="794"/>
          <w:tab w:val="clear" w:pos="1191"/>
          <w:tab w:val="clear" w:pos="1588"/>
          <w:tab w:val="clear" w:pos="1985"/>
          <w:tab w:val="left" w:pos="1134"/>
          <w:tab w:val="left" w:pos="1871"/>
          <w:tab w:val="left" w:pos="2268"/>
        </w:tabs>
        <w:spacing w:after="120"/>
        <w:rPr>
          <w:rFonts w:ascii="Calibri" w:hAnsi="Calibri"/>
          <w:color w:val="FF0000"/>
        </w:rPr>
      </w:pPr>
      <w:r>
        <w:rPr>
          <w:noProof/>
        </w:rPr>
        <w:lastRenderedPageBreak/>
        <w:drawing>
          <wp:inline distT="0" distB="0" distL="0" distR="0" wp14:anchorId="51E7561C" wp14:editId="69A452A9">
            <wp:extent cx="6120765" cy="2177142"/>
            <wp:effectExtent l="0" t="0" r="635"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imeline&#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b="3529"/>
                    <a:stretch/>
                  </pic:blipFill>
                  <pic:spPr bwMode="auto">
                    <a:xfrm>
                      <a:off x="0" y="0"/>
                      <a:ext cx="6120765" cy="2177142"/>
                    </a:xfrm>
                    <a:prstGeom prst="rect">
                      <a:avLst/>
                    </a:prstGeom>
                    <a:noFill/>
                    <a:ln>
                      <a:noFill/>
                    </a:ln>
                    <a:extLst>
                      <a:ext uri="{53640926-AAD7-44D8-BBD7-CCE9431645EC}">
                        <a14:shadowObscured xmlns:a14="http://schemas.microsoft.com/office/drawing/2010/main"/>
                      </a:ext>
                    </a:extLst>
                  </pic:spPr>
                </pic:pic>
              </a:graphicData>
            </a:graphic>
          </wp:inline>
        </w:drawing>
      </w:r>
    </w:p>
    <w:p w14:paraId="36AC5CBD" w14:textId="23B284D1" w:rsidR="003C7EE8" w:rsidRDefault="00C25E8B" w:rsidP="00DC66DF">
      <w:r w:rsidRPr="00C25E8B">
        <w:rPr>
          <w:b/>
          <w:bCs/>
        </w:rPr>
        <w:t>Chart 4</w:t>
      </w:r>
      <w:r>
        <w:t xml:space="preserve"> below shows </w:t>
      </w:r>
      <w:r w:rsidR="0032399C">
        <w:t xml:space="preserve">ITU-D </w:t>
      </w:r>
      <w:r w:rsidR="005B38B3">
        <w:t xml:space="preserve">Membership </w:t>
      </w:r>
      <w:r w:rsidR="0032399C">
        <w:t>and Academia losses</w:t>
      </w:r>
      <w:r w:rsidR="003F0984">
        <w:t xml:space="preserve"> compared to 2020. </w:t>
      </w:r>
      <w:r w:rsidR="00A926CA">
        <w:t>I</w:t>
      </w:r>
      <w:r w:rsidR="003F0984">
        <w:t xml:space="preserve">n spite of the </w:t>
      </w:r>
      <w:r w:rsidR="00A926CA">
        <w:t xml:space="preserve">increased number of accounts at risk in 2021 due to unsettled fees, </w:t>
      </w:r>
      <w:r w:rsidR="003F0984" w:rsidRPr="00D227E0">
        <w:rPr>
          <w:color w:val="000000" w:themeColor="text1"/>
        </w:rPr>
        <w:t xml:space="preserve">the total number </w:t>
      </w:r>
      <w:r w:rsidR="003F0984">
        <w:t xml:space="preserve">of </w:t>
      </w:r>
      <w:r w:rsidR="00A926CA">
        <w:t xml:space="preserve">ITU-D </w:t>
      </w:r>
      <w:r w:rsidR="00D97B2F">
        <w:t>Membership</w:t>
      </w:r>
      <w:r w:rsidR="003C7EE8">
        <w:t xml:space="preserve"> and Academia denunciations and exclusions </w:t>
      </w:r>
      <w:r w:rsidR="003F0984">
        <w:t xml:space="preserve">is lower than 2020. </w:t>
      </w:r>
    </w:p>
    <w:p w14:paraId="27A9D79D" w14:textId="2CCEF580" w:rsidR="00A926CA" w:rsidRDefault="003F0984" w:rsidP="00DC66DF">
      <w:pPr>
        <w:rPr>
          <w:lang w:val="en-US"/>
        </w:rPr>
      </w:pPr>
      <w:r>
        <w:t>In 202</w:t>
      </w:r>
      <w:r w:rsidR="00A926CA">
        <w:t xml:space="preserve">1 </w:t>
      </w:r>
      <w:r>
        <w:t>ITU-D</w:t>
      </w:r>
      <w:r w:rsidR="00B34F02">
        <w:t xml:space="preserve"> </w:t>
      </w:r>
      <w:r>
        <w:t xml:space="preserve">lost a total of </w:t>
      </w:r>
      <w:r>
        <w:rPr>
          <w:b/>
          <w:bCs/>
        </w:rPr>
        <w:t xml:space="preserve">13 </w:t>
      </w:r>
      <w:r w:rsidRPr="00C25E8B">
        <w:rPr>
          <w:b/>
          <w:bCs/>
        </w:rPr>
        <w:t>accounts</w:t>
      </w:r>
      <w:r>
        <w:t xml:space="preserve">: </w:t>
      </w:r>
      <w:r w:rsidR="00A926CA" w:rsidRPr="00A926CA">
        <w:rPr>
          <w:b/>
          <w:bCs/>
        </w:rPr>
        <w:t>six</w:t>
      </w:r>
      <w:r>
        <w:t xml:space="preserve"> </w:t>
      </w:r>
      <w:r w:rsidRPr="00322E47">
        <w:rPr>
          <w:b/>
          <w:bCs/>
        </w:rPr>
        <w:t>denunciations</w:t>
      </w:r>
      <w:r>
        <w:rPr>
          <w:rStyle w:val="FootnoteReference"/>
          <w:b/>
          <w:bCs/>
        </w:rPr>
        <w:footnoteReference w:id="7"/>
      </w:r>
      <w:r w:rsidRPr="00322E47">
        <w:rPr>
          <w:b/>
          <w:bCs/>
        </w:rPr>
        <w:t xml:space="preserve"> </w:t>
      </w:r>
      <w:r w:rsidR="00A926CA" w:rsidRPr="00A926CA">
        <w:t>and</w:t>
      </w:r>
      <w:r w:rsidR="00A926CA">
        <w:rPr>
          <w:b/>
          <w:bCs/>
        </w:rPr>
        <w:t xml:space="preserve"> </w:t>
      </w:r>
      <w:r w:rsidR="005B38B3">
        <w:rPr>
          <w:b/>
          <w:bCs/>
        </w:rPr>
        <w:t>s</w:t>
      </w:r>
      <w:r w:rsidR="005B38B3" w:rsidRPr="00322E47">
        <w:rPr>
          <w:b/>
          <w:bCs/>
        </w:rPr>
        <w:t xml:space="preserve">even </w:t>
      </w:r>
      <w:r w:rsidR="00A926CA" w:rsidRPr="00322E47">
        <w:rPr>
          <w:b/>
          <w:bCs/>
        </w:rPr>
        <w:t>exclusions</w:t>
      </w:r>
      <w:r w:rsidR="00A926CA">
        <w:rPr>
          <w:rStyle w:val="FootnoteReference"/>
          <w:b/>
          <w:bCs/>
        </w:rPr>
        <w:footnoteReference w:id="8"/>
      </w:r>
      <w:r w:rsidR="00A926CA" w:rsidRPr="00322E47">
        <w:rPr>
          <w:b/>
          <w:bCs/>
        </w:rPr>
        <w:t xml:space="preserve"> </w:t>
      </w:r>
      <w:r>
        <w:t>(due to program closure, review of business strategy</w:t>
      </w:r>
      <w:r w:rsidR="00A926CA">
        <w:t>, financial difficulties to settle fees</w:t>
      </w:r>
      <w:r>
        <w:t xml:space="preserve"> or </w:t>
      </w:r>
      <w:r w:rsidR="00C616C0">
        <w:t xml:space="preserve">undisclosed </w:t>
      </w:r>
      <w:r>
        <w:t>reason</w:t>
      </w:r>
      <w:r w:rsidR="00C616C0">
        <w:t>s</w:t>
      </w:r>
      <w:r>
        <w:t xml:space="preserve"> undisclosed). </w:t>
      </w:r>
      <w:r w:rsidR="003C7EE8">
        <w:t>A</w:t>
      </w:r>
      <w:r>
        <w:t xml:space="preserve"> coordinated retention effort involving our field staff resulted in the retention of </w:t>
      </w:r>
      <w:r>
        <w:rPr>
          <w:b/>
          <w:bCs/>
          <w:lang w:val="en-US"/>
        </w:rPr>
        <w:t>t</w:t>
      </w:r>
      <w:r w:rsidRPr="007E3008">
        <w:rPr>
          <w:b/>
          <w:bCs/>
          <w:lang w:val="en-US"/>
        </w:rPr>
        <w:t>en</w:t>
      </w:r>
      <w:r w:rsidRPr="007E3008">
        <w:rPr>
          <w:lang w:val="en-US"/>
        </w:rPr>
        <w:t xml:space="preserve"> Sector Members</w:t>
      </w:r>
      <w:r>
        <w:rPr>
          <w:lang w:val="en-US"/>
        </w:rPr>
        <w:t>’</w:t>
      </w:r>
      <w:r w:rsidRPr="007E3008">
        <w:rPr>
          <w:lang w:val="en-US"/>
        </w:rPr>
        <w:t xml:space="preserve"> accounts</w:t>
      </w:r>
      <w:r w:rsidR="00A926CA">
        <w:rPr>
          <w:lang w:val="en-US"/>
        </w:rPr>
        <w:t xml:space="preserve"> </w:t>
      </w:r>
      <w:r w:rsidR="00C616C0">
        <w:rPr>
          <w:lang w:val="en-US"/>
        </w:rPr>
        <w:t xml:space="preserve">that were </w:t>
      </w:r>
      <w:r w:rsidR="003C7EE8">
        <w:rPr>
          <w:lang w:val="en-US"/>
        </w:rPr>
        <w:t>at risk (either by settling fees or rever</w:t>
      </w:r>
      <w:r w:rsidR="00C616C0">
        <w:rPr>
          <w:lang w:val="en-US"/>
        </w:rPr>
        <w:t>sing the</w:t>
      </w:r>
      <w:r w:rsidR="00DC66DF">
        <w:rPr>
          <w:lang w:val="en-US"/>
        </w:rPr>
        <w:t xml:space="preserve"> </w:t>
      </w:r>
      <w:r w:rsidR="003C7EE8">
        <w:rPr>
          <w:lang w:val="en-US"/>
        </w:rPr>
        <w:t xml:space="preserve">denunciations). </w:t>
      </w:r>
    </w:p>
    <w:p w14:paraId="1002E9F6" w14:textId="322B3B81" w:rsidR="005400E8" w:rsidRDefault="005C38D8" w:rsidP="00D227E0">
      <w:pPr>
        <w:jc w:val="both"/>
        <w:rPr>
          <w:lang w:val="en-US"/>
        </w:rPr>
      </w:pPr>
      <w:r>
        <w:rPr>
          <w:noProof/>
          <w:lang w:val="en-US"/>
        </w:rPr>
        <w:drawing>
          <wp:inline distT="0" distB="0" distL="0" distR="0" wp14:anchorId="3F969FF3" wp14:editId="5B17B7B8">
            <wp:extent cx="6120765" cy="2605405"/>
            <wp:effectExtent l="0" t="0" r="635" b="0"/>
            <wp:docPr id="11" name="Picture 1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0765" cy="2605405"/>
                    </a:xfrm>
                    <a:prstGeom prst="rect">
                      <a:avLst/>
                    </a:prstGeom>
                  </pic:spPr>
                </pic:pic>
              </a:graphicData>
            </a:graphic>
          </wp:inline>
        </w:drawing>
      </w:r>
    </w:p>
    <w:p w14:paraId="370D7C67" w14:textId="614F26D1" w:rsidR="00E36045" w:rsidRDefault="00A926CA" w:rsidP="00DC66DF">
      <w:pPr>
        <w:spacing w:after="120"/>
        <w:rPr>
          <w:color w:val="000000" w:themeColor="text1"/>
        </w:rPr>
      </w:pPr>
      <w:r w:rsidRPr="00A926CA">
        <w:rPr>
          <w:b/>
          <w:bCs/>
          <w:color w:val="000000" w:themeColor="text1"/>
        </w:rPr>
        <w:t>Chart 5</w:t>
      </w:r>
      <w:r w:rsidRPr="00A926CA">
        <w:rPr>
          <w:color w:val="000000" w:themeColor="text1"/>
        </w:rPr>
        <w:t xml:space="preserve"> </w:t>
      </w:r>
      <w:r w:rsidR="00E36045">
        <w:rPr>
          <w:color w:val="000000" w:themeColor="text1"/>
        </w:rPr>
        <w:t xml:space="preserve">shows the net movements </w:t>
      </w:r>
      <w:r w:rsidR="00FC0CDD">
        <w:rPr>
          <w:color w:val="000000" w:themeColor="text1"/>
        </w:rPr>
        <w:t>of</w:t>
      </w:r>
      <w:r w:rsidR="00E36045">
        <w:rPr>
          <w:color w:val="000000" w:themeColor="text1"/>
        </w:rPr>
        <w:t xml:space="preserve"> ITU-D Membership and Academia, wit</w:t>
      </w:r>
      <w:r w:rsidR="00FC0CDD">
        <w:rPr>
          <w:color w:val="000000" w:themeColor="text1"/>
        </w:rPr>
        <w:t>h</w:t>
      </w:r>
      <w:r w:rsidR="00E36045">
        <w:rPr>
          <w:color w:val="000000" w:themeColor="text1"/>
        </w:rPr>
        <w:t xml:space="preserve"> current status </w:t>
      </w:r>
      <w:r w:rsidR="00E36045" w:rsidRPr="00627809">
        <w:rPr>
          <w:color w:val="000000" w:themeColor="text1"/>
        </w:rPr>
        <w:t xml:space="preserve">as of </w:t>
      </w:r>
      <w:r w:rsidRPr="00627809">
        <w:t>September 2021</w:t>
      </w:r>
      <w:r w:rsidRPr="00E36045">
        <w:t xml:space="preserve">. </w:t>
      </w:r>
      <w:r w:rsidR="002D5D49" w:rsidRPr="00A926CA">
        <w:rPr>
          <w:color w:val="000000" w:themeColor="text1"/>
        </w:rPr>
        <w:t>T</w:t>
      </w:r>
      <w:r>
        <w:rPr>
          <w:color w:val="000000" w:themeColor="text1"/>
        </w:rPr>
        <w:t>he final figures show</w:t>
      </w:r>
      <w:r w:rsidR="003C070A">
        <w:rPr>
          <w:color w:val="000000" w:themeColor="text1"/>
        </w:rPr>
        <w:t xml:space="preserve"> th</w:t>
      </w:r>
      <w:r w:rsidR="00E36045">
        <w:rPr>
          <w:color w:val="000000" w:themeColor="text1"/>
        </w:rPr>
        <w:t>at by September 2021 there are 30</w:t>
      </w:r>
      <w:r w:rsidR="0020666C">
        <w:rPr>
          <w:color w:val="000000" w:themeColor="text1"/>
        </w:rPr>
        <w:t>1</w:t>
      </w:r>
      <w:r w:rsidR="00E36045">
        <w:rPr>
          <w:color w:val="000000" w:themeColor="text1"/>
        </w:rPr>
        <w:t xml:space="preserve"> Sector Members, 17 Associates and 163 Academia. </w:t>
      </w:r>
    </w:p>
    <w:p w14:paraId="20D25D21" w14:textId="34910741" w:rsidR="003C070A" w:rsidRPr="00A926CA" w:rsidRDefault="0020666C" w:rsidP="002A0C53">
      <w:pPr>
        <w:spacing w:after="120"/>
        <w:jc w:val="both"/>
        <w:rPr>
          <w:color w:val="000000" w:themeColor="text1"/>
        </w:rPr>
      </w:pPr>
      <w:r>
        <w:rPr>
          <w:noProof/>
          <w:color w:val="000000" w:themeColor="text1"/>
        </w:rPr>
        <w:lastRenderedPageBreak/>
        <w:drawing>
          <wp:inline distT="0" distB="0" distL="0" distR="0" wp14:anchorId="321CBE95" wp14:editId="173E3942">
            <wp:extent cx="6120765" cy="1914525"/>
            <wp:effectExtent l="0" t="0" r="0" b="952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0765" cy="1914525"/>
                    </a:xfrm>
                    <a:prstGeom prst="rect">
                      <a:avLst/>
                    </a:prstGeom>
                  </pic:spPr>
                </pic:pic>
              </a:graphicData>
            </a:graphic>
          </wp:inline>
        </w:drawing>
      </w:r>
    </w:p>
    <w:p w14:paraId="3A828D28" w14:textId="7FDC9801" w:rsidR="00180391" w:rsidRPr="00A244BC" w:rsidRDefault="00180391" w:rsidP="00DC66DF">
      <w:pPr>
        <w:keepNext/>
        <w:numPr>
          <w:ilvl w:val="0"/>
          <w:numId w:val="6"/>
        </w:numPr>
        <w:tabs>
          <w:tab w:val="clear" w:pos="794"/>
          <w:tab w:val="clear" w:pos="1191"/>
          <w:tab w:val="clear" w:pos="1588"/>
          <w:tab w:val="clear" w:pos="1985"/>
          <w:tab w:val="left" w:pos="1134"/>
          <w:tab w:val="left" w:pos="1871"/>
          <w:tab w:val="left" w:pos="2268"/>
        </w:tabs>
        <w:overflowPunct/>
        <w:autoSpaceDE/>
        <w:autoSpaceDN/>
        <w:adjustRightInd/>
        <w:spacing w:after="120"/>
        <w:ind w:left="357" w:hanging="357"/>
        <w:textAlignment w:val="auto"/>
        <w:rPr>
          <w:rFonts w:ascii="Calibri" w:hAnsi="Calibri" w:cs="Arial"/>
          <w:b/>
          <w:bCs/>
          <w:szCs w:val="24"/>
          <w:lang w:val="en-US" w:eastAsia="zh-CN"/>
        </w:rPr>
      </w:pPr>
      <w:r>
        <w:rPr>
          <w:rFonts w:ascii="Calibri" w:hAnsi="Calibri" w:cs="Arial"/>
          <w:b/>
          <w:bCs/>
          <w:szCs w:val="24"/>
          <w:lang w:val="en-US" w:eastAsia="zh-CN"/>
        </w:rPr>
        <w:t>Engagement, retention, promotion and ou</w:t>
      </w:r>
      <w:r w:rsidR="00D227E0">
        <w:rPr>
          <w:rFonts w:ascii="Calibri" w:hAnsi="Calibri" w:cs="Arial"/>
          <w:b/>
          <w:bCs/>
          <w:szCs w:val="24"/>
          <w:lang w:val="en-US" w:eastAsia="zh-CN"/>
        </w:rPr>
        <w:t>t</w:t>
      </w:r>
      <w:r>
        <w:rPr>
          <w:rFonts w:ascii="Calibri" w:hAnsi="Calibri" w:cs="Arial"/>
          <w:b/>
          <w:bCs/>
          <w:szCs w:val="24"/>
          <w:lang w:val="en-US" w:eastAsia="zh-CN"/>
        </w:rPr>
        <w:t>reach</w:t>
      </w:r>
    </w:p>
    <w:p w14:paraId="3D6E0994" w14:textId="77777777" w:rsidR="00180391" w:rsidRPr="00D00EDC" w:rsidRDefault="00180391" w:rsidP="00DC66DF">
      <w:pPr>
        <w:spacing w:after="120"/>
        <w:rPr>
          <w:rFonts w:ascii="Calibri" w:hAnsi="Calibri"/>
          <w:szCs w:val="24"/>
        </w:rPr>
      </w:pPr>
      <w:r>
        <w:rPr>
          <w:color w:val="000000" w:themeColor="text1"/>
        </w:rPr>
        <w:t xml:space="preserve">In addition to regular </w:t>
      </w:r>
      <w:r>
        <w:rPr>
          <w:rFonts w:ascii="Calibri" w:hAnsi="Calibri"/>
          <w:szCs w:val="24"/>
        </w:rPr>
        <w:t xml:space="preserve">membership outreach, engagement and retention actions, the </w:t>
      </w:r>
      <w:r w:rsidRPr="00D00EDC">
        <w:rPr>
          <w:rFonts w:ascii="Calibri" w:hAnsi="Calibri"/>
          <w:szCs w:val="24"/>
        </w:rPr>
        <w:t xml:space="preserve">BDT </w:t>
      </w:r>
      <w:r>
        <w:rPr>
          <w:rFonts w:ascii="Calibri" w:hAnsi="Calibri"/>
          <w:szCs w:val="24"/>
        </w:rPr>
        <w:t>continued to</w:t>
      </w:r>
      <w:r w:rsidRPr="00D00EDC">
        <w:rPr>
          <w:rFonts w:ascii="Calibri" w:hAnsi="Calibri"/>
          <w:szCs w:val="24"/>
        </w:rPr>
        <w:t xml:space="preserve"> </w:t>
      </w:r>
      <w:proofErr w:type="gramStart"/>
      <w:r w:rsidRPr="00D00EDC">
        <w:rPr>
          <w:rFonts w:ascii="Calibri" w:hAnsi="Calibri"/>
          <w:szCs w:val="24"/>
        </w:rPr>
        <w:t>carried</w:t>
      </w:r>
      <w:proofErr w:type="gramEnd"/>
      <w:r w:rsidRPr="00D00EDC">
        <w:rPr>
          <w:rFonts w:ascii="Calibri" w:hAnsi="Calibri"/>
          <w:szCs w:val="24"/>
        </w:rPr>
        <w:t xml:space="preserve"> out </w:t>
      </w:r>
      <w:r>
        <w:rPr>
          <w:rFonts w:ascii="Calibri" w:hAnsi="Calibri"/>
          <w:szCs w:val="24"/>
        </w:rPr>
        <w:t xml:space="preserve">the following: </w:t>
      </w:r>
    </w:p>
    <w:p w14:paraId="417248A2" w14:textId="77777777" w:rsidR="00180391" w:rsidRPr="001F1C15" w:rsidRDefault="00180391" w:rsidP="00DC66DF">
      <w:pPr>
        <w:pStyle w:val="ListParagraph"/>
        <w:numPr>
          <w:ilvl w:val="0"/>
          <w:numId w:val="5"/>
        </w:numPr>
        <w:spacing w:before="60" w:after="60"/>
        <w:ind w:left="414" w:hanging="357"/>
        <w:contextualSpacing w:val="0"/>
        <w:rPr>
          <w:rFonts w:ascii="Calibri" w:hAnsi="Calibri"/>
        </w:rPr>
      </w:pPr>
      <w:r w:rsidRPr="2B453320">
        <w:rPr>
          <w:rFonts w:ascii="Calibri" w:hAnsi="Calibri"/>
        </w:rPr>
        <w:t xml:space="preserve">The </w:t>
      </w:r>
      <w:r w:rsidRPr="2B453320">
        <w:rPr>
          <w:rFonts w:ascii="Calibri" w:hAnsi="Calibri"/>
          <w:b/>
          <w:bCs/>
        </w:rPr>
        <w:t xml:space="preserve">Industry Advisory Group </w:t>
      </w:r>
      <w:r>
        <w:rPr>
          <w:rFonts w:ascii="Calibri" w:hAnsi="Calibri"/>
          <w:b/>
          <w:bCs/>
        </w:rPr>
        <w:t>on</w:t>
      </w:r>
      <w:r w:rsidRPr="2B453320">
        <w:rPr>
          <w:rFonts w:ascii="Calibri" w:hAnsi="Calibri"/>
          <w:b/>
          <w:bCs/>
        </w:rPr>
        <w:t xml:space="preserve"> Development Issues and the Private Sector Chief Regulatory Officers (IAGDI-CRO)</w:t>
      </w:r>
      <w:r w:rsidRPr="2B453320">
        <w:rPr>
          <w:rFonts w:ascii="Calibri" w:hAnsi="Calibri"/>
        </w:rPr>
        <w:t xml:space="preserve"> meeting was held virtually on June 22</w:t>
      </w:r>
      <w:r>
        <w:rPr>
          <w:rFonts w:ascii="Calibri" w:hAnsi="Calibri"/>
        </w:rPr>
        <w:t>, 2021</w:t>
      </w:r>
      <w:r w:rsidRPr="2B453320">
        <w:rPr>
          <w:rFonts w:ascii="Calibri" w:hAnsi="Calibri"/>
        </w:rPr>
        <w:t xml:space="preserve">, </w:t>
      </w:r>
      <w:r>
        <w:rPr>
          <w:rFonts w:ascii="Calibri" w:hAnsi="Calibri"/>
        </w:rPr>
        <w:t>The</w:t>
      </w:r>
      <w:r w:rsidRPr="2B453320">
        <w:rPr>
          <w:rFonts w:ascii="Calibri" w:hAnsi="Calibri"/>
        </w:rPr>
        <w:t xml:space="preserve"> </w:t>
      </w:r>
      <w:hyperlink r:id="rId19">
        <w:r w:rsidRPr="2B453320">
          <w:rPr>
            <w:rStyle w:val="Hyperlink"/>
            <w:rFonts w:ascii="Calibri" w:hAnsi="Calibri"/>
          </w:rPr>
          <w:t>Outcome Statement</w:t>
        </w:r>
      </w:hyperlink>
      <w:r w:rsidRPr="2B453320">
        <w:rPr>
          <w:rFonts w:ascii="Calibri" w:hAnsi="Calibri"/>
        </w:rPr>
        <w:t xml:space="preserve"> </w:t>
      </w:r>
      <w:r>
        <w:rPr>
          <w:rFonts w:ascii="Calibri" w:hAnsi="Calibri"/>
        </w:rPr>
        <w:t xml:space="preserve">and the Chairman’s Report which can be found </w:t>
      </w:r>
      <w:hyperlink r:id="rId20" w:history="1">
        <w:r w:rsidRPr="00934A68">
          <w:rPr>
            <w:rStyle w:val="Hyperlink"/>
            <w:rFonts w:ascii="Calibri" w:hAnsi="Calibri"/>
          </w:rPr>
          <w:t>here</w:t>
        </w:r>
      </w:hyperlink>
      <w:r w:rsidRPr="2B453320">
        <w:rPr>
          <w:rFonts w:ascii="Calibri" w:hAnsi="Calibri"/>
        </w:rPr>
        <w:t xml:space="preserve">. The upcoming IAGDI-CRO, with an exclusive focus on the Partner2Connect </w:t>
      </w:r>
      <w:r>
        <w:rPr>
          <w:rFonts w:ascii="Calibri" w:hAnsi="Calibri"/>
        </w:rPr>
        <w:t>Initiative</w:t>
      </w:r>
      <w:r w:rsidRPr="2B453320">
        <w:rPr>
          <w:rFonts w:ascii="Calibri" w:hAnsi="Calibri"/>
        </w:rPr>
        <w:t>, will take place on February 2022</w:t>
      </w:r>
      <w:r>
        <w:rPr>
          <w:rFonts w:ascii="Calibri" w:hAnsi="Calibri"/>
        </w:rPr>
        <w:t xml:space="preserve"> at date soon to be defined</w:t>
      </w:r>
      <w:r w:rsidRPr="2B453320">
        <w:rPr>
          <w:rFonts w:ascii="Calibri" w:hAnsi="Calibri"/>
        </w:rPr>
        <w:t xml:space="preserve">. </w:t>
      </w:r>
    </w:p>
    <w:p w14:paraId="58594ED5" w14:textId="77777777" w:rsidR="00180391" w:rsidRPr="001F1C15" w:rsidRDefault="00180391" w:rsidP="00DC66DF">
      <w:pPr>
        <w:pStyle w:val="ListParagraph"/>
        <w:numPr>
          <w:ilvl w:val="0"/>
          <w:numId w:val="5"/>
        </w:numPr>
        <w:spacing w:before="60" w:after="60"/>
        <w:ind w:left="414" w:hanging="357"/>
        <w:contextualSpacing w:val="0"/>
        <w:rPr>
          <w:rFonts w:ascii="Calibri" w:hAnsi="Calibri"/>
        </w:rPr>
      </w:pPr>
      <w:r>
        <w:rPr>
          <w:b/>
          <w:bCs/>
          <w:szCs w:val="24"/>
          <w:lang w:eastAsia="zh-CN"/>
        </w:rPr>
        <w:t>ITU-D members T</w:t>
      </w:r>
      <w:r w:rsidRPr="2B453320">
        <w:rPr>
          <w:rFonts w:eastAsia="Times New Roman"/>
          <w:b/>
          <w:bCs/>
          <w:szCs w:val="24"/>
        </w:rPr>
        <w:t xml:space="preserve">estimonials </w:t>
      </w:r>
      <w:r>
        <w:rPr>
          <w:rFonts w:eastAsia="Times New Roman"/>
          <w:b/>
          <w:bCs/>
          <w:szCs w:val="24"/>
        </w:rPr>
        <w:t>C</w:t>
      </w:r>
      <w:r w:rsidRPr="2B453320">
        <w:rPr>
          <w:rFonts w:eastAsia="Times New Roman"/>
          <w:b/>
          <w:bCs/>
          <w:szCs w:val="24"/>
        </w:rPr>
        <w:t>ampaign</w:t>
      </w:r>
      <w:r w:rsidRPr="2B453320">
        <w:rPr>
          <w:rFonts w:eastAsia="Times New Roman"/>
          <w:szCs w:val="24"/>
        </w:rPr>
        <w:t xml:space="preserve"> </w:t>
      </w:r>
      <w:r>
        <w:rPr>
          <w:rFonts w:eastAsia="Times New Roman"/>
          <w:szCs w:val="24"/>
        </w:rPr>
        <w:t>was launched and will continue to collect C-level</w:t>
      </w:r>
      <w:r w:rsidRPr="2B453320">
        <w:rPr>
          <w:rFonts w:eastAsia="Times New Roman"/>
          <w:szCs w:val="24"/>
        </w:rPr>
        <w:t xml:space="preserve"> </w:t>
      </w:r>
      <w:r>
        <w:rPr>
          <w:rFonts w:eastAsia="Times New Roman"/>
          <w:szCs w:val="24"/>
        </w:rPr>
        <w:t>industry and private sector members views on the value of ITU-D membership , promoted on ITU events and social media:</w:t>
      </w:r>
      <w:r w:rsidRPr="2B453320">
        <w:rPr>
          <w:rFonts w:eastAsia="Times New Roman"/>
          <w:szCs w:val="24"/>
        </w:rPr>
        <w:t xml:space="preserve"> </w:t>
      </w:r>
      <w:hyperlink r:id="rId21" w:history="1">
        <w:r w:rsidRPr="00BC3BB8">
          <w:rPr>
            <w:rStyle w:val="Hyperlink"/>
            <w:rFonts w:eastAsia="Times New Roman"/>
            <w:szCs w:val="24"/>
          </w:rPr>
          <w:t>“Why are we ITU-D Members?”</w:t>
        </w:r>
      </w:hyperlink>
      <w:r>
        <w:rPr>
          <w:rFonts w:eastAsia="Times New Roman"/>
          <w:szCs w:val="24"/>
        </w:rPr>
        <w:t xml:space="preserve"> as additional outreach material to new prospects.</w:t>
      </w:r>
    </w:p>
    <w:p w14:paraId="7532355D" w14:textId="01C56071" w:rsidR="00180391" w:rsidRPr="00B34F02" w:rsidRDefault="00180391" w:rsidP="00DC66DF">
      <w:pPr>
        <w:pStyle w:val="ListParagraph"/>
        <w:numPr>
          <w:ilvl w:val="0"/>
          <w:numId w:val="5"/>
        </w:numPr>
        <w:spacing w:before="60" w:after="60"/>
        <w:ind w:left="426" w:hanging="426"/>
        <w:contextualSpacing w:val="0"/>
        <w:rPr>
          <w:rFonts w:ascii="Calibri" w:hAnsi="Calibri"/>
        </w:rPr>
      </w:pPr>
      <w:r w:rsidRPr="6EC6651B">
        <w:rPr>
          <w:rFonts w:ascii="Calibri" w:hAnsi="Calibri"/>
          <w:b/>
          <w:bCs/>
        </w:rPr>
        <w:t>The Know Your Members Series</w:t>
      </w:r>
      <w:r w:rsidRPr="6EC6651B">
        <w:rPr>
          <w:rFonts w:ascii="Calibri" w:hAnsi="Calibri"/>
        </w:rPr>
        <w:t xml:space="preserve"> </w:t>
      </w:r>
      <w:r>
        <w:rPr>
          <w:rFonts w:ascii="Calibri" w:hAnsi="Calibri"/>
        </w:rPr>
        <w:t xml:space="preserve">and </w:t>
      </w:r>
      <w:r w:rsidRPr="00C67EA5">
        <w:rPr>
          <w:rFonts w:ascii="Calibri" w:hAnsi="Calibri"/>
        </w:rPr>
        <w:t>the</w:t>
      </w:r>
      <w:r w:rsidRPr="6EC6651B">
        <w:rPr>
          <w:rFonts w:ascii="Calibri" w:hAnsi="Calibri"/>
          <w:b/>
          <w:bCs/>
        </w:rPr>
        <w:t xml:space="preserve"> Tech Talks Series </w:t>
      </w:r>
      <w:r>
        <w:rPr>
          <w:rFonts w:ascii="Calibri" w:hAnsi="Calibri"/>
        </w:rPr>
        <w:t xml:space="preserve">- </w:t>
      </w:r>
      <w:r w:rsidRPr="6EC6651B">
        <w:rPr>
          <w:rFonts w:ascii="Calibri" w:hAnsi="Calibri"/>
        </w:rPr>
        <w:t>launched</w:t>
      </w:r>
      <w:r>
        <w:rPr>
          <w:rFonts w:ascii="Calibri" w:hAnsi="Calibri"/>
        </w:rPr>
        <w:t xml:space="preserve"> in 2021 continues to provide a members-only platform for consultations with management and knowledge exchange amongst industry peers and ITU staff.</w:t>
      </w:r>
      <w:r w:rsidR="00DC66DF">
        <w:rPr>
          <w:rFonts w:ascii="Calibri" w:hAnsi="Calibri"/>
        </w:rPr>
        <w:t xml:space="preserve"> </w:t>
      </w:r>
      <w:r>
        <w:rPr>
          <w:rFonts w:ascii="Calibri" w:hAnsi="Calibri"/>
        </w:rPr>
        <w:t xml:space="preserve">The </w:t>
      </w:r>
      <w:r>
        <w:t xml:space="preserve">upcoming Know Your Members </w:t>
      </w:r>
      <w:r w:rsidRPr="00E13C28">
        <w:t xml:space="preserve">session with </w:t>
      </w:r>
      <w:r>
        <w:t>ITU-D</w:t>
      </w:r>
      <w:r w:rsidRPr="00E13C28">
        <w:t xml:space="preserve"> Recognized Operating Agencies (ROA) community </w:t>
      </w:r>
      <w:r>
        <w:t>will be held</w:t>
      </w:r>
      <w:r w:rsidRPr="00E13C28">
        <w:t xml:space="preserve"> on 14 October 2021, </w:t>
      </w:r>
      <w:r>
        <w:t xml:space="preserve">The Tech Talks session will be held on 4 November 2021 with the Other Entity membership community. More information can be found </w:t>
      </w:r>
      <w:hyperlink r:id="rId22" w:history="1">
        <w:r w:rsidRPr="00864CEE">
          <w:rPr>
            <w:rStyle w:val="Hyperlink"/>
          </w:rPr>
          <w:t>here</w:t>
        </w:r>
      </w:hyperlink>
      <w:r>
        <w:t xml:space="preserve"> on upcoming and prior meetings. </w:t>
      </w:r>
    </w:p>
    <w:p w14:paraId="223637E2" w14:textId="77777777" w:rsidR="00180391" w:rsidRPr="00215FEC" w:rsidRDefault="00180391" w:rsidP="00DC66DF">
      <w:pPr>
        <w:keepNext/>
        <w:numPr>
          <w:ilvl w:val="0"/>
          <w:numId w:val="6"/>
        </w:numPr>
        <w:tabs>
          <w:tab w:val="clear" w:pos="794"/>
          <w:tab w:val="clear" w:pos="1191"/>
          <w:tab w:val="clear" w:pos="1588"/>
          <w:tab w:val="clear" w:pos="1985"/>
          <w:tab w:val="left" w:pos="1134"/>
          <w:tab w:val="left" w:pos="1871"/>
          <w:tab w:val="left" w:pos="2268"/>
        </w:tabs>
        <w:overflowPunct/>
        <w:autoSpaceDE/>
        <w:autoSpaceDN/>
        <w:adjustRightInd/>
        <w:spacing w:after="120"/>
        <w:ind w:left="357" w:hanging="357"/>
        <w:textAlignment w:val="auto"/>
        <w:rPr>
          <w:rFonts w:ascii="Calibri" w:hAnsi="Calibri" w:cs="Arial"/>
          <w:b/>
          <w:bCs/>
          <w:szCs w:val="24"/>
          <w:lang w:val="en-US" w:eastAsia="zh-CN"/>
        </w:rPr>
      </w:pPr>
      <w:r w:rsidRPr="00215FEC">
        <w:rPr>
          <w:rFonts w:ascii="Calibri" w:hAnsi="Calibri" w:cs="Arial"/>
          <w:b/>
          <w:bCs/>
          <w:szCs w:val="24"/>
          <w:lang w:val="en-US" w:eastAsia="zh-CN"/>
        </w:rPr>
        <w:t>Conclusions</w:t>
      </w:r>
    </w:p>
    <w:p w14:paraId="150A9FC3" w14:textId="77777777" w:rsidR="00180391" w:rsidRPr="00D00EDC" w:rsidRDefault="00180391" w:rsidP="00DC66DF">
      <w:pPr>
        <w:tabs>
          <w:tab w:val="clear" w:pos="794"/>
          <w:tab w:val="clear" w:pos="1191"/>
          <w:tab w:val="clear" w:pos="1588"/>
          <w:tab w:val="clear" w:pos="1985"/>
          <w:tab w:val="left" w:pos="1134"/>
          <w:tab w:val="left" w:pos="1871"/>
          <w:tab w:val="left" w:pos="2268"/>
        </w:tabs>
        <w:spacing w:after="120"/>
        <w:rPr>
          <w:rFonts w:ascii="Calibri" w:hAnsi="Calibri"/>
        </w:rPr>
      </w:pPr>
      <w:r w:rsidRPr="00D00EDC">
        <w:rPr>
          <w:rFonts w:ascii="Calibri" w:hAnsi="Calibri"/>
        </w:rPr>
        <w:t xml:space="preserve">BDT </w:t>
      </w:r>
      <w:r>
        <w:rPr>
          <w:rFonts w:ascii="Calibri" w:hAnsi="Calibri"/>
        </w:rPr>
        <w:t>is determined to:</w:t>
      </w:r>
    </w:p>
    <w:p w14:paraId="539FBA54" w14:textId="0F46EA70" w:rsidR="00180391" w:rsidRPr="00A46F69" w:rsidRDefault="00180391" w:rsidP="00DC66DF">
      <w:pPr>
        <w:numPr>
          <w:ilvl w:val="0"/>
          <w:numId w:val="4"/>
        </w:numPr>
        <w:tabs>
          <w:tab w:val="clear" w:pos="794"/>
          <w:tab w:val="clear" w:pos="1191"/>
          <w:tab w:val="clear" w:pos="1588"/>
          <w:tab w:val="clear" w:pos="1985"/>
          <w:tab w:val="left" w:pos="1134"/>
          <w:tab w:val="left" w:pos="1871"/>
          <w:tab w:val="left" w:pos="2268"/>
        </w:tabs>
        <w:spacing w:before="60" w:after="60"/>
        <w:ind w:left="357" w:hanging="357"/>
        <w:rPr>
          <w:rFonts w:ascii="Calibri" w:hAnsi="Calibri"/>
        </w:rPr>
      </w:pPr>
      <w:r>
        <w:rPr>
          <w:rFonts w:ascii="Calibri" w:hAnsi="Calibri"/>
          <w:color w:val="000000" w:themeColor="text1"/>
        </w:rPr>
        <w:t>mitigate</w:t>
      </w:r>
      <w:r w:rsidRPr="007A6F27">
        <w:rPr>
          <w:rFonts w:ascii="Calibri" w:hAnsi="Calibri"/>
          <w:color w:val="000000" w:themeColor="text1"/>
        </w:rPr>
        <w:t xml:space="preserve"> </w:t>
      </w:r>
      <w:r w:rsidR="00C616C0">
        <w:rPr>
          <w:rFonts w:ascii="Calibri" w:hAnsi="Calibri"/>
          <w:color w:val="000000" w:themeColor="text1"/>
        </w:rPr>
        <w:t xml:space="preserve">the impact of </w:t>
      </w:r>
      <w:r w:rsidRPr="007A6F27">
        <w:rPr>
          <w:rFonts w:ascii="Calibri" w:hAnsi="Calibri"/>
          <w:color w:val="000000" w:themeColor="text1"/>
        </w:rPr>
        <w:t>COVID</w:t>
      </w:r>
      <w:r>
        <w:rPr>
          <w:rFonts w:ascii="Calibri" w:hAnsi="Calibri"/>
          <w:color w:val="000000" w:themeColor="text1"/>
        </w:rPr>
        <w:t>-19</w:t>
      </w:r>
      <w:r w:rsidRPr="007A6F27">
        <w:rPr>
          <w:rFonts w:ascii="Calibri" w:hAnsi="Calibri"/>
          <w:color w:val="000000" w:themeColor="text1"/>
        </w:rPr>
        <w:t xml:space="preserve"> </w:t>
      </w:r>
      <w:r>
        <w:rPr>
          <w:rFonts w:ascii="Calibri" w:hAnsi="Calibri"/>
          <w:color w:val="000000" w:themeColor="text1"/>
        </w:rPr>
        <w:t>by taking measures to</w:t>
      </w:r>
      <w:r>
        <w:rPr>
          <w:rFonts w:ascii="Calibri" w:hAnsi="Calibri"/>
        </w:rPr>
        <w:t xml:space="preserve"> attract new</w:t>
      </w:r>
      <w:r w:rsidRPr="00D00EDC">
        <w:rPr>
          <w:rFonts w:ascii="Calibri" w:hAnsi="Calibri"/>
        </w:rPr>
        <w:t xml:space="preserve"> </w:t>
      </w:r>
      <w:r>
        <w:rPr>
          <w:rFonts w:ascii="Calibri" w:hAnsi="Calibri"/>
        </w:rPr>
        <w:t>Sector M</w:t>
      </w:r>
      <w:r w:rsidRPr="00D00EDC">
        <w:rPr>
          <w:rFonts w:ascii="Calibri" w:hAnsi="Calibri"/>
        </w:rPr>
        <w:t xml:space="preserve">embers </w:t>
      </w:r>
      <w:r>
        <w:rPr>
          <w:rFonts w:ascii="Calibri" w:hAnsi="Calibri"/>
        </w:rPr>
        <w:t xml:space="preserve">and </w:t>
      </w:r>
      <w:r w:rsidRPr="00D00EDC">
        <w:rPr>
          <w:rFonts w:ascii="Calibri" w:hAnsi="Calibri"/>
        </w:rPr>
        <w:t>retain</w:t>
      </w:r>
      <w:r w:rsidRPr="00A46F69">
        <w:rPr>
          <w:rFonts w:ascii="Calibri" w:hAnsi="Calibri"/>
        </w:rPr>
        <w:t xml:space="preserve"> current ones; </w:t>
      </w:r>
    </w:p>
    <w:p w14:paraId="31BC1517" w14:textId="77777777" w:rsidR="00180391" w:rsidRDefault="00180391" w:rsidP="00DC66DF">
      <w:pPr>
        <w:numPr>
          <w:ilvl w:val="0"/>
          <w:numId w:val="4"/>
        </w:numPr>
        <w:tabs>
          <w:tab w:val="clear" w:pos="794"/>
          <w:tab w:val="clear" w:pos="1191"/>
          <w:tab w:val="clear" w:pos="1588"/>
          <w:tab w:val="clear" w:pos="1985"/>
          <w:tab w:val="left" w:pos="1134"/>
          <w:tab w:val="left" w:pos="1871"/>
          <w:tab w:val="left" w:pos="2268"/>
        </w:tabs>
        <w:spacing w:before="60" w:after="60"/>
        <w:ind w:left="357" w:hanging="357"/>
        <w:rPr>
          <w:rFonts w:ascii="Calibri" w:hAnsi="Calibri"/>
        </w:rPr>
      </w:pPr>
      <w:r>
        <w:rPr>
          <w:rFonts w:ascii="Calibri" w:hAnsi="Calibri"/>
        </w:rPr>
        <w:t>increase engagement with ITU-D Sector Members in the work of the Sector by demonstrating value. In turn, this has created fertile ground for ITU-D Members to engage in partnerships that unlock financial resources for the financing of high-impact projects and initiatives;</w:t>
      </w:r>
    </w:p>
    <w:p w14:paraId="1781CE67" w14:textId="77777777" w:rsidR="00180391" w:rsidRDefault="00180391" w:rsidP="00DC66DF">
      <w:pPr>
        <w:numPr>
          <w:ilvl w:val="0"/>
          <w:numId w:val="4"/>
        </w:numPr>
        <w:tabs>
          <w:tab w:val="clear" w:pos="794"/>
          <w:tab w:val="clear" w:pos="1191"/>
          <w:tab w:val="clear" w:pos="1588"/>
          <w:tab w:val="clear" w:pos="1985"/>
          <w:tab w:val="left" w:pos="1134"/>
          <w:tab w:val="left" w:pos="1871"/>
          <w:tab w:val="left" w:pos="2268"/>
        </w:tabs>
        <w:spacing w:before="60" w:after="60"/>
        <w:ind w:left="357" w:hanging="357"/>
        <w:rPr>
          <w:rFonts w:ascii="Calibri" w:hAnsi="Calibri"/>
        </w:rPr>
      </w:pPr>
      <w:r>
        <w:rPr>
          <w:rFonts w:ascii="Calibri" w:hAnsi="Calibri"/>
        </w:rPr>
        <w:t>i</w:t>
      </w:r>
      <w:r w:rsidRPr="00D00EDC">
        <w:rPr>
          <w:rFonts w:ascii="Calibri" w:hAnsi="Calibri"/>
        </w:rPr>
        <w:t>ncrease</w:t>
      </w:r>
      <w:r>
        <w:rPr>
          <w:rFonts w:ascii="Calibri" w:hAnsi="Calibri"/>
        </w:rPr>
        <w:t xml:space="preserve"> the</w:t>
      </w:r>
      <w:r w:rsidRPr="00D00EDC">
        <w:rPr>
          <w:rFonts w:ascii="Calibri" w:hAnsi="Calibri"/>
        </w:rPr>
        <w:t xml:space="preserve"> participation of </w:t>
      </w:r>
      <w:r>
        <w:rPr>
          <w:rFonts w:ascii="Calibri" w:hAnsi="Calibri"/>
        </w:rPr>
        <w:t xml:space="preserve">ITU-D Sector Members </w:t>
      </w:r>
      <w:r w:rsidRPr="00D00EDC">
        <w:rPr>
          <w:rFonts w:ascii="Calibri" w:hAnsi="Calibri"/>
        </w:rPr>
        <w:t xml:space="preserve">in the </w:t>
      </w:r>
      <w:r>
        <w:rPr>
          <w:rFonts w:ascii="Calibri" w:hAnsi="Calibri"/>
        </w:rPr>
        <w:t xml:space="preserve">Sector’s </w:t>
      </w:r>
      <w:r w:rsidRPr="00D00EDC">
        <w:rPr>
          <w:rFonts w:ascii="Calibri" w:hAnsi="Calibri"/>
        </w:rPr>
        <w:t xml:space="preserve">activities and events </w:t>
      </w:r>
      <w:r>
        <w:rPr>
          <w:rFonts w:ascii="Calibri" w:hAnsi="Calibri"/>
        </w:rPr>
        <w:t>for impact;</w:t>
      </w:r>
    </w:p>
    <w:p w14:paraId="69D7FDFD" w14:textId="437BE4C0" w:rsidR="00180391" w:rsidRDefault="00180391" w:rsidP="00DC66DF">
      <w:pPr>
        <w:numPr>
          <w:ilvl w:val="0"/>
          <w:numId w:val="4"/>
        </w:numPr>
        <w:tabs>
          <w:tab w:val="clear" w:pos="794"/>
          <w:tab w:val="clear" w:pos="1191"/>
          <w:tab w:val="clear" w:pos="1588"/>
          <w:tab w:val="clear" w:pos="1985"/>
          <w:tab w:val="left" w:pos="1134"/>
          <w:tab w:val="left" w:pos="1871"/>
          <w:tab w:val="left" w:pos="2268"/>
        </w:tabs>
        <w:spacing w:before="60" w:after="60"/>
        <w:ind w:left="357" w:hanging="357"/>
        <w:rPr>
          <w:rFonts w:ascii="Calibri" w:hAnsi="Calibri"/>
        </w:rPr>
      </w:pPr>
      <w:r>
        <w:rPr>
          <w:rFonts w:ascii="Calibri" w:hAnsi="Calibri"/>
        </w:rPr>
        <w:t>c</w:t>
      </w:r>
      <w:r w:rsidRPr="00D00EDC">
        <w:rPr>
          <w:rFonts w:ascii="Calibri" w:hAnsi="Calibri"/>
        </w:rPr>
        <w:t>ontinuously</w:t>
      </w:r>
      <w:r w:rsidR="0080487B">
        <w:rPr>
          <w:rFonts w:ascii="Calibri" w:hAnsi="Calibri"/>
        </w:rPr>
        <w:t xml:space="preserve"> </w:t>
      </w:r>
      <w:r w:rsidRPr="00D00EDC">
        <w:rPr>
          <w:rFonts w:ascii="Calibri" w:hAnsi="Calibri"/>
        </w:rPr>
        <w:t xml:space="preserve">improve tools and services to facilitate membership </w:t>
      </w:r>
      <w:r>
        <w:rPr>
          <w:rFonts w:ascii="Calibri" w:hAnsi="Calibri"/>
        </w:rPr>
        <w:t xml:space="preserve">engagement and </w:t>
      </w:r>
      <w:r w:rsidRPr="00D00EDC">
        <w:rPr>
          <w:rFonts w:ascii="Calibri" w:hAnsi="Calibri"/>
        </w:rPr>
        <w:t xml:space="preserve">participation. </w:t>
      </w:r>
    </w:p>
    <w:p w14:paraId="59B72A3D" w14:textId="77777777" w:rsidR="00180391" w:rsidRPr="00E54DED" w:rsidRDefault="00180391" w:rsidP="00DC66DF">
      <w:pPr>
        <w:pStyle w:val="ListParagraph"/>
        <w:numPr>
          <w:ilvl w:val="0"/>
          <w:numId w:val="6"/>
        </w:numPr>
        <w:spacing w:after="120"/>
        <w:rPr>
          <w:rFonts w:ascii="Calibri" w:hAnsi="Calibri"/>
          <w:b/>
          <w:bCs/>
        </w:rPr>
      </w:pPr>
      <w:r w:rsidRPr="00E54DED">
        <w:rPr>
          <w:rFonts w:ascii="Calibri" w:hAnsi="Calibri"/>
          <w:b/>
          <w:bCs/>
        </w:rPr>
        <w:t>Call for Support</w:t>
      </w:r>
    </w:p>
    <w:p w14:paraId="00671F5A" w14:textId="5F387CAE" w:rsidR="003B7A24" w:rsidRPr="00D00EDC" w:rsidRDefault="003B7A24" w:rsidP="00DC66DF">
      <w:pPr>
        <w:tabs>
          <w:tab w:val="clear" w:pos="794"/>
          <w:tab w:val="clear" w:pos="1191"/>
          <w:tab w:val="clear" w:pos="1588"/>
          <w:tab w:val="clear" w:pos="1985"/>
          <w:tab w:val="left" w:pos="1134"/>
          <w:tab w:val="left" w:pos="1871"/>
          <w:tab w:val="left" w:pos="2268"/>
        </w:tabs>
        <w:spacing w:after="120"/>
        <w:rPr>
          <w:rFonts w:ascii="Calibri" w:hAnsi="Calibri"/>
        </w:rPr>
      </w:pPr>
      <w:r>
        <w:rPr>
          <w:rFonts w:ascii="Calibri" w:hAnsi="Calibri"/>
        </w:rPr>
        <w:t xml:space="preserve">Member States are requested and encouraged to engage with their domestic private sector and industry to join ITU-D. Once due diligence is done by Administrations to expeditiously clear the way for applying new Members to pave way for them to complete the joining process. </w:t>
      </w:r>
      <w:r w:rsidR="00293AFA">
        <w:rPr>
          <w:rFonts w:ascii="Calibri" w:hAnsi="Calibri"/>
        </w:rPr>
        <w:t>T</w:t>
      </w:r>
      <w:r>
        <w:rPr>
          <w:rFonts w:ascii="Calibri" w:hAnsi="Calibri"/>
        </w:rPr>
        <w:t xml:space="preserve">imely </w:t>
      </w:r>
      <w:r>
        <w:rPr>
          <w:rFonts w:ascii="Calibri" w:hAnsi="Calibri"/>
        </w:rPr>
        <w:lastRenderedPageBreak/>
        <w:t xml:space="preserve">granting of approval by Administrations will encourage applying entities to go through the joining process and not lose interest. </w:t>
      </w:r>
    </w:p>
    <w:p w14:paraId="2106D7FB" w14:textId="77777777" w:rsidR="00D00EDC" w:rsidRPr="00D00EDC" w:rsidRDefault="00D00EDC" w:rsidP="00D00EDC">
      <w:pPr>
        <w:tabs>
          <w:tab w:val="clear" w:pos="794"/>
          <w:tab w:val="clear" w:pos="1191"/>
          <w:tab w:val="clear" w:pos="1588"/>
          <w:tab w:val="clear" w:pos="1985"/>
          <w:tab w:val="left" w:pos="1134"/>
          <w:tab w:val="left" w:pos="1871"/>
          <w:tab w:val="left" w:pos="2268"/>
        </w:tabs>
        <w:jc w:val="center"/>
        <w:rPr>
          <w:rFonts w:ascii="Calibri" w:hAnsi="Calibri"/>
          <w:lang w:val="en-US" w:eastAsia="zh-CN"/>
        </w:rPr>
      </w:pPr>
      <w:r w:rsidRPr="00D00EDC">
        <w:rPr>
          <w:rFonts w:ascii="Calibri" w:hAnsi="Calibri"/>
          <w:szCs w:val="24"/>
          <w:lang w:val="en-US" w:eastAsia="zh-CN"/>
        </w:rPr>
        <w:t>_____________</w:t>
      </w:r>
      <w:r w:rsidRPr="00D00EDC">
        <w:rPr>
          <w:rFonts w:ascii="Calibri" w:hAnsi="Calibri"/>
          <w:lang w:val="en-US" w:eastAsia="zh-CN"/>
        </w:rPr>
        <w:t>___</w:t>
      </w:r>
    </w:p>
    <w:sectPr w:rsidR="00D00EDC" w:rsidRPr="00D00EDC" w:rsidSect="00F77C56">
      <w:headerReference w:type="even" r:id="rId23"/>
      <w:headerReference w:type="default" r:id="rId24"/>
      <w:footerReference w:type="even" r:id="rId25"/>
      <w:footerReference w:type="default" r:id="rId26"/>
      <w:headerReference w:type="first" r:id="rId27"/>
      <w:footerReference w:type="first" r:id="rId28"/>
      <w:pgSz w:w="11907" w:h="16834" w:code="9"/>
      <w:pgMar w:top="1276"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FA1CC" w14:textId="77777777" w:rsidR="002C1007" w:rsidRDefault="002C1007">
      <w:r>
        <w:separator/>
      </w:r>
    </w:p>
  </w:endnote>
  <w:endnote w:type="continuationSeparator" w:id="0">
    <w:p w14:paraId="03FDBBEF" w14:textId="77777777" w:rsidR="002C1007" w:rsidRDefault="002C1007">
      <w:r>
        <w:continuationSeparator/>
      </w:r>
    </w:p>
  </w:endnote>
  <w:endnote w:type="continuationNotice" w:id="1">
    <w:p w14:paraId="2B7A0CEB" w14:textId="77777777" w:rsidR="002C1007" w:rsidRDefault="002C10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68C3" w14:textId="77777777" w:rsidR="006F620A" w:rsidRDefault="006F6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0E7E" w14:textId="77777777" w:rsidR="006F620A" w:rsidRDefault="006F6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ayout w:type="fixed"/>
      <w:tblLook w:val="04A0" w:firstRow="1" w:lastRow="0" w:firstColumn="1" w:lastColumn="0" w:noHBand="0" w:noVBand="1"/>
    </w:tblPr>
    <w:tblGrid>
      <w:gridCol w:w="1526"/>
      <w:gridCol w:w="2410"/>
      <w:gridCol w:w="5987"/>
    </w:tblGrid>
    <w:tr w:rsidR="0059420B" w:rsidRPr="004D495C" w14:paraId="695D1810" w14:textId="77777777" w:rsidTr="00E27071">
      <w:tc>
        <w:tcPr>
          <w:tcW w:w="1526" w:type="dxa"/>
          <w:tcBorders>
            <w:top w:val="single" w:sz="4" w:space="0" w:color="000000"/>
          </w:tcBorders>
          <w:shd w:val="clear" w:color="auto" w:fill="auto"/>
        </w:tcPr>
        <w:p w14:paraId="746E5A61" w14:textId="77777777" w:rsidR="0059420B" w:rsidRPr="004D495C" w:rsidRDefault="0059420B" w:rsidP="0059420B">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488E41E2" w14:textId="77777777" w:rsidR="0059420B" w:rsidRPr="004D495C" w:rsidRDefault="0059420B" w:rsidP="0059420B">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148264AE" w14:textId="4CE19109" w:rsidR="0059420B" w:rsidRPr="00AF7A97" w:rsidRDefault="00886722" w:rsidP="0059420B">
          <w:pPr>
            <w:pStyle w:val="FirstFooter"/>
            <w:tabs>
              <w:tab w:val="left" w:pos="2302"/>
            </w:tabs>
            <w:rPr>
              <w:sz w:val="18"/>
              <w:szCs w:val="18"/>
              <w:lang w:val="en-US"/>
            </w:rPr>
          </w:pPr>
          <w:r w:rsidRPr="00886722">
            <w:rPr>
              <w:rFonts w:ascii="Calibri" w:hAnsi="Calibri"/>
              <w:sz w:val="18"/>
              <w:szCs w:val="18"/>
              <w:lang w:val="en-US"/>
            </w:rPr>
            <w:t xml:space="preserve">Dr Cosmas Zavazava, Chief, Partnerships for Digital Development Department, </w:t>
          </w:r>
          <w:r w:rsidRPr="00886722">
            <w:rPr>
              <w:rFonts w:ascii="Calibri" w:hAnsi="Calibri"/>
              <w:sz w:val="18"/>
              <w:szCs w:val="18"/>
              <w:lang w:val="en-GB"/>
            </w:rPr>
            <w:t>Telecommunication Development Bureau</w:t>
          </w:r>
        </w:p>
      </w:tc>
      <w:bookmarkStart w:id="9" w:name="OrgName"/>
      <w:bookmarkEnd w:id="9"/>
    </w:tr>
    <w:tr w:rsidR="0059420B" w:rsidRPr="004D495C" w14:paraId="61167678" w14:textId="77777777" w:rsidTr="00E27071">
      <w:tc>
        <w:tcPr>
          <w:tcW w:w="1526" w:type="dxa"/>
          <w:shd w:val="clear" w:color="auto" w:fill="auto"/>
        </w:tcPr>
        <w:p w14:paraId="33710823"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1251F6E4" w14:textId="77777777" w:rsidR="0059420B" w:rsidRPr="004D495C" w:rsidRDefault="0059420B" w:rsidP="0059420B">
          <w:pPr>
            <w:pStyle w:val="FirstFooter"/>
            <w:tabs>
              <w:tab w:val="left" w:pos="2302"/>
            </w:tabs>
            <w:rPr>
              <w:sz w:val="18"/>
              <w:szCs w:val="18"/>
              <w:lang w:val="en-US"/>
            </w:rPr>
          </w:pPr>
          <w:r w:rsidRPr="004D495C">
            <w:rPr>
              <w:sz w:val="18"/>
              <w:szCs w:val="18"/>
              <w:lang w:val="en-US"/>
            </w:rPr>
            <w:t>Phone number:</w:t>
          </w:r>
        </w:p>
      </w:tc>
      <w:tc>
        <w:tcPr>
          <w:tcW w:w="5987" w:type="dxa"/>
        </w:tcPr>
        <w:p w14:paraId="6D7949F0" w14:textId="211A9AEB" w:rsidR="0059420B" w:rsidRPr="00AF7A97" w:rsidRDefault="00886722" w:rsidP="0059420B">
          <w:pPr>
            <w:pStyle w:val="FirstFooter"/>
            <w:tabs>
              <w:tab w:val="left" w:pos="2302"/>
            </w:tabs>
            <w:rPr>
              <w:sz w:val="18"/>
              <w:szCs w:val="18"/>
              <w:lang w:val="en-US"/>
            </w:rPr>
          </w:pPr>
          <w:r w:rsidRPr="00886722">
            <w:rPr>
              <w:rFonts w:ascii="Calibri" w:hAnsi="Calibri"/>
              <w:sz w:val="18"/>
              <w:szCs w:val="18"/>
              <w:lang w:val="en-US"/>
            </w:rPr>
            <w:t>+41 22 730 5447</w:t>
          </w:r>
        </w:p>
      </w:tc>
      <w:bookmarkStart w:id="10" w:name="PhoneNo"/>
      <w:bookmarkEnd w:id="10"/>
    </w:tr>
    <w:tr w:rsidR="0059420B" w:rsidRPr="004D495C" w14:paraId="0299A231" w14:textId="77777777" w:rsidTr="00E27071">
      <w:tc>
        <w:tcPr>
          <w:tcW w:w="1526" w:type="dxa"/>
          <w:shd w:val="clear" w:color="auto" w:fill="auto"/>
        </w:tcPr>
        <w:p w14:paraId="35CBC438" w14:textId="77777777" w:rsidR="0059420B" w:rsidRPr="004D495C" w:rsidRDefault="0059420B" w:rsidP="0059420B">
          <w:pPr>
            <w:pStyle w:val="FirstFooter"/>
            <w:tabs>
              <w:tab w:val="left" w:pos="1559"/>
              <w:tab w:val="left" w:pos="3828"/>
            </w:tabs>
            <w:rPr>
              <w:sz w:val="20"/>
              <w:lang w:val="en-US"/>
            </w:rPr>
          </w:pPr>
        </w:p>
      </w:tc>
      <w:tc>
        <w:tcPr>
          <w:tcW w:w="2410" w:type="dxa"/>
          <w:shd w:val="clear" w:color="auto" w:fill="auto"/>
        </w:tcPr>
        <w:p w14:paraId="65335E06" w14:textId="77777777" w:rsidR="0059420B" w:rsidRPr="004D495C" w:rsidRDefault="0059420B" w:rsidP="0059420B">
          <w:pPr>
            <w:pStyle w:val="FirstFooter"/>
            <w:tabs>
              <w:tab w:val="left" w:pos="2302"/>
            </w:tabs>
            <w:rPr>
              <w:sz w:val="18"/>
              <w:szCs w:val="18"/>
              <w:lang w:val="en-US"/>
            </w:rPr>
          </w:pPr>
          <w:r w:rsidRPr="004D495C">
            <w:rPr>
              <w:sz w:val="18"/>
              <w:szCs w:val="18"/>
              <w:lang w:val="en-US"/>
            </w:rPr>
            <w:t>E-mail:</w:t>
          </w:r>
        </w:p>
      </w:tc>
      <w:tc>
        <w:tcPr>
          <w:tcW w:w="5987" w:type="dxa"/>
        </w:tcPr>
        <w:p w14:paraId="7EAB0988" w14:textId="17F7B4D1" w:rsidR="0059420B" w:rsidRPr="00AF7A97" w:rsidRDefault="00F7386E" w:rsidP="0059420B">
          <w:pPr>
            <w:pStyle w:val="FirstFooter"/>
            <w:tabs>
              <w:tab w:val="left" w:pos="2302"/>
            </w:tabs>
            <w:rPr>
              <w:sz w:val="18"/>
              <w:szCs w:val="18"/>
              <w:lang w:val="en-US"/>
            </w:rPr>
          </w:pPr>
          <w:hyperlink r:id="rId1" w:history="1">
            <w:r w:rsidR="00886722" w:rsidRPr="00B36565">
              <w:rPr>
                <w:rStyle w:val="Hyperlink"/>
                <w:sz w:val="18"/>
                <w:szCs w:val="18"/>
                <w:lang w:val="en-US"/>
              </w:rPr>
              <w:t>Cosmas.zavazava@itu.int</w:t>
            </w:r>
          </w:hyperlink>
          <w:r w:rsidR="00886722">
            <w:rPr>
              <w:sz w:val="18"/>
              <w:szCs w:val="18"/>
              <w:lang w:val="en-US"/>
            </w:rPr>
            <w:t xml:space="preserve"> </w:t>
          </w:r>
        </w:p>
      </w:tc>
      <w:bookmarkStart w:id="11" w:name="Email"/>
      <w:bookmarkEnd w:id="11"/>
    </w:tr>
  </w:tbl>
  <w:p w14:paraId="5AEFE7F9" w14:textId="77777777" w:rsidR="0059420B" w:rsidRDefault="0059420B" w:rsidP="00B80157">
    <w:pPr>
      <w:pStyle w:val="Footer"/>
      <w:jc w:val="center"/>
      <w:rPr>
        <w:lang w:val="en-GB"/>
      </w:rPr>
    </w:pPr>
  </w:p>
  <w:p w14:paraId="40A321D0" w14:textId="77777777" w:rsidR="00721657" w:rsidRPr="0059420B" w:rsidRDefault="00F7386E" w:rsidP="00B80157">
    <w:pPr>
      <w:pStyle w:val="Footer"/>
      <w:jc w:val="center"/>
      <w:rPr>
        <w:lang w:val="en-GB"/>
      </w:rPr>
    </w:pPr>
    <w:hyperlink r:id="rId2" w:history="1">
      <w:r w:rsidR="008B47C7">
        <w:rPr>
          <w:rStyle w:val="Hyperlink"/>
          <w:caps w:val="0"/>
          <w:noProof w:val="0"/>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84EAD" w14:textId="77777777" w:rsidR="002C1007" w:rsidRDefault="002C1007">
      <w:r>
        <w:t>____________________</w:t>
      </w:r>
    </w:p>
  </w:footnote>
  <w:footnote w:type="continuationSeparator" w:id="0">
    <w:p w14:paraId="2876CF88" w14:textId="77777777" w:rsidR="002C1007" w:rsidRDefault="002C1007">
      <w:r>
        <w:continuationSeparator/>
      </w:r>
    </w:p>
  </w:footnote>
  <w:footnote w:type="continuationNotice" w:id="1">
    <w:p w14:paraId="4EE15CC5" w14:textId="77777777" w:rsidR="002C1007" w:rsidRDefault="002C1007">
      <w:pPr>
        <w:spacing w:before="0"/>
      </w:pPr>
    </w:p>
  </w:footnote>
  <w:footnote w:id="2">
    <w:p w14:paraId="4EC89342" w14:textId="27D7AF8B" w:rsidR="00886722" w:rsidRPr="00DC66DF" w:rsidRDefault="00886722" w:rsidP="00DC66DF">
      <w:pPr>
        <w:pStyle w:val="FootnoteText"/>
        <w:keepLines w:val="0"/>
        <w:spacing w:before="0"/>
        <w:ind w:left="0" w:firstLine="0"/>
        <w:rPr>
          <w:sz w:val="20"/>
        </w:rPr>
      </w:pPr>
      <w:r w:rsidRPr="00DC66DF">
        <w:rPr>
          <w:rStyle w:val="FootnoteReference"/>
          <w:sz w:val="20"/>
        </w:rPr>
        <w:footnoteRef/>
      </w:r>
      <w:r w:rsidRPr="00DC66DF">
        <w:rPr>
          <w:sz w:val="20"/>
        </w:rPr>
        <w:t xml:space="preserve"> Refer to Resolution 169 (Guadalajara, 2010) of the</w:t>
      </w:r>
      <w:r w:rsidRPr="00DC66DF">
        <w:rPr>
          <w:sz w:val="20"/>
          <w:lang w:val="en-US"/>
        </w:rPr>
        <w:t xml:space="preserve"> Plenipotentiary Conference</w:t>
      </w:r>
      <w:r w:rsidRPr="00DC66DF">
        <w:rPr>
          <w:sz w:val="20"/>
        </w:rPr>
        <w:t>, which enabled the new category of</w:t>
      </w:r>
      <w:r w:rsidR="00D00EDC" w:rsidRPr="00DC66DF">
        <w:rPr>
          <w:sz w:val="20"/>
        </w:rPr>
        <w:t xml:space="preserve"> </w:t>
      </w:r>
      <w:r w:rsidRPr="00DC66DF">
        <w:rPr>
          <w:sz w:val="20"/>
        </w:rPr>
        <w:t>Academia to participate in the work of ITU.</w:t>
      </w:r>
    </w:p>
    <w:p w14:paraId="4DE086DD" w14:textId="77777777" w:rsidR="007726EA" w:rsidRPr="00DC66DF" w:rsidRDefault="007726EA" w:rsidP="00DC66DF">
      <w:pPr>
        <w:pStyle w:val="FootnoteText"/>
        <w:keepLines w:val="0"/>
        <w:spacing w:before="0"/>
        <w:ind w:left="0" w:firstLine="0"/>
        <w:rPr>
          <w:sz w:val="20"/>
        </w:rPr>
      </w:pPr>
    </w:p>
  </w:footnote>
  <w:footnote w:id="3">
    <w:p w14:paraId="5B94AB01" w14:textId="4CEC1BD7" w:rsidR="00D00EDC" w:rsidRPr="00DC66DF" w:rsidRDefault="00D00EDC" w:rsidP="00DC66DF">
      <w:pPr>
        <w:pStyle w:val="FootnoteText"/>
        <w:keepLines w:val="0"/>
        <w:spacing w:before="0"/>
        <w:ind w:left="0" w:firstLine="0"/>
        <w:rPr>
          <w:sz w:val="20"/>
          <w:lang w:val="en-US"/>
        </w:rPr>
      </w:pPr>
      <w:r w:rsidRPr="00DC66DF">
        <w:rPr>
          <w:rStyle w:val="FootnoteReference"/>
          <w:sz w:val="20"/>
        </w:rPr>
        <w:footnoteRef/>
      </w:r>
      <w:r w:rsidRPr="00DC66DF">
        <w:rPr>
          <w:sz w:val="20"/>
        </w:rPr>
        <w:t xml:space="preserve"> </w:t>
      </w:r>
      <w:r w:rsidRPr="00DC66DF">
        <w:rPr>
          <w:sz w:val="20"/>
          <w:lang w:val="en-US"/>
        </w:rPr>
        <w:t>Resolution 71 (Rev. Buenos Aires, 2017</w:t>
      </w:r>
      <w:r w:rsidR="00215FEC" w:rsidRPr="00DC66DF">
        <w:rPr>
          <w:sz w:val="20"/>
          <w:lang w:val="en-US"/>
        </w:rPr>
        <w:t>)</w:t>
      </w:r>
      <w:r w:rsidRPr="00DC66DF">
        <w:rPr>
          <w:sz w:val="20"/>
          <w:lang w:val="en-US"/>
        </w:rPr>
        <w:t>, “Strengthening cooperation between Member States, Sector Members, Associates and Academia of the ITU Telecommunication Development Sector and the evolving role of the private sector in the ITU Telecommunication Development Sector</w:t>
      </w:r>
      <w:r w:rsidR="003072E9" w:rsidRPr="00DC66DF">
        <w:rPr>
          <w:sz w:val="20"/>
          <w:lang w:val="en-US"/>
        </w:rPr>
        <w:t>.</w:t>
      </w:r>
    </w:p>
  </w:footnote>
  <w:footnote w:id="4">
    <w:p w14:paraId="5221013D" w14:textId="300C8935" w:rsidR="00FD12AA" w:rsidRPr="00DC66DF" w:rsidRDefault="00FD12AA" w:rsidP="00DC66DF">
      <w:pPr>
        <w:pStyle w:val="FootnoteText"/>
        <w:spacing w:before="0"/>
        <w:ind w:left="0" w:firstLine="0"/>
        <w:rPr>
          <w:sz w:val="20"/>
          <w:lang w:val="en-US"/>
        </w:rPr>
      </w:pPr>
      <w:r w:rsidRPr="00DC66DF">
        <w:rPr>
          <w:rStyle w:val="FootnoteReference"/>
          <w:sz w:val="20"/>
        </w:rPr>
        <w:footnoteRef/>
      </w:r>
      <w:r w:rsidRPr="00DC66DF">
        <w:rPr>
          <w:sz w:val="20"/>
        </w:rPr>
        <w:t xml:space="preserve"> Axon Partners Group (Spain) , Deloitte Risk Advisory (Italy), New Jersey </w:t>
      </w:r>
      <w:proofErr w:type="spellStart"/>
      <w:r w:rsidRPr="00DC66DF">
        <w:rPr>
          <w:sz w:val="20"/>
        </w:rPr>
        <w:t>Fiber</w:t>
      </w:r>
      <w:proofErr w:type="spellEnd"/>
      <w:r w:rsidRPr="00DC66DF">
        <w:rPr>
          <w:sz w:val="20"/>
        </w:rPr>
        <w:t xml:space="preserve"> Exchange (USA), Security Alliance Limited (UK), Cullen International (Belgium), Amazon.com (USA), Millicom (Luxembourg), </w:t>
      </w:r>
      <w:proofErr w:type="spellStart"/>
      <w:r w:rsidRPr="00DC66DF">
        <w:rPr>
          <w:sz w:val="20"/>
        </w:rPr>
        <w:t>Techfugees</w:t>
      </w:r>
      <w:proofErr w:type="spellEnd"/>
      <w:r w:rsidRPr="00DC66DF">
        <w:rPr>
          <w:sz w:val="20"/>
        </w:rPr>
        <w:t xml:space="preserve"> (UK), Organisation Internationale de la Francophonie (France), </w:t>
      </w:r>
      <w:proofErr w:type="spellStart"/>
      <w:r w:rsidRPr="00DC66DF">
        <w:rPr>
          <w:sz w:val="20"/>
        </w:rPr>
        <w:t>Telesat</w:t>
      </w:r>
      <w:proofErr w:type="spellEnd"/>
      <w:r w:rsidRPr="00DC66DF">
        <w:rPr>
          <w:sz w:val="20"/>
        </w:rPr>
        <w:t xml:space="preserve"> (Canada), </w:t>
      </w:r>
      <w:proofErr w:type="spellStart"/>
      <w:r w:rsidRPr="00DC66DF">
        <w:rPr>
          <w:sz w:val="20"/>
        </w:rPr>
        <w:t>Center</w:t>
      </w:r>
      <w:proofErr w:type="spellEnd"/>
      <w:r w:rsidRPr="00DC66DF">
        <w:rPr>
          <w:sz w:val="20"/>
        </w:rPr>
        <w:t xml:space="preserve"> for Global IT-Federation (Russian Federation) and Hewlett Packard Enterprise (USA), Lulu for Advanced Tech (Sudan), Netflix (USA), Digital </w:t>
      </w:r>
      <w:proofErr w:type="spellStart"/>
      <w:r w:rsidRPr="00DC66DF">
        <w:rPr>
          <w:sz w:val="20"/>
        </w:rPr>
        <w:t>Nasional</w:t>
      </w:r>
      <w:proofErr w:type="spellEnd"/>
      <w:r w:rsidRPr="00DC66DF">
        <w:rPr>
          <w:sz w:val="20"/>
        </w:rPr>
        <w:t xml:space="preserve"> (Malaysia), and </w:t>
      </w:r>
      <w:proofErr w:type="spellStart"/>
      <w:r w:rsidRPr="00DC66DF">
        <w:rPr>
          <w:sz w:val="20"/>
        </w:rPr>
        <w:t>Tospay</w:t>
      </w:r>
      <w:proofErr w:type="spellEnd"/>
      <w:r w:rsidRPr="00DC66DF">
        <w:rPr>
          <w:sz w:val="20"/>
        </w:rPr>
        <w:t xml:space="preserve"> Limited (Kenya).</w:t>
      </w:r>
    </w:p>
  </w:footnote>
  <w:footnote w:id="5">
    <w:p w14:paraId="1F67878E" w14:textId="77777777" w:rsidR="00D97B2F" w:rsidRPr="00DC66DF" w:rsidRDefault="00D97B2F" w:rsidP="00DC66DF">
      <w:pPr>
        <w:pStyle w:val="FootnoteText"/>
        <w:spacing w:before="0"/>
        <w:ind w:left="0" w:firstLine="0"/>
        <w:rPr>
          <w:sz w:val="20"/>
        </w:rPr>
      </w:pPr>
      <w:r w:rsidRPr="00DC66DF">
        <w:rPr>
          <w:rStyle w:val="FootnoteReference"/>
          <w:sz w:val="20"/>
        </w:rPr>
        <w:footnoteRef/>
      </w:r>
      <w:r w:rsidRPr="00DC66DF">
        <w:rPr>
          <w:sz w:val="20"/>
        </w:rPr>
        <w:t xml:space="preserve"> Academia members participate in the work of all three ITU Sectors, including their advisory groups. They also participate in other global and regional conferences, workshops and activities of the Union, with the exception of plenipotentiary conferences, world radiocommunication conferences, world conferences on international telecommunications and the ITU Council, in conformity with the rules of procedure of the respective Sectors.</w:t>
      </w:r>
    </w:p>
  </w:footnote>
  <w:footnote w:id="6">
    <w:p w14:paraId="70A7AF52" w14:textId="74EF12A0" w:rsidR="00BA52D7" w:rsidRPr="00DC66DF" w:rsidRDefault="00BA52D7" w:rsidP="00DC66DF">
      <w:pPr>
        <w:pStyle w:val="FootnoteText"/>
        <w:spacing w:before="0"/>
        <w:ind w:left="0" w:firstLine="0"/>
        <w:rPr>
          <w:sz w:val="20"/>
          <w:lang w:eastAsia="zh-CN"/>
        </w:rPr>
      </w:pPr>
      <w:r w:rsidRPr="00DC66DF">
        <w:rPr>
          <w:rStyle w:val="FootnoteReference"/>
          <w:sz w:val="20"/>
        </w:rPr>
        <w:footnoteRef/>
      </w:r>
      <w:r w:rsidR="00133205" w:rsidRPr="00DC66DF">
        <w:rPr>
          <w:sz w:val="20"/>
          <w:lang w:eastAsia="zh-CN"/>
        </w:rPr>
        <w:t xml:space="preserve"> </w:t>
      </w:r>
      <w:proofErr w:type="spellStart"/>
      <w:r w:rsidR="003072E9" w:rsidRPr="00DC66DF">
        <w:rPr>
          <w:sz w:val="20"/>
          <w:lang w:eastAsia="zh-CN"/>
        </w:rPr>
        <w:t>Center</w:t>
      </w:r>
      <w:proofErr w:type="spellEnd"/>
      <w:r w:rsidR="003072E9" w:rsidRPr="00DC66DF">
        <w:rPr>
          <w:sz w:val="20"/>
          <w:lang w:eastAsia="zh-CN"/>
        </w:rPr>
        <w:t xml:space="preserve"> for Technical and Higher Education (Mexico), Centro Mexico Digital (Mexico), EU Business School (Switzerland), Kadir Has University (Turkey), Shanghai Advanced Research Institute (China), United Arab Emirates University (United Arab Emirates), University of the West of Scotland (United Kingdom), University of Thessaly (Greece)</w:t>
      </w:r>
      <w:r w:rsidR="00D97B2F" w:rsidRPr="00DC66DF">
        <w:rPr>
          <w:sz w:val="20"/>
          <w:lang w:eastAsia="zh-CN"/>
        </w:rPr>
        <w:t>, University of Hawaii (USA)</w:t>
      </w:r>
      <w:r w:rsidR="008D7B61" w:rsidRPr="00DC66DF">
        <w:rPr>
          <w:sz w:val="20"/>
          <w:lang w:eastAsia="zh-CN"/>
        </w:rPr>
        <w:t xml:space="preserve">, </w:t>
      </w:r>
      <w:r w:rsidR="0048552B" w:rsidRPr="00DC66DF">
        <w:rPr>
          <w:sz w:val="20"/>
          <w:lang w:eastAsia="zh-CN"/>
        </w:rPr>
        <w:t xml:space="preserve">State Grid Jiangsu Electric </w:t>
      </w:r>
      <w:r w:rsidR="005C50CC" w:rsidRPr="00DC66DF">
        <w:rPr>
          <w:sz w:val="20"/>
          <w:lang w:eastAsia="zh-CN"/>
        </w:rPr>
        <w:t>Research Institute (</w:t>
      </w:r>
      <w:r w:rsidR="00970BDF" w:rsidRPr="00DC66DF">
        <w:rPr>
          <w:sz w:val="20"/>
          <w:lang w:eastAsia="zh-CN"/>
        </w:rPr>
        <w:t>China),</w:t>
      </w:r>
      <w:r w:rsidR="005C50CC" w:rsidRPr="00DC66DF">
        <w:rPr>
          <w:sz w:val="20"/>
          <w:lang w:eastAsia="zh-CN"/>
        </w:rPr>
        <w:t xml:space="preserve"> </w:t>
      </w:r>
      <w:r w:rsidR="00F9285E" w:rsidRPr="00DC66DF">
        <w:rPr>
          <w:sz w:val="20"/>
          <w:lang w:eastAsia="zh-CN"/>
        </w:rPr>
        <w:t xml:space="preserve">State Grid </w:t>
      </w:r>
      <w:proofErr w:type="spellStart"/>
      <w:r w:rsidR="00F9285E" w:rsidRPr="00DC66DF">
        <w:rPr>
          <w:sz w:val="20"/>
          <w:lang w:eastAsia="zh-CN"/>
        </w:rPr>
        <w:t>Zheijang</w:t>
      </w:r>
      <w:proofErr w:type="spellEnd"/>
      <w:r w:rsidR="00F9285E" w:rsidRPr="00DC66DF">
        <w:rPr>
          <w:sz w:val="20"/>
          <w:lang w:eastAsia="zh-CN"/>
        </w:rPr>
        <w:t xml:space="preserve"> Electric Power </w:t>
      </w:r>
      <w:r w:rsidR="003D4B89" w:rsidRPr="00DC66DF">
        <w:rPr>
          <w:sz w:val="20"/>
          <w:lang w:eastAsia="zh-CN"/>
        </w:rPr>
        <w:t xml:space="preserve">Co. Ltd Research Institute (China), </w:t>
      </w:r>
      <w:r w:rsidR="00B32684" w:rsidRPr="00DC66DF">
        <w:rPr>
          <w:sz w:val="20"/>
          <w:lang w:eastAsia="zh-CN"/>
        </w:rPr>
        <w:t xml:space="preserve">University of Science and Technology Beijing (China), State </w:t>
      </w:r>
      <w:r w:rsidR="00430F96" w:rsidRPr="00DC66DF">
        <w:rPr>
          <w:sz w:val="20"/>
          <w:lang w:eastAsia="zh-CN"/>
        </w:rPr>
        <w:t>Grid Beijing Electric Power Research Institute (China), Konrad Adenauer</w:t>
      </w:r>
      <w:r w:rsidR="003059EF" w:rsidRPr="00DC66DF">
        <w:rPr>
          <w:sz w:val="20"/>
          <w:lang w:eastAsia="zh-CN"/>
        </w:rPr>
        <w:t>-</w:t>
      </w:r>
      <w:r w:rsidR="00430F96" w:rsidRPr="00DC66DF">
        <w:rPr>
          <w:sz w:val="20"/>
          <w:lang w:eastAsia="zh-CN"/>
        </w:rPr>
        <w:t xml:space="preserve">Stiftung (Germany), </w:t>
      </w:r>
      <w:r w:rsidR="00CF4247" w:rsidRPr="00DC66DF">
        <w:rPr>
          <w:sz w:val="20"/>
          <w:lang w:eastAsia="zh-CN"/>
        </w:rPr>
        <w:t xml:space="preserve">and Universidad </w:t>
      </w:r>
      <w:proofErr w:type="spellStart"/>
      <w:r w:rsidR="00CF4247" w:rsidRPr="00DC66DF">
        <w:rPr>
          <w:sz w:val="20"/>
          <w:lang w:eastAsia="zh-CN"/>
        </w:rPr>
        <w:t>Politecnica</w:t>
      </w:r>
      <w:proofErr w:type="spellEnd"/>
      <w:r w:rsidR="00CF4247" w:rsidRPr="00DC66DF">
        <w:rPr>
          <w:sz w:val="20"/>
          <w:lang w:eastAsia="zh-CN"/>
        </w:rPr>
        <w:t xml:space="preserve"> de Catalunya (Spain).</w:t>
      </w:r>
    </w:p>
  </w:footnote>
  <w:footnote w:id="7">
    <w:p w14:paraId="4126D1F3" w14:textId="77777777" w:rsidR="003F0984" w:rsidRPr="00DC66DF" w:rsidRDefault="003F0984" w:rsidP="00DC66DF">
      <w:pPr>
        <w:pStyle w:val="FootnoteText"/>
        <w:spacing w:before="0"/>
        <w:ind w:firstLine="0"/>
        <w:rPr>
          <w:sz w:val="20"/>
          <w:lang w:val="en-US"/>
        </w:rPr>
      </w:pPr>
      <w:r w:rsidRPr="00DC66DF">
        <w:rPr>
          <w:rStyle w:val="FootnoteReference"/>
          <w:sz w:val="20"/>
        </w:rPr>
        <w:footnoteRef/>
      </w:r>
      <w:r w:rsidRPr="00DC66DF">
        <w:rPr>
          <w:sz w:val="20"/>
        </w:rPr>
        <w:t xml:space="preserve"> Loon, (United States of America), </w:t>
      </w:r>
      <w:proofErr w:type="spellStart"/>
      <w:r w:rsidRPr="00DC66DF">
        <w:rPr>
          <w:sz w:val="20"/>
        </w:rPr>
        <w:t>Tactikom</w:t>
      </w:r>
      <w:proofErr w:type="spellEnd"/>
      <w:r w:rsidRPr="00DC66DF">
        <w:rPr>
          <w:sz w:val="20"/>
        </w:rPr>
        <w:t xml:space="preserve"> Africa (Senegal), J.S.C. </w:t>
      </w:r>
      <w:proofErr w:type="spellStart"/>
      <w:r w:rsidRPr="00DC66DF">
        <w:rPr>
          <w:sz w:val="20"/>
        </w:rPr>
        <w:t>Silknet</w:t>
      </w:r>
      <w:proofErr w:type="spellEnd"/>
      <w:r w:rsidRPr="00DC66DF">
        <w:rPr>
          <w:sz w:val="20"/>
        </w:rPr>
        <w:t xml:space="preserve"> (Georgia), Emirates Integrated Telecommunications Company (United Arab Emirates), Bangladesh Communication Satellite Company Limited (Bangladesh), and Altel Communications (Malaysia).</w:t>
      </w:r>
    </w:p>
  </w:footnote>
  <w:footnote w:id="8">
    <w:p w14:paraId="65803316" w14:textId="77777777" w:rsidR="00A926CA" w:rsidRPr="00DC66DF" w:rsidRDefault="00A926CA" w:rsidP="00DC66DF">
      <w:pPr>
        <w:pStyle w:val="FootnoteText"/>
        <w:spacing w:before="0"/>
        <w:ind w:firstLine="0"/>
        <w:rPr>
          <w:sz w:val="20"/>
        </w:rPr>
      </w:pPr>
      <w:r w:rsidRPr="00DC66DF">
        <w:rPr>
          <w:rStyle w:val="FootnoteReference"/>
          <w:sz w:val="20"/>
        </w:rPr>
        <w:footnoteRef/>
      </w:r>
      <w:r w:rsidRPr="00DC66DF">
        <w:rPr>
          <w:sz w:val="20"/>
        </w:rPr>
        <w:t xml:space="preserve"> Orange Egypt (Associate), Konkan Railway Corporation, India (Associate), Iranian Net Communication and Electronic Services, Iran (Associate), Office </w:t>
      </w:r>
      <w:proofErr w:type="spellStart"/>
      <w:r w:rsidRPr="00DC66DF">
        <w:rPr>
          <w:sz w:val="20"/>
        </w:rPr>
        <w:t>Nationale</w:t>
      </w:r>
      <w:proofErr w:type="spellEnd"/>
      <w:r w:rsidRPr="00DC66DF">
        <w:rPr>
          <w:sz w:val="20"/>
        </w:rPr>
        <w:t xml:space="preserve"> des Telecommunications, Burundi (Sector Member), Le Consortium du Service </w:t>
      </w:r>
      <w:proofErr w:type="spellStart"/>
      <w:r w:rsidRPr="00DC66DF">
        <w:rPr>
          <w:sz w:val="20"/>
        </w:rPr>
        <w:t>Universel</w:t>
      </w:r>
      <w:proofErr w:type="spellEnd"/>
      <w:r w:rsidRPr="00DC66DF">
        <w:rPr>
          <w:sz w:val="20"/>
        </w:rPr>
        <w:t xml:space="preserve">, Senegal (Sector Member), </w:t>
      </w:r>
      <w:proofErr w:type="spellStart"/>
      <w:r w:rsidRPr="00DC66DF">
        <w:rPr>
          <w:sz w:val="20"/>
        </w:rPr>
        <w:t>Compania</w:t>
      </w:r>
      <w:proofErr w:type="spellEnd"/>
      <w:r w:rsidRPr="00DC66DF">
        <w:rPr>
          <w:sz w:val="20"/>
        </w:rPr>
        <w:t xml:space="preserve"> </w:t>
      </w:r>
      <w:proofErr w:type="spellStart"/>
      <w:r w:rsidRPr="00DC66DF">
        <w:rPr>
          <w:sz w:val="20"/>
        </w:rPr>
        <w:t>Anonima</w:t>
      </w:r>
      <w:proofErr w:type="spellEnd"/>
      <w:r w:rsidRPr="00DC66DF">
        <w:rPr>
          <w:sz w:val="20"/>
        </w:rPr>
        <w:t xml:space="preserve"> Nacional </w:t>
      </w:r>
      <w:proofErr w:type="spellStart"/>
      <w:r w:rsidRPr="00DC66DF">
        <w:rPr>
          <w:sz w:val="20"/>
        </w:rPr>
        <w:t>Telefonos</w:t>
      </w:r>
      <w:proofErr w:type="spellEnd"/>
      <w:r w:rsidRPr="00DC66DF">
        <w:rPr>
          <w:sz w:val="20"/>
        </w:rPr>
        <w:t xml:space="preserve"> de Venezuela (Sector Member), </w:t>
      </w:r>
      <w:proofErr w:type="spellStart"/>
      <w:r w:rsidRPr="00DC66DF">
        <w:rPr>
          <w:sz w:val="20"/>
        </w:rPr>
        <w:t>Agence</w:t>
      </w:r>
      <w:proofErr w:type="spellEnd"/>
      <w:r w:rsidRPr="00DC66DF">
        <w:rPr>
          <w:sz w:val="20"/>
        </w:rPr>
        <w:t xml:space="preserve"> </w:t>
      </w:r>
      <w:proofErr w:type="spellStart"/>
      <w:r w:rsidRPr="00DC66DF">
        <w:rPr>
          <w:sz w:val="20"/>
        </w:rPr>
        <w:t>Tunisienne</w:t>
      </w:r>
      <w:proofErr w:type="spellEnd"/>
      <w:r w:rsidRPr="00DC66DF">
        <w:rPr>
          <w:sz w:val="20"/>
        </w:rPr>
        <w:t xml:space="preserve"> </w:t>
      </w:r>
      <w:proofErr w:type="spellStart"/>
      <w:r w:rsidRPr="00DC66DF">
        <w:rPr>
          <w:sz w:val="20"/>
        </w:rPr>
        <w:t>d’Internet</w:t>
      </w:r>
      <w:proofErr w:type="spellEnd"/>
      <w:r w:rsidRPr="00DC66DF">
        <w:rPr>
          <w:sz w:val="20"/>
        </w:rPr>
        <w:t xml:space="preserve">, Tunisia (Sector Member).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E3C49" w14:textId="77777777" w:rsidR="006F620A" w:rsidRDefault="006F6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FE77" w14:textId="081AE88C" w:rsidR="00721657" w:rsidRPr="00A244BC" w:rsidRDefault="00A525CC" w:rsidP="00A244BC">
    <w:pPr>
      <w:tabs>
        <w:tab w:val="clear" w:pos="794"/>
        <w:tab w:val="clear" w:pos="1191"/>
        <w:tab w:val="clear" w:pos="1588"/>
        <w:tab w:val="clear" w:pos="1985"/>
        <w:tab w:val="center" w:pos="4820"/>
        <w:tab w:val="right" w:pos="9639"/>
      </w:tabs>
      <w:ind w:right="1"/>
      <w:rPr>
        <w:rStyle w:val="PageNumber"/>
        <w:smallCaps/>
        <w:spacing w:val="24"/>
        <w:sz w:val="22"/>
        <w:szCs w:val="22"/>
        <w:lang w:val="de-CH"/>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AD4677">
      <w:rPr>
        <w:sz w:val="22"/>
        <w:szCs w:val="22"/>
        <w:lang w:val="de-CH"/>
      </w:rPr>
      <w:t>1</w:t>
    </w:r>
    <w:r w:rsidRPr="00A54E72">
      <w:rPr>
        <w:sz w:val="22"/>
        <w:szCs w:val="22"/>
        <w:lang w:val="de-CH"/>
      </w:rPr>
      <w:t>/</w:t>
    </w:r>
    <w:r w:rsidR="000E06C0">
      <w:rPr>
        <w:sz w:val="22"/>
        <w:szCs w:val="22"/>
        <w:lang w:val="de-CH"/>
      </w:rPr>
      <w:t>2/8</w:t>
    </w:r>
    <w:r w:rsidR="006F620A">
      <w:rPr>
        <w:sz w:val="22"/>
        <w:szCs w:val="22"/>
        <w:lang w:val="de-CH"/>
      </w:rPr>
      <w:t>(Rev.1)</w:t>
    </w:r>
    <w:r w:rsidR="00DC66DF">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B9CF" w14:textId="77777777" w:rsidR="006F620A" w:rsidRDefault="006F6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B252B"/>
    <w:multiLevelType w:val="hybridMultilevel"/>
    <w:tmpl w:val="18F4A9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1" w15:restartNumberingAfterBreak="0">
    <w:nsid w:val="295B5483"/>
    <w:multiLevelType w:val="hybridMultilevel"/>
    <w:tmpl w:val="DCE6F108"/>
    <w:lvl w:ilvl="0" w:tplc="9CDC48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0B4D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4F2751"/>
    <w:multiLevelType w:val="hybridMultilevel"/>
    <w:tmpl w:val="0EE24D42"/>
    <w:lvl w:ilvl="0" w:tplc="EE362CB2">
      <w:start w:val="2"/>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23C92"/>
    <w:multiLevelType w:val="multilevel"/>
    <w:tmpl w:val="EC0ADA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017210"/>
    <w:multiLevelType w:val="multilevel"/>
    <w:tmpl w:val="658639C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C276C7"/>
    <w:multiLevelType w:val="hybridMultilevel"/>
    <w:tmpl w:val="AECC673A"/>
    <w:lvl w:ilvl="0" w:tplc="899A84F2">
      <w:start w:val="1"/>
      <w:numFmt w:val="lowerLetter"/>
      <w:lvlText w:val="%1)"/>
      <w:lvlJc w:val="left"/>
      <w:pPr>
        <w:ind w:left="786" w:hanging="360"/>
      </w:pPr>
      <w:rPr>
        <w:rFonts w:ascii="Calibri" w:hAnsi="Calibri" w:cs="Arial"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B70558B"/>
    <w:multiLevelType w:val="hybridMultilevel"/>
    <w:tmpl w:val="6A1E5788"/>
    <w:lvl w:ilvl="0" w:tplc="EF1CAFD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B7926"/>
    <w:multiLevelType w:val="multilevel"/>
    <w:tmpl w:val="DF7C2730"/>
    <w:lvl w:ilvl="0">
      <w:start w:val="1"/>
      <w:numFmt w:val="decimal"/>
      <w:lvlText w:val="%1."/>
      <w:lvlJc w:val="left"/>
      <w:pPr>
        <w:ind w:left="502" w:hanging="360"/>
      </w:pPr>
      <w:rPr>
        <w:rFonts w:hint="default"/>
        <w:sz w:val="24"/>
        <w:szCs w:val="24"/>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76241A02"/>
    <w:multiLevelType w:val="hybridMultilevel"/>
    <w:tmpl w:val="512433B4"/>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
  </w:num>
  <w:num w:numId="4">
    <w:abstractNumId w:val="0"/>
  </w:num>
  <w:num w:numId="5">
    <w:abstractNumId w:val="10"/>
  </w:num>
  <w:num w:numId="6">
    <w:abstractNumId w:val="2"/>
  </w:num>
  <w:num w:numId="7">
    <w:abstractNumId w:val="5"/>
  </w:num>
  <w:num w:numId="8">
    <w:abstractNumId w:val="7"/>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3F9E"/>
    <w:rsid w:val="00004AD3"/>
    <w:rsid w:val="00005430"/>
    <w:rsid w:val="00005791"/>
    <w:rsid w:val="00005D56"/>
    <w:rsid w:val="00005E7D"/>
    <w:rsid w:val="00006D03"/>
    <w:rsid w:val="00010827"/>
    <w:rsid w:val="00013A46"/>
    <w:rsid w:val="00013D6B"/>
    <w:rsid w:val="00015089"/>
    <w:rsid w:val="000227DE"/>
    <w:rsid w:val="000248B1"/>
    <w:rsid w:val="0002520B"/>
    <w:rsid w:val="00025AAD"/>
    <w:rsid w:val="00027559"/>
    <w:rsid w:val="00030463"/>
    <w:rsid w:val="00032637"/>
    <w:rsid w:val="00035D8A"/>
    <w:rsid w:val="00037A9E"/>
    <w:rsid w:val="00037CB4"/>
    <w:rsid w:val="00037F1B"/>
    <w:rsid w:val="00037F91"/>
    <w:rsid w:val="000426BE"/>
    <w:rsid w:val="00042795"/>
    <w:rsid w:val="00045328"/>
    <w:rsid w:val="00045810"/>
    <w:rsid w:val="00047A99"/>
    <w:rsid w:val="000539F1"/>
    <w:rsid w:val="00054747"/>
    <w:rsid w:val="00055A2A"/>
    <w:rsid w:val="0005706A"/>
    <w:rsid w:val="00057AF3"/>
    <w:rsid w:val="000603D8"/>
    <w:rsid w:val="000615C1"/>
    <w:rsid w:val="00061675"/>
    <w:rsid w:val="000628D3"/>
    <w:rsid w:val="00064C20"/>
    <w:rsid w:val="000662F0"/>
    <w:rsid w:val="00066CFF"/>
    <w:rsid w:val="0007221B"/>
    <w:rsid w:val="0007284E"/>
    <w:rsid w:val="0007399A"/>
    <w:rsid w:val="000743AA"/>
    <w:rsid w:val="0007775D"/>
    <w:rsid w:val="00080356"/>
    <w:rsid w:val="00083245"/>
    <w:rsid w:val="000855BD"/>
    <w:rsid w:val="000873CB"/>
    <w:rsid w:val="00087635"/>
    <w:rsid w:val="0009076F"/>
    <w:rsid w:val="0009086F"/>
    <w:rsid w:val="0009225C"/>
    <w:rsid w:val="000941A2"/>
    <w:rsid w:val="000964BA"/>
    <w:rsid w:val="000974B9"/>
    <w:rsid w:val="000A17C4"/>
    <w:rsid w:val="000A1F77"/>
    <w:rsid w:val="000A36A4"/>
    <w:rsid w:val="000A36BA"/>
    <w:rsid w:val="000A53AE"/>
    <w:rsid w:val="000A63D9"/>
    <w:rsid w:val="000A700B"/>
    <w:rsid w:val="000B057C"/>
    <w:rsid w:val="000B2352"/>
    <w:rsid w:val="000B386F"/>
    <w:rsid w:val="000B7399"/>
    <w:rsid w:val="000C0339"/>
    <w:rsid w:val="000C2A6A"/>
    <w:rsid w:val="000C2E09"/>
    <w:rsid w:val="000C37E3"/>
    <w:rsid w:val="000C4337"/>
    <w:rsid w:val="000C7038"/>
    <w:rsid w:val="000C7B84"/>
    <w:rsid w:val="000C7BCC"/>
    <w:rsid w:val="000D19EF"/>
    <w:rsid w:val="000D261B"/>
    <w:rsid w:val="000D32D9"/>
    <w:rsid w:val="000D358F"/>
    <w:rsid w:val="000D4EE8"/>
    <w:rsid w:val="000D5423"/>
    <w:rsid w:val="000D58A3"/>
    <w:rsid w:val="000D6B3E"/>
    <w:rsid w:val="000D6FB0"/>
    <w:rsid w:val="000E06C0"/>
    <w:rsid w:val="000E25B3"/>
    <w:rsid w:val="000E3E10"/>
    <w:rsid w:val="000E3ED4"/>
    <w:rsid w:val="000E3F9C"/>
    <w:rsid w:val="000E4805"/>
    <w:rsid w:val="000E4A83"/>
    <w:rsid w:val="000F1550"/>
    <w:rsid w:val="000F251B"/>
    <w:rsid w:val="000F4AEF"/>
    <w:rsid w:val="000F56BB"/>
    <w:rsid w:val="000F5FE8"/>
    <w:rsid w:val="000F6644"/>
    <w:rsid w:val="000F7F9F"/>
    <w:rsid w:val="00100833"/>
    <w:rsid w:val="00100A78"/>
    <w:rsid w:val="001011AA"/>
    <w:rsid w:val="00101437"/>
    <w:rsid w:val="00101928"/>
    <w:rsid w:val="00101AA1"/>
    <w:rsid w:val="00102F72"/>
    <w:rsid w:val="00105BF7"/>
    <w:rsid w:val="00106016"/>
    <w:rsid w:val="00107E85"/>
    <w:rsid w:val="001102DB"/>
    <w:rsid w:val="00113EE8"/>
    <w:rsid w:val="0011455A"/>
    <w:rsid w:val="00114A65"/>
    <w:rsid w:val="001174CE"/>
    <w:rsid w:val="001230D0"/>
    <w:rsid w:val="001278DC"/>
    <w:rsid w:val="001315F3"/>
    <w:rsid w:val="00133061"/>
    <w:rsid w:val="00133205"/>
    <w:rsid w:val="00134C1B"/>
    <w:rsid w:val="00141699"/>
    <w:rsid w:val="00144510"/>
    <w:rsid w:val="00147000"/>
    <w:rsid w:val="00151B2E"/>
    <w:rsid w:val="00156C4A"/>
    <w:rsid w:val="001616E1"/>
    <w:rsid w:val="00162577"/>
    <w:rsid w:val="00163091"/>
    <w:rsid w:val="00163163"/>
    <w:rsid w:val="001645CB"/>
    <w:rsid w:val="00166305"/>
    <w:rsid w:val="00167055"/>
    <w:rsid w:val="00167545"/>
    <w:rsid w:val="00167AA8"/>
    <w:rsid w:val="00167E9F"/>
    <w:rsid w:val="001703C6"/>
    <w:rsid w:val="00172DB3"/>
    <w:rsid w:val="00173781"/>
    <w:rsid w:val="00173DB8"/>
    <w:rsid w:val="00174451"/>
    <w:rsid w:val="00175396"/>
    <w:rsid w:val="001753B8"/>
    <w:rsid w:val="0017543D"/>
    <w:rsid w:val="00175ADF"/>
    <w:rsid w:val="00175CAE"/>
    <w:rsid w:val="001778EC"/>
    <w:rsid w:val="00180391"/>
    <w:rsid w:val="00181E8E"/>
    <w:rsid w:val="001828DB"/>
    <w:rsid w:val="00184A49"/>
    <w:rsid w:val="00184C28"/>
    <w:rsid w:val="001850FE"/>
    <w:rsid w:val="00185135"/>
    <w:rsid w:val="001868AB"/>
    <w:rsid w:val="00187C8A"/>
    <w:rsid w:val="0019037C"/>
    <w:rsid w:val="001905A9"/>
    <w:rsid w:val="00190AD4"/>
    <w:rsid w:val="0019100E"/>
    <w:rsid w:val="00191273"/>
    <w:rsid w:val="0019181A"/>
    <w:rsid w:val="001941F4"/>
    <w:rsid w:val="001942A7"/>
    <w:rsid w:val="00195274"/>
    <w:rsid w:val="0019587B"/>
    <w:rsid w:val="001A0809"/>
    <w:rsid w:val="001A1332"/>
    <w:rsid w:val="001A163D"/>
    <w:rsid w:val="001A18CC"/>
    <w:rsid w:val="001A1C52"/>
    <w:rsid w:val="001A3E08"/>
    <w:rsid w:val="001A441E"/>
    <w:rsid w:val="001A6437"/>
    <w:rsid w:val="001A6733"/>
    <w:rsid w:val="001A777A"/>
    <w:rsid w:val="001B1A82"/>
    <w:rsid w:val="001B273C"/>
    <w:rsid w:val="001B328E"/>
    <w:rsid w:val="001B357F"/>
    <w:rsid w:val="001B4BCD"/>
    <w:rsid w:val="001C0988"/>
    <w:rsid w:val="001C115A"/>
    <w:rsid w:val="001C3444"/>
    <w:rsid w:val="001C3523"/>
    <w:rsid w:val="001C3702"/>
    <w:rsid w:val="001C4656"/>
    <w:rsid w:val="001C46BC"/>
    <w:rsid w:val="001C528B"/>
    <w:rsid w:val="001D02B2"/>
    <w:rsid w:val="001D0F5C"/>
    <w:rsid w:val="001D1E06"/>
    <w:rsid w:val="001D47B2"/>
    <w:rsid w:val="001D4841"/>
    <w:rsid w:val="001D5CD5"/>
    <w:rsid w:val="001E1694"/>
    <w:rsid w:val="001E4E66"/>
    <w:rsid w:val="001E5430"/>
    <w:rsid w:val="001E5AD6"/>
    <w:rsid w:val="001E6863"/>
    <w:rsid w:val="001F08E0"/>
    <w:rsid w:val="001F10FF"/>
    <w:rsid w:val="001F1904"/>
    <w:rsid w:val="001F1B85"/>
    <w:rsid w:val="001F1C15"/>
    <w:rsid w:val="001F23E6"/>
    <w:rsid w:val="001F3E2E"/>
    <w:rsid w:val="001F3ED8"/>
    <w:rsid w:val="001F4238"/>
    <w:rsid w:val="001F6AAB"/>
    <w:rsid w:val="001F74E3"/>
    <w:rsid w:val="001F77D1"/>
    <w:rsid w:val="001F7B70"/>
    <w:rsid w:val="0020076D"/>
    <w:rsid w:val="00200A38"/>
    <w:rsid w:val="00200A46"/>
    <w:rsid w:val="00201F01"/>
    <w:rsid w:val="00203A35"/>
    <w:rsid w:val="00204EAE"/>
    <w:rsid w:val="0020666C"/>
    <w:rsid w:val="0021127F"/>
    <w:rsid w:val="00211B15"/>
    <w:rsid w:val="00211B6F"/>
    <w:rsid w:val="00211EEC"/>
    <w:rsid w:val="00212094"/>
    <w:rsid w:val="002124B8"/>
    <w:rsid w:val="0021297D"/>
    <w:rsid w:val="00215FEC"/>
    <w:rsid w:val="002176FB"/>
    <w:rsid w:val="00217CC3"/>
    <w:rsid w:val="00220028"/>
    <w:rsid w:val="00220AB6"/>
    <w:rsid w:val="0022120F"/>
    <w:rsid w:val="002226B3"/>
    <w:rsid w:val="002232AE"/>
    <w:rsid w:val="0022754A"/>
    <w:rsid w:val="00236560"/>
    <w:rsid w:val="0023662E"/>
    <w:rsid w:val="00236BDE"/>
    <w:rsid w:val="00237561"/>
    <w:rsid w:val="00240728"/>
    <w:rsid w:val="0024185B"/>
    <w:rsid w:val="002419BC"/>
    <w:rsid w:val="00242440"/>
    <w:rsid w:val="00243700"/>
    <w:rsid w:val="00245325"/>
    <w:rsid w:val="00245C48"/>
    <w:rsid w:val="00245D0F"/>
    <w:rsid w:val="00246E1F"/>
    <w:rsid w:val="002478EE"/>
    <w:rsid w:val="00251632"/>
    <w:rsid w:val="00251C91"/>
    <w:rsid w:val="00251E55"/>
    <w:rsid w:val="002548C3"/>
    <w:rsid w:val="0025611E"/>
    <w:rsid w:val="0025755C"/>
    <w:rsid w:val="00257ACD"/>
    <w:rsid w:val="00261670"/>
    <w:rsid w:val="00261E61"/>
    <w:rsid w:val="00262908"/>
    <w:rsid w:val="00263AB2"/>
    <w:rsid w:val="00263C47"/>
    <w:rsid w:val="002650F4"/>
    <w:rsid w:val="00266856"/>
    <w:rsid w:val="00266B9A"/>
    <w:rsid w:val="00267491"/>
    <w:rsid w:val="002715FD"/>
    <w:rsid w:val="00272396"/>
    <w:rsid w:val="002728DA"/>
    <w:rsid w:val="00274183"/>
    <w:rsid w:val="002756F1"/>
    <w:rsid w:val="00276639"/>
    <w:rsid w:val="002770B1"/>
    <w:rsid w:val="002779FC"/>
    <w:rsid w:val="00277D59"/>
    <w:rsid w:val="002802A9"/>
    <w:rsid w:val="0028041F"/>
    <w:rsid w:val="002834F9"/>
    <w:rsid w:val="00285B33"/>
    <w:rsid w:val="00286612"/>
    <w:rsid w:val="002866C6"/>
    <w:rsid w:val="00287A3C"/>
    <w:rsid w:val="00287B49"/>
    <w:rsid w:val="002905E6"/>
    <w:rsid w:val="0029211E"/>
    <w:rsid w:val="00293AFA"/>
    <w:rsid w:val="00293B01"/>
    <w:rsid w:val="00295A45"/>
    <w:rsid w:val="00296507"/>
    <w:rsid w:val="00296A65"/>
    <w:rsid w:val="002972D3"/>
    <w:rsid w:val="002A0C53"/>
    <w:rsid w:val="002A1B05"/>
    <w:rsid w:val="002A20AB"/>
    <w:rsid w:val="002A223C"/>
    <w:rsid w:val="002A2FC6"/>
    <w:rsid w:val="002A5022"/>
    <w:rsid w:val="002A7984"/>
    <w:rsid w:val="002A7E1D"/>
    <w:rsid w:val="002B0C67"/>
    <w:rsid w:val="002B32DD"/>
    <w:rsid w:val="002B502E"/>
    <w:rsid w:val="002B6D38"/>
    <w:rsid w:val="002C0B23"/>
    <w:rsid w:val="002C1007"/>
    <w:rsid w:val="002C1EC7"/>
    <w:rsid w:val="002C20B3"/>
    <w:rsid w:val="002C22A4"/>
    <w:rsid w:val="002C3015"/>
    <w:rsid w:val="002C3EFB"/>
    <w:rsid w:val="002C4342"/>
    <w:rsid w:val="002C49B5"/>
    <w:rsid w:val="002C5247"/>
    <w:rsid w:val="002C5D22"/>
    <w:rsid w:val="002C7EA3"/>
    <w:rsid w:val="002C7F3B"/>
    <w:rsid w:val="002D0816"/>
    <w:rsid w:val="002D17EA"/>
    <w:rsid w:val="002D1E59"/>
    <w:rsid w:val="002D20AE"/>
    <w:rsid w:val="002D33B9"/>
    <w:rsid w:val="002D5D49"/>
    <w:rsid w:val="002D6C61"/>
    <w:rsid w:val="002D7B39"/>
    <w:rsid w:val="002E1924"/>
    <w:rsid w:val="002E2104"/>
    <w:rsid w:val="002E2DAC"/>
    <w:rsid w:val="002E42E3"/>
    <w:rsid w:val="002E6963"/>
    <w:rsid w:val="002E6F8F"/>
    <w:rsid w:val="002E7146"/>
    <w:rsid w:val="002E7344"/>
    <w:rsid w:val="002F05D8"/>
    <w:rsid w:val="002F2DE0"/>
    <w:rsid w:val="002F31FA"/>
    <w:rsid w:val="002F559C"/>
    <w:rsid w:val="002F5E25"/>
    <w:rsid w:val="002F654E"/>
    <w:rsid w:val="002F699D"/>
    <w:rsid w:val="002F69D9"/>
    <w:rsid w:val="002F6EF1"/>
    <w:rsid w:val="00301481"/>
    <w:rsid w:val="0030353C"/>
    <w:rsid w:val="0030396C"/>
    <w:rsid w:val="00304C50"/>
    <w:rsid w:val="003059EF"/>
    <w:rsid w:val="003072E9"/>
    <w:rsid w:val="0030790A"/>
    <w:rsid w:val="0030FC4D"/>
    <w:rsid w:val="00311CE0"/>
    <w:rsid w:val="003125C3"/>
    <w:rsid w:val="00312AE6"/>
    <w:rsid w:val="00315A8C"/>
    <w:rsid w:val="00316D48"/>
    <w:rsid w:val="003174E6"/>
    <w:rsid w:val="00317ACD"/>
    <w:rsid w:val="00317D1A"/>
    <w:rsid w:val="003211FF"/>
    <w:rsid w:val="00322A6A"/>
    <w:rsid w:val="00322E47"/>
    <w:rsid w:val="0032399C"/>
    <w:rsid w:val="003242AB"/>
    <w:rsid w:val="00324870"/>
    <w:rsid w:val="0032565C"/>
    <w:rsid w:val="00326A65"/>
    <w:rsid w:val="00327247"/>
    <w:rsid w:val="0032736E"/>
    <w:rsid w:val="00327A9D"/>
    <w:rsid w:val="00330833"/>
    <w:rsid w:val="00330EF1"/>
    <w:rsid w:val="0033130E"/>
    <w:rsid w:val="00331856"/>
    <w:rsid w:val="0033269C"/>
    <w:rsid w:val="003363E1"/>
    <w:rsid w:val="003369B0"/>
    <w:rsid w:val="003402A6"/>
    <w:rsid w:val="00341A65"/>
    <w:rsid w:val="00342C3F"/>
    <w:rsid w:val="003439AE"/>
    <w:rsid w:val="0034497D"/>
    <w:rsid w:val="0034654D"/>
    <w:rsid w:val="0034688F"/>
    <w:rsid w:val="00351C79"/>
    <w:rsid w:val="00354903"/>
    <w:rsid w:val="00354AC5"/>
    <w:rsid w:val="0035516C"/>
    <w:rsid w:val="00355A4C"/>
    <w:rsid w:val="003604FB"/>
    <w:rsid w:val="00360B73"/>
    <w:rsid w:val="003641EC"/>
    <w:rsid w:val="00367B57"/>
    <w:rsid w:val="00370274"/>
    <w:rsid w:val="00370AEB"/>
    <w:rsid w:val="00370C0C"/>
    <w:rsid w:val="00374A45"/>
    <w:rsid w:val="00380B71"/>
    <w:rsid w:val="00380BD3"/>
    <w:rsid w:val="00382BDC"/>
    <w:rsid w:val="0038365A"/>
    <w:rsid w:val="003837E9"/>
    <w:rsid w:val="00383CD8"/>
    <w:rsid w:val="003856D6"/>
    <w:rsid w:val="00386A89"/>
    <w:rsid w:val="00387CAC"/>
    <w:rsid w:val="00390040"/>
    <w:rsid w:val="00391658"/>
    <w:rsid w:val="00391F82"/>
    <w:rsid w:val="0039471C"/>
    <w:rsid w:val="00395C41"/>
    <w:rsid w:val="0039648E"/>
    <w:rsid w:val="0039714E"/>
    <w:rsid w:val="003975C5"/>
    <w:rsid w:val="003A0C24"/>
    <w:rsid w:val="003A1A53"/>
    <w:rsid w:val="003A339E"/>
    <w:rsid w:val="003A42E3"/>
    <w:rsid w:val="003A4491"/>
    <w:rsid w:val="003A5AFE"/>
    <w:rsid w:val="003A5AFF"/>
    <w:rsid w:val="003A5D47"/>
    <w:rsid w:val="003A5D5F"/>
    <w:rsid w:val="003A63F5"/>
    <w:rsid w:val="003A6EF4"/>
    <w:rsid w:val="003A7536"/>
    <w:rsid w:val="003A7763"/>
    <w:rsid w:val="003A7FFE"/>
    <w:rsid w:val="003B0A63"/>
    <w:rsid w:val="003B0D83"/>
    <w:rsid w:val="003B2582"/>
    <w:rsid w:val="003B3A03"/>
    <w:rsid w:val="003B447A"/>
    <w:rsid w:val="003B50E1"/>
    <w:rsid w:val="003B5138"/>
    <w:rsid w:val="003B7A24"/>
    <w:rsid w:val="003C070A"/>
    <w:rsid w:val="003C080F"/>
    <w:rsid w:val="003C1746"/>
    <w:rsid w:val="003C183D"/>
    <w:rsid w:val="003C2AA9"/>
    <w:rsid w:val="003C3A8D"/>
    <w:rsid w:val="003C58BF"/>
    <w:rsid w:val="003C7EE8"/>
    <w:rsid w:val="003D089A"/>
    <w:rsid w:val="003D230D"/>
    <w:rsid w:val="003D2693"/>
    <w:rsid w:val="003D2B38"/>
    <w:rsid w:val="003D451D"/>
    <w:rsid w:val="003D4B89"/>
    <w:rsid w:val="003E19BA"/>
    <w:rsid w:val="003E3FBB"/>
    <w:rsid w:val="003E74AA"/>
    <w:rsid w:val="003E7530"/>
    <w:rsid w:val="003F0984"/>
    <w:rsid w:val="003F1958"/>
    <w:rsid w:val="003F2DD8"/>
    <w:rsid w:val="003F3F2D"/>
    <w:rsid w:val="003F46BC"/>
    <w:rsid w:val="003F50B2"/>
    <w:rsid w:val="003F7176"/>
    <w:rsid w:val="00400A50"/>
    <w:rsid w:val="00400CCF"/>
    <w:rsid w:val="00401BFF"/>
    <w:rsid w:val="00401E89"/>
    <w:rsid w:val="00403A63"/>
    <w:rsid w:val="00404424"/>
    <w:rsid w:val="004044C5"/>
    <w:rsid w:val="00404850"/>
    <w:rsid w:val="0040490E"/>
    <w:rsid w:val="0041156B"/>
    <w:rsid w:val="004122C5"/>
    <w:rsid w:val="00412C32"/>
    <w:rsid w:val="00412C47"/>
    <w:rsid w:val="004137AB"/>
    <w:rsid w:val="00413B78"/>
    <w:rsid w:val="00413E2E"/>
    <w:rsid w:val="004161B9"/>
    <w:rsid w:val="00416DA7"/>
    <w:rsid w:val="00416DDE"/>
    <w:rsid w:val="00417872"/>
    <w:rsid w:val="00417D64"/>
    <w:rsid w:val="004214CE"/>
    <w:rsid w:val="00427A77"/>
    <w:rsid w:val="00430F96"/>
    <w:rsid w:val="004316DA"/>
    <w:rsid w:val="00431C8B"/>
    <w:rsid w:val="00431EA5"/>
    <w:rsid w:val="00432E2D"/>
    <w:rsid w:val="00434771"/>
    <w:rsid w:val="004354B0"/>
    <w:rsid w:val="004363EC"/>
    <w:rsid w:val="004406A7"/>
    <w:rsid w:val="004409C3"/>
    <w:rsid w:val="00441058"/>
    <w:rsid w:val="0044411E"/>
    <w:rsid w:val="00445C7A"/>
    <w:rsid w:val="00446B7C"/>
    <w:rsid w:val="00447DC4"/>
    <w:rsid w:val="00453435"/>
    <w:rsid w:val="00455417"/>
    <w:rsid w:val="00455B51"/>
    <w:rsid w:val="004573A6"/>
    <w:rsid w:val="00460089"/>
    <w:rsid w:val="00466398"/>
    <w:rsid w:val="00470784"/>
    <w:rsid w:val="004716F4"/>
    <w:rsid w:val="0047306D"/>
    <w:rsid w:val="00473791"/>
    <w:rsid w:val="00473EBE"/>
    <w:rsid w:val="004769D1"/>
    <w:rsid w:val="00476E48"/>
    <w:rsid w:val="00481DE9"/>
    <w:rsid w:val="004833F9"/>
    <w:rsid w:val="00483A68"/>
    <w:rsid w:val="00483CFC"/>
    <w:rsid w:val="00483D56"/>
    <w:rsid w:val="0048552B"/>
    <w:rsid w:val="00487B87"/>
    <w:rsid w:val="00487B98"/>
    <w:rsid w:val="00490698"/>
    <w:rsid w:val="0049128B"/>
    <w:rsid w:val="0049384F"/>
    <w:rsid w:val="00493B49"/>
    <w:rsid w:val="00493EF1"/>
    <w:rsid w:val="004946F5"/>
    <w:rsid w:val="00495501"/>
    <w:rsid w:val="00496979"/>
    <w:rsid w:val="00496F40"/>
    <w:rsid w:val="00496FA2"/>
    <w:rsid w:val="004A070A"/>
    <w:rsid w:val="004A1829"/>
    <w:rsid w:val="004A1E47"/>
    <w:rsid w:val="004A320E"/>
    <w:rsid w:val="004A4E9C"/>
    <w:rsid w:val="004B0732"/>
    <w:rsid w:val="004B1A3C"/>
    <w:rsid w:val="004B1FB7"/>
    <w:rsid w:val="004B42B3"/>
    <w:rsid w:val="004B4994"/>
    <w:rsid w:val="004B5BF3"/>
    <w:rsid w:val="004B6A2F"/>
    <w:rsid w:val="004B71F7"/>
    <w:rsid w:val="004C0398"/>
    <w:rsid w:val="004C1BC8"/>
    <w:rsid w:val="004C2AC9"/>
    <w:rsid w:val="004C2F01"/>
    <w:rsid w:val="004C3FA6"/>
    <w:rsid w:val="004C4CF1"/>
    <w:rsid w:val="004C584C"/>
    <w:rsid w:val="004C58BE"/>
    <w:rsid w:val="004C6190"/>
    <w:rsid w:val="004C62EC"/>
    <w:rsid w:val="004D0076"/>
    <w:rsid w:val="004D2CC3"/>
    <w:rsid w:val="004D35CB"/>
    <w:rsid w:val="004D51D8"/>
    <w:rsid w:val="004D7215"/>
    <w:rsid w:val="004D7DAB"/>
    <w:rsid w:val="004E1F86"/>
    <w:rsid w:val="004E20E5"/>
    <w:rsid w:val="004E2B01"/>
    <w:rsid w:val="004E4568"/>
    <w:rsid w:val="004E64EA"/>
    <w:rsid w:val="004E6740"/>
    <w:rsid w:val="004E7828"/>
    <w:rsid w:val="004F31D8"/>
    <w:rsid w:val="004F4483"/>
    <w:rsid w:val="004F46AA"/>
    <w:rsid w:val="004F4902"/>
    <w:rsid w:val="004F6A70"/>
    <w:rsid w:val="004F792C"/>
    <w:rsid w:val="00500AD7"/>
    <w:rsid w:val="00500BE3"/>
    <w:rsid w:val="0050173D"/>
    <w:rsid w:val="00501DD3"/>
    <w:rsid w:val="00502A7B"/>
    <w:rsid w:val="00502ABF"/>
    <w:rsid w:val="00502D47"/>
    <w:rsid w:val="005032D0"/>
    <w:rsid w:val="00504DB0"/>
    <w:rsid w:val="00507C35"/>
    <w:rsid w:val="00510350"/>
    <w:rsid w:val="00510735"/>
    <w:rsid w:val="00512AFA"/>
    <w:rsid w:val="00513B62"/>
    <w:rsid w:val="00514169"/>
    <w:rsid w:val="00514D2F"/>
    <w:rsid w:val="00514EB2"/>
    <w:rsid w:val="00520AEE"/>
    <w:rsid w:val="00520C6C"/>
    <w:rsid w:val="0052226C"/>
    <w:rsid w:val="00530F90"/>
    <w:rsid w:val="00531A5C"/>
    <w:rsid w:val="00531F22"/>
    <w:rsid w:val="00535126"/>
    <w:rsid w:val="0053738F"/>
    <w:rsid w:val="005400E8"/>
    <w:rsid w:val="005409F9"/>
    <w:rsid w:val="0054171C"/>
    <w:rsid w:val="0054420E"/>
    <w:rsid w:val="00544D1B"/>
    <w:rsid w:val="00545DC0"/>
    <w:rsid w:val="00545F6C"/>
    <w:rsid w:val="00547516"/>
    <w:rsid w:val="005477D9"/>
    <w:rsid w:val="005508A7"/>
    <w:rsid w:val="00551BB8"/>
    <w:rsid w:val="0055254C"/>
    <w:rsid w:val="00553A06"/>
    <w:rsid w:val="00554B23"/>
    <w:rsid w:val="00555445"/>
    <w:rsid w:val="0055720C"/>
    <w:rsid w:val="00561796"/>
    <w:rsid w:val="00563080"/>
    <w:rsid w:val="005632DD"/>
    <w:rsid w:val="0056423B"/>
    <w:rsid w:val="00566E2A"/>
    <w:rsid w:val="00570341"/>
    <w:rsid w:val="0057049D"/>
    <w:rsid w:val="005723E5"/>
    <w:rsid w:val="00573424"/>
    <w:rsid w:val="005735BD"/>
    <w:rsid w:val="00573BAC"/>
    <w:rsid w:val="0057402F"/>
    <w:rsid w:val="00576B22"/>
    <w:rsid w:val="00581653"/>
    <w:rsid w:val="00582067"/>
    <w:rsid w:val="005831BE"/>
    <w:rsid w:val="00583E09"/>
    <w:rsid w:val="005849D6"/>
    <w:rsid w:val="00585367"/>
    <w:rsid w:val="005865D0"/>
    <w:rsid w:val="0058669C"/>
    <w:rsid w:val="005871A1"/>
    <w:rsid w:val="0058737E"/>
    <w:rsid w:val="00590D65"/>
    <w:rsid w:val="00592221"/>
    <w:rsid w:val="00592518"/>
    <w:rsid w:val="00592E87"/>
    <w:rsid w:val="0059420B"/>
    <w:rsid w:val="00594A91"/>
    <w:rsid w:val="00594C4D"/>
    <w:rsid w:val="00596F65"/>
    <w:rsid w:val="00596F88"/>
    <w:rsid w:val="005A0A92"/>
    <w:rsid w:val="005A10DB"/>
    <w:rsid w:val="005A33B0"/>
    <w:rsid w:val="005A501D"/>
    <w:rsid w:val="005A5A94"/>
    <w:rsid w:val="005A71AC"/>
    <w:rsid w:val="005A7E5F"/>
    <w:rsid w:val="005B2D4D"/>
    <w:rsid w:val="005B2EB9"/>
    <w:rsid w:val="005B38B3"/>
    <w:rsid w:val="005B548C"/>
    <w:rsid w:val="005B6273"/>
    <w:rsid w:val="005B630E"/>
    <w:rsid w:val="005C0994"/>
    <w:rsid w:val="005C11B7"/>
    <w:rsid w:val="005C1B61"/>
    <w:rsid w:val="005C2131"/>
    <w:rsid w:val="005C24F5"/>
    <w:rsid w:val="005C2DC2"/>
    <w:rsid w:val="005C304A"/>
    <w:rsid w:val="005C3304"/>
    <w:rsid w:val="005C38D8"/>
    <w:rsid w:val="005C3D69"/>
    <w:rsid w:val="005C50CC"/>
    <w:rsid w:val="005C51B3"/>
    <w:rsid w:val="005C7C98"/>
    <w:rsid w:val="005D2C3A"/>
    <w:rsid w:val="005D55A4"/>
    <w:rsid w:val="005D57C8"/>
    <w:rsid w:val="005D5C4D"/>
    <w:rsid w:val="005D651A"/>
    <w:rsid w:val="005D7761"/>
    <w:rsid w:val="005E0278"/>
    <w:rsid w:val="005E0787"/>
    <w:rsid w:val="005E090D"/>
    <w:rsid w:val="005E13F3"/>
    <w:rsid w:val="005E1DA0"/>
    <w:rsid w:val="005E2782"/>
    <w:rsid w:val="005E3CA0"/>
    <w:rsid w:val="005E3D9B"/>
    <w:rsid w:val="005E44B1"/>
    <w:rsid w:val="005E66E9"/>
    <w:rsid w:val="005E67B0"/>
    <w:rsid w:val="005E6976"/>
    <w:rsid w:val="005E7047"/>
    <w:rsid w:val="005E777F"/>
    <w:rsid w:val="005F1CA7"/>
    <w:rsid w:val="005F2122"/>
    <w:rsid w:val="005F29B0"/>
    <w:rsid w:val="005F2B38"/>
    <w:rsid w:val="005F40F5"/>
    <w:rsid w:val="005F43DD"/>
    <w:rsid w:val="005F51A9"/>
    <w:rsid w:val="005F6BE1"/>
    <w:rsid w:val="005F7416"/>
    <w:rsid w:val="006006F9"/>
    <w:rsid w:val="00600C11"/>
    <w:rsid w:val="0060273D"/>
    <w:rsid w:val="006031FA"/>
    <w:rsid w:val="00605406"/>
    <w:rsid w:val="00606B89"/>
    <w:rsid w:val="00606C46"/>
    <w:rsid w:val="00610216"/>
    <w:rsid w:val="00611EAF"/>
    <w:rsid w:val="00612987"/>
    <w:rsid w:val="00613F85"/>
    <w:rsid w:val="00614478"/>
    <w:rsid w:val="00617D19"/>
    <w:rsid w:val="00623F30"/>
    <w:rsid w:val="00624FCA"/>
    <w:rsid w:val="00625C76"/>
    <w:rsid w:val="00625FB8"/>
    <w:rsid w:val="006261BD"/>
    <w:rsid w:val="0062654E"/>
    <w:rsid w:val="006269B0"/>
    <w:rsid w:val="00627809"/>
    <w:rsid w:val="00627CFC"/>
    <w:rsid w:val="00627E21"/>
    <w:rsid w:val="0063054B"/>
    <w:rsid w:val="00631ED2"/>
    <w:rsid w:val="0063222B"/>
    <w:rsid w:val="00635A1E"/>
    <w:rsid w:val="00635EDB"/>
    <w:rsid w:val="006405D1"/>
    <w:rsid w:val="0064734E"/>
    <w:rsid w:val="00650137"/>
    <w:rsid w:val="006509D7"/>
    <w:rsid w:val="00651CE8"/>
    <w:rsid w:val="00654FE3"/>
    <w:rsid w:val="0065521B"/>
    <w:rsid w:val="0066499B"/>
    <w:rsid w:val="00664FF2"/>
    <w:rsid w:val="00665236"/>
    <w:rsid w:val="00670402"/>
    <w:rsid w:val="00670C89"/>
    <w:rsid w:val="00671EF6"/>
    <w:rsid w:val="0067205B"/>
    <w:rsid w:val="00672B02"/>
    <w:rsid w:val="006731F3"/>
    <w:rsid w:val="006734AA"/>
    <w:rsid w:val="006748F8"/>
    <w:rsid w:val="00676425"/>
    <w:rsid w:val="00680489"/>
    <w:rsid w:val="006814B8"/>
    <w:rsid w:val="006826BA"/>
    <w:rsid w:val="006832D3"/>
    <w:rsid w:val="00683C32"/>
    <w:rsid w:val="00684050"/>
    <w:rsid w:val="00684177"/>
    <w:rsid w:val="006846D0"/>
    <w:rsid w:val="00687032"/>
    <w:rsid w:val="00690BB2"/>
    <w:rsid w:val="006932E2"/>
    <w:rsid w:val="00693D09"/>
    <w:rsid w:val="00694D53"/>
    <w:rsid w:val="00697986"/>
    <w:rsid w:val="00697B19"/>
    <w:rsid w:val="00697D23"/>
    <w:rsid w:val="006A12AD"/>
    <w:rsid w:val="006A207F"/>
    <w:rsid w:val="006A2A6E"/>
    <w:rsid w:val="006A38D6"/>
    <w:rsid w:val="006A4EE2"/>
    <w:rsid w:val="006A61B1"/>
    <w:rsid w:val="006A6549"/>
    <w:rsid w:val="006A7358"/>
    <w:rsid w:val="006A7710"/>
    <w:rsid w:val="006A7A61"/>
    <w:rsid w:val="006B02DA"/>
    <w:rsid w:val="006B1E59"/>
    <w:rsid w:val="006B2ABD"/>
    <w:rsid w:val="006B2FFB"/>
    <w:rsid w:val="006B3B0F"/>
    <w:rsid w:val="006B4664"/>
    <w:rsid w:val="006B4FB2"/>
    <w:rsid w:val="006B6331"/>
    <w:rsid w:val="006B7835"/>
    <w:rsid w:val="006B79D9"/>
    <w:rsid w:val="006C10A2"/>
    <w:rsid w:val="006C1F18"/>
    <w:rsid w:val="006C2665"/>
    <w:rsid w:val="006C5307"/>
    <w:rsid w:val="006C606F"/>
    <w:rsid w:val="006C7F60"/>
    <w:rsid w:val="006D40D5"/>
    <w:rsid w:val="006D6329"/>
    <w:rsid w:val="006E1FDA"/>
    <w:rsid w:val="006E23CF"/>
    <w:rsid w:val="006E4894"/>
    <w:rsid w:val="006E6EB5"/>
    <w:rsid w:val="006E7205"/>
    <w:rsid w:val="006E74A8"/>
    <w:rsid w:val="006F009A"/>
    <w:rsid w:val="006F246C"/>
    <w:rsid w:val="006F3D93"/>
    <w:rsid w:val="006F3E8C"/>
    <w:rsid w:val="006F560C"/>
    <w:rsid w:val="006F620A"/>
    <w:rsid w:val="006F659F"/>
    <w:rsid w:val="007019B1"/>
    <w:rsid w:val="007048AC"/>
    <w:rsid w:val="00705A8D"/>
    <w:rsid w:val="00706FE4"/>
    <w:rsid w:val="007106A0"/>
    <w:rsid w:val="00710DA0"/>
    <w:rsid w:val="00711A09"/>
    <w:rsid w:val="0071235C"/>
    <w:rsid w:val="0071281B"/>
    <w:rsid w:val="00714016"/>
    <w:rsid w:val="00715F19"/>
    <w:rsid w:val="00716A07"/>
    <w:rsid w:val="00716D56"/>
    <w:rsid w:val="007171B2"/>
    <w:rsid w:val="00720463"/>
    <w:rsid w:val="00720514"/>
    <w:rsid w:val="00720732"/>
    <w:rsid w:val="0072089B"/>
    <w:rsid w:val="00721657"/>
    <w:rsid w:val="0072213E"/>
    <w:rsid w:val="007226EE"/>
    <w:rsid w:val="00722F1C"/>
    <w:rsid w:val="00725A74"/>
    <w:rsid w:val="007279A8"/>
    <w:rsid w:val="00727B1A"/>
    <w:rsid w:val="00727BBB"/>
    <w:rsid w:val="00730661"/>
    <w:rsid w:val="00731D88"/>
    <w:rsid w:val="007320A5"/>
    <w:rsid w:val="00732FD5"/>
    <w:rsid w:val="007332DB"/>
    <w:rsid w:val="00737749"/>
    <w:rsid w:val="0074056D"/>
    <w:rsid w:val="00740F99"/>
    <w:rsid w:val="00741337"/>
    <w:rsid w:val="00742AAA"/>
    <w:rsid w:val="00743555"/>
    <w:rsid w:val="007515B8"/>
    <w:rsid w:val="00751C6E"/>
    <w:rsid w:val="0075216D"/>
    <w:rsid w:val="00752258"/>
    <w:rsid w:val="007529E1"/>
    <w:rsid w:val="00760319"/>
    <w:rsid w:val="007609A6"/>
    <w:rsid w:val="00762880"/>
    <w:rsid w:val="00762AD6"/>
    <w:rsid w:val="00762E02"/>
    <w:rsid w:val="00765C44"/>
    <w:rsid w:val="00767367"/>
    <w:rsid w:val="00771B98"/>
    <w:rsid w:val="00772290"/>
    <w:rsid w:val="007726EA"/>
    <w:rsid w:val="00772AF1"/>
    <w:rsid w:val="00772C8C"/>
    <w:rsid w:val="00775D81"/>
    <w:rsid w:val="00777265"/>
    <w:rsid w:val="007805E7"/>
    <w:rsid w:val="0078222A"/>
    <w:rsid w:val="007847BB"/>
    <w:rsid w:val="007850DA"/>
    <w:rsid w:val="00787D48"/>
    <w:rsid w:val="0079209C"/>
    <w:rsid w:val="0079220E"/>
    <w:rsid w:val="00794CB5"/>
    <w:rsid w:val="00795294"/>
    <w:rsid w:val="0079573F"/>
    <w:rsid w:val="00796094"/>
    <w:rsid w:val="00796C74"/>
    <w:rsid w:val="007976A1"/>
    <w:rsid w:val="007A3162"/>
    <w:rsid w:val="007A4E50"/>
    <w:rsid w:val="007A5CF5"/>
    <w:rsid w:val="007A5FC4"/>
    <w:rsid w:val="007A6439"/>
    <w:rsid w:val="007A6F27"/>
    <w:rsid w:val="007B13F4"/>
    <w:rsid w:val="007B18A7"/>
    <w:rsid w:val="007B250E"/>
    <w:rsid w:val="007C11E6"/>
    <w:rsid w:val="007C12D8"/>
    <w:rsid w:val="007C1663"/>
    <w:rsid w:val="007C27FC"/>
    <w:rsid w:val="007C3B85"/>
    <w:rsid w:val="007C51FF"/>
    <w:rsid w:val="007C6E56"/>
    <w:rsid w:val="007D2D19"/>
    <w:rsid w:val="007D2DD4"/>
    <w:rsid w:val="007D50E4"/>
    <w:rsid w:val="007D5DC1"/>
    <w:rsid w:val="007E2DC5"/>
    <w:rsid w:val="007E2F5A"/>
    <w:rsid w:val="007E3008"/>
    <w:rsid w:val="007E380B"/>
    <w:rsid w:val="007E4DB5"/>
    <w:rsid w:val="007E4E4F"/>
    <w:rsid w:val="007E5A27"/>
    <w:rsid w:val="007F1A98"/>
    <w:rsid w:val="007F1CC7"/>
    <w:rsid w:val="007F2F4F"/>
    <w:rsid w:val="007F7356"/>
    <w:rsid w:val="00800411"/>
    <w:rsid w:val="008020EE"/>
    <w:rsid w:val="00802764"/>
    <w:rsid w:val="008027AC"/>
    <w:rsid w:val="008028CE"/>
    <w:rsid w:val="00802A4F"/>
    <w:rsid w:val="0080332E"/>
    <w:rsid w:val="0080404C"/>
    <w:rsid w:val="0080487B"/>
    <w:rsid w:val="00804D34"/>
    <w:rsid w:val="008141E0"/>
    <w:rsid w:val="00815B9F"/>
    <w:rsid w:val="00816EE1"/>
    <w:rsid w:val="00816F88"/>
    <w:rsid w:val="00820A87"/>
    <w:rsid w:val="00821996"/>
    <w:rsid w:val="00821BB9"/>
    <w:rsid w:val="00822323"/>
    <w:rsid w:val="008226C9"/>
    <w:rsid w:val="008227BF"/>
    <w:rsid w:val="00824BB6"/>
    <w:rsid w:val="008251F6"/>
    <w:rsid w:val="008257E3"/>
    <w:rsid w:val="00825C1C"/>
    <w:rsid w:val="008260D4"/>
    <w:rsid w:val="00827226"/>
    <w:rsid w:val="00827BC6"/>
    <w:rsid w:val="008300AD"/>
    <w:rsid w:val="008314A3"/>
    <w:rsid w:val="00833024"/>
    <w:rsid w:val="00835A2F"/>
    <w:rsid w:val="00835D9B"/>
    <w:rsid w:val="00836071"/>
    <w:rsid w:val="0083765B"/>
    <w:rsid w:val="00837ED1"/>
    <w:rsid w:val="00840165"/>
    <w:rsid w:val="008419B1"/>
    <w:rsid w:val="00841F95"/>
    <w:rsid w:val="0084228C"/>
    <w:rsid w:val="0084257D"/>
    <w:rsid w:val="00844A56"/>
    <w:rsid w:val="00844AFA"/>
    <w:rsid w:val="00845B11"/>
    <w:rsid w:val="00846682"/>
    <w:rsid w:val="00846802"/>
    <w:rsid w:val="00847B4C"/>
    <w:rsid w:val="0085026F"/>
    <w:rsid w:val="00851378"/>
    <w:rsid w:val="00852081"/>
    <w:rsid w:val="00853C05"/>
    <w:rsid w:val="00854C9F"/>
    <w:rsid w:val="00854F58"/>
    <w:rsid w:val="008551FB"/>
    <w:rsid w:val="00856477"/>
    <w:rsid w:val="00860ACB"/>
    <w:rsid w:val="00863BE3"/>
    <w:rsid w:val="00864CEE"/>
    <w:rsid w:val="00866771"/>
    <w:rsid w:val="00870577"/>
    <w:rsid w:val="00872366"/>
    <w:rsid w:val="0087292E"/>
    <w:rsid w:val="00872B6E"/>
    <w:rsid w:val="00872CBE"/>
    <w:rsid w:val="00874DFD"/>
    <w:rsid w:val="00877959"/>
    <w:rsid w:val="008802F9"/>
    <w:rsid w:val="00880F0B"/>
    <w:rsid w:val="008813FF"/>
    <w:rsid w:val="00882018"/>
    <w:rsid w:val="00883086"/>
    <w:rsid w:val="00886722"/>
    <w:rsid w:val="008879FD"/>
    <w:rsid w:val="0089086A"/>
    <w:rsid w:val="008912BD"/>
    <w:rsid w:val="00892CEA"/>
    <w:rsid w:val="008943F0"/>
    <w:rsid w:val="00894C37"/>
    <w:rsid w:val="00896312"/>
    <w:rsid w:val="00897F0E"/>
    <w:rsid w:val="008A00EA"/>
    <w:rsid w:val="008A1714"/>
    <w:rsid w:val="008A29DC"/>
    <w:rsid w:val="008A3F93"/>
    <w:rsid w:val="008A5D5A"/>
    <w:rsid w:val="008A6236"/>
    <w:rsid w:val="008A6E1C"/>
    <w:rsid w:val="008A6F9D"/>
    <w:rsid w:val="008A712F"/>
    <w:rsid w:val="008A72FD"/>
    <w:rsid w:val="008A785A"/>
    <w:rsid w:val="008B0E75"/>
    <w:rsid w:val="008B1E76"/>
    <w:rsid w:val="008B2AFC"/>
    <w:rsid w:val="008B2EDF"/>
    <w:rsid w:val="008B47C7"/>
    <w:rsid w:val="008B54CB"/>
    <w:rsid w:val="008B5A3D"/>
    <w:rsid w:val="008B6BE8"/>
    <w:rsid w:val="008B7303"/>
    <w:rsid w:val="008C020A"/>
    <w:rsid w:val="008C29F6"/>
    <w:rsid w:val="008C39D9"/>
    <w:rsid w:val="008C4010"/>
    <w:rsid w:val="008C4FDF"/>
    <w:rsid w:val="008C6178"/>
    <w:rsid w:val="008C6B1F"/>
    <w:rsid w:val="008C74D4"/>
    <w:rsid w:val="008D0511"/>
    <w:rsid w:val="008D2FD9"/>
    <w:rsid w:val="008D3B5F"/>
    <w:rsid w:val="008D4C18"/>
    <w:rsid w:val="008D4CBF"/>
    <w:rsid w:val="008D5335"/>
    <w:rsid w:val="008D5E4F"/>
    <w:rsid w:val="008D7B61"/>
    <w:rsid w:val="008E1324"/>
    <w:rsid w:val="008E283B"/>
    <w:rsid w:val="008E34F0"/>
    <w:rsid w:val="008E57FF"/>
    <w:rsid w:val="008E5A00"/>
    <w:rsid w:val="008E5C25"/>
    <w:rsid w:val="008F14F5"/>
    <w:rsid w:val="008F4DC8"/>
    <w:rsid w:val="008F71C1"/>
    <w:rsid w:val="008F7255"/>
    <w:rsid w:val="008F79CC"/>
    <w:rsid w:val="008F7C62"/>
    <w:rsid w:val="00900B49"/>
    <w:rsid w:val="00901D2A"/>
    <w:rsid w:val="00902D41"/>
    <w:rsid w:val="00902EDB"/>
    <w:rsid w:val="00902F49"/>
    <w:rsid w:val="00904230"/>
    <w:rsid w:val="00906301"/>
    <w:rsid w:val="00906737"/>
    <w:rsid w:val="00913701"/>
    <w:rsid w:val="00914004"/>
    <w:rsid w:val="009147F1"/>
    <w:rsid w:val="009158AD"/>
    <w:rsid w:val="00915DEB"/>
    <w:rsid w:val="0091615B"/>
    <w:rsid w:val="00922B0E"/>
    <w:rsid w:val="00922EC1"/>
    <w:rsid w:val="00923BEF"/>
    <w:rsid w:val="00923CF1"/>
    <w:rsid w:val="00924069"/>
    <w:rsid w:val="00925F13"/>
    <w:rsid w:val="009260D6"/>
    <w:rsid w:val="009301F1"/>
    <w:rsid w:val="009307DF"/>
    <w:rsid w:val="00931354"/>
    <w:rsid w:val="00931F65"/>
    <w:rsid w:val="009321B7"/>
    <w:rsid w:val="009328E7"/>
    <w:rsid w:val="0093497C"/>
    <w:rsid w:val="00934A68"/>
    <w:rsid w:val="00934B35"/>
    <w:rsid w:val="009359B8"/>
    <w:rsid w:val="00935FF0"/>
    <w:rsid w:val="00936D96"/>
    <w:rsid w:val="00937366"/>
    <w:rsid w:val="00940B3C"/>
    <w:rsid w:val="00941C0C"/>
    <w:rsid w:val="0094216A"/>
    <w:rsid w:val="009431F8"/>
    <w:rsid w:val="009438AF"/>
    <w:rsid w:val="00945E3B"/>
    <w:rsid w:val="00947A35"/>
    <w:rsid w:val="009573F2"/>
    <w:rsid w:val="00961D5F"/>
    <w:rsid w:val="0096201B"/>
    <w:rsid w:val="00962081"/>
    <w:rsid w:val="00963A28"/>
    <w:rsid w:val="00964A26"/>
    <w:rsid w:val="00965388"/>
    <w:rsid w:val="00966CB5"/>
    <w:rsid w:val="00967F80"/>
    <w:rsid w:val="009702FE"/>
    <w:rsid w:val="00970BDF"/>
    <w:rsid w:val="009745C8"/>
    <w:rsid w:val="00975786"/>
    <w:rsid w:val="009761F5"/>
    <w:rsid w:val="00981CB7"/>
    <w:rsid w:val="0098382C"/>
    <w:rsid w:val="00983E1F"/>
    <w:rsid w:val="00985F94"/>
    <w:rsid w:val="00986133"/>
    <w:rsid w:val="00987446"/>
    <w:rsid w:val="00987BEB"/>
    <w:rsid w:val="00993EE4"/>
    <w:rsid w:val="00993F46"/>
    <w:rsid w:val="00994683"/>
    <w:rsid w:val="00994AEB"/>
    <w:rsid w:val="00995B47"/>
    <w:rsid w:val="009961C0"/>
    <w:rsid w:val="00996769"/>
    <w:rsid w:val="00997358"/>
    <w:rsid w:val="009A0145"/>
    <w:rsid w:val="009A111B"/>
    <w:rsid w:val="009A452B"/>
    <w:rsid w:val="009A4686"/>
    <w:rsid w:val="009B050C"/>
    <w:rsid w:val="009B087F"/>
    <w:rsid w:val="009B0F04"/>
    <w:rsid w:val="009B2AF4"/>
    <w:rsid w:val="009B5E01"/>
    <w:rsid w:val="009B5EE7"/>
    <w:rsid w:val="009B6A17"/>
    <w:rsid w:val="009B782B"/>
    <w:rsid w:val="009B79A1"/>
    <w:rsid w:val="009C0B96"/>
    <w:rsid w:val="009C0CBF"/>
    <w:rsid w:val="009C0DAF"/>
    <w:rsid w:val="009C110B"/>
    <w:rsid w:val="009C17D1"/>
    <w:rsid w:val="009C5441"/>
    <w:rsid w:val="009C71FE"/>
    <w:rsid w:val="009D119F"/>
    <w:rsid w:val="009D1356"/>
    <w:rsid w:val="009D28BD"/>
    <w:rsid w:val="009D2E0E"/>
    <w:rsid w:val="009D4813"/>
    <w:rsid w:val="009D49A2"/>
    <w:rsid w:val="009D7FA4"/>
    <w:rsid w:val="009E0FF3"/>
    <w:rsid w:val="009E2C03"/>
    <w:rsid w:val="009E4E6C"/>
    <w:rsid w:val="009E606A"/>
    <w:rsid w:val="009E6B16"/>
    <w:rsid w:val="009E761F"/>
    <w:rsid w:val="009F314C"/>
    <w:rsid w:val="009F3940"/>
    <w:rsid w:val="009F3EB2"/>
    <w:rsid w:val="009F4E9D"/>
    <w:rsid w:val="009F4EB4"/>
    <w:rsid w:val="009F554F"/>
    <w:rsid w:val="009F6EB1"/>
    <w:rsid w:val="00A01737"/>
    <w:rsid w:val="00A10057"/>
    <w:rsid w:val="00A102CE"/>
    <w:rsid w:val="00A11D05"/>
    <w:rsid w:val="00A13162"/>
    <w:rsid w:val="00A14DC6"/>
    <w:rsid w:val="00A175B5"/>
    <w:rsid w:val="00A176E1"/>
    <w:rsid w:val="00A20267"/>
    <w:rsid w:val="00A203B8"/>
    <w:rsid w:val="00A21E2F"/>
    <w:rsid w:val="00A244BC"/>
    <w:rsid w:val="00A24B5B"/>
    <w:rsid w:val="00A24EB4"/>
    <w:rsid w:val="00A25D37"/>
    <w:rsid w:val="00A2722A"/>
    <w:rsid w:val="00A27E3D"/>
    <w:rsid w:val="00A3158C"/>
    <w:rsid w:val="00A32DF3"/>
    <w:rsid w:val="00A33736"/>
    <w:rsid w:val="00A33E32"/>
    <w:rsid w:val="00A34D8C"/>
    <w:rsid w:val="00A35E20"/>
    <w:rsid w:val="00A36F6D"/>
    <w:rsid w:val="00A37146"/>
    <w:rsid w:val="00A44C67"/>
    <w:rsid w:val="00A44DD9"/>
    <w:rsid w:val="00A45D80"/>
    <w:rsid w:val="00A46863"/>
    <w:rsid w:val="00A46F69"/>
    <w:rsid w:val="00A475FF"/>
    <w:rsid w:val="00A47D05"/>
    <w:rsid w:val="00A5078C"/>
    <w:rsid w:val="00A50C1A"/>
    <w:rsid w:val="00A50CA0"/>
    <w:rsid w:val="00A525CC"/>
    <w:rsid w:val="00A53E7C"/>
    <w:rsid w:val="00A546A9"/>
    <w:rsid w:val="00A547C5"/>
    <w:rsid w:val="00A60087"/>
    <w:rsid w:val="00A618AA"/>
    <w:rsid w:val="00A63A2F"/>
    <w:rsid w:val="00A705E8"/>
    <w:rsid w:val="00A71A5C"/>
    <w:rsid w:val="00A721F4"/>
    <w:rsid w:val="00A723BE"/>
    <w:rsid w:val="00A7309E"/>
    <w:rsid w:val="00A73168"/>
    <w:rsid w:val="00A75E88"/>
    <w:rsid w:val="00A81E11"/>
    <w:rsid w:val="00A82E82"/>
    <w:rsid w:val="00A85336"/>
    <w:rsid w:val="00A90045"/>
    <w:rsid w:val="00A9044E"/>
    <w:rsid w:val="00A9048F"/>
    <w:rsid w:val="00A926CA"/>
    <w:rsid w:val="00A93741"/>
    <w:rsid w:val="00A9392C"/>
    <w:rsid w:val="00A945FD"/>
    <w:rsid w:val="00A9462B"/>
    <w:rsid w:val="00A95656"/>
    <w:rsid w:val="00A959C8"/>
    <w:rsid w:val="00A97D59"/>
    <w:rsid w:val="00AA2365"/>
    <w:rsid w:val="00AA2698"/>
    <w:rsid w:val="00AA34CD"/>
    <w:rsid w:val="00AA3E09"/>
    <w:rsid w:val="00AA409A"/>
    <w:rsid w:val="00AA477F"/>
    <w:rsid w:val="00AA4BEF"/>
    <w:rsid w:val="00AA4C31"/>
    <w:rsid w:val="00AA74DC"/>
    <w:rsid w:val="00AB098B"/>
    <w:rsid w:val="00AB0EDA"/>
    <w:rsid w:val="00AB1263"/>
    <w:rsid w:val="00AB1659"/>
    <w:rsid w:val="00AB339D"/>
    <w:rsid w:val="00AB3D47"/>
    <w:rsid w:val="00AB407E"/>
    <w:rsid w:val="00AB4962"/>
    <w:rsid w:val="00AB6E74"/>
    <w:rsid w:val="00AB734E"/>
    <w:rsid w:val="00AB740F"/>
    <w:rsid w:val="00AB76FA"/>
    <w:rsid w:val="00AC0E03"/>
    <w:rsid w:val="00AC12C5"/>
    <w:rsid w:val="00AC262B"/>
    <w:rsid w:val="00AC2CE1"/>
    <w:rsid w:val="00AC6F14"/>
    <w:rsid w:val="00AC7221"/>
    <w:rsid w:val="00AD2708"/>
    <w:rsid w:val="00AD2E37"/>
    <w:rsid w:val="00AD4677"/>
    <w:rsid w:val="00AD6CB3"/>
    <w:rsid w:val="00AD7C86"/>
    <w:rsid w:val="00AE0264"/>
    <w:rsid w:val="00AE0371"/>
    <w:rsid w:val="00AE1CA2"/>
    <w:rsid w:val="00AE22EB"/>
    <w:rsid w:val="00AE4126"/>
    <w:rsid w:val="00AE4850"/>
    <w:rsid w:val="00AE5961"/>
    <w:rsid w:val="00AE5EAC"/>
    <w:rsid w:val="00AE692E"/>
    <w:rsid w:val="00AF0472"/>
    <w:rsid w:val="00AF0745"/>
    <w:rsid w:val="00AF15EC"/>
    <w:rsid w:val="00AF349A"/>
    <w:rsid w:val="00AF379B"/>
    <w:rsid w:val="00AF3E1D"/>
    <w:rsid w:val="00AF4971"/>
    <w:rsid w:val="00AF4989"/>
    <w:rsid w:val="00AF5276"/>
    <w:rsid w:val="00AF7C86"/>
    <w:rsid w:val="00B01046"/>
    <w:rsid w:val="00B01E32"/>
    <w:rsid w:val="00B0328D"/>
    <w:rsid w:val="00B0355B"/>
    <w:rsid w:val="00B06A96"/>
    <w:rsid w:val="00B104E6"/>
    <w:rsid w:val="00B1664C"/>
    <w:rsid w:val="00B16777"/>
    <w:rsid w:val="00B20728"/>
    <w:rsid w:val="00B22920"/>
    <w:rsid w:val="00B22BC2"/>
    <w:rsid w:val="00B23DE3"/>
    <w:rsid w:val="00B252C7"/>
    <w:rsid w:val="00B27397"/>
    <w:rsid w:val="00B309AC"/>
    <w:rsid w:val="00B310F9"/>
    <w:rsid w:val="00B31117"/>
    <w:rsid w:val="00B32684"/>
    <w:rsid w:val="00B34F02"/>
    <w:rsid w:val="00B372C7"/>
    <w:rsid w:val="00B37866"/>
    <w:rsid w:val="00B37A2D"/>
    <w:rsid w:val="00B37EF0"/>
    <w:rsid w:val="00B40C62"/>
    <w:rsid w:val="00B40DFA"/>
    <w:rsid w:val="00B412FB"/>
    <w:rsid w:val="00B45149"/>
    <w:rsid w:val="00B453BB"/>
    <w:rsid w:val="00B4576B"/>
    <w:rsid w:val="00B4586A"/>
    <w:rsid w:val="00B46350"/>
    <w:rsid w:val="00B46A25"/>
    <w:rsid w:val="00B46DF3"/>
    <w:rsid w:val="00B4760D"/>
    <w:rsid w:val="00B5781B"/>
    <w:rsid w:val="00B57DB9"/>
    <w:rsid w:val="00B57EA4"/>
    <w:rsid w:val="00B6352E"/>
    <w:rsid w:val="00B64786"/>
    <w:rsid w:val="00B648AA"/>
    <w:rsid w:val="00B648C7"/>
    <w:rsid w:val="00B651DB"/>
    <w:rsid w:val="00B66E8F"/>
    <w:rsid w:val="00B66F07"/>
    <w:rsid w:val="00B676E5"/>
    <w:rsid w:val="00B6791C"/>
    <w:rsid w:val="00B700C1"/>
    <w:rsid w:val="00B711BF"/>
    <w:rsid w:val="00B72DC7"/>
    <w:rsid w:val="00B73AB5"/>
    <w:rsid w:val="00B75CCD"/>
    <w:rsid w:val="00B75DD9"/>
    <w:rsid w:val="00B767FA"/>
    <w:rsid w:val="00B7728C"/>
    <w:rsid w:val="00B77691"/>
    <w:rsid w:val="00B77D41"/>
    <w:rsid w:val="00B80157"/>
    <w:rsid w:val="00B8051A"/>
    <w:rsid w:val="00B83501"/>
    <w:rsid w:val="00B83D5E"/>
    <w:rsid w:val="00B8460A"/>
    <w:rsid w:val="00B8650D"/>
    <w:rsid w:val="00B876F6"/>
    <w:rsid w:val="00B879B4"/>
    <w:rsid w:val="00B90EA6"/>
    <w:rsid w:val="00B90F07"/>
    <w:rsid w:val="00B910C8"/>
    <w:rsid w:val="00B96C29"/>
    <w:rsid w:val="00B973F4"/>
    <w:rsid w:val="00B97BB9"/>
    <w:rsid w:val="00BA0009"/>
    <w:rsid w:val="00BA249A"/>
    <w:rsid w:val="00BA463C"/>
    <w:rsid w:val="00BA52D7"/>
    <w:rsid w:val="00BA5545"/>
    <w:rsid w:val="00BB02B5"/>
    <w:rsid w:val="00BB04EC"/>
    <w:rsid w:val="00BB1863"/>
    <w:rsid w:val="00BB1C9B"/>
    <w:rsid w:val="00BB1CD7"/>
    <w:rsid w:val="00BB25EE"/>
    <w:rsid w:val="00BB336A"/>
    <w:rsid w:val="00BB363A"/>
    <w:rsid w:val="00BB435A"/>
    <w:rsid w:val="00BB51A2"/>
    <w:rsid w:val="00BB615A"/>
    <w:rsid w:val="00BB763D"/>
    <w:rsid w:val="00BC10A0"/>
    <w:rsid w:val="00BC3BB8"/>
    <w:rsid w:val="00BC4D6E"/>
    <w:rsid w:val="00BC513B"/>
    <w:rsid w:val="00BC7BA2"/>
    <w:rsid w:val="00BD18B9"/>
    <w:rsid w:val="00BD2AA2"/>
    <w:rsid w:val="00BD2C88"/>
    <w:rsid w:val="00BD354B"/>
    <w:rsid w:val="00BD426B"/>
    <w:rsid w:val="00BD47A8"/>
    <w:rsid w:val="00BD5B72"/>
    <w:rsid w:val="00BD79F0"/>
    <w:rsid w:val="00BD7A2E"/>
    <w:rsid w:val="00BE2B4D"/>
    <w:rsid w:val="00BE4D3A"/>
    <w:rsid w:val="00BE6082"/>
    <w:rsid w:val="00BE7704"/>
    <w:rsid w:val="00BF1363"/>
    <w:rsid w:val="00BF1B34"/>
    <w:rsid w:val="00BF27A7"/>
    <w:rsid w:val="00BF6746"/>
    <w:rsid w:val="00BF7723"/>
    <w:rsid w:val="00C015F8"/>
    <w:rsid w:val="00C02C2A"/>
    <w:rsid w:val="00C0304A"/>
    <w:rsid w:val="00C03A10"/>
    <w:rsid w:val="00C06168"/>
    <w:rsid w:val="00C06D84"/>
    <w:rsid w:val="00C07628"/>
    <w:rsid w:val="00C07BFA"/>
    <w:rsid w:val="00C07E26"/>
    <w:rsid w:val="00C1011C"/>
    <w:rsid w:val="00C12F94"/>
    <w:rsid w:val="00C14E14"/>
    <w:rsid w:val="00C177C5"/>
    <w:rsid w:val="00C2164A"/>
    <w:rsid w:val="00C2385C"/>
    <w:rsid w:val="00C239F1"/>
    <w:rsid w:val="00C25E8B"/>
    <w:rsid w:val="00C33FA6"/>
    <w:rsid w:val="00C34EC3"/>
    <w:rsid w:val="00C4038C"/>
    <w:rsid w:val="00C416DB"/>
    <w:rsid w:val="00C418FB"/>
    <w:rsid w:val="00C422C8"/>
    <w:rsid w:val="00C42BA2"/>
    <w:rsid w:val="00C42F58"/>
    <w:rsid w:val="00C42FB0"/>
    <w:rsid w:val="00C44066"/>
    <w:rsid w:val="00C44E13"/>
    <w:rsid w:val="00C46E90"/>
    <w:rsid w:val="00C475DD"/>
    <w:rsid w:val="00C50752"/>
    <w:rsid w:val="00C52DE7"/>
    <w:rsid w:val="00C54084"/>
    <w:rsid w:val="00C54B16"/>
    <w:rsid w:val="00C60A41"/>
    <w:rsid w:val="00C60B8D"/>
    <w:rsid w:val="00C616C0"/>
    <w:rsid w:val="00C6172F"/>
    <w:rsid w:val="00C61D8E"/>
    <w:rsid w:val="00C62DE8"/>
    <w:rsid w:val="00C62DFB"/>
    <w:rsid w:val="00C630E6"/>
    <w:rsid w:val="00C63812"/>
    <w:rsid w:val="00C64861"/>
    <w:rsid w:val="00C64AF3"/>
    <w:rsid w:val="00C66F4D"/>
    <w:rsid w:val="00C67BB5"/>
    <w:rsid w:val="00C72713"/>
    <w:rsid w:val="00C75AB9"/>
    <w:rsid w:val="00C75AF5"/>
    <w:rsid w:val="00C760C5"/>
    <w:rsid w:val="00C764FB"/>
    <w:rsid w:val="00C80EF2"/>
    <w:rsid w:val="00C82CC2"/>
    <w:rsid w:val="00C848EF"/>
    <w:rsid w:val="00C85932"/>
    <w:rsid w:val="00C85EA4"/>
    <w:rsid w:val="00C86600"/>
    <w:rsid w:val="00C87BCA"/>
    <w:rsid w:val="00C87CF0"/>
    <w:rsid w:val="00C87EED"/>
    <w:rsid w:val="00C90352"/>
    <w:rsid w:val="00C9173A"/>
    <w:rsid w:val="00C91E72"/>
    <w:rsid w:val="00C925EF"/>
    <w:rsid w:val="00C935A3"/>
    <w:rsid w:val="00C94506"/>
    <w:rsid w:val="00C954BC"/>
    <w:rsid w:val="00C95B0C"/>
    <w:rsid w:val="00CA1070"/>
    <w:rsid w:val="00CA11DA"/>
    <w:rsid w:val="00CA1F0B"/>
    <w:rsid w:val="00CA7EF1"/>
    <w:rsid w:val="00CB110F"/>
    <w:rsid w:val="00CB2A2E"/>
    <w:rsid w:val="00CB338A"/>
    <w:rsid w:val="00CB5929"/>
    <w:rsid w:val="00CB5E8C"/>
    <w:rsid w:val="00CB6C91"/>
    <w:rsid w:val="00CB79C5"/>
    <w:rsid w:val="00CC093A"/>
    <w:rsid w:val="00CC1B6F"/>
    <w:rsid w:val="00CC1C72"/>
    <w:rsid w:val="00CC3282"/>
    <w:rsid w:val="00CC411F"/>
    <w:rsid w:val="00CC4284"/>
    <w:rsid w:val="00CC453F"/>
    <w:rsid w:val="00CC4B34"/>
    <w:rsid w:val="00CC4B75"/>
    <w:rsid w:val="00CC554B"/>
    <w:rsid w:val="00CC6348"/>
    <w:rsid w:val="00CC732E"/>
    <w:rsid w:val="00CD00E7"/>
    <w:rsid w:val="00CD1D42"/>
    <w:rsid w:val="00CD2375"/>
    <w:rsid w:val="00CD2E9C"/>
    <w:rsid w:val="00CD2FCD"/>
    <w:rsid w:val="00CD3BF3"/>
    <w:rsid w:val="00CD485A"/>
    <w:rsid w:val="00CD67B9"/>
    <w:rsid w:val="00CD7207"/>
    <w:rsid w:val="00CD74E9"/>
    <w:rsid w:val="00CE0422"/>
    <w:rsid w:val="00CE0DBE"/>
    <w:rsid w:val="00CE1009"/>
    <w:rsid w:val="00CE1D17"/>
    <w:rsid w:val="00CE1DAD"/>
    <w:rsid w:val="00CE204B"/>
    <w:rsid w:val="00CE42F4"/>
    <w:rsid w:val="00CE4E34"/>
    <w:rsid w:val="00CE5586"/>
    <w:rsid w:val="00CE5987"/>
    <w:rsid w:val="00CE5E4D"/>
    <w:rsid w:val="00CF02C4"/>
    <w:rsid w:val="00CF167F"/>
    <w:rsid w:val="00CF4247"/>
    <w:rsid w:val="00CF48D8"/>
    <w:rsid w:val="00CF5B64"/>
    <w:rsid w:val="00CF6A50"/>
    <w:rsid w:val="00CF72E5"/>
    <w:rsid w:val="00D00EDC"/>
    <w:rsid w:val="00D0127C"/>
    <w:rsid w:val="00D013EE"/>
    <w:rsid w:val="00D01B11"/>
    <w:rsid w:val="00D01F54"/>
    <w:rsid w:val="00D022AC"/>
    <w:rsid w:val="00D02EA6"/>
    <w:rsid w:val="00D040F7"/>
    <w:rsid w:val="00D044A2"/>
    <w:rsid w:val="00D04946"/>
    <w:rsid w:val="00D04A76"/>
    <w:rsid w:val="00D05A22"/>
    <w:rsid w:val="00D07F8B"/>
    <w:rsid w:val="00D10FC7"/>
    <w:rsid w:val="00D1331B"/>
    <w:rsid w:val="00D1519F"/>
    <w:rsid w:val="00D20E99"/>
    <w:rsid w:val="00D21802"/>
    <w:rsid w:val="00D21AB4"/>
    <w:rsid w:val="00D21C83"/>
    <w:rsid w:val="00D227E0"/>
    <w:rsid w:val="00D23B3C"/>
    <w:rsid w:val="00D253FC"/>
    <w:rsid w:val="00D2571A"/>
    <w:rsid w:val="00D26B55"/>
    <w:rsid w:val="00D3016C"/>
    <w:rsid w:val="00D305B2"/>
    <w:rsid w:val="00D31E94"/>
    <w:rsid w:val="00D325DC"/>
    <w:rsid w:val="00D32961"/>
    <w:rsid w:val="00D34F3E"/>
    <w:rsid w:val="00D34FD0"/>
    <w:rsid w:val="00D35A71"/>
    <w:rsid w:val="00D35BDD"/>
    <w:rsid w:val="00D3709E"/>
    <w:rsid w:val="00D379C8"/>
    <w:rsid w:val="00D40A51"/>
    <w:rsid w:val="00D41316"/>
    <w:rsid w:val="00D42E47"/>
    <w:rsid w:val="00D51919"/>
    <w:rsid w:val="00D52695"/>
    <w:rsid w:val="00D55D62"/>
    <w:rsid w:val="00D56D79"/>
    <w:rsid w:val="00D57C31"/>
    <w:rsid w:val="00D57D47"/>
    <w:rsid w:val="00D60DC3"/>
    <w:rsid w:val="00D63006"/>
    <w:rsid w:val="00D6398A"/>
    <w:rsid w:val="00D6688D"/>
    <w:rsid w:val="00D67D7B"/>
    <w:rsid w:val="00D704ED"/>
    <w:rsid w:val="00D715E6"/>
    <w:rsid w:val="00D716A2"/>
    <w:rsid w:val="00D72158"/>
    <w:rsid w:val="00D72301"/>
    <w:rsid w:val="00D80468"/>
    <w:rsid w:val="00D81A68"/>
    <w:rsid w:val="00D84B86"/>
    <w:rsid w:val="00D855B1"/>
    <w:rsid w:val="00D9018E"/>
    <w:rsid w:val="00D911DE"/>
    <w:rsid w:val="00D91B97"/>
    <w:rsid w:val="00D93ACC"/>
    <w:rsid w:val="00D93C08"/>
    <w:rsid w:val="00D9481B"/>
    <w:rsid w:val="00D95DAC"/>
    <w:rsid w:val="00D97B2F"/>
    <w:rsid w:val="00DA0B53"/>
    <w:rsid w:val="00DA0CC9"/>
    <w:rsid w:val="00DA1344"/>
    <w:rsid w:val="00DA42DF"/>
    <w:rsid w:val="00DA4B75"/>
    <w:rsid w:val="00DA5786"/>
    <w:rsid w:val="00DA5DD7"/>
    <w:rsid w:val="00DB1171"/>
    <w:rsid w:val="00DB1519"/>
    <w:rsid w:val="00DB2840"/>
    <w:rsid w:val="00DB3F94"/>
    <w:rsid w:val="00DB4AEA"/>
    <w:rsid w:val="00DB5A50"/>
    <w:rsid w:val="00DC1BD3"/>
    <w:rsid w:val="00DC26E1"/>
    <w:rsid w:val="00DC2C1A"/>
    <w:rsid w:val="00DC3A9D"/>
    <w:rsid w:val="00DC4769"/>
    <w:rsid w:val="00DC66DF"/>
    <w:rsid w:val="00DC6DB4"/>
    <w:rsid w:val="00DC7AFD"/>
    <w:rsid w:val="00DD04C6"/>
    <w:rsid w:val="00DD2798"/>
    <w:rsid w:val="00DD3254"/>
    <w:rsid w:val="00DD370F"/>
    <w:rsid w:val="00DD3CEA"/>
    <w:rsid w:val="00DD4E6E"/>
    <w:rsid w:val="00DD5577"/>
    <w:rsid w:val="00DD66B4"/>
    <w:rsid w:val="00DD6D9C"/>
    <w:rsid w:val="00DE1432"/>
    <w:rsid w:val="00DE1464"/>
    <w:rsid w:val="00DE193E"/>
    <w:rsid w:val="00DE1972"/>
    <w:rsid w:val="00DE27AB"/>
    <w:rsid w:val="00DE38C5"/>
    <w:rsid w:val="00DE3915"/>
    <w:rsid w:val="00DE3E23"/>
    <w:rsid w:val="00DE5192"/>
    <w:rsid w:val="00DE5326"/>
    <w:rsid w:val="00DE5F56"/>
    <w:rsid w:val="00DE5F7F"/>
    <w:rsid w:val="00DF2AB3"/>
    <w:rsid w:val="00DF2BB0"/>
    <w:rsid w:val="00DF6309"/>
    <w:rsid w:val="00DF7250"/>
    <w:rsid w:val="00E008E5"/>
    <w:rsid w:val="00E00CAA"/>
    <w:rsid w:val="00E01ACD"/>
    <w:rsid w:val="00E02BB2"/>
    <w:rsid w:val="00E02BD1"/>
    <w:rsid w:val="00E03EBF"/>
    <w:rsid w:val="00E0412D"/>
    <w:rsid w:val="00E05209"/>
    <w:rsid w:val="00E0529B"/>
    <w:rsid w:val="00E05AC1"/>
    <w:rsid w:val="00E06F77"/>
    <w:rsid w:val="00E07B25"/>
    <w:rsid w:val="00E07E6C"/>
    <w:rsid w:val="00E10C6D"/>
    <w:rsid w:val="00E11BCF"/>
    <w:rsid w:val="00E13C28"/>
    <w:rsid w:val="00E208C2"/>
    <w:rsid w:val="00E21C30"/>
    <w:rsid w:val="00E21ECD"/>
    <w:rsid w:val="00E2258E"/>
    <w:rsid w:val="00E2279B"/>
    <w:rsid w:val="00E22C8F"/>
    <w:rsid w:val="00E22E8C"/>
    <w:rsid w:val="00E24D42"/>
    <w:rsid w:val="00E253E2"/>
    <w:rsid w:val="00E260C2"/>
    <w:rsid w:val="00E27071"/>
    <w:rsid w:val="00E30BA2"/>
    <w:rsid w:val="00E30CB2"/>
    <w:rsid w:val="00E32596"/>
    <w:rsid w:val="00E34329"/>
    <w:rsid w:val="00E347EB"/>
    <w:rsid w:val="00E35679"/>
    <w:rsid w:val="00E36005"/>
    <w:rsid w:val="00E36045"/>
    <w:rsid w:val="00E368F7"/>
    <w:rsid w:val="00E36EB8"/>
    <w:rsid w:val="00E36EE2"/>
    <w:rsid w:val="00E37FB8"/>
    <w:rsid w:val="00E40B07"/>
    <w:rsid w:val="00E42326"/>
    <w:rsid w:val="00E43544"/>
    <w:rsid w:val="00E446BA"/>
    <w:rsid w:val="00E44D89"/>
    <w:rsid w:val="00E474C8"/>
    <w:rsid w:val="00E477EA"/>
    <w:rsid w:val="00E47849"/>
    <w:rsid w:val="00E47AED"/>
    <w:rsid w:val="00E51085"/>
    <w:rsid w:val="00E54DED"/>
    <w:rsid w:val="00E5548F"/>
    <w:rsid w:val="00E55807"/>
    <w:rsid w:val="00E568AA"/>
    <w:rsid w:val="00E61E5E"/>
    <w:rsid w:val="00E62BF3"/>
    <w:rsid w:val="00E63B14"/>
    <w:rsid w:val="00E63F4C"/>
    <w:rsid w:val="00E6485F"/>
    <w:rsid w:val="00E651C2"/>
    <w:rsid w:val="00E6596B"/>
    <w:rsid w:val="00E65CA0"/>
    <w:rsid w:val="00E6F4B4"/>
    <w:rsid w:val="00E70005"/>
    <w:rsid w:val="00E70BC7"/>
    <w:rsid w:val="00E70D9F"/>
    <w:rsid w:val="00E719C2"/>
    <w:rsid w:val="00E72971"/>
    <w:rsid w:val="00E74213"/>
    <w:rsid w:val="00E7441A"/>
    <w:rsid w:val="00E7452F"/>
    <w:rsid w:val="00E74F96"/>
    <w:rsid w:val="00E75D8D"/>
    <w:rsid w:val="00E8065B"/>
    <w:rsid w:val="00E8192D"/>
    <w:rsid w:val="00E83810"/>
    <w:rsid w:val="00E8443E"/>
    <w:rsid w:val="00E84F81"/>
    <w:rsid w:val="00E86933"/>
    <w:rsid w:val="00E86F05"/>
    <w:rsid w:val="00E86FAC"/>
    <w:rsid w:val="00E8711F"/>
    <w:rsid w:val="00E90F14"/>
    <w:rsid w:val="00E92993"/>
    <w:rsid w:val="00E92EE0"/>
    <w:rsid w:val="00E9605B"/>
    <w:rsid w:val="00E964FD"/>
    <w:rsid w:val="00E97298"/>
    <w:rsid w:val="00E97753"/>
    <w:rsid w:val="00E97ABD"/>
    <w:rsid w:val="00EA0C51"/>
    <w:rsid w:val="00EA300B"/>
    <w:rsid w:val="00EA7DE7"/>
    <w:rsid w:val="00EB0518"/>
    <w:rsid w:val="00EB0A4D"/>
    <w:rsid w:val="00EB1560"/>
    <w:rsid w:val="00EB17B8"/>
    <w:rsid w:val="00EB3A18"/>
    <w:rsid w:val="00EB49EB"/>
    <w:rsid w:val="00EB5A00"/>
    <w:rsid w:val="00EB736B"/>
    <w:rsid w:val="00EB7A68"/>
    <w:rsid w:val="00EB7A8A"/>
    <w:rsid w:val="00EC39DD"/>
    <w:rsid w:val="00EC3DF9"/>
    <w:rsid w:val="00EC4620"/>
    <w:rsid w:val="00EC61BC"/>
    <w:rsid w:val="00EC66AB"/>
    <w:rsid w:val="00EC6FED"/>
    <w:rsid w:val="00EC7F3B"/>
    <w:rsid w:val="00ED2918"/>
    <w:rsid w:val="00ED2AEE"/>
    <w:rsid w:val="00ED3677"/>
    <w:rsid w:val="00ED3BEB"/>
    <w:rsid w:val="00ED5299"/>
    <w:rsid w:val="00EE183D"/>
    <w:rsid w:val="00EE3A64"/>
    <w:rsid w:val="00EE50E5"/>
    <w:rsid w:val="00EF01CF"/>
    <w:rsid w:val="00EF07BE"/>
    <w:rsid w:val="00EF4123"/>
    <w:rsid w:val="00EF45A7"/>
    <w:rsid w:val="00EF5ACE"/>
    <w:rsid w:val="00EF658E"/>
    <w:rsid w:val="00F006CC"/>
    <w:rsid w:val="00F00A64"/>
    <w:rsid w:val="00F02C79"/>
    <w:rsid w:val="00F03590"/>
    <w:rsid w:val="00F03622"/>
    <w:rsid w:val="00F077FD"/>
    <w:rsid w:val="00F07921"/>
    <w:rsid w:val="00F10CDF"/>
    <w:rsid w:val="00F12E05"/>
    <w:rsid w:val="00F13C08"/>
    <w:rsid w:val="00F1575E"/>
    <w:rsid w:val="00F161E5"/>
    <w:rsid w:val="00F204F3"/>
    <w:rsid w:val="00F218AB"/>
    <w:rsid w:val="00F238B3"/>
    <w:rsid w:val="00F24A3A"/>
    <w:rsid w:val="00F24FED"/>
    <w:rsid w:val="00F25586"/>
    <w:rsid w:val="00F2651D"/>
    <w:rsid w:val="00F26E72"/>
    <w:rsid w:val="00F27060"/>
    <w:rsid w:val="00F27362"/>
    <w:rsid w:val="00F30D67"/>
    <w:rsid w:val="00F31498"/>
    <w:rsid w:val="00F31560"/>
    <w:rsid w:val="00F32FEF"/>
    <w:rsid w:val="00F335F4"/>
    <w:rsid w:val="00F36085"/>
    <w:rsid w:val="00F36957"/>
    <w:rsid w:val="00F36B01"/>
    <w:rsid w:val="00F374FB"/>
    <w:rsid w:val="00F400B8"/>
    <w:rsid w:val="00F41B1C"/>
    <w:rsid w:val="00F42834"/>
    <w:rsid w:val="00F42AC6"/>
    <w:rsid w:val="00F42E13"/>
    <w:rsid w:val="00F42F1C"/>
    <w:rsid w:val="00F42FF8"/>
    <w:rsid w:val="00F43B44"/>
    <w:rsid w:val="00F440E5"/>
    <w:rsid w:val="00F448F6"/>
    <w:rsid w:val="00F45E9E"/>
    <w:rsid w:val="00F50C7E"/>
    <w:rsid w:val="00F51A93"/>
    <w:rsid w:val="00F52741"/>
    <w:rsid w:val="00F53D8A"/>
    <w:rsid w:val="00F55161"/>
    <w:rsid w:val="00F56D8C"/>
    <w:rsid w:val="00F626F7"/>
    <w:rsid w:val="00F6302F"/>
    <w:rsid w:val="00F64B32"/>
    <w:rsid w:val="00F6620F"/>
    <w:rsid w:val="00F70B60"/>
    <w:rsid w:val="00F72D88"/>
    <w:rsid w:val="00F736F9"/>
    <w:rsid w:val="00F73833"/>
    <w:rsid w:val="00F7386E"/>
    <w:rsid w:val="00F740AA"/>
    <w:rsid w:val="00F74A80"/>
    <w:rsid w:val="00F75BB0"/>
    <w:rsid w:val="00F7649E"/>
    <w:rsid w:val="00F77C56"/>
    <w:rsid w:val="00F86C71"/>
    <w:rsid w:val="00F87FE9"/>
    <w:rsid w:val="00F90988"/>
    <w:rsid w:val="00F9211C"/>
    <w:rsid w:val="00F9285E"/>
    <w:rsid w:val="00F94EB7"/>
    <w:rsid w:val="00F96302"/>
    <w:rsid w:val="00F97010"/>
    <w:rsid w:val="00FA0352"/>
    <w:rsid w:val="00FA095D"/>
    <w:rsid w:val="00FA45C4"/>
    <w:rsid w:val="00FA469D"/>
    <w:rsid w:val="00FA6C8B"/>
    <w:rsid w:val="00FA6CDA"/>
    <w:rsid w:val="00FA7C89"/>
    <w:rsid w:val="00FB241B"/>
    <w:rsid w:val="00FB32E9"/>
    <w:rsid w:val="00FB4139"/>
    <w:rsid w:val="00FB476E"/>
    <w:rsid w:val="00FB6D3A"/>
    <w:rsid w:val="00FC0170"/>
    <w:rsid w:val="00FC0826"/>
    <w:rsid w:val="00FC08F4"/>
    <w:rsid w:val="00FC0CDD"/>
    <w:rsid w:val="00FC0D90"/>
    <w:rsid w:val="00FC2253"/>
    <w:rsid w:val="00FC22E5"/>
    <w:rsid w:val="00FC4AC9"/>
    <w:rsid w:val="00FC6E49"/>
    <w:rsid w:val="00FC7509"/>
    <w:rsid w:val="00FC7D8C"/>
    <w:rsid w:val="00FD12AA"/>
    <w:rsid w:val="00FD1631"/>
    <w:rsid w:val="00FD26CA"/>
    <w:rsid w:val="00FD26F8"/>
    <w:rsid w:val="00FD30FF"/>
    <w:rsid w:val="00FD3980"/>
    <w:rsid w:val="00FD420B"/>
    <w:rsid w:val="00FD431E"/>
    <w:rsid w:val="00FD49C9"/>
    <w:rsid w:val="00FD5A2C"/>
    <w:rsid w:val="00FD5E38"/>
    <w:rsid w:val="00FD783F"/>
    <w:rsid w:val="00FE0B94"/>
    <w:rsid w:val="00FE0D47"/>
    <w:rsid w:val="00FE1D5C"/>
    <w:rsid w:val="00FE24C4"/>
    <w:rsid w:val="00FE2865"/>
    <w:rsid w:val="00FE2F8B"/>
    <w:rsid w:val="00FE3457"/>
    <w:rsid w:val="00FE3669"/>
    <w:rsid w:val="00FE510C"/>
    <w:rsid w:val="00FE5204"/>
    <w:rsid w:val="00FE7D60"/>
    <w:rsid w:val="00FF0B70"/>
    <w:rsid w:val="00FF1452"/>
    <w:rsid w:val="00FF287F"/>
    <w:rsid w:val="00FF74A8"/>
    <w:rsid w:val="010E6290"/>
    <w:rsid w:val="01618C0A"/>
    <w:rsid w:val="019FACE0"/>
    <w:rsid w:val="01C06251"/>
    <w:rsid w:val="0264F006"/>
    <w:rsid w:val="03310439"/>
    <w:rsid w:val="0483A0CE"/>
    <w:rsid w:val="04D02306"/>
    <w:rsid w:val="04D80C7B"/>
    <w:rsid w:val="04FF19C1"/>
    <w:rsid w:val="05D38D39"/>
    <w:rsid w:val="06304F95"/>
    <w:rsid w:val="063BDA4A"/>
    <w:rsid w:val="06988C42"/>
    <w:rsid w:val="070F1ED2"/>
    <w:rsid w:val="07AC352D"/>
    <w:rsid w:val="07DA619F"/>
    <w:rsid w:val="07F0DB3A"/>
    <w:rsid w:val="080CBBF6"/>
    <w:rsid w:val="0876D821"/>
    <w:rsid w:val="08E328A7"/>
    <w:rsid w:val="09C909C7"/>
    <w:rsid w:val="09CAA9D7"/>
    <w:rsid w:val="09F80082"/>
    <w:rsid w:val="09FE8C47"/>
    <w:rsid w:val="0A17CD45"/>
    <w:rsid w:val="0A4F3614"/>
    <w:rsid w:val="0A805650"/>
    <w:rsid w:val="0A9F7678"/>
    <w:rsid w:val="0AB1C399"/>
    <w:rsid w:val="0ACC73FA"/>
    <w:rsid w:val="0AF213BE"/>
    <w:rsid w:val="0B296456"/>
    <w:rsid w:val="0B3863EF"/>
    <w:rsid w:val="0B4061A4"/>
    <w:rsid w:val="0BB05E0E"/>
    <w:rsid w:val="0BC069BE"/>
    <w:rsid w:val="0C794D5C"/>
    <w:rsid w:val="0C94DD36"/>
    <w:rsid w:val="0C9D940A"/>
    <w:rsid w:val="0D17105F"/>
    <w:rsid w:val="0D2652F8"/>
    <w:rsid w:val="0D609D02"/>
    <w:rsid w:val="0DE48389"/>
    <w:rsid w:val="0E412B9F"/>
    <w:rsid w:val="0EB1207A"/>
    <w:rsid w:val="0EDDE604"/>
    <w:rsid w:val="0EF547F9"/>
    <w:rsid w:val="0F59F20F"/>
    <w:rsid w:val="105FCFCE"/>
    <w:rsid w:val="106D9AFA"/>
    <w:rsid w:val="108C52FD"/>
    <w:rsid w:val="111FD62D"/>
    <w:rsid w:val="1133C8F3"/>
    <w:rsid w:val="12373326"/>
    <w:rsid w:val="127AFB25"/>
    <w:rsid w:val="12DC6585"/>
    <w:rsid w:val="1325911F"/>
    <w:rsid w:val="1425DB4E"/>
    <w:rsid w:val="14470403"/>
    <w:rsid w:val="145155DF"/>
    <w:rsid w:val="14684287"/>
    <w:rsid w:val="1493EDC3"/>
    <w:rsid w:val="14C03AB5"/>
    <w:rsid w:val="14D54EB8"/>
    <w:rsid w:val="14DB97BE"/>
    <w:rsid w:val="1530F807"/>
    <w:rsid w:val="15856151"/>
    <w:rsid w:val="158A3C84"/>
    <w:rsid w:val="1641D4BD"/>
    <w:rsid w:val="16658F71"/>
    <w:rsid w:val="166E4CA4"/>
    <w:rsid w:val="16F7E073"/>
    <w:rsid w:val="171161E4"/>
    <w:rsid w:val="17D468AF"/>
    <w:rsid w:val="1821359A"/>
    <w:rsid w:val="1830FBDA"/>
    <w:rsid w:val="18589416"/>
    <w:rsid w:val="185F7BD4"/>
    <w:rsid w:val="1888B9C1"/>
    <w:rsid w:val="188F4586"/>
    <w:rsid w:val="196A9A0E"/>
    <w:rsid w:val="19A036FF"/>
    <w:rsid w:val="19A0F538"/>
    <w:rsid w:val="19A5E906"/>
    <w:rsid w:val="19F52EC0"/>
    <w:rsid w:val="1A0C2C0E"/>
    <w:rsid w:val="1AE5F4CE"/>
    <w:rsid w:val="1B50DE35"/>
    <w:rsid w:val="1BB70C37"/>
    <w:rsid w:val="1BC879DF"/>
    <w:rsid w:val="1C115DE8"/>
    <w:rsid w:val="1C1AFBF9"/>
    <w:rsid w:val="1C1F7145"/>
    <w:rsid w:val="1C2C96B4"/>
    <w:rsid w:val="1C3DA016"/>
    <w:rsid w:val="1C730E87"/>
    <w:rsid w:val="1CBFD5C0"/>
    <w:rsid w:val="1DB5F317"/>
    <w:rsid w:val="1E907E08"/>
    <w:rsid w:val="1F8FC9FB"/>
    <w:rsid w:val="1FF050C4"/>
    <w:rsid w:val="2001BE6C"/>
    <w:rsid w:val="20C6BD75"/>
    <w:rsid w:val="20D203F9"/>
    <w:rsid w:val="20D82B1D"/>
    <w:rsid w:val="21456F61"/>
    <w:rsid w:val="214A1F8E"/>
    <w:rsid w:val="214BDC08"/>
    <w:rsid w:val="2197D28E"/>
    <w:rsid w:val="219FCF0C"/>
    <w:rsid w:val="21AB6FA5"/>
    <w:rsid w:val="2208DD76"/>
    <w:rsid w:val="22213627"/>
    <w:rsid w:val="2259A431"/>
    <w:rsid w:val="22719D9E"/>
    <w:rsid w:val="22830B46"/>
    <w:rsid w:val="22B008C8"/>
    <w:rsid w:val="22B5659D"/>
    <w:rsid w:val="22D294A1"/>
    <w:rsid w:val="231C6D7F"/>
    <w:rsid w:val="233010E2"/>
    <w:rsid w:val="236A657A"/>
    <w:rsid w:val="24273CCB"/>
    <w:rsid w:val="2448072D"/>
    <w:rsid w:val="246FCF67"/>
    <w:rsid w:val="24CDA7AB"/>
    <w:rsid w:val="250E76F5"/>
    <w:rsid w:val="2510B9EA"/>
    <w:rsid w:val="261AF59D"/>
    <w:rsid w:val="2640048E"/>
    <w:rsid w:val="271179C4"/>
    <w:rsid w:val="274FE712"/>
    <w:rsid w:val="28201F36"/>
    <w:rsid w:val="28525EB8"/>
    <w:rsid w:val="28DE2D41"/>
    <w:rsid w:val="29906CA7"/>
    <w:rsid w:val="29B9B31A"/>
    <w:rsid w:val="29CAEF22"/>
    <w:rsid w:val="29DF004D"/>
    <w:rsid w:val="29EAA249"/>
    <w:rsid w:val="2AC9F89F"/>
    <w:rsid w:val="2AEE0C7C"/>
    <w:rsid w:val="2AFE4B34"/>
    <w:rsid w:val="2B385EF0"/>
    <w:rsid w:val="2B453320"/>
    <w:rsid w:val="2B5ED1FD"/>
    <w:rsid w:val="2C071DCF"/>
    <w:rsid w:val="2C07EE7D"/>
    <w:rsid w:val="2C4BD755"/>
    <w:rsid w:val="2D38A8E1"/>
    <w:rsid w:val="2D827E0E"/>
    <w:rsid w:val="2D845763"/>
    <w:rsid w:val="2DBDADD4"/>
    <w:rsid w:val="2DC06BB0"/>
    <w:rsid w:val="2DCCD378"/>
    <w:rsid w:val="2E0F1592"/>
    <w:rsid w:val="2E15D32D"/>
    <w:rsid w:val="2E2D9A66"/>
    <w:rsid w:val="2E625200"/>
    <w:rsid w:val="2E95CC1F"/>
    <w:rsid w:val="2F1AB5DD"/>
    <w:rsid w:val="2F61060E"/>
    <w:rsid w:val="2FAAB322"/>
    <w:rsid w:val="2FEECFEE"/>
    <w:rsid w:val="3001F4D4"/>
    <w:rsid w:val="302ABB3C"/>
    <w:rsid w:val="303C28E4"/>
    <w:rsid w:val="3042B4A9"/>
    <w:rsid w:val="30996940"/>
    <w:rsid w:val="31C0CA21"/>
    <w:rsid w:val="322A43F4"/>
    <w:rsid w:val="32438C86"/>
    <w:rsid w:val="32475E00"/>
    <w:rsid w:val="3284F43F"/>
    <w:rsid w:val="3287F439"/>
    <w:rsid w:val="32A9D8A7"/>
    <w:rsid w:val="33258543"/>
    <w:rsid w:val="332E3B3F"/>
    <w:rsid w:val="33347303"/>
    <w:rsid w:val="337969F2"/>
    <w:rsid w:val="33C21387"/>
    <w:rsid w:val="33E4C8C2"/>
    <w:rsid w:val="33F36D19"/>
    <w:rsid w:val="344216FB"/>
    <w:rsid w:val="34B4317C"/>
    <w:rsid w:val="350630E8"/>
    <w:rsid w:val="359AB6D5"/>
    <w:rsid w:val="35CD112C"/>
    <w:rsid w:val="35DB5CB4"/>
    <w:rsid w:val="360CAB46"/>
    <w:rsid w:val="362DBEDB"/>
    <w:rsid w:val="363879D8"/>
    <w:rsid w:val="368078F1"/>
    <w:rsid w:val="369AF8DF"/>
    <w:rsid w:val="36EAF38C"/>
    <w:rsid w:val="36F6E9FF"/>
    <w:rsid w:val="3744FAA4"/>
    <w:rsid w:val="3753DD78"/>
    <w:rsid w:val="37FDAFAA"/>
    <w:rsid w:val="38091458"/>
    <w:rsid w:val="381058B4"/>
    <w:rsid w:val="381250BC"/>
    <w:rsid w:val="38252562"/>
    <w:rsid w:val="3868855F"/>
    <w:rsid w:val="3879300C"/>
    <w:rsid w:val="388CEF5D"/>
    <w:rsid w:val="393149C9"/>
    <w:rsid w:val="39462E5C"/>
    <w:rsid w:val="3946DAE3"/>
    <w:rsid w:val="39D939A7"/>
    <w:rsid w:val="3A255B4B"/>
    <w:rsid w:val="3A2CBA6F"/>
    <w:rsid w:val="3A921015"/>
    <w:rsid w:val="3AC3CCDE"/>
    <w:rsid w:val="3ADFBC35"/>
    <w:rsid w:val="3ADFFD65"/>
    <w:rsid w:val="3AF3D86C"/>
    <w:rsid w:val="3B9128AC"/>
    <w:rsid w:val="3BDACFC8"/>
    <w:rsid w:val="3D15911B"/>
    <w:rsid w:val="3D18636C"/>
    <w:rsid w:val="3D561672"/>
    <w:rsid w:val="3E2BF6F7"/>
    <w:rsid w:val="3E944408"/>
    <w:rsid w:val="3EB8856C"/>
    <w:rsid w:val="3FD56B0F"/>
    <w:rsid w:val="3FEA3625"/>
    <w:rsid w:val="406654A4"/>
    <w:rsid w:val="40D4D72A"/>
    <w:rsid w:val="40D7AFD8"/>
    <w:rsid w:val="4108091E"/>
    <w:rsid w:val="421DD5D7"/>
    <w:rsid w:val="423EFC98"/>
    <w:rsid w:val="42506A40"/>
    <w:rsid w:val="427BE22E"/>
    <w:rsid w:val="4289C096"/>
    <w:rsid w:val="42987847"/>
    <w:rsid w:val="42E1E002"/>
    <w:rsid w:val="43100C74"/>
    <w:rsid w:val="4328D9C7"/>
    <w:rsid w:val="43D221B8"/>
    <w:rsid w:val="44008E29"/>
    <w:rsid w:val="442A4124"/>
    <w:rsid w:val="4451DBEE"/>
    <w:rsid w:val="445CF2BE"/>
    <w:rsid w:val="4469F948"/>
    <w:rsid w:val="44DC7C57"/>
    <w:rsid w:val="4507CFC5"/>
    <w:rsid w:val="455F098F"/>
    <w:rsid w:val="456BF77D"/>
    <w:rsid w:val="458BCB78"/>
    <w:rsid w:val="4661D966"/>
    <w:rsid w:val="468226E9"/>
    <w:rsid w:val="46C9769D"/>
    <w:rsid w:val="4786C00C"/>
    <w:rsid w:val="47A7A8A7"/>
    <w:rsid w:val="47AF9DD3"/>
    <w:rsid w:val="480E500A"/>
    <w:rsid w:val="48B13374"/>
    <w:rsid w:val="48E4BCBB"/>
    <w:rsid w:val="48F2E436"/>
    <w:rsid w:val="493EB7BF"/>
    <w:rsid w:val="49498179"/>
    <w:rsid w:val="49CF8A74"/>
    <w:rsid w:val="4A02C541"/>
    <w:rsid w:val="4A1351A3"/>
    <w:rsid w:val="4A6D83A3"/>
    <w:rsid w:val="4AFE3756"/>
    <w:rsid w:val="4B019155"/>
    <w:rsid w:val="4C62C8FF"/>
    <w:rsid w:val="4CA6B002"/>
    <w:rsid w:val="4CDB6839"/>
    <w:rsid w:val="4CE4DB7F"/>
    <w:rsid w:val="4CFD3E51"/>
    <w:rsid w:val="4D39CE8B"/>
    <w:rsid w:val="4D5D9B62"/>
    <w:rsid w:val="4D69B5D2"/>
    <w:rsid w:val="4D9E799C"/>
    <w:rsid w:val="4DC41678"/>
    <w:rsid w:val="4DF7670B"/>
    <w:rsid w:val="4E125036"/>
    <w:rsid w:val="4E1C0EA6"/>
    <w:rsid w:val="4E327003"/>
    <w:rsid w:val="4E7E8DAD"/>
    <w:rsid w:val="4E851972"/>
    <w:rsid w:val="4EA92198"/>
    <w:rsid w:val="4EB1A056"/>
    <w:rsid w:val="4F9DED5C"/>
    <w:rsid w:val="509FF20C"/>
    <w:rsid w:val="50D513AE"/>
    <w:rsid w:val="50D58B9D"/>
    <w:rsid w:val="5170A008"/>
    <w:rsid w:val="51729941"/>
    <w:rsid w:val="51772BCD"/>
    <w:rsid w:val="51BB269D"/>
    <w:rsid w:val="52267052"/>
    <w:rsid w:val="525DD736"/>
    <w:rsid w:val="526495CC"/>
    <w:rsid w:val="52796710"/>
    <w:rsid w:val="52C60021"/>
    <w:rsid w:val="52DBE712"/>
    <w:rsid w:val="52FCC929"/>
    <w:rsid w:val="5315F186"/>
    <w:rsid w:val="5342D317"/>
    <w:rsid w:val="534A76EC"/>
    <w:rsid w:val="53832D44"/>
    <w:rsid w:val="5388C062"/>
    <w:rsid w:val="538E3EEB"/>
    <w:rsid w:val="5394CAB0"/>
    <w:rsid w:val="5394FD81"/>
    <w:rsid w:val="53FBE672"/>
    <w:rsid w:val="542D0E51"/>
    <w:rsid w:val="54589669"/>
    <w:rsid w:val="54AD38F8"/>
    <w:rsid w:val="54D759C7"/>
    <w:rsid w:val="54E0BE6A"/>
    <w:rsid w:val="54ED2666"/>
    <w:rsid w:val="55244DD0"/>
    <w:rsid w:val="55997407"/>
    <w:rsid w:val="559B9F16"/>
    <w:rsid w:val="55B0B523"/>
    <w:rsid w:val="560F8BC5"/>
    <w:rsid w:val="565A125A"/>
    <w:rsid w:val="56657C62"/>
    <w:rsid w:val="56883299"/>
    <w:rsid w:val="56B16AA9"/>
    <w:rsid w:val="5712F5F8"/>
    <w:rsid w:val="573C997B"/>
    <w:rsid w:val="5745504F"/>
    <w:rsid w:val="575EB6E3"/>
    <w:rsid w:val="57724DD1"/>
    <w:rsid w:val="578D850D"/>
    <w:rsid w:val="581DBB39"/>
    <w:rsid w:val="5841222E"/>
    <w:rsid w:val="5848BA82"/>
    <w:rsid w:val="58C66D5D"/>
    <w:rsid w:val="58ECCCDC"/>
    <w:rsid w:val="590CFAD5"/>
    <w:rsid w:val="5919CA5E"/>
    <w:rsid w:val="593297B1"/>
    <w:rsid w:val="598A8FDF"/>
    <w:rsid w:val="59DFFB94"/>
    <w:rsid w:val="5A0F9ABF"/>
    <w:rsid w:val="5AD1C211"/>
    <w:rsid w:val="5AFBA2FD"/>
    <w:rsid w:val="5B074396"/>
    <w:rsid w:val="5B087286"/>
    <w:rsid w:val="5B4099EC"/>
    <w:rsid w:val="5BBF1F57"/>
    <w:rsid w:val="5BDEDF37"/>
    <w:rsid w:val="5BF94021"/>
    <w:rsid w:val="5C7CA23A"/>
    <w:rsid w:val="5CAD414D"/>
    <w:rsid w:val="5CBDF7E9"/>
    <w:rsid w:val="5D69B228"/>
    <w:rsid w:val="5DA74873"/>
    <w:rsid w:val="5DBFC899"/>
    <w:rsid w:val="5F0CD031"/>
    <w:rsid w:val="5F3B640C"/>
    <w:rsid w:val="5F6EB495"/>
    <w:rsid w:val="5FF71A6F"/>
    <w:rsid w:val="60355E74"/>
    <w:rsid w:val="60452146"/>
    <w:rsid w:val="604B8E85"/>
    <w:rsid w:val="6065D187"/>
    <w:rsid w:val="610FED5E"/>
    <w:rsid w:val="611A4164"/>
    <w:rsid w:val="61C303ED"/>
    <w:rsid w:val="61C89393"/>
    <w:rsid w:val="6293A60F"/>
    <w:rsid w:val="62B06DEC"/>
    <w:rsid w:val="633104AC"/>
    <w:rsid w:val="63760FF4"/>
    <w:rsid w:val="6384E164"/>
    <w:rsid w:val="63A26A77"/>
    <w:rsid w:val="63BD08CA"/>
    <w:rsid w:val="646FB3B8"/>
    <w:rsid w:val="64DAE418"/>
    <w:rsid w:val="6591129F"/>
    <w:rsid w:val="65CACD9C"/>
    <w:rsid w:val="661AAF72"/>
    <w:rsid w:val="662B884D"/>
    <w:rsid w:val="663F2367"/>
    <w:rsid w:val="6663AD38"/>
    <w:rsid w:val="66947CD2"/>
    <w:rsid w:val="673BF2C8"/>
    <w:rsid w:val="676E9C97"/>
    <w:rsid w:val="677C572B"/>
    <w:rsid w:val="67BE25F1"/>
    <w:rsid w:val="68081F7E"/>
    <w:rsid w:val="686E53B6"/>
    <w:rsid w:val="68DEB490"/>
    <w:rsid w:val="69068713"/>
    <w:rsid w:val="69549517"/>
    <w:rsid w:val="69C4FA57"/>
    <w:rsid w:val="69D43CF0"/>
    <w:rsid w:val="69E583EC"/>
    <w:rsid w:val="6A24E548"/>
    <w:rsid w:val="6A2E70B0"/>
    <w:rsid w:val="6AB6B171"/>
    <w:rsid w:val="6AD06548"/>
    <w:rsid w:val="6B159188"/>
    <w:rsid w:val="6B56B5D2"/>
    <w:rsid w:val="6BBD566D"/>
    <w:rsid w:val="6C5AB4C9"/>
    <w:rsid w:val="6CCFE2B9"/>
    <w:rsid w:val="6CDA1829"/>
    <w:rsid w:val="6D0A1A4B"/>
    <w:rsid w:val="6D1B84F2"/>
    <w:rsid w:val="6D27464E"/>
    <w:rsid w:val="6D424FC4"/>
    <w:rsid w:val="6D7D08D5"/>
    <w:rsid w:val="6DB29C52"/>
    <w:rsid w:val="6DF42DC7"/>
    <w:rsid w:val="6E05ED7F"/>
    <w:rsid w:val="6EC6651B"/>
    <w:rsid w:val="6F0A8F88"/>
    <w:rsid w:val="6F28E51D"/>
    <w:rsid w:val="6FF9883D"/>
    <w:rsid w:val="70A6FA95"/>
    <w:rsid w:val="71110180"/>
    <w:rsid w:val="7163283F"/>
    <w:rsid w:val="71E08763"/>
    <w:rsid w:val="71F32F8D"/>
    <w:rsid w:val="71FAEA42"/>
    <w:rsid w:val="721AF778"/>
    <w:rsid w:val="7224FAF3"/>
    <w:rsid w:val="722B3358"/>
    <w:rsid w:val="7246F5C4"/>
    <w:rsid w:val="72CBB46B"/>
    <w:rsid w:val="72D74C2E"/>
    <w:rsid w:val="72DF37CB"/>
    <w:rsid w:val="731C369C"/>
    <w:rsid w:val="736925A9"/>
    <w:rsid w:val="738E19BB"/>
    <w:rsid w:val="739FEBCB"/>
    <w:rsid w:val="73BF4BDC"/>
    <w:rsid w:val="73F4CE5C"/>
    <w:rsid w:val="741833DB"/>
    <w:rsid w:val="741FA0CF"/>
    <w:rsid w:val="74BE6C60"/>
    <w:rsid w:val="750D3CA4"/>
    <w:rsid w:val="752FF5FC"/>
    <w:rsid w:val="761F0E69"/>
    <w:rsid w:val="765F93C0"/>
    <w:rsid w:val="766F8F71"/>
    <w:rsid w:val="7673DD6C"/>
    <w:rsid w:val="7711B32A"/>
    <w:rsid w:val="77BF6D06"/>
    <w:rsid w:val="783E5C1F"/>
    <w:rsid w:val="789112AF"/>
    <w:rsid w:val="78AAD455"/>
    <w:rsid w:val="78B4238D"/>
    <w:rsid w:val="7932D199"/>
    <w:rsid w:val="7A31FB2C"/>
    <w:rsid w:val="7A63DD0F"/>
    <w:rsid w:val="7A976656"/>
    <w:rsid w:val="7AE8EDE1"/>
    <w:rsid w:val="7BBE00F6"/>
    <w:rsid w:val="7C08EFCD"/>
    <w:rsid w:val="7C3DB3F3"/>
    <w:rsid w:val="7C3EE2E3"/>
    <w:rsid w:val="7C77AD73"/>
    <w:rsid w:val="7C84ADB8"/>
    <w:rsid w:val="7C93CD88"/>
    <w:rsid w:val="7CBCF1C4"/>
    <w:rsid w:val="7CE7041E"/>
    <w:rsid w:val="7D74A76D"/>
    <w:rsid w:val="7E198DAD"/>
    <w:rsid w:val="7E4DB904"/>
    <w:rsid w:val="7E7CD29D"/>
    <w:rsid w:val="7F12D03D"/>
    <w:rsid w:val="7F1F8796"/>
    <w:rsid w:val="7F30F53E"/>
    <w:rsid w:val="7F334E5F"/>
    <w:rsid w:val="7F7B7BD3"/>
    <w:rsid w:val="7F8D63C8"/>
    <w:rsid w:val="7FC51818"/>
    <w:rsid w:val="7FDDFADA"/>
    <w:rsid w:val="7FF364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AF29E"/>
  <w15:docId w15:val="{D2D10C1B-0D1D-49AD-BB9F-D3191CC8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886722"/>
    <w:rPr>
      <w:color w:val="605E5C"/>
      <w:shd w:val="clear" w:color="auto" w:fill="E1DFDD"/>
    </w:rPr>
  </w:style>
  <w:style w:type="character" w:styleId="CommentReference">
    <w:name w:val="annotation reference"/>
    <w:basedOn w:val="DefaultParagraphFont"/>
    <w:semiHidden/>
    <w:unhideWhenUsed/>
    <w:rsid w:val="00554B23"/>
    <w:rPr>
      <w:sz w:val="16"/>
      <w:szCs w:val="16"/>
    </w:rPr>
  </w:style>
  <w:style w:type="paragraph" w:styleId="CommentText">
    <w:name w:val="annotation text"/>
    <w:basedOn w:val="Normal"/>
    <w:link w:val="CommentTextChar"/>
    <w:semiHidden/>
    <w:unhideWhenUsed/>
    <w:rsid w:val="00554B23"/>
    <w:rPr>
      <w:sz w:val="20"/>
    </w:rPr>
  </w:style>
  <w:style w:type="character" w:customStyle="1" w:styleId="CommentTextChar">
    <w:name w:val="Comment Text Char"/>
    <w:basedOn w:val="DefaultParagraphFont"/>
    <w:link w:val="CommentText"/>
    <w:semiHidden/>
    <w:rsid w:val="00554B23"/>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54B23"/>
    <w:rPr>
      <w:b/>
      <w:bCs/>
    </w:rPr>
  </w:style>
  <w:style w:type="character" w:customStyle="1" w:styleId="CommentSubjectChar">
    <w:name w:val="Comment Subject Char"/>
    <w:basedOn w:val="CommentTextChar"/>
    <w:link w:val="CommentSubject"/>
    <w:semiHidden/>
    <w:rsid w:val="00554B23"/>
    <w:rPr>
      <w:rFonts w:asciiTheme="minorHAnsi" w:hAnsiTheme="minorHAnsi"/>
      <w:b/>
      <w:bCs/>
      <w:lang w:val="en-GB" w:eastAsia="en-US"/>
    </w:rPr>
  </w:style>
  <w:style w:type="paragraph" w:styleId="BalloonText">
    <w:name w:val="Balloon Text"/>
    <w:basedOn w:val="Normal"/>
    <w:link w:val="BalloonTextChar"/>
    <w:semiHidden/>
    <w:unhideWhenUsed/>
    <w:rsid w:val="00BF772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F7723"/>
    <w:rPr>
      <w:rFonts w:ascii="Segoe UI" w:hAnsi="Segoe UI" w:cs="Segoe UI"/>
      <w:sz w:val="18"/>
      <w:szCs w:val="18"/>
      <w:lang w:val="en-GB" w:eastAsia="en-US"/>
    </w:rPr>
  </w:style>
  <w:style w:type="table" w:styleId="GridTable1Light-Accent1">
    <w:name w:val="Grid Table 1 Light Accent 1"/>
    <w:basedOn w:val="TableNormal"/>
    <w:uiPriority w:val="46"/>
    <w:rsid w:val="00FC6E49"/>
    <w:rPr>
      <w:rFonts w:ascii="Times New Roman" w:eastAsiaTheme="minorEastAsia" w:hAnsi="Times New Roman"/>
      <w:sz w:val="24"/>
      <w:szCs w:val="24"/>
      <w:lang w:eastAsia="ja-JP"/>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1A1332"/>
  </w:style>
  <w:style w:type="paragraph" w:styleId="Revision">
    <w:name w:val="Revision"/>
    <w:hidden/>
    <w:uiPriority w:val="99"/>
    <w:semiHidden/>
    <w:rsid w:val="00A10057"/>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8021">
      <w:bodyDiv w:val="1"/>
      <w:marLeft w:val="0"/>
      <w:marRight w:val="0"/>
      <w:marTop w:val="0"/>
      <w:marBottom w:val="0"/>
      <w:divBdr>
        <w:top w:val="none" w:sz="0" w:space="0" w:color="auto"/>
        <w:left w:val="none" w:sz="0" w:space="0" w:color="auto"/>
        <w:bottom w:val="none" w:sz="0" w:space="0" w:color="auto"/>
        <w:right w:val="none" w:sz="0" w:space="0" w:color="auto"/>
      </w:divBdr>
    </w:div>
    <w:div w:id="63913169">
      <w:bodyDiv w:val="1"/>
      <w:marLeft w:val="0"/>
      <w:marRight w:val="0"/>
      <w:marTop w:val="0"/>
      <w:marBottom w:val="0"/>
      <w:divBdr>
        <w:top w:val="none" w:sz="0" w:space="0" w:color="auto"/>
        <w:left w:val="none" w:sz="0" w:space="0" w:color="auto"/>
        <w:bottom w:val="none" w:sz="0" w:space="0" w:color="auto"/>
        <w:right w:val="none" w:sz="0" w:space="0" w:color="auto"/>
      </w:divBdr>
    </w:div>
    <w:div w:id="76174906">
      <w:bodyDiv w:val="1"/>
      <w:marLeft w:val="0"/>
      <w:marRight w:val="0"/>
      <w:marTop w:val="0"/>
      <w:marBottom w:val="0"/>
      <w:divBdr>
        <w:top w:val="none" w:sz="0" w:space="0" w:color="auto"/>
        <w:left w:val="none" w:sz="0" w:space="0" w:color="auto"/>
        <w:bottom w:val="none" w:sz="0" w:space="0" w:color="auto"/>
        <w:right w:val="none" w:sz="0" w:space="0" w:color="auto"/>
      </w:divBdr>
    </w:div>
    <w:div w:id="317344759">
      <w:bodyDiv w:val="1"/>
      <w:marLeft w:val="0"/>
      <w:marRight w:val="0"/>
      <w:marTop w:val="0"/>
      <w:marBottom w:val="0"/>
      <w:divBdr>
        <w:top w:val="none" w:sz="0" w:space="0" w:color="auto"/>
        <w:left w:val="none" w:sz="0" w:space="0" w:color="auto"/>
        <w:bottom w:val="none" w:sz="0" w:space="0" w:color="auto"/>
        <w:right w:val="none" w:sz="0" w:space="0" w:color="auto"/>
      </w:divBdr>
    </w:div>
    <w:div w:id="388070412">
      <w:bodyDiv w:val="1"/>
      <w:marLeft w:val="0"/>
      <w:marRight w:val="0"/>
      <w:marTop w:val="0"/>
      <w:marBottom w:val="0"/>
      <w:divBdr>
        <w:top w:val="none" w:sz="0" w:space="0" w:color="auto"/>
        <w:left w:val="none" w:sz="0" w:space="0" w:color="auto"/>
        <w:bottom w:val="none" w:sz="0" w:space="0" w:color="auto"/>
        <w:right w:val="none" w:sz="0" w:space="0" w:color="auto"/>
      </w:divBdr>
    </w:div>
    <w:div w:id="467212998">
      <w:bodyDiv w:val="1"/>
      <w:marLeft w:val="0"/>
      <w:marRight w:val="0"/>
      <w:marTop w:val="0"/>
      <w:marBottom w:val="0"/>
      <w:divBdr>
        <w:top w:val="none" w:sz="0" w:space="0" w:color="auto"/>
        <w:left w:val="none" w:sz="0" w:space="0" w:color="auto"/>
        <w:bottom w:val="none" w:sz="0" w:space="0" w:color="auto"/>
        <w:right w:val="none" w:sz="0" w:space="0" w:color="auto"/>
      </w:divBdr>
    </w:div>
    <w:div w:id="570845848">
      <w:bodyDiv w:val="1"/>
      <w:marLeft w:val="0"/>
      <w:marRight w:val="0"/>
      <w:marTop w:val="0"/>
      <w:marBottom w:val="0"/>
      <w:divBdr>
        <w:top w:val="none" w:sz="0" w:space="0" w:color="auto"/>
        <w:left w:val="none" w:sz="0" w:space="0" w:color="auto"/>
        <w:bottom w:val="none" w:sz="0" w:space="0" w:color="auto"/>
        <w:right w:val="none" w:sz="0" w:space="0" w:color="auto"/>
      </w:divBdr>
    </w:div>
    <w:div w:id="611473140">
      <w:bodyDiv w:val="1"/>
      <w:marLeft w:val="0"/>
      <w:marRight w:val="0"/>
      <w:marTop w:val="0"/>
      <w:marBottom w:val="0"/>
      <w:divBdr>
        <w:top w:val="none" w:sz="0" w:space="0" w:color="auto"/>
        <w:left w:val="none" w:sz="0" w:space="0" w:color="auto"/>
        <w:bottom w:val="none" w:sz="0" w:space="0" w:color="auto"/>
        <w:right w:val="none" w:sz="0" w:space="0" w:color="auto"/>
      </w:divBdr>
    </w:div>
    <w:div w:id="658533182">
      <w:bodyDiv w:val="1"/>
      <w:marLeft w:val="0"/>
      <w:marRight w:val="0"/>
      <w:marTop w:val="0"/>
      <w:marBottom w:val="0"/>
      <w:divBdr>
        <w:top w:val="none" w:sz="0" w:space="0" w:color="auto"/>
        <w:left w:val="none" w:sz="0" w:space="0" w:color="auto"/>
        <w:bottom w:val="none" w:sz="0" w:space="0" w:color="auto"/>
        <w:right w:val="none" w:sz="0" w:space="0" w:color="auto"/>
      </w:divBdr>
    </w:div>
    <w:div w:id="780304204">
      <w:bodyDiv w:val="1"/>
      <w:marLeft w:val="0"/>
      <w:marRight w:val="0"/>
      <w:marTop w:val="0"/>
      <w:marBottom w:val="0"/>
      <w:divBdr>
        <w:top w:val="none" w:sz="0" w:space="0" w:color="auto"/>
        <w:left w:val="none" w:sz="0" w:space="0" w:color="auto"/>
        <w:bottom w:val="none" w:sz="0" w:space="0" w:color="auto"/>
        <w:right w:val="none" w:sz="0" w:space="0" w:color="auto"/>
      </w:divBdr>
    </w:div>
    <w:div w:id="801726579">
      <w:bodyDiv w:val="1"/>
      <w:marLeft w:val="0"/>
      <w:marRight w:val="0"/>
      <w:marTop w:val="0"/>
      <w:marBottom w:val="0"/>
      <w:divBdr>
        <w:top w:val="none" w:sz="0" w:space="0" w:color="auto"/>
        <w:left w:val="none" w:sz="0" w:space="0" w:color="auto"/>
        <w:bottom w:val="none" w:sz="0" w:space="0" w:color="auto"/>
        <w:right w:val="none" w:sz="0" w:space="0" w:color="auto"/>
      </w:divBdr>
    </w:div>
    <w:div w:id="890921920">
      <w:bodyDiv w:val="1"/>
      <w:marLeft w:val="0"/>
      <w:marRight w:val="0"/>
      <w:marTop w:val="0"/>
      <w:marBottom w:val="0"/>
      <w:divBdr>
        <w:top w:val="none" w:sz="0" w:space="0" w:color="auto"/>
        <w:left w:val="none" w:sz="0" w:space="0" w:color="auto"/>
        <w:bottom w:val="none" w:sz="0" w:space="0" w:color="auto"/>
        <w:right w:val="none" w:sz="0" w:space="0" w:color="auto"/>
      </w:divBdr>
    </w:div>
    <w:div w:id="970986330">
      <w:bodyDiv w:val="1"/>
      <w:marLeft w:val="0"/>
      <w:marRight w:val="0"/>
      <w:marTop w:val="0"/>
      <w:marBottom w:val="0"/>
      <w:divBdr>
        <w:top w:val="none" w:sz="0" w:space="0" w:color="auto"/>
        <w:left w:val="none" w:sz="0" w:space="0" w:color="auto"/>
        <w:bottom w:val="none" w:sz="0" w:space="0" w:color="auto"/>
        <w:right w:val="none" w:sz="0" w:space="0" w:color="auto"/>
      </w:divBdr>
    </w:div>
    <w:div w:id="1107042152">
      <w:bodyDiv w:val="1"/>
      <w:marLeft w:val="0"/>
      <w:marRight w:val="0"/>
      <w:marTop w:val="0"/>
      <w:marBottom w:val="0"/>
      <w:divBdr>
        <w:top w:val="none" w:sz="0" w:space="0" w:color="auto"/>
        <w:left w:val="none" w:sz="0" w:space="0" w:color="auto"/>
        <w:bottom w:val="none" w:sz="0" w:space="0" w:color="auto"/>
        <w:right w:val="none" w:sz="0" w:space="0" w:color="auto"/>
      </w:divBdr>
    </w:div>
    <w:div w:id="1366756795">
      <w:bodyDiv w:val="1"/>
      <w:marLeft w:val="0"/>
      <w:marRight w:val="0"/>
      <w:marTop w:val="0"/>
      <w:marBottom w:val="0"/>
      <w:divBdr>
        <w:top w:val="none" w:sz="0" w:space="0" w:color="auto"/>
        <w:left w:val="none" w:sz="0" w:space="0" w:color="auto"/>
        <w:bottom w:val="none" w:sz="0" w:space="0" w:color="auto"/>
        <w:right w:val="none" w:sz="0" w:space="0" w:color="auto"/>
      </w:divBdr>
    </w:div>
    <w:div w:id="1446657505">
      <w:bodyDiv w:val="1"/>
      <w:marLeft w:val="0"/>
      <w:marRight w:val="0"/>
      <w:marTop w:val="0"/>
      <w:marBottom w:val="0"/>
      <w:divBdr>
        <w:top w:val="none" w:sz="0" w:space="0" w:color="auto"/>
        <w:left w:val="none" w:sz="0" w:space="0" w:color="auto"/>
        <w:bottom w:val="none" w:sz="0" w:space="0" w:color="auto"/>
        <w:right w:val="none" w:sz="0" w:space="0" w:color="auto"/>
      </w:divBdr>
    </w:div>
    <w:div w:id="1456558146">
      <w:bodyDiv w:val="1"/>
      <w:marLeft w:val="0"/>
      <w:marRight w:val="0"/>
      <w:marTop w:val="0"/>
      <w:marBottom w:val="0"/>
      <w:divBdr>
        <w:top w:val="none" w:sz="0" w:space="0" w:color="auto"/>
        <w:left w:val="none" w:sz="0" w:space="0" w:color="auto"/>
        <w:bottom w:val="none" w:sz="0" w:space="0" w:color="auto"/>
        <w:right w:val="none" w:sz="0" w:space="0" w:color="auto"/>
      </w:divBdr>
    </w:div>
    <w:div w:id="1579902374">
      <w:bodyDiv w:val="1"/>
      <w:marLeft w:val="0"/>
      <w:marRight w:val="0"/>
      <w:marTop w:val="0"/>
      <w:marBottom w:val="0"/>
      <w:divBdr>
        <w:top w:val="none" w:sz="0" w:space="0" w:color="auto"/>
        <w:left w:val="none" w:sz="0" w:space="0" w:color="auto"/>
        <w:bottom w:val="none" w:sz="0" w:space="0" w:color="auto"/>
        <w:right w:val="none" w:sz="0" w:space="0" w:color="auto"/>
      </w:divBdr>
    </w:div>
    <w:div w:id="1594776562">
      <w:bodyDiv w:val="1"/>
      <w:marLeft w:val="0"/>
      <w:marRight w:val="0"/>
      <w:marTop w:val="0"/>
      <w:marBottom w:val="0"/>
      <w:divBdr>
        <w:top w:val="none" w:sz="0" w:space="0" w:color="auto"/>
        <w:left w:val="none" w:sz="0" w:space="0" w:color="auto"/>
        <w:bottom w:val="none" w:sz="0" w:space="0" w:color="auto"/>
        <w:right w:val="none" w:sz="0" w:space="0" w:color="auto"/>
      </w:divBdr>
    </w:div>
    <w:div w:id="1656182706">
      <w:bodyDiv w:val="1"/>
      <w:marLeft w:val="0"/>
      <w:marRight w:val="0"/>
      <w:marTop w:val="0"/>
      <w:marBottom w:val="0"/>
      <w:divBdr>
        <w:top w:val="none" w:sz="0" w:space="0" w:color="auto"/>
        <w:left w:val="none" w:sz="0" w:space="0" w:color="auto"/>
        <w:bottom w:val="none" w:sz="0" w:space="0" w:color="auto"/>
        <w:right w:val="none" w:sz="0" w:space="0" w:color="auto"/>
      </w:divBdr>
    </w:div>
    <w:div w:id="1657031426">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791392412">
      <w:bodyDiv w:val="1"/>
      <w:marLeft w:val="0"/>
      <w:marRight w:val="0"/>
      <w:marTop w:val="0"/>
      <w:marBottom w:val="0"/>
      <w:divBdr>
        <w:top w:val="none" w:sz="0" w:space="0" w:color="auto"/>
        <w:left w:val="none" w:sz="0" w:space="0" w:color="auto"/>
        <w:bottom w:val="none" w:sz="0" w:space="0" w:color="auto"/>
        <w:right w:val="none" w:sz="0" w:space="0" w:color="auto"/>
      </w:divBdr>
    </w:div>
    <w:div w:id="1797528653">
      <w:bodyDiv w:val="1"/>
      <w:marLeft w:val="0"/>
      <w:marRight w:val="0"/>
      <w:marTop w:val="0"/>
      <w:marBottom w:val="0"/>
      <w:divBdr>
        <w:top w:val="none" w:sz="0" w:space="0" w:color="auto"/>
        <w:left w:val="none" w:sz="0" w:space="0" w:color="auto"/>
        <w:bottom w:val="none" w:sz="0" w:space="0" w:color="auto"/>
        <w:right w:val="none" w:sz="0" w:space="0" w:color="auto"/>
      </w:divBdr>
    </w:div>
    <w:div w:id="1903638345">
      <w:bodyDiv w:val="1"/>
      <w:marLeft w:val="0"/>
      <w:marRight w:val="0"/>
      <w:marTop w:val="0"/>
      <w:marBottom w:val="0"/>
      <w:divBdr>
        <w:top w:val="none" w:sz="0" w:space="0" w:color="auto"/>
        <w:left w:val="none" w:sz="0" w:space="0" w:color="auto"/>
        <w:bottom w:val="none" w:sz="0" w:space="0" w:color="auto"/>
        <w:right w:val="none" w:sz="0" w:space="0" w:color="auto"/>
      </w:divBdr>
    </w:div>
    <w:div w:id="1907915826">
      <w:bodyDiv w:val="1"/>
      <w:marLeft w:val="0"/>
      <w:marRight w:val="0"/>
      <w:marTop w:val="0"/>
      <w:marBottom w:val="0"/>
      <w:divBdr>
        <w:top w:val="none" w:sz="0" w:space="0" w:color="auto"/>
        <w:left w:val="none" w:sz="0" w:space="0" w:color="auto"/>
        <w:bottom w:val="none" w:sz="0" w:space="0" w:color="auto"/>
        <w:right w:val="none" w:sz="0" w:space="0" w:color="auto"/>
      </w:divBdr>
    </w:div>
    <w:div w:id="1953898576">
      <w:bodyDiv w:val="1"/>
      <w:marLeft w:val="0"/>
      <w:marRight w:val="0"/>
      <w:marTop w:val="0"/>
      <w:marBottom w:val="0"/>
      <w:divBdr>
        <w:top w:val="none" w:sz="0" w:space="0" w:color="auto"/>
        <w:left w:val="none" w:sz="0" w:space="0" w:color="auto"/>
        <w:bottom w:val="none" w:sz="0" w:space="0" w:color="auto"/>
        <w:right w:val="none" w:sz="0" w:space="0" w:color="auto"/>
      </w:divBdr>
    </w:div>
    <w:div w:id="2042825490">
      <w:bodyDiv w:val="1"/>
      <w:marLeft w:val="0"/>
      <w:marRight w:val="0"/>
      <w:marTop w:val="0"/>
      <w:marBottom w:val="0"/>
      <w:divBdr>
        <w:top w:val="none" w:sz="0" w:space="0" w:color="auto"/>
        <w:left w:val="none" w:sz="0" w:space="0" w:color="auto"/>
        <w:bottom w:val="none" w:sz="0" w:space="0" w:color="auto"/>
        <w:right w:val="none" w:sz="0" w:space="0" w:color="auto"/>
      </w:divBdr>
    </w:div>
    <w:div w:id="2125078828">
      <w:bodyDiv w:val="1"/>
      <w:marLeft w:val="0"/>
      <w:marRight w:val="0"/>
      <w:marTop w:val="0"/>
      <w:marBottom w:val="0"/>
      <w:divBdr>
        <w:top w:val="none" w:sz="0" w:space="0" w:color="auto"/>
        <w:left w:val="none" w:sz="0" w:space="0" w:color="auto"/>
        <w:bottom w:val="none" w:sz="0" w:space="0" w:color="auto"/>
        <w:right w:val="none" w:sz="0" w:space="0" w:color="auto"/>
      </w:divBdr>
    </w:div>
    <w:div w:id="21323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D18-TDAG28-C-0012/en"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playlist?list=PLpoIPNlF8P2OX9dfnqDyRxeLg2k0B66A1"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itu.int/en/ITU-D/Conferences/CRO/Documents/IAGDI-CRO%20-%20Chairman%27s%20Repor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en/ITU-D/Conferences/CRO/Documents/IAGDI-CRO%20Outcome%20Stat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itu.int/en/ITU-D/MembersPartners/Pages/tech-talks.asp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Cosmas.zavazav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4" ma:contentTypeDescription="Create a new document." ma:contentTypeScope="" ma:versionID="676e86ca681381ac488cae9981ed9d9a">
  <xsd:schema xmlns:xsd="http://www.w3.org/2001/XMLSchema" xmlns:xs="http://www.w3.org/2001/XMLSchema" xmlns:p="http://schemas.microsoft.com/office/2006/metadata/properties" xmlns:ns2="d4ea696a-cca3-460b-a983-57ac2621983a" targetNamespace="http://schemas.microsoft.com/office/2006/metadata/properties" ma:root="true" ma:fieldsID="22b671f61671e000d241c341587c1af1" ns2:_="">
    <xsd:import namespace="d4ea696a-cca3-460b-a983-57ac26219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2E60-1AB1-4125-A0BB-C7932D625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C8D47-0B5B-43C7-A342-39B54EBDDDD9}">
  <ds:schemaRefs>
    <ds:schemaRef ds:uri="http://schemas.microsoft.com/sharepoint/v3/contenttype/forms"/>
  </ds:schemaRefs>
</ds:datastoreItem>
</file>

<file path=customXml/itemProps3.xml><?xml version="1.0" encoding="utf-8"?>
<ds:datastoreItem xmlns:ds="http://schemas.openxmlformats.org/officeDocument/2006/customXml" ds:itemID="{C54CBCA2-714F-48EB-A09C-3A8A2B70B7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86C94-B447-4EA2-BD26-226ACC52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1041</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7272</CharactersWithSpaces>
  <SharedDoc>false</SharedDoc>
  <HLinks>
    <vt:vector size="42" baseType="variant">
      <vt:variant>
        <vt:i4>2162789</vt:i4>
      </vt:variant>
      <vt:variant>
        <vt:i4>12</vt:i4>
      </vt:variant>
      <vt:variant>
        <vt:i4>0</vt:i4>
      </vt:variant>
      <vt:variant>
        <vt:i4>5</vt:i4>
      </vt:variant>
      <vt:variant>
        <vt:lpwstr>https://www.itu.int/en/ITU-D/MembersPartners/Pages/tech-talks.aspx</vt:lpwstr>
      </vt:variant>
      <vt:variant>
        <vt:lpwstr/>
      </vt:variant>
      <vt:variant>
        <vt:i4>524310</vt:i4>
      </vt:variant>
      <vt:variant>
        <vt:i4>9</vt:i4>
      </vt:variant>
      <vt:variant>
        <vt:i4>0</vt:i4>
      </vt:variant>
      <vt:variant>
        <vt:i4>5</vt:i4>
      </vt:variant>
      <vt:variant>
        <vt:lpwstr>https://www.youtube.com/playlist?list=PLpoIPNlF8P2OX9dfnqDyRxeLg2k0B66A1</vt:lpwstr>
      </vt:variant>
      <vt:variant>
        <vt:lpwstr/>
      </vt:variant>
      <vt:variant>
        <vt:i4>3014776</vt:i4>
      </vt:variant>
      <vt:variant>
        <vt:i4>6</vt:i4>
      </vt:variant>
      <vt:variant>
        <vt:i4>0</vt:i4>
      </vt:variant>
      <vt:variant>
        <vt:i4>5</vt:i4>
      </vt:variant>
      <vt:variant>
        <vt:lpwstr>https://www.itu.int/en/ITU-D/Conferences/CRO/Documents/IAGDI-CRO - Chairman%27s Report.pdf</vt:lpwstr>
      </vt:variant>
      <vt:variant>
        <vt:lpwstr/>
      </vt:variant>
      <vt:variant>
        <vt:i4>2687027</vt:i4>
      </vt:variant>
      <vt:variant>
        <vt:i4>3</vt:i4>
      </vt:variant>
      <vt:variant>
        <vt:i4>0</vt:i4>
      </vt:variant>
      <vt:variant>
        <vt:i4>5</vt:i4>
      </vt:variant>
      <vt:variant>
        <vt:lpwstr>https://www.itu.int/en/ITU-D/Conferences/CRO/Documents/IAGDI-CRO Outcome Statement.pdf</vt:lpwstr>
      </vt:variant>
      <vt:variant>
        <vt:lpwstr/>
      </vt:variant>
      <vt:variant>
        <vt:i4>2818153</vt:i4>
      </vt:variant>
      <vt:variant>
        <vt:i4>0</vt:i4>
      </vt:variant>
      <vt:variant>
        <vt:i4>0</vt:i4>
      </vt:variant>
      <vt:variant>
        <vt:i4>5</vt:i4>
      </vt:variant>
      <vt:variant>
        <vt:lpwstr>https://www.itu.int/md/D18-TDAG28-C-0012/en</vt:lpwstr>
      </vt:variant>
      <vt:variant>
        <vt:lpwstr/>
      </vt:variant>
      <vt:variant>
        <vt:i4>6815806</vt:i4>
      </vt:variant>
      <vt:variant>
        <vt:i4>6</vt:i4>
      </vt:variant>
      <vt:variant>
        <vt:i4>0</vt:i4>
      </vt:variant>
      <vt:variant>
        <vt:i4>5</vt:i4>
      </vt:variant>
      <vt:variant>
        <vt:lpwstr>http://www.itu.int/ITU-D/TDAG/</vt:lpwstr>
      </vt:variant>
      <vt:variant>
        <vt:lpwstr/>
      </vt:variant>
      <vt:variant>
        <vt:i4>3932239</vt:i4>
      </vt:variant>
      <vt:variant>
        <vt:i4>3</vt:i4>
      </vt:variant>
      <vt:variant>
        <vt:i4>0</vt:i4>
      </vt:variant>
      <vt:variant>
        <vt:i4>5</vt:i4>
      </vt:variant>
      <vt:variant>
        <vt:lpwstr>mailto:Cosmas.zavazava@itu.int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dc:description/>
  <cp:lastModifiedBy>BDT-nd</cp:lastModifiedBy>
  <cp:revision>3</cp:revision>
  <cp:lastPrinted>2014-11-05T22:22:00Z</cp:lastPrinted>
  <dcterms:created xsi:type="dcterms:W3CDTF">2021-09-28T12:27:00Z</dcterms:created>
  <dcterms:modified xsi:type="dcterms:W3CDTF">2021-09-28T12:28:00Z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ies>
</file>