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790"/>
        <w:tblW w:w="9923" w:type="dxa"/>
        <w:tblLayout w:type="fixed"/>
        <w:tblLook w:val="0000" w:firstRow="0" w:lastRow="0" w:firstColumn="0" w:lastColumn="0" w:noHBand="0" w:noVBand="0"/>
        <w:tblCaption w:val="Информация о документе (исследовательская комиссия, собрание, Вопрос, источник, название)"/>
      </w:tblPr>
      <w:tblGrid>
        <w:gridCol w:w="2410"/>
        <w:gridCol w:w="4252"/>
        <w:gridCol w:w="1702"/>
        <w:gridCol w:w="1559"/>
      </w:tblGrid>
      <w:tr w:rsidR="00FA6BDB" w:rsidRPr="00102DCA" w14:paraId="585BE8E3" w14:textId="77777777" w:rsidTr="00C33388">
        <w:trPr>
          <w:trHeight w:val="1134"/>
        </w:trPr>
        <w:tc>
          <w:tcPr>
            <w:tcW w:w="2410" w:type="dxa"/>
          </w:tcPr>
          <w:p w14:paraId="31174B8D" w14:textId="11F45EA2" w:rsidR="00FA6BDB" w:rsidRPr="00102DCA" w:rsidRDefault="00444881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after="120"/>
              <w:textAlignment w:val="auto"/>
              <w:rPr>
                <w:rFonts w:cstheme="minorHAnsi"/>
                <w:b/>
                <w:bCs/>
                <w:sz w:val="32"/>
                <w:szCs w:val="32"/>
                <w:lang w:eastAsia="zh-CN"/>
              </w:rPr>
            </w:pPr>
            <w:r w:rsidRPr="00377867">
              <w:rPr>
                <w:b/>
                <w:bCs/>
                <w:noProof/>
                <w:sz w:val="32"/>
                <w:szCs w:val="32"/>
                <w:lang w:val="en-US"/>
              </w:rPr>
              <w:drawing>
                <wp:inline distT="0" distB="0" distL="0" distR="0" wp14:anchorId="66DF2E69" wp14:editId="1B046FE0">
                  <wp:extent cx="1243584" cy="1051560"/>
                  <wp:effectExtent l="0" t="0" r="0" b="0"/>
                  <wp:docPr id="3" name="Picture 3" descr="P:\SUP\Meetings\WTDC\WTDC-21\Logo\WTDC Logo Final_aligned_center_R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SUP\Meetings\WTDC\WTDC-21\Logo\WTDC Logo Final_aligned_center_R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790" t="4651" r="6382" b="6934"/>
                          <a:stretch/>
                        </pic:blipFill>
                        <pic:spPr bwMode="auto">
                          <a:xfrm>
                            <a:off x="0" y="0"/>
                            <a:ext cx="1243584" cy="105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  <w:gridSpan w:val="2"/>
          </w:tcPr>
          <w:p w14:paraId="0AFE4CDC" w14:textId="2F86A6DD" w:rsidR="00FA6BDB" w:rsidRPr="00102DCA" w:rsidRDefault="00FA6BDB" w:rsidP="00FA6BDB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utoSpaceDE/>
              <w:autoSpaceDN/>
              <w:adjustRightInd/>
              <w:spacing w:before="360" w:after="120"/>
              <w:textAlignment w:val="auto"/>
              <w:rPr>
                <w:b/>
                <w:bCs/>
                <w:sz w:val="24"/>
                <w:szCs w:val="24"/>
              </w:rPr>
            </w:pPr>
            <w:r w:rsidRPr="00102D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t>Консультативная группа по развитию электросвязи (КГРЭ)</w:t>
            </w:r>
            <w:r w:rsidRPr="00102DCA">
              <w:rPr>
                <w:rFonts w:cstheme="minorHAnsi"/>
                <w:b/>
                <w:bCs/>
                <w:sz w:val="32"/>
                <w:szCs w:val="32"/>
                <w:lang w:eastAsia="zh-CN"/>
              </w:rPr>
              <w:br/>
            </w:r>
            <w:r w:rsidR="00EC71BC" w:rsidRPr="00EC71BC">
              <w:rPr>
                <w:rFonts w:cstheme="minorHAnsi"/>
                <w:b/>
                <w:bCs/>
                <w:sz w:val="24"/>
                <w:szCs w:val="24"/>
                <w:lang w:eastAsia="zh-CN"/>
              </w:rPr>
              <w:t>29-е собрание, виртуальное, 8−12 ноября 2021 года</w:t>
            </w:r>
          </w:p>
        </w:tc>
        <w:tc>
          <w:tcPr>
            <w:tcW w:w="1559" w:type="dxa"/>
            <w:vAlign w:val="center"/>
          </w:tcPr>
          <w:p w14:paraId="58D7581B" w14:textId="30EA2C4F" w:rsidR="00FA6BDB" w:rsidRPr="00102DCA" w:rsidRDefault="00FA6BDB" w:rsidP="00FA6BDB">
            <w:pPr>
              <w:widowControl w:val="0"/>
              <w:jc w:val="center"/>
            </w:pPr>
            <w:r w:rsidRPr="00102DCA">
              <w:rPr>
                <w:noProof/>
              </w:rPr>
              <w:drawing>
                <wp:inline distT="0" distB="0" distL="0" distR="0" wp14:anchorId="22B2AB0B" wp14:editId="3B587E64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34AE" w:rsidRPr="00102DCA" w14:paraId="3BAB3E42" w14:textId="77777777" w:rsidTr="00CD34AE">
        <w:tc>
          <w:tcPr>
            <w:tcW w:w="6662" w:type="dxa"/>
            <w:gridSpan w:val="2"/>
            <w:tcBorders>
              <w:top w:val="single" w:sz="12" w:space="0" w:color="auto"/>
            </w:tcBorders>
          </w:tcPr>
          <w:p w14:paraId="59022794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tcBorders>
              <w:top w:val="single" w:sz="12" w:space="0" w:color="auto"/>
            </w:tcBorders>
          </w:tcPr>
          <w:p w14:paraId="42B52DCF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sz w:val="18"/>
                <w:szCs w:val="18"/>
              </w:rPr>
            </w:pPr>
          </w:p>
        </w:tc>
      </w:tr>
      <w:tr w:rsidR="00CD34AE" w:rsidRPr="00102DCA" w14:paraId="7E49249F" w14:textId="77777777" w:rsidTr="00CD34AE">
        <w:trPr>
          <w:trHeight w:val="300"/>
        </w:trPr>
        <w:tc>
          <w:tcPr>
            <w:tcW w:w="6662" w:type="dxa"/>
            <w:gridSpan w:val="2"/>
          </w:tcPr>
          <w:p w14:paraId="33803E92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59ED43A6" w14:textId="07F7376E" w:rsidR="00CD34AE" w:rsidRPr="00102DCA" w:rsidRDefault="003E6E87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2DCA">
              <w:rPr>
                <w:rFonts w:cstheme="minorHAnsi"/>
                <w:b/>
                <w:bCs/>
              </w:rPr>
              <w:t xml:space="preserve">Документ </w:t>
            </w:r>
            <w:bookmarkStart w:id="0" w:name="DocRef1"/>
            <w:bookmarkEnd w:id="0"/>
            <w:r w:rsidRPr="00102DCA">
              <w:rPr>
                <w:rFonts w:cstheme="minorHAnsi"/>
                <w:b/>
                <w:bCs/>
              </w:rPr>
              <w:t>TDAG</w:t>
            </w:r>
            <w:r w:rsidR="0040328D" w:rsidRPr="00102DCA">
              <w:rPr>
                <w:rFonts w:cstheme="minorHAnsi"/>
                <w:b/>
                <w:bCs/>
              </w:rPr>
              <w:t>-</w:t>
            </w:r>
            <w:r w:rsidR="002502FE" w:rsidRPr="00102DCA">
              <w:rPr>
                <w:rFonts w:cstheme="minorHAnsi"/>
                <w:b/>
                <w:bCs/>
              </w:rPr>
              <w:t>2</w:t>
            </w:r>
            <w:r w:rsidR="00FA6BDB" w:rsidRPr="00102DCA">
              <w:rPr>
                <w:rFonts w:cstheme="minorHAnsi"/>
                <w:b/>
                <w:bCs/>
              </w:rPr>
              <w:t>1</w:t>
            </w:r>
            <w:r w:rsidR="00631202" w:rsidRPr="00102DCA">
              <w:rPr>
                <w:rFonts w:cstheme="minorHAnsi"/>
                <w:b/>
                <w:bCs/>
              </w:rPr>
              <w:t>/</w:t>
            </w:r>
            <w:bookmarkStart w:id="1" w:name="DocNo1"/>
            <w:bookmarkEnd w:id="1"/>
            <w:r w:rsidR="00EC71BC">
              <w:rPr>
                <w:rFonts w:cstheme="minorHAnsi"/>
                <w:b/>
                <w:bCs/>
                <w:lang w:val="en-US"/>
              </w:rPr>
              <w:t>2/</w:t>
            </w:r>
            <w:r w:rsidR="00063850">
              <w:rPr>
                <w:rFonts w:cstheme="minorHAnsi"/>
                <w:b/>
                <w:bCs/>
                <w:lang w:val="en-US"/>
              </w:rPr>
              <w:t>7</w:t>
            </w:r>
            <w:r w:rsidRPr="00102DCA">
              <w:rPr>
                <w:rFonts w:cstheme="minorHAnsi"/>
                <w:b/>
                <w:bCs/>
              </w:rPr>
              <w:t>-R</w:t>
            </w:r>
          </w:p>
        </w:tc>
      </w:tr>
      <w:tr w:rsidR="00CD34AE" w:rsidRPr="00102DCA" w14:paraId="1A05ADC9" w14:textId="77777777" w:rsidTr="00CD34AE">
        <w:trPr>
          <w:trHeight w:val="300"/>
        </w:trPr>
        <w:tc>
          <w:tcPr>
            <w:tcW w:w="6662" w:type="dxa"/>
            <w:gridSpan w:val="2"/>
          </w:tcPr>
          <w:p w14:paraId="570EE87D" w14:textId="77777777" w:rsidR="00CD34AE" w:rsidRPr="00102DCA" w:rsidRDefault="00CD34AE" w:rsidP="00CD34AE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261" w:type="dxa"/>
            <w:gridSpan w:val="2"/>
          </w:tcPr>
          <w:p w14:paraId="71F9DFA5" w14:textId="05FCF85F" w:rsidR="00CD34AE" w:rsidRPr="00102DCA" w:rsidRDefault="001326A4" w:rsidP="00B24169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bookmarkStart w:id="2" w:name="CreationDate"/>
            <w:bookmarkEnd w:id="2"/>
            <w:r w:rsidRPr="00102DCA">
              <w:rPr>
                <w:b/>
                <w:bCs/>
              </w:rPr>
              <w:t>1</w:t>
            </w:r>
            <w:r w:rsidR="00063850">
              <w:rPr>
                <w:b/>
                <w:bCs/>
                <w:lang w:val="en-US"/>
              </w:rPr>
              <w:t>4</w:t>
            </w:r>
            <w:r w:rsidRPr="00102DCA">
              <w:rPr>
                <w:b/>
                <w:bCs/>
              </w:rPr>
              <w:t xml:space="preserve"> </w:t>
            </w:r>
            <w:r w:rsidR="00EC71BC">
              <w:rPr>
                <w:b/>
                <w:bCs/>
              </w:rPr>
              <w:t>сентября</w:t>
            </w:r>
            <w:r w:rsidR="00A5482C" w:rsidRPr="00102DCA">
              <w:rPr>
                <w:b/>
                <w:bCs/>
              </w:rPr>
              <w:t xml:space="preserve"> 2021 года</w:t>
            </w:r>
          </w:p>
        </w:tc>
      </w:tr>
      <w:tr w:rsidR="00CD34AE" w:rsidRPr="00102DCA" w14:paraId="2DFE6F8A" w14:textId="77777777" w:rsidTr="00CD34AE">
        <w:trPr>
          <w:trHeight w:val="300"/>
        </w:trPr>
        <w:tc>
          <w:tcPr>
            <w:tcW w:w="6662" w:type="dxa"/>
            <w:gridSpan w:val="2"/>
          </w:tcPr>
          <w:p w14:paraId="66E8C0C6" w14:textId="77777777" w:rsidR="00CD34AE" w:rsidRPr="00102DCA" w:rsidRDefault="00CD34AE" w:rsidP="00CD34AE">
            <w:pPr>
              <w:widowControl w:val="0"/>
              <w:spacing w:before="0"/>
              <w:rPr>
                <w:rFonts w:ascii="Verdana" w:hAnsi="Verdana"/>
                <w:b/>
                <w:bCs/>
                <w:smallCaps/>
                <w:sz w:val="18"/>
                <w:szCs w:val="18"/>
              </w:rPr>
            </w:pPr>
          </w:p>
        </w:tc>
        <w:tc>
          <w:tcPr>
            <w:tcW w:w="3261" w:type="dxa"/>
            <w:gridSpan w:val="2"/>
          </w:tcPr>
          <w:p w14:paraId="0A385415" w14:textId="265D1855" w:rsidR="00CD34AE" w:rsidRPr="00102DCA" w:rsidRDefault="003E6E87" w:rsidP="00CD34AE">
            <w:pPr>
              <w:widowControl w:val="0"/>
              <w:spacing w:before="0"/>
              <w:rPr>
                <w:rFonts w:ascii="Verdana" w:hAnsi="Verdana"/>
                <w:b/>
                <w:bCs/>
              </w:rPr>
            </w:pPr>
            <w:r w:rsidRPr="00102DCA">
              <w:rPr>
                <w:rFonts w:cstheme="minorHAnsi"/>
                <w:b/>
                <w:bCs/>
              </w:rPr>
              <w:t>Оригинал:</w:t>
            </w:r>
            <w:bookmarkStart w:id="3" w:name="Original"/>
            <w:bookmarkEnd w:id="3"/>
            <w:r w:rsidR="00A73D91" w:rsidRPr="00102DCA">
              <w:rPr>
                <w:rFonts w:cstheme="minorHAnsi"/>
                <w:b/>
                <w:bCs/>
              </w:rPr>
              <w:t xml:space="preserve"> </w:t>
            </w:r>
            <w:r w:rsidR="002363C5" w:rsidRPr="00102DCA">
              <w:rPr>
                <w:rFonts w:cstheme="minorHAnsi"/>
                <w:b/>
                <w:bCs/>
              </w:rPr>
              <w:t>английский</w:t>
            </w:r>
          </w:p>
        </w:tc>
      </w:tr>
      <w:tr w:rsidR="00A5482C" w:rsidRPr="00102DCA" w14:paraId="3317572D" w14:textId="77777777" w:rsidTr="00CD34AE">
        <w:trPr>
          <w:trHeight w:val="850"/>
        </w:trPr>
        <w:tc>
          <w:tcPr>
            <w:tcW w:w="9923" w:type="dxa"/>
            <w:gridSpan w:val="4"/>
          </w:tcPr>
          <w:p w14:paraId="1509C6AB" w14:textId="48120BDF" w:rsidR="00A5482C" w:rsidRPr="00102DCA" w:rsidRDefault="00A5482C" w:rsidP="00A5482C">
            <w:pPr>
              <w:pStyle w:val="Source"/>
              <w:framePr w:hSpace="0" w:wrap="auto" w:vAnchor="margin" w:hAnchor="text" w:yAlign="inline"/>
            </w:pPr>
            <w:bookmarkStart w:id="4" w:name="Source"/>
            <w:bookmarkEnd w:id="4"/>
            <w:r w:rsidRPr="00102DCA">
              <w:rPr>
                <w:rFonts w:cstheme="minorHAnsi"/>
              </w:rPr>
              <w:t>Директор Бюро развития электросвязи</w:t>
            </w:r>
          </w:p>
        </w:tc>
      </w:tr>
      <w:tr w:rsidR="00A5482C" w:rsidRPr="00102DCA" w14:paraId="1BE32384" w14:textId="77777777" w:rsidTr="001326A4">
        <w:tc>
          <w:tcPr>
            <w:tcW w:w="9923" w:type="dxa"/>
            <w:gridSpan w:val="4"/>
          </w:tcPr>
          <w:p w14:paraId="21783703" w14:textId="7092B211" w:rsidR="00A5482C" w:rsidRPr="001554A2" w:rsidRDefault="00063850" w:rsidP="001554A2">
            <w:pPr>
              <w:pStyle w:val="Title1"/>
            </w:pPr>
            <w:bookmarkStart w:id="5" w:name="Title"/>
            <w:bookmarkEnd w:id="5"/>
            <w:r w:rsidRPr="00063850">
              <w:t>ПРОЕКТЫ МСЭ-D</w:t>
            </w:r>
          </w:p>
        </w:tc>
      </w:tr>
      <w:tr w:rsidR="00CD34AE" w:rsidRPr="00102DCA" w14:paraId="7E47B5E0" w14:textId="77777777" w:rsidTr="00102DCA">
        <w:tc>
          <w:tcPr>
            <w:tcW w:w="9923" w:type="dxa"/>
            <w:gridSpan w:val="4"/>
            <w:tcBorders>
              <w:bottom w:val="single" w:sz="4" w:space="0" w:color="auto"/>
            </w:tcBorders>
          </w:tcPr>
          <w:p w14:paraId="73D645FB" w14:textId="77777777" w:rsidR="00CD34AE" w:rsidRPr="00102DCA" w:rsidRDefault="00CD34AE" w:rsidP="00CD34AE"/>
        </w:tc>
      </w:tr>
      <w:tr w:rsidR="00102DCA" w:rsidRPr="00102DCA" w14:paraId="4B5404FE" w14:textId="77777777" w:rsidTr="00102DCA"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0F2C0" w14:textId="77777777" w:rsidR="00102DCA" w:rsidRPr="00434019" w:rsidRDefault="00102DCA" w:rsidP="00102DCA">
            <w:pPr>
              <w:pStyle w:val="Headingb"/>
            </w:pPr>
            <w:r w:rsidRPr="00102DCA">
              <w:t>Резюме</w:t>
            </w:r>
          </w:p>
          <w:p w14:paraId="3181F4E5" w14:textId="555816B2" w:rsidR="00063850" w:rsidRPr="00063850" w:rsidRDefault="00063850" w:rsidP="00063850">
            <w:pPr>
              <w:spacing w:after="120"/>
            </w:pPr>
            <w:r w:rsidRPr="00063850">
              <w:t xml:space="preserve">Международный союз электросвязи выполняет двойственную обязанность </w:t>
            </w:r>
            <w:r w:rsidR="0096035F">
              <w:t xml:space="preserve">– </w:t>
            </w:r>
            <w:r w:rsidRPr="00063850">
              <w:t>специализированного учреждения Организации Объединенных Наций и учреждения-исполнителя. Сектор развития электросвязи (МСЭ</w:t>
            </w:r>
            <w:r w:rsidRPr="00063850">
              <w:noBreakHyphen/>
              <w:t>D), участвуя в выполнении этой двойственной обязанности Союза, осуществляет ключевую функцию выполнения проектов в рамках системы развития Организации Объединенных Наций или других соглашений по финансированию с целью содействия развитию и ускорения развития электросвязи путем внесения предложений, организации и координации деятельности по техническому сотрудничеству и оказанию помощи.</w:t>
            </w:r>
          </w:p>
          <w:p w14:paraId="54256272" w14:textId="4EFF8202" w:rsidR="00CD7AC0" w:rsidRDefault="00063850" w:rsidP="00063850">
            <w:pPr>
              <w:spacing w:after="120"/>
            </w:pPr>
            <w:r w:rsidRPr="00063850">
              <w:t xml:space="preserve">В настоящем документе представлен обзор работы, проделанной Бюро развития электросвязи по линии разработки и выполнения проектов в шести регионах МСЭ-D – </w:t>
            </w:r>
            <w:r w:rsidR="004B4067">
              <w:t xml:space="preserve">в </w:t>
            </w:r>
            <w:r w:rsidRPr="00063850">
              <w:t>Африк</w:t>
            </w:r>
            <w:r w:rsidR="004B4067">
              <w:t>е</w:t>
            </w:r>
            <w:r w:rsidRPr="00063850">
              <w:t>, Северн</w:t>
            </w:r>
            <w:r w:rsidR="004B4067">
              <w:t>ой</w:t>
            </w:r>
            <w:r w:rsidRPr="00063850">
              <w:t xml:space="preserve"> и Южн</w:t>
            </w:r>
            <w:r w:rsidR="004B4067">
              <w:t>ой</w:t>
            </w:r>
            <w:r w:rsidRPr="00063850">
              <w:t xml:space="preserve"> Америк</w:t>
            </w:r>
            <w:r w:rsidR="004B4067">
              <w:t>е</w:t>
            </w:r>
            <w:r w:rsidRPr="00063850">
              <w:t>, Арабск</w:t>
            </w:r>
            <w:r w:rsidR="004B4067">
              <w:t xml:space="preserve">ом </w:t>
            </w:r>
            <w:r w:rsidRPr="00063850">
              <w:t>регион</w:t>
            </w:r>
            <w:r w:rsidR="004B4067">
              <w:t>е</w:t>
            </w:r>
            <w:r w:rsidRPr="00063850">
              <w:t>, Азиатско-Тихоокеанск</w:t>
            </w:r>
            <w:r w:rsidR="004B4067">
              <w:t>ом</w:t>
            </w:r>
            <w:r w:rsidRPr="00063850">
              <w:t xml:space="preserve"> регион</w:t>
            </w:r>
            <w:r w:rsidR="004B4067">
              <w:t>е</w:t>
            </w:r>
            <w:r w:rsidRPr="00063850">
              <w:t>, Содружеств</w:t>
            </w:r>
            <w:r w:rsidR="004B4067">
              <w:t>е</w:t>
            </w:r>
            <w:r w:rsidRPr="00063850">
              <w:t xml:space="preserve"> Независимых Государств (СНГ) и Европ</w:t>
            </w:r>
            <w:r w:rsidR="004B4067">
              <w:t>е</w:t>
            </w:r>
            <w:r w:rsidRPr="00063850">
              <w:t>, а также межрегиональных проектов.</w:t>
            </w:r>
          </w:p>
          <w:p w14:paraId="551220A7" w14:textId="77777777" w:rsidR="00102DCA" w:rsidRPr="00102DCA" w:rsidRDefault="00102DCA" w:rsidP="00102DCA">
            <w:pPr>
              <w:pStyle w:val="Headingb"/>
            </w:pPr>
            <w:r w:rsidRPr="00102DCA">
              <w:t>Необходимые действия</w:t>
            </w:r>
          </w:p>
          <w:p w14:paraId="337B8634" w14:textId="74272D9C" w:rsidR="00102DCA" w:rsidRPr="00102DCA" w:rsidRDefault="00063850" w:rsidP="00063850">
            <w:pPr>
              <w:spacing w:after="120"/>
            </w:pPr>
            <w:r w:rsidRPr="00063850">
              <w:t>КГРЭ предлагается принять настоящий документ к сведению и в случае необходимости предоставить руководящие указания.</w:t>
            </w:r>
          </w:p>
          <w:p w14:paraId="24D84312" w14:textId="77777777" w:rsidR="00102DCA" w:rsidRPr="00FF347C" w:rsidRDefault="00102DCA" w:rsidP="00102DCA">
            <w:pPr>
              <w:pStyle w:val="Headingb"/>
            </w:pPr>
            <w:r w:rsidRPr="00FF347C">
              <w:t>Справочные материалы</w:t>
            </w:r>
          </w:p>
          <w:p w14:paraId="785AB80F" w14:textId="4D0A1964" w:rsidR="00102DCA" w:rsidRPr="00102DCA" w:rsidRDefault="00063850" w:rsidP="00063850">
            <w:pPr>
              <w:spacing w:after="120"/>
            </w:pPr>
            <w:bookmarkStart w:id="6" w:name="lt_pId026"/>
            <w:r w:rsidRPr="00063850">
              <w:t>Резолюции 17 и 52 (Пересм. Буэнос-Айрес, 2017 г.) Всемирной конференции по развитию электросвязи (ВКРЭ) и Резолюция 157 (Пересм. Дубай, 2018 г.) Полномочной конференции</w:t>
            </w:r>
            <w:bookmarkEnd w:id="6"/>
          </w:p>
        </w:tc>
      </w:tr>
    </w:tbl>
    <w:p w14:paraId="0610DDD9" w14:textId="33CE434A" w:rsidR="00102DCA" w:rsidRPr="00434019" w:rsidRDefault="00102DCA" w:rsidP="004726D2">
      <w:pPr>
        <w:pStyle w:val="Heading1"/>
      </w:pPr>
      <w:r w:rsidRPr="00434019">
        <w:t>1</w:t>
      </w:r>
      <w:r w:rsidRPr="00434019">
        <w:tab/>
      </w:r>
      <w:r w:rsidR="00063850" w:rsidRPr="00063850">
        <w:t>Введение</w:t>
      </w:r>
    </w:p>
    <w:p w14:paraId="4C888307" w14:textId="54E32C9D" w:rsidR="00FF347C" w:rsidRPr="008349EA" w:rsidRDefault="00063850" w:rsidP="00FF347C">
      <w:r w:rsidRPr="00063850">
        <w:t>В соответствии с Резолюциями 17 и 52 (Пересм. Буэнос-Айрес, 2017 г.) Всемирной конференции по развитию электросвязи (ВКРЭ) и Резолюцией 157 (Пересм. Дубай, 2018</w:t>
      </w:r>
      <w:r w:rsidRPr="00063850">
        <w:rPr>
          <w:lang w:val="en-US"/>
        </w:rPr>
        <w:t> </w:t>
      </w:r>
      <w:r w:rsidRPr="00063850">
        <w:t xml:space="preserve">г.) Полномочной конференции, Бюро развития электросвязи (БРЭ) МСЭ обязано выполнять мандат МСЭ по реализации проектов в рамках системы развития Организации Объединенных Наций или других соглашений по финансированию в целях содействия развитию электросвязи/информационно-коммуникационных технологий и ускорения такого развития путем внесения предложений, организации и координации </w:t>
      </w:r>
      <w:r w:rsidRPr="00063850">
        <w:lastRenderedPageBreak/>
        <w:t>деятельности по техническому сотрудничеству и предоставлению помощи.</w:t>
      </w:r>
      <w:bookmarkStart w:id="7" w:name="lt_pId029"/>
      <w:bookmarkStart w:id="8" w:name="_Hlk83308260"/>
      <w:r w:rsidRPr="00063850">
        <w:rPr>
          <w:rFonts w:cstheme="minorHAnsi"/>
        </w:rPr>
        <w:t xml:space="preserve"> </w:t>
      </w:r>
      <w:r w:rsidR="0096035F">
        <w:rPr>
          <w:rFonts w:cstheme="minorHAnsi"/>
        </w:rPr>
        <w:t>В настоящем отчете представлен обзор статуса портфеля проектов МСЭ за период с марта по сентябрь</w:t>
      </w:r>
      <w:r w:rsidRPr="008349EA">
        <w:rPr>
          <w:rFonts w:cstheme="minorHAnsi"/>
        </w:rPr>
        <w:t xml:space="preserve"> 2021</w:t>
      </w:r>
      <w:r w:rsidR="0096035F">
        <w:rPr>
          <w:rFonts w:cstheme="minorHAnsi"/>
        </w:rPr>
        <w:t> года</w:t>
      </w:r>
      <w:bookmarkEnd w:id="7"/>
      <w:r w:rsidRPr="005533AF">
        <w:rPr>
          <w:rStyle w:val="FootnoteReference"/>
          <w:rFonts w:cstheme="minorHAnsi"/>
          <w:lang w:val="en-US"/>
        </w:rPr>
        <w:footnoteReference w:id="1"/>
      </w:r>
      <w:bookmarkEnd w:id="8"/>
      <w:r w:rsidR="0096035F">
        <w:rPr>
          <w:rFonts w:cstheme="minorHAnsi"/>
        </w:rPr>
        <w:t>.</w:t>
      </w:r>
    </w:p>
    <w:p w14:paraId="7D37DB0C" w14:textId="77777777" w:rsidR="00063850" w:rsidRPr="008349EA" w:rsidRDefault="00063850" w:rsidP="00063850">
      <w:pPr>
        <w:pStyle w:val="Heading1"/>
      </w:pPr>
      <w:r w:rsidRPr="00900177">
        <w:t>2</w:t>
      </w:r>
      <w:r w:rsidRPr="00900177">
        <w:tab/>
      </w:r>
      <w:r w:rsidRPr="002327C1">
        <w:t>Портфель</w:t>
      </w:r>
      <w:r w:rsidRPr="00900177">
        <w:t xml:space="preserve"> </w:t>
      </w:r>
      <w:r w:rsidRPr="002327C1">
        <w:t>проектов</w:t>
      </w:r>
      <w:r w:rsidRPr="00900177">
        <w:t xml:space="preserve">: </w:t>
      </w:r>
      <w:r>
        <w:t>в</w:t>
      </w:r>
      <w:r w:rsidRPr="002327C1">
        <w:t>ыполняемые</w:t>
      </w:r>
      <w:r w:rsidRPr="00900177">
        <w:t xml:space="preserve"> </w:t>
      </w:r>
      <w:r w:rsidRPr="002327C1">
        <w:t>проекты</w:t>
      </w:r>
    </w:p>
    <w:p w14:paraId="62DB4887" w14:textId="77777777" w:rsidR="00063850" w:rsidRPr="00161543" w:rsidRDefault="00063850" w:rsidP="00161543">
      <w:pPr>
        <w:pStyle w:val="Heading2"/>
      </w:pPr>
      <w:r w:rsidRPr="00135A2C">
        <w:t>2.1</w:t>
      </w:r>
      <w:r w:rsidRPr="00135A2C">
        <w:tab/>
      </w:r>
      <w:bookmarkStart w:id="9" w:name="lt_pId035"/>
      <w:r w:rsidRPr="00161543">
        <w:t>Общая информация и распределение по регионам</w:t>
      </w:r>
      <w:bookmarkEnd w:id="9"/>
    </w:p>
    <w:p w14:paraId="117A55E9" w14:textId="11D8B148" w:rsidR="00063850" w:rsidRPr="00F500D5" w:rsidRDefault="00063850" w:rsidP="00063850">
      <w:pPr>
        <w:spacing w:after="120"/>
        <w:rPr>
          <w:highlight w:val="lightGray"/>
        </w:rPr>
      </w:pPr>
      <w:bookmarkStart w:id="10" w:name="lt_pId036"/>
      <w:r w:rsidRPr="00135A2C">
        <w:t>По состоянию на 1</w:t>
      </w:r>
      <w:r w:rsidR="00C22A3A">
        <w:t>5</w:t>
      </w:r>
      <w:r w:rsidRPr="00135A2C">
        <w:t xml:space="preserve"> </w:t>
      </w:r>
      <w:r w:rsidR="00C22A3A">
        <w:t>сентября</w:t>
      </w:r>
      <w:r w:rsidRPr="00135A2C">
        <w:t xml:space="preserve"> 202</w:t>
      </w:r>
      <w:r w:rsidR="00C22A3A">
        <w:t>1</w:t>
      </w:r>
      <w:r w:rsidRPr="00135A2C">
        <w:t xml:space="preserve"> года </w:t>
      </w:r>
      <w:r w:rsidR="004B4067">
        <w:t xml:space="preserve">в </w:t>
      </w:r>
      <w:r w:rsidRPr="00135A2C">
        <w:t xml:space="preserve">портфель проектов МСЭ </w:t>
      </w:r>
      <w:r w:rsidR="004B4067">
        <w:t>входят</w:t>
      </w:r>
      <w:r w:rsidRPr="00135A2C">
        <w:t xml:space="preserve"> 7</w:t>
      </w:r>
      <w:r w:rsidR="00C22A3A">
        <w:t>7</w:t>
      </w:r>
      <w:r w:rsidRPr="00135A2C">
        <w:t xml:space="preserve"> текущих проектов</w:t>
      </w:r>
      <w:r>
        <w:t>, стоимость которых оценивается в</w:t>
      </w:r>
      <w:r w:rsidRPr="00135A2C">
        <w:t xml:space="preserve"> </w:t>
      </w:r>
      <w:r w:rsidR="00C22A3A">
        <w:t>93</w:t>
      </w:r>
      <w:r w:rsidRPr="00135A2C">
        <w:t>,</w:t>
      </w:r>
      <w:r w:rsidR="00C22A3A">
        <w:t>9</w:t>
      </w:r>
      <w:r w:rsidRPr="00135A2C">
        <w:t xml:space="preserve"> млн</w:t>
      </w:r>
      <w:r>
        <w:t>.</w:t>
      </w:r>
      <w:r w:rsidRPr="00135A2C">
        <w:t xml:space="preserve"> швейцарских франков, </w:t>
      </w:r>
      <w:r w:rsidRPr="00A378B1">
        <w:t xml:space="preserve">при этом </w:t>
      </w:r>
      <w:r w:rsidR="004B4067">
        <w:t>подлежащий получению</w:t>
      </w:r>
      <w:r w:rsidRPr="00A378B1">
        <w:t xml:space="preserve"> остаток составил 2</w:t>
      </w:r>
      <w:r w:rsidR="00C22A3A">
        <w:t>5</w:t>
      </w:r>
      <w:r w:rsidRPr="00A378B1">
        <w:t>,</w:t>
      </w:r>
      <w:r w:rsidR="00C22A3A">
        <w:t>9</w:t>
      </w:r>
      <w:r w:rsidRPr="00A378B1">
        <w:t xml:space="preserve"> млн. швейцарских франков</w:t>
      </w:r>
      <w:r w:rsidRPr="00135A2C">
        <w:t xml:space="preserve">. На </w:t>
      </w:r>
      <w:r>
        <w:t>Р</w:t>
      </w:r>
      <w:r w:rsidRPr="00135A2C">
        <w:t>исунке</w:t>
      </w:r>
      <w:r>
        <w:rPr>
          <w:lang w:val="en-US"/>
        </w:rPr>
        <w:t> </w:t>
      </w:r>
      <w:r w:rsidRPr="00135A2C">
        <w:t>1 представлен</w:t>
      </w:r>
      <w:r>
        <w:t>а</w:t>
      </w:r>
      <w:r w:rsidRPr="00135A2C">
        <w:t xml:space="preserve"> </w:t>
      </w:r>
      <w:r>
        <w:t xml:space="preserve">информация о </w:t>
      </w:r>
      <w:r w:rsidRPr="00135A2C">
        <w:t>распределени</w:t>
      </w:r>
      <w:r>
        <w:t xml:space="preserve">и </w:t>
      </w:r>
      <w:r w:rsidR="006E5AF4">
        <w:t>этого портфеля в целом</w:t>
      </w:r>
      <w:r w:rsidRPr="00135A2C">
        <w:t xml:space="preserve"> по регионам и </w:t>
      </w:r>
      <w:r>
        <w:t>о</w:t>
      </w:r>
      <w:r w:rsidR="004B4067">
        <w:t>бзор</w:t>
      </w:r>
      <w:r w:rsidRPr="00135A2C">
        <w:t xml:space="preserve"> средств, </w:t>
      </w:r>
      <w:r w:rsidRPr="00A378B1">
        <w:t>выделенных</w:t>
      </w:r>
      <w:r w:rsidRPr="00135A2C">
        <w:t xml:space="preserve"> на эти проекты.</w:t>
      </w:r>
      <w:bookmarkEnd w:id="10"/>
    </w:p>
    <w:p w14:paraId="1D3E9095" w14:textId="6671962C" w:rsidR="00063850" w:rsidRPr="003B7358" w:rsidRDefault="00063850" w:rsidP="00063850">
      <w:pPr>
        <w:pStyle w:val="Tabletitle"/>
      </w:pPr>
      <w:bookmarkStart w:id="11" w:name="lt_pId038"/>
      <w:r w:rsidRPr="00135A2C">
        <w:t>Рисунок</w:t>
      </w:r>
      <w:r w:rsidRPr="003B7358">
        <w:t xml:space="preserve"> 1</w:t>
      </w:r>
      <w:r w:rsidR="006E5AF4">
        <w:t>.</w:t>
      </w:r>
      <w:r w:rsidRPr="003B7358">
        <w:t xml:space="preserve"> </w:t>
      </w:r>
      <w:r w:rsidRPr="00135A2C">
        <w:t>Обзор</w:t>
      </w:r>
      <w:r w:rsidRPr="003B7358">
        <w:t xml:space="preserve"> </w:t>
      </w:r>
      <w:r w:rsidRPr="005822A0">
        <w:t>выполняемы</w:t>
      </w:r>
      <w:r>
        <w:t>х</w:t>
      </w:r>
      <w:r w:rsidRPr="003B7358">
        <w:t xml:space="preserve"> </w:t>
      </w:r>
      <w:r w:rsidRPr="00135A2C">
        <w:t>проектов</w:t>
      </w:r>
      <w:r w:rsidRPr="003B7358">
        <w:t xml:space="preserve"> </w:t>
      </w:r>
      <w:r w:rsidRPr="00135A2C">
        <w:t>МСЭ</w:t>
      </w:r>
      <w:r w:rsidRPr="003B7358">
        <w:t xml:space="preserve"> </w:t>
      </w:r>
      <w:r>
        <w:t>в</w:t>
      </w:r>
      <w:r w:rsidRPr="003B7358">
        <w:t xml:space="preserve"> </w:t>
      </w:r>
      <w:r>
        <w:t>разбивке</w:t>
      </w:r>
      <w:r w:rsidRPr="003B7358">
        <w:t xml:space="preserve"> </w:t>
      </w:r>
      <w:r w:rsidRPr="00135A2C">
        <w:t>по</w:t>
      </w:r>
      <w:r w:rsidRPr="003B7358">
        <w:t xml:space="preserve"> </w:t>
      </w:r>
      <w:r w:rsidRPr="00135A2C">
        <w:t>регионам</w:t>
      </w:r>
      <w:r w:rsidRPr="003B7358">
        <w:t xml:space="preserve"> </w:t>
      </w:r>
      <w:r w:rsidRPr="003B7358">
        <w:br/>
        <w:t>(в тыс. швейцарских франков)</w:t>
      </w:r>
      <w:bookmarkEnd w:id="11"/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6"/>
        <w:gridCol w:w="838"/>
        <w:gridCol w:w="1007"/>
        <w:gridCol w:w="1049"/>
        <w:gridCol w:w="1052"/>
        <w:gridCol w:w="1148"/>
        <w:gridCol w:w="980"/>
        <w:gridCol w:w="992"/>
      </w:tblGrid>
      <w:tr w:rsidR="00063850" w:rsidRPr="008B7E5F" w14:paraId="6A7825B1" w14:textId="77777777" w:rsidTr="00E207FF">
        <w:trPr>
          <w:trHeight w:val="1179"/>
          <w:jc w:val="center"/>
        </w:trPr>
        <w:tc>
          <w:tcPr>
            <w:tcW w:w="1156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043D5BCE" w14:textId="77777777" w:rsidR="00063850" w:rsidRPr="00D67AA2" w:rsidRDefault="00063850" w:rsidP="00E207FF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Регион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40F79FBD" w14:textId="77777777" w:rsidR="00063850" w:rsidRPr="00D67AA2" w:rsidRDefault="00063850" w:rsidP="00E207FF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Кол-во проек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  <w:lang w:val="en-US"/>
              </w:rPr>
              <w:t>-</w:t>
            </w: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тов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76B7EE72" w14:textId="77777777" w:rsidR="00063850" w:rsidRPr="00D67AA2" w:rsidRDefault="00063850" w:rsidP="00E207FF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Внешние средства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094394FC" w14:textId="77777777" w:rsidR="00063850" w:rsidRPr="00D67AA2" w:rsidRDefault="00063850" w:rsidP="00E207FF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Средства ФРИКТ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00B74DE9" w14:textId="77777777" w:rsidR="00063850" w:rsidRPr="00D67AA2" w:rsidRDefault="00063850" w:rsidP="00E207FF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Средства ОП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13348644" w14:textId="77777777" w:rsidR="00063850" w:rsidRPr="00B74ADF" w:rsidRDefault="00063850" w:rsidP="00E207FF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Общая сумма средств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4F81BD" w:themeFill="accent1"/>
            <w:noWrap/>
            <w:vAlign w:val="center"/>
            <w:hideMark/>
          </w:tcPr>
          <w:p w14:paraId="610F8F08" w14:textId="385A9A96" w:rsidR="00063850" w:rsidRPr="00C22A3A" w:rsidRDefault="00063850" w:rsidP="00E207FF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bookmarkStart w:id="12" w:name="lt_pId046"/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>Остаток средств на</w:t>
            </w:r>
            <w:r w:rsidRPr="00D67AA2">
              <w:rPr>
                <w:rFonts w:eastAsiaTheme="minorEastAsia"/>
                <w:color w:val="FFFFFF" w:themeColor="background1"/>
                <w:sz w:val="18"/>
                <w:szCs w:val="18"/>
                <w:lang w:val="en-GB"/>
              </w:rPr>
              <w:t xml:space="preserve"> 1</w:t>
            </w:r>
            <w:r w:rsidR="00C22A3A">
              <w:rPr>
                <w:rFonts w:eastAsiaTheme="minorEastAsia"/>
                <w:color w:val="FFFFFF" w:themeColor="background1"/>
                <w:sz w:val="18"/>
                <w:szCs w:val="18"/>
              </w:rPr>
              <w:t>5</w:t>
            </w:r>
            <w:r w:rsidRPr="00D67AA2">
              <w:rPr>
                <w:rFonts w:eastAsiaTheme="minorEastAsia"/>
                <w:color w:val="FFFFFF" w:themeColor="background1"/>
                <w:sz w:val="18"/>
                <w:szCs w:val="18"/>
                <w:lang w:val="en-GB"/>
              </w:rPr>
              <w:t>/</w:t>
            </w:r>
            <w:r w:rsidR="00C22A3A">
              <w:rPr>
                <w:rFonts w:eastAsiaTheme="minorEastAsia"/>
                <w:color w:val="FFFFFF" w:themeColor="background1"/>
                <w:sz w:val="18"/>
                <w:szCs w:val="18"/>
              </w:rPr>
              <w:t>09</w:t>
            </w:r>
            <w:r w:rsidRPr="00D67AA2">
              <w:rPr>
                <w:rFonts w:eastAsiaTheme="minorEastAsia"/>
                <w:color w:val="FFFFFF" w:themeColor="background1"/>
                <w:sz w:val="18"/>
                <w:szCs w:val="18"/>
                <w:lang w:val="en-GB"/>
              </w:rPr>
              <w:t>/</w:t>
            </w:r>
            <w:bookmarkEnd w:id="12"/>
            <w:r w:rsidR="00C22A3A">
              <w:rPr>
                <w:rFonts w:eastAsiaTheme="minorEastAsia"/>
                <w:color w:val="FFFFFF" w:themeColor="background1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4F81BD" w:themeFill="accent1"/>
            <w:noWrap/>
            <w:vAlign w:val="center"/>
            <w:hideMark/>
          </w:tcPr>
          <w:p w14:paraId="2CEF1151" w14:textId="77777777" w:rsidR="00063850" w:rsidRPr="00D67AA2" w:rsidRDefault="00063850" w:rsidP="00E207FF">
            <w:pPr>
              <w:pStyle w:val="Tablehead"/>
              <w:rPr>
                <w:rFonts w:eastAsiaTheme="minorEastAsia"/>
                <w:color w:val="FFFFFF" w:themeColor="background1"/>
                <w:sz w:val="18"/>
                <w:szCs w:val="18"/>
              </w:rPr>
            </w:pPr>
            <w:bookmarkStart w:id="13" w:name="lt_pId047"/>
            <w:r>
              <w:rPr>
                <w:rFonts w:eastAsiaTheme="minorEastAsia"/>
                <w:color w:val="FFFFFF" w:themeColor="background1"/>
                <w:sz w:val="18"/>
                <w:szCs w:val="18"/>
              </w:rPr>
              <w:t xml:space="preserve">Сальдо, </w:t>
            </w:r>
            <w:r w:rsidRPr="00AB6A27">
              <w:rPr>
                <w:rFonts w:eastAsiaTheme="minorEastAsia"/>
                <w:color w:val="FFFFFF" w:themeColor="background1"/>
                <w:sz w:val="18"/>
                <w:szCs w:val="18"/>
              </w:rPr>
              <w:t>%</w:t>
            </w:r>
            <w:bookmarkEnd w:id="13"/>
          </w:p>
        </w:tc>
      </w:tr>
      <w:tr w:rsidR="00C22A3A" w:rsidRPr="008B7E5F" w14:paraId="206F9EE2" w14:textId="77777777" w:rsidTr="00C22A3A">
        <w:trPr>
          <w:trHeight w:val="54"/>
          <w:jc w:val="center"/>
        </w:trPr>
        <w:tc>
          <w:tcPr>
            <w:tcW w:w="1156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E4AEC44" w14:textId="77777777" w:rsidR="00C22A3A" w:rsidRPr="00A378B1" w:rsidRDefault="00C22A3A" w:rsidP="00C22A3A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 xml:space="preserve">АФР </w:t>
            </w:r>
          </w:p>
        </w:tc>
        <w:tc>
          <w:tcPr>
            <w:tcW w:w="83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14:paraId="3B56B4EF" w14:textId="6E85436E" w:rsidR="00C22A3A" w:rsidRPr="00D67AA2" w:rsidRDefault="00C22A3A" w:rsidP="00C22A3A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14</w:t>
            </w:r>
          </w:p>
        </w:tc>
        <w:tc>
          <w:tcPr>
            <w:tcW w:w="1007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8681290" w14:textId="6CB439C1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9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896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1049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9CDAB5" w14:textId="070A690D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956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B279BA">
              <w:rPr>
                <w:rFonts w:eastAsiaTheme="minorEastAsia"/>
              </w:rPr>
              <w:t>8</w:t>
            </w:r>
          </w:p>
        </w:tc>
        <w:tc>
          <w:tcPr>
            <w:tcW w:w="105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B7F14AA" w14:textId="7997DE07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434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1148" w:type="dxa"/>
            <w:tcBorders>
              <w:top w:val="single" w:sz="4" w:space="0" w:color="auto"/>
            </w:tcBorders>
            <w:shd w:val="clear" w:color="auto" w:fill="DBE5F1" w:themeFill="accent1" w:themeFillTint="33"/>
            <w:vAlign w:val="bottom"/>
          </w:tcPr>
          <w:p w14:paraId="05489F78" w14:textId="4FC953EA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11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883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9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4E1A6CAD" w14:textId="0DFB0FC6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6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432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6C7F785" w14:textId="707E10EF" w:rsidR="00C22A3A" w:rsidRPr="00D67AA2" w:rsidRDefault="00C22A3A" w:rsidP="00C22A3A">
            <w:pPr>
              <w:pStyle w:val="Tabletext"/>
              <w:jc w:val="center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54</w:t>
            </w:r>
            <w:r w:rsidRPr="00B279BA">
              <w:rPr>
                <w:rFonts w:eastAsiaTheme="minorEastAsia"/>
              </w:rPr>
              <w:t>%</w:t>
            </w:r>
          </w:p>
        </w:tc>
      </w:tr>
      <w:tr w:rsidR="00C22A3A" w:rsidRPr="008B7E5F" w14:paraId="71EB6769" w14:textId="77777777" w:rsidTr="00E207FF">
        <w:trPr>
          <w:trHeight w:val="54"/>
          <w:jc w:val="center"/>
        </w:trPr>
        <w:tc>
          <w:tcPr>
            <w:tcW w:w="1156" w:type="dxa"/>
            <w:shd w:val="clear" w:color="auto" w:fill="auto"/>
            <w:hideMark/>
          </w:tcPr>
          <w:p w14:paraId="752EF759" w14:textId="77777777" w:rsidR="00C22A3A" w:rsidRPr="00A378B1" w:rsidRDefault="00C22A3A" w:rsidP="00C22A3A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 xml:space="preserve">АМР 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25D41AD4" w14:textId="2F5C8288" w:rsidR="00C22A3A" w:rsidRPr="00D67AA2" w:rsidRDefault="00C22A3A" w:rsidP="00C22A3A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11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5515F67B" w14:textId="29A7B28E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41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230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469DA0C1" w14:textId="283546CA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114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8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282CDE50" w14:textId="3B9CD8D3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612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5C596081" w14:textId="4C2C0932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41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957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6BD80C9A" w14:textId="4BF18D3E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438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5A6864AF" w14:textId="1D59F311" w:rsidR="00C22A3A" w:rsidRPr="00D67AA2" w:rsidRDefault="00C22A3A" w:rsidP="00C22A3A">
            <w:pPr>
              <w:pStyle w:val="Tabletext"/>
              <w:jc w:val="center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13%</w:t>
            </w:r>
          </w:p>
        </w:tc>
      </w:tr>
      <w:tr w:rsidR="00C22A3A" w:rsidRPr="008B7E5F" w14:paraId="3FB8DD6F" w14:textId="77777777" w:rsidTr="00E207FF">
        <w:trPr>
          <w:trHeight w:val="300"/>
          <w:jc w:val="center"/>
        </w:trPr>
        <w:tc>
          <w:tcPr>
            <w:tcW w:w="1156" w:type="dxa"/>
            <w:hideMark/>
          </w:tcPr>
          <w:p w14:paraId="6EEB1F2D" w14:textId="77777777" w:rsidR="00C22A3A" w:rsidRPr="00A378B1" w:rsidRDefault="00C22A3A" w:rsidP="00C22A3A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 xml:space="preserve">АРБ 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D180140" w14:textId="1ECEA048" w:rsidR="00C22A3A" w:rsidRPr="00D67AA2" w:rsidRDefault="00C22A3A" w:rsidP="00C22A3A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1007" w:type="dxa"/>
            <w:vAlign w:val="bottom"/>
          </w:tcPr>
          <w:p w14:paraId="2CF4D07D" w14:textId="7175FDE3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5</w:t>
            </w:r>
            <w:r>
              <w:rPr>
                <w:rFonts w:eastAsiaTheme="minorEastAsia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045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1049" w:type="dxa"/>
            <w:vAlign w:val="bottom"/>
          </w:tcPr>
          <w:p w14:paraId="46EF15E4" w14:textId="7E8B7004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690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052" w:type="dxa"/>
            <w:vAlign w:val="bottom"/>
          </w:tcPr>
          <w:p w14:paraId="5D27946F" w14:textId="556D06AD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189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52764089" w14:textId="7D1B13A8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5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924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980" w:type="dxa"/>
            <w:vAlign w:val="bottom"/>
          </w:tcPr>
          <w:p w14:paraId="1D96BC49" w14:textId="63C01025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1</w:t>
            </w:r>
            <w:r>
              <w:rPr>
                <w:rFonts w:eastAsiaTheme="minorEastAsia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663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14:paraId="3AC2014E" w14:textId="752DEF14" w:rsidR="00C22A3A" w:rsidRPr="00D67AA2" w:rsidRDefault="00C22A3A" w:rsidP="00C22A3A">
            <w:pPr>
              <w:pStyle w:val="Tabletext"/>
              <w:jc w:val="center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28</w:t>
            </w:r>
            <w:r w:rsidRPr="00B279BA">
              <w:rPr>
                <w:rFonts w:eastAsiaTheme="minorEastAsia"/>
              </w:rPr>
              <w:t>%</w:t>
            </w:r>
          </w:p>
        </w:tc>
      </w:tr>
      <w:tr w:rsidR="00C22A3A" w:rsidRPr="008B7E5F" w14:paraId="05CC19E1" w14:textId="77777777" w:rsidTr="00E207FF">
        <w:trPr>
          <w:trHeight w:val="54"/>
          <w:jc w:val="center"/>
        </w:trPr>
        <w:tc>
          <w:tcPr>
            <w:tcW w:w="1156" w:type="dxa"/>
            <w:shd w:val="clear" w:color="auto" w:fill="auto"/>
            <w:vAlign w:val="center"/>
            <w:hideMark/>
          </w:tcPr>
          <w:p w14:paraId="3213CBD5" w14:textId="77777777" w:rsidR="00C22A3A" w:rsidRPr="00A378B1" w:rsidRDefault="00C22A3A" w:rsidP="00C22A3A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АТР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3C7F826C" w14:textId="7E39D952" w:rsidR="00C22A3A" w:rsidRPr="00D67AA2" w:rsidRDefault="00C22A3A" w:rsidP="00C22A3A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02BB2D20" w14:textId="10A23135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4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213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9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61BEC777" w14:textId="77777777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shd w:val="clear" w:color="auto" w:fill="auto"/>
            <w:vAlign w:val="bottom"/>
          </w:tcPr>
          <w:p w14:paraId="6EF70BD4" w14:textId="478888FE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229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168DAE91" w14:textId="03CBF780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4</w:t>
            </w:r>
            <w:r>
              <w:rPr>
                <w:rFonts w:eastAsiaTheme="minorEastAsia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652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546EAF8A" w14:textId="3D7CED7F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3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464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35512A2F" w14:textId="22CE6B4C" w:rsidR="00C22A3A" w:rsidRPr="00D67AA2" w:rsidRDefault="00C22A3A" w:rsidP="00C22A3A">
            <w:pPr>
              <w:pStyle w:val="Tabletext"/>
              <w:jc w:val="center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74</w:t>
            </w:r>
            <w:r w:rsidRPr="00B279BA">
              <w:rPr>
                <w:rFonts w:eastAsiaTheme="minorEastAsia"/>
              </w:rPr>
              <w:t>%</w:t>
            </w:r>
          </w:p>
        </w:tc>
      </w:tr>
      <w:tr w:rsidR="00C22A3A" w:rsidRPr="008B7E5F" w14:paraId="22B3867E" w14:textId="77777777" w:rsidTr="00E207FF">
        <w:trPr>
          <w:trHeight w:val="54"/>
          <w:jc w:val="center"/>
        </w:trPr>
        <w:tc>
          <w:tcPr>
            <w:tcW w:w="1156" w:type="dxa"/>
            <w:hideMark/>
          </w:tcPr>
          <w:p w14:paraId="02098730" w14:textId="77777777" w:rsidR="00C22A3A" w:rsidRPr="00A378B1" w:rsidRDefault="00C22A3A" w:rsidP="00C22A3A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 xml:space="preserve">СНГ 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4293E3A0" w14:textId="63F6FFD3" w:rsidR="00C22A3A" w:rsidRPr="00D67AA2" w:rsidRDefault="00C22A3A" w:rsidP="00C22A3A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1007" w:type="dxa"/>
            <w:vAlign w:val="bottom"/>
          </w:tcPr>
          <w:p w14:paraId="3E904AE4" w14:textId="5F7FF95A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242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1049" w:type="dxa"/>
            <w:vAlign w:val="bottom"/>
          </w:tcPr>
          <w:p w14:paraId="4095EE89" w14:textId="77777777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vAlign w:val="bottom"/>
          </w:tcPr>
          <w:p w14:paraId="52ECD236" w14:textId="797C98FD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242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5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624956A7" w14:textId="0ADDD24C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485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980" w:type="dxa"/>
            <w:vAlign w:val="bottom"/>
          </w:tcPr>
          <w:p w14:paraId="328E3A3B" w14:textId="3B4ECF46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108</w:t>
            </w:r>
            <w:r>
              <w:rPr>
                <w:rFonts w:eastAsiaTheme="minorEastAsia"/>
              </w:rPr>
              <w:t>,</w:t>
            </w:r>
            <w:r w:rsidRPr="00B279BA">
              <w:rPr>
                <w:rFonts w:eastAsiaTheme="minorEastAsia"/>
              </w:rPr>
              <w:t>1</w:t>
            </w:r>
          </w:p>
        </w:tc>
        <w:tc>
          <w:tcPr>
            <w:tcW w:w="992" w:type="dxa"/>
            <w:vAlign w:val="bottom"/>
          </w:tcPr>
          <w:p w14:paraId="155CC30D" w14:textId="6297E935" w:rsidR="00C22A3A" w:rsidRPr="00D67AA2" w:rsidRDefault="00C22A3A" w:rsidP="00C22A3A">
            <w:pPr>
              <w:pStyle w:val="Tabletext"/>
              <w:jc w:val="center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22</w:t>
            </w:r>
            <w:r w:rsidRPr="00B279BA">
              <w:rPr>
                <w:rFonts w:eastAsiaTheme="minorEastAsia"/>
              </w:rPr>
              <w:t>%</w:t>
            </w:r>
          </w:p>
        </w:tc>
      </w:tr>
      <w:tr w:rsidR="00C22A3A" w:rsidRPr="008B7E5F" w14:paraId="39A1A0E6" w14:textId="77777777" w:rsidTr="00E207FF">
        <w:trPr>
          <w:trHeight w:val="54"/>
          <w:jc w:val="center"/>
        </w:trPr>
        <w:tc>
          <w:tcPr>
            <w:tcW w:w="1156" w:type="dxa"/>
            <w:vAlign w:val="bottom"/>
            <w:hideMark/>
          </w:tcPr>
          <w:p w14:paraId="5C3B4F29" w14:textId="77777777" w:rsidR="00C22A3A" w:rsidRPr="00A378B1" w:rsidRDefault="00C22A3A" w:rsidP="00C22A3A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ЕВР</w:t>
            </w:r>
          </w:p>
        </w:tc>
        <w:tc>
          <w:tcPr>
            <w:tcW w:w="838" w:type="dxa"/>
            <w:shd w:val="clear" w:color="auto" w:fill="auto"/>
            <w:vAlign w:val="bottom"/>
          </w:tcPr>
          <w:p w14:paraId="6A58CB5B" w14:textId="78DA8478" w:rsidR="00C22A3A" w:rsidRPr="00D67AA2" w:rsidRDefault="00C22A3A" w:rsidP="00C22A3A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1007" w:type="dxa"/>
            <w:vAlign w:val="bottom"/>
          </w:tcPr>
          <w:p w14:paraId="6B7E5EBD" w14:textId="01F34FFD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460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4</w:t>
            </w:r>
          </w:p>
        </w:tc>
        <w:tc>
          <w:tcPr>
            <w:tcW w:w="1049" w:type="dxa"/>
            <w:vAlign w:val="bottom"/>
          </w:tcPr>
          <w:p w14:paraId="6A055C16" w14:textId="77777777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</w:p>
        </w:tc>
        <w:tc>
          <w:tcPr>
            <w:tcW w:w="1052" w:type="dxa"/>
            <w:vAlign w:val="bottom"/>
          </w:tcPr>
          <w:p w14:paraId="6AAAB9B1" w14:textId="5220E6AA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216</w:t>
            </w:r>
            <w:r>
              <w:rPr>
                <w:rFonts w:eastAsiaTheme="minorEastAsia"/>
              </w:rPr>
              <w:t>,</w:t>
            </w:r>
            <w:r w:rsidRPr="00B279BA">
              <w:rPr>
                <w:rFonts w:eastAsiaTheme="minorEastAsia"/>
              </w:rPr>
              <w:t>3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32A2A540" w14:textId="015CEFEF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3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676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7</w:t>
            </w:r>
          </w:p>
        </w:tc>
        <w:tc>
          <w:tcPr>
            <w:tcW w:w="980" w:type="dxa"/>
            <w:vAlign w:val="bottom"/>
          </w:tcPr>
          <w:p w14:paraId="24AA5BF2" w14:textId="09191F47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710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992" w:type="dxa"/>
            <w:vAlign w:val="bottom"/>
          </w:tcPr>
          <w:p w14:paraId="369628A2" w14:textId="53BD7C12" w:rsidR="00C22A3A" w:rsidRPr="00D67AA2" w:rsidRDefault="00C22A3A" w:rsidP="00C22A3A">
            <w:pPr>
              <w:pStyle w:val="Tabletext"/>
              <w:jc w:val="center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19</w:t>
            </w:r>
            <w:r w:rsidRPr="00B279BA">
              <w:rPr>
                <w:rFonts w:eastAsiaTheme="minorEastAsia"/>
              </w:rPr>
              <w:t>%</w:t>
            </w:r>
          </w:p>
        </w:tc>
      </w:tr>
      <w:tr w:rsidR="00C22A3A" w:rsidRPr="008B7E5F" w14:paraId="6A46B9A8" w14:textId="77777777" w:rsidTr="00E207FF">
        <w:trPr>
          <w:trHeight w:val="54"/>
          <w:jc w:val="center"/>
        </w:trPr>
        <w:tc>
          <w:tcPr>
            <w:tcW w:w="1156" w:type="dxa"/>
            <w:shd w:val="clear" w:color="auto" w:fill="auto"/>
            <w:hideMark/>
          </w:tcPr>
          <w:p w14:paraId="08A66D6D" w14:textId="77777777" w:rsidR="00C22A3A" w:rsidRPr="00A378B1" w:rsidRDefault="00C22A3A" w:rsidP="00C22A3A">
            <w:pPr>
              <w:pStyle w:val="Tabletext"/>
              <w:rPr>
                <w:sz w:val="18"/>
                <w:szCs w:val="18"/>
              </w:rPr>
            </w:pPr>
            <w:r w:rsidRPr="00A378B1">
              <w:rPr>
                <w:sz w:val="18"/>
                <w:szCs w:val="18"/>
              </w:rPr>
              <w:t>Несколько</w:t>
            </w:r>
            <w:r>
              <w:rPr>
                <w:sz w:val="18"/>
                <w:szCs w:val="18"/>
              </w:rPr>
              <w:t xml:space="preserve"> регионов</w:t>
            </w:r>
          </w:p>
        </w:tc>
        <w:tc>
          <w:tcPr>
            <w:tcW w:w="838" w:type="dxa"/>
            <w:shd w:val="clear" w:color="auto" w:fill="auto"/>
            <w:noWrap/>
            <w:vAlign w:val="bottom"/>
          </w:tcPr>
          <w:p w14:paraId="73C0A837" w14:textId="274DA38B" w:rsidR="00C22A3A" w:rsidRPr="00D67AA2" w:rsidRDefault="00C22A3A" w:rsidP="00C22A3A">
            <w:pPr>
              <w:pStyle w:val="Tabletext"/>
              <w:jc w:val="center"/>
              <w:rPr>
                <w:rFonts w:eastAsiaTheme="minorEastAsia"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31</w:t>
            </w:r>
          </w:p>
        </w:tc>
        <w:tc>
          <w:tcPr>
            <w:tcW w:w="1007" w:type="dxa"/>
            <w:shd w:val="clear" w:color="auto" w:fill="auto"/>
            <w:vAlign w:val="bottom"/>
          </w:tcPr>
          <w:p w14:paraId="410239F8" w14:textId="49492092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16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188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6</w:t>
            </w:r>
          </w:p>
        </w:tc>
        <w:tc>
          <w:tcPr>
            <w:tcW w:w="1049" w:type="dxa"/>
            <w:shd w:val="clear" w:color="auto" w:fill="auto"/>
            <w:vAlign w:val="bottom"/>
          </w:tcPr>
          <w:p w14:paraId="0D76BFD4" w14:textId="210421F1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3</w:t>
            </w:r>
            <w:r>
              <w:rPr>
                <w:rFonts w:eastAsiaTheme="minorEastAsia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759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2</w:t>
            </w:r>
          </w:p>
        </w:tc>
        <w:tc>
          <w:tcPr>
            <w:tcW w:w="1052" w:type="dxa"/>
            <w:shd w:val="clear" w:color="auto" w:fill="auto"/>
            <w:vAlign w:val="bottom"/>
          </w:tcPr>
          <w:p w14:paraId="1FA9EE9A" w14:textId="76017750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B279BA">
              <w:rPr>
                <w:rFonts w:eastAsiaTheme="minorEastAsia"/>
              </w:rPr>
              <w:t>2</w:t>
            </w:r>
            <w:r>
              <w:rPr>
                <w:rFonts w:eastAsiaTheme="minorEastAsia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585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0</w:t>
            </w:r>
          </w:p>
        </w:tc>
        <w:tc>
          <w:tcPr>
            <w:tcW w:w="1148" w:type="dxa"/>
            <w:shd w:val="clear" w:color="auto" w:fill="DBE5F1" w:themeFill="accent1" w:themeFillTint="33"/>
            <w:vAlign w:val="bottom"/>
          </w:tcPr>
          <w:p w14:paraId="55334177" w14:textId="4D06CC06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25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312</w:t>
            </w:r>
            <w:r>
              <w:rPr>
                <w:rFonts w:eastAsiaTheme="minorEastAsia"/>
              </w:rPr>
              <w:t>,</w:t>
            </w:r>
            <w:r w:rsidRPr="00B279BA">
              <w:rPr>
                <w:rFonts w:eastAsiaTheme="minorEastAsia"/>
              </w:rPr>
              <w:t>6</w:t>
            </w:r>
          </w:p>
        </w:tc>
        <w:tc>
          <w:tcPr>
            <w:tcW w:w="980" w:type="dxa"/>
            <w:shd w:val="clear" w:color="auto" w:fill="auto"/>
            <w:vAlign w:val="bottom"/>
          </w:tcPr>
          <w:p w14:paraId="2A6362ED" w14:textId="4ECAC17C" w:rsidR="00C22A3A" w:rsidRPr="00D67AA2" w:rsidRDefault="00C22A3A" w:rsidP="00C22A3A">
            <w:pPr>
              <w:pStyle w:val="Tabletext"/>
              <w:jc w:val="right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8</w:t>
            </w:r>
            <w:r>
              <w:rPr>
                <w:rFonts w:eastAsiaTheme="minorEastAsia" w:cstheme="minorHAnsi"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lang w:eastAsia="zh-CN"/>
              </w:rPr>
              <w:t>131</w:t>
            </w:r>
            <w:r>
              <w:rPr>
                <w:rFonts w:eastAsiaTheme="minorEastAsia" w:cstheme="minorHAnsi"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lang w:eastAsia="zh-CN"/>
              </w:rPr>
              <w:t>3</w:t>
            </w:r>
          </w:p>
        </w:tc>
        <w:tc>
          <w:tcPr>
            <w:tcW w:w="992" w:type="dxa"/>
            <w:shd w:val="clear" w:color="auto" w:fill="auto"/>
            <w:vAlign w:val="bottom"/>
          </w:tcPr>
          <w:p w14:paraId="41D6D8C4" w14:textId="27AE90BC" w:rsidR="00C22A3A" w:rsidRPr="00D67AA2" w:rsidRDefault="00C22A3A" w:rsidP="00C22A3A">
            <w:pPr>
              <w:pStyle w:val="Tabletext"/>
              <w:jc w:val="center"/>
              <w:rPr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lang w:eastAsia="zh-CN"/>
              </w:rPr>
              <w:t>32</w:t>
            </w:r>
            <w:r w:rsidRPr="00B279BA">
              <w:rPr>
                <w:rFonts w:eastAsiaTheme="minorEastAsia"/>
              </w:rPr>
              <w:t>%</w:t>
            </w:r>
          </w:p>
        </w:tc>
      </w:tr>
      <w:tr w:rsidR="00C22A3A" w:rsidRPr="008B7E5F" w14:paraId="018379ED" w14:textId="77777777" w:rsidTr="00E207FF">
        <w:trPr>
          <w:trHeight w:val="54"/>
          <w:jc w:val="center"/>
        </w:trPr>
        <w:tc>
          <w:tcPr>
            <w:tcW w:w="1156" w:type="dxa"/>
            <w:shd w:val="clear" w:color="auto" w:fill="DBE5F1" w:themeFill="accent1" w:themeFillTint="33"/>
            <w:noWrap/>
            <w:vAlign w:val="center"/>
          </w:tcPr>
          <w:p w14:paraId="364D55CC" w14:textId="77777777" w:rsidR="00C22A3A" w:rsidRPr="00D67AA2" w:rsidRDefault="00C22A3A" w:rsidP="00C22A3A">
            <w:pPr>
              <w:pStyle w:val="Tabletex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838" w:type="dxa"/>
            <w:shd w:val="clear" w:color="auto" w:fill="DBE5F1" w:themeFill="accent1" w:themeFillTint="33"/>
            <w:noWrap/>
            <w:vAlign w:val="bottom"/>
          </w:tcPr>
          <w:p w14:paraId="4FE13EF0" w14:textId="6EF341E7" w:rsidR="00C22A3A" w:rsidRPr="00D67AA2" w:rsidRDefault="00C22A3A" w:rsidP="00C22A3A">
            <w:pPr>
              <w:pStyle w:val="Tabletext"/>
              <w:jc w:val="center"/>
              <w:rPr>
                <w:b/>
                <w:bCs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77</w:t>
            </w:r>
          </w:p>
        </w:tc>
        <w:tc>
          <w:tcPr>
            <w:tcW w:w="1007" w:type="dxa"/>
            <w:shd w:val="clear" w:color="auto" w:fill="DBE5F1" w:themeFill="accent1" w:themeFillTint="33"/>
            <w:noWrap/>
            <w:vAlign w:val="bottom"/>
          </w:tcPr>
          <w:p w14:paraId="0F385023" w14:textId="33D5054E" w:rsidR="00C22A3A" w:rsidRPr="00D67AA2" w:rsidRDefault="00C22A3A" w:rsidP="00C22A3A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80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278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3</w:t>
            </w:r>
          </w:p>
        </w:tc>
        <w:tc>
          <w:tcPr>
            <w:tcW w:w="1049" w:type="dxa"/>
            <w:shd w:val="clear" w:color="auto" w:fill="DBE5F1" w:themeFill="accent1" w:themeFillTint="33"/>
            <w:noWrap/>
            <w:vAlign w:val="bottom"/>
          </w:tcPr>
          <w:p w14:paraId="7E67051C" w14:textId="3F6B57BA" w:rsidR="00C22A3A" w:rsidRPr="00D67AA2" w:rsidRDefault="00C22A3A" w:rsidP="00C22A3A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520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9</w:t>
            </w:r>
          </w:p>
        </w:tc>
        <w:tc>
          <w:tcPr>
            <w:tcW w:w="1052" w:type="dxa"/>
            <w:shd w:val="clear" w:color="auto" w:fill="DBE5F1" w:themeFill="accent1" w:themeFillTint="33"/>
            <w:noWrap/>
            <w:vAlign w:val="bottom"/>
          </w:tcPr>
          <w:p w14:paraId="513BFE6E" w14:textId="207F2F76" w:rsidR="00C22A3A" w:rsidRPr="00D67AA2" w:rsidRDefault="00C22A3A" w:rsidP="00C22A3A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B279BA">
              <w:rPr>
                <w:rFonts w:eastAsiaTheme="minorEastAsia"/>
                <w:b/>
              </w:rPr>
              <w:t>4</w:t>
            </w:r>
            <w:r>
              <w:rPr>
                <w:rFonts w:eastAsiaTheme="minorEastAsia"/>
                <w:b/>
              </w:rPr>
              <w:t xml:space="preserve"> 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508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</w:p>
        </w:tc>
        <w:tc>
          <w:tcPr>
            <w:tcW w:w="1148" w:type="dxa"/>
            <w:shd w:val="clear" w:color="auto" w:fill="DBE5F1" w:themeFill="accent1" w:themeFillTint="33"/>
            <w:noWrap/>
            <w:vAlign w:val="bottom"/>
          </w:tcPr>
          <w:p w14:paraId="059C9429" w14:textId="23F2C522" w:rsidR="00C22A3A" w:rsidRPr="00D67AA2" w:rsidRDefault="00C22A3A" w:rsidP="00C22A3A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93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892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B279BA">
              <w:rPr>
                <w:rFonts w:eastAsiaTheme="minorEastAsia"/>
                <w:b/>
              </w:rPr>
              <w:t>5</w:t>
            </w:r>
          </w:p>
        </w:tc>
        <w:tc>
          <w:tcPr>
            <w:tcW w:w="980" w:type="dxa"/>
            <w:shd w:val="clear" w:color="auto" w:fill="DBE5F1" w:themeFill="accent1" w:themeFillTint="33"/>
            <w:noWrap/>
            <w:vAlign w:val="bottom"/>
          </w:tcPr>
          <w:p w14:paraId="62ECA655" w14:textId="2BAF9029" w:rsidR="00C22A3A" w:rsidRPr="00D67AA2" w:rsidRDefault="00C22A3A" w:rsidP="00C22A3A">
            <w:pPr>
              <w:pStyle w:val="Tabletext"/>
              <w:jc w:val="right"/>
              <w:rPr>
                <w:b/>
                <w:bCs/>
                <w:sz w:val="18"/>
                <w:szCs w:val="18"/>
              </w:rPr>
            </w:pP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25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 xml:space="preserve"> 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947</w:t>
            </w:r>
            <w:r>
              <w:rPr>
                <w:rFonts w:eastAsiaTheme="minorEastAsia" w:cstheme="minorHAnsi"/>
                <w:b/>
                <w:bCs/>
                <w:lang w:eastAsia="zh-CN"/>
              </w:rPr>
              <w:t>,</w:t>
            </w:r>
            <w:r w:rsidRPr="005533AF">
              <w:rPr>
                <w:rFonts w:eastAsiaTheme="minorEastAsia" w:cstheme="minorHAnsi"/>
                <w:b/>
                <w:bCs/>
                <w:lang w:eastAsia="zh-CN"/>
              </w:rPr>
              <w:t>5</w:t>
            </w:r>
          </w:p>
        </w:tc>
        <w:tc>
          <w:tcPr>
            <w:tcW w:w="992" w:type="dxa"/>
            <w:shd w:val="clear" w:color="auto" w:fill="DBE5F1" w:themeFill="accent1" w:themeFillTint="33"/>
            <w:noWrap/>
            <w:vAlign w:val="bottom"/>
          </w:tcPr>
          <w:p w14:paraId="2BB608FC" w14:textId="3583F49D" w:rsidR="00C22A3A" w:rsidRPr="00D67AA2" w:rsidRDefault="00C22A3A" w:rsidP="00C22A3A">
            <w:pPr>
              <w:pStyle w:val="Tabletext"/>
              <w:jc w:val="center"/>
              <w:rPr>
                <w:sz w:val="18"/>
                <w:szCs w:val="18"/>
              </w:rPr>
            </w:pPr>
          </w:p>
        </w:tc>
      </w:tr>
    </w:tbl>
    <w:p w14:paraId="2BE92C6D" w14:textId="723C7A56" w:rsidR="00063850" w:rsidRPr="006E5AF4" w:rsidRDefault="00063850" w:rsidP="00161543">
      <w:pPr>
        <w:pStyle w:val="Heading2"/>
        <w:rPr>
          <w:u w:val="single"/>
        </w:rPr>
      </w:pPr>
      <w:r w:rsidRPr="008349EA">
        <w:t>2.2</w:t>
      </w:r>
      <w:r w:rsidRPr="008349EA">
        <w:tab/>
      </w:r>
      <w:bookmarkStart w:id="14" w:name="lt_pId107"/>
      <w:r w:rsidR="006E5AF4" w:rsidRPr="006E5AF4">
        <w:t>Проекты, подписанные во втором и третьем кварталах</w:t>
      </w:r>
      <w:r w:rsidR="00C22A3A" w:rsidRPr="006E5AF4">
        <w:t xml:space="preserve"> 2021</w:t>
      </w:r>
      <w:bookmarkEnd w:id="14"/>
      <w:r w:rsidR="006E5AF4" w:rsidRPr="006E5AF4">
        <w:t> года</w:t>
      </w:r>
    </w:p>
    <w:p w14:paraId="28A6D025" w14:textId="1C4E0F94" w:rsidR="00C22A3A" w:rsidRPr="008349EA" w:rsidRDefault="006E5AF4" w:rsidP="00C22A3A">
      <w:pPr>
        <w:spacing w:after="120"/>
        <w:rPr>
          <w:rFonts w:cstheme="minorHAnsi"/>
        </w:rPr>
      </w:pPr>
      <w:bookmarkStart w:id="15" w:name="lt_pId108"/>
      <w:r>
        <w:rPr>
          <w:rFonts w:cstheme="minorHAnsi"/>
        </w:rPr>
        <w:t>Во втором и третьем кварталах 2021 года БРЭ подписало восемь новых проектов</w:t>
      </w:r>
      <w:r w:rsidR="004B4067">
        <w:rPr>
          <w:rFonts w:cstheme="minorHAnsi"/>
        </w:rPr>
        <w:t>, оцениваемы</w:t>
      </w:r>
      <w:r w:rsidR="008349EA">
        <w:rPr>
          <w:rFonts w:cstheme="minorHAnsi"/>
        </w:rPr>
        <w:t>х</w:t>
      </w:r>
      <w:r w:rsidR="004B4067">
        <w:rPr>
          <w:rFonts w:cstheme="minorHAnsi"/>
        </w:rPr>
        <w:t xml:space="preserve"> примерно в</w:t>
      </w:r>
      <w:r w:rsidR="00C22A3A" w:rsidRPr="008349EA">
        <w:rPr>
          <w:rFonts w:cstheme="minorHAnsi"/>
        </w:rPr>
        <w:t xml:space="preserve"> 5</w:t>
      </w:r>
      <w:r>
        <w:rPr>
          <w:rFonts w:cstheme="minorHAnsi"/>
        </w:rPr>
        <w:t>,</w:t>
      </w:r>
      <w:r w:rsidR="00C22A3A" w:rsidRPr="008349EA">
        <w:rPr>
          <w:rFonts w:cstheme="minorHAnsi"/>
        </w:rPr>
        <w:t>0</w:t>
      </w:r>
      <w:r>
        <w:rPr>
          <w:rFonts w:cstheme="minorHAnsi"/>
        </w:rPr>
        <w:t> млн. швейцарских франков</w:t>
      </w:r>
      <w:r w:rsidR="00C22A3A" w:rsidRPr="008349EA">
        <w:rPr>
          <w:rFonts w:cstheme="minorHAnsi"/>
        </w:rPr>
        <w:t>.</w:t>
      </w:r>
      <w:bookmarkEnd w:id="15"/>
      <w:r w:rsidR="00C22A3A" w:rsidRPr="008349EA">
        <w:rPr>
          <w:rFonts w:cstheme="minorHAnsi"/>
        </w:rPr>
        <w:t xml:space="preserve"> </w:t>
      </w:r>
      <w:bookmarkStart w:id="16" w:name="lt_pId109"/>
      <w:r w:rsidR="00E609EA">
        <w:rPr>
          <w:rFonts w:cstheme="minorHAnsi"/>
        </w:rPr>
        <w:t>Эти новые проекты охватывают несколько регионов или имеют региональный или национальный характер, и в них участвуют традиционные партнеры МСЭ, такие как ЮНИСЕФ и Европейская комиссия</w:t>
      </w:r>
      <w:r w:rsidR="00A64908">
        <w:rPr>
          <w:rFonts w:cstheme="minorHAnsi"/>
        </w:rPr>
        <w:t xml:space="preserve">, Государства – Члены МСЭ, например Австралия, Колумбия, Тринидад и Тобаго и Сьерра-Леоне, а также Члены Секторов МСЭ, такие как Карибский союз электросвязи (КСЭ) и </w:t>
      </w:r>
      <w:r w:rsidR="00C22A3A" w:rsidRPr="00C22A3A">
        <w:rPr>
          <w:rFonts w:cstheme="minorHAnsi"/>
          <w:lang w:val="en-GB"/>
        </w:rPr>
        <w:t>Microsoft</w:t>
      </w:r>
      <w:r w:rsidR="00C22A3A" w:rsidRPr="008349EA">
        <w:rPr>
          <w:rFonts w:cstheme="minorHAnsi"/>
        </w:rPr>
        <w:t>.</w:t>
      </w:r>
      <w:bookmarkEnd w:id="16"/>
      <w:r w:rsidR="00C22A3A" w:rsidRPr="008349EA">
        <w:rPr>
          <w:rFonts w:cstheme="minorHAnsi"/>
        </w:rPr>
        <w:t xml:space="preserve"> </w:t>
      </w:r>
    </w:p>
    <w:p w14:paraId="228BE04D" w14:textId="23AF5481" w:rsidR="00C22A3A" w:rsidRPr="008349EA" w:rsidRDefault="00921C6F" w:rsidP="00C22A3A">
      <w:pPr>
        <w:keepNext/>
        <w:spacing w:after="120"/>
        <w:rPr>
          <w:rFonts w:cstheme="minorHAnsi"/>
        </w:rPr>
      </w:pPr>
      <w:bookmarkStart w:id="17" w:name="lt_pId110"/>
      <w:r>
        <w:rPr>
          <w:rFonts w:cstheme="minorHAnsi"/>
        </w:rPr>
        <w:t>Наряду с этим ведутся переговоры е</w:t>
      </w:r>
      <w:r w:rsidR="0064798B">
        <w:rPr>
          <w:rFonts w:cstheme="minorHAnsi"/>
        </w:rPr>
        <w:t>щ</w:t>
      </w:r>
      <w:r>
        <w:rPr>
          <w:rFonts w:cstheme="minorHAnsi"/>
        </w:rPr>
        <w:t>е по 13 проектам, которые, как ожидается, будут подписаны в остающиеся месяцы 2021 года, на сумму 4,9 млн. швейцарских франков</w:t>
      </w:r>
      <w:r w:rsidR="00C22A3A" w:rsidRPr="008349EA">
        <w:rPr>
          <w:rFonts w:cstheme="minorHAnsi"/>
        </w:rPr>
        <w:t>.</w:t>
      </w:r>
      <w:bookmarkEnd w:id="17"/>
      <w:r w:rsidR="00C22A3A" w:rsidRPr="008349EA">
        <w:rPr>
          <w:rFonts w:cstheme="minorHAnsi"/>
        </w:rPr>
        <w:t xml:space="preserve"> </w:t>
      </w:r>
      <w:bookmarkStart w:id="18" w:name="lt_pId111"/>
      <w:r w:rsidR="0064798B">
        <w:rPr>
          <w:rFonts w:cstheme="minorHAnsi"/>
        </w:rPr>
        <w:t>В этот период подписаны следующие проекты</w:t>
      </w:r>
      <w:r w:rsidR="00C22A3A" w:rsidRPr="008349EA">
        <w:rPr>
          <w:rFonts w:cstheme="minorHAnsi"/>
        </w:rPr>
        <w:t>:</w:t>
      </w:r>
      <w:bookmarkEnd w:id="18"/>
    </w:p>
    <w:p w14:paraId="6B28C109" w14:textId="24A21625" w:rsidR="00C22A3A" w:rsidRPr="008349EA" w:rsidRDefault="00C22A3A" w:rsidP="00C22A3A">
      <w:pPr>
        <w:pStyle w:val="enumlev1"/>
      </w:pPr>
      <w:bookmarkStart w:id="19" w:name="lt_pId112"/>
      <w:r w:rsidRPr="008349EA">
        <w:t>–</w:t>
      </w:r>
      <w:r w:rsidRPr="008349EA">
        <w:tab/>
      </w:r>
      <w:r w:rsidR="004B4067">
        <w:t>"</w:t>
      </w:r>
      <w:r w:rsidR="0064798B">
        <w:t xml:space="preserve">Комплект материалов </w:t>
      </w:r>
      <w:r w:rsidR="0064798B">
        <w:rPr>
          <w:rFonts w:cs="Calibri"/>
        </w:rPr>
        <w:t>«Умные моря» (</w:t>
      </w:r>
      <w:r w:rsidR="0064798B">
        <w:rPr>
          <w:rFonts w:cs="Calibri"/>
          <w:lang w:val="en-US"/>
        </w:rPr>
        <w:t>SST</w:t>
      </w:r>
      <w:r w:rsidR="0064798B" w:rsidRPr="008349EA">
        <w:rPr>
          <w:rFonts w:cs="Calibri"/>
        </w:rPr>
        <w:t>)</w:t>
      </w:r>
      <w:r w:rsidR="0064798B">
        <w:rPr>
          <w:rFonts w:cs="Calibri"/>
        </w:rPr>
        <w:t xml:space="preserve"> для способности восстановления после бедствий"</w:t>
      </w:r>
      <w:r w:rsidR="00193D68">
        <w:rPr>
          <w:rFonts w:cs="Calibri"/>
        </w:rPr>
        <w:t xml:space="preserve">, проект, подписанный с Управлением электросвязи Тринидада и Тобаго </w:t>
      </w:r>
      <w:r w:rsidRPr="008349EA">
        <w:t>(</w:t>
      </w:r>
      <w:r w:rsidRPr="00C22A3A">
        <w:rPr>
          <w:lang w:val="en-GB"/>
        </w:rPr>
        <w:t>TATT</w:t>
      </w:r>
      <w:r w:rsidRPr="008349EA">
        <w:t xml:space="preserve">) </w:t>
      </w:r>
      <w:r w:rsidR="00193D68">
        <w:t>и Карибским союзом электросвязи (КСЭ</w:t>
      </w:r>
      <w:r w:rsidRPr="008349EA">
        <w:t>);</w:t>
      </w:r>
      <w:bookmarkEnd w:id="19"/>
    </w:p>
    <w:p w14:paraId="15827906" w14:textId="684AF869" w:rsidR="00C22A3A" w:rsidRPr="008349EA" w:rsidRDefault="00C22A3A" w:rsidP="00C22A3A">
      <w:pPr>
        <w:pStyle w:val="enumlev1"/>
      </w:pPr>
      <w:bookmarkStart w:id="20" w:name="lt_pId113"/>
      <w:r w:rsidRPr="008349EA">
        <w:t>–</w:t>
      </w:r>
      <w:r w:rsidRPr="008349EA">
        <w:tab/>
      </w:r>
      <w:r w:rsidR="00193D68">
        <w:t xml:space="preserve">проект "Совершенствование разработки стандартов и принципов для важнейших технологий </w:t>
      </w:r>
      <w:r w:rsidR="00D934D3">
        <w:t>в Юго-Восточной Азии"</w:t>
      </w:r>
      <w:r w:rsidRPr="008349EA">
        <w:t xml:space="preserve">, </w:t>
      </w:r>
      <w:r w:rsidR="00D934D3">
        <w:t xml:space="preserve">новая инициатива, подписанная с </w:t>
      </w:r>
      <w:r w:rsidR="00835DF3">
        <w:t xml:space="preserve">Министерством иностранных дел и торговли </w:t>
      </w:r>
      <w:r w:rsidRPr="008349EA">
        <w:t>(</w:t>
      </w:r>
      <w:r w:rsidRPr="00C22A3A">
        <w:rPr>
          <w:lang w:val="en-GB"/>
        </w:rPr>
        <w:t>DFAT</w:t>
      </w:r>
      <w:r w:rsidRPr="008349EA">
        <w:t xml:space="preserve">) </w:t>
      </w:r>
      <w:r w:rsidR="00835DF3">
        <w:t>Австралии</w:t>
      </w:r>
      <w:r w:rsidRPr="008349EA">
        <w:t>;</w:t>
      </w:r>
      <w:bookmarkEnd w:id="20"/>
    </w:p>
    <w:p w14:paraId="49698D4E" w14:textId="0B4D2356" w:rsidR="00C22A3A" w:rsidRPr="008349EA" w:rsidRDefault="00C22A3A" w:rsidP="00C22A3A">
      <w:pPr>
        <w:pStyle w:val="enumlev1"/>
      </w:pPr>
      <w:bookmarkStart w:id="21" w:name="lt_pId114"/>
      <w:r w:rsidRPr="008349EA">
        <w:lastRenderedPageBreak/>
        <w:t>–</w:t>
      </w:r>
      <w:r w:rsidRPr="008349EA">
        <w:tab/>
      </w:r>
      <w:r w:rsidR="002A2EF0">
        <w:t>проект "Сравнительный анализ И</w:t>
      </w:r>
      <w:r w:rsidR="00290388">
        <w:t>КТ</w:t>
      </w:r>
      <w:r w:rsidR="002A2EF0">
        <w:t xml:space="preserve"> в Центральной Африке</w:t>
      </w:r>
      <w:r w:rsidRPr="008349EA">
        <w:t xml:space="preserve">", </w:t>
      </w:r>
      <w:r w:rsidR="002A2EF0">
        <w:t>новая инициатива, финансируемая Европейским союзом и МСЭ через Фонд развития ИКТ</w:t>
      </w:r>
      <w:r w:rsidRPr="008349EA">
        <w:t>;</w:t>
      </w:r>
      <w:bookmarkEnd w:id="21"/>
    </w:p>
    <w:p w14:paraId="715ED707" w14:textId="5A1593A9" w:rsidR="00C22A3A" w:rsidRPr="008349EA" w:rsidRDefault="00C22A3A" w:rsidP="00C22A3A">
      <w:pPr>
        <w:pStyle w:val="enumlev1"/>
      </w:pPr>
      <w:bookmarkStart w:id="22" w:name="lt_pId115"/>
      <w:r w:rsidRPr="008349EA">
        <w:t>–</w:t>
      </w:r>
      <w:r w:rsidRPr="008349EA">
        <w:tab/>
      </w:r>
      <w:r w:rsidR="006459A3">
        <w:t>проект "Система моделирования затрат и ценообразования для Сьерра-Леоне", подписанный с Национальной комиссией электросвязи Сьерра-Леоне</w:t>
      </w:r>
      <w:r w:rsidRPr="008349EA">
        <w:t xml:space="preserve"> (</w:t>
      </w:r>
      <w:r w:rsidRPr="00C22A3A">
        <w:rPr>
          <w:lang w:val="en-GB"/>
        </w:rPr>
        <w:t>NATCOM</w:t>
      </w:r>
      <w:r w:rsidRPr="008349EA">
        <w:t>);</w:t>
      </w:r>
      <w:bookmarkEnd w:id="22"/>
    </w:p>
    <w:p w14:paraId="5E6C24BF" w14:textId="0D9C18A3" w:rsidR="00C22A3A" w:rsidRPr="005533AF" w:rsidRDefault="00C22A3A" w:rsidP="00C22A3A">
      <w:pPr>
        <w:pStyle w:val="enumlev1"/>
        <w:rPr>
          <w:lang w:val="es-ES"/>
        </w:rPr>
      </w:pPr>
      <w:bookmarkStart w:id="23" w:name="lt_pId116"/>
      <w:r w:rsidRPr="008349EA">
        <w:t>–</w:t>
      </w:r>
      <w:r w:rsidRPr="008349EA">
        <w:tab/>
      </w:r>
      <w:r w:rsidR="002D54A0">
        <w:t>проект "Развитие экономических и технических исследований, позволяющих Национальному органу управления использованием спектра</w:t>
      </w:r>
      <w:r w:rsidR="00E804AE">
        <w:t xml:space="preserve"> предоставлять рекомендации Министерству ИКТ по определению и принятию национальной политики по службе радиосвязи", подписанный с Министерством информационных технологий и связи Колумбии</w:t>
      </w:r>
      <w:r w:rsidRPr="005533AF">
        <w:rPr>
          <w:lang w:val="es-ES"/>
        </w:rPr>
        <w:t>;</w:t>
      </w:r>
      <w:bookmarkEnd w:id="23"/>
    </w:p>
    <w:p w14:paraId="75CAA14E" w14:textId="749BFDE2" w:rsidR="00C22A3A" w:rsidRPr="008349EA" w:rsidRDefault="00C22A3A" w:rsidP="00C22A3A">
      <w:pPr>
        <w:pStyle w:val="enumlev1"/>
      </w:pPr>
      <w:bookmarkStart w:id="24" w:name="lt_pId117"/>
      <w:r w:rsidRPr="008349EA">
        <w:t>–</w:t>
      </w:r>
      <w:r w:rsidRPr="008349EA">
        <w:tab/>
      </w:r>
      <w:r w:rsidR="00E804AE">
        <w:t xml:space="preserve">второй этап "Проекта </w:t>
      </w:r>
      <w:r w:rsidRPr="00C22A3A">
        <w:rPr>
          <w:lang w:val="en-GB"/>
        </w:rPr>
        <w:t>GIGA</w:t>
      </w:r>
      <w:r w:rsidRPr="008349EA">
        <w:t xml:space="preserve">", </w:t>
      </w:r>
      <w:r w:rsidR="00E804AE">
        <w:t>подписанный с ЮНИСЕФ</w:t>
      </w:r>
      <w:r w:rsidRPr="008349EA">
        <w:t>;</w:t>
      </w:r>
      <w:bookmarkEnd w:id="24"/>
    </w:p>
    <w:p w14:paraId="799B1914" w14:textId="2F199DC7" w:rsidR="00C22A3A" w:rsidRPr="008349EA" w:rsidRDefault="00C22A3A" w:rsidP="00C22A3A">
      <w:pPr>
        <w:pStyle w:val="enumlev1"/>
      </w:pPr>
      <w:bookmarkStart w:id="25" w:name="lt_pId118"/>
      <w:r w:rsidRPr="008349EA">
        <w:t>–</w:t>
      </w:r>
      <w:r w:rsidRPr="008349EA">
        <w:tab/>
      </w:r>
      <w:r w:rsidR="00476241">
        <w:t>проект "Ускорение цифровой трансформации Африки благодаря возможности установления соединений</w:t>
      </w:r>
      <w:r w:rsidR="00290388">
        <w:t>"</w:t>
      </w:r>
      <w:r w:rsidR="00476241">
        <w:t xml:space="preserve">, подписанный с </w:t>
      </w:r>
      <w:r w:rsidRPr="00C22A3A">
        <w:rPr>
          <w:lang w:val="en-GB"/>
        </w:rPr>
        <w:t>Microsoft</w:t>
      </w:r>
      <w:r w:rsidRPr="008349EA">
        <w:t>;</w:t>
      </w:r>
      <w:bookmarkEnd w:id="25"/>
    </w:p>
    <w:p w14:paraId="4E1E1C43" w14:textId="744D3251" w:rsidR="00C22A3A" w:rsidRPr="008349EA" w:rsidRDefault="00C22A3A" w:rsidP="00C22A3A">
      <w:pPr>
        <w:pStyle w:val="enumlev1"/>
      </w:pPr>
      <w:bookmarkStart w:id="26" w:name="lt_pId119"/>
      <w:r w:rsidRPr="008349EA">
        <w:t>–</w:t>
      </w:r>
      <w:r w:rsidRPr="008349EA">
        <w:tab/>
      </w:r>
      <w:r w:rsidR="00476241">
        <w:t xml:space="preserve">проект "Содействие благоприятной политике и регулированию для НРС", подписанный с </w:t>
      </w:r>
      <w:r w:rsidR="00476241">
        <w:rPr>
          <w:color w:val="000000"/>
        </w:rPr>
        <w:t xml:space="preserve">Министерством иностранных дел, по делам Содружества и развития </w:t>
      </w:r>
      <w:r w:rsidRPr="008349EA">
        <w:t>(</w:t>
      </w:r>
      <w:r w:rsidRPr="00C22A3A">
        <w:rPr>
          <w:lang w:val="en-GB"/>
        </w:rPr>
        <w:t>FCDO</w:t>
      </w:r>
      <w:r w:rsidRPr="008349EA">
        <w:t>)</w:t>
      </w:r>
      <w:r w:rsidR="00476241">
        <w:t xml:space="preserve"> Соединенного Королевства</w:t>
      </w:r>
      <w:r w:rsidRPr="008349EA">
        <w:t>.</w:t>
      </w:r>
      <w:bookmarkEnd w:id="26"/>
    </w:p>
    <w:p w14:paraId="72FC4F6C" w14:textId="521F953A" w:rsidR="00063850" w:rsidRPr="00AB23E1" w:rsidRDefault="00C22A3A" w:rsidP="00760BCC">
      <w:pPr>
        <w:spacing w:after="120"/>
      </w:pPr>
      <w:bookmarkStart w:id="27" w:name="lt_pId124"/>
      <w:r w:rsidRPr="00462E27">
        <w:t>Эти и другие проекты МСЭ показывают, что</w:t>
      </w:r>
      <w:r>
        <w:t xml:space="preserve"> через партнерства </w:t>
      </w:r>
      <w:r w:rsidRPr="00462E27">
        <w:t xml:space="preserve">МСЭ может оказывать более </w:t>
      </w:r>
      <w:r w:rsidRPr="007A2F77">
        <w:t>значи</w:t>
      </w:r>
      <w:r>
        <w:t>м</w:t>
      </w:r>
      <w:r w:rsidRPr="007A2F77">
        <w:t xml:space="preserve">ое </w:t>
      </w:r>
      <w:r w:rsidRPr="00841EEA">
        <w:t>воздействи</w:t>
      </w:r>
      <w:r>
        <w:t>е</w:t>
      </w:r>
      <w:r w:rsidRPr="00841EEA">
        <w:t xml:space="preserve"> </w:t>
      </w:r>
      <w:r w:rsidRPr="00462E27">
        <w:t xml:space="preserve">и </w:t>
      </w:r>
      <w:r>
        <w:t>поддерживать</w:t>
      </w:r>
      <w:r w:rsidRPr="00462E27">
        <w:t xml:space="preserve"> </w:t>
      </w:r>
      <w:r>
        <w:t>ч</w:t>
      </w:r>
      <w:r w:rsidRPr="00462E27">
        <w:t>лен</w:t>
      </w:r>
      <w:r>
        <w:t>ов</w:t>
      </w:r>
      <w:r w:rsidRPr="00462E27">
        <w:t xml:space="preserve"> МСЭ </w:t>
      </w:r>
      <w:r>
        <w:t>на пути</w:t>
      </w:r>
      <w:r w:rsidRPr="00462E27">
        <w:t xml:space="preserve"> цифрового развития.</w:t>
      </w:r>
      <w:bookmarkStart w:id="28" w:name="lt_pId126"/>
      <w:bookmarkEnd w:id="27"/>
      <w:r w:rsidR="00760BCC">
        <w:t xml:space="preserve"> </w:t>
      </w:r>
      <w:r w:rsidR="00063850" w:rsidRPr="008A1511">
        <w:t>Список</w:t>
      </w:r>
      <w:r w:rsidR="00063850" w:rsidRPr="00900177">
        <w:t xml:space="preserve"> </w:t>
      </w:r>
      <w:r w:rsidR="00476241">
        <w:t>соответствующих</w:t>
      </w:r>
      <w:r w:rsidR="00063850">
        <w:t xml:space="preserve"> соглашений </w:t>
      </w:r>
      <w:r w:rsidR="00476241">
        <w:t>размещен</w:t>
      </w:r>
      <w:r w:rsidR="00063850">
        <w:t xml:space="preserve"> </w:t>
      </w:r>
      <w:r w:rsidR="00063850" w:rsidRPr="008A1511">
        <w:t>в</w:t>
      </w:r>
      <w:r w:rsidR="00063850" w:rsidRPr="00900177">
        <w:t xml:space="preserve"> </w:t>
      </w:r>
      <w:hyperlink r:id="rId10" w:history="1">
        <w:r w:rsidR="00063850" w:rsidRPr="00C14BCA">
          <w:rPr>
            <w:rStyle w:val="Hyperlink"/>
          </w:rPr>
          <w:t>Документе INF/2</w:t>
        </w:r>
      </w:hyperlink>
      <w:r w:rsidR="00063850" w:rsidRPr="00900177">
        <w:t>.</w:t>
      </w:r>
      <w:bookmarkEnd w:id="28"/>
    </w:p>
    <w:p w14:paraId="547FD2C7" w14:textId="77777777" w:rsidR="00063850" w:rsidRPr="00AB23E1" w:rsidRDefault="00063850" w:rsidP="00063850">
      <w:pPr>
        <w:pStyle w:val="Heading1"/>
      </w:pPr>
      <w:r w:rsidRPr="00AB23E1">
        <w:t>3</w:t>
      </w:r>
      <w:r w:rsidRPr="00AB23E1">
        <w:tab/>
      </w:r>
      <w:r w:rsidRPr="00F6324F">
        <w:t>Источники</w:t>
      </w:r>
      <w:r w:rsidRPr="00AB23E1">
        <w:t xml:space="preserve"> </w:t>
      </w:r>
      <w:r w:rsidRPr="00F6324F">
        <w:t>финансирования</w:t>
      </w:r>
      <w:r w:rsidRPr="00AB23E1">
        <w:t xml:space="preserve"> </w:t>
      </w:r>
      <w:r>
        <w:t>выполняемых</w:t>
      </w:r>
      <w:r w:rsidRPr="00AB23E1">
        <w:t xml:space="preserve"> </w:t>
      </w:r>
      <w:r w:rsidRPr="00F6324F">
        <w:t>проектов</w:t>
      </w:r>
      <w:r w:rsidRPr="00AB23E1">
        <w:t xml:space="preserve"> </w:t>
      </w:r>
      <w:r>
        <w:t>МСЭ</w:t>
      </w:r>
    </w:p>
    <w:p w14:paraId="32835368" w14:textId="518ADFCA" w:rsidR="00063850" w:rsidRPr="00AB23E1" w:rsidRDefault="00063850" w:rsidP="00063850">
      <w:r w:rsidRPr="005E5203">
        <w:t xml:space="preserve">Проекты МСЭ финансируются в основном за счет внебюджетных ресурсов. </w:t>
      </w:r>
      <w:r w:rsidR="00C719E7">
        <w:t>Проекты БРЭ имеют</w:t>
      </w:r>
      <w:r w:rsidRPr="005E5203">
        <w:t xml:space="preserve"> четыре типа источников финансирования проектов: целевые фонды (FIT), Фонд развития информационно-коммуникационных технологий (ФРИКТ</w:t>
      </w:r>
      <w:r w:rsidRPr="00734508">
        <w:t>)</w:t>
      </w:r>
      <w:r w:rsidRPr="00D90831">
        <w:rPr>
          <w:rStyle w:val="FootnoteReference"/>
        </w:rPr>
        <w:footnoteReference w:id="2"/>
      </w:r>
      <w:r w:rsidRPr="00734508">
        <w:t xml:space="preserve">, </w:t>
      </w:r>
      <w:r w:rsidRPr="005E5203">
        <w:t>добровольные взносы и регулярный бюджет МСЭ</w:t>
      </w:r>
      <w:r>
        <w:t xml:space="preserve"> (ОП)</w:t>
      </w:r>
      <w:r w:rsidRPr="00D90831">
        <w:rPr>
          <w:rStyle w:val="FootnoteReference"/>
        </w:rPr>
        <w:footnoteReference w:id="3"/>
      </w:r>
      <w:r w:rsidRPr="005E5203">
        <w:t xml:space="preserve">. </w:t>
      </w:r>
      <w:r w:rsidRPr="00E3373D">
        <w:t xml:space="preserve">На основании текущего бюджета </w:t>
      </w:r>
      <w:r w:rsidRPr="00A378B1">
        <w:t>выполнения</w:t>
      </w:r>
      <w:r w:rsidRPr="00E3373D">
        <w:t xml:space="preserve"> проектов по состоянию на 1</w:t>
      </w:r>
      <w:r w:rsidR="00CE7169">
        <w:t>5</w:t>
      </w:r>
      <w:r w:rsidR="00C719E7">
        <w:t> </w:t>
      </w:r>
      <w:r w:rsidR="00CE7169">
        <w:t>сентября</w:t>
      </w:r>
      <w:r w:rsidRPr="00E3373D">
        <w:t xml:space="preserve"> 2021 года: около 90% финансирования выполняемых проектов приходится на целевые фонды, </w:t>
      </w:r>
      <w:r w:rsidR="00CE7169">
        <w:t>6</w:t>
      </w:r>
      <w:r w:rsidRPr="00E3373D">
        <w:t xml:space="preserve">% – на ФРИКТ и 5% – на </w:t>
      </w:r>
      <w:r w:rsidR="00C719E7">
        <w:t>регулярный бюджет (</w:t>
      </w:r>
      <w:r w:rsidR="00290388">
        <w:t>о</w:t>
      </w:r>
      <w:r w:rsidRPr="00E3373D">
        <w:t>перативный план</w:t>
      </w:r>
      <w:r w:rsidR="00C719E7">
        <w:t>)</w:t>
      </w:r>
      <w:r w:rsidRPr="00E3373D">
        <w:t xml:space="preserve"> БРЭ (см. </w:t>
      </w:r>
      <w:r>
        <w:t>Р</w:t>
      </w:r>
      <w:r w:rsidRPr="00E3373D">
        <w:t xml:space="preserve">исунок </w:t>
      </w:r>
      <w:r w:rsidR="00CE7169">
        <w:t>2</w:t>
      </w:r>
      <w:r w:rsidRPr="00E3373D">
        <w:t>).</w:t>
      </w:r>
    </w:p>
    <w:p w14:paraId="3420086C" w14:textId="17FE7B6E" w:rsidR="00063850" w:rsidRDefault="00063850" w:rsidP="00CE7169">
      <w:pPr>
        <w:pStyle w:val="Tabletitle"/>
        <w:spacing w:before="120"/>
        <w:rPr>
          <w:bCs/>
          <w:highlight w:val="lightGray"/>
        </w:rPr>
      </w:pPr>
      <w:bookmarkStart w:id="32" w:name="lt_pId135"/>
      <w:r w:rsidRPr="00AB23E1">
        <w:rPr>
          <w:bCs/>
        </w:rPr>
        <w:t xml:space="preserve">Рисунок </w:t>
      </w:r>
      <w:r w:rsidR="00CE7169">
        <w:rPr>
          <w:bCs/>
        </w:rPr>
        <w:t>2</w:t>
      </w:r>
      <w:r w:rsidR="00C719E7">
        <w:rPr>
          <w:bCs/>
        </w:rPr>
        <w:t>.</w:t>
      </w:r>
      <w:r w:rsidRPr="00AB23E1">
        <w:rPr>
          <w:bCs/>
        </w:rPr>
        <w:t xml:space="preserve"> Источники финансирования проектов МСЭ (</w:t>
      </w:r>
      <w:r>
        <w:rPr>
          <w:bCs/>
        </w:rPr>
        <w:t>выполняемые</w:t>
      </w:r>
      <w:r w:rsidRPr="00AB23E1">
        <w:rPr>
          <w:bCs/>
        </w:rPr>
        <w:t xml:space="preserve"> проекты)</w:t>
      </w:r>
      <w:bookmarkEnd w:id="32"/>
    </w:p>
    <w:p w14:paraId="0824E2C0" w14:textId="5CBBAC54" w:rsidR="00CE7169" w:rsidRPr="00CE7169" w:rsidRDefault="00CE7169" w:rsidP="00CE7169">
      <w:pPr>
        <w:pStyle w:val="Tabletext"/>
        <w:jc w:val="center"/>
        <w:rPr>
          <w:highlight w:val="lightGray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AAFBF0" wp14:editId="186E509A">
                <wp:simplePos x="0" y="0"/>
                <wp:positionH relativeFrom="margin">
                  <wp:posOffset>4296935</wp:posOffset>
                </wp:positionH>
                <wp:positionV relativeFrom="paragraph">
                  <wp:posOffset>761116</wp:posOffset>
                </wp:positionV>
                <wp:extent cx="659765" cy="787179"/>
                <wp:effectExtent l="0" t="0" r="698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78717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105EDA" w14:textId="77777777" w:rsidR="00063850" w:rsidRDefault="00063850" w:rsidP="00063850">
                            <w:pPr>
                              <w:spacing w:before="0"/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Целевые фонды</w:t>
                            </w:r>
                          </w:p>
                          <w:p w14:paraId="2713BA8C" w14:textId="77777777" w:rsidR="00063850" w:rsidRPr="00E012E7" w:rsidRDefault="00063850" w:rsidP="00063850">
                            <w:pPr>
                              <w:spacing w:before="80"/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ФРИКТ</w:t>
                            </w:r>
                          </w:p>
                          <w:p w14:paraId="3AE84F52" w14:textId="77777777" w:rsidR="00063850" w:rsidRPr="00E012E7" w:rsidRDefault="00063850" w:rsidP="00063850">
                            <w:pPr>
                              <w:ind w:left="-57"/>
                              <w:rPr>
                                <w:sz w:val="18"/>
                                <w:szCs w:val="18"/>
                              </w:rPr>
                            </w:pPr>
                            <w:r w:rsidRPr="00E012E7">
                              <w:rPr>
                                <w:sz w:val="18"/>
                                <w:szCs w:val="18"/>
                              </w:rPr>
                              <w:t>ОП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AAFBF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38.35pt;margin-top:59.95pt;width:51.95pt;height:6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Ai0QQIAAHgEAAAOAAAAZHJzL2Uyb0RvYy54bWysVE2P2jAQvVfqf7B8LwHKxxIRVpQVVaXV&#10;7kpQ7dk4NlhyPK5tSOiv79gJLN32VPVixjOT53nzZpjfN5UmJ+G8AlPQQa9PiTAcSmX2Bf2+XX+6&#10;o8QHZkqmwYiCnoWn94uPH+a1zcUQDqBL4QiCGJ/XtqCHEGyeZZ4fRMV8D6wwGJTgKhbw6vZZ6ViN&#10;6JXOhv3+JKvBldYBF96j96EN0kXCl1Lw8CylF4HogmJtIZ0unbt4Zos5y/eO2YPiXRnsH6qomDL4&#10;6BXqgQVGjk79AVUp7sCDDD0OVQZSKi4SB2Qz6L9jszkwKxIXbI631zb5/wfLn04vjqiyoBNKDKtQ&#10;oq1oAvkCDZnE7tTW55i0sZgWGnSjyhe/R2ck3UhXxV+kQzCOfT5fexvBODon49l0MqaEY2h6Nx1M&#10;ZxEle/vYOh++CqhINArqULrUUXZ69KFNvaTEtzxoVa6V1ukSx0WstCMnhkLrkEpE8N+ytCE1FvJ5&#10;3E/ABuLnLbI2WEuk2lKKVmh2Tcd/B+UZ6Ttox8dbvlZY5CPz4YU5nBdkjDsQnvGQGvAR6CxKDuB+&#10;/s0f81FGjFJS4/wV1P84Mico0d8MCjwbjEZxYNNlNJ4O8eJuI7vbiDlWK0DmA9w2y5MZ84O+mNJB&#10;9YqrsoyvYogZjm8XNFzMVWi3AleNi+UyJeGIWhYezcbyCB07HSXYNq/M2U6ngAI/wWVSWf5OrjY3&#10;fmlgeQwgVdIyNrjtatd3HO80Dd0qxv25vaestz+MxS8AAAD//wMAUEsDBBQABgAIAAAAIQDrJZdS&#10;4gAAAAsBAAAPAAAAZHJzL2Rvd25yZXYueG1sTI9NT4NAEIbvJv6HzZh4MXZpUSjI0hijNvFm8SPe&#10;tuwIRHaWsFuK/97xpMfJ++R9nyk2s+3FhKPvHClYLiIQSLUzHTUKXqqHyzUIHzQZ3TtCBd/oYVOe&#10;nhQ6N+5IzzjtQiO4hHyuFbQhDLmUvm7Rar9wAxJnn260OvA5NtKM+sjltperKEqk1R3xQqsHvGux&#10;/todrIKPi+b9yc+Pr8f4Oh7ut1OVvplKqfOz+fYGRMA5/MHwq8/qULLT3h3IeNErSNIkZZSDZZaB&#10;YCJdRwmIvYLVVZyBLAv5/4fyBwAA//8DAFBLAQItABQABgAIAAAAIQC2gziS/gAAAOEBAAATAAAA&#10;AAAAAAAAAAAAAAAAAABbQ29udGVudF9UeXBlc10ueG1sUEsBAi0AFAAGAAgAAAAhADj9If/WAAAA&#10;lAEAAAsAAAAAAAAAAAAAAAAALwEAAF9yZWxzLy5yZWxzUEsBAi0AFAAGAAgAAAAhAD5gCLRBAgAA&#10;eAQAAA4AAAAAAAAAAAAAAAAALgIAAGRycy9lMm9Eb2MueG1sUEsBAi0AFAAGAAgAAAAhAOsll1Li&#10;AAAACwEAAA8AAAAAAAAAAAAAAAAAmwQAAGRycy9kb3ducmV2LnhtbFBLBQYAAAAABAAEAPMAAACq&#10;BQAAAAA=&#10;" fillcolor="white [3201]" stroked="f" strokeweight=".5pt">
                <v:textbox>
                  <w:txbxContent>
                    <w:p w14:paraId="78105EDA" w14:textId="77777777" w:rsidR="00063850" w:rsidRDefault="00063850" w:rsidP="00063850">
                      <w:pPr>
                        <w:spacing w:before="0"/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Целевые фонды</w:t>
                      </w:r>
                    </w:p>
                    <w:p w14:paraId="2713BA8C" w14:textId="77777777" w:rsidR="00063850" w:rsidRPr="00E012E7" w:rsidRDefault="00063850" w:rsidP="00063850">
                      <w:pPr>
                        <w:spacing w:before="80"/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ФРИКТ</w:t>
                      </w:r>
                    </w:p>
                    <w:p w14:paraId="3AE84F52" w14:textId="77777777" w:rsidR="00063850" w:rsidRPr="00E012E7" w:rsidRDefault="00063850" w:rsidP="00063850">
                      <w:pPr>
                        <w:ind w:left="-57"/>
                        <w:rPr>
                          <w:sz w:val="18"/>
                          <w:szCs w:val="18"/>
                        </w:rPr>
                      </w:pPr>
                      <w:r w:rsidRPr="00E012E7">
                        <w:rPr>
                          <w:sz w:val="18"/>
                          <w:szCs w:val="18"/>
                        </w:rPr>
                        <w:t>ОП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33AF">
        <w:rPr>
          <w:rFonts w:cstheme="minorHAnsi"/>
          <w:noProof/>
          <w:lang w:val="en-US"/>
        </w:rPr>
        <w:drawing>
          <wp:inline distT="0" distB="0" distL="0" distR="0" wp14:anchorId="641AFFE4" wp14:editId="0FEF0B7A">
            <wp:extent cx="3629551" cy="2182218"/>
            <wp:effectExtent l="0" t="0" r="0" b="889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F1D08DFE-267E-4287-AE47-F3DFD7B9D5C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4BEFE5FC" w14:textId="7D71475F" w:rsidR="00063850" w:rsidRPr="008349EA" w:rsidRDefault="00063850" w:rsidP="00161543">
      <w:pPr>
        <w:pStyle w:val="Heading2"/>
      </w:pPr>
      <w:r w:rsidRPr="008349EA">
        <w:lastRenderedPageBreak/>
        <w:t>3.1</w:t>
      </w:r>
      <w:r w:rsidRPr="008349EA">
        <w:tab/>
      </w:r>
      <w:bookmarkStart w:id="33" w:name="lt_pId136"/>
      <w:r w:rsidRPr="008349EA">
        <w:t>Средства, выделенные Советом на реализацию региональных инициатив ВКРЭ-17</w:t>
      </w:r>
      <w:bookmarkEnd w:id="33"/>
    </w:p>
    <w:p w14:paraId="1CFAB8ED" w14:textId="0C8D00BA" w:rsidR="00CE7169" w:rsidRPr="008349EA" w:rsidRDefault="00C719E7" w:rsidP="00161543">
      <w:pPr>
        <w:keepNext/>
        <w:keepLines/>
        <w:widowControl w:val="0"/>
        <w:spacing w:after="120"/>
        <w:rPr>
          <w:rFonts w:cstheme="minorHAnsi"/>
        </w:rPr>
      </w:pPr>
      <w:bookmarkStart w:id="34" w:name="lt_pId128"/>
      <w:bookmarkStart w:id="35" w:name="lt_pId142"/>
      <w:r>
        <w:rPr>
          <w:rFonts w:cstheme="minorHAnsi"/>
        </w:rPr>
        <w:t>БРЭ продолжило ведение переговоров с партнерами относительно совместного финансирования проекто</w:t>
      </w:r>
      <w:r w:rsidR="007D1F21">
        <w:rPr>
          <w:rFonts w:cstheme="minorHAnsi"/>
        </w:rPr>
        <w:t xml:space="preserve">в с использованием средств, выделенных Советом для </w:t>
      </w:r>
      <w:r w:rsidR="007D1F21" w:rsidRPr="007D1F21">
        <w:t>реализации региональных инициатив ВКРЭ-17</w:t>
      </w:r>
      <w:r w:rsidR="00CE7169" w:rsidRPr="005533AF">
        <w:rPr>
          <w:rStyle w:val="FootnoteReference"/>
          <w:rFonts w:cstheme="minorHAnsi"/>
        </w:rPr>
        <w:footnoteReference w:id="4"/>
      </w:r>
      <w:r w:rsidR="00CE7169" w:rsidRPr="008349EA">
        <w:rPr>
          <w:rFonts w:cstheme="minorHAnsi"/>
        </w:rPr>
        <w:t>.</w:t>
      </w:r>
      <w:bookmarkEnd w:id="34"/>
      <w:r w:rsidR="00CE7169" w:rsidRPr="008349EA">
        <w:rPr>
          <w:rFonts w:cstheme="minorHAnsi"/>
        </w:rPr>
        <w:t xml:space="preserve"> </w:t>
      </w:r>
      <w:bookmarkStart w:id="37" w:name="lt_pId129"/>
      <w:r w:rsidR="007D1F21">
        <w:rPr>
          <w:rFonts w:cstheme="minorHAnsi"/>
        </w:rPr>
        <w:t>Ко времени подготовки настоящего отчета всего было подписано 26 проектов с финансированием от этих внешних партнеров</w:t>
      </w:r>
      <w:r w:rsidR="00D460AB">
        <w:rPr>
          <w:rFonts w:cstheme="minorHAnsi"/>
        </w:rPr>
        <w:t xml:space="preserve">, которое оценивается в </w:t>
      </w:r>
      <w:r w:rsidR="00CE7169" w:rsidRPr="008349EA">
        <w:rPr>
          <w:rFonts w:cstheme="minorHAnsi"/>
        </w:rPr>
        <w:t>10</w:t>
      </w:r>
      <w:r w:rsidR="00D460AB">
        <w:rPr>
          <w:rFonts w:cstheme="minorHAnsi"/>
        </w:rPr>
        <w:t>,</w:t>
      </w:r>
      <w:r w:rsidR="00CE7169" w:rsidRPr="008349EA">
        <w:rPr>
          <w:rFonts w:cstheme="minorHAnsi"/>
        </w:rPr>
        <w:t>9</w:t>
      </w:r>
      <w:r w:rsidR="00D460AB">
        <w:rPr>
          <w:rFonts w:cstheme="minorHAnsi"/>
        </w:rPr>
        <w:t xml:space="preserve"> млн. швейцарских франков </w:t>
      </w:r>
      <w:r w:rsidR="00CE7169" w:rsidRPr="008349EA">
        <w:rPr>
          <w:rFonts w:cstheme="minorHAnsi"/>
        </w:rPr>
        <w:t>(</w:t>
      </w:r>
      <w:r w:rsidR="00D460AB">
        <w:rPr>
          <w:rFonts w:cstheme="minorHAnsi"/>
        </w:rPr>
        <w:t>включая взносы в натуральной форме от внешних партнеров</w:t>
      </w:r>
      <w:r w:rsidR="00CE7169" w:rsidRPr="008349EA">
        <w:rPr>
          <w:rFonts w:cstheme="minorHAnsi"/>
        </w:rPr>
        <w:t xml:space="preserve">), </w:t>
      </w:r>
      <w:r w:rsidR="00D460AB">
        <w:rPr>
          <w:rFonts w:cstheme="minorHAnsi"/>
        </w:rPr>
        <w:t>и денежны</w:t>
      </w:r>
      <w:r w:rsidR="00E52764">
        <w:rPr>
          <w:rFonts w:cstheme="minorHAnsi"/>
        </w:rPr>
        <w:t>м</w:t>
      </w:r>
      <w:r w:rsidR="00D460AB">
        <w:rPr>
          <w:rFonts w:cstheme="minorHAnsi"/>
        </w:rPr>
        <w:t xml:space="preserve"> взнос</w:t>
      </w:r>
      <w:r w:rsidR="00E52764">
        <w:rPr>
          <w:rFonts w:cstheme="minorHAnsi"/>
        </w:rPr>
        <w:t>ом</w:t>
      </w:r>
      <w:r w:rsidR="00D460AB">
        <w:rPr>
          <w:rFonts w:cstheme="minorHAnsi"/>
        </w:rPr>
        <w:t xml:space="preserve"> МСЭ в размере 3,6 млн. швейцарских франков</w:t>
      </w:r>
      <w:r w:rsidR="00CE7169" w:rsidRPr="008349EA">
        <w:rPr>
          <w:rFonts w:cstheme="minorHAnsi"/>
        </w:rPr>
        <w:t>.</w:t>
      </w:r>
      <w:bookmarkEnd w:id="37"/>
      <w:r w:rsidR="00CE7169" w:rsidRPr="008349EA">
        <w:rPr>
          <w:rFonts w:cstheme="minorHAnsi"/>
        </w:rPr>
        <w:t xml:space="preserve"> </w:t>
      </w:r>
      <w:bookmarkStart w:id="38" w:name="lt_pId130"/>
      <w:r w:rsidR="00D460AB">
        <w:rPr>
          <w:rFonts w:cstheme="minorHAnsi"/>
        </w:rPr>
        <w:t>Ожидается, что последняя партия из девяти проектов, финансируемых из остающихся утвержденных Советом средств, будет подписана до конца 2021 года</w:t>
      </w:r>
      <w:r w:rsidR="00827BC2">
        <w:rPr>
          <w:rFonts w:cstheme="minorHAnsi"/>
        </w:rPr>
        <w:t xml:space="preserve">, на общую сумму 3,4 млн. швейцарских франков </w:t>
      </w:r>
      <w:r w:rsidR="00827BC2" w:rsidRPr="008349EA">
        <w:rPr>
          <w:rFonts w:cstheme="minorHAnsi"/>
        </w:rPr>
        <w:t>(</w:t>
      </w:r>
      <w:r w:rsidR="00827BC2">
        <w:rPr>
          <w:rFonts w:cstheme="minorHAnsi"/>
        </w:rPr>
        <w:t>включая взносы в натуральной форме от внешних партнеров</w:t>
      </w:r>
      <w:r w:rsidR="00827BC2" w:rsidRPr="008349EA">
        <w:rPr>
          <w:rFonts w:cstheme="minorHAnsi"/>
        </w:rPr>
        <w:t xml:space="preserve">), </w:t>
      </w:r>
      <w:r w:rsidR="00827BC2">
        <w:rPr>
          <w:rFonts w:cstheme="minorHAnsi"/>
        </w:rPr>
        <w:t>и денежны</w:t>
      </w:r>
      <w:r w:rsidR="00E52764">
        <w:rPr>
          <w:rFonts w:cstheme="minorHAnsi"/>
        </w:rPr>
        <w:t>м</w:t>
      </w:r>
      <w:r w:rsidR="00827BC2">
        <w:rPr>
          <w:rFonts w:cstheme="minorHAnsi"/>
        </w:rPr>
        <w:t xml:space="preserve"> взнос</w:t>
      </w:r>
      <w:r w:rsidR="00E52764">
        <w:rPr>
          <w:rFonts w:cstheme="minorHAnsi"/>
        </w:rPr>
        <w:t>ом</w:t>
      </w:r>
      <w:r w:rsidR="00827BC2">
        <w:rPr>
          <w:rFonts w:cstheme="minorHAnsi"/>
        </w:rPr>
        <w:t xml:space="preserve"> МСЭ в размере 1,4 млн. швейцарских франков</w:t>
      </w:r>
      <w:r w:rsidR="00827BC2" w:rsidRPr="008349EA">
        <w:rPr>
          <w:rFonts w:cstheme="minorHAnsi"/>
        </w:rPr>
        <w:t>.</w:t>
      </w:r>
      <w:bookmarkEnd w:id="38"/>
    </w:p>
    <w:p w14:paraId="74BE6AF5" w14:textId="322349DD" w:rsidR="00063850" w:rsidRPr="008349EA" w:rsidRDefault="00063850" w:rsidP="00063850">
      <w:pPr>
        <w:pStyle w:val="Heading1"/>
      </w:pPr>
      <w:r w:rsidRPr="004F4760">
        <w:t>4</w:t>
      </w:r>
      <w:r w:rsidRPr="004F4760">
        <w:tab/>
      </w:r>
      <w:r w:rsidRPr="00EF4AEB">
        <w:t>Предпринимаемые</w:t>
      </w:r>
      <w:r w:rsidRPr="004F4760">
        <w:t xml:space="preserve"> </w:t>
      </w:r>
      <w:r w:rsidRPr="004B6ED3">
        <w:t>усилия</w:t>
      </w:r>
      <w:r w:rsidRPr="004F4760">
        <w:t xml:space="preserve"> </w:t>
      </w:r>
      <w:r w:rsidRPr="005D6693">
        <w:t>по</w:t>
      </w:r>
      <w:r w:rsidRPr="004F4760">
        <w:t xml:space="preserve"> </w:t>
      </w:r>
      <w:r w:rsidRPr="005D6693">
        <w:t>внедрению</w:t>
      </w:r>
      <w:r w:rsidRPr="004F4760">
        <w:t xml:space="preserve"> </w:t>
      </w:r>
      <w:r w:rsidRPr="005D6693">
        <w:t>надежных</w:t>
      </w:r>
      <w:r w:rsidRPr="004F4760">
        <w:t xml:space="preserve"> </w:t>
      </w:r>
      <w:r w:rsidRPr="005D6693">
        <w:t>методов</w:t>
      </w:r>
      <w:r w:rsidRPr="004F4760">
        <w:t xml:space="preserve"> </w:t>
      </w:r>
      <w:r w:rsidRPr="005D6693">
        <w:t>управления</w:t>
      </w:r>
      <w:r w:rsidRPr="004F4760">
        <w:t xml:space="preserve"> </w:t>
      </w:r>
      <w:r w:rsidRPr="005D6693">
        <w:t>проектами</w:t>
      </w:r>
      <w:r w:rsidRPr="004F4760">
        <w:t xml:space="preserve"> </w:t>
      </w:r>
      <w:r w:rsidRPr="005D6693">
        <w:t>в</w:t>
      </w:r>
      <w:r w:rsidRPr="008349EA">
        <w:t> </w:t>
      </w:r>
      <w:r w:rsidR="00E52764">
        <w:t>БР</w:t>
      </w:r>
      <w:r w:rsidRPr="005D6693">
        <w:t>Э</w:t>
      </w:r>
      <w:bookmarkEnd w:id="35"/>
    </w:p>
    <w:p w14:paraId="481A4199" w14:textId="0ED55E68" w:rsidR="00063850" w:rsidRPr="00900177" w:rsidRDefault="00063850" w:rsidP="00063850">
      <w:pPr>
        <w:rPr>
          <w:highlight w:val="lightGray"/>
        </w:rPr>
      </w:pPr>
      <w:bookmarkStart w:id="39" w:name="lt_pId143"/>
      <w:r w:rsidRPr="008349EA">
        <w:t>БРЭ продолжало совершенствовать практику управления проектами во всем МСЭ путем организации</w:t>
      </w:r>
      <w:r w:rsidRPr="005D6693">
        <w:t xml:space="preserve"> широкого круга мероприятий, направленных на </w:t>
      </w:r>
      <w:r w:rsidRPr="004E5634">
        <w:t>совершенствование</w:t>
      </w:r>
      <w:r w:rsidRPr="005D6693">
        <w:t xml:space="preserve"> управления проектами </w:t>
      </w:r>
      <w:r w:rsidR="00A3199B">
        <w:t>БР</w:t>
      </w:r>
      <w:r w:rsidRPr="005D6693">
        <w:t xml:space="preserve">Э, </w:t>
      </w:r>
      <w:r>
        <w:t>создание</w:t>
      </w:r>
      <w:r w:rsidRPr="005D6693">
        <w:t xml:space="preserve"> потенциала </w:t>
      </w:r>
      <w:r>
        <w:t>руководителей</w:t>
      </w:r>
      <w:r w:rsidRPr="005D6693">
        <w:t xml:space="preserve"> проектов </w:t>
      </w:r>
      <w:r w:rsidR="00A21A0B">
        <w:t>БР</w:t>
      </w:r>
      <w:r w:rsidRPr="005D6693">
        <w:t>Э, стандартизацию практик</w:t>
      </w:r>
      <w:r w:rsidR="00E52764">
        <w:t>и</w:t>
      </w:r>
      <w:r w:rsidRPr="005D6693">
        <w:t xml:space="preserve"> управления проектами в </w:t>
      </w:r>
      <w:r w:rsidR="00A21A0B">
        <w:t>БР</w:t>
      </w:r>
      <w:r w:rsidRPr="005D6693">
        <w:t>Э</w:t>
      </w:r>
      <w:r>
        <w:t>, а также</w:t>
      </w:r>
      <w:r w:rsidRPr="005D6693">
        <w:t xml:space="preserve"> </w:t>
      </w:r>
      <w:r>
        <w:t>совершенствование</w:t>
      </w:r>
      <w:r w:rsidRPr="005D6693">
        <w:t xml:space="preserve"> мониторинг</w:t>
      </w:r>
      <w:r>
        <w:t>а</w:t>
      </w:r>
      <w:r w:rsidRPr="005D6693">
        <w:t xml:space="preserve"> и оценк</w:t>
      </w:r>
      <w:r>
        <w:t>и</w:t>
      </w:r>
      <w:r w:rsidRPr="005D6693">
        <w:t xml:space="preserve"> проектов. </w:t>
      </w:r>
      <w:r w:rsidR="00A21A0B">
        <w:t xml:space="preserve">В следующем списке перечисляются </w:t>
      </w:r>
      <w:r w:rsidRPr="00AB23E1">
        <w:t>мероприяти</w:t>
      </w:r>
      <w:r w:rsidR="00A21A0B">
        <w:t>я, проведенные во втором и третьем кварталах 2021 года</w:t>
      </w:r>
      <w:r w:rsidRPr="00AB23E1">
        <w:t xml:space="preserve">: </w:t>
      </w:r>
      <w:bookmarkEnd w:id="39"/>
    </w:p>
    <w:p w14:paraId="32536984" w14:textId="25CF89BD" w:rsidR="00063850" w:rsidRPr="008349EA" w:rsidRDefault="00063850" w:rsidP="00063850">
      <w:pPr>
        <w:pStyle w:val="enumlev1"/>
      </w:pPr>
      <w:bookmarkStart w:id="40" w:name="lt_pId145"/>
      <w:r w:rsidRPr="008349EA">
        <w:t>–</w:t>
      </w:r>
      <w:r w:rsidRPr="008349EA">
        <w:tab/>
      </w:r>
      <w:r w:rsidR="00A21A0B">
        <w:rPr>
          <w:b/>
          <w:bCs/>
          <w:i/>
          <w:iCs/>
        </w:rPr>
        <w:t>Деятельность</w:t>
      </w:r>
      <w:r w:rsidR="00CE7169" w:rsidRPr="008349EA">
        <w:rPr>
          <w:b/>
          <w:bCs/>
          <w:i/>
          <w:iCs/>
        </w:rPr>
        <w:t xml:space="preserve"> </w:t>
      </w:r>
      <w:r w:rsidRPr="00C433BF">
        <w:rPr>
          <w:b/>
          <w:bCs/>
          <w:i/>
          <w:iCs/>
        </w:rPr>
        <w:t>Комитета</w:t>
      </w:r>
      <w:r w:rsidRPr="008349EA">
        <w:rPr>
          <w:b/>
          <w:bCs/>
          <w:i/>
          <w:iCs/>
        </w:rPr>
        <w:t xml:space="preserve"> </w:t>
      </w:r>
      <w:r w:rsidRPr="00C433BF">
        <w:rPr>
          <w:b/>
          <w:bCs/>
          <w:i/>
          <w:iCs/>
        </w:rPr>
        <w:t>по</w:t>
      </w:r>
      <w:r w:rsidRPr="008349EA">
        <w:rPr>
          <w:b/>
          <w:bCs/>
          <w:i/>
          <w:iCs/>
        </w:rPr>
        <w:t xml:space="preserve"> </w:t>
      </w:r>
      <w:r w:rsidRPr="00C433BF">
        <w:rPr>
          <w:b/>
          <w:bCs/>
          <w:i/>
          <w:iCs/>
        </w:rPr>
        <w:t>проектам</w:t>
      </w:r>
      <w:r w:rsidRPr="008349EA">
        <w:rPr>
          <w:b/>
          <w:bCs/>
          <w:i/>
          <w:iCs/>
        </w:rPr>
        <w:t xml:space="preserve"> </w:t>
      </w:r>
      <w:r w:rsidRPr="00C433BF">
        <w:rPr>
          <w:b/>
          <w:bCs/>
          <w:i/>
          <w:iCs/>
        </w:rPr>
        <w:t>БРЭ</w:t>
      </w:r>
      <w:r w:rsidRPr="008349EA">
        <w:t xml:space="preserve">: </w:t>
      </w:r>
      <w:bookmarkEnd w:id="40"/>
      <w:r w:rsidR="00A21A0B" w:rsidRPr="00A21A0B">
        <w:t>Комитет</w:t>
      </w:r>
      <w:r w:rsidR="00A21A0B" w:rsidRPr="008349EA">
        <w:t xml:space="preserve"> </w:t>
      </w:r>
      <w:r w:rsidR="00A21A0B" w:rsidRPr="00A21A0B">
        <w:t>по</w:t>
      </w:r>
      <w:r w:rsidR="00A21A0B" w:rsidRPr="008349EA">
        <w:t xml:space="preserve"> </w:t>
      </w:r>
      <w:r w:rsidR="00A21A0B" w:rsidRPr="00A21A0B">
        <w:t>проектам</w:t>
      </w:r>
      <w:r w:rsidR="00A21A0B" w:rsidRPr="008349EA">
        <w:t xml:space="preserve"> </w:t>
      </w:r>
      <w:r w:rsidR="00A21A0B" w:rsidRPr="00A21A0B">
        <w:t>БРЭ</w:t>
      </w:r>
      <w:r w:rsidR="00A21A0B">
        <w:t xml:space="preserve"> продолжал проводить собрания раз в месяц</w:t>
      </w:r>
      <w:r w:rsidR="00CE7169" w:rsidRPr="008349EA">
        <w:t xml:space="preserve">. </w:t>
      </w:r>
      <w:r w:rsidR="00A5243E">
        <w:t>На собраниях Комитета проводи</w:t>
      </w:r>
      <w:r w:rsidR="00E52764">
        <w:t>лась</w:t>
      </w:r>
      <w:r w:rsidR="00A5243E">
        <w:t xml:space="preserve"> оценка целесообразности и актуальности предложений до их перехода в статус проектов, рассматрива</w:t>
      </w:r>
      <w:r w:rsidR="00E52764">
        <w:t>лись</w:t>
      </w:r>
      <w:r w:rsidR="00A5243E">
        <w:t xml:space="preserve"> и утвержда</w:t>
      </w:r>
      <w:r w:rsidR="00E52764">
        <w:t>лись</w:t>
      </w:r>
      <w:r w:rsidR="00A5243E">
        <w:t xml:space="preserve"> проекты до согласования с партнерами и обеспечива</w:t>
      </w:r>
      <w:r w:rsidR="00E52764">
        <w:t>лся</w:t>
      </w:r>
      <w:r w:rsidR="00A5243E">
        <w:t xml:space="preserve"> надзор </w:t>
      </w:r>
      <w:r w:rsidR="000554B1">
        <w:t>за реализацией проектов и их закрытие при возникновении проблем</w:t>
      </w:r>
      <w:r w:rsidR="00CE7169" w:rsidRPr="008349EA">
        <w:t xml:space="preserve">. </w:t>
      </w:r>
      <w:r w:rsidR="000554B1">
        <w:t>Деятельность в соответствии с решениями Комитета проводила Группа по поддержке проектов, которая отчитывалась перед Комитетом по проектам</w:t>
      </w:r>
      <w:r w:rsidR="00CE7169" w:rsidRPr="008349EA">
        <w:t>.</w:t>
      </w:r>
    </w:p>
    <w:p w14:paraId="01E625EB" w14:textId="115036DD" w:rsidR="00CE7169" w:rsidRPr="008349EA" w:rsidRDefault="00063850" w:rsidP="00CE7169">
      <w:pPr>
        <w:pStyle w:val="enumlev1"/>
      </w:pPr>
      <w:bookmarkStart w:id="41" w:name="lt_pId153"/>
      <w:r w:rsidRPr="008349EA">
        <w:t>–</w:t>
      </w:r>
      <w:r w:rsidRPr="008349EA">
        <w:tab/>
      </w:r>
      <w:r w:rsidRPr="00E52764">
        <w:rPr>
          <w:b/>
          <w:bCs/>
        </w:rPr>
        <w:t>Совершенствование управления проектами</w:t>
      </w:r>
      <w:r w:rsidRPr="008349EA">
        <w:t xml:space="preserve">: </w:t>
      </w:r>
      <w:bookmarkEnd w:id="41"/>
      <w:r w:rsidR="00C021A4">
        <w:t>БРЭ продолжило укреплять практику управления проектами в Бюро</w:t>
      </w:r>
      <w:r w:rsidR="00CE7169" w:rsidRPr="008349EA">
        <w:t xml:space="preserve">. </w:t>
      </w:r>
      <w:bookmarkStart w:id="42" w:name="lt_pId138"/>
      <w:r w:rsidR="00C021A4">
        <w:t xml:space="preserve">Проведенные в этой области мероприятия включают работу "Сообщества практики управляющих проектами БРЭ", онлайновой платформы с 84 активными сотрудниками, а также организацию </w:t>
      </w:r>
      <w:r w:rsidR="00E367FB">
        <w:t>"клиник" по управлению проектами и информационных сессий для управляющих проектами</w:t>
      </w:r>
      <w:r w:rsidR="00CE7169" w:rsidRPr="008349EA">
        <w:t>.</w:t>
      </w:r>
      <w:bookmarkEnd w:id="42"/>
      <w:r w:rsidR="00CE7169" w:rsidRPr="008349EA">
        <w:t xml:space="preserve"> </w:t>
      </w:r>
      <w:bookmarkStart w:id="43" w:name="lt_pId139"/>
      <w:r w:rsidR="00E367FB">
        <w:t xml:space="preserve">Эта работа стала дополнением учебной программы </w:t>
      </w:r>
      <w:r w:rsidR="00E367FB">
        <w:rPr>
          <w:color w:val="000000"/>
        </w:rPr>
        <w:t xml:space="preserve">сертификации по управлению проектами, проводившейся в </w:t>
      </w:r>
      <w:r w:rsidR="00CE7169" w:rsidRPr="008349EA">
        <w:t xml:space="preserve">2019 </w:t>
      </w:r>
      <w:r w:rsidR="00E367FB">
        <w:t>и</w:t>
      </w:r>
      <w:r w:rsidR="00CE7169" w:rsidRPr="008349EA">
        <w:t xml:space="preserve"> 2020</w:t>
      </w:r>
      <w:r w:rsidR="00E367FB">
        <w:t> годах</w:t>
      </w:r>
      <w:r w:rsidR="00CE7169" w:rsidRPr="008349EA">
        <w:t>.</w:t>
      </w:r>
      <w:bookmarkEnd w:id="43"/>
      <w:r w:rsidR="00CE7169" w:rsidRPr="008349EA">
        <w:t xml:space="preserve"> </w:t>
      </w:r>
    </w:p>
    <w:p w14:paraId="7549539A" w14:textId="64BC6980" w:rsidR="00CE7169" w:rsidRPr="008349EA" w:rsidRDefault="00CE7169" w:rsidP="00CE7169">
      <w:pPr>
        <w:pStyle w:val="enumlev1"/>
      </w:pPr>
      <w:bookmarkStart w:id="44" w:name="lt_pId140"/>
      <w:r w:rsidRPr="008349EA">
        <w:t>–</w:t>
      </w:r>
      <w:r w:rsidRPr="008349EA">
        <w:tab/>
      </w:r>
      <w:r w:rsidR="009B574A" w:rsidRPr="009B574A">
        <w:rPr>
          <w:b/>
          <w:bCs/>
        </w:rPr>
        <w:t>Закрытие проектов</w:t>
      </w:r>
      <w:r w:rsidRPr="008349EA">
        <w:t xml:space="preserve">: </w:t>
      </w:r>
      <w:r w:rsidR="009B574A">
        <w:t>БРЭ пересмотрело процесс и этапы закрытия проектов для уменьшения времени, требующегося для закрытия проекта, максимум до девяти месяцев</w:t>
      </w:r>
      <w:r w:rsidR="00015A5F">
        <w:t xml:space="preserve"> после даты завершения всех видов деятельности</w:t>
      </w:r>
      <w:r w:rsidRPr="008349EA">
        <w:t>.</w:t>
      </w:r>
      <w:bookmarkEnd w:id="44"/>
      <w:r w:rsidR="00015A5F">
        <w:t xml:space="preserve"> Эта работа проводилась в соответствии с новым </w:t>
      </w:r>
      <w:r w:rsidR="00015A5F">
        <w:rPr>
          <w:color w:val="000000"/>
        </w:rPr>
        <w:t>Руководством по управлению проектами, представленным в июле 2020 года, и в тесной координации с Департаментом управления финансовыми ресурсами МСЭ</w:t>
      </w:r>
      <w:bookmarkStart w:id="45" w:name="lt_pId141"/>
      <w:r w:rsidRPr="008349EA">
        <w:t xml:space="preserve"> (</w:t>
      </w:r>
      <w:r w:rsidRPr="00CE7169">
        <w:rPr>
          <w:lang w:val="en-GB"/>
        </w:rPr>
        <w:t>FRMD</w:t>
      </w:r>
      <w:r w:rsidRPr="008349EA">
        <w:t xml:space="preserve">), </w:t>
      </w:r>
      <w:r w:rsidR="00015A5F">
        <w:t>Службой закупок, Департаментом управления людскими ресурсами</w:t>
      </w:r>
      <w:r w:rsidRPr="008349EA">
        <w:t xml:space="preserve"> (</w:t>
      </w:r>
      <w:r w:rsidRPr="00CE7169">
        <w:rPr>
          <w:lang w:val="en-GB"/>
        </w:rPr>
        <w:t>HRMD</w:t>
      </w:r>
      <w:r w:rsidRPr="008349EA">
        <w:t>)</w:t>
      </w:r>
      <w:r w:rsidR="00015A5F">
        <w:t xml:space="preserve"> и Департаментом по правовым вопросам</w:t>
      </w:r>
      <w:r w:rsidRPr="008349EA">
        <w:t>.</w:t>
      </w:r>
      <w:bookmarkEnd w:id="45"/>
      <w:r w:rsidRPr="008349EA">
        <w:t xml:space="preserve"> </w:t>
      </w:r>
      <w:r w:rsidR="00015A5F">
        <w:t>За период, охватываемый настоящим отчетом, всего было закрыты 15 проектов в соответствии с этим новым подходом</w:t>
      </w:r>
      <w:r w:rsidRPr="008349EA">
        <w:t>.</w:t>
      </w:r>
    </w:p>
    <w:p w14:paraId="68E370B3" w14:textId="346CB068" w:rsidR="00CE7169" w:rsidRPr="008349EA" w:rsidRDefault="00CE7169" w:rsidP="00CE7169">
      <w:pPr>
        <w:pStyle w:val="enumlev1"/>
      </w:pPr>
      <w:r w:rsidRPr="008349EA">
        <w:t>–</w:t>
      </w:r>
      <w:r w:rsidRPr="008349EA">
        <w:tab/>
      </w:r>
      <w:r w:rsidR="00015A5F">
        <w:rPr>
          <w:b/>
          <w:bCs/>
        </w:rPr>
        <w:t xml:space="preserve">Мониторинг проектов </w:t>
      </w:r>
      <w:r w:rsidR="00372A79">
        <w:rPr>
          <w:b/>
          <w:bCs/>
        </w:rPr>
        <w:t>МСЭ</w:t>
      </w:r>
      <w:r w:rsidRPr="008349EA">
        <w:t xml:space="preserve">: </w:t>
      </w:r>
      <w:r w:rsidR="00372A79">
        <w:t>Продолжается ежедневный мониторинг всех проектов МСЭ, с представлением отчетов в конце каждого квартала</w:t>
      </w:r>
      <w:r w:rsidRPr="008349EA">
        <w:t xml:space="preserve">. </w:t>
      </w:r>
      <w:bookmarkStart w:id="46" w:name="lt_pId144"/>
      <w:r w:rsidR="00372A79">
        <w:t xml:space="preserve">Результаты этой работы представляются руководству БРЭ и управляющим проектами в </w:t>
      </w:r>
      <w:r w:rsidR="0067594E">
        <w:rPr>
          <w:color w:val="000000"/>
        </w:rPr>
        <w:t>ежеквартальных отчетах об о</w:t>
      </w:r>
      <w:r w:rsidR="0067594E">
        <w:t>ценке</w:t>
      </w:r>
      <w:r w:rsidRPr="008349EA">
        <w:t xml:space="preserve">. </w:t>
      </w:r>
      <w:r w:rsidR="0067594E">
        <w:t>В</w:t>
      </w:r>
      <w:r w:rsidR="00E52764">
        <w:t> </w:t>
      </w:r>
      <w:r w:rsidR="0067594E">
        <w:t xml:space="preserve">последнем отчете об оценке за второй квартал 2021 года показано, что </w:t>
      </w:r>
      <w:r w:rsidR="00CE287F">
        <w:t>большинство проектов БРЭ реализуются в срок, несмотря на сложности с выполнением, связанные с пандемией</w:t>
      </w:r>
      <w:r w:rsidRPr="008349EA">
        <w:t xml:space="preserve"> </w:t>
      </w:r>
      <w:r w:rsidRPr="00CE7169">
        <w:rPr>
          <w:lang w:val="en-GB"/>
        </w:rPr>
        <w:t>COVID</w:t>
      </w:r>
      <w:r w:rsidRPr="008349EA">
        <w:t xml:space="preserve">-19. </w:t>
      </w:r>
      <w:bookmarkEnd w:id="46"/>
    </w:p>
    <w:p w14:paraId="2305C6C5" w14:textId="169A5B4B" w:rsidR="00CE7169" w:rsidRPr="008349EA" w:rsidRDefault="00063850" w:rsidP="00063850">
      <w:pPr>
        <w:pStyle w:val="Heading1"/>
      </w:pPr>
      <w:bookmarkStart w:id="47" w:name="lt_pId169"/>
      <w:r w:rsidRPr="008349EA">
        <w:lastRenderedPageBreak/>
        <w:t>5</w:t>
      </w:r>
      <w:r w:rsidRPr="008349EA">
        <w:tab/>
      </w:r>
      <w:bookmarkEnd w:id="47"/>
      <w:r w:rsidR="0038364E">
        <w:t>Резюме достижений за 2021 год</w:t>
      </w:r>
    </w:p>
    <w:p w14:paraId="3EB37314" w14:textId="2ABB6659" w:rsidR="00CE7169" w:rsidRPr="008349EA" w:rsidRDefault="00CE7169" w:rsidP="00CE7169">
      <w:r w:rsidRPr="00CE7169">
        <w:t>В 202</w:t>
      </w:r>
      <w:r>
        <w:t>1</w:t>
      </w:r>
      <w:r w:rsidRPr="00CE7169">
        <w:t xml:space="preserve"> году было разработано и подписано в общей сложности </w:t>
      </w:r>
      <w:r>
        <w:t>18</w:t>
      </w:r>
      <w:r w:rsidRPr="00CE7169">
        <w:t xml:space="preserve"> новы</w:t>
      </w:r>
      <w:r w:rsidR="0038364E">
        <w:t>х</w:t>
      </w:r>
      <w:r w:rsidRPr="00CE7169">
        <w:t xml:space="preserve"> проект</w:t>
      </w:r>
      <w:r w:rsidR="0038364E">
        <w:t>ов</w:t>
      </w:r>
      <w:r w:rsidRPr="00CE7169">
        <w:t xml:space="preserve">, стоимость которых составляет </w:t>
      </w:r>
      <w:r w:rsidR="00760BCC">
        <w:t>9</w:t>
      </w:r>
      <w:r w:rsidRPr="00CE7169">
        <w:t>,</w:t>
      </w:r>
      <w:r w:rsidR="00760BCC">
        <w:t>8</w:t>
      </w:r>
      <w:r w:rsidRPr="00CE7169">
        <w:t xml:space="preserve"> млн. швейцарских франков</w:t>
      </w:r>
      <w:r w:rsidR="0038364E">
        <w:t xml:space="preserve"> (см. Рисунок 3)</w:t>
      </w:r>
      <w:r w:rsidRPr="00CE7169">
        <w:t xml:space="preserve">. </w:t>
      </w:r>
      <w:r w:rsidR="0038364E">
        <w:t>Все</w:t>
      </w:r>
      <w:r w:rsidRPr="00CE7169">
        <w:t xml:space="preserve"> эти проект</w:t>
      </w:r>
      <w:r w:rsidR="0038364E">
        <w:t>ы</w:t>
      </w:r>
      <w:r w:rsidRPr="00CE7169">
        <w:t xml:space="preserve"> </w:t>
      </w:r>
      <w:r w:rsidR="00CD427A">
        <w:t xml:space="preserve">финансировались на основаниях партнерства </w:t>
      </w:r>
      <w:r w:rsidRPr="00CE7169">
        <w:t>с другими организациями</w:t>
      </w:r>
      <w:r w:rsidR="00CD427A">
        <w:t>, такими как</w:t>
      </w:r>
      <w:r w:rsidRPr="00CE7169">
        <w:t xml:space="preserve"> национальны</w:t>
      </w:r>
      <w:r w:rsidR="00CD427A">
        <w:t>е</w:t>
      </w:r>
      <w:r w:rsidRPr="00CE7169">
        <w:t xml:space="preserve"> правительственны</w:t>
      </w:r>
      <w:r w:rsidR="00CD427A">
        <w:t>е</w:t>
      </w:r>
      <w:r w:rsidRPr="00CE7169">
        <w:t xml:space="preserve"> учреждения, организации двустороннего сотрудничества, некоммерчески</w:t>
      </w:r>
      <w:r w:rsidR="00CD427A">
        <w:t>е</w:t>
      </w:r>
      <w:r w:rsidRPr="00CE7169">
        <w:t xml:space="preserve"> </w:t>
      </w:r>
      <w:r w:rsidR="00CD427A">
        <w:t>объединения</w:t>
      </w:r>
      <w:r w:rsidRPr="00CE7169">
        <w:t>, компании частного сектора и учреждения системы ООН.</w:t>
      </w:r>
      <w:r w:rsidR="00760BCC" w:rsidRPr="00760BCC">
        <w:rPr>
          <w:rFonts w:cstheme="minorHAnsi"/>
        </w:rPr>
        <w:t xml:space="preserve"> </w:t>
      </w:r>
      <w:r w:rsidR="00CD427A">
        <w:rPr>
          <w:rFonts w:cstheme="minorHAnsi"/>
        </w:rPr>
        <w:t xml:space="preserve">Эти достижения являются результатом синергии, формирующейся в ходе сотрудничества между группами по поддержке проектов, мобилизации ресурсов и партнерства, а также членского состава и частного сектора в рамках </w:t>
      </w:r>
      <w:r w:rsidR="00CD427A" w:rsidRPr="00CD427A">
        <w:t>Департамента партнерств в целях цифрового развития</w:t>
      </w:r>
      <w:r w:rsidR="00CD427A" w:rsidRPr="008349EA">
        <w:rPr>
          <w:rFonts w:cstheme="minorHAnsi"/>
        </w:rPr>
        <w:t xml:space="preserve"> </w:t>
      </w:r>
      <w:r w:rsidR="00CD427A">
        <w:rPr>
          <w:rFonts w:cstheme="minorHAnsi"/>
        </w:rPr>
        <w:t>БРЭ</w:t>
      </w:r>
      <w:r w:rsidR="00760BCC" w:rsidRPr="00161543">
        <w:rPr>
          <w:rStyle w:val="FootnoteReference"/>
        </w:rPr>
        <w:footnoteReference w:id="5"/>
      </w:r>
      <w:r w:rsidR="00CD427A">
        <w:rPr>
          <w:rFonts w:cstheme="minorHAnsi"/>
        </w:rPr>
        <w:t>.</w:t>
      </w:r>
    </w:p>
    <w:p w14:paraId="4AB5E16F" w14:textId="2ABC085B" w:rsidR="00CE7169" w:rsidRPr="00760BCC" w:rsidRDefault="00760BCC" w:rsidP="00760BCC">
      <w:pPr>
        <w:pStyle w:val="Tabletitle"/>
        <w:spacing w:before="120"/>
        <w:rPr>
          <w:bCs/>
        </w:rPr>
      </w:pPr>
      <w:bookmarkStart w:id="49" w:name="lt_pId150"/>
      <w:r>
        <w:rPr>
          <w:bCs/>
        </w:rPr>
        <w:t>Рисунок</w:t>
      </w:r>
      <w:r w:rsidRPr="00760BCC">
        <w:rPr>
          <w:bCs/>
        </w:rPr>
        <w:t xml:space="preserve"> 3</w:t>
      </w:r>
      <w:r w:rsidR="00CD427A">
        <w:rPr>
          <w:bCs/>
        </w:rPr>
        <w:t>.</w:t>
      </w:r>
      <w:r w:rsidRPr="00760BCC">
        <w:rPr>
          <w:bCs/>
        </w:rPr>
        <w:t xml:space="preserve"> </w:t>
      </w:r>
      <w:r w:rsidR="00CD427A">
        <w:rPr>
          <w:bCs/>
        </w:rPr>
        <w:t>Н</w:t>
      </w:r>
      <w:r>
        <w:rPr>
          <w:bCs/>
        </w:rPr>
        <w:t>овы</w:t>
      </w:r>
      <w:r w:rsidR="00CD427A">
        <w:rPr>
          <w:bCs/>
        </w:rPr>
        <w:t>е</w:t>
      </w:r>
      <w:r>
        <w:rPr>
          <w:bCs/>
        </w:rPr>
        <w:t xml:space="preserve"> проект</w:t>
      </w:r>
      <w:r w:rsidR="00CD427A">
        <w:rPr>
          <w:bCs/>
        </w:rPr>
        <w:t>ы</w:t>
      </w:r>
      <w:r>
        <w:rPr>
          <w:bCs/>
        </w:rPr>
        <w:t>, подписанные в период</w:t>
      </w:r>
      <w:r w:rsidRPr="00760BCC">
        <w:rPr>
          <w:bCs/>
        </w:rPr>
        <w:t xml:space="preserve"> 2011–2021</w:t>
      </w:r>
      <w:bookmarkEnd w:id="49"/>
      <w:r>
        <w:rPr>
          <w:bCs/>
        </w:rPr>
        <w:t xml:space="preserve"> годов</w:t>
      </w:r>
    </w:p>
    <w:p w14:paraId="23415BC3" w14:textId="0054BF27" w:rsidR="00CE7169" w:rsidRDefault="00760BCC" w:rsidP="00CE7169">
      <w:pPr>
        <w:rPr>
          <w:lang w:val="en-GB"/>
        </w:rPr>
      </w:pPr>
      <w:r w:rsidRPr="005533AF">
        <w:rPr>
          <w:rFonts w:cstheme="minorHAnsi"/>
          <w:noProof/>
          <w:lang w:val="en-US"/>
        </w:rPr>
        <w:drawing>
          <wp:inline distT="0" distB="0" distL="0" distR="0" wp14:anchorId="79FEAD0F" wp14:editId="3EAA31FC">
            <wp:extent cx="6169937" cy="2697933"/>
            <wp:effectExtent l="0" t="0" r="2540" b="7620"/>
            <wp:docPr id="8" name="Chart 8">
              <a:extLst xmlns:a="http://schemas.openxmlformats.org/drawingml/2006/main">
                <a:ext uri="{FF2B5EF4-FFF2-40B4-BE49-F238E27FC236}">
                  <a16:creationId xmlns:a16="http://schemas.microsoft.com/office/drawing/2014/main" id="{7A63566E-3D2F-4F23-8937-8CA0AF27F5B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52EA14C" w14:textId="774F4D61" w:rsidR="00063850" w:rsidRDefault="00CE7169" w:rsidP="00063850">
      <w:pPr>
        <w:pStyle w:val="Heading1"/>
      </w:pPr>
      <w:r>
        <w:t>6</w:t>
      </w:r>
      <w:r>
        <w:tab/>
      </w:r>
      <w:r w:rsidR="00CD427A">
        <w:t>Выводы</w:t>
      </w:r>
    </w:p>
    <w:p w14:paraId="3817E936" w14:textId="48A12616" w:rsidR="00CD427A" w:rsidRPr="00F351D9" w:rsidRDefault="004B4067" w:rsidP="00CD427A">
      <w:pPr>
        <w:spacing w:after="120"/>
      </w:pPr>
      <w:r>
        <w:t xml:space="preserve">Руководители проектов как на местах, так и в штаб-квартире получают пользу от текущей работы </w:t>
      </w:r>
      <w:r w:rsidRPr="00CD427A">
        <w:t>Департамента партнерств в целях цифрового развития</w:t>
      </w:r>
      <w:r w:rsidRPr="008349EA">
        <w:rPr>
          <w:rFonts w:cstheme="minorHAnsi"/>
        </w:rPr>
        <w:t xml:space="preserve"> </w:t>
      </w:r>
      <w:r>
        <w:rPr>
          <w:rFonts w:cstheme="minorHAnsi"/>
        </w:rPr>
        <w:t>БРЭ</w:t>
      </w:r>
      <w:r w:rsidRPr="00F351D9">
        <w:t xml:space="preserve"> </w:t>
      </w:r>
      <w:r>
        <w:t>и вносят в эту работу свой вклад в отношении стабильного роста числа членов из отрасли и частного сектора, партнерств и мобилизации ресурсов, а также эффективного выполнения результативных проектов</w:t>
      </w:r>
      <w:r w:rsidR="00CD427A" w:rsidRPr="00F351D9">
        <w:t>.</w:t>
      </w:r>
    </w:p>
    <w:p w14:paraId="72A15095" w14:textId="750EE5DB" w:rsidR="00063850" w:rsidRPr="00CD7AC0" w:rsidRDefault="00063850" w:rsidP="00760BCC">
      <w:pPr>
        <w:tabs>
          <w:tab w:val="clear" w:pos="794"/>
          <w:tab w:val="clear" w:pos="1191"/>
          <w:tab w:val="clear" w:pos="1588"/>
          <w:tab w:val="clear" w:pos="1985"/>
        </w:tabs>
        <w:spacing w:before="720"/>
        <w:jc w:val="center"/>
      </w:pPr>
      <w:r w:rsidRPr="00933E0E">
        <w:t>_______________</w:t>
      </w:r>
    </w:p>
    <w:sectPr w:rsidR="00063850" w:rsidRPr="00CD7AC0" w:rsidSect="002502FE">
      <w:headerReference w:type="default" r:id="rId13"/>
      <w:footerReference w:type="default" r:id="rId14"/>
      <w:footerReference w:type="first" r:id="rId15"/>
      <w:pgSz w:w="11906" w:h="16838" w:code="9"/>
      <w:pgMar w:top="1418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C324A" w14:textId="77777777" w:rsidR="008F072F" w:rsidRDefault="008F072F" w:rsidP="00E54FD2">
      <w:pPr>
        <w:spacing w:before="0"/>
      </w:pPr>
      <w:r>
        <w:separator/>
      </w:r>
    </w:p>
  </w:endnote>
  <w:endnote w:type="continuationSeparator" w:id="0">
    <w:p w14:paraId="1B4C1BFA" w14:textId="77777777" w:rsidR="008F072F" w:rsidRDefault="008F072F" w:rsidP="00E54FD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A38F" w14:textId="41A4C6B5" w:rsidR="00102DCA" w:rsidRPr="00102DCA" w:rsidRDefault="00102DCA">
    <w:pPr>
      <w:pStyle w:val="Footer"/>
      <w:rPr>
        <w:lang w:val="fr-CH"/>
      </w:rPr>
    </w:pPr>
    <w:r>
      <w:fldChar w:fldCharType="begin"/>
    </w:r>
    <w:r w:rsidRPr="00AE700A">
      <w:rPr>
        <w:lang w:val="fr-CH"/>
      </w:rPr>
      <w:instrText xml:space="preserve"> FILENAME \p  \* MERGEFORMAT </w:instrText>
    </w:r>
    <w:r>
      <w:fldChar w:fldCharType="separate"/>
    </w:r>
    <w:r w:rsidR="00063850">
      <w:rPr>
        <w:lang w:val="fr-CH"/>
      </w:rPr>
      <w:t>P:\RUS\ITU-D\CONF-D\TDAG21\TDAG21-29\000\007R.docx</w:t>
    </w:r>
    <w:r>
      <w:fldChar w:fldCharType="end"/>
    </w:r>
    <w:r w:rsidRPr="00AE700A">
      <w:rPr>
        <w:lang w:val="fr-CH"/>
      </w:rPr>
      <w:t xml:space="preserve"> (</w:t>
    </w:r>
    <w:r w:rsidR="00444881">
      <w:rPr>
        <w:lang w:val="fr-CH"/>
      </w:rPr>
      <w:t>494</w:t>
    </w:r>
    <w:r w:rsidR="00063850">
      <w:rPr>
        <w:lang w:val="fr-CH"/>
      </w:rPr>
      <w:t>509</w:t>
    </w:r>
    <w:r w:rsidRPr="00AE700A">
      <w:rPr>
        <w:lang w:val="fr-CH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99" w:type="pct"/>
      <w:tblLayout w:type="fixed"/>
      <w:tblLook w:val="04A0" w:firstRow="1" w:lastRow="0" w:firstColumn="1" w:lastColumn="0" w:noHBand="0" w:noVBand="1"/>
    </w:tblPr>
    <w:tblGrid>
      <w:gridCol w:w="1417"/>
      <w:gridCol w:w="3213"/>
      <w:gridCol w:w="5006"/>
    </w:tblGrid>
    <w:tr w:rsidR="00FB1653" w:rsidRPr="001326A4" w14:paraId="13D4CF7F" w14:textId="77777777" w:rsidTr="00FB1653">
      <w:trPr>
        <w:trHeight w:val="454"/>
      </w:trPr>
      <w:tc>
        <w:tcPr>
          <w:tcW w:w="1417" w:type="dxa"/>
          <w:tcBorders>
            <w:top w:val="single" w:sz="4" w:space="0" w:color="000000"/>
          </w:tcBorders>
          <w:shd w:val="clear" w:color="auto" w:fill="auto"/>
        </w:tcPr>
        <w:p w14:paraId="165B1C5F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</w:rPr>
            <w:t>Координатор:</w:t>
          </w:r>
        </w:p>
      </w:tc>
      <w:tc>
        <w:tcPr>
          <w:tcW w:w="3213" w:type="dxa"/>
          <w:tcBorders>
            <w:top w:val="single" w:sz="4" w:space="0" w:color="000000"/>
          </w:tcBorders>
          <w:shd w:val="clear" w:color="auto" w:fill="auto"/>
        </w:tcPr>
        <w:p w14:paraId="405C243B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ind w:left="2302" w:hanging="2302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Фамилия/организация/объединение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  <w:tcBorders>
            <w:top w:val="single" w:sz="4" w:space="0" w:color="000000"/>
          </w:tcBorders>
        </w:tcPr>
        <w:p w14:paraId="168C1FA9" w14:textId="190A0E6B" w:rsidR="00FB1653" w:rsidRPr="004726D2" w:rsidRDefault="00063850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063850">
            <w:rPr>
              <w:sz w:val="18"/>
              <w:szCs w:val="18"/>
            </w:rPr>
            <w:t>д-р Космас Завазава (</w:t>
          </w:r>
          <w:r w:rsidRPr="00063850">
            <w:rPr>
              <w:sz w:val="18"/>
              <w:szCs w:val="18"/>
              <w:lang w:val="en-GB"/>
            </w:rPr>
            <w:t>D</w:t>
          </w:r>
          <w:r w:rsidRPr="00063850">
            <w:rPr>
              <w:sz w:val="18"/>
              <w:szCs w:val="18"/>
              <w:lang w:val="en-US"/>
            </w:rPr>
            <w:t>r</w:t>
          </w:r>
          <w:r w:rsidRPr="00063850">
            <w:rPr>
              <w:sz w:val="18"/>
              <w:szCs w:val="18"/>
            </w:rPr>
            <w:t xml:space="preserve"> </w:t>
          </w:r>
          <w:r w:rsidRPr="00063850">
            <w:rPr>
              <w:sz w:val="18"/>
              <w:szCs w:val="18"/>
              <w:lang w:val="en-US"/>
            </w:rPr>
            <w:t>Cosmas</w:t>
          </w:r>
          <w:r w:rsidRPr="00063850">
            <w:rPr>
              <w:sz w:val="18"/>
              <w:szCs w:val="18"/>
            </w:rPr>
            <w:t xml:space="preserve"> </w:t>
          </w:r>
          <w:r w:rsidRPr="00063850">
            <w:rPr>
              <w:sz w:val="18"/>
              <w:szCs w:val="18"/>
              <w:lang w:val="en-US"/>
            </w:rPr>
            <w:t>Zavazava</w:t>
          </w:r>
          <w:r w:rsidRPr="00063850">
            <w:rPr>
              <w:sz w:val="18"/>
              <w:szCs w:val="18"/>
            </w:rPr>
            <w:t>), руководитель Департамента партнерств в целях цифрового развития, Бюро развития электросвязи</w:t>
          </w:r>
        </w:p>
      </w:tc>
      <w:bookmarkStart w:id="50" w:name="OrgName"/>
      <w:bookmarkEnd w:id="50"/>
    </w:tr>
    <w:tr w:rsidR="00FB1653" w:rsidRPr="001326A4" w14:paraId="54EAE4F1" w14:textId="77777777" w:rsidTr="00FB1653">
      <w:tc>
        <w:tcPr>
          <w:tcW w:w="1417" w:type="dxa"/>
          <w:shd w:val="clear" w:color="auto" w:fill="auto"/>
        </w:tcPr>
        <w:p w14:paraId="6628E5D8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</w:rPr>
          </w:pPr>
        </w:p>
      </w:tc>
      <w:tc>
        <w:tcPr>
          <w:tcW w:w="3213" w:type="dxa"/>
          <w:shd w:val="clear" w:color="auto" w:fill="auto"/>
        </w:tcPr>
        <w:p w14:paraId="4A067DD6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Тел.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676A636B" w14:textId="09A37C32" w:rsidR="00FB1653" w:rsidRPr="004726D2" w:rsidRDefault="00D812DF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</w:rPr>
          </w:pPr>
          <w:r w:rsidRPr="004726D2">
            <w:rPr>
              <w:sz w:val="18"/>
              <w:szCs w:val="18"/>
              <w:lang w:val="en-US"/>
            </w:rPr>
            <w:t xml:space="preserve">+41 22 </w:t>
          </w:r>
          <w:r w:rsidR="00063850" w:rsidRPr="00063850">
            <w:rPr>
              <w:sz w:val="18"/>
              <w:szCs w:val="18"/>
              <w:lang w:val="en-US"/>
            </w:rPr>
            <w:t>730</w:t>
          </w:r>
          <w:r w:rsidR="00063850">
            <w:rPr>
              <w:sz w:val="18"/>
              <w:szCs w:val="18"/>
              <w:lang w:val="en-US"/>
            </w:rPr>
            <w:t xml:space="preserve"> </w:t>
          </w:r>
          <w:r w:rsidR="00063850" w:rsidRPr="00063850">
            <w:rPr>
              <w:sz w:val="18"/>
              <w:szCs w:val="18"/>
              <w:lang w:val="en-US"/>
            </w:rPr>
            <w:t>5447</w:t>
          </w:r>
        </w:p>
      </w:tc>
      <w:bookmarkStart w:id="51" w:name="PhoneNo"/>
      <w:bookmarkEnd w:id="51"/>
    </w:tr>
    <w:tr w:rsidR="00FB1653" w:rsidRPr="00CD7AC0" w14:paraId="05907B90" w14:textId="77777777" w:rsidTr="00FB1653">
      <w:tc>
        <w:tcPr>
          <w:tcW w:w="1417" w:type="dxa"/>
          <w:shd w:val="clear" w:color="auto" w:fill="auto"/>
        </w:tcPr>
        <w:p w14:paraId="525DD9C6" w14:textId="77777777" w:rsidR="00FB1653" w:rsidRPr="004726D2" w:rsidRDefault="00FB1653" w:rsidP="00FB1653">
          <w:pPr>
            <w:pStyle w:val="FirstFooter"/>
            <w:tabs>
              <w:tab w:val="left" w:pos="1559"/>
              <w:tab w:val="left" w:pos="3828"/>
            </w:tabs>
            <w:spacing w:before="40"/>
            <w:rPr>
              <w:sz w:val="18"/>
              <w:szCs w:val="18"/>
              <w:lang w:val="en-US"/>
            </w:rPr>
          </w:pPr>
        </w:p>
      </w:tc>
      <w:tc>
        <w:tcPr>
          <w:tcW w:w="3213" w:type="dxa"/>
          <w:shd w:val="clear" w:color="auto" w:fill="auto"/>
        </w:tcPr>
        <w:p w14:paraId="7578742B" w14:textId="77777777" w:rsidR="00FB1653" w:rsidRPr="004726D2" w:rsidRDefault="00FB1653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r w:rsidRPr="004726D2">
            <w:rPr>
              <w:sz w:val="18"/>
              <w:szCs w:val="18"/>
            </w:rPr>
            <w:t>Эл.</w:t>
          </w:r>
          <w:r w:rsidRPr="004726D2">
            <w:rPr>
              <w:sz w:val="18"/>
              <w:szCs w:val="18"/>
              <w:lang w:val="en-US"/>
            </w:rPr>
            <w:t> </w:t>
          </w:r>
          <w:r w:rsidRPr="004726D2">
            <w:rPr>
              <w:sz w:val="18"/>
              <w:szCs w:val="18"/>
            </w:rPr>
            <w:t>почта</w:t>
          </w:r>
          <w:r w:rsidRPr="004726D2">
            <w:rPr>
              <w:sz w:val="18"/>
              <w:szCs w:val="18"/>
              <w:lang w:val="en-US"/>
            </w:rPr>
            <w:t>:</w:t>
          </w:r>
        </w:p>
      </w:tc>
      <w:tc>
        <w:tcPr>
          <w:tcW w:w="5006" w:type="dxa"/>
        </w:tcPr>
        <w:p w14:paraId="5DB63467" w14:textId="40B054BA" w:rsidR="00FB1653" w:rsidRPr="004726D2" w:rsidRDefault="00D90831" w:rsidP="00FB1653">
          <w:pPr>
            <w:pStyle w:val="FirstFooter"/>
            <w:tabs>
              <w:tab w:val="left" w:pos="2302"/>
            </w:tabs>
            <w:spacing w:before="40"/>
            <w:rPr>
              <w:sz w:val="18"/>
              <w:szCs w:val="18"/>
              <w:lang w:val="en-US"/>
            </w:rPr>
          </w:pPr>
          <w:hyperlink r:id="rId1" w:history="1">
            <w:r w:rsidR="00063850" w:rsidRPr="00C95A75">
              <w:rPr>
                <w:rStyle w:val="Hyperlink"/>
                <w:sz w:val="18"/>
                <w:lang w:val="en-US"/>
              </w:rPr>
              <w:t>cosmas.zavazava@itu.int</w:t>
            </w:r>
          </w:hyperlink>
        </w:p>
      </w:tc>
      <w:bookmarkStart w:id="52" w:name="Email"/>
      <w:bookmarkEnd w:id="52"/>
    </w:tr>
  </w:tbl>
  <w:p w14:paraId="56683602" w14:textId="77777777" w:rsidR="00B52E6E" w:rsidRPr="006E4AB3" w:rsidRDefault="00D90831" w:rsidP="00102DCA"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jc w:val="center"/>
      <w:rPr>
        <w:caps/>
        <w:noProof/>
        <w:sz w:val="16"/>
      </w:rPr>
    </w:pPr>
    <w:hyperlink r:id="rId2" w:history="1">
      <w:r w:rsidR="004143D5">
        <w:rPr>
          <w:color w:val="0000FF"/>
          <w:sz w:val="18"/>
          <w:szCs w:val="18"/>
          <w:u w:val="single"/>
        </w:rPr>
        <w:t>КГРЭ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9559" w14:textId="77777777" w:rsidR="008F072F" w:rsidRDefault="008F072F" w:rsidP="00E54FD2">
      <w:pPr>
        <w:spacing w:before="0"/>
      </w:pPr>
      <w:r>
        <w:separator/>
      </w:r>
    </w:p>
  </w:footnote>
  <w:footnote w:type="continuationSeparator" w:id="0">
    <w:p w14:paraId="50CE6BEC" w14:textId="77777777" w:rsidR="008F072F" w:rsidRDefault="008F072F" w:rsidP="00E54FD2">
      <w:pPr>
        <w:spacing w:before="0"/>
      </w:pPr>
      <w:r>
        <w:continuationSeparator/>
      </w:r>
    </w:p>
  </w:footnote>
  <w:footnote w:id="1">
    <w:p w14:paraId="52B29733" w14:textId="5221AF15" w:rsidR="00063850" w:rsidRPr="008349EA" w:rsidRDefault="00063850" w:rsidP="00760BCC">
      <w:pPr>
        <w:pStyle w:val="FootnoteText"/>
      </w:pPr>
      <w:r w:rsidRPr="00C22A3A">
        <w:rPr>
          <w:rStyle w:val="FootnoteReference"/>
          <w:szCs w:val="18"/>
          <w:shd w:val="clear" w:color="auto" w:fill="FFFFFF" w:themeFill="background1"/>
        </w:rPr>
        <w:footnoteRef/>
      </w:r>
      <w:r w:rsidR="00C22A3A" w:rsidRPr="008349EA">
        <w:rPr>
          <w:shd w:val="clear" w:color="auto" w:fill="FFFFFF" w:themeFill="background1"/>
        </w:rPr>
        <w:tab/>
      </w:r>
      <w:r w:rsidR="00C0711D">
        <w:rPr>
          <w:shd w:val="clear" w:color="auto" w:fill="FFFFFF" w:themeFill="background1"/>
        </w:rPr>
        <w:t xml:space="preserve">Обзор портфеля проектов МСЭ размещен по адресу: </w:t>
      </w:r>
      <w:hyperlink r:id="rId1" w:history="1">
        <w:r w:rsidRPr="00C22A3A">
          <w:rPr>
            <w:rStyle w:val="Hyperlink"/>
            <w:sz w:val="18"/>
            <w:szCs w:val="18"/>
            <w:shd w:val="clear" w:color="auto" w:fill="FFFFFF" w:themeFill="background1"/>
            <w:lang w:val="en-GB"/>
          </w:rPr>
          <w:t>www</w:t>
        </w:r>
        <w:r w:rsidRPr="008349EA">
          <w:rPr>
            <w:rStyle w:val="Hyperlink"/>
            <w:sz w:val="18"/>
            <w:szCs w:val="18"/>
            <w:shd w:val="clear" w:color="auto" w:fill="FFFFFF" w:themeFill="background1"/>
          </w:rPr>
          <w:t>.</w:t>
        </w:r>
        <w:r w:rsidRPr="00C22A3A">
          <w:rPr>
            <w:rStyle w:val="Hyperlink"/>
            <w:sz w:val="18"/>
            <w:szCs w:val="18"/>
            <w:shd w:val="clear" w:color="auto" w:fill="FFFFFF" w:themeFill="background1"/>
            <w:lang w:val="en-GB"/>
          </w:rPr>
          <w:t>itu</w:t>
        </w:r>
        <w:r w:rsidRPr="008349EA">
          <w:rPr>
            <w:rStyle w:val="Hyperlink"/>
            <w:sz w:val="18"/>
            <w:szCs w:val="18"/>
            <w:shd w:val="clear" w:color="auto" w:fill="FFFFFF" w:themeFill="background1"/>
          </w:rPr>
          <w:t>.</w:t>
        </w:r>
        <w:r w:rsidRPr="00C22A3A">
          <w:rPr>
            <w:rStyle w:val="Hyperlink"/>
            <w:sz w:val="18"/>
            <w:szCs w:val="18"/>
            <w:shd w:val="clear" w:color="auto" w:fill="FFFFFF" w:themeFill="background1"/>
            <w:lang w:val="en-GB"/>
          </w:rPr>
          <w:t>int</w:t>
        </w:r>
        <w:r w:rsidRPr="008349EA">
          <w:rPr>
            <w:rStyle w:val="Hyperlink"/>
            <w:sz w:val="18"/>
            <w:szCs w:val="18"/>
            <w:shd w:val="clear" w:color="auto" w:fill="FFFFFF" w:themeFill="background1"/>
          </w:rPr>
          <w:t>/</w:t>
        </w:r>
        <w:r w:rsidRPr="00C22A3A">
          <w:rPr>
            <w:rStyle w:val="Hyperlink"/>
            <w:sz w:val="18"/>
            <w:szCs w:val="18"/>
            <w:shd w:val="clear" w:color="auto" w:fill="FFFFFF" w:themeFill="background1"/>
            <w:lang w:val="en-GB"/>
          </w:rPr>
          <w:t>en</w:t>
        </w:r>
        <w:r w:rsidRPr="008349EA">
          <w:rPr>
            <w:rStyle w:val="Hyperlink"/>
            <w:sz w:val="18"/>
            <w:szCs w:val="18"/>
            <w:shd w:val="clear" w:color="auto" w:fill="FFFFFF" w:themeFill="background1"/>
          </w:rPr>
          <w:t>/</w:t>
        </w:r>
        <w:r w:rsidRPr="00C22A3A">
          <w:rPr>
            <w:rStyle w:val="Hyperlink"/>
            <w:sz w:val="18"/>
            <w:szCs w:val="18"/>
            <w:shd w:val="clear" w:color="auto" w:fill="FFFFFF" w:themeFill="background1"/>
            <w:lang w:val="en-GB"/>
          </w:rPr>
          <w:t>ITU</w:t>
        </w:r>
        <w:r w:rsidRPr="008349EA">
          <w:rPr>
            <w:rStyle w:val="Hyperlink"/>
            <w:sz w:val="18"/>
            <w:szCs w:val="18"/>
            <w:shd w:val="clear" w:color="auto" w:fill="FFFFFF" w:themeFill="background1"/>
          </w:rPr>
          <w:t>-</w:t>
        </w:r>
        <w:r w:rsidRPr="00C22A3A">
          <w:rPr>
            <w:rStyle w:val="Hyperlink"/>
            <w:sz w:val="18"/>
            <w:szCs w:val="18"/>
            <w:shd w:val="clear" w:color="auto" w:fill="FFFFFF" w:themeFill="background1"/>
            <w:lang w:val="en-GB"/>
          </w:rPr>
          <w:t>D</w:t>
        </w:r>
        <w:r w:rsidRPr="008349EA">
          <w:rPr>
            <w:rStyle w:val="Hyperlink"/>
            <w:sz w:val="18"/>
            <w:szCs w:val="18"/>
            <w:shd w:val="clear" w:color="auto" w:fill="FFFFFF" w:themeFill="background1"/>
          </w:rPr>
          <w:t>/</w:t>
        </w:r>
        <w:r w:rsidRPr="00C22A3A">
          <w:rPr>
            <w:rStyle w:val="Hyperlink"/>
            <w:sz w:val="18"/>
            <w:szCs w:val="18"/>
            <w:shd w:val="clear" w:color="auto" w:fill="FFFFFF" w:themeFill="background1"/>
            <w:lang w:val="en-GB"/>
          </w:rPr>
          <w:t>Projects</w:t>
        </w:r>
        <w:r w:rsidRPr="008349EA">
          <w:rPr>
            <w:rStyle w:val="Hyperlink"/>
            <w:sz w:val="18"/>
            <w:szCs w:val="18"/>
            <w:shd w:val="clear" w:color="auto" w:fill="FFFFFF" w:themeFill="background1"/>
          </w:rPr>
          <w:t>/</w:t>
        </w:r>
      </w:hyperlink>
      <w:r w:rsidR="00C22A3A" w:rsidRPr="008349EA">
        <w:rPr>
          <w:rStyle w:val="Hyperlink"/>
          <w:sz w:val="18"/>
          <w:szCs w:val="18"/>
          <w:u w:val="none"/>
        </w:rPr>
        <w:t>.</w:t>
      </w:r>
    </w:p>
  </w:footnote>
  <w:footnote w:id="2">
    <w:p w14:paraId="66B81458" w14:textId="034170C8" w:rsidR="00063850" w:rsidRPr="008C0156" w:rsidRDefault="00063850" w:rsidP="00760BCC">
      <w:pPr>
        <w:pStyle w:val="FootnoteText"/>
        <w:rPr>
          <w:sz w:val="22"/>
        </w:rPr>
      </w:pPr>
      <w:r w:rsidRPr="00E012E7">
        <w:rPr>
          <w:rStyle w:val="FootnoteReference"/>
        </w:rPr>
        <w:footnoteRef/>
      </w:r>
      <w:bookmarkStart w:id="29" w:name="lt_pId189"/>
      <w:r w:rsidRPr="008C0156">
        <w:rPr>
          <w:i/>
          <w:iCs/>
        </w:rPr>
        <w:tab/>
      </w:r>
      <w:r w:rsidRPr="00760BCC">
        <w:t>Более</w:t>
      </w:r>
      <w:r w:rsidRPr="00FC2AAD">
        <w:t xml:space="preserve"> подробная информация о ФРИКТ </w:t>
      </w:r>
      <w:r w:rsidR="007D1F21">
        <w:t>приводится</w:t>
      </w:r>
      <w:r w:rsidRPr="00FC2AAD">
        <w:t xml:space="preserve"> в Документе </w:t>
      </w:r>
      <w:r w:rsidRPr="00FC2AAD">
        <w:rPr>
          <w:lang w:val="en-GB"/>
        </w:rPr>
        <w:t>C</w:t>
      </w:r>
      <w:r w:rsidRPr="00FC2AAD">
        <w:t>21/034</w:t>
      </w:r>
      <w:r w:rsidRPr="00FC2AAD">
        <w:rPr>
          <w:i/>
          <w:iCs/>
        </w:rPr>
        <w:t xml:space="preserve"> </w:t>
      </w:r>
      <w:r w:rsidRPr="00FC2AAD">
        <w:t xml:space="preserve">на веб-странице: </w:t>
      </w:r>
      <w:hyperlink w:history="1">
        <w:r w:rsidRPr="00854FD9">
          <w:rPr>
            <w:rStyle w:val="Hyperlink"/>
            <w:szCs w:val="20"/>
            <w:lang w:val="fr-FR"/>
          </w:rPr>
          <w:t>https</w:t>
        </w:r>
        <w:r w:rsidRPr="00854FD9">
          <w:rPr>
            <w:rStyle w:val="Hyperlink"/>
            <w:szCs w:val="20"/>
          </w:rPr>
          <w:t>:</w:t>
        </w:r>
      </w:hyperlink>
      <w:bookmarkEnd w:id="29"/>
      <w:r w:rsidRPr="00FC2AAD">
        <w:fldChar w:fldCharType="begin"/>
      </w:r>
      <w:r w:rsidRPr="008C0156">
        <w:instrText xml:space="preserve"> </w:instrText>
      </w:r>
      <w:r w:rsidRPr="00FC2AAD">
        <w:rPr>
          <w:lang w:val="fr-FR"/>
        </w:rPr>
        <w:instrText>HYPERLINK</w:instrText>
      </w:r>
      <w:r w:rsidRPr="008C0156">
        <w:instrText xml:space="preserve"> "</w:instrText>
      </w:r>
      <w:r w:rsidRPr="00FC2AAD">
        <w:rPr>
          <w:lang w:val="fr-FR"/>
        </w:rPr>
        <w:instrText>https</w:instrText>
      </w:r>
      <w:r w:rsidRPr="008C0156">
        <w:instrText>://</w:instrText>
      </w:r>
      <w:r w:rsidRPr="00FC2AAD">
        <w:rPr>
          <w:lang w:val="fr-FR"/>
        </w:rPr>
        <w:instrText>www</w:instrText>
      </w:r>
      <w:r w:rsidRPr="008C0156">
        <w:instrText>.</w:instrText>
      </w:r>
      <w:r w:rsidRPr="00FC2AAD">
        <w:rPr>
          <w:lang w:val="fr-FR"/>
        </w:rPr>
        <w:instrText>itu</w:instrText>
      </w:r>
      <w:r w:rsidRPr="008C0156">
        <w:instrText>.</w:instrText>
      </w:r>
      <w:r w:rsidRPr="00FC2AAD">
        <w:rPr>
          <w:lang w:val="fr-FR"/>
        </w:rPr>
        <w:instrText>int</w:instrText>
      </w:r>
      <w:r w:rsidRPr="008C0156">
        <w:instrText>/</w:instrText>
      </w:r>
      <w:r w:rsidRPr="00FC2AAD">
        <w:rPr>
          <w:lang w:val="fr-FR"/>
        </w:rPr>
        <w:instrText>md</w:instrText>
      </w:r>
      <w:r w:rsidRPr="008C0156">
        <w:instrText>/</w:instrText>
      </w:r>
      <w:r w:rsidRPr="00FC2AAD">
        <w:rPr>
          <w:lang w:val="fr-FR"/>
        </w:rPr>
        <w:instrText>S</w:instrText>
      </w:r>
      <w:r w:rsidRPr="008C0156">
        <w:instrText>21-</w:instrText>
      </w:r>
      <w:r w:rsidRPr="00FC2AAD">
        <w:rPr>
          <w:lang w:val="fr-FR"/>
        </w:rPr>
        <w:instrText>CL</w:instrText>
      </w:r>
      <w:r w:rsidRPr="008C0156">
        <w:instrText>-</w:instrText>
      </w:r>
      <w:r w:rsidRPr="00FC2AAD">
        <w:rPr>
          <w:lang w:val="fr-FR"/>
        </w:rPr>
        <w:instrText>C</w:instrText>
      </w:r>
      <w:r w:rsidRPr="008C0156">
        <w:instrText>-0034/</w:instrText>
      </w:r>
      <w:r w:rsidRPr="00FC2AAD">
        <w:rPr>
          <w:lang w:val="fr-FR"/>
        </w:rPr>
        <w:instrText>en</w:instrText>
      </w:r>
      <w:r w:rsidRPr="008C0156">
        <w:instrText xml:space="preserve">" </w:instrText>
      </w:r>
      <w:r w:rsidRPr="00FC2AAD">
        <w:fldChar w:fldCharType="separate"/>
      </w:r>
      <w:bookmarkStart w:id="30" w:name="lt_pId190"/>
      <w:r w:rsidRPr="008C0156">
        <w:rPr>
          <w:rStyle w:val="Hyperlink"/>
          <w:szCs w:val="20"/>
        </w:rPr>
        <w:t>//</w:t>
      </w:r>
      <w:r w:rsidRPr="00FC2AAD">
        <w:rPr>
          <w:rStyle w:val="Hyperlink"/>
          <w:szCs w:val="20"/>
          <w:lang w:val="fr-FR"/>
        </w:rPr>
        <w:t>www</w:t>
      </w:r>
      <w:r w:rsidRPr="008C0156">
        <w:rPr>
          <w:rStyle w:val="Hyperlink"/>
          <w:szCs w:val="20"/>
        </w:rPr>
        <w:t>.</w:t>
      </w:r>
      <w:r w:rsidRPr="00FC2AAD">
        <w:rPr>
          <w:rStyle w:val="Hyperlink"/>
          <w:szCs w:val="20"/>
          <w:lang w:val="fr-FR"/>
        </w:rPr>
        <w:t>itu</w:t>
      </w:r>
      <w:r w:rsidRPr="008C0156">
        <w:rPr>
          <w:rStyle w:val="Hyperlink"/>
          <w:szCs w:val="20"/>
        </w:rPr>
        <w:t>.</w:t>
      </w:r>
      <w:r w:rsidRPr="00FC2AAD">
        <w:rPr>
          <w:rStyle w:val="Hyperlink"/>
          <w:szCs w:val="20"/>
          <w:lang w:val="fr-FR"/>
        </w:rPr>
        <w:t>int</w:t>
      </w:r>
      <w:r w:rsidRPr="008C0156">
        <w:rPr>
          <w:rStyle w:val="Hyperlink"/>
          <w:szCs w:val="20"/>
        </w:rPr>
        <w:t>/</w:t>
      </w:r>
      <w:r w:rsidRPr="00FC2AAD">
        <w:rPr>
          <w:rStyle w:val="Hyperlink"/>
          <w:szCs w:val="20"/>
          <w:lang w:val="fr-FR"/>
        </w:rPr>
        <w:t>md</w:t>
      </w:r>
      <w:r w:rsidRPr="008C0156">
        <w:rPr>
          <w:rStyle w:val="Hyperlink"/>
          <w:szCs w:val="20"/>
        </w:rPr>
        <w:t>/</w:t>
      </w:r>
      <w:r w:rsidRPr="00FC2AAD">
        <w:rPr>
          <w:rStyle w:val="Hyperlink"/>
          <w:szCs w:val="20"/>
          <w:lang w:val="fr-FR"/>
        </w:rPr>
        <w:t>S</w:t>
      </w:r>
      <w:r w:rsidRPr="008C0156">
        <w:rPr>
          <w:rStyle w:val="Hyperlink"/>
          <w:szCs w:val="20"/>
        </w:rPr>
        <w:t>21-</w:t>
      </w:r>
      <w:r w:rsidRPr="00FC2AAD">
        <w:rPr>
          <w:rStyle w:val="Hyperlink"/>
          <w:szCs w:val="20"/>
          <w:lang w:val="fr-FR"/>
        </w:rPr>
        <w:t>CL</w:t>
      </w:r>
      <w:r w:rsidRPr="008C0156">
        <w:rPr>
          <w:rStyle w:val="Hyperlink"/>
          <w:szCs w:val="20"/>
        </w:rPr>
        <w:t>-</w:t>
      </w:r>
      <w:r w:rsidRPr="00FC2AAD">
        <w:rPr>
          <w:rStyle w:val="Hyperlink"/>
          <w:szCs w:val="20"/>
          <w:lang w:val="fr-FR"/>
        </w:rPr>
        <w:t>C</w:t>
      </w:r>
      <w:r w:rsidRPr="008C0156">
        <w:rPr>
          <w:rStyle w:val="Hyperlink"/>
          <w:szCs w:val="20"/>
        </w:rPr>
        <w:t>-0034/</w:t>
      </w:r>
      <w:r w:rsidRPr="00FC2AAD">
        <w:rPr>
          <w:rStyle w:val="Hyperlink"/>
          <w:szCs w:val="20"/>
          <w:lang w:val="fr-FR"/>
        </w:rPr>
        <w:t>en</w:t>
      </w:r>
      <w:bookmarkEnd w:id="30"/>
      <w:r w:rsidRPr="00FC2AAD">
        <w:rPr>
          <w:rStyle w:val="Hyperlink"/>
          <w:szCs w:val="20"/>
        </w:rPr>
        <w:fldChar w:fldCharType="end"/>
      </w:r>
      <w:r w:rsidRPr="008C0156">
        <w:t>.</w:t>
      </w:r>
    </w:p>
  </w:footnote>
  <w:footnote w:id="3">
    <w:p w14:paraId="3EF15E98" w14:textId="621C8D73" w:rsidR="00063850" w:rsidRPr="00CE7169" w:rsidRDefault="00063850" w:rsidP="00760BCC">
      <w:pPr>
        <w:pStyle w:val="FootnoteText"/>
      </w:pPr>
      <w:r w:rsidRPr="00E012E7">
        <w:rPr>
          <w:rStyle w:val="FootnoteReference"/>
        </w:rPr>
        <w:footnoteRef/>
      </w:r>
      <w:bookmarkStart w:id="31" w:name="lt_pId191"/>
      <w:r w:rsidRPr="008C0156">
        <w:tab/>
      </w:r>
      <w:r>
        <w:t>К р</w:t>
      </w:r>
      <w:r w:rsidRPr="008C0156">
        <w:t>есурс</w:t>
      </w:r>
      <w:r>
        <w:t>ам</w:t>
      </w:r>
      <w:r w:rsidRPr="008C0156">
        <w:t xml:space="preserve"> </w:t>
      </w:r>
      <w:r>
        <w:t>ОП</w:t>
      </w:r>
      <w:r w:rsidRPr="008C0156">
        <w:t xml:space="preserve"> </w:t>
      </w:r>
      <w:r w:rsidRPr="00760BCC">
        <w:t>относятся</w:t>
      </w:r>
      <w:r>
        <w:t xml:space="preserve"> </w:t>
      </w:r>
      <w:r w:rsidRPr="008C0156">
        <w:t xml:space="preserve">средства, </w:t>
      </w:r>
      <w:r>
        <w:t>выде</w:t>
      </w:r>
      <w:r w:rsidRPr="008C0156">
        <w:t xml:space="preserve">ленные Советом </w:t>
      </w:r>
      <w:r>
        <w:t>на</w:t>
      </w:r>
      <w:r w:rsidRPr="008C0156">
        <w:t xml:space="preserve"> реализаци</w:t>
      </w:r>
      <w:r>
        <w:t>ю</w:t>
      </w:r>
      <w:r w:rsidRPr="008C0156">
        <w:t xml:space="preserve"> региональных инициатив</w:t>
      </w:r>
      <w:r>
        <w:t xml:space="preserve"> </w:t>
      </w:r>
      <w:r w:rsidRPr="008C0156">
        <w:t>ВКРЭ-17.</w:t>
      </w:r>
      <w:bookmarkEnd w:id="31"/>
      <w:r w:rsidR="00CE7169">
        <w:t xml:space="preserve"> (</w:t>
      </w:r>
      <w:r w:rsidR="00290388">
        <w:t>5 млн. швейцарских франков</w:t>
      </w:r>
      <w:r w:rsidR="00CE7169">
        <w:t>)</w:t>
      </w:r>
    </w:p>
  </w:footnote>
  <w:footnote w:id="4">
    <w:p w14:paraId="599521A1" w14:textId="7AE2C6D7" w:rsidR="00CE7169" w:rsidRPr="008349EA" w:rsidRDefault="00CE7169" w:rsidP="00760BCC">
      <w:pPr>
        <w:pStyle w:val="FootnoteText"/>
      </w:pPr>
      <w:r w:rsidRPr="00382EF6">
        <w:rPr>
          <w:rStyle w:val="FootnoteReference"/>
          <w:rFonts w:cstheme="minorHAnsi"/>
          <w:szCs w:val="18"/>
        </w:rPr>
        <w:footnoteRef/>
      </w:r>
      <w:bookmarkStart w:id="36" w:name="lt_pId159"/>
      <w:r w:rsidRPr="008349EA">
        <w:tab/>
      </w:r>
      <w:r w:rsidR="006D0E5B">
        <w:t>На сессии Совета МСЭ 2018 года было выделено 5 млн. швейцарских франков на разработку проектов, связанных с осуществлением региональных инициатив ВКРЭ</w:t>
      </w:r>
      <w:r w:rsidR="006D0E5B">
        <w:noBreakHyphen/>
        <w:t>17</w:t>
      </w:r>
      <w:r w:rsidRPr="008349EA">
        <w:t>.</w:t>
      </w:r>
      <w:bookmarkEnd w:id="36"/>
    </w:p>
  </w:footnote>
  <w:footnote w:id="5">
    <w:p w14:paraId="78B9B255" w14:textId="630EFBB1" w:rsidR="00760BCC" w:rsidRPr="00760BCC" w:rsidRDefault="00760BCC" w:rsidP="00760BCC">
      <w:pPr>
        <w:pStyle w:val="FootnoteText"/>
      </w:pPr>
      <w:r w:rsidRPr="00C95A75">
        <w:rPr>
          <w:rStyle w:val="FootnoteReference"/>
          <w:szCs w:val="18"/>
        </w:rPr>
        <w:footnoteRef/>
      </w:r>
      <w:bookmarkStart w:id="48" w:name="lt_pId160"/>
      <w:r>
        <w:tab/>
      </w:r>
      <w:r>
        <w:tab/>
      </w:r>
      <w:r w:rsidRPr="00760BCC">
        <w:rPr>
          <w:shd w:val="clear" w:color="auto" w:fill="FFFFFF" w:themeFill="background1"/>
        </w:rPr>
        <w:t>Дополнительная информация о партнерствах МСЭ-</w:t>
      </w:r>
      <w:r w:rsidRPr="00760BCC">
        <w:rPr>
          <w:shd w:val="clear" w:color="auto" w:fill="FFFFFF" w:themeFill="background1"/>
          <w:lang w:val="en-GB"/>
        </w:rPr>
        <w:t>D</w:t>
      </w:r>
      <w:r w:rsidRPr="00760BCC">
        <w:rPr>
          <w:shd w:val="clear" w:color="auto" w:fill="FFFFFF" w:themeFill="background1"/>
        </w:rPr>
        <w:t xml:space="preserve"> и мобилизации ресурсов </w:t>
      </w:r>
      <w:r w:rsidR="00CD427A">
        <w:rPr>
          <w:shd w:val="clear" w:color="auto" w:fill="FFFFFF" w:themeFill="background1"/>
        </w:rPr>
        <w:t>содержится</w:t>
      </w:r>
      <w:r w:rsidRPr="00760BCC">
        <w:rPr>
          <w:shd w:val="clear" w:color="auto" w:fill="FFFFFF" w:themeFill="background1"/>
        </w:rPr>
        <w:t xml:space="preserve"> в </w:t>
      </w:r>
      <w:r w:rsidR="00CD427A">
        <w:rPr>
          <w:shd w:val="clear" w:color="auto" w:fill="FFFFFF" w:themeFill="background1"/>
        </w:rPr>
        <w:t>Д</w:t>
      </w:r>
      <w:r w:rsidRPr="00760BCC">
        <w:rPr>
          <w:shd w:val="clear" w:color="auto" w:fill="FFFFFF" w:themeFill="background1"/>
        </w:rPr>
        <w:t xml:space="preserve">окументах </w:t>
      </w:r>
      <w:r w:rsidRPr="00760BCC">
        <w:rPr>
          <w:shd w:val="clear" w:color="auto" w:fill="FFFFFF" w:themeFill="background1"/>
          <w:lang w:val="en-GB"/>
        </w:rPr>
        <w:t>TDAG</w:t>
      </w:r>
      <w:r w:rsidRPr="00760BCC">
        <w:rPr>
          <w:shd w:val="clear" w:color="auto" w:fill="FFFFFF" w:themeFill="background1"/>
        </w:rPr>
        <w:t>-21/2/7</w:t>
      </w:r>
      <w:r w:rsidRPr="00760BCC">
        <w:rPr>
          <w:shd w:val="clear" w:color="auto" w:fill="FFFFFF" w:themeFill="background1"/>
          <w:lang w:val="en-GB"/>
        </w:rPr>
        <w:t> </w:t>
      </w:r>
      <w:r w:rsidRPr="00760BCC">
        <w:rPr>
          <w:shd w:val="clear" w:color="auto" w:fill="FFFFFF" w:themeFill="background1"/>
        </w:rPr>
        <w:t xml:space="preserve">и </w:t>
      </w:r>
      <w:r w:rsidRPr="00760BCC">
        <w:rPr>
          <w:shd w:val="clear" w:color="auto" w:fill="FFFFFF" w:themeFill="background1"/>
          <w:lang w:val="en-GB"/>
        </w:rPr>
        <w:t>INF</w:t>
      </w:r>
      <w:r w:rsidRPr="00760BCC">
        <w:rPr>
          <w:shd w:val="clear" w:color="auto" w:fill="FFFFFF" w:themeFill="background1"/>
        </w:rPr>
        <w:t xml:space="preserve">/2, а также </w:t>
      </w:r>
      <w:r w:rsidRPr="00760BCC">
        <w:rPr>
          <w:shd w:val="clear" w:color="auto" w:fill="FFFFFF" w:themeFill="background1"/>
          <w:lang w:val="en-GB"/>
        </w:rPr>
        <w:t>TDAG</w:t>
      </w:r>
      <w:r w:rsidRPr="00760BCC">
        <w:rPr>
          <w:shd w:val="clear" w:color="auto" w:fill="FFFFFF" w:themeFill="background1"/>
        </w:rPr>
        <w:t>-21/2/8 о Членах Сектора, Ассоциированных членах и Академических организациях – Членах МСЭ-</w:t>
      </w:r>
      <w:r w:rsidRPr="00760BCC">
        <w:rPr>
          <w:shd w:val="clear" w:color="auto" w:fill="FFFFFF" w:themeFill="background1"/>
          <w:lang w:val="en-GB"/>
        </w:rPr>
        <w:t>D</w:t>
      </w:r>
      <w:bookmarkEnd w:id="48"/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AB6E7" w14:textId="289834D7" w:rsidR="003A294B" w:rsidRPr="00701E31" w:rsidRDefault="003A294B" w:rsidP="001326A4">
    <w:pPr>
      <w:tabs>
        <w:tab w:val="clear" w:pos="794"/>
        <w:tab w:val="clear" w:pos="1191"/>
        <w:tab w:val="clear" w:pos="1588"/>
        <w:tab w:val="clear" w:pos="1985"/>
        <w:tab w:val="center" w:pos="4536"/>
        <w:tab w:val="right" w:pos="9639"/>
      </w:tabs>
      <w:spacing w:before="0"/>
      <w:rPr>
        <w:smallCaps/>
        <w:spacing w:val="24"/>
      </w:rPr>
    </w:pPr>
    <w:r w:rsidRPr="00972BCD">
      <w:tab/>
    </w:r>
    <w:r w:rsidRPr="002236F8">
      <w:t>TDAG</w:t>
    </w:r>
    <w:r w:rsidR="0040328D" w:rsidRPr="0040328D">
      <w:t>-</w:t>
    </w:r>
    <w:r w:rsidR="002931FA">
      <w:rPr>
        <w:lang w:val="en-US"/>
      </w:rPr>
      <w:t>2</w:t>
    </w:r>
    <w:r w:rsidR="00B9410B">
      <w:rPr>
        <w:lang w:val="en-US"/>
      </w:rPr>
      <w:t>1</w:t>
    </w:r>
    <w:r w:rsidRPr="00701E31">
      <w:t>/</w:t>
    </w:r>
    <w:r w:rsidR="00EC71BC">
      <w:rPr>
        <w:lang w:val="en-US"/>
      </w:rPr>
      <w:t>2/</w:t>
    </w:r>
    <w:r w:rsidR="00063850">
      <w:rPr>
        <w:lang w:val="en-US"/>
      </w:rPr>
      <w:t>7</w:t>
    </w:r>
    <w:r w:rsidRPr="00701E31">
      <w:t>-</w:t>
    </w:r>
    <w:r w:rsidRPr="00D923CD">
      <w:t>R</w:t>
    </w:r>
    <w:r w:rsidRPr="00701E31">
      <w:tab/>
    </w:r>
    <w:r w:rsidR="00D923CD" w:rsidRPr="00701E31">
      <w:t>Страница</w:t>
    </w:r>
    <w:r w:rsidR="00D923CD" w:rsidRPr="00701E31">
      <w:rPr>
        <w:rStyle w:val="PageNumber"/>
      </w:rPr>
      <w:t xml:space="preserve"> </w:t>
    </w:r>
    <w:r w:rsidR="00D923CD" w:rsidRPr="00DE3BA6">
      <w:rPr>
        <w:rStyle w:val="PageNumber"/>
      </w:rPr>
      <w:fldChar w:fldCharType="begin"/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instrText>PAGE</w:instrText>
    </w:r>
    <w:r w:rsidR="00D923CD" w:rsidRPr="00701E31">
      <w:rPr>
        <w:rStyle w:val="PageNumber"/>
      </w:rPr>
      <w:instrText xml:space="preserve"> </w:instrText>
    </w:r>
    <w:r w:rsidR="00D923CD" w:rsidRPr="00DE3BA6">
      <w:rPr>
        <w:rStyle w:val="PageNumber"/>
      </w:rPr>
      <w:fldChar w:fldCharType="separate"/>
    </w:r>
    <w:r w:rsidR="005773D4">
      <w:rPr>
        <w:rStyle w:val="PageNumber"/>
        <w:noProof/>
      </w:rPr>
      <w:t>2</w:t>
    </w:r>
    <w:r w:rsidR="00D923CD" w:rsidRPr="00DE3BA6"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E8CD5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C6EB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DAA0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95EB20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506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28D8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0EB3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16C85A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8CF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62C2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A014CC"/>
    <w:multiLevelType w:val="hybridMultilevel"/>
    <w:tmpl w:val="FB802B88"/>
    <w:lvl w:ilvl="0" w:tplc="D8AA70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37A618F"/>
    <w:multiLevelType w:val="hybridMultilevel"/>
    <w:tmpl w:val="0C522698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F7429"/>
    <w:multiLevelType w:val="multilevel"/>
    <w:tmpl w:val="674656F2"/>
    <w:lvl w:ilvl="0">
      <w:start w:val="2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37"/>
        </w:tabs>
        <w:ind w:left="937" w:hanging="795"/>
      </w:pPr>
      <w:rPr>
        <w:rFonts w:cs="Times New Roman"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3" w15:restartNumberingAfterBreak="0">
    <w:nsid w:val="32B05569"/>
    <w:multiLevelType w:val="multilevel"/>
    <w:tmpl w:val="C51A344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427658A7"/>
    <w:multiLevelType w:val="hybridMultilevel"/>
    <w:tmpl w:val="A652166A"/>
    <w:lvl w:ilvl="0" w:tplc="E49CF8E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50A40DD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8C3F2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B7C040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52A356E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7D4631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55086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5A26498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8B8380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FD14BD"/>
    <w:multiLevelType w:val="hybridMultilevel"/>
    <w:tmpl w:val="92068DA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47DD34DE"/>
    <w:multiLevelType w:val="hybridMultilevel"/>
    <w:tmpl w:val="B3F0878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1A7AC0"/>
    <w:multiLevelType w:val="hybridMultilevel"/>
    <w:tmpl w:val="EC7CDB94"/>
    <w:lvl w:ilvl="0" w:tplc="D8AA70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057924"/>
    <w:multiLevelType w:val="hybridMultilevel"/>
    <w:tmpl w:val="B3CAB86E"/>
    <w:lvl w:ilvl="0" w:tplc="D8360F84">
      <w:start w:val="1"/>
      <w:numFmt w:val="bullet"/>
      <w:lvlText w:val=""/>
      <w:lvlJc w:val="left"/>
      <w:pPr>
        <w:ind w:left="3763" w:hanging="360"/>
      </w:pPr>
      <w:rPr>
        <w:rFonts w:ascii="Symbol" w:hAnsi="Symbol" w:hint="default"/>
      </w:rPr>
    </w:lvl>
    <w:lvl w:ilvl="1" w:tplc="A2AC29CE">
      <w:start w:val="1"/>
      <w:numFmt w:val="bullet"/>
      <w:lvlText w:val="o"/>
      <w:lvlJc w:val="left"/>
      <w:pPr>
        <w:ind w:left="4483" w:hanging="360"/>
      </w:pPr>
      <w:rPr>
        <w:rFonts w:ascii="Courier New" w:hAnsi="Courier New" w:cs="Courier New" w:hint="default"/>
      </w:rPr>
    </w:lvl>
    <w:lvl w:ilvl="2" w:tplc="1C0A1506">
      <w:start w:val="1"/>
      <w:numFmt w:val="bullet"/>
      <w:lvlText w:val=""/>
      <w:lvlJc w:val="left"/>
      <w:pPr>
        <w:ind w:left="5203" w:hanging="360"/>
      </w:pPr>
      <w:rPr>
        <w:rFonts w:ascii="Wingdings" w:hAnsi="Wingdings" w:hint="default"/>
      </w:rPr>
    </w:lvl>
    <w:lvl w:ilvl="3" w:tplc="F6023192">
      <w:start w:val="1"/>
      <w:numFmt w:val="bullet"/>
      <w:lvlText w:val=""/>
      <w:lvlJc w:val="left"/>
      <w:pPr>
        <w:ind w:left="5923" w:hanging="360"/>
      </w:pPr>
      <w:rPr>
        <w:rFonts w:ascii="Symbol" w:hAnsi="Symbol" w:hint="default"/>
      </w:rPr>
    </w:lvl>
    <w:lvl w:ilvl="4" w:tplc="FE908222">
      <w:start w:val="1"/>
      <w:numFmt w:val="bullet"/>
      <w:lvlText w:val="o"/>
      <w:lvlJc w:val="left"/>
      <w:pPr>
        <w:ind w:left="6643" w:hanging="360"/>
      </w:pPr>
      <w:rPr>
        <w:rFonts w:ascii="Courier New" w:hAnsi="Courier New" w:cs="Courier New" w:hint="default"/>
      </w:rPr>
    </w:lvl>
    <w:lvl w:ilvl="5" w:tplc="E7761DB4">
      <w:start w:val="1"/>
      <w:numFmt w:val="bullet"/>
      <w:lvlText w:val=""/>
      <w:lvlJc w:val="left"/>
      <w:pPr>
        <w:ind w:left="7363" w:hanging="360"/>
      </w:pPr>
      <w:rPr>
        <w:rFonts w:ascii="Wingdings" w:hAnsi="Wingdings" w:hint="default"/>
      </w:rPr>
    </w:lvl>
    <w:lvl w:ilvl="6" w:tplc="07E675EE">
      <w:start w:val="1"/>
      <w:numFmt w:val="bullet"/>
      <w:lvlText w:val=""/>
      <w:lvlJc w:val="left"/>
      <w:pPr>
        <w:ind w:left="8083" w:hanging="360"/>
      </w:pPr>
      <w:rPr>
        <w:rFonts w:ascii="Symbol" w:hAnsi="Symbol" w:hint="default"/>
      </w:rPr>
    </w:lvl>
    <w:lvl w:ilvl="7" w:tplc="98A47618">
      <w:start w:val="1"/>
      <w:numFmt w:val="bullet"/>
      <w:lvlText w:val="o"/>
      <w:lvlJc w:val="left"/>
      <w:pPr>
        <w:ind w:left="8803" w:hanging="360"/>
      </w:pPr>
      <w:rPr>
        <w:rFonts w:ascii="Courier New" w:hAnsi="Courier New" w:cs="Courier New" w:hint="default"/>
      </w:rPr>
    </w:lvl>
    <w:lvl w:ilvl="8" w:tplc="F7C4D638">
      <w:start w:val="1"/>
      <w:numFmt w:val="bullet"/>
      <w:lvlText w:val=""/>
      <w:lvlJc w:val="left"/>
      <w:pPr>
        <w:ind w:left="9523" w:hanging="360"/>
      </w:pPr>
      <w:rPr>
        <w:rFonts w:ascii="Wingdings" w:hAnsi="Wingdings" w:hint="default"/>
      </w:rPr>
    </w:lvl>
  </w:abstractNum>
  <w:abstractNum w:abstractNumId="19" w15:restartNumberingAfterBreak="0">
    <w:nsid w:val="7D02077D"/>
    <w:multiLevelType w:val="multilevel"/>
    <w:tmpl w:val="24CCF2D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95" w:hanging="79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95" w:hanging="79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95" w:hanging="79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2"/>
  </w:num>
  <w:num w:numId="2">
    <w:abstractNumId w:val="15"/>
  </w:num>
  <w:num w:numId="3">
    <w:abstractNumId w:val="19"/>
  </w:num>
  <w:num w:numId="4">
    <w:abstractNumId w:val="13"/>
  </w:num>
  <w:num w:numId="5">
    <w:abstractNumId w:val="10"/>
  </w:num>
  <w:num w:numId="6">
    <w:abstractNumId w:val="17"/>
  </w:num>
  <w:num w:numId="7">
    <w:abstractNumId w:val="11"/>
  </w:num>
  <w:num w:numId="8">
    <w:abstractNumId w:val="16"/>
  </w:num>
  <w:num w:numId="9">
    <w:abstractNumId w:val="18"/>
  </w:num>
  <w:num w:numId="10">
    <w:abstractNumId w:val="14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activeWritingStyle w:appName="MSWord" w:lang="es-ES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2FE"/>
    <w:rsid w:val="00015A5F"/>
    <w:rsid w:val="00022EFD"/>
    <w:rsid w:val="000554B1"/>
    <w:rsid w:val="00063850"/>
    <w:rsid w:val="00075631"/>
    <w:rsid w:val="000F40D4"/>
    <w:rsid w:val="00102DCA"/>
    <w:rsid w:val="00107E03"/>
    <w:rsid w:val="00111662"/>
    <w:rsid w:val="001326A4"/>
    <w:rsid w:val="00134D3C"/>
    <w:rsid w:val="0014073D"/>
    <w:rsid w:val="00144B14"/>
    <w:rsid w:val="001530FB"/>
    <w:rsid w:val="001554A2"/>
    <w:rsid w:val="00161543"/>
    <w:rsid w:val="0016764D"/>
    <w:rsid w:val="00191479"/>
    <w:rsid w:val="00193D68"/>
    <w:rsid w:val="00197305"/>
    <w:rsid w:val="001A4715"/>
    <w:rsid w:val="001C6DD3"/>
    <w:rsid w:val="001D6FB6"/>
    <w:rsid w:val="001E3E78"/>
    <w:rsid w:val="00202CD8"/>
    <w:rsid w:val="00202D0A"/>
    <w:rsid w:val="002219FC"/>
    <w:rsid w:val="002236F8"/>
    <w:rsid w:val="00233B04"/>
    <w:rsid w:val="002363C5"/>
    <w:rsid w:val="002502FE"/>
    <w:rsid w:val="00257C2C"/>
    <w:rsid w:val="00270876"/>
    <w:rsid w:val="002717CC"/>
    <w:rsid w:val="00286C56"/>
    <w:rsid w:val="00290388"/>
    <w:rsid w:val="002931FA"/>
    <w:rsid w:val="002A2EF0"/>
    <w:rsid w:val="002D54A0"/>
    <w:rsid w:val="00316454"/>
    <w:rsid w:val="00334BF9"/>
    <w:rsid w:val="00366978"/>
    <w:rsid w:val="00372A79"/>
    <w:rsid w:val="0038364E"/>
    <w:rsid w:val="003A1F4B"/>
    <w:rsid w:val="003A294B"/>
    <w:rsid w:val="003A67C1"/>
    <w:rsid w:val="003C6E83"/>
    <w:rsid w:val="003D5B34"/>
    <w:rsid w:val="003E6E87"/>
    <w:rsid w:val="004021C4"/>
    <w:rsid w:val="0040328D"/>
    <w:rsid w:val="004143D5"/>
    <w:rsid w:val="00422053"/>
    <w:rsid w:val="0043196F"/>
    <w:rsid w:val="00434019"/>
    <w:rsid w:val="00444881"/>
    <w:rsid w:val="004713B8"/>
    <w:rsid w:val="004726D2"/>
    <w:rsid w:val="00472B77"/>
    <w:rsid w:val="00476241"/>
    <w:rsid w:val="00492670"/>
    <w:rsid w:val="004B4067"/>
    <w:rsid w:val="004E34C5"/>
    <w:rsid w:val="004E4490"/>
    <w:rsid w:val="005773D4"/>
    <w:rsid w:val="005C0551"/>
    <w:rsid w:val="005D4DF3"/>
    <w:rsid w:val="005E006A"/>
    <w:rsid w:val="00631202"/>
    <w:rsid w:val="006459A3"/>
    <w:rsid w:val="0064798B"/>
    <w:rsid w:val="00653331"/>
    <w:rsid w:val="00655923"/>
    <w:rsid w:val="0067594E"/>
    <w:rsid w:val="00694764"/>
    <w:rsid w:val="006C13C6"/>
    <w:rsid w:val="006D0E5B"/>
    <w:rsid w:val="006E5AF4"/>
    <w:rsid w:val="006E5EF0"/>
    <w:rsid w:val="006F5E91"/>
    <w:rsid w:val="00701E31"/>
    <w:rsid w:val="00760BCC"/>
    <w:rsid w:val="007D1F21"/>
    <w:rsid w:val="007E6B3A"/>
    <w:rsid w:val="008112E9"/>
    <w:rsid w:val="008275DF"/>
    <w:rsid w:val="00827BC2"/>
    <w:rsid w:val="008349EA"/>
    <w:rsid w:val="00835DF3"/>
    <w:rsid w:val="00850C89"/>
    <w:rsid w:val="00875722"/>
    <w:rsid w:val="008C576E"/>
    <w:rsid w:val="008F072F"/>
    <w:rsid w:val="008F5423"/>
    <w:rsid w:val="009135B4"/>
    <w:rsid w:val="00916B10"/>
    <w:rsid w:val="00921C6F"/>
    <w:rsid w:val="00933E0E"/>
    <w:rsid w:val="0096035F"/>
    <w:rsid w:val="0096239A"/>
    <w:rsid w:val="009A5D3A"/>
    <w:rsid w:val="009B574A"/>
    <w:rsid w:val="009C5B8E"/>
    <w:rsid w:val="00A21A0B"/>
    <w:rsid w:val="00A30897"/>
    <w:rsid w:val="00A3199B"/>
    <w:rsid w:val="00A44602"/>
    <w:rsid w:val="00A5243E"/>
    <w:rsid w:val="00A543BD"/>
    <w:rsid w:val="00A5482C"/>
    <w:rsid w:val="00A64908"/>
    <w:rsid w:val="00A64F9D"/>
    <w:rsid w:val="00A73D91"/>
    <w:rsid w:val="00AA04FA"/>
    <w:rsid w:val="00AA0D9C"/>
    <w:rsid w:val="00AA42F8"/>
    <w:rsid w:val="00AA697B"/>
    <w:rsid w:val="00AC2E0E"/>
    <w:rsid w:val="00AC6023"/>
    <w:rsid w:val="00AD5FE3"/>
    <w:rsid w:val="00AE0BB7"/>
    <w:rsid w:val="00AE1BA7"/>
    <w:rsid w:val="00AE30E4"/>
    <w:rsid w:val="00AE4B85"/>
    <w:rsid w:val="00B13DD6"/>
    <w:rsid w:val="00B222FE"/>
    <w:rsid w:val="00B24169"/>
    <w:rsid w:val="00B52E6E"/>
    <w:rsid w:val="00B67178"/>
    <w:rsid w:val="00B726C0"/>
    <w:rsid w:val="00B75868"/>
    <w:rsid w:val="00B86DFA"/>
    <w:rsid w:val="00B9410B"/>
    <w:rsid w:val="00B961EF"/>
    <w:rsid w:val="00BD2C91"/>
    <w:rsid w:val="00BD7A1A"/>
    <w:rsid w:val="00C021A4"/>
    <w:rsid w:val="00C0711D"/>
    <w:rsid w:val="00C22A3A"/>
    <w:rsid w:val="00C3333A"/>
    <w:rsid w:val="00C33388"/>
    <w:rsid w:val="00C62E82"/>
    <w:rsid w:val="00C719E7"/>
    <w:rsid w:val="00C71A6F"/>
    <w:rsid w:val="00C80387"/>
    <w:rsid w:val="00C84CCD"/>
    <w:rsid w:val="00CA5389"/>
    <w:rsid w:val="00CD1F3E"/>
    <w:rsid w:val="00CD34AE"/>
    <w:rsid w:val="00CD427A"/>
    <w:rsid w:val="00CD7AC0"/>
    <w:rsid w:val="00CE287F"/>
    <w:rsid w:val="00CE37A1"/>
    <w:rsid w:val="00CE5E7B"/>
    <w:rsid w:val="00CE7169"/>
    <w:rsid w:val="00D16175"/>
    <w:rsid w:val="00D3591F"/>
    <w:rsid w:val="00D460AB"/>
    <w:rsid w:val="00D712FE"/>
    <w:rsid w:val="00D812DF"/>
    <w:rsid w:val="00D90831"/>
    <w:rsid w:val="00D923CD"/>
    <w:rsid w:val="00D934D3"/>
    <w:rsid w:val="00D93FCC"/>
    <w:rsid w:val="00DA4610"/>
    <w:rsid w:val="00DC354B"/>
    <w:rsid w:val="00DD19E1"/>
    <w:rsid w:val="00DD5D8C"/>
    <w:rsid w:val="00DE4667"/>
    <w:rsid w:val="00DF7788"/>
    <w:rsid w:val="00E06A7D"/>
    <w:rsid w:val="00E30170"/>
    <w:rsid w:val="00E367FB"/>
    <w:rsid w:val="00E40BD6"/>
    <w:rsid w:val="00E52764"/>
    <w:rsid w:val="00E54FD2"/>
    <w:rsid w:val="00E609EA"/>
    <w:rsid w:val="00E804AE"/>
    <w:rsid w:val="00E82D31"/>
    <w:rsid w:val="00EA614D"/>
    <w:rsid w:val="00EC71BC"/>
    <w:rsid w:val="00EE153D"/>
    <w:rsid w:val="00EE18BA"/>
    <w:rsid w:val="00F72A94"/>
    <w:rsid w:val="00F746B3"/>
    <w:rsid w:val="00F846B0"/>
    <w:rsid w:val="00F961B7"/>
    <w:rsid w:val="00FA2BC3"/>
    <w:rsid w:val="00FA6BDB"/>
    <w:rsid w:val="00FB1653"/>
    <w:rsid w:val="00FC1008"/>
    <w:rsid w:val="00FC4A5E"/>
    <w:rsid w:val="00FC5ABC"/>
    <w:rsid w:val="00FF0C7F"/>
    <w:rsid w:val="00FF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A057842"/>
  <w15:docId w15:val="{15149C44-EE05-4954-9840-24F51E22D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543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 w:after="0" w:line="240" w:lineRule="auto"/>
      <w:textAlignment w:val="baseline"/>
    </w:pPr>
    <w:rPr>
      <w:rFonts w:ascii="Calibri" w:eastAsia="Times New Roman" w:hAnsi="Calibri" w:cs="Times New Roman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FF347C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qFormat/>
    <w:rsid w:val="00C71A6F"/>
    <w:pPr>
      <w:spacing w:before="320"/>
      <w:outlineLvl w:val="1"/>
    </w:pPr>
    <w:rPr>
      <w:rFonts w:cs="Times New Roman Bold"/>
      <w:bCs/>
    </w:rPr>
  </w:style>
  <w:style w:type="paragraph" w:styleId="Heading3">
    <w:name w:val="heading 3"/>
    <w:basedOn w:val="Heading1"/>
    <w:next w:val="Normal"/>
    <w:link w:val="Heading3Char"/>
    <w:qFormat/>
    <w:rsid w:val="00CE37A1"/>
    <w:pPr>
      <w:spacing w:before="20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CE37A1"/>
    <w:pPr>
      <w:ind w:left="1134" w:hanging="1134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CE37A1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CE37A1"/>
    <w:pPr>
      <w:outlineLvl w:val="5"/>
    </w:pPr>
  </w:style>
  <w:style w:type="paragraph" w:styleId="Heading7">
    <w:name w:val="heading 7"/>
    <w:basedOn w:val="Heading4"/>
    <w:next w:val="Normal"/>
    <w:link w:val="Heading7Char"/>
    <w:qFormat/>
    <w:rsid w:val="00CE37A1"/>
    <w:pPr>
      <w:ind w:left="1701" w:hanging="1701"/>
      <w:outlineLvl w:val="6"/>
    </w:pPr>
  </w:style>
  <w:style w:type="paragraph" w:styleId="Heading8">
    <w:name w:val="heading 8"/>
    <w:basedOn w:val="Heading4"/>
    <w:next w:val="Normal"/>
    <w:link w:val="Heading8Char"/>
    <w:qFormat/>
    <w:rsid w:val="00CE37A1"/>
    <w:pPr>
      <w:ind w:left="1701" w:hanging="1701"/>
      <w:outlineLvl w:val="7"/>
    </w:pPr>
  </w:style>
  <w:style w:type="paragraph" w:styleId="Heading9">
    <w:name w:val="heading 9"/>
    <w:basedOn w:val="Heading4"/>
    <w:next w:val="Normal"/>
    <w:link w:val="Heading9Char"/>
    <w:qFormat/>
    <w:rsid w:val="00CE37A1"/>
    <w:pPr>
      <w:ind w:left="1701" w:hanging="1701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CE37A1"/>
    <w:pPr>
      <w:jc w:val="center"/>
    </w:pPr>
    <w:rPr>
      <w:sz w:val="26"/>
    </w:rPr>
  </w:style>
  <w:style w:type="paragraph" w:customStyle="1" w:styleId="Annextitle">
    <w:name w:val="Annex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AppendixNo">
    <w:name w:val="Appendix_No"/>
    <w:basedOn w:val="AnnexNo"/>
    <w:next w:val="Normal"/>
    <w:rsid w:val="00CE37A1"/>
  </w:style>
  <w:style w:type="paragraph" w:customStyle="1" w:styleId="Appendixref">
    <w:name w:val="Appendix_ref"/>
    <w:basedOn w:val="Annexref"/>
    <w:next w:val="Normal"/>
    <w:rsid w:val="00CE37A1"/>
  </w:style>
  <w:style w:type="paragraph" w:customStyle="1" w:styleId="Appendixtitle">
    <w:name w:val="Appendix_title"/>
    <w:basedOn w:val="Annextitle"/>
    <w:next w:val="Normal"/>
    <w:rsid w:val="00CE37A1"/>
    <w:rPr>
      <w:sz w:val="22"/>
    </w:rPr>
  </w:style>
  <w:style w:type="paragraph" w:customStyle="1" w:styleId="Artheading">
    <w:name w:val="Art_heading"/>
    <w:basedOn w:val="Normal"/>
    <w:next w:val="Normal"/>
    <w:rsid w:val="00CE37A1"/>
    <w:pPr>
      <w:spacing w:before="480"/>
      <w:jc w:val="center"/>
    </w:pPr>
    <w:rPr>
      <w:b/>
    </w:rPr>
  </w:style>
  <w:style w:type="paragraph" w:customStyle="1" w:styleId="ArtNo">
    <w:name w:val="Art_No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Arttitle">
    <w:name w:val="Art_title"/>
    <w:basedOn w:val="Normal"/>
    <w:next w:val="Normal"/>
    <w:rsid w:val="00CE37A1"/>
    <w:pPr>
      <w:spacing w:before="240" w:after="240"/>
      <w:jc w:val="center"/>
    </w:pPr>
    <w:rPr>
      <w:b/>
      <w:sz w:val="26"/>
    </w:rPr>
  </w:style>
  <w:style w:type="paragraph" w:customStyle="1" w:styleId="Call">
    <w:name w:val="Call"/>
    <w:basedOn w:val="Normal"/>
    <w:next w:val="Normal"/>
    <w:rsid w:val="00CE37A1"/>
    <w:pPr>
      <w:keepNext/>
      <w:keepLines/>
      <w:spacing w:before="160"/>
      <w:ind w:left="567"/>
    </w:pPr>
    <w:rPr>
      <w:i/>
    </w:rPr>
  </w:style>
  <w:style w:type="paragraph" w:customStyle="1" w:styleId="ChapNo">
    <w:name w:val="Chap_No"/>
    <w:basedOn w:val="ArtNo"/>
    <w:next w:val="Normal"/>
    <w:rsid w:val="00CE37A1"/>
  </w:style>
  <w:style w:type="paragraph" w:customStyle="1" w:styleId="Chaptitle">
    <w:name w:val="Chap_title"/>
    <w:basedOn w:val="Arttitle"/>
    <w:next w:val="Normal"/>
    <w:rsid w:val="00CE37A1"/>
  </w:style>
  <w:style w:type="paragraph" w:customStyle="1" w:styleId="Committee">
    <w:name w:val="Committee"/>
    <w:basedOn w:val="Normal"/>
    <w:qFormat/>
    <w:rsid w:val="00CE37A1"/>
    <w:pPr>
      <w:framePr w:hSpace="180" w:wrap="around" w:vAnchor="page" w:hAnchor="margin" w:y="1081"/>
      <w:spacing w:before="0"/>
    </w:pPr>
    <w:rPr>
      <w:rFonts w:cs="Times New Roman Bold"/>
      <w:b/>
      <w:caps/>
    </w:rPr>
  </w:style>
  <w:style w:type="paragraph" w:styleId="Date">
    <w:name w:val="Date"/>
    <w:basedOn w:val="Normal"/>
    <w:link w:val="DateChar"/>
    <w:rsid w:val="00CE37A1"/>
    <w:pPr>
      <w:framePr w:hSpace="181" w:wrap="notBeside" w:vAnchor="page" w:hAnchor="page" w:x="1135" w:y="852"/>
      <w:tabs>
        <w:tab w:val="left" w:pos="1843"/>
        <w:tab w:val="left" w:pos="2269"/>
        <w:tab w:val="left" w:pos="3544"/>
        <w:tab w:val="left" w:pos="3969"/>
      </w:tabs>
      <w:spacing w:before="192" w:line="240" w:lineRule="atLeast"/>
      <w:jc w:val="center"/>
    </w:pPr>
    <w:rPr>
      <w:sz w:val="20"/>
    </w:rPr>
  </w:style>
  <w:style w:type="character" w:customStyle="1" w:styleId="DateChar">
    <w:name w:val="Date Char"/>
    <w:basedOn w:val="DefaultParagraphFont"/>
    <w:link w:val="Date"/>
    <w:rsid w:val="00CE37A1"/>
    <w:rPr>
      <w:rFonts w:eastAsia="Times New Roman" w:cs="Times New Roman"/>
      <w:sz w:val="20"/>
      <w:szCs w:val="20"/>
      <w:lang w:val="en-GB" w:eastAsia="en-US"/>
    </w:rPr>
  </w:style>
  <w:style w:type="paragraph" w:customStyle="1" w:styleId="enumlev1">
    <w:name w:val="enumlev1"/>
    <w:basedOn w:val="Normal"/>
    <w:rsid w:val="001530FB"/>
    <w:pPr>
      <w:spacing w:before="86"/>
      <w:ind w:left="794" w:hanging="794"/>
    </w:pPr>
  </w:style>
  <w:style w:type="paragraph" w:customStyle="1" w:styleId="enumlev2">
    <w:name w:val="enumlev2"/>
    <w:basedOn w:val="enumlev1"/>
    <w:rsid w:val="001530FB"/>
    <w:pPr>
      <w:ind w:left="1191" w:hanging="397"/>
    </w:pPr>
  </w:style>
  <w:style w:type="paragraph" w:customStyle="1" w:styleId="enumlev3">
    <w:name w:val="enumlev3"/>
    <w:basedOn w:val="enumlev2"/>
    <w:rsid w:val="001530FB"/>
    <w:pPr>
      <w:ind w:left="1588"/>
    </w:pPr>
  </w:style>
  <w:style w:type="paragraph" w:styleId="Footer">
    <w:name w:val="footer"/>
    <w:basedOn w:val="Normal"/>
    <w:link w:val="FooterChar"/>
    <w:uiPriority w:val="99"/>
    <w:rsid w:val="00CE37A1"/>
    <w:pPr>
      <w:tabs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CE37A1"/>
    <w:rPr>
      <w:rFonts w:eastAsia="Times New Roman" w:cs="Times New Roman"/>
      <w:caps/>
      <w:noProof/>
      <w:sz w:val="16"/>
      <w:szCs w:val="20"/>
      <w:lang w:val="en-GB" w:eastAsia="en-US"/>
    </w:rPr>
  </w:style>
  <w:style w:type="paragraph" w:customStyle="1" w:styleId="FirstFooter">
    <w:name w:val="FirstFooter"/>
    <w:basedOn w:val="Footer"/>
    <w:rsid w:val="00CE37A1"/>
    <w:rPr>
      <w:caps w:val="0"/>
    </w:rPr>
  </w:style>
  <w:style w:type="paragraph" w:customStyle="1" w:styleId="firstfooter0">
    <w:name w:val="firstfooter"/>
    <w:basedOn w:val="Normal"/>
    <w:rsid w:val="00CE37A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SimSun"/>
      <w:sz w:val="24"/>
      <w:szCs w:val="24"/>
      <w:lang w:val="en-US" w:eastAsia="zh-CN"/>
    </w:rPr>
  </w:style>
  <w:style w:type="character" w:styleId="FollowedHyperlink">
    <w:name w:val="FollowedHyperlink"/>
    <w:basedOn w:val="DefaultParagraphFont"/>
    <w:rsid w:val="00CE37A1"/>
    <w:rPr>
      <w:color w:val="800080"/>
      <w:u w:val="single"/>
    </w:rPr>
  </w:style>
  <w:style w:type="character" w:styleId="FootnoteReference">
    <w:name w:val="footnote reference"/>
    <w:aliases w:val="(NECG) Footnote Reference,Appel note de bas de p,Appel note de bas de p + 11 pt,Appel note de bas de p1,FR,Footnote,Footnote Reference/,Footnote symbol,Italic,Ref,Style 12,Style 124,Style 13,Style 17,Style 3,de nota al pie,fr,o"/>
    <w:basedOn w:val="DefaultParagraphFont"/>
    <w:qFormat/>
    <w:rsid w:val="00CE37A1"/>
    <w:rPr>
      <w:rFonts w:asciiTheme="minorHAnsi" w:hAnsiTheme="minorHAnsi"/>
      <w:position w:val="6"/>
      <w:sz w:val="16"/>
    </w:rPr>
  </w:style>
  <w:style w:type="paragraph" w:styleId="FootnoteText">
    <w:name w:val="footnote text"/>
    <w:aliases w:val="ACMA Footnote Text,ALTS FOOTNOTE,DNV-,Footnote Text Char Char1,Footnote Text Char Char1 Char1 Char Char,Footnote Text Char1,Footnote Text Char1 Char1 Char1 Char,Footnote Text Char1 Char1 Char1 Char Char Char1,Footnote Text Char4 Char Char"/>
    <w:basedOn w:val="Normal"/>
    <w:link w:val="FootnoteTextChar"/>
    <w:qFormat/>
    <w:rsid w:val="00CE37A1"/>
    <w:pPr>
      <w:keepLines/>
      <w:tabs>
        <w:tab w:val="left" w:pos="256"/>
      </w:tabs>
      <w:spacing w:before="60"/>
      <w:ind w:left="284" w:hanging="284"/>
    </w:pPr>
    <w:rPr>
      <w:sz w:val="20"/>
    </w:rPr>
  </w:style>
  <w:style w:type="character" w:customStyle="1" w:styleId="FootnoteTextChar">
    <w:name w:val="Footnote Text Char"/>
    <w:aliases w:val="ACMA Footnote Text Char,ALTS FOOTNOTE Char,DNV- Char,Footnote Text Char Char1 Char,Footnote Text Char Char1 Char1 Char Char Char,Footnote Text Char1 Char,Footnote Text Char1 Char1 Char1 Char Char,Footnote Text Char4 Char Char Char"/>
    <w:basedOn w:val="DefaultParagraphFont"/>
    <w:link w:val="FootnoteText"/>
    <w:qFormat/>
    <w:rsid w:val="00CE37A1"/>
    <w:rPr>
      <w:rFonts w:eastAsia="Times New Roman" w:cs="Times New Roman"/>
      <w:sz w:val="20"/>
      <w:szCs w:val="20"/>
      <w:lang w:val="en-GB" w:eastAsia="en-US"/>
    </w:rPr>
  </w:style>
  <w:style w:type="paragraph" w:styleId="Header">
    <w:name w:val="header"/>
    <w:basedOn w:val="Normal"/>
    <w:link w:val="HeaderChar"/>
    <w:uiPriority w:val="99"/>
    <w:rsid w:val="00CE37A1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CE37A1"/>
    <w:rPr>
      <w:rFonts w:eastAsia="Times New Roman" w:cs="Times New Roman"/>
      <w:sz w:val="18"/>
      <w:szCs w:val="20"/>
      <w:lang w:val="en-GB" w:eastAsia="en-US"/>
    </w:rPr>
  </w:style>
  <w:style w:type="character" w:customStyle="1" w:styleId="Heading1Char">
    <w:name w:val="Heading 1 Char"/>
    <w:basedOn w:val="DefaultParagraphFont"/>
    <w:link w:val="Heading1"/>
    <w:rsid w:val="00FF347C"/>
    <w:rPr>
      <w:rFonts w:ascii="Calibri" w:eastAsia="Times New Roman" w:hAnsi="Calibri" w:cs="Times New Roman"/>
      <w:b/>
      <w:lang w:val="ru-RU" w:eastAsia="en-US"/>
    </w:rPr>
  </w:style>
  <w:style w:type="character" w:customStyle="1" w:styleId="Heading2Char">
    <w:name w:val="Heading 2 Char"/>
    <w:basedOn w:val="DefaultParagraphFont"/>
    <w:link w:val="Heading2"/>
    <w:rsid w:val="00C71A6F"/>
    <w:rPr>
      <w:rFonts w:ascii="Calibri" w:eastAsia="Times New Roman" w:hAnsi="Calibri" w:cs="Times New Roman Bold"/>
      <w:b/>
      <w:bCs/>
      <w:lang w:val="ru-RU" w:eastAsia="en-US"/>
    </w:rPr>
  </w:style>
  <w:style w:type="character" w:customStyle="1" w:styleId="Heading3Char">
    <w:name w:val="Heading 3 Char"/>
    <w:basedOn w:val="DefaultParagraphFont"/>
    <w:link w:val="Heading3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CE37A1"/>
    <w:rPr>
      <w:rFonts w:eastAsia="Times New Roman" w:cs="Times New Roman"/>
      <w:b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CE37A1"/>
    <w:rPr>
      <w:rFonts w:eastAsia="Times New Roman" w:cs="Times New Roman"/>
      <w:b/>
      <w:szCs w:val="20"/>
      <w:lang w:val="en-GB" w:eastAsia="en-US"/>
    </w:rPr>
  </w:style>
  <w:style w:type="paragraph" w:customStyle="1" w:styleId="Headingb">
    <w:name w:val="Heading_b"/>
    <w:basedOn w:val="Heading3"/>
    <w:next w:val="Normal"/>
    <w:rsid w:val="004726D2"/>
    <w:pPr>
      <w:spacing w:before="160"/>
      <w:ind w:left="0" w:firstLine="0"/>
      <w:outlineLvl w:val="0"/>
    </w:pPr>
    <w:rPr>
      <w:rFonts w:cs="Times New Roman Bold"/>
    </w:rPr>
  </w:style>
  <w:style w:type="paragraph" w:customStyle="1" w:styleId="Headingi">
    <w:name w:val="Heading_i"/>
    <w:basedOn w:val="Heading3"/>
    <w:next w:val="Normal"/>
    <w:rsid w:val="00CE37A1"/>
    <w:pPr>
      <w:spacing w:before="160"/>
      <w:outlineLvl w:val="0"/>
    </w:pPr>
    <w:rPr>
      <w:b w:val="0"/>
      <w:i/>
    </w:rPr>
  </w:style>
  <w:style w:type="character" w:styleId="Hyperlink">
    <w:name w:val="Hyperlink"/>
    <w:aliases w:val="CEO_Hyperlink,超级链接,Style 58,超?级链,超????,하이퍼링크2"/>
    <w:basedOn w:val="DefaultParagraphFont"/>
    <w:qFormat/>
    <w:rsid w:val="00CE37A1"/>
    <w:rPr>
      <w:color w:val="0000FF"/>
      <w:u w:val="single"/>
    </w:rPr>
  </w:style>
  <w:style w:type="paragraph" w:customStyle="1" w:styleId="MinusFootnote">
    <w:name w:val="MinusFootnote"/>
    <w:basedOn w:val="Normal"/>
    <w:rsid w:val="00CE37A1"/>
    <w:pPr>
      <w:ind w:left="-1701" w:hanging="284"/>
    </w:pPr>
  </w:style>
  <w:style w:type="paragraph" w:customStyle="1" w:styleId="Normalaftertitle">
    <w:name w:val="Normal after title"/>
    <w:basedOn w:val="Normal"/>
    <w:next w:val="Normal"/>
    <w:rsid w:val="00CE37A1"/>
    <w:pPr>
      <w:spacing w:before="240"/>
    </w:pPr>
  </w:style>
  <w:style w:type="paragraph" w:styleId="NormalIndent">
    <w:name w:val="Normal Indent"/>
    <w:basedOn w:val="Normal"/>
    <w:rsid w:val="00CE37A1"/>
    <w:pPr>
      <w:ind w:left="567"/>
    </w:pPr>
  </w:style>
  <w:style w:type="paragraph" w:customStyle="1" w:styleId="Note">
    <w:name w:val="Note"/>
    <w:basedOn w:val="Normal"/>
    <w:rsid w:val="00CE37A1"/>
    <w:pPr>
      <w:tabs>
        <w:tab w:val="left" w:pos="851"/>
      </w:tabs>
    </w:pPr>
  </w:style>
  <w:style w:type="character" w:styleId="PageNumber">
    <w:name w:val="page number"/>
    <w:basedOn w:val="DefaultParagraphFont"/>
    <w:rsid w:val="00CE37A1"/>
    <w:rPr>
      <w:rFonts w:asciiTheme="minorHAnsi" w:hAnsiTheme="minorHAnsi"/>
    </w:rPr>
  </w:style>
  <w:style w:type="paragraph" w:customStyle="1" w:styleId="Part">
    <w:name w:val="Part"/>
    <w:basedOn w:val="Normal"/>
    <w:next w:val="Normal"/>
    <w:rsid w:val="00CE37A1"/>
    <w:pPr>
      <w:spacing w:before="600"/>
      <w:jc w:val="center"/>
    </w:pPr>
    <w:rPr>
      <w:caps/>
      <w:sz w:val="26"/>
    </w:rPr>
  </w:style>
  <w:style w:type="paragraph" w:customStyle="1" w:styleId="Reasons">
    <w:name w:val="Reasons"/>
    <w:basedOn w:val="Normal"/>
    <w:qFormat/>
    <w:rsid w:val="00CE37A1"/>
  </w:style>
  <w:style w:type="paragraph" w:customStyle="1" w:styleId="RecNo">
    <w:name w:val="Rec_No"/>
    <w:basedOn w:val="Normal"/>
    <w:next w:val="Normal"/>
    <w:rsid w:val="00CE37A1"/>
    <w:pPr>
      <w:spacing w:before="720"/>
      <w:jc w:val="center"/>
    </w:pPr>
    <w:rPr>
      <w:caps/>
      <w:sz w:val="26"/>
    </w:rPr>
  </w:style>
  <w:style w:type="paragraph" w:customStyle="1" w:styleId="Rectitle">
    <w:name w:val="Rec_title"/>
    <w:basedOn w:val="Normal"/>
    <w:next w:val="Heading1"/>
    <w:rsid w:val="00CE37A1"/>
    <w:pPr>
      <w:spacing w:before="240"/>
      <w:jc w:val="center"/>
    </w:pPr>
    <w:rPr>
      <w:b/>
      <w:sz w:val="26"/>
    </w:rPr>
  </w:style>
  <w:style w:type="paragraph" w:customStyle="1" w:styleId="Reftext">
    <w:name w:val="Ref_text"/>
    <w:basedOn w:val="Normal"/>
    <w:rsid w:val="00CE37A1"/>
    <w:pPr>
      <w:ind w:left="567" w:hanging="567"/>
    </w:pPr>
  </w:style>
  <w:style w:type="paragraph" w:customStyle="1" w:styleId="Reftitle">
    <w:name w:val="Ref_title"/>
    <w:basedOn w:val="Normal"/>
    <w:next w:val="Reftext"/>
    <w:rsid w:val="00CE37A1"/>
    <w:pPr>
      <w:spacing w:before="480"/>
      <w:jc w:val="center"/>
    </w:pPr>
    <w:rPr>
      <w:caps/>
      <w:sz w:val="28"/>
    </w:rPr>
  </w:style>
  <w:style w:type="paragraph" w:customStyle="1" w:styleId="ResNo">
    <w:name w:val="Res_No"/>
    <w:basedOn w:val="AnnexNo"/>
    <w:next w:val="Normal"/>
    <w:rsid w:val="00CE37A1"/>
  </w:style>
  <w:style w:type="paragraph" w:customStyle="1" w:styleId="Restitle">
    <w:name w:val="Res_title"/>
    <w:basedOn w:val="Annextitle"/>
    <w:next w:val="Normal"/>
    <w:rsid w:val="00CE37A1"/>
  </w:style>
  <w:style w:type="paragraph" w:customStyle="1" w:styleId="Section1">
    <w:name w:val="Section 1"/>
    <w:basedOn w:val="ChapNo"/>
    <w:next w:val="Normal"/>
    <w:rsid w:val="00CE37A1"/>
    <w:rPr>
      <w:caps w:val="0"/>
    </w:rPr>
  </w:style>
  <w:style w:type="paragraph" w:customStyle="1" w:styleId="Section2">
    <w:name w:val="Section 2"/>
    <w:basedOn w:val="Section1"/>
    <w:next w:val="Normal"/>
    <w:rsid w:val="00CE37A1"/>
    <w:pPr>
      <w:spacing w:before="240"/>
    </w:pPr>
    <w:rPr>
      <w:b/>
      <w:i/>
    </w:rPr>
  </w:style>
  <w:style w:type="paragraph" w:customStyle="1" w:styleId="Source">
    <w:name w:val="Source"/>
    <w:basedOn w:val="Normal"/>
    <w:next w:val="Normal"/>
    <w:autoRedefine/>
    <w:rsid w:val="00FA6BDB"/>
    <w:pPr>
      <w:framePr w:hSpace="180" w:wrap="around" w:vAnchor="page" w:hAnchor="margin" w:y="790"/>
      <w:spacing w:before="240" w:after="240"/>
      <w:jc w:val="center"/>
    </w:pPr>
    <w:rPr>
      <w:b/>
      <w:sz w:val="26"/>
      <w:szCs w:val="28"/>
      <w:lang w:eastAsia="zh-CN"/>
    </w:rPr>
  </w:style>
  <w:style w:type="table" w:styleId="TableGrid">
    <w:name w:val="Table Grid"/>
    <w:basedOn w:val="TableNormal"/>
    <w:uiPriority w:val="59"/>
    <w:rsid w:val="00CE37A1"/>
    <w:pPr>
      <w:spacing w:after="0" w:line="240" w:lineRule="auto"/>
    </w:pPr>
    <w:rPr>
      <w:rFonts w:ascii="CG Times" w:eastAsia="Times New Roman" w:hAnsi="CG Times" w:cs="Times New Roman"/>
      <w:sz w:val="20"/>
      <w:szCs w:val="2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text">
    <w:name w:val="Table_text"/>
    <w:basedOn w:val="Normal"/>
    <w:rsid w:val="00CE37A1"/>
    <w:pPr>
      <w:spacing w:before="60" w:after="60"/>
    </w:pPr>
    <w:rPr>
      <w:sz w:val="20"/>
    </w:rPr>
  </w:style>
  <w:style w:type="paragraph" w:customStyle="1" w:styleId="Tablehead">
    <w:name w:val="Table_head"/>
    <w:basedOn w:val="Tabletext"/>
    <w:rsid w:val="00CE37A1"/>
    <w:pPr>
      <w:spacing w:before="120" w:after="120"/>
      <w:jc w:val="center"/>
    </w:pPr>
    <w:rPr>
      <w:b/>
    </w:rPr>
  </w:style>
  <w:style w:type="paragraph" w:customStyle="1" w:styleId="Tablelegend">
    <w:name w:val="Table_legend"/>
    <w:basedOn w:val="Tabletext"/>
    <w:rsid w:val="00CE37A1"/>
    <w:pPr>
      <w:spacing w:before="120"/>
    </w:pPr>
  </w:style>
  <w:style w:type="paragraph" w:customStyle="1" w:styleId="TableNo">
    <w:name w:val="Table_No"/>
    <w:basedOn w:val="Normal"/>
    <w:next w:val="Normal"/>
    <w:rsid w:val="00CE37A1"/>
    <w:pPr>
      <w:keepNext/>
      <w:spacing w:before="560" w:after="120"/>
      <w:jc w:val="center"/>
    </w:pPr>
    <w:rPr>
      <w:caps/>
    </w:rPr>
  </w:style>
  <w:style w:type="paragraph" w:customStyle="1" w:styleId="Tabletitle">
    <w:name w:val="Table_title"/>
    <w:basedOn w:val="TableNo"/>
    <w:next w:val="Tabletext"/>
    <w:rsid w:val="00CE37A1"/>
    <w:pPr>
      <w:tabs>
        <w:tab w:val="left" w:pos="2948"/>
        <w:tab w:val="left" w:pos="4082"/>
      </w:tabs>
      <w:spacing w:before="0"/>
    </w:pPr>
    <w:rPr>
      <w:b/>
      <w:caps w:val="0"/>
    </w:rPr>
  </w:style>
  <w:style w:type="paragraph" w:customStyle="1" w:styleId="Title1">
    <w:name w:val="Title 1"/>
    <w:basedOn w:val="Source"/>
    <w:next w:val="Normal"/>
    <w:rsid w:val="004143D5"/>
    <w:pPr>
      <w:framePr w:hSpace="0" w:wrap="auto" w:vAnchor="margin" w:hAnchor="text" w:yAlign="inline"/>
      <w:spacing w:before="120" w:after="120"/>
    </w:pPr>
    <w:rPr>
      <w:b w:val="0"/>
      <w:caps/>
    </w:rPr>
  </w:style>
  <w:style w:type="paragraph" w:customStyle="1" w:styleId="Title2">
    <w:name w:val="Title 2"/>
    <w:basedOn w:val="Source"/>
    <w:next w:val="Normal"/>
    <w:rsid w:val="00CE37A1"/>
    <w:pPr>
      <w:framePr w:hSpace="0" w:wrap="auto" w:vAnchor="margin" w:hAnchor="text" w:yAlign="inline"/>
    </w:pPr>
    <w:rPr>
      <w:b w:val="0"/>
      <w:caps/>
    </w:rPr>
  </w:style>
  <w:style w:type="paragraph" w:customStyle="1" w:styleId="Title3">
    <w:name w:val="Title 3"/>
    <w:basedOn w:val="Title2"/>
    <w:next w:val="Normalaftertitle"/>
    <w:rsid w:val="00CE37A1"/>
    <w:rPr>
      <w:caps w:val="0"/>
    </w:rPr>
  </w:style>
  <w:style w:type="paragraph" w:customStyle="1" w:styleId="toc0">
    <w:name w:val="toc 0"/>
    <w:basedOn w:val="Normal"/>
    <w:next w:val="TOC1"/>
    <w:rsid w:val="00CE37A1"/>
    <w:pPr>
      <w:tabs>
        <w:tab w:val="right" w:pos="9781"/>
      </w:tabs>
    </w:pPr>
    <w:rPr>
      <w:b/>
    </w:rPr>
  </w:style>
  <w:style w:type="paragraph" w:styleId="TOC1">
    <w:name w:val="toc 1"/>
    <w:basedOn w:val="Normal"/>
    <w:rsid w:val="00CE37A1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3">
    <w:name w:val="toc 3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4">
    <w:name w:val="toc 4"/>
    <w:basedOn w:val="Normal"/>
    <w:next w:val="Normal"/>
    <w:rsid w:val="00CE37A1"/>
    <w:pPr>
      <w:tabs>
        <w:tab w:val="left" w:pos="964"/>
        <w:tab w:val="left" w:pos="8789"/>
        <w:tab w:val="right" w:pos="9639"/>
      </w:tabs>
      <w:ind w:left="964" w:hanging="964"/>
    </w:pPr>
  </w:style>
  <w:style w:type="paragraph" w:styleId="TOC5">
    <w:name w:val="toc 5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6">
    <w:name w:val="toc 6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7">
    <w:name w:val="toc 7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styleId="TOC8">
    <w:name w:val="toc 8"/>
    <w:basedOn w:val="Normal"/>
    <w:next w:val="Normal"/>
    <w:rsid w:val="00CE37A1"/>
    <w:pPr>
      <w:tabs>
        <w:tab w:val="left" w:pos="964"/>
        <w:tab w:val="left" w:leader="dot" w:pos="8789"/>
        <w:tab w:val="right" w:pos="9639"/>
      </w:tabs>
      <w:ind w:left="964" w:hanging="964"/>
    </w:pPr>
  </w:style>
  <w:style w:type="paragraph" w:customStyle="1" w:styleId="Proposal">
    <w:name w:val="Proposal"/>
    <w:basedOn w:val="Normal"/>
    <w:next w:val="Normal"/>
    <w:rsid w:val="00A44602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="Times New Roman Bold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C05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05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0551"/>
    <w:rPr>
      <w:rFonts w:ascii="Calibri" w:eastAsia="Times New Roman" w:hAnsi="Calibri" w:cs="Times New Roman"/>
      <w:sz w:val="20"/>
      <w:szCs w:val="20"/>
      <w:lang w:val="ru-RU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05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0551"/>
    <w:rPr>
      <w:rFonts w:ascii="Calibri" w:eastAsia="Times New Roman" w:hAnsi="Calibri" w:cs="Times New Roman"/>
      <w:b/>
      <w:bCs/>
      <w:sz w:val="20"/>
      <w:szCs w:val="20"/>
      <w:lang w:val="ru-R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0551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0551"/>
    <w:rPr>
      <w:rFonts w:ascii="Segoe UI" w:eastAsia="Times New Roman" w:hAnsi="Segoe UI" w:cs="Segoe UI"/>
      <w:sz w:val="18"/>
      <w:szCs w:val="18"/>
      <w:lang w:val="ru-RU" w:eastAsia="en-US"/>
    </w:rPr>
  </w:style>
  <w:style w:type="paragraph" w:styleId="ListParagraph">
    <w:name w:val="List Paragraph"/>
    <w:aliases w:val="List Paragraph1,List Paragraph11,Recommendation"/>
    <w:basedOn w:val="Normal"/>
    <w:link w:val="ListParagraphChar"/>
    <w:uiPriority w:val="34"/>
    <w:qFormat/>
    <w:rsid w:val="00E40BD6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rFonts w:asciiTheme="minorHAnsi" w:hAnsiTheme="minorHAnsi"/>
      <w:sz w:val="24"/>
      <w:szCs w:val="20"/>
      <w:lang w:val="en-GB"/>
    </w:rPr>
  </w:style>
  <w:style w:type="character" w:customStyle="1" w:styleId="ListParagraphChar">
    <w:name w:val="List Paragraph Char"/>
    <w:aliases w:val="List Paragraph1 Char,List Paragraph11 Char,Recommendation Char"/>
    <w:basedOn w:val="DefaultParagraphFont"/>
    <w:link w:val="ListParagraph"/>
    <w:uiPriority w:val="34"/>
    <w:locked/>
    <w:rsid w:val="00E40BD6"/>
    <w:rPr>
      <w:rFonts w:eastAsia="Times New Roman" w:cs="Times New Roman"/>
      <w:sz w:val="24"/>
      <w:szCs w:val="20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40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itu.int/md/D18-TDAG29-INF-0002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cosmas.zavazava@itu.int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tu.int/en/ITU-D/Projects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jose_batanero_itu_int/Documents/2%20BDT%20General/TDAG/2021%20TDAG%202021%20session%2002%20Dec21/PRJ%20database%20for%20TDAG21%20report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https://ituint-my.sharepoint.com/personal/jose_batanero_itu_int/Documents/2%20BDT%20General/TDAG/2021%20TDAG%202021%20session%2002%20Dec21/PRJ%20database%20for%20TDAG21%20report.xlsx" TargetMode="Externa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E70-4057-9E28-0275F0B00B0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E70-4057-9E28-0275F0B00B0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E70-4057-9E28-0275F0B00B06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Calibri" panose="020F050202020403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Summary!$L$5:$L$7</c:f>
              <c:strCache>
                <c:ptCount val="3"/>
                <c:pt idx="0">
                  <c:v>FIT</c:v>
                </c:pt>
                <c:pt idx="1">
                  <c:v>ICTDF</c:v>
                </c:pt>
                <c:pt idx="2">
                  <c:v>OP</c:v>
                </c:pt>
              </c:strCache>
            </c:strRef>
          </c:cat>
          <c:val>
            <c:numRef>
              <c:f>Summary!$M$5:$M$7</c:f>
              <c:numCache>
                <c:formatCode>General</c:formatCode>
                <c:ptCount val="3"/>
                <c:pt idx="0">
                  <c:v>80278254</c:v>
                </c:pt>
                <c:pt idx="1">
                  <c:v>5520875</c:v>
                </c:pt>
                <c:pt idx="2">
                  <c:v>4508523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E70-4057-9E28-0275F0B00B0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'Projects per year'!$B$2</c:f>
              <c:strCache>
                <c:ptCount val="1"/>
                <c:pt idx="0">
                  <c:v> Total (CHF)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'Projects per year'!$A$4:$A$14</c:f>
              <c:strCache>
                <c:ptCount val="11"/>
                <c:pt idx="0">
                  <c:v>2011 </c:v>
                </c:pt>
                <c:pt idx="1">
                  <c:v>2012 </c:v>
                </c:pt>
                <c:pt idx="2">
                  <c:v>2013 </c:v>
                </c:pt>
                <c:pt idx="3">
                  <c:v>2014 </c:v>
                </c:pt>
                <c:pt idx="4">
                  <c:v>2015 </c:v>
                </c:pt>
                <c:pt idx="5">
                  <c:v>2016 </c:v>
                </c:pt>
                <c:pt idx="6">
                  <c:v>2017 </c:v>
                </c:pt>
                <c:pt idx="7">
                  <c:v>2018 </c:v>
                </c:pt>
                <c:pt idx="8">
                  <c:v>2019 </c:v>
                </c:pt>
                <c:pt idx="9">
                  <c:v>2020 </c:v>
                </c:pt>
                <c:pt idx="10">
                  <c:v>2021 (Jan-Sep)</c:v>
                </c:pt>
              </c:strCache>
            </c:strRef>
          </c:cat>
          <c:val>
            <c:numRef>
              <c:f>'Projects per year'!$B$4:$B$14</c:f>
              <c:numCache>
                <c:formatCode>_(* #,##0.00_);_(* \(#,##0.00\);_(* "-"??_);_(@_)</c:formatCode>
                <c:ptCount val="11"/>
                <c:pt idx="0">
                  <c:v>8075257</c:v>
                </c:pt>
                <c:pt idx="1">
                  <c:v>10905274</c:v>
                </c:pt>
                <c:pt idx="2">
                  <c:v>9927803</c:v>
                </c:pt>
                <c:pt idx="3">
                  <c:v>7674402</c:v>
                </c:pt>
                <c:pt idx="4">
                  <c:v>5289174</c:v>
                </c:pt>
                <c:pt idx="5">
                  <c:v>2767939</c:v>
                </c:pt>
                <c:pt idx="6">
                  <c:v>9730134</c:v>
                </c:pt>
                <c:pt idx="7">
                  <c:v>10721579</c:v>
                </c:pt>
                <c:pt idx="8">
                  <c:v>13612980</c:v>
                </c:pt>
                <c:pt idx="9">
                  <c:v>14901477</c:v>
                </c:pt>
                <c:pt idx="10">
                  <c:v>9485288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2B0-4234-B75F-88BFBF008AC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506240"/>
        <c:axId val="315425040"/>
      </c:barChart>
      <c:catAx>
        <c:axId val="6265062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Calibri" panose="020F0502020204030204" pitchFamily="34" charset="0"/>
                <a:ea typeface="+mn-ea"/>
                <a:cs typeface="+mn-cs"/>
              </a:defRPr>
            </a:pPr>
            <a:endParaRPr lang="en-US"/>
          </a:p>
        </c:txPr>
        <c:crossAx val="315425040"/>
        <c:crosses val="autoZero"/>
        <c:auto val="1"/>
        <c:lblAlgn val="ctr"/>
        <c:lblOffset val="100"/>
        <c:noMultiLvlLbl val="0"/>
      </c:catAx>
      <c:valAx>
        <c:axId val="315425040"/>
        <c:scaling>
          <c:orientation val="minMax"/>
        </c:scaling>
        <c:delete val="0"/>
        <c:axPos val="l"/>
        <c:majorGridlines>
          <c:spPr>
            <a:ln w="9525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_(* #,##0.00_);_(* \(#,##0.00\);_(* &quot;-&quot;??_);_(@_)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506240"/>
        <c:crosses val="autoZero"/>
        <c:crossBetween val="between"/>
        <c:dispUnits>
          <c:builtInUnit val="millions"/>
          <c:dispUnitsLbl>
            <c:layout>
              <c:manualLayout>
                <c:xMode val="edge"/>
                <c:yMode val="edge"/>
                <c:x val="2.5007814942169429E-2"/>
                <c:y val="0.31892766350820428"/>
              </c:manualLayout>
            </c:layout>
            <c:tx>
              <c:rich>
                <a:bodyPr rot="-5400000" spcFirstLastPara="1" vertOverflow="ellipsis" vert="horz" wrap="square" anchor="ctr" anchorCtr="1"/>
                <a:lstStyle/>
                <a:p>
                  <a:pPr>
                    <a:defRPr sz="1000" b="0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r>
                    <a:rPr lang="ru-RU"/>
                    <a:t>Миллионы</a:t>
                  </a:r>
                  <a:endParaRPr lang="en-GB"/>
                </a:p>
              </c:rich>
            </c:tx>
            <c:spPr>
              <a:noFill/>
              <a:ln>
                <a:noFill/>
              </a:ln>
              <a:effectLst/>
            </c:spPr>
            <c:txPr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</c:dispUnitsLbl>
        </c:dispUnits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18388538413005"/>
          <c:y val="0.86653516010983955"/>
          <c:w val="0.13632229231739906"/>
          <c:h val="0.105731999585099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0.4662</cdr:x>
      <cdr:y>0.87574</cdr:y>
    </cdr:from>
    <cdr:to>
      <cdr:x>0.65667</cdr:x>
      <cdr:y>0.97974</cdr:y>
    </cdr:to>
    <cdr:sp macro="" textlink="">
      <cdr:nvSpPr>
        <cdr:cNvPr id="2" name="Text Box 4"/>
        <cdr:cNvSpPr txBox="1"/>
      </cdr:nvSpPr>
      <cdr:spPr>
        <a:xfrm xmlns:a="http://schemas.openxmlformats.org/drawingml/2006/main">
          <a:off x="2841045" y="2406236"/>
          <a:ext cx="1160780" cy="285750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/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Всего (шв. фр.)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0.85201</cdr:x>
      <cdr:y>0.81607</cdr:y>
    </cdr:from>
    <cdr:to>
      <cdr:x>0.99161</cdr:x>
      <cdr:y>0.97813</cdr:y>
    </cdr:to>
    <cdr:sp macro="" textlink="">
      <cdr:nvSpPr>
        <cdr:cNvPr id="3" name="Text Box 2"/>
        <cdr:cNvSpPr txBox="1"/>
      </cdr:nvSpPr>
      <cdr:spPr>
        <a:xfrm xmlns:a="http://schemas.openxmlformats.org/drawingml/2006/main">
          <a:off x="5192201" y="2242268"/>
          <a:ext cx="850790" cy="44527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  <cdr:relSizeAnchor xmlns:cdr="http://schemas.openxmlformats.org/drawingml/2006/chartDrawing">
    <cdr:from>
      <cdr:x>0.46551</cdr:x>
      <cdr:y>0.87065</cdr:y>
    </cdr:from>
    <cdr:to>
      <cdr:x>0.65599</cdr:x>
      <cdr:y>0.97465</cdr:y>
    </cdr:to>
    <cdr:sp macro="" textlink="">
      <cdr:nvSpPr>
        <cdr:cNvPr id="5" name="Text Box 4"/>
        <cdr:cNvSpPr txBox="1"/>
      </cdr:nvSpPr>
      <cdr:spPr>
        <a:xfrm xmlns:a="http://schemas.openxmlformats.org/drawingml/2006/main">
          <a:off x="2872031" y="2348557"/>
          <a:ext cx="1175197" cy="280537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11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Всего (шв. фр.)</a:t>
          </a:r>
          <a:endParaRPr lang="en-GB" sz="11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0.86871</cdr:x>
      <cdr:y>0.81356</cdr:y>
    </cdr:from>
    <cdr:to>
      <cdr:x>1</cdr:x>
      <cdr:y>0.90789</cdr:y>
    </cdr:to>
    <cdr:sp macro="" textlink="">
      <cdr:nvSpPr>
        <cdr:cNvPr id="6" name="Text Box 4"/>
        <cdr:cNvSpPr txBox="1"/>
      </cdr:nvSpPr>
      <cdr:spPr>
        <a:xfrm xmlns:a="http://schemas.openxmlformats.org/drawingml/2006/main">
          <a:off x="5359671" y="2194561"/>
          <a:ext cx="809989" cy="254442"/>
        </a:xfrm>
        <a:prstGeom xmlns:a="http://schemas.openxmlformats.org/drawingml/2006/main" prst="rect">
          <a:avLst/>
        </a:prstGeom>
        <a:solidFill xmlns:a="http://schemas.openxmlformats.org/drawingml/2006/main">
          <a:schemeClr val="lt1"/>
        </a:solidFill>
        <a:ln xmlns:a="http://schemas.openxmlformats.org/drawingml/2006/main" w="6350">
          <a:noFill/>
        </a:ln>
      </cdr:spPr>
      <cdr:txBody>
        <a:bodyPr xmlns:a="http://schemas.openxmlformats.org/drawingml/2006/main" rot="0" spcFirstLastPara="0" vert="horz" wrap="square" lIns="91440" tIns="45720" rIns="91440" bIns="45720" numCol="1" spcCol="0" rtlCol="0" fromWordArt="0" anchor="t" anchorCtr="0" forceAA="0" compatLnSpc="1">
          <a:prstTxWarp prst="textNoShape">
            <a:avLst/>
          </a:prstTxWarp>
          <a:noAutofit/>
        </a:bodyPr>
        <a:lstStyle xmlns:a="http://schemas.openxmlformats.org/drawingml/2006/main">
          <a:lvl1pPr marL="0" indent="0">
            <a:defRPr sz="1100">
              <a:latin typeface="+mn-lt"/>
              <a:ea typeface="+mn-ea"/>
              <a:cs typeface="+mn-cs"/>
            </a:defRPr>
          </a:lvl1pPr>
          <a:lvl2pPr marL="457200" indent="0">
            <a:defRPr sz="1100">
              <a:latin typeface="+mn-lt"/>
              <a:ea typeface="+mn-ea"/>
              <a:cs typeface="+mn-cs"/>
            </a:defRPr>
          </a:lvl2pPr>
          <a:lvl3pPr marL="914400" indent="0">
            <a:defRPr sz="1100">
              <a:latin typeface="+mn-lt"/>
              <a:ea typeface="+mn-ea"/>
              <a:cs typeface="+mn-cs"/>
            </a:defRPr>
          </a:lvl3pPr>
          <a:lvl4pPr marL="1371600" indent="0">
            <a:defRPr sz="1100">
              <a:latin typeface="+mn-lt"/>
              <a:ea typeface="+mn-ea"/>
              <a:cs typeface="+mn-cs"/>
            </a:defRPr>
          </a:lvl4pPr>
          <a:lvl5pPr marL="1828800" indent="0">
            <a:defRPr sz="1100">
              <a:latin typeface="+mn-lt"/>
              <a:ea typeface="+mn-ea"/>
              <a:cs typeface="+mn-cs"/>
            </a:defRPr>
          </a:lvl5pPr>
          <a:lvl6pPr marL="2286000" indent="0">
            <a:defRPr sz="1100">
              <a:latin typeface="+mn-lt"/>
              <a:ea typeface="+mn-ea"/>
              <a:cs typeface="+mn-cs"/>
            </a:defRPr>
          </a:lvl6pPr>
          <a:lvl7pPr marL="2743200" indent="0">
            <a:defRPr sz="1100">
              <a:latin typeface="+mn-lt"/>
              <a:ea typeface="+mn-ea"/>
              <a:cs typeface="+mn-cs"/>
            </a:defRPr>
          </a:lvl7pPr>
          <a:lvl8pPr marL="3200400" indent="0">
            <a:defRPr sz="1100">
              <a:latin typeface="+mn-lt"/>
              <a:ea typeface="+mn-ea"/>
              <a:cs typeface="+mn-cs"/>
            </a:defRPr>
          </a:lvl8pPr>
          <a:lvl9pPr marL="3657600" indent="0">
            <a:defRPr sz="1100">
              <a:latin typeface="+mn-lt"/>
              <a:ea typeface="+mn-ea"/>
              <a:cs typeface="+mn-cs"/>
            </a:defRPr>
          </a:lvl9pPr>
        </a:lstStyle>
        <a:p xmlns:a="http://schemas.openxmlformats.org/drawingml/2006/main">
          <a:pPr hangingPunct="0">
            <a:spcBef>
              <a:spcPts val="600"/>
            </a:spcBef>
            <a:tabLst>
              <a:tab pos="504190" algn="l"/>
              <a:tab pos="756285" algn="l"/>
              <a:tab pos="1008380" algn="l"/>
              <a:tab pos="1260475" algn="l"/>
            </a:tabLst>
          </a:pPr>
          <a:r>
            <a:rPr lang="ru-RU" sz="80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Янв.</a:t>
          </a:r>
          <a:r>
            <a:rPr lang="ru-RU" sz="800" baseline="0">
              <a:effectLst/>
              <a:latin typeface="Calibri" panose="020F0502020204030204" pitchFamily="34" charset="0"/>
              <a:ea typeface="Times New Roman" panose="02020603050405020304" pitchFamily="18" charset="0"/>
              <a:cs typeface="Times New Roman" panose="02020603050405020304" pitchFamily="18" charset="0"/>
            </a:rPr>
            <a:t> - сент.</a:t>
          </a:r>
          <a:endParaRPr lang="en-GB" sz="800">
            <a:effectLst/>
            <a:latin typeface="Calibri" panose="020F0502020204030204" pitchFamily="34" charset="0"/>
            <a:ea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0.86454</cdr:x>
      <cdr:y>0.92212</cdr:y>
    </cdr:from>
    <cdr:to>
      <cdr:x>1</cdr:x>
      <cdr:y>1</cdr:y>
    </cdr:to>
    <cdr:sp macro="" textlink="">
      <cdr:nvSpPr>
        <cdr:cNvPr id="7" name="Text Box 6"/>
        <cdr:cNvSpPr txBox="1"/>
      </cdr:nvSpPr>
      <cdr:spPr>
        <a:xfrm xmlns:a="http://schemas.openxmlformats.org/drawingml/2006/main">
          <a:off x="5448300" y="2533650"/>
          <a:ext cx="825500" cy="2139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en-GB" sz="110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A1FB2-2671-4AF5-93F9-4E14D32C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1630</Words>
  <Characters>9293</Characters>
  <Application>Microsoft Office Word</Application>
  <DocSecurity>0</DocSecurity>
  <Lines>77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TDAG19</vt:lpstr>
      <vt:lpstr>TDAG19</vt:lpstr>
    </vt:vector>
  </TitlesOfParts>
  <Company>International Telecommunication Union (ITU)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subject/>
  <dc:creator>Russian</dc:creator>
  <cp:keywords/>
  <dc:description/>
  <cp:lastModifiedBy>Fedosova, Elena</cp:lastModifiedBy>
  <cp:revision>4</cp:revision>
  <cp:lastPrinted>2015-03-02T13:42:00Z</cp:lastPrinted>
  <dcterms:created xsi:type="dcterms:W3CDTF">2021-10-02T19:34:00Z</dcterms:created>
  <dcterms:modified xsi:type="dcterms:W3CDTF">2021-10-06T13:57:00Z</dcterms:modified>
</cp:coreProperties>
</file>