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FA0659" w14:paraId="4F178B5D" w14:textId="77777777" w:rsidTr="00593C05">
        <w:trPr>
          <w:cantSplit/>
          <w:trHeight w:val="1134"/>
        </w:trPr>
        <w:tc>
          <w:tcPr>
            <w:tcW w:w="2268" w:type="dxa"/>
          </w:tcPr>
          <w:p w14:paraId="33B8F1DC" w14:textId="77777777" w:rsidR="005221A2" w:rsidRPr="00FA0659" w:rsidRDefault="008463B6" w:rsidP="00593C05">
            <w:pPr>
              <w:pStyle w:val="AppArtNo"/>
              <w:spacing w:before="120"/>
              <w:rPr>
                <w:sz w:val="32"/>
                <w:szCs w:val="32"/>
                <w:lang w:val="fr-FR"/>
              </w:rPr>
            </w:pPr>
            <w:r w:rsidRPr="00FA0659">
              <w:rPr>
                <w:noProof/>
                <w:lang w:val="fr-FR"/>
              </w:rPr>
              <w:drawing>
                <wp:inline distT="0" distB="0" distL="0" distR="0" wp14:anchorId="3CB035DB" wp14:editId="4F0EE6ED">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59235817" w14:textId="77777777" w:rsidR="005221A2" w:rsidRPr="00FA0659" w:rsidRDefault="005221A2" w:rsidP="00593C05">
            <w:pPr>
              <w:tabs>
                <w:tab w:val="clear" w:pos="1191"/>
                <w:tab w:val="clear" w:pos="1588"/>
                <w:tab w:val="clear" w:pos="1985"/>
              </w:tabs>
              <w:spacing w:before="280" w:after="120"/>
              <w:ind w:left="34"/>
              <w:rPr>
                <w:b/>
                <w:bCs/>
                <w:sz w:val="32"/>
                <w:szCs w:val="32"/>
                <w:lang w:val="fr-FR"/>
              </w:rPr>
            </w:pPr>
            <w:r w:rsidRPr="00FA0659">
              <w:rPr>
                <w:b/>
                <w:bCs/>
                <w:sz w:val="32"/>
                <w:szCs w:val="32"/>
                <w:lang w:val="fr-FR"/>
              </w:rPr>
              <w:t xml:space="preserve">Groupe consultatif pour le développement </w:t>
            </w:r>
            <w:r w:rsidRPr="00FA0659">
              <w:rPr>
                <w:b/>
                <w:bCs/>
                <w:sz w:val="32"/>
                <w:szCs w:val="32"/>
                <w:lang w:val="fr-FR"/>
              </w:rPr>
              <w:br/>
              <w:t>des télécommunications (GCDT)</w:t>
            </w:r>
          </w:p>
          <w:p w14:paraId="3BF75C06" w14:textId="77777777" w:rsidR="005221A2" w:rsidRPr="00FA0659" w:rsidRDefault="00BE62D1" w:rsidP="00593C05">
            <w:pPr>
              <w:tabs>
                <w:tab w:val="clear" w:pos="1191"/>
                <w:tab w:val="clear" w:pos="1588"/>
                <w:tab w:val="clear" w:pos="1985"/>
              </w:tabs>
              <w:spacing w:before="100" w:after="120"/>
              <w:ind w:left="34"/>
              <w:rPr>
                <w:rFonts w:ascii="Verdana" w:hAnsi="Verdana"/>
                <w:sz w:val="28"/>
                <w:szCs w:val="28"/>
                <w:lang w:val="fr-FR"/>
              </w:rPr>
            </w:pPr>
            <w:r w:rsidRPr="00FA0659">
              <w:rPr>
                <w:b/>
                <w:bCs/>
                <w:sz w:val="26"/>
                <w:szCs w:val="26"/>
                <w:lang w:val="fr-FR"/>
              </w:rPr>
              <w:t>29ème réunion, virtuelle, 8-12 novembre 2021</w:t>
            </w:r>
          </w:p>
        </w:tc>
        <w:tc>
          <w:tcPr>
            <w:tcW w:w="1524" w:type="dxa"/>
          </w:tcPr>
          <w:p w14:paraId="1B921AB6" w14:textId="77777777" w:rsidR="005221A2" w:rsidRPr="00FA0659" w:rsidRDefault="002E38ED" w:rsidP="00593C05">
            <w:pPr>
              <w:spacing w:before="240"/>
              <w:ind w:right="142"/>
              <w:jc w:val="right"/>
              <w:rPr>
                <w:lang w:val="fr-FR"/>
              </w:rPr>
            </w:pPr>
            <w:r w:rsidRPr="00FA0659">
              <w:rPr>
                <w:noProof/>
                <w:lang w:val="fr-FR"/>
              </w:rPr>
              <w:drawing>
                <wp:inline distT="0" distB="0" distL="0" distR="0" wp14:anchorId="09BE002C" wp14:editId="591944F1">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A0659" w14:paraId="725DEB8A" w14:textId="77777777" w:rsidTr="00593C05">
        <w:trPr>
          <w:cantSplit/>
        </w:trPr>
        <w:tc>
          <w:tcPr>
            <w:tcW w:w="6379" w:type="dxa"/>
            <w:gridSpan w:val="2"/>
            <w:tcBorders>
              <w:top w:val="single" w:sz="12" w:space="0" w:color="auto"/>
            </w:tcBorders>
          </w:tcPr>
          <w:p w14:paraId="554A410E" w14:textId="77777777" w:rsidR="00683C32" w:rsidRPr="00FA0659" w:rsidRDefault="00683C32" w:rsidP="00593C05">
            <w:pPr>
              <w:spacing w:before="0"/>
              <w:rPr>
                <w:rFonts w:cs="Arial"/>
                <w:b/>
                <w:bCs/>
                <w:sz w:val="20"/>
                <w:lang w:val="fr-FR"/>
              </w:rPr>
            </w:pPr>
          </w:p>
        </w:tc>
        <w:tc>
          <w:tcPr>
            <w:tcW w:w="3509" w:type="dxa"/>
            <w:gridSpan w:val="2"/>
            <w:tcBorders>
              <w:top w:val="single" w:sz="12" w:space="0" w:color="auto"/>
            </w:tcBorders>
          </w:tcPr>
          <w:p w14:paraId="1CAEA0DC" w14:textId="77777777" w:rsidR="00683C32" w:rsidRPr="00FA0659" w:rsidRDefault="00683C32" w:rsidP="00593C05">
            <w:pPr>
              <w:spacing w:before="0"/>
              <w:rPr>
                <w:b/>
                <w:bCs/>
                <w:sz w:val="20"/>
                <w:lang w:val="fr-FR"/>
              </w:rPr>
            </w:pPr>
          </w:p>
        </w:tc>
      </w:tr>
      <w:tr w:rsidR="00BE62D1" w:rsidRPr="00FA0659" w14:paraId="4CE12B73" w14:textId="77777777" w:rsidTr="00593C05">
        <w:trPr>
          <w:cantSplit/>
        </w:trPr>
        <w:tc>
          <w:tcPr>
            <w:tcW w:w="6379" w:type="dxa"/>
            <w:gridSpan w:val="2"/>
          </w:tcPr>
          <w:p w14:paraId="18220240" w14:textId="77777777" w:rsidR="00BE62D1" w:rsidRPr="00FA0659" w:rsidRDefault="00BE62D1" w:rsidP="00593C05">
            <w:pPr>
              <w:pStyle w:val="Committee"/>
              <w:spacing w:before="0"/>
              <w:rPr>
                <w:b w:val="0"/>
                <w:szCs w:val="24"/>
                <w:lang w:val="fr-FR"/>
              </w:rPr>
            </w:pPr>
          </w:p>
        </w:tc>
        <w:tc>
          <w:tcPr>
            <w:tcW w:w="3509" w:type="dxa"/>
            <w:gridSpan w:val="2"/>
          </w:tcPr>
          <w:p w14:paraId="6BBD0120" w14:textId="77777777" w:rsidR="00BE62D1" w:rsidRPr="00FA0659" w:rsidRDefault="00BE62D1" w:rsidP="00593C05">
            <w:pPr>
              <w:spacing w:before="0"/>
              <w:jc w:val="both"/>
              <w:rPr>
                <w:bCs/>
                <w:szCs w:val="24"/>
                <w:lang w:val="fr-FR"/>
              </w:rPr>
            </w:pPr>
            <w:r w:rsidRPr="00FA0659">
              <w:rPr>
                <w:b/>
                <w:bCs/>
                <w:lang w:val="fr-FR"/>
              </w:rPr>
              <w:t xml:space="preserve">Document </w:t>
            </w:r>
            <w:bookmarkStart w:id="0" w:name="DocRef1"/>
            <w:bookmarkEnd w:id="0"/>
            <w:r w:rsidRPr="00FA0659">
              <w:rPr>
                <w:b/>
                <w:bCs/>
                <w:lang w:val="fr-FR"/>
              </w:rPr>
              <w:t>TDAG-2</w:t>
            </w:r>
            <w:bookmarkStart w:id="1" w:name="DocNo1"/>
            <w:bookmarkEnd w:id="1"/>
            <w:r w:rsidRPr="00FA0659">
              <w:rPr>
                <w:b/>
                <w:bCs/>
                <w:lang w:val="fr-FR"/>
              </w:rPr>
              <w:t>1/2/</w:t>
            </w:r>
            <w:r w:rsidR="003C70C1" w:rsidRPr="00FA0659">
              <w:rPr>
                <w:b/>
                <w:bCs/>
                <w:lang w:val="fr-FR"/>
              </w:rPr>
              <w:t>7</w:t>
            </w:r>
            <w:r w:rsidRPr="00FA0659">
              <w:rPr>
                <w:b/>
                <w:bCs/>
                <w:lang w:val="fr-FR"/>
              </w:rPr>
              <w:t>-F</w:t>
            </w:r>
          </w:p>
        </w:tc>
      </w:tr>
      <w:tr w:rsidR="00BE62D1" w:rsidRPr="00FA0659" w14:paraId="253072C5" w14:textId="77777777" w:rsidTr="00593C05">
        <w:trPr>
          <w:cantSplit/>
        </w:trPr>
        <w:tc>
          <w:tcPr>
            <w:tcW w:w="6379" w:type="dxa"/>
            <w:gridSpan w:val="2"/>
          </w:tcPr>
          <w:p w14:paraId="754CBA4F" w14:textId="77777777" w:rsidR="00BE62D1" w:rsidRPr="00FA0659" w:rsidRDefault="00BE62D1" w:rsidP="00593C05">
            <w:pPr>
              <w:spacing w:before="0"/>
              <w:rPr>
                <w:b/>
                <w:bCs/>
                <w:smallCaps/>
                <w:szCs w:val="24"/>
                <w:lang w:val="fr-FR"/>
              </w:rPr>
            </w:pPr>
          </w:p>
        </w:tc>
        <w:tc>
          <w:tcPr>
            <w:tcW w:w="3509" w:type="dxa"/>
            <w:gridSpan w:val="2"/>
          </w:tcPr>
          <w:p w14:paraId="1B94593E" w14:textId="77777777" w:rsidR="00BE62D1" w:rsidRPr="00FA0659" w:rsidRDefault="003C70C1" w:rsidP="00593C05">
            <w:pPr>
              <w:spacing w:before="0"/>
              <w:rPr>
                <w:b/>
                <w:szCs w:val="24"/>
                <w:lang w:val="fr-FR"/>
              </w:rPr>
            </w:pPr>
            <w:bookmarkStart w:id="2" w:name="CreationDate"/>
            <w:bookmarkEnd w:id="2"/>
            <w:r w:rsidRPr="00FA0659">
              <w:rPr>
                <w:b/>
                <w:bCs/>
                <w:szCs w:val="28"/>
                <w:lang w:val="fr-FR"/>
              </w:rPr>
              <w:t>14 septembre</w:t>
            </w:r>
            <w:r w:rsidR="00BE62D1" w:rsidRPr="00FA0659">
              <w:rPr>
                <w:b/>
                <w:bCs/>
                <w:szCs w:val="28"/>
                <w:lang w:val="fr-FR"/>
              </w:rPr>
              <w:t xml:space="preserve"> 2021</w:t>
            </w:r>
          </w:p>
        </w:tc>
      </w:tr>
      <w:tr w:rsidR="00683C32" w:rsidRPr="00FA0659" w14:paraId="305BB093" w14:textId="77777777" w:rsidTr="00593C05">
        <w:trPr>
          <w:cantSplit/>
        </w:trPr>
        <w:tc>
          <w:tcPr>
            <w:tcW w:w="6379" w:type="dxa"/>
            <w:gridSpan w:val="2"/>
          </w:tcPr>
          <w:p w14:paraId="4EAFC1D6" w14:textId="77777777" w:rsidR="00683C32" w:rsidRPr="00FA0659" w:rsidRDefault="00683C32" w:rsidP="00593C05">
            <w:pPr>
              <w:spacing w:before="0"/>
              <w:rPr>
                <w:b/>
                <w:bCs/>
                <w:smallCaps/>
                <w:szCs w:val="24"/>
                <w:lang w:val="fr-FR"/>
              </w:rPr>
            </w:pPr>
          </w:p>
        </w:tc>
        <w:tc>
          <w:tcPr>
            <w:tcW w:w="3509" w:type="dxa"/>
            <w:gridSpan w:val="2"/>
          </w:tcPr>
          <w:p w14:paraId="47AC1984" w14:textId="77777777" w:rsidR="00514D2F" w:rsidRPr="00FA0659" w:rsidRDefault="0096201B" w:rsidP="00593C05">
            <w:pPr>
              <w:spacing w:before="0"/>
              <w:rPr>
                <w:szCs w:val="24"/>
                <w:lang w:val="fr-FR"/>
              </w:rPr>
            </w:pPr>
            <w:r w:rsidRPr="00FA0659">
              <w:rPr>
                <w:b/>
                <w:lang w:val="fr-FR"/>
              </w:rPr>
              <w:t>Original:</w:t>
            </w:r>
            <w:bookmarkStart w:id="3" w:name="Original"/>
            <w:bookmarkEnd w:id="3"/>
            <w:r w:rsidR="00CE0422" w:rsidRPr="00FA0659">
              <w:rPr>
                <w:b/>
                <w:lang w:val="fr-FR"/>
              </w:rPr>
              <w:t xml:space="preserve"> </w:t>
            </w:r>
            <w:r w:rsidR="009B008D" w:rsidRPr="00FA0659">
              <w:rPr>
                <w:b/>
                <w:lang w:val="fr-FR"/>
              </w:rPr>
              <w:t>anglais</w:t>
            </w:r>
          </w:p>
        </w:tc>
      </w:tr>
      <w:tr w:rsidR="00A13162" w:rsidRPr="00FA0659" w14:paraId="1B6B9C57" w14:textId="77777777" w:rsidTr="00593C05">
        <w:trPr>
          <w:cantSplit/>
          <w:trHeight w:val="852"/>
        </w:trPr>
        <w:tc>
          <w:tcPr>
            <w:tcW w:w="9888" w:type="dxa"/>
            <w:gridSpan w:val="4"/>
          </w:tcPr>
          <w:p w14:paraId="4891C627" w14:textId="77777777" w:rsidR="00A13162" w:rsidRPr="00FA0659" w:rsidRDefault="003C70C1" w:rsidP="00593C05">
            <w:pPr>
              <w:pStyle w:val="Source"/>
              <w:rPr>
                <w:lang w:val="fr-FR"/>
              </w:rPr>
            </w:pPr>
            <w:bookmarkStart w:id="4" w:name="Source"/>
            <w:bookmarkEnd w:id="4"/>
            <w:r w:rsidRPr="00FA0659">
              <w:rPr>
                <w:lang w:val="fr-FR"/>
              </w:rPr>
              <w:t>Directrice du Bureau de développement des télécommunications</w:t>
            </w:r>
          </w:p>
        </w:tc>
      </w:tr>
      <w:tr w:rsidR="00AC6F14" w:rsidRPr="00FA0659" w14:paraId="227A63CE" w14:textId="77777777" w:rsidTr="00593C05">
        <w:trPr>
          <w:cantSplit/>
        </w:trPr>
        <w:tc>
          <w:tcPr>
            <w:tcW w:w="9888" w:type="dxa"/>
            <w:gridSpan w:val="4"/>
          </w:tcPr>
          <w:p w14:paraId="0A5964BD" w14:textId="77777777" w:rsidR="00AC6F14" w:rsidRPr="00FA0659" w:rsidRDefault="003C70C1" w:rsidP="00593C05">
            <w:pPr>
              <w:pStyle w:val="Title1"/>
              <w:rPr>
                <w:lang w:val="fr-FR"/>
              </w:rPr>
            </w:pPr>
            <w:bookmarkStart w:id="5" w:name="Title"/>
            <w:bookmarkEnd w:id="5"/>
            <w:r w:rsidRPr="00FA0659">
              <w:rPr>
                <w:lang w:val="fr-FR"/>
              </w:rPr>
              <w:t>Projets de l'UIT-D</w:t>
            </w:r>
          </w:p>
        </w:tc>
      </w:tr>
      <w:tr w:rsidR="00A721F4" w:rsidRPr="00FA0659" w14:paraId="3D098540" w14:textId="77777777" w:rsidTr="00593C05">
        <w:trPr>
          <w:cantSplit/>
        </w:trPr>
        <w:tc>
          <w:tcPr>
            <w:tcW w:w="9888" w:type="dxa"/>
            <w:gridSpan w:val="4"/>
            <w:tcBorders>
              <w:bottom w:val="single" w:sz="4" w:space="0" w:color="auto"/>
            </w:tcBorders>
          </w:tcPr>
          <w:p w14:paraId="4C5391B4" w14:textId="77777777" w:rsidR="00A721F4" w:rsidRPr="00FA0659" w:rsidRDefault="00A721F4" w:rsidP="00593C05">
            <w:pPr>
              <w:rPr>
                <w:lang w:val="fr-FR"/>
              </w:rPr>
            </w:pPr>
          </w:p>
        </w:tc>
      </w:tr>
      <w:tr w:rsidR="00A721F4" w:rsidRPr="00FA0659" w14:paraId="75AD0D39" w14:textId="77777777" w:rsidTr="00593C05">
        <w:trPr>
          <w:cantSplit/>
        </w:trPr>
        <w:tc>
          <w:tcPr>
            <w:tcW w:w="9888" w:type="dxa"/>
            <w:gridSpan w:val="4"/>
            <w:tcBorders>
              <w:top w:val="single" w:sz="4" w:space="0" w:color="auto"/>
              <w:left w:val="single" w:sz="4" w:space="0" w:color="auto"/>
              <w:bottom w:val="single" w:sz="4" w:space="0" w:color="auto"/>
              <w:right w:val="single" w:sz="4" w:space="0" w:color="auto"/>
            </w:tcBorders>
          </w:tcPr>
          <w:p w14:paraId="3149C071" w14:textId="77777777" w:rsidR="003C70C1" w:rsidRPr="00FA0659" w:rsidRDefault="003C70C1" w:rsidP="00593C05">
            <w:pPr>
              <w:spacing w:after="120"/>
              <w:rPr>
                <w:b/>
                <w:bCs/>
                <w:szCs w:val="24"/>
                <w:lang w:val="fr-FR"/>
              </w:rPr>
            </w:pPr>
            <w:r w:rsidRPr="00FA0659">
              <w:rPr>
                <w:b/>
                <w:bCs/>
                <w:szCs w:val="24"/>
                <w:lang w:val="fr-FR"/>
              </w:rPr>
              <w:t>Résumé:</w:t>
            </w:r>
          </w:p>
          <w:p w14:paraId="756880DF" w14:textId="77777777" w:rsidR="003C70C1" w:rsidRPr="00FA0659" w:rsidRDefault="003C70C1" w:rsidP="00593C05">
            <w:pPr>
              <w:spacing w:after="120"/>
              <w:rPr>
                <w:lang w:val="fr-FR"/>
              </w:rPr>
            </w:pPr>
            <w:bookmarkStart w:id="6" w:name="lt_pId021"/>
            <w:r w:rsidRPr="00FA0659">
              <w:rPr>
                <w:lang w:val="fr-FR"/>
              </w:rPr>
              <w:t>L'Union internationale des télécommunications a une double responsabilité en tant qu'institution spécialisée de l'Organisation des Nations Unies et agent d'exécution.</w:t>
            </w:r>
            <w:bookmarkEnd w:id="6"/>
            <w:r w:rsidRPr="00FA0659">
              <w:rPr>
                <w:lang w:val="fr-FR"/>
              </w:rPr>
              <w:t xml:space="preserve"> </w:t>
            </w:r>
            <w:bookmarkStart w:id="7" w:name="lt_pId022"/>
            <w:r w:rsidRPr="00FA0659">
              <w:rPr>
                <w:lang w:val="fr-FR"/>
              </w:rPr>
              <w:t>L'une des fonctions essentielles du Secteur du développement des télécommunications de l'UIT (UIT-D) consiste à s'acquitter de cette double responsabilité de l'Union pour la mise en œuvre de projets dans le cadre du système des Nations Unies pour le développement ou d'autres arrangements de financement, afin de faciliter et d'améliorer le développement des télécommunications en offrant, organisant et coordonnant les activités de coopération et d'assistance techniques.</w:t>
            </w:r>
            <w:bookmarkEnd w:id="7"/>
          </w:p>
          <w:p w14:paraId="24E88E69" w14:textId="56EC37A8" w:rsidR="005E12EA" w:rsidRPr="00FA0659" w:rsidRDefault="003C70C1" w:rsidP="00593C05">
            <w:pPr>
              <w:spacing w:after="120"/>
              <w:rPr>
                <w:lang w:val="fr-FR"/>
              </w:rPr>
            </w:pPr>
            <w:bookmarkStart w:id="8" w:name="lt_pId023"/>
            <w:r w:rsidRPr="00FA0659">
              <w:rPr>
                <w:lang w:val="fr-FR"/>
              </w:rPr>
              <w:t>Le présent document donne un aperçu général des travaux menés par le Bureau de développement des télécommunications en ce qui concerne la conception et la mise en œuvre de projets dans les six régions définies par l'UIT-D, à savoir la région Afrique, la région Amériques, la région des États arabes, la région Asie-Pacifique, la région de la CEI (Communauté des États indépendants) et la région Europe, ainsi qu'à l'échelle multirégionale.</w:t>
            </w:r>
            <w:bookmarkEnd w:id="8"/>
          </w:p>
          <w:p w14:paraId="30A619AA" w14:textId="77777777" w:rsidR="003C70C1" w:rsidRPr="00FA0659" w:rsidRDefault="003C70C1" w:rsidP="00593C05">
            <w:pPr>
              <w:spacing w:after="120"/>
              <w:rPr>
                <w:b/>
                <w:bCs/>
                <w:szCs w:val="24"/>
                <w:lang w:val="fr-FR"/>
              </w:rPr>
            </w:pPr>
            <w:r w:rsidRPr="00FA0659">
              <w:rPr>
                <w:b/>
                <w:bCs/>
                <w:lang w:val="fr-FR"/>
              </w:rPr>
              <w:t>Suite à donner:</w:t>
            </w:r>
          </w:p>
          <w:p w14:paraId="6F33623A" w14:textId="77777777" w:rsidR="003C70C1" w:rsidRPr="00FA0659" w:rsidRDefault="003C70C1" w:rsidP="00593C05">
            <w:pPr>
              <w:spacing w:after="120"/>
              <w:rPr>
                <w:szCs w:val="24"/>
                <w:lang w:val="fr-FR"/>
              </w:rPr>
            </w:pPr>
            <w:r w:rsidRPr="00FA0659">
              <w:rPr>
                <w:lang w:val="fr-FR"/>
              </w:rPr>
              <w:t>Le GCDT est invité à prendre note du présent document et à fournir les indications qu'il jugera utiles.</w:t>
            </w:r>
          </w:p>
          <w:p w14:paraId="214C3240" w14:textId="77777777" w:rsidR="003C70C1" w:rsidRPr="00FA0659" w:rsidRDefault="003C70C1" w:rsidP="00593C05">
            <w:pPr>
              <w:spacing w:after="120"/>
              <w:rPr>
                <w:b/>
                <w:bCs/>
                <w:szCs w:val="24"/>
                <w:lang w:val="fr-FR"/>
              </w:rPr>
            </w:pPr>
            <w:r w:rsidRPr="00FA0659">
              <w:rPr>
                <w:b/>
                <w:bCs/>
                <w:szCs w:val="24"/>
                <w:lang w:val="fr-FR"/>
              </w:rPr>
              <w:t>Références:</w:t>
            </w:r>
          </w:p>
          <w:p w14:paraId="03307960" w14:textId="77777777" w:rsidR="00A721F4" w:rsidRPr="00FA0659" w:rsidRDefault="003C70C1" w:rsidP="00593C05">
            <w:pPr>
              <w:spacing w:after="120"/>
              <w:rPr>
                <w:szCs w:val="24"/>
                <w:lang w:val="fr-FR"/>
              </w:rPr>
            </w:pPr>
            <w:bookmarkStart w:id="9" w:name="lt_pId028"/>
            <w:r w:rsidRPr="00FA0659">
              <w:rPr>
                <w:lang w:val="fr-FR"/>
              </w:rPr>
              <w:t>Résolutions 17 et 52 (Rév.Buenos Aires, 2017) de la Conférence mondiale de développement des télécommunications (CMDT) et Résolution 157 (Rév. Dubaï, 2018) de la Conférence de plénipotentiaires.</w:t>
            </w:r>
            <w:bookmarkEnd w:id="9"/>
          </w:p>
        </w:tc>
      </w:tr>
    </w:tbl>
    <w:p w14:paraId="6127C8CD" w14:textId="52686A9E" w:rsidR="00593C05" w:rsidRDefault="00593C05" w:rsidP="00593C05">
      <w:r>
        <w:br w:type="page"/>
      </w:r>
    </w:p>
    <w:p w14:paraId="0AE12A24" w14:textId="473171D6" w:rsidR="003C70C1" w:rsidRPr="00FA0659" w:rsidRDefault="003C70C1" w:rsidP="00593C05">
      <w:pPr>
        <w:pStyle w:val="Heading1"/>
        <w:rPr>
          <w:lang w:val="fr-FR"/>
        </w:rPr>
      </w:pPr>
      <w:bookmarkStart w:id="10" w:name="lt_pId029"/>
      <w:r w:rsidRPr="00FA0659">
        <w:rPr>
          <w:lang w:val="fr-FR"/>
        </w:rPr>
        <w:lastRenderedPageBreak/>
        <w:t>1</w:t>
      </w:r>
      <w:r w:rsidRPr="00FA0659">
        <w:rPr>
          <w:lang w:val="fr-FR"/>
        </w:rPr>
        <w:tab/>
        <w:t>Introduction</w:t>
      </w:r>
      <w:bookmarkEnd w:id="10"/>
    </w:p>
    <w:p w14:paraId="7B1A56CE" w14:textId="1A2CAC9C" w:rsidR="003C70C1" w:rsidRPr="00FA0659" w:rsidRDefault="003C70C1" w:rsidP="00D26CC9">
      <w:pPr>
        <w:rPr>
          <w:rFonts w:ascii="Calibri" w:hAnsi="Calibri" w:cs="Calibri"/>
          <w:b/>
          <w:sz w:val="22"/>
          <w:lang w:val="fr-FR"/>
        </w:rPr>
      </w:pPr>
      <w:r w:rsidRPr="00FA0659">
        <w:rPr>
          <w:lang w:val="fr-FR"/>
        </w:rPr>
        <w:t xml:space="preserve">Conformément aux Résolutions 17 et 52 (Rév.Buenos Aires, 2017) de la Conférence mondiale de développement des télécommunications (CMDT) et à la Résolution 157 (Rév. Dubaï, 2018) de la Conférence de plénipotentiaires, le Bureau de développement des télécommunications (BDT) de l'UIT s'acquitte de la responsabilité de l'Union pour mettre en œuvre des projets dans le cadre du système de développement des Nations Unies ou d'autres arrangements de financement, afin de faciliter et d'améliorer le développement des télécommunications/technologies de l'information et de la communication, en offrant, organisant et coordonnant les activités de coopération et d'assistance techniques. </w:t>
      </w:r>
      <w:r w:rsidR="00EA4950" w:rsidRPr="00FA0659">
        <w:rPr>
          <w:lang w:val="fr-FR"/>
        </w:rPr>
        <w:t>Le présent rapport donne un aperçu de l'état d'avancement du portefeuille de projets de l'UIT pour la période comprise entre mars et septembre 2021</w:t>
      </w:r>
      <w:r w:rsidRPr="00FA0659">
        <w:rPr>
          <w:rStyle w:val="FootnoteReference"/>
          <w:lang w:val="fr-FR"/>
        </w:rPr>
        <w:footnoteReference w:id="1"/>
      </w:r>
      <w:r w:rsidRPr="00FA0659">
        <w:rPr>
          <w:lang w:val="fr-FR"/>
        </w:rPr>
        <w:t>.</w:t>
      </w:r>
    </w:p>
    <w:p w14:paraId="3C8111B9" w14:textId="77777777" w:rsidR="003C70C1" w:rsidRPr="00FA0659" w:rsidRDefault="003C70C1" w:rsidP="00D26CC9">
      <w:pPr>
        <w:pStyle w:val="Heading1"/>
        <w:rPr>
          <w:lang w:val="fr-FR"/>
        </w:rPr>
      </w:pPr>
      <w:bookmarkStart w:id="11" w:name="lt_pId033"/>
      <w:r w:rsidRPr="00FA0659">
        <w:rPr>
          <w:lang w:val="fr-FR"/>
        </w:rPr>
        <w:t>2</w:t>
      </w:r>
      <w:r w:rsidRPr="00FA0659">
        <w:rPr>
          <w:lang w:val="fr-FR"/>
        </w:rPr>
        <w:tab/>
        <w:t>Portefeuille de projets de l'UIT:</w:t>
      </w:r>
      <w:bookmarkEnd w:id="11"/>
      <w:r w:rsidRPr="00FA0659">
        <w:rPr>
          <w:lang w:val="fr-FR"/>
        </w:rPr>
        <w:t xml:space="preserve"> projets en cours</w:t>
      </w:r>
      <w:bookmarkStart w:id="12" w:name="lt_pId035"/>
    </w:p>
    <w:p w14:paraId="3E91CDD5" w14:textId="77777777" w:rsidR="003C70C1" w:rsidRPr="00FA0659" w:rsidRDefault="003C70C1" w:rsidP="00D26CC9">
      <w:pPr>
        <w:pStyle w:val="Heading2"/>
        <w:rPr>
          <w:lang w:val="fr-FR"/>
        </w:rPr>
      </w:pPr>
      <w:r w:rsidRPr="00FA0659">
        <w:rPr>
          <w:lang w:val="fr-FR"/>
        </w:rPr>
        <w:t>2.1</w:t>
      </w:r>
      <w:r w:rsidRPr="00FA0659">
        <w:rPr>
          <w:lang w:val="fr-FR"/>
        </w:rPr>
        <w:tab/>
        <w:t>Vue d'ensemble et répartition régionale</w:t>
      </w:r>
      <w:bookmarkEnd w:id="12"/>
    </w:p>
    <w:p w14:paraId="7A92463B" w14:textId="4F6BC2CD" w:rsidR="003C70C1" w:rsidRPr="00FA0659" w:rsidRDefault="003C70C1" w:rsidP="00D26CC9">
      <w:pPr>
        <w:spacing w:after="120"/>
        <w:rPr>
          <w:lang w:val="fr-FR"/>
        </w:rPr>
      </w:pPr>
      <w:bookmarkStart w:id="13" w:name="lt_pId036"/>
      <w:r w:rsidRPr="00FA0659">
        <w:rPr>
          <w:color w:val="000000"/>
          <w:lang w:val="fr-FR"/>
        </w:rPr>
        <w:t xml:space="preserve">Au </w:t>
      </w:r>
      <w:r w:rsidR="00EA4950" w:rsidRPr="00FA0659">
        <w:rPr>
          <w:color w:val="000000"/>
          <w:lang w:val="fr-FR"/>
        </w:rPr>
        <w:t>15 septembre 2021</w:t>
      </w:r>
      <w:r w:rsidRPr="00FA0659">
        <w:rPr>
          <w:color w:val="000000"/>
          <w:lang w:val="fr-FR"/>
        </w:rPr>
        <w:t xml:space="preserve">, le portefeuille de projets de l'UIT comprenait </w:t>
      </w:r>
      <w:r w:rsidR="00E368A7" w:rsidRPr="00FA0659">
        <w:rPr>
          <w:color w:val="000000"/>
          <w:lang w:val="fr-FR"/>
        </w:rPr>
        <w:t>77</w:t>
      </w:r>
      <w:r w:rsidRPr="00FA0659">
        <w:rPr>
          <w:color w:val="000000"/>
          <w:lang w:val="fr-FR"/>
        </w:rPr>
        <w:t xml:space="preserve"> projets en cours, dont le montant s'élève à </w:t>
      </w:r>
      <w:r w:rsidR="00E368A7" w:rsidRPr="00FA0659">
        <w:rPr>
          <w:color w:val="000000"/>
          <w:lang w:val="fr-FR"/>
        </w:rPr>
        <w:t>93,9</w:t>
      </w:r>
      <w:r w:rsidRPr="00FA0659">
        <w:rPr>
          <w:color w:val="000000"/>
          <w:lang w:val="fr-FR"/>
        </w:rPr>
        <w:t xml:space="preserve"> millions CHF, </w:t>
      </w:r>
      <w:r w:rsidR="00E368A7" w:rsidRPr="00FA0659">
        <w:rPr>
          <w:color w:val="000000"/>
          <w:lang w:val="fr-FR"/>
        </w:rPr>
        <w:t>avec un</w:t>
      </w:r>
      <w:r w:rsidRPr="00FA0659">
        <w:rPr>
          <w:color w:val="000000"/>
          <w:lang w:val="fr-FR"/>
        </w:rPr>
        <w:t xml:space="preserve"> solde de fonds de </w:t>
      </w:r>
      <w:r w:rsidR="00E368A7" w:rsidRPr="00FA0659">
        <w:rPr>
          <w:color w:val="000000"/>
          <w:lang w:val="fr-FR"/>
        </w:rPr>
        <w:t>25,9</w:t>
      </w:r>
      <w:r w:rsidRPr="00FA0659">
        <w:rPr>
          <w:color w:val="000000"/>
          <w:lang w:val="fr-FR"/>
        </w:rPr>
        <w:t> millions CHF</w:t>
      </w:r>
      <w:bookmarkStart w:id="14" w:name="lt_pId037"/>
      <w:bookmarkEnd w:id="13"/>
      <w:r w:rsidR="00E368A7" w:rsidRPr="00FA0659">
        <w:rPr>
          <w:lang w:val="fr-FR"/>
        </w:rPr>
        <w:t xml:space="preserve"> </w:t>
      </w:r>
      <w:r w:rsidR="00E368A7" w:rsidRPr="00FA0659">
        <w:rPr>
          <w:color w:val="000000"/>
          <w:lang w:val="fr-FR"/>
        </w:rPr>
        <w:t>non encore engagés</w:t>
      </w:r>
      <w:r w:rsidRPr="00FA0659">
        <w:rPr>
          <w:color w:val="000000"/>
          <w:lang w:val="fr-FR"/>
        </w:rPr>
        <w:t xml:space="preserve">. La </w:t>
      </w:r>
      <w:r w:rsidRPr="00FA0659">
        <w:rPr>
          <w:lang w:val="fr-FR"/>
        </w:rPr>
        <w:t xml:space="preserve">Figure 1 illustre la répartition générale </w:t>
      </w:r>
      <w:r w:rsidR="005E12EA" w:rsidRPr="00FA0659">
        <w:rPr>
          <w:lang w:val="fr-FR"/>
        </w:rPr>
        <w:t xml:space="preserve">de ce </w:t>
      </w:r>
      <w:r w:rsidR="00E368A7" w:rsidRPr="00FA0659">
        <w:rPr>
          <w:lang w:val="fr-FR"/>
        </w:rPr>
        <w:t>portefeuille</w:t>
      </w:r>
      <w:r w:rsidRPr="00FA0659">
        <w:rPr>
          <w:lang w:val="fr-FR"/>
        </w:rPr>
        <w:t xml:space="preserve"> par région et donne une vue d'ensemble des fonds alloués</w:t>
      </w:r>
      <w:r w:rsidR="005E12EA" w:rsidRPr="00FA0659">
        <w:rPr>
          <w:lang w:val="fr-FR"/>
        </w:rPr>
        <w:t xml:space="preserve"> aux projets</w:t>
      </w:r>
      <w:r w:rsidRPr="00FA0659">
        <w:rPr>
          <w:lang w:val="fr-FR"/>
        </w:rPr>
        <w:t>.</w:t>
      </w:r>
      <w:bookmarkStart w:id="15" w:name="_GoBack"/>
      <w:bookmarkEnd w:id="14"/>
      <w:bookmarkEnd w:id="15"/>
    </w:p>
    <w:p w14:paraId="589D4E2D" w14:textId="77777777" w:rsidR="003C70C1" w:rsidRPr="00FA0659" w:rsidRDefault="003C70C1" w:rsidP="00D26CC9">
      <w:pPr>
        <w:pStyle w:val="Figuretitle"/>
        <w:spacing w:before="240" w:after="240"/>
        <w:rPr>
          <w:szCs w:val="24"/>
          <w:lang w:val="fr-FR"/>
        </w:rPr>
      </w:pPr>
      <w:bookmarkStart w:id="16" w:name="lt_pId038"/>
      <w:r w:rsidRPr="00FA0659">
        <w:rPr>
          <w:szCs w:val="24"/>
          <w:lang w:val="fr-FR"/>
        </w:rPr>
        <w:t xml:space="preserve">Figure 1 – Vue d'ensemble des projets de l'UIT en cours, par région </w:t>
      </w:r>
      <w:bookmarkEnd w:id="16"/>
      <w:r w:rsidRPr="00FA0659">
        <w:rPr>
          <w:szCs w:val="24"/>
          <w:lang w:val="fr-FR"/>
        </w:rPr>
        <w:br/>
      </w:r>
      <w:bookmarkStart w:id="17" w:name="lt_pId039"/>
      <w:r w:rsidRPr="00FA0659">
        <w:rPr>
          <w:szCs w:val="24"/>
          <w:lang w:val="fr-FR"/>
        </w:rPr>
        <w:t>(en milliers CHF)</w:t>
      </w:r>
      <w:bookmarkEnd w:id="17"/>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53"/>
        <w:gridCol w:w="837"/>
        <w:gridCol w:w="1259"/>
        <w:gridCol w:w="1466"/>
        <w:gridCol w:w="1333"/>
        <w:gridCol w:w="1254"/>
        <w:gridCol w:w="1226"/>
        <w:gridCol w:w="1011"/>
      </w:tblGrid>
      <w:tr w:rsidR="00E447FB" w:rsidRPr="00FA0659" w14:paraId="67C11168" w14:textId="77777777" w:rsidTr="00593C05">
        <w:trPr>
          <w:trHeight w:val="300"/>
          <w:jc w:val="center"/>
        </w:trPr>
        <w:tc>
          <w:tcPr>
            <w:tcW w:w="1253" w:type="dxa"/>
            <w:vMerge w:val="restart"/>
            <w:tcBorders>
              <w:top w:val="single" w:sz="4" w:space="0" w:color="auto"/>
              <w:left w:val="single" w:sz="4" w:space="0" w:color="auto"/>
              <w:bottom w:val="single" w:sz="4" w:space="0" w:color="auto"/>
              <w:right w:val="nil"/>
            </w:tcBorders>
            <w:shd w:val="clear" w:color="auto" w:fill="4F81BD" w:themeFill="accent1"/>
            <w:noWrap/>
            <w:vAlign w:val="center"/>
            <w:hideMark/>
          </w:tcPr>
          <w:p w14:paraId="25CD0138" w14:textId="77777777" w:rsidR="003C70C1" w:rsidRPr="00FA0659" w:rsidRDefault="003C70C1" w:rsidP="00D26CC9">
            <w:pPr>
              <w:pStyle w:val="Tablehead"/>
              <w:rPr>
                <w:rFonts w:eastAsiaTheme="minorEastAsia"/>
                <w:color w:val="FFFFFF" w:themeColor="background1"/>
                <w:sz w:val="18"/>
                <w:szCs w:val="18"/>
                <w:lang w:val="fr-FR" w:eastAsia="zh-CN"/>
              </w:rPr>
            </w:pPr>
            <w:bookmarkStart w:id="18" w:name="lt_pId040"/>
            <w:r w:rsidRPr="00FA0659">
              <w:rPr>
                <w:rFonts w:eastAsiaTheme="minorEastAsia"/>
                <w:color w:val="FFFFFF" w:themeColor="background1"/>
                <w:sz w:val="18"/>
                <w:szCs w:val="18"/>
                <w:lang w:val="fr-FR" w:eastAsia="zh-CN"/>
              </w:rPr>
              <w:t>Région</w:t>
            </w:r>
            <w:bookmarkEnd w:id="18"/>
          </w:p>
        </w:tc>
        <w:tc>
          <w:tcPr>
            <w:tcW w:w="837" w:type="dxa"/>
            <w:vMerge w:val="restart"/>
            <w:tcBorders>
              <w:top w:val="single" w:sz="4" w:space="0" w:color="auto"/>
              <w:left w:val="nil"/>
              <w:bottom w:val="single" w:sz="4" w:space="0" w:color="auto"/>
              <w:right w:val="nil"/>
            </w:tcBorders>
            <w:shd w:val="clear" w:color="auto" w:fill="4F81BD" w:themeFill="accent1"/>
            <w:noWrap/>
            <w:vAlign w:val="center"/>
            <w:hideMark/>
          </w:tcPr>
          <w:p w14:paraId="44B49843" w14:textId="77777777" w:rsidR="003C70C1" w:rsidRPr="00FA0659" w:rsidRDefault="003C70C1" w:rsidP="00D26CC9">
            <w:pPr>
              <w:pStyle w:val="Tablehead"/>
              <w:rPr>
                <w:rFonts w:eastAsiaTheme="minorEastAsia"/>
                <w:color w:val="FFFFFF" w:themeColor="background1"/>
                <w:sz w:val="18"/>
                <w:szCs w:val="18"/>
                <w:lang w:val="fr-FR" w:eastAsia="zh-CN"/>
              </w:rPr>
            </w:pPr>
            <w:r w:rsidRPr="00FA0659">
              <w:rPr>
                <w:rFonts w:eastAsiaTheme="minorEastAsia"/>
                <w:color w:val="FFFFFF" w:themeColor="background1"/>
                <w:sz w:val="18"/>
                <w:szCs w:val="18"/>
                <w:lang w:val="fr-FR" w:eastAsia="zh-CN"/>
              </w:rPr>
              <w:t>Nombre de projets</w:t>
            </w:r>
          </w:p>
        </w:tc>
        <w:tc>
          <w:tcPr>
            <w:tcW w:w="1259" w:type="dxa"/>
            <w:vMerge w:val="restart"/>
            <w:tcBorders>
              <w:top w:val="single" w:sz="4" w:space="0" w:color="auto"/>
              <w:left w:val="nil"/>
              <w:bottom w:val="single" w:sz="4" w:space="0" w:color="auto"/>
              <w:right w:val="nil"/>
            </w:tcBorders>
            <w:shd w:val="clear" w:color="auto" w:fill="4F81BD" w:themeFill="accent1"/>
            <w:noWrap/>
            <w:vAlign w:val="center"/>
            <w:hideMark/>
          </w:tcPr>
          <w:p w14:paraId="5F4210CA" w14:textId="77777777" w:rsidR="003C70C1" w:rsidRPr="00FA0659" w:rsidRDefault="003C70C1" w:rsidP="00D26CC9">
            <w:pPr>
              <w:pStyle w:val="Tablehead"/>
              <w:rPr>
                <w:rFonts w:eastAsiaTheme="minorEastAsia"/>
                <w:color w:val="FFFFFF" w:themeColor="background1"/>
                <w:sz w:val="18"/>
                <w:szCs w:val="18"/>
                <w:lang w:val="fr-FR" w:eastAsia="zh-CN"/>
              </w:rPr>
            </w:pPr>
            <w:r w:rsidRPr="00FA0659">
              <w:rPr>
                <w:rFonts w:eastAsiaTheme="minorEastAsia"/>
                <w:color w:val="FFFFFF" w:themeColor="background1"/>
                <w:sz w:val="18"/>
                <w:szCs w:val="18"/>
                <w:lang w:val="fr-FR" w:eastAsia="zh-CN"/>
              </w:rPr>
              <w:t>Financement externe</w:t>
            </w:r>
          </w:p>
        </w:tc>
        <w:tc>
          <w:tcPr>
            <w:tcW w:w="1466" w:type="dxa"/>
            <w:tcBorders>
              <w:top w:val="single" w:sz="4" w:space="0" w:color="auto"/>
              <w:left w:val="nil"/>
              <w:bottom w:val="nil"/>
              <w:right w:val="nil"/>
            </w:tcBorders>
            <w:shd w:val="clear" w:color="auto" w:fill="4F81BD" w:themeFill="accent1"/>
            <w:noWrap/>
            <w:vAlign w:val="center"/>
            <w:hideMark/>
          </w:tcPr>
          <w:p w14:paraId="048AF60B" w14:textId="77777777" w:rsidR="003C70C1" w:rsidRPr="00FA0659" w:rsidRDefault="003C70C1" w:rsidP="00D26CC9">
            <w:pPr>
              <w:pStyle w:val="Tablehead"/>
              <w:rPr>
                <w:rFonts w:eastAsiaTheme="minorEastAsia"/>
                <w:color w:val="FFFFFF" w:themeColor="background1"/>
                <w:sz w:val="18"/>
                <w:szCs w:val="18"/>
                <w:lang w:val="fr-FR" w:eastAsia="zh-CN"/>
              </w:rPr>
            </w:pPr>
            <w:r w:rsidRPr="00FA0659">
              <w:rPr>
                <w:rFonts w:eastAsiaTheme="minorEastAsia"/>
                <w:color w:val="FFFFFF" w:themeColor="background1"/>
                <w:sz w:val="18"/>
                <w:szCs w:val="18"/>
                <w:lang w:val="fr-FR" w:eastAsia="zh-CN"/>
              </w:rPr>
              <w:t>Financement</w:t>
            </w:r>
          </w:p>
        </w:tc>
        <w:tc>
          <w:tcPr>
            <w:tcW w:w="1333" w:type="dxa"/>
            <w:tcBorders>
              <w:top w:val="single" w:sz="4" w:space="0" w:color="auto"/>
              <w:left w:val="nil"/>
              <w:bottom w:val="nil"/>
              <w:right w:val="nil"/>
            </w:tcBorders>
            <w:shd w:val="clear" w:color="auto" w:fill="4F81BD" w:themeFill="accent1"/>
            <w:noWrap/>
            <w:vAlign w:val="center"/>
            <w:hideMark/>
          </w:tcPr>
          <w:p w14:paraId="620DC39C" w14:textId="77777777" w:rsidR="003C70C1" w:rsidRPr="00FA0659" w:rsidRDefault="003C70C1" w:rsidP="00D26CC9">
            <w:pPr>
              <w:pStyle w:val="Tablehead"/>
              <w:rPr>
                <w:rFonts w:eastAsiaTheme="minorEastAsia"/>
                <w:color w:val="FFFFFF" w:themeColor="background1"/>
                <w:sz w:val="18"/>
                <w:szCs w:val="18"/>
                <w:lang w:val="fr-FR" w:eastAsia="zh-CN"/>
              </w:rPr>
            </w:pPr>
            <w:r w:rsidRPr="00FA0659">
              <w:rPr>
                <w:rFonts w:eastAsiaTheme="minorEastAsia"/>
                <w:color w:val="FFFFFF" w:themeColor="background1"/>
                <w:sz w:val="18"/>
                <w:szCs w:val="18"/>
                <w:lang w:val="fr-FR" w:eastAsia="zh-CN"/>
              </w:rPr>
              <w:t>Financement</w:t>
            </w:r>
          </w:p>
        </w:tc>
        <w:tc>
          <w:tcPr>
            <w:tcW w:w="1254" w:type="dxa"/>
            <w:tcBorders>
              <w:top w:val="single" w:sz="4" w:space="0" w:color="auto"/>
              <w:left w:val="nil"/>
              <w:bottom w:val="nil"/>
              <w:right w:val="nil"/>
            </w:tcBorders>
            <w:shd w:val="clear" w:color="auto" w:fill="4F81BD" w:themeFill="accent1"/>
            <w:noWrap/>
            <w:vAlign w:val="center"/>
            <w:hideMark/>
          </w:tcPr>
          <w:p w14:paraId="451619AE" w14:textId="77777777" w:rsidR="003C70C1" w:rsidRPr="00FA0659" w:rsidRDefault="003C70C1" w:rsidP="00D26CC9">
            <w:pPr>
              <w:pStyle w:val="Tablehead"/>
              <w:rPr>
                <w:rFonts w:eastAsiaTheme="minorEastAsia"/>
                <w:color w:val="FFFFFF" w:themeColor="background1"/>
                <w:sz w:val="18"/>
                <w:szCs w:val="18"/>
                <w:lang w:val="fr-FR" w:eastAsia="zh-CN"/>
              </w:rPr>
            </w:pPr>
            <w:bookmarkStart w:id="19" w:name="lt_pId045"/>
            <w:r w:rsidRPr="00FA0659">
              <w:rPr>
                <w:rFonts w:eastAsiaTheme="minorEastAsia"/>
                <w:color w:val="FFFFFF" w:themeColor="background1"/>
                <w:sz w:val="18"/>
                <w:szCs w:val="18"/>
                <w:lang w:val="fr-FR" w:eastAsia="zh-CN"/>
              </w:rPr>
              <w:t>Total</w:t>
            </w:r>
            <w:bookmarkEnd w:id="19"/>
          </w:p>
        </w:tc>
        <w:tc>
          <w:tcPr>
            <w:tcW w:w="1226" w:type="dxa"/>
            <w:vMerge w:val="restart"/>
            <w:tcBorders>
              <w:top w:val="single" w:sz="4" w:space="0" w:color="auto"/>
              <w:left w:val="nil"/>
              <w:bottom w:val="single" w:sz="4" w:space="0" w:color="auto"/>
              <w:right w:val="nil"/>
            </w:tcBorders>
            <w:shd w:val="clear" w:color="auto" w:fill="4F81BD" w:themeFill="accent1"/>
            <w:noWrap/>
            <w:vAlign w:val="center"/>
            <w:hideMark/>
          </w:tcPr>
          <w:p w14:paraId="7BE3F229" w14:textId="3661CD1C" w:rsidR="003C70C1" w:rsidRPr="00FA0659" w:rsidRDefault="003C70C1" w:rsidP="00D26CC9">
            <w:pPr>
              <w:pStyle w:val="Tablehead"/>
              <w:rPr>
                <w:rFonts w:eastAsiaTheme="minorEastAsia"/>
                <w:color w:val="FFFFFF" w:themeColor="background1"/>
                <w:sz w:val="18"/>
                <w:szCs w:val="18"/>
                <w:lang w:val="fr-FR" w:eastAsia="zh-CN"/>
              </w:rPr>
            </w:pPr>
            <w:bookmarkStart w:id="20" w:name="lt_pId046"/>
            <w:r w:rsidRPr="00FA0659">
              <w:rPr>
                <w:rFonts w:eastAsiaTheme="minorEastAsia"/>
                <w:color w:val="FFFFFF" w:themeColor="background1"/>
                <w:sz w:val="18"/>
                <w:szCs w:val="18"/>
                <w:lang w:val="fr-FR" w:eastAsia="zh-CN"/>
              </w:rPr>
              <w:t xml:space="preserve">Solde des fonds au </w:t>
            </w:r>
            <w:bookmarkEnd w:id="20"/>
            <w:r w:rsidR="00E368A7" w:rsidRPr="00FA0659">
              <w:rPr>
                <w:rFonts w:eastAsiaTheme="minorEastAsia"/>
                <w:color w:val="FFFFFF" w:themeColor="background1"/>
                <w:sz w:val="18"/>
                <w:szCs w:val="18"/>
                <w:lang w:val="fr-FR" w:eastAsia="zh-CN"/>
              </w:rPr>
              <w:t>15/09/21</w:t>
            </w:r>
          </w:p>
        </w:tc>
        <w:tc>
          <w:tcPr>
            <w:tcW w:w="1011" w:type="dxa"/>
            <w:vMerge w:val="restart"/>
            <w:tcBorders>
              <w:top w:val="single" w:sz="4" w:space="0" w:color="auto"/>
              <w:left w:val="nil"/>
              <w:bottom w:val="single" w:sz="4" w:space="0" w:color="auto"/>
              <w:right w:val="single" w:sz="4" w:space="0" w:color="auto"/>
            </w:tcBorders>
            <w:shd w:val="clear" w:color="auto" w:fill="4F81BD" w:themeFill="accent1"/>
            <w:noWrap/>
            <w:vAlign w:val="center"/>
            <w:hideMark/>
          </w:tcPr>
          <w:p w14:paraId="72CE19CF" w14:textId="77777777" w:rsidR="003C70C1" w:rsidRPr="00FA0659" w:rsidRDefault="003C70C1" w:rsidP="00D26CC9">
            <w:pPr>
              <w:pStyle w:val="Tablehead"/>
              <w:rPr>
                <w:rFonts w:eastAsiaTheme="minorEastAsia"/>
                <w:color w:val="FFFFFF" w:themeColor="background1"/>
                <w:sz w:val="18"/>
                <w:szCs w:val="18"/>
                <w:lang w:val="fr-FR" w:eastAsia="zh-CN"/>
              </w:rPr>
            </w:pPr>
            <w:r w:rsidRPr="00FA0659">
              <w:rPr>
                <w:rFonts w:eastAsiaTheme="minorEastAsia"/>
                <w:color w:val="FFFFFF" w:themeColor="background1"/>
                <w:sz w:val="18"/>
                <w:szCs w:val="18"/>
                <w:lang w:val="fr-FR" w:eastAsia="zh-CN"/>
              </w:rPr>
              <w:t>Solde en %</w:t>
            </w:r>
          </w:p>
        </w:tc>
      </w:tr>
      <w:tr w:rsidR="00E447FB" w:rsidRPr="00FA0659" w14:paraId="1D40EE2E" w14:textId="77777777" w:rsidTr="00593C05">
        <w:trPr>
          <w:trHeight w:val="270"/>
          <w:jc w:val="center"/>
        </w:trPr>
        <w:tc>
          <w:tcPr>
            <w:tcW w:w="1253" w:type="dxa"/>
            <w:vMerge/>
            <w:tcBorders>
              <w:top w:val="single" w:sz="4" w:space="0" w:color="auto"/>
              <w:left w:val="single" w:sz="4" w:space="0" w:color="auto"/>
              <w:bottom w:val="single" w:sz="4" w:space="0" w:color="auto"/>
              <w:right w:val="nil"/>
            </w:tcBorders>
            <w:vAlign w:val="center"/>
            <w:hideMark/>
          </w:tcPr>
          <w:p w14:paraId="74C5C2AE" w14:textId="77777777" w:rsidR="003C70C1" w:rsidRPr="00FA0659" w:rsidRDefault="003C70C1" w:rsidP="00D26CC9">
            <w:pPr>
              <w:tabs>
                <w:tab w:val="clear" w:pos="794"/>
                <w:tab w:val="clear" w:pos="1191"/>
                <w:tab w:val="clear" w:pos="1588"/>
                <w:tab w:val="clear" w:pos="1985"/>
              </w:tabs>
              <w:overflowPunct/>
              <w:autoSpaceDE/>
              <w:autoSpaceDN/>
              <w:adjustRightInd/>
              <w:spacing w:before="0"/>
              <w:rPr>
                <w:rFonts w:eastAsiaTheme="minorEastAsia"/>
                <w:b/>
                <w:color w:val="FFFFFF" w:themeColor="background1"/>
                <w:sz w:val="18"/>
                <w:szCs w:val="18"/>
                <w:lang w:val="fr-FR" w:eastAsia="zh-CN"/>
              </w:rPr>
            </w:pPr>
          </w:p>
        </w:tc>
        <w:tc>
          <w:tcPr>
            <w:tcW w:w="837" w:type="dxa"/>
            <w:vMerge/>
            <w:tcBorders>
              <w:top w:val="single" w:sz="4" w:space="0" w:color="auto"/>
              <w:left w:val="nil"/>
              <w:bottom w:val="single" w:sz="4" w:space="0" w:color="auto"/>
              <w:right w:val="nil"/>
            </w:tcBorders>
            <w:vAlign w:val="center"/>
            <w:hideMark/>
          </w:tcPr>
          <w:p w14:paraId="61CA8FBC" w14:textId="77777777" w:rsidR="003C70C1" w:rsidRPr="00FA0659" w:rsidRDefault="003C70C1" w:rsidP="00D26CC9">
            <w:pPr>
              <w:tabs>
                <w:tab w:val="clear" w:pos="794"/>
                <w:tab w:val="clear" w:pos="1191"/>
                <w:tab w:val="clear" w:pos="1588"/>
                <w:tab w:val="clear" w:pos="1985"/>
              </w:tabs>
              <w:overflowPunct/>
              <w:autoSpaceDE/>
              <w:autoSpaceDN/>
              <w:adjustRightInd/>
              <w:spacing w:before="0"/>
              <w:rPr>
                <w:rFonts w:eastAsiaTheme="minorEastAsia"/>
                <w:b/>
                <w:color w:val="FFFFFF" w:themeColor="background1"/>
                <w:sz w:val="18"/>
                <w:szCs w:val="18"/>
                <w:lang w:val="fr-FR" w:eastAsia="zh-CN"/>
              </w:rPr>
            </w:pPr>
          </w:p>
        </w:tc>
        <w:tc>
          <w:tcPr>
            <w:tcW w:w="1259" w:type="dxa"/>
            <w:vMerge/>
            <w:tcBorders>
              <w:top w:val="single" w:sz="4" w:space="0" w:color="auto"/>
              <w:left w:val="nil"/>
              <w:bottom w:val="single" w:sz="4" w:space="0" w:color="auto"/>
              <w:right w:val="nil"/>
            </w:tcBorders>
            <w:vAlign w:val="center"/>
            <w:hideMark/>
          </w:tcPr>
          <w:p w14:paraId="32F90952" w14:textId="77777777" w:rsidR="003C70C1" w:rsidRPr="00FA0659" w:rsidRDefault="003C70C1" w:rsidP="00D26CC9">
            <w:pPr>
              <w:tabs>
                <w:tab w:val="clear" w:pos="794"/>
                <w:tab w:val="clear" w:pos="1191"/>
                <w:tab w:val="clear" w:pos="1588"/>
                <w:tab w:val="clear" w:pos="1985"/>
              </w:tabs>
              <w:overflowPunct/>
              <w:autoSpaceDE/>
              <w:autoSpaceDN/>
              <w:adjustRightInd/>
              <w:spacing w:before="0"/>
              <w:rPr>
                <w:rFonts w:eastAsiaTheme="minorEastAsia"/>
                <w:b/>
                <w:color w:val="FFFFFF" w:themeColor="background1"/>
                <w:sz w:val="18"/>
                <w:szCs w:val="18"/>
                <w:lang w:val="fr-FR" w:eastAsia="zh-CN"/>
              </w:rPr>
            </w:pPr>
          </w:p>
        </w:tc>
        <w:tc>
          <w:tcPr>
            <w:tcW w:w="1466" w:type="dxa"/>
            <w:tcBorders>
              <w:top w:val="nil"/>
              <w:left w:val="nil"/>
              <w:bottom w:val="single" w:sz="4" w:space="0" w:color="auto"/>
              <w:right w:val="nil"/>
            </w:tcBorders>
            <w:shd w:val="clear" w:color="auto" w:fill="4F81BD" w:themeFill="accent1"/>
            <w:noWrap/>
            <w:vAlign w:val="center"/>
            <w:hideMark/>
          </w:tcPr>
          <w:p w14:paraId="16E76975" w14:textId="77777777" w:rsidR="003C70C1" w:rsidRPr="00FA0659" w:rsidRDefault="003C70C1" w:rsidP="00D26CC9">
            <w:pPr>
              <w:pStyle w:val="Tablehead"/>
              <w:rPr>
                <w:rFonts w:eastAsiaTheme="minorEastAsia"/>
                <w:color w:val="FFFFFF" w:themeColor="background1"/>
                <w:sz w:val="18"/>
                <w:szCs w:val="18"/>
                <w:lang w:val="fr-FR" w:eastAsia="zh-CN"/>
              </w:rPr>
            </w:pPr>
            <w:r w:rsidRPr="00FA0659">
              <w:rPr>
                <w:rFonts w:eastAsiaTheme="minorEastAsia"/>
                <w:color w:val="FFFFFF" w:themeColor="background1"/>
                <w:sz w:val="18"/>
                <w:szCs w:val="18"/>
                <w:lang w:val="fr-FR" w:eastAsia="zh-CN"/>
              </w:rPr>
              <w:t>Fonds pour le développement des TIC</w:t>
            </w:r>
          </w:p>
        </w:tc>
        <w:tc>
          <w:tcPr>
            <w:tcW w:w="1333" w:type="dxa"/>
            <w:tcBorders>
              <w:top w:val="nil"/>
              <w:left w:val="nil"/>
              <w:bottom w:val="single" w:sz="4" w:space="0" w:color="auto"/>
              <w:right w:val="nil"/>
            </w:tcBorders>
            <w:shd w:val="clear" w:color="auto" w:fill="4F81BD" w:themeFill="accent1"/>
            <w:noWrap/>
            <w:vAlign w:val="center"/>
            <w:hideMark/>
          </w:tcPr>
          <w:p w14:paraId="46C558BD" w14:textId="77777777" w:rsidR="003C70C1" w:rsidRPr="00FA0659" w:rsidRDefault="003C70C1" w:rsidP="00D26CC9">
            <w:pPr>
              <w:pStyle w:val="Tablehead"/>
              <w:rPr>
                <w:rFonts w:eastAsiaTheme="minorEastAsia"/>
                <w:color w:val="FFFFFF" w:themeColor="background1"/>
                <w:sz w:val="18"/>
                <w:szCs w:val="18"/>
                <w:lang w:val="fr-FR" w:eastAsia="zh-CN"/>
              </w:rPr>
            </w:pPr>
            <w:r w:rsidRPr="00FA0659">
              <w:rPr>
                <w:rFonts w:eastAsiaTheme="minorEastAsia"/>
                <w:color w:val="FFFFFF" w:themeColor="background1"/>
                <w:sz w:val="18"/>
                <w:szCs w:val="18"/>
                <w:lang w:val="fr-FR" w:eastAsia="zh-CN"/>
              </w:rPr>
              <w:t>Plan opérationnel</w:t>
            </w:r>
          </w:p>
        </w:tc>
        <w:tc>
          <w:tcPr>
            <w:tcW w:w="1254" w:type="dxa"/>
            <w:tcBorders>
              <w:top w:val="nil"/>
              <w:left w:val="nil"/>
              <w:bottom w:val="single" w:sz="4" w:space="0" w:color="auto"/>
              <w:right w:val="nil"/>
            </w:tcBorders>
            <w:shd w:val="clear" w:color="auto" w:fill="4F81BD" w:themeFill="accent1"/>
            <w:noWrap/>
            <w:vAlign w:val="center"/>
            <w:hideMark/>
          </w:tcPr>
          <w:p w14:paraId="1BEA1D15" w14:textId="77777777" w:rsidR="003C70C1" w:rsidRPr="00FA0659" w:rsidRDefault="003C70C1" w:rsidP="00D26CC9">
            <w:pPr>
              <w:pStyle w:val="Tablehead"/>
              <w:rPr>
                <w:rFonts w:eastAsiaTheme="minorEastAsia"/>
                <w:color w:val="FFFFFF" w:themeColor="background1"/>
                <w:sz w:val="18"/>
                <w:szCs w:val="18"/>
                <w:lang w:val="fr-FR" w:eastAsia="zh-CN"/>
              </w:rPr>
            </w:pPr>
            <w:r w:rsidRPr="00FA0659">
              <w:rPr>
                <w:rFonts w:eastAsiaTheme="minorEastAsia"/>
                <w:color w:val="FFFFFF" w:themeColor="background1"/>
                <w:sz w:val="18"/>
                <w:szCs w:val="18"/>
                <w:lang w:val="fr-FR" w:eastAsia="zh-CN"/>
              </w:rPr>
              <w:t>Financement</w:t>
            </w:r>
          </w:p>
        </w:tc>
        <w:tc>
          <w:tcPr>
            <w:tcW w:w="1226" w:type="dxa"/>
            <w:vMerge/>
            <w:tcBorders>
              <w:top w:val="single" w:sz="4" w:space="0" w:color="auto"/>
              <w:left w:val="nil"/>
              <w:bottom w:val="single" w:sz="4" w:space="0" w:color="auto"/>
              <w:right w:val="nil"/>
            </w:tcBorders>
            <w:vAlign w:val="center"/>
            <w:hideMark/>
          </w:tcPr>
          <w:p w14:paraId="7F6A80F9" w14:textId="77777777" w:rsidR="003C70C1" w:rsidRPr="00FA0659" w:rsidRDefault="003C70C1" w:rsidP="00D26CC9">
            <w:pPr>
              <w:tabs>
                <w:tab w:val="clear" w:pos="794"/>
                <w:tab w:val="clear" w:pos="1191"/>
                <w:tab w:val="clear" w:pos="1588"/>
                <w:tab w:val="clear" w:pos="1985"/>
              </w:tabs>
              <w:overflowPunct/>
              <w:autoSpaceDE/>
              <w:autoSpaceDN/>
              <w:adjustRightInd/>
              <w:spacing w:before="0"/>
              <w:rPr>
                <w:rFonts w:eastAsiaTheme="minorEastAsia"/>
                <w:b/>
                <w:color w:val="FFFFFF" w:themeColor="background1"/>
                <w:sz w:val="18"/>
                <w:szCs w:val="18"/>
                <w:lang w:val="fr-FR" w:eastAsia="zh-CN"/>
              </w:rPr>
            </w:pPr>
          </w:p>
        </w:tc>
        <w:tc>
          <w:tcPr>
            <w:tcW w:w="1011" w:type="dxa"/>
            <w:vMerge/>
            <w:tcBorders>
              <w:top w:val="single" w:sz="4" w:space="0" w:color="auto"/>
              <w:left w:val="nil"/>
              <w:bottom w:val="single" w:sz="4" w:space="0" w:color="auto"/>
              <w:right w:val="single" w:sz="4" w:space="0" w:color="auto"/>
            </w:tcBorders>
            <w:vAlign w:val="center"/>
            <w:hideMark/>
          </w:tcPr>
          <w:p w14:paraId="33E2C233" w14:textId="77777777" w:rsidR="003C70C1" w:rsidRPr="00FA0659" w:rsidRDefault="003C70C1" w:rsidP="00D26CC9">
            <w:pPr>
              <w:tabs>
                <w:tab w:val="clear" w:pos="794"/>
                <w:tab w:val="clear" w:pos="1191"/>
                <w:tab w:val="clear" w:pos="1588"/>
                <w:tab w:val="clear" w:pos="1985"/>
              </w:tabs>
              <w:overflowPunct/>
              <w:autoSpaceDE/>
              <w:autoSpaceDN/>
              <w:adjustRightInd/>
              <w:spacing w:before="0"/>
              <w:rPr>
                <w:rFonts w:eastAsiaTheme="minorEastAsia"/>
                <w:b/>
                <w:color w:val="FFFFFF" w:themeColor="background1"/>
                <w:sz w:val="18"/>
                <w:szCs w:val="18"/>
                <w:lang w:val="fr-FR" w:eastAsia="zh-CN"/>
              </w:rPr>
            </w:pPr>
          </w:p>
        </w:tc>
      </w:tr>
      <w:tr w:rsidR="00E447FB" w:rsidRPr="00FA0659" w14:paraId="5E14C9EB" w14:textId="77777777" w:rsidTr="00593C05">
        <w:trPr>
          <w:trHeight w:val="54"/>
          <w:jc w:val="center"/>
        </w:trPr>
        <w:tc>
          <w:tcPr>
            <w:tcW w:w="1253" w:type="dxa"/>
            <w:tcBorders>
              <w:top w:val="single" w:sz="4" w:space="0" w:color="auto"/>
              <w:left w:val="single" w:sz="4" w:space="0" w:color="auto"/>
              <w:bottom w:val="single" w:sz="4" w:space="0" w:color="auto"/>
              <w:right w:val="nil"/>
            </w:tcBorders>
            <w:hideMark/>
          </w:tcPr>
          <w:p w14:paraId="5EFE1168" w14:textId="77777777" w:rsidR="00E447FB" w:rsidRPr="00FA0659" w:rsidRDefault="00E447FB" w:rsidP="00D26CC9">
            <w:pPr>
              <w:pStyle w:val="Tabletext"/>
              <w:rPr>
                <w:sz w:val="18"/>
                <w:szCs w:val="18"/>
                <w:lang w:val="fr-FR" w:eastAsia="zh-CN"/>
              </w:rPr>
            </w:pPr>
            <w:bookmarkStart w:id="21" w:name="lt_pId112"/>
            <w:r w:rsidRPr="00FA0659">
              <w:rPr>
                <w:sz w:val="18"/>
                <w:szCs w:val="18"/>
                <w:lang w:val="fr-FR" w:eastAsia="zh-CN"/>
              </w:rPr>
              <w:t>Afrique</w:t>
            </w:r>
          </w:p>
        </w:tc>
        <w:tc>
          <w:tcPr>
            <w:tcW w:w="837" w:type="dxa"/>
            <w:tcBorders>
              <w:top w:val="single" w:sz="4" w:space="0" w:color="auto"/>
              <w:left w:val="nil"/>
              <w:bottom w:val="single" w:sz="4" w:space="0" w:color="auto"/>
              <w:right w:val="nil"/>
            </w:tcBorders>
            <w:noWrap/>
            <w:vAlign w:val="bottom"/>
            <w:hideMark/>
          </w:tcPr>
          <w:p w14:paraId="53EEB38C"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14</w:t>
            </w:r>
          </w:p>
        </w:tc>
        <w:tc>
          <w:tcPr>
            <w:tcW w:w="1259" w:type="dxa"/>
            <w:tcBorders>
              <w:top w:val="single" w:sz="4" w:space="0" w:color="auto"/>
              <w:left w:val="nil"/>
              <w:bottom w:val="single" w:sz="4" w:space="0" w:color="auto"/>
              <w:right w:val="nil"/>
            </w:tcBorders>
            <w:vAlign w:val="bottom"/>
            <w:hideMark/>
          </w:tcPr>
          <w:p w14:paraId="076AE9DD"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9 896,8</w:t>
            </w:r>
          </w:p>
        </w:tc>
        <w:tc>
          <w:tcPr>
            <w:tcW w:w="1466" w:type="dxa"/>
            <w:tcBorders>
              <w:top w:val="single" w:sz="4" w:space="0" w:color="auto"/>
              <w:left w:val="nil"/>
              <w:bottom w:val="single" w:sz="4" w:space="0" w:color="auto"/>
              <w:right w:val="nil"/>
            </w:tcBorders>
            <w:vAlign w:val="bottom"/>
            <w:hideMark/>
          </w:tcPr>
          <w:p w14:paraId="2B9A7B42"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956,8</w:t>
            </w:r>
          </w:p>
        </w:tc>
        <w:tc>
          <w:tcPr>
            <w:tcW w:w="1333" w:type="dxa"/>
            <w:tcBorders>
              <w:top w:val="single" w:sz="4" w:space="0" w:color="auto"/>
              <w:left w:val="nil"/>
              <w:bottom w:val="single" w:sz="4" w:space="0" w:color="auto"/>
              <w:right w:val="nil"/>
            </w:tcBorders>
            <w:vAlign w:val="bottom"/>
            <w:hideMark/>
          </w:tcPr>
          <w:p w14:paraId="607760C0"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434,3</w:t>
            </w:r>
          </w:p>
        </w:tc>
        <w:tc>
          <w:tcPr>
            <w:tcW w:w="1254" w:type="dxa"/>
            <w:tcBorders>
              <w:top w:val="single" w:sz="4" w:space="0" w:color="auto"/>
              <w:left w:val="nil"/>
              <w:bottom w:val="single" w:sz="4" w:space="0" w:color="auto"/>
              <w:right w:val="nil"/>
            </w:tcBorders>
            <w:shd w:val="clear" w:color="auto" w:fill="DBE5F1" w:themeFill="accent1" w:themeFillTint="33"/>
            <w:vAlign w:val="bottom"/>
            <w:hideMark/>
          </w:tcPr>
          <w:p w14:paraId="5EC7946B"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11 883,9</w:t>
            </w:r>
          </w:p>
        </w:tc>
        <w:tc>
          <w:tcPr>
            <w:tcW w:w="1226" w:type="dxa"/>
            <w:tcBorders>
              <w:top w:val="single" w:sz="4" w:space="0" w:color="auto"/>
              <w:left w:val="nil"/>
              <w:bottom w:val="single" w:sz="4" w:space="0" w:color="auto"/>
              <w:right w:val="nil"/>
            </w:tcBorders>
            <w:vAlign w:val="bottom"/>
            <w:hideMark/>
          </w:tcPr>
          <w:p w14:paraId="2995B194"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6 432,4</w:t>
            </w:r>
          </w:p>
        </w:tc>
        <w:tc>
          <w:tcPr>
            <w:tcW w:w="1011" w:type="dxa"/>
            <w:tcBorders>
              <w:top w:val="single" w:sz="4" w:space="0" w:color="auto"/>
              <w:left w:val="nil"/>
              <w:bottom w:val="single" w:sz="4" w:space="0" w:color="auto"/>
              <w:right w:val="single" w:sz="4" w:space="0" w:color="auto"/>
            </w:tcBorders>
            <w:vAlign w:val="bottom"/>
            <w:hideMark/>
          </w:tcPr>
          <w:p w14:paraId="6ECA3309"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54%</w:t>
            </w:r>
          </w:p>
        </w:tc>
      </w:tr>
      <w:tr w:rsidR="00E447FB" w:rsidRPr="00FA0659" w14:paraId="7BD52840" w14:textId="77777777" w:rsidTr="00593C05">
        <w:trPr>
          <w:trHeight w:val="54"/>
          <w:jc w:val="center"/>
        </w:trPr>
        <w:tc>
          <w:tcPr>
            <w:tcW w:w="1253" w:type="dxa"/>
            <w:tcBorders>
              <w:top w:val="single" w:sz="4" w:space="0" w:color="auto"/>
              <w:left w:val="single" w:sz="4" w:space="0" w:color="auto"/>
              <w:bottom w:val="single" w:sz="4" w:space="0" w:color="auto"/>
              <w:right w:val="nil"/>
            </w:tcBorders>
            <w:hideMark/>
          </w:tcPr>
          <w:p w14:paraId="5E931AB4" w14:textId="77777777" w:rsidR="00E447FB" w:rsidRPr="00FA0659" w:rsidRDefault="00E447FB" w:rsidP="00D26CC9">
            <w:pPr>
              <w:pStyle w:val="Tabletext"/>
              <w:rPr>
                <w:sz w:val="18"/>
                <w:szCs w:val="18"/>
                <w:lang w:val="fr-FR" w:eastAsia="zh-CN"/>
              </w:rPr>
            </w:pPr>
            <w:r w:rsidRPr="00FA0659">
              <w:rPr>
                <w:sz w:val="18"/>
                <w:szCs w:val="18"/>
                <w:lang w:val="fr-FR" w:eastAsia="zh-CN"/>
              </w:rPr>
              <w:t>Amériques</w:t>
            </w:r>
          </w:p>
        </w:tc>
        <w:tc>
          <w:tcPr>
            <w:tcW w:w="837" w:type="dxa"/>
            <w:tcBorders>
              <w:top w:val="single" w:sz="4" w:space="0" w:color="auto"/>
              <w:left w:val="nil"/>
              <w:bottom w:val="single" w:sz="4" w:space="0" w:color="auto"/>
              <w:right w:val="nil"/>
            </w:tcBorders>
            <w:noWrap/>
            <w:vAlign w:val="bottom"/>
            <w:hideMark/>
          </w:tcPr>
          <w:p w14:paraId="4C745F87"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11</w:t>
            </w:r>
          </w:p>
        </w:tc>
        <w:tc>
          <w:tcPr>
            <w:tcW w:w="1259" w:type="dxa"/>
            <w:tcBorders>
              <w:top w:val="single" w:sz="4" w:space="0" w:color="auto"/>
              <w:left w:val="nil"/>
              <w:bottom w:val="single" w:sz="4" w:space="0" w:color="auto"/>
              <w:right w:val="nil"/>
            </w:tcBorders>
            <w:vAlign w:val="bottom"/>
            <w:hideMark/>
          </w:tcPr>
          <w:p w14:paraId="2781ACB7"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41 230,9</w:t>
            </w:r>
          </w:p>
        </w:tc>
        <w:tc>
          <w:tcPr>
            <w:tcW w:w="1466" w:type="dxa"/>
            <w:tcBorders>
              <w:top w:val="single" w:sz="4" w:space="0" w:color="auto"/>
              <w:left w:val="nil"/>
              <w:bottom w:val="single" w:sz="4" w:space="0" w:color="auto"/>
              <w:right w:val="nil"/>
            </w:tcBorders>
            <w:vAlign w:val="bottom"/>
            <w:hideMark/>
          </w:tcPr>
          <w:p w14:paraId="34CBA6D2"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114,8</w:t>
            </w:r>
          </w:p>
        </w:tc>
        <w:tc>
          <w:tcPr>
            <w:tcW w:w="1333" w:type="dxa"/>
            <w:tcBorders>
              <w:top w:val="single" w:sz="4" w:space="0" w:color="auto"/>
              <w:left w:val="nil"/>
              <w:bottom w:val="single" w:sz="4" w:space="0" w:color="auto"/>
              <w:right w:val="nil"/>
            </w:tcBorders>
            <w:vAlign w:val="bottom"/>
            <w:hideMark/>
          </w:tcPr>
          <w:p w14:paraId="03CBA4ED"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612,2</w:t>
            </w:r>
          </w:p>
        </w:tc>
        <w:tc>
          <w:tcPr>
            <w:tcW w:w="1254" w:type="dxa"/>
            <w:tcBorders>
              <w:top w:val="single" w:sz="4" w:space="0" w:color="auto"/>
              <w:left w:val="nil"/>
              <w:bottom w:val="single" w:sz="4" w:space="0" w:color="auto"/>
              <w:right w:val="nil"/>
            </w:tcBorders>
            <w:shd w:val="clear" w:color="auto" w:fill="DBE5F1" w:themeFill="accent1" w:themeFillTint="33"/>
            <w:vAlign w:val="bottom"/>
            <w:hideMark/>
          </w:tcPr>
          <w:p w14:paraId="3682DB62"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41 957,9</w:t>
            </w:r>
          </w:p>
        </w:tc>
        <w:tc>
          <w:tcPr>
            <w:tcW w:w="1226" w:type="dxa"/>
            <w:tcBorders>
              <w:top w:val="single" w:sz="4" w:space="0" w:color="auto"/>
              <w:left w:val="nil"/>
              <w:bottom w:val="single" w:sz="4" w:space="0" w:color="auto"/>
              <w:right w:val="nil"/>
            </w:tcBorders>
            <w:vAlign w:val="bottom"/>
            <w:hideMark/>
          </w:tcPr>
          <w:p w14:paraId="55271CC9"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5 438,3</w:t>
            </w:r>
          </w:p>
        </w:tc>
        <w:tc>
          <w:tcPr>
            <w:tcW w:w="1011" w:type="dxa"/>
            <w:tcBorders>
              <w:top w:val="single" w:sz="4" w:space="0" w:color="auto"/>
              <w:left w:val="nil"/>
              <w:bottom w:val="single" w:sz="4" w:space="0" w:color="auto"/>
              <w:right w:val="single" w:sz="4" w:space="0" w:color="auto"/>
            </w:tcBorders>
            <w:vAlign w:val="bottom"/>
            <w:hideMark/>
          </w:tcPr>
          <w:p w14:paraId="58883138"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13%</w:t>
            </w:r>
          </w:p>
        </w:tc>
      </w:tr>
      <w:tr w:rsidR="00E447FB" w:rsidRPr="00FA0659" w14:paraId="684EF4EE" w14:textId="77777777" w:rsidTr="00593C05">
        <w:trPr>
          <w:trHeight w:val="300"/>
          <w:jc w:val="center"/>
        </w:trPr>
        <w:tc>
          <w:tcPr>
            <w:tcW w:w="1253" w:type="dxa"/>
            <w:tcBorders>
              <w:top w:val="single" w:sz="4" w:space="0" w:color="auto"/>
              <w:left w:val="single" w:sz="4" w:space="0" w:color="auto"/>
              <w:bottom w:val="single" w:sz="4" w:space="0" w:color="auto"/>
              <w:right w:val="nil"/>
            </w:tcBorders>
            <w:hideMark/>
          </w:tcPr>
          <w:p w14:paraId="3B762991" w14:textId="77777777" w:rsidR="00E447FB" w:rsidRPr="00FA0659" w:rsidRDefault="00E447FB" w:rsidP="00D26CC9">
            <w:pPr>
              <w:pStyle w:val="Tabletext"/>
              <w:rPr>
                <w:sz w:val="18"/>
                <w:szCs w:val="18"/>
                <w:lang w:val="fr-FR" w:eastAsia="zh-CN"/>
              </w:rPr>
            </w:pPr>
            <w:r w:rsidRPr="00FA0659">
              <w:rPr>
                <w:sz w:val="18"/>
                <w:szCs w:val="18"/>
                <w:lang w:val="fr-FR" w:eastAsia="zh-CN"/>
              </w:rPr>
              <w:t>États arabes</w:t>
            </w:r>
          </w:p>
        </w:tc>
        <w:tc>
          <w:tcPr>
            <w:tcW w:w="837" w:type="dxa"/>
            <w:tcBorders>
              <w:top w:val="single" w:sz="4" w:space="0" w:color="auto"/>
              <w:left w:val="nil"/>
              <w:bottom w:val="single" w:sz="4" w:space="0" w:color="auto"/>
              <w:right w:val="nil"/>
            </w:tcBorders>
            <w:vAlign w:val="bottom"/>
            <w:hideMark/>
          </w:tcPr>
          <w:p w14:paraId="3F258581"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9</w:t>
            </w:r>
          </w:p>
        </w:tc>
        <w:tc>
          <w:tcPr>
            <w:tcW w:w="1259" w:type="dxa"/>
            <w:tcBorders>
              <w:top w:val="single" w:sz="4" w:space="0" w:color="auto"/>
              <w:left w:val="nil"/>
              <w:bottom w:val="single" w:sz="4" w:space="0" w:color="auto"/>
              <w:right w:val="nil"/>
            </w:tcBorders>
            <w:vAlign w:val="bottom"/>
            <w:hideMark/>
          </w:tcPr>
          <w:p w14:paraId="1D7F79EF"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5 045,3</w:t>
            </w:r>
          </w:p>
        </w:tc>
        <w:tc>
          <w:tcPr>
            <w:tcW w:w="1466" w:type="dxa"/>
            <w:tcBorders>
              <w:top w:val="single" w:sz="4" w:space="0" w:color="auto"/>
              <w:left w:val="nil"/>
              <w:bottom w:val="single" w:sz="4" w:space="0" w:color="auto"/>
              <w:right w:val="nil"/>
            </w:tcBorders>
            <w:vAlign w:val="bottom"/>
            <w:hideMark/>
          </w:tcPr>
          <w:p w14:paraId="3E759805"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690,0</w:t>
            </w:r>
          </w:p>
        </w:tc>
        <w:tc>
          <w:tcPr>
            <w:tcW w:w="1333" w:type="dxa"/>
            <w:tcBorders>
              <w:top w:val="single" w:sz="4" w:space="0" w:color="auto"/>
              <w:left w:val="nil"/>
              <w:bottom w:val="single" w:sz="4" w:space="0" w:color="auto"/>
              <w:right w:val="nil"/>
            </w:tcBorders>
            <w:vAlign w:val="bottom"/>
            <w:hideMark/>
          </w:tcPr>
          <w:p w14:paraId="4055DB9F"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189,0</w:t>
            </w:r>
          </w:p>
        </w:tc>
        <w:tc>
          <w:tcPr>
            <w:tcW w:w="1254" w:type="dxa"/>
            <w:tcBorders>
              <w:top w:val="single" w:sz="4" w:space="0" w:color="auto"/>
              <w:left w:val="nil"/>
              <w:bottom w:val="single" w:sz="4" w:space="0" w:color="auto"/>
              <w:right w:val="nil"/>
            </w:tcBorders>
            <w:shd w:val="clear" w:color="auto" w:fill="DBE5F1" w:themeFill="accent1" w:themeFillTint="33"/>
            <w:vAlign w:val="bottom"/>
            <w:hideMark/>
          </w:tcPr>
          <w:p w14:paraId="38D73A81"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5 924,3</w:t>
            </w:r>
          </w:p>
        </w:tc>
        <w:tc>
          <w:tcPr>
            <w:tcW w:w="1226" w:type="dxa"/>
            <w:tcBorders>
              <w:top w:val="single" w:sz="4" w:space="0" w:color="auto"/>
              <w:left w:val="nil"/>
              <w:bottom w:val="single" w:sz="4" w:space="0" w:color="auto"/>
              <w:right w:val="nil"/>
            </w:tcBorders>
            <w:vAlign w:val="bottom"/>
            <w:hideMark/>
          </w:tcPr>
          <w:p w14:paraId="33EC353D"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1 663,0</w:t>
            </w:r>
          </w:p>
        </w:tc>
        <w:tc>
          <w:tcPr>
            <w:tcW w:w="1011" w:type="dxa"/>
            <w:tcBorders>
              <w:top w:val="single" w:sz="4" w:space="0" w:color="auto"/>
              <w:left w:val="nil"/>
              <w:bottom w:val="single" w:sz="4" w:space="0" w:color="auto"/>
              <w:right w:val="single" w:sz="4" w:space="0" w:color="auto"/>
            </w:tcBorders>
            <w:vAlign w:val="bottom"/>
            <w:hideMark/>
          </w:tcPr>
          <w:p w14:paraId="07C33EDA"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28%</w:t>
            </w:r>
          </w:p>
        </w:tc>
      </w:tr>
      <w:tr w:rsidR="00E447FB" w:rsidRPr="00FA0659" w14:paraId="4284B2BB" w14:textId="77777777" w:rsidTr="00593C05">
        <w:trPr>
          <w:trHeight w:val="54"/>
          <w:jc w:val="center"/>
        </w:trPr>
        <w:tc>
          <w:tcPr>
            <w:tcW w:w="1253" w:type="dxa"/>
            <w:tcBorders>
              <w:top w:val="single" w:sz="4" w:space="0" w:color="auto"/>
              <w:left w:val="single" w:sz="4" w:space="0" w:color="auto"/>
              <w:bottom w:val="single" w:sz="4" w:space="0" w:color="auto"/>
              <w:right w:val="nil"/>
            </w:tcBorders>
            <w:vAlign w:val="center"/>
            <w:hideMark/>
          </w:tcPr>
          <w:p w14:paraId="38173018" w14:textId="77777777" w:rsidR="00E447FB" w:rsidRPr="00FA0659" w:rsidRDefault="00E447FB" w:rsidP="00D26CC9">
            <w:pPr>
              <w:pStyle w:val="Tabletext"/>
              <w:rPr>
                <w:sz w:val="18"/>
                <w:szCs w:val="18"/>
                <w:lang w:val="fr-FR" w:eastAsia="zh-CN"/>
              </w:rPr>
            </w:pPr>
            <w:r w:rsidRPr="00FA0659">
              <w:rPr>
                <w:sz w:val="18"/>
                <w:szCs w:val="18"/>
                <w:lang w:val="fr-FR" w:eastAsia="zh-CN"/>
              </w:rPr>
              <w:t>Asie-Pacifique</w:t>
            </w:r>
          </w:p>
        </w:tc>
        <w:tc>
          <w:tcPr>
            <w:tcW w:w="837" w:type="dxa"/>
            <w:tcBorders>
              <w:top w:val="single" w:sz="4" w:space="0" w:color="auto"/>
              <w:left w:val="nil"/>
              <w:bottom w:val="single" w:sz="4" w:space="0" w:color="auto"/>
              <w:right w:val="nil"/>
            </w:tcBorders>
            <w:noWrap/>
            <w:vAlign w:val="bottom"/>
            <w:hideMark/>
          </w:tcPr>
          <w:p w14:paraId="6C9CD631"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7</w:t>
            </w:r>
          </w:p>
        </w:tc>
        <w:tc>
          <w:tcPr>
            <w:tcW w:w="1259" w:type="dxa"/>
            <w:tcBorders>
              <w:top w:val="single" w:sz="4" w:space="0" w:color="auto"/>
              <w:left w:val="nil"/>
              <w:bottom w:val="single" w:sz="4" w:space="0" w:color="auto"/>
              <w:right w:val="nil"/>
            </w:tcBorders>
            <w:vAlign w:val="bottom"/>
            <w:hideMark/>
          </w:tcPr>
          <w:p w14:paraId="57D20EF5"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4 213,9</w:t>
            </w:r>
          </w:p>
        </w:tc>
        <w:tc>
          <w:tcPr>
            <w:tcW w:w="1466" w:type="dxa"/>
            <w:tcBorders>
              <w:top w:val="single" w:sz="4" w:space="0" w:color="auto"/>
              <w:left w:val="nil"/>
              <w:bottom w:val="single" w:sz="4" w:space="0" w:color="auto"/>
              <w:right w:val="nil"/>
            </w:tcBorders>
            <w:vAlign w:val="bottom"/>
          </w:tcPr>
          <w:p w14:paraId="3094C245" w14:textId="77777777" w:rsidR="00E447FB" w:rsidRPr="00FA0659" w:rsidRDefault="00E447FB" w:rsidP="00D26CC9">
            <w:pPr>
              <w:spacing w:before="60" w:after="60"/>
              <w:jc w:val="right"/>
              <w:rPr>
                <w:rFonts w:eastAsiaTheme="minorEastAsia" w:cstheme="minorHAnsi"/>
                <w:sz w:val="18"/>
                <w:szCs w:val="18"/>
                <w:lang w:val="fr-FR" w:eastAsia="zh-CN"/>
              </w:rPr>
            </w:pPr>
          </w:p>
        </w:tc>
        <w:tc>
          <w:tcPr>
            <w:tcW w:w="1333" w:type="dxa"/>
            <w:tcBorders>
              <w:top w:val="single" w:sz="4" w:space="0" w:color="auto"/>
              <w:left w:val="nil"/>
              <w:bottom w:val="single" w:sz="4" w:space="0" w:color="auto"/>
              <w:right w:val="nil"/>
            </w:tcBorders>
            <w:vAlign w:val="bottom"/>
            <w:hideMark/>
          </w:tcPr>
          <w:p w14:paraId="55ED8ECE"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229,3</w:t>
            </w:r>
          </w:p>
        </w:tc>
        <w:tc>
          <w:tcPr>
            <w:tcW w:w="1254" w:type="dxa"/>
            <w:tcBorders>
              <w:top w:val="single" w:sz="4" w:space="0" w:color="auto"/>
              <w:left w:val="nil"/>
              <w:bottom w:val="single" w:sz="4" w:space="0" w:color="auto"/>
              <w:right w:val="nil"/>
            </w:tcBorders>
            <w:shd w:val="clear" w:color="auto" w:fill="DBE5F1" w:themeFill="accent1" w:themeFillTint="33"/>
            <w:vAlign w:val="bottom"/>
            <w:hideMark/>
          </w:tcPr>
          <w:p w14:paraId="158C6874"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4 652,2</w:t>
            </w:r>
          </w:p>
        </w:tc>
        <w:tc>
          <w:tcPr>
            <w:tcW w:w="1226" w:type="dxa"/>
            <w:tcBorders>
              <w:top w:val="single" w:sz="4" w:space="0" w:color="auto"/>
              <w:left w:val="nil"/>
              <w:bottom w:val="single" w:sz="4" w:space="0" w:color="auto"/>
              <w:right w:val="nil"/>
            </w:tcBorders>
            <w:vAlign w:val="bottom"/>
            <w:hideMark/>
          </w:tcPr>
          <w:p w14:paraId="468FE808"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3 464,3</w:t>
            </w:r>
          </w:p>
        </w:tc>
        <w:tc>
          <w:tcPr>
            <w:tcW w:w="1011" w:type="dxa"/>
            <w:tcBorders>
              <w:top w:val="single" w:sz="4" w:space="0" w:color="auto"/>
              <w:left w:val="nil"/>
              <w:bottom w:val="single" w:sz="4" w:space="0" w:color="auto"/>
              <w:right w:val="single" w:sz="4" w:space="0" w:color="auto"/>
            </w:tcBorders>
            <w:vAlign w:val="bottom"/>
            <w:hideMark/>
          </w:tcPr>
          <w:p w14:paraId="19C55619"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74%</w:t>
            </w:r>
          </w:p>
        </w:tc>
      </w:tr>
      <w:tr w:rsidR="00E447FB" w:rsidRPr="00FA0659" w14:paraId="50321CBF" w14:textId="77777777" w:rsidTr="00593C05">
        <w:trPr>
          <w:trHeight w:val="54"/>
          <w:jc w:val="center"/>
        </w:trPr>
        <w:tc>
          <w:tcPr>
            <w:tcW w:w="1253" w:type="dxa"/>
            <w:tcBorders>
              <w:top w:val="single" w:sz="4" w:space="0" w:color="auto"/>
              <w:left w:val="single" w:sz="4" w:space="0" w:color="auto"/>
              <w:bottom w:val="single" w:sz="4" w:space="0" w:color="auto"/>
              <w:right w:val="nil"/>
            </w:tcBorders>
            <w:hideMark/>
          </w:tcPr>
          <w:p w14:paraId="77C98BDE" w14:textId="77777777" w:rsidR="00E447FB" w:rsidRPr="00FA0659" w:rsidRDefault="00E447FB" w:rsidP="00D26CC9">
            <w:pPr>
              <w:pStyle w:val="Tabletext"/>
              <w:rPr>
                <w:sz w:val="18"/>
                <w:szCs w:val="18"/>
                <w:lang w:val="fr-FR" w:eastAsia="zh-CN"/>
              </w:rPr>
            </w:pPr>
            <w:r w:rsidRPr="00FA0659">
              <w:rPr>
                <w:sz w:val="18"/>
                <w:szCs w:val="18"/>
                <w:lang w:val="fr-FR" w:eastAsia="zh-CN"/>
              </w:rPr>
              <w:t>CEI</w:t>
            </w:r>
          </w:p>
        </w:tc>
        <w:tc>
          <w:tcPr>
            <w:tcW w:w="837" w:type="dxa"/>
            <w:tcBorders>
              <w:top w:val="single" w:sz="4" w:space="0" w:color="auto"/>
              <w:left w:val="nil"/>
              <w:bottom w:val="single" w:sz="4" w:space="0" w:color="auto"/>
              <w:right w:val="nil"/>
            </w:tcBorders>
            <w:vAlign w:val="bottom"/>
            <w:hideMark/>
          </w:tcPr>
          <w:p w14:paraId="0A07BEFC"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3</w:t>
            </w:r>
          </w:p>
        </w:tc>
        <w:tc>
          <w:tcPr>
            <w:tcW w:w="1259" w:type="dxa"/>
            <w:tcBorders>
              <w:top w:val="single" w:sz="4" w:space="0" w:color="auto"/>
              <w:left w:val="nil"/>
              <w:bottom w:val="single" w:sz="4" w:space="0" w:color="auto"/>
              <w:right w:val="nil"/>
            </w:tcBorders>
            <w:vAlign w:val="bottom"/>
            <w:hideMark/>
          </w:tcPr>
          <w:p w14:paraId="66367C6C"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242,5</w:t>
            </w:r>
          </w:p>
        </w:tc>
        <w:tc>
          <w:tcPr>
            <w:tcW w:w="1466" w:type="dxa"/>
            <w:tcBorders>
              <w:top w:val="single" w:sz="4" w:space="0" w:color="auto"/>
              <w:left w:val="nil"/>
              <w:bottom w:val="single" w:sz="4" w:space="0" w:color="auto"/>
              <w:right w:val="nil"/>
            </w:tcBorders>
            <w:vAlign w:val="bottom"/>
          </w:tcPr>
          <w:p w14:paraId="535021E3" w14:textId="77777777" w:rsidR="00E447FB" w:rsidRPr="00FA0659" w:rsidRDefault="00E447FB" w:rsidP="00D26CC9">
            <w:pPr>
              <w:spacing w:before="60" w:after="60"/>
              <w:jc w:val="right"/>
              <w:rPr>
                <w:rFonts w:eastAsiaTheme="minorEastAsia" w:cstheme="minorHAnsi"/>
                <w:sz w:val="18"/>
                <w:szCs w:val="18"/>
                <w:lang w:val="fr-FR" w:eastAsia="zh-CN"/>
              </w:rPr>
            </w:pPr>
          </w:p>
        </w:tc>
        <w:tc>
          <w:tcPr>
            <w:tcW w:w="1333" w:type="dxa"/>
            <w:tcBorders>
              <w:top w:val="single" w:sz="4" w:space="0" w:color="auto"/>
              <w:left w:val="nil"/>
              <w:bottom w:val="single" w:sz="4" w:space="0" w:color="auto"/>
              <w:right w:val="nil"/>
            </w:tcBorders>
            <w:vAlign w:val="bottom"/>
            <w:hideMark/>
          </w:tcPr>
          <w:p w14:paraId="4430D576"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242,5</w:t>
            </w:r>
          </w:p>
        </w:tc>
        <w:tc>
          <w:tcPr>
            <w:tcW w:w="1254" w:type="dxa"/>
            <w:tcBorders>
              <w:top w:val="single" w:sz="4" w:space="0" w:color="auto"/>
              <w:left w:val="nil"/>
              <w:bottom w:val="single" w:sz="4" w:space="0" w:color="auto"/>
              <w:right w:val="nil"/>
            </w:tcBorders>
            <w:shd w:val="clear" w:color="auto" w:fill="DBE5F1" w:themeFill="accent1" w:themeFillTint="33"/>
            <w:vAlign w:val="bottom"/>
            <w:hideMark/>
          </w:tcPr>
          <w:p w14:paraId="2079DB19"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485,0</w:t>
            </w:r>
          </w:p>
        </w:tc>
        <w:tc>
          <w:tcPr>
            <w:tcW w:w="1226" w:type="dxa"/>
            <w:tcBorders>
              <w:top w:val="single" w:sz="4" w:space="0" w:color="auto"/>
              <w:left w:val="nil"/>
              <w:bottom w:val="single" w:sz="4" w:space="0" w:color="auto"/>
              <w:right w:val="nil"/>
            </w:tcBorders>
            <w:vAlign w:val="bottom"/>
            <w:hideMark/>
          </w:tcPr>
          <w:p w14:paraId="7DD70FA4"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108,1</w:t>
            </w:r>
          </w:p>
        </w:tc>
        <w:tc>
          <w:tcPr>
            <w:tcW w:w="1011" w:type="dxa"/>
            <w:tcBorders>
              <w:top w:val="single" w:sz="4" w:space="0" w:color="auto"/>
              <w:left w:val="nil"/>
              <w:bottom w:val="single" w:sz="4" w:space="0" w:color="auto"/>
              <w:right w:val="single" w:sz="4" w:space="0" w:color="auto"/>
            </w:tcBorders>
            <w:vAlign w:val="bottom"/>
            <w:hideMark/>
          </w:tcPr>
          <w:p w14:paraId="3E80044F"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22%</w:t>
            </w:r>
          </w:p>
        </w:tc>
      </w:tr>
      <w:tr w:rsidR="00E447FB" w:rsidRPr="00FA0659" w14:paraId="3E6F0A9E" w14:textId="77777777" w:rsidTr="00593C05">
        <w:trPr>
          <w:trHeight w:val="54"/>
          <w:jc w:val="center"/>
        </w:trPr>
        <w:tc>
          <w:tcPr>
            <w:tcW w:w="1253" w:type="dxa"/>
            <w:tcBorders>
              <w:top w:val="single" w:sz="4" w:space="0" w:color="auto"/>
              <w:left w:val="single" w:sz="4" w:space="0" w:color="auto"/>
              <w:bottom w:val="single" w:sz="4" w:space="0" w:color="auto"/>
              <w:right w:val="nil"/>
            </w:tcBorders>
            <w:vAlign w:val="bottom"/>
            <w:hideMark/>
          </w:tcPr>
          <w:p w14:paraId="2D85A142" w14:textId="77777777" w:rsidR="00E447FB" w:rsidRPr="00FA0659" w:rsidRDefault="00E447FB" w:rsidP="00D26CC9">
            <w:pPr>
              <w:pStyle w:val="Tabletext"/>
              <w:rPr>
                <w:sz w:val="18"/>
                <w:szCs w:val="18"/>
                <w:lang w:val="fr-FR" w:eastAsia="zh-CN"/>
              </w:rPr>
            </w:pPr>
            <w:r w:rsidRPr="00FA0659">
              <w:rPr>
                <w:sz w:val="18"/>
                <w:szCs w:val="18"/>
                <w:lang w:val="fr-FR" w:eastAsia="zh-CN"/>
              </w:rPr>
              <w:t>Europe</w:t>
            </w:r>
          </w:p>
        </w:tc>
        <w:tc>
          <w:tcPr>
            <w:tcW w:w="837" w:type="dxa"/>
            <w:tcBorders>
              <w:top w:val="single" w:sz="4" w:space="0" w:color="auto"/>
              <w:left w:val="nil"/>
              <w:bottom w:val="single" w:sz="4" w:space="0" w:color="auto"/>
              <w:right w:val="nil"/>
            </w:tcBorders>
            <w:vAlign w:val="bottom"/>
            <w:hideMark/>
          </w:tcPr>
          <w:p w14:paraId="7A881A98"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2</w:t>
            </w:r>
          </w:p>
        </w:tc>
        <w:tc>
          <w:tcPr>
            <w:tcW w:w="1259" w:type="dxa"/>
            <w:tcBorders>
              <w:top w:val="single" w:sz="4" w:space="0" w:color="auto"/>
              <w:left w:val="nil"/>
              <w:bottom w:val="single" w:sz="4" w:space="0" w:color="auto"/>
              <w:right w:val="nil"/>
            </w:tcBorders>
            <w:vAlign w:val="bottom"/>
            <w:hideMark/>
          </w:tcPr>
          <w:p w14:paraId="52712D35"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3 460,4</w:t>
            </w:r>
          </w:p>
        </w:tc>
        <w:tc>
          <w:tcPr>
            <w:tcW w:w="1466" w:type="dxa"/>
            <w:tcBorders>
              <w:top w:val="single" w:sz="4" w:space="0" w:color="auto"/>
              <w:left w:val="nil"/>
              <w:bottom w:val="single" w:sz="4" w:space="0" w:color="auto"/>
              <w:right w:val="nil"/>
            </w:tcBorders>
            <w:vAlign w:val="bottom"/>
          </w:tcPr>
          <w:p w14:paraId="5AE02AFC" w14:textId="77777777" w:rsidR="00E447FB" w:rsidRPr="00FA0659" w:rsidRDefault="00E447FB" w:rsidP="00D26CC9">
            <w:pPr>
              <w:spacing w:before="60" w:after="60"/>
              <w:jc w:val="right"/>
              <w:rPr>
                <w:rFonts w:eastAsiaTheme="minorEastAsia" w:cstheme="minorHAnsi"/>
                <w:sz w:val="18"/>
                <w:szCs w:val="18"/>
                <w:lang w:val="fr-FR" w:eastAsia="zh-CN"/>
              </w:rPr>
            </w:pPr>
          </w:p>
        </w:tc>
        <w:tc>
          <w:tcPr>
            <w:tcW w:w="1333" w:type="dxa"/>
            <w:tcBorders>
              <w:top w:val="single" w:sz="4" w:space="0" w:color="auto"/>
              <w:left w:val="nil"/>
              <w:bottom w:val="single" w:sz="4" w:space="0" w:color="auto"/>
              <w:right w:val="nil"/>
            </w:tcBorders>
            <w:vAlign w:val="bottom"/>
            <w:hideMark/>
          </w:tcPr>
          <w:p w14:paraId="64DDF27E"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216,3</w:t>
            </w:r>
          </w:p>
        </w:tc>
        <w:tc>
          <w:tcPr>
            <w:tcW w:w="1254" w:type="dxa"/>
            <w:tcBorders>
              <w:top w:val="single" w:sz="4" w:space="0" w:color="auto"/>
              <w:left w:val="nil"/>
              <w:bottom w:val="single" w:sz="4" w:space="0" w:color="auto"/>
              <w:right w:val="nil"/>
            </w:tcBorders>
            <w:shd w:val="clear" w:color="auto" w:fill="DBE5F1" w:themeFill="accent1" w:themeFillTint="33"/>
            <w:vAlign w:val="bottom"/>
            <w:hideMark/>
          </w:tcPr>
          <w:p w14:paraId="31ACA9A9"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3 676,7</w:t>
            </w:r>
          </w:p>
        </w:tc>
        <w:tc>
          <w:tcPr>
            <w:tcW w:w="1226" w:type="dxa"/>
            <w:tcBorders>
              <w:top w:val="single" w:sz="4" w:space="0" w:color="auto"/>
              <w:left w:val="nil"/>
              <w:bottom w:val="single" w:sz="4" w:space="0" w:color="auto"/>
              <w:right w:val="nil"/>
            </w:tcBorders>
            <w:vAlign w:val="bottom"/>
            <w:hideMark/>
          </w:tcPr>
          <w:p w14:paraId="47F582B9"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710,0</w:t>
            </w:r>
          </w:p>
        </w:tc>
        <w:tc>
          <w:tcPr>
            <w:tcW w:w="1011" w:type="dxa"/>
            <w:tcBorders>
              <w:top w:val="single" w:sz="4" w:space="0" w:color="auto"/>
              <w:left w:val="nil"/>
              <w:bottom w:val="single" w:sz="4" w:space="0" w:color="auto"/>
              <w:right w:val="single" w:sz="4" w:space="0" w:color="auto"/>
            </w:tcBorders>
            <w:vAlign w:val="bottom"/>
            <w:hideMark/>
          </w:tcPr>
          <w:p w14:paraId="30A4D43E"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19%</w:t>
            </w:r>
          </w:p>
        </w:tc>
      </w:tr>
      <w:tr w:rsidR="00E447FB" w:rsidRPr="00FA0659" w14:paraId="488B79A0" w14:textId="77777777" w:rsidTr="00593C05">
        <w:trPr>
          <w:trHeight w:val="54"/>
          <w:jc w:val="center"/>
        </w:trPr>
        <w:tc>
          <w:tcPr>
            <w:tcW w:w="1253" w:type="dxa"/>
            <w:tcBorders>
              <w:top w:val="single" w:sz="4" w:space="0" w:color="auto"/>
              <w:left w:val="single" w:sz="4" w:space="0" w:color="auto"/>
              <w:bottom w:val="single" w:sz="4" w:space="0" w:color="auto"/>
              <w:right w:val="nil"/>
            </w:tcBorders>
            <w:hideMark/>
          </w:tcPr>
          <w:p w14:paraId="44F71CCD" w14:textId="77777777" w:rsidR="00E447FB" w:rsidRPr="00FA0659" w:rsidRDefault="00E447FB" w:rsidP="00D26CC9">
            <w:pPr>
              <w:pStyle w:val="Tabletext"/>
              <w:rPr>
                <w:sz w:val="18"/>
                <w:szCs w:val="18"/>
                <w:lang w:val="fr-FR" w:eastAsia="zh-CN"/>
              </w:rPr>
            </w:pPr>
            <w:r w:rsidRPr="00FA0659">
              <w:rPr>
                <w:sz w:val="18"/>
                <w:szCs w:val="18"/>
                <w:lang w:val="fr-FR" w:eastAsia="zh-CN"/>
              </w:rPr>
              <w:t>Plusieurs régions</w:t>
            </w:r>
          </w:p>
        </w:tc>
        <w:tc>
          <w:tcPr>
            <w:tcW w:w="837" w:type="dxa"/>
            <w:tcBorders>
              <w:top w:val="single" w:sz="4" w:space="0" w:color="auto"/>
              <w:left w:val="nil"/>
              <w:bottom w:val="single" w:sz="4" w:space="0" w:color="auto"/>
              <w:right w:val="nil"/>
            </w:tcBorders>
            <w:noWrap/>
            <w:vAlign w:val="bottom"/>
            <w:hideMark/>
          </w:tcPr>
          <w:p w14:paraId="5718B04D"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31</w:t>
            </w:r>
          </w:p>
        </w:tc>
        <w:tc>
          <w:tcPr>
            <w:tcW w:w="1259" w:type="dxa"/>
            <w:tcBorders>
              <w:top w:val="single" w:sz="4" w:space="0" w:color="auto"/>
              <w:left w:val="nil"/>
              <w:bottom w:val="single" w:sz="4" w:space="0" w:color="auto"/>
              <w:right w:val="nil"/>
            </w:tcBorders>
            <w:vAlign w:val="bottom"/>
            <w:hideMark/>
          </w:tcPr>
          <w:p w14:paraId="69304CEB"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16 188,6</w:t>
            </w:r>
          </w:p>
        </w:tc>
        <w:tc>
          <w:tcPr>
            <w:tcW w:w="1466" w:type="dxa"/>
            <w:tcBorders>
              <w:top w:val="single" w:sz="4" w:space="0" w:color="auto"/>
              <w:left w:val="nil"/>
              <w:bottom w:val="single" w:sz="4" w:space="0" w:color="auto"/>
              <w:right w:val="nil"/>
            </w:tcBorders>
            <w:vAlign w:val="bottom"/>
            <w:hideMark/>
          </w:tcPr>
          <w:p w14:paraId="7D03B021"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3 759,2</w:t>
            </w:r>
          </w:p>
        </w:tc>
        <w:tc>
          <w:tcPr>
            <w:tcW w:w="1333" w:type="dxa"/>
            <w:tcBorders>
              <w:top w:val="single" w:sz="4" w:space="0" w:color="auto"/>
              <w:left w:val="nil"/>
              <w:bottom w:val="single" w:sz="4" w:space="0" w:color="auto"/>
              <w:right w:val="nil"/>
            </w:tcBorders>
            <w:vAlign w:val="bottom"/>
            <w:hideMark/>
          </w:tcPr>
          <w:p w14:paraId="1188DD40"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2 585,0</w:t>
            </w:r>
          </w:p>
        </w:tc>
        <w:tc>
          <w:tcPr>
            <w:tcW w:w="1254" w:type="dxa"/>
            <w:tcBorders>
              <w:top w:val="single" w:sz="4" w:space="0" w:color="auto"/>
              <w:left w:val="nil"/>
              <w:bottom w:val="single" w:sz="4" w:space="0" w:color="auto"/>
              <w:right w:val="nil"/>
            </w:tcBorders>
            <w:shd w:val="clear" w:color="auto" w:fill="DBE5F1" w:themeFill="accent1" w:themeFillTint="33"/>
            <w:vAlign w:val="bottom"/>
            <w:hideMark/>
          </w:tcPr>
          <w:p w14:paraId="4A9C8C15" w14:textId="77777777" w:rsidR="00E447FB" w:rsidRPr="00FA0659" w:rsidRDefault="00E447FB" w:rsidP="00D26CC9">
            <w:pPr>
              <w:spacing w:before="60" w:after="60"/>
              <w:jc w:val="right"/>
              <w:rPr>
                <w:rFonts w:eastAsiaTheme="minorEastAsia" w:cstheme="minorHAnsi"/>
                <w:sz w:val="18"/>
                <w:szCs w:val="18"/>
                <w:lang w:val="fr-FR" w:eastAsia="zh-CN"/>
              </w:rPr>
            </w:pPr>
            <w:r w:rsidRPr="00FA0659">
              <w:rPr>
                <w:rFonts w:eastAsiaTheme="minorEastAsia" w:cstheme="minorHAnsi"/>
                <w:sz w:val="18"/>
                <w:szCs w:val="18"/>
                <w:lang w:val="fr-FR" w:eastAsia="zh-CN"/>
              </w:rPr>
              <w:t>25 312,6</w:t>
            </w:r>
          </w:p>
        </w:tc>
        <w:tc>
          <w:tcPr>
            <w:tcW w:w="1226" w:type="dxa"/>
            <w:tcBorders>
              <w:top w:val="single" w:sz="4" w:space="0" w:color="auto"/>
              <w:left w:val="nil"/>
              <w:bottom w:val="single" w:sz="4" w:space="0" w:color="auto"/>
              <w:right w:val="nil"/>
            </w:tcBorders>
            <w:vAlign w:val="bottom"/>
            <w:hideMark/>
          </w:tcPr>
          <w:p w14:paraId="72B6E56E"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8 131,3</w:t>
            </w:r>
          </w:p>
        </w:tc>
        <w:tc>
          <w:tcPr>
            <w:tcW w:w="1011" w:type="dxa"/>
            <w:tcBorders>
              <w:top w:val="single" w:sz="4" w:space="0" w:color="auto"/>
              <w:left w:val="nil"/>
              <w:bottom w:val="single" w:sz="4" w:space="0" w:color="auto"/>
              <w:right w:val="single" w:sz="4" w:space="0" w:color="auto"/>
            </w:tcBorders>
            <w:vAlign w:val="bottom"/>
            <w:hideMark/>
          </w:tcPr>
          <w:p w14:paraId="6D8CAB10" w14:textId="77777777" w:rsidR="00E447FB" w:rsidRPr="00FA0659" w:rsidRDefault="00E447FB" w:rsidP="00D26CC9">
            <w:pPr>
              <w:spacing w:before="60" w:after="60"/>
              <w:jc w:val="center"/>
              <w:rPr>
                <w:rFonts w:eastAsiaTheme="minorEastAsia" w:cstheme="minorHAnsi"/>
                <w:sz w:val="18"/>
                <w:szCs w:val="18"/>
                <w:lang w:val="fr-FR" w:eastAsia="zh-CN"/>
              </w:rPr>
            </w:pPr>
            <w:r w:rsidRPr="00FA0659">
              <w:rPr>
                <w:rFonts w:eastAsiaTheme="minorEastAsia" w:cstheme="minorHAnsi"/>
                <w:sz w:val="18"/>
                <w:szCs w:val="18"/>
                <w:lang w:val="fr-FR" w:eastAsia="zh-CN"/>
              </w:rPr>
              <w:t>32%</w:t>
            </w:r>
          </w:p>
        </w:tc>
      </w:tr>
      <w:tr w:rsidR="003C70C1" w:rsidRPr="00FA0659" w14:paraId="79CCF918" w14:textId="77777777" w:rsidTr="00593C05">
        <w:trPr>
          <w:trHeight w:val="54"/>
          <w:jc w:val="center"/>
        </w:trPr>
        <w:tc>
          <w:tcPr>
            <w:tcW w:w="125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29C5CFDC" w14:textId="77777777" w:rsidR="003C70C1" w:rsidRPr="00FA0659" w:rsidRDefault="003C70C1" w:rsidP="00D26CC9">
            <w:pPr>
              <w:spacing w:before="60" w:after="60"/>
              <w:rPr>
                <w:rFonts w:cstheme="minorHAnsi"/>
                <w:b/>
                <w:bCs/>
                <w:sz w:val="20"/>
                <w:lang w:val="fr-FR" w:eastAsia="zh-CN"/>
              </w:rPr>
            </w:pPr>
            <w:r w:rsidRPr="00FA0659">
              <w:rPr>
                <w:rFonts w:cstheme="minorHAnsi"/>
                <w:b/>
                <w:bCs/>
                <w:sz w:val="20"/>
                <w:lang w:val="fr-FR" w:eastAsia="zh-CN"/>
              </w:rPr>
              <w:t>Total</w:t>
            </w:r>
          </w:p>
        </w:tc>
        <w:tc>
          <w:tcPr>
            <w:tcW w:w="837" w:type="dxa"/>
            <w:tcBorders>
              <w:top w:val="single" w:sz="4" w:space="0" w:color="auto"/>
              <w:left w:val="nil"/>
              <w:bottom w:val="single" w:sz="4" w:space="0" w:color="auto"/>
              <w:right w:val="nil"/>
            </w:tcBorders>
            <w:shd w:val="clear" w:color="auto" w:fill="DBE5F1" w:themeFill="accent1" w:themeFillTint="33"/>
            <w:noWrap/>
            <w:vAlign w:val="bottom"/>
            <w:hideMark/>
          </w:tcPr>
          <w:p w14:paraId="24C3F182" w14:textId="77777777" w:rsidR="003C70C1" w:rsidRPr="00FA0659" w:rsidRDefault="003C70C1" w:rsidP="00D26CC9">
            <w:pPr>
              <w:spacing w:before="60" w:after="60"/>
              <w:jc w:val="center"/>
              <w:rPr>
                <w:rFonts w:eastAsiaTheme="minorEastAsia" w:cstheme="minorHAnsi"/>
                <w:b/>
                <w:bCs/>
                <w:sz w:val="18"/>
                <w:szCs w:val="18"/>
                <w:lang w:val="fr-FR" w:eastAsia="zh-CN"/>
              </w:rPr>
            </w:pPr>
            <w:r w:rsidRPr="00FA0659">
              <w:rPr>
                <w:rFonts w:eastAsiaTheme="minorEastAsia" w:cstheme="minorHAnsi"/>
                <w:b/>
                <w:bCs/>
                <w:sz w:val="18"/>
                <w:szCs w:val="18"/>
                <w:lang w:val="fr-FR" w:eastAsia="zh-CN"/>
              </w:rPr>
              <w:t>77</w:t>
            </w:r>
          </w:p>
        </w:tc>
        <w:tc>
          <w:tcPr>
            <w:tcW w:w="1259" w:type="dxa"/>
            <w:tcBorders>
              <w:top w:val="single" w:sz="4" w:space="0" w:color="auto"/>
              <w:left w:val="nil"/>
              <w:bottom w:val="single" w:sz="4" w:space="0" w:color="auto"/>
              <w:right w:val="nil"/>
            </w:tcBorders>
            <w:shd w:val="clear" w:color="auto" w:fill="DBE5F1" w:themeFill="accent1" w:themeFillTint="33"/>
            <w:noWrap/>
            <w:vAlign w:val="bottom"/>
            <w:hideMark/>
          </w:tcPr>
          <w:p w14:paraId="0C14BFC0" w14:textId="77777777" w:rsidR="003C70C1" w:rsidRPr="00FA0659" w:rsidRDefault="003C70C1" w:rsidP="00D26CC9">
            <w:pPr>
              <w:spacing w:before="60" w:after="60"/>
              <w:jc w:val="right"/>
              <w:rPr>
                <w:rFonts w:eastAsiaTheme="minorEastAsia" w:cstheme="minorHAnsi"/>
                <w:b/>
                <w:bCs/>
                <w:sz w:val="18"/>
                <w:szCs w:val="18"/>
                <w:lang w:val="fr-FR" w:eastAsia="zh-CN"/>
              </w:rPr>
            </w:pPr>
            <w:r w:rsidRPr="00FA0659">
              <w:rPr>
                <w:rFonts w:eastAsiaTheme="minorEastAsia" w:cstheme="minorHAnsi"/>
                <w:b/>
                <w:bCs/>
                <w:sz w:val="18"/>
                <w:szCs w:val="18"/>
                <w:lang w:val="fr-FR" w:eastAsia="zh-CN"/>
              </w:rPr>
              <w:t>80 278,3</w:t>
            </w:r>
          </w:p>
        </w:tc>
        <w:tc>
          <w:tcPr>
            <w:tcW w:w="1466" w:type="dxa"/>
            <w:tcBorders>
              <w:top w:val="single" w:sz="4" w:space="0" w:color="auto"/>
              <w:left w:val="nil"/>
              <w:bottom w:val="single" w:sz="4" w:space="0" w:color="auto"/>
              <w:right w:val="nil"/>
            </w:tcBorders>
            <w:shd w:val="clear" w:color="auto" w:fill="DBE5F1" w:themeFill="accent1" w:themeFillTint="33"/>
            <w:noWrap/>
            <w:vAlign w:val="bottom"/>
            <w:hideMark/>
          </w:tcPr>
          <w:p w14:paraId="130CF315" w14:textId="77777777" w:rsidR="003C70C1" w:rsidRPr="00FA0659" w:rsidRDefault="003C70C1" w:rsidP="00D26CC9">
            <w:pPr>
              <w:spacing w:before="60" w:after="60"/>
              <w:jc w:val="right"/>
              <w:rPr>
                <w:rFonts w:eastAsiaTheme="minorEastAsia" w:cstheme="minorHAnsi"/>
                <w:b/>
                <w:bCs/>
                <w:sz w:val="18"/>
                <w:szCs w:val="18"/>
                <w:lang w:val="fr-FR" w:eastAsia="zh-CN"/>
              </w:rPr>
            </w:pPr>
            <w:r w:rsidRPr="00FA0659">
              <w:rPr>
                <w:rFonts w:eastAsiaTheme="minorEastAsia" w:cstheme="minorHAnsi"/>
                <w:b/>
                <w:bCs/>
                <w:sz w:val="18"/>
                <w:szCs w:val="18"/>
                <w:lang w:val="fr-FR" w:eastAsia="zh-CN"/>
              </w:rPr>
              <w:t>5 520,9</w:t>
            </w:r>
          </w:p>
        </w:tc>
        <w:tc>
          <w:tcPr>
            <w:tcW w:w="1333" w:type="dxa"/>
            <w:tcBorders>
              <w:top w:val="single" w:sz="4" w:space="0" w:color="auto"/>
              <w:left w:val="nil"/>
              <w:bottom w:val="single" w:sz="4" w:space="0" w:color="auto"/>
              <w:right w:val="nil"/>
            </w:tcBorders>
            <w:shd w:val="clear" w:color="auto" w:fill="DBE5F1" w:themeFill="accent1" w:themeFillTint="33"/>
            <w:noWrap/>
            <w:vAlign w:val="bottom"/>
            <w:hideMark/>
          </w:tcPr>
          <w:p w14:paraId="72D6274C" w14:textId="77777777" w:rsidR="003C70C1" w:rsidRPr="00FA0659" w:rsidRDefault="003C70C1" w:rsidP="00D26CC9">
            <w:pPr>
              <w:spacing w:before="60" w:after="60"/>
              <w:jc w:val="right"/>
              <w:rPr>
                <w:rFonts w:eastAsiaTheme="minorEastAsia" w:cstheme="minorHAnsi"/>
                <w:b/>
                <w:bCs/>
                <w:sz w:val="18"/>
                <w:szCs w:val="18"/>
                <w:lang w:val="fr-FR" w:eastAsia="zh-CN"/>
              </w:rPr>
            </w:pPr>
            <w:r w:rsidRPr="00FA0659">
              <w:rPr>
                <w:rFonts w:eastAsiaTheme="minorEastAsia" w:cstheme="minorHAnsi"/>
                <w:b/>
                <w:bCs/>
                <w:sz w:val="18"/>
                <w:szCs w:val="18"/>
                <w:lang w:val="fr-FR" w:eastAsia="zh-CN"/>
              </w:rPr>
              <w:t>4 508,5</w:t>
            </w:r>
          </w:p>
        </w:tc>
        <w:tc>
          <w:tcPr>
            <w:tcW w:w="1254" w:type="dxa"/>
            <w:tcBorders>
              <w:top w:val="single" w:sz="4" w:space="0" w:color="auto"/>
              <w:left w:val="nil"/>
              <w:bottom w:val="single" w:sz="4" w:space="0" w:color="auto"/>
              <w:right w:val="nil"/>
            </w:tcBorders>
            <w:shd w:val="clear" w:color="auto" w:fill="DBE5F1" w:themeFill="accent1" w:themeFillTint="33"/>
            <w:noWrap/>
            <w:vAlign w:val="bottom"/>
            <w:hideMark/>
          </w:tcPr>
          <w:p w14:paraId="1CAE7111" w14:textId="77777777" w:rsidR="003C70C1" w:rsidRPr="00FA0659" w:rsidRDefault="003C70C1" w:rsidP="00D26CC9">
            <w:pPr>
              <w:spacing w:before="60" w:after="60"/>
              <w:jc w:val="right"/>
              <w:rPr>
                <w:rFonts w:eastAsiaTheme="minorEastAsia" w:cstheme="minorHAnsi"/>
                <w:b/>
                <w:bCs/>
                <w:sz w:val="18"/>
                <w:szCs w:val="18"/>
                <w:lang w:val="fr-FR" w:eastAsia="zh-CN"/>
              </w:rPr>
            </w:pPr>
            <w:r w:rsidRPr="00FA0659">
              <w:rPr>
                <w:rFonts w:eastAsiaTheme="minorEastAsia" w:cstheme="minorHAnsi"/>
                <w:b/>
                <w:bCs/>
                <w:sz w:val="18"/>
                <w:szCs w:val="18"/>
                <w:lang w:val="fr-FR" w:eastAsia="zh-CN"/>
              </w:rPr>
              <w:t>93 892,5</w:t>
            </w:r>
          </w:p>
        </w:tc>
        <w:tc>
          <w:tcPr>
            <w:tcW w:w="1226" w:type="dxa"/>
            <w:tcBorders>
              <w:top w:val="single" w:sz="4" w:space="0" w:color="auto"/>
              <w:left w:val="nil"/>
              <w:bottom w:val="single" w:sz="4" w:space="0" w:color="auto"/>
              <w:right w:val="nil"/>
            </w:tcBorders>
            <w:shd w:val="clear" w:color="auto" w:fill="DBE5F1" w:themeFill="accent1" w:themeFillTint="33"/>
            <w:noWrap/>
            <w:vAlign w:val="bottom"/>
            <w:hideMark/>
          </w:tcPr>
          <w:p w14:paraId="6B3466B9" w14:textId="77777777" w:rsidR="003C70C1" w:rsidRPr="00FA0659" w:rsidRDefault="003C70C1" w:rsidP="00D26CC9">
            <w:pPr>
              <w:spacing w:before="60" w:after="60"/>
              <w:jc w:val="center"/>
              <w:rPr>
                <w:rFonts w:eastAsiaTheme="minorEastAsia" w:cstheme="minorHAnsi"/>
                <w:b/>
                <w:bCs/>
                <w:sz w:val="18"/>
                <w:szCs w:val="18"/>
                <w:lang w:val="fr-FR" w:eastAsia="zh-CN"/>
              </w:rPr>
            </w:pPr>
            <w:r w:rsidRPr="00FA0659">
              <w:rPr>
                <w:rFonts w:eastAsiaTheme="minorEastAsia" w:cstheme="minorHAnsi"/>
                <w:b/>
                <w:bCs/>
                <w:sz w:val="18"/>
                <w:szCs w:val="18"/>
                <w:lang w:val="fr-FR" w:eastAsia="zh-CN"/>
              </w:rPr>
              <w:t>25 947,5</w:t>
            </w:r>
          </w:p>
        </w:tc>
        <w:tc>
          <w:tcPr>
            <w:tcW w:w="1011"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5455C755" w14:textId="77777777" w:rsidR="003C70C1" w:rsidRPr="00FA0659" w:rsidRDefault="003C70C1" w:rsidP="00D26CC9">
            <w:pPr>
              <w:spacing w:before="60" w:after="60"/>
              <w:jc w:val="center"/>
              <w:rPr>
                <w:rFonts w:eastAsiaTheme="minorEastAsia" w:cstheme="minorHAnsi"/>
                <w:b/>
                <w:bCs/>
                <w:sz w:val="18"/>
                <w:szCs w:val="18"/>
                <w:lang w:val="fr-FR" w:eastAsia="zh-CN"/>
              </w:rPr>
            </w:pPr>
          </w:p>
        </w:tc>
      </w:tr>
    </w:tbl>
    <w:p w14:paraId="477CF92A" w14:textId="280E07A5" w:rsidR="00E447FB" w:rsidRPr="00FA0659" w:rsidRDefault="00E447FB" w:rsidP="00D26CC9">
      <w:pPr>
        <w:pStyle w:val="Heading2"/>
        <w:rPr>
          <w:lang w:val="fr-FR"/>
        </w:rPr>
      </w:pPr>
      <w:bookmarkStart w:id="22" w:name="lt_pId107"/>
      <w:bookmarkStart w:id="23" w:name="lt_pId124"/>
      <w:bookmarkEnd w:id="21"/>
      <w:r w:rsidRPr="00FA0659">
        <w:rPr>
          <w:lang w:val="fr-FR"/>
        </w:rPr>
        <w:t>2.2</w:t>
      </w:r>
      <w:r w:rsidRPr="00FA0659">
        <w:rPr>
          <w:lang w:val="fr-FR"/>
        </w:rPr>
        <w:tab/>
      </w:r>
      <w:r w:rsidR="00E368A7" w:rsidRPr="00FA0659">
        <w:rPr>
          <w:lang w:val="fr-FR"/>
        </w:rPr>
        <w:t>Projets signés aux deuxième et troisième trimestres de 2021</w:t>
      </w:r>
      <w:bookmarkEnd w:id="22"/>
    </w:p>
    <w:p w14:paraId="57375810" w14:textId="77777777" w:rsidR="00D26CC9" w:rsidRPr="00FA0659" w:rsidRDefault="00E368A7" w:rsidP="00D26CC9">
      <w:pPr>
        <w:spacing w:after="120"/>
        <w:rPr>
          <w:rFonts w:cstheme="minorHAnsi"/>
          <w:lang w:val="fr-FR"/>
        </w:rPr>
      </w:pPr>
      <w:bookmarkStart w:id="24" w:name="lt_pId108"/>
      <w:r w:rsidRPr="00FA0659">
        <w:rPr>
          <w:rFonts w:cstheme="minorHAnsi"/>
          <w:lang w:val="fr-FR"/>
        </w:rPr>
        <w:t xml:space="preserve">Au cours des deuxième et troisième trimestres de 2021, le BDT a signé 8 nouveaux projets d'un montant </w:t>
      </w:r>
      <w:r w:rsidR="005E12EA" w:rsidRPr="00FA0659">
        <w:rPr>
          <w:rFonts w:cstheme="minorHAnsi"/>
          <w:lang w:val="fr-FR"/>
        </w:rPr>
        <w:t>de l</w:t>
      </w:r>
      <w:r w:rsidR="00D26CC9" w:rsidRPr="00FA0659">
        <w:rPr>
          <w:rFonts w:cstheme="minorHAnsi"/>
          <w:lang w:val="fr-FR"/>
        </w:rPr>
        <w:t>'</w:t>
      </w:r>
      <w:r w:rsidR="005E12EA" w:rsidRPr="00FA0659">
        <w:rPr>
          <w:rFonts w:cstheme="minorHAnsi"/>
          <w:lang w:val="fr-FR"/>
        </w:rPr>
        <w:t xml:space="preserve">ordre de </w:t>
      </w:r>
      <w:r w:rsidRPr="00FA0659">
        <w:rPr>
          <w:rFonts w:cstheme="minorHAnsi"/>
          <w:lang w:val="fr-FR"/>
        </w:rPr>
        <w:t>5 millions CHF. Ces nouveaux projets sont de nature multirégionale, régionale</w:t>
      </w:r>
      <w:r w:rsidR="00D26CC9" w:rsidRPr="00FA0659">
        <w:rPr>
          <w:rFonts w:cstheme="minorHAnsi"/>
          <w:lang w:val="fr-FR"/>
        </w:rPr>
        <w:t xml:space="preserve">, </w:t>
      </w:r>
      <w:r w:rsidRPr="00FA0659">
        <w:rPr>
          <w:rFonts w:cstheme="minorHAnsi"/>
          <w:lang w:val="fr-FR"/>
        </w:rPr>
        <w:t xml:space="preserve">nationale et concernent des partenaires traditionnels de l'UIT, tels que l'UNICEF ou la </w:t>
      </w:r>
      <w:r w:rsidR="00D26CC9" w:rsidRPr="00FA0659">
        <w:rPr>
          <w:rFonts w:cstheme="minorHAnsi"/>
          <w:lang w:val="fr-FR"/>
        </w:rPr>
        <w:br w:type="page"/>
      </w:r>
    </w:p>
    <w:p w14:paraId="206FAC62" w14:textId="013A4657" w:rsidR="00E447FB" w:rsidRPr="00FA0659" w:rsidRDefault="00E368A7" w:rsidP="00D26CC9">
      <w:pPr>
        <w:spacing w:after="120"/>
        <w:rPr>
          <w:rFonts w:cstheme="minorHAnsi"/>
          <w:lang w:val="fr-FR"/>
        </w:rPr>
      </w:pPr>
      <w:r w:rsidRPr="00FA0659">
        <w:rPr>
          <w:rFonts w:cstheme="minorHAnsi"/>
          <w:lang w:val="fr-FR"/>
        </w:rPr>
        <w:lastRenderedPageBreak/>
        <w:t>Commission européenne, des États Membres de l'UIT, par exemple l'Australie, la Colombie, Trinité-et-Tobago et la Sierra Leone</w:t>
      </w:r>
      <w:r w:rsidR="006B0F33" w:rsidRPr="00FA0659">
        <w:rPr>
          <w:rFonts w:cstheme="minorHAnsi"/>
          <w:lang w:val="fr-FR"/>
        </w:rPr>
        <w:t xml:space="preserve">, ainsi que des Membres de Secteur de l'UIT, par exemple l'Union des télécommunications des </w:t>
      </w:r>
      <w:r w:rsidR="00814BB5" w:rsidRPr="00FA0659">
        <w:rPr>
          <w:rFonts w:cstheme="minorHAnsi"/>
          <w:lang w:val="fr-FR"/>
        </w:rPr>
        <w:t>Caraïbes (CTU) et Microsoft</w:t>
      </w:r>
      <w:bookmarkEnd w:id="24"/>
      <w:r w:rsidR="00814BB5" w:rsidRPr="00FA0659">
        <w:rPr>
          <w:rFonts w:cstheme="minorHAnsi"/>
          <w:lang w:val="fr-FR"/>
        </w:rPr>
        <w:t>.</w:t>
      </w:r>
    </w:p>
    <w:p w14:paraId="7734E332" w14:textId="5AF378F6" w:rsidR="00E447FB" w:rsidRPr="00FA0659" w:rsidRDefault="00814BB5" w:rsidP="00D26CC9">
      <w:pPr>
        <w:keepNext/>
        <w:spacing w:after="120"/>
        <w:rPr>
          <w:rFonts w:cstheme="minorHAnsi"/>
          <w:lang w:val="fr-FR"/>
        </w:rPr>
      </w:pPr>
      <w:bookmarkStart w:id="25" w:name="lt_pId110"/>
      <w:r w:rsidRPr="00FA0659">
        <w:rPr>
          <w:rFonts w:cstheme="minorHAnsi"/>
          <w:lang w:val="fr-FR"/>
        </w:rPr>
        <w:t>En outre, des discussions sont en cours concernant 13 autres projets</w:t>
      </w:r>
      <w:r w:rsidR="005E12EA" w:rsidRPr="00FA0659">
        <w:rPr>
          <w:rFonts w:cstheme="minorHAnsi"/>
          <w:lang w:val="fr-FR"/>
        </w:rPr>
        <w:t>,</w:t>
      </w:r>
      <w:r w:rsidRPr="00FA0659">
        <w:rPr>
          <w:rFonts w:cstheme="minorHAnsi"/>
          <w:lang w:val="fr-FR"/>
        </w:rPr>
        <w:t xml:space="preserve"> qui devraient être signés avant la fin de l'année 2021, pour un montant de 4,9 millions CHF. Les projets signés au cours de la période sont</w:t>
      </w:r>
      <w:r w:rsidR="00D26CC9" w:rsidRPr="00FA0659">
        <w:rPr>
          <w:rFonts w:cstheme="minorHAnsi"/>
          <w:lang w:val="fr-FR"/>
        </w:rPr>
        <w:t xml:space="preserve"> </w:t>
      </w:r>
      <w:r w:rsidRPr="00FA0659">
        <w:rPr>
          <w:rFonts w:cstheme="minorHAnsi"/>
          <w:lang w:val="fr-FR"/>
        </w:rPr>
        <w:t>les suivants</w:t>
      </w:r>
      <w:bookmarkStart w:id="26" w:name="lt_pId111"/>
      <w:bookmarkEnd w:id="25"/>
      <w:r w:rsidR="00E447FB" w:rsidRPr="00FA0659">
        <w:rPr>
          <w:rFonts w:cstheme="minorHAnsi"/>
          <w:lang w:val="fr-FR"/>
        </w:rPr>
        <w:t>:</w:t>
      </w:r>
      <w:bookmarkEnd w:id="26"/>
    </w:p>
    <w:p w14:paraId="42FCECD3" w14:textId="10DD3D1C" w:rsidR="00E447FB" w:rsidRPr="00FA0659" w:rsidRDefault="00E447FB" w:rsidP="00D26CC9">
      <w:pPr>
        <w:pStyle w:val="enumlev1"/>
        <w:rPr>
          <w:lang w:val="fr-FR"/>
        </w:rPr>
      </w:pPr>
      <w:r w:rsidRPr="00FA0659">
        <w:rPr>
          <w:lang w:val="fr-FR"/>
        </w:rPr>
        <w:t>–</w:t>
      </w:r>
      <w:r w:rsidRPr="00FA0659">
        <w:rPr>
          <w:lang w:val="fr-FR"/>
        </w:rPr>
        <w:tab/>
      </w:r>
      <w:r w:rsidR="00814BB5" w:rsidRPr="00FA0659">
        <w:rPr>
          <w:lang w:val="fr-FR"/>
        </w:rPr>
        <w:t>"Kit pratique "mers intelligentes" pour la résilience face aux catastrophes"</w:t>
      </w:r>
      <w:r w:rsidR="00D26CC9" w:rsidRPr="00FA0659">
        <w:rPr>
          <w:lang w:val="fr-FR"/>
        </w:rPr>
        <w:t>:</w:t>
      </w:r>
      <w:r w:rsidR="002B5E8C" w:rsidRPr="00FA0659">
        <w:rPr>
          <w:lang w:val="fr-FR"/>
        </w:rPr>
        <w:t xml:space="preserve"> projet signé </w:t>
      </w:r>
      <w:r w:rsidR="00B94FE5" w:rsidRPr="00FA0659">
        <w:rPr>
          <w:lang w:val="fr-FR"/>
        </w:rPr>
        <w:t xml:space="preserve">avec </w:t>
      </w:r>
      <w:r w:rsidR="002B5E8C" w:rsidRPr="00FA0659">
        <w:rPr>
          <w:lang w:val="fr-FR"/>
        </w:rPr>
        <w:t>l'Autorité des télécommunications de Trinité-et-Tobago (TATT) et l'Union des télécommunications des Caraïbes (CTU</w:t>
      </w:r>
      <w:r w:rsidRPr="00FA0659">
        <w:rPr>
          <w:lang w:val="fr-FR"/>
        </w:rPr>
        <w:t>)</w:t>
      </w:r>
      <w:r w:rsidR="00D26CC9" w:rsidRPr="00FA0659">
        <w:rPr>
          <w:lang w:val="fr-FR"/>
        </w:rPr>
        <w:t>.</w:t>
      </w:r>
    </w:p>
    <w:p w14:paraId="7C1637A3" w14:textId="0F405877" w:rsidR="00E447FB" w:rsidRPr="00FA0659" w:rsidRDefault="00E447FB" w:rsidP="00D26CC9">
      <w:pPr>
        <w:pStyle w:val="enumlev1"/>
        <w:rPr>
          <w:lang w:val="fr-FR"/>
        </w:rPr>
      </w:pPr>
      <w:bookmarkStart w:id="27" w:name="lt_pId113"/>
      <w:r w:rsidRPr="00FA0659">
        <w:rPr>
          <w:lang w:val="fr-FR"/>
        </w:rPr>
        <w:t>–</w:t>
      </w:r>
      <w:r w:rsidRPr="00FA0659">
        <w:rPr>
          <w:lang w:val="fr-FR"/>
        </w:rPr>
        <w:tab/>
      </w:r>
      <w:r w:rsidR="00D26CC9" w:rsidRPr="00FA0659">
        <w:rPr>
          <w:lang w:val="fr-FR"/>
        </w:rPr>
        <w:t>P</w:t>
      </w:r>
      <w:r w:rsidR="002B5E8C" w:rsidRPr="00FA0659">
        <w:rPr>
          <w:lang w:val="fr-FR"/>
        </w:rPr>
        <w:t>rojet "Améliorer l'élaboration de normes et de cadres pour les technologies essentielles en Asie du Sud-Est"</w:t>
      </w:r>
      <w:r w:rsidR="00D26CC9" w:rsidRPr="00FA0659">
        <w:rPr>
          <w:lang w:val="fr-FR"/>
        </w:rPr>
        <w:t xml:space="preserve">: </w:t>
      </w:r>
      <w:r w:rsidR="00C55BF1" w:rsidRPr="00FA0659">
        <w:rPr>
          <w:lang w:val="fr-FR"/>
        </w:rPr>
        <w:t xml:space="preserve">nouvelle initiative signée </w:t>
      </w:r>
      <w:r w:rsidR="00B94FE5" w:rsidRPr="00FA0659">
        <w:rPr>
          <w:lang w:val="fr-FR"/>
        </w:rPr>
        <w:t>avec</w:t>
      </w:r>
      <w:r w:rsidR="00D26CC9" w:rsidRPr="00FA0659">
        <w:rPr>
          <w:lang w:val="fr-FR"/>
        </w:rPr>
        <w:t xml:space="preserve"> </w:t>
      </w:r>
      <w:r w:rsidR="00C55BF1" w:rsidRPr="00FA0659">
        <w:rPr>
          <w:lang w:val="fr-FR"/>
        </w:rPr>
        <w:t xml:space="preserve">le Département des affaires étrangères et du commerce </w:t>
      </w:r>
      <w:r w:rsidR="00797993" w:rsidRPr="00FA0659">
        <w:rPr>
          <w:lang w:val="fr-FR"/>
        </w:rPr>
        <w:t xml:space="preserve">(DFAT) </w:t>
      </w:r>
      <w:r w:rsidR="00C55BF1" w:rsidRPr="00FA0659">
        <w:rPr>
          <w:lang w:val="fr-FR"/>
        </w:rPr>
        <w:t>de l'Australie</w:t>
      </w:r>
      <w:bookmarkEnd w:id="27"/>
      <w:r w:rsidR="00D26CC9" w:rsidRPr="00FA0659">
        <w:rPr>
          <w:lang w:val="fr-FR"/>
        </w:rPr>
        <w:t>.</w:t>
      </w:r>
    </w:p>
    <w:p w14:paraId="7B615203" w14:textId="3FE82323" w:rsidR="00E447FB" w:rsidRPr="00FA0659" w:rsidRDefault="00E447FB" w:rsidP="00D26CC9">
      <w:pPr>
        <w:pStyle w:val="enumlev1"/>
        <w:rPr>
          <w:lang w:val="fr-FR"/>
        </w:rPr>
      </w:pPr>
      <w:bookmarkStart w:id="28" w:name="lt_pId114"/>
      <w:r w:rsidRPr="00FA0659">
        <w:rPr>
          <w:lang w:val="fr-FR"/>
        </w:rPr>
        <w:t>–</w:t>
      </w:r>
      <w:r w:rsidRPr="00FA0659">
        <w:rPr>
          <w:lang w:val="fr-FR"/>
        </w:rPr>
        <w:tab/>
      </w:r>
      <w:r w:rsidR="00D26CC9" w:rsidRPr="00FA0659">
        <w:rPr>
          <w:lang w:val="fr-FR"/>
        </w:rPr>
        <w:t>P</w:t>
      </w:r>
      <w:r w:rsidR="00C55BF1" w:rsidRPr="00FA0659">
        <w:rPr>
          <w:lang w:val="fr-FR"/>
        </w:rPr>
        <w:t>rojet</w:t>
      </w:r>
      <w:r w:rsidRPr="00FA0659">
        <w:rPr>
          <w:lang w:val="fr-FR"/>
        </w:rPr>
        <w:t xml:space="preserve"> "</w:t>
      </w:r>
      <w:r w:rsidR="00B94FE5" w:rsidRPr="00FA0659">
        <w:rPr>
          <w:color w:val="000000"/>
          <w:lang w:val="fr-FR"/>
        </w:rPr>
        <w:t>Analyse comparative</w:t>
      </w:r>
      <w:r w:rsidRPr="00FA0659">
        <w:rPr>
          <w:lang w:val="fr-FR"/>
        </w:rPr>
        <w:t xml:space="preserve"> des TIC en Afrique Centrale"</w:t>
      </w:r>
      <w:r w:rsidR="00D26CC9" w:rsidRPr="00FA0659">
        <w:rPr>
          <w:lang w:val="fr-FR"/>
        </w:rPr>
        <w:t xml:space="preserve">: </w:t>
      </w:r>
      <w:r w:rsidR="00C55BF1" w:rsidRPr="00FA0659">
        <w:rPr>
          <w:lang w:val="fr-FR"/>
        </w:rPr>
        <w:t>nouvelle initiative financée par l'Union européenne et l'UIT dans le cadre du Fonds pour le développement des TIC</w:t>
      </w:r>
      <w:bookmarkEnd w:id="28"/>
      <w:r w:rsidR="00D26CC9" w:rsidRPr="00FA0659">
        <w:rPr>
          <w:lang w:val="fr-FR"/>
        </w:rPr>
        <w:t>.</w:t>
      </w:r>
    </w:p>
    <w:p w14:paraId="5F942936" w14:textId="77A47A2E" w:rsidR="00E447FB" w:rsidRPr="00FA0659" w:rsidRDefault="00E447FB" w:rsidP="00D26CC9">
      <w:pPr>
        <w:pStyle w:val="enumlev1"/>
        <w:rPr>
          <w:lang w:val="fr-FR"/>
        </w:rPr>
      </w:pPr>
      <w:bookmarkStart w:id="29" w:name="lt_pId115"/>
      <w:r w:rsidRPr="00FA0659">
        <w:rPr>
          <w:lang w:val="fr-FR"/>
        </w:rPr>
        <w:t>–</w:t>
      </w:r>
      <w:r w:rsidRPr="00FA0659">
        <w:rPr>
          <w:lang w:val="fr-FR"/>
        </w:rPr>
        <w:tab/>
      </w:r>
      <w:r w:rsidR="00D26CC9" w:rsidRPr="00FA0659">
        <w:rPr>
          <w:lang w:val="fr-FR"/>
        </w:rPr>
        <w:t>P</w:t>
      </w:r>
      <w:r w:rsidR="00C55BF1" w:rsidRPr="00FA0659">
        <w:rPr>
          <w:lang w:val="fr-FR"/>
        </w:rPr>
        <w:t>rojet</w:t>
      </w:r>
      <w:r w:rsidRPr="00FA0659">
        <w:rPr>
          <w:lang w:val="fr-FR"/>
        </w:rPr>
        <w:t xml:space="preserve"> "</w:t>
      </w:r>
      <w:r w:rsidR="00C55BF1" w:rsidRPr="00FA0659">
        <w:rPr>
          <w:lang w:val="fr-FR"/>
        </w:rPr>
        <w:t>Cadre de modélisation des coûts et de tarification pour la Sierra Leone</w:t>
      </w:r>
      <w:r w:rsidRPr="00FA0659">
        <w:rPr>
          <w:lang w:val="fr-FR"/>
        </w:rPr>
        <w:t xml:space="preserve">", </w:t>
      </w:r>
      <w:r w:rsidR="00C55BF1" w:rsidRPr="00FA0659">
        <w:rPr>
          <w:lang w:val="fr-FR"/>
        </w:rPr>
        <w:t>signé avec la Commission nationale des télécommunications de</w:t>
      </w:r>
      <w:r w:rsidR="00B94FE5" w:rsidRPr="00FA0659">
        <w:rPr>
          <w:lang w:val="fr-FR"/>
        </w:rPr>
        <w:t xml:space="preserve"> la</w:t>
      </w:r>
      <w:r w:rsidR="00C55BF1" w:rsidRPr="00FA0659">
        <w:rPr>
          <w:lang w:val="fr-FR"/>
        </w:rPr>
        <w:t xml:space="preserve"> Sierra Leone</w:t>
      </w:r>
      <w:r w:rsidRPr="00FA0659">
        <w:rPr>
          <w:lang w:val="fr-FR"/>
        </w:rPr>
        <w:t xml:space="preserve"> (NATCOM)</w:t>
      </w:r>
      <w:bookmarkEnd w:id="29"/>
      <w:r w:rsidR="00D26CC9" w:rsidRPr="00FA0659">
        <w:rPr>
          <w:lang w:val="fr-FR"/>
        </w:rPr>
        <w:t>.</w:t>
      </w:r>
    </w:p>
    <w:p w14:paraId="51FDDAA7" w14:textId="1D2A2DB0" w:rsidR="00E447FB" w:rsidRPr="00FA0659" w:rsidRDefault="00E447FB" w:rsidP="00D26CC9">
      <w:pPr>
        <w:pStyle w:val="enumlev1"/>
        <w:rPr>
          <w:lang w:val="fr-FR"/>
        </w:rPr>
      </w:pPr>
      <w:bookmarkStart w:id="30" w:name="lt_pId116"/>
      <w:r w:rsidRPr="00FA0659">
        <w:rPr>
          <w:lang w:val="fr-FR"/>
        </w:rPr>
        <w:t>–</w:t>
      </w:r>
      <w:r w:rsidRPr="00FA0659">
        <w:rPr>
          <w:lang w:val="fr-FR"/>
        </w:rPr>
        <w:tab/>
      </w:r>
      <w:r w:rsidR="00D26CC9" w:rsidRPr="00FA0659">
        <w:rPr>
          <w:lang w:val="fr-FR"/>
        </w:rPr>
        <w:t>P</w:t>
      </w:r>
      <w:r w:rsidR="00C55BF1" w:rsidRPr="00FA0659">
        <w:rPr>
          <w:lang w:val="fr-FR"/>
        </w:rPr>
        <w:t>rojet</w:t>
      </w:r>
      <w:r w:rsidRPr="00FA0659">
        <w:rPr>
          <w:lang w:val="fr-FR"/>
        </w:rPr>
        <w:t xml:space="preserve"> "</w:t>
      </w:r>
      <w:r w:rsidR="00FA0659" w:rsidRPr="00FA0659">
        <w:rPr>
          <w:lang w:val="fr-FR"/>
        </w:rPr>
        <w:t>Études</w:t>
      </w:r>
      <w:r w:rsidR="00B94FE5" w:rsidRPr="00FA0659">
        <w:rPr>
          <w:lang w:val="fr-FR"/>
        </w:rPr>
        <w:t xml:space="preserve"> </w:t>
      </w:r>
      <w:r w:rsidR="00C55BF1" w:rsidRPr="00FA0659">
        <w:rPr>
          <w:lang w:val="fr-FR"/>
        </w:rPr>
        <w:t>économiques et techniques permettant à l</w:t>
      </w:r>
      <w:r w:rsidR="00761787" w:rsidRPr="00FA0659">
        <w:rPr>
          <w:lang w:val="fr-FR"/>
        </w:rPr>
        <w:t xml:space="preserve">'Autorité nationale de gestion du spectre de formuler des recommandations à l'intention du Ministère des TIC en vue de la définition et de l'adoption de la politique nationale sur le service de radiodiffusion", </w:t>
      </w:r>
      <w:r w:rsidR="00C55BF1" w:rsidRPr="00FA0659">
        <w:rPr>
          <w:lang w:val="fr-FR"/>
        </w:rPr>
        <w:t>signé avec le Ministère des technologi</w:t>
      </w:r>
      <w:r w:rsidR="00761787" w:rsidRPr="00FA0659">
        <w:rPr>
          <w:lang w:val="fr-FR"/>
        </w:rPr>
        <w:t>e</w:t>
      </w:r>
      <w:r w:rsidR="00C55BF1" w:rsidRPr="00FA0659">
        <w:rPr>
          <w:lang w:val="fr-FR"/>
        </w:rPr>
        <w:t>s de l'information et des communications de la Colombie</w:t>
      </w:r>
      <w:bookmarkEnd w:id="30"/>
      <w:r w:rsidR="00D26CC9" w:rsidRPr="00FA0659">
        <w:rPr>
          <w:lang w:val="fr-FR"/>
        </w:rPr>
        <w:t>.</w:t>
      </w:r>
    </w:p>
    <w:p w14:paraId="12BA10F0" w14:textId="1FF17DFE" w:rsidR="00E447FB" w:rsidRPr="00FA0659" w:rsidRDefault="00E447FB" w:rsidP="00D26CC9">
      <w:pPr>
        <w:pStyle w:val="enumlev1"/>
        <w:rPr>
          <w:lang w:val="fr-FR"/>
        </w:rPr>
      </w:pPr>
      <w:bookmarkStart w:id="31" w:name="lt_pId117"/>
      <w:r w:rsidRPr="00FA0659">
        <w:rPr>
          <w:lang w:val="fr-FR"/>
        </w:rPr>
        <w:t>–</w:t>
      </w:r>
      <w:r w:rsidRPr="00FA0659">
        <w:rPr>
          <w:lang w:val="fr-FR"/>
        </w:rPr>
        <w:tab/>
      </w:r>
      <w:r w:rsidR="00D26CC9" w:rsidRPr="00FA0659">
        <w:rPr>
          <w:lang w:val="fr-FR"/>
        </w:rPr>
        <w:t>D</w:t>
      </w:r>
      <w:r w:rsidR="00292440" w:rsidRPr="00FA0659">
        <w:rPr>
          <w:lang w:val="fr-FR"/>
        </w:rPr>
        <w:t xml:space="preserve">euxième phase du </w:t>
      </w:r>
      <w:r w:rsidRPr="00FA0659">
        <w:rPr>
          <w:lang w:val="fr-FR"/>
        </w:rPr>
        <w:t>"</w:t>
      </w:r>
      <w:r w:rsidR="00292440" w:rsidRPr="00FA0659">
        <w:rPr>
          <w:lang w:val="fr-FR"/>
        </w:rPr>
        <w:t>Projet GIGA</w:t>
      </w:r>
      <w:r w:rsidRPr="00FA0659">
        <w:rPr>
          <w:lang w:val="fr-FR"/>
        </w:rPr>
        <w:t xml:space="preserve">", </w:t>
      </w:r>
      <w:r w:rsidR="00292440" w:rsidRPr="00FA0659">
        <w:rPr>
          <w:lang w:val="fr-FR"/>
        </w:rPr>
        <w:t>signé avec l'</w:t>
      </w:r>
      <w:r w:rsidRPr="00FA0659">
        <w:rPr>
          <w:lang w:val="fr-FR"/>
        </w:rPr>
        <w:t>UNICEF</w:t>
      </w:r>
      <w:bookmarkEnd w:id="31"/>
      <w:r w:rsidR="00D26CC9" w:rsidRPr="00FA0659">
        <w:rPr>
          <w:lang w:val="fr-FR"/>
        </w:rPr>
        <w:t>.</w:t>
      </w:r>
    </w:p>
    <w:p w14:paraId="0728799E" w14:textId="415314F0" w:rsidR="00E447FB" w:rsidRPr="00FA0659" w:rsidRDefault="00E447FB" w:rsidP="00D26CC9">
      <w:pPr>
        <w:pStyle w:val="enumlev1"/>
        <w:rPr>
          <w:lang w:val="fr-FR"/>
        </w:rPr>
      </w:pPr>
      <w:bookmarkStart w:id="32" w:name="lt_pId118"/>
      <w:r w:rsidRPr="00FA0659">
        <w:rPr>
          <w:lang w:val="fr-FR"/>
        </w:rPr>
        <w:t>–</w:t>
      </w:r>
      <w:r w:rsidRPr="00FA0659">
        <w:rPr>
          <w:lang w:val="fr-FR"/>
        </w:rPr>
        <w:tab/>
      </w:r>
      <w:r w:rsidR="00D26CC9" w:rsidRPr="00FA0659">
        <w:rPr>
          <w:lang w:val="fr-FR"/>
        </w:rPr>
        <w:t>P</w:t>
      </w:r>
      <w:r w:rsidR="00292440" w:rsidRPr="00FA0659">
        <w:rPr>
          <w:lang w:val="fr-FR"/>
        </w:rPr>
        <w:t xml:space="preserve">rojet </w:t>
      </w:r>
      <w:r w:rsidRPr="00FA0659">
        <w:rPr>
          <w:lang w:val="fr-FR"/>
        </w:rPr>
        <w:t>"</w:t>
      </w:r>
      <w:r w:rsidR="00292440" w:rsidRPr="00FA0659">
        <w:rPr>
          <w:lang w:val="fr-FR"/>
        </w:rPr>
        <w:t>Accélérer la transformation numérique en Afrique grâce à la connectivité", signé avec</w:t>
      </w:r>
      <w:r w:rsidRPr="00FA0659">
        <w:rPr>
          <w:lang w:val="fr-FR"/>
        </w:rPr>
        <w:t xml:space="preserve"> Microsoft</w:t>
      </w:r>
      <w:bookmarkEnd w:id="32"/>
      <w:r w:rsidR="00D26CC9" w:rsidRPr="00FA0659">
        <w:rPr>
          <w:lang w:val="fr-FR"/>
        </w:rPr>
        <w:t>.</w:t>
      </w:r>
    </w:p>
    <w:p w14:paraId="36CE5F3E" w14:textId="142943A1" w:rsidR="00E447FB" w:rsidRPr="00FA0659" w:rsidRDefault="00E447FB" w:rsidP="00D26CC9">
      <w:pPr>
        <w:pStyle w:val="enumlev1"/>
        <w:rPr>
          <w:lang w:val="fr-FR"/>
        </w:rPr>
      </w:pPr>
      <w:bookmarkStart w:id="33" w:name="lt_pId119"/>
      <w:r w:rsidRPr="00FA0659">
        <w:rPr>
          <w:lang w:val="fr-FR"/>
        </w:rPr>
        <w:t>–</w:t>
      </w:r>
      <w:r w:rsidRPr="00FA0659">
        <w:rPr>
          <w:lang w:val="fr-FR"/>
        </w:rPr>
        <w:tab/>
      </w:r>
      <w:r w:rsidR="00D26CC9" w:rsidRPr="00FA0659">
        <w:rPr>
          <w:lang w:val="fr-FR"/>
        </w:rPr>
        <w:t>P</w:t>
      </w:r>
      <w:r w:rsidR="00292440" w:rsidRPr="00FA0659">
        <w:rPr>
          <w:lang w:val="fr-FR"/>
        </w:rPr>
        <w:t>rojet</w:t>
      </w:r>
      <w:r w:rsidRPr="00FA0659">
        <w:rPr>
          <w:lang w:val="fr-FR"/>
        </w:rPr>
        <w:t xml:space="preserve"> "</w:t>
      </w:r>
      <w:r w:rsidR="00292440" w:rsidRPr="00FA0659">
        <w:rPr>
          <w:lang w:val="fr-FR"/>
        </w:rPr>
        <w:t xml:space="preserve">Promouvoir des politiques et des réglementations propices dans les </w:t>
      </w:r>
      <w:r w:rsidR="00797993" w:rsidRPr="00FA0659">
        <w:rPr>
          <w:lang w:val="fr-FR"/>
        </w:rPr>
        <w:t>PMA</w:t>
      </w:r>
      <w:r w:rsidR="00292440" w:rsidRPr="00FA0659">
        <w:rPr>
          <w:lang w:val="fr-FR"/>
        </w:rPr>
        <w:t xml:space="preserve">", signé avec le </w:t>
      </w:r>
      <w:r w:rsidR="00B94FE5" w:rsidRPr="00FA0659">
        <w:rPr>
          <w:lang w:val="fr-FR"/>
        </w:rPr>
        <w:t xml:space="preserve">Ministère </w:t>
      </w:r>
      <w:r w:rsidR="00292440" w:rsidRPr="00FA0659">
        <w:rPr>
          <w:lang w:val="fr-FR"/>
        </w:rPr>
        <w:t>des affaires étrangères, du Commonwealth et du développement du Royaume-Uni</w:t>
      </w:r>
      <w:r w:rsidRPr="00FA0659">
        <w:rPr>
          <w:lang w:val="fr-FR"/>
        </w:rPr>
        <w:t xml:space="preserve"> (FCDO).</w:t>
      </w:r>
      <w:bookmarkEnd w:id="33"/>
    </w:p>
    <w:p w14:paraId="262893E2" w14:textId="4F244429" w:rsidR="003C70C1" w:rsidRPr="00FA0659" w:rsidRDefault="003C70C1" w:rsidP="00D26CC9">
      <w:pPr>
        <w:spacing w:after="120"/>
        <w:rPr>
          <w:lang w:val="fr-FR"/>
        </w:rPr>
      </w:pPr>
      <w:r w:rsidRPr="00FA0659">
        <w:rPr>
          <w:lang w:val="fr-FR"/>
        </w:rPr>
        <w:t xml:space="preserve">Il ressort de ces projets, ainsi que d'autres projets de l'UIT, que grâce aux partenariats, l'Union peut obtenir davantage de résultats et </w:t>
      </w:r>
      <w:r w:rsidR="00E04D6C" w:rsidRPr="00FA0659">
        <w:rPr>
          <w:color w:val="000000"/>
          <w:lang w:val="fr-FR"/>
        </w:rPr>
        <w:t xml:space="preserve">renforcer l'appui qu'elle fournit aux </w:t>
      </w:r>
      <w:r w:rsidRPr="00FA0659">
        <w:rPr>
          <w:lang w:val="fr-FR"/>
        </w:rPr>
        <w:t>membres de l'UIT afin de promouvoir le développement du numérique</w:t>
      </w:r>
      <w:bookmarkEnd w:id="23"/>
      <w:r w:rsidR="00A422DB" w:rsidRPr="00FA0659">
        <w:rPr>
          <w:lang w:val="fr-FR"/>
        </w:rPr>
        <w:t xml:space="preserve">. On trouvera la liste des accords correspondants dans le </w:t>
      </w:r>
      <w:hyperlink r:id="rId10" w:history="1">
        <w:r w:rsidR="007953A3" w:rsidRPr="00FA0659">
          <w:rPr>
            <w:rStyle w:val="Hyperlink"/>
            <w:lang w:val="fr-FR"/>
          </w:rPr>
          <w:t>Document INF/2</w:t>
        </w:r>
      </w:hyperlink>
      <w:r w:rsidR="007953A3" w:rsidRPr="00FA0659">
        <w:rPr>
          <w:lang w:val="fr-FR"/>
        </w:rPr>
        <w:t>.</w:t>
      </w:r>
    </w:p>
    <w:p w14:paraId="7DBE0E14" w14:textId="77777777" w:rsidR="003C70C1" w:rsidRPr="00FA0659" w:rsidRDefault="003C70C1" w:rsidP="00D26CC9">
      <w:pPr>
        <w:pStyle w:val="Heading1"/>
        <w:rPr>
          <w:lang w:val="fr-FR"/>
        </w:rPr>
      </w:pPr>
      <w:r w:rsidRPr="00FA0659">
        <w:rPr>
          <w:lang w:val="fr-FR"/>
        </w:rPr>
        <w:t>3</w:t>
      </w:r>
      <w:r w:rsidRPr="00FA0659">
        <w:rPr>
          <w:lang w:val="fr-FR"/>
        </w:rPr>
        <w:tab/>
        <w:t>Sources de financement des projets en cours de l'UIT</w:t>
      </w:r>
    </w:p>
    <w:p w14:paraId="117A2E5E" w14:textId="77777777" w:rsidR="00E32653" w:rsidRPr="00FA0659" w:rsidRDefault="003C70C1" w:rsidP="00D26CC9">
      <w:pPr>
        <w:rPr>
          <w:lang w:val="fr-FR"/>
        </w:rPr>
      </w:pPr>
      <w:bookmarkStart w:id="34" w:name="lt_pId132"/>
      <w:r w:rsidRPr="00FA0659">
        <w:rPr>
          <w:lang w:val="fr-FR"/>
        </w:rPr>
        <w:t>Les projets de l'UIT sont financés pour l'essentiel grâce à des ressources extrabudgétaires</w:t>
      </w:r>
      <w:bookmarkEnd w:id="34"/>
      <w:r w:rsidRPr="00FA0659">
        <w:rPr>
          <w:lang w:val="fr-FR"/>
        </w:rPr>
        <w:t xml:space="preserve">. </w:t>
      </w:r>
      <w:r w:rsidR="00A422DB" w:rsidRPr="00FA0659">
        <w:rPr>
          <w:lang w:val="fr-FR"/>
        </w:rPr>
        <w:t>Les projets du BDT</w:t>
      </w:r>
      <w:r w:rsidRPr="00FA0659">
        <w:rPr>
          <w:lang w:val="fr-FR"/>
        </w:rPr>
        <w:t xml:space="preserve"> bénéficient </w:t>
      </w:r>
      <w:r w:rsidR="00A422DB" w:rsidRPr="00FA0659">
        <w:rPr>
          <w:lang w:val="fr-FR"/>
        </w:rPr>
        <w:t xml:space="preserve">principalement </w:t>
      </w:r>
      <w:r w:rsidRPr="00FA0659">
        <w:rPr>
          <w:lang w:val="fr-FR"/>
        </w:rPr>
        <w:t>de sources de financement de quatre types:</w:t>
      </w:r>
      <w:bookmarkStart w:id="35" w:name="lt_pId133"/>
      <w:r w:rsidRPr="00FA0659">
        <w:rPr>
          <w:lang w:val="fr-FR"/>
        </w:rPr>
        <w:t xml:space="preserve"> fonds d'affectation spéciale, Fonds pour le développement des TIC (FDTIC)</w:t>
      </w:r>
      <w:r w:rsidRPr="00FA0659">
        <w:rPr>
          <w:rStyle w:val="FootnoteReference"/>
          <w:lang w:val="fr-FR"/>
        </w:rPr>
        <w:footnoteReference w:id="2"/>
      </w:r>
      <w:r w:rsidRPr="00FA0659">
        <w:rPr>
          <w:lang w:val="fr-FR"/>
        </w:rPr>
        <w:t xml:space="preserve">, contributions volontaires et </w:t>
      </w:r>
      <w:r w:rsidR="00E32653" w:rsidRPr="00FA0659">
        <w:rPr>
          <w:lang w:val="fr-FR"/>
        </w:rPr>
        <w:br w:type="page"/>
      </w:r>
    </w:p>
    <w:p w14:paraId="7F2F1251" w14:textId="5F09AE8D" w:rsidR="003C70C1" w:rsidRPr="00FA0659" w:rsidRDefault="003C70C1" w:rsidP="00D26CC9">
      <w:pPr>
        <w:rPr>
          <w:b/>
          <w:bCs/>
          <w:szCs w:val="24"/>
          <w:lang w:val="fr-FR"/>
        </w:rPr>
      </w:pPr>
      <w:r w:rsidRPr="00FA0659">
        <w:rPr>
          <w:lang w:val="fr-FR"/>
        </w:rPr>
        <w:lastRenderedPageBreak/>
        <w:t>budget ordinaire de l'UIT</w:t>
      </w:r>
      <w:r w:rsidR="00797993" w:rsidRPr="00FA0659">
        <w:rPr>
          <w:lang w:val="fr-FR"/>
        </w:rPr>
        <w:t xml:space="preserve"> (Plan opérationnel)</w:t>
      </w:r>
      <w:r w:rsidRPr="00FA0659">
        <w:rPr>
          <w:rStyle w:val="FootnoteReference"/>
          <w:lang w:val="fr-FR"/>
        </w:rPr>
        <w:footnoteReference w:id="3"/>
      </w:r>
      <w:r w:rsidRPr="00FA0659">
        <w:rPr>
          <w:lang w:val="fr-FR"/>
        </w:rPr>
        <w:t>.</w:t>
      </w:r>
      <w:bookmarkEnd w:id="35"/>
      <w:r w:rsidRPr="00FA0659">
        <w:rPr>
          <w:lang w:val="fr-FR"/>
        </w:rPr>
        <w:t xml:space="preserve"> Comme indiqué dans le budget actuel prévu pour la mise en œuvre des projets au </w:t>
      </w:r>
      <w:r w:rsidR="00E447FB" w:rsidRPr="00FA0659">
        <w:rPr>
          <w:lang w:val="fr-FR"/>
        </w:rPr>
        <w:t>15 septembre</w:t>
      </w:r>
      <w:r w:rsidRPr="00FA0659">
        <w:rPr>
          <w:lang w:val="fr-FR"/>
        </w:rPr>
        <w:t xml:space="preserve"> 2021, environ 90% des financements proviennent de fonds d'affectation spéciale, </w:t>
      </w:r>
      <w:r w:rsidR="00E447FB" w:rsidRPr="00FA0659">
        <w:rPr>
          <w:lang w:val="fr-FR"/>
        </w:rPr>
        <w:t>6</w:t>
      </w:r>
      <w:r w:rsidRPr="00FA0659">
        <w:rPr>
          <w:lang w:val="fr-FR"/>
        </w:rPr>
        <w:t>% du Fonds FDTIC et </w:t>
      </w:r>
      <w:r w:rsidRPr="00FA0659">
        <w:rPr>
          <w:szCs w:val="24"/>
          <w:lang w:val="fr-FR"/>
        </w:rPr>
        <w:t xml:space="preserve">5% du </w:t>
      </w:r>
      <w:r w:rsidR="00A422DB" w:rsidRPr="00FA0659">
        <w:rPr>
          <w:szCs w:val="24"/>
          <w:lang w:val="fr-FR"/>
        </w:rPr>
        <w:t>budget ordinaire du BDT (</w:t>
      </w:r>
      <w:r w:rsidRPr="00FA0659">
        <w:rPr>
          <w:szCs w:val="24"/>
          <w:lang w:val="fr-FR"/>
        </w:rPr>
        <w:t>Plan opérationnel</w:t>
      </w:r>
      <w:r w:rsidR="00A422DB" w:rsidRPr="00FA0659">
        <w:rPr>
          <w:szCs w:val="24"/>
          <w:lang w:val="fr-FR"/>
        </w:rPr>
        <w:t>)</w:t>
      </w:r>
      <w:r w:rsidRPr="00FA0659">
        <w:rPr>
          <w:szCs w:val="24"/>
          <w:lang w:val="fr-FR"/>
        </w:rPr>
        <w:t xml:space="preserve"> (voir la Figure </w:t>
      </w:r>
      <w:r w:rsidR="00E447FB" w:rsidRPr="00FA0659">
        <w:rPr>
          <w:szCs w:val="24"/>
          <w:lang w:val="fr-FR"/>
        </w:rPr>
        <w:t>2</w:t>
      </w:r>
      <w:r w:rsidRPr="00FA0659">
        <w:rPr>
          <w:szCs w:val="24"/>
          <w:lang w:val="fr-FR"/>
        </w:rPr>
        <w:t>).</w:t>
      </w:r>
    </w:p>
    <w:p w14:paraId="4BDEB3C6" w14:textId="77777777" w:rsidR="003C70C1" w:rsidRPr="00FA0659" w:rsidRDefault="003C70C1" w:rsidP="00D26CC9">
      <w:pPr>
        <w:pStyle w:val="Figuretitle"/>
        <w:keepNext/>
        <w:spacing w:before="240" w:after="240"/>
        <w:rPr>
          <w:rFonts w:cstheme="minorHAnsi"/>
          <w:szCs w:val="24"/>
          <w:lang w:val="fr-FR"/>
        </w:rPr>
      </w:pPr>
      <w:bookmarkStart w:id="39" w:name="lt_pId135"/>
      <w:r w:rsidRPr="00FA0659">
        <w:rPr>
          <w:rFonts w:cstheme="minorHAnsi"/>
          <w:szCs w:val="24"/>
          <w:lang w:val="fr-FR"/>
        </w:rPr>
        <w:t xml:space="preserve">Figure </w:t>
      </w:r>
      <w:r w:rsidR="00F80A53" w:rsidRPr="00FA0659">
        <w:rPr>
          <w:rFonts w:cstheme="minorHAnsi"/>
          <w:szCs w:val="24"/>
          <w:lang w:val="fr-FR"/>
        </w:rPr>
        <w:t>2</w:t>
      </w:r>
      <w:r w:rsidRPr="00FA0659">
        <w:rPr>
          <w:rFonts w:cstheme="minorHAnsi"/>
          <w:szCs w:val="24"/>
          <w:lang w:val="fr-FR"/>
        </w:rPr>
        <w:t xml:space="preserve"> – </w:t>
      </w:r>
      <w:r w:rsidRPr="00FA0659">
        <w:rPr>
          <w:szCs w:val="24"/>
          <w:lang w:val="fr-FR"/>
        </w:rPr>
        <w:t xml:space="preserve">Sources de financement des projets de l'UIT </w:t>
      </w:r>
      <w:r w:rsidRPr="00FA0659">
        <w:rPr>
          <w:rFonts w:cstheme="minorHAnsi"/>
          <w:szCs w:val="24"/>
          <w:lang w:val="fr-FR"/>
        </w:rPr>
        <w:t>(projets en cours)</w:t>
      </w:r>
      <w:bookmarkEnd w:id="39"/>
    </w:p>
    <w:p w14:paraId="39A380A2" w14:textId="77777777" w:rsidR="003C70C1" w:rsidRPr="00FA0659" w:rsidRDefault="00F80A53" w:rsidP="00593C05">
      <w:pPr>
        <w:pStyle w:val="Figure"/>
      </w:pPr>
      <w:r w:rsidRPr="00FA0659">
        <mc:AlternateContent>
          <mc:Choice Requires="wps">
            <w:drawing>
              <wp:anchor distT="0" distB="0" distL="114300" distR="114300" simplePos="0" relativeHeight="251659264" behindDoc="0" locked="0" layoutInCell="1" allowOverlap="1" wp14:anchorId="3976AACB" wp14:editId="1882EE0A">
                <wp:simplePos x="0" y="0"/>
                <wp:positionH relativeFrom="column">
                  <wp:posOffset>4471670</wp:posOffset>
                </wp:positionH>
                <wp:positionV relativeFrom="paragraph">
                  <wp:posOffset>806971</wp:posOffset>
                </wp:positionV>
                <wp:extent cx="1309370" cy="600502"/>
                <wp:effectExtent l="0" t="0" r="5080" b="9525"/>
                <wp:wrapNone/>
                <wp:docPr id="5" name="Text Box 5"/>
                <wp:cNvGraphicFramePr/>
                <a:graphic xmlns:a="http://schemas.openxmlformats.org/drawingml/2006/main">
                  <a:graphicData uri="http://schemas.microsoft.com/office/word/2010/wordprocessingShape">
                    <wps:wsp>
                      <wps:cNvSpPr txBox="1"/>
                      <wps:spPr>
                        <a:xfrm>
                          <a:off x="0" y="0"/>
                          <a:ext cx="1309370" cy="600502"/>
                        </a:xfrm>
                        <a:prstGeom prst="rect">
                          <a:avLst/>
                        </a:prstGeom>
                        <a:solidFill>
                          <a:schemeClr val="lt1"/>
                        </a:solidFill>
                        <a:ln w="6350">
                          <a:noFill/>
                        </a:ln>
                      </wps:spPr>
                      <wps:txbx>
                        <w:txbxContent>
                          <w:p w14:paraId="1140A65B" w14:textId="77777777" w:rsidR="003C70C1" w:rsidRDefault="003C70C1" w:rsidP="003C70C1">
                            <w:pPr>
                              <w:spacing w:before="0"/>
                              <w:rPr>
                                <w:sz w:val="18"/>
                                <w:szCs w:val="18"/>
                                <w:lang w:val="fr-FR"/>
                              </w:rPr>
                            </w:pPr>
                            <w:r>
                              <w:rPr>
                                <w:sz w:val="18"/>
                                <w:szCs w:val="18"/>
                                <w:lang w:val="fr-FR"/>
                              </w:rPr>
                              <w:t>Fonds d'affectation spéciale</w:t>
                            </w:r>
                          </w:p>
                          <w:p w14:paraId="783AB697" w14:textId="77777777" w:rsidR="003C70C1" w:rsidRDefault="003C70C1" w:rsidP="00F80A53">
                            <w:pPr>
                              <w:rPr>
                                <w:sz w:val="18"/>
                                <w:szCs w:val="18"/>
                                <w:lang w:val="fr-FR"/>
                              </w:rPr>
                            </w:pPr>
                            <w:r>
                              <w:rPr>
                                <w:sz w:val="18"/>
                                <w:szCs w:val="18"/>
                                <w:lang w:val="fr-FR"/>
                              </w:rPr>
                              <w:t>Fonds FDTIC</w:t>
                            </w:r>
                          </w:p>
                          <w:p w14:paraId="7F7BAE45" w14:textId="77777777" w:rsidR="003C70C1" w:rsidRDefault="003C70C1" w:rsidP="003C70C1">
                            <w:pPr>
                              <w:rPr>
                                <w:sz w:val="18"/>
                                <w:szCs w:val="18"/>
                                <w:lang w:val="fr-FR"/>
                              </w:rPr>
                            </w:pPr>
                            <w:r>
                              <w:rPr>
                                <w:sz w:val="18"/>
                                <w:szCs w:val="18"/>
                                <w:lang w:val="fr-FR"/>
                              </w:rPr>
                              <w:t>Plan opérationnel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AACB" id="_x0000_t202" coordsize="21600,21600" o:spt="202" path="m,l,21600r21600,l21600,xe">
                <v:stroke joinstyle="miter"/>
                <v:path gradientshapeok="t" o:connecttype="rect"/>
              </v:shapetype>
              <v:shape id="Text Box 5" o:spid="_x0000_s1026" type="#_x0000_t202" style="position:absolute;left:0;text-align:left;margin-left:352.1pt;margin-top:63.55pt;width:103.1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" fillcolor="white [3201]" stroked="f" strokeweight=".5pt">
                <v:textbox inset="0,0,0,0">
                  <w:txbxContent>
                    <w:p w14:paraId="1140A65B" w14:textId="77777777" w:rsidR="003C70C1" w:rsidRDefault="003C70C1" w:rsidP="003C70C1">
                      <w:pPr>
                        <w:spacing w:before="0"/>
                        <w:rPr>
                          <w:sz w:val="18"/>
                          <w:szCs w:val="18"/>
                          <w:lang w:val="fr-FR"/>
                        </w:rPr>
                      </w:pPr>
                      <w:r>
                        <w:rPr>
                          <w:sz w:val="18"/>
                          <w:szCs w:val="18"/>
                          <w:lang w:val="fr-FR"/>
                        </w:rPr>
                        <w:t>Fonds d'affectation spéciale</w:t>
                      </w:r>
                    </w:p>
                    <w:p w14:paraId="783AB697" w14:textId="77777777" w:rsidR="003C70C1" w:rsidRDefault="003C70C1" w:rsidP="00F80A53">
                      <w:pPr>
                        <w:rPr>
                          <w:sz w:val="18"/>
                          <w:szCs w:val="18"/>
                          <w:lang w:val="fr-FR"/>
                        </w:rPr>
                      </w:pPr>
                      <w:r>
                        <w:rPr>
                          <w:sz w:val="18"/>
                          <w:szCs w:val="18"/>
                          <w:lang w:val="fr-FR"/>
                        </w:rPr>
                        <w:t>Fonds FDTIC</w:t>
                      </w:r>
                    </w:p>
                    <w:p w14:paraId="7F7BAE45" w14:textId="77777777" w:rsidR="003C70C1" w:rsidRDefault="003C70C1" w:rsidP="003C70C1">
                      <w:pPr>
                        <w:rPr>
                          <w:sz w:val="18"/>
                          <w:szCs w:val="18"/>
                          <w:lang w:val="fr-FR"/>
                        </w:rPr>
                      </w:pPr>
                      <w:r>
                        <w:rPr>
                          <w:sz w:val="18"/>
                          <w:szCs w:val="18"/>
                          <w:lang w:val="fr-FR"/>
                        </w:rPr>
                        <w:t>Plan opérationnel</w:t>
                      </w:r>
                    </w:p>
                  </w:txbxContent>
                </v:textbox>
              </v:shape>
            </w:pict>
          </mc:Fallback>
        </mc:AlternateContent>
      </w:r>
      <w:r w:rsidRPr="00FA0659">
        <w:rPr>
          <w:rFonts w:cstheme="minorHAnsi"/>
        </w:rPr>
        <w:drawing>
          <wp:inline distT="0" distB="0" distL="0" distR="0" wp14:anchorId="71F2A343" wp14:editId="046E32EF">
            <wp:extent cx="3629551" cy="2182218"/>
            <wp:effectExtent l="0" t="0" r="0" b="8890"/>
            <wp:docPr id="6" name="Chart 6">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8A8830" w14:textId="77777777" w:rsidR="003C70C1" w:rsidRPr="00FA0659" w:rsidRDefault="003C70C1" w:rsidP="00D26CC9">
      <w:pPr>
        <w:pStyle w:val="Heading2"/>
        <w:spacing w:before="240"/>
        <w:rPr>
          <w:lang w:val="fr-FR"/>
        </w:rPr>
      </w:pPr>
      <w:bookmarkStart w:id="40" w:name="lt_pId136"/>
      <w:r w:rsidRPr="00FA0659">
        <w:rPr>
          <w:lang w:val="fr-FR"/>
        </w:rPr>
        <w:t>3.1</w:t>
      </w:r>
      <w:r w:rsidRPr="00FA0659">
        <w:rPr>
          <w:lang w:val="fr-FR"/>
        </w:rPr>
        <w:tab/>
        <w:t>Fonds alloués par le Conseil pour la mise en œuvre des initiatives régionales de la CMDT</w:t>
      </w:r>
      <w:r w:rsidRPr="00FA0659">
        <w:rPr>
          <w:lang w:val="fr-FR"/>
        </w:rPr>
        <w:noBreakHyphen/>
        <w:t>17</w:t>
      </w:r>
      <w:bookmarkEnd w:id="40"/>
    </w:p>
    <w:p w14:paraId="6D978242" w14:textId="1703CD40" w:rsidR="00F80A53" w:rsidRPr="00FA0659" w:rsidRDefault="00A422DB" w:rsidP="00D26CC9">
      <w:pPr>
        <w:spacing w:after="120"/>
        <w:rPr>
          <w:lang w:val="fr-FR"/>
        </w:rPr>
      </w:pPr>
      <w:r w:rsidRPr="00FA0659">
        <w:rPr>
          <w:rFonts w:cstheme="minorHAnsi"/>
          <w:lang w:val="fr-FR"/>
        </w:rPr>
        <w:t xml:space="preserve">Le BDT a poursuivi les négociations avec ses partenaires aux fins du cofinancement des projets </w:t>
      </w:r>
      <w:r w:rsidR="00E04D6C" w:rsidRPr="00FA0659">
        <w:rPr>
          <w:rFonts w:cstheme="minorHAnsi"/>
          <w:lang w:val="fr-FR"/>
        </w:rPr>
        <w:t>à l</w:t>
      </w:r>
      <w:r w:rsidR="00D26CC9" w:rsidRPr="00FA0659">
        <w:rPr>
          <w:rFonts w:cstheme="minorHAnsi"/>
          <w:lang w:val="fr-FR"/>
        </w:rPr>
        <w:t>'</w:t>
      </w:r>
      <w:r w:rsidR="00E04D6C" w:rsidRPr="00FA0659">
        <w:rPr>
          <w:rFonts w:cstheme="minorHAnsi"/>
          <w:lang w:val="fr-FR"/>
        </w:rPr>
        <w:t>aide des</w:t>
      </w:r>
      <w:r w:rsidRPr="00FA0659">
        <w:rPr>
          <w:rFonts w:cstheme="minorHAnsi"/>
          <w:lang w:val="fr-FR"/>
        </w:rPr>
        <w:t xml:space="preserve"> fonds </w:t>
      </w:r>
      <w:r w:rsidR="003B7AA1" w:rsidRPr="00FA0659">
        <w:rPr>
          <w:rFonts w:cstheme="minorHAnsi"/>
          <w:lang w:val="fr-FR"/>
        </w:rPr>
        <w:t>alloués</w:t>
      </w:r>
      <w:r w:rsidRPr="00FA0659">
        <w:rPr>
          <w:rFonts w:cstheme="minorHAnsi"/>
          <w:lang w:val="fr-FR"/>
        </w:rPr>
        <w:t xml:space="preserve"> par le Conseil </w:t>
      </w:r>
      <w:r w:rsidR="00E04D6C" w:rsidRPr="00FA0659">
        <w:rPr>
          <w:rFonts w:cstheme="minorHAnsi"/>
          <w:lang w:val="fr-FR"/>
        </w:rPr>
        <w:t>pour</w:t>
      </w:r>
      <w:r w:rsidRPr="00FA0659">
        <w:rPr>
          <w:rFonts w:cstheme="minorHAnsi"/>
          <w:lang w:val="fr-FR"/>
        </w:rPr>
        <w:t xml:space="preserve"> la mise en œuvre des initiatives régionales définies par la CMDT-17</w:t>
      </w:r>
      <w:r w:rsidR="00F80A53" w:rsidRPr="00FA0659">
        <w:rPr>
          <w:rStyle w:val="FootnoteReference"/>
          <w:lang w:val="fr-FR"/>
        </w:rPr>
        <w:footnoteReference w:id="4"/>
      </w:r>
      <w:r w:rsidR="00F80A53" w:rsidRPr="00FA0659">
        <w:rPr>
          <w:rFonts w:cstheme="minorHAnsi"/>
          <w:lang w:val="fr-FR"/>
        </w:rPr>
        <w:t xml:space="preserve">. </w:t>
      </w:r>
      <w:r w:rsidR="00531065" w:rsidRPr="00FA0659">
        <w:rPr>
          <w:color w:val="000000"/>
          <w:lang w:val="fr-FR"/>
        </w:rPr>
        <w:t>À</w:t>
      </w:r>
      <w:r w:rsidR="00531065" w:rsidRPr="00FA0659">
        <w:rPr>
          <w:lang w:val="fr-FR"/>
        </w:rPr>
        <w:t xml:space="preserve"> la date d'élaboration du présent rapport, 26 projets au total avaient été signés</w:t>
      </w:r>
      <w:r w:rsidRPr="00FA0659">
        <w:rPr>
          <w:lang w:val="fr-FR"/>
        </w:rPr>
        <w:t xml:space="preserve">, </w:t>
      </w:r>
      <w:r w:rsidR="00CB434B" w:rsidRPr="00FA0659">
        <w:rPr>
          <w:lang w:val="fr-FR"/>
        </w:rPr>
        <w:t>avec un</w:t>
      </w:r>
      <w:r w:rsidRPr="00FA0659">
        <w:rPr>
          <w:lang w:val="fr-FR"/>
        </w:rPr>
        <w:t xml:space="preserve"> financement des partenaires extérieurs s'élevant à 10,9 millions CHF (y compris les contributions en nature versées par les partenaires extérieurs</w:t>
      </w:r>
      <w:r w:rsidR="00E04D6C" w:rsidRPr="00FA0659">
        <w:rPr>
          <w:rFonts w:cstheme="minorHAnsi"/>
          <w:lang w:val="fr-FR"/>
        </w:rPr>
        <w:t xml:space="preserve">) </w:t>
      </w:r>
      <w:r w:rsidR="00CB434B" w:rsidRPr="00FA0659">
        <w:rPr>
          <w:rFonts w:cstheme="minorHAnsi"/>
          <w:lang w:val="fr-FR"/>
        </w:rPr>
        <w:t>et une contribution en espèces de l'UIT d'un montant de 3,6 millions CHF</w:t>
      </w:r>
      <w:r w:rsidR="00F80A53" w:rsidRPr="00FA0659">
        <w:rPr>
          <w:rFonts w:cstheme="minorHAnsi"/>
          <w:lang w:val="fr-FR"/>
        </w:rPr>
        <w:t xml:space="preserve">. </w:t>
      </w:r>
      <w:r w:rsidR="00CB434B" w:rsidRPr="00FA0659">
        <w:rPr>
          <w:rFonts w:cstheme="minorHAnsi"/>
          <w:lang w:val="fr-FR"/>
        </w:rPr>
        <w:t xml:space="preserve">La dernière série de 9 projets, qui seront financés au titre </w:t>
      </w:r>
      <w:r w:rsidR="00E04D6C" w:rsidRPr="00FA0659">
        <w:rPr>
          <w:rFonts w:cstheme="minorHAnsi"/>
          <w:lang w:val="fr-FR"/>
        </w:rPr>
        <w:t xml:space="preserve">du solde </w:t>
      </w:r>
      <w:r w:rsidR="00CB434B" w:rsidRPr="00FA0659">
        <w:rPr>
          <w:rFonts w:cstheme="minorHAnsi"/>
          <w:lang w:val="fr-FR"/>
        </w:rPr>
        <w:t>des fonds</w:t>
      </w:r>
      <w:r w:rsidR="00D26CC9" w:rsidRPr="00FA0659">
        <w:rPr>
          <w:rFonts w:cstheme="minorHAnsi"/>
          <w:lang w:val="fr-FR"/>
        </w:rPr>
        <w:t xml:space="preserve"> </w:t>
      </w:r>
      <w:r w:rsidR="00CB434B" w:rsidRPr="00FA0659">
        <w:rPr>
          <w:rFonts w:cstheme="minorHAnsi"/>
          <w:lang w:val="fr-FR"/>
        </w:rPr>
        <w:t>approuvés par le Conseil</w:t>
      </w:r>
      <w:r w:rsidR="003B7AA1" w:rsidRPr="00FA0659">
        <w:rPr>
          <w:rFonts w:cstheme="minorHAnsi"/>
          <w:lang w:val="fr-FR"/>
        </w:rPr>
        <w:t>,</w:t>
      </w:r>
      <w:r w:rsidR="00CB434B" w:rsidRPr="00FA0659">
        <w:rPr>
          <w:rFonts w:cstheme="minorHAnsi"/>
          <w:lang w:val="fr-FR"/>
        </w:rPr>
        <w:t xml:space="preserve"> devraient être signés avant la fin de 2021, pour un montant total de 3,4 millions CHF (</w:t>
      </w:r>
      <w:r w:rsidR="007F74FB" w:rsidRPr="00FA0659">
        <w:rPr>
          <w:rFonts w:cstheme="minorHAnsi"/>
          <w:lang w:val="fr-FR"/>
        </w:rPr>
        <w:t>y compris l</w:t>
      </w:r>
      <w:r w:rsidR="003B7AA1" w:rsidRPr="00FA0659">
        <w:rPr>
          <w:rFonts w:cstheme="minorHAnsi"/>
          <w:lang w:val="fr-FR"/>
        </w:rPr>
        <w:t>es</w:t>
      </w:r>
      <w:r w:rsidR="007F74FB" w:rsidRPr="00FA0659">
        <w:rPr>
          <w:rFonts w:cstheme="minorHAnsi"/>
          <w:lang w:val="fr-FR"/>
        </w:rPr>
        <w:t xml:space="preserve"> contribution</w:t>
      </w:r>
      <w:r w:rsidR="003B7AA1" w:rsidRPr="00FA0659">
        <w:rPr>
          <w:rFonts w:cstheme="minorHAnsi"/>
          <w:lang w:val="fr-FR"/>
        </w:rPr>
        <w:t>s</w:t>
      </w:r>
      <w:r w:rsidR="007F74FB" w:rsidRPr="00FA0659">
        <w:rPr>
          <w:rFonts w:cstheme="minorHAnsi"/>
          <w:lang w:val="fr-FR"/>
        </w:rPr>
        <w:t xml:space="preserve"> en nature versée</w:t>
      </w:r>
      <w:r w:rsidR="003B7AA1" w:rsidRPr="00FA0659">
        <w:rPr>
          <w:rFonts w:cstheme="minorHAnsi"/>
          <w:lang w:val="fr-FR"/>
        </w:rPr>
        <w:t>s</w:t>
      </w:r>
      <w:r w:rsidR="007F74FB" w:rsidRPr="00FA0659">
        <w:rPr>
          <w:rFonts w:cstheme="minorHAnsi"/>
          <w:lang w:val="fr-FR"/>
        </w:rPr>
        <w:t xml:space="preserve"> par les partenaires extérieurs</w:t>
      </w:r>
      <w:r w:rsidR="003B7AA1" w:rsidRPr="00FA0659">
        <w:rPr>
          <w:rFonts w:cstheme="minorHAnsi"/>
          <w:lang w:val="fr-FR"/>
        </w:rPr>
        <w:t xml:space="preserve">), avec </w:t>
      </w:r>
      <w:r w:rsidR="007F74FB" w:rsidRPr="00FA0659">
        <w:rPr>
          <w:rFonts w:cstheme="minorHAnsi"/>
          <w:lang w:val="fr-FR"/>
        </w:rPr>
        <w:t>une contribution en espèces de l'UIT d'un montant de 1</w:t>
      </w:r>
      <w:r w:rsidR="00F80A53" w:rsidRPr="00FA0659">
        <w:rPr>
          <w:rFonts w:cstheme="minorHAnsi"/>
          <w:lang w:val="fr-FR"/>
        </w:rPr>
        <w:t>,4</w:t>
      </w:r>
      <w:r w:rsidR="00E32653" w:rsidRPr="00FA0659">
        <w:rPr>
          <w:rFonts w:cstheme="minorHAnsi"/>
          <w:lang w:val="fr-FR"/>
        </w:rPr>
        <w:t> </w:t>
      </w:r>
      <w:r w:rsidR="00F80A53" w:rsidRPr="00FA0659">
        <w:rPr>
          <w:rFonts w:cstheme="minorHAnsi"/>
          <w:lang w:val="fr-FR"/>
        </w:rPr>
        <w:t>million</w:t>
      </w:r>
      <w:r w:rsidR="00E32653" w:rsidRPr="00FA0659">
        <w:rPr>
          <w:rFonts w:cstheme="minorHAnsi"/>
          <w:lang w:val="fr-FR"/>
        </w:rPr>
        <w:t> </w:t>
      </w:r>
      <w:r w:rsidR="00F80A53" w:rsidRPr="00FA0659">
        <w:rPr>
          <w:rFonts w:cstheme="minorHAnsi"/>
          <w:lang w:val="fr-FR"/>
        </w:rPr>
        <w:t>CHF.</w:t>
      </w:r>
    </w:p>
    <w:p w14:paraId="686D2299" w14:textId="21288ECC" w:rsidR="003C70C1" w:rsidRPr="00FA0659" w:rsidRDefault="003C70C1" w:rsidP="00D26CC9">
      <w:pPr>
        <w:pStyle w:val="Heading1"/>
        <w:rPr>
          <w:lang w:val="fr-FR"/>
        </w:rPr>
      </w:pPr>
      <w:bookmarkStart w:id="41" w:name="lt_pId142"/>
      <w:r w:rsidRPr="00FA0659">
        <w:rPr>
          <w:lang w:val="fr-FR"/>
        </w:rPr>
        <w:t>4</w:t>
      </w:r>
      <w:r w:rsidRPr="00FA0659">
        <w:rPr>
          <w:lang w:val="fr-FR"/>
        </w:rPr>
        <w:tab/>
        <w:t xml:space="preserve">Mesures prises pour renforcer les pratiques de gestion des projets </w:t>
      </w:r>
      <w:bookmarkEnd w:id="41"/>
      <w:r w:rsidR="007F74FB" w:rsidRPr="00FA0659">
        <w:rPr>
          <w:lang w:val="fr-FR"/>
        </w:rPr>
        <w:t>au BDT</w:t>
      </w:r>
    </w:p>
    <w:p w14:paraId="3DD534E7" w14:textId="68DA21CF" w:rsidR="003C70C1" w:rsidRPr="00FA0659" w:rsidRDefault="00751805" w:rsidP="00D26CC9">
      <w:pPr>
        <w:rPr>
          <w:lang w:val="fr-FR"/>
        </w:rPr>
      </w:pPr>
      <w:bookmarkStart w:id="42" w:name="lt_pId143"/>
      <w:r w:rsidRPr="00FA0659">
        <w:rPr>
          <w:lang w:val="fr-FR"/>
        </w:rPr>
        <w:t>L</w:t>
      </w:r>
      <w:r w:rsidR="003C70C1" w:rsidRPr="00FA0659">
        <w:rPr>
          <w:lang w:val="fr-FR"/>
        </w:rPr>
        <w:t xml:space="preserve">e BDT a continué de renforcer les pratiques de gestion des projets pour tous les projets de l'UIT, en organisant un large éventail d'activités destinées à consolider la gouvernance des projets </w:t>
      </w:r>
      <w:r w:rsidR="003B7AA1" w:rsidRPr="00FA0659">
        <w:rPr>
          <w:lang w:val="fr-FR"/>
        </w:rPr>
        <w:t>du BDT</w:t>
      </w:r>
      <w:r w:rsidR="003C70C1" w:rsidRPr="00FA0659">
        <w:rPr>
          <w:lang w:val="fr-FR"/>
        </w:rPr>
        <w:t xml:space="preserve">, en renforçant les capacités des responsables de projets </w:t>
      </w:r>
      <w:r w:rsidR="007F74FB" w:rsidRPr="00FA0659">
        <w:rPr>
          <w:lang w:val="fr-FR"/>
        </w:rPr>
        <w:t>du BDT</w:t>
      </w:r>
      <w:r w:rsidR="003C70C1" w:rsidRPr="00FA0659">
        <w:rPr>
          <w:lang w:val="fr-FR"/>
        </w:rPr>
        <w:t xml:space="preserve">, en normalisant les pratiques de gestion des projets à l'échelle </w:t>
      </w:r>
      <w:r w:rsidR="007F74FB" w:rsidRPr="00FA0659">
        <w:rPr>
          <w:lang w:val="fr-FR"/>
        </w:rPr>
        <w:t>du BDT</w:t>
      </w:r>
      <w:r w:rsidR="003C70C1" w:rsidRPr="00FA0659">
        <w:rPr>
          <w:lang w:val="fr-FR"/>
        </w:rPr>
        <w:t xml:space="preserve">, et en consolidant les activités de suivi et d'évaluation des projets. </w:t>
      </w:r>
      <w:bookmarkStart w:id="43" w:name="lt_pId144"/>
      <w:bookmarkEnd w:id="42"/>
      <w:r w:rsidR="000B5AA2" w:rsidRPr="00FA0659">
        <w:rPr>
          <w:color w:val="000000"/>
          <w:lang w:val="fr-FR"/>
        </w:rPr>
        <w:t xml:space="preserve">On trouvera dans la </w:t>
      </w:r>
      <w:r w:rsidR="007F74FB" w:rsidRPr="00FA0659">
        <w:rPr>
          <w:color w:val="000000"/>
          <w:lang w:val="fr-FR"/>
        </w:rPr>
        <w:t>liste ci-dessous</w:t>
      </w:r>
      <w:r w:rsidR="00D26CC9" w:rsidRPr="00FA0659">
        <w:rPr>
          <w:color w:val="000000"/>
          <w:lang w:val="fr-FR"/>
        </w:rPr>
        <w:t xml:space="preserve"> </w:t>
      </w:r>
      <w:r w:rsidR="007F74FB" w:rsidRPr="00FA0659">
        <w:rPr>
          <w:color w:val="000000"/>
          <w:lang w:val="fr-FR"/>
        </w:rPr>
        <w:t>un résumé des activités menées au cours des deuxième et troisième trimestres de 2021</w:t>
      </w:r>
      <w:r w:rsidR="003C70C1" w:rsidRPr="00FA0659">
        <w:rPr>
          <w:lang w:val="fr-FR"/>
        </w:rPr>
        <w:t>:</w:t>
      </w:r>
      <w:bookmarkEnd w:id="43"/>
    </w:p>
    <w:p w14:paraId="342380AC" w14:textId="77777777" w:rsidR="00E32653" w:rsidRPr="00FA0659" w:rsidRDefault="00E32653" w:rsidP="00593C05">
      <w:pPr>
        <w:rPr>
          <w:lang w:val="fr-FR"/>
        </w:rPr>
      </w:pPr>
      <w:r w:rsidRPr="00FA0659">
        <w:rPr>
          <w:lang w:val="fr-FR"/>
        </w:rPr>
        <w:br w:type="page"/>
      </w:r>
    </w:p>
    <w:p w14:paraId="375B5C48" w14:textId="16C8E5C5" w:rsidR="00082C75" w:rsidRPr="00FA0659" w:rsidRDefault="00082C75" w:rsidP="00D26CC9">
      <w:pPr>
        <w:pStyle w:val="enumlev1"/>
        <w:rPr>
          <w:b/>
          <w:bCs/>
          <w:lang w:val="fr-FR"/>
        </w:rPr>
      </w:pPr>
      <w:r w:rsidRPr="00FA0659">
        <w:rPr>
          <w:bCs/>
          <w:iCs/>
          <w:lang w:val="fr-FR"/>
        </w:rPr>
        <w:lastRenderedPageBreak/>
        <w:t>–</w:t>
      </w:r>
      <w:r w:rsidRPr="00FA0659">
        <w:rPr>
          <w:bCs/>
          <w:iCs/>
          <w:lang w:val="fr-FR"/>
        </w:rPr>
        <w:tab/>
      </w:r>
      <w:r w:rsidRPr="00FA0659">
        <w:rPr>
          <w:b/>
          <w:bCs/>
          <w:i/>
          <w:iCs/>
          <w:lang w:val="fr-FR"/>
        </w:rPr>
        <w:t>Comité directeur des projets du BDT</w:t>
      </w:r>
      <w:r w:rsidRPr="00593C05">
        <w:rPr>
          <w:lang w:val="fr-FR"/>
        </w:rPr>
        <w:t xml:space="preserve">: </w:t>
      </w:r>
      <w:r w:rsidR="007F74FB" w:rsidRPr="00FA0659">
        <w:rPr>
          <w:lang w:val="fr-FR"/>
        </w:rPr>
        <w:t xml:space="preserve">Le Comité directeur des projets du BDT </w:t>
      </w:r>
      <w:r w:rsidR="003B7AA1" w:rsidRPr="00FA0659">
        <w:rPr>
          <w:lang w:val="fr-FR"/>
        </w:rPr>
        <w:t xml:space="preserve">a </w:t>
      </w:r>
      <w:r w:rsidR="007F74FB" w:rsidRPr="00FA0659">
        <w:rPr>
          <w:lang w:val="fr-FR"/>
        </w:rPr>
        <w:t>continu</w:t>
      </w:r>
      <w:r w:rsidR="003B7AA1" w:rsidRPr="00FA0659">
        <w:rPr>
          <w:lang w:val="fr-FR"/>
        </w:rPr>
        <w:t>é</w:t>
      </w:r>
      <w:r w:rsidR="007F74FB" w:rsidRPr="00FA0659">
        <w:rPr>
          <w:lang w:val="fr-FR"/>
        </w:rPr>
        <w:t xml:space="preserve"> de se réunir tous les mois. Le Comité s'est réuni pour évaluer la viabilité et la pertinence des propositions de projets avant qu'elles ne deviennent des projets, </w:t>
      </w:r>
      <w:r w:rsidR="000B5AA2" w:rsidRPr="00FA0659">
        <w:rPr>
          <w:lang w:val="fr-FR"/>
        </w:rPr>
        <w:t xml:space="preserve">a examiné </w:t>
      </w:r>
      <w:r w:rsidR="007F74FB" w:rsidRPr="00FA0659">
        <w:rPr>
          <w:lang w:val="fr-FR"/>
        </w:rPr>
        <w:t xml:space="preserve">et </w:t>
      </w:r>
      <w:r w:rsidR="000B5AA2" w:rsidRPr="00FA0659">
        <w:rPr>
          <w:lang w:val="fr-FR"/>
        </w:rPr>
        <w:t xml:space="preserve">approuvé </w:t>
      </w:r>
      <w:r w:rsidR="007F74FB" w:rsidRPr="00FA0659">
        <w:rPr>
          <w:lang w:val="fr-FR"/>
        </w:rPr>
        <w:t>les projets avant qu'ils</w:t>
      </w:r>
      <w:r w:rsidR="00D26CC9" w:rsidRPr="00FA0659">
        <w:rPr>
          <w:lang w:val="fr-FR"/>
        </w:rPr>
        <w:t xml:space="preserve"> </w:t>
      </w:r>
      <w:r w:rsidR="007F74FB" w:rsidRPr="00FA0659">
        <w:rPr>
          <w:lang w:val="fr-FR"/>
        </w:rPr>
        <w:t xml:space="preserve">soient approuvés par les partenaires et </w:t>
      </w:r>
      <w:r w:rsidR="000B5AA2" w:rsidRPr="00FA0659">
        <w:rPr>
          <w:lang w:val="fr-FR"/>
        </w:rPr>
        <w:t xml:space="preserve">a supervisé </w:t>
      </w:r>
      <w:r w:rsidR="007F74FB" w:rsidRPr="00FA0659">
        <w:rPr>
          <w:lang w:val="fr-FR"/>
        </w:rPr>
        <w:t>la mise en œuvre et la clôture des projets en cas de problème</w:t>
      </w:r>
      <w:r w:rsidRPr="00FA0659">
        <w:rPr>
          <w:lang w:val="fr-FR"/>
        </w:rPr>
        <w:t xml:space="preserve">. </w:t>
      </w:r>
      <w:r w:rsidR="007F74FB" w:rsidRPr="00FA0659">
        <w:rPr>
          <w:lang w:val="fr-FR"/>
        </w:rPr>
        <w:t>Les décisions prises par le Comité ont été suivies par l'équipe d'appui aux projets, qui a rendu compte de leur application au Comité</w:t>
      </w:r>
      <w:r w:rsidRPr="00FA0659">
        <w:rPr>
          <w:lang w:val="fr-FR"/>
        </w:rPr>
        <w:t>.</w:t>
      </w:r>
    </w:p>
    <w:p w14:paraId="46F0123E" w14:textId="0CC669B1" w:rsidR="003C70C1" w:rsidRPr="00FA0659" w:rsidRDefault="003C70C1" w:rsidP="00D26CC9">
      <w:pPr>
        <w:pStyle w:val="enumlev1"/>
        <w:rPr>
          <w:lang w:val="fr-FR"/>
        </w:rPr>
      </w:pPr>
      <w:bookmarkStart w:id="44" w:name="lt_pId153"/>
      <w:r w:rsidRPr="00FA0659">
        <w:rPr>
          <w:lang w:val="fr-FR"/>
        </w:rPr>
        <w:t>–</w:t>
      </w:r>
      <w:r w:rsidRPr="00FA0659">
        <w:rPr>
          <w:b/>
          <w:bCs/>
          <w:i/>
          <w:iCs/>
          <w:lang w:val="fr-FR"/>
        </w:rPr>
        <w:tab/>
      </w:r>
      <w:bookmarkStart w:id="45" w:name="lt_pId155"/>
      <w:bookmarkEnd w:id="44"/>
      <w:r w:rsidR="00082C75" w:rsidRPr="00FA0659">
        <w:rPr>
          <w:rFonts w:cstheme="minorHAnsi"/>
          <w:b/>
          <w:bCs/>
          <w:i/>
          <w:iCs/>
          <w:lang w:val="fr-FR"/>
        </w:rPr>
        <w:t xml:space="preserve">Renforcement </w:t>
      </w:r>
      <w:r w:rsidR="007F74FB" w:rsidRPr="00FA0659">
        <w:rPr>
          <w:rFonts w:cstheme="minorHAnsi"/>
          <w:b/>
          <w:bCs/>
          <w:i/>
          <w:iCs/>
          <w:lang w:val="fr-FR"/>
        </w:rPr>
        <w:t>des pratiques de gestion des projets</w:t>
      </w:r>
      <w:r w:rsidR="00082C75" w:rsidRPr="00593C05">
        <w:rPr>
          <w:rFonts w:cstheme="minorHAnsi"/>
          <w:lang w:val="fr-FR"/>
        </w:rPr>
        <w:t>:</w:t>
      </w:r>
      <w:r w:rsidR="00082C75" w:rsidRPr="00593C05">
        <w:rPr>
          <w:rFonts w:cstheme="minorHAnsi"/>
          <w:i/>
          <w:iCs/>
          <w:lang w:val="fr-FR"/>
        </w:rPr>
        <w:t xml:space="preserve"> </w:t>
      </w:r>
      <w:r w:rsidR="007F74FB" w:rsidRPr="00FA0659">
        <w:rPr>
          <w:rFonts w:cstheme="minorHAnsi"/>
          <w:lang w:val="fr-FR"/>
        </w:rPr>
        <w:t xml:space="preserve">Le BDT a continué de renforcer les pratiques de gestion des projets </w:t>
      </w:r>
      <w:r w:rsidR="00232A36" w:rsidRPr="00FA0659">
        <w:rPr>
          <w:rFonts w:cstheme="minorHAnsi"/>
          <w:lang w:val="fr-FR"/>
        </w:rPr>
        <w:t xml:space="preserve">à l'échelle du Bureau. Parmi les mesures prises dans ce </w:t>
      </w:r>
      <w:r w:rsidR="003B7AA1" w:rsidRPr="00FA0659">
        <w:rPr>
          <w:rFonts w:cstheme="minorHAnsi"/>
          <w:lang w:val="fr-FR"/>
        </w:rPr>
        <w:t>sens</w:t>
      </w:r>
      <w:r w:rsidR="00232A36" w:rsidRPr="00FA0659">
        <w:rPr>
          <w:rFonts w:cstheme="minorHAnsi"/>
          <w:lang w:val="fr-FR"/>
        </w:rPr>
        <w:t>, on peut citer le lancement du "Réseau de responsables de projets du BDT", une plate-forme en ligne comprenant 84 membres du personnel actifs, ainsi que l'organisation d'ateliers sur la gestion de projets</w:t>
      </w:r>
      <w:r w:rsidR="003B7AA1" w:rsidRPr="00FA0659">
        <w:rPr>
          <w:rFonts w:cstheme="minorHAnsi"/>
          <w:lang w:val="fr-FR"/>
        </w:rPr>
        <w:t xml:space="preserve"> </w:t>
      </w:r>
      <w:r w:rsidR="00232A36" w:rsidRPr="00FA0659">
        <w:rPr>
          <w:rFonts w:cstheme="minorHAnsi"/>
          <w:lang w:val="fr-FR"/>
        </w:rPr>
        <w:t xml:space="preserve">et </w:t>
      </w:r>
      <w:r w:rsidR="003B7AA1" w:rsidRPr="00FA0659">
        <w:rPr>
          <w:rFonts w:cstheme="minorHAnsi"/>
          <w:lang w:val="fr-FR"/>
        </w:rPr>
        <w:t>de</w:t>
      </w:r>
      <w:r w:rsidR="00232A36" w:rsidRPr="00FA0659">
        <w:rPr>
          <w:rFonts w:cstheme="minorHAnsi"/>
          <w:lang w:val="fr-FR"/>
        </w:rPr>
        <w:t xml:space="preserve"> sessions d'information à l'intention des responsables de projets. Ces travaux ont été menés en complément du programme de formation et de certification en matière de gestion du projet mis en </w:t>
      </w:r>
      <w:r w:rsidR="003B7AA1" w:rsidRPr="00FA0659">
        <w:rPr>
          <w:rFonts w:cstheme="minorHAnsi"/>
          <w:lang w:val="fr-FR"/>
        </w:rPr>
        <w:t>œuvre</w:t>
      </w:r>
      <w:r w:rsidR="00232A36" w:rsidRPr="00FA0659">
        <w:rPr>
          <w:rFonts w:cstheme="minorHAnsi"/>
          <w:lang w:val="fr-FR"/>
        </w:rPr>
        <w:t xml:space="preserve"> en 2019 et 2020</w:t>
      </w:r>
      <w:r w:rsidR="00082C75" w:rsidRPr="00FA0659">
        <w:rPr>
          <w:rFonts w:cstheme="minorHAnsi"/>
          <w:lang w:val="fr-FR"/>
        </w:rPr>
        <w:t>.</w:t>
      </w:r>
      <w:bookmarkEnd w:id="45"/>
    </w:p>
    <w:p w14:paraId="02F8B76F" w14:textId="5732D97D" w:rsidR="00082C75" w:rsidRPr="00FA0659" w:rsidRDefault="00082C75" w:rsidP="00D26CC9">
      <w:pPr>
        <w:pStyle w:val="enumlev1"/>
        <w:rPr>
          <w:rFonts w:cstheme="minorHAnsi"/>
          <w:lang w:val="fr-FR"/>
        </w:rPr>
      </w:pPr>
      <w:r w:rsidRPr="00FA0659">
        <w:rPr>
          <w:iCs/>
          <w:lang w:val="fr-FR"/>
        </w:rPr>
        <w:t>–</w:t>
      </w:r>
      <w:r w:rsidRPr="00FA0659">
        <w:rPr>
          <w:iCs/>
          <w:lang w:val="fr-FR"/>
        </w:rPr>
        <w:tab/>
      </w:r>
      <w:r w:rsidR="00232A36" w:rsidRPr="00FA0659">
        <w:rPr>
          <w:rFonts w:cstheme="minorHAnsi"/>
          <w:b/>
          <w:bCs/>
          <w:i/>
          <w:iCs/>
          <w:lang w:val="fr-FR"/>
        </w:rPr>
        <w:t>Clôture des projets</w:t>
      </w:r>
      <w:r w:rsidRPr="00593C05">
        <w:rPr>
          <w:rFonts w:cstheme="minorHAnsi"/>
          <w:lang w:val="fr-FR"/>
        </w:rPr>
        <w:t xml:space="preserve">: </w:t>
      </w:r>
      <w:r w:rsidR="00232A36" w:rsidRPr="00FA0659">
        <w:rPr>
          <w:rFonts w:cstheme="minorHAnsi"/>
          <w:lang w:val="fr-FR"/>
        </w:rPr>
        <w:t xml:space="preserve">Le </w:t>
      </w:r>
      <w:r w:rsidRPr="00FA0659">
        <w:rPr>
          <w:rFonts w:cstheme="minorHAnsi"/>
          <w:lang w:val="fr-FR"/>
        </w:rPr>
        <w:t xml:space="preserve">BDT </w:t>
      </w:r>
      <w:r w:rsidR="00232A36" w:rsidRPr="00FA0659">
        <w:rPr>
          <w:rFonts w:cstheme="minorHAnsi"/>
          <w:lang w:val="fr-FR"/>
        </w:rPr>
        <w:t>a révisé le processus et les étapes liés à la clôture des projets</w:t>
      </w:r>
      <w:r w:rsidR="00A763FD" w:rsidRPr="00FA0659">
        <w:rPr>
          <w:rFonts w:cstheme="minorHAnsi"/>
          <w:lang w:val="fr-FR"/>
        </w:rPr>
        <w:t>,</w:t>
      </w:r>
      <w:r w:rsidR="00232A36" w:rsidRPr="00FA0659">
        <w:rPr>
          <w:rFonts w:cstheme="minorHAnsi"/>
          <w:lang w:val="fr-FR"/>
        </w:rPr>
        <w:t xml:space="preserve"> afin de ramener à 9 mois</w:t>
      </w:r>
      <w:r w:rsidR="00A763FD" w:rsidRPr="00FA0659">
        <w:rPr>
          <w:rFonts w:cstheme="minorHAnsi"/>
          <w:lang w:val="fr-FR"/>
        </w:rPr>
        <w:t xml:space="preserve"> </w:t>
      </w:r>
      <w:r w:rsidR="00232A36" w:rsidRPr="00FA0659">
        <w:rPr>
          <w:rFonts w:cstheme="minorHAnsi"/>
          <w:lang w:val="fr-FR"/>
        </w:rPr>
        <w:t xml:space="preserve">au </w:t>
      </w:r>
      <w:r w:rsidR="00A763FD" w:rsidRPr="00FA0659">
        <w:rPr>
          <w:rFonts w:cstheme="minorHAnsi"/>
          <w:lang w:val="fr-FR"/>
        </w:rPr>
        <w:t>plus</w:t>
      </w:r>
      <w:r w:rsidR="00232A36" w:rsidRPr="00FA0659">
        <w:rPr>
          <w:rFonts w:cstheme="minorHAnsi"/>
          <w:lang w:val="fr-FR"/>
        </w:rPr>
        <w:t xml:space="preserve"> le délai nécessaire pour clôturer un projet à compter de la date d'achèvement de toutes les activités. Ces travaux ont été menés à bien conformément au nouveau Manuel de l'UIT sur la gestion de projets, publié en juillet</w:t>
      </w:r>
      <w:r w:rsidR="00E32653" w:rsidRPr="00FA0659">
        <w:rPr>
          <w:rFonts w:cstheme="minorHAnsi"/>
          <w:lang w:val="fr-FR"/>
        </w:rPr>
        <w:t> </w:t>
      </w:r>
      <w:r w:rsidR="00232A36" w:rsidRPr="00FA0659">
        <w:rPr>
          <w:rFonts w:cstheme="minorHAnsi"/>
          <w:lang w:val="fr-FR"/>
        </w:rPr>
        <w:t>2020, et en étroite coordination avec le Département de la gestion des ressources financières (FRMD), le Service des achats, le Département de la gestion des ressources humaines (HRMD) et l</w:t>
      </w:r>
      <w:r w:rsidR="00A5106B" w:rsidRPr="00FA0659">
        <w:rPr>
          <w:rFonts w:cstheme="minorHAnsi"/>
          <w:lang w:val="fr-FR"/>
        </w:rPr>
        <w:t>'Unité des affaires juridiques</w:t>
      </w:r>
      <w:r w:rsidR="003B7AA1" w:rsidRPr="00FA0659">
        <w:rPr>
          <w:rFonts w:cstheme="minorHAnsi"/>
          <w:lang w:val="fr-FR"/>
        </w:rPr>
        <w:t xml:space="preserve"> de l'UIT</w:t>
      </w:r>
      <w:r w:rsidR="00A5106B" w:rsidRPr="00FA0659">
        <w:rPr>
          <w:rFonts w:cstheme="minorHAnsi"/>
          <w:lang w:val="fr-FR"/>
        </w:rPr>
        <w:t>. Au total, 15 projets ont été clôturés au moyen de cette nouvelle approche durant la période considérée dans le présent rapport</w:t>
      </w:r>
      <w:r w:rsidRPr="00FA0659">
        <w:rPr>
          <w:rFonts w:cstheme="minorHAnsi"/>
          <w:lang w:val="fr-FR"/>
        </w:rPr>
        <w:t>.</w:t>
      </w:r>
    </w:p>
    <w:p w14:paraId="1AA1C7D0" w14:textId="1186601E" w:rsidR="00082C75" w:rsidRPr="00FA0659" w:rsidRDefault="00082C75" w:rsidP="00D26CC9">
      <w:pPr>
        <w:pStyle w:val="enumlev1"/>
        <w:rPr>
          <w:b/>
          <w:bCs/>
          <w:lang w:val="fr-FR"/>
        </w:rPr>
      </w:pPr>
      <w:r w:rsidRPr="00FA0659">
        <w:rPr>
          <w:rFonts w:cstheme="minorHAnsi"/>
          <w:lang w:val="fr-FR"/>
        </w:rPr>
        <w:t>–</w:t>
      </w:r>
      <w:r w:rsidRPr="00FA0659">
        <w:rPr>
          <w:rFonts w:cstheme="minorHAnsi"/>
          <w:lang w:val="fr-FR"/>
        </w:rPr>
        <w:tab/>
      </w:r>
      <w:r w:rsidR="00A5106B" w:rsidRPr="00FA0659">
        <w:rPr>
          <w:rFonts w:cstheme="minorHAnsi"/>
          <w:b/>
          <w:bCs/>
          <w:i/>
          <w:iCs/>
          <w:lang w:val="fr-FR"/>
        </w:rPr>
        <w:t>Suivi des projets de l'UIT</w:t>
      </w:r>
      <w:r w:rsidRPr="00593C05">
        <w:rPr>
          <w:rFonts w:cstheme="minorHAnsi"/>
          <w:lang w:val="fr-FR"/>
        </w:rPr>
        <w:t>:</w:t>
      </w:r>
      <w:r w:rsidRPr="00593C05">
        <w:rPr>
          <w:rFonts w:cstheme="minorHAnsi"/>
          <w:b/>
          <w:bCs/>
          <w:lang w:val="fr-FR"/>
        </w:rPr>
        <w:t xml:space="preserve"> </w:t>
      </w:r>
      <w:r w:rsidR="00A5106B" w:rsidRPr="00FA0659">
        <w:rPr>
          <w:rFonts w:cstheme="minorHAnsi"/>
          <w:lang w:val="fr-FR"/>
        </w:rPr>
        <w:t>Tous les</w:t>
      </w:r>
      <w:r w:rsidR="00A5106B" w:rsidRPr="00FA0659">
        <w:rPr>
          <w:rFonts w:cstheme="minorHAnsi"/>
          <w:b/>
          <w:bCs/>
          <w:lang w:val="fr-FR"/>
        </w:rPr>
        <w:t xml:space="preserve"> </w:t>
      </w:r>
      <w:r w:rsidR="00B73165" w:rsidRPr="00FA0659">
        <w:rPr>
          <w:rFonts w:cstheme="minorHAnsi"/>
          <w:lang w:val="fr-FR"/>
        </w:rPr>
        <w:t>projets de l'UIT</w:t>
      </w:r>
      <w:r w:rsidR="00B73165" w:rsidRPr="00FA0659">
        <w:rPr>
          <w:rFonts w:cstheme="minorHAnsi"/>
          <w:b/>
          <w:bCs/>
          <w:lang w:val="fr-FR"/>
        </w:rPr>
        <w:t xml:space="preserve"> </w:t>
      </w:r>
      <w:r w:rsidR="00B73165" w:rsidRPr="00FA0659">
        <w:rPr>
          <w:rFonts w:cstheme="minorHAnsi"/>
          <w:lang w:val="fr-FR"/>
        </w:rPr>
        <w:t>continuent de faire l'objet d'un suivi quotidien et de rapports à la fin de chaque trimestre. Les résultats de ces travaux sont mis à la disposition de la direction du BDT et des responsables de projets au moyen de rapports d'évaluation trimestriels. La dernière évaluation trimestrielle pour le deuxième</w:t>
      </w:r>
      <w:r w:rsidR="00E32653" w:rsidRPr="00FA0659">
        <w:rPr>
          <w:rFonts w:cstheme="minorHAnsi"/>
          <w:lang w:val="fr-FR"/>
        </w:rPr>
        <w:t> </w:t>
      </w:r>
      <w:r w:rsidR="00B73165" w:rsidRPr="00FA0659">
        <w:rPr>
          <w:rFonts w:cstheme="minorHAnsi"/>
          <w:lang w:val="fr-FR"/>
        </w:rPr>
        <w:t>trimestre de 2021 a montré que la majorité des projets du BDT sont en bonne voie, malgré les défis liés à la pandémie de COVID-19 sur le plan de la mise en œuvre.</w:t>
      </w:r>
    </w:p>
    <w:p w14:paraId="4B7B29AA" w14:textId="2F7E118D" w:rsidR="00082C75" w:rsidRPr="00FA0659" w:rsidRDefault="003C70C1" w:rsidP="00D26CC9">
      <w:pPr>
        <w:pStyle w:val="Heading1"/>
        <w:rPr>
          <w:lang w:val="fr-FR"/>
        </w:rPr>
      </w:pPr>
      <w:bookmarkStart w:id="46" w:name="lt_pId169"/>
      <w:r w:rsidRPr="00FA0659">
        <w:rPr>
          <w:lang w:val="fr-FR"/>
        </w:rPr>
        <w:t>5</w:t>
      </w:r>
      <w:r w:rsidRPr="00FA0659">
        <w:rPr>
          <w:lang w:val="fr-FR"/>
        </w:rPr>
        <w:tab/>
      </w:r>
      <w:r w:rsidR="003B7AA1" w:rsidRPr="00FA0659">
        <w:rPr>
          <w:lang w:val="fr-FR"/>
        </w:rPr>
        <w:t>Résumé des résultats obtenus en</w:t>
      </w:r>
      <w:r w:rsidR="00082C75" w:rsidRPr="00FA0659">
        <w:rPr>
          <w:lang w:val="fr-FR"/>
        </w:rPr>
        <w:t xml:space="preserve"> 2021</w:t>
      </w:r>
    </w:p>
    <w:p w14:paraId="4EFA4AF4" w14:textId="6B2222EE" w:rsidR="00082C75" w:rsidRPr="00FA0659" w:rsidRDefault="00082C75" w:rsidP="00D26CC9">
      <w:pPr>
        <w:spacing w:after="120"/>
        <w:rPr>
          <w:rFonts w:cstheme="minorHAnsi"/>
          <w:lang w:val="fr-FR"/>
        </w:rPr>
      </w:pPr>
      <w:r w:rsidRPr="00FA0659">
        <w:rPr>
          <w:lang w:val="fr-FR"/>
        </w:rPr>
        <w:t xml:space="preserve">Au total, 18 nouveaux projets, d'un montant de 9,8 millions CHF, ont été élaborés et signés en 2021 (voir la Figure 3). </w:t>
      </w:r>
      <w:r w:rsidR="00B73165" w:rsidRPr="00FA0659">
        <w:rPr>
          <w:lang w:val="fr-FR"/>
        </w:rPr>
        <w:t>Tous ces</w:t>
      </w:r>
      <w:r w:rsidRPr="00FA0659">
        <w:rPr>
          <w:lang w:val="fr-FR"/>
        </w:rPr>
        <w:t xml:space="preserve"> projets ont été </w:t>
      </w:r>
      <w:r w:rsidR="003B7AA1" w:rsidRPr="00FA0659">
        <w:rPr>
          <w:lang w:val="fr-FR"/>
        </w:rPr>
        <w:t>financés</w:t>
      </w:r>
      <w:r w:rsidRPr="00FA0659">
        <w:rPr>
          <w:lang w:val="fr-FR"/>
        </w:rPr>
        <w:t xml:space="preserve"> en partenariat avec d'autres organisations, telles que des organismes publics nationaux, des entités de coopération bilatérale, des organismes à but non lucratif, des entités du secteur privé et des institutions du système des Nations Unies.</w:t>
      </w:r>
      <w:r w:rsidRPr="00FA0659">
        <w:rPr>
          <w:rFonts w:cstheme="minorHAnsi"/>
          <w:lang w:val="fr-FR"/>
        </w:rPr>
        <w:t xml:space="preserve"> </w:t>
      </w:r>
      <w:r w:rsidR="00B73165" w:rsidRPr="00FA0659">
        <w:rPr>
          <w:rFonts w:cstheme="minorHAnsi"/>
          <w:lang w:val="fr-FR"/>
        </w:rPr>
        <w:t>Ce</w:t>
      </w:r>
      <w:r w:rsidR="00A763FD" w:rsidRPr="00FA0659">
        <w:rPr>
          <w:rFonts w:cstheme="minorHAnsi"/>
          <w:lang w:val="fr-FR"/>
        </w:rPr>
        <w:t>s</w:t>
      </w:r>
      <w:r w:rsidR="00B73165" w:rsidRPr="00FA0659">
        <w:rPr>
          <w:rFonts w:cstheme="minorHAnsi"/>
          <w:lang w:val="fr-FR"/>
        </w:rPr>
        <w:t xml:space="preserve"> résultat</w:t>
      </w:r>
      <w:r w:rsidR="00A763FD" w:rsidRPr="00FA0659">
        <w:rPr>
          <w:rFonts w:cstheme="minorHAnsi"/>
          <w:lang w:val="fr-FR"/>
        </w:rPr>
        <w:t>s</w:t>
      </w:r>
      <w:r w:rsidR="00B73165" w:rsidRPr="00FA0659">
        <w:rPr>
          <w:rFonts w:cstheme="minorHAnsi"/>
          <w:lang w:val="fr-FR"/>
        </w:rPr>
        <w:t xml:space="preserve"> </w:t>
      </w:r>
      <w:r w:rsidR="00A763FD" w:rsidRPr="00FA0659">
        <w:rPr>
          <w:rFonts w:cstheme="minorHAnsi"/>
          <w:lang w:val="fr-FR"/>
        </w:rPr>
        <w:t xml:space="preserve">sont </w:t>
      </w:r>
      <w:r w:rsidR="00B73165" w:rsidRPr="00FA0659">
        <w:rPr>
          <w:rFonts w:cstheme="minorHAnsi"/>
          <w:lang w:val="fr-FR"/>
        </w:rPr>
        <w:t xml:space="preserve">le fruit des synergies </w:t>
      </w:r>
      <w:r w:rsidR="00A763FD" w:rsidRPr="00FA0659">
        <w:rPr>
          <w:rFonts w:cstheme="minorHAnsi"/>
          <w:lang w:val="fr-FR"/>
        </w:rPr>
        <w:t xml:space="preserve">découlant </w:t>
      </w:r>
      <w:r w:rsidR="00B73165" w:rsidRPr="00FA0659">
        <w:rPr>
          <w:rFonts w:cstheme="minorHAnsi"/>
          <w:lang w:val="fr-FR"/>
        </w:rPr>
        <w:t>de la coordination entre l'équipe d'appui aux projets, la Division de mobilisation des ressources et des partenariats,</w:t>
      </w:r>
      <w:r w:rsidR="00B73165" w:rsidRPr="00FA0659">
        <w:rPr>
          <w:lang w:val="fr-FR"/>
        </w:rPr>
        <w:t xml:space="preserve"> et</w:t>
      </w:r>
      <w:r w:rsidR="00D26CC9" w:rsidRPr="00FA0659">
        <w:rPr>
          <w:lang w:val="fr-FR"/>
        </w:rPr>
        <w:t xml:space="preserve"> </w:t>
      </w:r>
      <w:r w:rsidR="00A763FD" w:rsidRPr="00FA0659">
        <w:rPr>
          <w:lang w:val="fr-FR"/>
        </w:rPr>
        <w:t xml:space="preserve">le </w:t>
      </w:r>
      <w:r w:rsidR="00B73165" w:rsidRPr="00FA0659">
        <w:rPr>
          <w:rFonts w:cstheme="minorHAnsi"/>
          <w:lang w:val="fr-FR"/>
        </w:rPr>
        <w:t>service</w:t>
      </w:r>
      <w:r w:rsidR="00D26CC9" w:rsidRPr="00FA0659">
        <w:rPr>
          <w:rFonts w:cstheme="minorHAnsi"/>
          <w:lang w:val="fr-FR"/>
        </w:rPr>
        <w:t xml:space="preserve"> </w:t>
      </w:r>
      <w:r w:rsidR="00B73165" w:rsidRPr="00FA0659">
        <w:rPr>
          <w:rFonts w:cstheme="minorHAnsi"/>
          <w:lang w:val="fr-FR"/>
        </w:rPr>
        <w:t>des relations avec les membres et</w:t>
      </w:r>
      <w:r w:rsidR="00D26CC9" w:rsidRPr="00FA0659">
        <w:rPr>
          <w:rFonts w:cstheme="minorHAnsi"/>
          <w:lang w:val="fr-FR"/>
        </w:rPr>
        <w:t xml:space="preserve"> </w:t>
      </w:r>
      <w:r w:rsidR="00A763FD" w:rsidRPr="00FA0659">
        <w:rPr>
          <w:rFonts w:cstheme="minorHAnsi"/>
          <w:lang w:val="fr-FR"/>
        </w:rPr>
        <w:t xml:space="preserve">le </w:t>
      </w:r>
      <w:r w:rsidR="00B73165" w:rsidRPr="00FA0659">
        <w:rPr>
          <w:rFonts w:cstheme="minorHAnsi"/>
          <w:lang w:val="fr-FR"/>
        </w:rPr>
        <w:t>secteur privé</w:t>
      </w:r>
      <w:r w:rsidR="00D26CC9" w:rsidRPr="00FA0659">
        <w:rPr>
          <w:rFonts w:cstheme="minorHAnsi"/>
          <w:lang w:val="fr-FR"/>
        </w:rPr>
        <w:t xml:space="preserve"> </w:t>
      </w:r>
      <w:r w:rsidR="00B73165" w:rsidRPr="00FA0659">
        <w:rPr>
          <w:rFonts w:cstheme="minorHAnsi"/>
          <w:lang w:val="fr-FR"/>
        </w:rPr>
        <w:t>du Département des partenariats pour le développement numérique du BDT</w:t>
      </w:r>
      <w:r w:rsidRPr="00FA0659">
        <w:rPr>
          <w:rStyle w:val="FootnoteReference"/>
          <w:rFonts w:cstheme="minorHAnsi"/>
          <w:lang w:val="fr-FR"/>
        </w:rPr>
        <w:footnoteReference w:id="5"/>
      </w:r>
      <w:r w:rsidRPr="00FA0659">
        <w:rPr>
          <w:rFonts w:cstheme="minorHAnsi"/>
          <w:lang w:val="fr-FR"/>
        </w:rPr>
        <w:t>.</w:t>
      </w:r>
    </w:p>
    <w:p w14:paraId="731A5791" w14:textId="5B696246" w:rsidR="00082C75" w:rsidRPr="00FA0659" w:rsidRDefault="00082C75" w:rsidP="00D26CC9">
      <w:pPr>
        <w:pStyle w:val="Figuretitle"/>
        <w:keepNext/>
        <w:spacing w:before="360" w:after="240"/>
        <w:rPr>
          <w:lang w:val="fr-FR"/>
        </w:rPr>
      </w:pPr>
      <w:r w:rsidRPr="00FA0659">
        <w:rPr>
          <w:lang w:val="fr-FR"/>
        </w:rPr>
        <w:lastRenderedPageBreak/>
        <w:t xml:space="preserve">Figure 3 – </w:t>
      </w:r>
      <w:r w:rsidR="00B73165" w:rsidRPr="00FA0659">
        <w:rPr>
          <w:lang w:val="fr-FR"/>
        </w:rPr>
        <w:t>Nouveaux projets signés durant la période</w:t>
      </w:r>
      <w:r w:rsidRPr="00FA0659">
        <w:rPr>
          <w:lang w:val="fr-FR"/>
        </w:rPr>
        <w:t xml:space="preserve"> 2011-2021</w:t>
      </w:r>
    </w:p>
    <w:p w14:paraId="549E4937" w14:textId="77777777" w:rsidR="00082C75" w:rsidRPr="00FA0659" w:rsidRDefault="00082C75" w:rsidP="00593C05">
      <w:pPr>
        <w:pStyle w:val="Figure"/>
      </w:pPr>
      <w:r w:rsidRPr="00FA0659">
        <w:drawing>
          <wp:inline distT="0" distB="0" distL="0" distR="0" wp14:anchorId="12A4BC64" wp14:editId="54DBF955">
            <wp:extent cx="6094436" cy="2747645"/>
            <wp:effectExtent l="0" t="0" r="1905" b="0"/>
            <wp:docPr id="2" name="Chart 2">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6BA06A" w14:textId="77777777" w:rsidR="003C70C1" w:rsidRPr="00FA0659" w:rsidRDefault="00EF0833" w:rsidP="00D26CC9">
      <w:pPr>
        <w:pStyle w:val="Heading1"/>
        <w:rPr>
          <w:lang w:val="fr-FR"/>
        </w:rPr>
      </w:pPr>
      <w:r w:rsidRPr="00FA0659">
        <w:rPr>
          <w:lang w:val="fr-FR"/>
        </w:rPr>
        <w:t>6</w:t>
      </w:r>
      <w:r w:rsidRPr="00FA0659">
        <w:rPr>
          <w:lang w:val="fr-FR"/>
        </w:rPr>
        <w:tab/>
      </w:r>
      <w:r w:rsidR="003C70C1" w:rsidRPr="00FA0659">
        <w:rPr>
          <w:lang w:val="fr-FR"/>
        </w:rPr>
        <w:t>Conclusions</w:t>
      </w:r>
      <w:bookmarkEnd w:id="46"/>
    </w:p>
    <w:p w14:paraId="56F5EFC1" w14:textId="56481526" w:rsidR="00EF0833" w:rsidRPr="00FA0659" w:rsidRDefault="00797993" w:rsidP="00D26CC9">
      <w:pPr>
        <w:spacing w:after="120"/>
        <w:rPr>
          <w:lang w:val="fr-FR"/>
        </w:rPr>
      </w:pPr>
      <w:r w:rsidRPr="00FA0659">
        <w:rPr>
          <w:lang w:val="fr-FR"/>
        </w:rPr>
        <w:t>Les responsables de projet, aussi bien sur le terrain qu'au siège, tirent parti des travaux actuellement menés par le Département des partenariats pour le développement numérique en ce qui concerne l'augmentation constante du nombre d</w:t>
      </w:r>
      <w:r w:rsidR="003B7AA1" w:rsidRPr="00FA0659">
        <w:rPr>
          <w:lang w:val="fr-FR"/>
        </w:rPr>
        <w:t>e</w:t>
      </w:r>
      <w:r w:rsidRPr="00FA0659">
        <w:rPr>
          <w:lang w:val="fr-FR"/>
        </w:rPr>
        <w:t xml:space="preserve"> membres </w:t>
      </w:r>
      <w:r w:rsidR="003B7AA1" w:rsidRPr="00FA0659">
        <w:rPr>
          <w:lang w:val="fr-FR"/>
        </w:rPr>
        <w:t xml:space="preserve">issus </w:t>
      </w:r>
      <w:r w:rsidRPr="00FA0659">
        <w:rPr>
          <w:lang w:val="fr-FR"/>
        </w:rPr>
        <w:t xml:space="preserve">du secteur privé, les partenariats et la mobilisation de ressources et l'adoption et la mise en </w:t>
      </w:r>
      <w:r w:rsidR="003B7AA1" w:rsidRPr="00FA0659">
        <w:rPr>
          <w:lang w:val="fr-FR"/>
        </w:rPr>
        <w:t>œuvre</w:t>
      </w:r>
      <w:r w:rsidRPr="00FA0659">
        <w:rPr>
          <w:lang w:val="fr-FR"/>
        </w:rPr>
        <w:t xml:space="preserve"> efficace de projets utiles, et contribuent à ces travaux</w:t>
      </w:r>
      <w:r w:rsidR="00EF0833" w:rsidRPr="00FA0659">
        <w:rPr>
          <w:lang w:val="fr-FR"/>
        </w:rPr>
        <w:t>.</w:t>
      </w:r>
    </w:p>
    <w:p w14:paraId="33FB9282" w14:textId="210B0092" w:rsidR="003C70C1" w:rsidRPr="00FA0659" w:rsidRDefault="00EF0833" w:rsidP="00012F40">
      <w:pPr>
        <w:rPr>
          <w:lang w:val="fr-FR"/>
        </w:rPr>
      </w:pPr>
      <w:r w:rsidRPr="00FA0659">
        <w:rPr>
          <w:lang w:val="fr-FR"/>
        </w:rPr>
        <w:t xml:space="preserve">Pour en savoir plus sur les projets mis en œuvre par le BDT, veuillez consulter: </w:t>
      </w:r>
      <w:r w:rsidRPr="00FA0659">
        <w:rPr>
          <w:lang w:val="fr-FR"/>
        </w:rPr>
        <w:br/>
      </w:r>
      <w:hyperlink r:id="rId13" w:history="1">
        <w:r w:rsidRPr="00FA0659">
          <w:rPr>
            <w:rStyle w:val="Hyperlink"/>
            <w:rFonts w:cstheme="minorHAnsi"/>
            <w:lang w:val="fr-FR"/>
          </w:rPr>
          <w:t>http://www.itu.int/en/ITU-D/Projects/</w:t>
        </w:r>
      </w:hyperlink>
      <w:r w:rsidR="00E32653" w:rsidRPr="00FA0659">
        <w:rPr>
          <w:lang w:val="fr-FR"/>
        </w:rPr>
        <w:t>.</w:t>
      </w:r>
    </w:p>
    <w:p w14:paraId="5530656F" w14:textId="77777777" w:rsidR="003C70C1" w:rsidRPr="00FA0659" w:rsidRDefault="003C70C1" w:rsidP="00E32653">
      <w:pPr>
        <w:spacing w:before="360"/>
        <w:jc w:val="center"/>
        <w:rPr>
          <w:lang w:val="fr-FR"/>
        </w:rPr>
      </w:pPr>
      <w:r w:rsidRPr="00FA0659">
        <w:rPr>
          <w:lang w:val="fr-FR"/>
        </w:rPr>
        <w:t>______________</w:t>
      </w:r>
    </w:p>
    <w:sectPr w:rsidR="003C70C1" w:rsidRPr="00FA0659"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DEE1B" w14:textId="77777777" w:rsidR="00D64F90" w:rsidRDefault="00D64F90">
      <w:r>
        <w:separator/>
      </w:r>
    </w:p>
  </w:endnote>
  <w:endnote w:type="continuationSeparator" w:id="0">
    <w:p w14:paraId="03834FDF" w14:textId="77777777" w:rsidR="00D64F90" w:rsidRDefault="00D6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E6A8" w14:textId="62BEA16F" w:rsidR="00D24347" w:rsidRDefault="00C05EE2" w:rsidP="003C70C1">
    <w:pPr>
      <w:pStyle w:val="Footer"/>
    </w:pPr>
    <w:r>
      <w:fldChar w:fldCharType="begin"/>
    </w:r>
    <w:r>
      <w:instrText xml:space="preserve"> FILENAME \p  \* MERGEFORMAT </w:instrText>
    </w:r>
    <w:r>
      <w:fldChar w:fldCharType="separate"/>
    </w:r>
    <w:r w:rsidR="00FA0659">
      <w:t>P:\FRA\ITU-D\CONF-D\TDAG21\TDAG21-29\000\007F.docx</w:t>
    </w:r>
    <w:r>
      <w:fldChar w:fldCharType="end"/>
    </w:r>
    <w:r w:rsidR="003C70C1">
      <w:t xml:space="preserve"> (494509</w:t>
    </w:r>
    <w:r w:rsidR="00D2434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3C70C1" w:rsidRPr="00D26CC9" w14:paraId="0145FE74" w14:textId="77777777" w:rsidTr="004E3CF5">
      <w:tc>
        <w:tcPr>
          <w:tcW w:w="1526" w:type="dxa"/>
          <w:tcBorders>
            <w:top w:val="single" w:sz="4" w:space="0" w:color="000000"/>
          </w:tcBorders>
          <w:shd w:val="clear" w:color="auto" w:fill="auto"/>
        </w:tcPr>
        <w:p w14:paraId="2243C271" w14:textId="77777777" w:rsidR="003C70C1" w:rsidRPr="004D495C" w:rsidRDefault="003C70C1" w:rsidP="003C70C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C871D81" w14:textId="77777777" w:rsidR="003C70C1" w:rsidRPr="004D495C" w:rsidRDefault="003C70C1" w:rsidP="003C70C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0683970A" w14:textId="09C1C915" w:rsidR="003C70C1" w:rsidRDefault="003C70C1" w:rsidP="003C70C1">
          <w:pPr>
            <w:pStyle w:val="FirstFooter"/>
            <w:tabs>
              <w:tab w:val="left" w:pos="2302"/>
            </w:tabs>
            <w:rPr>
              <w:sz w:val="18"/>
              <w:szCs w:val="18"/>
              <w:lang w:eastAsia="zh-CN"/>
            </w:rPr>
          </w:pPr>
          <w:r>
            <w:rPr>
              <w:sz w:val="18"/>
              <w:szCs w:val="18"/>
              <w:lang w:eastAsia="zh-CN"/>
            </w:rPr>
            <w:t xml:space="preserve">M. Cosmas Zavazava, </w:t>
          </w:r>
          <w:r w:rsidR="00D26CC9" w:rsidRPr="00D26CC9">
            <w:rPr>
              <w:sz w:val="18"/>
              <w:szCs w:val="18"/>
              <w:lang w:val="fr-CH" w:eastAsia="zh-CN"/>
            </w:rPr>
            <w:t>Chef du Département des partenariats</w:t>
          </w:r>
          <w:r w:rsidR="00D26CC9" w:rsidRPr="00D26CC9">
            <w:rPr>
              <w:sz w:val="18"/>
              <w:szCs w:val="18"/>
              <w:lang w:eastAsia="zh-CN"/>
            </w:rPr>
            <w:t xml:space="preserve"> </w:t>
          </w:r>
          <w:r>
            <w:rPr>
              <w:sz w:val="18"/>
              <w:szCs w:val="18"/>
              <w:lang w:eastAsia="zh-CN"/>
            </w:rPr>
            <w:t>pour le développement numérique, Bureau de développement des télécommunications</w:t>
          </w:r>
        </w:p>
      </w:tc>
      <w:bookmarkStart w:id="47" w:name="OrgName"/>
      <w:bookmarkEnd w:id="47"/>
    </w:tr>
    <w:tr w:rsidR="003C70C1" w:rsidRPr="004D495C" w14:paraId="641DEF85" w14:textId="77777777" w:rsidTr="004E3CF5">
      <w:tc>
        <w:tcPr>
          <w:tcW w:w="1526" w:type="dxa"/>
          <w:shd w:val="clear" w:color="auto" w:fill="auto"/>
        </w:tcPr>
        <w:p w14:paraId="753F54DF" w14:textId="77777777" w:rsidR="003C70C1" w:rsidRPr="003C70C1" w:rsidRDefault="003C70C1" w:rsidP="003C70C1">
          <w:pPr>
            <w:pStyle w:val="FirstFooter"/>
            <w:tabs>
              <w:tab w:val="left" w:pos="1559"/>
              <w:tab w:val="left" w:pos="3828"/>
            </w:tabs>
            <w:rPr>
              <w:sz w:val="20"/>
            </w:rPr>
          </w:pPr>
        </w:p>
      </w:tc>
      <w:tc>
        <w:tcPr>
          <w:tcW w:w="2410" w:type="dxa"/>
          <w:shd w:val="clear" w:color="auto" w:fill="auto"/>
        </w:tcPr>
        <w:p w14:paraId="19A7D9B7" w14:textId="77777777" w:rsidR="003C70C1" w:rsidRPr="004D495C" w:rsidRDefault="003C70C1" w:rsidP="003C70C1">
          <w:pPr>
            <w:pStyle w:val="FirstFooter"/>
            <w:tabs>
              <w:tab w:val="left" w:pos="2302"/>
            </w:tabs>
            <w:rPr>
              <w:sz w:val="18"/>
              <w:szCs w:val="18"/>
              <w:lang w:val="en-US"/>
            </w:rPr>
          </w:pPr>
          <w:r w:rsidRPr="009D3681">
            <w:rPr>
              <w:sz w:val="18"/>
              <w:szCs w:val="18"/>
            </w:rPr>
            <w:t>Numéro de téléphone:</w:t>
          </w:r>
        </w:p>
      </w:tc>
      <w:tc>
        <w:tcPr>
          <w:tcW w:w="5987" w:type="dxa"/>
        </w:tcPr>
        <w:p w14:paraId="5757F34F" w14:textId="77777777" w:rsidR="003C70C1" w:rsidRDefault="003C70C1" w:rsidP="003C70C1">
          <w:pPr>
            <w:pStyle w:val="FirstFooter"/>
            <w:tabs>
              <w:tab w:val="left" w:pos="2302"/>
            </w:tabs>
            <w:rPr>
              <w:sz w:val="18"/>
              <w:szCs w:val="18"/>
              <w:lang w:val="en-US" w:eastAsia="zh-CN"/>
            </w:rPr>
          </w:pPr>
          <w:r>
            <w:rPr>
              <w:sz w:val="18"/>
              <w:szCs w:val="18"/>
              <w:lang w:val="en-US" w:eastAsia="zh-CN"/>
            </w:rPr>
            <w:t>+41 22 730 5447</w:t>
          </w:r>
        </w:p>
      </w:tc>
      <w:bookmarkStart w:id="48" w:name="PhoneNo"/>
      <w:bookmarkEnd w:id="48"/>
    </w:tr>
    <w:tr w:rsidR="003C70C1" w:rsidRPr="004D495C" w14:paraId="4C6FA79F" w14:textId="77777777" w:rsidTr="004E3CF5">
      <w:tc>
        <w:tcPr>
          <w:tcW w:w="1526" w:type="dxa"/>
          <w:shd w:val="clear" w:color="auto" w:fill="auto"/>
        </w:tcPr>
        <w:p w14:paraId="6B7AA8A4" w14:textId="77777777" w:rsidR="003C70C1" w:rsidRPr="004D495C" w:rsidRDefault="003C70C1" w:rsidP="003C70C1">
          <w:pPr>
            <w:pStyle w:val="FirstFooter"/>
            <w:tabs>
              <w:tab w:val="left" w:pos="1559"/>
              <w:tab w:val="left" w:pos="3828"/>
            </w:tabs>
            <w:rPr>
              <w:sz w:val="20"/>
              <w:lang w:val="en-US"/>
            </w:rPr>
          </w:pPr>
        </w:p>
      </w:tc>
      <w:tc>
        <w:tcPr>
          <w:tcW w:w="2410" w:type="dxa"/>
          <w:shd w:val="clear" w:color="auto" w:fill="auto"/>
        </w:tcPr>
        <w:p w14:paraId="5BA487EC" w14:textId="77777777" w:rsidR="003C70C1" w:rsidRPr="004D495C" w:rsidRDefault="003C70C1" w:rsidP="003C70C1">
          <w:pPr>
            <w:pStyle w:val="FirstFooter"/>
            <w:tabs>
              <w:tab w:val="left" w:pos="2302"/>
            </w:tabs>
            <w:rPr>
              <w:sz w:val="18"/>
              <w:szCs w:val="18"/>
              <w:lang w:val="en-US"/>
            </w:rPr>
          </w:pPr>
          <w:r w:rsidRPr="009D3681">
            <w:rPr>
              <w:sz w:val="18"/>
              <w:szCs w:val="18"/>
            </w:rPr>
            <w:t>Courriel:</w:t>
          </w:r>
        </w:p>
      </w:tc>
      <w:tc>
        <w:tcPr>
          <w:tcW w:w="5987" w:type="dxa"/>
        </w:tcPr>
        <w:p w14:paraId="51FF5BC0" w14:textId="593AA368" w:rsidR="003C70C1" w:rsidRDefault="00C05EE2" w:rsidP="003C70C1">
          <w:pPr>
            <w:pStyle w:val="FirstFooter"/>
            <w:tabs>
              <w:tab w:val="left" w:pos="2302"/>
            </w:tabs>
            <w:rPr>
              <w:sz w:val="18"/>
              <w:szCs w:val="18"/>
              <w:lang w:val="en-US" w:eastAsia="zh-CN"/>
            </w:rPr>
          </w:pPr>
          <w:hyperlink r:id="rId1" w:history="1">
            <w:r w:rsidR="003C70C1">
              <w:rPr>
                <w:rStyle w:val="Hyperlink"/>
                <w:sz w:val="18"/>
                <w:szCs w:val="18"/>
                <w:lang w:eastAsia="zh-CN"/>
              </w:rPr>
              <w:t>cosmas.zavazava@itu.int</w:t>
            </w:r>
          </w:hyperlink>
        </w:p>
      </w:tc>
      <w:bookmarkStart w:id="49" w:name="Email"/>
      <w:bookmarkEnd w:id="49"/>
    </w:tr>
  </w:tbl>
  <w:p w14:paraId="727E548D" w14:textId="77777777" w:rsidR="00721657" w:rsidRPr="0059420B" w:rsidRDefault="00C05EE2" w:rsidP="00593C05">
    <w:pPr>
      <w:pStyle w:val="Footer"/>
      <w:spacing w:before="24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82A04" w14:textId="77777777" w:rsidR="00D64F90" w:rsidRDefault="00D64F90">
      <w:r>
        <w:t>____________________</w:t>
      </w:r>
    </w:p>
  </w:footnote>
  <w:footnote w:type="continuationSeparator" w:id="0">
    <w:p w14:paraId="563EEBBD" w14:textId="77777777" w:rsidR="00D64F90" w:rsidRDefault="00D64F90">
      <w:r>
        <w:continuationSeparator/>
      </w:r>
    </w:p>
  </w:footnote>
  <w:footnote w:id="1">
    <w:p w14:paraId="54B25BBC" w14:textId="325D7F19" w:rsidR="003C70C1" w:rsidRPr="00E447FB" w:rsidRDefault="003C70C1" w:rsidP="00E32653">
      <w:pPr>
        <w:pStyle w:val="FootnoteText"/>
        <w:tabs>
          <w:tab w:val="clear" w:pos="794"/>
        </w:tabs>
        <w:spacing w:before="0"/>
        <w:ind w:left="284" w:hanging="284"/>
        <w:rPr>
          <w:sz w:val="18"/>
          <w:szCs w:val="18"/>
          <w:lang w:val="fr-FR"/>
        </w:rPr>
      </w:pPr>
      <w:r w:rsidRPr="00E447FB">
        <w:rPr>
          <w:rStyle w:val="FootnoteReference"/>
          <w:szCs w:val="18"/>
        </w:rPr>
        <w:footnoteRef/>
      </w:r>
      <w:r w:rsidRPr="00E447FB">
        <w:rPr>
          <w:sz w:val="18"/>
          <w:szCs w:val="18"/>
          <w:lang w:val="fr-FR"/>
        </w:rPr>
        <w:tab/>
      </w:r>
      <w:r w:rsidR="00E447FB" w:rsidRPr="00D26CC9">
        <w:rPr>
          <w:lang w:val="fr-FR"/>
        </w:rPr>
        <w:t>Un aperçu du portefeuille de projets de l'UIT est disponible à l'adresse</w:t>
      </w:r>
      <w:r w:rsidRPr="00D26CC9">
        <w:rPr>
          <w:lang w:val="fr-FR"/>
        </w:rPr>
        <w:t xml:space="preserve"> </w:t>
      </w:r>
      <w:hyperlink r:id="rId1" w:history="1">
        <w:r w:rsidR="00EF0833" w:rsidRPr="00D26CC9">
          <w:rPr>
            <w:rStyle w:val="Hyperlink"/>
            <w:lang w:val="fr-FR"/>
          </w:rPr>
          <w:t>www.itu.int/en/ITU-D/Projects/</w:t>
        </w:r>
      </w:hyperlink>
      <w:r w:rsidR="00EF0833" w:rsidRPr="00D26CC9">
        <w:rPr>
          <w:lang w:val="fr-FR"/>
        </w:rPr>
        <w:t>.</w:t>
      </w:r>
    </w:p>
  </w:footnote>
  <w:footnote w:id="2">
    <w:p w14:paraId="59760C5E" w14:textId="77777777" w:rsidR="003C70C1" w:rsidRDefault="003C70C1" w:rsidP="00E32653">
      <w:pPr>
        <w:pStyle w:val="FootnoteText"/>
        <w:tabs>
          <w:tab w:val="clear" w:pos="255"/>
          <w:tab w:val="clear" w:pos="794"/>
          <w:tab w:val="left" w:pos="284"/>
        </w:tabs>
        <w:spacing w:before="0"/>
        <w:ind w:left="284" w:hanging="284"/>
        <w:rPr>
          <w:i/>
          <w:iCs/>
          <w:sz w:val="22"/>
          <w:szCs w:val="22"/>
          <w:lang w:val="fr-FR"/>
        </w:rPr>
      </w:pPr>
      <w:r w:rsidRPr="00F80A53">
        <w:rPr>
          <w:rStyle w:val="FootnoteReference"/>
          <w:iCs/>
          <w:szCs w:val="18"/>
        </w:rPr>
        <w:footnoteRef/>
      </w:r>
      <w:bookmarkStart w:id="36" w:name="lt_pId189"/>
      <w:r>
        <w:rPr>
          <w:i/>
          <w:iCs/>
          <w:sz w:val="20"/>
          <w:lang w:val="fr-FR"/>
        </w:rPr>
        <w:tab/>
      </w:r>
      <w:r w:rsidRPr="00E32653">
        <w:t xml:space="preserve">On trouvera des informations supplémentaires sur le Fonds FDTIC dans le Document C21/034, disponible à l'adresse </w:t>
      </w:r>
      <w:hyperlink r:id="rId2" w:history="1">
        <w:r w:rsidRPr="00E32653">
          <w:rPr>
            <w:rStyle w:val="Hyperlink"/>
          </w:rPr>
          <w:t>https:</w:t>
        </w:r>
      </w:hyperlink>
      <w:bookmarkEnd w:id="36"/>
      <w:r w:rsidRPr="00E32653">
        <w:rPr>
          <w:rStyle w:val="Hyperlink"/>
        </w:rPr>
        <w:fldChar w:fldCharType="begin"/>
      </w:r>
      <w:r w:rsidRPr="00E32653">
        <w:rPr>
          <w:rStyle w:val="Hyperlink"/>
        </w:rPr>
        <w:instrText xml:space="preserve"> HYPERLINK "https://www.itu.int/md/S21-CL-C-0034/en" </w:instrText>
      </w:r>
      <w:r w:rsidRPr="00E32653">
        <w:rPr>
          <w:rStyle w:val="Hyperlink"/>
        </w:rPr>
        <w:fldChar w:fldCharType="separate"/>
      </w:r>
      <w:bookmarkStart w:id="37" w:name="lt_pId190"/>
      <w:r w:rsidRPr="00E32653">
        <w:rPr>
          <w:rStyle w:val="Hyperlink"/>
        </w:rPr>
        <w:t>//www.itu.int/md/S21-CL-C-0034/en</w:t>
      </w:r>
      <w:bookmarkEnd w:id="37"/>
      <w:r w:rsidRPr="00E32653">
        <w:rPr>
          <w:rStyle w:val="Hyperlink"/>
        </w:rPr>
        <w:fldChar w:fldCharType="end"/>
      </w:r>
      <w:r w:rsidRPr="00E32653">
        <w:t>.</w:t>
      </w:r>
    </w:p>
  </w:footnote>
  <w:footnote w:id="3">
    <w:p w14:paraId="20C56085" w14:textId="77777777" w:rsidR="003C70C1" w:rsidRPr="00F80A53" w:rsidRDefault="003C70C1" w:rsidP="00E32653">
      <w:pPr>
        <w:pStyle w:val="FootnoteText"/>
        <w:tabs>
          <w:tab w:val="clear" w:pos="255"/>
          <w:tab w:val="clear" w:pos="794"/>
          <w:tab w:val="left" w:pos="284"/>
        </w:tabs>
        <w:spacing w:before="0"/>
        <w:ind w:left="284" w:hanging="284"/>
        <w:rPr>
          <w:rFonts w:cstheme="minorHAnsi"/>
          <w:iCs/>
          <w:sz w:val="20"/>
          <w:lang w:val="fr-FR"/>
        </w:rPr>
      </w:pPr>
      <w:r w:rsidRPr="00F80A53">
        <w:rPr>
          <w:rStyle w:val="FootnoteReference"/>
        </w:rPr>
        <w:footnoteRef/>
      </w:r>
      <w:bookmarkStart w:id="38" w:name="lt_pId191"/>
      <w:r>
        <w:rPr>
          <w:rFonts w:cstheme="minorHAnsi"/>
          <w:i/>
          <w:iCs/>
          <w:sz w:val="20"/>
          <w:lang w:val="fr-FR"/>
        </w:rPr>
        <w:tab/>
      </w:r>
      <w:r w:rsidRPr="00E32653">
        <w:t>Les ressources prévues dans le Plan opérationnel incluent les fonds alloués par le Conseil pour la mise en œuvre des initiatives régionales approuvées à la CMDT-17</w:t>
      </w:r>
      <w:r w:rsidR="00F80A53" w:rsidRPr="00E32653">
        <w:t xml:space="preserve"> (5 000 000 CHF)</w:t>
      </w:r>
      <w:r w:rsidRPr="00E32653">
        <w:t>.</w:t>
      </w:r>
      <w:bookmarkEnd w:id="38"/>
    </w:p>
  </w:footnote>
  <w:footnote w:id="4">
    <w:p w14:paraId="4F149725" w14:textId="6FCCEA22" w:rsidR="00F80A53" w:rsidRPr="003B7AA1" w:rsidRDefault="00F80A53" w:rsidP="00E32653">
      <w:pPr>
        <w:pStyle w:val="FootnoteText"/>
        <w:tabs>
          <w:tab w:val="clear" w:pos="255"/>
          <w:tab w:val="clear" w:pos="794"/>
          <w:tab w:val="left" w:pos="270"/>
        </w:tabs>
        <w:spacing w:before="0"/>
        <w:ind w:left="284" w:hanging="284"/>
        <w:rPr>
          <w:rFonts w:cstheme="minorHAnsi"/>
          <w:sz w:val="18"/>
          <w:szCs w:val="18"/>
          <w:lang w:val="fr-FR"/>
        </w:rPr>
      </w:pPr>
      <w:r w:rsidRPr="00382EF6">
        <w:rPr>
          <w:rStyle w:val="FootnoteReference"/>
          <w:rFonts w:cstheme="minorHAnsi"/>
          <w:szCs w:val="18"/>
        </w:rPr>
        <w:footnoteRef/>
      </w:r>
      <w:r w:rsidRPr="003B7AA1">
        <w:rPr>
          <w:rFonts w:cstheme="minorHAnsi"/>
          <w:sz w:val="18"/>
          <w:szCs w:val="18"/>
          <w:lang w:val="fr-FR"/>
        </w:rPr>
        <w:tab/>
      </w:r>
      <w:r w:rsidR="003B7AA1" w:rsidRPr="00FA0659">
        <w:t>À sa session de 2018, le Conseil de l'UIT a alloué un montant de 5 millions CHF pour la création de projets liés à la mise en œuvre des initiatives régionales définies par la CMDT-17</w:t>
      </w:r>
      <w:r w:rsidRPr="00FA0659">
        <w:t>.</w:t>
      </w:r>
    </w:p>
  </w:footnote>
  <w:footnote w:id="5">
    <w:p w14:paraId="63F7558F" w14:textId="77777777" w:rsidR="00082C75" w:rsidRPr="00EF0833" w:rsidRDefault="00082C75" w:rsidP="00E32653">
      <w:pPr>
        <w:pStyle w:val="FootnoteText"/>
        <w:tabs>
          <w:tab w:val="clear" w:pos="255"/>
          <w:tab w:val="clear" w:pos="794"/>
          <w:tab w:val="left" w:pos="90"/>
          <w:tab w:val="left" w:pos="284"/>
        </w:tabs>
        <w:spacing w:before="0"/>
        <w:ind w:left="284" w:hanging="284"/>
        <w:rPr>
          <w:rFonts w:cstheme="minorHAnsi"/>
          <w:sz w:val="18"/>
          <w:szCs w:val="18"/>
          <w:lang w:val="fr-FR"/>
        </w:rPr>
      </w:pPr>
      <w:r w:rsidRPr="00382EF6">
        <w:rPr>
          <w:rStyle w:val="FootnoteReference"/>
          <w:szCs w:val="18"/>
        </w:rPr>
        <w:footnoteRef/>
      </w:r>
      <w:r w:rsidR="00EF0833" w:rsidRPr="00EF0833">
        <w:rPr>
          <w:sz w:val="18"/>
          <w:szCs w:val="18"/>
          <w:lang w:val="fr-FR"/>
        </w:rPr>
        <w:tab/>
      </w:r>
      <w:r w:rsidR="00EF0833" w:rsidRPr="00E32653">
        <w:t>De plus amples informations sur les partenariats et la mobilisation des ressources à l'UIT-D sont disponibles dans les Documents TDAG-21/7-E et INF/2, ainsi que dans le Document 12 du GCDT-21 (Membres du Secteur UIT-D, Associés et établissements universitaires participant aux travaux de l'UIT-D).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3C93" w14:textId="77777777" w:rsidR="00721657" w:rsidRPr="00A525CC" w:rsidRDefault="00A525CC"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D24347">
      <w:rPr>
        <w:sz w:val="22"/>
        <w:szCs w:val="22"/>
        <w:lang w:val="de-CH"/>
      </w:rPr>
      <w:t>2/</w:t>
    </w:r>
    <w:r w:rsidR="003C70C1">
      <w:rPr>
        <w:sz w:val="22"/>
        <w:szCs w:val="22"/>
        <w:lang w:val="de-CH"/>
      </w:rPr>
      <w:t>7</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953A3">
      <w:rPr>
        <w:noProof/>
        <w:sz w:val="22"/>
        <w:szCs w:val="22"/>
        <w:lang w:val="de-CH"/>
      </w:rPr>
      <w:t>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4621A87"/>
    <w:multiLevelType w:val="multilevel"/>
    <w:tmpl w:val="C1C09508"/>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76057924"/>
    <w:multiLevelType w:val="hybridMultilevel"/>
    <w:tmpl w:val="B3CAB86E"/>
    <w:lvl w:ilvl="0" w:tplc="D8360F84">
      <w:start w:val="1"/>
      <w:numFmt w:val="bullet"/>
      <w:lvlText w:val=""/>
      <w:lvlJc w:val="left"/>
      <w:pPr>
        <w:ind w:left="-100" w:hanging="360"/>
      </w:pPr>
      <w:rPr>
        <w:rFonts w:ascii="Symbol" w:hAnsi="Symbol" w:hint="default"/>
      </w:rPr>
    </w:lvl>
    <w:lvl w:ilvl="1" w:tplc="A2AC29CE">
      <w:start w:val="1"/>
      <w:numFmt w:val="bullet"/>
      <w:lvlText w:val="o"/>
      <w:lvlJc w:val="left"/>
      <w:pPr>
        <w:ind w:left="620" w:hanging="360"/>
      </w:pPr>
      <w:rPr>
        <w:rFonts w:ascii="Courier New" w:hAnsi="Courier New" w:cs="Courier New" w:hint="default"/>
      </w:rPr>
    </w:lvl>
    <w:lvl w:ilvl="2" w:tplc="1C0A1506">
      <w:start w:val="1"/>
      <w:numFmt w:val="bullet"/>
      <w:lvlText w:val=""/>
      <w:lvlJc w:val="left"/>
      <w:pPr>
        <w:ind w:left="1340" w:hanging="360"/>
      </w:pPr>
      <w:rPr>
        <w:rFonts w:ascii="Wingdings" w:hAnsi="Wingdings" w:hint="default"/>
      </w:rPr>
    </w:lvl>
    <w:lvl w:ilvl="3" w:tplc="F6023192">
      <w:start w:val="1"/>
      <w:numFmt w:val="bullet"/>
      <w:lvlText w:val=""/>
      <w:lvlJc w:val="left"/>
      <w:pPr>
        <w:ind w:left="2060" w:hanging="360"/>
      </w:pPr>
      <w:rPr>
        <w:rFonts w:ascii="Symbol" w:hAnsi="Symbol" w:hint="default"/>
      </w:rPr>
    </w:lvl>
    <w:lvl w:ilvl="4" w:tplc="FE908222">
      <w:start w:val="1"/>
      <w:numFmt w:val="bullet"/>
      <w:lvlText w:val="o"/>
      <w:lvlJc w:val="left"/>
      <w:pPr>
        <w:ind w:left="2780" w:hanging="360"/>
      </w:pPr>
      <w:rPr>
        <w:rFonts w:ascii="Courier New" w:hAnsi="Courier New" w:cs="Courier New" w:hint="default"/>
      </w:rPr>
    </w:lvl>
    <w:lvl w:ilvl="5" w:tplc="E7761DB4">
      <w:start w:val="1"/>
      <w:numFmt w:val="bullet"/>
      <w:lvlText w:val=""/>
      <w:lvlJc w:val="left"/>
      <w:pPr>
        <w:ind w:left="3500" w:hanging="360"/>
      </w:pPr>
      <w:rPr>
        <w:rFonts w:ascii="Wingdings" w:hAnsi="Wingdings" w:hint="default"/>
      </w:rPr>
    </w:lvl>
    <w:lvl w:ilvl="6" w:tplc="07E675EE">
      <w:start w:val="1"/>
      <w:numFmt w:val="bullet"/>
      <w:lvlText w:val=""/>
      <w:lvlJc w:val="left"/>
      <w:pPr>
        <w:ind w:left="4220" w:hanging="360"/>
      </w:pPr>
      <w:rPr>
        <w:rFonts w:ascii="Symbol" w:hAnsi="Symbol" w:hint="default"/>
      </w:rPr>
    </w:lvl>
    <w:lvl w:ilvl="7" w:tplc="98A47618">
      <w:start w:val="1"/>
      <w:numFmt w:val="bullet"/>
      <w:lvlText w:val="o"/>
      <w:lvlJc w:val="left"/>
      <w:pPr>
        <w:ind w:left="4940" w:hanging="360"/>
      </w:pPr>
      <w:rPr>
        <w:rFonts w:ascii="Courier New" w:hAnsi="Courier New" w:cs="Courier New" w:hint="default"/>
      </w:rPr>
    </w:lvl>
    <w:lvl w:ilvl="8" w:tplc="F7C4D638">
      <w:start w:val="1"/>
      <w:numFmt w:val="bullet"/>
      <w:lvlText w:val=""/>
      <w:lvlJc w:val="left"/>
      <w:pPr>
        <w:ind w:left="56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8C2AB3-7169-4988-964E-15CCF4449F83}"/>
    <w:docVar w:name="dgnword-eventsink" w:val="2180893102640"/>
  </w:docVars>
  <w:rsids>
    <w:rsidRoot w:val="00C63CFE"/>
    <w:rsid w:val="00002716"/>
    <w:rsid w:val="00005791"/>
    <w:rsid w:val="00010827"/>
    <w:rsid w:val="00012F40"/>
    <w:rsid w:val="00015089"/>
    <w:rsid w:val="0002520B"/>
    <w:rsid w:val="00037A9E"/>
    <w:rsid w:val="00037F91"/>
    <w:rsid w:val="000422FA"/>
    <w:rsid w:val="000534C9"/>
    <w:rsid w:val="000539F1"/>
    <w:rsid w:val="00054747"/>
    <w:rsid w:val="00055A2A"/>
    <w:rsid w:val="000615C1"/>
    <w:rsid w:val="00061675"/>
    <w:rsid w:val="000743AA"/>
    <w:rsid w:val="00082C75"/>
    <w:rsid w:val="0009076F"/>
    <w:rsid w:val="0009225C"/>
    <w:rsid w:val="000A17C4"/>
    <w:rsid w:val="000A36A4"/>
    <w:rsid w:val="000B2352"/>
    <w:rsid w:val="000B5AA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0EF4"/>
    <w:rsid w:val="00163091"/>
    <w:rsid w:val="001645CB"/>
    <w:rsid w:val="00166305"/>
    <w:rsid w:val="00167545"/>
    <w:rsid w:val="001703C6"/>
    <w:rsid w:val="001709E8"/>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E5592"/>
    <w:rsid w:val="001F23E6"/>
    <w:rsid w:val="001F4238"/>
    <w:rsid w:val="00200A38"/>
    <w:rsid w:val="00200A46"/>
    <w:rsid w:val="00205FFB"/>
    <w:rsid w:val="00211B6F"/>
    <w:rsid w:val="00217CC3"/>
    <w:rsid w:val="00220AB6"/>
    <w:rsid w:val="0022120F"/>
    <w:rsid w:val="0022754A"/>
    <w:rsid w:val="00232A36"/>
    <w:rsid w:val="00236560"/>
    <w:rsid w:val="0023662E"/>
    <w:rsid w:val="00245D0F"/>
    <w:rsid w:val="002548C3"/>
    <w:rsid w:val="00257ACD"/>
    <w:rsid w:val="00262908"/>
    <w:rsid w:val="002650F4"/>
    <w:rsid w:val="002715FD"/>
    <w:rsid w:val="002770B1"/>
    <w:rsid w:val="00285B33"/>
    <w:rsid w:val="00287A3C"/>
    <w:rsid w:val="00292440"/>
    <w:rsid w:val="002A2FC6"/>
    <w:rsid w:val="002B5E8C"/>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50E1"/>
    <w:rsid w:val="003B7AA1"/>
    <w:rsid w:val="003C1746"/>
    <w:rsid w:val="003C2AA9"/>
    <w:rsid w:val="003C58BF"/>
    <w:rsid w:val="003C70C1"/>
    <w:rsid w:val="003D451D"/>
    <w:rsid w:val="003F2DD8"/>
    <w:rsid w:val="003F3F2D"/>
    <w:rsid w:val="003F50B2"/>
    <w:rsid w:val="003F6E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3106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3C05"/>
    <w:rsid w:val="0059420B"/>
    <w:rsid w:val="00594C4D"/>
    <w:rsid w:val="005A33B0"/>
    <w:rsid w:val="005C2DC2"/>
    <w:rsid w:val="005C304A"/>
    <w:rsid w:val="005C3D69"/>
    <w:rsid w:val="005C7C98"/>
    <w:rsid w:val="005D2C3A"/>
    <w:rsid w:val="005D55A4"/>
    <w:rsid w:val="005D57C8"/>
    <w:rsid w:val="005D7761"/>
    <w:rsid w:val="005E0278"/>
    <w:rsid w:val="005E090D"/>
    <w:rsid w:val="005E12EA"/>
    <w:rsid w:val="005E3CA0"/>
    <w:rsid w:val="005E44B1"/>
    <w:rsid w:val="005E67B0"/>
    <w:rsid w:val="005E7047"/>
    <w:rsid w:val="005E777F"/>
    <w:rsid w:val="005F1CA7"/>
    <w:rsid w:val="005F43DD"/>
    <w:rsid w:val="005F51A9"/>
    <w:rsid w:val="005F6BE1"/>
    <w:rsid w:val="005F7416"/>
    <w:rsid w:val="00600C11"/>
    <w:rsid w:val="00601C1D"/>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0F33"/>
    <w:rsid w:val="006B1E59"/>
    <w:rsid w:val="006B2FFB"/>
    <w:rsid w:val="006C10A2"/>
    <w:rsid w:val="006C1F18"/>
    <w:rsid w:val="006D40D5"/>
    <w:rsid w:val="006F009A"/>
    <w:rsid w:val="006F3D93"/>
    <w:rsid w:val="007019B1"/>
    <w:rsid w:val="00721657"/>
    <w:rsid w:val="007279A8"/>
    <w:rsid w:val="00727B1A"/>
    <w:rsid w:val="00741337"/>
    <w:rsid w:val="00751805"/>
    <w:rsid w:val="00752258"/>
    <w:rsid w:val="007529E1"/>
    <w:rsid w:val="00761787"/>
    <w:rsid w:val="00762880"/>
    <w:rsid w:val="00762AD6"/>
    <w:rsid w:val="00762E02"/>
    <w:rsid w:val="00772290"/>
    <w:rsid w:val="00777265"/>
    <w:rsid w:val="007805E7"/>
    <w:rsid w:val="0078222A"/>
    <w:rsid w:val="00787D48"/>
    <w:rsid w:val="00795294"/>
    <w:rsid w:val="007953A3"/>
    <w:rsid w:val="00797993"/>
    <w:rsid w:val="007A4E50"/>
    <w:rsid w:val="007B18A7"/>
    <w:rsid w:val="007B250E"/>
    <w:rsid w:val="007C27FC"/>
    <w:rsid w:val="007C51FF"/>
    <w:rsid w:val="007D50E4"/>
    <w:rsid w:val="007E2DC5"/>
    <w:rsid w:val="007E515B"/>
    <w:rsid w:val="007F1CC7"/>
    <w:rsid w:val="007F74FB"/>
    <w:rsid w:val="008027AC"/>
    <w:rsid w:val="008028CE"/>
    <w:rsid w:val="0080332E"/>
    <w:rsid w:val="008141E0"/>
    <w:rsid w:val="00814BB5"/>
    <w:rsid w:val="00816EE1"/>
    <w:rsid w:val="00816F88"/>
    <w:rsid w:val="00821996"/>
    <w:rsid w:val="00822323"/>
    <w:rsid w:val="00827BC6"/>
    <w:rsid w:val="008300AD"/>
    <w:rsid w:val="00833024"/>
    <w:rsid w:val="008419B1"/>
    <w:rsid w:val="00844A56"/>
    <w:rsid w:val="00845B11"/>
    <w:rsid w:val="008463B6"/>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0746"/>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422DB"/>
    <w:rsid w:val="00A50CA0"/>
    <w:rsid w:val="00A5106B"/>
    <w:rsid w:val="00A525CC"/>
    <w:rsid w:val="00A53E7C"/>
    <w:rsid w:val="00A60087"/>
    <w:rsid w:val="00A705E8"/>
    <w:rsid w:val="00A721F4"/>
    <w:rsid w:val="00A763FD"/>
    <w:rsid w:val="00A9392C"/>
    <w:rsid w:val="00A9462B"/>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648C7"/>
    <w:rsid w:val="00B66E8F"/>
    <w:rsid w:val="00B73165"/>
    <w:rsid w:val="00B80157"/>
    <w:rsid w:val="00B83D5E"/>
    <w:rsid w:val="00B8460A"/>
    <w:rsid w:val="00B8650D"/>
    <w:rsid w:val="00B879B4"/>
    <w:rsid w:val="00B87F44"/>
    <w:rsid w:val="00B90F07"/>
    <w:rsid w:val="00B94FE5"/>
    <w:rsid w:val="00B97BB9"/>
    <w:rsid w:val="00BA0009"/>
    <w:rsid w:val="00BB1863"/>
    <w:rsid w:val="00BB25EE"/>
    <w:rsid w:val="00BB363A"/>
    <w:rsid w:val="00BC10A0"/>
    <w:rsid w:val="00BC7BA2"/>
    <w:rsid w:val="00BD426B"/>
    <w:rsid w:val="00BD79F0"/>
    <w:rsid w:val="00BE2B4D"/>
    <w:rsid w:val="00BE62D1"/>
    <w:rsid w:val="00C015F8"/>
    <w:rsid w:val="00C02C2A"/>
    <w:rsid w:val="00C05EE2"/>
    <w:rsid w:val="00C07E26"/>
    <w:rsid w:val="00C1011C"/>
    <w:rsid w:val="00C12F94"/>
    <w:rsid w:val="00C177C5"/>
    <w:rsid w:val="00C34EC3"/>
    <w:rsid w:val="00C4038C"/>
    <w:rsid w:val="00C42BA2"/>
    <w:rsid w:val="00C44066"/>
    <w:rsid w:val="00C44E13"/>
    <w:rsid w:val="00C55BF1"/>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34B"/>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4347"/>
    <w:rsid w:val="00D26CC9"/>
    <w:rsid w:val="00D35BDD"/>
    <w:rsid w:val="00D37A23"/>
    <w:rsid w:val="00D52591"/>
    <w:rsid w:val="00D63006"/>
    <w:rsid w:val="00D64F90"/>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4D6C"/>
    <w:rsid w:val="00E05209"/>
    <w:rsid w:val="00E11BCF"/>
    <w:rsid w:val="00E2258E"/>
    <w:rsid w:val="00E260C2"/>
    <w:rsid w:val="00E32596"/>
    <w:rsid w:val="00E32653"/>
    <w:rsid w:val="00E368A7"/>
    <w:rsid w:val="00E368F7"/>
    <w:rsid w:val="00E36EB8"/>
    <w:rsid w:val="00E37FB8"/>
    <w:rsid w:val="00E40B07"/>
    <w:rsid w:val="00E42326"/>
    <w:rsid w:val="00E43544"/>
    <w:rsid w:val="00E447FB"/>
    <w:rsid w:val="00E44D89"/>
    <w:rsid w:val="00E477EA"/>
    <w:rsid w:val="00E55807"/>
    <w:rsid w:val="00E63B14"/>
    <w:rsid w:val="00E65CA0"/>
    <w:rsid w:val="00E70D9F"/>
    <w:rsid w:val="00E83810"/>
    <w:rsid w:val="00E86933"/>
    <w:rsid w:val="00E9605B"/>
    <w:rsid w:val="00E97298"/>
    <w:rsid w:val="00E97753"/>
    <w:rsid w:val="00EA0C51"/>
    <w:rsid w:val="00EA4950"/>
    <w:rsid w:val="00EA7DE7"/>
    <w:rsid w:val="00EB7A8A"/>
    <w:rsid w:val="00EC6FED"/>
    <w:rsid w:val="00EC7F3B"/>
    <w:rsid w:val="00ED5299"/>
    <w:rsid w:val="00EE3A64"/>
    <w:rsid w:val="00EE50E5"/>
    <w:rsid w:val="00EF01CF"/>
    <w:rsid w:val="00EF0833"/>
    <w:rsid w:val="00EF7069"/>
    <w:rsid w:val="00EF75A7"/>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22D2"/>
    <w:rsid w:val="00F736F9"/>
    <w:rsid w:val="00F73833"/>
    <w:rsid w:val="00F80A53"/>
    <w:rsid w:val="00F9211C"/>
    <w:rsid w:val="00FA0659"/>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709A61"/>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 Char1 Char1 Char,Footnote Text Char1 Char1 Char1 Char Char Char1,Footnote Text Char4 Char Char"/>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FootnoteTextChar">
    <w:name w:val="Footnote Text Char"/>
    <w:aliases w:val="ACMA Footnote Text Char,ALTS FOOTNOTE Char,DNV- Char,Footnote Text Char Char1 Char,Footnote Text Char Char1 Char1 Char Char Char,Footnote Text Char1 Char1 Char1 Char Char,Footnote Text Char1 Char1 Char1 Char Char Char1 Char"/>
    <w:basedOn w:val="DefaultParagraphFont"/>
    <w:link w:val="FootnoteText"/>
    <w:qFormat/>
    <w:locked/>
    <w:rsid w:val="003C70C1"/>
    <w:rPr>
      <w:rFonts w:asciiTheme="minorHAnsi" w:hAnsiTheme="minorHAnsi"/>
      <w:sz w:val="24"/>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E447FB"/>
    <w:rPr>
      <w:rFonts w:asciiTheme="minorHAnsi" w:hAnsiTheme="minorHAnsi"/>
      <w:sz w:val="24"/>
      <w:lang w:val="en-GB" w:eastAsia="en-US"/>
    </w:rPr>
  </w:style>
  <w:style w:type="paragraph" w:customStyle="1" w:styleId="Figure">
    <w:name w:val="Figure"/>
    <w:basedOn w:val="Normal"/>
    <w:rsid w:val="00593C05"/>
    <w:pPr>
      <w:keepNext/>
      <w:keepLines/>
      <w:spacing w:before="0" w:after="120"/>
      <w:jc w:val="center"/>
    </w:pPr>
    <w:rPr>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2676">
      <w:bodyDiv w:val="1"/>
      <w:marLeft w:val="0"/>
      <w:marRight w:val="0"/>
      <w:marTop w:val="0"/>
      <w:marBottom w:val="0"/>
      <w:divBdr>
        <w:top w:val="none" w:sz="0" w:space="0" w:color="auto"/>
        <w:left w:val="none" w:sz="0" w:space="0" w:color="auto"/>
        <w:bottom w:val="none" w:sz="0" w:space="0" w:color="auto"/>
        <w:right w:val="none" w:sz="0" w:space="0" w:color="auto"/>
      </w:divBdr>
    </w:div>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4192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fr/ITU-D/Projects/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9-INF-00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1-CL-C-0034/en" TargetMode="External"/><Relationship Id="rId1" Type="http://schemas.openxmlformats.org/officeDocument/2006/relationships/hyperlink" Target="https://www.itu.int/fr/ITU-D/Projects/Page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20session%2002%20Dec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20session%2002%20Dec21/PRJ%20database%20for%20TDAG21%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7B-4501-9A87-C3460530FE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7B-4501-9A87-C3460530FE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7B-4501-9A87-C3460530FE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fr-FR"/>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OP</c:v>
                </c:pt>
              </c:strCache>
            </c:strRef>
          </c:cat>
          <c:val>
            <c:numRef>
              <c:f>Summary!$M$5:$M$7</c:f>
              <c:numCache>
                <c:formatCode>General</c:formatCode>
                <c:ptCount val="3"/>
                <c:pt idx="0">
                  <c:v>80278254</c:v>
                </c:pt>
                <c:pt idx="1">
                  <c:v>5520875</c:v>
                </c:pt>
                <c:pt idx="2">
                  <c:v>4508523</c:v>
                </c:pt>
              </c:numCache>
            </c:numRef>
          </c:val>
          <c:extLst>
            <c:ext xmlns:c16="http://schemas.microsoft.com/office/drawing/2014/chart" uri="{C3380CC4-5D6E-409C-BE32-E72D297353CC}">
              <c16:uniqueId val="{00000006-837B-4501-9A87-C3460530FEF7}"/>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'Projects per year'!$A$4:$A$14</c:f>
              <c:strCache>
                <c:ptCount val="11"/>
                <c:pt idx="0">
                  <c:v>2011 </c:v>
                </c:pt>
                <c:pt idx="1">
                  <c:v>2012 </c:v>
                </c:pt>
                <c:pt idx="2">
                  <c:v>2013 </c:v>
                </c:pt>
                <c:pt idx="3">
                  <c:v>2014 </c:v>
                </c:pt>
                <c:pt idx="4">
                  <c:v>2015 </c:v>
                </c:pt>
                <c:pt idx="5">
                  <c:v>2016 </c:v>
                </c:pt>
                <c:pt idx="6">
                  <c:v>2017 </c:v>
                </c:pt>
                <c:pt idx="7">
                  <c:v>2018 </c:v>
                </c:pt>
                <c:pt idx="8">
                  <c:v>2019 </c:v>
                </c:pt>
                <c:pt idx="9">
                  <c:v>2020 </c:v>
                </c:pt>
                <c:pt idx="10">
                  <c:v>2021 (Jan-Sep)</c:v>
                </c:pt>
              </c:strCache>
            </c:strRef>
          </c:cat>
          <c:val>
            <c:numRef>
              <c:f>'Projects per year'!$B$4:$B$14</c:f>
              <c:numCache>
                <c:formatCode>_(* #,##0.00_);_(* \(#,##0.00\);_(* "-"??_);_(@_)</c:formatCode>
                <c:ptCount val="11"/>
                <c:pt idx="0">
                  <c:v>8075257</c:v>
                </c:pt>
                <c:pt idx="1">
                  <c:v>10905274</c:v>
                </c:pt>
                <c:pt idx="2">
                  <c:v>9927803</c:v>
                </c:pt>
                <c:pt idx="3">
                  <c:v>7674402</c:v>
                </c:pt>
                <c:pt idx="4">
                  <c:v>5289174</c:v>
                </c:pt>
                <c:pt idx="5">
                  <c:v>2767939</c:v>
                </c:pt>
                <c:pt idx="6">
                  <c:v>9730134</c:v>
                </c:pt>
                <c:pt idx="7">
                  <c:v>10721579</c:v>
                </c:pt>
                <c:pt idx="8">
                  <c:v>13612980</c:v>
                </c:pt>
                <c:pt idx="9">
                  <c:v>14901477</c:v>
                </c:pt>
                <c:pt idx="10">
                  <c:v>9485288</c:v>
                </c:pt>
              </c:numCache>
            </c:numRef>
          </c:val>
          <c:extLst>
            <c:ext xmlns:c16="http://schemas.microsoft.com/office/drawing/2014/chart" uri="{C3380CC4-5D6E-409C-BE32-E72D297353CC}">
              <c16:uniqueId val="{00000000-44B5-46D7-903D-58F480DFC91D}"/>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fr-FR"/>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r-FR"/>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DA2B-088C-49A3-895C-245372D8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1931</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Royer, Veronique</dc:creator>
  <cp:lastModifiedBy>Saez Grau, Ricardo</cp:lastModifiedBy>
  <cp:revision>8</cp:revision>
  <cp:lastPrinted>2014-11-04T09:22:00Z</cp:lastPrinted>
  <dcterms:created xsi:type="dcterms:W3CDTF">2021-09-28T13:20:00Z</dcterms:created>
  <dcterms:modified xsi:type="dcterms:W3CDTF">2021-09-28T14:42:00Z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