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277E7F" w14:paraId="3F0E9EC4" w14:textId="77777777" w:rsidTr="00AD4677">
        <w:trPr>
          <w:cantSplit/>
          <w:trHeight w:val="1134"/>
        </w:trPr>
        <w:tc>
          <w:tcPr>
            <w:tcW w:w="2410" w:type="dxa"/>
          </w:tcPr>
          <w:p w14:paraId="5BB7E038" w14:textId="2F5C1E4A" w:rsidR="00AD4677" w:rsidRPr="00277E7F" w:rsidRDefault="006A5A7E" w:rsidP="006D4D26">
            <w:pPr>
              <w:tabs>
                <w:tab w:val="clear" w:pos="1191"/>
                <w:tab w:val="clear" w:pos="1588"/>
                <w:tab w:val="clear" w:pos="1985"/>
              </w:tabs>
              <w:spacing w:after="120"/>
              <w:ind w:left="34"/>
              <w:rPr>
                <w:rFonts w:cstheme="minorHAnsi"/>
                <w:b/>
                <w:bCs/>
                <w:sz w:val="32"/>
                <w:szCs w:val="32"/>
              </w:rPr>
            </w:pPr>
            <w:r w:rsidRPr="00277E7F">
              <w:rPr>
                <w:rFonts w:cstheme="minorHAnsi"/>
                <w:noProof/>
                <w:lang w:val="en-US"/>
              </w:rPr>
              <w:drawing>
                <wp:inline distT="0" distB="0" distL="0" distR="0" wp14:anchorId="7C02BE08" wp14:editId="1041237F">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Pr="00277E7F" w:rsidRDefault="00AD4677" w:rsidP="006D4D26">
            <w:pPr>
              <w:tabs>
                <w:tab w:val="clear" w:pos="1191"/>
                <w:tab w:val="clear" w:pos="1588"/>
                <w:tab w:val="clear" w:pos="1985"/>
              </w:tabs>
              <w:spacing w:before="280" w:after="120"/>
              <w:ind w:left="34"/>
              <w:rPr>
                <w:rFonts w:cstheme="minorHAnsi"/>
                <w:b/>
                <w:bCs/>
                <w:sz w:val="32"/>
                <w:szCs w:val="32"/>
              </w:rPr>
            </w:pPr>
            <w:r w:rsidRPr="00277E7F">
              <w:rPr>
                <w:rFonts w:cstheme="minorHAnsi"/>
                <w:b/>
                <w:bCs/>
                <w:sz w:val="32"/>
                <w:szCs w:val="32"/>
              </w:rPr>
              <w:t>Telecommunication Development</w:t>
            </w:r>
            <w:r w:rsidRPr="00277E7F">
              <w:rPr>
                <w:rFonts w:cstheme="minorHAnsi"/>
                <w:b/>
                <w:bCs/>
                <w:sz w:val="32"/>
                <w:szCs w:val="32"/>
              </w:rPr>
              <w:br/>
              <w:t>Advisory Group (TDAG)</w:t>
            </w:r>
          </w:p>
          <w:p w14:paraId="5F5F590A" w14:textId="15A88761" w:rsidR="00AD4677" w:rsidRPr="00277E7F" w:rsidRDefault="00AD4677" w:rsidP="006D4D26">
            <w:pPr>
              <w:tabs>
                <w:tab w:val="clear" w:pos="1191"/>
                <w:tab w:val="clear" w:pos="1588"/>
                <w:tab w:val="clear" w:pos="1985"/>
              </w:tabs>
              <w:spacing w:before="100" w:after="120"/>
              <w:ind w:left="34"/>
              <w:rPr>
                <w:rFonts w:cstheme="minorHAnsi"/>
                <w:sz w:val="28"/>
                <w:szCs w:val="28"/>
              </w:rPr>
            </w:pPr>
            <w:r w:rsidRPr="00277E7F">
              <w:rPr>
                <w:rFonts w:cstheme="minorHAnsi"/>
                <w:b/>
                <w:bCs/>
                <w:sz w:val="26"/>
                <w:szCs w:val="26"/>
              </w:rPr>
              <w:t>2</w:t>
            </w:r>
            <w:r w:rsidR="00143F44" w:rsidRPr="00277E7F">
              <w:rPr>
                <w:rFonts w:cstheme="minorHAnsi"/>
                <w:b/>
                <w:bCs/>
                <w:sz w:val="26"/>
                <w:szCs w:val="26"/>
              </w:rPr>
              <w:t>9</w:t>
            </w:r>
            <w:r w:rsidRPr="00277E7F">
              <w:rPr>
                <w:rFonts w:cstheme="minorHAnsi"/>
                <w:b/>
                <w:bCs/>
                <w:sz w:val="26"/>
                <w:szCs w:val="26"/>
              </w:rPr>
              <w:t xml:space="preserve">th Meeting, Virtual, </w:t>
            </w:r>
            <w:r w:rsidR="00143F44" w:rsidRPr="00277E7F">
              <w:rPr>
                <w:rFonts w:cstheme="minorHAnsi"/>
                <w:b/>
                <w:bCs/>
                <w:sz w:val="26"/>
                <w:szCs w:val="26"/>
              </w:rPr>
              <w:t>8-12</w:t>
            </w:r>
            <w:r w:rsidRPr="00277E7F">
              <w:rPr>
                <w:rFonts w:cstheme="minorHAnsi"/>
                <w:b/>
                <w:bCs/>
                <w:sz w:val="26"/>
                <w:szCs w:val="26"/>
              </w:rPr>
              <w:t xml:space="preserve"> </w:t>
            </w:r>
            <w:r w:rsidR="00143F44" w:rsidRPr="00277E7F">
              <w:rPr>
                <w:rFonts w:cstheme="minorHAnsi"/>
                <w:b/>
                <w:bCs/>
                <w:sz w:val="26"/>
                <w:szCs w:val="26"/>
              </w:rPr>
              <w:t>November</w:t>
            </w:r>
            <w:r w:rsidRPr="00277E7F">
              <w:rPr>
                <w:rFonts w:cstheme="minorHAnsi"/>
                <w:b/>
                <w:bCs/>
                <w:sz w:val="26"/>
                <w:szCs w:val="26"/>
              </w:rPr>
              <w:t xml:space="preserve"> 2021</w:t>
            </w:r>
          </w:p>
        </w:tc>
        <w:tc>
          <w:tcPr>
            <w:tcW w:w="1524" w:type="dxa"/>
          </w:tcPr>
          <w:p w14:paraId="67E7B4C4" w14:textId="0F52E4CC" w:rsidR="00AD4677" w:rsidRPr="00277E7F" w:rsidRDefault="00AD4677" w:rsidP="006D4D26">
            <w:pPr>
              <w:spacing w:before="240"/>
              <w:ind w:right="142"/>
              <w:jc w:val="right"/>
              <w:rPr>
                <w:rFonts w:cstheme="minorHAnsi"/>
              </w:rPr>
            </w:pPr>
            <w:r w:rsidRPr="00277E7F">
              <w:rPr>
                <w:rFonts w:cstheme="minorHAnsi"/>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77E7F" w14:paraId="3C13197B" w14:textId="77777777" w:rsidTr="0009076F">
        <w:trPr>
          <w:cantSplit/>
        </w:trPr>
        <w:tc>
          <w:tcPr>
            <w:tcW w:w="6379" w:type="dxa"/>
            <w:gridSpan w:val="2"/>
            <w:tcBorders>
              <w:top w:val="single" w:sz="12" w:space="0" w:color="auto"/>
            </w:tcBorders>
          </w:tcPr>
          <w:p w14:paraId="2EED9DB2" w14:textId="77777777" w:rsidR="00683C32" w:rsidRPr="00277E7F" w:rsidRDefault="00683C32" w:rsidP="006D4D26">
            <w:pPr>
              <w:spacing w:before="0"/>
              <w:rPr>
                <w:rFonts w:cstheme="minorHAnsi"/>
                <w:b/>
                <w:bCs/>
                <w:sz w:val="20"/>
              </w:rPr>
            </w:pPr>
          </w:p>
        </w:tc>
        <w:tc>
          <w:tcPr>
            <w:tcW w:w="3509" w:type="dxa"/>
            <w:gridSpan w:val="2"/>
            <w:tcBorders>
              <w:top w:val="single" w:sz="12" w:space="0" w:color="auto"/>
            </w:tcBorders>
          </w:tcPr>
          <w:p w14:paraId="6CC77CFE" w14:textId="77777777" w:rsidR="00683C32" w:rsidRPr="00277E7F" w:rsidRDefault="00683C32" w:rsidP="006D4D26">
            <w:pPr>
              <w:spacing w:before="0"/>
              <w:rPr>
                <w:rFonts w:cstheme="minorHAnsi"/>
                <w:b/>
                <w:bCs/>
                <w:sz w:val="20"/>
              </w:rPr>
            </w:pPr>
          </w:p>
        </w:tc>
      </w:tr>
      <w:tr w:rsidR="00683C32" w:rsidRPr="00277E7F" w14:paraId="0BB3FBC4" w14:textId="77777777" w:rsidTr="0009076F">
        <w:trPr>
          <w:cantSplit/>
        </w:trPr>
        <w:tc>
          <w:tcPr>
            <w:tcW w:w="6379" w:type="dxa"/>
            <w:gridSpan w:val="2"/>
          </w:tcPr>
          <w:p w14:paraId="43C54B3D" w14:textId="77777777" w:rsidR="00683C32" w:rsidRPr="00277E7F" w:rsidRDefault="00683C32" w:rsidP="006D4D26">
            <w:pPr>
              <w:pStyle w:val="Committee"/>
              <w:spacing w:before="0"/>
              <w:rPr>
                <w:rFonts w:cstheme="minorHAnsi"/>
                <w:b w:val="0"/>
                <w:szCs w:val="24"/>
              </w:rPr>
            </w:pPr>
          </w:p>
        </w:tc>
        <w:tc>
          <w:tcPr>
            <w:tcW w:w="3509" w:type="dxa"/>
            <w:gridSpan w:val="2"/>
          </w:tcPr>
          <w:p w14:paraId="02E44EE9" w14:textId="0DA9A4E4" w:rsidR="00683C32" w:rsidRPr="00277E7F" w:rsidRDefault="0096201B" w:rsidP="00C90FC4">
            <w:pPr>
              <w:spacing w:before="0"/>
              <w:jc w:val="both"/>
              <w:rPr>
                <w:rFonts w:cstheme="minorHAnsi"/>
                <w:bCs/>
                <w:szCs w:val="24"/>
                <w:lang w:val="en-US"/>
              </w:rPr>
            </w:pPr>
            <w:r w:rsidRPr="00277E7F">
              <w:rPr>
                <w:rFonts w:cstheme="minorHAnsi"/>
                <w:b/>
                <w:bCs/>
                <w:lang w:val="en-US"/>
              </w:rPr>
              <w:t xml:space="preserve">Document </w:t>
            </w:r>
            <w:bookmarkStart w:id="0" w:name="DocRef1"/>
            <w:bookmarkEnd w:id="0"/>
            <w:r w:rsidRPr="00277E7F">
              <w:rPr>
                <w:rFonts w:cstheme="minorHAnsi"/>
                <w:b/>
                <w:bCs/>
                <w:lang w:val="en-US"/>
              </w:rPr>
              <w:t>TDAG</w:t>
            </w:r>
            <w:r w:rsidR="003242AB" w:rsidRPr="00277E7F">
              <w:rPr>
                <w:rFonts w:cstheme="minorHAnsi"/>
                <w:b/>
                <w:bCs/>
                <w:lang w:val="en-US"/>
              </w:rPr>
              <w:t>-</w:t>
            </w:r>
            <w:r w:rsidR="00B648C7" w:rsidRPr="00277E7F">
              <w:rPr>
                <w:rFonts w:cstheme="minorHAnsi"/>
                <w:b/>
                <w:bCs/>
                <w:lang w:val="en-US"/>
              </w:rPr>
              <w:t>2</w:t>
            </w:r>
            <w:bookmarkStart w:id="1" w:name="DocNo1"/>
            <w:bookmarkEnd w:id="1"/>
            <w:r w:rsidR="00AD4677" w:rsidRPr="00277E7F">
              <w:rPr>
                <w:rFonts w:cstheme="minorHAnsi"/>
                <w:b/>
                <w:bCs/>
                <w:lang w:val="en-US"/>
              </w:rPr>
              <w:t>1</w:t>
            </w:r>
            <w:r w:rsidR="00143F44" w:rsidRPr="00277E7F">
              <w:rPr>
                <w:rFonts w:cstheme="minorHAnsi"/>
                <w:b/>
                <w:bCs/>
                <w:lang w:val="en-US"/>
              </w:rPr>
              <w:t>/2</w:t>
            </w:r>
            <w:r w:rsidR="0009076F" w:rsidRPr="00277E7F">
              <w:rPr>
                <w:rFonts w:cstheme="minorHAnsi"/>
                <w:b/>
                <w:bCs/>
                <w:lang w:val="en-US"/>
              </w:rPr>
              <w:t>/</w:t>
            </w:r>
            <w:r w:rsidR="00C90FC4">
              <w:rPr>
                <w:rFonts w:cstheme="minorHAnsi"/>
                <w:b/>
                <w:bCs/>
                <w:lang w:val="en-US"/>
              </w:rPr>
              <w:t>7</w:t>
            </w:r>
            <w:r w:rsidRPr="00277E7F">
              <w:rPr>
                <w:rFonts w:cstheme="minorHAnsi"/>
                <w:b/>
                <w:bCs/>
                <w:lang w:val="en-US"/>
              </w:rPr>
              <w:t>-E</w:t>
            </w:r>
          </w:p>
        </w:tc>
      </w:tr>
      <w:tr w:rsidR="00683C32" w:rsidRPr="00277E7F" w14:paraId="24D04936" w14:textId="77777777" w:rsidTr="0009076F">
        <w:trPr>
          <w:cantSplit/>
        </w:trPr>
        <w:tc>
          <w:tcPr>
            <w:tcW w:w="6379" w:type="dxa"/>
            <w:gridSpan w:val="2"/>
          </w:tcPr>
          <w:p w14:paraId="12CE4DBF" w14:textId="77777777" w:rsidR="00683C32" w:rsidRPr="00277E7F" w:rsidRDefault="00683C32" w:rsidP="006D4D26">
            <w:pPr>
              <w:spacing w:before="0"/>
              <w:rPr>
                <w:rFonts w:cstheme="minorHAnsi"/>
                <w:b/>
                <w:bCs/>
                <w:smallCaps/>
                <w:szCs w:val="24"/>
                <w:lang w:val="en-US"/>
              </w:rPr>
            </w:pPr>
          </w:p>
        </w:tc>
        <w:tc>
          <w:tcPr>
            <w:tcW w:w="3509" w:type="dxa"/>
            <w:gridSpan w:val="2"/>
          </w:tcPr>
          <w:p w14:paraId="0F89640F" w14:textId="776D8958" w:rsidR="00683C32" w:rsidRPr="00277E7F" w:rsidRDefault="00F02CAB" w:rsidP="006D4D26">
            <w:pPr>
              <w:spacing w:before="0"/>
              <w:rPr>
                <w:rFonts w:cstheme="minorHAnsi"/>
                <w:b/>
                <w:szCs w:val="24"/>
              </w:rPr>
            </w:pPr>
            <w:bookmarkStart w:id="2" w:name="CreationDate"/>
            <w:bookmarkEnd w:id="2"/>
            <w:r w:rsidRPr="00277E7F">
              <w:rPr>
                <w:rFonts w:cstheme="minorHAnsi"/>
                <w:b/>
                <w:bCs/>
                <w:szCs w:val="28"/>
              </w:rPr>
              <w:t>1</w:t>
            </w:r>
            <w:r w:rsidR="00C51012">
              <w:rPr>
                <w:rFonts w:cstheme="minorHAnsi"/>
                <w:b/>
                <w:bCs/>
                <w:szCs w:val="28"/>
              </w:rPr>
              <w:t>4</w:t>
            </w:r>
            <w:r w:rsidRPr="00277E7F">
              <w:rPr>
                <w:rFonts w:cstheme="minorHAnsi"/>
                <w:b/>
                <w:bCs/>
                <w:szCs w:val="28"/>
              </w:rPr>
              <w:t xml:space="preserve"> September </w:t>
            </w:r>
            <w:r w:rsidR="00CE0422" w:rsidRPr="00277E7F">
              <w:rPr>
                <w:rFonts w:cstheme="minorHAnsi"/>
                <w:b/>
                <w:bCs/>
                <w:szCs w:val="28"/>
              </w:rPr>
              <w:t>20</w:t>
            </w:r>
            <w:r w:rsidR="00B648C7" w:rsidRPr="00277E7F">
              <w:rPr>
                <w:rFonts w:cstheme="minorHAnsi"/>
                <w:b/>
                <w:bCs/>
                <w:szCs w:val="28"/>
              </w:rPr>
              <w:t>2</w:t>
            </w:r>
            <w:r w:rsidR="00AD4677" w:rsidRPr="00277E7F">
              <w:rPr>
                <w:rFonts w:cstheme="minorHAnsi"/>
                <w:b/>
                <w:bCs/>
                <w:szCs w:val="28"/>
              </w:rPr>
              <w:t>1</w:t>
            </w:r>
          </w:p>
        </w:tc>
      </w:tr>
      <w:tr w:rsidR="00683C32" w:rsidRPr="00277E7F" w14:paraId="7B96545F" w14:textId="77777777" w:rsidTr="0009076F">
        <w:trPr>
          <w:cantSplit/>
        </w:trPr>
        <w:tc>
          <w:tcPr>
            <w:tcW w:w="6379" w:type="dxa"/>
            <w:gridSpan w:val="2"/>
          </w:tcPr>
          <w:p w14:paraId="65956FD3" w14:textId="77777777" w:rsidR="00683C32" w:rsidRPr="00277E7F" w:rsidRDefault="00683C32" w:rsidP="006D4D26">
            <w:pPr>
              <w:spacing w:before="0"/>
              <w:rPr>
                <w:rFonts w:cstheme="minorHAnsi"/>
                <w:b/>
                <w:bCs/>
                <w:smallCaps/>
                <w:szCs w:val="24"/>
              </w:rPr>
            </w:pPr>
          </w:p>
        </w:tc>
        <w:tc>
          <w:tcPr>
            <w:tcW w:w="3509" w:type="dxa"/>
            <w:gridSpan w:val="2"/>
          </w:tcPr>
          <w:p w14:paraId="30EFD39F" w14:textId="0BF1F51F" w:rsidR="00514D2F" w:rsidRPr="00277E7F" w:rsidRDefault="0096201B" w:rsidP="006D4D26">
            <w:pPr>
              <w:spacing w:before="0"/>
              <w:rPr>
                <w:rFonts w:cstheme="minorHAnsi"/>
                <w:szCs w:val="24"/>
              </w:rPr>
            </w:pPr>
            <w:r w:rsidRPr="00277E7F">
              <w:rPr>
                <w:rFonts w:cstheme="minorHAnsi"/>
                <w:b/>
              </w:rPr>
              <w:t>Original:</w:t>
            </w:r>
            <w:bookmarkStart w:id="3" w:name="Original"/>
            <w:bookmarkEnd w:id="3"/>
            <w:r w:rsidR="00CE0422" w:rsidRPr="00277E7F">
              <w:rPr>
                <w:rFonts w:cstheme="minorHAnsi"/>
                <w:b/>
              </w:rPr>
              <w:t xml:space="preserve"> </w:t>
            </w:r>
            <w:r w:rsidR="00AD4677" w:rsidRPr="00277E7F">
              <w:rPr>
                <w:rFonts w:cstheme="minorHAnsi"/>
                <w:b/>
              </w:rPr>
              <w:t>English</w:t>
            </w:r>
          </w:p>
        </w:tc>
      </w:tr>
      <w:tr w:rsidR="00A13162" w:rsidRPr="00277E7F" w14:paraId="31656E31" w14:textId="77777777" w:rsidTr="00107E85">
        <w:trPr>
          <w:cantSplit/>
          <w:trHeight w:val="852"/>
        </w:trPr>
        <w:tc>
          <w:tcPr>
            <w:tcW w:w="9888" w:type="dxa"/>
            <w:gridSpan w:val="4"/>
          </w:tcPr>
          <w:p w14:paraId="512FCA01" w14:textId="4AA6975C" w:rsidR="00A13162" w:rsidRPr="00277E7F" w:rsidRDefault="00116191" w:rsidP="006D4D26">
            <w:pPr>
              <w:pStyle w:val="Source"/>
              <w:rPr>
                <w:rFonts w:cstheme="minorHAnsi"/>
              </w:rPr>
            </w:pPr>
            <w:bookmarkStart w:id="4" w:name="Source"/>
            <w:bookmarkEnd w:id="4"/>
            <w:r w:rsidRPr="00277E7F">
              <w:rPr>
                <w:rFonts w:cstheme="minorHAnsi"/>
              </w:rPr>
              <w:t>Director, Telecommunication Development Bureau</w:t>
            </w:r>
          </w:p>
        </w:tc>
      </w:tr>
      <w:tr w:rsidR="00AC6F14" w:rsidRPr="00277E7F" w14:paraId="2CBD3A36" w14:textId="77777777" w:rsidTr="00107E85">
        <w:trPr>
          <w:cantSplit/>
        </w:trPr>
        <w:tc>
          <w:tcPr>
            <w:tcW w:w="9888" w:type="dxa"/>
            <w:gridSpan w:val="4"/>
          </w:tcPr>
          <w:p w14:paraId="1B4121DF" w14:textId="5F8E6BF0" w:rsidR="00AC6F14" w:rsidRPr="00277E7F" w:rsidRDefault="00F02CAB" w:rsidP="006D4D26">
            <w:pPr>
              <w:pStyle w:val="Title1"/>
              <w:rPr>
                <w:rFonts w:cstheme="minorHAnsi"/>
              </w:rPr>
            </w:pPr>
            <w:bookmarkStart w:id="5" w:name="Title"/>
            <w:bookmarkEnd w:id="5"/>
            <w:r w:rsidRPr="00277E7F">
              <w:rPr>
                <w:rFonts w:cstheme="minorHAnsi"/>
              </w:rPr>
              <w:t>ITU-D Projects</w:t>
            </w:r>
          </w:p>
        </w:tc>
      </w:tr>
      <w:tr w:rsidR="00A721F4" w:rsidRPr="00277E7F" w14:paraId="23A30231" w14:textId="77777777" w:rsidTr="008100F3">
        <w:trPr>
          <w:cantSplit/>
        </w:trPr>
        <w:tc>
          <w:tcPr>
            <w:tcW w:w="9888" w:type="dxa"/>
            <w:gridSpan w:val="4"/>
            <w:tcBorders>
              <w:bottom w:val="single" w:sz="4" w:space="0" w:color="auto"/>
            </w:tcBorders>
          </w:tcPr>
          <w:p w14:paraId="726EE70E" w14:textId="77777777" w:rsidR="00A721F4" w:rsidRPr="00277E7F" w:rsidRDefault="00A721F4" w:rsidP="006D4D26">
            <w:pPr>
              <w:rPr>
                <w:rFonts w:cstheme="minorHAnsi"/>
              </w:rPr>
            </w:pPr>
          </w:p>
        </w:tc>
      </w:tr>
      <w:tr w:rsidR="008100F3" w:rsidRPr="00277E7F" w14:paraId="2A4DD82E" w14:textId="77777777" w:rsidTr="008100F3">
        <w:trPr>
          <w:cantSplit/>
        </w:trPr>
        <w:tc>
          <w:tcPr>
            <w:tcW w:w="9888" w:type="dxa"/>
            <w:gridSpan w:val="4"/>
            <w:tcBorders>
              <w:top w:val="single" w:sz="4" w:space="0" w:color="auto"/>
              <w:left w:val="single" w:sz="4" w:space="0" w:color="auto"/>
              <w:bottom w:val="single" w:sz="4" w:space="0" w:color="auto"/>
              <w:right w:val="single" w:sz="4" w:space="0" w:color="auto"/>
            </w:tcBorders>
          </w:tcPr>
          <w:p w14:paraId="6FE75327" w14:textId="77777777" w:rsidR="008100F3" w:rsidRPr="00277E7F" w:rsidRDefault="008100F3" w:rsidP="008100F3">
            <w:pPr>
              <w:spacing w:after="120"/>
              <w:rPr>
                <w:rFonts w:cstheme="minorHAnsi"/>
                <w:b/>
                <w:bCs/>
                <w:lang w:eastAsia="zh-CN"/>
              </w:rPr>
            </w:pPr>
            <w:r w:rsidRPr="00277E7F">
              <w:rPr>
                <w:rFonts w:cstheme="minorHAnsi"/>
                <w:b/>
                <w:bCs/>
                <w:lang w:eastAsia="zh-CN"/>
              </w:rPr>
              <w:t>Summary:</w:t>
            </w:r>
          </w:p>
          <w:p w14:paraId="186DE765" w14:textId="77777777" w:rsidR="008100F3" w:rsidRPr="00277E7F" w:rsidRDefault="008100F3" w:rsidP="008100F3">
            <w:pPr>
              <w:spacing w:after="120"/>
              <w:rPr>
                <w:rFonts w:cstheme="minorHAnsi"/>
                <w:lang w:eastAsia="zh-CN"/>
              </w:rPr>
            </w:pPr>
            <w:r w:rsidRPr="00277E7F">
              <w:rPr>
                <w:rFonts w:cstheme="minorHAnsi"/>
                <w:lang w:eastAsia="zh-CN"/>
              </w:rPr>
              <w:t>The International Telecommunication Union has a dual responsibility as a United Nations specialized agency and as an executing agency. The Telecommunication Development Sector (ITU-D) in fulfilling the Union's dual responsibility, has the key function of implementing projects under the United Nations development system or other funding arrangements so as to facilitate and enhance telecommunication development by offering, organizing and coordinating technical cooperation and assistance activities.</w:t>
            </w:r>
          </w:p>
          <w:p w14:paraId="4B52DAA4" w14:textId="77777777" w:rsidR="008100F3" w:rsidRPr="00277E7F" w:rsidRDefault="008100F3" w:rsidP="008100F3">
            <w:pPr>
              <w:spacing w:after="120"/>
              <w:rPr>
                <w:rFonts w:cstheme="minorHAnsi"/>
                <w:lang w:eastAsia="zh-CN"/>
              </w:rPr>
            </w:pPr>
            <w:r w:rsidRPr="00277E7F">
              <w:rPr>
                <w:rFonts w:cstheme="minorHAnsi"/>
                <w:lang w:eastAsia="zh-CN"/>
              </w:rPr>
              <w:t>This document presents an overview of the work undertaken by the Telecommunication Development Bureau in project development and implementation in the six ITU-D regions: Africa, Americas, Arab States, Asia-Pacific, Commonwealth of Independent States (CIS) and Europe, as well as multi-regionally.</w:t>
            </w:r>
          </w:p>
          <w:p w14:paraId="449AB452" w14:textId="77777777" w:rsidR="008100F3" w:rsidRPr="00277E7F" w:rsidRDefault="008100F3" w:rsidP="008100F3">
            <w:pPr>
              <w:spacing w:after="120"/>
              <w:rPr>
                <w:rFonts w:cstheme="minorHAnsi"/>
                <w:b/>
                <w:bCs/>
                <w:lang w:eastAsia="zh-CN"/>
              </w:rPr>
            </w:pPr>
            <w:r w:rsidRPr="00277E7F">
              <w:rPr>
                <w:rFonts w:cstheme="minorHAnsi"/>
                <w:b/>
                <w:bCs/>
                <w:lang w:eastAsia="zh-CN"/>
              </w:rPr>
              <w:t>Action required:</w:t>
            </w:r>
          </w:p>
          <w:p w14:paraId="7E049975" w14:textId="77777777" w:rsidR="008100F3" w:rsidRPr="00277E7F" w:rsidRDefault="008100F3" w:rsidP="008100F3">
            <w:pPr>
              <w:spacing w:after="120"/>
              <w:rPr>
                <w:rFonts w:cstheme="minorHAnsi"/>
                <w:b/>
                <w:bCs/>
                <w:lang w:eastAsia="zh-CN"/>
              </w:rPr>
            </w:pPr>
            <w:r w:rsidRPr="00277E7F">
              <w:rPr>
                <w:rFonts w:cstheme="minorHAnsi"/>
                <w:lang w:eastAsia="zh-CN"/>
              </w:rPr>
              <w:t>TDAG is invited to note this document and provide guidance as deemed appropriate.</w:t>
            </w:r>
          </w:p>
          <w:p w14:paraId="11801E62" w14:textId="77777777" w:rsidR="008100F3" w:rsidRPr="00277E7F" w:rsidRDefault="008100F3" w:rsidP="008100F3">
            <w:pPr>
              <w:spacing w:after="120"/>
              <w:rPr>
                <w:rFonts w:cstheme="minorHAnsi"/>
                <w:b/>
                <w:bCs/>
                <w:lang w:eastAsia="zh-CN"/>
              </w:rPr>
            </w:pPr>
            <w:r w:rsidRPr="00277E7F">
              <w:rPr>
                <w:rFonts w:cstheme="minorHAnsi"/>
                <w:b/>
                <w:bCs/>
                <w:lang w:eastAsia="zh-CN"/>
              </w:rPr>
              <w:t>Reference:</w:t>
            </w:r>
          </w:p>
          <w:p w14:paraId="5DFF6836" w14:textId="7B1A5942" w:rsidR="008100F3" w:rsidRPr="00277E7F" w:rsidRDefault="008100F3" w:rsidP="008100F3">
            <w:pPr>
              <w:spacing w:after="120"/>
              <w:rPr>
                <w:rFonts w:cstheme="minorHAnsi"/>
              </w:rPr>
            </w:pPr>
            <w:r w:rsidRPr="00277E7F">
              <w:rPr>
                <w:rFonts w:cstheme="minorHAnsi"/>
                <w:lang w:eastAsia="zh-CN"/>
              </w:rPr>
              <w:t>Resolutions 17 and 52 (Rev. Buenos Aires, 2017) of the World Telecommunication Development Conference (WTDC) and Resolution 157 (Rev. Dubai, 2018) of the Plenipotentiary Conference.</w:t>
            </w:r>
          </w:p>
        </w:tc>
      </w:tr>
    </w:tbl>
    <w:p w14:paraId="753D45C2" w14:textId="77777777" w:rsidR="00382EF6" w:rsidRDefault="00382EF6"/>
    <w:p w14:paraId="37379A0E" w14:textId="4AAA16A4" w:rsidR="00382EF6" w:rsidRDefault="00382EF6">
      <w:r>
        <w:br w:type="page"/>
      </w:r>
    </w:p>
    <w:p w14:paraId="491A218E" w14:textId="77777777" w:rsidR="007F0D47" w:rsidRPr="00277E7F" w:rsidRDefault="007F0D47" w:rsidP="00382EF6">
      <w:pPr>
        <w:pStyle w:val="Heading1"/>
        <w:numPr>
          <w:ilvl w:val="0"/>
          <w:numId w:val="2"/>
        </w:numPr>
        <w:spacing w:before="120" w:after="120"/>
        <w:textAlignment w:val="auto"/>
        <w:rPr>
          <w:rFonts w:cstheme="minorHAnsi"/>
          <w:sz w:val="24"/>
          <w:szCs w:val="24"/>
        </w:rPr>
      </w:pPr>
      <w:r w:rsidRPr="00277E7F">
        <w:rPr>
          <w:rFonts w:cstheme="minorHAnsi"/>
          <w:sz w:val="24"/>
          <w:szCs w:val="24"/>
        </w:rPr>
        <w:lastRenderedPageBreak/>
        <w:t>Introduction</w:t>
      </w:r>
    </w:p>
    <w:p w14:paraId="20DE08CD" w14:textId="5D0258F5" w:rsidR="00D576D4" w:rsidRPr="00277E7F" w:rsidRDefault="007F0D47" w:rsidP="00382EF6">
      <w:pPr>
        <w:pStyle w:val="ListParagraph"/>
        <w:spacing w:after="120"/>
        <w:ind w:left="0"/>
        <w:contextualSpacing w:val="0"/>
        <w:rPr>
          <w:rFonts w:cstheme="minorHAnsi"/>
        </w:rPr>
      </w:pPr>
      <w:r w:rsidRPr="00277E7F">
        <w:rPr>
          <w:rFonts w:cstheme="minorHAnsi"/>
        </w:rPr>
        <w:t>In accordance with Resolutions 17 and 52 (Rev. Buenos Aires, 2017) of the World Telecommunication Development Conference (WTDC) and Resolution 157 (Rev. Dubai, 2018) of the Plenipotentiary Conference, the ITU Telecommunication Development Bureau (BDT) holds the responsibility of fulfilling ITU´s mandate of implementing projects under the United Nations development system or other funding arrangements so as to facilitate and enhance telecommunication/information and communication technology development by offering, organizing and coordinating technical cooperation and assistance activities.</w:t>
      </w:r>
      <w:r w:rsidR="00D576D4" w:rsidRPr="00277E7F">
        <w:rPr>
          <w:rFonts w:cstheme="minorHAnsi"/>
        </w:rPr>
        <w:t xml:space="preserve"> </w:t>
      </w:r>
      <w:r w:rsidR="00834136" w:rsidRPr="00277E7F">
        <w:rPr>
          <w:rFonts w:cstheme="minorHAnsi"/>
        </w:rPr>
        <w:t xml:space="preserve">This report presents an overview of the status of the ITU project portfolio </w:t>
      </w:r>
      <w:r w:rsidR="00CE22B1" w:rsidRPr="00277E7F">
        <w:rPr>
          <w:rFonts w:cstheme="minorHAnsi"/>
        </w:rPr>
        <w:t xml:space="preserve">for the </w:t>
      </w:r>
      <w:r w:rsidR="00834136" w:rsidRPr="00277E7F">
        <w:rPr>
          <w:rFonts w:cstheme="minorHAnsi"/>
        </w:rPr>
        <w:t>period from March to September 2021</w:t>
      </w:r>
      <w:r w:rsidR="00F31EBE" w:rsidRPr="00277E7F">
        <w:rPr>
          <w:rFonts w:cstheme="minorHAnsi"/>
        </w:rPr>
        <w:t>.</w:t>
      </w:r>
      <w:r w:rsidRPr="00277E7F">
        <w:rPr>
          <w:rStyle w:val="FootnoteReference"/>
          <w:rFonts w:cstheme="minorHAnsi"/>
          <w:lang w:val="en-US"/>
        </w:rPr>
        <w:footnoteReference w:id="2"/>
      </w:r>
    </w:p>
    <w:p w14:paraId="445AB762" w14:textId="77777777" w:rsidR="007F0D47" w:rsidRPr="00277E7F" w:rsidRDefault="007F0D47" w:rsidP="00382EF6">
      <w:pPr>
        <w:pStyle w:val="Heading1"/>
        <w:numPr>
          <w:ilvl w:val="0"/>
          <w:numId w:val="2"/>
        </w:numPr>
        <w:spacing w:before="120" w:after="120"/>
        <w:textAlignment w:val="auto"/>
        <w:rPr>
          <w:rFonts w:cstheme="minorHAnsi"/>
          <w:sz w:val="24"/>
          <w:szCs w:val="24"/>
        </w:rPr>
      </w:pPr>
      <w:r w:rsidRPr="00277E7F">
        <w:rPr>
          <w:rFonts w:cstheme="minorHAnsi"/>
          <w:sz w:val="24"/>
          <w:szCs w:val="24"/>
        </w:rPr>
        <w:t>ITU project portfolio: On-going projects</w:t>
      </w:r>
    </w:p>
    <w:p w14:paraId="673A0989" w14:textId="77777777" w:rsidR="007F0D47" w:rsidRPr="00382EF6" w:rsidRDefault="007F0D47" w:rsidP="00382EF6">
      <w:pPr>
        <w:pStyle w:val="Heading2"/>
        <w:numPr>
          <w:ilvl w:val="1"/>
          <w:numId w:val="2"/>
        </w:numPr>
        <w:spacing w:before="120" w:after="120"/>
        <w:ind w:left="540" w:hanging="540"/>
        <w:textAlignment w:val="auto"/>
        <w:rPr>
          <w:rFonts w:cstheme="minorHAnsi"/>
          <w:szCs w:val="24"/>
        </w:rPr>
      </w:pPr>
      <w:r w:rsidRPr="00382EF6">
        <w:rPr>
          <w:rFonts w:cstheme="minorHAnsi"/>
          <w:szCs w:val="24"/>
        </w:rPr>
        <w:t>Overview and regional distribution</w:t>
      </w:r>
    </w:p>
    <w:p w14:paraId="388CABEE" w14:textId="59C4311B" w:rsidR="007F0D47" w:rsidRPr="00277E7F" w:rsidRDefault="007F0D47" w:rsidP="00382EF6">
      <w:pPr>
        <w:spacing w:after="120"/>
        <w:rPr>
          <w:rFonts w:cstheme="minorHAnsi"/>
        </w:rPr>
      </w:pPr>
      <w:r w:rsidRPr="00277E7F">
        <w:rPr>
          <w:rFonts w:cstheme="minorHAnsi"/>
        </w:rPr>
        <w:t xml:space="preserve">As of </w:t>
      </w:r>
      <w:r w:rsidR="00AE55F5" w:rsidRPr="00277E7F">
        <w:rPr>
          <w:rFonts w:cstheme="minorHAnsi"/>
        </w:rPr>
        <w:t xml:space="preserve">15 September </w:t>
      </w:r>
      <w:r w:rsidRPr="00277E7F">
        <w:rPr>
          <w:rFonts w:cstheme="minorHAnsi"/>
        </w:rPr>
        <w:t>202</w:t>
      </w:r>
      <w:r w:rsidR="00AE55F5" w:rsidRPr="00277E7F">
        <w:rPr>
          <w:rFonts w:cstheme="minorHAnsi"/>
        </w:rPr>
        <w:t>1</w:t>
      </w:r>
      <w:r w:rsidRPr="00277E7F">
        <w:rPr>
          <w:rFonts w:cstheme="minorHAnsi"/>
        </w:rPr>
        <w:t>, the ITU project portfolio stood at 7</w:t>
      </w:r>
      <w:r w:rsidR="00BB13F2" w:rsidRPr="00277E7F">
        <w:rPr>
          <w:rFonts w:cstheme="minorHAnsi"/>
        </w:rPr>
        <w:t>7</w:t>
      </w:r>
      <w:r w:rsidRPr="00277E7F">
        <w:rPr>
          <w:rFonts w:cstheme="minorHAnsi"/>
        </w:rPr>
        <w:t xml:space="preserve"> ongoing projects, valued at CHF </w:t>
      </w:r>
      <w:r w:rsidR="00324345" w:rsidRPr="00277E7F">
        <w:rPr>
          <w:rFonts w:cstheme="minorHAnsi"/>
        </w:rPr>
        <w:t>93</w:t>
      </w:r>
      <w:r w:rsidRPr="00277E7F">
        <w:rPr>
          <w:rFonts w:cstheme="minorHAnsi"/>
        </w:rPr>
        <w:t>.</w:t>
      </w:r>
      <w:r w:rsidR="00324345" w:rsidRPr="00277E7F">
        <w:rPr>
          <w:rFonts w:cstheme="minorHAnsi"/>
        </w:rPr>
        <w:t>9</w:t>
      </w:r>
      <w:r w:rsidRPr="00277E7F">
        <w:rPr>
          <w:rFonts w:cstheme="minorHAnsi"/>
        </w:rPr>
        <w:t xml:space="preserve"> million, with </w:t>
      </w:r>
      <w:r w:rsidR="00CF0BC1">
        <w:rPr>
          <w:rFonts w:cstheme="minorHAnsi"/>
        </w:rPr>
        <w:t xml:space="preserve">a </w:t>
      </w:r>
      <w:r w:rsidRPr="00277E7F">
        <w:rPr>
          <w:rFonts w:cstheme="minorHAnsi"/>
        </w:rPr>
        <w:t>balance of CHF 2</w:t>
      </w:r>
      <w:r w:rsidR="00324345" w:rsidRPr="00277E7F">
        <w:rPr>
          <w:rFonts w:cstheme="minorHAnsi"/>
        </w:rPr>
        <w:t>5</w:t>
      </w:r>
      <w:r w:rsidRPr="00277E7F">
        <w:rPr>
          <w:rFonts w:cstheme="minorHAnsi"/>
        </w:rPr>
        <w:t>.</w:t>
      </w:r>
      <w:r w:rsidR="00324345" w:rsidRPr="00277E7F">
        <w:rPr>
          <w:rFonts w:cstheme="minorHAnsi"/>
        </w:rPr>
        <w:t>9</w:t>
      </w:r>
      <w:r w:rsidRPr="00277E7F">
        <w:rPr>
          <w:rFonts w:cstheme="minorHAnsi"/>
        </w:rPr>
        <w:t xml:space="preserve"> million </w:t>
      </w:r>
      <w:r w:rsidR="00CF0BC1">
        <w:rPr>
          <w:rFonts w:cstheme="minorHAnsi"/>
        </w:rPr>
        <w:t xml:space="preserve">yet </w:t>
      </w:r>
      <w:r w:rsidR="00585A51" w:rsidRPr="00277E7F">
        <w:rPr>
          <w:rFonts w:cstheme="minorHAnsi"/>
        </w:rPr>
        <w:t xml:space="preserve">to be </w:t>
      </w:r>
      <w:r w:rsidRPr="00277E7F">
        <w:rPr>
          <w:rFonts w:cstheme="minorHAnsi"/>
        </w:rPr>
        <w:t xml:space="preserve">committed. Figure 1 presents the overall distribution of </w:t>
      </w:r>
      <w:r w:rsidR="00F55352" w:rsidRPr="00277E7F">
        <w:rPr>
          <w:rFonts w:cstheme="minorHAnsi"/>
        </w:rPr>
        <w:t xml:space="preserve">this portfolio </w:t>
      </w:r>
      <w:r w:rsidRPr="00277E7F">
        <w:rPr>
          <w:rFonts w:cstheme="minorHAnsi"/>
        </w:rPr>
        <w:t>by region, and the overview of funds allocated to these projects.</w:t>
      </w:r>
    </w:p>
    <w:p w14:paraId="07AC972A" w14:textId="77777777" w:rsidR="007F0D47" w:rsidRPr="00277E7F" w:rsidRDefault="007F0D47" w:rsidP="006D4D26">
      <w:pPr>
        <w:spacing w:after="120"/>
        <w:jc w:val="center"/>
        <w:rPr>
          <w:rFonts w:cstheme="minorHAnsi"/>
          <w:b/>
          <w:bCs/>
          <w:sz w:val="40"/>
          <w:szCs w:val="32"/>
        </w:rPr>
      </w:pPr>
      <w:r w:rsidRPr="00277E7F">
        <w:rPr>
          <w:rFonts w:cstheme="minorHAnsi"/>
          <w:b/>
          <w:bCs/>
          <w:szCs w:val="24"/>
        </w:rPr>
        <w:t xml:space="preserve">Figure 1 – Overview of on-going ITU projects by region </w:t>
      </w:r>
      <w:r w:rsidRPr="00277E7F">
        <w:rPr>
          <w:rFonts w:cstheme="minorHAnsi"/>
          <w:b/>
          <w:bCs/>
          <w:szCs w:val="24"/>
        </w:rPr>
        <w:br/>
        <w:t>(figures in k CHF)</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10"/>
        <w:gridCol w:w="990"/>
        <w:gridCol w:w="1008"/>
        <w:gridCol w:w="1050"/>
        <w:gridCol w:w="1053"/>
        <w:gridCol w:w="1149"/>
        <w:gridCol w:w="1157"/>
        <w:gridCol w:w="788"/>
      </w:tblGrid>
      <w:tr w:rsidR="00252AF2" w:rsidRPr="00277E7F" w14:paraId="248C5AA1" w14:textId="77777777" w:rsidTr="00B24CD6">
        <w:trPr>
          <w:trHeight w:val="300"/>
          <w:jc w:val="center"/>
        </w:trPr>
        <w:tc>
          <w:tcPr>
            <w:tcW w:w="810" w:type="dxa"/>
            <w:tcBorders>
              <w:top w:val="single" w:sz="4" w:space="0" w:color="auto"/>
              <w:left w:val="single" w:sz="4" w:space="0" w:color="auto"/>
              <w:bottom w:val="nil"/>
              <w:right w:val="nil"/>
            </w:tcBorders>
            <w:shd w:val="clear" w:color="auto" w:fill="4F81BD" w:themeFill="accent1"/>
            <w:noWrap/>
            <w:vAlign w:val="center"/>
            <w:hideMark/>
          </w:tcPr>
          <w:p w14:paraId="032FE799"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Region</w:t>
            </w:r>
          </w:p>
        </w:tc>
        <w:tc>
          <w:tcPr>
            <w:tcW w:w="990" w:type="dxa"/>
            <w:vMerge w:val="restart"/>
            <w:tcBorders>
              <w:top w:val="single" w:sz="4" w:space="0" w:color="auto"/>
              <w:left w:val="nil"/>
              <w:bottom w:val="single" w:sz="4" w:space="0" w:color="auto"/>
              <w:right w:val="nil"/>
            </w:tcBorders>
            <w:shd w:val="clear" w:color="auto" w:fill="4F81BD" w:themeFill="accent1"/>
            <w:noWrap/>
            <w:vAlign w:val="center"/>
            <w:hideMark/>
          </w:tcPr>
          <w:p w14:paraId="5FD49B0B"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Number of Projects</w:t>
            </w:r>
          </w:p>
        </w:tc>
        <w:tc>
          <w:tcPr>
            <w:tcW w:w="1008" w:type="dxa"/>
            <w:vMerge w:val="restart"/>
            <w:tcBorders>
              <w:top w:val="single" w:sz="4" w:space="0" w:color="auto"/>
              <w:left w:val="nil"/>
              <w:bottom w:val="single" w:sz="4" w:space="0" w:color="auto"/>
              <w:right w:val="nil"/>
            </w:tcBorders>
            <w:shd w:val="clear" w:color="auto" w:fill="4F81BD" w:themeFill="accent1"/>
            <w:noWrap/>
            <w:vAlign w:val="center"/>
            <w:hideMark/>
          </w:tcPr>
          <w:p w14:paraId="7A4CD341"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Cash external</w:t>
            </w:r>
          </w:p>
        </w:tc>
        <w:tc>
          <w:tcPr>
            <w:tcW w:w="1050" w:type="dxa"/>
            <w:tcBorders>
              <w:top w:val="single" w:sz="4" w:space="0" w:color="auto"/>
              <w:left w:val="nil"/>
              <w:bottom w:val="nil"/>
              <w:right w:val="nil"/>
            </w:tcBorders>
            <w:shd w:val="clear" w:color="auto" w:fill="4F81BD" w:themeFill="accent1"/>
            <w:noWrap/>
            <w:vAlign w:val="center"/>
            <w:hideMark/>
          </w:tcPr>
          <w:p w14:paraId="705168C9"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Cash</w:t>
            </w:r>
          </w:p>
        </w:tc>
        <w:tc>
          <w:tcPr>
            <w:tcW w:w="1053" w:type="dxa"/>
            <w:tcBorders>
              <w:top w:val="single" w:sz="4" w:space="0" w:color="auto"/>
              <w:left w:val="nil"/>
              <w:bottom w:val="nil"/>
              <w:right w:val="nil"/>
            </w:tcBorders>
            <w:shd w:val="clear" w:color="auto" w:fill="4F81BD" w:themeFill="accent1"/>
            <w:noWrap/>
            <w:vAlign w:val="center"/>
            <w:hideMark/>
          </w:tcPr>
          <w:p w14:paraId="7E2DD0BD"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Cash</w:t>
            </w:r>
          </w:p>
        </w:tc>
        <w:tc>
          <w:tcPr>
            <w:tcW w:w="1149" w:type="dxa"/>
            <w:tcBorders>
              <w:top w:val="single" w:sz="4" w:space="0" w:color="auto"/>
              <w:left w:val="nil"/>
              <w:bottom w:val="nil"/>
              <w:right w:val="nil"/>
            </w:tcBorders>
            <w:shd w:val="clear" w:color="auto" w:fill="4F81BD" w:themeFill="accent1"/>
            <w:noWrap/>
            <w:vAlign w:val="center"/>
            <w:hideMark/>
          </w:tcPr>
          <w:p w14:paraId="3EADEE41"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Total</w:t>
            </w:r>
          </w:p>
        </w:tc>
        <w:tc>
          <w:tcPr>
            <w:tcW w:w="1157" w:type="dxa"/>
            <w:vMerge w:val="restart"/>
            <w:tcBorders>
              <w:top w:val="single" w:sz="4" w:space="0" w:color="auto"/>
              <w:left w:val="nil"/>
              <w:bottom w:val="single" w:sz="4" w:space="0" w:color="auto"/>
              <w:right w:val="nil"/>
            </w:tcBorders>
            <w:shd w:val="clear" w:color="auto" w:fill="4F81BD" w:themeFill="accent1"/>
            <w:noWrap/>
            <w:vAlign w:val="center"/>
            <w:hideMark/>
          </w:tcPr>
          <w:p w14:paraId="3199F660" w14:textId="521B54CE" w:rsidR="007F0D47" w:rsidRPr="00277E7F" w:rsidRDefault="007F0D47" w:rsidP="006D4D26">
            <w:pPr>
              <w:spacing w:before="60" w:after="60"/>
              <w:ind w:left="-104"/>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 xml:space="preserve">Balance of funds as of </w:t>
            </w:r>
            <w:r w:rsidR="00D914DB" w:rsidRPr="00277E7F">
              <w:rPr>
                <w:rFonts w:eastAsiaTheme="minorEastAsia" w:cstheme="minorHAnsi"/>
                <w:b/>
                <w:bCs/>
                <w:color w:val="FFFFFF" w:themeColor="background1"/>
                <w:sz w:val="20"/>
                <w:lang w:eastAsia="zh-CN"/>
              </w:rPr>
              <w:t>15</w:t>
            </w:r>
            <w:r w:rsidRPr="00277E7F">
              <w:rPr>
                <w:rFonts w:eastAsiaTheme="minorEastAsia" w:cstheme="minorHAnsi"/>
                <w:b/>
                <w:bCs/>
                <w:color w:val="FFFFFF" w:themeColor="background1"/>
                <w:sz w:val="20"/>
                <w:lang w:eastAsia="zh-CN"/>
              </w:rPr>
              <w:t>/</w:t>
            </w:r>
            <w:r w:rsidR="00D914DB" w:rsidRPr="00277E7F">
              <w:rPr>
                <w:rFonts w:eastAsiaTheme="minorEastAsia" w:cstheme="minorHAnsi"/>
                <w:b/>
                <w:bCs/>
                <w:color w:val="FFFFFF" w:themeColor="background1"/>
                <w:sz w:val="20"/>
                <w:lang w:eastAsia="zh-CN"/>
              </w:rPr>
              <w:t>09</w:t>
            </w:r>
            <w:r w:rsidRPr="00277E7F">
              <w:rPr>
                <w:rFonts w:eastAsiaTheme="minorEastAsia" w:cstheme="minorHAnsi"/>
                <w:b/>
                <w:bCs/>
                <w:color w:val="FFFFFF" w:themeColor="background1"/>
                <w:sz w:val="20"/>
                <w:lang w:eastAsia="zh-CN"/>
              </w:rPr>
              <w:t>/2</w:t>
            </w:r>
            <w:r w:rsidR="00D914DB" w:rsidRPr="00277E7F">
              <w:rPr>
                <w:rFonts w:eastAsiaTheme="minorEastAsia" w:cstheme="minorHAnsi"/>
                <w:b/>
                <w:bCs/>
                <w:color w:val="FFFFFF" w:themeColor="background1"/>
                <w:sz w:val="20"/>
                <w:lang w:eastAsia="zh-CN"/>
              </w:rPr>
              <w:t>1</w:t>
            </w:r>
          </w:p>
        </w:tc>
        <w:tc>
          <w:tcPr>
            <w:tcW w:w="788" w:type="dxa"/>
            <w:vMerge w:val="restart"/>
            <w:tcBorders>
              <w:top w:val="single" w:sz="4" w:space="0" w:color="auto"/>
              <w:left w:val="nil"/>
              <w:bottom w:val="single" w:sz="4" w:space="0" w:color="auto"/>
              <w:right w:val="single" w:sz="4" w:space="0" w:color="auto"/>
            </w:tcBorders>
            <w:shd w:val="clear" w:color="auto" w:fill="4F81BD" w:themeFill="accent1"/>
            <w:noWrap/>
            <w:vAlign w:val="center"/>
            <w:hideMark/>
          </w:tcPr>
          <w:p w14:paraId="7A8D94A4" w14:textId="77777777" w:rsidR="007F0D47" w:rsidRPr="00277E7F" w:rsidRDefault="007F0D47" w:rsidP="006D4D26">
            <w:pPr>
              <w:spacing w:before="60" w:after="60"/>
              <w:ind w:left="-104" w:right="-14"/>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 Balance</w:t>
            </w:r>
          </w:p>
        </w:tc>
      </w:tr>
      <w:tr w:rsidR="00252AF2" w:rsidRPr="00277E7F" w14:paraId="69593131" w14:textId="77777777" w:rsidTr="00B24CD6">
        <w:trPr>
          <w:trHeight w:val="270"/>
          <w:jc w:val="center"/>
        </w:trPr>
        <w:tc>
          <w:tcPr>
            <w:tcW w:w="810" w:type="dxa"/>
            <w:tcBorders>
              <w:top w:val="nil"/>
              <w:left w:val="single" w:sz="4" w:space="0" w:color="auto"/>
              <w:bottom w:val="single" w:sz="4" w:space="0" w:color="auto"/>
              <w:right w:val="nil"/>
            </w:tcBorders>
            <w:shd w:val="clear" w:color="auto" w:fill="4F81BD" w:themeFill="accent1"/>
            <w:noWrap/>
            <w:vAlign w:val="center"/>
            <w:hideMark/>
          </w:tcPr>
          <w:p w14:paraId="377DA07D" w14:textId="77777777" w:rsidR="007F0D47" w:rsidRPr="00277E7F" w:rsidRDefault="007F0D47" w:rsidP="006D4D26">
            <w:pPr>
              <w:rPr>
                <w:rFonts w:eastAsiaTheme="minorEastAsia" w:cstheme="minorHAnsi"/>
                <w:b/>
                <w:bCs/>
                <w:color w:val="FF0000"/>
                <w:sz w:val="20"/>
                <w:lang w:eastAsia="zh-CN"/>
              </w:rPr>
            </w:pPr>
          </w:p>
        </w:tc>
        <w:tc>
          <w:tcPr>
            <w:tcW w:w="990" w:type="dxa"/>
            <w:vMerge/>
            <w:tcBorders>
              <w:top w:val="single" w:sz="4" w:space="0" w:color="auto"/>
              <w:left w:val="nil"/>
              <w:bottom w:val="single" w:sz="4" w:space="0" w:color="auto"/>
              <w:right w:val="nil"/>
            </w:tcBorders>
            <w:vAlign w:val="center"/>
            <w:hideMark/>
          </w:tcPr>
          <w:p w14:paraId="6982B89E" w14:textId="77777777" w:rsidR="007F0D47" w:rsidRPr="00277E7F" w:rsidRDefault="007F0D47" w:rsidP="006D4D26">
            <w:pPr>
              <w:tabs>
                <w:tab w:val="clear" w:pos="794"/>
                <w:tab w:val="clear" w:pos="1191"/>
                <w:tab w:val="clear" w:pos="1588"/>
                <w:tab w:val="clear" w:pos="1985"/>
              </w:tabs>
              <w:overflowPunct/>
              <w:autoSpaceDE/>
              <w:autoSpaceDN/>
              <w:adjustRightInd/>
              <w:spacing w:before="0"/>
              <w:rPr>
                <w:rFonts w:eastAsiaTheme="minorEastAsia" w:cstheme="minorHAnsi"/>
                <w:b/>
                <w:bCs/>
                <w:color w:val="FF0000"/>
                <w:sz w:val="20"/>
                <w:lang w:eastAsia="zh-CN"/>
              </w:rPr>
            </w:pPr>
          </w:p>
        </w:tc>
        <w:tc>
          <w:tcPr>
            <w:tcW w:w="1008" w:type="dxa"/>
            <w:vMerge/>
            <w:tcBorders>
              <w:top w:val="single" w:sz="4" w:space="0" w:color="auto"/>
              <w:left w:val="nil"/>
              <w:bottom w:val="single" w:sz="4" w:space="0" w:color="auto"/>
              <w:right w:val="nil"/>
            </w:tcBorders>
            <w:vAlign w:val="center"/>
            <w:hideMark/>
          </w:tcPr>
          <w:p w14:paraId="56F1841A" w14:textId="77777777" w:rsidR="007F0D47" w:rsidRPr="00277E7F" w:rsidRDefault="007F0D47" w:rsidP="006D4D26">
            <w:pPr>
              <w:tabs>
                <w:tab w:val="clear" w:pos="794"/>
                <w:tab w:val="clear" w:pos="1191"/>
                <w:tab w:val="clear" w:pos="1588"/>
                <w:tab w:val="clear" w:pos="1985"/>
              </w:tabs>
              <w:overflowPunct/>
              <w:autoSpaceDE/>
              <w:autoSpaceDN/>
              <w:adjustRightInd/>
              <w:spacing w:before="0"/>
              <w:rPr>
                <w:rFonts w:eastAsiaTheme="minorEastAsia" w:cstheme="minorHAnsi"/>
                <w:b/>
                <w:bCs/>
                <w:color w:val="FFFFFF" w:themeColor="background1"/>
                <w:sz w:val="20"/>
                <w:lang w:eastAsia="zh-CN"/>
              </w:rPr>
            </w:pPr>
          </w:p>
        </w:tc>
        <w:tc>
          <w:tcPr>
            <w:tcW w:w="1050" w:type="dxa"/>
            <w:tcBorders>
              <w:top w:val="nil"/>
              <w:left w:val="nil"/>
              <w:bottom w:val="single" w:sz="4" w:space="0" w:color="auto"/>
              <w:right w:val="nil"/>
            </w:tcBorders>
            <w:shd w:val="clear" w:color="auto" w:fill="4F81BD" w:themeFill="accent1"/>
            <w:noWrap/>
            <w:vAlign w:val="center"/>
            <w:hideMark/>
          </w:tcPr>
          <w:p w14:paraId="0A65B935"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ICT-DF</w:t>
            </w:r>
          </w:p>
        </w:tc>
        <w:tc>
          <w:tcPr>
            <w:tcW w:w="1053" w:type="dxa"/>
            <w:tcBorders>
              <w:top w:val="nil"/>
              <w:left w:val="nil"/>
              <w:bottom w:val="single" w:sz="4" w:space="0" w:color="auto"/>
              <w:right w:val="nil"/>
            </w:tcBorders>
            <w:shd w:val="clear" w:color="auto" w:fill="4F81BD" w:themeFill="accent1"/>
            <w:noWrap/>
            <w:vAlign w:val="center"/>
            <w:hideMark/>
          </w:tcPr>
          <w:p w14:paraId="7B7EDEF9"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OP</w:t>
            </w:r>
          </w:p>
        </w:tc>
        <w:tc>
          <w:tcPr>
            <w:tcW w:w="1149" w:type="dxa"/>
            <w:tcBorders>
              <w:top w:val="nil"/>
              <w:left w:val="nil"/>
              <w:bottom w:val="single" w:sz="4" w:space="0" w:color="auto"/>
              <w:right w:val="nil"/>
            </w:tcBorders>
            <w:shd w:val="clear" w:color="auto" w:fill="4F81BD" w:themeFill="accent1"/>
            <w:noWrap/>
            <w:vAlign w:val="center"/>
            <w:hideMark/>
          </w:tcPr>
          <w:p w14:paraId="4D3CE38D" w14:textId="77777777" w:rsidR="007F0D47" w:rsidRPr="00277E7F" w:rsidRDefault="007F0D47" w:rsidP="006D4D26">
            <w:pPr>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Cash</w:t>
            </w:r>
          </w:p>
        </w:tc>
        <w:tc>
          <w:tcPr>
            <w:tcW w:w="1157" w:type="dxa"/>
            <w:vMerge/>
            <w:tcBorders>
              <w:top w:val="single" w:sz="4" w:space="0" w:color="auto"/>
              <w:left w:val="nil"/>
              <w:bottom w:val="single" w:sz="4" w:space="0" w:color="auto"/>
              <w:right w:val="nil"/>
            </w:tcBorders>
            <w:vAlign w:val="center"/>
            <w:hideMark/>
          </w:tcPr>
          <w:p w14:paraId="33F2840C" w14:textId="77777777" w:rsidR="007F0D47" w:rsidRPr="00277E7F" w:rsidRDefault="007F0D47" w:rsidP="006D4D26">
            <w:pPr>
              <w:tabs>
                <w:tab w:val="clear" w:pos="794"/>
                <w:tab w:val="clear" w:pos="1191"/>
                <w:tab w:val="clear" w:pos="1588"/>
                <w:tab w:val="clear" w:pos="1985"/>
              </w:tabs>
              <w:overflowPunct/>
              <w:autoSpaceDE/>
              <w:autoSpaceDN/>
              <w:adjustRightInd/>
              <w:spacing w:before="0"/>
              <w:rPr>
                <w:rFonts w:eastAsiaTheme="minorEastAsia" w:cstheme="minorHAnsi"/>
                <w:b/>
                <w:bCs/>
                <w:color w:val="FF0000"/>
                <w:sz w:val="20"/>
                <w:lang w:eastAsia="zh-CN"/>
              </w:rPr>
            </w:pPr>
          </w:p>
        </w:tc>
        <w:tc>
          <w:tcPr>
            <w:tcW w:w="788" w:type="dxa"/>
            <w:vMerge/>
            <w:tcBorders>
              <w:top w:val="single" w:sz="4" w:space="0" w:color="auto"/>
              <w:left w:val="nil"/>
              <w:bottom w:val="single" w:sz="4" w:space="0" w:color="auto"/>
              <w:right w:val="single" w:sz="4" w:space="0" w:color="auto"/>
            </w:tcBorders>
            <w:vAlign w:val="center"/>
            <w:hideMark/>
          </w:tcPr>
          <w:p w14:paraId="79C08271" w14:textId="77777777" w:rsidR="007F0D47" w:rsidRPr="00277E7F" w:rsidRDefault="007F0D47" w:rsidP="006D4D26">
            <w:pPr>
              <w:tabs>
                <w:tab w:val="clear" w:pos="794"/>
                <w:tab w:val="clear" w:pos="1191"/>
                <w:tab w:val="clear" w:pos="1588"/>
                <w:tab w:val="clear" w:pos="1985"/>
              </w:tabs>
              <w:overflowPunct/>
              <w:autoSpaceDE/>
              <w:autoSpaceDN/>
              <w:adjustRightInd/>
              <w:spacing w:before="0"/>
              <w:rPr>
                <w:rFonts w:eastAsiaTheme="minorEastAsia" w:cstheme="minorHAnsi"/>
                <w:b/>
                <w:bCs/>
                <w:color w:val="FF0000"/>
                <w:sz w:val="20"/>
                <w:lang w:eastAsia="zh-CN"/>
              </w:rPr>
            </w:pPr>
          </w:p>
        </w:tc>
      </w:tr>
      <w:tr w:rsidR="00D914DB" w:rsidRPr="00277E7F" w14:paraId="3010A19B" w14:textId="77777777" w:rsidTr="00B24CD6">
        <w:trPr>
          <w:trHeight w:val="54"/>
          <w:jc w:val="center"/>
        </w:trPr>
        <w:tc>
          <w:tcPr>
            <w:tcW w:w="810" w:type="dxa"/>
            <w:tcBorders>
              <w:top w:val="single" w:sz="4" w:space="0" w:color="auto"/>
              <w:left w:val="single" w:sz="4" w:space="0" w:color="auto"/>
              <w:bottom w:val="single" w:sz="4" w:space="0" w:color="auto"/>
              <w:right w:val="nil"/>
            </w:tcBorders>
            <w:hideMark/>
          </w:tcPr>
          <w:p w14:paraId="1DC126A7"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 xml:space="preserve">AFR </w:t>
            </w:r>
          </w:p>
        </w:tc>
        <w:tc>
          <w:tcPr>
            <w:tcW w:w="990" w:type="dxa"/>
            <w:tcBorders>
              <w:top w:val="single" w:sz="4" w:space="0" w:color="auto"/>
              <w:left w:val="nil"/>
              <w:bottom w:val="single" w:sz="4" w:space="0" w:color="auto"/>
              <w:right w:val="nil"/>
            </w:tcBorders>
            <w:noWrap/>
            <w:vAlign w:val="bottom"/>
            <w:hideMark/>
          </w:tcPr>
          <w:p w14:paraId="15F4A631" w14:textId="017DC16E"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14</w:t>
            </w:r>
          </w:p>
        </w:tc>
        <w:tc>
          <w:tcPr>
            <w:tcW w:w="1008" w:type="dxa"/>
            <w:tcBorders>
              <w:top w:val="single" w:sz="4" w:space="0" w:color="auto"/>
              <w:left w:val="nil"/>
              <w:bottom w:val="single" w:sz="4" w:space="0" w:color="auto"/>
              <w:right w:val="nil"/>
            </w:tcBorders>
            <w:vAlign w:val="bottom"/>
            <w:hideMark/>
          </w:tcPr>
          <w:p w14:paraId="65987140" w14:textId="4A89A644"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9,896.8</w:t>
            </w:r>
          </w:p>
        </w:tc>
        <w:tc>
          <w:tcPr>
            <w:tcW w:w="1050" w:type="dxa"/>
            <w:tcBorders>
              <w:top w:val="single" w:sz="4" w:space="0" w:color="auto"/>
              <w:left w:val="nil"/>
              <w:bottom w:val="single" w:sz="4" w:space="0" w:color="auto"/>
              <w:right w:val="nil"/>
            </w:tcBorders>
            <w:vAlign w:val="bottom"/>
            <w:hideMark/>
          </w:tcPr>
          <w:p w14:paraId="243DA115" w14:textId="607D7D0F"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956.8</w:t>
            </w:r>
          </w:p>
        </w:tc>
        <w:tc>
          <w:tcPr>
            <w:tcW w:w="1053" w:type="dxa"/>
            <w:tcBorders>
              <w:top w:val="single" w:sz="4" w:space="0" w:color="auto"/>
              <w:left w:val="nil"/>
              <w:bottom w:val="single" w:sz="4" w:space="0" w:color="auto"/>
              <w:right w:val="nil"/>
            </w:tcBorders>
            <w:vAlign w:val="bottom"/>
            <w:hideMark/>
          </w:tcPr>
          <w:p w14:paraId="6B596DA1" w14:textId="5AE8C239"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434.3</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60CFB2DF" w14:textId="157CE9BD"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11,883.9</w:t>
            </w:r>
          </w:p>
        </w:tc>
        <w:tc>
          <w:tcPr>
            <w:tcW w:w="1157" w:type="dxa"/>
            <w:tcBorders>
              <w:top w:val="single" w:sz="4" w:space="0" w:color="auto"/>
              <w:left w:val="nil"/>
              <w:bottom w:val="single" w:sz="4" w:space="0" w:color="auto"/>
              <w:right w:val="nil"/>
            </w:tcBorders>
            <w:vAlign w:val="bottom"/>
            <w:hideMark/>
          </w:tcPr>
          <w:p w14:paraId="1B0DF8BE" w14:textId="673F9D8C"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6,432.4</w:t>
            </w:r>
          </w:p>
        </w:tc>
        <w:tc>
          <w:tcPr>
            <w:tcW w:w="788" w:type="dxa"/>
            <w:tcBorders>
              <w:top w:val="single" w:sz="4" w:space="0" w:color="auto"/>
              <w:left w:val="nil"/>
              <w:bottom w:val="single" w:sz="4" w:space="0" w:color="auto"/>
              <w:right w:val="single" w:sz="4" w:space="0" w:color="auto"/>
            </w:tcBorders>
            <w:vAlign w:val="bottom"/>
            <w:hideMark/>
          </w:tcPr>
          <w:p w14:paraId="020C61CD" w14:textId="245230DD"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54%</w:t>
            </w:r>
          </w:p>
        </w:tc>
      </w:tr>
      <w:tr w:rsidR="00D914DB" w:rsidRPr="00277E7F" w14:paraId="3050771D" w14:textId="77777777" w:rsidTr="00B24CD6">
        <w:trPr>
          <w:trHeight w:val="54"/>
          <w:jc w:val="center"/>
        </w:trPr>
        <w:tc>
          <w:tcPr>
            <w:tcW w:w="810" w:type="dxa"/>
            <w:tcBorders>
              <w:top w:val="single" w:sz="4" w:space="0" w:color="auto"/>
              <w:left w:val="single" w:sz="4" w:space="0" w:color="auto"/>
              <w:bottom w:val="single" w:sz="4" w:space="0" w:color="auto"/>
              <w:right w:val="nil"/>
            </w:tcBorders>
            <w:hideMark/>
          </w:tcPr>
          <w:p w14:paraId="091490A1"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 xml:space="preserve">AMS </w:t>
            </w:r>
          </w:p>
        </w:tc>
        <w:tc>
          <w:tcPr>
            <w:tcW w:w="990" w:type="dxa"/>
            <w:tcBorders>
              <w:top w:val="single" w:sz="4" w:space="0" w:color="auto"/>
              <w:left w:val="nil"/>
              <w:bottom w:val="single" w:sz="4" w:space="0" w:color="auto"/>
              <w:right w:val="nil"/>
            </w:tcBorders>
            <w:noWrap/>
            <w:vAlign w:val="bottom"/>
            <w:hideMark/>
          </w:tcPr>
          <w:p w14:paraId="74FD2862" w14:textId="01E34220"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11</w:t>
            </w:r>
          </w:p>
        </w:tc>
        <w:tc>
          <w:tcPr>
            <w:tcW w:w="1008" w:type="dxa"/>
            <w:tcBorders>
              <w:top w:val="single" w:sz="4" w:space="0" w:color="auto"/>
              <w:left w:val="nil"/>
              <w:bottom w:val="single" w:sz="4" w:space="0" w:color="auto"/>
              <w:right w:val="nil"/>
            </w:tcBorders>
            <w:vAlign w:val="bottom"/>
            <w:hideMark/>
          </w:tcPr>
          <w:p w14:paraId="2F0324C6" w14:textId="0CAD9242"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41,230.9</w:t>
            </w:r>
          </w:p>
        </w:tc>
        <w:tc>
          <w:tcPr>
            <w:tcW w:w="1050" w:type="dxa"/>
            <w:tcBorders>
              <w:top w:val="single" w:sz="4" w:space="0" w:color="auto"/>
              <w:left w:val="nil"/>
              <w:bottom w:val="single" w:sz="4" w:space="0" w:color="auto"/>
              <w:right w:val="nil"/>
            </w:tcBorders>
            <w:vAlign w:val="bottom"/>
            <w:hideMark/>
          </w:tcPr>
          <w:p w14:paraId="26A68C6F" w14:textId="5466ADF9"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114.8</w:t>
            </w:r>
          </w:p>
        </w:tc>
        <w:tc>
          <w:tcPr>
            <w:tcW w:w="1053" w:type="dxa"/>
            <w:tcBorders>
              <w:top w:val="single" w:sz="4" w:space="0" w:color="auto"/>
              <w:left w:val="nil"/>
              <w:bottom w:val="single" w:sz="4" w:space="0" w:color="auto"/>
              <w:right w:val="nil"/>
            </w:tcBorders>
            <w:vAlign w:val="bottom"/>
            <w:hideMark/>
          </w:tcPr>
          <w:p w14:paraId="5E664342" w14:textId="16626F93"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612.2</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142F1904" w14:textId="2F73501A"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41,957.9</w:t>
            </w:r>
          </w:p>
        </w:tc>
        <w:tc>
          <w:tcPr>
            <w:tcW w:w="1157" w:type="dxa"/>
            <w:tcBorders>
              <w:top w:val="single" w:sz="4" w:space="0" w:color="auto"/>
              <w:left w:val="nil"/>
              <w:bottom w:val="single" w:sz="4" w:space="0" w:color="auto"/>
              <w:right w:val="nil"/>
            </w:tcBorders>
            <w:vAlign w:val="bottom"/>
            <w:hideMark/>
          </w:tcPr>
          <w:p w14:paraId="6DDF605A" w14:textId="29FB08B7"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5,438.3</w:t>
            </w:r>
          </w:p>
        </w:tc>
        <w:tc>
          <w:tcPr>
            <w:tcW w:w="788" w:type="dxa"/>
            <w:tcBorders>
              <w:top w:val="single" w:sz="4" w:space="0" w:color="auto"/>
              <w:left w:val="nil"/>
              <w:bottom w:val="single" w:sz="4" w:space="0" w:color="auto"/>
              <w:right w:val="single" w:sz="4" w:space="0" w:color="auto"/>
            </w:tcBorders>
            <w:vAlign w:val="bottom"/>
            <w:hideMark/>
          </w:tcPr>
          <w:p w14:paraId="2D805BDA" w14:textId="4E3C146D"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13%</w:t>
            </w:r>
          </w:p>
        </w:tc>
      </w:tr>
      <w:tr w:rsidR="00D914DB" w:rsidRPr="00277E7F" w14:paraId="71CC71EC" w14:textId="77777777" w:rsidTr="00B24CD6">
        <w:trPr>
          <w:trHeight w:val="300"/>
          <w:jc w:val="center"/>
        </w:trPr>
        <w:tc>
          <w:tcPr>
            <w:tcW w:w="810" w:type="dxa"/>
            <w:tcBorders>
              <w:top w:val="single" w:sz="4" w:space="0" w:color="auto"/>
              <w:left w:val="single" w:sz="4" w:space="0" w:color="auto"/>
              <w:bottom w:val="single" w:sz="4" w:space="0" w:color="auto"/>
              <w:right w:val="nil"/>
            </w:tcBorders>
            <w:hideMark/>
          </w:tcPr>
          <w:p w14:paraId="19F660DD"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 xml:space="preserve">ARB </w:t>
            </w:r>
          </w:p>
        </w:tc>
        <w:tc>
          <w:tcPr>
            <w:tcW w:w="990" w:type="dxa"/>
            <w:tcBorders>
              <w:top w:val="single" w:sz="4" w:space="0" w:color="auto"/>
              <w:left w:val="nil"/>
              <w:bottom w:val="single" w:sz="4" w:space="0" w:color="auto"/>
              <w:right w:val="nil"/>
            </w:tcBorders>
            <w:vAlign w:val="bottom"/>
            <w:hideMark/>
          </w:tcPr>
          <w:p w14:paraId="1BEEC326" w14:textId="003AD408"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9</w:t>
            </w:r>
          </w:p>
        </w:tc>
        <w:tc>
          <w:tcPr>
            <w:tcW w:w="1008" w:type="dxa"/>
            <w:tcBorders>
              <w:top w:val="single" w:sz="4" w:space="0" w:color="auto"/>
              <w:left w:val="nil"/>
              <w:bottom w:val="single" w:sz="4" w:space="0" w:color="auto"/>
              <w:right w:val="nil"/>
            </w:tcBorders>
            <w:vAlign w:val="bottom"/>
            <w:hideMark/>
          </w:tcPr>
          <w:p w14:paraId="31C13982" w14:textId="482301B9"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5,045.3</w:t>
            </w:r>
          </w:p>
        </w:tc>
        <w:tc>
          <w:tcPr>
            <w:tcW w:w="1050" w:type="dxa"/>
            <w:tcBorders>
              <w:top w:val="single" w:sz="4" w:space="0" w:color="auto"/>
              <w:left w:val="nil"/>
              <w:bottom w:val="single" w:sz="4" w:space="0" w:color="auto"/>
              <w:right w:val="nil"/>
            </w:tcBorders>
            <w:vAlign w:val="bottom"/>
            <w:hideMark/>
          </w:tcPr>
          <w:p w14:paraId="5CC80C9D" w14:textId="3944091E"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690.0</w:t>
            </w:r>
          </w:p>
        </w:tc>
        <w:tc>
          <w:tcPr>
            <w:tcW w:w="1053" w:type="dxa"/>
            <w:tcBorders>
              <w:top w:val="single" w:sz="4" w:space="0" w:color="auto"/>
              <w:left w:val="nil"/>
              <w:bottom w:val="single" w:sz="4" w:space="0" w:color="auto"/>
              <w:right w:val="nil"/>
            </w:tcBorders>
            <w:vAlign w:val="bottom"/>
            <w:hideMark/>
          </w:tcPr>
          <w:p w14:paraId="0198BB74" w14:textId="6B0C4A8A"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189.0</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5B5C1181" w14:textId="4AEB0212"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5,924.3</w:t>
            </w:r>
          </w:p>
        </w:tc>
        <w:tc>
          <w:tcPr>
            <w:tcW w:w="1157" w:type="dxa"/>
            <w:tcBorders>
              <w:top w:val="single" w:sz="4" w:space="0" w:color="auto"/>
              <w:left w:val="nil"/>
              <w:bottom w:val="single" w:sz="4" w:space="0" w:color="auto"/>
              <w:right w:val="nil"/>
            </w:tcBorders>
            <w:vAlign w:val="bottom"/>
            <w:hideMark/>
          </w:tcPr>
          <w:p w14:paraId="76185CD3" w14:textId="31E70217"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1,663.0</w:t>
            </w:r>
          </w:p>
        </w:tc>
        <w:tc>
          <w:tcPr>
            <w:tcW w:w="788" w:type="dxa"/>
            <w:tcBorders>
              <w:top w:val="single" w:sz="4" w:space="0" w:color="auto"/>
              <w:left w:val="nil"/>
              <w:bottom w:val="single" w:sz="4" w:space="0" w:color="auto"/>
              <w:right w:val="single" w:sz="4" w:space="0" w:color="auto"/>
            </w:tcBorders>
            <w:vAlign w:val="bottom"/>
            <w:hideMark/>
          </w:tcPr>
          <w:p w14:paraId="1FAE0397" w14:textId="00D4AAE4"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28%</w:t>
            </w:r>
          </w:p>
        </w:tc>
      </w:tr>
      <w:tr w:rsidR="00D914DB" w:rsidRPr="00277E7F" w14:paraId="11BDD8DD" w14:textId="77777777" w:rsidTr="00B24CD6">
        <w:trPr>
          <w:trHeight w:val="54"/>
          <w:jc w:val="center"/>
        </w:trPr>
        <w:tc>
          <w:tcPr>
            <w:tcW w:w="810" w:type="dxa"/>
            <w:tcBorders>
              <w:top w:val="single" w:sz="4" w:space="0" w:color="auto"/>
              <w:left w:val="single" w:sz="4" w:space="0" w:color="auto"/>
              <w:bottom w:val="single" w:sz="4" w:space="0" w:color="auto"/>
              <w:right w:val="nil"/>
            </w:tcBorders>
            <w:vAlign w:val="center"/>
            <w:hideMark/>
          </w:tcPr>
          <w:p w14:paraId="4B3B622B"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ASP</w:t>
            </w:r>
          </w:p>
        </w:tc>
        <w:tc>
          <w:tcPr>
            <w:tcW w:w="990" w:type="dxa"/>
            <w:tcBorders>
              <w:top w:val="single" w:sz="4" w:space="0" w:color="auto"/>
              <w:left w:val="nil"/>
              <w:bottom w:val="single" w:sz="4" w:space="0" w:color="auto"/>
              <w:right w:val="nil"/>
            </w:tcBorders>
            <w:noWrap/>
            <w:vAlign w:val="bottom"/>
            <w:hideMark/>
          </w:tcPr>
          <w:p w14:paraId="4031FA24" w14:textId="0F6DEA14"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7</w:t>
            </w:r>
          </w:p>
        </w:tc>
        <w:tc>
          <w:tcPr>
            <w:tcW w:w="1008" w:type="dxa"/>
            <w:tcBorders>
              <w:top w:val="single" w:sz="4" w:space="0" w:color="auto"/>
              <w:left w:val="nil"/>
              <w:bottom w:val="single" w:sz="4" w:space="0" w:color="auto"/>
              <w:right w:val="nil"/>
            </w:tcBorders>
            <w:vAlign w:val="bottom"/>
            <w:hideMark/>
          </w:tcPr>
          <w:p w14:paraId="58560DD8" w14:textId="1D1591AC"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4,213.9</w:t>
            </w:r>
          </w:p>
        </w:tc>
        <w:tc>
          <w:tcPr>
            <w:tcW w:w="1050" w:type="dxa"/>
            <w:tcBorders>
              <w:top w:val="single" w:sz="4" w:space="0" w:color="auto"/>
              <w:left w:val="nil"/>
              <w:bottom w:val="single" w:sz="4" w:space="0" w:color="auto"/>
              <w:right w:val="nil"/>
            </w:tcBorders>
            <w:vAlign w:val="bottom"/>
          </w:tcPr>
          <w:p w14:paraId="785DFE58" w14:textId="77777777" w:rsidR="00D914DB" w:rsidRPr="00277E7F" w:rsidRDefault="00D914DB" w:rsidP="006D4D26">
            <w:pPr>
              <w:spacing w:before="60" w:after="60"/>
              <w:jc w:val="right"/>
              <w:rPr>
                <w:rFonts w:eastAsiaTheme="minorEastAsia" w:cstheme="minorHAnsi"/>
                <w:sz w:val="20"/>
                <w:lang w:eastAsia="zh-CN"/>
              </w:rPr>
            </w:pPr>
          </w:p>
        </w:tc>
        <w:tc>
          <w:tcPr>
            <w:tcW w:w="1053" w:type="dxa"/>
            <w:tcBorders>
              <w:top w:val="single" w:sz="4" w:space="0" w:color="auto"/>
              <w:left w:val="nil"/>
              <w:bottom w:val="single" w:sz="4" w:space="0" w:color="auto"/>
              <w:right w:val="nil"/>
            </w:tcBorders>
            <w:vAlign w:val="bottom"/>
            <w:hideMark/>
          </w:tcPr>
          <w:p w14:paraId="48F35EDE" w14:textId="21C0FEA6"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229.3</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3B8B4FE1" w14:textId="0DF7CE0F"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4,652.2</w:t>
            </w:r>
          </w:p>
        </w:tc>
        <w:tc>
          <w:tcPr>
            <w:tcW w:w="1157" w:type="dxa"/>
            <w:tcBorders>
              <w:top w:val="single" w:sz="4" w:space="0" w:color="auto"/>
              <w:left w:val="nil"/>
              <w:bottom w:val="single" w:sz="4" w:space="0" w:color="auto"/>
              <w:right w:val="nil"/>
            </w:tcBorders>
            <w:vAlign w:val="bottom"/>
            <w:hideMark/>
          </w:tcPr>
          <w:p w14:paraId="6A842D6C" w14:textId="109066F7"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3,464.3</w:t>
            </w:r>
          </w:p>
        </w:tc>
        <w:tc>
          <w:tcPr>
            <w:tcW w:w="788" w:type="dxa"/>
            <w:tcBorders>
              <w:top w:val="single" w:sz="4" w:space="0" w:color="auto"/>
              <w:left w:val="nil"/>
              <w:bottom w:val="single" w:sz="4" w:space="0" w:color="auto"/>
              <w:right w:val="single" w:sz="4" w:space="0" w:color="auto"/>
            </w:tcBorders>
            <w:vAlign w:val="bottom"/>
            <w:hideMark/>
          </w:tcPr>
          <w:p w14:paraId="6BCF7B66" w14:textId="6FFE9174"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74%</w:t>
            </w:r>
          </w:p>
        </w:tc>
      </w:tr>
      <w:tr w:rsidR="00D914DB" w:rsidRPr="00277E7F" w14:paraId="00DE11B6" w14:textId="77777777" w:rsidTr="00B24CD6">
        <w:trPr>
          <w:trHeight w:val="54"/>
          <w:jc w:val="center"/>
        </w:trPr>
        <w:tc>
          <w:tcPr>
            <w:tcW w:w="810" w:type="dxa"/>
            <w:tcBorders>
              <w:top w:val="single" w:sz="4" w:space="0" w:color="auto"/>
              <w:left w:val="single" w:sz="4" w:space="0" w:color="auto"/>
              <w:bottom w:val="single" w:sz="4" w:space="0" w:color="auto"/>
              <w:right w:val="nil"/>
            </w:tcBorders>
            <w:hideMark/>
          </w:tcPr>
          <w:p w14:paraId="3B3563D6"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 xml:space="preserve">CIS </w:t>
            </w:r>
          </w:p>
        </w:tc>
        <w:tc>
          <w:tcPr>
            <w:tcW w:w="990" w:type="dxa"/>
            <w:tcBorders>
              <w:top w:val="single" w:sz="4" w:space="0" w:color="auto"/>
              <w:left w:val="nil"/>
              <w:bottom w:val="single" w:sz="4" w:space="0" w:color="auto"/>
              <w:right w:val="nil"/>
            </w:tcBorders>
            <w:vAlign w:val="bottom"/>
            <w:hideMark/>
          </w:tcPr>
          <w:p w14:paraId="0A43E283" w14:textId="448A19C3"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3</w:t>
            </w:r>
          </w:p>
        </w:tc>
        <w:tc>
          <w:tcPr>
            <w:tcW w:w="1008" w:type="dxa"/>
            <w:tcBorders>
              <w:top w:val="single" w:sz="4" w:space="0" w:color="auto"/>
              <w:left w:val="nil"/>
              <w:bottom w:val="single" w:sz="4" w:space="0" w:color="auto"/>
              <w:right w:val="nil"/>
            </w:tcBorders>
            <w:vAlign w:val="bottom"/>
            <w:hideMark/>
          </w:tcPr>
          <w:p w14:paraId="69555FEE" w14:textId="2209E663"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242.5</w:t>
            </w:r>
          </w:p>
        </w:tc>
        <w:tc>
          <w:tcPr>
            <w:tcW w:w="1050" w:type="dxa"/>
            <w:tcBorders>
              <w:top w:val="single" w:sz="4" w:space="0" w:color="auto"/>
              <w:left w:val="nil"/>
              <w:bottom w:val="single" w:sz="4" w:space="0" w:color="auto"/>
              <w:right w:val="nil"/>
            </w:tcBorders>
            <w:vAlign w:val="bottom"/>
          </w:tcPr>
          <w:p w14:paraId="0B4E0AFA" w14:textId="77777777" w:rsidR="00D914DB" w:rsidRPr="00277E7F" w:rsidRDefault="00D914DB" w:rsidP="006D4D26">
            <w:pPr>
              <w:spacing w:before="60" w:after="60"/>
              <w:jc w:val="right"/>
              <w:rPr>
                <w:rFonts w:eastAsiaTheme="minorEastAsia" w:cstheme="minorHAnsi"/>
                <w:sz w:val="20"/>
                <w:lang w:eastAsia="zh-CN"/>
              </w:rPr>
            </w:pPr>
          </w:p>
        </w:tc>
        <w:tc>
          <w:tcPr>
            <w:tcW w:w="1053" w:type="dxa"/>
            <w:tcBorders>
              <w:top w:val="single" w:sz="4" w:space="0" w:color="auto"/>
              <w:left w:val="nil"/>
              <w:bottom w:val="single" w:sz="4" w:space="0" w:color="auto"/>
              <w:right w:val="nil"/>
            </w:tcBorders>
            <w:vAlign w:val="bottom"/>
            <w:hideMark/>
          </w:tcPr>
          <w:p w14:paraId="4C07C04F" w14:textId="30F07A38"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242.5</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606965F9" w14:textId="15CFED86"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485.0</w:t>
            </w:r>
          </w:p>
        </w:tc>
        <w:tc>
          <w:tcPr>
            <w:tcW w:w="1157" w:type="dxa"/>
            <w:tcBorders>
              <w:top w:val="single" w:sz="4" w:space="0" w:color="auto"/>
              <w:left w:val="nil"/>
              <w:bottom w:val="single" w:sz="4" w:space="0" w:color="auto"/>
              <w:right w:val="nil"/>
            </w:tcBorders>
            <w:vAlign w:val="bottom"/>
            <w:hideMark/>
          </w:tcPr>
          <w:p w14:paraId="4679E20A" w14:textId="14D6CA1A"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108.1</w:t>
            </w:r>
          </w:p>
        </w:tc>
        <w:tc>
          <w:tcPr>
            <w:tcW w:w="788" w:type="dxa"/>
            <w:tcBorders>
              <w:top w:val="single" w:sz="4" w:space="0" w:color="auto"/>
              <w:left w:val="nil"/>
              <w:bottom w:val="single" w:sz="4" w:space="0" w:color="auto"/>
              <w:right w:val="single" w:sz="4" w:space="0" w:color="auto"/>
            </w:tcBorders>
            <w:vAlign w:val="bottom"/>
            <w:hideMark/>
          </w:tcPr>
          <w:p w14:paraId="4CE178A4" w14:textId="03F6133E"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22%</w:t>
            </w:r>
          </w:p>
        </w:tc>
      </w:tr>
      <w:tr w:rsidR="00D914DB" w:rsidRPr="00277E7F" w14:paraId="14CD5786" w14:textId="77777777" w:rsidTr="00B24CD6">
        <w:trPr>
          <w:trHeight w:val="54"/>
          <w:jc w:val="center"/>
        </w:trPr>
        <w:tc>
          <w:tcPr>
            <w:tcW w:w="810" w:type="dxa"/>
            <w:tcBorders>
              <w:top w:val="single" w:sz="4" w:space="0" w:color="auto"/>
              <w:left w:val="single" w:sz="4" w:space="0" w:color="auto"/>
              <w:bottom w:val="single" w:sz="4" w:space="0" w:color="auto"/>
              <w:right w:val="nil"/>
            </w:tcBorders>
            <w:vAlign w:val="bottom"/>
            <w:hideMark/>
          </w:tcPr>
          <w:p w14:paraId="625A1655"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EUR</w:t>
            </w:r>
          </w:p>
        </w:tc>
        <w:tc>
          <w:tcPr>
            <w:tcW w:w="990" w:type="dxa"/>
            <w:tcBorders>
              <w:top w:val="single" w:sz="4" w:space="0" w:color="auto"/>
              <w:left w:val="nil"/>
              <w:bottom w:val="single" w:sz="4" w:space="0" w:color="auto"/>
              <w:right w:val="nil"/>
            </w:tcBorders>
            <w:vAlign w:val="bottom"/>
            <w:hideMark/>
          </w:tcPr>
          <w:p w14:paraId="3517A2F5" w14:textId="4C88E34D"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2</w:t>
            </w:r>
          </w:p>
        </w:tc>
        <w:tc>
          <w:tcPr>
            <w:tcW w:w="1008" w:type="dxa"/>
            <w:tcBorders>
              <w:top w:val="single" w:sz="4" w:space="0" w:color="auto"/>
              <w:left w:val="nil"/>
              <w:bottom w:val="single" w:sz="4" w:space="0" w:color="auto"/>
              <w:right w:val="nil"/>
            </w:tcBorders>
            <w:vAlign w:val="bottom"/>
            <w:hideMark/>
          </w:tcPr>
          <w:p w14:paraId="66D35B68" w14:textId="16D96315"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3,460.4</w:t>
            </w:r>
          </w:p>
        </w:tc>
        <w:tc>
          <w:tcPr>
            <w:tcW w:w="1050" w:type="dxa"/>
            <w:tcBorders>
              <w:top w:val="single" w:sz="4" w:space="0" w:color="auto"/>
              <w:left w:val="nil"/>
              <w:bottom w:val="single" w:sz="4" w:space="0" w:color="auto"/>
              <w:right w:val="nil"/>
            </w:tcBorders>
            <w:vAlign w:val="bottom"/>
          </w:tcPr>
          <w:p w14:paraId="55668CC8" w14:textId="77777777" w:rsidR="00D914DB" w:rsidRPr="00277E7F" w:rsidRDefault="00D914DB" w:rsidP="006D4D26">
            <w:pPr>
              <w:spacing w:before="60" w:after="60"/>
              <w:jc w:val="right"/>
              <w:rPr>
                <w:rFonts w:eastAsiaTheme="minorEastAsia" w:cstheme="minorHAnsi"/>
                <w:sz w:val="20"/>
                <w:lang w:eastAsia="zh-CN"/>
              </w:rPr>
            </w:pPr>
          </w:p>
        </w:tc>
        <w:tc>
          <w:tcPr>
            <w:tcW w:w="1053" w:type="dxa"/>
            <w:tcBorders>
              <w:top w:val="single" w:sz="4" w:space="0" w:color="auto"/>
              <w:left w:val="nil"/>
              <w:bottom w:val="single" w:sz="4" w:space="0" w:color="auto"/>
              <w:right w:val="nil"/>
            </w:tcBorders>
            <w:vAlign w:val="bottom"/>
            <w:hideMark/>
          </w:tcPr>
          <w:p w14:paraId="5A33B2FD" w14:textId="152D74BA"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216.3</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0C66880D" w14:textId="39F7D8C6"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3,676.7</w:t>
            </w:r>
          </w:p>
        </w:tc>
        <w:tc>
          <w:tcPr>
            <w:tcW w:w="1157" w:type="dxa"/>
            <w:tcBorders>
              <w:top w:val="single" w:sz="4" w:space="0" w:color="auto"/>
              <w:left w:val="nil"/>
              <w:bottom w:val="single" w:sz="4" w:space="0" w:color="auto"/>
              <w:right w:val="nil"/>
            </w:tcBorders>
            <w:vAlign w:val="bottom"/>
            <w:hideMark/>
          </w:tcPr>
          <w:p w14:paraId="547E2307" w14:textId="0B8B4D0D"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710.0</w:t>
            </w:r>
          </w:p>
        </w:tc>
        <w:tc>
          <w:tcPr>
            <w:tcW w:w="788" w:type="dxa"/>
            <w:tcBorders>
              <w:top w:val="single" w:sz="4" w:space="0" w:color="auto"/>
              <w:left w:val="nil"/>
              <w:bottom w:val="single" w:sz="4" w:space="0" w:color="auto"/>
              <w:right w:val="single" w:sz="4" w:space="0" w:color="auto"/>
            </w:tcBorders>
            <w:vAlign w:val="bottom"/>
            <w:hideMark/>
          </w:tcPr>
          <w:p w14:paraId="0612A840" w14:textId="2839C25C"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19%</w:t>
            </w:r>
          </w:p>
        </w:tc>
      </w:tr>
      <w:tr w:rsidR="00D914DB" w:rsidRPr="00277E7F" w14:paraId="283891AF" w14:textId="77777777" w:rsidTr="00B24CD6">
        <w:trPr>
          <w:trHeight w:val="54"/>
          <w:jc w:val="center"/>
        </w:trPr>
        <w:tc>
          <w:tcPr>
            <w:tcW w:w="810" w:type="dxa"/>
            <w:tcBorders>
              <w:top w:val="single" w:sz="4" w:space="0" w:color="auto"/>
              <w:left w:val="single" w:sz="4" w:space="0" w:color="auto"/>
              <w:bottom w:val="single" w:sz="4" w:space="0" w:color="auto"/>
              <w:right w:val="nil"/>
            </w:tcBorders>
            <w:hideMark/>
          </w:tcPr>
          <w:p w14:paraId="24A372F8" w14:textId="77777777" w:rsidR="00D914DB" w:rsidRPr="00277E7F" w:rsidRDefault="00D914DB" w:rsidP="006D4D26">
            <w:pPr>
              <w:spacing w:before="60" w:after="60"/>
              <w:rPr>
                <w:rFonts w:cstheme="minorHAnsi"/>
                <w:sz w:val="20"/>
                <w:lang w:eastAsia="zh-CN"/>
              </w:rPr>
            </w:pPr>
            <w:r w:rsidRPr="00277E7F">
              <w:rPr>
                <w:rFonts w:cstheme="minorHAnsi"/>
                <w:sz w:val="20"/>
                <w:lang w:eastAsia="zh-CN"/>
              </w:rPr>
              <w:t>MUL</w:t>
            </w:r>
          </w:p>
        </w:tc>
        <w:tc>
          <w:tcPr>
            <w:tcW w:w="990" w:type="dxa"/>
            <w:tcBorders>
              <w:top w:val="single" w:sz="4" w:space="0" w:color="auto"/>
              <w:left w:val="nil"/>
              <w:bottom w:val="single" w:sz="4" w:space="0" w:color="auto"/>
              <w:right w:val="nil"/>
            </w:tcBorders>
            <w:noWrap/>
            <w:vAlign w:val="bottom"/>
            <w:hideMark/>
          </w:tcPr>
          <w:p w14:paraId="2D7E4BEB" w14:textId="6E1DCF3D"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31</w:t>
            </w:r>
          </w:p>
        </w:tc>
        <w:tc>
          <w:tcPr>
            <w:tcW w:w="1008" w:type="dxa"/>
            <w:tcBorders>
              <w:top w:val="single" w:sz="4" w:space="0" w:color="auto"/>
              <w:left w:val="nil"/>
              <w:bottom w:val="single" w:sz="4" w:space="0" w:color="auto"/>
              <w:right w:val="nil"/>
            </w:tcBorders>
            <w:vAlign w:val="bottom"/>
            <w:hideMark/>
          </w:tcPr>
          <w:p w14:paraId="61333635" w14:textId="209380BF"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16,188.6</w:t>
            </w:r>
          </w:p>
        </w:tc>
        <w:tc>
          <w:tcPr>
            <w:tcW w:w="1050" w:type="dxa"/>
            <w:tcBorders>
              <w:top w:val="single" w:sz="4" w:space="0" w:color="auto"/>
              <w:left w:val="nil"/>
              <w:bottom w:val="single" w:sz="4" w:space="0" w:color="auto"/>
              <w:right w:val="nil"/>
            </w:tcBorders>
            <w:vAlign w:val="bottom"/>
            <w:hideMark/>
          </w:tcPr>
          <w:p w14:paraId="04B3862B" w14:textId="16194989"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3,759.2</w:t>
            </w:r>
          </w:p>
        </w:tc>
        <w:tc>
          <w:tcPr>
            <w:tcW w:w="1053" w:type="dxa"/>
            <w:tcBorders>
              <w:top w:val="single" w:sz="4" w:space="0" w:color="auto"/>
              <w:left w:val="nil"/>
              <w:bottom w:val="single" w:sz="4" w:space="0" w:color="auto"/>
              <w:right w:val="nil"/>
            </w:tcBorders>
            <w:vAlign w:val="bottom"/>
            <w:hideMark/>
          </w:tcPr>
          <w:p w14:paraId="762EDD36" w14:textId="62A6CBAB"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2,585.0</w:t>
            </w:r>
          </w:p>
        </w:tc>
        <w:tc>
          <w:tcPr>
            <w:tcW w:w="1149" w:type="dxa"/>
            <w:tcBorders>
              <w:top w:val="single" w:sz="4" w:space="0" w:color="auto"/>
              <w:left w:val="nil"/>
              <w:bottom w:val="single" w:sz="4" w:space="0" w:color="auto"/>
              <w:right w:val="nil"/>
            </w:tcBorders>
            <w:shd w:val="clear" w:color="auto" w:fill="DBE5F1" w:themeFill="accent1" w:themeFillTint="33"/>
            <w:vAlign w:val="bottom"/>
            <w:hideMark/>
          </w:tcPr>
          <w:p w14:paraId="7EE9464B" w14:textId="3BD0A8B9" w:rsidR="00D914DB" w:rsidRPr="00277E7F" w:rsidRDefault="00D914DB" w:rsidP="006D4D26">
            <w:pPr>
              <w:spacing w:before="60" w:after="60"/>
              <w:jc w:val="right"/>
              <w:rPr>
                <w:rFonts w:eastAsiaTheme="minorEastAsia" w:cstheme="minorHAnsi"/>
                <w:sz w:val="20"/>
                <w:lang w:eastAsia="zh-CN"/>
              </w:rPr>
            </w:pPr>
            <w:r w:rsidRPr="00277E7F">
              <w:rPr>
                <w:rFonts w:eastAsiaTheme="minorEastAsia" w:cstheme="minorHAnsi"/>
                <w:sz w:val="20"/>
                <w:lang w:eastAsia="zh-CN"/>
              </w:rPr>
              <w:t>25,312.6</w:t>
            </w:r>
          </w:p>
        </w:tc>
        <w:tc>
          <w:tcPr>
            <w:tcW w:w="1157" w:type="dxa"/>
            <w:tcBorders>
              <w:top w:val="single" w:sz="4" w:space="0" w:color="auto"/>
              <w:left w:val="nil"/>
              <w:bottom w:val="single" w:sz="4" w:space="0" w:color="auto"/>
              <w:right w:val="nil"/>
            </w:tcBorders>
            <w:vAlign w:val="bottom"/>
            <w:hideMark/>
          </w:tcPr>
          <w:p w14:paraId="563A97D1" w14:textId="75494FF5"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8,131.3</w:t>
            </w:r>
          </w:p>
        </w:tc>
        <w:tc>
          <w:tcPr>
            <w:tcW w:w="788" w:type="dxa"/>
            <w:tcBorders>
              <w:top w:val="single" w:sz="4" w:space="0" w:color="auto"/>
              <w:left w:val="nil"/>
              <w:bottom w:val="single" w:sz="4" w:space="0" w:color="auto"/>
              <w:right w:val="single" w:sz="4" w:space="0" w:color="auto"/>
            </w:tcBorders>
            <w:vAlign w:val="bottom"/>
            <w:hideMark/>
          </w:tcPr>
          <w:p w14:paraId="20DF0E69" w14:textId="5B8CF2EC" w:rsidR="00D914DB" w:rsidRPr="00277E7F" w:rsidRDefault="00D914DB" w:rsidP="006D4D26">
            <w:pPr>
              <w:spacing w:before="60" w:after="60"/>
              <w:jc w:val="center"/>
              <w:rPr>
                <w:rFonts w:eastAsiaTheme="minorEastAsia" w:cstheme="minorHAnsi"/>
                <w:sz w:val="20"/>
                <w:lang w:eastAsia="zh-CN"/>
              </w:rPr>
            </w:pPr>
            <w:r w:rsidRPr="00277E7F">
              <w:rPr>
                <w:rFonts w:eastAsiaTheme="minorEastAsia" w:cstheme="minorHAnsi"/>
                <w:sz w:val="20"/>
                <w:lang w:eastAsia="zh-CN"/>
              </w:rPr>
              <w:t>32%</w:t>
            </w:r>
          </w:p>
        </w:tc>
      </w:tr>
      <w:tr w:rsidR="00D914DB" w:rsidRPr="00277E7F" w14:paraId="4A5E93DA" w14:textId="77777777" w:rsidTr="000819AA">
        <w:trPr>
          <w:trHeight w:val="54"/>
          <w:jc w:val="center"/>
        </w:trPr>
        <w:tc>
          <w:tcPr>
            <w:tcW w:w="81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1D39C19D" w14:textId="77777777" w:rsidR="00D914DB" w:rsidRPr="00277E7F" w:rsidRDefault="00D914DB" w:rsidP="006D4D26">
            <w:pPr>
              <w:spacing w:before="60" w:after="60"/>
              <w:rPr>
                <w:rFonts w:cstheme="minorHAnsi"/>
                <w:b/>
                <w:bCs/>
                <w:sz w:val="20"/>
                <w:lang w:eastAsia="zh-CN"/>
              </w:rPr>
            </w:pPr>
            <w:r w:rsidRPr="00277E7F">
              <w:rPr>
                <w:rFonts w:cstheme="minorHAnsi"/>
                <w:b/>
                <w:bCs/>
                <w:sz w:val="20"/>
                <w:lang w:eastAsia="zh-CN"/>
              </w:rPr>
              <w:t>Total</w:t>
            </w:r>
          </w:p>
        </w:tc>
        <w:tc>
          <w:tcPr>
            <w:tcW w:w="990" w:type="dxa"/>
            <w:tcBorders>
              <w:top w:val="single" w:sz="4" w:space="0" w:color="auto"/>
              <w:left w:val="nil"/>
              <w:bottom w:val="single" w:sz="4" w:space="0" w:color="auto"/>
              <w:right w:val="nil"/>
            </w:tcBorders>
            <w:shd w:val="clear" w:color="auto" w:fill="DBE5F1" w:themeFill="accent1" w:themeFillTint="33"/>
            <w:noWrap/>
            <w:vAlign w:val="bottom"/>
            <w:hideMark/>
          </w:tcPr>
          <w:p w14:paraId="4BC5721C" w14:textId="55F075C5" w:rsidR="00D914DB" w:rsidRPr="00277E7F" w:rsidRDefault="00D914DB" w:rsidP="006D4D26">
            <w:pPr>
              <w:spacing w:before="60" w:after="60"/>
              <w:jc w:val="center"/>
              <w:rPr>
                <w:rFonts w:eastAsiaTheme="minorEastAsia" w:cstheme="minorHAnsi"/>
                <w:b/>
                <w:bCs/>
                <w:sz w:val="20"/>
                <w:lang w:eastAsia="zh-CN"/>
              </w:rPr>
            </w:pPr>
            <w:r w:rsidRPr="00277E7F">
              <w:rPr>
                <w:rFonts w:eastAsiaTheme="minorEastAsia" w:cstheme="minorHAnsi"/>
                <w:b/>
                <w:bCs/>
                <w:sz w:val="20"/>
                <w:lang w:eastAsia="zh-CN"/>
              </w:rPr>
              <w:t>77</w:t>
            </w:r>
          </w:p>
        </w:tc>
        <w:tc>
          <w:tcPr>
            <w:tcW w:w="1008" w:type="dxa"/>
            <w:tcBorders>
              <w:top w:val="single" w:sz="4" w:space="0" w:color="auto"/>
              <w:left w:val="nil"/>
              <w:bottom w:val="single" w:sz="4" w:space="0" w:color="auto"/>
              <w:right w:val="nil"/>
            </w:tcBorders>
            <w:shd w:val="clear" w:color="auto" w:fill="DBE5F1" w:themeFill="accent1" w:themeFillTint="33"/>
            <w:noWrap/>
            <w:vAlign w:val="bottom"/>
            <w:hideMark/>
          </w:tcPr>
          <w:p w14:paraId="70B78059" w14:textId="0DC7F2F7" w:rsidR="00D914DB" w:rsidRPr="00277E7F" w:rsidRDefault="00D914DB" w:rsidP="006D4D26">
            <w:pPr>
              <w:spacing w:before="60" w:after="60"/>
              <w:jc w:val="right"/>
              <w:rPr>
                <w:rFonts w:eastAsiaTheme="minorEastAsia" w:cstheme="minorHAnsi"/>
                <w:b/>
                <w:bCs/>
                <w:sz w:val="20"/>
                <w:lang w:eastAsia="zh-CN"/>
              </w:rPr>
            </w:pPr>
            <w:r w:rsidRPr="00277E7F">
              <w:rPr>
                <w:rFonts w:eastAsiaTheme="minorEastAsia" w:cstheme="minorHAnsi"/>
                <w:b/>
                <w:bCs/>
                <w:sz w:val="20"/>
                <w:lang w:eastAsia="zh-CN"/>
              </w:rPr>
              <w:t>80,278.3</w:t>
            </w:r>
          </w:p>
        </w:tc>
        <w:tc>
          <w:tcPr>
            <w:tcW w:w="1050" w:type="dxa"/>
            <w:tcBorders>
              <w:top w:val="single" w:sz="4" w:space="0" w:color="auto"/>
              <w:left w:val="nil"/>
              <w:bottom w:val="single" w:sz="4" w:space="0" w:color="auto"/>
              <w:right w:val="nil"/>
            </w:tcBorders>
            <w:shd w:val="clear" w:color="auto" w:fill="DBE5F1" w:themeFill="accent1" w:themeFillTint="33"/>
            <w:noWrap/>
            <w:vAlign w:val="bottom"/>
            <w:hideMark/>
          </w:tcPr>
          <w:p w14:paraId="4AC3D0EA" w14:textId="5E1CFB95" w:rsidR="00D914DB" w:rsidRPr="00277E7F" w:rsidRDefault="00D914DB" w:rsidP="006D4D26">
            <w:pPr>
              <w:spacing w:before="60" w:after="60"/>
              <w:jc w:val="right"/>
              <w:rPr>
                <w:rFonts w:eastAsiaTheme="minorEastAsia" w:cstheme="minorHAnsi"/>
                <w:b/>
                <w:bCs/>
                <w:sz w:val="20"/>
                <w:lang w:eastAsia="zh-CN"/>
              </w:rPr>
            </w:pPr>
            <w:r w:rsidRPr="00277E7F">
              <w:rPr>
                <w:rFonts w:eastAsiaTheme="minorEastAsia" w:cstheme="minorHAnsi"/>
                <w:b/>
                <w:bCs/>
                <w:sz w:val="20"/>
                <w:lang w:eastAsia="zh-CN"/>
              </w:rPr>
              <w:t>5,520.9</w:t>
            </w:r>
          </w:p>
        </w:tc>
        <w:tc>
          <w:tcPr>
            <w:tcW w:w="1053" w:type="dxa"/>
            <w:tcBorders>
              <w:top w:val="single" w:sz="4" w:space="0" w:color="auto"/>
              <w:left w:val="nil"/>
              <w:bottom w:val="single" w:sz="4" w:space="0" w:color="auto"/>
              <w:right w:val="nil"/>
            </w:tcBorders>
            <w:shd w:val="clear" w:color="auto" w:fill="DBE5F1" w:themeFill="accent1" w:themeFillTint="33"/>
            <w:noWrap/>
            <w:vAlign w:val="bottom"/>
            <w:hideMark/>
          </w:tcPr>
          <w:p w14:paraId="55328124" w14:textId="4354D29D" w:rsidR="00D914DB" w:rsidRPr="00277E7F" w:rsidRDefault="00D914DB" w:rsidP="006D4D26">
            <w:pPr>
              <w:spacing w:before="60" w:after="60"/>
              <w:jc w:val="right"/>
              <w:rPr>
                <w:rFonts w:eastAsiaTheme="minorEastAsia" w:cstheme="minorHAnsi"/>
                <w:b/>
                <w:bCs/>
                <w:sz w:val="20"/>
                <w:lang w:eastAsia="zh-CN"/>
              </w:rPr>
            </w:pPr>
            <w:r w:rsidRPr="00277E7F">
              <w:rPr>
                <w:rFonts w:eastAsiaTheme="minorEastAsia" w:cstheme="minorHAnsi"/>
                <w:b/>
                <w:bCs/>
                <w:sz w:val="20"/>
                <w:lang w:eastAsia="zh-CN"/>
              </w:rPr>
              <w:t>4,508.5</w:t>
            </w:r>
          </w:p>
        </w:tc>
        <w:tc>
          <w:tcPr>
            <w:tcW w:w="1149" w:type="dxa"/>
            <w:tcBorders>
              <w:top w:val="single" w:sz="4" w:space="0" w:color="auto"/>
              <w:left w:val="nil"/>
              <w:bottom w:val="single" w:sz="4" w:space="0" w:color="auto"/>
              <w:right w:val="nil"/>
            </w:tcBorders>
            <w:shd w:val="clear" w:color="auto" w:fill="DBE5F1" w:themeFill="accent1" w:themeFillTint="33"/>
            <w:noWrap/>
            <w:vAlign w:val="bottom"/>
            <w:hideMark/>
          </w:tcPr>
          <w:p w14:paraId="0D911DA5" w14:textId="07598FC9" w:rsidR="00D914DB" w:rsidRPr="00277E7F" w:rsidRDefault="00D914DB" w:rsidP="006D4D26">
            <w:pPr>
              <w:spacing w:before="60" w:after="60"/>
              <w:jc w:val="right"/>
              <w:rPr>
                <w:rFonts w:eastAsiaTheme="minorEastAsia" w:cstheme="minorHAnsi"/>
                <w:b/>
                <w:bCs/>
                <w:sz w:val="20"/>
                <w:lang w:eastAsia="zh-CN"/>
              </w:rPr>
            </w:pPr>
            <w:r w:rsidRPr="00277E7F">
              <w:rPr>
                <w:rFonts w:eastAsiaTheme="minorEastAsia" w:cstheme="minorHAnsi"/>
                <w:b/>
                <w:bCs/>
                <w:sz w:val="20"/>
                <w:lang w:eastAsia="zh-CN"/>
              </w:rPr>
              <w:t>93,892.5</w:t>
            </w:r>
          </w:p>
        </w:tc>
        <w:tc>
          <w:tcPr>
            <w:tcW w:w="1157" w:type="dxa"/>
            <w:tcBorders>
              <w:top w:val="single" w:sz="4" w:space="0" w:color="auto"/>
              <w:left w:val="nil"/>
              <w:bottom w:val="single" w:sz="4" w:space="0" w:color="auto"/>
              <w:right w:val="nil"/>
            </w:tcBorders>
            <w:shd w:val="clear" w:color="auto" w:fill="DBE5F1" w:themeFill="accent1" w:themeFillTint="33"/>
            <w:noWrap/>
            <w:vAlign w:val="bottom"/>
            <w:hideMark/>
          </w:tcPr>
          <w:p w14:paraId="132AF512" w14:textId="039ACBBB" w:rsidR="00D914DB" w:rsidRPr="00277E7F" w:rsidRDefault="00D914DB" w:rsidP="006D4D26">
            <w:pPr>
              <w:spacing w:before="60" w:after="60"/>
              <w:jc w:val="center"/>
              <w:rPr>
                <w:rFonts w:eastAsiaTheme="minorEastAsia" w:cstheme="minorHAnsi"/>
                <w:b/>
                <w:bCs/>
                <w:sz w:val="20"/>
                <w:lang w:eastAsia="zh-CN"/>
              </w:rPr>
            </w:pPr>
            <w:r w:rsidRPr="00277E7F">
              <w:rPr>
                <w:rFonts w:eastAsiaTheme="minorEastAsia" w:cstheme="minorHAnsi"/>
                <w:b/>
                <w:bCs/>
                <w:sz w:val="20"/>
                <w:lang w:eastAsia="zh-CN"/>
              </w:rPr>
              <w:t>25,947.5</w:t>
            </w:r>
          </w:p>
        </w:tc>
        <w:tc>
          <w:tcPr>
            <w:tcW w:w="78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72087ADE" w14:textId="48081963" w:rsidR="00D914DB" w:rsidRPr="00277E7F" w:rsidRDefault="00D914DB" w:rsidP="006D4D26">
            <w:pPr>
              <w:spacing w:before="60" w:after="60"/>
              <w:jc w:val="center"/>
              <w:rPr>
                <w:rFonts w:eastAsiaTheme="minorEastAsia" w:cstheme="minorHAnsi"/>
                <w:b/>
                <w:bCs/>
                <w:sz w:val="20"/>
                <w:lang w:eastAsia="zh-CN"/>
              </w:rPr>
            </w:pPr>
          </w:p>
        </w:tc>
      </w:tr>
    </w:tbl>
    <w:p w14:paraId="42602360" w14:textId="6BB1C16E" w:rsidR="007F0D47" w:rsidRPr="00382EF6" w:rsidRDefault="007F0D47" w:rsidP="00382EF6">
      <w:pPr>
        <w:pStyle w:val="Heading2"/>
        <w:numPr>
          <w:ilvl w:val="1"/>
          <w:numId w:val="2"/>
        </w:numPr>
        <w:spacing w:before="120" w:after="120"/>
        <w:ind w:left="540" w:hanging="540"/>
        <w:textAlignment w:val="auto"/>
        <w:rPr>
          <w:rFonts w:cstheme="minorHAnsi"/>
          <w:szCs w:val="24"/>
        </w:rPr>
      </w:pPr>
      <w:r w:rsidRPr="00382EF6">
        <w:rPr>
          <w:rFonts w:cstheme="minorHAnsi"/>
          <w:szCs w:val="24"/>
        </w:rPr>
        <w:t xml:space="preserve">Projects signed during the </w:t>
      </w:r>
      <w:r w:rsidR="00F53B53" w:rsidRPr="00382EF6">
        <w:rPr>
          <w:rFonts w:cstheme="minorHAnsi"/>
          <w:szCs w:val="24"/>
        </w:rPr>
        <w:t xml:space="preserve">second and third </w:t>
      </w:r>
      <w:r w:rsidRPr="00382EF6">
        <w:rPr>
          <w:rFonts w:cstheme="minorHAnsi"/>
          <w:szCs w:val="24"/>
        </w:rPr>
        <w:t>quarter</w:t>
      </w:r>
      <w:r w:rsidR="00F53B53" w:rsidRPr="00382EF6">
        <w:rPr>
          <w:rFonts w:cstheme="minorHAnsi"/>
          <w:szCs w:val="24"/>
        </w:rPr>
        <w:t>s</w:t>
      </w:r>
      <w:r w:rsidRPr="00382EF6">
        <w:rPr>
          <w:rFonts w:cstheme="minorHAnsi"/>
          <w:szCs w:val="24"/>
        </w:rPr>
        <w:t xml:space="preserve"> of 2021</w:t>
      </w:r>
    </w:p>
    <w:p w14:paraId="613F29FD" w14:textId="17958BE1" w:rsidR="00EE049E" w:rsidRPr="00277E7F" w:rsidRDefault="009C6F31" w:rsidP="00382EF6">
      <w:pPr>
        <w:spacing w:after="120"/>
        <w:rPr>
          <w:rFonts w:cstheme="minorHAnsi"/>
        </w:rPr>
      </w:pPr>
      <w:r>
        <w:rPr>
          <w:rFonts w:cstheme="minorHAnsi"/>
        </w:rPr>
        <w:t>D</w:t>
      </w:r>
      <w:r w:rsidR="00410640" w:rsidRPr="00277E7F">
        <w:rPr>
          <w:rFonts w:cstheme="minorHAnsi"/>
        </w:rPr>
        <w:t xml:space="preserve">uring the second and third quarters of 2021 </w:t>
      </w:r>
      <w:r w:rsidR="007F0D47" w:rsidRPr="00277E7F">
        <w:rPr>
          <w:rFonts w:cstheme="minorHAnsi"/>
        </w:rPr>
        <w:t xml:space="preserve">BDT signed </w:t>
      </w:r>
      <w:r w:rsidR="00E52D61" w:rsidRPr="00277E7F">
        <w:rPr>
          <w:rFonts w:cstheme="minorHAnsi"/>
        </w:rPr>
        <w:t xml:space="preserve">8 </w:t>
      </w:r>
      <w:r w:rsidR="004751FB" w:rsidRPr="00277E7F">
        <w:rPr>
          <w:rFonts w:cstheme="minorHAnsi"/>
        </w:rPr>
        <w:t xml:space="preserve">new </w:t>
      </w:r>
      <w:r w:rsidR="007F0D47" w:rsidRPr="00277E7F">
        <w:rPr>
          <w:rFonts w:cstheme="minorHAnsi"/>
        </w:rPr>
        <w:t>projects valued at around CHF 5.</w:t>
      </w:r>
      <w:r w:rsidR="00177D43" w:rsidRPr="00277E7F">
        <w:rPr>
          <w:rFonts w:cstheme="minorHAnsi"/>
        </w:rPr>
        <w:t>0</w:t>
      </w:r>
      <w:r w:rsidR="007F0D47" w:rsidRPr="00277E7F">
        <w:rPr>
          <w:rFonts w:cstheme="minorHAnsi"/>
        </w:rPr>
        <w:t xml:space="preserve"> million</w:t>
      </w:r>
      <w:r w:rsidR="00410640" w:rsidRPr="00277E7F">
        <w:rPr>
          <w:rFonts w:cstheme="minorHAnsi"/>
        </w:rPr>
        <w:t xml:space="preserve">. These </w:t>
      </w:r>
      <w:r w:rsidR="009E68FA">
        <w:rPr>
          <w:rFonts w:cstheme="minorHAnsi"/>
        </w:rPr>
        <w:t xml:space="preserve">new </w:t>
      </w:r>
      <w:r w:rsidR="00410640" w:rsidRPr="00277E7F">
        <w:rPr>
          <w:rFonts w:cstheme="minorHAnsi"/>
        </w:rPr>
        <w:t>projects are multi-regional, regional, and national in nature</w:t>
      </w:r>
      <w:r w:rsidR="006D4D26" w:rsidRPr="00277E7F">
        <w:rPr>
          <w:rFonts w:cstheme="minorHAnsi"/>
        </w:rPr>
        <w:t xml:space="preserve"> and involve traditional ITU partners, </w:t>
      </w:r>
      <w:r w:rsidR="002B0E11">
        <w:rPr>
          <w:rFonts w:cstheme="minorHAnsi"/>
        </w:rPr>
        <w:t>such as</w:t>
      </w:r>
      <w:r w:rsidR="002B0E11" w:rsidRPr="00277E7F">
        <w:rPr>
          <w:rFonts w:cstheme="minorHAnsi"/>
        </w:rPr>
        <w:t xml:space="preserve"> </w:t>
      </w:r>
      <w:r w:rsidR="004B5459" w:rsidRPr="00277E7F">
        <w:rPr>
          <w:rFonts w:cstheme="minorHAnsi"/>
        </w:rPr>
        <w:t xml:space="preserve">UNICEF or </w:t>
      </w:r>
      <w:r w:rsidR="006D4D26" w:rsidRPr="00277E7F">
        <w:rPr>
          <w:rFonts w:cstheme="minorHAnsi"/>
        </w:rPr>
        <w:t xml:space="preserve">the European Commission, </w:t>
      </w:r>
      <w:r w:rsidR="004B5459" w:rsidRPr="00277E7F">
        <w:rPr>
          <w:rFonts w:cstheme="minorHAnsi"/>
        </w:rPr>
        <w:t xml:space="preserve">ITU Member States, </w:t>
      </w:r>
      <w:r w:rsidR="00CF0BC1">
        <w:rPr>
          <w:rFonts w:cstheme="minorHAnsi"/>
        </w:rPr>
        <w:t>e.g.,</w:t>
      </w:r>
      <w:r w:rsidR="002B0E11" w:rsidRPr="00277E7F">
        <w:rPr>
          <w:rFonts w:cstheme="minorHAnsi"/>
        </w:rPr>
        <w:t xml:space="preserve"> </w:t>
      </w:r>
      <w:r w:rsidR="000124E9" w:rsidRPr="00277E7F">
        <w:rPr>
          <w:rFonts w:cstheme="minorHAnsi"/>
        </w:rPr>
        <w:t xml:space="preserve">Australia, Colombia, Trinidad and Tobago </w:t>
      </w:r>
      <w:r w:rsidR="00CF0BC1">
        <w:rPr>
          <w:rFonts w:cstheme="minorHAnsi"/>
        </w:rPr>
        <w:t>and</w:t>
      </w:r>
      <w:r w:rsidR="000124E9" w:rsidRPr="00277E7F">
        <w:rPr>
          <w:rFonts w:cstheme="minorHAnsi"/>
        </w:rPr>
        <w:t xml:space="preserve"> </w:t>
      </w:r>
      <w:r w:rsidR="004B5459" w:rsidRPr="00277E7F">
        <w:rPr>
          <w:rFonts w:cstheme="minorHAnsi"/>
        </w:rPr>
        <w:t>Sierra Leone</w:t>
      </w:r>
      <w:r w:rsidR="000124E9" w:rsidRPr="00277E7F">
        <w:rPr>
          <w:rFonts w:cstheme="minorHAnsi"/>
        </w:rPr>
        <w:t>,</w:t>
      </w:r>
      <w:r w:rsidR="004B5459" w:rsidRPr="00277E7F">
        <w:rPr>
          <w:rFonts w:cstheme="minorHAnsi"/>
        </w:rPr>
        <w:t xml:space="preserve"> </w:t>
      </w:r>
      <w:r w:rsidR="006D4D26" w:rsidRPr="00277E7F">
        <w:rPr>
          <w:rFonts w:cstheme="minorHAnsi"/>
        </w:rPr>
        <w:t>as well as</w:t>
      </w:r>
      <w:r w:rsidR="008D0B88" w:rsidRPr="00277E7F">
        <w:rPr>
          <w:rFonts w:cstheme="minorHAnsi"/>
        </w:rPr>
        <w:t xml:space="preserve"> ITU Sector Members, </w:t>
      </w:r>
      <w:r w:rsidR="00CF0BC1">
        <w:rPr>
          <w:rFonts w:cstheme="minorHAnsi"/>
        </w:rPr>
        <w:t>e.g.,</w:t>
      </w:r>
      <w:r w:rsidR="008D0B88" w:rsidRPr="00277E7F">
        <w:rPr>
          <w:rFonts w:cstheme="minorHAnsi"/>
        </w:rPr>
        <w:t xml:space="preserve"> </w:t>
      </w:r>
      <w:r w:rsidR="00FC3A56" w:rsidRPr="00277E7F">
        <w:rPr>
          <w:rFonts w:cstheme="minorHAnsi"/>
        </w:rPr>
        <w:t xml:space="preserve">the Caribbean Telecommunications Union (CTU) </w:t>
      </w:r>
      <w:r w:rsidR="00CF0BC1">
        <w:rPr>
          <w:rFonts w:cstheme="minorHAnsi"/>
        </w:rPr>
        <w:t>and</w:t>
      </w:r>
      <w:r w:rsidR="00FC3A56" w:rsidRPr="00277E7F">
        <w:rPr>
          <w:rFonts w:cstheme="minorHAnsi"/>
        </w:rPr>
        <w:t xml:space="preserve"> </w:t>
      </w:r>
      <w:r w:rsidR="008D0B88" w:rsidRPr="00277E7F">
        <w:rPr>
          <w:rFonts w:cstheme="minorHAnsi"/>
        </w:rPr>
        <w:t xml:space="preserve">Microsoft. </w:t>
      </w:r>
    </w:p>
    <w:p w14:paraId="4F828ED6" w14:textId="6C6803DC" w:rsidR="00411C5F" w:rsidRPr="00277E7F" w:rsidRDefault="00410640" w:rsidP="00C90FC4">
      <w:pPr>
        <w:keepNext/>
        <w:spacing w:after="120"/>
        <w:rPr>
          <w:rFonts w:cstheme="minorHAnsi"/>
        </w:rPr>
      </w:pPr>
      <w:r w:rsidRPr="00277E7F" w:rsidDel="00A31322">
        <w:rPr>
          <w:rFonts w:cstheme="minorHAnsi"/>
        </w:rPr>
        <w:lastRenderedPageBreak/>
        <w:t xml:space="preserve">In addition, </w:t>
      </w:r>
      <w:r w:rsidR="0039065B" w:rsidRPr="00277E7F" w:rsidDel="00A31322">
        <w:rPr>
          <w:rFonts w:cstheme="minorHAnsi"/>
        </w:rPr>
        <w:t xml:space="preserve">conversations are on-going for </w:t>
      </w:r>
      <w:r w:rsidR="00F441D9" w:rsidRPr="00277E7F" w:rsidDel="00A31322">
        <w:rPr>
          <w:rFonts w:cstheme="minorHAnsi"/>
        </w:rPr>
        <w:t>13</w:t>
      </w:r>
      <w:r w:rsidR="007F0D47" w:rsidRPr="00277E7F" w:rsidDel="00A31322">
        <w:rPr>
          <w:rFonts w:cstheme="minorHAnsi"/>
        </w:rPr>
        <w:t xml:space="preserve"> more projects </w:t>
      </w:r>
      <w:r w:rsidR="0039065B" w:rsidRPr="00277E7F" w:rsidDel="00A31322">
        <w:rPr>
          <w:rFonts w:cstheme="minorHAnsi"/>
        </w:rPr>
        <w:t xml:space="preserve">that are </w:t>
      </w:r>
      <w:r w:rsidR="007F0D47" w:rsidRPr="00277E7F" w:rsidDel="00A31322">
        <w:rPr>
          <w:rFonts w:cstheme="minorHAnsi"/>
        </w:rPr>
        <w:t xml:space="preserve">expected to be signed during the </w:t>
      </w:r>
      <w:r w:rsidR="00F441D9" w:rsidRPr="00277E7F" w:rsidDel="00A31322">
        <w:rPr>
          <w:rFonts w:cstheme="minorHAnsi"/>
        </w:rPr>
        <w:t xml:space="preserve">remaining months </w:t>
      </w:r>
      <w:r w:rsidR="007F0D47" w:rsidRPr="00277E7F" w:rsidDel="00A31322">
        <w:rPr>
          <w:rFonts w:cstheme="minorHAnsi"/>
        </w:rPr>
        <w:t xml:space="preserve">of 2021 </w:t>
      </w:r>
      <w:r w:rsidR="0039065B" w:rsidRPr="00277E7F" w:rsidDel="00A31322">
        <w:rPr>
          <w:rFonts w:cstheme="minorHAnsi"/>
        </w:rPr>
        <w:t xml:space="preserve">for </w:t>
      </w:r>
      <w:r w:rsidR="007F0D47" w:rsidRPr="00277E7F" w:rsidDel="00A31322">
        <w:rPr>
          <w:rFonts w:cstheme="minorHAnsi"/>
        </w:rPr>
        <w:t>a value of CHF 4.</w:t>
      </w:r>
      <w:r w:rsidR="00AD74DB" w:rsidRPr="00277E7F" w:rsidDel="00A31322">
        <w:rPr>
          <w:rFonts w:cstheme="minorHAnsi"/>
        </w:rPr>
        <w:t>9</w:t>
      </w:r>
      <w:r w:rsidR="007F0D47" w:rsidRPr="00277E7F" w:rsidDel="00A31322">
        <w:rPr>
          <w:rFonts w:cstheme="minorHAnsi"/>
        </w:rPr>
        <w:t xml:space="preserve"> million. </w:t>
      </w:r>
      <w:r w:rsidR="005A2E09">
        <w:rPr>
          <w:rFonts w:cstheme="minorHAnsi"/>
        </w:rPr>
        <w:t xml:space="preserve">The </w:t>
      </w:r>
      <w:r w:rsidR="00411C5F" w:rsidRPr="00277E7F">
        <w:rPr>
          <w:rFonts w:cstheme="minorHAnsi"/>
        </w:rPr>
        <w:t>projects signed in this period include the following:</w:t>
      </w:r>
    </w:p>
    <w:p w14:paraId="7AF7F1A7" w14:textId="11670365" w:rsidR="00E57156" w:rsidRPr="00277E7F" w:rsidRDefault="00E57156" w:rsidP="00382EF6">
      <w:pPr>
        <w:pStyle w:val="ListParagraph"/>
        <w:numPr>
          <w:ilvl w:val="0"/>
          <w:numId w:val="3"/>
        </w:numPr>
        <w:spacing w:before="60" w:after="60"/>
        <w:ind w:left="357" w:hanging="357"/>
        <w:contextualSpacing w:val="0"/>
        <w:textAlignment w:val="auto"/>
        <w:rPr>
          <w:rFonts w:cstheme="minorHAnsi"/>
        </w:rPr>
      </w:pPr>
      <w:r w:rsidRPr="00277E7F">
        <w:rPr>
          <w:rFonts w:cstheme="minorHAnsi"/>
        </w:rPr>
        <w:t>The “Smart Seas Toolkit (SST) for Disaster Resilience”, a</w:t>
      </w:r>
      <w:r w:rsidR="002C2DC1" w:rsidRPr="00277E7F">
        <w:rPr>
          <w:rFonts w:cstheme="minorHAnsi"/>
        </w:rPr>
        <w:t xml:space="preserve"> project signed with </w:t>
      </w:r>
      <w:r w:rsidR="00AD5CB3" w:rsidRPr="00277E7F">
        <w:rPr>
          <w:rFonts w:cstheme="minorHAnsi"/>
        </w:rPr>
        <w:t>the Telecommunications</w:t>
      </w:r>
      <w:r w:rsidR="002C2DC1" w:rsidRPr="00277E7F">
        <w:rPr>
          <w:rFonts w:cstheme="minorHAnsi"/>
        </w:rPr>
        <w:t xml:space="preserve"> Authority of Trinidad and Tobago (TATT) and the Caribbean Telecommunications Union (CTU</w:t>
      </w:r>
      <w:proofErr w:type="gramStart"/>
      <w:r w:rsidR="002C2DC1" w:rsidRPr="00277E7F">
        <w:rPr>
          <w:rFonts w:cstheme="minorHAnsi"/>
        </w:rPr>
        <w:t>);</w:t>
      </w:r>
      <w:proofErr w:type="gramEnd"/>
    </w:p>
    <w:p w14:paraId="14FE88C9" w14:textId="1226D359" w:rsidR="00E57156" w:rsidRPr="00277E7F" w:rsidRDefault="00AD5CB3" w:rsidP="00382EF6">
      <w:pPr>
        <w:pStyle w:val="ListParagraph"/>
        <w:numPr>
          <w:ilvl w:val="0"/>
          <w:numId w:val="3"/>
        </w:numPr>
        <w:spacing w:before="60" w:after="60"/>
        <w:ind w:left="357" w:hanging="357"/>
        <w:contextualSpacing w:val="0"/>
        <w:textAlignment w:val="auto"/>
        <w:rPr>
          <w:rFonts w:cstheme="minorHAnsi"/>
        </w:rPr>
      </w:pPr>
      <w:r w:rsidRPr="00277E7F">
        <w:rPr>
          <w:rFonts w:cstheme="minorHAnsi"/>
        </w:rPr>
        <w:t>The project “</w:t>
      </w:r>
      <w:r w:rsidR="00E57156" w:rsidRPr="00277E7F">
        <w:rPr>
          <w:rFonts w:cstheme="minorHAnsi"/>
        </w:rPr>
        <w:t>Enhancing the Development of Standards and Frameworks for Critical Technologies in Southeast Asia</w:t>
      </w:r>
      <w:r w:rsidRPr="00277E7F">
        <w:rPr>
          <w:rFonts w:cstheme="minorHAnsi"/>
        </w:rPr>
        <w:t xml:space="preserve">”, a new initiative signed with the </w:t>
      </w:r>
      <w:r w:rsidR="00EE783F" w:rsidRPr="00277E7F">
        <w:rPr>
          <w:rFonts w:cstheme="minorHAnsi"/>
        </w:rPr>
        <w:t xml:space="preserve">Department of Foreign Affairs and Trade (DFAT) of </w:t>
      </w:r>
      <w:proofErr w:type="gramStart"/>
      <w:r w:rsidR="00EE783F" w:rsidRPr="00277E7F">
        <w:rPr>
          <w:rFonts w:cstheme="minorHAnsi"/>
        </w:rPr>
        <w:t>Australia;</w:t>
      </w:r>
      <w:proofErr w:type="gramEnd"/>
    </w:p>
    <w:p w14:paraId="15926C92" w14:textId="31B0CE8A" w:rsidR="006D4D26" w:rsidRPr="00277E7F" w:rsidRDefault="00EE783F" w:rsidP="00382EF6">
      <w:pPr>
        <w:pStyle w:val="ListParagraph"/>
        <w:numPr>
          <w:ilvl w:val="0"/>
          <w:numId w:val="3"/>
        </w:numPr>
        <w:spacing w:before="60" w:after="60"/>
        <w:ind w:left="357" w:hanging="357"/>
        <w:contextualSpacing w:val="0"/>
        <w:textAlignment w:val="auto"/>
        <w:rPr>
          <w:rFonts w:cstheme="minorHAnsi"/>
        </w:rPr>
      </w:pPr>
      <w:r w:rsidRPr="00277E7F">
        <w:rPr>
          <w:rFonts w:cstheme="minorHAnsi"/>
        </w:rPr>
        <w:t>The project “</w:t>
      </w:r>
      <w:r w:rsidR="00E57156" w:rsidRPr="00277E7F">
        <w:rPr>
          <w:rFonts w:cstheme="minorHAnsi"/>
        </w:rPr>
        <w:t xml:space="preserve">Benchmarking des TIC </w:t>
      </w:r>
      <w:proofErr w:type="spellStart"/>
      <w:r w:rsidR="00E57156" w:rsidRPr="00277E7F">
        <w:rPr>
          <w:rFonts w:cstheme="minorHAnsi"/>
        </w:rPr>
        <w:t>en</w:t>
      </w:r>
      <w:proofErr w:type="spellEnd"/>
      <w:r w:rsidR="00E57156" w:rsidRPr="00277E7F">
        <w:rPr>
          <w:rFonts w:cstheme="minorHAnsi"/>
        </w:rPr>
        <w:t xml:space="preserve"> Afrique Centrale</w:t>
      </w:r>
      <w:r w:rsidRPr="00277E7F">
        <w:rPr>
          <w:rFonts w:cstheme="minorHAnsi"/>
        </w:rPr>
        <w:t xml:space="preserve">”, </w:t>
      </w:r>
      <w:r w:rsidR="00E124C4" w:rsidRPr="00277E7F">
        <w:rPr>
          <w:rFonts w:cstheme="minorHAnsi"/>
        </w:rPr>
        <w:t xml:space="preserve">a new initiative funded by the European Union and ITU through the ICT Development </w:t>
      </w:r>
      <w:proofErr w:type="gramStart"/>
      <w:r w:rsidR="00E124C4" w:rsidRPr="00277E7F">
        <w:rPr>
          <w:rFonts w:cstheme="minorHAnsi"/>
        </w:rPr>
        <w:t>Fund</w:t>
      </w:r>
      <w:r w:rsidR="00C90FC4">
        <w:rPr>
          <w:rFonts w:cstheme="minorHAnsi"/>
        </w:rPr>
        <w:t>;</w:t>
      </w:r>
      <w:proofErr w:type="gramEnd"/>
    </w:p>
    <w:p w14:paraId="74CC04C9" w14:textId="4EDD2420" w:rsidR="00E57156" w:rsidRDefault="000124E9" w:rsidP="00382EF6">
      <w:pPr>
        <w:pStyle w:val="ListParagraph"/>
        <w:numPr>
          <w:ilvl w:val="0"/>
          <w:numId w:val="3"/>
        </w:numPr>
        <w:spacing w:before="60" w:after="60"/>
        <w:ind w:left="357" w:hanging="357"/>
        <w:contextualSpacing w:val="0"/>
        <w:textAlignment w:val="auto"/>
        <w:rPr>
          <w:rFonts w:cstheme="minorHAnsi"/>
        </w:rPr>
      </w:pPr>
      <w:r w:rsidRPr="00277E7F">
        <w:rPr>
          <w:rFonts w:cstheme="minorHAnsi"/>
        </w:rPr>
        <w:t>The project “</w:t>
      </w:r>
      <w:r w:rsidR="00E57156" w:rsidRPr="00277E7F">
        <w:rPr>
          <w:rFonts w:cstheme="minorHAnsi"/>
        </w:rPr>
        <w:t xml:space="preserve">Cost </w:t>
      </w:r>
      <w:r w:rsidRPr="00277E7F">
        <w:rPr>
          <w:rFonts w:cstheme="minorHAnsi"/>
        </w:rPr>
        <w:t>Modelling</w:t>
      </w:r>
      <w:r w:rsidR="00E57156" w:rsidRPr="00277E7F">
        <w:rPr>
          <w:rFonts w:cstheme="minorHAnsi"/>
        </w:rPr>
        <w:t xml:space="preserve"> and Pricing Framework for Sierra Leone</w:t>
      </w:r>
      <w:r w:rsidRPr="00277E7F">
        <w:rPr>
          <w:rFonts w:cstheme="minorHAnsi"/>
        </w:rPr>
        <w:t xml:space="preserve">”, </w:t>
      </w:r>
      <w:r w:rsidR="005033F2" w:rsidRPr="00277E7F">
        <w:rPr>
          <w:rFonts w:cstheme="minorHAnsi"/>
        </w:rPr>
        <w:t>signed with the National Telecommunications Commission of Sierra Leone (NATCOM</w:t>
      </w:r>
      <w:proofErr w:type="gramStart"/>
      <w:r w:rsidR="005033F2" w:rsidRPr="00277E7F">
        <w:rPr>
          <w:rFonts w:cstheme="minorHAnsi"/>
        </w:rPr>
        <w:t>)</w:t>
      </w:r>
      <w:r w:rsidR="00C90FC4">
        <w:rPr>
          <w:rFonts w:cstheme="minorHAnsi"/>
        </w:rPr>
        <w:t>;</w:t>
      </w:r>
      <w:proofErr w:type="gramEnd"/>
    </w:p>
    <w:p w14:paraId="6BF92A3A" w14:textId="12EC0931" w:rsidR="00B36F74" w:rsidRPr="00B36F74" w:rsidRDefault="00B36F74" w:rsidP="00382EF6">
      <w:pPr>
        <w:pStyle w:val="ListParagraph"/>
        <w:numPr>
          <w:ilvl w:val="0"/>
          <w:numId w:val="3"/>
        </w:numPr>
        <w:spacing w:before="60" w:after="60"/>
        <w:ind w:left="357" w:hanging="357"/>
        <w:contextualSpacing w:val="0"/>
        <w:textAlignment w:val="auto"/>
        <w:rPr>
          <w:rFonts w:cstheme="minorHAnsi"/>
          <w:lang w:val="es-ES"/>
        </w:rPr>
      </w:pPr>
      <w:proofErr w:type="spellStart"/>
      <w:r w:rsidRPr="00B36F74">
        <w:rPr>
          <w:rFonts w:cstheme="minorHAnsi"/>
          <w:lang w:val="es-ES"/>
        </w:rPr>
        <w:t>The</w:t>
      </w:r>
      <w:proofErr w:type="spellEnd"/>
      <w:r w:rsidRPr="00B36F74">
        <w:rPr>
          <w:rFonts w:cstheme="minorHAnsi"/>
          <w:lang w:val="es-ES"/>
        </w:rPr>
        <w:t xml:space="preserve"> </w:t>
      </w:r>
      <w:proofErr w:type="spellStart"/>
      <w:r w:rsidRPr="00B36F74">
        <w:rPr>
          <w:rFonts w:cstheme="minorHAnsi"/>
          <w:lang w:val="es-ES"/>
        </w:rPr>
        <w:t>project</w:t>
      </w:r>
      <w:proofErr w:type="spellEnd"/>
      <w:r w:rsidRPr="00B36F74">
        <w:rPr>
          <w:rFonts w:cstheme="minorHAnsi"/>
          <w:lang w:val="es-ES"/>
        </w:rPr>
        <w:t xml:space="preserve"> “Desarrollo de los estudios económicos y técnicos que le permitan a la ANE formular recomendaciones al MinTIC para la definición y adopción de la política nacional sobre el servicio de radiodifusión” </w:t>
      </w:r>
      <w:proofErr w:type="spellStart"/>
      <w:r w:rsidRPr="00B36F74">
        <w:rPr>
          <w:rFonts w:cstheme="minorHAnsi"/>
          <w:lang w:val="es-ES"/>
        </w:rPr>
        <w:t>signed</w:t>
      </w:r>
      <w:proofErr w:type="spellEnd"/>
      <w:r w:rsidRPr="00B36F74">
        <w:rPr>
          <w:rFonts w:cstheme="minorHAnsi"/>
          <w:lang w:val="es-ES"/>
        </w:rPr>
        <w:t xml:space="preserve"> </w:t>
      </w:r>
      <w:proofErr w:type="spellStart"/>
      <w:r w:rsidRPr="00B36F74">
        <w:rPr>
          <w:rFonts w:cstheme="minorHAnsi"/>
          <w:lang w:val="es-ES"/>
        </w:rPr>
        <w:t>with</w:t>
      </w:r>
      <w:proofErr w:type="spellEnd"/>
      <w:r w:rsidRPr="00B36F74">
        <w:rPr>
          <w:rFonts w:cstheme="minorHAnsi"/>
          <w:lang w:val="es-ES"/>
        </w:rPr>
        <w:t xml:space="preserve"> </w:t>
      </w:r>
      <w:proofErr w:type="spellStart"/>
      <w:r w:rsidRPr="00B36F74">
        <w:rPr>
          <w:rFonts w:cstheme="minorHAnsi"/>
          <w:lang w:val="es-ES"/>
        </w:rPr>
        <w:t>the</w:t>
      </w:r>
      <w:proofErr w:type="spellEnd"/>
      <w:r w:rsidRPr="00B36F74">
        <w:rPr>
          <w:rFonts w:cstheme="minorHAnsi"/>
          <w:lang w:val="es-ES"/>
        </w:rPr>
        <w:t xml:space="preserve"> </w:t>
      </w:r>
      <w:proofErr w:type="spellStart"/>
      <w:r w:rsidRPr="00B36F74">
        <w:rPr>
          <w:rFonts w:cstheme="minorHAnsi"/>
          <w:lang w:val="es-ES"/>
        </w:rPr>
        <w:t>Ministry</w:t>
      </w:r>
      <w:proofErr w:type="spellEnd"/>
      <w:r w:rsidRPr="00B36F74">
        <w:rPr>
          <w:rFonts w:cstheme="minorHAnsi"/>
          <w:lang w:val="es-ES"/>
        </w:rPr>
        <w:t xml:space="preserve"> </w:t>
      </w:r>
      <w:proofErr w:type="spellStart"/>
      <w:r w:rsidRPr="00B36F74">
        <w:rPr>
          <w:rFonts w:cstheme="minorHAnsi"/>
          <w:lang w:val="es-ES"/>
        </w:rPr>
        <w:t>of</w:t>
      </w:r>
      <w:proofErr w:type="spellEnd"/>
      <w:r w:rsidRPr="00B36F74">
        <w:rPr>
          <w:rFonts w:cstheme="minorHAnsi"/>
          <w:lang w:val="es-ES"/>
        </w:rPr>
        <w:t xml:space="preserve"> </w:t>
      </w:r>
      <w:proofErr w:type="spellStart"/>
      <w:r w:rsidRPr="00B36F74">
        <w:rPr>
          <w:rFonts w:cstheme="minorHAnsi"/>
          <w:lang w:val="es-ES"/>
        </w:rPr>
        <w:t>Information</w:t>
      </w:r>
      <w:proofErr w:type="spellEnd"/>
      <w:r w:rsidRPr="00B36F74">
        <w:rPr>
          <w:rFonts w:cstheme="minorHAnsi"/>
          <w:lang w:val="es-ES"/>
        </w:rPr>
        <w:t xml:space="preserve"> </w:t>
      </w:r>
      <w:proofErr w:type="spellStart"/>
      <w:r w:rsidRPr="00B36F74">
        <w:rPr>
          <w:rFonts w:cstheme="minorHAnsi"/>
          <w:lang w:val="es-ES"/>
        </w:rPr>
        <w:t>Technology</w:t>
      </w:r>
      <w:proofErr w:type="spellEnd"/>
      <w:r w:rsidRPr="00B36F74">
        <w:rPr>
          <w:rFonts w:cstheme="minorHAnsi"/>
          <w:lang w:val="es-ES"/>
        </w:rPr>
        <w:t xml:space="preserve"> and </w:t>
      </w:r>
      <w:proofErr w:type="spellStart"/>
      <w:r w:rsidRPr="00B36F74">
        <w:rPr>
          <w:rFonts w:cstheme="minorHAnsi"/>
          <w:lang w:val="es-ES"/>
        </w:rPr>
        <w:t>Communications</w:t>
      </w:r>
      <w:proofErr w:type="spellEnd"/>
      <w:r w:rsidRPr="00B36F74">
        <w:rPr>
          <w:rFonts w:cstheme="minorHAnsi"/>
          <w:lang w:val="es-ES"/>
        </w:rPr>
        <w:t xml:space="preserve"> of Colombia</w:t>
      </w:r>
      <w:r w:rsidR="00C90FC4">
        <w:rPr>
          <w:rFonts w:cstheme="minorHAnsi"/>
          <w:lang w:val="es-ES"/>
        </w:rPr>
        <w:t>;</w:t>
      </w:r>
    </w:p>
    <w:p w14:paraId="50D5D6B9" w14:textId="68E1DDB4" w:rsidR="00B36F74" w:rsidRDefault="00B36F74" w:rsidP="00382EF6">
      <w:pPr>
        <w:pStyle w:val="ListParagraph"/>
        <w:numPr>
          <w:ilvl w:val="0"/>
          <w:numId w:val="3"/>
        </w:numPr>
        <w:spacing w:before="60" w:after="60"/>
        <w:ind w:left="357" w:hanging="357"/>
        <w:contextualSpacing w:val="0"/>
        <w:textAlignment w:val="auto"/>
        <w:rPr>
          <w:rFonts w:cstheme="minorHAnsi"/>
        </w:rPr>
      </w:pPr>
      <w:r>
        <w:rPr>
          <w:rFonts w:cstheme="minorHAnsi"/>
        </w:rPr>
        <w:t>The second phase of the “</w:t>
      </w:r>
      <w:r w:rsidRPr="00A5135E">
        <w:rPr>
          <w:rFonts w:cstheme="minorHAnsi"/>
        </w:rPr>
        <w:t xml:space="preserve">GIGA </w:t>
      </w:r>
      <w:r>
        <w:rPr>
          <w:rFonts w:cstheme="minorHAnsi"/>
        </w:rPr>
        <w:t xml:space="preserve">project”, signed with </w:t>
      </w:r>
      <w:proofErr w:type="gramStart"/>
      <w:r>
        <w:rPr>
          <w:rFonts w:cstheme="minorHAnsi"/>
        </w:rPr>
        <w:t>UNICEF</w:t>
      </w:r>
      <w:r w:rsidR="00C90FC4">
        <w:rPr>
          <w:rFonts w:cstheme="minorHAnsi"/>
        </w:rPr>
        <w:t>;</w:t>
      </w:r>
      <w:proofErr w:type="gramEnd"/>
    </w:p>
    <w:p w14:paraId="369B6787" w14:textId="492AAC05" w:rsidR="00B36F74" w:rsidRPr="00A5135E" w:rsidRDefault="00B36F74" w:rsidP="00382EF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Pr="00A5135E">
        <w:rPr>
          <w:rFonts w:cstheme="minorHAnsi"/>
        </w:rPr>
        <w:t>Accelerating Africa’s Digital Transformation Through Connectivity</w:t>
      </w:r>
      <w:r>
        <w:rPr>
          <w:rFonts w:cstheme="minorHAnsi"/>
        </w:rPr>
        <w:t xml:space="preserve">”, signed with </w:t>
      </w:r>
      <w:proofErr w:type="gramStart"/>
      <w:r>
        <w:rPr>
          <w:rFonts w:cstheme="minorHAnsi"/>
        </w:rPr>
        <w:t>Microsoft</w:t>
      </w:r>
      <w:r w:rsidR="00C90FC4">
        <w:rPr>
          <w:rFonts w:cstheme="minorHAnsi"/>
        </w:rPr>
        <w:t>;</w:t>
      </w:r>
      <w:proofErr w:type="gramEnd"/>
    </w:p>
    <w:p w14:paraId="02DF643D" w14:textId="7B03BCE9" w:rsidR="00B36F74" w:rsidRDefault="00B36F74" w:rsidP="00382EF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Pr="00A5135E">
        <w:rPr>
          <w:rFonts w:cstheme="minorHAnsi"/>
        </w:rPr>
        <w:t xml:space="preserve">Promoting enabling policy and regulation </w:t>
      </w:r>
      <w:r>
        <w:rPr>
          <w:rFonts w:cstheme="minorHAnsi"/>
        </w:rPr>
        <w:t xml:space="preserve">for </w:t>
      </w:r>
      <w:r w:rsidRPr="00A5135E">
        <w:rPr>
          <w:rFonts w:cstheme="minorHAnsi"/>
        </w:rPr>
        <w:t>LDCs</w:t>
      </w:r>
      <w:r>
        <w:rPr>
          <w:rFonts w:cstheme="minorHAnsi"/>
        </w:rPr>
        <w:t xml:space="preserve">”, signed with the </w:t>
      </w:r>
      <w:r w:rsidRPr="00D54D34">
        <w:rPr>
          <w:rFonts w:cstheme="minorHAnsi"/>
        </w:rPr>
        <w:t xml:space="preserve">Foreign, Commonwealth </w:t>
      </w:r>
      <w:r>
        <w:rPr>
          <w:rFonts w:cstheme="minorHAnsi"/>
        </w:rPr>
        <w:t>and</w:t>
      </w:r>
      <w:r w:rsidRPr="00D54D34">
        <w:rPr>
          <w:rFonts w:cstheme="minorHAnsi"/>
        </w:rPr>
        <w:t xml:space="preserve"> Development Office </w:t>
      </w:r>
      <w:r>
        <w:rPr>
          <w:rFonts w:cstheme="minorHAnsi"/>
        </w:rPr>
        <w:t>of the United Kingdom (FCDO)</w:t>
      </w:r>
      <w:r w:rsidR="00C90FC4">
        <w:rPr>
          <w:rFonts w:cstheme="minorHAnsi"/>
        </w:rPr>
        <w:t>.</w:t>
      </w:r>
    </w:p>
    <w:p w14:paraId="41267AC3" w14:textId="531C7F97" w:rsidR="00411C5F" w:rsidRDefault="00411C5F" w:rsidP="00382EF6">
      <w:pPr>
        <w:spacing w:after="120"/>
        <w:rPr>
          <w:rFonts w:cstheme="minorHAnsi"/>
        </w:rPr>
      </w:pPr>
      <w:r w:rsidRPr="00277E7F">
        <w:rPr>
          <w:rFonts w:cstheme="minorHAnsi"/>
        </w:rPr>
        <w:t>These and other ITU projects show that by working through partnerships, ITU can have a greater impact and support IT</w:t>
      </w:r>
      <w:r w:rsidRPr="00265172">
        <w:rPr>
          <w:rFonts w:cstheme="minorHAnsi"/>
        </w:rPr>
        <w:t>U Membership in advancing digital development.</w:t>
      </w:r>
      <w:r w:rsidR="00E07B11" w:rsidRPr="00265172">
        <w:rPr>
          <w:rFonts w:cstheme="minorHAnsi"/>
        </w:rPr>
        <w:t xml:space="preserve"> The list of </w:t>
      </w:r>
      <w:r w:rsidR="00CF0BC1" w:rsidRPr="00265172">
        <w:rPr>
          <w:rFonts w:cstheme="minorHAnsi"/>
        </w:rPr>
        <w:t>related</w:t>
      </w:r>
      <w:r w:rsidR="00F41768" w:rsidRPr="00265172">
        <w:rPr>
          <w:rFonts w:cstheme="minorHAnsi"/>
        </w:rPr>
        <w:t xml:space="preserve"> </w:t>
      </w:r>
      <w:r w:rsidR="00E07B11" w:rsidRPr="00265172">
        <w:rPr>
          <w:rFonts w:cstheme="minorHAnsi"/>
        </w:rPr>
        <w:t xml:space="preserve">agreements can be found in </w:t>
      </w:r>
      <w:hyperlink r:id="rId13" w:history="1">
        <w:bookmarkStart w:id="6" w:name="_GoBack"/>
        <w:r w:rsidR="00E07B11" w:rsidRPr="00265172">
          <w:rPr>
            <w:rStyle w:val="Hyperlink"/>
            <w:rFonts w:cstheme="minorHAnsi"/>
          </w:rPr>
          <w:t>Document</w:t>
        </w:r>
        <w:bookmarkEnd w:id="6"/>
        <w:r w:rsidR="00E07B11" w:rsidRPr="00265172">
          <w:rPr>
            <w:rStyle w:val="Hyperlink"/>
            <w:rFonts w:cstheme="minorHAnsi"/>
          </w:rPr>
          <w:t xml:space="preserve"> INF/2</w:t>
        </w:r>
      </w:hyperlink>
      <w:r w:rsidR="00E07B11" w:rsidRPr="00265172">
        <w:rPr>
          <w:rFonts w:cstheme="minorHAnsi"/>
        </w:rPr>
        <w:t>.</w:t>
      </w:r>
      <w:r w:rsidR="006819A3" w:rsidRPr="00277E7F">
        <w:rPr>
          <w:rFonts w:cstheme="minorHAnsi"/>
        </w:rPr>
        <w:t xml:space="preserve"> </w:t>
      </w:r>
    </w:p>
    <w:p w14:paraId="35BA3759" w14:textId="77777777" w:rsidR="007F0D47" w:rsidRPr="00277E7F" w:rsidRDefault="007F0D47" w:rsidP="00382EF6">
      <w:pPr>
        <w:pStyle w:val="Heading1"/>
        <w:numPr>
          <w:ilvl w:val="0"/>
          <w:numId w:val="2"/>
        </w:numPr>
        <w:spacing w:before="120" w:after="120"/>
        <w:textAlignment w:val="auto"/>
        <w:rPr>
          <w:rFonts w:cstheme="minorHAnsi"/>
          <w:sz w:val="24"/>
          <w:szCs w:val="24"/>
        </w:rPr>
      </w:pPr>
      <w:r w:rsidRPr="00277E7F">
        <w:rPr>
          <w:rFonts w:cstheme="minorHAnsi"/>
          <w:sz w:val="24"/>
          <w:szCs w:val="24"/>
        </w:rPr>
        <w:t>Funding sources for ongoing ITU projects</w:t>
      </w:r>
    </w:p>
    <w:p w14:paraId="43EA15E4" w14:textId="4DCDBC67" w:rsidR="007F0D47" w:rsidRPr="00382EF6" w:rsidRDefault="007F0D47" w:rsidP="00382EF6">
      <w:pPr>
        <w:spacing w:after="120"/>
        <w:rPr>
          <w:rFonts w:cstheme="minorHAnsi"/>
          <w:szCs w:val="24"/>
        </w:rPr>
      </w:pPr>
      <w:r w:rsidRPr="00277E7F">
        <w:rPr>
          <w:rFonts w:cstheme="minorHAnsi"/>
        </w:rPr>
        <w:t xml:space="preserve">ITU projects are funded mostly through </w:t>
      </w:r>
      <w:r w:rsidR="005728DD" w:rsidRPr="00277E7F">
        <w:rPr>
          <w:rFonts w:cstheme="minorHAnsi"/>
        </w:rPr>
        <w:t>extrabudgetary</w:t>
      </w:r>
      <w:r w:rsidRPr="00277E7F">
        <w:rPr>
          <w:rFonts w:cstheme="minorHAnsi"/>
        </w:rPr>
        <w:t xml:space="preserve"> resources. </w:t>
      </w:r>
      <w:r w:rsidR="008E7736">
        <w:rPr>
          <w:rFonts w:cstheme="minorHAnsi"/>
        </w:rPr>
        <w:t xml:space="preserve">BDT projects mainly </w:t>
      </w:r>
      <w:r w:rsidR="008E7736" w:rsidRPr="00277E7F">
        <w:rPr>
          <w:rFonts w:cstheme="minorHAnsi"/>
        </w:rPr>
        <w:t>have</w:t>
      </w:r>
      <w:r w:rsidRPr="00277E7F">
        <w:rPr>
          <w:rFonts w:cstheme="minorHAnsi"/>
        </w:rPr>
        <w:t xml:space="preserve"> four types of funding sources: Funds in Trust (FIT), ICT Development Fund (ICT-DF)</w:t>
      </w:r>
      <w:r w:rsidRPr="00277E7F">
        <w:rPr>
          <w:rStyle w:val="FootnoteReference"/>
          <w:rFonts w:cstheme="minorHAnsi"/>
        </w:rPr>
        <w:footnoteReference w:id="3"/>
      </w:r>
      <w:r w:rsidRPr="00277E7F">
        <w:rPr>
          <w:rFonts w:cstheme="minorHAnsi"/>
        </w:rPr>
        <w:t>, voluntary contributions, and the ITU regular budget (OP)</w:t>
      </w:r>
      <w:r w:rsidRPr="00277E7F">
        <w:rPr>
          <w:rStyle w:val="FootnoteReference"/>
          <w:rFonts w:cstheme="minorHAnsi"/>
        </w:rPr>
        <w:footnoteReference w:id="4"/>
      </w:r>
      <w:r w:rsidRPr="00277E7F">
        <w:rPr>
          <w:rFonts w:cstheme="minorHAnsi"/>
        </w:rPr>
        <w:t xml:space="preserve">. Based on the ongoing budget for the implementation of projects as of </w:t>
      </w:r>
      <w:r w:rsidR="005521AA" w:rsidRPr="00277E7F">
        <w:rPr>
          <w:rFonts w:cstheme="minorHAnsi"/>
        </w:rPr>
        <w:t xml:space="preserve">15 September </w:t>
      </w:r>
      <w:r w:rsidRPr="00277E7F">
        <w:rPr>
          <w:rFonts w:cstheme="minorHAnsi"/>
        </w:rPr>
        <w:t xml:space="preserve">2021, the funding for on-going ITU projects corresponds </w:t>
      </w:r>
      <w:r w:rsidR="008E7736">
        <w:rPr>
          <w:rFonts w:cstheme="minorHAnsi"/>
        </w:rPr>
        <w:t xml:space="preserve">to </w:t>
      </w:r>
      <w:r w:rsidRPr="00277E7F">
        <w:rPr>
          <w:rFonts w:cstheme="minorHAnsi"/>
        </w:rPr>
        <w:t>approximately 90 per cent</w:t>
      </w:r>
      <w:r w:rsidR="002F7777">
        <w:rPr>
          <w:rFonts w:cstheme="minorHAnsi"/>
        </w:rPr>
        <w:t>,</w:t>
      </w:r>
      <w:r w:rsidR="00F41768">
        <w:rPr>
          <w:rFonts w:cstheme="minorHAnsi"/>
        </w:rPr>
        <w:t xml:space="preserve"> </w:t>
      </w:r>
      <w:r w:rsidRPr="00277E7F">
        <w:rPr>
          <w:rFonts w:cstheme="minorHAnsi"/>
        </w:rPr>
        <w:t xml:space="preserve">Funds in Trust, </w:t>
      </w:r>
      <w:r w:rsidR="006863D4" w:rsidRPr="00277E7F">
        <w:rPr>
          <w:rFonts w:cstheme="minorHAnsi"/>
        </w:rPr>
        <w:t>6</w:t>
      </w:r>
      <w:r w:rsidRPr="00277E7F">
        <w:rPr>
          <w:rFonts w:cstheme="minorHAnsi"/>
        </w:rPr>
        <w:t xml:space="preserve"> per cent</w:t>
      </w:r>
      <w:r w:rsidR="00F41768">
        <w:rPr>
          <w:rFonts w:cstheme="minorHAnsi"/>
        </w:rPr>
        <w:t xml:space="preserve"> </w:t>
      </w:r>
      <w:r w:rsidRPr="00277E7F">
        <w:rPr>
          <w:rFonts w:cstheme="minorHAnsi"/>
        </w:rPr>
        <w:t xml:space="preserve">ICT-DF and 5 per cent </w:t>
      </w:r>
      <w:r w:rsidR="00F41768">
        <w:rPr>
          <w:rFonts w:cstheme="minorHAnsi"/>
        </w:rPr>
        <w:t xml:space="preserve">from </w:t>
      </w:r>
      <w:r w:rsidRPr="00277E7F">
        <w:rPr>
          <w:rFonts w:cstheme="minorHAnsi"/>
        </w:rPr>
        <w:t xml:space="preserve">BDT </w:t>
      </w:r>
      <w:r w:rsidR="008E7736">
        <w:rPr>
          <w:rFonts w:cstheme="minorHAnsi"/>
        </w:rPr>
        <w:t>regular budget (</w:t>
      </w:r>
      <w:r w:rsidRPr="00277E7F">
        <w:rPr>
          <w:rFonts w:cstheme="minorHAnsi"/>
        </w:rPr>
        <w:t>operational plan</w:t>
      </w:r>
      <w:r w:rsidR="008E7736">
        <w:rPr>
          <w:rFonts w:cstheme="minorHAnsi"/>
        </w:rPr>
        <w:t>)</w:t>
      </w:r>
      <w:r w:rsidRPr="00277E7F">
        <w:rPr>
          <w:rFonts w:cstheme="minorHAnsi"/>
        </w:rPr>
        <w:t xml:space="preserve"> (see figure </w:t>
      </w:r>
      <w:r w:rsidR="007C4B88" w:rsidRPr="00277E7F">
        <w:rPr>
          <w:rFonts w:cstheme="minorHAnsi"/>
        </w:rPr>
        <w:t>2</w:t>
      </w:r>
      <w:r w:rsidRPr="00277E7F">
        <w:rPr>
          <w:rFonts w:cstheme="minorHAnsi"/>
        </w:rPr>
        <w:t xml:space="preserve">). </w:t>
      </w:r>
    </w:p>
    <w:p w14:paraId="0656AD63" w14:textId="5CE901D8" w:rsidR="007F0D47" w:rsidRPr="00277E7F" w:rsidRDefault="007F0D47" w:rsidP="00F41768">
      <w:pPr>
        <w:keepNext/>
        <w:keepLines/>
        <w:tabs>
          <w:tab w:val="left" w:pos="720"/>
        </w:tabs>
        <w:overflowPunct/>
        <w:autoSpaceDE/>
        <w:adjustRightInd/>
        <w:spacing w:after="120"/>
        <w:jc w:val="center"/>
        <w:rPr>
          <w:rFonts w:cstheme="minorHAnsi"/>
          <w:b/>
          <w:bCs/>
          <w:sz w:val="40"/>
          <w:szCs w:val="32"/>
        </w:rPr>
      </w:pPr>
      <w:r w:rsidRPr="00277E7F">
        <w:rPr>
          <w:rFonts w:cstheme="minorHAnsi"/>
          <w:b/>
          <w:bCs/>
          <w:szCs w:val="24"/>
        </w:rPr>
        <w:lastRenderedPageBreak/>
        <w:t xml:space="preserve">Figure </w:t>
      </w:r>
      <w:r w:rsidR="007C4B88" w:rsidRPr="00277E7F">
        <w:rPr>
          <w:rFonts w:cstheme="minorHAnsi"/>
          <w:b/>
          <w:bCs/>
          <w:szCs w:val="24"/>
        </w:rPr>
        <w:t>2</w:t>
      </w:r>
      <w:r w:rsidRPr="00277E7F">
        <w:rPr>
          <w:rFonts w:cstheme="minorHAnsi"/>
          <w:b/>
          <w:bCs/>
          <w:szCs w:val="24"/>
        </w:rPr>
        <w:t xml:space="preserve"> – Funding sources for ITU Projects (on-going projects)</w:t>
      </w:r>
    </w:p>
    <w:p w14:paraId="46467579" w14:textId="767C7EC8" w:rsidR="007F0D47" w:rsidRPr="00277E7F" w:rsidRDefault="006863D4" w:rsidP="00F41768">
      <w:pPr>
        <w:keepNext/>
        <w:keepLines/>
        <w:widowControl w:val="0"/>
        <w:spacing w:after="120"/>
        <w:jc w:val="center"/>
        <w:rPr>
          <w:rFonts w:cstheme="minorHAnsi"/>
        </w:rPr>
      </w:pPr>
      <w:r w:rsidRPr="00277E7F">
        <w:rPr>
          <w:rFonts w:cstheme="minorHAnsi"/>
          <w:noProof/>
          <w:lang w:val="en-US"/>
        </w:rPr>
        <w:drawing>
          <wp:inline distT="0" distB="0" distL="0" distR="0" wp14:anchorId="2118B02D" wp14:editId="173131B7">
            <wp:extent cx="3629551" cy="2182218"/>
            <wp:effectExtent l="0" t="0" r="0" b="8890"/>
            <wp:docPr id="1" name="Chart 1">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1579E0" w14:textId="77777777" w:rsidR="007F0D47" w:rsidRPr="00382EF6" w:rsidRDefault="007F0D47" w:rsidP="00382EF6">
      <w:pPr>
        <w:pStyle w:val="Heading2"/>
        <w:keepNext w:val="0"/>
        <w:keepLines w:val="0"/>
        <w:widowControl w:val="0"/>
        <w:numPr>
          <w:ilvl w:val="1"/>
          <w:numId w:val="2"/>
        </w:numPr>
        <w:spacing w:before="120" w:after="120"/>
        <w:ind w:left="540" w:hanging="540"/>
        <w:textAlignment w:val="auto"/>
        <w:rPr>
          <w:rFonts w:cstheme="minorHAnsi"/>
          <w:szCs w:val="24"/>
        </w:rPr>
      </w:pPr>
      <w:r w:rsidRPr="00382EF6">
        <w:rPr>
          <w:rFonts w:cstheme="minorHAnsi"/>
          <w:szCs w:val="24"/>
        </w:rPr>
        <w:t xml:space="preserve">Council allocated funds for the implementation of WTDC-17 Regional Initiatives </w:t>
      </w:r>
    </w:p>
    <w:p w14:paraId="6750034F" w14:textId="369F541E" w:rsidR="007F0D47" w:rsidRPr="00277E7F" w:rsidRDefault="004E3759" w:rsidP="00382EF6">
      <w:pPr>
        <w:widowControl w:val="0"/>
        <w:spacing w:after="120"/>
        <w:rPr>
          <w:rFonts w:cstheme="minorHAnsi"/>
        </w:rPr>
      </w:pPr>
      <w:r w:rsidRPr="00277E7F">
        <w:rPr>
          <w:rFonts w:cstheme="minorHAnsi"/>
        </w:rPr>
        <w:t xml:space="preserve">BDT has continued to </w:t>
      </w:r>
      <w:r w:rsidR="008E7736">
        <w:rPr>
          <w:rFonts w:cstheme="minorHAnsi"/>
        </w:rPr>
        <w:t>negotiate with partners for the co-financing of projects using</w:t>
      </w:r>
      <w:r w:rsidRPr="00277E7F">
        <w:rPr>
          <w:rFonts w:cstheme="minorHAnsi"/>
        </w:rPr>
        <w:t xml:space="preserve"> </w:t>
      </w:r>
      <w:r w:rsidR="00FA6336" w:rsidRPr="00277E7F">
        <w:rPr>
          <w:rFonts w:cstheme="minorHAnsi"/>
        </w:rPr>
        <w:t xml:space="preserve">the funds allocated by Council for the implementation of the WTDC-17 </w:t>
      </w:r>
      <w:r w:rsidR="00690B65" w:rsidRPr="00277E7F">
        <w:rPr>
          <w:rFonts w:cstheme="minorHAnsi"/>
        </w:rPr>
        <w:t>Regional Initiatives</w:t>
      </w:r>
      <w:r w:rsidR="00FA6336" w:rsidRPr="00277E7F">
        <w:rPr>
          <w:rStyle w:val="FootnoteReference"/>
          <w:rFonts w:cstheme="minorHAnsi"/>
        </w:rPr>
        <w:footnoteReference w:id="5"/>
      </w:r>
      <w:r w:rsidR="00FA6336" w:rsidRPr="00277E7F">
        <w:rPr>
          <w:rFonts w:cstheme="minorHAnsi"/>
        </w:rPr>
        <w:t xml:space="preserve">. </w:t>
      </w:r>
      <w:r w:rsidR="007F0D47" w:rsidRPr="00277E7F">
        <w:rPr>
          <w:rFonts w:cstheme="minorHAnsi"/>
        </w:rPr>
        <w:t>At the date of preparation of this report, a total of 26 projects had</w:t>
      </w:r>
      <w:r w:rsidR="00F41768">
        <w:rPr>
          <w:rFonts w:cstheme="minorHAnsi"/>
        </w:rPr>
        <w:t xml:space="preserve"> </w:t>
      </w:r>
      <w:r w:rsidR="007F0D47" w:rsidRPr="00277E7F">
        <w:rPr>
          <w:rFonts w:cstheme="minorHAnsi"/>
        </w:rPr>
        <w:t xml:space="preserve">been signed with funding from </w:t>
      </w:r>
      <w:r w:rsidR="004C7BC7" w:rsidRPr="00277E7F">
        <w:rPr>
          <w:rFonts w:cstheme="minorHAnsi"/>
        </w:rPr>
        <w:t xml:space="preserve">these </w:t>
      </w:r>
      <w:r w:rsidR="004E4DE7">
        <w:rPr>
          <w:rFonts w:cstheme="minorHAnsi"/>
        </w:rPr>
        <w:t>external partners</w:t>
      </w:r>
      <w:r w:rsidR="00F41768">
        <w:rPr>
          <w:rFonts w:cstheme="minorHAnsi"/>
        </w:rPr>
        <w:t xml:space="preserve"> </w:t>
      </w:r>
      <w:r w:rsidR="004E4DE7">
        <w:rPr>
          <w:rFonts w:cstheme="minorHAnsi"/>
        </w:rPr>
        <w:t>valued at</w:t>
      </w:r>
      <w:r w:rsidR="00F41768">
        <w:rPr>
          <w:rFonts w:cstheme="minorHAnsi"/>
        </w:rPr>
        <w:t xml:space="preserve"> </w:t>
      </w:r>
      <w:r w:rsidR="007F0D47" w:rsidRPr="00277E7F">
        <w:rPr>
          <w:rFonts w:cstheme="minorHAnsi"/>
        </w:rPr>
        <w:t xml:space="preserve">CHF 10.9 million (including </w:t>
      </w:r>
      <w:r w:rsidR="005547F0">
        <w:rPr>
          <w:rFonts w:cstheme="minorHAnsi"/>
        </w:rPr>
        <w:t xml:space="preserve">the </w:t>
      </w:r>
      <w:r w:rsidR="007F0D47" w:rsidRPr="00277E7F">
        <w:rPr>
          <w:rFonts w:cstheme="minorHAnsi"/>
        </w:rPr>
        <w:t>in-kind contributions</w:t>
      </w:r>
      <w:r w:rsidR="005547F0">
        <w:rPr>
          <w:rFonts w:cstheme="minorHAnsi"/>
        </w:rPr>
        <w:t xml:space="preserve"> made by external partners</w:t>
      </w:r>
      <w:r w:rsidR="007F0D47" w:rsidRPr="00277E7F">
        <w:rPr>
          <w:rFonts w:cstheme="minorHAnsi"/>
        </w:rPr>
        <w:t>)</w:t>
      </w:r>
      <w:r w:rsidR="00D74A2B" w:rsidRPr="00277E7F">
        <w:rPr>
          <w:rFonts w:cstheme="minorHAnsi"/>
        </w:rPr>
        <w:t xml:space="preserve">, and an </w:t>
      </w:r>
      <w:r w:rsidR="007F0D47" w:rsidRPr="00277E7F">
        <w:rPr>
          <w:rFonts w:cstheme="minorHAnsi"/>
        </w:rPr>
        <w:t xml:space="preserve">ITU </w:t>
      </w:r>
      <w:r w:rsidR="005547F0">
        <w:rPr>
          <w:rFonts w:cstheme="minorHAnsi"/>
        </w:rPr>
        <w:t xml:space="preserve">cash </w:t>
      </w:r>
      <w:r w:rsidR="007F0D47" w:rsidRPr="00277E7F">
        <w:rPr>
          <w:rFonts w:cstheme="minorHAnsi"/>
        </w:rPr>
        <w:t>contribution of CHF 3.</w:t>
      </w:r>
      <w:r w:rsidR="00D74A2B" w:rsidRPr="00277E7F">
        <w:rPr>
          <w:rFonts w:cstheme="minorHAnsi"/>
        </w:rPr>
        <w:t>6</w:t>
      </w:r>
      <w:r w:rsidR="007F0D47" w:rsidRPr="00277E7F">
        <w:rPr>
          <w:rFonts w:cstheme="minorHAnsi"/>
        </w:rPr>
        <w:t xml:space="preserve"> million. The last batch of </w:t>
      </w:r>
      <w:r w:rsidR="00D6795B" w:rsidRPr="00277E7F">
        <w:rPr>
          <w:rFonts w:cstheme="minorHAnsi"/>
        </w:rPr>
        <w:t>9</w:t>
      </w:r>
      <w:r w:rsidR="007F0D47" w:rsidRPr="00277E7F">
        <w:rPr>
          <w:rFonts w:cstheme="minorHAnsi"/>
        </w:rPr>
        <w:t xml:space="preserve"> projects to be funded </w:t>
      </w:r>
      <w:r w:rsidR="004E4DE7">
        <w:rPr>
          <w:rFonts w:cstheme="minorHAnsi"/>
        </w:rPr>
        <w:t>from</w:t>
      </w:r>
      <w:r w:rsidR="007F0D47" w:rsidRPr="00277E7F">
        <w:rPr>
          <w:rFonts w:cstheme="minorHAnsi"/>
        </w:rPr>
        <w:t xml:space="preserve"> </w:t>
      </w:r>
      <w:r w:rsidR="005C007D" w:rsidRPr="00277E7F">
        <w:rPr>
          <w:rFonts w:cstheme="minorHAnsi"/>
        </w:rPr>
        <w:t xml:space="preserve">the </w:t>
      </w:r>
      <w:r w:rsidR="007F0D47" w:rsidRPr="00277E7F">
        <w:rPr>
          <w:rFonts w:cstheme="minorHAnsi"/>
        </w:rPr>
        <w:t>remaining Council</w:t>
      </w:r>
      <w:r w:rsidR="004E4DE7">
        <w:rPr>
          <w:rFonts w:cstheme="minorHAnsi"/>
        </w:rPr>
        <w:t xml:space="preserve"> approved funds</w:t>
      </w:r>
      <w:r w:rsidR="007F0D47" w:rsidRPr="00277E7F">
        <w:rPr>
          <w:rFonts w:cstheme="minorHAnsi"/>
        </w:rPr>
        <w:t xml:space="preserve"> are expected to be signed </w:t>
      </w:r>
      <w:r w:rsidR="005C007D" w:rsidRPr="00277E7F">
        <w:rPr>
          <w:rFonts w:cstheme="minorHAnsi"/>
        </w:rPr>
        <w:t xml:space="preserve">before the end of 2021, for a total value of </w:t>
      </w:r>
      <w:r w:rsidR="004E4DE7">
        <w:rPr>
          <w:rFonts w:cstheme="minorHAnsi"/>
        </w:rPr>
        <w:t xml:space="preserve">CHF </w:t>
      </w:r>
      <w:r w:rsidR="0068299E" w:rsidRPr="00277E7F">
        <w:rPr>
          <w:rFonts w:cstheme="minorHAnsi"/>
        </w:rPr>
        <w:t>3.</w:t>
      </w:r>
      <w:r w:rsidR="00F07AE8">
        <w:rPr>
          <w:rFonts w:cstheme="minorHAnsi"/>
        </w:rPr>
        <w:t>4</w:t>
      </w:r>
      <w:r w:rsidR="0068299E" w:rsidRPr="00277E7F">
        <w:rPr>
          <w:rFonts w:cstheme="minorHAnsi"/>
        </w:rPr>
        <w:t xml:space="preserve"> million </w:t>
      </w:r>
      <w:r w:rsidR="004E4DE7">
        <w:rPr>
          <w:rFonts w:cstheme="minorHAnsi"/>
        </w:rPr>
        <w:t>(</w:t>
      </w:r>
      <w:r w:rsidR="00F07AE8">
        <w:rPr>
          <w:rFonts w:cstheme="minorHAnsi"/>
        </w:rPr>
        <w:t>including the in-kind contribution made by external partners</w:t>
      </w:r>
      <w:r w:rsidR="004E4DE7">
        <w:rPr>
          <w:rFonts w:cstheme="minorHAnsi"/>
        </w:rPr>
        <w:t xml:space="preserve">) </w:t>
      </w:r>
      <w:r w:rsidR="0068299E" w:rsidRPr="00277E7F">
        <w:rPr>
          <w:rFonts w:cstheme="minorHAnsi"/>
        </w:rPr>
        <w:t>and an</w:t>
      </w:r>
      <w:r w:rsidR="00647E8E">
        <w:rPr>
          <w:rFonts w:cstheme="minorHAnsi"/>
        </w:rPr>
        <w:t xml:space="preserve"> ITU cash contribution of</w:t>
      </w:r>
      <w:r w:rsidR="00F41768">
        <w:rPr>
          <w:rFonts w:cstheme="minorHAnsi"/>
        </w:rPr>
        <w:t xml:space="preserve"> </w:t>
      </w:r>
      <w:r w:rsidR="004E4DE7">
        <w:rPr>
          <w:rFonts w:cstheme="minorHAnsi"/>
        </w:rPr>
        <w:t xml:space="preserve">CHF </w:t>
      </w:r>
      <w:r w:rsidR="0068299E" w:rsidRPr="00277E7F">
        <w:rPr>
          <w:rFonts w:cstheme="minorHAnsi"/>
        </w:rPr>
        <w:t>1.</w:t>
      </w:r>
      <w:r w:rsidR="0086769D" w:rsidRPr="00277E7F">
        <w:rPr>
          <w:rFonts w:cstheme="minorHAnsi"/>
        </w:rPr>
        <w:t>4</w:t>
      </w:r>
      <w:r w:rsidR="0068299E" w:rsidRPr="00277E7F">
        <w:rPr>
          <w:rFonts w:cstheme="minorHAnsi"/>
        </w:rPr>
        <w:t xml:space="preserve"> million</w:t>
      </w:r>
      <w:r w:rsidR="004E4DE7">
        <w:rPr>
          <w:rFonts w:cstheme="minorHAnsi"/>
        </w:rPr>
        <w:t>.</w:t>
      </w:r>
    </w:p>
    <w:p w14:paraId="039BD3AE" w14:textId="074FB47C" w:rsidR="007F0D47" w:rsidRPr="00277E7F" w:rsidRDefault="007F0D47" w:rsidP="00382EF6">
      <w:pPr>
        <w:pStyle w:val="Heading1"/>
        <w:keepNext w:val="0"/>
        <w:keepLines w:val="0"/>
        <w:widowControl w:val="0"/>
        <w:numPr>
          <w:ilvl w:val="0"/>
          <w:numId w:val="2"/>
        </w:numPr>
        <w:spacing w:before="120" w:after="120"/>
        <w:textAlignment w:val="auto"/>
        <w:rPr>
          <w:rFonts w:cstheme="minorHAnsi"/>
          <w:sz w:val="24"/>
          <w:szCs w:val="24"/>
        </w:rPr>
      </w:pPr>
      <w:r w:rsidRPr="00277E7F">
        <w:rPr>
          <w:rFonts w:cstheme="minorHAnsi"/>
          <w:sz w:val="24"/>
          <w:szCs w:val="24"/>
        </w:rPr>
        <w:t xml:space="preserve">Efforts being made to establish robust project management practices in </w:t>
      </w:r>
      <w:r w:rsidR="00AB0BC5">
        <w:rPr>
          <w:rFonts w:cstheme="minorHAnsi"/>
          <w:sz w:val="24"/>
          <w:szCs w:val="24"/>
        </w:rPr>
        <w:t>the BDT</w:t>
      </w:r>
    </w:p>
    <w:p w14:paraId="0C1475DB" w14:textId="6F082D95" w:rsidR="007F0D47" w:rsidRPr="00277E7F" w:rsidRDefault="007F0D47" w:rsidP="00382EF6">
      <w:pPr>
        <w:pStyle w:val="ListParagraph"/>
        <w:widowControl w:val="0"/>
        <w:spacing w:after="120"/>
        <w:ind w:left="0"/>
        <w:contextualSpacing w:val="0"/>
        <w:rPr>
          <w:rFonts w:cstheme="minorHAnsi"/>
          <w:lang w:val="en-US"/>
        </w:rPr>
      </w:pPr>
      <w:r w:rsidRPr="00277E7F">
        <w:rPr>
          <w:rFonts w:cstheme="minorHAnsi"/>
          <w:lang w:val="en-US"/>
        </w:rPr>
        <w:t xml:space="preserve">BDT has continued to strengthen project management practices across all ITU projects, through the organization of a broad range of activities aimed at reinforcing the governance of </w:t>
      </w:r>
      <w:r w:rsidR="00AB0BC5">
        <w:rPr>
          <w:rFonts w:cstheme="minorHAnsi"/>
          <w:lang w:val="en-US"/>
        </w:rPr>
        <w:t>BDT</w:t>
      </w:r>
      <w:r w:rsidRPr="00277E7F">
        <w:rPr>
          <w:rFonts w:cstheme="minorHAnsi"/>
          <w:lang w:val="en-US"/>
        </w:rPr>
        <w:t xml:space="preserve"> projects, building capacity of </w:t>
      </w:r>
      <w:r w:rsidR="00AB0BC5">
        <w:rPr>
          <w:rFonts w:cstheme="minorHAnsi"/>
          <w:lang w:val="en-US"/>
        </w:rPr>
        <w:t>BDT</w:t>
      </w:r>
      <w:r w:rsidRPr="00277E7F">
        <w:rPr>
          <w:rFonts w:cstheme="minorHAnsi"/>
          <w:lang w:val="en-US"/>
        </w:rPr>
        <w:t xml:space="preserve"> project managers, standardizing project management practices across </w:t>
      </w:r>
      <w:r w:rsidR="00AB0BC5">
        <w:rPr>
          <w:rFonts w:cstheme="minorHAnsi"/>
          <w:lang w:val="en-US"/>
        </w:rPr>
        <w:t>BDT</w:t>
      </w:r>
      <w:r w:rsidRPr="00277E7F">
        <w:rPr>
          <w:rFonts w:cstheme="minorHAnsi"/>
          <w:lang w:val="en-US"/>
        </w:rPr>
        <w:t xml:space="preserve"> and reinforcing the monitoring and evaluation of projects. </w:t>
      </w:r>
      <w:r w:rsidR="009F065B" w:rsidRPr="00277E7F">
        <w:rPr>
          <w:rFonts w:cstheme="minorHAnsi"/>
          <w:lang w:val="en-US"/>
        </w:rPr>
        <w:t>The following list summarizes the activities conducted during the second and third quarters of 2021</w:t>
      </w:r>
      <w:r w:rsidRPr="00277E7F">
        <w:rPr>
          <w:rFonts w:cstheme="minorHAnsi"/>
          <w:lang w:val="en-US"/>
        </w:rPr>
        <w:t>:</w:t>
      </w:r>
    </w:p>
    <w:p w14:paraId="07FA1C84" w14:textId="026B70B5" w:rsidR="007F0D47" w:rsidRPr="00277E7F" w:rsidRDefault="00046236" w:rsidP="00382EF6">
      <w:pPr>
        <w:pStyle w:val="ListParagraph"/>
        <w:numPr>
          <w:ilvl w:val="0"/>
          <w:numId w:val="4"/>
        </w:numPr>
        <w:spacing w:after="120"/>
        <w:contextualSpacing w:val="0"/>
        <w:textAlignment w:val="auto"/>
        <w:rPr>
          <w:rFonts w:cstheme="minorHAnsi"/>
          <w:b/>
          <w:bCs/>
        </w:rPr>
      </w:pPr>
      <w:r w:rsidRPr="00277E7F">
        <w:rPr>
          <w:rFonts w:cstheme="minorHAnsi"/>
          <w:b/>
          <w:bCs/>
          <w:i/>
          <w:iCs/>
          <w:lang w:val="en-US"/>
        </w:rPr>
        <w:t xml:space="preserve">Operation </w:t>
      </w:r>
      <w:r w:rsidR="007F0D47" w:rsidRPr="00277E7F">
        <w:rPr>
          <w:rFonts w:cstheme="minorHAnsi"/>
          <w:b/>
          <w:bCs/>
          <w:i/>
          <w:iCs/>
        </w:rPr>
        <w:t>of the BDT Projects Board</w:t>
      </w:r>
      <w:r w:rsidR="007F0D47" w:rsidRPr="00277E7F">
        <w:rPr>
          <w:rFonts w:cstheme="minorHAnsi"/>
          <w:i/>
          <w:iCs/>
        </w:rPr>
        <w:t>:</w:t>
      </w:r>
      <w:r w:rsidR="007F0D47" w:rsidRPr="00277E7F">
        <w:rPr>
          <w:rFonts w:cstheme="minorHAnsi"/>
        </w:rPr>
        <w:t xml:space="preserve"> </w:t>
      </w:r>
      <w:r w:rsidR="004E4DE7">
        <w:rPr>
          <w:rFonts w:cstheme="minorHAnsi"/>
        </w:rPr>
        <w:t>T</w:t>
      </w:r>
      <w:r w:rsidR="007F0D47" w:rsidRPr="00277E7F">
        <w:rPr>
          <w:rFonts w:cstheme="minorHAnsi"/>
        </w:rPr>
        <w:t>he BDT Projects Board</w:t>
      </w:r>
      <w:r w:rsidR="00F41768">
        <w:rPr>
          <w:rFonts w:cstheme="minorHAnsi"/>
        </w:rPr>
        <w:t xml:space="preserve"> </w:t>
      </w:r>
      <w:r w:rsidR="002D261A" w:rsidRPr="00277E7F">
        <w:rPr>
          <w:rFonts w:cstheme="minorHAnsi"/>
        </w:rPr>
        <w:t xml:space="preserve">continued to meet </w:t>
      </w:r>
      <w:r w:rsidR="00B90047" w:rsidRPr="00277E7F">
        <w:rPr>
          <w:rFonts w:cstheme="minorHAnsi"/>
        </w:rPr>
        <w:t xml:space="preserve">on a monthly basis. The Board </w:t>
      </w:r>
      <w:r w:rsidR="004E4DE7">
        <w:rPr>
          <w:rFonts w:cstheme="minorHAnsi"/>
        </w:rPr>
        <w:t xml:space="preserve">met to </w:t>
      </w:r>
      <w:r w:rsidR="007F0D47" w:rsidRPr="00277E7F">
        <w:rPr>
          <w:rFonts w:cstheme="minorHAnsi"/>
        </w:rPr>
        <w:t>assess and evaluat</w:t>
      </w:r>
      <w:r w:rsidR="00580E59" w:rsidRPr="00277E7F">
        <w:rPr>
          <w:rFonts w:cstheme="minorHAnsi"/>
        </w:rPr>
        <w:t>e</w:t>
      </w:r>
      <w:r w:rsidR="007F0D47" w:rsidRPr="00277E7F">
        <w:rPr>
          <w:rFonts w:cstheme="minorHAnsi"/>
        </w:rPr>
        <w:t xml:space="preserve"> project proposals’ viability and relevance before they evolve</w:t>
      </w:r>
      <w:r w:rsidR="004E4DE7">
        <w:rPr>
          <w:rFonts w:cstheme="minorHAnsi"/>
        </w:rPr>
        <w:t>d</w:t>
      </w:r>
      <w:r w:rsidR="007F0D47" w:rsidRPr="00277E7F">
        <w:rPr>
          <w:rFonts w:cstheme="minorHAnsi"/>
        </w:rPr>
        <w:t xml:space="preserve"> into projects, review</w:t>
      </w:r>
      <w:r w:rsidR="004E4DE7">
        <w:rPr>
          <w:rFonts w:cstheme="minorHAnsi"/>
        </w:rPr>
        <w:t>ed</w:t>
      </w:r>
      <w:r w:rsidR="007F0D47" w:rsidRPr="00277E7F">
        <w:rPr>
          <w:rFonts w:cstheme="minorHAnsi"/>
        </w:rPr>
        <w:t xml:space="preserve"> and approve</w:t>
      </w:r>
      <w:r w:rsidR="004E4DE7">
        <w:rPr>
          <w:rFonts w:cstheme="minorHAnsi"/>
        </w:rPr>
        <w:t>d</w:t>
      </w:r>
      <w:r w:rsidR="007F0D47" w:rsidRPr="00277E7F">
        <w:rPr>
          <w:rFonts w:cstheme="minorHAnsi"/>
        </w:rPr>
        <w:t xml:space="preserve"> projects before they </w:t>
      </w:r>
      <w:r w:rsidR="004E4DE7">
        <w:rPr>
          <w:rFonts w:cstheme="minorHAnsi"/>
        </w:rPr>
        <w:t>were</w:t>
      </w:r>
      <w:r w:rsidR="007F0D47" w:rsidRPr="00277E7F">
        <w:rPr>
          <w:rFonts w:cstheme="minorHAnsi"/>
        </w:rPr>
        <w:t xml:space="preserve"> agreed on with partners and provide</w:t>
      </w:r>
      <w:r w:rsidR="004E4DE7">
        <w:rPr>
          <w:rFonts w:cstheme="minorHAnsi"/>
        </w:rPr>
        <w:t>d</w:t>
      </w:r>
      <w:r w:rsidR="007F0D47" w:rsidRPr="00277E7F">
        <w:rPr>
          <w:rFonts w:cstheme="minorHAnsi"/>
        </w:rPr>
        <w:t xml:space="preserve"> oversight on project implementation and closure where issues ar</w:t>
      </w:r>
      <w:r w:rsidR="004E4DE7">
        <w:rPr>
          <w:rFonts w:cstheme="minorHAnsi"/>
        </w:rPr>
        <w:t>o</w:t>
      </w:r>
      <w:r w:rsidR="007F0D47" w:rsidRPr="00277E7F">
        <w:rPr>
          <w:rFonts w:cstheme="minorHAnsi"/>
        </w:rPr>
        <w:t xml:space="preserve">se. The </w:t>
      </w:r>
      <w:r w:rsidR="002841C4" w:rsidRPr="00277E7F">
        <w:rPr>
          <w:rFonts w:cstheme="minorHAnsi"/>
        </w:rPr>
        <w:t xml:space="preserve">decisions from the Board </w:t>
      </w:r>
      <w:r w:rsidR="00AB0BC5">
        <w:rPr>
          <w:rFonts w:cstheme="minorHAnsi"/>
        </w:rPr>
        <w:t>were</w:t>
      </w:r>
      <w:r w:rsidR="002841C4" w:rsidRPr="00277E7F">
        <w:rPr>
          <w:rFonts w:cstheme="minorHAnsi"/>
        </w:rPr>
        <w:t xml:space="preserve"> followed up by the Project Support </w:t>
      </w:r>
      <w:r w:rsidR="00AB0BC5">
        <w:rPr>
          <w:rFonts w:cstheme="minorHAnsi"/>
        </w:rPr>
        <w:t>team</w:t>
      </w:r>
      <w:r w:rsidR="002841C4" w:rsidRPr="00277E7F">
        <w:rPr>
          <w:rFonts w:cstheme="minorHAnsi"/>
        </w:rPr>
        <w:t xml:space="preserve"> and reported </w:t>
      </w:r>
      <w:r w:rsidR="00AB0BC5">
        <w:rPr>
          <w:rFonts w:cstheme="minorHAnsi"/>
        </w:rPr>
        <w:t>back to</w:t>
      </w:r>
      <w:r w:rsidR="00F41768">
        <w:rPr>
          <w:rFonts w:cstheme="minorHAnsi"/>
        </w:rPr>
        <w:t xml:space="preserve"> </w:t>
      </w:r>
      <w:r w:rsidR="003859A0" w:rsidRPr="00277E7F">
        <w:rPr>
          <w:rFonts w:cstheme="minorHAnsi"/>
        </w:rPr>
        <w:t xml:space="preserve">the </w:t>
      </w:r>
      <w:r w:rsidR="00AB0BC5">
        <w:rPr>
          <w:rFonts w:cstheme="minorHAnsi"/>
        </w:rPr>
        <w:t xml:space="preserve">Projects </w:t>
      </w:r>
      <w:r w:rsidR="003859A0" w:rsidRPr="00277E7F">
        <w:rPr>
          <w:rFonts w:cstheme="minorHAnsi"/>
        </w:rPr>
        <w:t>Board</w:t>
      </w:r>
      <w:r w:rsidR="00AB0BC5">
        <w:rPr>
          <w:rFonts w:cstheme="minorHAnsi"/>
        </w:rPr>
        <w:t>.</w:t>
      </w:r>
    </w:p>
    <w:p w14:paraId="2DF94E13" w14:textId="2DA37228" w:rsidR="00D91C94" w:rsidRPr="00277E7F" w:rsidRDefault="00457113" w:rsidP="00382EF6">
      <w:pPr>
        <w:pStyle w:val="ListParagraph"/>
        <w:numPr>
          <w:ilvl w:val="0"/>
          <w:numId w:val="4"/>
        </w:numPr>
        <w:spacing w:after="120"/>
        <w:contextualSpacing w:val="0"/>
        <w:textAlignment w:val="auto"/>
        <w:rPr>
          <w:rFonts w:cstheme="minorHAnsi"/>
          <w:b/>
          <w:bCs/>
        </w:rPr>
      </w:pPr>
      <w:r w:rsidRPr="00277E7F">
        <w:rPr>
          <w:rFonts w:cstheme="minorHAnsi"/>
          <w:b/>
          <w:bCs/>
          <w:i/>
          <w:iCs/>
          <w:lang w:val="en-US"/>
        </w:rPr>
        <w:t xml:space="preserve">Strengthening of </w:t>
      </w:r>
      <w:r w:rsidR="00270220" w:rsidRPr="00277E7F">
        <w:rPr>
          <w:rFonts w:cstheme="minorHAnsi"/>
          <w:b/>
          <w:bCs/>
          <w:i/>
          <w:iCs/>
          <w:lang w:val="en-US"/>
        </w:rPr>
        <w:t>Project Management Practices</w:t>
      </w:r>
      <w:r w:rsidR="005B0E91">
        <w:rPr>
          <w:rFonts w:cstheme="minorHAnsi"/>
          <w:b/>
          <w:bCs/>
          <w:i/>
          <w:iCs/>
          <w:lang w:val="en-US"/>
        </w:rPr>
        <w:t>:</w:t>
      </w:r>
      <w:r w:rsidR="00270220" w:rsidRPr="00277E7F">
        <w:rPr>
          <w:rFonts w:cstheme="minorHAnsi"/>
          <w:b/>
          <w:bCs/>
          <w:i/>
          <w:iCs/>
          <w:lang w:val="en-US"/>
        </w:rPr>
        <w:t xml:space="preserve"> </w:t>
      </w:r>
      <w:r w:rsidR="00270220" w:rsidRPr="00277E7F">
        <w:rPr>
          <w:rFonts w:cstheme="minorHAnsi"/>
          <w:lang w:val="en-US"/>
        </w:rPr>
        <w:t xml:space="preserve">BDT has continued to </w:t>
      </w:r>
      <w:r w:rsidR="006A13DD" w:rsidRPr="00277E7F">
        <w:rPr>
          <w:rFonts w:cstheme="minorHAnsi"/>
          <w:lang w:val="en-US"/>
        </w:rPr>
        <w:t xml:space="preserve">strengthen project management practices </w:t>
      </w:r>
      <w:r w:rsidR="00882EB8" w:rsidRPr="00277E7F">
        <w:rPr>
          <w:rFonts w:cstheme="minorHAnsi"/>
          <w:lang w:val="en-US"/>
        </w:rPr>
        <w:t xml:space="preserve">across the Bureau. Actions implemented on this front include the operation of the “Community of Practice of </w:t>
      </w:r>
      <w:r w:rsidR="00AB0BC5">
        <w:rPr>
          <w:rFonts w:cstheme="minorHAnsi"/>
          <w:lang w:val="en-US"/>
        </w:rPr>
        <w:t>BDT</w:t>
      </w:r>
      <w:r w:rsidR="00882EB8" w:rsidRPr="00277E7F">
        <w:rPr>
          <w:rFonts w:cstheme="minorHAnsi"/>
          <w:lang w:val="en-US"/>
        </w:rPr>
        <w:t xml:space="preserve"> Project Managers”, an online platform with </w:t>
      </w:r>
      <w:r w:rsidR="0029364C" w:rsidRPr="00277E7F">
        <w:rPr>
          <w:rFonts w:cstheme="minorHAnsi"/>
          <w:lang w:val="en-US"/>
        </w:rPr>
        <w:t>84</w:t>
      </w:r>
      <w:r w:rsidR="00C90FC4">
        <w:rPr>
          <w:rFonts w:cstheme="minorHAnsi"/>
          <w:lang w:val="en-US"/>
        </w:rPr>
        <w:t> </w:t>
      </w:r>
      <w:r w:rsidR="0029364C" w:rsidRPr="00277E7F">
        <w:rPr>
          <w:rFonts w:cstheme="minorHAnsi"/>
          <w:lang w:val="en-US"/>
        </w:rPr>
        <w:t xml:space="preserve">active </w:t>
      </w:r>
      <w:r w:rsidR="00AB0BC5">
        <w:rPr>
          <w:rFonts w:cstheme="minorHAnsi"/>
          <w:lang w:val="en-US"/>
        </w:rPr>
        <w:t xml:space="preserve">staff </w:t>
      </w:r>
      <w:r w:rsidR="0029364C" w:rsidRPr="00277E7F">
        <w:rPr>
          <w:rFonts w:cstheme="minorHAnsi"/>
          <w:lang w:val="en-US"/>
        </w:rPr>
        <w:t>members, as well as the organization of project management clinics and information sessions for project managers</w:t>
      </w:r>
      <w:r w:rsidR="00D91C94" w:rsidRPr="00277E7F">
        <w:rPr>
          <w:rFonts w:cstheme="minorHAnsi"/>
          <w:lang w:val="en-US"/>
        </w:rPr>
        <w:t xml:space="preserve">. This work has complemented the Project Management Certification </w:t>
      </w:r>
      <w:r w:rsidR="00AB0BC5">
        <w:rPr>
          <w:rFonts w:cstheme="minorHAnsi"/>
          <w:lang w:val="en-US"/>
        </w:rPr>
        <w:t xml:space="preserve">training </w:t>
      </w:r>
      <w:proofErr w:type="spellStart"/>
      <w:r w:rsidR="00D91C94" w:rsidRPr="00277E7F">
        <w:rPr>
          <w:rFonts w:cstheme="minorHAnsi"/>
          <w:lang w:val="en-US"/>
        </w:rPr>
        <w:t>programme</w:t>
      </w:r>
      <w:proofErr w:type="spellEnd"/>
      <w:r w:rsidR="00D91C94" w:rsidRPr="00277E7F">
        <w:rPr>
          <w:rFonts w:cstheme="minorHAnsi"/>
          <w:lang w:val="en-US"/>
        </w:rPr>
        <w:t xml:space="preserve"> conducted in 2019 and 2020. </w:t>
      </w:r>
    </w:p>
    <w:p w14:paraId="0104B6B6" w14:textId="6FB2C16C" w:rsidR="00A145DD" w:rsidRPr="00277E7F" w:rsidRDefault="00BA3A18" w:rsidP="00382EF6">
      <w:pPr>
        <w:pStyle w:val="ListParagraph"/>
        <w:numPr>
          <w:ilvl w:val="0"/>
          <w:numId w:val="4"/>
        </w:numPr>
        <w:spacing w:after="120"/>
        <w:contextualSpacing w:val="0"/>
        <w:textAlignment w:val="auto"/>
        <w:rPr>
          <w:rFonts w:cstheme="minorHAnsi"/>
        </w:rPr>
      </w:pPr>
      <w:r w:rsidRPr="00277E7F">
        <w:rPr>
          <w:rFonts w:cstheme="minorHAnsi"/>
          <w:b/>
          <w:bCs/>
          <w:i/>
          <w:iCs/>
          <w:lang w:val="en-US"/>
        </w:rPr>
        <w:lastRenderedPageBreak/>
        <w:t>Closure of projects</w:t>
      </w:r>
      <w:r w:rsidR="005B0E91">
        <w:rPr>
          <w:rFonts w:cstheme="minorHAnsi"/>
          <w:b/>
          <w:bCs/>
          <w:i/>
          <w:iCs/>
          <w:lang w:val="en-US"/>
        </w:rPr>
        <w:t>:</w:t>
      </w:r>
      <w:r w:rsidR="00457495" w:rsidRPr="00277E7F">
        <w:rPr>
          <w:rFonts w:cstheme="minorHAnsi"/>
          <w:b/>
          <w:bCs/>
          <w:i/>
          <w:iCs/>
          <w:lang w:val="en-US"/>
        </w:rPr>
        <w:t xml:space="preserve"> </w:t>
      </w:r>
      <w:r w:rsidR="00A145DD" w:rsidRPr="00277E7F">
        <w:rPr>
          <w:rFonts w:cstheme="minorHAnsi"/>
          <w:lang w:val="en-US"/>
        </w:rPr>
        <w:t xml:space="preserve">BDT </w:t>
      </w:r>
      <w:r w:rsidR="00D13CC1" w:rsidRPr="00277E7F">
        <w:rPr>
          <w:rFonts w:cstheme="minorHAnsi"/>
          <w:lang w:val="en-US"/>
        </w:rPr>
        <w:t xml:space="preserve">has </w:t>
      </w:r>
      <w:r w:rsidR="00A145DD" w:rsidRPr="00277E7F">
        <w:rPr>
          <w:rFonts w:cstheme="minorHAnsi"/>
          <w:lang w:val="en-US"/>
        </w:rPr>
        <w:t>revised the process and steps involved in the closure of projects</w:t>
      </w:r>
      <w:r w:rsidR="00810AA3" w:rsidRPr="00277E7F">
        <w:rPr>
          <w:rFonts w:cstheme="minorHAnsi"/>
          <w:lang w:val="en-US"/>
        </w:rPr>
        <w:t xml:space="preserve"> to reduce the time </w:t>
      </w:r>
      <w:r w:rsidR="002E6725" w:rsidRPr="00277E7F">
        <w:rPr>
          <w:rFonts w:cstheme="minorHAnsi"/>
          <w:lang w:val="en-US"/>
        </w:rPr>
        <w:t xml:space="preserve">required to close a project </w:t>
      </w:r>
      <w:r w:rsidR="00ED79E3" w:rsidRPr="00277E7F">
        <w:rPr>
          <w:rFonts w:cstheme="minorHAnsi"/>
          <w:lang w:val="en-US"/>
        </w:rPr>
        <w:t>to a maximum of 9 months from the date of completion of all activities</w:t>
      </w:r>
      <w:r w:rsidR="002E6725" w:rsidRPr="00277E7F">
        <w:rPr>
          <w:rFonts w:cstheme="minorHAnsi"/>
          <w:lang w:val="en-US"/>
        </w:rPr>
        <w:t xml:space="preserve">. </w:t>
      </w:r>
      <w:r w:rsidR="00810AA3" w:rsidRPr="00277E7F">
        <w:rPr>
          <w:rFonts w:cstheme="minorHAnsi"/>
          <w:lang w:val="en-US"/>
        </w:rPr>
        <w:t xml:space="preserve">This work has been done </w:t>
      </w:r>
      <w:r w:rsidR="002E6725" w:rsidRPr="00277E7F">
        <w:rPr>
          <w:rFonts w:cstheme="minorHAnsi"/>
          <w:lang w:val="en-US"/>
        </w:rPr>
        <w:t xml:space="preserve">in </w:t>
      </w:r>
      <w:r w:rsidR="00810AA3" w:rsidRPr="00277E7F">
        <w:rPr>
          <w:rFonts w:cstheme="minorHAnsi"/>
          <w:lang w:val="en-US"/>
        </w:rPr>
        <w:t xml:space="preserve">line with the new ITU Project Management Manual, introduced in </w:t>
      </w:r>
      <w:r w:rsidR="002E6725" w:rsidRPr="00277E7F">
        <w:rPr>
          <w:rFonts w:cstheme="minorHAnsi"/>
          <w:lang w:val="en-US"/>
        </w:rPr>
        <w:t>July 2020, and in close coordination with ITU´s Financial Resources Management Department</w:t>
      </w:r>
      <w:r w:rsidR="00C56C85" w:rsidRPr="00277E7F">
        <w:rPr>
          <w:rFonts w:cstheme="minorHAnsi"/>
          <w:lang w:val="en-US"/>
        </w:rPr>
        <w:t xml:space="preserve"> (FRMD)</w:t>
      </w:r>
      <w:r w:rsidR="00AB0BC5">
        <w:rPr>
          <w:rFonts w:cstheme="minorHAnsi"/>
          <w:lang w:val="en-US"/>
        </w:rPr>
        <w:t>, Procurement Service, and Human Resources Management Department (HRMD), and Legal Department</w:t>
      </w:r>
      <w:r w:rsidR="002E6725" w:rsidRPr="00277E7F">
        <w:rPr>
          <w:rFonts w:cstheme="minorHAnsi"/>
          <w:lang w:val="en-US"/>
        </w:rPr>
        <w:t xml:space="preserve">. A total of </w:t>
      </w:r>
      <w:r w:rsidR="00DD281F" w:rsidRPr="00277E7F">
        <w:rPr>
          <w:rFonts w:cstheme="minorHAnsi"/>
          <w:lang w:val="en-US"/>
        </w:rPr>
        <w:t xml:space="preserve">15 </w:t>
      </w:r>
      <w:r w:rsidR="002E1563" w:rsidRPr="00277E7F">
        <w:rPr>
          <w:rFonts w:cstheme="minorHAnsi"/>
          <w:lang w:val="en-US"/>
        </w:rPr>
        <w:t>projects have been close</w:t>
      </w:r>
      <w:r w:rsidR="00CF7863" w:rsidRPr="00277E7F">
        <w:rPr>
          <w:rFonts w:cstheme="minorHAnsi"/>
          <w:lang w:val="en-US"/>
        </w:rPr>
        <w:t xml:space="preserve">d </w:t>
      </w:r>
      <w:r w:rsidR="008D394A">
        <w:rPr>
          <w:rFonts w:cstheme="minorHAnsi"/>
          <w:lang w:val="en-US"/>
        </w:rPr>
        <w:t xml:space="preserve">following this new approach </w:t>
      </w:r>
      <w:r w:rsidR="00ED79E3" w:rsidRPr="00277E7F">
        <w:rPr>
          <w:rFonts w:cstheme="minorHAnsi"/>
          <w:lang w:val="en-US"/>
        </w:rPr>
        <w:t>during the period covered by this report.</w:t>
      </w:r>
    </w:p>
    <w:p w14:paraId="232A0859" w14:textId="6382D20B" w:rsidR="00277E7F" w:rsidRPr="00AB0BC5" w:rsidRDefault="0090201A" w:rsidP="00382EF6">
      <w:pPr>
        <w:pStyle w:val="ListParagraph"/>
        <w:numPr>
          <w:ilvl w:val="0"/>
          <w:numId w:val="4"/>
        </w:numPr>
        <w:spacing w:after="120"/>
        <w:contextualSpacing w:val="0"/>
        <w:textAlignment w:val="auto"/>
        <w:rPr>
          <w:rFonts w:cstheme="minorHAnsi"/>
          <w:color w:val="FF0000"/>
        </w:rPr>
      </w:pPr>
      <w:r w:rsidRPr="00AB0BC5">
        <w:rPr>
          <w:rFonts w:cstheme="minorHAnsi"/>
          <w:b/>
          <w:bCs/>
          <w:i/>
          <w:iCs/>
        </w:rPr>
        <w:t>Monitoring of ITU P</w:t>
      </w:r>
      <w:r w:rsidR="007F0D47" w:rsidRPr="00AB0BC5">
        <w:rPr>
          <w:rFonts w:cstheme="minorHAnsi"/>
          <w:b/>
          <w:bCs/>
          <w:i/>
          <w:iCs/>
        </w:rPr>
        <w:t>roject</w:t>
      </w:r>
      <w:r w:rsidRPr="00D75446">
        <w:rPr>
          <w:rFonts w:cstheme="minorHAnsi"/>
          <w:b/>
          <w:bCs/>
          <w:i/>
          <w:iCs/>
        </w:rPr>
        <w:t>s</w:t>
      </w:r>
      <w:r w:rsidR="007F0D47" w:rsidRPr="00AB0BC5">
        <w:rPr>
          <w:rFonts w:cstheme="minorHAnsi"/>
          <w:i/>
          <w:iCs/>
        </w:rPr>
        <w:t>:</w:t>
      </w:r>
      <w:r w:rsidR="007F0D47" w:rsidRPr="00AB0BC5">
        <w:rPr>
          <w:rFonts w:cstheme="minorHAnsi"/>
          <w:b/>
          <w:bCs/>
        </w:rPr>
        <w:t xml:space="preserve"> </w:t>
      </w:r>
      <w:r w:rsidR="007F0D47" w:rsidRPr="00AB0BC5">
        <w:rPr>
          <w:rFonts w:cstheme="minorHAnsi"/>
        </w:rPr>
        <w:t>All</w:t>
      </w:r>
      <w:r w:rsidR="007F0D47" w:rsidRPr="00AB0BC5">
        <w:rPr>
          <w:rFonts w:cstheme="minorHAnsi"/>
          <w:b/>
          <w:bCs/>
        </w:rPr>
        <w:t xml:space="preserve"> </w:t>
      </w:r>
      <w:r w:rsidR="007F0D47" w:rsidRPr="00AB0BC5">
        <w:rPr>
          <w:rFonts w:cstheme="minorHAnsi"/>
        </w:rPr>
        <w:t xml:space="preserve">ITU projects </w:t>
      </w:r>
      <w:r w:rsidR="00C30153" w:rsidRPr="00AB0BC5">
        <w:rPr>
          <w:rFonts w:cstheme="minorHAnsi"/>
        </w:rPr>
        <w:t xml:space="preserve">continue to be </w:t>
      </w:r>
      <w:r w:rsidR="007F0D47" w:rsidRPr="00AB0BC5">
        <w:rPr>
          <w:rFonts w:cstheme="minorHAnsi"/>
        </w:rPr>
        <w:t xml:space="preserve">monitored on a </w:t>
      </w:r>
      <w:r w:rsidR="00AB0BC5" w:rsidRPr="00AB0BC5">
        <w:rPr>
          <w:rFonts w:cstheme="minorHAnsi"/>
        </w:rPr>
        <w:t>day</w:t>
      </w:r>
      <w:r w:rsidR="00C90FC4">
        <w:rPr>
          <w:rFonts w:cstheme="minorHAnsi"/>
        </w:rPr>
        <w:t>-</w:t>
      </w:r>
      <w:r w:rsidR="00AB0BC5" w:rsidRPr="00AB0BC5">
        <w:rPr>
          <w:rFonts w:cstheme="minorHAnsi"/>
        </w:rPr>
        <w:t>by</w:t>
      </w:r>
      <w:r w:rsidR="00C90FC4">
        <w:rPr>
          <w:rFonts w:cstheme="minorHAnsi"/>
        </w:rPr>
        <w:t>-</w:t>
      </w:r>
      <w:r w:rsidR="00AB0BC5" w:rsidRPr="00AB0BC5">
        <w:rPr>
          <w:rFonts w:cstheme="minorHAnsi"/>
        </w:rPr>
        <w:t xml:space="preserve">day basis and reporting at the end of each </w:t>
      </w:r>
      <w:r w:rsidR="007F0D47" w:rsidRPr="00AB0BC5">
        <w:rPr>
          <w:rFonts w:cstheme="minorHAnsi"/>
        </w:rPr>
        <w:t>quarter</w:t>
      </w:r>
      <w:r w:rsidR="00AB0BC5" w:rsidRPr="00AB0BC5">
        <w:rPr>
          <w:rFonts w:cstheme="minorHAnsi"/>
        </w:rPr>
        <w:t>.</w:t>
      </w:r>
      <w:r w:rsidR="007F0D47" w:rsidRPr="00AB0BC5">
        <w:rPr>
          <w:rFonts w:cstheme="minorHAnsi"/>
        </w:rPr>
        <w:t xml:space="preserve"> The result of this work is made available to </w:t>
      </w:r>
      <w:r w:rsidR="00AB0BC5" w:rsidRPr="00AB0BC5">
        <w:rPr>
          <w:rFonts w:cstheme="minorHAnsi"/>
        </w:rPr>
        <w:t>the BDT Management</w:t>
      </w:r>
      <w:r w:rsidR="007F0D47" w:rsidRPr="00AB0BC5">
        <w:rPr>
          <w:rFonts w:cstheme="minorHAnsi"/>
        </w:rPr>
        <w:t xml:space="preserve"> and </w:t>
      </w:r>
      <w:r w:rsidR="00AB0BC5" w:rsidRPr="00AB0BC5">
        <w:rPr>
          <w:rFonts w:cstheme="minorHAnsi"/>
        </w:rPr>
        <w:t>P</w:t>
      </w:r>
      <w:r w:rsidR="007F0D47" w:rsidRPr="00AB0BC5">
        <w:rPr>
          <w:rFonts w:cstheme="minorHAnsi"/>
        </w:rPr>
        <w:t xml:space="preserve">roject </w:t>
      </w:r>
      <w:r w:rsidR="00AB0BC5" w:rsidRPr="00AB0BC5">
        <w:rPr>
          <w:rFonts w:cstheme="minorHAnsi"/>
        </w:rPr>
        <w:t>M</w:t>
      </w:r>
      <w:r w:rsidR="007F0D47" w:rsidRPr="00AB0BC5">
        <w:rPr>
          <w:rFonts w:cstheme="minorHAnsi"/>
        </w:rPr>
        <w:t>anagers via</w:t>
      </w:r>
      <w:r w:rsidR="00F41768">
        <w:rPr>
          <w:rFonts w:cstheme="minorHAnsi"/>
        </w:rPr>
        <w:t xml:space="preserve"> </w:t>
      </w:r>
      <w:r w:rsidR="007F0D47" w:rsidRPr="00AB0BC5">
        <w:rPr>
          <w:rFonts w:cstheme="minorHAnsi"/>
        </w:rPr>
        <w:t>Quarterly Assessment report</w:t>
      </w:r>
      <w:r w:rsidR="00AB0BC5" w:rsidRPr="00AB0BC5">
        <w:rPr>
          <w:rFonts w:cstheme="minorHAnsi"/>
        </w:rPr>
        <w:t>s</w:t>
      </w:r>
      <w:r w:rsidR="00881263" w:rsidRPr="00AB0BC5">
        <w:rPr>
          <w:rFonts w:cstheme="minorHAnsi"/>
        </w:rPr>
        <w:t xml:space="preserve">. </w:t>
      </w:r>
      <w:r w:rsidR="0016688A" w:rsidRPr="00AB0BC5">
        <w:rPr>
          <w:rFonts w:cstheme="minorHAnsi"/>
        </w:rPr>
        <w:t xml:space="preserve">The last quarterly assessment for 2Q 2021 showed that </w:t>
      </w:r>
      <w:proofErr w:type="gramStart"/>
      <w:r w:rsidR="00AB0BC5" w:rsidRPr="00AB0BC5">
        <w:rPr>
          <w:rFonts w:cstheme="minorHAnsi"/>
        </w:rPr>
        <w:t xml:space="preserve">the </w:t>
      </w:r>
      <w:r w:rsidR="00F014ED" w:rsidRPr="00AB0BC5">
        <w:rPr>
          <w:rFonts w:cstheme="minorHAnsi"/>
        </w:rPr>
        <w:t>majority</w:t>
      </w:r>
      <w:r w:rsidR="0016688A" w:rsidRPr="00AB0BC5">
        <w:rPr>
          <w:rFonts w:cstheme="minorHAnsi"/>
        </w:rPr>
        <w:t xml:space="preserve"> of</w:t>
      </w:r>
      <w:proofErr w:type="gramEnd"/>
      <w:r w:rsidR="0016688A" w:rsidRPr="00AB0BC5">
        <w:rPr>
          <w:rFonts w:cstheme="minorHAnsi"/>
        </w:rPr>
        <w:t xml:space="preserve"> </w:t>
      </w:r>
      <w:r w:rsidR="00AB0BC5" w:rsidRPr="00AB0BC5">
        <w:rPr>
          <w:rFonts w:cstheme="minorHAnsi"/>
        </w:rPr>
        <w:t xml:space="preserve">BDT </w:t>
      </w:r>
      <w:r w:rsidR="0016688A" w:rsidRPr="00AB0BC5">
        <w:rPr>
          <w:rFonts w:cstheme="minorHAnsi"/>
        </w:rPr>
        <w:t>projects</w:t>
      </w:r>
      <w:r w:rsidR="00F41768">
        <w:rPr>
          <w:rFonts w:cstheme="minorHAnsi"/>
        </w:rPr>
        <w:t xml:space="preserve"> </w:t>
      </w:r>
      <w:r w:rsidR="0016688A" w:rsidRPr="00AB0BC5">
        <w:rPr>
          <w:rFonts w:cstheme="minorHAnsi"/>
        </w:rPr>
        <w:t xml:space="preserve">are on track, despite the implementation challenges </w:t>
      </w:r>
      <w:r w:rsidR="000D5C9C" w:rsidRPr="00AB0BC5">
        <w:rPr>
          <w:rFonts w:cstheme="minorHAnsi"/>
        </w:rPr>
        <w:t xml:space="preserve">linked to the COVID-19 pandemic. </w:t>
      </w:r>
    </w:p>
    <w:p w14:paraId="1152BE7B" w14:textId="0D702555" w:rsidR="00BD1910" w:rsidRPr="00277E7F" w:rsidRDefault="00BD1910" w:rsidP="00382EF6">
      <w:pPr>
        <w:pStyle w:val="Heading1"/>
        <w:numPr>
          <w:ilvl w:val="0"/>
          <w:numId w:val="2"/>
        </w:numPr>
        <w:spacing w:before="120" w:after="120"/>
        <w:textAlignment w:val="auto"/>
        <w:rPr>
          <w:rFonts w:cstheme="minorHAnsi"/>
          <w:sz w:val="24"/>
          <w:szCs w:val="24"/>
        </w:rPr>
      </w:pPr>
      <w:r w:rsidRPr="00277E7F">
        <w:rPr>
          <w:rFonts w:cstheme="minorHAnsi"/>
          <w:sz w:val="24"/>
          <w:szCs w:val="24"/>
        </w:rPr>
        <w:t xml:space="preserve">Summary of the </w:t>
      </w:r>
      <w:r w:rsidR="00AB0BC5">
        <w:rPr>
          <w:rFonts w:cstheme="minorHAnsi"/>
          <w:sz w:val="24"/>
          <w:szCs w:val="24"/>
        </w:rPr>
        <w:t>achievements</w:t>
      </w:r>
      <w:r w:rsidR="00F41768">
        <w:rPr>
          <w:rFonts w:cstheme="minorHAnsi"/>
          <w:sz w:val="24"/>
          <w:szCs w:val="24"/>
        </w:rPr>
        <w:t xml:space="preserve"> </w:t>
      </w:r>
      <w:r w:rsidRPr="00277E7F">
        <w:rPr>
          <w:rFonts w:cstheme="minorHAnsi"/>
          <w:sz w:val="24"/>
          <w:szCs w:val="24"/>
        </w:rPr>
        <w:t>in 2021</w:t>
      </w:r>
    </w:p>
    <w:p w14:paraId="66DB2702" w14:textId="2145D006" w:rsidR="00BD1910" w:rsidRPr="00277E7F" w:rsidRDefault="00BD1910" w:rsidP="00382EF6">
      <w:pPr>
        <w:spacing w:after="120"/>
        <w:rPr>
          <w:rFonts w:cstheme="minorHAnsi"/>
        </w:rPr>
      </w:pPr>
      <w:r w:rsidRPr="00277E7F">
        <w:rPr>
          <w:rFonts w:cstheme="minorHAnsi"/>
        </w:rPr>
        <w:t xml:space="preserve">A total of 18 new projects </w:t>
      </w:r>
      <w:r w:rsidR="00AB0BC5">
        <w:rPr>
          <w:rFonts w:cstheme="minorHAnsi"/>
        </w:rPr>
        <w:t>were</w:t>
      </w:r>
      <w:r w:rsidRPr="00277E7F">
        <w:rPr>
          <w:rFonts w:cstheme="minorHAnsi"/>
        </w:rPr>
        <w:t xml:space="preserve"> developed and signed in 2021, with a value of CHF 9.8 million (see figure </w:t>
      </w:r>
      <w:r w:rsidR="007C4B88" w:rsidRPr="00277E7F">
        <w:rPr>
          <w:rFonts w:cstheme="minorHAnsi"/>
        </w:rPr>
        <w:t>3</w:t>
      </w:r>
      <w:r w:rsidRPr="00277E7F">
        <w:rPr>
          <w:rFonts w:cstheme="minorHAnsi"/>
        </w:rPr>
        <w:t xml:space="preserve">). </w:t>
      </w:r>
      <w:r w:rsidR="00D75446" w:rsidRPr="00277E7F">
        <w:rPr>
          <w:rFonts w:cstheme="minorHAnsi"/>
        </w:rPr>
        <w:t>All</w:t>
      </w:r>
      <w:r w:rsidRPr="00277E7F">
        <w:rPr>
          <w:rFonts w:cstheme="minorHAnsi"/>
        </w:rPr>
        <w:t xml:space="preserve"> these projects </w:t>
      </w:r>
      <w:r w:rsidR="00AB0BC5">
        <w:rPr>
          <w:rFonts w:cstheme="minorHAnsi"/>
        </w:rPr>
        <w:t>were</w:t>
      </w:r>
      <w:r w:rsidRPr="00277E7F">
        <w:rPr>
          <w:rFonts w:cstheme="minorHAnsi"/>
        </w:rPr>
        <w:t xml:space="preserve"> </w:t>
      </w:r>
      <w:r w:rsidR="00AB0BC5">
        <w:rPr>
          <w:rFonts w:cstheme="minorHAnsi"/>
        </w:rPr>
        <w:t>financed</w:t>
      </w:r>
      <w:r w:rsidR="00F41768">
        <w:rPr>
          <w:rFonts w:cstheme="minorHAnsi"/>
        </w:rPr>
        <w:t xml:space="preserve"> </w:t>
      </w:r>
      <w:r w:rsidRPr="00277E7F">
        <w:rPr>
          <w:rFonts w:cstheme="minorHAnsi"/>
        </w:rPr>
        <w:t>in partnership with other organizations, such as national government agencies, bilateral cooperation entities, not-for-profit institutions, private sector, and agencies from the UN-wide system. Th</w:t>
      </w:r>
      <w:r w:rsidR="00D75446">
        <w:rPr>
          <w:rFonts w:cstheme="minorHAnsi"/>
        </w:rPr>
        <w:t>ese achievements are a result of synergy arising from coordination among</w:t>
      </w:r>
      <w:r w:rsidR="00F41768">
        <w:rPr>
          <w:rFonts w:cstheme="minorHAnsi"/>
        </w:rPr>
        <w:t xml:space="preserve"> </w:t>
      </w:r>
      <w:r w:rsidR="00D75446">
        <w:rPr>
          <w:rFonts w:cstheme="minorHAnsi"/>
        </w:rPr>
        <w:t>the Projects Support,</w:t>
      </w:r>
      <w:r w:rsidRPr="00277E7F">
        <w:rPr>
          <w:rFonts w:cstheme="minorHAnsi"/>
        </w:rPr>
        <w:t xml:space="preserve"> Resource Mobilization and Partnership</w:t>
      </w:r>
      <w:r w:rsidR="00D75446">
        <w:rPr>
          <w:rFonts w:cstheme="minorHAnsi"/>
        </w:rPr>
        <w:t>, and the</w:t>
      </w:r>
      <w:r w:rsidR="00F41768">
        <w:rPr>
          <w:rFonts w:cstheme="minorHAnsi"/>
        </w:rPr>
        <w:t xml:space="preserve"> </w:t>
      </w:r>
      <w:r w:rsidRPr="00277E7F">
        <w:rPr>
          <w:rFonts w:cstheme="minorHAnsi"/>
        </w:rPr>
        <w:t>Membership</w:t>
      </w:r>
      <w:r w:rsidR="00D75446">
        <w:rPr>
          <w:rFonts w:cstheme="minorHAnsi"/>
        </w:rPr>
        <w:t xml:space="preserve"> and Private Sector teams</w:t>
      </w:r>
      <w:r w:rsidR="00F41768">
        <w:rPr>
          <w:rFonts w:cstheme="minorHAnsi"/>
        </w:rPr>
        <w:t xml:space="preserve"> </w:t>
      </w:r>
      <w:r w:rsidRPr="00277E7F">
        <w:rPr>
          <w:rFonts w:cstheme="minorHAnsi"/>
        </w:rPr>
        <w:t>within the Partnerships for Digital Development Department of the BDT.</w:t>
      </w:r>
      <w:r w:rsidRPr="00277E7F">
        <w:rPr>
          <w:rStyle w:val="FootnoteReference"/>
          <w:rFonts w:cstheme="minorHAnsi"/>
        </w:rPr>
        <w:footnoteReference w:id="6"/>
      </w:r>
      <w:r w:rsidRPr="00277E7F">
        <w:rPr>
          <w:rFonts w:cstheme="minorHAnsi"/>
        </w:rPr>
        <w:t xml:space="preserve"> </w:t>
      </w:r>
    </w:p>
    <w:p w14:paraId="0CFEF019" w14:textId="20814779" w:rsidR="00BD1910" w:rsidRPr="00277E7F" w:rsidRDefault="00BD1910" w:rsidP="00382EF6">
      <w:pPr>
        <w:tabs>
          <w:tab w:val="left" w:pos="720"/>
        </w:tabs>
        <w:overflowPunct/>
        <w:autoSpaceDE/>
        <w:adjustRightInd/>
        <w:spacing w:after="120"/>
        <w:jc w:val="center"/>
        <w:rPr>
          <w:rFonts w:cstheme="minorHAnsi"/>
          <w:b/>
          <w:bCs/>
          <w:sz w:val="40"/>
          <w:szCs w:val="32"/>
        </w:rPr>
      </w:pPr>
      <w:r w:rsidRPr="00277E7F">
        <w:rPr>
          <w:rFonts w:cstheme="minorHAnsi"/>
          <w:b/>
          <w:bCs/>
          <w:szCs w:val="24"/>
        </w:rPr>
        <w:t xml:space="preserve">Figure </w:t>
      </w:r>
      <w:r w:rsidR="007C4B88" w:rsidRPr="00277E7F">
        <w:rPr>
          <w:rFonts w:cstheme="minorHAnsi"/>
          <w:b/>
          <w:bCs/>
          <w:szCs w:val="24"/>
        </w:rPr>
        <w:t>3</w:t>
      </w:r>
      <w:r w:rsidRPr="00277E7F">
        <w:rPr>
          <w:rFonts w:cstheme="minorHAnsi"/>
          <w:b/>
          <w:bCs/>
          <w:szCs w:val="24"/>
        </w:rPr>
        <w:t xml:space="preserve"> – New projects signed 2011-2021</w:t>
      </w:r>
    </w:p>
    <w:p w14:paraId="2B4D97D9" w14:textId="77777777" w:rsidR="00BD1910" w:rsidRPr="00277E7F" w:rsidRDefault="00BD1910" w:rsidP="00BD1910">
      <w:pPr>
        <w:spacing w:after="120"/>
        <w:jc w:val="center"/>
        <w:rPr>
          <w:rFonts w:cstheme="minorHAnsi"/>
          <w:color w:val="FF0000"/>
        </w:rPr>
      </w:pPr>
      <w:r w:rsidRPr="00277E7F">
        <w:rPr>
          <w:rFonts w:cstheme="minorHAnsi"/>
          <w:noProof/>
          <w:lang w:val="en-US"/>
        </w:rPr>
        <w:drawing>
          <wp:inline distT="0" distB="0" distL="0" distR="0" wp14:anchorId="22E1D7F0" wp14:editId="4D25D194">
            <wp:extent cx="6094436" cy="2747645"/>
            <wp:effectExtent l="0" t="0" r="1905" b="0"/>
            <wp:docPr id="6" name="Chart 6">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231D77" w14:textId="6AAB6B9F" w:rsidR="007F0D47" w:rsidRPr="00F351D9" w:rsidRDefault="007F0D47" w:rsidP="00382EF6">
      <w:pPr>
        <w:pStyle w:val="Heading1"/>
        <w:numPr>
          <w:ilvl w:val="0"/>
          <w:numId w:val="2"/>
        </w:numPr>
        <w:spacing w:before="120" w:after="120"/>
        <w:textAlignment w:val="auto"/>
        <w:rPr>
          <w:rFonts w:cstheme="minorHAnsi"/>
          <w:sz w:val="24"/>
          <w:szCs w:val="24"/>
        </w:rPr>
      </w:pPr>
      <w:r w:rsidRPr="00F351D9">
        <w:rPr>
          <w:rFonts w:cstheme="minorHAnsi"/>
          <w:sz w:val="24"/>
          <w:szCs w:val="24"/>
        </w:rPr>
        <w:t>Conclusions</w:t>
      </w:r>
    </w:p>
    <w:p w14:paraId="4D4CA7A6" w14:textId="67F2991A" w:rsidR="00D75446" w:rsidRPr="00F351D9" w:rsidRDefault="00D75446" w:rsidP="00382EF6">
      <w:pPr>
        <w:spacing w:after="120"/>
      </w:pPr>
      <w:r w:rsidRPr="00F351D9">
        <w:t xml:space="preserve">Both the field and </w:t>
      </w:r>
      <w:r w:rsidR="002B4CF7" w:rsidRPr="00F351D9">
        <w:t>headquarters</w:t>
      </w:r>
      <w:r w:rsidRPr="00F351D9">
        <w:t xml:space="preserve"> project managers are benefitting and contributing to the ongoing work by the Partnerships for Digital Development Department with respect to steady growth in industry and private sector members, partnerships and resource mobilization, and adoption as well as efficient implementation of impactful projects.</w:t>
      </w:r>
    </w:p>
    <w:p w14:paraId="55FD7C9E" w14:textId="541AEFA1" w:rsidR="007F0D47" w:rsidRPr="00F351D9" w:rsidRDefault="007F0D47" w:rsidP="00382EF6">
      <w:pPr>
        <w:spacing w:after="120"/>
        <w:textAlignment w:val="auto"/>
        <w:rPr>
          <w:rFonts w:cstheme="minorHAnsi"/>
          <w:lang w:val="en-US"/>
        </w:rPr>
      </w:pPr>
      <w:r w:rsidRPr="00F351D9">
        <w:rPr>
          <w:rFonts w:cstheme="minorHAnsi"/>
          <w:lang w:val="en-US"/>
        </w:rPr>
        <w:lastRenderedPageBreak/>
        <w:t xml:space="preserve">For more information on projects implemented by </w:t>
      </w:r>
      <w:r w:rsidR="00D75446" w:rsidRPr="00F351D9">
        <w:rPr>
          <w:rFonts w:cstheme="minorHAnsi"/>
          <w:lang w:val="en-US"/>
        </w:rPr>
        <w:t>BDT</w:t>
      </w:r>
      <w:r w:rsidRPr="00F351D9">
        <w:rPr>
          <w:rFonts w:cstheme="minorHAnsi"/>
          <w:lang w:val="en-US"/>
        </w:rPr>
        <w:t xml:space="preserve">, visit: </w:t>
      </w:r>
      <w:r w:rsidRPr="00F351D9">
        <w:rPr>
          <w:rFonts w:cstheme="minorHAnsi"/>
          <w:lang w:val="en-US"/>
        </w:rPr>
        <w:br/>
      </w:r>
      <w:hyperlink r:id="rId16" w:history="1">
        <w:r w:rsidRPr="00382EF6">
          <w:rPr>
            <w:rStyle w:val="Hyperlink"/>
            <w:rFonts w:cstheme="minorHAnsi"/>
            <w:lang w:val="en-US"/>
          </w:rPr>
          <w:t>http://www.itu.int/en/ITU-D/Projects/</w:t>
        </w:r>
      </w:hyperlink>
    </w:p>
    <w:p w14:paraId="7759C759" w14:textId="1D19F868" w:rsidR="00821996" w:rsidRPr="00277E7F" w:rsidRDefault="003C58BF" w:rsidP="00382EF6">
      <w:pPr>
        <w:tabs>
          <w:tab w:val="clear" w:pos="794"/>
          <w:tab w:val="clear" w:pos="1191"/>
          <w:tab w:val="clear" w:pos="1588"/>
          <w:tab w:val="clear" w:pos="1985"/>
        </w:tabs>
        <w:spacing w:after="120"/>
        <w:jc w:val="center"/>
        <w:rPr>
          <w:rFonts w:cstheme="minorHAnsi"/>
        </w:rPr>
      </w:pPr>
      <w:bookmarkStart w:id="7" w:name="Proposal"/>
      <w:bookmarkEnd w:id="7"/>
      <w:r w:rsidRPr="00277E7F">
        <w:rPr>
          <w:rFonts w:cstheme="minorHAnsi"/>
        </w:rPr>
        <w:t>_____________</w:t>
      </w:r>
      <w:r w:rsidR="004122C5" w:rsidRPr="00277E7F">
        <w:rPr>
          <w:rFonts w:cstheme="minorHAnsi"/>
        </w:rPr>
        <w:t>_</w:t>
      </w:r>
      <w:r w:rsidR="00922EC1" w:rsidRPr="00277E7F">
        <w:rPr>
          <w:rFonts w:cstheme="minorHAnsi"/>
        </w:rPr>
        <w:t>_</w:t>
      </w:r>
    </w:p>
    <w:sectPr w:rsidR="00821996" w:rsidRPr="00277E7F"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475F2" w14:textId="77777777" w:rsidR="00AF5206" w:rsidRDefault="00AF5206">
      <w:r>
        <w:separator/>
      </w:r>
    </w:p>
  </w:endnote>
  <w:endnote w:type="continuationSeparator" w:id="0">
    <w:p w14:paraId="7F78EEE7" w14:textId="77777777" w:rsidR="00AF5206" w:rsidRDefault="00AF5206">
      <w:r>
        <w:continuationSeparator/>
      </w:r>
    </w:p>
  </w:endnote>
  <w:endnote w:type="continuationNotice" w:id="1">
    <w:p w14:paraId="7DC82C01" w14:textId="77777777" w:rsidR="00AF5206" w:rsidRDefault="00AF52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13CD3" w:rsidRPr="004D495C" w14:paraId="695D1810" w14:textId="77777777" w:rsidTr="003947B3">
      <w:tc>
        <w:tcPr>
          <w:tcW w:w="1526" w:type="dxa"/>
          <w:tcBorders>
            <w:top w:val="single" w:sz="4" w:space="0" w:color="000000"/>
          </w:tcBorders>
          <w:shd w:val="clear" w:color="auto" w:fill="auto"/>
        </w:tcPr>
        <w:p w14:paraId="746E5A61" w14:textId="51EAB9E8" w:rsidR="00C13CD3" w:rsidRPr="004D495C" w:rsidRDefault="00C13CD3" w:rsidP="00C13CD3">
          <w:pPr>
            <w:pStyle w:val="FirstFooter"/>
            <w:tabs>
              <w:tab w:val="left" w:pos="1559"/>
              <w:tab w:val="left" w:pos="3828"/>
            </w:tabs>
            <w:rPr>
              <w:sz w:val="18"/>
              <w:szCs w:val="18"/>
            </w:rPr>
          </w:pPr>
          <w:r>
            <w:rPr>
              <w:sz w:val="18"/>
              <w:szCs w:val="18"/>
              <w:lang w:val="en-US" w:eastAsia="zh-CN"/>
            </w:rPr>
            <w:t>Contact:</w:t>
          </w:r>
        </w:p>
      </w:tc>
      <w:tc>
        <w:tcPr>
          <w:tcW w:w="2410" w:type="dxa"/>
          <w:tcBorders>
            <w:top w:val="single" w:sz="4" w:space="0" w:color="000000"/>
          </w:tcBorders>
          <w:shd w:val="clear" w:color="auto" w:fill="auto"/>
        </w:tcPr>
        <w:p w14:paraId="488E41E2" w14:textId="30A0B333" w:rsidR="00C13CD3" w:rsidRPr="004D495C" w:rsidRDefault="00C13CD3" w:rsidP="00C13CD3">
          <w:pPr>
            <w:pStyle w:val="FirstFooter"/>
            <w:tabs>
              <w:tab w:val="left" w:pos="2302"/>
            </w:tabs>
            <w:ind w:left="2302" w:hanging="2302"/>
            <w:rPr>
              <w:sz w:val="18"/>
              <w:szCs w:val="18"/>
              <w:lang w:val="en-US"/>
            </w:rPr>
          </w:pPr>
          <w:r>
            <w:rPr>
              <w:sz w:val="18"/>
              <w:szCs w:val="18"/>
              <w:lang w:val="en-US" w:eastAsia="zh-CN"/>
            </w:rPr>
            <w:t>Name/Organization/Entity:</w:t>
          </w:r>
        </w:p>
      </w:tc>
      <w:tc>
        <w:tcPr>
          <w:tcW w:w="5987" w:type="dxa"/>
          <w:tcBorders>
            <w:top w:val="single" w:sz="4" w:space="0" w:color="000000"/>
          </w:tcBorders>
        </w:tcPr>
        <w:p w14:paraId="148264AE" w14:textId="20078824" w:rsidR="00C13CD3" w:rsidRPr="00AF7A97" w:rsidRDefault="00C13CD3" w:rsidP="00C13CD3">
          <w:pPr>
            <w:pStyle w:val="FirstFooter"/>
            <w:tabs>
              <w:tab w:val="left" w:pos="2302"/>
            </w:tabs>
            <w:rPr>
              <w:sz w:val="18"/>
              <w:szCs w:val="18"/>
              <w:lang w:val="en-US"/>
            </w:rPr>
          </w:pPr>
          <w:r>
            <w:rPr>
              <w:sz w:val="18"/>
              <w:szCs w:val="18"/>
              <w:lang w:val="en-US" w:eastAsia="zh-CN"/>
            </w:rPr>
            <w:t>Dr Cosmas Zavazava, Chief, Partnerships for Digital Development Department, Telecommunication Development Bureau</w:t>
          </w:r>
        </w:p>
      </w:tc>
      <w:bookmarkStart w:id="8" w:name="OrgName"/>
      <w:bookmarkEnd w:id="8"/>
    </w:tr>
    <w:tr w:rsidR="00C13CD3" w:rsidRPr="004D495C" w14:paraId="61167678" w14:textId="77777777" w:rsidTr="003947B3">
      <w:tc>
        <w:tcPr>
          <w:tcW w:w="1526" w:type="dxa"/>
          <w:shd w:val="clear" w:color="auto" w:fill="auto"/>
        </w:tcPr>
        <w:p w14:paraId="33710823" w14:textId="77777777" w:rsidR="00C13CD3" w:rsidRPr="004D495C" w:rsidRDefault="00C13CD3" w:rsidP="00C13CD3">
          <w:pPr>
            <w:pStyle w:val="FirstFooter"/>
            <w:tabs>
              <w:tab w:val="left" w:pos="1559"/>
              <w:tab w:val="left" w:pos="3828"/>
            </w:tabs>
            <w:rPr>
              <w:sz w:val="20"/>
              <w:lang w:val="en-US"/>
            </w:rPr>
          </w:pPr>
        </w:p>
      </w:tc>
      <w:tc>
        <w:tcPr>
          <w:tcW w:w="2410" w:type="dxa"/>
          <w:shd w:val="clear" w:color="auto" w:fill="auto"/>
        </w:tcPr>
        <w:p w14:paraId="1251F6E4" w14:textId="5081F7A2" w:rsidR="00C13CD3" w:rsidRPr="004D495C" w:rsidRDefault="00C13CD3" w:rsidP="00C13CD3">
          <w:pPr>
            <w:pStyle w:val="FirstFooter"/>
            <w:tabs>
              <w:tab w:val="left" w:pos="2302"/>
            </w:tabs>
            <w:rPr>
              <w:sz w:val="18"/>
              <w:szCs w:val="18"/>
              <w:lang w:val="en-US"/>
            </w:rPr>
          </w:pPr>
          <w:r>
            <w:rPr>
              <w:sz w:val="18"/>
              <w:szCs w:val="18"/>
              <w:lang w:val="en-US" w:eastAsia="zh-CN"/>
            </w:rPr>
            <w:t>Phone number:</w:t>
          </w:r>
        </w:p>
      </w:tc>
      <w:tc>
        <w:tcPr>
          <w:tcW w:w="5987" w:type="dxa"/>
        </w:tcPr>
        <w:p w14:paraId="6D7949F0" w14:textId="2505DDF1" w:rsidR="00C13CD3" w:rsidRPr="00AF7A97" w:rsidRDefault="00C13CD3" w:rsidP="00C13CD3">
          <w:pPr>
            <w:pStyle w:val="FirstFooter"/>
            <w:tabs>
              <w:tab w:val="left" w:pos="2302"/>
            </w:tabs>
            <w:rPr>
              <w:sz w:val="18"/>
              <w:szCs w:val="18"/>
              <w:lang w:val="en-US"/>
            </w:rPr>
          </w:pPr>
          <w:r>
            <w:rPr>
              <w:sz w:val="18"/>
              <w:szCs w:val="18"/>
              <w:lang w:val="en-US" w:eastAsia="zh-CN"/>
            </w:rPr>
            <w:t>+41 22 7305447</w:t>
          </w:r>
        </w:p>
      </w:tc>
      <w:bookmarkStart w:id="9" w:name="PhoneNo"/>
      <w:bookmarkEnd w:id="9"/>
    </w:tr>
    <w:tr w:rsidR="00C13CD3" w:rsidRPr="004D495C" w14:paraId="0299A231" w14:textId="77777777" w:rsidTr="003947B3">
      <w:tc>
        <w:tcPr>
          <w:tcW w:w="1526" w:type="dxa"/>
          <w:shd w:val="clear" w:color="auto" w:fill="auto"/>
        </w:tcPr>
        <w:p w14:paraId="35CBC438" w14:textId="77777777" w:rsidR="00C13CD3" w:rsidRPr="004D495C" w:rsidRDefault="00C13CD3" w:rsidP="00C13CD3">
          <w:pPr>
            <w:pStyle w:val="FirstFooter"/>
            <w:tabs>
              <w:tab w:val="left" w:pos="1559"/>
              <w:tab w:val="left" w:pos="3828"/>
            </w:tabs>
            <w:rPr>
              <w:sz w:val="20"/>
              <w:lang w:val="en-US"/>
            </w:rPr>
          </w:pPr>
        </w:p>
      </w:tc>
      <w:tc>
        <w:tcPr>
          <w:tcW w:w="2410" w:type="dxa"/>
          <w:shd w:val="clear" w:color="auto" w:fill="auto"/>
        </w:tcPr>
        <w:p w14:paraId="65335E06" w14:textId="04EF2092" w:rsidR="00C13CD3" w:rsidRPr="004D495C" w:rsidRDefault="00C13CD3" w:rsidP="00C13CD3">
          <w:pPr>
            <w:pStyle w:val="FirstFooter"/>
            <w:tabs>
              <w:tab w:val="left" w:pos="2302"/>
            </w:tabs>
            <w:rPr>
              <w:sz w:val="18"/>
              <w:szCs w:val="18"/>
              <w:lang w:val="en-US"/>
            </w:rPr>
          </w:pPr>
          <w:r>
            <w:rPr>
              <w:sz w:val="18"/>
              <w:szCs w:val="18"/>
              <w:lang w:val="en-US" w:eastAsia="zh-CN"/>
            </w:rPr>
            <w:t>E-mail:</w:t>
          </w:r>
        </w:p>
      </w:tc>
      <w:tc>
        <w:tcPr>
          <w:tcW w:w="5987" w:type="dxa"/>
        </w:tcPr>
        <w:p w14:paraId="7EAB0988" w14:textId="64C13437" w:rsidR="00C13CD3" w:rsidRPr="00AF7A97" w:rsidRDefault="00265172" w:rsidP="00C13CD3">
          <w:pPr>
            <w:pStyle w:val="FirstFooter"/>
            <w:tabs>
              <w:tab w:val="left" w:pos="2302"/>
            </w:tabs>
            <w:rPr>
              <w:sz w:val="18"/>
              <w:szCs w:val="18"/>
              <w:lang w:val="en-US"/>
            </w:rPr>
          </w:pPr>
          <w:hyperlink r:id="rId1" w:history="1">
            <w:r w:rsidR="00C13CD3">
              <w:rPr>
                <w:rStyle w:val="Hyperlink"/>
                <w:sz w:val="18"/>
                <w:szCs w:val="18"/>
                <w:lang w:val="en-US" w:eastAsia="zh-CN"/>
              </w:rPr>
              <w:t>cosmas.zavazava@itu.int</w:t>
            </w:r>
          </w:hyperlink>
        </w:p>
      </w:tc>
      <w:bookmarkStart w:id="10" w:name="Email"/>
      <w:bookmarkEnd w:id="10"/>
    </w:tr>
  </w:tbl>
  <w:p w14:paraId="5AEFE7F9" w14:textId="77777777" w:rsidR="0059420B" w:rsidRDefault="0059420B" w:rsidP="00B80157">
    <w:pPr>
      <w:pStyle w:val="Footer"/>
      <w:jc w:val="center"/>
      <w:rPr>
        <w:lang w:val="en-GB"/>
      </w:rPr>
    </w:pPr>
  </w:p>
  <w:p w14:paraId="40A321D0" w14:textId="77777777" w:rsidR="00721657" w:rsidRPr="0059420B" w:rsidRDefault="00265172" w:rsidP="00B80157">
    <w:pPr>
      <w:pStyle w:val="Footer"/>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B3068" w14:textId="77777777" w:rsidR="00AF5206" w:rsidRDefault="00AF5206">
      <w:r>
        <w:t>____________________</w:t>
      </w:r>
    </w:p>
  </w:footnote>
  <w:footnote w:type="continuationSeparator" w:id="0">
    <w:p w14:paraId="7B2723A9" w14:textId="77777777" w:rsidR="00AF5206" w:rsidRDefault="00AF5206">
      <w:r>
        <w:continuationSeparator/>
      </w:r>
    </w:p>
  </w:footnote>
  <w:footnote w:type="continuationNotice" w:id="1">
    <w:p w14:paraId="5D0754E9" w14:textId="77777777" w:rsidR="00AF5206" w:rsidRDefault="00AF5206">
      <w:pPr>
        <w:spacing w:before="0"/>
      </w:pPr>
    </w:p>
  </w:footnote>
  <w:footnote w:id="2">
    <w:p w14:paraId="78A2A00C" w14:textId="77777777" w:rsidR="007F0D47" w:rsidRPr="00382EF6" w:rsidRDefault="007F0D47" w:rsidP="00382EF6">
      <w:pPr>
        <w:pStyle w:val="FootnoteText"/>
        <w:spacing w:before="0"/>
        <w:ind w:left="0" w:firstLine="0"/>
        <w:rPr>
          <w:sz w:val="18"/>
          <w:szCs w:val="18"/>
        </w:rPr>
      </w:pPr>
      <w:r w:rsidRPr="00382EF6">
        <w:rPr>
          <w:rStyle w:val="FootnoteReference"/>
          <w:szCs w:val="18"/>
        </w:rPr>
        <w:footnoteRef/>
      </w:r>
      <w:r w:rsidRPr="00382EF6">
        <w:rPr>
          <w:sz w:val="18"/>
          <w:szCs w:val="18"/>
        </w:rPr>
        <w:t xml:space="preserve"> An overview of the ITU project portfolio is available at </w:t>
      </w:r>
      <w:hyperlink r:id="rId1" w:history="1">
        <w:r w:rsidRPr="00382EF6">
          <w:rPr>
            <w:rStyle w:val="Hyperlink"/>
            <w:sz w:val="18"/>
            <w:szCs w:val="18"/>
          </w:rPr>
          <w:t>www.itu.int/en/ITU-D/Projects/</w:t>
        </w:r>
      </w:hyperlink>
    </w:p>
  </w:footnote>
  <w:footnote w:id="3">
    <w:p w14:paraId="601011AE" w14:textId="77777777" w:rsidR="007F0D47" w:rsidRPr="00382EF6" w:rsidRDefault="007F0D47" w:rsidP="00382EF6">
      <w:pPr>
        <w:pStyle w:val="FootnoteText"/>
        <w:spacing w:before="0"/>
        <w:ind w:left="0" w:firstLine="0"/>
        <w:rPr>
          <w:sz w:val="18"/>
          <w:szCs w:val="18"/>
        </w:rPr>
      </w:pPr>
      <w:r w:rsidRPr="00382EF6">
        <w:rPr>
          <w:rStyle w:val="FootnoteReference"/>
          <w:szCs w:val="18"/>
        </w:rPr>
        <w:footnoteRef/>
      </w:r>
      <w:r w:rsidRPr="00382EF6">
        <w:rPr>
          <w:sz w:val="18"/>
          <w:szCs w:val="18"/>
        </w:rPr>
        <w:t xml:space="preserve"> Further information about the ICTDF is available at document C21/034 available at </w:t>
      </w:r>
      <w:hyperlink r:id="rId2" w:history="1">
        <w:r w:rsidRPr="00382EF6">
          <w:rPr>
            <w:rStyle w:val="Hyperlink"/>
            <w:sz w:val="18"/>
            <w:szCs w:val="18"/>
          </w:rPr>
          <w:t>https://www.itu.int/md/S21-CL-C-0034/en</w:t>
        </w:r>
      </w:hyperlink>
      <w:r w:rsidRPr="00382EF6">
        <w:rPr>
          <w:sz w:val="18"/>
          <w:szCs w:val="18"/>
        </w:rPr>
        <w:t xml:space="preserve"> </w:t>
      </w:r>
    </w:p>
  </w:footnote>
  <w:footnote w:id="4">
    <w:p w14:paraId="63832AFB" w14:textId="1DB80A6F" w:rsidR="007F0D47" w:rsidRPr="00382EF6" w:rsidRDefault="007F0D47" w:rsidP="00382EF6">
      <w:pPr>
        <w:pStyle w:val="FootnoteText"/>
        <w:spacing w:before="0"/>
        <w:ind w:left="0" w:firstLine="0"/>
        <w:rPr>
          <w:rFonts w:cstheme="minorHAnsi"/>
          <w:sz w:val="18"/>
          <w:szCs w:val="18"/>
        </w:rPr>
      </w:pPr>
      <w:r w:rsidRPr="00382EF6">
        <w:rPr>
          <w:rStyle w:val="FootnoteReference"/>
          <w:rFonts w:cstheme="minorHAnsi"/>
          <w:szCs w:val="18"/>
        </w:rPr>
        <w:footnoteRef/>
      </w:r>
      <w:r w:rsidRPr="00382EF6">
        <w:rPr>
          <w:rFonts w:cstheme="minorHAnsi"/>
          <w:sz w:val="18"/>
          <w:szCs w:val="18"/>
        </w:rPr>
        <w:t xml:space="preserve"> OP resources include the funds allocated by Council for the implementation of WTDC-17 regional initiatives</w:t>
      </w:r>
      <w:r w:rsidR="008E7736" w:rsidRPr="00382EF6">
        <w:rPr>
          <w:rFonts w:cstheme="minorHAnsi"/>
          <w:sz w:val="18"/>
          <w:szCs w:val="18"/>
        </w:rPr>
        <w:t xml:space="preserve"> (CH5000’000)</w:t>
      </w:r>
    </w:p>
  </w:footnote>
  <w:footnote w:id="5">
    <w:p w14:paraId="39711443" w14:textId="16C7979D" w:rsidR="00FA6336" w:rsidRPr="00382EF6" w:rsidRDefault="00FA6336" w:rsidP="00382EF6">
      <w:pPr>
        <w:pStyle w:val="FootnoteText"/>
        <w:tabs>
          <w:tab w:val="clear" w:pos="255"/>
          <w:tab w:val="left" w:pos="270"/>
        </w:tabs>
        <w:spacing w:before="0"/>
        <w:ind w:left="0" w:firstLine="0"/>
        <w:rPr>
          <w:rFonts w:cstheme="minorHAnsi"/>
          <w:sz w:val="18"/>
          <w:szCs w:val="18"/>
          <w:lang w:val="en-US"/>
        </w:rPr>
      </w:pPr>
      <w:r w:rsidRPr="00382EF6">
        <w:rPr>
          <w:rStyle w:val="FootnoteReference"/>
          <w:rFonts w:cstheme="minorHAnsi"/>
          <w:szCs w:val="18"/>
        </w:rPr>
        <w:footnoteRef/>
      </w:r>
      <w:r w:rsidRPr="00382EF6">
        <w:rPr>
          <w:rFonts w:cstheme="minorHAnsi"/>
          <w:sz w:val="18"/>
          <w:szCs w:val="18"/>
        </w:rPr>
        <w:t xml:space="preserve"> The 2018 session of the ITU Council allocated CHF </w:t>
      </w:r>
      <w:r w:rsidR="004E3759" w:rsidRPr="00382EF6">
        <w:rPr>
          <w:rFonts w:cstheme="minorHAnsi"/>
          <w:sz w:val="18"/>
          <w:szCs w:val="18"/>
        </w:rPr>
        <w:t>5</w:t>
      </w:r>
      <w:r w:rsidRPr="00382EF6">
        <w:rPr>
          <w:rFonts w:cstheme="minorHAnsi"/>
          <w:sz w:val="18"/>
          <w:szCs w:val="18"/>
        </w:rPr>
        <w:t xml:space="preserve"> million for </w:t>
      </w:r>
      <w:r w:rsidR="00D05B29" w:rsidRPr="00382EF6">
        <w:rPr>
          <w:rFonts w:cstheme="minorHAnsi"/>
          <w:sz w:val="18"/>
          <w:szCs w:val="18"/>
        </w:rPr>
        <w:t>set up of projects related with the implementation of WTDC-17 Regional Initiatives.</w:t>
      </w:r>
    </w:p>
  </w:footnote>
  <w:footnote w:id="6">
    <w:p w14:paraId="3EE5E7DE" w14:textId="77777777" w:rsidR="00BD1910" w:rsidRPr="00382EF6" w:rsidRDefault="00BD1910" w:rsidP="00382EF6">
      <w:pPr>
        <w:pStyle w:val="FootnoteText"/>
        <w:tabs>
          <w:tab w:val="clear" w:pos="255"/>
          <w:tab w:val="left" w:pos="90"/>
        </w:tabs>
        <w:spacing w:before="0"/>
        <w:ind w:left="0" w:firstLine="0"/>
        <w:rPr>
          <w:rFonts w:cstheme="minorHAnsi"/>
          <w:sz w:val="18"/>
          <w:szCs w:val="18"/>
        </w:rPr>
      </w:pPr>
      <w:r w:rsidRPr="00382EF6">
        <w:rPr>
          <w:rStyle w:val="FootnoteReference"/>
          <w:szCs w:val="18"/>
        </w:rPr>
        <w:footnoteRef/>
      </w:r>
      <w:r w:rsidRPr="00382EF6">
        <w:rPr>
          <w:sz w:val="18"/>
          <w:szCs w:val="18"/>
        </w:rPr>
        <w:t xml:space="preserve"> </w:t>
      </w:r>
      <w:r w:rsidRPr="00382EF6">
        <w:rPr>
          <w:rFonts w:cstheme="minorHAnsi"/>
          <w:sz w:val="18"/>
          <w:szCs w:val="18"/>
        </w:rPr>
        <w:t>More information about ITU-D partnerships and resource mobilization is available at to documents TDAG-21/2/7-E and Document INF/2, and TDAG-21/2/8-E on ITU-D Sector Members, Associates, and Academia.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533D285" w:rsidR="00721657" w:rsidRPr="00382EF6" w:rsidRDefault="00A525CC" w:rsidP="00382EF6">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00143F44">
      <w:rPr>
        <w:sz w:val="22"/>
        <w:szCs w:val="22"/>
        <w:lang w:val="de-CH"/>
      </w:rPr>
      <w:t>/2</w:t>
    </w:r>
    <w:r w:rsidRPr="00A54E72">
      <w:rPr>
        <w:sz w:val="22"/>
        <w:szCs w:val="22"/>
        <w:lang w:val="de-CH"/>
      </w:rPr>
      <w:t>/</w:t>
    </w:r>
    <w:r w:rsidR="00C90FC4">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90FC4">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DA5170E"/>
    <w:multiLevelType w:val="hybridMultilevel"/>
    <w:tmpl w:val="8912E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24E9"/>
    <w:rsid w:val="000144E4"/>
    <w:rsid w:val="00015089"/>
    <w:rsid w:val="0002520B"/>
    <w:rsid w:val="00037A9E"/>
    <w:rsid w:val="00037F91"/>
    <w:rsid w:val="00046236"/>
    <w:rsid w:val="000464E5"/>
    <w:rsid w:val="000539F1"/>
    <w:rsid w:val="00054747"/>
    <w:rsid w:val="00055A2A"/>
    <w:rsid w:val="000615C1"/>
    <w:rsid w:val="00061675"/>
    <w:rsid w:val="00064A3E"/>
    <w:rsid w:val="000743AA"/>
    <w:rsid w:val="000819AA"/>
    <w:rsid w:val="0009076F"/>
    <w:rsid w:val="0009225C"/>
    <w:rsid w:val="000A17C4"/>
    <w:rsid w:val="000A36A4"/>
    <w:rsid w:val="000A3CA2"/>
    <w:rsid w:val="000B2352"/>
    <w:rsid w:val="000C09E8"/>
    <w:rsid w:val="000C7B84"/>
    <w:rsid w:val="000D261B"/>
    <w:rsid w:val="000D58A3"/>
    <w:rsid w:val="000D5C9C"/>
    <w:rsid w:val="000E3ED4"/>
    <w:rsid w:val="000E3F9C"/>
    <w:rsid w:val="000F1550"/>
    <w:rsid w:val="000F251B"/>
    <w:rsid w:val="000F5FE8"/>
    <w:rsid w:val="000F6644"/>
    <w:rsid w:val="00100833"/>
    <w:rsid w:val="00101D8C"/>
    <w:rsid w:val="0010237C"/>
    <w:rsid w:val="00102F72"/>
    <w:rsid w:val="00107E85"/>
    <w:rsid w:val="00113EE8"/>
    <w:rsid w:val="0011455A"/>
    <w:rsid w:val="00114A65"/>
    <w:rsid w:val="00116191"/>
    <w:rsid w:val="00133061"/>
    <w:rsid w:val="00141699"/>
    <w:rsid w:val="00143F44"/>
    <w:rsid w:val="00147000"/>
    <w:rsid w:val="001555A7"/>
    <w:rsid w:val="00155D4C"/>
    <w:rsid w:val="00163091"/>
    <w:rsid w:val="001645CB"/>
    <w:rsid w:val="00166305"/>
    <w:rsid w:val="0016688A"/>
    <w:rsid w:val="00167545"/>
    <w:rsid w:val="001703C6"/>
    <w:rsid w:val="00173781"/>
    <w:rsid w:val="00175ADF"/>
    <w:rsid w:val="00175CAE"/>
    <w:rsid w:val="00177D43"/>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28FF"/>
    <w:rsid w:val="0022754A"/>
    <w:rsid w:val="00236560"/>
    <w:rsid w:val="0023662E"/>
    <w:rsid w:val="00244897"/>
    <w:rsid w:val="00245D0F"/>
    <w:rsid w:val="00252AF2"/>
    <w:rsid w:val="002548C3"/>
    <w:rsid w:val="00257ACD"/>
    <w:rsid w:val="00262908"/>
    <w:rsid w:val="002650F4"/>
    <w:rsid w:val="00265172"/>
    <w:rsid w:val="00270220"/>
    <w:rsid w:val="002715FD"/>
    <w:rsid w:val="002770B1"/>
    <w:rsid w:val="00277E7F"/>
    <w:rsid w:val="002818E9"/>
    <w:rsid w:val="002830F4"/>
    <w:rsid w:val="002831ED"/>
    <w:rsid w:val="002841C4"/>
    <w:rsid w:val="00285B33"/>
    <w:rsid w:val="00287A3C"/>
    <w:rsid w:val="00287E04"/>
    <w:rsid w:val="0029364C"/>
    <w:rsid w:val="002A2FC6"/>
    <w:rsid w:val="002B0E11"/>
    <w:rsid w:val="002B4CF7"/>
    <w:rsid w:val="002C1EC7"/>
    <w:rsid w:val="002C2DC1"/>
    <w:rsid w:val="002C3015"/>
    <w:rsid w:val="002C4342"/>
    <w:rsid w:val="002C7EA3"/>
    <w:rsid w:val="002D20AE"/>
    <w:rsid w:val="002D261A"/>
    <w:rsid w:val="002D2EEC"/>
    <w:rsid w:val="002D6C61"/>
    <w:rsid w:val="002E1563"/>
    <w:rsid w:val="002E2104"/>
    <w:rsid w:val="002E2DAC"/>
    <w:rsid w:val="002E33E5"/>
    <w:rsid w:val="002E6725"/>
    <w:rsid w:val="002E6963"/>
    <w:rsid w:val="002E6F8F"/>
    <w:rsid w:val="002F05D8"/>
    <w:rsid w:val="002F2DE0"/>
    <w:rsid w:val="002F5974"/>
    <w:rsid w:val="002F5E25"/>
    <w:rsid w:val="002F7777"/>
    <w:rsid w:val="0030353C"/>
    <w:rsid w:val="003125C3"/>
    <w:rsid w:val="00312AE6"/>
    <w:rsid w:val="00317D1A"/>
    <w:rsid w:val="00321180"/>
    <w:rsid w:val="003211FF"/>
    <w:rsid w:val="003242AB"/>
    <w:rsid w:val="00324345"/>
    <w:rsid w:val="00327247"/>
    <w:rsid w:val="00327A9D"/>
    <w:rsid w:val="0033130E"/>
    <w:rsid w:val="0033269C"/>
    <w:rsid w:val="003505CA"/>
    <w:rsid w:val="00351C79"/>
    <w:rsid w:val="0035516C"/>
    <w:rsid w:val="00355A4C"/>
    <w:rsid w:val="003604FB"/>
    <w:rsid w:val="00360B73"/>
    <w:rsid w:val="00380B71"/>
    <w:rsid w:val="00382EF6"/>
    <w:rsid w:val="0038365A"/>
    <w:rsid w:val="003859A0"/>
    <w:rsid w:val="00386A89"/>
    <w:rsid w:val="0039065B"/>
    <w:rsid w:val="003947B3"/>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0640"/>
    <w:rsid w:val="0041156B"/>
    <w:rsid w:val="00411C5F"/>
    <w:rsid w:val="004122C5"/>
    <w:rsid w:val="00413B78"/>
    <w:rsid w:val="00416DDE"/>
    <w:rsid w:val="004231AD"/>
    <w:rsid w:val="004249D0"/>
    <w:rsid w:val="0044411E"/>
    <w:rsid w:val="00453435"/>
    <w:rsid w:val="00457113"/>
    <w:rsid w:val="00457495"/>
    <w:rsid w:val="00460089"/>
    <w:rsid w:val="00463046"/>
    <w:rsid w:val="00466398"/>
    <w:rsid w:val="0047306D"/>
    <w:rsid w:val="00473791"/>
    <w:rsid w:val="004751FB"/>
    <w:rsid w:val="00476E48"/>
    <w:rsid w:val="00481DE9"/>
    <w:rsid w:val="0049128B"/>
    <w:rsid w:val="00493B49"/>
    <w:rsid w:val="00495501"/>
    <w:rsid w:val="00496FE6"/>
    <w:rsid w:val="004A070A"/>
    <w:rsid w:val="004A320E"/>
    <w:rsid w:val="004A4E9C"/>
    <w:rsid w:val="004B1A3C"/>
    <w:rsid w:val="004B5459"/>
    <w:rsid w:val="004C7BC7"/>
    <w:rsid w:val="004D2CC3"/>
    <w:rsid w:val="004D35CB"/>
    <w:rsid w:val="004D7DAB"/>
    <w:rsid w:val="004E20E5"/>
    <w:rsid w:val="004E3759"/>
    <w:rsid w:val="004E4DE7"/>
    <w:rsid w:val="004E64EA"/>
    <w:rsid w:val="004E7828"/>
    <w:rsid w:val="004F46AA"/>
    <w:rsid w:val="004F6A70"/>
    <w:rsid w:val="00500AD7"/>
    <w:rsid w:val="00502ABF"/>
    <w:rsid w:val="005033F2"/>
    <w:rsid w:val="00504DB0"/>
    <w:rsid w:val="00505FD3"/>
    <w:rsid w:val="00507C35"/>
    <w:rsid w:val="00510735"/>
    <w:rsid w:val="00514D2F"/>
    <w:rsid w:val="00525EAA"/>
    <w:rsid w:val="0054420E"/>
    <w:rsid w:val="00544D1B"/>
    <w:rsid w:val="00545782"/>
    <w:rsid w:val="00545DC0"/>
    <w:rsid w:val="00545F6C"/>
    <w:rsid w:val="005477D9"/>
    <w:rsid w:val="005521AA"/>
    <w:rsid w:val="005547F0"/>
    <w:rsid w:val="0055720C"/>
    <w:rsid w:val="00561796"/>
    <w:rsid w:val="005632DD"/>
    <w:rsid w:val="0056423B"/>
    <w:rsid w:val="005728DD"/>
    <w:rsid w:val="00573424"/>
    <w:rsid w:val="0057402F"/>
    <w:rsid w:val="00580E59"/>
    <w:rsid w:val="00581653"/>
    <w:rsid w:val="005849D6"/>
    <w:rsid w:val="00585367"/>
    <w:rsid w:val="00585A51"/>
    <w:rsid w:val="005871A1"/>
    <w:rsid w:val="0058737E"/>
    <w:rsid w:val="00592518"/>
    <w:rsid w:val="00592E87"/>
    <w:rsid w:val="0059420B"/>
    <w:rsid w:val="00594C4D"/>
    <w:rsid w:val="005A2E09"/>
    <w:rsid w:val="005A33B0"/>
    <w:rsid w:val="005B0E91"/>
    <w:rsid w:val="005C007D"/>
    <w:rsid w:val="005C2DC2"/>
    <w:rsid w:val="005C304A"/>
    <w:rsid w:val="005C3D69"/>
    <w:rsid w:val="005C7C98"/>
    <w:rsid w:val="005D2C3A"/>
    <w:rsid w:val="005D55A4"/>
    <w:rsid w:val="005D57C8"/>
    <w:rsid w:val="005D7761"/>
    <w:rsid w:val="005E0278"/>
    <w:rsid w:val="005E090D"/>
    <w:rsid w:val="005E3CA0"/>
    <w:rsid w:val="005E44B1"/>
    <w:rsid w:val="005E67B0"/>
    <w:rsid w:val="005E6C3A"/>
    <w:rsid w:val="005E7047"/>
    <w:rsid w:val="005E777F"/>
    <w:rsid w:val="005F1CA7"/>
    <w:rsid w:val="005F43DD"/>
    <w:rsid w:val="005F51A9"/>
    <w:rsid w:val="005F6BE1"/>
    <w:rsid w:val="005F7416"/>
    <w:rsid w:val="00600C11"/>
    <w:rsid w:val="00606B89"/>
    <w:rsid w:val="00611EAF"/>
    <w:rsid w:val="00615387"/>
    <w:rsid w:val="00623F30"/>
    <w:rsid w:val="00625FB8"/>
    <w:rsid w:val="006261BD"/>
    <w:rsid w:val="00635EDB"/>
    <w:rsid w:val="00636003"/>
    <w:rsid w:val="0064734E"/>
    <w:rsid w:val="00647E8E"/>
    <w:rsid w:val="00650137"/>
    <w:rsid w:val="006509D7"/>
    <w:rsid w:val="00651CE8"/>
    <w:rsid w:val="0065521B"/>
    <w:rsid w:val="00661D59"/>
    <w:rsid w:val="00663D41"/>
    <w:rsid w:val="0066626B"/>
    <w:rsid w:val="00671EF6"/>
    <w:rsid w:val="0067205B"/>
    <w:rsid w:val="006748F8"/>
    <w:rsid w:val="00680489"/>
    <w:rsid w:val="006819A3"/>
    <w:rsid w:val="0068299E"/>
    <w:rsid w:val="00683B47"/>
    <w:rsid w:val="00683C32"/>
    <w:rsid w:val="006863D4"/>
    <w:rsid w:val="00690B65"/>
    <w:rsid w:val="00690BB2"/>
    <w:rsid w:val="006917FC"/>
    <w:rsid w:val="00693D09"/>
    <w:rsid w:val="006A13DD"/>
    <w:rsid w:val="006A5A7E"/>
    <w:rsid w:val="006A6549"/>
    <w:rsid w:val="006A7710"/>
    <w:rsid w:val="006A7A61"/>
    <w:rsid w:val="006B0B51"/>
    <w:rsid w:val="006B1E59"/>
    <w:rsid w:val="006B2FFB"/>
    <w:rsid w:val="006B305B"/>
    <w:rsid w:val="006C10A2"/>
    <w:rsid w:val="006C1F18"/>
    <w:rsid w:val="006C4E16"/>
    <w:rsid w:val="006D1266"/>
    <w:rsid w:val="006D40D5"/>
    <w:rsid w:val="006D4D26"/>
    <w:rsid w:val="006F009A"/>
    <w:rsid w:val="006F3D93"/>
    <w:rsid w:val="007019B1"/>
    <w:rsid w:val="00716599"/>
    <w:rsid w:val="00721657"/>
    <w:rsid w:val="007279A8"/>
    <w:rsid w:val="00727B1A"/>
    <w:rsid w:val="00741337"/>
    <w:rsid w:val="00752258"/>
    <w:rsid w:val="007529E1"/>
    <w:rsid w:val="00760BC0"/>
    <w:rsid w:val="00762880"/>
    <w:rsid w:val="00762AD6"/>
    <w:rsid w:val="00762E02"/>
    <w:rsid w:val="00772290"/>
    <w:rsid w:val="00777265"/>
    <w:rsid w:val="007805E7"/>
    <w:rsid w:val="0078222A"/>
    <w:rsid w:val="00786AF3"/>
    <w:rsid w:val="00787D48"/>
    <w:rsid w:val="00795294"/>
    <w:rsid w:val="007A068A"/>
    <w:rsid w:val="007A4E50"/>
    <w:rsid w:val="007B18A7"/>
    <w:rsid w:val="007B250E"/>
    <w:rsid w:val="007C27FC"/>
    <w:rsid w:val="007C4B88"/>
    <w:rsid w:val="007C51FF"/>
    <w:rsid w:val="007C6BC4"/>
    <w:rsid w:val="007D50E4"/>
    <w:rsid w:val="007E2DC5"/>
    <w:rsid w:val="007F0D47"/>
    <w:rsid w:val="007F1CC7"/>
    <w:rsid w:val="008027AC"/>
    <w:rsid w:val="008028CE"/>
    <w:rsid w:val="0080332E"/>
    <w:rsid w:val="0080440B"/>
    <w:rsid w:val="008100F3"/>
    <w:rsid w:val="00810AA3"/>
    <w:rsid w:val="0081397C"/>
    <w:rsid w:val="008141E0"/>
    <w:rsid w:val="00816EE1"/>
    <w:rsid w:val="00816F88"/>
    <w:rsid w:val="00821996"/>
    <w:rsid w:val="00822323"/>
    <w:rsid w:val="00827BC6"/>
    <w:rsid w:val="008300AD"/>
    <w:rsid w:val="00833024"/>
    <w:rsid w:val="00834136"/>
    <w:rsid w:val="008419B1"/>
    <w:rsid w:val="00844A56"/>
    <w:rsid w:val="00845B11"/>
    <w:rsid w:val="00852081"/>
    <w:rsid w:val="0086769D"/>
    <w:rsid w:val="00872B6E"/>
    <w:rsid w:val="00874DFD"/>
    <w:rsid w:val="008802F9"/>
    <w:rsid w:val="00881263"/>
    <w:rsid w:val="00882EB8"/>
    <w:rsid w:val="00883086"/>
    <w:rsid w:val="008879FD"/>
    <w:rsid w:val="00894C37"/>
    <w:rsid w:val="008961F2"/>
    <w:rsid w:val="008A00EA"/>
    <w:rsid w:val="008A3F93"/>
    <w:rsid w:val="008A6236"/>
    <w:rsid w:val="008A6E1C"/>
    <w:rsid w:val="008A72FD"/>
    <w:rsid w:val="008B2EDF"/>
    <w:rsid w:val="008B47C7"/>
    <w:rsid w:val="008B54CB"/>
    <w:rsid w:val="008B5A3D"/>
    <w:rsid w:val="008B6D73"/>
    <w:rsid w:val="008C4010"/>
    <w:rsid w:val="008C4FDF"/>
    <w:rsid w:val="008C6B1F"/>
    <w:rsid w:val="008D0B88"/>
    <w:rsid w:val="008D394A"/>
    <w:rsid w:val="008D5E4F"/>
    <w:rsid w:val="008E34F0"/>
    <w:rsid w:val="008E7736"/>
    <w:rsid w:val="008F0E69"/>
    <w:rsid w:val="008F14F5"/>
    <w:rsid w:val="008F71C1"/>
    <w:rsid w:val="00900A3D"/>
    <w:rsid w:val="0090201A"/>
    <w:rsid w:val="00902D41"/>
    <w:rsid w:val="00902F49"/>
    <w:rsid w:val="00904230"/>
    <w:rsid w:val="00914004"/>
    <w:rsid w:val="00922EC1"/>
    <w:rsid w:val="00923CF1"/>
    <w:rsid w:val="00923EA2"/>
    <w:rsid w:val="009301F1"/>
    <w:rsid w:val="009307DF"/>
    <w:rsid w:val="009359B8"/>
    <w:rsid w:val="00935FF0"/>
    <w:rsid w:val="009431F8"/>
    <w:rsid w:val="00944D0D"/>
    <w:rsid w:val="00947A35"/>
    <w:rsid w:val="0096201B"/>
    <w:rsid w:val="00962081"/>
    <w:rsid w:val="00966CB5"/>
    <w:rsid w:val="00975786"/>
    <w:rsid w:val="00981CB7"/>
    <w:rsid w:val="00983E1F"/>
    <w:rsid w:val="009909C9"/>
    <w:rsid w:val="0099315A"/>
    <w:rsid w:val="00993F46"/>
    <w:rsid w:val="00996071"/>
    <w:rsid w:val="00997358"/>
    <w:rsid w:val="009A3C30"/>
    <w:rsid w:val="009A452B"/>
    <w:rsid w:val="009B050C"/>
    <w:rsid w:val="009B087F"/>
    <w:rsid w:val="009B2AF4"/>
    <w:rsid w:val="009C110B"/>
    <w:rsid w:val="009C5441"/>
    <w:rsid w:val="009C6F31"/>
    <w:rsid w:val="009D119F"/>
    <w:rsid w:val="009D49A2"/>
    <w:rsid w:val="009E68FA"/>
    <w:rsid w:val="009F065B"/>
    <w:rsid w:val="009F3940"/>
    <w:rsid w:val="009F3EB2"/>
    <w:rsid w:val="009F6EB1"/>
    <w:rsid w:val="00A11D05"/>
    <w:rsid w:val="00A13162"/>
    <w:rsid w:val="00A145DD"/>
    <w:rsid w:val="00A20267"/>
    <w:rsid w:val="00A31322"/>
    <w:rsid w:val="00A3158C"/>
    <w:rsid w:val="00A32DF3"/>
    <w:rsid w:val="00A33E32"/>
    <w:rsid w:val="00A35E20"/>
    <w:rsid w:val="00A36F6D"/>
    <w:rsid w:val="00A50CA0"/>
    <w:rsid w:val="00A5135E"/>
    <w:rsid w:val="00A525CC"/>
    <w:rsid w:val="00A53E7C"/>
    <w:rsid w:val="00A60087"/>
    <w:rsid w:val="00A66F92"/>
    <w:rsid w:val="00A705E8"/>
    <w:rsid w:val="00A721F4"/>
    <w:rsid w:val="00A766E6"/>
    <w:rsid w:val="00A9392C"/>
    <w:rsid w:val="00A9462B"/>
    <w:rsid w:val="00A97D59"/>
    <w:rsid w:val="00AA3E09"/>
    <w:rsid w:val="00AA4BEF"/>
    <w:rsid w:val="00AB0BC5"/>
    <w:rsid w:val="00AB1659"/>
    <w:rsid w:val="00AB4962"/>
    <w:rsid w:val="00AB734E"/>
    <w:rsid w:val="00AB740F"/>
    <w:rsid w:val="00AC6F14"/>
    <w:rsid w:val="00AC7221"/>
    <w:rsid w:val="00AD3BBD"/>
    <w:rsid w:val="00AD4677"/>
    <w:rsid w:val="00AD5CB3"/>
    <w:rsid w:val="00AD74DB"/>
    <w:rsid w:val="00AE001B"/>
    <w:rsid w:val="00AE55F5"/>
    <w:rsid w:val="00AE5961"/>
    <w:rsid w:val="00AF0745"/>
    <w:rsid w:val="00AF4971"/>
    <w:rsid w:val="00AF5206"/>
    <w:rsid w:val="00AF5276"/>
    <w:rsid w:val="00AF7C86"/>
    <w:rsid w:val="00B01046"/>
    <w:rsid w:val="00B24088"/>
    <w:rsid w:val="00B24CD6"/>
    <w:rsid w:val="00B310F9"/>
    <w:rsid w:val="00B36F74"/>
    <w:rsid w:val="00B37866"/>
    <w:rsid w:val="00B412FB"/>
    <w:rsid w:val="00B41FDC"/>
    <w:rsid w:val="00B4576B"/>
    <w:rsid w:val="00B46350"/>
    <w:rsid w:val="00B46DF3"/>
    <w:rsid w:val="00B648C7"/>
    <w:rsid w:val="00B66E8F"/>
    <w:rsid w:val="00B764D5"/>
    <w:rsid w:val="00B76536"/>
    <w:rsid w:val="00B80157"/>
    <w:rsid w:val="00B83D5E"/>
    <w:rsid w:val="00B8460A"/>
    <w:rsid w:val="00B8650D"/>
    <w:rsid w:val="00B879B4"/>
    <w:rsid w:val="00B90047"/>
    <w:rsid w:val="00B90F07"/>
    <w:rsid w:val="00B97BB9"/>
    <w:rsid w:val="00BA0009"/>
    <w:rsid w:val="00BA3A18"/>
    <w:rsid w:val="00BB02B5"/>
    <w:rsid w:val="00BB13F2"/>
    <w:rsid w:val="00BB1863"/>
    <w:rsid w:val="00BB25EE"/>
    <w:rsid w:val="00BB363A"/>
    <w:rsid w:val="00BC10A0"/>
    <w:rsid w:val="00BC7BA2"/>
    <w:rsid w:val="00BD1910"/>
    <w:rsid w:val="00BD426B"/>
    <w:rsid w:val="00BD79F0"/>
    <w:rsid w:val="00BE2B4D"/>
    <w:rsid w:val="00C005CD"/>
    <w:rsid w:val="00C015F8"/>
    <w:rsid w:val="00C02C2A"/>
    <w:rsid w:val="00C05500"/>
    <w:rsid w:val="00C07E26"/>
    <w:rsid w:val="00C1011C"/>
    <w:rsid w:val="00C12F94"/>
    <w:rsid w:val="00C13536"/>
    <w:rsid w:val="00C13CD3"/>
    <w:rsid w:val="00C177C5"/>
    <w:rsid w:val="00C30153"/>
    <w:rsid w:val="00C34EC3"/>
    <w:rsid w:val="00C4038C"/>
    <w:rsid w:val="00C42BA2"/>
    <w:rsid w:val="00C44066"/>
    <w:rsid w:val="00C44E13"/>
    <w:rsid w:val="00C51012"/>
    <w:rsid w:val="00C56C85"/>
    <w:rsid w:val="00C60A41"/>
    <w:rsid w:val="00C62DE8"/>
    <w:rsid w:val="00C62DFB"/>
    <w:rsid w:val="00C630E6"/>
    <w:rsid w:val="00C63812"/>
    <w:rsid w:val="00C64AF3"/>
    <w:rsid w:val="00C66F4D"/>
    <w:rsid w:val="00C67BB5"/>
    <w:rsid w:val="00C70258"/>
    <w:rsid w:val="00C72713"/>
    <w:rsid w:val="00C828DD"/>
    <w:rsid w:val="00C848EF"/>
    <w:rsid w:val="00C86600"/>
    <w:rsid w:val="00C87BCA"/>
    <w:rsid w:val="00C87EED"/>
    <w:rsid w:val="00C90FC4"/>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22B1"/>
    <w:rsid w:val="00CE5E4D"/>
    <w:rsid w:val="00CF02C4"/>
    <w:rsid w:val="00CF0BC1"/>
    <w:rsid w:val="00CF167F"/>
    <w:rsid w:val="00CF72E5"/>
    <w:rsid w:val="00CF7863"/>
    <w:rsid w:val="00D013EE"/>
    <w:rsid w:val="00D01F54"/>
    <w:rsid w:val="00D040F7"/>
    <w:rsid w:val="00D04A76"/>
    <w:rsid w:val="00D05B29"/>
    <w:rsid w:val="00D10468"/>
    <w:rsid w:val="00D10FC7"/>
    <w:rsid w:val="00D1372E"/>
    <w:rsid w:val="00D13CC1"/>
    <w:rsid w:val="00D1519F"/>
    <w:rsid w:val="00D20E99"/>
    <w:rsid w:val="00D21C83"/>
    <w:rsid w:val="00D35BDD"/>
    <w:rsid w:val="00D51B15"/>
    <w:rsid w:val="00D54D34"/>
    <w:rsid w:val="00D576D4"/>
    <w:rsid w:val="00D63006"/>
    <w:rsid w:val="00D6581C"/>
    <w:rsid w:val="00D6795B"/>
    <w:rsid w:val="00D72301"/>
    <w:rsid w:val="00D74A2B"/>
    <w:rsid w:val="00D75446"/>
    <w:rsid w:val="00D911DE"/>
    <w:rsid w:val="00D914DB"/>
    <w:rsid w:val="00D91B97"/>
    <w:rsid w:val="00D91C94"/>
    <w:rsid w:val="00D93ACC"/>
    <w:rsid w:val="00D93C08"/>
    <w:rsid w:val="00D95DAC"/>
    <w:rsid w:val="00DA0B53"/>
    <w:rsid w:val="00DB1171"/>
    <w:rsid w:val="00DB1519"/>
    <w:rsid w:val="00DB2840"/>
    <w:rsid w:val="00DC1BD3"/>
    <w:rsid w:val="00DC2C1A"/>
    <w:rsid w:val="00DD281F"/>
    <w:rsid w:val="00DD66B4"/>
    <w:rsid w:val="00DE1972"/>
    <w:rsid w:val="00DE27AB"/>
    <w:rsid w:val="00DF2AB3"/>
    <w:rsid w:val="00DF7250"/>
    <w:rsid w:val="00E00CAA"/>
    <w:rsid w:val="00E03EBF"/>
    <w:rsid w:val="00E05209"/>
    <w:rsid w:val="00E05AC1"/>
    <w:rsid w:val="00E07B11"/>
    <w:rsid w:val="00E11BCF"/>
    <w:rsid w:val="00E124C4"/>
    <w:rsid w:val="00E2258E"/>
    <w:rsid w:val="00E260C2"/>
    <w:rsid w:val="00E32596"/>
    <w:rsid w:val="00E368F7"/>
    <w:rsid w:val="00E36EB8"/>
    <w:rsid w:val="00E37FB8"/>
    <w:rsid w:val="00E40B07"/>
    <w:rsid w:val="00E42326"/>
    <w:rsid w:val="00E43544"/>
    <w:rsid w:val="00E44D89"/>
    <w:rsid w:val="00E477EA"/>
    <w:rsid w:val="00E52D61"/>
    <w:rsid w:val="00E55807"/>
    <w:rsid w:val="00E57156"/>
    <w:rsid w:val="00E62C04"/>
    <w:rsid w:val="00E63B14"/>
    <w:rsid w:val="00E65CA0"/>
    <w:rsid w:val="00E70D9F"/>
    <w:rsid w:val="00E71B30"/>
    <w:rsid w:val="00E83810"/>
    <w:rsid w:val="00E86933"/>
    <w:rsid w:val="00E9605B"/>
    <w:rsid w:val="00E97298"/>
    <w:rsid w:val="00E97753"/>
    <w:rsid w:val="00EA0BED"/>
    <w:rsid w:val="00EA0C51"/>
    <w:rsid w:val="00EA15EF"/>
    <w:rsid w:val="00EA7DE7"/>
    <w:rsid w:val="00EB5ACC"/>
    <w:rsid w:val="00EB7A8A"/>
    <w:rsid w:val="00EC6FED"/>
    <w:rsid w:val="00EC7F3B"/>
    <w:rsid w:val="00ED5299"/>
    <w:rsid w:val="00ED79E3"/>
    <w:rsid w:val="00EE049E"/>
    <w:rsid w:val="00EE3A64"/>
    <w:rsid w:val="00EE50E5"/>
    <w:rsid w:val="00EE783F"/>
    <w:rsid w:val="00EF01CF"/>
    <w:rsid w:val="00F014ED"/>
    <w:rsid w:val="00F02CAB"/>
    <w:rsid w:val="00F03590"/>
    <w:rsid w:val="00F03622"/>
    <w:rsid w:val="00F077FD"/>
    <w:rsid w:val="00F07AE8"/>
    <w:rsid w:val="00F204F3"/>
    <w:rsid w:val="00F218AB"/>
    <w:rsid w:val="00F238B3"/>
    <w:rsid w:val="00F24FED"/>
    <w:rsid w:val="00F25586"/>
    <w:rsid w:val="00F2651D"/>
    <w:rsid w:val="00F27362"/>
    <w:rsid w:val="00F31498"/>
    <w:rsid w:val="00F31EBE"/>
    <w:rsid w:val="00F32FEF"/>
    <w:rsid w:val="00F351D9"/>
    <w:rsid w:val="00F41768"/>
    <w:rsid w:val="00F41B1C"/>
    <w:rsid w:val="00F42E13"/>
    <w:rsid w:val="00F42F1C"/>
    <w:rsid w:val="00F43B44"/>
    <w:rsid w:val="00F440E5"/>
    <w:rsid w:val="00F441D9"/>
    <w:rsid w:val="00F448F6"/>
    <w:rsid w:val="00F44B36"/>
    <w:rsid w:val="00F44F05"/>
    <w:rsid w:val="00F52741"/>
    <w:rsid w:val="00F53B53"/>
    <w:rsid w:val="00F53D8A"/>
    <w:rsid w:val="00F54099"/>
    <w:rsid w:val="00F55352"/>
    <w:rsid w:val="00F626F7"/>
    <w:rsid w:val="00F736F9"/>
    <w:rsid w:val="00F73833"/>
    <w:rsid w:val="00F9211C"/>
    <w:rsid w:val="00FA095D"/>
    <w:rsid w:val="00FA6336"/>
    <w:rsid w:val="00FA6C8B"/>
    <w:rsid w:val="00FA6CDA"/>
    <w:rsid w:val="00FA7C89"/>
    <w:rsid w:val="00FB4139"/>
    <w:rsid w:val="00FB476E"/>
    <w:rsid w:val="00FC0D90"/>
    <w:rsid w:val="00FC3A56"/>
    <w:rsid w:val="00FC7D8C"/>
    <w:rsid w:val="00FD00AF"/>
    <w:rsid w:val="00FD2A6E"/>
    <w:rsid w:val="00FD3980"/>
    <w:rsid w:val="00FD431E"/>
    <w:rsid w:val="00FD5A2C"/>
    <w:rsid w:val="00FE0D47"/>
    <w:rsid w:val="00FE1D5C"/>
    <w:rsid w:val="00FE2F8B"/>
    <w:rsid w:val="00FE3669"/>
    <w:rsid w:val="00FE509E"/>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8045A2E4-D618-4449-8092-6798DC73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1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7F0D47"/>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F0D47"/>
    <w:rPr>
      <w:rFonts w:asciiTheme="minorHAnsi" w:hAnsiTheme="minorHAnsi"/>
      <w:sz w:val="24"/>
      <w:lang w:val="en-GB" w:eastAsia="en-US"/>
    </w:rPr>
  </w:style>
  <w:style w:type="character" w:customStyle="1" w:styleId="Heading2Char">
    <w:name w:val="Heading 2 Char"/>
    <w:basedOn w:val="DefaultParagraphFont"/>
    <w:link w:val="Heading2"/>
    <w:rsid w:val="00BD1910"/>
    <w:rPr>
      <w:rFonts w:asciiTheme="minorHAnsi" w:hAnsiTheme="minorHAnsi"/>
      <w:b/>
      <w:sz w:val="24"/>
      <w:lang w:val="en-GB" w:eastAsia="en-US"/>
    </w:rPr>
  </w:style>
  <w:style w:type="paragraph" w:styleId="Revision">
    <w:name w:val="Revision"/>
    <w:hidden/>
    <w:uiPriority w:val="99"/>
    <w:semiHidden/>
    <w:rsid w:val="00A66F92"/>
    <w:rPr>
      <w:rFonts w:asciiTheme="minorHAnsi" w:hAnsiTheme="minorHAnsi"/>
      <w:sz w:val="24"/>
      <w:lang w:val="en-GB" w:eastAsia="en-US"/>
    </w:rPr>
  </w:style>
  <w:style w:type="character" w:styleId="CommentReference">
    <w:name w:val="annotation reference"/>
    <w:basedOn w:val="DefaultParagraphFont"/>
    <w:semiHidden/>
    <w:unhideWhenUsed/>
    <w:rsid w:val="00A66F92"/>
    <w:rPr>
      <w:sz w:val="16"/>
      <w:szCs w:val="16"/>
    </w:rPr>
  </w:style>
  <w:style w:type="paragraph" w:styleId="CommentText">
    <w:name w:val="annotation text"/>
    <w:basedOn w:val="Normal"/>
    <w:link w:val="CommentTextChar"/>
    <w:semiHidden/>
    <w:unhideWhenUsed/>
    <w:rsid w:val="00A66F92"/>
    <w:rPr>
      <w:sz w:val="20"/>
    </w:rPr>
  </w:style>
  <w:style w:type="character" w:customStyle="1" w:styleId="CommentTextChar">
    <w:name w:val="Comment Text Char"/>
    <w:basedOn w:val="DefaultParagraphFont"/>
    <w:link w:val="CommentText"/>
    <w:semiHidden/>
    <w:rsid w:val="00A66F9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66F92"/>
    <w:rPr>
      <w:b/>
      <w:bCs/>
    </w:rPr>
  </w:style>
  <w:style w:type="character" w:customStyle="1" w:styleId="CommentSubjectChar">
    <w:name w:val="Comment Subject Char"/>
    <w:basedOn w:val="CommentTextChar"/>
    <w:link w:val="CommentSubject"/>
    <w:semiHidden/>
    <w:rsid w:val="00A66F92"/>
    <w:rPr>
      <w:rFonts w:asciiTheme="minorHAnsi" w:hAnsiTheme="minorHAnsi"/>
      <w:b/>
      <w:bCs/>
      <w:lang w:val="en-GB" w:eastAsia="en-US"/>
    </w:rPr>
  </w:style>
  <w:style w:type="paragraph" w:styleId="BalloonText">
    <w:name w:val="Balloon Text"/>
    <w:basedOn w:val="Normal"/>
    <w:link w:val="BalloonTextChar"/>
    <w:semiHidden/>
    <w:unhideWhenUsed/>
    <w:rsid w:val="007C6B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6BC4"/>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382EF6"/>
    <w:rPr>
      <w:color w:val="605E5C"/>
      <w:shd w:val="clear" w:color="auto" w:fill="E1DFDD"/>
    </w:rPr>
  </w:style>
  <w:style w:type="character" w:styleId="UnresolvedMention">
    <w:name w:val="Unresolved Mention"/>
    <w:basedOn w:val="DefaultParagraphFont"/>
    <w:uiPriority w:val="99"/>
    <w:semiHidden/>
    <w:unhideWhenUsed/>
    <w:rsid w:val="00265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8670">
      <w:bodyDiv w:val="1"/>
      <w:marLeft w:val="0"/>
      <w:marRight w:val="0"/>
      <w:marTop w:val="0"/>
      <w:marBottom w:val="0"/>
      <w:divBdr>
        <w:top w:val="none" w:sz="0" w:space="0" w:color="auto"/>
        <w:left w:val="none" w:sz="0" w:space="0" w:color="auto"/>
        <w:bottom w:val="none" w:sz="0" w:space="0" w:color="auto"/>
        <w:right w:val="none" w:sz="0" w:space="0" w:color="auto"/>
      </w:divBdr>
    </w:div>
    <w:div w:id="1009648499">
      <w:bodyDiv w:val="1"/>
      <w:marLeft w:val="0"/>
      <w:marRight w:val="0"/>
      <w:marTop w:val="0"/>
      <w:marBottom w:val="0"/>
      <w:divBdr>
        <w:top w:val="none" w:sz="0" w:space="0" w:color="auto"/>
        <w:left w:val="none" w:sz="0" w:space="0" w:color="auto"/>
        <w:bottom w:val="none" w:sz="0" w:space="0" w:color="auto"/>
        <w:right w:val="none" w:sz="0" w:space="0" w:color="auto"/>
      </w:divBdr>
      <w:divsChild>
        <w:div w:id="59448550">
          <w:marLeft w:val="0"/>
          <w:marRight w:val="0"/>
          <w:marTop w:val="0"/>
          <w:marBottom w:val="0"/>
          <w:divBdr>
            <w:top w:val="none" w:sz="0" w:space="0" w:color="auto"/>
            <w:left w:val="none" w:sz="0" w:space="0" w:color="auto"/>
            <w:bottom w:val="none" w:sz="0" w:space="0" w:color="auto"/>
            <w:right w:val="none" w:sz="0" w:space="0" w:color="auto"/>
          </w:divBdr>
        </w:div>
      </w:divsChild>
    </w:div>
    <w:div w:id="2001542266">
      <w:bodyDiv w:val="1"/>
      <w:marLeft w:val="0"/>
      <w:marRight w:val="0"/>
      <w:marTop w:val="0"/>
      <w:marBottom w:val="0"/>
      <w:divBdr>
        <w:top w:val="none" w:sz="0" w:space="0" w:color="auto"/>
        <w:left w:val="none" w:sz="0" w:space="0" w:color="auto"/>
        <w:bottom w:val="none" w:sz="0" w:space="0" w:color="auto"/>
        <w:right w:val="none" w:sz="0" w:space="0" w:color="auto"/>
      </w:divBdr>
      <w:divsChild>
        <w:div w:id="530341728">
          <w:marLeft w:val="0"/>
          <w:marRight w:val="0"/>
          <w:marTop w:val="0"/>
          <w:marBottom w:val="0"/>
          <w:divBdr>
            <w:top w:val="none" w:sz="0" w:space="0" w:color="auto"/>
            <w:left w:val="none" w:sz="0" w:space="0" w:color="auto"/>
            <w:bottom w:val="none" w:sz="0" w:space="0" w:color="auto"/>
            <w:right w:val="none" w:sz="0" w:space="0" w:color="auto"/>
          </w:divBdr>
        </w:div>
      </w:divsChild>
    </w:div>
    <w:div w:id="20713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9-INF-000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D/Proje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1-CL-C-0034/en" TargetMode="External"/><Relationship Id="rId1" Type="http://schemas.openxmlformats.org/officeDocument/2006/relationships/hyperlink" Target="http://www.itu.int/en/ITU-D/Proje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20session%2002%20Dec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20session%2002%20Dec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AF-42CF-9B98-B3DDE789EB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AF-42CF-9B98-B3DDE789EB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AF-42CF-9B98-B3DDE789EB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80278254</c:v>
                </c:pt>
                <c:pt idx="1">
                  <c:v>5520875</c:v>
                </c:pt>
                <c:pt idx="2">
                  <c:v>4508523</c:v>
                </c:pt>
              </c:numCache>
            </c:numRef>
          </c:val>
          <c:extLst>
            <c:ext xmlns:c16="http://schemas.microsoft.com/office/drawing/2014/chart" uri="{C3380CC4-5D6E-409C-BE32-E72D297353CC}">
              <c16:uniqueId val="{00000006-54AF-42CF-9B98-B3DDE789EBC9}"/>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'Projects per year'!$A$4:$A$14</c:f>
              <c:strCache>
                <c:ptCount val="11"/>
                <c:pt idx="0">
                  <c:v>2011 </c:v>
                </c:pt>
                <c:pt idx="1">
                  <c:v>2012 </c:v>
                </c:pt>
                <c:pt idx="2">
                  <c:v>2013 </c:v>
                </c:pt>
                <c:pt idx="3">
                  <c:v>2014 </c:v>
                </c:pt>
                <c:pt idx="4">
                  <c:v>2015 </c:v>
                </c:pt>
                <c:pt idx="5">
                  <c:v>2016 </c:v>
                </c:pt>
                <c:pt idx="6">
                  <c:v>2017 </c:v>
                </c:pt>
                <c:pt idx="7">
                  <c:v>2018 </c:v>
                </c:pt>
                <c:pt idx="8">
                  <c:v>2019 </c:v>
                </c:pt>
                <c:pt idx="9">
                  <c:v>2020 </c:v>
                </c:pt>
                <c:pt idx="10">
                  <c:v>2021 (Jan-Sep)</c:v>
                </c:pt>
              </c:strCache>
            </c:strRef>
          </c:cat>
          <c:val>
            <c:numRef>
              <c:f>'Projects per year'!$B$4:$B$14</c:f>
              <c:numCache>
                <c:formatCode>_(* #,##0.00_);_(* \(#,##0.00\);_(* "-"??_);_(@_)</c:formatCode>
                <c:ptCount val="11"/>
                <c:pt idx="0">
                  <c:v>8075257</c:v>
                </c:pt>
                <c:pt idx="1">
                  <c:v>10905274</c:v>
                </c:pt>
                <c:pt idx="2">
                  <c:v>9927803</c:v>
                </c:pt>
                <c:pt idx="3">
                  <c:v>7674402</c:v>
                </c:pt>
                <c:pt idx="4">
                  <c:v>5289174</c:v>
                </c:pt>
                <c:pt idx="5">
                  <c:v>2767939</c:v>
                </c:pt>
                <c:pt idx="6">
                  <c:v>9730134</c:v>
                </c:pt>
                <c:pt idx="7">
                  <c:v>10721579</c:v>
                </c:pt>
                <c:pt idx="8">
                  <c:v>13612980</c:v>
                </c:pt>
                <c:pt idx="9">
                  <c:v>14901477</c:v>
                </c:pt>
                <c:pt idx="10">
                  <c:v>9485288</c:v>
                </c:pt>
              </c:numCache>
            </c:numRef>
          </c:val>
          <c:extLst>
            <c:ext xmlns:c16="http://schemas.microsoft.com/office/drawing/2014/chart" uri="{C3380CC4-5D6E-409C-BE32-E72D297353CC}">
              <c16:uniqueId val="{00000000-A032-4817-B9F3-927D24B3F81D}"/>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A90F6D27C3646B88D217296F21EB0" ma:contentTypeVersion="12" ma:contentTypeDescription="Create a new document." ma:contentTypeScope="" ma:versionID="b93cb84f2d795b326c35e3535298ed78">
  <xsd:schema xmlns:xsd="http://www.w3.org/2001/XMLSchema" xmlns:xs="http://www.w3.org/2001/XMLSchema" xmlns:p="http://schemas.microsoft.com/office/2006/metadata/properties" xmlns:ns2="5ead2d81-262c-4721-88de-eea62d29614f" xmlns:ns3="4ab66054-a4cf-4947-8f84-597a7d5537dc" targetNamespace="http://schemas.microsoft.com/office/2006/metadata/properties" ma:root="true" ma:fieldsID="aac6885af14d22a5860c36f74603b305" ns2:_="" ns3:_="">
    <xsd:import namespace="5ead2d81-262c-4721-88de-eea62d29614f"/>
    <xsd:import namespace="4ab66054-a4cf-4947-8f84-597a7d5537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d2d81-262c-4721-88de-eea62d296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66054-a4cf-4947-8f84-597a7d553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6659-6560-4B68-BCCC-C57871FCEFE5}">
  <ds:schemaRefs>
    <ds:schemaRef ds:uri="http://schemas.microsoft.com/sharepoint/v3/contenttype/forms"/>
  </ds:schemaRefs>
</ds:datastoreItem>
</file>

<file path=customXml/itemProps2.xml><?xml version="1.0" encoding="utf-8"?>
<ds:datastoreItem xmlns:ds="http://schemas.openxmlformats.org/officeDocument/2006/customXml" ds:itemID="{16928B69-96BF-452E-B12F-52BCEA688444}">
  <ds:schemaRefs>
    <ds:schemaRef ds:uri="http://schemas.microsoft.com/office/2006/documentManagement/types"/>
    <ds:schemaRef ds:uri="http://www.w3.org/XML/1998/namespace"/>
    <ds:schemaRef ds:uri="http://purl.org/dc/dcmitype/"/>
    <ds:schemaRef ds:uri="4ab66054-a4cf-4947-8f84-597a7d5537dc"/>
    <ds:schemaRef ds:uri="http://purl.org/dc/elements/1.1/"/>
    <ds:schemaRef ds:uri="http://schemas.microsoft.com/office/infopath/2007/PartnerControls"/>
    <ds:schemaRef ds:uri="5ead2d81-262c-4721-88de-eea62d29614f"/>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4C08922-E4E5-40C3-9420-CE0514D65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d2d81-262c-4721-88de-eea62d29614f"/>
    <ds:schemaRef ds:uri="4ab66054-a4cf-4947-8f84-597a7d553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318B5-9DDB-426C-B968-017EDF81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1550</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10458</CharactersWithSpaces>
  <SharedDoc>false</SharedDoc>
  <HLinks>
    <vt:vector size="36" baseType="variant">
      <vt:variant>
        <vt:i4>6815842</vt:i4>
      </vt:variant>
      <vt:variant>
        <vt:i4>3</vt:i4>
      </vt:variant>
      <vt:variant>
        <vt:i4>0</vt:i4>
      </vt:variant>
      <vt:variant>
        <vt:i4>5</vt:i4>
      </vt:variant>
      <vt:variant>
        <vt:lpwstr>http://www.itu.int/en/ITU-D/Projects/Pages/default.aspx</vt:lpwstr>
      </vt:variant>
      <vt:variant>
        <vt:lpwstr/>
      </vt:variant>
      <vt:variant>
        <vt:i4>4521988</vt:i4>
      </vt:variant>
      <vt:variant>
        <vt:i4>0</vt:i4>
      </vt:variant>
      <vt:variant>
        <vt:i4>0</vt:i4>
      </vt:variant>
      <vt:variant>
        <vt:i4>5</vt:i4>
      </vt:variant>
      <vt:variant>
        <vt:lpwstr>https://www.itu.int/md/D18-TDAG28-INF-0002/en</vt:lpwstr>
      </vt:variant>
      <vt:variant>
        <vt:lpwstr/>
      </vt:variant>
      <vt:variant>
        <vt:i4>7798847</vt:i4>
      </vt:variant>
      <vt:variant>
        <vt:i4>3</vt:i4>
      </vt:variant>
      <vt:variant>
        <vt:i4>0</vt:i4>
      </vt:variant>
      <vt:variant>
        <vt:i4>5</vt:i4>
      </vt:variant>
      <vt:variant>
        <vt:lpwstr>https://www.itu.int/md/S21-CL-C-0034/en</vt:lpwstr>
      </vt:variant>
      <vt:variant>
        <vt:lpwstr/>
      </vt:variant>
      <vt:variant>
        <vt:i4>1966163</vt:i4>
      </vt:variant>
      <vt:variant>
        <vt:i4>0</vt:i4>
      </vt:variant>
      <vt:variant>
        <vt:i4>0</vt:i4>
      </vt:variant>
      <vt:variant>
        <vt:i4>5</vt:i4>
      </vt:variant>
      <vt:variant>
        <vt:lpwstr>http://www.itu.int/en/ITU-D/Projects/</vt:lpwstr>
      </vt:variant>
      <vt:variant>
        <vt:lpwstr/>
      </vt:variant>
      <vt:variant>
        <vt:i4>6815806</vt:i4>
      </vt:variant>
      <vt:variant>
        <vt:i4>6</vt:i4>
      </vt:variant>
      <vt:variant>
        <vt:i4>0</vt:i4>
      </vt:variant>
      <vt:variant>
        <vt:i4>5</vt:i4>
      </vt:variant>
      <vt:variant>
        <vt:lpwstr>http://www.itu.int/ITU-D/TDAG/</vt:lpwstr>
      </vt:variant>
      <vt:variant>
        <vt:lpwstr/>
      </vt:variant>
      <vt:variant>
        <vt:i4>3932239</vt:i4>
      </vt:variant>
      <vt:variant>
        <vt:i4>3</vt:i4>
      </vt:variant>
      <vt:variant>
        <vt:i4>0</vt:i4>
      </vt:variant>
      <vt:variant>
        <vt:i4>5</vt:i4>
      </vt:variant>
      <vt:variant>
        <vt:lpwstr>mailto:cosmas.zavazava@itu.int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4</cp:revision>
  <cp:lastPrinted>2014-11-04T18:22:00Z</cp:lastPrinted>
  <dcterms:created xsi:type="dcterms:W3CDTF">2021-09-15T09:52:00Z</dcterms:created>
  <dcterms:modified xsi:type="dcterms:W3CDTF">2021-09-15T12:49:00Z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0x0101005B7A90F6D27C3646B88D217296F21EB0</vt:lpwstr>
  </property>
</Properties>
</file>