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:rsidRPr="00277E7F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0B8FF189" w:rsidR="00AD4677" w:rsidRPr="00277E7F" w:rsidRDefault="0043102C" w:rsidP="006D4D26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cstheme="minorHAnsi"/>
                <w:b/>
                <w:bCs/>
                <w:sz w:val="32"/>
                <w:szCs w:val="32"/>
              </w:rPr>
            </w:pPr>
            <w:r w:rsidRPr="00110092">
              <w:rPr>
                <w:b/>
                <w:bCs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2C31DD14" wp14:editId="0FFB069C">
                  <wp:extent cx="1252728" cy="1051560"/>
                  <wp:effectExtent l="0" t="0" r="5080" b="0"/>
                  <wp:docPr id="3" name="Picture 3" descr="P:\SUP\Meetings\WTDC\WTDC-21\Logo\WTDC Logo Final_aligned_center_C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Meetings\WTDC\WTDC-21\Logo\WTDC Logo Final_aligned_center_C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3" t="5739" r="5497" b="5686"/>
                          <a:stretch/>
                        </pic:blipFill>
                        <pic:spPr bwMode="auto">
                          <a:xfrm>
                            <a:off x="0" y="0"/>
                            <a:ext cx="1252728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582AB590" w:rsidR="00AD4677" w:rsidRPr="00277E7F" w:rsidRDefault="00BC3591" w:rsidP="006D4D26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电信发展顾问组</w:t>
            </w:r>
            <w:r w:rsidR="00223FC9"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b/>
                <w:bCs/>
                <w:sz w:val="32"/>
                <w:szCs w:val="32"/>
                <w:lang w:eastAsia="zh-CN"/>
              </w:rPr>
              <w:t>TDAG</w:t>
            </w:r>
            <w:r>
              <w:rPr>
                <w:rFonts w:ascii="SimSun" w:eastAsia="SimSun" w:hAnsi="SimSun" w:cs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495019CC" w:rsidR="00AD4677" w:rsidRPr="00277E7F" w:rsidRDefault="00BC3591" w:rsidP="006D4D26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6"/>
                <w:szCs w:val="26"/>
                <w:lang w:val="fr-CH" w:eastAsia="zh-CN"/>
              </w:rPr>
              <w:t>第</w:t>
            </w:r>
            <w:r>
              <w:rPr>
                <w:b/>
                <w:bCs/>
                <w:sz w:val="26"/>
                <w:szCs w:val="26"/>
                <w:lang w:eastAsia="zh-CN"/>
              </w:rPr>
              <w:t>29</w:t>
            </w:r>
            <w:r>
              <w:rPr>
                <w:rFonts w:ascii="SimSun" w:eastAsia="SimSun" w:hAnsi="SimSun" w:cs="SimSun" w:hint="eastAsia"/>
                <w:b/>
                <w:bCs/>
                <w:sz w:val="26"/>
                <w:szCs w:val="26"/>
                <w:lang w:val="fr-CH" w:eastAsia="zh-CN"/>
              </w:rPr>
              <w:t>次会议</w:t>
            </w:r>
            <w:r>
              <w:rPr>
                <w:rFonts w:ascii="SimSun" w:eastAsia="SimSun" w:hAnsi="SimSun" w:cs="SimSun" w:hint="eastAsia"/>
                <w:b/>
                <w:bCs/>
                <w:sz w:val="26"/>
                <w:szCs w:val="26"/>
                <w:lang w:eastAsia="zh-CN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26"/>
                <w:szCs w:val="26"/>
                <w:lang w:val="fr-CH" w:eastAsia="zh-CN"/>
              </w:rPr>
              <w:t>虚拟会议</w:t>
            </w:r>
            <w:r>
              <w:rPr>
                <w:rFonts w:ascii="SimSun" w:eastAsia="SimSun" w:hAnsi="SimSun" w:cs="SimSun" w:hint="eastAsia"/>
                <w:b/>
                <w:bCs/>
                <w:sz w:val="26"/>
                <w:szCs w:val="26"/>
                <w:lang w:eastAsia="zh-CN"/>
              </w:rPr>
              <w:t>，</w:t>
            </w:r>
            <w:r>
              <w:rPr>
                <w:b/>
                <w:bCs/>
                <w:sz w:val="26"/>
                <w:szCs w:val="26"/>
                <w:lang w:eastAsia="zh-CN"/>
              </w:rPr>
              <w:t>2021</w:t>
            </w:r>
            <w:r>
              <w:rPr>
                <w:rFonts w:ascii="SimSun" w:eastAsia="SimSun" w:hAnsi="SimSun" w:cs="SimSun" w:hint="eastAsia"/>
                <w:b/>
                <w:bCs/>
                <w:sz w:val="26"/>
                <w:szCs w:val="26"/>
                <w:lang w:val="fr-CH" w:eastAsia="zh-CN"/>
              </w:rPr>
              <w:t>年</w:t>
            </w:r>
            <w:r>
              <w:rPr>
                <w:b/>
                <w:bCs/>
                <w:sz w:val="26"/>
                <w:szCs w:val="26"/>
                <w:lang w:eastAsia="zh-CN"/>
              </w:rPr>
              <w:t>11</w:t>
            </w:r>
            <w:r>
              <w:rPr>
                <w:rFonts w:ascii="SimSun" w:eastAsia="SimSun" w:hAnsi="SimSun" w:cs="SimSun" w:hint="eastAsia"/>
                <w:b/>
                <w:bCs/>
                <w:sz w:val="26"/>
                <w:szCs w:val="26"/>
                <w:lang w:val="fr-CH" w:eastAsia="zh-CN"/>
              </w:rPr>
              <w:t>月</w:t>
            </w:r>
            <w:r>
              <w:rPr>
                <w:b/>
                <w:bCs/>
                <w:sz w:val="26"/>
                <w:szCs w:val="26"/>
                <w:lang w:eastAsia="zh-CN"/>
              </w:rPr>
              <w:t>8-12</w:t>
            </w:r>
            <w:r>
              <w:rPr>
                <w:rFonts w:ascii="SimSun" w:eastAsia="SimSun" w:hAnsi="SimSun" w:cs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1524" w:type="dxa"/>
          </w:tcPr>
          <w:p w14:paraId="67E7B4C4" w14:textId="0F52E4CC" w:rsidR="00AD4677" w:rsidRPr="00277E7F" w:rsidRDefault="00AD4677" w:rsidP="006D4D26">
            <w:pPr>
              <w:spacing w:before="240"/>
              <w:ind w:right="142"/>
              <w:jc w:val="right"/>
              <w:rPr>
                <w:rFonts w:cstheme="minorHAnsi"/>
              </w:rPr>
            </w:pPr>
            <w:r w:rsidRPr="00277E7F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277E7F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277E7F" w:rsidRDefault="00683C32" w:rsidP="006D4D26">
            <w:pPr>
              <w:spacing w:before="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277E7F" w:rsidRDefault="00683C32" w:rsidP="006D4D26">
            <w:pPr>
              <w:spacing w:before="0"/>
              <w:rPr>
                <w:rFonts w:cstheme="minorHAnsi"/>
                <w:b/>
                <w:bCs/>
                <w:sz w:val="20"/>
              </w:rPr>
            </w:pPr>
          </w:p>
        </w:tc>
      </w:tr>
      <w:tr w:rsidR="00683C32" w:rsidRPr="00277E7F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277E7F" w:rsidRDefault="00683C32" w:rsidP="006D4D26">
            <w:pPr>
              <w:pStyle w:val="Committee"/>
              <w:spacing w:before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5AB3B296" w:rsidR="00683C32" w:rsidRPr="00277E7F" w:rsidRDefault="00BC3591" w:rsidP="00C90FC4">
            <w:pPr>
              <w:spacing w:before="0"/>
              <w:jc w:val="both"/>
              <w:rPr>
                <w:rFonts w:cstheme="minorHAnsi"/>
                <w:bCs/>
                <w:szCs w:val="24"/>
                <w:lang w:val="en-US"/>
              </w:rPr>
            </w:pPr>
            <w:r>
              <w:rPr>
                <w:rFonts w:ascii="SimSun" w:eastAsia="SimSun" w:hAnsi="SimSun" w:cs="SimSun" w:hint="eastAsia"/>
                <w:b/>
                <w:bCs/>
                <w:lang w:val="en-US"/>
              </w:rPr>
              <w:t>文件</w:t>
            </w:r>
            <w:r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 w:rsidRPr="00277E7F">
              <w:rPr>
                <w:rFonts w:cstheme="minorHAnsi"/>
                <w:b/>
                <w:bCs/>
                <w:lang w:val="en-US"/>
              </w:rPr>
              <w:t>TDAG</w:t>
            </w:r>
            <w:r w:rsidR="003242AB" w:rsidRPr="00277E7F">
              <w:rPr>
                <w:rFonts w:cstheme="minorHAnsi"/>
                <w:b/>
                <w:bCs/>
                <w:lang w:val="en-US"/>
              </w:rPr>
              <w:t>-</w:t>
            </w:r>
            <w:r w:rsidR="00B648C7" w:rsidRPr="00277E7F">
              <w:rPr>
                <w:rFonts w:cstheme="minorHAnsi"/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 w:rsidRPr="00277E7F">
              <w:rPr>
                <w:rFonts w:cstheme="minorHAnsi"/>
                <w:b/>
                <w:bCs/>
                <w:lang w:val="en-US"/>
              </w:rPr>
              <w:t>1</w:t>
            </w:r>
            <w:r w:rsidR="00143F44" w:rsidRPr="00277E7F">
              <w:rPr>
                <w:rFonts w:cstheme="minorHAnsi"/>
                <w:b/>
                <w:bCs/>
                <w:lang w:val="en-US"/>
              </w:rPr>
              <w:t>/2</w:t>
            </w:r>
            <w:r w:rsidR="0009076F" w:rsidRPr="00277E7F">
              <w:rPr>
                <w:rFonts w:cstheme="minorHAnsi"/>
                <w:b/>
                <w:bCs/>
                <w:lang w:val="en-US"/>
              </w:rPr>
              <w:t>/</w:t>
            </w:r>
            <w:r w:rsidR="00C90FC4">
              <w:rPr>
                <w:rFonts w:cstheme="minorHAnsi"/>
                <w:b/>
                <w:bCs/>
                <w:lang w:val="en-US"/>
              </w:rPr>
              <w:t>7</w:t>
            </w:r>
            <w:r w:rsidR="0096201B" w:rsidRPr="00277E7F">
              <w:rPr>
                <w:rFonts w:cstheme="minorHAnsi"/>
                <w:b/>
                <w:bCs/>
                <w:lang w:val="en-US"/>
              </w:rPr>
              <w:t>-</w:t>
            </w:r>
            <w:r>
              <w:rPr>
                <w:rFonts w:cstheme="minorHAnsi"/>
                <w:b/>
                <w:bCs/>
                <w:lang w:val="en-US"/>
              </w:rPr>
              <w:t>C</w:t>
            </w:r>
          </w:p>
        </w:tc>
      </w:tr>
      <w:tr w:rsidR="00683C32" w:rsidRPr="00277E7F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277E7F" w:rsidRDefault="00683C32" w:rsidP="006D4D26">
            <w:pPr>
              <w:spacing w:before="0"/>
              <w:rPr>
                <w:rFonts w:cstheme="minorHAnsi"/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7C22A226" w:rsidR="00683C32" w:rsidRPr="00277E7F" w:rsidRDefault="00BC3591" w:rsidP="006D4D26">
            <w:pPr>
              <w:spacing w:before="0"/>
              <w:rPr>
                <w:rFonts w:cstheme="minorHAnsi"/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2021</w:t>
            </w:r>
            <w:r>
              <w:rPr>
                <w:rFonts w:ascii="SimSun" w:eastAsia="SimSun" w:hAnsi="SimSun" w:cs="SimSun" w:hint="eastAsia"/>
                <w:b/>
                <w:bCs/>
                <w:szCs w:val="28"/>
                <w:lang w:eastAsia="zh-CN"/>
              </w:rPr>
              <w:t>年</w:t>
            </w:r>
            <w:r>
              <w:rPr>
                <w:b/>
                <w:bCs/>
                <w:szCs w:val="28"/>
                <w:lang w:eastAsia="zh-CN"/>
              </w:rPr>
              <w:t>9</w:t>
            </w:r>
            <w:r>
              <w:rPr>
                <w:rFonts w:ascii="SimSun" w:eastAsia="SimSun" w:hAnsi="SimSun" w:cs="SimSun" w:hint="eastAsia"/>
                <w:b/>
                <w:bCs/>
                <w:szCs w:val="28"/>
                <w:lang w:eastAsia="zh-CN"/>
              </w:rPr>
              <w:t>月</w:t>
            </w:r>
            <w:r w:rsidRPr="00BC3591">
              <w:rPr>
                <w:rFonts w:hint="eastAsia"/>
                <w:b/>
                <w:bCs/>
                <w:szCs w:val="28"/>
              </w:rPr>
              <w:t>1</w:t>
            </w:r>
            <w:r w:rsidRPr="00BC3591">
              <w:rPr>
                <w:b/>
                <w:bCs/>
                <w:szCs w:val="28"/>
              </w:rPr>
              <w:t>4</w:t>
            </w:r>
            <w:r>
              <w:rPr>
                <w:rFonts w:ascii="SimSun" w:eastAsia="SimSun" w:hAnsi="SimSun" w:cs="SimSun"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:rsidRPr="00277E7F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277E7F" w:rsidRDefault="00683C32" w:rsidP="006D4D26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1BCA9A88" w:rsidR="00514D2F" w:rsidRPr="00277E7F" w:rsidRDefault="00BC3591" w:rsidP="006D4D26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BC3591" w:rsidRPr="00277E7F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6EEADF88" w:rsidR="00BC3591" w:rsidRPr="00277E7F" w:rsidRDefault="00BC3591" w:rsidP="00BC3591">
            <w:pPr>
              <w:pStyle w:val="Source"/>
              <w:rPr>
                <w:rFonts w:cstheme="minorHAnsi"/>
              </w:rPr>
            </w:pPr>
            <w:bookmarkStart w:id="3" w:name="Source"/>
            <w:bookmarkEnd w:id="3"/>
            <w:r>
              <w:rPr>
                <w:rFonts w:hint="eastAsia"/>
                <w:lang w:val="en-US" w:eastAsia="zh-CN"/>
              </w:rPr>
              <w:t>电信发展局主任</w:t>
            </w:r>
          </w:p>
        </w:tc>
      </w:tr>
      <w:tr w:rsidR="00BC3591" w:rsidRPr="00277E7F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464102AB" w:rsidR="00BC3591" w:rsidRPr="00277E7F" w:rsidRDefault="00BC3591" w:rsidP="00BC3591">
            <w:pPr>
              <w:pStyle w:val="Title1"/>
              <w:rPr>
                <w:rFonts w:cstheme="minorHAnsi"/>
              </w:rPr>
            </w:pPr>
            <w:bookmarkStart w:id="4" w:name="Title"/>
            <w:bookmarkEnd w:id="4"/>
            <w:r>
              <w:rPr>
                <w:lang w:val="en-US" w:eastAsia="zh-CN"/>
              </w:rPr>
              <w:t>ITU-D</w:t>
            </w:r>
            <w:r>
              <w:rPr>
                <w:rFonts w:hint="eastAsia"/>
                <w:lang w:val="en-US" w:eastAsia="zh-CN"/>
              </w:rPr>
              <w:t>的项目</w:t>
            </w:r>
          </w:p>
        </w:tc>
      </w:tr>
      <w:tr w:rsidR="00A721F4" w:rsidRPr="00277E7F" w14:paraId="23A30231" w14:textId="77777777" w:rsidTr="008100F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277E7F" w:rsidRDefault="00A721F4" w:rsidP="006D4D26">
            <w:pPr>
              <w:rPr>
                <w:rFonts w:cstheme="minorHAnsi"/>
              </w:rPr>
            </w:pPr>
          </w:p>
        </w:tc>
      </w:tr>
      <w:tr w:rsidR="008100F3" w:rsidRPr="00277E7F" w14:paraId="2A4DD82E" w14:textId="77777777" w:rsidTr="008100F3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040C" w14:textId="77777777" w:rsidR="00BC3591" w:rsidRDefault="00BC3591" w:rsidP="00BC359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2853F02A" w14:textId="5EEF3E64" w:rsidR="00BC3591" w:rsidRDefault="00BC3591" w:rsidP="00BC3591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国际电信联盟负有双重职责，既是联合国的专门机构，又是执行机构。为了履行国际电联的双重职责，电信发展部门</w:t>
            </w:r>
            <w:r w:rsidR="00223FC9"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）的关键职能是实施联合国发展系统或其他资助安排下的项目，通过提供、组织和协调技术合作以及援助活动来促进和强化电信发展。</w:t>
            </w:r>
          </w:p>
          <w:p w14:paraId="373150C0" w14:textId="04ABBDA4" w:rsidR="00BC3591" w:rsidRDefault="00BC3591" w:rsidP="00BC3591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本文件概述了电信发展局在六个</w:t>
            </w:r>
            <w:r>
              <w:rPr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区域</w:t>
            </w:r>
            <w:r w:rsidR="00223FC9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非洲、美洲、阿拉伯国家、亚太地区、独立国家联合体</w:t>
            </w:r>
            <w:r w:rsidR="00223FC9"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CIS</w:t>
            </w:r>
            <w:r>
              <w:rPr>
                <w:rFonts w:hint="eastAsia"/>
                <w:lang w:eastAsia="zh-CN"/>
              </w:rPr>
              <w:t>）和欧洲）以及跨区域开展的项目开发和实施工作。</w:t>
            </w:r>
          </w:p>
          <w:p w14:paraId="79F3B940" w14:textId="77777777" w:rsidR="00BC3591" w:rsidRDefault="00BC3591" w:rsidP="00BC3591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须采取的行动：</w:t>
            </w:r>
          </w:p>
          <w:p w14:paraId="1616D4D9" w14:textId="77777777" w:rsidR="00BC3591" w:rsidRDefault="00BC3591" w:rsidP="00BC3591">
            <w:pPr>
              <w:ind w:firstLineChars="200" w:firstLine="480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>
              <w:rPr>
                <w:lang w:eastAsia="zh-CN"/>
              </w:rPr>
              <w:t>TDAG</w:t>
            </w:r>
            <w:r>
              <w:rPr>
                <w:rFonts w:hint="eastAsia"/>
                <w:lang w:eastAsia="zh-CN"/>
              </w:rPr>
              <w:t>将此文件记录在案并提供适当指导。</w:t>
            </w:r>
          </w:p>
          <w:p w14:paraId="04F04168" w14:textId="77777777" w:rsidR="00BC3591" w:rsidRDefault="00BC3591" w:rsidP="00BC3591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参考文件：</w:t>
            </w:r>
          </w:p>
          <w:p w14:paraId="5DFF6836" w14:textId="4ADC4C05" w:rsidR="008100F3" w:rsidRPr="00277E7F" w:rsidRDefault="00BC3591" w:rsidP="00BC3591">
            <w:pPr>
              <w:spacing w:after="120"/>
              <w:rPr>
                <w:rFonts w:cstheme="minorHAnsi"/>
                <w:lang w:eastAsia="zh-CN"/>
              </w:rPr>
            </w:pPr>
            <w:r>
              <w:rPr>
                <w:rFonts w:hint="eastAsia"/>
                <w:lang w:eastAsia="zh-CN"/>
              </w:rPr>
              <w:t>世界电信发展大会</w:t>
            </w:r>
            <w:r w:rsidR="00223FC9"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）第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号和第</w:t>
            </w:r>
            <w:r>
              <w:rPr>
                <w:lang w:eastAsia="zh-CN"/>
              </w:rPr>
              <w:t>52</w:t>
            </w:r>
            <w:r>
              <w:rPr>
                <w:rFonts w:hint="eastAsia"/>
                <w:lang w:eastAsia="zh-CN"/>
              </w:rPr>
              <w:t>号决议</w:t>
            </w:r>
            <w:r w:rsidR="00223FC9"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2017</w:t>
            </w:r>
            <w:r>
              <w:rPr>
                <w:rFonts w:hint="eastAsia"/>
                <w:lang w:eastAsia="zh-CN"/>
              </w:rPr>
              <w:t>年，布宜诺斯艾利斯，修订版）以及全权代表大会第</w:t>
            </w:r>
            <w:r>
              <w:rPr>
                <w:lang w:eastAsia="zh-CN"/>
              </w:rPr>
              <w:t>157</w:t>
            </w:r>
            <w:r>
              <w:rPr>
                <w:rFonts w:hint="eastAsia"/>
                <w:lang w:eastAsia="zh-CN"/>
              </w:rPr>
              <w:t>号决议</w:t>
            </w:r>
            <w:r w:rsidR="00223FC9"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年，迪拜，修订版）。</w:t>
            </w:r>
          </w:p>
        </w:tc>
      </w:tr>
    </w:tbl>
    <w:p w14:paraId="753D45C2" w14:textId="77777777" w:rsidR="00382EF6" w:rsidRDefault="00382EF6">
      <w:pPr>
        <w:rPr>
          <w:lang w:eastAsia="zh-CN"/>
        </w:rPr>
      </w:pPr>
    </w:p>
    <w:p w14:paraId="37379A0E" w14:textId="77777777" w:rsidR="00382EF6" w:rsidRDefault="00382EF6">
      <w:pPr>
        <w:rPr>
          <w:lang w:eastAsia="zh-CN"/>
        </w:rPr>
      </w:pPr>
      <w:r>
        <w:rPr>
          <w:lang w:eastAsia="zh-CN"/>
        </w:rPr>
        <w:br w:type="page"/>
      </w:r>
    </w:p>
    <w:p w14:paraId="491A218E" w14:textId="03138700" w:rsidR="007F0D47" w:rsidRPr="00566E16" w:rsidRDefault="0034226C" w:rsidP="00D92218">
      <w:pPr>
        <w:pStyle w:val="Heading1"/>
        <w:rPr>
          <w:rFonts w:cstheme="minorHAnsi"/>
          <w:szCs w:val="28"/>
          <w:lang w:eastAsia="zh-CN"/>
        </w:rPr>
      </w:pPr>
      <w:r w:rsidRPr="00566E16">
        <w:rPr>
          <w:rFonts w:hint="eastAsia"/>
          <w:szCs w:val="28"/>
          <w:lang w:val="en-US" w:eastAsia="zh-CN"/>
        </w:rPr>
        <w:lastRenderedPageBreak/>
        <w:t>1</w:t>
      </w:r>
      <w:r w:rsidRPr="00566E16">
        <w:rPr>
          <w:szCs w:val="28"/>
          <w:lang w:val="en-US" w:eastAsia="zh-CN"/>
        </w:rPr>
        <w:tab/>
      </w:r>
      <w:r w:rsidRPr="00566E16">
        <w:rPr>
          <w:rFonts w:hint="eastAsia"/>
          <w:szCs w:val="28"/>
          <w:lang w:val="en-US" w:eastAsia="zh-CN"/>
        </w:rPr>
        <w:t>引言</w:t>
      </w:r>
    </w:p>
    <w:p w14:paraId="20DE08CD" w14:textId="45BE3F19" w:rsidR="00D576D4" w:rsidRPr="00277E7F" w:rsidRDefault="00BC3591" w:rsidP="00781BA3">
      <w:pPr>
        <w:ind w:firstLineChars="200" w:firstLine="480"/>
        <w:rPr>
          <w:rFonts w:cstheme="minorHAnsi"/>
          <w:lang w:eastAsia="zh-CN"/>
        </w:rPr>
      </w:pPr>
      <w:r>
        <w:rPr>
          <w:rFonts w:hint="eastAsia"/>
          <w:lang w:val="en-US" w:eastAsia="zh-CN"/>
        </w:rPr>
        <w:t>根据世界电信发展大会</w:t>
      </w:r>
      <w:r w:rsidR="00223FC9">
        <w:rPr>
          <w:rFonts w:hint="eastAsia"/>
          <w:lang w:val="en-US" w:eastAsia="zh-CN"/>
        </w:rPr>
        <w:t>（</w:t>
      </w:r>
      <w:r>
        <w:rPr>
          <w:lang w:val="en-US" w:eastAsia="zh-CN"/>
        </w:rPr>
        <w:t>WTDC</w:t>
      </w:r>
      <w:r>
        <w:rPr>
          <w:rFonts w:hint="eastAsia"/>
          <w:lang w:val="en-US" w:eastAsia="zh-CN"/>
        </w:rPr>
        <w:t>）的第</w:t>
      </w:r>
      <w:r>
        <w:rPr>
          <w:lang w:val="en-US" w:eastAsia="zh-CN"/>
        </w:rPr>
        <w:t>17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52</w:t>
      </w:r>
      <w:r>
        <w:rPr>
          <w:rFonts w:hint="eastAsia"/>
          <w:lang w:val="en-US" w:eastAsia="zh-CN"/>
        </w:rPr>
        <w:t>号决议</w:t>
      </w:r>
      <w:r w:rsidR="00223FC9">
        <w:rPr>
          <w:rFonts w:hint="eastAsia"/>
          <w:lang w:val="en-US" w:eastAsia="zh-CN"/>
        </w:rPr>
        <w:t>（</w:t>
      </w:r>
      <w:r>
        <w:rPr>
          <w:lang w:val="en-US" w:eastAsia="zh-CN"/>
        </w:rPr>
        <w:t>2017</w:t>
      </w:r>
      <w:r>
        <w:rPr>
          <w:rFonts w:hint="eastAsia"/>
          <w:lang w:val="en-US" w:eastAsia="zh-CN"/>
        </w:rPr>
        <w:t>年，布宜诺斯艾利斯，修订版）和全权代表</w:t>
      </w:r>
      <w:r w:rsidRPr="00781BA3">
        <w:rPr>
          <w:rFonts w:hint="eastAsia"/>
          <w:lang w:eastAsia="zh-CN"/>
        </w:rPr>
        <w:t>大会</w:t>
      </w: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157</w:t>
      </w:r>
      <w:r>
        <w:rPr>
          <w:rFonts w:hint="eastAsia"/>
          <w:lang w:val="en-US" w:eastAsia="zh-CN"/>
        </w:rPr>
        <w:t>号决议</w:t>
      </w:r>
      <w:r w:rsidR="00223FC9">
        <w:rPr>
          <w:rFonts w:hint="eastAsia"/>
          <w:lang w:val="en-US" w:eastAsia="zh-CN"/>
        </w:rPr>
        <w:t>（</w:t>
      </w:r>
      <w:r>
        <w:rPr>
          <w:lang w:val="en-US" w:eastAsia="zh-CN"/>
        </w:rPr>
        <w:t>2018</w:t>
      </w:r>
      <w:r>
        <w:rPr>
          <w:rFonts w:hint="eastAsia"/>
          <w:lang w:val="en-US" w:eastAsia="zh-CN"/>
        </w:rPr>
        <w:t>年，迪拜，修订版），国际电联电信发展局</w:t>
      </w:r>
      <w:r w:rsidR="00223FC9">
        <w:rPr>
          <w:rFonts w:hint="eastAsia"/>
          <w:lang w:val="en-US" w:eastAsia="zh-CN"/>
        </w:rPr>
        <w:t>（</w:t>
      </w:r>
      <w:r>
        <w:rPr>
          <w:lang w:val="en-US" w:eastAsia="zh-CN"/>
        </w:rPr>
        <w:t>BDT</w:t>
      </w:r>
      <w:r>
        <w:rPr>
          <w:rFonts w:hint="eastAsia"/>
          <w:lang w:val="en-US" w:eastAsia="zh-CN"/>
        </w:rPr>
        <w:t>）承担履行</w:t>
      </w:r>
      <w:r>
        <w:rPr>
          <w:rFonts w:hint="eastAsia"/>
          <w:lang w:eastAsia="zh-CN"/>
        </w:rPr>
        <w:t>国际电联联合国开发系统或其它资金安排的项目实施职责，以便通过提供、组织和协调技术合作与援助活动，促进和强化电信</w:t>
      </w:r>
      <w:r>
        <w:rPr>
          <w:lang w:eastAsia="zh-CN"/>
        </w:rPr>
        <w:t>/</w:t>
      </w:r>
      <w:r>
        <w:rPr>
          <w:rFonts w:hint="eastAsia"/>
          <w:lang w:eastAsia="zh-CN"/>
        </w:rPr>
        <w:t>信息通信技术</w:t>
      </w:r>
      <w:r w:rsidR="00223FC9">
        <w:rPr>
          <w:rFonts w:hint="eastAsia"/>
          <w:lang w:eastAsia="zh-CN"/>
        </w:rPr>
        <w:t>（</w:t>
      </w:r>
      <w:r>
        <w:rPr>
          <w:lang w:eastAsia="zh-CN"/>
        </w:rPr>
        <w:t>ICT</w:t>
      </w:r>
      <w:r>
        <w:rPr>
          <w:rFonts w:hint="eastAsia"/>
          <w:lang w:eastAsia="zh-CN"/>
        </w:rPr>
        <w:t>）的发展。</w:t>
      </w:r>
      <w:r w:rsidR="00E749E9" w:rsidRPr="00E749E9">
        <w:rPr>
          <w:rFonts w:cstheme="minorHAnsi" w:hint="eastAsia"/>
          <w:lang w:eastAsia="zh-CN"/>
        </w:rPr>
        <w:t>本报告概述了</w:t>
      </w:r>
      <w:r w:rsidR="00E749E9" w:rsidRPr="00E749E9">
        <w:rPr>
          <w:rFonts w:cstheme="minorHAnsi" w:hint="eastAsia"/>
          <w:lang w:eastAsia="zh-CN"/>
        </w:rPr>
        <w:t>2021</w:t>
      </w:r>
      <w:r w:rsidR="00E749E9" w:rsidRPr="00E749E9">
        <w:rPr>
          <w:rFonts w:cstheme="minorHAnsi" w:hint="eastAsia"/>
          <w:lang w:eastAsia="zh-CN"/>
        </w:rPr>
        <w:t>年</w:t>
      </w:r>
      <w:r w:rsidR="00E749E9" w:rsidRPr="00E749E9">
        <w:rPr>
          <w:rFonts w:cstheme="minorHAnsi" w:hint="eastAsia"/>
          <w:lang w:eastAsia="zh-CN"/>
        </w:rPr>
        <w:t>3</w:t>
      </w:r>
      <w:r w:rsidR="00E749E9" w:rsidRPr="00E749E9">
        <w:rPr>
          <w:rFonts w:cstheme="minorHAnsi" w:hint="eastAsia"/>
          <w:lang w:eastAsia="zh-CN"/>
        </w:rPr>
        <w:t>月至</w:t>
      </w:r>
      <w:r w:rsidR="00E749E9" w:rsidRPr="00E749E9">
        <w:rPr>
          <w:rFonts w:cstheme="minorHAnsi" w:hint="eastAsia"/>
          <w:lang w:eastAsia="zh-CN"/>
        </w:rPr>
        <w:t>9</w:t>
      </w:r>
      <w:r w:rsidR="00E749E9" w:rsidRPr="00E749E9">
        <w:rPr>
          <w:rFonts w:cstheme="minorHAnsi" w:hint="eastAsia"/>
          <w:lang w:eastAsia="zh-CN"/>
        </w:rPr>
        <w:t>月期间国际电联项目组合的状况。</w:t>
      </w:r>
      <w:r w:rsidR="007F0D47" w:rsidRPr="00277E7F">
        <w:rPr>
          <w:rStyle w:val="FootnoteReference"/>
          <w:rFonts w:cstheme="minorHAnsi"/>
          <w:lang w:val="en-US"/>
        </w:rPr>
        <w:footnoteReference w:id="2"/>
      </w:r>
    </w:p>
    <w:p w14:paraId="27B50885" w14:textId="77777777" w:rsidR="00956AE1" w:rsidRPr="00566E16" w:rsidRDefault="00956AE1" w:rsidP="00956AE1">
      <w:pPr>
        <w:pStyle w:val="Heading1"/>
        <w:rPr>
          <w:rFonts w:cstheme="minorHAnsi"/>
          <w:szCs w:val="28"/>
          <w:lang w:eastAsia="zh-CN"/>
        </w:rPr>
      </w:pPr>
      <w:r w:rsidRPr="00566E16">
        <w:rPr>
          <w:rFonts w:hint="eastAsia"/>
          <w:szCs w:val="28"/>
          <w:lang w:val="en-US" w:eastAsia="zh-CN"/>
        </w:rPr>
        <w:t>2</w:t>
      </w:r>
      <w:r w:rsidRPr="00566E16">
        <w:rPr>
          <w:szCs w:val="28"/>
          <w:lang w:val="en-US" w:eastAsia="zh-CN"/>
        </w:rPr>
        <w:tab/>
      </w:r>
      <w:r w:rsidRPr="00566E16">
        <w:rPr>
          <w:rFonts w:cstheme="minorHAnsi" w:hint="eastAsia"/>
          <w:szCs w:val="28"/>
          <w:lang w:eastAsia="zh-CN"/>
        </w:rPr>
        <w:t>国际电联项目组合：正在实施的项目</w:t>
      </w:r>
    </w:p>
    <w:p w14:paraId="673A0989" w14:textId="44AAE1D9" w:rsidR="007F0D47" w:rsidRPr="00D92218" w:rsidRDefault="0034226C" w:rsidP="00D92218">
      <w:pPr>
        <w:pStyle w:val="Heading2"/>
        <w:rPr>
          <w:szCs w:val="24"/>
          <w:lang w:eastAsia="zh-CN"/>
        </w:rPr>
      </w:pPr>
      <w:r w:rsidRPr="00D92218">
        <w:rPr>
          <w:rFonts w:hint="eastAsia"/>
          <w:szCs w:val="24"/>
          <w:lang w:eastAsia="zh-CN"/>
        </w:rPr>
        <w:t>2.1</w:t>
      </w:r>
      <w:r w:rsidR="00D92218" w:rsidRPr="00D92218">
        <w:rPr>
          <w:szCs w:val="24"/>
          <w:lang w:eastAsia="zh-CN"/>
        </w:rPr>
        <w:tab/>
      </w:r>
      <w:r w:rsidR="00BC3591" w:rsidRPr="00D92218">
        <w:rPr>
          <w:rFonts w:hint="eastAsia"/>
          <w:szCs w:val="24"/>
          <w:lang w:eastAsia="zh-CN"/>
        </w:rPr>
        <w:t>概况和区域分布</w:t>
      </w:r>
    </w:p>
    <w:p w14:paraId="388CABEE" w14:textId="50E70520" w:rsidR="007F0D47" w:rsidRPr="00277E7F" w:rsidRDefault="00E749E9" w:rsidP="00781BA3">
      <w:pPr>
        <w:ind w:firstLineChars="200" w:firstLine="480"/>
        <w:rPr>
          <w:rFonts w:cstheme="minorHAnsi"/>
          <w:lang w:eastAsia="zh-CN"/>
        </w:rPr>
      </w:pPr>
      <w:r w:rsidRPr="00E749E9">
        <w:rPr>
          <w:rFonts w:cstheme="minorHAnsi" w:hint="eastAsia"/>
          <w:lang w:eastAsia="zh-CN"/>
        </w:rPr>
        <w:t>截至</w:t>
      </w:r>
      <w:r w:rsidRPr="00781BA3">
        <w:rPr>
          <w:rFonts w:hint="eastAsia"/>
          <w:lang w:eastAsia="zh-CN"/>
        </w:rPr>
        <w:t>2021</w:t>
      </w:r>
      <w:r w:rsidRPr="00E749E9">
        <w:rPr>
          <w:rFonts w:cstheme="minorHAnsi" w:hint="eastAsia"/>
          <w:lang w:eastAsia="zh-CN"/>
        </w:rPr>
        <w:t>年</w:t>
      </w:r>
      <w:r w:rsidRPr="00E749E9">
        <w:rPr>
          <w:rFonts w:cstheme="minorHAnsi" w:hint="eastAsia"/>
          <w:lang w:eastAsia="zh-CN"/>
        </w:rPr>
        <w:t>9</w:t>
      </w:r>
      <w:r w:rsidRPr="00E749E9">
        <w:rPr>
          <w:rFonts w:cstheme="minorHAnsi" w:hint="eastAsia"/>
          <w:lang w:eastAsia="zh-CN"/>
        </w:rPr>
        <w:t>月</w:t>
      </w:r>
      <w:r w:rsidRPr="00E749E9">
        <w:rPr>
          <w:rFonts w:cstheme="minorHAnsi" w:hint="eastAsia"/>
          <w:lang w:eastAsia="zh-CN"/>
        </w:rPr>
        <w:t>15</w:t>
      </w:r>
      <w:r w:rsidRPr="00E749E9">
        <w:rPr>
          <w:rFonts w:cstheme="minorHAnsi" w:hint="eastAsia"/>
          <w:lang w:eastAsia="zh-CN"/>
        </w:rPr>
        <w:t>日，国际电联的项目组合包括</w:t>
      </w:r>
      <w:r w:rsidRPr="00E749E9">
        <w:rPr>
          <w:rFonts w:cstheme="minorHAnsi" w:hint="eastAsia"/>
          <w:lang w:eastAsia="zh-CN"/>
        </w:rPr>
        <w:t>77</w:t>
      </w:r>
      <w:r w:rsidRPr="00E749E9">
        <w:rPr>
          <w:rFonts w:cstheme="minorHAnsi" w:hint="eastAsia"/>
          <w:lang w:eastAsia="zh-CN"/>
        </w:rPr>
        <w:t>个正在进行的项目，价值</w:t>
      </w:r>
      <w:r w:rsidRPr="00E749E9">
        <w:rPr>
          <w:rFonts w:cstheme="minorHAnsi" w:hint="eastAsia"/>
          <w:lang w:eastAsia="zh-CN"/>
        </w:rPr>
        <w:t>9</w:t>
      </w:r>
      <w:r>
        <w:rPr>
          <w:rFonts w:cstheme="minorHAnsi" w:hint="eastAsia"/>
          <w:lang w:eastAsia="zh-CN"/>
        </w:rPr>
        <w:t>,</w:t>
      </w:r>
      <w:r w:rsidRPr="00E749E9">
        <w:rPr>
          <w:rFonts w:cstheme="minorHAnsi" w:hint="eastAsia"/>
          <w:lang w:eastAsia="zh-CN"/>
        </w:rPr>
        <w:t>390</w:t>
      </w:r>
      <w:r w:rsidRPr="00E749E9">
        <w:rPr>
          <w:rFonts w:cstheme="minorHAnsi" w:hint="eastAsia"/>
          <w:lang w:eastAsia="zh-CN"/>
        </w:rPr>
        <w:t>万瑞士法郎，尚有</w:t>
      </w:r>
      <w:r w:rsidRPr="00E749E9">
        <w:rPr>
          <w:rFonts w:cstheme="minorHAnsi" w:hint="eastAsia"/>
          <w:lang w:eastAsia="zh-CN"/>
        </w:rPr>
        <w:t>2</w:t>
      </w:r>
      <w:r>
        <w:rPr>
          <w:rFonts w:cstheme="minorHAnsi" w:hint="eastAsia"/>
          <w:lang w:eastAsia="zh-CN"/>
        </w:rPr>
        <w:t>,</w:t>
      </w:r>
      <w:r w:rsidRPr="00E749E9">
        <w:rPr>
          <w:rFonts w:cstheme="minorHAnsi" w:hint="eastAsia"/>
          <w:lang w:eastAsia="zh-CN"/>
        </w:rPr>
        <w:t>590</w:t>
      </w:r>
      <w:r w:rsidRPr="00E749E9">
        <w:rPr>
          <w:rFonts w:cstheme="minorHAnsi" w:hint="eastAsia"/>
          <w:lang w:eastAsia="zh-CN"/>
        </w:rPr>
        <w:t>万瑞士法郎的余额</w:t>
      </w:r>
      <w:r>
        <w:rPr>
          <w:rFonts w:cstheme="minorHAnsi" w:hint="eastAsia"/>
          <w:lang w:eastAsia="zh-CN"/>
        </w:rPr>
        <w:t>需要资金承诺</w:t>
      </w:r>
      <w:r w:rsidRPr="00E749E9">
        <w:rPr>
          <w:rFonts w:cstheme="minorHAnsi" w:hint="eastAsia"/>
          <w:lang w:eastAsia="zh-CN"/>
        </w:rPr>
        <w:t>。</w:t>
      </w:r>
      <w:r w:rsidR="00BC3591" w:rsidRPr="00BC3591">
        <w:rPr>
          <w:rFonts w:cstheme="minorHAnsi" w:hint="eastAsia"/>
          <w:lang w:eastAsia="zh-CN"/>
        </w:rPr>
        <w:t>图</w:t>
      </w:r>
      <w:r w:rsidR="00BC3591" w:rsidRPr="00BC3591">
        <w:rPr>
          <w:rFonts w:cstheme="minorHAnsi" w:hint="eastAsia"/>
          <w:lang w:eastAsia="zh-CN"/>
        </w:rPr>
        <w:t>1</w:t>
      </w:r>
      <w:r w:rsidR="00BC3591" w:rsidRPr="00BC3591">
        <w:rPr>
          <w:rFonts w:cstheme="minorHAnsi" w:hint="eastAsia"/>
          <w:lang w:eastAsia="zh-CN"/>
        </w:rPr>
        <w:t>显示了这些项目</w:t>
      </w:r>
      <w:r w:rsidR="00BC3591">
        <w:rPr>
          <w:rFonts w:cstheme="minorHAnsi" w:hint="eastAsia"/>
          <w:lang w:eastAsia="zh-CN"/>
        </w:rPr>
        <w:t>组合</w:t>
      </w:r>
      <w:r w:rsidR="00BC3591" w:rsidRPr="00BC3591">
        <w:rPr>
          <w:rFonts w:cstheme="minorHAnsi" w:hint="eastAsia"/>
          <w:lang w:eastAsia="zh-CN"/>
        </w:rPr>
        <w:t>按地区的总体分布，以及分配给这些项目的资金概况。</w:t>
      </w:r>
    </w:p>
    <w:p w14:paraId="2ACAC68F" w14:textId="64B17734" w:rsidR="00BC3591" w:rsidRPr="00BC3591" w:rsidRDefault="00BC3591" w:rsidP="00BC3591">
      <w:pPr>
        <w:spacing w:after="120"/>
        <w:jc w:val="center"/>
        <w:rPr>
          <w:rFonts w:cstheme="minorHAnsi"/>
          <w:b/>
          <w:bCs/>
          <w:szCs w:val="24"/>
          <w:lang w:eastAsia="zh-CN"/>
        </w:rPr>
      </w:pPr>
      <w:r w:rsidRPr="00BC3591">
        <w:rPr>
          <w:rFonts w:cstheme="minorHAnsi" w:hint="eastAsia"/>
          <w:b/>
          <w:bCs/>
          <w:szCs w:val="24"/>
          <w:lang w:eastAsia="zh-CN"/>
        </w:rPr>
        <w:t>图</w:t>
      </w:r>
      <w:r w:rsidRPr="00BC3591">
        <w:rPr>
          <w:rFonts w:cstheme="minorHAnsi" w:hint="eastAsia"/>
          <w:b/>
          <w:bCs/>
          <w:szCs w:val="24"/>
          <w:lang w:eastAsia="zh-CN"/>
        </w:rPr>
        <w:t xml:space="preserve">1 </w:t>
      </w:r>
      <w:r w:rsidR="008C514F" w:rsidRPr="00262182">
        <w:rPr>
          <w:b/>
          <w:bCs/>
          <w:lang w:eastAsia="zh-CN"/>
        </w:rPr>
        <w:t>–</w:t>
      </w:r>
      <w:r w:rsidR="008C514F">
        <w:rPr>
          <w:b/>
          <w:bCs/>
          <w:lang w:eastAsia="zh-CN"/>
        </w:rPr>
        <w:t xml:space="preserve"> </w:t>
      </w:r>
      <w:r w:rsidRPr="00BC3591">
        <w:rPr>
          <w:rFonts w:cstheme="minorHAnsi" w:hint="eastAsia"/>
          <w:b/>
          <w:bCs/>
          <w:szCs w:val="24"/>
          <w:lang w:eastAsia="zh-CN"/>
        </w:rPr>
        <w:t>按区域分列的正在进行的国际电联项目概况</w:t>
      </w:r>
    </w:p>
    <w:p w14:paraId="07AC972A" w14:textId="1C037CEE" w:rsidR="007F0D47" w:rsidRPr="00277E7F" w:rsidRDefault="00223FC9" w:rsidP="00BC3591">
      <w:pPr>
        <w:spacing w:after="120"/>
        <w:jc w:val="center"/>
        <w:rPr>
          <w:rFonts w:cstheme="minorHAnsi"/>
          <w:b/>
          <w:bCs/>
          <w:sz w:val="40"/>
          <w:szCs w:val="32"/>
          <w:lang w:eastAsia="zh-CN"/>
        </w:rPr>
      </w:pPr>
      <w:r>
        <w:rPr>
          <w:rFonts w:cstheme="minorHAnsi" w:hint="eastAsia"/>
          <w:b/>
          <w:bCs/>
          <w:szCs w:val="24"/>
          <w:lang w:eastAsia="zh-CN"/>
        </w:rPr>
        <w:t>（</w:t>
      </w:r>
      <w:r w:rsidR="00BC3591" w:rsidRPr="00BC3591">
        <w:rPr>
          <w:rFonts w:cstheme="minorHAnsi" w:hint="eastAsia"/>
          <w:b/>
          <w:bCs/>
          <w:szCs w:val="24"/>
          <w:lang w:eastAsia="zh-CN"/>
        </w:rPr>
        <w:t>单位：千瑞士法郎）</w:t>
      </w: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1008"/>
        <w:gridCol w:w="1050"/>
        <w:gridCol w:w="1053"/>
        <w:gridCol w:w="1149"/>
        <w:gridCol w:w="1157"/>
        <w:gridCol w:w="788"/>
      </w:tblGrid>
      <w:tr w:rsidR="00BC3591" w:rsidRPr="00277E7F" w14:paraId="248C5AA1" w14:textId="77777777" w:rsidTr="00B24CD6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032FE799" w14:textId="2D8F7D7C" w:rsidR="00BC3591" w:rsidRPr="00277E7F" w:rsidRDefault="00BC3591" w:rsidP="00BC3591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lang w:eastAsia="zh-CN"/>
              </w:rPr>
            </w:pPr>
            <w:bookmarkStart w:id="5" w:name="lt_pId040"/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区域</w:t>
            </w:r>
            <w:bookmarkEnd w:id="5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5FD49B0B" w14:textId="13C9A037" w:rsidR="00BC3591" w:rsidRPr="00277E7F" w:rsidRDefault="00BC3591" w:rsidP="00BC3591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lang w:eastAsia="zh-CN"/>
              </w:rPr>
            </w:pPr>
            <w:bookmarkStart w:id="6" w:name="lt_pId041"/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项目数量</w:t>
            </w:r>
            <w:bookmarkEnd w:id="6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527880F8" w14:textId="77777777" w:rsidR="00BC3591" w:rsidRDefault="00BC3591" w:rsidP="00BC3591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</w:pPr>
            <w:bookmarkStart w:id="7" w:name="lt_pId042"/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外部</w:t>
            </w:r>
          </w:p>
          <w:p w14:paraId="7A4CD341" w14:textId="73F87D7C" w:rsidR="00BC3591" w:rsidRPr="00277E7F" w:rsidRDefault="00BC3591" w:rsidP="00BC3591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lang w:eastAsia="zh-CN"/>
              </w:rPr>
            </w:pPr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现金</w:t>
            </w:r>
            <w:bookmarkEnd w:id="7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05168C9" w14:textId="54F0E5D9" w:rsidR="00BC3591" w:rsidRPr="00277E7F" w:rsidRDefault="00BC3591" w:rsidP="00BC3591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lang w:eastAsia="zh-CN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ICT-DF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E2DD0BD" w14:textId="1F4882F0" w:rsidR="00BC3591" w:rsidRPr="00277E7F" w:rsidRDefault="00BC3591" w:rsidP="00BC3591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lang w:eastAsia="zh-CN"/>
              </w:rPr>
            </w:pPr>
            <w:bookmarkStart w:id="8" w:name="lt_pId044"/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OP</w:t>
            </w:r>
            <w:bookmarkEnd w:id="8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3EADEE41" w14:textId="4E4DD905" w:rsidR="00BC3591" w:rsidRPr="00277E7F" w:rsidRDefault="00BC3591" w:rsidP="00BC3591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lang w:eastAsia="zh-CN"/>
              </w:rPr>
            </w:pPr>
            <w:bookmarkStart w:id="9" w:name="lt_pId045"/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现金</w:t>
            </w:r>
            <w:bookmarkEnd w:id="9"/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3199F660" w14:textId="2A5A151F" w:rsidR="00BC3591" w:rsidRPr="00277E7F" w:rsidRDefault="00BC3591" w:rsidP="00BC3591">
            <w:pPr>
              <w:spacing w:before="60" w:after="60"/>
              <w:ind w:left="-104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lang w:eastAsia="zh-CN"/>
              </w:rPr>
            </w:pPr>
            <w:bookmarkStart w:id="10" w:name="lt_pId046"/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截至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2021</w:t>
            </w:r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年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9</w:t>
            </w:r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月</w:t>
            </w:r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1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5</w:t>
            </w:r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日的资金余额</w:t>
            </w:r>
            <w:bookmarkEnd w:id="10"/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7A8D94A4" w14:textId="76089336" w:rsidR="00BC3591" w:rsidRPr="00277E7F" w:rsidRDefault="00BC3591" w:rsidP="00BC3591">
            <w:pPr>
              <w:spacing w:before="60" w:after="60"/>
              <w:ind w:left="-104" w:right="-14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lang w:eastAsia="zh-CN"/>
              </w:rPr>
            </w:pPr>
            <w:bookmarkStart w:id="11" w:name="lt_pId047"/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余额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br/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%</w:t>
            </w:r>
            <w:bookmarkEnd w:id="11"/>
          </w:p>
        </w:tc>
      </w:tr>
      <w:tr w:rsidR="00BC3591" w:rsidRPr="00277E7F" w14:paraId="69593131" w14:textId="77777777" w:rsidTr="00B24CD6">
        <w:trPr>
          <w:trHeight w:val="27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377DA07D" w14:textId="77777777" w:rsidR="00BC3591" w:rsidRPr="00277E7F" w:rsidRDefault="00BC3591" w:rsidP="00BC3591">
            <w:pP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2B89E" w14:textId="77777777" w:rsidR="00BC3591" w:rsidRPr="00277E7F" w:rsidRDefault="00BC3591" w:rsidP="00BC35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F1841A" w14:textId="77777777" w:rsidR="00BC3591" w:rsidRPr="00277E7F" w:rsidRDefault="00BC3591" w:rsidP="00BC35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b/>
                <w:bCs/>
                <w:color w:val="FFFFFF" w:themeColor="background1"/>
                <w:sz w:val="20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0A65B935" w14:textId="4F9C8F24" w:rsidR="00BC3591" w:rsidRPr="00277E7F" w:rsidRDefault="00BC3591" w:rsidP="00BC3591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lang w:eastAsia="zh-CN"/>
              </w:rPr>
            </w:pPr>
            <w:bookmarkStart w:id="12" w:name="lt_pId043"/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现金</w:t>
            </w:r>
            <w:bookmarkEnd w:id="12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B7EDEF9" w14:textId="70A31D99" w:rsidR="00BC3591" w:rsidRPr="00277E7F" w:rsidRDefault="00BC3591" w:rsidP="00BC3591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lang w:eastAsia="zh-CN"/>
              </w:rPr>
            </w:pPr>
            <w:bookmarkStart w:id="13" w:name="lt_pId049"/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现金</w:t>
            </w:r>
            <w:bookmarkEnd w:id="13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4D3CE38D" w14:textId="4A1203AA" w:rsidR="00BC3591" w:rsidRPr="00277E7F" w:rsidRDefault="00BC3591" w:rsidP="00BC3591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lang w:eastAsia="zh-CN"/>
              </w:rPr>
            </w:pPr>
            <w:r>
              <w:rPr>
                <w:rFonts w:cstheme="minorHAnsi" w:hint="eastAsia"/>
                <w:b/>
                <w:bCs/>
                <w:color w:val="FFFFFF" w:themeColor="background1"/>
                <w:sz w:val="18"/>
                <w:szCs w:val="18"/>
                <w:lang w:val="en-US" w:eastAsia="zh-CN"/>
              </w:rPr>
              <w:t>总额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F2840C" w14:textId="77777777" w:rsidR="00BC3591" w:rsidRPr="00277E7F" w:rsidRDefault="00BC3591" w:rsidP="00BC35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8271" w14:textId="77777777" w:rsidR="00BC3591" w:rsidRPr="00277E7F" w:rsidRDefault="00BC3591" w:rsidP="00BC35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</w:p>
        </w:tc>
      </w:tr>
      <w:tr w:rsidR="00C03C72" w:rsidRPr="00277E7F" w14:paraId="3010A19B" w14:textId="77777777" w:rsidTr="00B24CD6">
        <w:trPr>
          <w:trHeight w:val="5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C126A7" w14:textId="0EE9DC28" w:rsidR="00C03C72" w:rsidRPr="00277E7F" w:rsidRDefault="00C03C72" w:rsidP="00C03C72">
            <w:pPr>
              <w:spacing w:before="60" w:after="60"/>
              <w:rPr>
                <w:rFonts w:cstheme="minorHAnsi"/>
                <w:sz w:val="20"/>
                <w:lang w:eastAsia="zh-CN"/>
              </w:rPr>
            </w:pPr>
            <w:bookmarkStart w:id="14" w:name="lt_pId051"/>
            <w:r>
              <w:rPr>
                <w:rFonts w:cstheme="minorHAnsi" w:hint="eastAsia"/>
                <w:sz w:val="18"/>
                <w:szCs w:val="18"/>
                <w:lang w:val="en-US" w:eastAsia="zh-CN"/>
              </w:rPr>
              <w:t>非洲</w:t>
            </w:r>
            <w:bookmarkEnd w:id="14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F4A631" w14:textId="017DC16E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987140" w14:textId="4A89A644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9,896.8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3DA115" w14:textId="607D7D0F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956.8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596DA1" w14:textId="5AE8C239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434.3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60CFB2DF" w14:textId="157CE9BD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11,883.9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0DF8BE" w14:textId="673F9D8C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6,432.4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C61CD" w14:textId="245230DD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54%</w:t>
            </w:r>
          </w:p>
        </w:tc>
      </w:tr>
      <w:tr w:rsidR="00C03C72" w:rsidRPr="00277E7F" w14:paraId="3050771D" w14:textId="77777777" w:rsidTr="00B24CD6">
        <w:trPr>
          <w:trHeight w:val="5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1490A1" w14:textId="3872E2B8" w:rsidR="00C03C72" w:rsidRPr="00277E7F" w:rsidRDefault="00C03C72" w:rsidP="00C03C72">
            <w:pPr>
              <w:spacing w:before="60" w:after="60"/>
              <w:rPr>
                <w:rFonts w:cstheme="minorHAnsi"/>
                <w:sz w:val="20"/>
                <w:lang w:eastAsia="zh-CN"/>
              </w:rPr>
            </w:pPr>
            <w:bookmarkStart w:id="15" w:name="lt_pId059"/>
            <w:r>
              <w:rPr>
                <w:rFonts w:cstheme="minorHAnsi" w:hint="eastAsia"/>
                <w:sz w:val="18"/>
                <w:szCs w:val="18"/>
                <w:lang w:val="en-US" w:eastAsia="zh-CN"/>
              </w:rPr>
              <w:t>美洲</w:t>
            </w:r>
            <w:bookmarkEnd w:id="15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FD2862" w14:textId="01E34220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0324C6" w14:textId="0CAD9242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41,230.9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A68C6F" w14:textId="5466ADF9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114.8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664342" w14:textId="16626F93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612.2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142F1904" w14:textId="2F73501A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41,957.9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DF605A" w14:textId="29FB08B7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5,438.3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05BDA" w14:textId="4E3C146D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13%</w:t>
            </w:r>
          </w:p>
        </w:tc>
      </w:tr>
      <w:tr w:rsidR="00C03C72" w:rsidRPr="00277E7F" w14:paraId="71CC71EC" w14:textId="77777777" w:rsidTr="00B24CD6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F660DD" w14:textId="3792F447" w:rsidR="00C03C72" w:rsidRPr="00277E7F" w:rsidRDefault="00C03C72" w:rsidP="00C03C72">
            <w:pPr>
              <w:spacing w:before="60" w:after="60"/>
              <w:rPr>
                <w:rFonts w:cstheme="minorHAnsi"/>
                <w:sz w:val="20"/>
                <w:lang w:eastAsia="zh-CN"/>
              </w:rPr>
            </w:pPr>
            <w:bookmarkStart w:id="16" w:name="lt_pId067"/>
            <w:r>
              <w:rPr>
                <w:rFonts w:cstheme="minorHAnsi" w:hint="eastAsia"/>
                <w:sz w:val="18"/>
                <w:szCs w:val="18"/>
                <w:lang w:val="en-US" w:eastAsia="zh-CN"/>
              </w:rPr>
              <w:t>阿拉伯</w:t>
            </w:r>
            <w:bookmarkEnd w:id="16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EEC326" w14:textId="003AD408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C13982" w14:textId="482301B9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5,045.3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C80C9D" w14:textId="3944091E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690.0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98BB74" w14:textId="6B0C4A8A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189.0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5B5C1181" w14:textId="4AEB0212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5,924.3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185CD3" w14:textId="31E70217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1,663.0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E0397" w14:textId="00D4AAE4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28%</w:t>
            </w:r>
          </w:p>
        </w:tc>
      </w:tr>
      <w:tr w:rsidR="00C03C72" w:rsidRPr="00277E7F" w14:paraId="11BDD8DD" w14:textId="77777777" w:rsidTr="00B24CD6">
        <w:trPr>
          <w:trHeight w:val="5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3B622B" w14:textId="18881AA5" w:rsidR="00C03C72" w:rsidRPr="00277E7F" w:rsidRDefault="00C03C72" w:rsidP="00C03C72">
            <w:pPr>
              <w:spacing w:before="60" w:after="60"/>
              <w:rPr>
                <w:rFonts w:cstheme="minorHAnsi"/>
                <w:sz w:val="20"/>
                <w:lang w:eastAsia="zh-CN"/>
              </w:rPr>
            </w:pPr>
            <w:bookmarkStart w:id="17" w:name="lt_pId075"/>
            <w:r>
              <w:rPr>
                <w:rFonts w:cstheme="minorHAnsi" w:hint="eastAsia"/>
                <w:sz w:val="18"/>
                <w:szCs w:val="18"/>
                <w:lang w:val="en-US" w:eastAsia="zh-CN"/>
              </w:rPr>
              <w:t>亚太</w:t>
            </w:r>
            <w:bookmarkEnd w:id="17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31FA24" w14:textId="0F6DEA14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560DD8" w14:textId="1D1591AC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4,213.9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5DFE58" w14:textId="77777777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F35EDE" w14:textId="21C0FEA6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229.3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3B8B4FE1" w14:textId="0DF7CE0F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4,652.2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842D6C" w14:textId="109066F7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3,464.3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F7B66" w14:textId="6FFE9174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74%</w:t>
            </w:r>
          </w:p>
        </w:tc>
      </w:tr>
      <w:tr w:rsidR="00C03C72" w:rsidRPr="00277E7F" w14:paraId="00DE11B6" w14:textId="77777777" w:rsidTr="00B24CD6">
        <w:trPr>
          <w:trHeight w:val="5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3563D6" w14:textId="28E68992" w:rsidR="00C03C72" w:rsidRPr="00277E7F" w:rsidRDefault="00C03C72" w:rsidP="00C03C72">
            <w:pPr>
              <w:spacing w:before="60" w:after="60"/>
              <w:rPr>
                <w:rFonts w:cstheme="minorHAnsi"/>
                <w:sz w:val="20"/>
                <w:lang w:eastAsia="zh-CN"/>
              </w:rPr>
            </w:pPr>
            <w:bookmarkStart w:id="18" w:name="lt_pId082"/>
            <w:r>
              <w:rPr>
                <w:rFonts w:cstheme="minorHAnsi" w:hint="eastAsia"/>
                <w:sz w:val="18"/>
                <w:szCs w:val="18"/>
                <w:lang w:val="en-US" w:eastAsia="zh-CN"/>
              </w:rPr>
              <w:t>独联体</w:t>
            </w:r>
            <w:bookmarkEnd w:id="18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43E283" w14:textId="448A19C3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555FEE" w14:textId="2209E663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242.5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4E0AFA" w14:textId="77777777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07C04F" w14:textId="30F07A38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242.5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606965F9" w14:textId="15CFED86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485.0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79E20A" w14:textId="14D6CA1A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108.1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178A4" w14:textId="03F6133E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22%</w:t>
            </w:r>
          </w:p>
        </w:tc>
      </w:tr>
      <w:tr w:rsidR="00C03C72" w:rsidRPr="00277E7F" w14:paraId="14CD5786" w14:textId="77777777" w:rsidTr="00B24CD6">
        <w:trPr>
          <w:trHeight w:val="5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25A1655" w14:textId="256F0DD6" w:rsidR="00C03C72" w:rsidRPr="00277E7F" w:rsidRDefault="00C03C72" w:rsidP="00C03C72">
            <w:pPr>
              <w:spacing w:before="60" w:after="60"/>
              <w:rPr>
                <w:rFonts w:cstheme="minorHAnsi"/>
                <w:sz w:val="20"/>
                <w:lang w:eastAsia="zh-CN"/>
              </w:rPr>
            </w:pPr>
            <w:bookmarkStart w:id="19" w:name="lt_pId089"/>
            <w:r>
              <w:rPr>
                <w:rFonts w:cstheme="minorHAnsi" w:hint="eastAsia"/>
                <w:sz w:val="18"/>
                <w:szCs w:val="18"/>
                <w:lang w:val="en-US" w:eastAsia="zh-CN"/>
              </w:rPr>
              <w:t>欧洲</w:t>
            </w:r>
            <w:bookmarkEnd w:id="19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17A2F5" w14:textId="4C88E34D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D35B68" w14:textId="16D96315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3,460.4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668CC8" w14:textId="77777777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33B2FD" w14:textId="152D74BA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216.3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0C66880D" w14:textId="39F7D8C6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3,676.7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7E2307" w14:textId="0B8B4D0D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710.0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2A840" w14:textId="2839C25C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19%</w:t>
            </w:r>
          </w:p>
        </w:tc>
      </w:tr>
      <w:tr w:rsidR="00C03C72" w:rsidRPr="00277E7F" w14:paraId="283891AF" w14:textId="77777777" w:rsidTr="00B24CD6">
        <w:trPr>
          <w:trHeight w:val="5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A372F8" w14:textId="345B10C4" w:rsidR="00C03C72" w:rsidRPr="00277E7F" w:rsidRDefault="00C03C72" w:rsidP="00C03C72">
            <w:pPr>
              <w:spacing w:before="60" w:after="60"/>
              <w:rPr>
                <w:rFonts w:cstheme="minorHAnsi"/>
                <w:sz w:val="20"/>
                <w:lang w:eastAsia="zh-CN"/>
              </w:rPr>
            </w:pPr>
            <w:bookmarkStart w:id="20" w:name="lt_pId096"/>
            <w:r>
              <w:rPr>
                <w:rFonts w:cstheme="minorHAnsi" w:hint="eastAsia"/>
                <w:sz w:val="18"/>
                <w:szCs w:val="18"/>
                <w:lang w:val="en-US" w:eastAsia="zh-CN"/>
              </w:rPr>
              <w:t>多区域</w:t>
            </w:r>
            <w:bookmarkEnd w:id="20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7E4BEB" w14:textId="6E1DCF3D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333635" w14:textId="209380BF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16,188.6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B3862B" w14:textId="16194989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3,759.2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2EDD36" w14:textId="62A6CBAB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2,585.0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7EE9464B" w14:textId="3BD0A8B9" w:rsidR="00C03C72" w:rsidRPr="00277E7F" w:rsidRDefault="00C03C72" w:rsidP="00C03C72">
            <w:pPr>
              <w:spacing w:before="60" w:after="60"/>
              <w:jc w:val="right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25,312.6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3A97D1" w14:textId="75494FF5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8,131.3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F0E69" w14:textId="5B8CF2EC" w:rsidR="00C03C72" w:rsidRPr="00277E7F" w:rsidRDefault="00C03C72" w:rsidP="00C03C7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277E7F">
              <w:rPr>
                <w:rFonts w:cstheme="minorHAnsi"/>
                <w:sz w:val="20"/>
                <w:lang w:eastAsia="zh-CN"/>
              </w:rPr>
              <w:t>32%</w:t>
            </w:r>
          </w:p>
        </w:tc>
      </w:tr>
      <w:tr w:rsidR="00D914DB" w:rsidRPr="00277E7F" w14:paraId="4A5E93DA" w14:textId="77777777" w:rsidTr="000819AA">
        <w:trPr>
          <w:trHeight w:val="5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D39C19D" w14:textId="087AC35C" w:rsidR="00D914DB" w:rsidRPr="00277E7F" w:rsidRDefault="00C03C72" w:rsidP="006D4D26">
            <w:pPr>
              <w:spacing w:before="60" w:after="60"/>
              <w:rPr>
                <w:rFonts w:cstheme="minorHAnsi"/>
                <w:b/>
                <w:bCs/>
                <w:sz w:val="20"/>
                <w:lang w:eastAsia="zh-CN"/>
              </w:rPr>
            </w:pPr>
            <w:bookmarkStart w:id="21" w:name="lt_pId104"/>
            <w:r>
              <w:rPr>
                <w:rFonts w:cstheme="minorHAnsi" w:hint="eastAsia"/>
                <w:b/>
                <w:bCs/>
                <w:sz w:val="18"/>
                <w:szCs w:val="18"/>
                <w:lang w:eastAsia="zh-CN"/>
              </w:rPr>
              <w:t>合计</w:t>
            </w:r>
            <w:bookmarkEnd w:id="21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BC5721C" w14:textId="55F075C5" w:rsidR="00D914DB" w:rsidRPr="00277E7F" w:rsidRDefault="00D914DB" w:rsidP="006D4D26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  <w:r w:rsidRPr="00277E7F">
              <w:rPr>
                <w:rFonts w:cstheme="minorHAnsi"/>
                <w:b/>
                <w:bCs/>
                <w:sz w:val="20"/>
                <w:lang w:eastAsia="zh-CN"/>
              </w:rPr>
              <w:t>77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0B78059" w14:textId="0DC7F2F7" w:rsidR="00D914DB" w:rsidRPr="00277E7F" w:rsidRDefault="00D914DB" w:rsidP="006D4D26">
            <w:pPr>
              <w:spacing w:before="60" w:after="60"/>
              <w:jc w:val="right"/>
              <w:rPr>
                <w:rFonts w:cstheme="minorHAnsi"/>
                <w:b/>
                <w:bCs/>
                <w:sz w:val="20"/>
                <w:lang w:eastAsia="zh-CN"/>
              </w:rPr>
            </w:pPr>
            <w:r w:rsidRPr="00277E7F">
              <w:rPr>
                <w:rFonts w:cstheme="minorHAnsi"/>
                <w:b/>
                <w:bCs/>
                <w:sz w:val="20"/>
                <w:lang w:eastAsia="zh-CN"/>
              </w:rPr>
              <w:t>80,278.3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AC3D0EA" w14:textId="5E1CFB95" w:rsidR="00D914DB" w:rsidRPr="00277E7F" w:rsidRDefault="00D914DB" w:rsidP="006D4D26">
            <w:pPr>
              <w:spacing w:before="60" w:after="60"/>
              <w:jc w:val="right"/>
              <w:rPr>
                <w:rFonts w:cstheme="minorHAnsi"/>
                <w:b/>
                <w:bCs/>
                <w:sz w:val="20"/>
                <w:lang w:eastAsia="zh-CN"/>
              </w:rPr>
            </w:pPr>
            <w:r w:rsidRPr="00277E7F">
              <w:rPr>
                <w:rFonts w:cstheme="minorHAnsi"/>
                <w:b/>
                <w:bCs/>
                <w:sz w:val="20"/>
                <w:lang w:eastAsia="zh-CN"/>
              </w:rPr>
              <w:t>5,520.9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5328124" w14:textId="4354D29D" w:rsidR="00D914DB" w:rsidRPr="00277E7F" w:rsidRDefault="00D914DB" w:rsidP="006D4D26">
            <w:pPr>
              <w:spacing w:before="60" w:after="60"/>
              <w:jc w:val="right"/>
              <w:rPr>
                <w:rFonts w:cstheme="minorHAnsi"/>
                <w:b/>
                <w:bCs/>
                <w:sz w:val="20"/>
                <w:lang w:eastAsia="zh-CN"/>
              </w:rPr>
            </w:pPr>
            <w:r w:rsidRPr="00277E7F">
              <w:rPr>
                <w:rFonts w:cstheme="minorHAnsi"/>
                <w:b/>
                <w:bCs/>
                <w:sz w:val="20"/>
                <w:lang w:eastAsia="zh-CN"/>
              </w:rPr>
              <w:t>4,508.5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D911DA5" w14:textId="07598FC9" w:rsidR="00D914DB" w:rsidRPr="00277E7F" w:rsidRDefault="00D914DB" w:rsidP="006D4D26">
            <w:pPr>
              <w:spacing w:before="60" w:after="60"/>
              <w:jc w:val="right"/>
              <w:rPr>
                <w:rFonts w:cstheme="minorHAnsi"/>
                <w:b/>
                <w:bCs/>
                <w:sz w:val="20"/>
                <w:lang w:eastAsia="zh-CN"/>
              </w:rPr>
            </w:pPr>
            <w:r w:rsidRPr="00277E7F">
              <w:rPr>
                <w:rFonts w:cstheme="minorHAnsi"/>
                <w:b/>
                <w:bCs/>
                <w:sz w:val="20"/>
                <w:lang w:eastAsia="zh-CN"/>
              </w:rPr>
              <w:t>93,892.5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32AF512" w14:textId="039ACBBB" w:rsidR="00D914DB" w:rsidRPr="00277E7F" w:rsidRDefault="00D914DB" w:rsidP="006D4D26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  <w:r w:rsidRPr="00277E7F">
              <w:rPr>
                <w:rFonts w:cstheme="minorHAnsi"/>
                <w:b/>
                <w:bCs/>
                <w:sz w:val="20"/>
                <w:lang w:eastAsia="zh-CN"/>
              </w:rPr>
              <w:t>25,947.5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2087ADE" w14:textId="48081963" w:rsidR="00D914DB" w:rsidRPr="00277E7F" w:rsidRDefault="00D914DB" w:rsidP="006D4D26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</w:p>
        </w:tc>
      </w:tr>
    </w:tbl>
    <w:p w14:paraId="42602360" w14:textId="6AA716E0" w:rsidR="007F0D47" w:rsidRPr="00D92218" w:rsidRDefault="0034226C" w:rsidP="00D92218">
      <w:pPr>
        <w:pStyle w:val="Heading2"/>
        <w:rPr>
          <w:lang w:eastAsia="zh-CN"/>
        </w:rPr>
      </w:pPr>
      <w:r w:rsidRPr="00D92218">
        <w:rPr>
          <w:rFonts w:hint="eastAsia"/>
          <w:lang w:eastAsia="zh-CN"/>
        </w:rPr>
        <w:t>2.2.</w:t>
      </w:r>
      <w:r w:rsidR="00D92218">
        <w:rPr>
          <w:lang w:eastAsia="zh-CN"/>
        </w:rPr>
        <w:tab/>
      </w:r>
      <w:r w:rsidR="00E749E9" w:rsidRPr="00D92218">
        <w:rPr>
          <w:rFonts w:hint="eastAsia"/>
          <w:lang w:eastAsia="zh-CN"/>
        </w:rPr>
        <w:t>2021</w:t>
      </w:r>
      <w:r w:rsidR="00E749E9" w:rsidRPr="00D92218">
        <w:rPr>
          <w:rFonts w:hint="eastAsia"/>
          <w:lang w:eastAsia="zh-CN"/>
        </w:rPr>
        <w:t>年第二和第三季度签署的项目</w:t>
      </w:r>
    </w:p>
    <w:p w14:paraId="1B9DBF87" w14:textId="57ED5091" w:rsidR="00E749E9" w:rsidRPr="00E749E9" w:rsidRDefault="00E749E9" w:rsidP="00781BA3">
      <w:pPr>
        <w:ind w:firstLineChars="200" w:firstLine="480"/>
        <w:rPr>
          <w:rFonts w:cstheme="minorHAnsi"/>
          <w:lang w:eastAsia="zh-CN"/>
        </w:rPr>
      </w:pPr>
      <w:r w:rsidRPr="00E749E9">
        <w:rPr>
          <w:rFonts w:cstheme="minorHAnsi" w:hint="eastAsia"/>
          <w:lang w:eastAsia="zh-CN"/>
        </w:rPr>
        <w:t>2021</w:t>
      </w:r>
      <w:r w:rsidRPr="00E749E9">
        <w:rPr>
          <w:rFonts w:cstheme="minorHAnsi" w:hint="eastAsia"/>
          <w:lang w:eastAsia="zh-CN"/>
        </w:rPr>
        <w:t>年</w:t>
      </w:r>
      <w:r w:rsidRPr="00781BA3">
        <w:rPr>
          <w:rFonts w:hint="eastAsia"/>
          <w:lang w:eastAsia="zh-CN"/>
        </w:rPr>
        <w:t>第二</w:t>
      </w:r>
      <w:r w:rsidRPr="00E749E9">
        <w:rPr>
          <w:rFonts w:cstheme="minorHAnsi" w:hint="eastAsia"/>
          <w:lang w:eastAsia="zh-CN"/>
        </w:rPr>
        <w:t>和第三季度，</w:t>
      </w:r>
      <w:r>
        <w:rPr>
          <w:rFonts w:cstheme="minorHAnsi" w:hint="eastAsia"/>
          <w:lang w:eastAsia="zh-CN"/>
        </w:rPr>
        <w:t>电信发展局</w:t>
      </w:r>
      <w:r w:rsidRPr="00E749E9">
        <w:rPr>
          <w:rFonts w:cstheme="minorHAnsi" w:hint="eastAsia"/>
          <w:lang w:eastAsia="zh-CN"/>
        </w:rPr>
        <w:t>签署了</w:t>
      </w:r>
      <w:r w:rsidRPr="00E749E9">
        <w:rPr>
          <w:rFonts w:cstheme="minorHAnsi" w:hint="eastAsia"/>
          <w:lang w:eastAsia="zh-CN"/>
        </w:rPr>
        <w:t>8</w:t>
      </w:r>
      <w:r w:rsidRPr="00E749E9">
        <w:rPr>
          <w:rFonts w:cstheme="minorHAnsi" w:hint="eastAsia"/>
          <w:lang w:eastAsia="zh-CN"/>
        </w:rPr>
        <w:t>个新项目，价值约</w:t>
      </w:r>
      <w:r w:rsidRPr="00E749E9">
        <w:rPr>
          <w:rFonts w:cstheme="minorHAnsi" w:hint="eastAsia"/>
          <w:lang w:eastAsia="zh-CN"/>
        </w:rPr>
        <w:t>500</w:t>
      </w:r>
      <w:r w:rsidRPr="00E749E9">
        <w:rPr>
          <w:rFonts w:cstheme="minorHAnsi" w:hint="eastAsia"/>
          <w:lang w:eastAsia="zh-CN"/>
        </w:rPr>
        <w:t>万瑞士法郎。这些新项目</w:t>
      </w:r>
      <w:r>
        <w:rPr>
          <w:rFonts w:cstheme="minorHAnsi" w:hint="eastAsia"/>
          <w:lang w:eastAsia="zh-CN"/>
        </w:rPr>
        <w:t>分别属于跨</w:t>
      </w:r>
      <w:r w:rsidRPr="00E749E9">
        <w:rPr>
          <w:rFonts w:cstheme="minorHAnsi" w:hint="eastAsia"/>
          <w:lang w:eastAsia="zh-CN"/>
        </w:rPr>
        <w:t>区域、区域和国家</w:t>
      </w:r>
      <w:r>
        <w:rPr>
          <w:rFonts w:cstheme="minorHAnsi" w:hint="eastAsia"/>
          <w:lang w:eastAsia="zh-CN"/>
        </w:rPr>
        <w:t>项目</w:t>
      </w:r>
      <w:r w:rsidRPr="00E749E9">
        <w:rPr>
          <w:rFonts w:cstheme="minorHAnsi" w:hint="eastAsia"/>
          <w:lang w:eastAsia="zh-CN"/>
        </w:rPr>
        <w:t>，涉及传统的国际电联合作伙伴，如</w:t>
      </w:r>
      <w:r>
        <w:rPr>
          <w:rFonts w:cstheme="minorHAnsi" w:hint="eastAsia"/>
          <w:lang w:eastAsia="zh-CN"/>
        </w:rPr>
        <w:t>联合国</w:t>
      </w:r>
      <w:r w:rsidRPr="00E749E9">
        <w:rPr>
          <w:rFonts w:cstheme="minorHAnsi" w:hint="eastAsia"/>
          <w:lang w:eastAsia="zh-CN"/>
        </w:rPr>
        <w:t>儿童基金会</w:t>
      </w:r>
      <w:r w:rsidR="00223FC9">
        <w:rPr>
          <w:rFonts w:cstheme="minorHAnsi" w:hint="eastAsia"/>
          <w:lang w:eastAsia="zh-CN"/>
        </w:rPr>
        <w:t>（</w:t>
      </w:r>
      <w:r w:rsidRPr="00277E7F">
        <w:rPr>
          <w:rFonts w:cstheme="minorHAnsi"/>
          <w:lang w:eastAsia="zh-CN"/>
        </w:rPr>
        <w:t>UNICEF</w:t>
      </w:r>
      <w:r>
        <w:rPr>
          <w:rFonts w:cstheme="minorHAnsi" w:hint="eastAsia"/>
          <w:lang w:eastAsia="zh-CN"/>
        </w:rPr>
        <w:t>）</w:t>
      </w:r>
      <w:r w:rsidRPr="00E749E9">
        <w:rPr>
          <w:rFonts w:cstheme="minorHAnsi" w:hint="eastAsia"/>
          <w:lang w:eastAsia="zh-CN"/>
        </w:rPr>
        <w:t>或欧洲联盟委员会</w:t>
      </w:r>
      <w:r>
        <w:rPr>
          <w:rFonts w:cstheme="minorHAnsi" w:hint="eastAsia"/>
          <w:lang w:eastAsia="zh-CN"/>
        </w:rPr>
        <w:t>、</w:t>
      </w:r>
      <w:r w:rsidRPr="00E749E9">
        <w:rPr>
          <w:rFonts w:cstheme="minorHAnsi" w:hint="eastAsia"/>
          <w:lang w:eastAsia="zh-CN"/>
        </w:rPr>
        <w:t>澳大利亚、哥伦比亚、特立尼达和多巴哥和塞拉里昂</w:t>
      </w:r>
      <w:r>
        <w:rPr>
          <w:rFonts w:cstheme="minorHAnsi" w:hint="eastAsia"/>
          <w:lang w:eastAsia="zh-CN"/>
        </w:rPr>
        <w:t>等</w:t>
      </w:r>
      <w:r w:rsidRPr="00E749E9">
        <w:rPr>
          <w:rFonts w:cstheme="minorHAnsi" w:hint="eastAsia"/>
          <w:lang w:eastAsia="zh-CN"/>
        </w:rPr>
        <w:t>国际电联成员国，以及国际电联部门成员，如加勒比电信联盟</w:t>
      </w:r>
      <w:r w:rsidR="00223FC9">
        <w:rPr>
          <w:rFonts w:cstheme="minorHAnsi" w:hint="eastAsia"/>
          <w:lang w:eastAsia="zh-CN"/>
        </w:rPr>
        <w:t>（</w:t>
      </w:r>
      <w:r w:rsidRPr="00E749E9">
        <w:rPr>
          <w:rFonts w:cstheme="minorHAnsi" w:hint="eastAsia"/>
          <w:lang w:eastAsia="zh-CN"/>
        </w:rPr>
        <w:t>CTU</w:t>
      </w:r>
      <w:r>
        <w:rPr>
          <w:rFonts w:cstheme="minorHAnsi" w:hint="eastAsia"/>
          <w:lang w:eastAsia="zh-CN"/>
        </w:rPr>
        <w:t>）</w:t>
      </w:r>
      <w:r w:rsidRPr="00E749E9">
        <w:rPr>
          <w:rFonts w:cstheme="minorHAnsi" w:hint="eastAsia"/>
          <w:lang w:eastAsia="zh-CN"/>
        </w:rPr>
        <w:t>和微软</w:t>
      </w:r>
      <w:r>
        <w:rPr>
          <w:rFonts w:cstheme="minorHAnsi" w:hint="eastAsia"/>
          <w:lang w:eastAsia="zh-CN"/>
        </w:rPr>
        <w:t>公司</w:t>
      </w:r>
      <w:r w:rsidRPr="00E749E9">
        <w:rPr>
          <w:rFonts w:cstheme="minorHAnsi" w:hint="eastAsia"/>
          <w:lang w:eastAsia="zh-CN"/>
        </w:rPr>
        <w:t>。</w:t>
      </w:r>
    </w:p>
    <w:p w14:paraId="0DC965E7" w14:textId="646D7EDF" w:rsidR="00E749E9" w:rsidRPr="00E749E9" w:rsidRDefault="00E749E9" w:rsidP="00781BA3">
      <w:pPr>
        <w:ind w:firstLineChars="200" w:firstLine="480"/>
        <w:rPr>
          <w:rFonts w:cstheme="minorHAnsi"/>
          <w:lang w:eastAsia="zh-CN"/>
        </w:rPr>
      </w:pPr>
      <w:r w:rsidRPr="00E749E9">
        <w:rPr>
          <w:rFonts w:cstheme="minorHAnsi" w:hint="eastAsia"/>
          <w:lang w:eastAsia="zh-CN"/>
        </w:rPr>
        <w:t>此外，还有</w:t>
      </w:r>
      <w:r w:rsidRPr="00E749E9">
        <w:rPr>
          <w:rFonts w:cstheme="minorHAnsi" w:hint="eastAsia"/>
          <w:lang w:eastAsia="zh-CN"/>
        </w:rPr>
        <w:t>13</w:t>
      </w:r>
      <w:r w:rsidRPr="00E749E9">
        <w:rPr>
          <w:rFonts w:cstheme="minorHAnsi" w:hint="eastAsia"/>
          <w:lang w:eastAsia="zh-CN"/>
        </w:rPr>
        <w:t>个项目的谈判正在进行</w:t>
      </w:r>
      <w:r>
        <w:rPr>
          <w:rFonts w:cstheme="minorHAnsi" w:hint="eastAsia"/>
          <w:lang w:eastAsia="zh-CN"/>
        </w:rPr>
        <w:t>之</w:t>
      </w:r>
      <w:r w:rsidRPr="00E749E9">
        <w:rPr>
          <w:rFonts w:cstheme="minorHAnsi" w:hint="eastAsia"/>
          <w:lang w:eastAsia="zh-CN"/>
        </w:rPr>
        <w:t>中，预计将在</w:t>
      </w:r>
      <w:r w:rsidRPr="00E749E9">
        <w:rPr>
          <w:rFonts w:cstheme="minorHAnsi" w:hint="eastAsia"/>
          <w:lang w:eastAsia="zh-CN"/>
        </w:rPr>
        <w:t>2021</w:t>
      </w:r>
      <w:r w:rsidRPr="00E749E9">
        <w:rPr>
          <w:rFonts w:cstheme="minorHAnsi" w:hint="eastAsia"/>
          <w:lang w:eastAsia="zh-CN"/>
        </w:rPr>
        <w:t>年剩</w:t>
      </w:r>
      <w:r>
        <w:rPr>
          <w:rFonts w:cstheme="minorHAnsi" w:hint="eastAsia"/>
          <w:lang w:eastAsia="zh-CN"/>
        </w:rPr>
        <w:t>下的</w:t>
      </w:r>
      <w:r w:rsidRPr="00E749E9">
        <w:rPr>
          <w:rFonts w:cstheme="minorHAnsi" w:hint="eastAsia"/>
          <w:lang w:eastAsia="zh-CN"/>
        </w:rPr>
        <w:t>几个月</w:t>
      </w:r>
      <w:r>
        <w:rPr>
          <w:rFonts w:cstheme="minorHAnsi" w:hint="eastAsia"/>
          <w:lang w:eastAsia="zh-CN"/>
        </w:rPr>
        <w:t>内</w:t>
      </w:r>
      <w:r w:rsidRPr="00E749E9">
        <w:rPr>
          <w:rFonts w:cstheme="minorHAnsi" w:hint="eastAsia"/>
          <w:lang w:eastAsia="zh-CN"/>
        </w:rPr>
        <w:t>签署，价值</w:t>
      </w:r>
      <w:r>
        <w:rPr>
          <w:rFonts w:cstheme="minorHAnsi" w:hint="eastAsia"/>
          <w:lang w:eastAsia="zh-CN"/>
        </w:rPr>
        <w:t>为</w:t>
      </w:r>
      <w:r w:rsidRPr="00E749E9">
        <w:rPr>
          <w:rFonts w:cstheme="minorHAnsi" w:hint="eastAsia"/>
          <w:lang w:eastAsia="zh-CN"/>
        </w:rPr>
        <w:t>490</w:t>
      </w:r>
      <w:r w:rsidRPr="00E749E9">
        <w:rPr>
          <w:rFonts w:cstheme="minorHAnsi" w:hint="eastAsia"/>
          <w:lang w:eastAsia="zh-CN"/>
        </w:rPr>
        <w:t>万瑞士法郎。在此期间签署的项目包括</w:t>
      </w:r>
      <w:r w:rsidRPr="00E749E9">
        <w:rPr>
          <w:rFonts w:cstheme="minorHAnsi" w:hint="eastAsia"/>
          <w:lang w:eastAsia="zh-CN"/>
        </w:rPr>
        <w:t>:</w:t>
      </w:r>
    </w:p>
    <w:p w14:paraId="025709D1" w14:textId="4AC908C0" w:rsidR="00E749E9" w:rsidRPr="00E749E9" w:rsidRDefault="00E749E9" w:rsidP="00D92218">
      <w:pPr>
        <w:pStyle w:val="enumlev1"/>
        <w:numPr>
          <w:ilvl w:val="0"/>
          <w:numId w:val="4"/>
        </w:numPr>
        <w:ind w:left="794" w:hanging="794"/>
        <w:rPr>
          <w:rFonts w:asciiTheme="minorEastAsia" w:hAnsiTheme="minorEastAsia" w:cstheme="minorHAnsi"/>
          <w:lang w:eastAsia="zh-CN"/>
        </w:rPr>
      </w:pPr>
      <w:r w:rsidRPr="00E749E9">
        <w:rPr>
          <w:rFonts w:cstheme="minorHAnsi" w:hint="eastAsia"/>
          <w:lang w:eastAsia="zh-CN"/>
        </w:rPr>
        <w:t>与特立尼达和多巴哥</w:t>
      </w:r>
      <w:r w:rsidR="00223FC9">
        <w:rPr>
          <w:rFonts w:cstheme="minorHAnsi" w:hint="eastAsia"/>
          <w:lang w:eastAsia="zh-CN"/>
        </w:rPr>
        <w:t>（</w:t>
      </w:r>
      <w:r w:rsidRPr="00277E7F">
        <w:rPr>
          <w:rFonts w:cstheme="minorHAnsi"/>
          <w:lang w:eastAsia="zh-CN"/>
        </w:rPr>
        <w:t>TATT</w:t>
      </w:r>
      <w:r>
        <w:rPr>
          <w:rFonts w:cstheme="minorHAnsi" w:hint="eastAsia"/>
          <w:lang w:eastAsia="zh-CN"/>
        </w:rPr>
        <w:t>）</w:t>
      </w:r>
      <w:r w:rsidRPr="00E749E9">
        <w:rPr>
          <w:rFonts w:cstheme="minorHAnsi" w:hint="eastAsia"/>
          <w:lang w:eastAsia="zh-CN"/>
        </w:rPr>
        <w:t>电信局和加勒比电信联盟</w:t>
      </w:r>
      <w:r w:rsidR="00223FC9">
        <w:rPr>
          <w:rFonts w:cstheme="minorHAnsi" w:hint="eastAsia"/>
          <w:lang w:eastAsia="zh-CN"/>
        </w:rPr>
        <w:t>（</w:t>
      </w:r>
      <w:r w:rsidRPr="00277E7F">
        <w:rPr>
          <w:rFonts w:cstheme="minorHAnsi"/>
          <w:lang w:eastAsia="zh-CN"/>
        </w:rPr>
        <w:t>CTU</w:t>
      </w:r>
      <w:r>
        <w:rPr>
          <w:rFonts w:cstheme="minorHAnsi" w:hint="eastAsia"/>
          <w:lang w:eastAsia="zh-CN"/>
        </w:rPr>
        <w:t>）</w:t>
      </w:r>
      <w:r w:rsidRPr="00E749E9">
        <w:rPr>
          <w:rFonts w:cstheme="minorHAnsi" w:hint="eastAsia"/>
          <w:lang w:eastAsia="zh-CN"/>
        </w:rPr>
        <w:t>签署</w:t>
      </w:r>
      <w:r>
        <w:rPr>
          <w:rFonts w:cstheme="minorHAnsi" w:hint="eastAsia"/>
          <w:lang w:eastAsia="zh-CN"/>
        </w:rPr>
        <w:t>的</w:t>
      </w:r>
      <w:r w:rsidRPr="00E749E9">
        <w:rPr>
          <w:rFonts w:cstheme="minorHAnsi" w:hint="eastAsia"/>
          <w:lang w:eastAsia="zh-CN"/>
        </w:rPr>
        <w:t>项目</w:t>
      </w:r>
      <w:r w:rsidRPr="00E749E9">
        <w:rPr>
          <w:rFonts w:asciiTheme="minorEastAsia" w:hAnsiTheme="minorEastAsia" w:cstheme="minorHAnsi" w:hint="eastAsia"/>
          <w:lang w:eastAsia="zh-CN"/>
        </w:rPr>
        <w:t>-</w:t>
      </w:r>
      <w:r w:rsidRPr="00E749E9">
        <w:rPr>
          <w:rFonts w:asciiTheme="minorEastAsia" w:hAnsiTheme="minorEastAsia" w:cstheme="minorHAnsi"/>
          <w:lang w:eastAsia="zh-CN"/>
        </w:rPr>
        <w:t>-“</w:t>
      </w:r>
      <w:r w:rsidR="0066211D">
        <w:rPr>
          <w:rFonts w:asciiTheme="minorEastAsia" w:hAnsiTheme="minorEastAsia" w:cstheme="minorHAnsi" w:hint="eastAsia"/>
          <w:lang w:eastAsia="zh-CN"/>
        </w:rPr>
        <w:t>拓展抗</w:t>
      </w:r>
      <w:r w:rsidRPr="00E749E9">
        <w:rPr>
          <w:rFonts w:asciiTheme="minorEastAsia" w:hAnsiTheme="minorEastAsia" w:cstheme="minorHAnsi" w:hint="eastAsia"/>
          <w:lang w:eastAsia="zh-CN"/>
        </w:rPr>
        <w:t>灾</w:t>
      </w:r>
      <w:r w:rsidR="0066211D">
        <w:rPr>
          <w:rFonts w:asciiTheme="minorEastAsia" w:hAnsiTheme="minorEastAsia" w:cstheme="minorHAnsi" w:hint="eastAsia"/>
          <w:lang w:eastAsia="zh-CN"/>
        </w:rPr>
        <w:t>复原力的智慧</w:t>
      </w:r>
      <w:r w:rsidRPr="00E749E9">
        <w:rPr>
          <w:rFonts w:asciiTheme="minorEastAsia" w:hAnsiTheme="minorEastAsia" w:cstheme="minorHAnsi" w:hint="eastAsia"/>
          <w:lang w:eastAsia="zh-CN"/>
        </w:rPr>
        <w:t>海洋工具包</w:t>
      </w:r>
      <w:r w:rsidR="00223FC9">
        <w:rPr>
          <w:rFonts w:ascii="Calibri" w:eastAsia="SimSun" w:hAnsi="Calibri" w:cstheme="minorHAnsi" w:hint="eastAsia"/>
          <w:lang w:eastAsia="zh-CN"/>
        </w:rPr>
        <w:t>（</w:t>
      </w:r>
      <w:r w:rsidR="0066211D" w:rsidRPr="0066211D">
        <w:rPr>
          <w:rFonts w:ascii="Calibri" w:eastAsia="SimSun" w:hAnsi="Calibri" w:cstheme="minorHAnsi" w:hint="eastAsia"/>
          <w:lang w:eastAsia="zh-CN"/>
        </w:rPr>
        <w:t>S</w:t>
      </w:r>
      <w:r w:rsidR="0066211D" w:rsidRPr="0066211D">
        <w:rPr>
          <w:rFonts w:ascii="Calibri" w:eastAsia="SimSun" w:hAnsi="Calibri" w:cstheme="minorHAnsi"/>
          <w:lang w:eastAsia="zh-CN"/>
        </w:rPr>
        <w:t>ST</w:t>
      </w:r>
      <w:r w:rsidR="0066211D">
        <w:rPr>
          <w:rFonts w:asciiTheme="minorEastAsia" w:hAnsiTheme="minorEastAsia" w:cstheme="minorHAnsi" w:hint="eastAsia"/>
          <w:lang w:eastAsia="zh-CN"/>
        </w:rPr>
        <w:t>）</w:t>
      </w:r>
      <w:r>
        <w:rPr>
          <w:rFonts w:asciiTheme="minorEastAsia" w:hAnsiTheme="minorEastAsia" w:cstheme="minorHAnsi"/>
          <w:lang w:eastAsia="zh-CN"/>
        </w:rPr>
        <w:t>”</w:t>
      </w:r>
      <w:r>
        <w:rPr>
          <w:rFonts w:asciiTheme="minorEastAsia" w:hAnsiTheme="minorEastAsia" w:cstheme="minorHAnsi" w:hint="eastAsia"/>
          <w:lang w:eastAsia="zh-CN"/>
        </w:rPr>
        <w:t>；</w:t>
      </w:r>
    </w:p>
    <w:p w14:paraId="6020418F" w14:textId="180CB83F" w:rsidR="00E749E9" w:rsidRPr="00E749E9" w:rsidRDefault="00E749E9" w:rsidP="00D92218">
      <w:pPr>
        <w:pStyle w:val="enumlev1"/>
        <w:numPr>
          <w:ilvl w:val="0"/>
          <w:numId w:val="4"/>
        </w:numPr>
        <w:ind w:left="794" w:hanging="794"/>
        <w:rPr>
          <w:rFonts w:ascii="Calibri" w:eastAsia="SimSun" w:hAnsi="Calibri" w:cstheme="minorHAnsi"/>
          <w:lang w:eastAsia="zh-CN"/>
        </w:rPr>
      </w:pPr>
      <w:r w:rsidRPr="00E749E9">
        <w:rPr>
          <w:rFonts w:ascii="Calibri" w:eastAsia="SimSun" w:hAnsi="Calibri" w:cstheme="minorHAnsi" w:hint="eastAsia"/>
          <w:lang w:eastAsia="zh-CN"/>
        </w:rPr>
        <w:t>与澳大利亚外交和贸易部</w:t>
      </w:r>
      <w:r w:rsidR="00223FC9">
        <w:rPr>
          <w:rFonts w:ascii="Calibri" w:eastAsia="SimSun" w:hAnsi="Calibri" w:cstheme="minorHAnsi" w:hint="eastAsia"/>
          <w:lang w:eastAsia="zh-CN"/>
        </w:rPr>
        <w:t>（</w:t>
      </w:r>
      <w:r w:rsidR="0066211D" w:rsidRPr="00277E7F">
        <w:rPr>
          <w:rFonts w:cstheme="minorHAnsi"/>
          <w:lang w:eastAsia="zh-CN"/>
        </w:rPr>
        <w:t>DFAT</w:t>
      </w:r>
      <w:r w:rsidR="0066211D">
        <w:rPr>
          <w:rFonts w:ascii="Calibri" w:eastAsia="SimSun" w:hAnsi="Calibri" w:cstheme="minorHAnsi" w:hint="eastAsia"/>
          <w:lang w:eastAsia="zh-CN"/>
        </w:rPr>
        <w:t>）</w:t>
      </w:r>
      <w:r w:rsidRPr="00E749E9">
        <w:rPr>
          <w:rFonts w:ascii="Calibri" w:eastAsia="SimSun" w:hAnsi="Calibri" w:cstheme="minorHAnsi" w:hint="eastAsia"/>
          <w:lang w:eastAsia="zh-CN"/>
        </w:rPr>
        <w:t>签署的新</w:t>
      </w:r>
      <w:r w:rsidR="0066211D">
        <w:rPr>
          <w:rFonts w:ascii="Calibri" w:eastAsia="SimSun" w:hAnsi="Calibri" w:cstheme="minorHAnsi" w:hint="eastAsia"/>
          <w:lang w:eastAsia="zh-CN"/>
        </w:rPr>
        <w:t>举措</w:t>
      </w:r>
      <w:r w:rsidR="0066211D">
        <w:rPr>
          <w:rFonts w:ascii="Calibri" w:eastAsia="SimSun" w:hAnsi="Calibri" w:cstheme="minorHAnsi" w:hint="eastAsia"/>
          <w:lang w:eastAsia="zh-CN"/>
        </w:rPr>
        <w:t>-</w:t>
      </w:r>
      <w:r w:rsidR="0066211D">
        <w:rPr>
          <w:rFonts w:ascii="Calibri" w:eastAsia="SimSun" w:hAnsi="Calibri" w:cstheme="minorHAnsi"/>
          <w:lang w:eastAsia="zh-CN"/>
        </w:rPr>
        <w:t>-</w:t>
      </w:r>
      <w:r w:rsidR="0066211D" w:rsidRPr="00E749E9">
        <w:rPr>
          <w:rFonts w:asciiTheme="minorEastAsia" w:hAnsiTheme="minorEastAsia" w:cstheme="minorHAnsi"/>
          <w:lang w:eastAsia="zh-CN"/>
        </w:rPr>
        <w:t>“</w:t>
      </w:r>
      <w:r w:rsidR="0066211D" w:rsidRPr="00E749E9">
        <w:rPr>
          <w:rFonts w:ascii="Calibri" w:eastAsia="SimSun" w:hAnsi="Calibri" w:cstheme="minorHAnsi" w:hint="eastAsia"/>
          <w:lang w:eastAsia="zh-CN"/>
        </w:rPr>
        <w:t>加强</w:t>
      </w:r>
      <w:r w:rsidR="0066211D">
        <w:rPr>
          <w:rFonts w:ascii="Calibri" w:eastAsia="SimSun" w:hAnsi="Calibri" w:cstheme="minorHAnsi" w:hint="eastAsia"/>
          <w:lang w:eastAsia="zh-CN"/>
        </w:rPr>
        <w:t>制定</w:t>
      </w:r>
      <w:r w:rsidR="0066211D" w:rsidRPr="00E749E9">
        <w:rPr>
          <w:rFonts w:ascii="Calibri" w:eastAsia="SimSun" w:hAnsi="Calibri" w:cstheme="minorHAnsi" w:hint="eastAsia"/>
          <w:lang w:eastAsia="zh-CN"/>
        </w:rPr>
        <w:t>东南亚关键技术标准和框架”项目</w:t>
      </w:r>
      <w:r w:rsidRPr="00E749E9">
        <w:rPr>
          <w:rFonts w:ascii="Calibri" w:eastAsia="SimSun" w:hAnsi="Calibri" w:cstheme="minorHAnsi" w:hint="eastAsia"/>
          <w:lang w:eastAsia="zh-CN"/>
        </w:rPr>
        <w:t>；</w:t>
      </w:r>
    </w:p>
    <w:p w14:paraId="507FF25A" w14:textId="7C103C4C" w:rsidR="00E749E9" w:rsidRPr="00E749E9" w:rsidRDefault="0066211D" w:rsidP="00D92218">
      <w:pPr>
        <w:pStyle w:val="enumlev1"/>
        <w:numPr>
          <w:ilvl w:val="0"/>
          <w:numId w:val="4"/>
        </w:numPr>
        <w:ind w:left="794" w:hanging="794"/>
        <w:rPr>
          <w:rFonts w:cstheme="minorHAnsi"/>
          <w:lang w:eastAsia="zh-CN"/>
        </w:rPr>
      </w:pPr>
      <w:r w:rsidRPr="00D92218">
        <w:rPr>
          <w:rFonts w:cstheme="minorHAnsi" w:hint="eastAsia"/>
          <w:lang w:eastAsia="zh-CN"/>
        </w:rPr>
        <w:lastRenderedPageBreak/>
        <w:t>欧洲联盟和国际电联通过信息通信技术发展基金资助</w:t>
      </w:r>
      <w:r w:rsidRPr="00E749E9">
        <w:rPr>
          <w:rFonts w:cstheme="minorHAnsi" w:hint="eastAsia"/>
          <w:lang w:eastAsia="zh-CN"/>
        </w:rPr>
        <w:t>的</w:t>
      </w:r>
      <w:r>
        <w:rPr>
          <w:rFonts w:cstheme="minorHAnsi" w:hint="eastAsia"/>
          <w:lang w:eastAsia="zh-CN"/>
        </w:rPr>
        <w:t>新举措</w:t>
      </w:r>
      <w:r>
        <w:rPr>
          <w:rFonts w:cstheme="minorHAnsi" w:hint="eastAsia"/>
          <w:lang w:eastAsia="zh-CN"/>
        </w:rPr>
        <w:t>-</w:t>
      </w:r>
      <w:r>
        <w:rPr>
          <w:rFonts w:cstheme="minorHAnsi"/>
          <w:lang w:eastAsia="zh-CN"/>
        </w:rPr>
        <w:t>-</w:t>
      </w:r>
      <w:r w:rsidR="00781BA3" w:rsidRPr="00D92218">
        <w:rPr>
          <w:rFonts w:cstheme="minorHAnsi"/>
          <w:lang w:eastAsia="zh-CN"/>
        </w:rPr>
        <w:t>“</w:t>
      </w:r>
      <w:r w:rsidRPr="00D92218">
        <w:rPr>
          <w:rFonts w:cstheme="minorHAnsi" w:hint="eastAsia"/>
          <w:lang w:eastAsia="zh-CN"/>
        </w:rPr>
        <w:t>中非</w:t>
      </w:r>
      <w:r w:rsidRPr="00D92218">
        <w:rPr>
          <w:rFonts w:cstheme="minorHAnsi" w:hint="eastAsia"/>
          <w:lang w:eastAsia="zh-CN"/>
        </w:rPr>
        <w:t>I</w:t>
      </w:r>
      <w:r w:rsidRPr="00D92218">
        <w:rPr>
          <w:rFonts w:cstheme="minorHAnsi"/>
          <w:lang w:eastAsia="zh-CN"/>
        </w:rPr>
        <w:t>CT</w:t>
      </w:r>
      <w:r w:rsidRPr="00D92218">
        <w:rPr>
          <w:rFonts w:cstheme="minorHAnsi" w:hint="eastAsia"/>
          <w:lang w:eastAsia="zh-CN"/>
        </w:rPr>
        <w:t>基准</w:t>
      </w:r>
      <w:r w:rsidR="008B6662" w:rsidRPr="00D92218">
        <w:rPr>
          <w:rFonts w:cstheme="minorHAnsi"/>
          <w:lang w:eastAsia="zh-CN"/>
        </w:rPr>
        <w:t>”</w:t>
      </w:r>
      <w:r w:rsidR="00E749E9" w:rsidRPr="00D92218">
        <w:rPr>
          <w:rFonts w:cstheme="minorHAnsi" w:hint="eastAsia"/>
          <w:lang w:eastAsia="zh-CN"/>
        </w:rPr>
        <w:t>项目</w:t>
      </w:r>
      <w:r w:rsidR="00E749E9" w:rsidRPr="00E749E9">
        <w:rPr>
          <w:rFonts w:cstheme="minorHAnsi" w:hint="eastAsia"/>
          <w:lang w:eastAsia="zh-CN"/>
        </w:rPr>
        <w:t>；</w:t>
      </w:r>
    </w:p>
    <w:p w14:paraId="57814AA6" w14:textId="4A5501D1" w:rsidR="00E749E9" w:rsidRPr="00E749E9" w:rsidRDefault="00E749E9" w:rsidP="00D92218">
      <w:pPr>
        <w:pStyle w:val="enumlev1"/>
        <w:numPr>
          <w:ilvl w:val="0"/>
          <w:numId w:val="4"/>
        </w:numPr>
        <w:ind w:left="794" w:hanging="794"/>
        <w:rPr>
          <w:rFonts w:cstheme="minorHAnsi"/>
          <w:lang w:eastAsia="zh-CN"/>
        </w:rPr>
      </w:pPr>
      <w:r w:rsidRPr="00E749E9">
        <w:rPr>
          <w:rFonts w:cstheme="minorHAnsi" w:hint="eastAsia"/>
          <w:lang w:eastAsia="zh-CN"/>
        </w:rPr>
        <w:t>与塞拉利昂国家电信委员会</w:t>
      </w:r>
      <w:r w:rsidR="00223FC9">
        <w:rPr>
          <w:rFonts w:cstheme="minorHAnsi" w:hint="eastAsia"/>
          <w:lang w:eastAsia="zh-CN"/>
        </w:rPr>
        <w:t>（</w:t>
      </w:r>
      <w:r w:rsidR="0066211D" w:rsidRPr="00277E7F">
        <w:rPr>
          <w:rFonts w:cstheme="minorHAnsi"/>
          <w:lang w:eastAsia="zh-CN"/>
        </w:rPr>
        <w:t>NATCOM</w:t>
      </w:r>
      <w:r w:rsidR="0066211D">
        <w:rPr>
          <w:rFonts w:cstheme="minorHAnsi" w:hint="eastAsia"/>
          <w:lang w:eastAsia="zh-CN"/>
        </w:rPr>
        <w:t>）</w:t>
      </w:r>
      <w:r w:rsidRPr="00E749E9">
        <w:rPr>
          <w:rFonts w:cstheme="minorHAnsi" w:hint="eastAsia"/>
          <w:lang w:eastAsia="zh-CN"/>
        </w:rPr>
        <w:t>签署的</w:t>
      </w:r>
      <w:r w:rsidR="008B6662" w:rsidRPr="00D92218">
        <w:rPr>
          <w:rFonts w:cstheme="minorHAnsi"/>
          <w:lang w:eastAsia="zh-CN"/>
        </w:rPr>
        <w:t>“</w:t>
      </w:r>
      <w:r w:rsidRPr="00D92218">
        <w:rPr>
          <w:rFonts w:cstheme="minorHAnsi" w:hint="eastAsia"/>
          <w:lang w:eastAsia="zh-CN"/>
        </w:rPr>
        <w:t>塞拉利昂成本建模和定价框架</w:t>
      </w:r>
      <w:r w:rsidR="008B6662" w:rsidRPr="00D92218">
        <w:rPr>
          <w:rFonts w:cstheme="minorHAnsi"/>
          <w:lang w:eastAsia="zh-CN"/>
        </w:rPr>
        <w:t>”</w:t>
      </w:r>
      <w:r w:rsidRPr="00D92218">
        <w:rPr>
          <w:rFonts w:cstheme="minorHAnsi" w:hint="eastAsia"/>
          <w:lang w:eastAsia="zh-CN"/>
        </w:rPr>
        <w:t>项目</w:t>
      </w:r>
      <w:r w:rsidRPr="00E749E9">
        <w:rPr>
          <w:rFonts w:cstheme="minorHAnsi" w:hint="eastAsia"/>
          <w:lang w:eastAsia="zh-CN"/>
        </w:rPr>
        <w:t>；</w:t>
      </w:r>
    </w:p>
    <w:p w14:paraId="1619A7FC" w14:textId="67EA03AA" w:rsidR="00E749E9" w:rsidRPr="00E749E9" w:rsidRDefault="00E749E9" w:rsidP="00D92218">
      <w:pPr>
        <w:pStyle w:val="enumlev1"/>
        <w:numPr>
          <w:ilvl w:val="0"/>
          <w:numId w:val="4"/>
        </w:numPr>
        <w:ind w:left="794" w:hanging="794"/>
        <w:rPr>
          <w:rFonts w:cstheme="minorHAnsi"/>
          <w:lang w:eastAsia="zh-CN"/>
        </w:rPr>
      </w:pPr>
      <w:r w:rsidRPr="00E749E9">
        <w:rPr>
          <w:rFonts w:cstheme="minorHAnsi" w:hint="eastAsia"/>
          <w:lang w:eastAsia="zh-CN"/>
        </w:rPr>
        <w:t>与哥伦比亚信息技术和通信部签署</w:t>
      </w:r>
      <w:r w:rsidR="0066211D" w:rsidRPr="00D92218">
        <w:rPr>
          <w:rFonts w:cstheme="minorHAnsi" w:hint="eastAsia"/>
          <w:lang w:eastAsia="zh-CN"/>
        </w:rPr>
        <w:t>的</w:t>
      </w:r>
      <w:r w:rsidR="008B6662" w:rsidRPr="00D92218">
        <w:rPr>
          <w:rFonts w:cstheme="minorHAnsi"/>
          <w:lang w:eastAsia="zh-CN"/>
        </w:rPr>
        <w:t>“</w:t>
      </w:r>
      <w:r w:rsidR="0066211D" w:rsidRPr="00D92218">
        <w:rPr>
          <w:rFonts w:cstheme="minorHAnsi" w:hint="eastAsia"/>
          <w:lang w:eastAsia="zh-CN"/>
        </w:rPr>
        <w:t>开展经济和技术研究，使</w:t>
      </w:r>
      <w:r w:rsidR="00D943C8" w:rsidRPr="00D92218">
        <w:rPr>
          <w:rFonts w:cstheme="minorHAnsi" w:hint="eastAsia"/>
          <w:lang w:eastAsia="zh-CN"/>
        </w:rPr>
        <w:t>A</w:t>
      </w:r>
      <w:r w:rsidR="00D943C8" w:rsidRPr="00D92218">
        <w:rPr>
          <w:rFonts w:cstheme="minorHAnsi"/>
          <w:lang w:eastAsia="zh-CN"/>
        </w:rPr>
        <w:t>NE</w:t>
      </w:r>
      <w:r w:rsidR="0066211D" w:rsidRPr="00D92218">
        <w:rPr>
          <w:rFonts w:cstheme="minorHAnsi" w:hint="eastAsia"/>
          <w:lang w:eastAsia="zh-CN"/>
        </w:rPr>
        <w:t>能够就国家广播服务政策的定义和</w:t>
      </w:r>
      <w:r w:rsidR="00D943C8" w:rsidRPr="00D92218">
        <w:rPr>
          <w:rFonts w:cstheme="minorHAnsi" w:hint="eastAsia"/>
          <w:lang w:eastAsia="zh-CN"/>
        </w:rPr>
        <w:t>采纳</w:t>
      </w:r>
      <w:r w:rsidR="0066211D" w:rsidRPr="00D92218">
        <w:rPr>
          <w:rFonts w:cstheme="minorHAnsi" w:hint="eastAsia"/>
          <w:lang w:eastAsia="zh-CN"/>
        </w:rPr>
        <w:t>向</w:t>
      </w:r>
      <w:r w:rsidR="00D943C8" w:rsidRPr="00D92218">
        <w:rPr>
          <w:rFonts w:cstheme="minorHAnsi" w:hint="eastAsia"/>
          <w:lang w:eastAsia="zh-CN"/>
        </w:rPr>
        <w:t>信息通信技术部</w:t>
      </w:r>
      <w:r w:rsidR="00223FC9" w:rsidRPr="00D92218">
        <w:rPr>
          <w:rFonts w:cstheme="minorHAnsi" w:hint="eastAsia"/>
          <w:lang w:eastAsia="zh-CN"/>
        </w:rPr>
        <w:t>（</w:t>
      </w:r>
      <w:r w:rsidR="00D943C8" w:rsidRPr="00D92218">
        <w:rPr>
          <w:rFonts w:cstheme="minorHAnsi"/>
          <w:lang w:eastAsia="zh-CN"/>
        </w:rPr>
        <w:t>MinTIC</w:t>
      </w:r>
      <w:r w:rsidR="00D943C8" w:rsidRPr="00D92218">
        <w:rPr>
          <w:rFonts w:cstheme="minorHAnsi" w:hint="eastAsia"/>
          <w:lang w:eastAsia="zh-CN"/>
        </w:rPr>
        <w:t>）</w:t>
      </w:r>
      <w:r w:rsidR="0066211D" w:rsidRPr="00D92218">
        <w:rPr>
          <w:rFonts w:cstheme="minorHAnsi" w:hint="eastAsia"/>
          <w:lang w:eastAsia="zh-CN"/>
        </w:rPr>
        <w:t>提出建议</w:t>
      </w:r>
      <w:r w:rsidR="008B6662" w:rsidRPr="00D92218">
        <w:rPr>
          <w:rFonts w:cstheme="minorHAnsi"/>
          <w:lang w:eastAsia="zh-CN"/>
        </w:rPr>
        <w:t>”</w:t>
      </w:r>
      <w:r w:rsidRPr="00E749E9">
        <w:rPr>
          <w:rFonts w:cstheme="minorHAnsi" w:hint="eastAsia"/>
          <w:lang w:eastAsia="zh-CN"/>
        </w:rPr>
        <w:t>项目；</w:t>
      </w:r>
    </w:p>
    <w:p w14:paraId="714E34AD" w14:textId="5FF30476" w:rsidR="00E749E9" w:rsidRPr="00E749E9" w:rsidRDefault="00E749E9" w:rsidP="00D92218">
      <w:pPr>
        <w:pStyle w:val="enumlev1"/>
        <w:numPr>
          <w:ilvl w:val="0"/>
          <w:numId w:val="4"/>
        </w:numPr>
        <w:ind w:left="794" w:hanging="794"/>
        <w:rPr>
          <w:rFonts w:cstheme="minorHAnsi"/>
          <w:lang w:eastAsia="zh-CN"/>
        </w:rPr>
      </w:pPr>
      <w:r w:rsidRPr="00E749E9">
        <w:rPr>
          <w:rFonts w:cstheme="minorHAnsi" w:hint="eastAsia"/>
          <w:lang w:eastAsia="zh-CN"/>
        </w:rPr>
        <w:t>与</w:t>
      </w:r>
      <w:r w:rsidR="0066211D">
        <w:rPr>
          <w:rFonts w:cstheme="minorHAnsi" w:hint="eastAsia"/>
          <w:lang w:eastAsia="zh-CN"/>
        </w:rPr>
        <w:t>联合国</w:t>
      </w:r>
      <w:r w:rsidRPr="00E749E9">
        <w:rPr>
          <w:rFonts w:cstheme="minorHAnsi" w:hint="eastAsia"/>
          <w:lang w:eastAsia="zh-CN"/>
        </w:rPr>
        <w:t>儿童基金会签署</w:t>
      </w:r>
      <w:r w:rsidRPr="00D92218">
        <w:rPr>
          <w:rFonts w:cstheme="minorHAnsi" w:hint="eastAsia"/>
          <w:lang w:eastAsia="zh-CN"/>
        </w:rPr>
        <w:t>的</w:t>
      </w:r>
      <w:r w:rsidR="008B6662" w:rsidRPr="00D92218">
        <w:rPr>
          <w:rFonts w:cstheme="minorHAnsi"/>
          <w:lang w:eastAsia="zh-CN"/>
        </w:rPr>
        <w:t>“</w:t>
      </w:r>
      <w:r w:rsidRPr="00D92218">
        <w:rPr>
          <w:rFonts w:cstheme="minorHAnsi"/>
          <w:lang w:eastAsia="zh-CN"/>
        </w:rPr>
        <w:t>GIGA</w:t>
      </w:r>
      <w:r w:rsidRPr="00D92218">
        <w:rPr>
          <w:rFonts w:cstheme="minorHAnsi" w:hint="eastAsia"/>
          <w:lang w:eastAsia="zh-CN"/>
        </w:rPr>
        <w:t>项目</w:t>
      </w:r>
      <w:r w:rsidR="008B6662" w:rsidRPr="00D92218">
        <w:rPr>
          <w:rFonts w:cstheme="minorHAnsi"/>
          <w:lang w:eastAsia="zh-CN"/>
        </w:rPr>
        <w:t>”</w:t>
      </w:r>
      <w:r w:rsidRPr="00D92218">
        <w:rPr>
          <w:rFonts w:cstheme="minorHAnsi" w:hint="eastAsia"/>
          <w:lang w:eastAsia="zh-CN"/>
        </w:rPr>
        <w:t>第二阶</w:t>
      </w:r>
      <w:r w:rsidRPr="00E749E9">
        <w:rPr>
          <w:rFonts w:cstheme="minorHAnsi" w:hint="eastAsia"/>
          <w:lang w:eastAsia="zh-CN"/>
        </w:rPr>
        <w:t>段；</w:t>
      </w:r>
    </w:p>
    <w:p w14:paraId="6047D1A6" w14:textId="1D902C7C" w:rsidR="00E749E9" w:rsidRPr="00E749E9" w:rsidRDefault="00E749E9" w:rsidP="00D92218">
      <w:pPr>
        <w:pStyle w:val="enumlev1"/>
        <w:numPr>
          <w:ilvl w:val="0"/>
          <w:numId w:val="4"/>
        </w:numPr>
        <w:ind w:left="794" w:hanging="794"/>
        <w:rPr>
          <w:rFonts w:cstheme="minorHAnsi"/>
          <w:lang w:eastAsia="zh-CN"/>
        </w:rPr>
      </w:pPr>
      <w:r w:rsidRPr="00E749E9">
        <w:rPr>
          <w:rFonts w:cstheme="minorHAnsi" w:hint="eastAsia"/>
          <w:lang w:eastAsia="zh-CN"/>
        </w:rPr>
        <w:t>与微软签署的</w:t>
      </w:r>
      <w:r w:rsidRPr="00D92218">
        <w:rPr>
          <w:rFonts w:cstheme="minorHAnsi" w:hint="eastAsia"/>
          <w:lang w:eastAsia="zh-CN"/>
        </w:rPr>
        <w:t>“</w:t>
      </w:r>
      <w:r w:rsidRPr="00E749E9">
        <w:rPr>
          <w:rFonts w:cstheme="minorHAnsi" w:hint="eastAsia"/>
          <w:lang w:eastAsia="zh-CN"/>
        </w:rPr>
        <w:t>通过</w:t>
      </w:r>
      <w:r w:rsidR="0066211D">
        <w:rPr>
          <w:rFonts w:cstheme="minorHAnsi" w:hint="eastAsia"/>
          <w:lang w:eastAsia="zh-CN"/>
        </w:rPr>
        <w:t>互连互通</w:t>
      </w:r>
      <w:r w:rsidRPr="00E749E9">
        <w:rPr>
          <w:rFonts w:cstheme="minorHAnsi" w:hint="eastAsia"/>
          <w:lang w:eastAsia="zh-CN"/>
        </w:rPr>
        <w:t>加速非洲数字</w:t>
      </w:r>
      <w:r w:rsidR="0066211D">
        <w:rPr>
          <w:rFonts w:cstheme="minorHAnsi" w:hint="eastAsia"/>
          <w:lang w:eastAsia="zh-CN"/>
        </w:rPr>
        <w:t>化</w:t>
      </w:r>
      <w:r w:rsidRPr="00E749E9">
        <w:rPr>
          <w:rFonts w:cstheme="minorHAnsi" w:hint="eastAsia"/>
          <w:lang w:eastAsia="zh-CN"/>
        </w:rPr>
        <w:t>转型</w:t>
      </w:r>
      <w:r w:rsidRPr="00D92218">
        <w:rPr>
          <w:rFonts w:cstheme="minorHAnsi" w:hint="eastAsia"/>
          <w:lang w:eastAsia="zh-CN"/>
        </w:rPr>
        <w:t>”</w:t>
      </w:r>
      <w:r w:rsidRPr="00E749E9">
        <w:rPr>
          <w:rFonts w:cstheme="minorHAnsi" w:hint="eastAsia"/>
          <w:lang w:eastAsia="zh-CN"/>
        </w:rPr>
        <w:t>项目；</w:t>
      </w:r>
    </w:p>
    <w:p w14:paraId="3E42B06F" w14:textId="427768AF" w:rsidR="00E749E9" w:rsidRPr="00E749E9" w:rsidRDefault="00E749E9" w:rsidP="00D92218">
      <w:pPr>
        <w:pStyle w:val="enumlev1"/>
        <w:numPr>
          <w:ilvl w:val="0"/>
          <w:numId w:val="4"/>
        </w:numPr>
        <w:ind w:left="794" w:hanging="794"/>
        <w:rPr>
          <w:rFonts w:cstheme="minorHAnsi"/>
          <w:lang w:eastAsia="zh-CN"/>
        </w:rPr>
      </w:pPr>
      <w:r w:rsidRPr="00E749E9">
        <w:rPr>
          <w:rFonts w:cstheme="minorHAnsi" w:hint="eastAsia"/>
          <w:lang w:eastAsia="zh-CN"/>
        </w:rPr>
        <w:t>与</w:t>
      </w:r>
      <w:r w:rsidR="0066211D">
        <w:rPr>
          <w:rFonts w:cstheme="minorHAnsi" w:hint="eastAsia"/>
          <w:lang w:eastAsia="zh-CN"/>
        </w:rPr>
        <w:t>英</w:t>
      </w:r>
      <w:r w:rsidRPr="00E749E9">
        <w:rPr>
          <w:rFonts w:cstheme="minorHAnsi" w:hint="eastAsia"/>
          <w:lang w:eastAsia="zh-CN"/>
        </w:rPr>
        <w:t>国外交、联邦和发展办公室</w:t>
      </w:r>
      <w:r w:rsidR="00223FC9">
        <w:rPr>
          <w:rFonts w:cstheme="minorHAnsi" w:hint="eastAsia"/>
          <w:lang w:eastAsia="zh-CN"/>
        </w:rPr>
        <w:t>（</w:t>
      </w:r>
      <w:r w:rsidR="0066211D">
        <w:rPr>
          <w:rFonts w:cstheme="minorHAnsi"/>
          <w:lang w:eastAsia="zh-CN"/>
        </w:rPr>
        <w:t>FCDO</w:t>
      </w:r>
      <w:r w:rsidR="0066211D">
        <w:rPr>
          <w:rFonts w:cstheme="minorHAnsi" w:hint="eastAsia"/>
          <w:lang w:eastAsia="zh-CN"/>
        </w:rPr>
        <w:t>）</w:t>
      </w:r>
      <w:r w:rsidRPr="00E749E9">
        <w:rPr>
          <w:rFonts w:cstheme="minorHAnsi" w:hint="eastAsia"/>
          <w:lang w:eastAsia="zh-CN"/>
        </w:rPr>
        <w:t>签署了</w:t>
      </w:r>
      <w:r w:rsidR="008B6662" w:rsidRPr="00D92218">
        <w:rPr>
          <w:rFonts w:cstheme="minorHAnsi"/>
          <w:lang w:eastAsia="zh-CN"/>
        </w:rPr>
        <w:t>“</w:t>
      </w:r>
      <w:r w:rsidR="0066211D" w:rsidRPr="00D92218">
        <w:rPr>
          <w:rFonts w:cstheme="minorHAnsi" w:hint="eastAsia"/>
          <w:lang w:eastAsia="zh-CN"/>
        </w:rPr>
        <w:t>向</w:t>
      </w:r>
      <w:r w:rsidRPr="00D92218">
        <w:rPr>
          <w:rFonts w:cstheme="minorHAnsi" w:hint="eastAsia"/>
          <w:lang w:eastAsia="zh-CN"/>
        </w:rPr>
        <w:t>最不发达国家</w:t>
      </w:r>
      <w:r w:rsidR="0066211D" w:rsidRPr="00D92218">
        <w:rPr>
          <w:rFonts w:cstheme="minorHAnsi" w:hint="eastAsia"/>
          <w:lang w:eastAsia="zh-CN"/>
        </w:rPr>
        <w:t>推广</w:t>
      </w:r>
      <w:r w:rsidRPr="00D92218">
        <w:rPr>
          <w:rFonts w:cstheme="minorHAnsi" w:hint="eastAsia"/>
          <w:lang w:eastAsia="zh-CN"/>
        </w:rPr>
        <w:t>扶持性政策</w:t>
      </w:r>
      <w:r w:rsidR="0066211D" w:rsidRPr="00D92218">
        <w:rPr>
          <w:rFonts w:cstheme="minorHAnsi" w:hint="eastAsia"/>
          <w:lang w:eastAsia="zh-CN"/>
        </w:rPr>
        <w:t>与</w:t>
      </w:r>
      <w:r w:rsidRPr="00D92218">
        <w:rPr>
          <w:rFonts w:cstheme="minorHAnsi" w:hint="eastAsia"/>
          <w:lang w:eastAsia="zh-CN"/>
        </w:rPr>
        <w:t>监管</w:t>
      </w:r>
      <w:r w:rsidR="008B6662" w:rsidRPr="00D92218">
        <w:rPr>
          <w:rFonts w:cstheme="minorHAnsi"/>
          <w:lang w:eastAsia="zh-CN"/>
        </w:rPr>
        <w:t>”</w:t>
      </w:r>
      <w:r w:rsidRPr="00E749E9">
        <w:rPr>
          <w:rFonts w:cstheme="minorHAnsi" w:hint="eastAsia"/>
          <w:lang w:eastAsia="zh-CN"/>
        </w:rPr>
        <w:t>项目。</w:t>
      </w:r>
    </w:p>
    <w:p w14:paraId="257C1B2C" w14:textId="061C9836" w:rsidR="00E749E9" w:rsidRDefault="00D943C8" w:rsidP="00781BA3">
      <w:pPr>
        <w:ind w:firstLineChars="200" w:firstLine="480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上述</w:t>
      </w:r>
      <w:r w:rsidR="00E749E9" w:rsidRPr="00E749E9">
        <w:rPr>
          <w:rFonts w:cstheme="minorHAnsi" w:hint="eastAsia"/>
          <w:lang w:eastAsia="zh-CN"/>
        </w:rPr>
        <w:t>项目和国际电联的其他项目表明，通过</w:t>
      </w:r>
      <w:r>
        <w:rPr>
          <w:rFonts w:cstheme="minorHAnsi" w:hint="eastAsia"/>
          <w:lang w:eastAsia="zh-CN"/>
        </w:rPr>
        <w:t>建立</w:t>
      </w:r>
      <w:r w:rsidR="00E749E9" w:rsidRPr="00E749E9">
        <w:rPr>
          <w:rFonts w:cstheme="minorHAnsi" w:hint="eastAsia"/>
          <w:lang w:eastAsia="zh-CN"/>
        </w:rPr>
        <w:t>合作伙伴关系，国际电联可以产生更大的影响并支持</w:t>
      </w:r>
      <w:r>
        <w:rPr>
          <w:rFonts w:cstheme="minorHAnsi" w:hint="eastAsia"/>
          <w:lang w:eastAsia="zh-CN"/>
        </w:rPr>
        <w:t>其</w:t>
      </w:r>
      <w:r w:rsidR="00E749E9" w:rsidRPr="00E749E9">
        <w:rPr>
          <w:rFonts w:cstheme="minorHAnsi" w:hint="eastAsia"/>
          <w:lang w:eastAsia="zh-CN"/>
        </w:rPr>
        <w:t>成员推</w:t>
      </w:r>
      <w:r>
        <w:rPr>
          <w:rFonts w:cstheme="minorHAnsi" w:hint="eastAsia"/>
          <w:lang w:eastAsia="zh-CN"/>
        </w:rPr>
        <w:t>动</w:t>
      </w:r>
      <w:r w:rsidR="00E749E9" w:rsidRPr="00E749E9">
        <w:rPr>
          <w:rFonts w:cstheme="minorHAnsi" w:hint="eastAsia"/>
          <w:lang w:eastAsia="zh-CN"/>
        </w:rPr>
        <w:t>数字发展。相关协议清单见</w:t>
      </w:r>
      <w:hyperlink r:id="rId13" w:history="1">
        <w:r w:rsidRPr="00265172">
          <w:rPr>
            <w:rStyle w:val="Hyperlink"/>
            <w:rFonts w:cstheme="minorHAnsi"/>
            <w:lang w:eastAsia="zh-CN"/>
          </w:rPr>
          <w:t>INF/2</w:t>
        </w:r>
      </w:hyperlink>
      <w:r>
        <w:rPr>
          <w:rStyle w:val="Hyperlink"/>
          <w:rFonts w:cstheme="minorHAnsi" w:hint="eastAsia"/>
          <w:lang w:eastAsia="zh-CN"/>
        </w:rPr>
        <w:t>号文件</w:t>
      </w:r>
      <w:r w:rsidR="00E749E9" w:rsidRPr="00E749E9">
        <w:rPr>
          <w:rFonts w:cstheme="minorHAnsi" w:hint="eastAsia"/>
          <w:lang w:eastAsia="zh-CN"/>
        </w:rPr>
        <w:t>。</w:t>
      </w:r>
    </w:p>
    <w:p w14:paraId="35BA3759" w14:textId="29E079A8" w:rsidR="007F0D47" w:rsidRPr="00566E16" w:rsidRDefault="0034226C" w:rsidP="0034226C">
      <w:pPr>
        <w:pStyle w:val="Heading1"/>
        <w:spacing w:before="120" w:after="120"/>
        <w:ind w:left="0" w:firstLine="0"/>
        <w:textAlignment w:val="auto"/>
        <w:rPr>
          <w:rFonts w:cstheme="minorHAnsi"/>
          <w:szCs w:val="28"/>
          <w:lang w:eastAsia="zh-CN"/>
        </w:rPr>
      </w:pPr>
      <w:r w:rsidRPr="00566E16">
        <w:rPr>
          <w:rFonts w:cstheme="minorHAnsi" w:hint="eastAsia"/>
          <w:szCs w:val="28"/>
          <w:lang w:eastAsia="zh-CN"/>
        </w:rPr>
        <w:t>3</w:t>
      </w:r>
      <w:r w:rsidR="00D92218" w:rsidRPr="00566E16">
        <w:rPr>
          <w:rFonts w:cstheme="minorHAnsi"/>
          <w:szCs w:val="28"/>
          <w:lang w:eastAsia="zh-CN"/>
        </w:rPr>
        <w:tab/>
      </w:r>
      <w:r w:rsidR="00262182" w:rsidRPr="00566E16">
        <w:rPr>
          <w:rFonts w:cstheme="minorHAnsi" w:hint="eastAsia"/>
          <w:szCs w:val="28"/>
          <w:lang w:eastAsia="zh-CN"/>
        </w:rPr>
        <w:t>国际电联正在开展项目的资金来源</w:t>
      </w:r>
    </w:p>
    <w:p w14:paraId="43EA15E4" w14:textId="48E8F769" w:rsidR="007F0D47" w:rsidRPr="00382EF6" w:rsidRDefault="00262182" w:rsidP="00781BA3">
      <w:pPr>
        <w:ind w:firstLineChars="200" w:firstLine="480"/>
        <w:rPr>
          <w:rFonts w:cstheme="minorHAnsi"/>
          <w:szCs w:val="24"/>
          <w:lang w:eastAsia="zh-CN"/>
        </w:rPr>
      </w:pPr>
      <w:r w:rsidRPr="00262182">
        <w:rPr>
          <w:rFonts w:cstheme="minorHAnsi" w:hint="eastAsia"/>
          <w:lang w:eastAsia="zh-CN"/>
        </w:rPr>
        <w:t>国际电联的项目资金主要来源于预算外资源。</w:t>
      </w:r>
      <w:r>
        <w:rPr>
          <w:rFonts w:cstheme="minorHAnsi" w:hint="eastAsia"/>
          <w:lang w:eastAsia="zh-CN"/>
        </w:rPr>
        <w:t>电信发展局</w:t>
      </w:r>
      <w:r w:rsidRPr="00262182">
        <w:rPr>
          <w:rFonts w:cstheme="minorHAnsi" w:hint="eastAsia"/>
          <w:lang w:eastAsia="zh-CN"/>
        </w:rPr>
        <w:t>项目</w:t>
      </w:r>
      <w:r>
        <w:rPr>
          <w:rFonts w:cstheme="minorHAnsi" w:hint="eastAsia"/>
          <w:lang w:eastAsia="zh-CN"/>
        </w:rPr>
        <w:t>主要</w:t>
      </w:r>
      <w:r w:rsidRPr="00262182">
        <w:rPr>
          <w:rFonts w:cstheme="minorHAnsi" w:hint="eastAsia"/>
          <w:lang w:eastAsia="zh-CN"/>
        </w:rPr>
        <w:t>有四种类型的资金来源：信托基金</w:t>
      </w:r>
      <w:r w:rsidR="00223FC9">
        <w:rPr>
          <w:rFonts w:cstheme="minorHAnsi" w:hint="eastAsia"/>
          <w:lang w:eastAsia="zh-CN"/>
        </w:rPr>
        <w:t>（</w:t>
      </w:r>
      <w:r w:rsidRPr="00262182">
        <w:rPr>
          <w:rFonts w:cstheme="minorHAnsi" w:hint="eastAsia"/>
          <w:lang w:eastAsia="zh-CN"/>
        </w:rPr>
        <w:t>FIT</w:t>
      </w:r>
      <w:r w:rsidRPr="00262182">
        <w:rPr>
          <w:rFonts w:cstheme="minorHAnsi" w:hint="eastAsia"/>
          <w:lang w:eastAsia="zh-CN"/>
        </w:rPr>
        <w:t>）</w:t>
      </w:r>
      <w:r>
        <w:rPr>
          <w:rFonts w:cstheme="minorHAnsi" w:hint="eastAsia"/>
          <w:lang w:eastAsia="zh-CN"/>
        </w:rPr>
        <w:t>、</w:t>
      </w:r>
      <w:r w:rsidRPr="00262182">
        <w:rPr>
          <w:rFonts w:cstheme="minorHAnsi" w:hint="eastAsia"/>
          <w:lang w:eastAsia="zh-CN"/>
        </w:rPr>
        <w:t>ICT</w:t>
      </w:r>
      <w:r w:rsidRPr="00262182">
        <w:rPr>
          <w:rFonts w:cstheme="minorHAnsi" w:hint="eastAsia"/>
          <w:lang w:eastAsia="zh-CN"/>
        </w:rPr>
        <w:t>发展基金</w:t>
      </w:r>
      <w:r w:rsidR="00223FC9">
        <w:rPr>
          <w:rFonts w:cstheme="minorHAnsi" w:hint="eastAsia"/>
          <w:lang w:eastAsia="zh-CN"/>
        </w:rPr>
        <w:t>（</w:t>
      </w:r>
      <w:r w:rsidRPr="00262182">
        <w:rPr>
          <w:rFonts w:cstheme="minorHAnsi" w:hint="eastAsia"/>
          <w:lang w:eastAsia="zh-CN"/>
        </w:rPr>
        <w:t>ICT-DF</w:t>
      </w:r>
      <w:r w:rsidRPr="00262182">
        <w:rPr>
          <w:rFonts w:cstheme="minorHAnsi" w:hint="eastAsia"/>
          <w:lang w:eastAsia="zh-CN"/>
        </w:rPr>
        <w:t>）</w:t>
      </w:r>
      <w:r w:rsidRPr="00277E7F">
        <w:rPr>
          <w:rStyle w:val="FootnoteReference"/>
          <w:rFonts w:cstheme="minorHAnsi"/>
        </w:rPr>
        <w:footnoteReference w:id="3"/>
      </w:r>
      <w:r>
        <w:rPr>
          <w:rFonts w:cstheme="minorHAnsi" w:hint="eastAsia"/>
          <w:lang w:eastAsia="zh-CN"/>
        </w:rPr>
        <w:t>、</w:t>
      </w:r>
      <w:r w:rsidRPr="00262182">
        <w:rPr>
          <w:rFonts w:cstheme="minorHAnsi" w:hint="eastAsia"/>
          <w:lang w:eastAsia="zh-CN"/>
        </w:rPr>
        <w:t>自愿捐款和国际电联的常规预算</w:t>
      </w:r>
      <w:r w:rsidR="00223FC9">
        <w:rPr>
          <w:rFonts w:cstheme="minorHAnsi" w:hint="eastAsia"/>
          <w:lang w:eastAsia="zh-CN"/>
        </w:rPr>
        <w:t>（</w:t>
      </w:r>
      <w:r w:rsidRPr="00262182">
        <w:rPr>
          <w:rFonts w:cstheme="minorHAnsi" w:hint="eastAsia"/>
          <w:lang w:eastAsia="zh-CN"/>
        </w:rPr>
        <w:t>OP</w:t>
      </w:r>
      <w:r w:rsidRPr="00262182">
        <w:rPr>
          <w:rFonts w:cstheme="minorHAnsi" w:hint="eastAsia"/>
          <w:lang w:eastAsia="zh-CN"/>
        </w:rPr>
        <w:t>）</w:t>
      </w:r>
      <w:r w:rsidRPr="00277E7F">
        <w:rPr>
          <w:rStyle w:val="FootnoteReference"/>
          <w:rFonts w:cstheme="minorHAnsi"/>
        </w:rPr>
        <w:footnoteReference w:id="4"/>
      </w:r>
      <w:r w:rsidRPr="00262182">
        <w:rPr>
          <w:rFonts w:cstheme="minorHAnsi" w:hint="eastAsia"/>
          <w:lang w:eastAsia="zh-CN"/>
        </w:rPr>
        <w:t xml:space="preserve"> </w:t>
      </w:r>
      <w:r w:rsidRPr="00262182">
        <w:rPr>
          <w:rFonts w:cstheme="minorHAnsi" w:hint="eastAsia"/>
          <w:lang w:eastAsia="zh-CN"/>
        </w:rPr>
        <w:t>。根据截至</w:t>
      </w:r>
      <w:r w:rsidRPr="00262182">
        <w:rPr>
          <w:rFonts w:cstheme="minorHAnsi" w:hint="eastAsia"/>
          <w:lang w:eastAsia="zh-CN"/>
        </w:rPr>
        <w:t>2021</w:t>
      </w:r>
      <w:r w:rsidRPr="00262182">
        <w:rPr>
          <w:rFonts w:cstheme="minorHAnsi" w:hint="eastAsia"/>
          <w:lang w:eastAsia="zh-CN"/>
        </w:rPr>
        <w:t>年</w:t>
      </w:r>
      <w:r>
        <w:rPr>
          <w:rFonts w:cstheme="minorHAnsi"/>
          <w:lang w:eastAsia="zh-CN"/>
        </w:rPr>
        <w:t>9</w:t>
      </w:r>
      <w:r w:rsidRPr="00262182">
        <w:rPr>
          <w:rFonts w:cstheme="minorHAnsi" w:hint="eastAsia"/>
          <w:lang w:eastAsia="zh-CN"/>
        </w:rPr>
        <w:t>月</w:t>
      </w:r>
      <w:r>
        <w:rPr>
          <w:rFonts w:cstheme="minorHAnsi" w:hint="eastAsia"/>
          <w:lang w:eastAsia="zh-CN"/>
        </w:rPr>
        <w:t>1</w:t>
      </w:r>
      <w:r>
        <w:rPr>
          <w:rFonts w:cstheme="minorHAnsi"/>
          <w:lang w:eastAsia="zh-CN"/>
        </w:rPr>
        <w:t>5</w:t>
      </w:r>
      <w:r w:rsidRPr="00262182">
        <w:rPr>
          <w:rFonts w:cstheme="minorHAnsi" w:hint="eastAsia"/>
          <w:lang w:eastAsia="zh-CN"/>
        </w:rPr>
        <w:t>日的项目实施持续预算，</w:t>
      </w:r>
      <w:r>
        <w:rPr>
          <w:rFonts w:cstheme="minorHAnsi" w:hint="eastAsia"/>
          <w:lang w:eastAsia="zh-CN"/>
        </w:rPr>
        <w:t>在</w:t>
      </w:r>
      <w:r w:rsidRPr="00262182">
        <w:rPr>
          <w:rFonts w:cstheme="minorHAnsi" w:hint="eastAsia"/>
          <w:lang w:eastAsia="zh-CN"/>
        </w:rPr>
        <w:t>国际电联正在开展项目的资金来源</w:t>
      </w:r>
      <w:r>
        <w:rPr>
          <w:rFonts w:cstheme="minorHAnsi" w:hint="eastAsia"/>
          <w:lang w:eastAsia="zh-CN"/>
        </w:rPr>
        <w:t>中</w:t>
      </w:r>
      <w:r w:rsidRPr="00262182">
        <w:rPr>
          <w:rFonts w:cstheme="minorHAnsi" w:hint="eastAsia"/>
          <w:lang w:eastAsia="zh-CN"/>
        </w:rPr>
        <w:t>，信托基金约占</w:t>
      </w:r>
      <w:r w:rsidRPr="00262182">
        <w:rPr>
          <w:rFonts w:cstheme="minorHAnsi" w:hint="eastAsia"/>
          <w:lang w:eastAsia="zh-CN"/>
        </w:rPr>
        <w:t>90%</w:t>
      </w:r>
      <w:r w:rsidRPr="00262182">
        <w:rPr>
          <w:rFonts w:cstheme="minorHAnsi" w:hint="eastAsia"/>
          <w:lang w:eastAsia="zh-CN"/>
        </w:rPr>
        <w:t>，</w:t>
      </w:r>
      <w:r w:rsidRPr="00262182">
        <w:rPr>
          <w:rFonts w:cstheme="minorHAnsi" w:hint="eastAsia"/>
          <w:lang w:eastAsia="zh-CN"/>
        </w:rPr>
        <w:t>ICT</w:t>
      </w:r>
      <w:r w:rsidRPr="00262182">
        <w:rPr>
          <w:rFonts w:cstheme="minorHAnsi" w:hint="eastAsia"/>
          <w:lang w:eastAsia="zh-CN"/>
        </w:rPr>
        <w:t>发展基金占</w:t>
      </w:r>
      <w:r>
        <w:rPr>
          <w:rFonts w:cstheme="minorHAnsi"/>
          <w:lang w:eastAsia="zh-CN"/>
        </w:rPr>
        <w:t>6</w:t>
      </w:r>
      <w:r w:rsidRPr="00262182">
        <w:rPr>
          <w:rFonts w:cstheme="minorHAnsi" w:hint="eastAsia"/>
          <w:lang w:eastAsia="zh-CN"/>
        </w:rPr>
        <w:t>%</w:t>
      </w:r>
      <w:r w:rsidRPr="00262182">
        <w:rPr>
          <w:rFonts w:cstheme="minorHAnsi" w:hint="eastAsia"/>
          <w:lang w:eastAsia="zh-CN"/>
        </w:rPr>
        <w:t>，电信发展局</w:t>
      </w:r>
      <w:r>
        <w:rPr>
          <w:rFonts w:cstheme="minorHAnsi" w:hint="eastAsia"/>
          <w:lang w:eastAsia="zh-CN"/>
        </w:rPr>
        <w:t>常规预算</w:t>
      </w:r>
      <w:r w:rsidR="00223FC9">
        <w:rPr>
          <w:rFonts w:cstheme="minorHAnsi" w:hint="eastAsia"/>
          <w:lang w:eastAsia="zh-CN"/>
        </w:rPr>
        <w:t>（</w:t>
      </w:r>
      <w:r w:rsidRPr="00262182">
        <w:rPr>
          <w:rFonts w:cstheme="minorHAnsi" w:hint="eastAsia"/>
          <w:lang w:eastAsia="zh-CN"/>
        </w:rPr>
        <w:t>运作规划</w:t>
      </w:r>
      <w:r>
        <w:rPr>
          <w:rFonts w:cstheme="minorHAnsi" w:hint="eastAsia"/>
          <w:lang w:eastAsia="zh-CN"/>
        </w:rPr>
        <w:t>）</w:t>
      </w:r>
      <w:r w:rsidRPr="00262182">
        <w:rPr>
          <w:rFonts w:cstheme="minorHAnsi" w:hint="eastAsia"/>
          <w:lang w:eastAsia="zh-CN"/>
        </w:rPr>
        <w:t>占</w:t>
      </w:r>
      <w:r w:rsidRPr="00262182">
        <w:rPr>
          <w:rFonts w:cstheme="minorHAnsi" w:hint="eastAsia"/>
          <w:lang w:eastAsia="zh-CN"/>
        </w:rPr>
        <w:t>5%</w:t>
      </w:r>
      <w:r w:rsidR="00223FC9">
        <w:rPr>
          <w:rFonts w:cstheme="minorHAnsi" w:hint="eastAsia"/>
          <w:lang w:eastAsia="zh-CN"/>
        </w:rPr>
        <w:t>（</w:t>
      </w:r>
      <w:r w:rsidRPr="00262182">
        <w:rPr>
          <w:rFonts w:cstheme="minorHAnsi" w:hint="eastAsia"/>
          <w:lang w:eastAsia="zh-CN"/>
        </w:rPr>
        <w:t>见图</w:t>
      </w:r>
      <w:r>
        <w:rPr>
          <w:rFonts w:cstheme="minorHAnsi"/>
          <w:lang w:eastAsia="zh-CN"/>
        </w:rPr>
        <w:t>2</w:t>
      </w:r>
      <w:r w:rsidRPr="00262182">
        <w:rPr>
          <w:rFonts w:cstheme="minorHAnsi" w:hint="eastAsia"/>
          <w:lang w:eastAsia="zh-CN"/>
        </w:rPr>
        <w:t>）。</w:t>
      </w:r>
    </w:p>
    <w:p w14:paraId="0656AD63" w14:textId="4058C418" w:rsidR="007F0D47" w:rsidRPr="00262182" w:rsidRDefault="00262182" w:rsidP="00F41768">
      <w:pPr>
        <w:keepNext/>
        <w:keepLines/>
        <w:tabs>
          <w:tab w:val="left" w:pos="720"/>
        </w:tabs>
        <w:overflowPunct/>
        <w:autoSpaceDE/>
        <w:adjustRightInd/>
        <w:spacing w:after="120"/>
        <w:jc w:val="center"/>
        <w:rPr>
          <w:rFonts w:cstheme="minorHAnsi"/>
          <w:b/>
          <w:bCs/>
          <w:sz w:val="40"/>
          <w:szCs w:val="32"/>
          <w:lang w:eastAsia="zh-CN"/>
        </w:rPr>
      </w:pPr>
      <w:bookmarkStart w:id="22" w:name="lt_pId135"/>
      <w:r w:rsidRPr="00262182">
        <w:rPr>
          <w:rFonts w:hint="eastAsia"/>
          <w:b/>
          <w:bCs/>
          <w:lang w:eastAsia="zh-CN"/>
        </w:rPr>
        <w:t>图</w:t>
      </w:r>
      <w:r w:rsidRPr="00262182">
        <w:rPr>
          <w:b/>
          <w:bCs/>
          <w:lang w:eastAsia="zh-CN"/>
        </w:rPr>
        <w:t xml:space="preserve">2 – </w:t>
      </w:r>
      <w:r w:rsidRPr="00262182">
        <w:rPr>
          <w:rFonts w:hint="eastAsia"/>
          <w:b/>
          <w:bCs/>
          <w:lang w:eastAsia="zh-CN"/>
        </w:rPr>
        <w:t>国际电联项目的资金来源</w:t>
      </w:r>
      <w:r w:rsidR="00223FC9">
        <w:rPr>
          <w:rFonts w:hint="eastAsia"/>
          <w:b/>
          <w:bCs/>
          <w:lang w:eastAsia="zh-CN"/>
        </w:rPr>
        <w:t>（</w:t>
      </w:r>
      <w:r w:rsidRPr="00262182">
        <w:rPr>
          <w:rFonts w:hint="eastAsia"/>
          <w:b/>
          <w:bCs/>
          <w:lang w:eastAsia="zh-CN"/>
        </w:rPr>
        <w:t>正在进行的项目）</w:t>
      </w:r>
      <w:bookmarkEnd w:id="22"/>
    </w:p>
    <w:p w14:paraId="46467579" w14:textId="767C7EC8" w:rsidR="007F0D47" w:rsidRPr="00277E7F" w:rsidRDefault="006863D4" w:rsidP="00F41768">
      <w:pPr>
        <w:keepNext/>
        <w:keepLines/>
        <w:widowControl w:val="0"/>
        <w:spacing w:after="120"/>
        <w:jc w:val="center"/>
        <w:rPr>
          <w:rFonts w:cstheme="minorHAnsi"/>
        </w:rPr>
      </w:pPr>
      <w:r w:rsidRPr="00277E7F">
        <w:rPr>
          <w:rFonts w:cstheme="minorHAnsi"/>
          <w:noProof/>
          <w:lang w:val="en-US" w:eastAsia="zh-CN"/>
        </w:rPr>
        <w:drawing>
          <wp:inline distT="0" distB="0" distL="0" distR="0" wp14:anchorId="2118B02D" wp14:editId="173131B7">
            <wp:extent cx="3629551" cy="2182218"/>
            <wp:effectExtent l="0" t="0" r="0" b="889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1D08DFE-267E-4287-AE47-F3DFD7B9D5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81579E0" w14:textId="5042288C" w:rsidR="007F0D47" w:rsidRPr="00D92218" w:rsidRDefault="0034226C" w:rsidP="00D92218">
      <w:pPr>
        <w:pStyle w:val="Heading2"/>
        <w:rPr>
          <w:lang w:eastAsia="zh-CN"/>
        </w:rPr>
      </w:pPr>
      <w:r w:rsidRPr="00D92218">
        <w:rPr>
          <w:rFonts w:hint="eastAsia"/>
          <w:lang w:eastAsia="zh-CN"/>
        </w:rPr>
        <w:t>3.1</w:t>
      </w:r>
      <w:r w:rsidR="00D92218">
        <w:rPr>
          <w:lang w:eastAsia="zh-CN"/>
        </w:rPr>
        <w:tab/>
      </w:r>
      <w:r w:rsidR="00262182" w:rsidRPr="00D92218">
        <w:rPr>
          <w:rFonts w:hint="eastAsia"/>
          <w:lang w:eastAsia="zh-CN"/>
        </w:rPr>
        <w:t>理事会为实施</w:t>
      </w:r>
      <w:r w:rsidR="00262182" w:rsidRPr="00D92218">
        <w:rPr>
          <w:rFonts w:hint="eastAsia"/>
          <w:lang w:eastAsia="zh-CN"/>
        </w:rPr>
        <w:t>WTDC-17</w:t>
      </w:r>
      <w:r w:rsidR="00262182" w:rsidRPr="00D92218">
        <w:rPr>
          <w:rFonts w:hint="eastAsia"/>
          <w:lang w:eastAsia="zh-CN"/>
        </w:rPr>
        <w:t>区域性举措拨款</w:t>
      </w:r>
    </w:p>
    <w:p w14:paraId="6750034F" w14:textId="670AFAC2" w:rsidR="007F0D47" w:rsidRPr="00277E7F" w:rsidRDefault="00B03673" w:rsidP="00781BA3">
      <w:pPr>
        <w:ind w:firstLineChars="200" w:firstLine="480"/>
        <w:rPr>
          <w:rFonts w:cstheme="minorHAnsi"/>
          <w:lang w:eastAsia="zh-CN"/>
        </w:rPr>
      </w:pPr>
      <w:r>
        <w:rPr>
          <w:rFonts w:hint="eastAsia"/>
          <w:lang w:eastAsia="zh-CN"/>
        </w:rPr>
        <w:t>电信发展局</w:t>
      </w:r>
      <w:r w:rsidRPr="00B03673">
        <w:rPr>
          <w:rFonts w:cstheme="minorHAnsi" w:hint="eastAsia"/>
          <w:lang w:eastAsia="zh-CN"/>
        </w:rPr>
        <w:t>继续与合作伙伴谈判，利用理事会为实施</w:t>
      </w:r>
      <w:r w:rsidRPr="00B03673">
        <w:rPr>
          <w:rFonts w:cstheme="minorHAnsi" w:hint="eastAsia"/>
          <w:lang w:eastAsia="zh-CN"/>
        </w:rPr>
        <w:t>WTDC-17</w:t>
      </w:r>
      <w:r w:rsidRPr="00B03673">
        <w:rPr>
          <w:rFonts w:cstheme="minorHAnsi" w:hint="eastAsia"/>
          <w:lang w:eastAsia="zh-CN"/>
        </w:rPr>
        <w:t>区域</w:t>
      </w:r>
      <w:r>
        <w:rPr>
          <w:rFonts w:cstheme="minorHAnsi" w:hint="eastAsia"/>
          <w:lang w:eastAsia="zh-CN"/>
        </w:rPr>
        <w:t>性举措划拨</w:t>
      </w:r>
      <w:r w:rsidRPr="00B03673">
        <w:rPr>
          <w:rFonts w:cstheme="minorHAnsi" w:hint="eastAsia"/>
          <w:lang w:eastAsia="zh-CN"/>
        </w:rPr>
        <w:t>的资金共同资助</w:t>
      </w:r>
      <w:r>
        <w:rPr>
          <w:rFonts w:cstheme="minorHAnsi" w:hint="eastAsia"/>
          <w:lang w:eastAsia="zh-CN"/>
        </w:rPr>
        <w:t>相关</w:t>
      </w:r>
      <w:r w:rsidRPr="00B03673">
        <w:rPr>
          <w:rFonts w:cstheme="minorHAnsi" w:hint="eastAsia"/>
          <w:lang w:eastAsia="zh-CN"/>
        </w:rPr>
        <w:t>项目</w:t>
      </w:r>
      <w:r w:rsidRPr="00277E7F">
        <w:rPr>
          <w:rStyle w:val="FootnoteReference"/>
          <w:rFonts w:cstheme="minorHAnsi"/>
        </w:rPr>
        <w:footnoteReference w:id="5"/>
      </w:r>
      <w:r w:rsidRPr="00B03673">
        <w:rPr>
          <w:rFonts w:cstheme="minorHAnsi" w:hint="eastAsia"/>
          <w:lang w:eastAsia="zh-CN"/>
        </w:rPr>
        <w:t>。截至本报告编写之日，共有</w:t>
      </w:r>
      <w:r w:rsidRPr="00B03673">
        <w:rPr>
          <w:rFonts w:cstheme="minorHAnsi" w:hint="eastAsia"/>
          <w:lang w:eastAsia="zh-CN"/>
        </w:rPr>
        <w:t>26</w:t>
      </w:r>
      <w:r w:rsidRPr="00B03673">
        <w:rPr>
          <w:rFonts w:cstheme="minorHAnsi" w:hint="eastAsia"/>
          <w:lang w:eastAsia="zh-CN"/>
        </w:rPr>
        <w:t>个项目</w:t>
      </w:r>
      <w:r>
        <w:rPr>
          <w:rFonts w:cstheme="minorHAnsi" w:hint="eastAsia"/>
          <w:lang w:eastAsia="zh-CN"/>
        </w:rPr>
        <w:t>与</w:t>
      </w:r>
      <w:r w:rsidRPr="00B03673">
        <w:rPr>
          <w:rFonts w:cstheme="minorHAnsi" w:hint="eastAsia"/>
          <w:lang w:eastAsia="zh-CN"/>
        </w:rPr>
        <w:t>这些外部伙伴</w:t>
      </w:r>
      <w:r>
        <w:rPr>
          <w:rFonts w:cstheme="minorHAnsi" w:hint="eastAsia"/>
          <w:lang w:eastAsia="zh-CN"/>
        </w:rPr>
        <w:t>签署了</w:t>
      </w:r>
      <w:r w:rsidRPr="00B03673">
        <w:rPr>
          <w:rFonts w:cstheme="minorHAnsi" w:hint="eastAsia"/>
          <w:lang w:eastAsia="zh-CN"/>
        </w:rPr>
        <w:t>资助</w:t>
      </w:r>
      <w:r>
        <w:rPr>
          <w:rFonts w:cstheme="minorHAnsi" w:hint="eastAsia"/>
          <w:lang w:eastAsia="zh-CN"/>
        </w:rPr>
        <w:t>协议</w:t>
      </w:r>
      <w:r w:rsidRPr="00B03673">
        <w:rPr>
          <w:rFonts w:cstheme="minorHAnsi" w:hint="eastAsia"/>
          <w:lang w:eastAsia="zh-CN"/>
        </w:rPr>
        <w:t>，</w:t>
      </w:r>
      <w:r>
        <w:rPr>
          <w:rFonts w:cstheme="minorHAnsi" w:hint="eastAsia"/>
          <w:lang w:eastAsia="zh-CN"/>
        </w:rPr>
        <w:t>协议</w:t>
      </w:r>
      <w:r w:rsidRPr="00B03673">
        <w:rPr>
          <w:rFonts w:cstheme="minorHAnsi" w:hint="eastAsia"/>
          <w:lang w:eastAsia="zh-CN"/>
        </w:rPr>
        <w:t>价值</w:t>
      </w:r>
      <w:r>
        <w:rPr>
          <w:rFonts w:cstheme="minorHAnsi" w:hint="eastAsia"/>
          <w:lang w:eastAsia="zh-CN"/>
        </w:rPr>
        <w:t>为</w:t>
      </w:r>
      <w:r w:rsidRPr="00B03673">
        <w:rPr>
          <w:rFonts w:cstheme="minorHAnsi" w:hint="eastAsia"/>
          <w:lang w:eastAsia="zh-CN"/>
        </w:rPr>
        <w:t>1</w:t>
      </w:r>
      <w:r>
        <w:rPr>
          <w:rFonts w:cstheme="minorHAnsi" w:hint="eastAsia"/>
          <w:lang w:eastAsia="zh-CN"/>
        </w:rPr>
        <w:t>,</w:t>
      </w:r>
      <w:r w:rsidRPr="00B03673">
        <w:rPr>
          <w:rFonts w:cstheme="minorHAnsi" w:hint="eastAsia"/>
          <w:lang w:eastAsia="zh-CN"/>
        </w:rPr>
        <w:t>090</w:t>
      </w:r>
      <w:r w:rsidRPr="00B03673">
        <w:rPr>
          <w:rFonts w:cstheme="minorHAnsi" w:hint="eastAsia"/>
          <w:lang w:eastAsia="zh-CN"/>
        </w:rPr>
        <w:t>万瑞士法郎</w:t>
      </w:r>
      <w:r w:rsidR="00223FC9">
        <w:rPr>
          <w:rFonts w:cstheme="minorHAnsi" w:hint="eastAsia"/>
          <w:lang w:eastAsia="zh-CN"/>
        </w:rPr>
        <w:t>（</w:t>
      </w:r>
      <w:r w:rsidRPr="00B03673">
        <w:rPr>
          <w:rFonts w:cstheme="minorHAnsi" w:hint="eastAsia"/>
          <w:lang w:eastAsia="zh-CN"/>
        </w:rPr>
        <w:t>包括外部伙伴提供的实物捐助</w:t>
      </w:r>
      <w:r>
        <w:rPr>
          <w:rFonts w:cstheme="minorHAnsi" w:hint="eastAsia"/>
          <w:lang w:eastAsia="zh-CN"/>
        </w:rPr>
        <w:t>）</w:t>
      </w:r>
      <w:r w:rsidRPr="00B03673">
        <w:rPr>
          <w:rFonts w:cstheme="minorHAnsi" w:hint="eastAsia"/>
          <w:lang w:eastAsia="zh-CN"/>
        </w:rPr>
        <w:t>，国际电联的现金捐助为</w:t>
      </w:r>
      <w:r w:rsidRPr="00B03673">
        <w:rPr>
          <w:rFonts w:cstheme="minorHAnsi" w:hint="eastAsia"/>
          <w:lang w:eastAsia="zh-CN"/>
        </w:rPr>
        <w:t>360</w:t>
      </w:r>
      <w:r w:rsidRPr="00B03673">
        <w:rPr>
          <w:rFonts w:cstheme="minorHAnsi" w:hint="eastAsia"/>
          <w:lang w:eastAsia="zh-CN"/>
        </w:rPr>
        <w:t>万瑞士法郎。由理事会批准的剩余资金资</w:t>
      </w:r>
      <w:r w:rsidR="00F34E02">
        <w:rPr>
          <w:rFonts w:cstheme="minorHAnsi" w:hint="eastAsia"/>
          <w:lang w:eastAsia="zh-CN"/>
        </w:rPr>
        <w:t>助</w:t>
      </w:r>
      <w:r w:rsidRPr="00B03673">
        <w:rPr>
          <w:rFonts w:cstheme="minorHAnsi" w:hint="eastAsia"/>
          <w:lang w:eastAsia="zh-CN"/>
        </w:rPr>
        <w:t>的</w:t>
      </w:r>
      <w:r w:rsidR="006E61AE" w:rsidRPr="00B03673">
        <w:rPr>
          <w:rFonts w:cstheme="minorHAnsi" w:hint="eastAsia"/>
          <w:lang w:eastAsia="zh-CN"/>
        </w:rPr>
        <w:t>最后一批</w:t>
      </w:r>
      <w:r w:rsidRPr="00B03673">
        <w:rPr>
          <w:rFonts w:cstheme="minorHAnsi" w:hint="eastAsia"/>
          <w:lang w:eastAsia="zh-CN"/>
        </w:rPr>
        <w:t>9</w:t>
      </w:r>
      <w:r w:rsidRPr="00B03673">
        <w:rPr>
          <w:rFonts w:cstheme="minorHAnsi" w:hint="eastAsia"/>
          <w:lang w:eastAsia="zh-CN"/>
        </w:rPr>
        <w:t>个项目预计将</w:t>
      </w:r>
      <w:r w:rsidR="006E61AE">
        <w:rPr>
          <w:rFonts w:cstheme="minorHAnsi" w:hint="eastAsia"/>
          <w:lang w:eastAsia="zh-CN"/>
        </w:rPr>
        <w:t>于</w:t>
      </w:r>
      <w:r w:rsidRPr="00B03673">
        <w:rPr>
          <w:rFonts w:cstheme="minorHAnsi" w:hint="eastAsia"/>
          <w:lang w:eastAsia="zh-CN"/>
        </w:rPr>
        <w:t>2021</w:t>
      </w:r>
      <w:r w:rsidRPr="00B03673">
        <w:rPr>
          <w:rFonts w:cstheme="minorHAnsi" w:hint="eastAsia"/>
          <w:lang w:eastAsia="zh-CN"/>
        </w:rPr>
        <w:t>年底前签署，总价值为</w:t>
      </w:r>
      <w:r w:rsidRPr="00B03673">
        <w:rPr>
          <w:rFonts w:cstheme="minorHAnsi" w:hint="eastAsia"/>
          <w:lang w:eastAsia="zh-CN"/>
        </w:rPr>
        <w:t>340</w:t>
      </w:r>
      <w:r w:rsidRPr="00B03673">
        <w:rPr>
          <w:rFonts w:cstheme="minorHAnsi" w:hint="eastAsia"/>
          <w:lang w:eastAsia="zh-CN"/>
        </w:rPr>
        <w:t>万瑞士法郎</w:t>
      </w:r>
      <w:r w:rsidR="00223FC9">
        <w:rPr>
          <w:rFonts w:cstheme="minorHAnsi" w:hint="eastAsia"/>
          <w:lang w:eastAsia="zh-CN"/>
        </w:rPr>
        <w:t>（</w:t>
      </w:r>
      <w:r w:rsidRPr="00B03673">
        <w:rPr>
          <w:rFonts w:cstheme="minorHAnsi" w:hint="eastAsia"/>
          <w:lang w:eastAsia="zh-CN"/>
        </w:rPr>
        <w:t>包括外部伙伴提供的实物捐助</w:t>
      </w:r>
      <w:r>
        <w:rPr>
          <w:rFonts w:cstheme="minorHAnsi" w:hint="eastAsia"/>
          <w:lang w:eastAsia="zh-CN"/>
        </w:rPr>
        <w:t>）</w:t>
      </w:r>
      <w:r w:rsidRPr="00B03673">
        <w:rPr>
          <w:rFonts w:cstheme="minorHAnsi" w:hint="eastAsia"/>
          <w:lang w:eastAsia="zh-CN"/>
        </w:rPr>
        <w:t>，国际电联的现金捐助为</w:t>
      </w:r>
      <w:r w:rsidRPr="00B03673">
        <w:rPr>
          <w:rFonts w:cstheme="minorHAnsi" w:hint="eastAsia"/>
          <w:lang w:eastAsia="zh-CN"/>
        </w:rPr>
        <w:t>140</w:t>
      </w:r>
      <w:r w:rsidRPr="00B03673">
        <w:rPr>
          <w:rFonts w:cstheme="minorHAnsi" w:hint="eastAsia"/>
          <w:lang w:eastAsia="zh-CN"/>
        </w:rPr>
        <w:t>万瑞士法郎。</w:t>
      </w:r>
    </w:p>
    <w:p w14:paraId="039BD3AE" w14:textId="366BB795" w:rsidR="007F0D47" w:rsidRPr="00566E16" w:rsidRDefault="0034226C" w:rsidP="00D92218">
      <w:pPr>
        <w:pStyle w:val="Heading1"/>
        <w:rPr>
          <w:szCs w:val="28"/>
          <w:lang w:eastAsia="zh-CN"/>
        </w:rPr>
      </w:pPr>
      <w:r w:rsidRPr="00566E16">
        <w:rPr>
          <w:szCs w:val="28"/>
          <w:lang w:eastAsia="zh-CN"/>
        </w:rPr>
        <w:lastRenderedPageBreak/>
        <w:t>4</w:t>
      </w:r>
      <w:r w:rsidR="00D92218" w:rsidRPr="00566E16">
        <w:rPr>
          <w:szCs w:val="28"/>
          <w:lang w:eastAsia="zh-CN"/>
        </w:rPr>
        <w:tab/>
      </w:r>
      <w:r w:rsidR="00262182" w:rsidRPr="00566E16">
        <w:rPr>
          <w:rFonts w:hint="eastAsia"/>
          <w:szCs w:val="28"/>
          <w:lang w:eastAsia="zh-CN"/>
        </w:rPr>
        <w:t>在电信发展局内部努力建立健全的项目管理实践</w:t>
      </w:r>
    </w:p>
    <w:p w14:paraId="0C1475DB" w14:textId="381D4572" w:rsidR="007F0D47" w:rsidRPr="00277E7F" w:rsidRDefault="00262182" w:rsidP="00781BA3">
      <w:pPr>
        <w:ind w:firstLineChars="200" w:firstLine="480"/>
        <w:rPr>
          <w:rFonts w:cstheme="minorHAnsi"/>
          <w:lang w:val="en-US" w:eastAsia="zh-CN"/>
        </w:rPr>
      </w:pPr>
      <w:r>
        <w:rPr>
          <w:rFonts w:hint="eastAsia"/>
          <w:lang w:val="en-US" w:eastAsia="zh-CN"/>
        </w:rPr>
        <w:t>电信</w:t>
      </w:r>
      <w:r w:rsidRPr="00781BA3">
        <w:rPr>
          <w:rFonts w:cstheme="minorHAnsi" w:hint="eastAsia"/>
          <w:lang w:eastAsia="zh-CN"/>
        </w:rPr>
        <w:t>发展</w:t>
      </w:r>
      <w:r>
        <w:rPr>
          <w:rFonts w:hint="eastAsia"/>
          <w:lang w:val="en-US" w:eastAsia="zh-CN"/>
        </w:rPr>
        <w:t>局继续加强国际电联所有项目的项目管理实践工作，组织了一系列广泛的活动，旨在加强电信发展局的项目管理，</w:t>
      </w:r>
      <w:r w:rsidR="00F34E02">
        <w:rPr>
          <w:rFonts w:hint="eastAsia"/>
          <w:lang w:val="en-US" w:eastAsia="zh-CN"/>
        </w:rPr>
        <w:t>强化</w:t>
      </w:r>
      <w:r>
        <w:rPr>
          <w:rFonts w:hint="eastAsia"/>
          <w:lang w:val="en-US" w:eastAsia="zh-CN"/>
        </w:rPr>
        <w:t>该局项目管理人员的能力，使电信发展局的项目管理实践标准化，并加强对项目的监督和评估。以下各点总结了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021</w:t>
      </w:r>
      <w:r>
        <w:rPr>
          <w:rFonts w:hint="eastAsia"/>
          <w:lang w:val="en-US" w:eastAsia="zh-CN"/>
        </w:rPr>
        <w:t>年第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和第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季度开展的活动：</w:t>
      </w:r>
      <w:r w:rsidRPr="00277E7F">
        <w:rPr>
          <w:rFonts w:cstheme="minorHAnsi"/>
          <w:lang w:val="en-US" w:eastAsia="zh-CN"/>
        </w:rPr>
        <w:t xml:space="preserve"> </w:t>
      </w:r>
    </w:p>
    <w:p w14:paraId="10F02F49" w14:textId="55FDECD8" w:rsidR="00DA42F7" w:rsidRPr="00DA42F7" w:rsidRDefault="003B0C4D" w:rsidP="00D92218">
      <w:pPr>
        <w:pStyle w:val="enumlev1"/>
        <w:numPr>
          <w:ilvl w:val="0"/>
          <w:numId w:val="4"/>
        </w:numPr>
        <w:ind w:left="794" w:hanging="794"/>
        <w:rPr>
          <w:rFonts w:cstheme="minorHAnsi"/>
          <w:lang w:eastAsia="zh-CN"/>
        </w:rPr>
      </w:pPr>
      <w:r w:rsidRPr="007E11AE">
        <w:rPr>
          <w:rFonts w:ascii="STKaiti" w:eastAsia="STKaiti" w:hAnsi="STKaiti" w:cstheme="minorHAnsi"/>
          <w:b/>
          <w:bCs/>
          <w:lang w:eastAsia="zh-CN"/>
        </w:rPr>
        <w:t>电信发展局</w:t>
      </w:r>
      <w:r w:rsidR="00DA42F7" w:rsidRPr="007E11AE">
        <w:rPr>
          <w:rFonts w:ascii="STKaiti" w:eastAsia="STKaiti" w:hAnsi="STKaiti" w:cstheme="minorHAnsi" w:hint="eastAsia"/>
          <w:b/>
          <w:bCs/>
          <w:lang w:eastAsia="zh-CN"/>
        </w:rPr>
        <w:t>项目委员会的运作</w:t>
      </w:r>
      <w:r w:rsidR="00223FC9" w:rsidRPr="007E11AE">
        <w:rPr>
          <w:rFonts w:ascii="STKaiti" w:eastAsia="STKaiti" w:hAnsi="STKaiti" w:cstheme="minorHAnsi" w:hint="eastAsia"/>
          <w:b/>
          <w:bCs/>
          <w:lang w:eastAsia="zh-CN"/>
        </w:rPr>
        <w:t>：</w:t>
      </w:r>
      <w:r w:rsidR="00223FC9" w:rsidRPr="00223FC9">
        <w:rPr>
          <w:rFonts w:cstheme="minorHAnsi" w:hint="eastAsia"/>
          <w:lang w:eastAsia="zh-CN"/>
        </w:rPr>
        <w:t>电</w:t>
      </w:r>
      <w:r>
        <w:rPr>
          <w:rFonts w:cstheme="minorHAnsi"/>
          <w:lang w:eastAsia="zh-CN"/>
        </w:rPr>
        <w:t>信发展局</w:t>
      </w:r>
      <w:r w:rsidR="00DA42F7" w:rsidRPr="00DA42F7">
        <w:rPr>
          <w:rFonts w:cstheme="minorHAnsi" w:hint="eastAsia"/>
          <w:lang w:eastAsia="zh-CN"/>
        </w:rPr>
        <w:t>项目委员会继续</w:t>
      </w:r>
      <w:r w:rsidR="00223FC9">
        <w:rPr>
          <w:rFonts w:cstheme="minorHAnsi" w:hint="eastAsia"/>
          <w:lang w:eastAsia="zh-CN"/>
        </w:rPr>
        <w:t>召开</w:t>
      </w:r>
      <w:r w:rsidR="00DA42F7" w:rsidRPr="00DA42F7">
        <w:rPr>
          <w:rFonts w:cstheme="minorHAnsi" w:hint="eastAsia"/>
          <w:lang w:eastAsia="zh-CN"/>
        </w:rPr>
        <w:t>月</w:t>
      </w:r>
      <w:r w:rsidR="00223FC9">
        <w:rPr>
          <w:rFonts w:cstheme="minorHAnsi" w:hint="eastAsia"/>
          <w:lang w:eastAsia="zh-CN"/>
        </w:rPr>
        <w:t>度</w:t>
      </w:r>
      <w:r w:rsidR="00DA42F7" w:rsidRPr="00DA42F7">
        <w:rPr>
          <w:rFonts w:cstheme="minorHAnsi" w:hint="eastAsia"/>
          <w:lang w:eastAsia="zh-CN"/>
        </w:rPr>
        <w:t>会议。委员会</w:t>
      </w:r>
      <w:r w:rsidR="00223FC9">
        <w:rPr>
          <w:rFonts w:cstheme="minorHAnsi" w:hint="eastAsia"/>
          <w:lang w:eastAsia="zh-CN"/>
        </w:rPr>
        <w:t>在正式立项前</w:t>
      </w:r>
      <w:r w:rsidR="00DA42F7" w:rsidRPr="00DA42F7">
        <w:rPr>
          <w:rFonts w:cstheme="minorHAnsi" w:hint="eastAsia"/>
          <w:lang w:eastAsia="zh-CN"/>
        </w:rPr>
        <w:t>开会评估项目提案的可行性和相关性，</w:t>
      </w:r>
      <w:r w:rsidR="00223FC9">
        <w:rPr>
          <w:rFonts w:cstheme="minorHAnsi" w:hint="eastAsia"/>
          <w:lang w:eastAsia="zh-CN"/>
        </w:rPr>
        <w:t>并</w:t>
      </w:r>
      <w:r w:rsidR="00DA42F7" w:rsidRPr="00DA42F7">
        <w:rPr>
          <w:rFonts w:cstheme="minorHAnsi" w:hint="eastAsia"/>
          <w:lang w:eastAsia="zh-CN"/>
        </w:rPr>
        <w:t>在与合作伙伴商定项目</w:t>
      </w:r>
      <w:r w:rsidR="00223FC9">
        <w:rPr>
          <w:rFonts w:cstheme="minorHAnsi" w:hint="eastAsia"/>
          <w:lang w:eastAsia="zh-CN"/>
        </w:rPr>
        <w:t>之</w:t>
      </w:r>
      <w:r w:rsidR="00DA42F7" w:rsidRPr="00DA42F7">
        <w:rPr>
          <w:rFonts w:cstheme="minorHAnsi" w:hint="eastAsia"/>
          <w:lang w:eastAsia="zh-CN"/>
        </w:rPr>
        <w:t>前</w:t>
      </w:r>
      <w:r w:rsidR="00223FC9">
        <w:rPr>
          <w:rFonts w:cstheme="minorHAnsi" w:hint="eastAsia"/>
          <w:lang w:eastAsia="zh-CN"/>
        </w:rPr>
        <w:t>对项目进行</w:t>
      </w:r>
      <w:r w:rsidR="00DA42F7" w:rsidRPr="00DA42F7">
        <w:rPr>
          <w:rFonts w:cstheme="minorHAnsi" w:hint="eastAsia"/>
          <w:lang w:eastAsia="zh-CN"/>
        </w:rPr>
        <w:t>审批，</w:t>
      </w:r>
      <w:r w:rsidR="00223FC9">
        <w:rPr>
          <w:rFonts w:cstheme="minorHAnsi" w:hint="eastAsia"/>
          <w:lang w:eastAsia="zh-CN"/>
        </w:rPr>
        <w:t>在</w:t>
      </w:r>
      <w:r w:rsidR="00DA42F7" w:rsidRPr="00DA42F7">
        <w:rPr>
          <w:rFonts w:cstheme="minorHAnsi" w:hint="eastAsia"/>
          <w:lang w:eastAsia="zh-CN"/>
        </w:rPr>
        <w:t>监督项目实施</w:t>
      </w:r>
      <w:r w:rsidR="00223FC9">
        <w:rPr>
          <w:rFonts w:cstheme="minorHAnsi" w:hint="eastAsia"/>
          <w:lang w:eastAsia="zh-CN"/>
        </w:rPr>
        <w:t>的同时</w:t>
      </w:r>
      <w:r w:rsidR="00DA42F7" w:rsidRPr="00DA42F7">
        <w:rPr>
          <w:rFonts w:cstheme="minorHAnsi" w:hint="eastAsia"/>
          <w:lang w:eastAsia="zh-CN"/>
        </w:rPr>
        <w:t>结束</w:t>
      </w:r>
      <w:r w:rsidR="00223FC9" w:rsidRPr="00DA42F7">
        <w:rPr>
          <w:rFonts w:cstheme="minorHAnsi" w:hint="eastAsia"/>
          <w:lang w:eastAsia="zh-CN"/>
        </w:rPr>
        <w:t>出现问题</w:t>
      </w:r>
      <w:r w:rsidR="00223FC9">
        <w:rPr>
          <w:rFonts w:cstheme="minorHAnsi" w:hint="eastAsia"/>
          <w:lang w:eastAsia="zh-CN"/>
        </w:rPr>
        <w:t>的项目</w:t>
      </w:r>
      <w:r w:rsidR="00DA42F7" w:rsidRPr="00DA42F7">
        <w:rPr>
          <w:rFonts w:cstheme="minorHAnsi" w:hint="eastAsia"/>
          <w:lang w:eastAsia="zh-CN"/>
        </w:rPr>
        <w:t>。项目</w:t>
      </w:r>
      <w:r w:rsidR="007E11AE">
        <w:rPr>
          <w:rFonts w:cstheme="minorHAnsi" w:hint="eastAsia"/>
          <w:lang w:eastAsia="zh-CN"/>
        </w:rPr>
        <w:t>支持</w:t>
      </w:r>
      <w:r w:rsidR="00DA42F7" w:rsidRPr="00DA42F7">
        <w:rPr>
          <w:rFonts w:cstheme="minorHAnsi" w:hint="eastAsia"/>
          <w:lang w:eastAsia="zh-CN"/>
        </w:rPr>
        <w:t>组</w:t>
      </w:r>
      <w:r w:rsidR="007E11AE">
        <w:rPr>
          <w:rFonts w:cstheme="minorHAnsi" w:hint="eastAsia"/>
          <w:lang w:eastAsia="zh-CN"/>
        </w:rPr>
        <w:t>负责跟进</w:t>
      </w:r>
      <w:r w:rsidR="00DA42F7" w:rsidRPr="00DA42F7">
        <w:rPr>
          <w:rFonts w:cstheme="minorHAnsi" w:hint="eastAsia"/>
          <w:lang w:eastAsia="zh-CN"/>
        </w:rPr>
        <w:t>委员会的决定，并向项目委员会报告。</w:t>
      </w:r>
    </w:p>
    <w:p w14:paraId="6952C275" w14:textId="097410C9" w:rsidR="00DA42F7" w:rsidRPr="00DA42F7" w:rsidRDefault="00DA42F7" w:rsidP="00D92218">
      <w:pPr>
        <w:pStyle w:val="enumlev1"/>
        <w:numPr>
          <w:ilvl w:val="0"/>
          <w:numId w:val="4"/>
        </w:numPr>
        <w:ind w:left="794" w:hanging="794"/>
        <w:rPr>
          <w:rFonts w:cstheme="minorHAnsi"/>
          <w:lang w:eastAsia="zh-CN"/>
        </w:rPr>
      </w:pPr>
      <w:r w:rsidRPr="007E11AE">
        <w:rPr>
          <w:rFonts w:ascii="STKaiti" w:eastAsia="STKaiti" w:hAnsi="STKaiti" w:cstheme="minorHAnsi" w:hint="eastAsia"/>
          <w:b/>
          <w:bCs/>
          <w:lang w:eastAsia="zh-CN"/>
        </w:rPr>
        <w:t>加强项目管理</w:t>
      </w:r>
      <w:r w:rsidR="006C5FAF">
        <w:rPr>
          <w:rFonts w:ascii="STKaiti" w:eastAsia="STKaiti" w:hAnsi="STKaiti" w:cstheme="minorHAnsi" w:hint="eastAsia"/>
          <w:b/>
          <w:bCs/>
          <w:lang w:eastAsia="zh-CN"/>
        </w:rPr>
        <w:t>实践</w:t>
      </w:r>
      <w:r w:rsidR="007E11AE" w:rsidRPr="007E11AE">
        <w:rPr>
          <w:rFonts w:ascii="STKaiti" w:eastAsia="STKaiti" w:hAnsi="STKaiti" w:cstheme="minorHAnsi" w:hint="eastAsia"/>
          <w:b/>
          <w:bCs/>
          <w:lang w:eastAsia="zh-CN"/>
        </w:rPr>
        <w:t>：</w:t>
      </w:r>
      <w:r w:rsidR="003B0C4D">
        <w:rPr>
          <w:rFonts w:cstheme="minorHAnsi"/>
          <w:lang w:eastAsia="zh-CN"/>
        </w:rPr>
        <w:t>电信发展局</w:t>
      </w:r>
      <w:r w:rsidRPr="00DA42F7">
        <w:rPr>
          <w:rFonts w:cstheme="minorHAnsi" w:hint="eastAsia"/>
          <w:lang w:eastAsia="zh-CN"/>
        </w:rPr>
        <w:t>继续</w:t>
      </w:r>
      <w:r w:rsidR="006C5FAF">
        <w:rPr>
          <w:rFonts w:cstheme="minorHAnsi" w:hint="eastAsia"/>
          <w:lang w:eastAsia="zh-CN"/>
        </w:rPr>
        <w:t>在全</w:t>
      </w:r>
      <w:r w:rsidRPr="00DA42F7">
        <w:rPr>
          <w:rFonts w:cstheme="minorHAnsi" w:hint="eastAsia"/>
          <w:lang w:eastAsia="zh-CN"/>
        </w:rPr>
        <w:t>局</w:t>
      </w:r>
      <w:r w:rsidR="006C5FAF">
        <w:rPr>
          <w:rFonts w:cstheme="minorHAnsi" w:hint="eastAsia"/>
          <w:lang w:eastAsia="zh-CN"/>
        </w:rPr>
        <w:t>范围内</w:t>
      </w:r>
      <w:r w:rsidR="006C5FAF" w:rsidRPr="00DA42F7">
        <w:rPr>
          <w:rFonts w:cstheme="minorHAnsi" w:hint="eastAsia"/>
          <w:lang w:eastAsia="zh-CN"/>
        </w:rPr>
        <w:t>强</w:t>
      </w:r>
      <w:r w:rsidR="006C5FAF">
        <w:rPr>
          <w:rFonts w:cstheme="minorHAnsi" w:hint="eastAsia"/>
          <w:lang w:eastAsia="zh-CN"/>
        </w:rPr>
        <w:t>化</w:t>
      </w:r>
      <w:r w:rsidRPr="00DA42F7">
        <w:rPr>
          <w:rFonts w:cstheme="minorHAnsi" w:hint="eastAsia"/>
          <w:lang w:eastAsia="zh-CN"/>
        </w:rPr>
        <w:t>项目管理</w:t>
      </w:r>
      <w:r w:rsidR="006C5FAF">
        <w:rPr>
          <w:rFonts w:cstheme="minorHAnsi" w:hint="eastAsia"/>
          <w:lang w:eastAsia="zh-CN"/>
        </w:rPr>
        <w:t>实践</w:t>
      </w:r>
      <w:r w:rsidRPr="00DA42F7">
        <w:rPr>
          <w:rFonts w:cstheme="minorHAnsi" w:hint="eastAsia"/>
          <w:lang w:eastAsia="zh-CN"/>
        </w:rPr>
        <w:t>。这方面采取的行动包括</w:t>
      </w:r>
      <w:r w:rsidR="000209DB">
        <w:rPr>
          <w:rFonts w:cstheme="minorHAnsi" w:hint="eastAsia"/>
          <w:lang w:eastAsia="zh-CN"/>
        </w:rPr>
        <w:t>经营</w:t>
      </w:r>
      <w:r w:rsidRPr="00DA42F7">
        <w:rPr>
          <w:rFonts w:cstheme="minorHAnsi" w:hint="eastAsia"/>
          <w:lang w:eastAsia="zh-CN"/>
        </w:rPr>
        <w:t>“</w:t>
      </w:r>
      <w:r w:rsidR="003B0C4D">
        <w:rPr>
          <w:rFonts w:cstheme="minorHAnsi"/>
          <w:lang w:eastAsia="zh-CN"/>
        </w:rPr>
        <w:t>电信发展局</w:t>
      </w:r>
      <w:r w:rsidRPr="00DA42F7">
        <w:rPr>
          <w:rFonts w:cstheme="minorHAnsi" w:hint="eastAsia"/>
          <w:lang w:eastAsia="zh-CN"/>
        </w:rPr>
        <w:t>项目经理实践社区”，一个</w:t>
      </w:r>
      <w:r w:rsidR="000209DB">
        <w:rPr>
          <w:rFonts w:cstheme="minorHAnsi" w:hint="eastAsia"/>
          <w:lang w:eastAsia="zh-CN"/>
        </w:rPr>
        <w:t>有</w:t>
      </w:r>
      <w:r w:rsidRPr="00DA42F7">
        <w:rPr>
          <w:rFonts w:cstheme="minorHAnsi"/>
          <w:lang w:eastAsia="zh-CN"/>
        </w:rPr>
        <w:t>84</w:t>
      </w:r>
      <w:r w:rsidRPr="00DA42F7">
        <w:rPr>
          <w:rFonts w:cstheme="minorHAnsi" w:hint="eastAsia"/>
          <w:lang w:eastAsia="zh-CN"/>
        </w:rPr>
        <w:t>名在职工作人员</w:t>
      </w:r>
      <w:r w:rsidR="000209DB">
        <w:rPr>
          <w:rFonts w:cstheme="minorHAnsi" w:hint="eastAsia"/>
          <w:lang w:eastAsia="zh-CN"/>
        </w:rPr>
        <w:t>参与</w:t>
      </w:r>
      <w:r w:rsidRPr="00DA42F7">
        <w:rPr>
          <w:rFonts w:cstheme="minorHAnsi" w:hint="eastAsia"/>
          <w:lang w:eastAsia="zh-CN"/>
        </w:rPr>
        <w:t>的在线平台，</w:t>
      </w:r>
      <w:r w:rsidR="000209DB">
        <w:rPr>
          <w:rFonts w:cstheme="minorHAnsi" w:hint="eastAsia"/>
          <w:lang w:eastAsia="zh-CN"/>
        </w:rPr>
        <w:t>同时还</w:t>
      </w:r>
      <w:r w:rsidRPr="00DA42F7">
        <w:rPr>
          <w:rFonts w:cstheme="minorHAnsi" w:hint="eastAsia"/>
          <w:lang w:eastAsia="zh-CN"/>
        </w:rPr>
        <w:t>为项目经理</w:t>
      </w:r>
      <w:r w:rsidR="000209DB">
        <w:rPr>
          <w:rFonts w:cstheme="minorHAnsi" w:hint="eastAsia"/>
          <w:lang w:eastAsia="zh-CN"/>
        </w:rPr>
        <w:t>建立</w:t>
      </w:r>
      <w:r w:rsidR="00F34E02">
        <w:rPr>
          <w:rFonts w:cstheme="minorHAnsi" w:hint="eastAsia"/>
          <w:lang w:eastAsia="zh-CN"/>
        </w:rPr>
        <w:t>了</w:t>
      </w:r>
      <w:r w:rsidRPr="00DA42F7">
        <w:rPr>
          <w:rFonts w:cstheme="minorHAnsi" w:hint="eastAsia"/>
          <w:lang w:eastAsia="zh-CN"/>
        </w:rPr>
        <w:t>项目管理诊所</w:t>
      </w:r>
      <w:r w:rsidR="000209DB">
        <w:rPr>
          <w:rFonts w:cstheme="minorHAnsi" w:hint="eastAsia"/>
          <w:lang w:eastAsia="zh-CN"/>
        </w:rPr>
        <w:t>并召开情况通报</w:t>
      </w:r>
      <w:r w:rsidRPr="00DA42F7">
        <w:rPr>
          <w:rFonts w:cstheme="minorHAnsi" w:hint="eastAsia"/>
          <w:lang w:eastAsia="zh-CN"/>
        </w:rPr>
        <w:t>会。</w:t>
      </w:r>
      <w:r w:rsidR="000209DB">
        <w:rPr>
          <w:rFonts w:cstheme="minorHAnsi" w:hint="eastAsia"/>
          <w:lang w:eastAsia="zh-CN"/>
        </w:rPr>
        <w:t>此</w:t>
      </w:r>
      <w:r w:rsidRPr="00DA42F7">
        <w:rPr>
          <w:rFonts w:cstheme="minorHAnsi" w:hint="eastAsia"/>
          <w:lang w:eastAsia="zh-CN"/>
        </w:rPr>
        <w:t>项工作</w:t>
      </w:r>
      <w:r w:rsidR="000209DB">
        <w:rPr>
          <w:rFonts w:cstheme="minorHAnsi" w:hint="eastAsia"/>
          <w:lang w:eastAsia="zh-CN"/>
        </w:rPr>
        <w:t>是对</w:t>
      </w:r>
      <w:r w:rsidRPr="00DA42F7">
        <w:rPr>
          <w:rFonts w:cstheme="minorHAnsi"/>
          <w:lang w:eastAsia="zh-CN"/>
        </w:rPr>
        <w:t>2019</w:t>
      </w:r>
      <w:r w:rsidRPr="00DA42F7">
        <w:rPr>
          <w:rFonts w:cstheme="minorHAnsi" w:hint="eastAsia"/>
          <w:lang w:eastAsia="zh-CN"/>
        </w:rPr>
        <w:t>年和</w:t>
      </w:r>
      <w:r w:rsidRPr="00DA42F7">
        <w:rPr>
          <w:rFonts w:cstheme="minorHAnsi"/>
          <w:lang w:eastAsia="zh-CN"/>
        </w:rPr>
        <w:t>2020</w:t>
      </w:r>
      <w:r w:rsidRPr="00DA42F7">
        <w:rPr>
          <w:rFonts w:cstheme="minorHAnsi" w:hint="eastAsia"/>
          <w:lang w:eastAsia="zh-CN"/>
        </w:rPr>
        <w:t>年项目管理认证培训方案</w:t>
      </w:r>
      <w:r w:rsidR="000209DB">
        <w:rPr>
          <w:rFonts w:cstheme="minorHAnsi" w:hint="eastAsia"/>
          <w:lang w:eastAsia="zh-CN"/>
        </w:rPr>
        <w:t>的补充</w:t>
      </w:r>
      <w:r w:rsidRPr="00DA42F7">
        <w:rPr>
          <w:rFonts w:cstheme="minorHAnsi" w:hint="eastAsia"/>
          <w:lang w:eastAsia="zh-CN"/>
        </w:rPr>
        <w:t>。</w:t>
      </w:r>
    </w:p>
    <w:p w14:paraId="5C090EC1" w14:textId="44B49B3A" w:rsidR="00F96C55" w:rsidRDefault="00DA42F7" w:rsidP="00D92218">
      <w:pPr>
        <w:pStyle w:val="enumlev1"/>
        <w:numPr>
          <w:ilvl w:val="0"/>
          <w:numId w:val="4"/>
        </w:numPr>
        <w:ind w:left="794" w:hanging="794"/>
        <w:rPr>
          <w:rFonts w:cstheme="minorHAnsi"/>
          <w:lang w:eastAsia="zh-CN"/>
        </w:rPr>
      </w:pPr>
      <w:r w:rsidRPr="007E11AE">
        <w:rPr>
          <w:rFonts w:ascii="STKaiti" w:eastAsia="STKaiti" w:hAnsi="STKaiti" w:cstheme="minorHAnsi" w:hint="eastAsia"/>
          <w:b/>
          <w:bCs/>
          <w:lang w:eastAsia="zh-CN"/>
        </w:rPr>
        <w:t>项目</w:t>
      </w:r>
      <w:r w:rsidR="00F96C55">
        <w:rPr>
          <w:rFonts w:ascii="STKaiti" w:eastAsia="STKaiti" w:hAnsi="STKaiti" w:cstheme="minorHAnsi" w:hint="eastAsia"/>
          <w:b/>
          <w:bCs/>
          <w:lang w:eastAsia="zh-CN"/>
        </w:rPr>
        <w:t>结束：</w:t>
      </w:r>
      <w:r w:rsidR="003B0C4D">
        <w:rPr>
          <w:rFonts w:cstheme="minorHAnsi"/>
          <w:lang w:eastAsia="zh-CN"/>
        </w:rPr>
        <w:t>电信发展局</w:t>
      </w:r>
      <w:r w:rsidRPr="00DA42F7">
        <w:rPr>
          <w:rFonts w:cstheme="minorHAnsi" w:hint="eastAsia"/>
          <w:lang w:eastAsia="zh-CN"/>
        </w:rPr>
        <w:t>修订了项目</w:t>
      </w:r>
      <w:r w:rsidR="00F96C55">
        <w:rPr>
          <w:rFonts w:cstheme="minorHAnsi" w:hint="eastAsia"/>
          <w:lang w:eastAsia="zh-CN"/>
        </w:rPr>
        <w:t>结束的流</w:t>
      </w:r>
      <w:r w:rsidRPr="00DA42F7">
        <w:rPr>
          <w:rFonts w:cstheme="minorHAnsi" w:hint="eastAsia"/>
          <w:lang w:eastAsia="zh-CN"/>
        </w:rPr>
        <w:t>程和步骤，将项目</w:t>
      </w:r>
      <w:r w:rsidR="00F96C55">
        <w:rPr>
          <w:rFonts w:cstheme="minorHAnsi" w:hint="eastAsia"/>
          <w:lang w:eastAsia="zh-CN"/>
        </w:rPr>
        <w:t>结束</w:t>
      </w:r>
      <w:r w:rsidRPr="00DA42F7">
        <w:rPr>
          <w:rFonts w:cstheme="minorHAnsi" w:hint="eastAsia"/>
          <w:lang w:eastAsia="zh-CN"/>
        </w:rPr>
        <w:t>所需时间</w:t>
      </w:r>
      <w:r w:rsidR="00F96C55">
        <w:rPr>
          <w:rFonts w:cstheme="minorHAnsi" w:hint="eastAsia"/>
          <w:lang w:eastAsia="zh-CN"/>
        </w:rPr>
        <w:t>缩短至</w:t>
      </w:r>
      <w:r w:rsidRPr="00DA42F7">
        <w:rPr>
          <w:rFonts w:cstheme="minorHAnsi" w:hint="eastAsia"/>
          <w:lang w:eastAsia="zh-CN"/>
        </w:rPr>
        <w:t>所有</w:t>
      </w:r>
      <w:r w:rsidR="00F96C55">
        <w:rPr>
          <w:rFonts w:cstheme="minorHAnsi" w:hint="eastAsia"/>
          <w:lang w:eastAsia="zh-CN"/>
        </w:rPr>
        <w:t>项目</w:t>
      </w:r>
      <w:r w:rsidRPr="00DA42F7">
        <w:rPr>
          <w:rFonts w:cstheme="minorHAnsi" w:hint="eastAsia"/>
          <w:lang w:eastAsia="zh-CN"/>
        </w:rPr>
        <w:t>活动完成</w:t>
      </w:r>
      <w:r w:rsidR="00F96C55">
        <w:rPr>
          <w:rFonts w:cstheme="minorHAnsi" w:hint="eastAsia"/>
          <w:lang w:eastAsia="zh-CN"/>
        </w:rPr>
        <w:t>后</w:t>
      </w:r>
      <w:r w:rsidRPr="00DA42F7">
        <w:rPr>
          <w:rFonts w:cstheme="minorHAnsi"/>
          <w:lang w:eastAsia="zh-CN"/>
        </w:rPr>
        <w:t>9</w:t>
      </w:r>
      <w:r w:rsidRPr="00DA42F7">
        <w:rPr>
          <w:rFonts w:cstheme="minorHAnsi" w:hint="eastAsia"/>
          <w:lang w:eastAsia="zh-CN"/>
        </w:rPr>
        <w:t>个月</w:t>
      </w:r>
      <w:r w:rsidR="00F96C55">
        <w:rPr>
          <w:rFonts w:cstheme="minorHAnsi" w:hint="eastAsia"/>
          <w:lang w:eastAsia="zh-CN"/>
        </w:rPr>
        <w:t>以内</w:t>
      </w:r>
      <w:r w:rsidRPr="00DA42F7">
        <w:rPr>
          <w:rFonts w:cstheme="minorHAnsi" w:hint="eastAsia"/>
          <w:lang w:eastAsia="zh-CN"/>
        </w:rPr>
        <w:t>。</w:t>
      </w:r>
      <w:r w:rsidR="00F96C55">
        <w:rPr>
          <w:rFonts w:cstheme="minorHAnsi" w:hint="eastAsia"/>
          <w:lang w:eastAsia="zh-CN"/>
        </w:rPr>
        <w:t>此</w:t>
      </w:r>
      <w:r w:rsidRPr="00DA42F7">
        <w:rPr>
          <w:rFonts w:cstheme="minorHAnsi" w:hint="eastAsia"/>
          <w:lang w:eastAsia="zh-CN"/>
        </w:rPr>
        <w:t>项工作根据</w:t>
      </w:r>
      <w:r w:rsidRPr="00DA42F7">
        <w:rPr>
          <w:rFonts w:cstheme="minorHAnsi"/>
          <w:lang w:eastAsia="zh-CN"/>
        </w:rPr>
        <w:t>2020</w:t>
      </w:r>
      <w:r w:rsidRPr="00DA42F7">
        <w:rPr>
          <w:rFonts w:cstheme="minorHAnsi" w:hint="eastAsia"/>
          <w:lang w:eastAsia="zh-CN"/>
        </w:rPr>
        <w:t>年</w:t>
      </w:r>
      <w:r w:rsidRPr="00DA42F7">
        <w:rPr>
          <w:rFonts w:cstheme="minorHAnsi"/>
          <w:lang w:eastAsia="zh-CN"/>
        </w:rPr>
        <w:t>7</w:t>
      </w:r>
      <w:r w:rsidRPr="00DA42F7">
        <w:rPr>
          <w:rFonts w:cstheme="minorHAnsi" w:hint="eastAsia"/>
          <w:lang w:eastAsia="zh-CN"/>
        </w:rPr>
        <w:t>月推出的新</w:t>
      </w:r>
      <w:r w:rsidR="00F96C55">
        <w:rPr>
          <w:rFonts w:cstheme="minorHAnsi" w:hint="eastAsia"/>
          <w:lang w:eastAsia="zh-CN"/>
        </w:rPr>
        <w:t>《</w:t>
      </w:r>
      <w:r w:rsidRPr="00DA42F7">
        <w:rPr>
          <w:rFonts w:cstheme="minorHAnsi" w:hint="eastAsia"/>
          <w:lang w:eastAsia="zh-CN"/>
        </w:rPr>
        <w:t>国际电联项目管理手册</w:t>
      </w:r>
      <w:r w:rsidR="00F96C55">
        <w:rPr>
          <w:rFonts w:cstheme="minorHAnsi" w:hint="eastAsia"/>
          <w:lang w:eastAsia="zh-CN"/>
        </w:rPr>
        <w:t>》</w:t>
      </w:r>
      <w:r w:rsidRPr="00DA42F7">
        <w:rPr>
          <w:rFonts w:cstheme="minorHAnsi" w:hint="eastAsia"/>
          <w:lang w:eastAsia="zh-CN"/>
        </w:rPr>
        <w:t>，</w:t>
      </w:r>
      <w:r w:rsidR="00F96C55">
        <w:rPr>
          <w:rFonts w:cstheme="minorHAnsi" w:hint="eastAsia"/>
          <w:lang w:eastAsia="zh-CN"/>
        </w:rPr>
        <w:t>经</w:t>
      </w:r>
      <w:r w:rsidRPr="00DA42F7">
        <w:rPr>
          <w:rFonts w:cstheme="minorHAnsi" w:hint="eastAsia"/>
          <w:lang w:eastAsia="zh-CN"/>
        </w:rPr>
        <w:t>与国际电联财</w:t>
      </w:r>
      <w:r w:rsidR="00F96C55">
        <w:rPr>
          <w:rFonts w:cstheme="minorHAnsi" w:hint="eastAsia"/>
          <w:lang w:eastAsia="zh-CN"/>
        </w:rPr>
        <w:t>务</w:t>
      </w:r>
      <w:r w:rsidRPr="00DA42F7">
        <w:rPr>
          <w:rFonts w:cstheme="minorHAnsi" w:hint="eastAsia"/>
          <w:lang w:eastAsia="zh-CN"/>
        </w:rPr>
        <w:t>资源管理部</w:t>
      </w:r>
      <w:r w:rsidR="00223FC9">
        <w:rPr>
          <w:rFonts w:cstheme="minorHAnsi"/>
          <w:lang w:eastAsia="zh-CN"/>
        </w:rPr>
        <w:t>（</w:t>
      </w:r>
      <w:r w:rsidRPr="00DA42F7">
        <w:rPr>
          <w:rFonts w:cstheme="minorHAnsi"/>
          <w:lang w:eastAsia="zh-CN"/>
        </w:rPr>
        <w:t>FRMD</w:t>
      </w:r>
      <w:r w:rsidR="00223FC9">
        <w:rPr>
          <w:rFonts w:cstheme="minorHAnsi"/>
          <w:lang w:eastAsia="zh-CN"/>
        </w:rPr>
        <w:t>）</w:t>
      </w:r>
      <w:r w:rsidRPr="00DA42F7">
        <w:rPr>
          <w:rFonts w:cstheme="minorHAnsi" w:hint="eastAsia"/>
          <w:lang w:eastAsia="zh-CN"/>
        </w:rPr>
        <w:t>、采购处、人力资源管理部</w:t>
      </w:r>
      <w:r w:rsidR="00223FC9">
        <w:rPr>
          <w:rFonts w:cstheme="minorHAnsi"/>
          <w:lang w:eastAsia="zh-CN"/>
        </w:rPr>
        <w:t>（</w:t>
      </w:r>
      <w:r w:rsidRPr="00DA42F7">
        <w:rPr>
          <w:rFonts w:cstheme="minorHAnsi"/>
          <w:lang w:eastAsia="zh-CN"/>
        </w:rPr>
        <w:t>HRMD</w:t>
      </w:r>
      <w:r w:rsidR="00223FC9">
        <w:rPr>
          <w:rFonts w:cstheme="minorHAnsi"/>
          <w:lang w:eastAsia="zh-CN"/>
        </w:rPr>
        <w:t>）</w:t>
      </w:r>
      <w:r w:rsidRPr="00DA42F7">
        <w:rPr>
          <w:rFonts w:cstheme="minorHAnsi" w:hint="eastAsia"/>
          <w:lang w:eastAsia="zh-CN"/>
        </w:rPr>
        <w:t>和法律部密切协调</w:t>
      </w:r>
      <w:r w:rsidR="00F96C55">
        <w:rPr>
          <w:rFonts w:cstheme="minorHAnsi" w:hint="eastAsia"/>
          <w:lang w:eastAsia="zh-CN"/>
        </w:rPr>
        <w:t>实施</w:t>
      </w:r>
      <w:r w:rsidRPr="00DA42F7">
        <w:rPr>
          <w:rFonts w:cstheme="minorHAnsi" w:hint="eastAsia"/>
          <w:lang w:eastAsia="zh-CN"/>
        </w:rPr>
        <w:t>。在本报告</w:t>
      </w:r>
      <w:r w:rsidR="00F96C55">
        <w:rPr>
          <w:rFonts w:cstheme="minorHAnsi" w:hint="eastAsia"/>
          <w:lang w:eastAsia="zh-CN"/>
        </w:rPr>
        <w:t>的覆盖区</w:t>
      </w:r>
      <w:r w:rsidRPr="00DA42F7">
        <w:rPr>
          <w:rFonts w:cstheme="minorHAnsi" w:hint="eastAsia"/>
          <w:lang w:eastAsia="zh-CN"/>
        </w:rPr>
        <w:t>间，共</w:t>
      </w:r>
      <w:r w:rsidR="00F96C55" w:rsidRPr="00DA42F7">
        <w:rPr>
          <w:rFonts w:cstheme="minorHAnsi" w:hint="eastAsia"/>
          <w:lang w:eastAsia="zh-CN"/>
        </w:rPr>
        <w:t>按</w:t>
      </w:r>
      <w:r w:rsidR="00F96C55">
        <w:rPr>
          <w:rFonts w:cstheme="minorHAnsi" w:hint="eastAsia"/>
          <w:lang w:eastAsia="zh-CN"/>
        </w:rPr>
        <w:t>此</w:t>
      </w:r>
      <w:r w:rsidR="00F96C55" w:rsidRPr="00DA42F7">
        <w:rPr>
          <w:rFonts w:cstheme="minorHAnsi" w:hint="eastAsia"/>
          <w:lang w:eastAsia="zh-CN"/>
        </w:rPr>
        <w:t>新方法</w:t>
      </w:r>
      <w:r w:rsidR="00F96C55">
        <w:rPr>
          <w:rFonts w:cstheme="minorHAnsi" w:hint="eastAsia"/>
          <w:lang w:eastAsia="zh-CN"/>
        </w:rPr>
        <w:t>结束</w:t>
      </w:r>
      <w:r w:rsidRPr="00DA42F7">
        <w:rPr>
          <w:rFonts w:cstheme="minorHAnsi" w:hint="eastAsia"/>
          <w:lang w:eastAsia="zh-CN"/>
        </w:rPr>
        <w:t>了</w:t>
      </w:r>
      <w:r w:rsidRPr="00DA42F7">
        <w:rPr>
          <w:rFonts w:cstheme="minorHAnsi"/>
          <w:lang w:eastAsia="zh-CN"/>
        </w:rPr>
        <w:t>15</w:t>
      </w:r>
      <w:r w:rsidRPr="00DA42F7">
        <w:rPr>
          <w:rFonts w:cstheme="minorHAnsi" w:hint="eastAsia"/>
          <w:lang w:eastAsia="zh-CN"/>
        </w:rPr>
        <w:t>个项目。</w:t>
      </w:r>
    </w:p>
    <w:p w14:paraId="232A0859" w14:textId="151A7008" w:rsidR="00277E7F" w:rsidRPr="00F96C55" w:rsidRDefault="00DA42F7" w:rsidP="00D92218">
      <w:pPr>
        <w:pStyle w:val="enumlev1"/>
        <w:numPr>
          <w:ilvl w:val="0"/>
          <w:numId w:val="4"/>
        </w:numPr>
        <w:ind w:left="794" w:hanging="794"/>
        <w:rPr>
          <w:rFonts w:cstheme="minorHAnsi"/>
          <w:lang w:eastAsia="zh-CN"/>
        </w:rPr>
      </w:pPr>
      <w:r w:rsidRPr="00F96C55">
        <w:rPr>
          <w:rFonts w:ascii="STKaiti" w:eastAsia="STKaiti" w:hAnsi="STKaiti" w:cstheme="minorHAnsi" w:hint="eastAsia"/>
          <w:b/>
          <w:bCs/>
          <w:lang w:eastAsia="zh-CN"/>
        </w:rPr>
        <w:t>国际电联项目监测</w:t>
      </w:r>
      <w:r w:rsidR="00CF7B16">
        <w:rPr>
          <w:rFonts w:ascii="STKaiti" w:eastAsia="STKaiti" w:hAnsi="STKaiti" w:cstheme="minorHAnsi" w:hint="eastAsia"/>
          <w:b/>
          <w:bCs/>
          <w:lang w:eastAsia="zh-CN"/>
        </w:rPr>
        <w:t>：</w:t>
      </w:r>
      <w:r w:rsidRPr="00F96C55">
        <w:rPr>
          <w:rFonts w:cstheme="minorHAnsi" w:hint="eastAsia"/>
          <w:lang w:eastAsia="zh-CN"/>
        </w:rPr>
        <w:t>继续对国际电联的所有项目进行日常监测并在每个季度末报告。</w:t>
      </w:r>
      <w:r w:rsidR="00CF7B16">
        <w:rPr>
          <w:rFonts w:cstheme="minorHAnsi" w:hint="eastAsia"/>
          <w:lang w:eastAsia="zh-CN"/>
        </w:rPr>
        <w:t>以</w:t>
      </w:r>
      <w:r w:rsidR="00CF7B16" w:rsidRPr="00F96C55">
        <w:rPr>
          <w:rFonts w:cstheme="minorHAnsi" w:hint="eastAsia"/>
          <w:lang w:eastAsia="zh-CN"/>
        </w:rPr>
        <w:t>季度评估报告</w:t>
      </w:r>
      <w:r w:rsidR="00CF7B16">
        <w:rPr>
          <w:rFonts w:cstheme="minorHAnsi" w:hint="eastAsia"/>
          <w:lang w:eastAsia="zh-CN"/>
        </w:rPr>
        <w:t>的方式，将此</w:t>
      </w:r>
      <w:r w:rsidRPr="00F96C55">
        <w:rPr>
          <w:rFonts w:cstheme="minorHAnsi" w:hint="eastAsia"/>
          <w:lang w:eastAsia="zh-CN"/>
        </w:rPr>
        <w:t>项工作的结果提供给</w:t>
      </w:r>
      <w:r w:rsidR="003B0C4D" w:rsidRPr="00F96C55">
        <w:rPr>
          <w:rFonts w:cstheme="minorHAnsi"/>
          <w:lang w:eastAsia="zh-CN"/>
        </w:rPr>
        <w:t>电信发展局</w:t>
      </w:r>
      <w:r w:rsidRPr="00F96C55">
        <w:rPr>
          <w:rFonts w:cstheme="minorHAnsi" w:hint="eastAsia"/>
          <w:lang w:eastAsia="zh-CN"/>
        </w:rPr>
        <w:t>管理层和项目经理。对</w:t>
      </w:r>
      <w:r w:rsidRPr="00F96C55">
        <w:rPr>
          <w:rFonts w:cstheme="minorHAnsi"/>
          <w:lang w:eastAsia="zh-CN"/>
        </w:rPr>
        <w:t>2021</w:t>
      </w:r>
      <w:r w:rsidRPr="00F96C55">
        <w:rPr>
          <w:rFonts w:cstheme="minorHAnsi" w:hint="eastAsia"/>
          <w:lang w:eastAsia="zh-CN"/>
        </w:rPr>
        <w:t>年</w:t>
      </w:r>
      <w:r w:rsidR="00E16AC3">
        <w:rPr>
          <w:rFonts w:cstheme="minorHAnsi" w:hint="eastAsia"/>
          <w:lang w:eastAsia="zh-CN"/>
        </w:rPr>
        <w:t>第</w:t>
      </w:r>
      <w:r w:rsidR="00E16AC3">
        <w:rPr>
          <w:rFonts w:cstheme="minorHAnsi" w:hint="eastAsia"/>
          <w:lang w:eastAsia="zh-CN"/>
        </w:rPr>
        <w:t>2</w:t>
      </w:r>
      <w:r w:rsidR="00E16AC3">
        <w:rPr>
          <w:rFonts w:cstheme="minorHAnsi" w:hint="eastAsia"/>
          <w:lang w:eastAsia="zh-CN"/>
        </w:rPr>
        <w:t>季度开展</w:t>
      </w:r>
      <w:r w:rsidRPr="00F96C55">
        <w:rPr>
          <w:rFonts w:cstheme="minorHAnsi" w:hint="eastAsia"/>
          <w:lang w:eastAsia="zh-CN"/>
        </w:rPr>
        <w:t>的最新季度评估显示，尽管新冠肺炎大流行</w:t>
      </w:r>
      <w:r w:rsidR="00E16AC3">
        <w:rPr>
          <w:rFonts w:cstheme="minorHAnsi" w:hint="eastAsia"/>
          <w:lang w:eastAsia="zh-CN"/>
        </w:rPr>
        <w:t>对</w:t>
      </w:r>
      <w:r w:rsidRPr="00F96C55">
        <w:rPr>
          <w:rFonts w:cstheme="minorHAnsi" w:hint="eastAsia"/>
          <w:lang w:eastAsia="zh-CN"/>
        </w:rPr>
        <w:t>实施</w:t>
      </w:r>
      <w:r w:rsidR="00E16AC3">
        <w:rPr>
          <w:rFonts w:cstheme="minorHAnsi" w:hint="eastAsia"/>
          <w:lang w:eastAsia="zh-CN"/>
        </w:rPr>
        <w:t>挑出了</w:t>
      </w:r>
      <w:r w:rsidRPr="00F96C55">
        <w:rPr>
          <w:rFonts w:cstheme="minorHAnsi" w:hint="eastAsia"/>
          <w:lang w:eastAsia="zh-CN"/>
        </w:rPr>
        <w:t>挑战，但大多数</w:t>
      </w:r>
      <w:r w:rsidR="003B0C4D" w:rsidRPr="00F96C55">
        <w:rPr>
          <w:rFonts w:cstheme="minorHAnsi"/>
          <w:lang w:eastAsia="zh-CN"/>
        </w:rPr>
        <w:t>电信发展局</w:t>
      </w:r>
      <w:r w:rsidRPr="00F96C55">
        <w:rPr>
          <w:rFonts w:cstheme="minorHAnsi" w:hint="eastAsia"/>
          <w:lang w:eastAsia="zh-CN"/>
        </w:rPr>
        <w:t>项目都在按计划进行。</w:t>
      </w:r>
    </w:p>
    <w:p w14:paraId="1152BE7B" w14:textId="7DFA6F3A" w:rsidR="00BD1910" w:rsidRPr="00566E16" w:rsidRDefault="00D92218" w:rsidP="00A61136">
      <w:pPr>
        <w:pStyle w:val="Heading1"/>
        <w:rPr>
          <w:szCs w:val="28"/>
          <w:lang w:eastAsia="zh-CN"/>
        </w:rPr>
      </w:pPr>
      <w:r w:rsidRPr="00566E16">
        <w:rPr>
          <w:szCs w:val="28"/>
          <w:lang w:eastAsia="zh-CN"/>
        </w:rPr>
        <w:t>5</w:t>
      </w:r>
      <w:r w:rsidR="00A61136" w:rsidRPr="00566E16">
        <w:rPr>
          <w:szCs w:val="28"/>
          <w:lang w:eastAsia="zh-CN"/>
        </w:rPr>
        <w:tab/>
      </w:r>
      <w:r w:rsidR="00DA42F7" w:rsidRPr="00566E16">
        <w:rPr>
          <w:rFonts w:hint="eastAsia"/>
          <w:szCs w:val="28"/>
          <w:lang w:eastAsia="zh-CN"/>
        </w:rPr>
        <w:t>2021</w:t>
      </w:r>
      <w:r w:rsidR="00DA42F7" w:rsidRPr="00566E16">
        <w:rPr>
          <w:rFonts w:hint="eastAsia"/>
          <w:szCs w:val="28"/>
          <w:lang w:eastAsia="zh-CN"/>
        </w:rPr>
        <w:t>年成就综述</w:t>
      </w:r>
    </w:p>
    <w:p w14:paraId="66DB2702" w14:textId="55A4527D" w:rsidR="00BD1910" w:rsidRPr="00277E7F" w:rsidRDefault="00DA42F7" w:rsidP="00781BA3">
      <w:pPr>
        <w:ind w:firstLineChars="200" w:firstLine="480"/>
        <w:rPr>
          <w:rFonts w:cstheme="minorHAnsi"/>
          <w:lang w:eastAsia="zh-CN"/>
        </w:rPr>
      </w:pPr>
      <w:r w:rsidRPr="00DA42F7">
        <w:rPr>
          <w:rFonts w:cstheme="minorHAnsi" w:hint="eastAsia"/>
          <w:lang w:eastAsia="zh-CN"/>
        </w:rPr>
        <w:t>2021</w:t>
      </w:r>
      <w:r w:rsidRPr="00DA42F7">
        <w:rPr>
          <w:rFonts w:cstheme="minorHAnsi" w:hint="eastAsia"/>
          <w:lang w:eastAsia="zh-CN"/>
        </w:rPr>
        <w:t>年共开发和签署了</w:t>
      </w:r>
      <w:r w:rsidRPr="00DA42F7">
        <w:rPr>
          <w:rFonts w:cstheme="minorHAnsi" w:hint="eastAsia"/>
          <w:lang w:eastAsia="zh-CN"/>
        </w:rPr>
        <w:t>18</w:t>
      </w:r>
      <w:r w:rsidRPr="00DA42F7">
        <w:rPr>
          <w:rFonts w:cstheme="minorHAnsi" w:hint="eastAsia"/>
          <w:lang w:eastAsia="zh-CN"/>
        </w:rPr>
        <w:t>个新项目，价值</w:t>
      </w:r>
      <w:r w:rsidRPr="00DA42F7">
        <w:rPr>
          <w:rFonts w:cstheme="minorHAnsi" w:hint="eastAsia"/>
          <w:lang w:eastAsia="zh-CN"/>
        </w:rPr>
        <w:t>980</w:t>
      </w:r>
      <w:r w:rsidRPr="00DA42F7">
        <w:rPr>
          <w:rFonts w:cstheme="minorHAnsi" w:hint="eastAsia"/>
          <w:lang w:eastAsia="zh-CN"/>
        </w:rPr>
        <w:t>万瑞士法郎</w:t>
      </w:r>
      <w:r w:rsidR="00223FC9">
        <w:rPr>
          <w:rFonts w:cstheme="minorHAnsi" w:hint="eastAsia"/>
          <w:lang w:eastAsia="zh-CN"/>
        </w:rPr>
        <w:t>（</w:t>
      </w:r>
      <w:r w:rsidRPr="00DA42F7">
        <w:rPr>
          <w:rFonts w:cstheme="minorHAnsi" w:hint="eastAsia"/>
          <w:lang w:eastAsia="zh-CN"/>
        </w:rPr>
        <w:t>见图</w:t>
      </w:r>
      <w:r w:rsidRPr="00DA42F7">
        <w:rPr>
          <w:rFonts w:cstheme="minorHAnsi" w:hint="eastAsia"/>
          <w:lang w:eastAsia="zh-CN"/>
        </w:rPr>
        <w:t>3</w:t>
      </w:r>
      <w:r>
        <w:rPr>
          <w:rFonts w:cstheme="minorHAnsi" w:hint="eastAsia"/>
          <w:lang w:eastAsia="zh-CN"/>
        </w:rPr>
        <w:t>）</w:t>
      </w:r>
      <w:r w:rsidRPr="00DA42F7">
        <w:rPr>
          <w:rFonts w:cstheme="minorHAnsi" w:hint="eastAsia"/>
          <w:lang w:eastAsia="zh-CN"/>
        </w:rPr>
        <w:t>。所有这些项目资助</w:t>
      </w:r>
      <w:r>
        <w:rPr>
          <w:rFonts w:cstheme="minorHAnsi" w:hint="eastAsia"/>
          <w:lang w:eastAsia="zh-CN"/>
        </w:rPr>
        <w:t>工作均是与</w:t>
      </w:r>
      <w:r w:rsidRPr="00DA42F7">
        <w:rPr>
          <w:rFonts w:cstheme="minorHAnsi" w:hint="eastAsia"/>
          <w:lang w:eastAsia="zh-CN"/>
        </w:rPr>
        <w:t>其他组织合作</w:t>
      </w:r>
      <w:r>
        <w:rPr>
          <w:rFonts w:cstheme="minorHAnsi" w:hint="eastAsia"/>
          <w:lang w:eastAsia="zh-CN"/>
        </w:rPr>
        <w:t>开展</w:t>
      </w:r>
      <w:r w:rsidRPr="00DA42F7">
        <w:rPr>
          <w:rFonts w:cstheme="minorHAnsi" w:hint="eastAsia"/>
          <w:lang w:eastAsia="zh-CN"/>
        </w:rPr>
        <w:t>，</w:t>
      </w:r>
      <w:r>
        <w:rPr>
          <w:rFonts w:cstheme="minorHAnsi" w:hint="eastAsia"/>
          <w:lang w:eastAsia="zh-CN"/>
        </w:rPr>
        <w:t>这此机构包括</w:t>
      </w:r>
      <w:r w:rsidRPr="00DA42F7">
        <w:rPr>
          <w:rFonts w:cstheme="minorHAnsi" w:hint="eastAsia"/>
          <w:lang w:eastAsia="zh-CN"/>
        </w:rPr>
        <w:t>国家政府机构、双边合作实体、非营利</w:t>
      </w:r>
      <w:r>
        <w:rPr>
          <w:rFonts w:cstheme="minorHAnsi" w:hint="eastAsia"/>
          <w:lang w:eastAsia="zh-CN"/>
        </w:rPr>
        <w:t>性</w:t>
      </w:r>
      <w:r w:rsidRPr="00DA42F7">
        <w:rPr>
          <w:rFonts w:cstheme="minorHAnsi" w:hint="eastAsia"/>
          <w:lang w:eastAsia="zh-CN"/>
        </w:rPr>
        <w:t>机构、私营部门和联合国</w:t>
      </w:r>
      <w:r>
        <w:rPr>
          <w:rFonts w:cstheme="minorHAnsi" w:hint="eastAsia"/>
          <w:lang w:eastAsia="zh-CN"/>
        </w:rPr>
        <w:t>各</w:t>
      </w:r>
      <w:r w:rsidRPr="00DA42F7">
        <w:rPr>
          <w:rFonts w:cstheme="minorHAnsi" w:hint="eastAsia"/>
          <w:lang w:eastAsia="zh-CN"/>
        </w:rPr>
        <w:t>机构</w:t>
      </w:r>
      <w:r>
        <w:rPr>
          <w:rFonts w:cstheme="minorHAnsi" w:hint="eastAsia"/>
          <w:lang w:eastAsia="zh-CN"/>
        </w:rPr>
        <w:t>等</w:t>
      </w:r>
      <w:r w:rsidRPr="00DA42F7">
        <w:rPr>
          <w:rFonts w:cstheme="minorHAnsi" w:hint="eastAsia"/>
          <w:lang w:eastAsia="zh-CN"/>
        </w:rPr>
        <w:t>。</w:t>
      </w:r>
      <w:r>
        <w:rPr>
          <w:rFonts w:cstheme="minorHAnsi" w:hint="eastAsia"/>
          <w:lang w:eastAsia="zh-CN"/>
        </w:rPr>
        <w:t>取得</w:t>
      </w:r>
      <w:r w:rsidRPr="00DA42F7">
        <w:rPr>
          <w:rFonts w:cstheme="minorHAnsi" w:hint="eastAsia"/>
          <w:lang w:eastAsia="zh-CN"/>
        </w:rPr>
        <w:t>这些成就</w:t>
      </w:r>
      <w:r>
        <w:rPr>
          <w:rFonts w:cstheme="minorHAnsi" w:hint="eastAsia"/>
          <w:lang w:eastAsia="zh-CN"/>
        </w:rPr>
        <w:t>离不开</w:t>
      </w:r>
      <w:r w:rsidRPr="00DA42F7">
        <w:rPr>
          <w:rFonts w:cstheme="minorHAnsi" w:hint="eastAsia"/>
          <w:lang w:eastAsia="zh-CN"/>
        </w:rPr>
        <w:t>项目</w:t>
      </w:r>
      <w:r>
        <w:rPr>
          <w:rFonts w:cstheme="minorHAnsi" w:hint="eastAsia"/>
          <w:lang w:eastAsia="zh-CN"/>
        </w:rPr>
        <w:t>支持部门</w:t>
      </w:r>
      <w:r w:rsidRPr="00DA42F7">
        <w:rPr>
          <w:rFonts w:cstheme="minorHAnsi" w:hint="eastAsia"/>
          <w:lang w:eastAsia="zh-CN"/>
        </w:rPr>
        <w:t>、资源</w:t>
      </w:r>
      <w:r>
        <w:rPr>
          <w:rFonts w:cstheme="minorHAnsi" w:hint="eastAsia"/>
          <w:lang w:eastAsia="zh-CN"/>
        </w:rPr>
        <w:t>筹措和</w:t>
      </w:r>
      <w:r w:rsidRPr="00DA42F7">
        <w:rPr>
          <w:rFonts w:cstheme="minorHAnsi" w:hint="eastAsia"/>
          <w:lang w:eastAsia="zh-CN"/>
        </w:rPr>
        <w:t>伙伴关系</w:t>
      </w:r>
      <w:r>
        <w:rPr>
          <w:rFonts w:cstheme="minorHAnsi" w:hint="eastAsia"/>
          <w:lang w:eastAsia="zh-CN"/>
        </w:rPr>
        <w:t>部门，以及电信发展局</w:t>
      </w:r>
      <w:r w:rsidRPr="00DA42F7">
        <w:rPr>
          <w:rFonts w:cstheme="minorHAnsi" w:hint="eastAsia"/>
          <w:lang w:eastAsia="zh-CN"/>
        </w:rPr>
        <w:t>数字发展伙伴关系</w:t>
      </w:r>
      <w:r>
        <w:rPr>
          <w:rFonts w:cstheme="minorHAnsi" w:hint="eastAsia"/>
          <w:lang w:eastAsia="zh-CN"/>
        </w:rPr>
        <w:t>下属</w:t>
      </w:r>
      <w:r w:rsidRPr="00DA42F7">
        <w:rPr>
          <w:rFonts w:cstheme="minorHAnsi" w:hint="eastAsia"/>
          <w:lang w:eastAsia="zh-CN"/>
        </w:rPr>
        <w:t>成员和私营部门团队间协调</w:t>
      </w:r>
      <w:r>
        <w:rPr>
          <w:rFonts w:cstheme="minorHAnsi" w:hint="eastAsia"/>
          <w:lang w:eastAsia="zh-CN"/>
        </w:rPr>
        <w:t>所形成的合力</w:t>
      </w:r>
      <w:r w:rsidRPr="00DA42F7">
        <w:rPr>
          <w:rFonts w:cstheme="minorHAnsi" w:hint="eastAsia"/>
          <w:lang w:eastAsia="zh-CN"/>
        </w:rPr>
        <w:t>。</w:t>
      </w:r>
      <w:r w:rsidR="00BD1910" w:rsidRPr="00277E7F">
        <w:rPr>
          <w:rStyle w:val="FootnoteReference"/>
          <w:rFonts w:cstheme="minorHAnsi"/>
        </w:rPr>
        <w:footnoteReference w:id="6"/>
      </w:r>
      <w:r w:rsidR="00BD1910" w:rsidRPr="00277E7F">
        <w:rPr>
          <w:rFonts w:cstheme="minorHAnsi"/>
          <w:lang w:eastAsia="zh-CN"/>
        </w:rPr>
        <w:t xml:space="preserve"> </w:t>
      </w:r>
    </w:p>
    <w:p w14:paraId="0CFEF019" w14:textId="4D5F384B" w:rsidR="00BD1910" w:rsidRPr="00277E7F" w:rsidRDefault="00DA42F7" w:rsidP="002D33D6">
      <w:pPr>
        <w:keepNext/>
        <w:tabs>
          <w:tab w:val="left" w:pos="720"/>
        </w:tabs>
        <w:overflowPunct/>
        <w:autoSpaceDE/>
        <w:adjustRightInd/>
        <w:spacing w:after="120"/>
        <w:jc w:val="center"/>
        <w:rPr>
          <w:rFonts w:cstheme="minorHAnsi"/>
          <w:b/>
          <w:bCs/>
          <w:sz w:val="40"/>
          <w:szCs w:val="32"/>
          <w:lang w:eastAsia="zh-CN"/>
        </w:rPr>
      </w:pPr>
      <w:r>
        <w:rPr>
          <w:rFonts w:cstheme="minorHAnsi" w:hint="eastAsia"/>
          <w:b/>
          <w:bCs/>
          <w:szCs w:val="24"/>
          <w:lang w:eastAsia="zh-CN"/>
        </w:rPr>
        <w:lastRenderedPageBreak/>
        <w:t>图</w:t>
      </w:r>
      <w:r w:rsidR="007C4B88" w:rsidRPr="00277E7F">
        <w:rPr>
          <w:rFonts w:cstheme="minorHAnsi"/>
          <w:b/>
          <w:bCs/>
          <w:szCs w:val="24"/>
        </w:rPr>
        <w:t>3</w:t>
      </w:r>
      <w:r w:rsidR="00BD1910" w:rsidRPr="00277E7F">
        <w:rPr>
          <w:rFonts w:cstheme="minorHAnsi"/>
          <w:b/>
          <w:bCs/>
          <w:szCs w:val="24"/>
        </w:rPr>
        <w:t xml:space="preserve"> –2011-2021</w:t>
      </w:r>
      <w:r>
        <w:rPr>
          <w:rFonts w:cstheme="minorHAnsi" w:hint="eastAsia"/>
          <w:b/>
          <w:bCs/>
          <w:szCs w:val="24"/>
          <w:lang w:eastAsia="zh-CN"/>
        </w:rPr>
        <w:t>签署的新项目</w:t>
      </w:r>
    </w:p>
    <w:p w14:paraId="2B4D97D9" w14:textId="62F5495B" w:rsidR="00BD1910" w:rsidRDefault="00B33BF8" w:rsidP="00BD1910">
      <w:pPr>
        <w:spacing w:after="120"/>
        <w:jc w:val="center"/>
        <w:rPr>
          <w:rFonts w:cstheme="minorHAnsi"/>
          <w:color w:val="FF0000"/>
        </w:rPr>
      </w:pPr>
      <w:r>
        <w:rPr>
          <w:rFonts w:cstheme="minorHAns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C0378" wp14:editId="23C8025B">
                <wp:simplePos x="0" y="0"/>
                <wp:positionH relativeFrom="column">
                  <wp:posOffset>5175834</wp:posOffset>
                </wp:positionH>
                <wp:positionV relativeFrom="paragraph">
                  <wp:posOffset>2237435</wp:posOffset>
                </wp:positionV>
                <wp:extent cx="819302" cy="241402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02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9BB6C" w14:textId="799F8834" w:rsidR="00B33BF8" w:rsidRPr="00B33BF8" w:rsidRDefault="008B719D" w:rsidP="00B33BF8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 w:rsidR="00B33BF8" w:rsidRPr="00B33BF8">
                              <w:rPr>
                                <w:sz w:val="16"/>
                                <w:szCs w:val="16"/>
                              </w:rPr>
                              <w:t>1-9</w:t>
                            </w:r>
                            <w:r w:rsidR="00B33BF8" w:rsidRPr="00B33B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C03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7.55pt;margin-top:176.2pt;width:64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JGQAIAAHgEAAAOAAAAZHJzL2Uyb0RvYy54bWysVFFv2jAQfp+0/2D5fSSh0LURoWJUTJNQ&#10;WwmmPhvHJpEcn2cbEvbrd3YCZd2epr2Y893l83333TF76BpFjsK6GnRBs1FKidAcylrvC/p9u/p0&#10;R4nzTJdMgRYFPQlHH+YfP8xak4sxVKBKYQmCaJe3pqCV9yZPEscr0TA3AiM0BiXYhnm82n1SWtYi&#10;eqOScZreJi3Y0ljgwjn0PvZBOo/4Ugrun6V0whNVUKzNx9PGcxfOZD5j+d4yU9V8KIP9QxUNqzU+&#10;eoF6ZJ6Rg63/gGpqbsGB9CMOTQJS1lxEDsgmS9+x2VTMiMgFm+PMpU3u/8Hyp+OLJXVZ0CklmjUo&#10;0VZ0nnyBjkxDd1rjckzaGEzzHbpR5bPfoTOQ7qRtwi/SIRjHPp8uvQ1gHJ132f1NOqaEY2g8ySZo&#10;I3ry9rGxzn8V0JBgFNSidLGj7Lh2vk89p4S3HKi6XNVKxUsYF7FUlhwZCq18LBHBf8tSmrQFvb2Z&#10;phFYQ/i8R1YaawlUe0rB8t2uG/jvoDwhfQv9+DjDVzUWuWbOvzCL84KMcQf8Mx5SAT4Cg0VJBfbn&#10;3/whH2XEKCUtzl9B3Y8Ds4IS9U2jwPfZZBIGNl4m089jvNjryO46og/NEpB5httmeDRDvldnU1po&#10;XnFVFuFVDDHN8e2C+rO59P1W4KpxsVjEJBxRw/xabwwP0KHTQYJt98qsGXTyKPATnCeV5e/k6nPD&#10;lxoWBw+yjlqGBvddHfqO4x2nYVjFsD/X95j19ocx/wUAAP//AwBQSwMEFAAGAAgAAAAhAP+SDsvi&#10;AAAACwEAAA8AAABkcnMvZG93bnJldi54bWxMj01Pg0AQhu8m/ofNmHgxdqGAtsjSGKM28WbxI962&#10;7AiN7Cxht4D/3vGkx3nnyTvPFJvZdmLEwR8cKYgXEQik2pkDNQpeqofLFQgfNBndOUIF3+hhU56e&#10;FDo3bqJnHHehEVxCPtcK2hD6XEpft2i1X7geiXefbrA68Dg00gx64nLbyWUUXUmrD8QXWt3jXYv1&#10;1+5oFXxcNO9Pfn58nZIs6e+3Y3X9Ziqlzs/m2xsQAefwB8OvPqtDyU57dyTjRadgFWcxowqSbJmC&#10;YGKdppzsOVlHKciykP9/KH8AAAD//wMAUEsBAi0AFAAGAAgAAAAhALaDOJL+AAAA4QEAABMAAAAA&#10;AAAAAAAAAAAAAAAAAFtDb250ZW50X1R5cGVzXS54bWxQSwECLQAUAAYACAAAACEAOP0h/9YAAACU&#10;AQAACwAAAAAAAAAAAAAAAAAvAQAAX3JlbHMvLnJlbHNQSwECLQAUAAYACAAAACEA5avSRkACAAB4&#10;BAAADgAAAAAAAAAAAAAAAAAuAgAAZHJzL2Uyb0RvYy54bWxQSwECLQAUAAYACAAAACEA/5IOy+IA&#10;AAALAQAADwAAAAAAAAAAAAAAAACaBAAAZHJzL2Rvd25yZXYueG1sUEsFBgAAAAAEAAQA8wAAAKkF&#10;AAAAAA==&#10;" fillcolor="white [3201]" stroked="f" strokeweight=".5pt">
                <v:textbox>
                  <w:txbxContent>
                    <w:p w14:paraId="6829BB6C" w14:textId="799F8834" w:rsidR="00B33BF8" w:rsidRPr="00B33BF8" w:rsidRDefault="008B719D" w:rsidP="00B33BF8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 w:rsidR="00B33BF8" w:rsidRPr="00B33BF8">
                        <w:rPr>
                          <w:sz w:val="16"/>
                          <w:szCs w:val="16"/>
                        </w:rPr>
                        <w:t>1-9</w:t>
                      </w:r>
                      <w:r w:rsidR="00B33BF8" w:rsidRPr="00B33BF8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3C7C2" wp14:editId="6646CFF5">
                <wp:simplePos x="0" y="0"/>
                <wp:positionH relativeFrom="column">
                  <wp:posOffset>2857043</wp:posOffset>
                </wp:positionH>
                <wp:positionV relativeFrom="paragraph">
                  <wp:posOffset>2435301</wp:posOffset>
                </wp:positionV>
                <wp:extent cx="965606" cy="241402"/>
                <wp:effectExtent l="0" t="0" r="635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606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953A12" w14:textId="0157C486" w:rsidR="00B33BF8" w:rsidRPr="00B33BF8" w:rsidRDefault="00B33BF8" w:rsidP="00B33BF8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B33B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总计（瑞郎）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C7C2" id="Text Box 4" o:spid="_x0000_s1027" type="#_x0000_t202" style="position:absolute;left:0;text-align:left;margin-left:224.95pt;margin-top:191.75pt;width:76.0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D5QgIAAH8EAAAOAAAAZHJzL2Uyb0RvYy54bWysVMGO2jAQvVfqP1i+lwQaaBcRVpQVVSW0&#10;uxJUezaOTSw5Htc2JPTrO3aApdueql7MeGbyPPPeDLP7rtHkKJxXYEo6HOSUCMOhUmZf0u/b1YfP&#10;lPjATMU0GFHSk/D0fv7+3ay1UzGCGnQlHEEQ46etLWkdgp1mmee1aJgfgBUGgxJcwwJe3T6rHGsR&#10;vdHZKM8nWQuusg648B69D32QzhO+lIKHJym9CESXFGsL6XTp3MUzm8/YdO+YrRU/l8H+oYqGKYOP&#10;XqEeWGDk4NQfUI3iDjzIMODQZCCl4iL1gN0M8zfdbGpmReoFyfH2SpP/f7D88fjsiKpKWlBiWIMS&#10;bUUXyBfoSBHZaa2fYtLGYlro0I0qX/wenbHpTrom/mI7BOPI8+nKbQTj6LybjCf5hBKOoVExLPJR&#10;RMleP7bOh68CGhKNkjqULjHKjmsf+tRLSnzLg1bVSmmdLnFcxFI7cmQotA6pRAT/LUsb0pZ08nGc&#10;J2AD8fMeWRusJbbatxSt0O26RMy13R1UJ2TBQT9F3vKVwlrXzIdn5nBssHFchfCEh9SAb8HZoqQG&#10;9/Nv/piPamKUkhbHsKT+x4E5QYn+ZlDnu2FRxLlNl2L8aYQXdxvZ3UbMoVkCEjDEpbM8mTE/6Isp&#10;HTQvuDGL+CqGmOH4dknDxVyGfjlw47hYLFISTqplYW02lkfoSHhUYtu9MGfPcgXU+REuA8umb1Tr&#10;c+OXBhaHAFIlSSPPPatn+nHK01CcNzKu0e09Zb3+b8x/AQAA//8DAFBLAwQUAAYACAAAACEATVdt&#10;NuIAAAALAQAADwAAAGRycy9kb3ducmV2LnhtbEyPy07DMBBF90j8gzVIbBB1mjSlDXEqhHhI7Gh4&#10;iJ0bD0lEPI5iNwl/z7CC5ege3Tk33822EyMOvnWkYLmIQCBVzrRUK3gp7y83IHzQZHTnCBV8o4dd&#10;cXqS68y4iZ5x3IdacAn5TCtoQugzKX3VoNV+4Xokzj7dYHXgc6ilGfTE5baTcRStpdUt8YdG93jb&#10;YPW1P1oFHxf1+5OfH16nJE36u8exvHozpVLnZ/PNNYiAc/iD4Vef1aFgp4M7kvGiU7BabbeMKkg2&#10;SQqCiXUU87oDR/EyBVnk8v+G4gcAAP//AwBQSwECLQAUAAYACAAAACEAtoM4kv4AAADhAQAAEwAA&#10;AAAAAAAAAAAAAAAAAAAAW0NvbnRlbnRfVHlwZXNdLnhtbFBLAQItABQABgAIAAAAIQA4/SH/1gAA&#10;AJQBAAALAAAAAAAAAAAAAAAAAC8BAABfcmVscy8ucmVsc1BLAQItABQABgAIAAAAIQB41uD5QgIA&#10;AH8EAAAOAAAAAAAAAAAAAAAAAC4CAABkcnMvZTJvRG9jLnhtbFBLAQItABQABgAIAAAAIQBNV202&#10;4gAAAAsBAAAPAAAAAAAAAAAAAAAAAJwEAABkcnMvZG93bnJldi54bWxQSwUGAAAAAAQABADzAAAA&#10;qwUAAAAA&#10;" fillcolor="white [3201]" stroked="f" strokeweight=".5pt">
                <v:textbox>
                  <w:txbxContent>
                    <w:p w14:paraId="03953A12" w14:textId="0157C486" w:rsidR="00B33BF8" w:rsidRPr="00B33BF8" w:rsidRDefault="00B33BF8" w:rsidP="00B33BF8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33BF8">
                        <w:rPr>
                          <w:rFonts w:hint="eastAsia"/>
                          <w:sz w:val="16"/>
                          <w:szCs w:val="16"/>
                        </w:rPr>
                        <w:t>总计（瑞郎</w:t>
                      </w:r>
                      <w:proofErr w:type="spellEnd"/>
                      <w:r w:rsidRPr="00B33BF8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D1910" w:rsidRPr="00277E7F">
        <w:rPr>
          <w:rFonts w:cstheme="minorHAnsi"/>
          <w:noProof/>
          <w:lang w:val="en-US" w:eastAsia="zh-CN"/>
        </w:rPr>
        <w:drawing>
          <wp:inline distT="0" distB="0" distL="0" distR="0" wp14:anchorId="22E1D7F0" wp14:editId="1784876C">
            <wp:extent cx="6094436" cy="2747645"/>
            <wp:effectExtent l="0" t="0" r="1905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7A63566E-3D2F-4F23-8937-8CA0AF27F5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3231D77" w14:textId="130D62C1" w:rsidR="007F0D47" w:rsidRPr="00566E16" w:rsidRDefault="00FC6E00" w:rsidP="00A61136">
      <w:pPr>
        <w:pStyle w:val="Heading1"/>
        <w:rPr>
          <w:szCs w:val="28"/>
          <w:lang w:eastAsia="zh-CN"/>
        </w:rPr>
      </w:pPr>
      <w:r>
        <w:rPr>
          <w:szCs w:val="28"/>
          <w:lang w:eastAsia="zh-CN"/>
        </w:rPr>
        <w:t>6</w:t>
      </w:r>
      <w:r w:rsidR="00A61136" w:rsidRPr="00566E16">
        <w:rPr>
          <w:szCs w:val="28"/>
          <w:lang w:eastAsia="zh-CN"/>
        </w:rPr>
        <w:tab/>
      </w:r>
      <w:r w:rsidR="00B03673" w:rsidRPr="00566E16">
        <w:rPr>
          <w:rFonts w:hint="eastAsia"/>
          <w:szCs w:val="28"/>
          <w:lang w:eastAsia="zh-CN"/>
        </w:rPr>
        <w:t>结论</w:t>
      </w:r>
    </w:p>
    <w:p w14:paraId="6F19DBDC" w14:textId="6F6A3C69" w:rsidR="00236E8C" w:rsidRPr="00236E8C" w:rsidRDefault="00CF528F" w:rsidP="00781BA3">
      <w:pPr>
        <w:ind w:firstLineChars="200" w:firstLine="480"/>
        <w:rPr>
          <w:rFonts w:cstheme="minorHAnsi"/>
          <w:lang w:val="en-US" w:eastAsia="zh-CN"/>
        </w:rPr>
      </w:pPr>
      <w:r>
        <w:rPr>
          <w:rFonts w:cstheme="minorHAnsi" w:hint="eastAsia"/>
          <w:lang w:val="en-US" w:eastAsia="zh-CN"/>
        </w:rPr>
        <w:t>驻地</w:t>
      </w:r>
      <w:r w:rsidR="00236E8C" w:rsidRPr="00236E8C">
        <w:rPr>
          <w:rFonts w:cstheme="minorHAnsi" w:hint="eastAsia"/>
          <w:lang w:val="en-US" w:eastAsia="zh-CN"/>
        </w:rPr>
        <w:t>和总部项目经理</w:t>
      </w:r>
      <w:r>
        <w:rPr>
          <w:rFonts w:cstheme="minorHAnsi" w:hint="eastAsia"/>
          <w:lang w:val="en-US" w:eastAsia="zh-CN"/>
        </w:rPr>
        <w:t>均</w:t>
      </w:r>
      <w:r w:rsidR="00F34E02">
        <w:rPr>
          <w:rFonts w:cstheme="minorHAnsi" w:hint="eastAsia"/>
          <w:lang w:val="en-US" w:eastAsia="zh-CN"/>
        </w:rPr>
        <w:t>受</w:t>
      </w:r>
      <w:r>
        <w:rPr>
          <w:rFonts w:cstheme="minorHAnsi" w:hint="eastAsia"/>
          <w:lang w:val="en-US" w:eastAsia="zh-CN"/>
        </w:rPr>
        <w:t>益于</w:t>
      </w:r>
      <w:r w:rsidR="00236E8C" w:rsidRPr="00236E8C">
        <w:rPr>
          <w:rFonts w:cstheme="minorHAnsi" w:hint="eastAsia"/>
          <w:lang w:val="en-US" w:eastAsia="zh-CN"/>
        </w:rPr>
        <w:t>数字发展伙伴关系部正在</w:t>
      </w:r>
      <w:r>
        <w:rPr>
          <w:rFonts w:cstheme="minorHAnsi" w:hint="eastAsia"/>
          <w:lang w:val="en-US" w:eastAsia="zh-CN"/>
        </w:rPr>
        <w:t>开展</w:t>
      </w:r>
      <w:r w:rsidR="00236E8C" w:rsidRPr="00236E8C">
        <w:rPr>
          <w:rFonts w:cstheme="minorHAnsi" w:hint="eastAsia"/>
          <w:lang w:val="en-US" w:eastAsia="zh-CN"/>
        </w:rPr>
        <w:t>的工作并</w:t>
      </w:r>
      <w:r>
        <w:rPr>
          <w:rFonts w:cstheme="minorHAnsi" w:hint="eastAsia"/>
          <w:lang w:val="en-US" w:eastAsia="zh-CN"/>
        </w:rPr>
        <w:t>为其</w:t>
      </w:r>
      <w:r w:rsidR="00236E8C" w:rsidRPr="00236E8C">
        <w:rPr>
          <w:rFonts w:cstheme="minorHAnsi" w:hint="eastAsia"/>
          <w:lang w:val="en-US" w:eastAsia="zh-CN"/>
        </w:rPr>
        <w:t>做出贡献，</w:t>
      </w:r>
      <w:r>
        <w:rPr>
          <w:rFonts w:cstheme="minorHAnsi" w:hint="eastAsia"/>
          <w:lang w:val="en-US" w:eastAsia="zh-CN"/>
        </w:rPr>
        <w:t>其益处源</w:t>
      </w:r>
      <w:r w:rsidR="00F34E02">
        <w:rPr>
          <w:rFonts w:cstheme="minorHAnsi" w:hint="eastAsia"/>
          <w:lang w:val="en-US" w:eastAsia="zh-CN"/>
        </w:rPr>
        <w:t>自</w:t>
      </w:r>
      <w:r>
        <w:rPr>
          <w:rFonts w:cstheme="minorHAnsi" w:hint="eastAsia"/>
          <w:lang w:val="en-US" w:eastAsia="zh-CN"/>
        </w:rPr>
        <w:t>行</w:t>
      </w:r>
      <w:r w:rsidR="00236E8C" w:rsidRPr="00236E8C">
        <w:rPr>
          <w:rFonts w:cstheme="minorHAnsi" w:hint="eastAsia"/>
          <w:lang w:val="en-US" w:eastAsia="zh-CN"/>
        </w:rPr>
        <w:t>业和私营部门成员的稳定增长、伙伴关系</w:t>
      </w:r>
      <w:r>
        <w:rPr>
          <w:rFonts w:cstheme="minorHAnsi" w:hint="eastAsia"/>
          <w:lang w:val="en-US" w:eastAsia="zh-CN"/>
        </w:rPr>
        <w:t>的建立</w:t>
      </w:r>
      <w:r w:rsidR="00236E8C" w:rsidRPr="00236E8C">
        <w:rPr>
          <w:rFonts w:cstheme="minorHAnsi" w:hint="eastAsia"/>
          <w:lang w:val="en-US" w:eastAsia="zh-CN"/>
        </w:rPr>
        <w:t>和资源</w:t>
      </w:r>
      <w:r>
        <w:rPr>
          <w:rFonts w:cstheme="minorHAnsi" w:hint="eastAsia"/>
          <w:lang w:val="en-US" w:eastAsia="zh-CN"/>
        </w:rPr>
        <w:t>的筹措</w:t>
      </w:r>
      <w:r w:rsidR="00236E8C" w:rsidRPr="00236E8C">
        <w:rPr>
          <w:rFonts w:cstheme="minorHAnsi" w:hint="eastAsia"/>
          <w:lang w:val="en-US" w:eastAsia="zh-CN"/>
        </w:rPr>
        <w:t>，以及有影响力项目</w:t>
      </w:r>
      <w:r>
        <w:rPr>
          <w:rFonts w:cstheme="minorHAnsi" w:hint="eastAsia"/>
          <w:lang w:val="en-US" w:eastAsia="zh-CN"/>
        </w:rPr>
        <w:t>的设立与实施</w:t>
      </w:r>
      <w:r w:rsidR="00236E8C" w:rsidRPr="00236E8C">
        <w:rPr>
          <w:rFonts w:cstheme="minorHAnsi" w:hint="eastAsia"/>
          <w:lang w:val="en-US" w:eastAsia="zh-CN"/>
        </w:rPr>
        <w:t>。</w:t>
      </w:r>
    </w:p>
    <w:p w14:paraId="627E4ECD" w14:textId="77777777" w:rsidR="00F34E02" w:rsidRDefault="00F34E02" w:rsidP="00236E8C">
      <w:pPr>
        <w:spacing w:after="120"/>
        <w:textAlignment w:val="auto"/>
        <w:rPr>
          <w:rFonts w:cstheme="minorHAnsi"/>
          <w:lang w:val="en-US" w:eastAsia="zh-CN"/>
        </w:rPr>
      </w:pPr>
    </w:p>
    <w:p w14:paraId="1AE8D006" w14:textId="77777777" w:rsidR="00227090" w:rsidRDefault="00236E8C" w:rsidP="007C7BE2">
      <w:pPr>
        <w:spacing w:after="120"/>
        <w:ind w:firstLineChars="200" w:firstLine="480"/>
        <w:textAlignment w:val="auto"/>
        <w:rPr>
          <w:rFonts w:cstheme="minorHAnsi"/>
          <w:lang w:val="en-US" w:eastAsia="zh-CN"/>
        </w:rPr>
      </w:pPr>
      <w:bookmarkStart w:id="23" w:name="_InMacro_"/>
      <w:bookmarkEnd w:id="23"/>
      <w:r w:rsidRPr="00236E8C">
        <w:rPr>
          <w:rFonts w:cstheme="minorHAnsi" w:hint="eastAsia"/>
          <w:lang w:val="en-US" w:eastAsia="zh-CN"/>
        </w:rPr>
        <w:t>有关</w:t>
      </w:r>
      <w:r w:rsidR="00E6408B">
        <w:rPr>
          <w:rFonts w:cstheme="minorHAnsi" w:hint="eastAsia"/>
          <w:lang w:val="en-US" w:eastAsia="zh-CN"/>
        </w:rPr>
        <w:t>电信发展局</w:t>
      </w:r>
      <w:r w:rsidRPr="00236E8C">
        <w:rPr>
          <w:rFonts w:cstheme="minorHAnsi" w:hint="eastAsia"/>
          <w:lang w:val="en-US" w:eastAsia="zh-CN"/>
        </w:rPr>
        <w:t>实施项目的更多信息，请访问</w:t>
      </w:r>
      <w:r w:rsidR="00F34E02">
        <w:rPr>
          <w:rFonts w:cstheme="minorHAnsi" w:hint="eastAsia"/>
          <w:lang w:val="en-US" w:eastAsia="zh-CN"/>
        </w:rPr>
        <w:t>：</w:t>
      </w:r>
    </w:p>
    <w:p w14:paraId="55FD7C9E" w14:textId="0EC4DC54" w:rsidR="007F0D47" w:rsidRPr="00F351D9" w:rsidRDefault="005A1474" w:rsidP="007C7BE2">
      <w:pPr>
        <w:spacing w:after="120"/>
        <w:ind w:firstLineChars="200" w:firstLine="480"/>
        <w:textAlignment w:val="auto"/>
        <w:rPr>
          <w:rFonts w:cstheme="minorHAnsi"/>
          <w:lang w:val="en-US"/>
        </w:rPr>
      </w:pPr>
      <w:hyperlink r:id="rId16" w:history="1">
        <w:r w:rsidR="00227090" w:rsidRPr="00B64A9D">
          <w:rPr>
            <w:rStyle w:val="Hyperlink"/>
            <w:rFonts w:cstheme="minorHAnsi"/>
            <w:lang w:val="en-US"/>
          </w:rPr>
          <w:t>http://www.itu.int/en/ITU-D/Projects/</w:t>
        </w:r>
      </w:hyperlink>
    </w:p>
    <w:p w14:paraId="7759C759" w14:textId="1D19F868" w:rsidR="00821996" w:rsidRPr="00277E7F" w:rsidRDefault="003C58BF" w:rsidP="00382EF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cstheme="minorHAnsi"/>
        </w:rPr>
      </w:pPr>
      <w:bookmarkStart w:id="24" w:name="Proposal"/>
      <w:bookmarkEnd w:id="24"/>
      <w:r w:rsidRPr="00277E7F">
        <w:rPr>
          <w:rFonts w:cstheme="minorHAnsi"/>
        </w:rPr>
        <w:t>_____________</w:t>
      </w:r>
      <w:r w:rsidR="004122C5" w:rsidRPr="00277E7F">
        <w:rPr>
          <w:rFonts w:cstheme="minorHAnsi"/>
        </w:rPr>
        <w:t>_</w:t>
      </w:r>
      <w:r w:rsidR="00922EC1" w:rsidRPr="00277E7F">
        <w:rPr>
          <w:rFonts w:cstheme="minorHAnsi"/>
        </w:rPr>
        <w:t>_</w:t>
      </w:r>
    </w:p>
    <w:sectPr w:rsidR="00821996" w:rsidRPr="00277E7F" w:rsidSect="00473791">
      <w:headerReference w:type="default" r:id="rId17"/>
      <w:footerReference w:type="default" r:id="rId18"/>
      <w:footerReference w:type="first" r:id="rId1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3966" w14:textId="77777777" w:rsidR="00027187" w:rsidRDefault="00027187">
      <w:r>
        <w:separator/>
      </w:r>
    </w:p>
  </w:endnote>
  <w:endnote w:type="continuationSeparator" w:id="0">
    <w:p w14:paraId="1F3559BE" w14:textId="77777777" w:rsidR="00027187" w:rsidRDefault="00027187">
      <w:r>
        <w:continuationSeparator/>
      </w:r>
    </w:p>
  </w:endnote>
  <w:endnote w:type="continuationNotice" w:id="1">
    <w:p w14:paraId="645F4D31" w14:textId="77777777" w:rsidR="00027187" w:rsidRDefault="0002718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C59B" w14:textId="50FCF028" w:rsidR="009F3E3F" w:rsidRDefault="008C514F" w:rsidP="009F3E3F">
    <w:pPr>
      <w:pStyle w:val="Footer"/>
    </w:pPr>
    <w:fldSimple w:instr=" FILENAME \p  \* MERGEFORMAT ">
      <w:r w:rsidR="009F3E3F">
        <w:t>P:\CHI\ITU-D\CONF-D\TDAG21\TDAG21-29\000\007C.docx</w:t>
      </w:r>
    </w:fldSimple>
    <w:r w:rsidR="009F3E3F">
      <w:t xml:space="preserve"> (</w:t>
    </w:r>
    <w:r w:rsidR="009F3E3F" w:rsidRPr="009F3E3F">
      <w:rPr>
        <w:lang w:val="en-GB"/>
      </w:rPr>
      <w:t>494509</w:t>
    </w:r>
    <w:r w:rsidR="009F3E3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BC3591" w14:paraId="639A86D7" w14:textId="77777777" w:rsidTr="00BC3591">
      <w:tc>
        <w:tcPr>
          <w:tcW w:w="1526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4405CCAE" w14:textId="77777777" w:rsidR="00BC3591" w:rsidRDefault="00BC3591" w:rsidP="00BC359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25" w:name="OrgName" w:colFirst="2" w:colLast="2"/>
          <w:r>
            <w:rPr>
              <w:rFonts w:hint="eastAsia"/>
              <w:sz w:val="20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D8A1B09" w14:textId="77777777" w:rsidR="00BC3591" w:rsidRDefault="00BC3591" w:rsidP="00BC359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20"/>
              <w:lang w:val="en-US" w:eastAsia="zh-CN"/>
            </w:rPr>
            <w:t>组织</w:t>
          </w:r>
          <w:r>
            <w:rPr>
              <w:sz w:val="20"/>
              <w:lang w:val="en-US"/>
            </w:rPr>
            <w:t>/</w:t>
          </w:r>
          <w:r>
            <w:rPr>
              <w:rFonts w:hint="eastAsia"/>
              <w:sz w:val="20"/>
              <w:lang w:val="en-US" w:eastAsia="zh-CN"/>
            </w:rPr>
            <w:t>实体</w:t>
          </w:r>
          <w:r>
            <w:rPr>
              <w:sz w:val="20"/>
              <w:lang w:val="en-US"/>
            </w:rPr>
            <w:t>/</w:t>
          </w:r>
          <w:r>
            <w:rPr>
              <w:rFonts w:hint="eastAsia"/>
              <w:sz w:val="20"/>
              <w:lang w:val="en-US" w:eastAsia="zh-CN"/>
            </w:rPr>
            <w:t>姓名：</w:t>
          </w:r>
        </w:p>
      </w:tc>
      <w:tc>
        <w:tcPr>
          <w:tcW w:w="598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63BEA5C" w14:textId="77777777" w:rsidR="00BC3591" w:rsidRDefault="00BC3591" w:rsidP="00BC35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电信发展局数字发展伙伴关系部主任</w:t>
          </w:r>
          <w:r>
            <w:rPr>
              <w:sz w:val="18"/>
              <w:szCs w:val="18"/>
              <w:lang w:val="en-US" w:eastAsia="zh-CN"/>
            </w:rPr>
            <w:t>Cosmas Zavazava</w:t>
          </w:r>
          <w:r>
            <w:rPr>
              <w:rFonts w:hint="eastAsia"/>
              <w:sz w:val="18"/>
              <w:szCs w:val="18"/>
              <w:lang w:val="en-US" w:eastAsia="zh-CN"/>
            </w:rPr>
            <w:t>博士</w:t>
          </w:r>
        </w:p>
      </w:tc>
    </w:tr>
    <w:tr w:rsidR="00BC3591" w14:paraId="38DD9FBC" w14:textId="77777777" w:rsidTr="00BC3591">
      <w:tc>
        <w:tcPr>
          <w:tcW w:w="1526" w:type="dxa"/>
        </w:tcPr>
        <w:p w14:paraId="3A33C185" w14:textId="77777777" w:rsidR="00BC3591" w:rsidRDefault="00BC3591" w:rsidP="00BC359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  <w:bookmarkStart w:id="26" w:name="PhoneNo" w:colFirst="2" w:colLast="2"/>
          <w:bookmarkEnd w:id="25"/>
        </w:p>
      </w:tc>
      <w:tc>
        <w:tcPr>
          <w:tcW w:w="2410" w:type="dxa"/>
          <w:hideMark/>
        </w:tcPr>
        <w:p w14:paraId="6E93D5DE" w14:textId="77777777" w:rsidR="00BC3591" w:rsidRDefault="00BC3591" w:rsidP="00BC35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20"/>
              <w:lang w:val="en-US" w:eastAsia="zh-CN"/>
            </w:rPr>
            <w:t>电话号码：</w:t>
          </w:r>
        </w:p>
      </w:tc>
      <w:tc>
        <w:tcPr>
          <w:tcW w:w="5987" w:type="dxa"/>
          <w:hideMark/>
        </w:tcPr>
        <w:p w14:paraId="38809B96" w14:textId="77777777" w:rsidR="00BC3591" w:rsidRDefault="00BC3591" w:rsidP="00BC35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+41 22 7305447</w:t>
          </w:r>
        </w:p>
      </w:tc>
    </w:tr>
    <w:tr w:rsidR="00BC3591" w14:paraId="08F57862" w14:textId="77777777" w:rsidTr="00BC3591">
      <w:tc>
        <w:tcPr>
          <w:tcW w:w="1526" w:type="dxa"/>
        </w:tcPr>
        <w:p w14:paraId="2945CBC3" w14:textId="77777777" w:rsidR="00BC3591" w:rsidRDefault="00BC3591" w:rsidP="00BC359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bookmarkStart w:id="27" w:name="Email" w:colFirst="2" w:colLast="2"/>
          <w:bookmarkEnd w:id="26"/>
        </w:p>
      </w:tc>
      <w:tc>
        <w:tcPr>
          <w:tcW w:w="2410" w:type="dxa"/>
          <w:hideMark/>
        </w:tcPr>
        <w:p w14:paraId="75A6B0DB" w14:textId="77777777" w:rsidR="00BC3591" w:rsidRDefault="00BC3591" w:rsidP="00BC35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20"/>
              <w:lang w:val="en-US" w:eastAsia="zh-CN"/>
            </w:rPr>
            <w:t>电子邮箱：</w:t>
          </w:r>
        </w:p>
      </w:tc>
      <w:tc>
        <w:tcPr>
          <w:tcW w:w="5987" w:type="dxa"/>
          <w:hideMark/>
        </w:tcPr>
        <w:p w14:paraId="16DBCA88" w14:textId="77777777" w:rsidR="00BC3591" w:rsidRDefault="005A1474" w:rsidP="00BC35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BC3591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</w:tr>
    <w:bookmarkEnd w:id="27"/>
  </w:tbl>
  <w:p w14:paraId="4C180B30" w14:textId="77777777" w:rsidR="00BC3591" w:rsidRDefault="00BC3591" w:rsidP="00BC3591">
    <w:pPr>
      <w:pStyle w:val="Footer"/>
      <w:jc w:val="center"/>
      <w:rPr>
        <w:lang w:val="en-GB"/>
      </w:rPr>
    </w:pPr>
  </w:p>
  <w:p w14:paraId="51720422" w14:textId="77777777" w:rsidR="00BC3591" w:rsidRDefault="005A1474" w:rsidP="00BC3591">
    <w:pPr>
      <w:pStyle w:val="Footer"/>
      <w:jc w:val="center"/>
      <w:rPr>
        <w:lang w:val="en-GB"/>
      </w:rPr>
    </w:pPr>
    <w:hyperlink r:id="rId2" w:history="1">
      <w:r w:rsidR="00BC3591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  <w:p w14:paraId="40A321D0" w14:textId="3408788F" w:rsidR="00721657" w:rsidRPr="0059420B" w:rsidRDefault="00721657" w:rsidP="00B80157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C86F" w14:textId="77777777" w:rsidR="00027187" w:rsidRDefault="00027187">
      <w:r>
        <w:t>____________________</w:t>
      </w:r>
    </w:p>
  </w:footnote>
  <w:footnote w:type="continuationSeparator" w:id="0">
    <w:p w14:paraId="2315D397" w14:textId="77777777" w:rsidR="00027187" w:rsidRDefault="00027187">
      <w:r>
        <w:continuationSeparator/>
      </w:r>
    </w:p>
  </w:footnote>
  <w:footnote w:type="continuationNotice" w:id="1">
    <w:p w14:paraId="4FC8E115" w14:textId="77777777" w:rsidR="00027187" w:rsidRDefault="00027187">
      <w:pPr>
        <w:spacing w:before="0"/>
      </w:pPr>
    </w:p>
  </w:footnote>
  <w:footnote w:id="2">
    <w:p w14:paraId="78A2A00C" w14:textId="41F2EBDD" w:rsidR="007F0D47" w:rsidRPr="00382EF6" w:rsidRDefault="007F0D47" w:rsidP="00382EF6">
      <w:pPr>
        <w:pStyle w:val="FootnoteText"/>
        <w:spacing w:before="0"/>
        <w:ind w:left="0" w:firstLine="0"/>
        <w:rPr>
          <w:sz w:val="18"/>
          <w:szCs w:val="18"/>
        </w:rPr>
      </w:pPr>
      <w:r w:rsidRPr="00382EF6">
        <w:rPr>
          <w:rStyle w:val="FootnoteReference"/>
          <w:szCs w:val="18"/>
        </w:rPr>
        <w:footnoteRef/>
      </w:r>
      <w:r w:rsidRPr="00382EF6">
        <w:rPr>
          <w:sz w:val="18"/>
          <w:szCs w:val="18"/>
        </w:rPr>
        <w:t xml:space="preserve"> </w:t>
      </w:r>
      <w:r w:rsidR="00E5653E" w:rsidRPr="00E5653E">
        <w:rPr>
          <w:rFonts w:hint="eastAsia"/>
          <w:sz w:val="18"/>
          <w:szCs w:val="18"/>
        </w:rPr>
        <w:t>国际电联项目组合概述见</w:t>
      </w:r>
      <w:hyperlink r:id="rId1" w:history="1">
        <w:r w:rsidRPr="00382EF6">
          <w:rPr>
            <w:rStyle w:val="Hyperlink"/>
            <w:sz w:val="18"/>
            <w:szCs w:val="18"/>
          </w:rPr>
          <w:t>www.itu.int/en/ITU-D/Projects/</w:t>
        </w:r>
      </w:hyperlink>
    </w:p>
  </w:footnote>
  <w:footnote w:id="3">
    <w:p w14:paraId="36B05D1E" w14:textId="5D2A4646" w:rsidR="00262182" w:rsidRPr="00382EF6" w:rsidRDefault="00262182" w:rsidP="00262182">
      <w:pPr>
        <w:pStyle w:val="FootnoteText"/>
        <w:spacing w:before="0"/>
        <w:ind w:left="0" w:firstLine="0"/>
        <w:rPr>
          <w:sz w:val="18"/>
          <w:szCs w:val="18"/>
          <w:lang w:eastAsia="zh-CN"/>
        </w:rPr>
      </w:pPr>
      <w:r w:rsidRPr="00382EF6">
        <w:rPr>
          <w:rStyle w:val="FootnoteReference"/>
          <w:szCs w:val="18"/>
        </w:rPr>
        <w:footnoteRef/>
      </w:r>
      <w:r w:rsidR="006E61AE">
        <w:rPr>
          <w:rFonts w:hint="eastAsia"/>
          <w:sz w:val="18"/>
          <w:szCs w:val="18"/>
          <w:lang w:eastAsia="zh-CN"/>
        </w:rPr>
        <w:t xml:space="preserve"> </w:t>
      </w:r>
      <w:r w:rsidR="006E61AE" w:rsidRPr="006E61AE">
        <w:rPr>
          <w:rFonts w:hint="eastAsia"/>
          <w:sz w:val="18"/>
          <w:szCs w:val="18"/>
          <w:lang w:eastAsia="zh-CN"/>
        </w:rPr>
        <w:t>关于</w:t>
      </w:r>
      <w:r w:rsidR="006E61AE" w:rsidRPr="00382EF6">
        <w:rPr>
          <w:sz w:val="18"/>
          <w:szCs w:val="18"/>
          <w:lang w:eastAsia="zh-CN"/>
        </w:rPr>
        <w:t>ICTDF</w:t>
      </w:r>
      <w:r w:rsidR="006E61AE" w:rsidRPr="006E61AE">
        <w:rPr>
          <w:rFonts w:hint="eastAsia"/>
          <w:sz w:val="18"/>
          <w:szCs w:val="18"/>
          <w:lang w:eastAsia="zh-CN"/>
        </w:rPr>
        <w:t>的更多信息，可查阅</w:t>
      </w:r>
      <w:r w:rsidR="006E61AE" w:rsidRPr="006E61AE">
        <w:rPr>
          <w:rFonts w:hint="eastAsia"/>
          <w:sz w:val="18"/>
          <w:szCs w:val="18"/>
          <w:lang w:eastAsia="zh-CN"/>
        </w:rPr>
        <w:t>C21/034</w:t>
      </w:r>
      <w:r w:rsidR="006E61AE" w:rsidRPr="006E61AE">
        <w:rPr>
          <w:rFonts w:hint="eastAsia"/>
          <w:sz w:val="18"/>
          <w:szCs w:val="18"/>
          <w:lang w:eastAsia="zh-CN"/>
        </w:rPr>
        <w:t>号文件，网址为</w:t>
      </w:r>
      <w:r w:rsidRPr="00382EF6">
        <w:rPr>
          <w:sz w:val="18"/>
          <w:szCs w:val="18"/>
          <w:lang w:eastAsia="zh-CN"/>
        </w:rPr>
        <w:t xml:space="preserve"> </w:t>
      </w:r>
      <w:hyperlink r:id="rId2" w:history="1">
        <w:r w:rsidRPr="00382EF6">
          <w:rPr>
            <w:rStyle w:val="Hyperlink"/>
            <w:sz w:val="18"/>
            <w:szCs w:val="18"/>
            <w:lang w:eastAsia="zh-CN"/>
          </w:rPr>
          <w:t>https://www.itu.int/md/S21-CL-C-0034/en</w:t>
        </w:r>
      </w:hyperlink>
      <w:r w:rsidRPr="00382EF6">
        <w:rPr>
          <w:sz w:val="18"/>
          <w:szCs w:val="18"/>
          <w:lang w:eastAsia="zh-CN"/>
        </w:rPr>
        <w:t xml:space="preserve"> </w:t>
      </w:r>
    </w:p>
  </w:footnote>
  <w:footnote w:id="4">
    <w:p w14:paraId="1CF448A6" w14:textId="004B10B1" w:rsidR="00262182" w:rsidRPr="00382EF6" w:rsidRDefault="00262182" w:rsidP="00262182">
      <w:pPr>
        <w:pStyle w:val="FootnoteText"/>
        <w:spacing w:before="0"/>
        <w:ind w:left="0" w:firstLine="0"/>
        <w:rPr>
          <w:rFonts w:cstheme="minorHAnsi"/>
          <w:sz w:val="18"/>
          <w:szCs w:val="18"/>
          <w:lang w:eastAsia="zh-CN"/>
        </w:rPr>
      </w:pPr>
      <w:r w:rsidRPr="00382EF6">
        <w:rPr>
          <w:rStyle w:val="FootnoteReference"/>
          <w:rFonts w:cstheme="minorHAnsi"/>
          <w:szCs w:val="18"/>
        </w:rPr>
        <w:footnoteRef/>
      </w:r>
      <w:r w:rsidR="006E61AE">
        <w:rPr>
          <w:rFonts w:cstheme="minorHAnsi" w:hint="eastAsia"/>
          <w:sz w:val="18"/>
          <w:szCs w:val="18"/>
          <w:lang w:eastAsia="zh-CN"/>
        </w:rPr>
        <w:t xml:space="preserve"> </w:t>
      </w:r>
      <w:r w:rsidR="006E61AE">
        <w:rPr>
          <w:rFonts w:cstheme="minorHAnsi" w:hint="eastAsia"/>
          <w:sz w:val="18"/>
          <w:szCs w:val="18"/>
          <w:lang w:eastAsia="zh-CN"/>
        </w:rPr>
        <w:t>运作规划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资源包括理事会为实施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WTDC-17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区域</w:t>
      </w:r>
      <w:r w:rsidR="006E61AE">
        <w:rPr>
          <w:rFonts w:cstheme="minorHAnsi" w:hint="eastAsia"/>
          <w:sz w:val="18"/>
          <w:szCs w:val="18"/>
          <w:lang w:eastAsia="zh-CN"/>
        </w:rPr>
        <w:t>性举措划</w:t>
      </w:r>
      <w:r w:rsidR="00F34E02">
        <w:rPr>
          <w:rFonts w:cstheme="minorHAnsi" w:hint="eastAsia"/>
          <w:sz w:val="18"/>
          <w:szCs w:val="18"/>
          <w:lang w:eastAsia="zh-CN"/>
        </w:rPr>
        <w:t>的</w:t>
      </w:r>
      <w:r w:rsidR="006E61AE">
        <w:rPr>
          <w:rFonts w:cstheme="minorHAnsi" w:hint="eastAsia"/>
          <w:sz w:val="18"/>
          <w:szCs w:val="18"/>
          <w:lang w:eastAsia="zh-CN"/>
        </w:rPr>
        <w:t>拨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资金</w:t>
      </w:r>
      <w:r w:rsidR="006E61AE">
        <w:rPr>
          <w:rFonts w:cstheme="minorHAnsi" w:hint="eastAsia"/>
          <w:sz w:val="18"/>
          <w:szCs w:val="18"/>
          <w:lang w:eastAsia="zh-CN"/>
        </w:rPr>
        <w:t>（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5000</w:t>
      </w:r>
      <w:r w:rsidR="006E61AE">
        <w:rPr>
          <w:rFonts w:cstheme="minorHAnsi"/>
          <w:sz w:val="18"/>
          <w:szCs w:val="18"/>
          <w:lang w:eastAsia="zh-CN"/>
        </w:rPr>
        <w:t>,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000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瑞士法郎</w:t>
      </w:r>
      <w:r w:rsidR="006E61AE">
        <w:rPr>
          <w:rFonts w:cstheme="minorHAnsi" w:hint="eastAsia"/>
          <w:sz w:val="18"/>
          <w:szCs w:val="18"/>
          <w:lang w:eastAsia="zh-CN"/>
        </w:rPr>
        <w:t>）</w:t>
      </w:r>
    </w:p>
  </w:footnote>
  <w:footnote w:id="5">
    <w:p w14:paraId="7456155E" w14:textId="3565F6CD" w:rsidR="00B03673" w:rsidRPr="00382EF6" w:rsidRDefault="00B03673" w:rsidP="00B03673">
      <w:pPr>
        <w:pStyle w:val="FootnoteText"/>
        <w:tabs>
          <w:tab w:val="clear" w:pos="255"/>
          <w:tab w:val="left" w:pos="270"/>
        </w:tabs>
        <w:spacing w:before="0"/>
        <w:ind w:left="0" w:firstLine="0"/>
        <w:rPr>
          <w:rFonts w:cstheme="minorHAnsi"/>
          <w:sz w:val="18"/>
          <w:szCs w:val="18"/>
          <w:lang w:val="en-US" w:eastAsia="zh-CN"/>
        </w:rPr>
      </w:pPr>
      <w:r w:rsidRPr="00382EF6">
        <w:rPr>
          <w:rStyle w:val="FootnoteReference"/>
          <w:rFonts w:cstheme="minorHAnsi"/>
          <w:szCs w:val="18"/>
        </w:rPr>
        <w:footnoteRef/>
      </w:r>
      <w:r w:rsidR="006E61AE">
        <w:rPr>
          <w:rFonts w:cstheme="minorHAnsi" w:hint="eastAsia"/>
          <w:sz w:val="18"/>
          <w:szCs w:val="18"/>
          <w:lang w:eastAsia="zh-CN"/>
        </w:rPr>
        <w:t xml:space="preserve"> 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国际电联理事会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2018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年</w:t>
      </w:r>
      <w:r w:rsidR="006E61AE">
        <w:rPr>
          <w:rFonts w:cstheme="minorHAnsi" w:hint="eastAsia"/>
          <w:sz w:val="18"/>
          <w:szCs w:val="18"/>
          <w:lang w:eastAsia="zh-CN"/>
        </w:rPr>
        <w:t>会议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拨款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500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万瑞士法郎，用于设立与实施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WTDC-17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区域</w:t>
      </w:r>
      <w:r w:rsidR="006E61AE">
        <w:rPr>
          <w:rFonts w:cstheme="minorHAnsi" w:hint="eastAsia"/>
          <w:sz w:val="18"/>
          <w:szCs w:val="18"/>
          <w:lang w:eastAsia="zh-CN"/>
        </w:rPr>
        <w:t>性举措</w:t>
      </w:r>
      <w:r w:rsidR="006E61AE" w:rsidRPr="006E61AE">
        <w:rPr>
          <w:rFonts w:cstheme="minorHAnsi" w:hint="eastAsia"/>
          <w:sz w:val="18"/>
          <w:szCs w:val="18"/>
          <w:lang w:eastAsia="zh-CN"/>
        </w:rPr>
        <w:t>相关的项目。</w:t>
      </w:r>
    </w:p>
  </w:footnote>
  <w:footnote w:id="6">
    <w:p w14:paraId="3EE5E7DE" w14:textId="5DAF3E33" w:rsidR="00BD1910" w:rsidRPr="00382EF6" w:rsidRDefault="00BD1910" w:rsidP="00382EF6">
      <w:pPr>
        <w:pStyle w:val="FootnoteText"/>
        <w:tabs>
          <w:tab w:val="clear" w:pos="255"/>
          <w:tab w:val="left" w:pos="90"/>
        </w:tabs>
        <w:spacing w:before="0"/>
        <w:ind w:left="0" w:firstLine="0"/>
        <w:rPr>
          <w:rFonts w:cstheme="minorHAnsi"/>
          <w:sz w:val="18"/>
          <w:szCs w:val="18"/>
          <w:lang w:eastAsia="zh-CN"/>
        </w:rPr>
      </w:pPr>
      <w:r w:rsidRPr="00382EF6">
        <w:rPr>
          <w:rStyle w:val="FootnoteReference"/>
          <w:szCs w:val="18"/>
        </w:rPr>
        <w:footnoteRef/>
      </w:r>
      <w:r w:rsidR="00706788" w:rsidRPr="00706788">
        <w:rPr>
          <w:rFonts w:cstheme="minorHAnsi" w:hint="eastAsia"/>
          <w:sz w:val="18"/>
          <w:szCs w:val="18"/>
          <w:lang w:eastAsia="zh-CN"/>
        </w:rPr>
        <w:t>关于</w:t>
      </w:r>
      <w:r w:rsidR="00706788" w:rsidRPr="00382EF6">
        <w:rPr>
          <w:rFonts w:cstheme="minorHAnsi"/>
          <w:sz w:val="18"/>
          <w:szCs w:val="18"/>
          <w:lang w:eastAsia="zh-CN"/>
        </w:rPr>
        <w:t>ITU-D</w:t>
      </w:r>
      <w:r w:rsidR="00706788" w:rsidRPr="00706788">
        <w:rPr>
          <w:rFonts w:cstheme="minorHAnsi" w:hint="eastAsia"/>
          <w:sz w:val="18"/>
          <w:szCs w:val="18"/>
          <w:lang w:eastAsia="zh-CN"/>
        </w:rPr>
        <w:t>伙伴关系和资源</w:t>
      </w:r>
      <w:r w:rsidR="00706788">
        <w:rPr>
          <w:rFonts w:cstheme="minorHAnsi" w:hint="eastAsia"/>
          <w:sz w:val="18"/>
          <w:szCs w:val="18"/>
          <w:lang w:eastAsia="zh-CN"/>
        </w:rPr>
        <w:t>筹措</w:t>
      </w:r>
      <w:r w:rsidR="00706788" w:rsidRPr="00706788">
        <w:rPr>
          <w:rFonts w:cstheme="minorHAnsi" w:hint="eastAsia"/>
          <w:sz w:val="18"/>
          <w:szCs w:val="18"/>
          <w:lang w:eastAsia="zh-CN"/>
        </w:rPr>
        <w:t>的更多信息，可查阅</w:t>
      </w:r>
      <w:r w:rsidR="00A003F4">
        <w:rPr>
          <w:rFonts w:cstheme="minorHAnsi" w:hint="eastAsia"/>
          <w:sz w:val="18"/>
          <w:szCs w:val="18"/>
          <w:lang w:eastAsia="zh-CN"/>
        </w:rPr>
        <w:t>有关</w:t>
      </w:r>
      <w:r w:rsidR="00A003F4" w:rsidRPr="00382EF6">
        <w:rPr>
          <w:rFonts w:cstheme="minorHAnsi"/>
          <w:sz w:val="18"/>
          <w:szCs w:val="18"/>
          <w:lang w:eastAsia="zh-CN"/>
        </w:rPr>
        <w:t>ITU-D</w:t>
      </w:r>
      <w:r w:rsidR="00706788" w:rsidRPr="00706788">
        <w:rPr>
          <w:rFonts w:cstheme="minorHAnsi" w:hint="eastAsia"/>
          <w:sz w:val="18"/>
          <w:szCs w:val="18"/>
          <w:lang w:eastAsia="zh-CN"/>
        </w:rPr>
        <w:t>部门成员、</w:t>
      </w:r>
      <w:r w:rsidR="00A003F4">
        <w:rPr>
          <w:rFonts w:cstheme="minorHAnsi" w:hint="eastAsia"/>
          <w:sz w:val="18"/>
          <w:szCs w:val="18"/>
          <w:lang w:eastAsia="zh-CN"/>
        </w:rPr>
        <w:t>部门准成员</w:t>
      </w:r>
      <w:r w:rsidR="00706788" w:rsidRPr="00706788">
        <w:rPr>
          <w:rFonts w:cstheme="minorHAnsi" w:hint="eastAsia"/>
          <w:sz w:val="18"/>
          <w:szCs w:val="18"/>
          <w:lang w:eastAsia="zh-CN"/>
        </w:rPr>
        <w:t>和学术</w:t>
      </w:r>
      <w:r w:rsidR="00A003F4">
        <w:rPr>
          <w:rFonts w:cstheme="minorHAnsi" w:hint="eastAsia"/>
          <w:sz w:val="18"/>
          <w:szCs w:val="18"/>
          <w:lang w:eastAsia="zh-CN"/>
        </w:rPr>
        <w:t>成员</w:t>
      </w:r>
      <w:r w:rsidR="00706788" w:rsidRPr="00706788">
        <w:rPr>
          <w:rFonts w:cstheme="minorHAnsi" w:hint="eastAsia"/>
          <w:sz w:val="18"/>
          <w:szCs w:val="18"/>
          <w:lang w:eastAsia="zh-CN"/>
        </w:rPr>
        <w:t>的</w:t>
      </w:r>
      <w:r w:rsidR="00706788" w:rsidRPr="00706788">
        <w:rPr>
          <w:rFonts w:cstheme="minorHAnsi" w:hint="eastAsia"/>
          <w:sz w:val="18"/>
          <w:szCs w:val="18"/>
          <w:lang w:eastAsia="zh-CN"/>
        </w:rPr>
        <w:t>TDAG-21/2/7-E</w:t>
      </w:r>
      <w:r w:rsidR="00706788" w:rsidRPr="00706788">
        <w:rPr>
          <w:rFonts w:cstheme="minorHAnsi" w:hint="eastAsia"/>
          <w:sz w:val="18"/>
          <w:szCs w:val="18"/>
          <w:lang w:eastAsia="zh-CN"/>
        </w:rPr>
        <w:t>号文件和</w:t>
      </w:r>
      <w:r w:rsidR="00706788" w:rsidRPr="00706788">
        <w:rPr>
          <w:rFonts w:cstheme="minorHAnsi" w:hint="eastAsia"/>
          <w:sz w:val="18"/>
          <w:szCs w:val="18"/>
          <w:lang w:eastAsia="zh-CN"/>
        </w:rPr>
        <w:t>INF/2</w:t>
      </w:r>
      <w:r w:rsidR="00706788" w:rsidRPr="00706788">
        <w:rPr>
          <w:rFonts w:cstheme="minorHAnsi" w:hint="eastAsia"/>
          <w:sz w:val="18"/>
          <w:szCs w:val="18"/>
          <w:lang w:eastAsia="zh-CN"/>
        </w:rPr>
        <w:t>号文件以及</w:t>
      </w:r>
      <w:r w:rsidR="00706788" w:rsidRPr="00706788">
        <w:rPr>
          <w:rFonts w:cstheme="minorHAnsi" w:hint="eastAsia"/>
          <w:sz w:val="18"/>
          <w:szCs w:val="18"/>
          <w:lang w:eastAsia="zh-CN"/>
        </w:rPr>
        <w:t>TDAG-21/2/8-E</w:t>
      </w:r>
      <w:r w:rsidR="00706788" w:rsidRPr="00706788">
        <w:rPr>
          <w:rFonts w:cstheme="minorHAnsi" w:hint="eastAsia"/>
          <w:sz w:val="18"/>
          <w:szCs w:val="18"/>
          <w:lang w:eastAsia="zh-CN"/>
        </w:rPr>
        <w:t>号文件。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1282BCC9" w:rsidR="00721657" w:rsidRPr="00382EF6" w:rsidRDefault="00A525CC" w:rsidP="00382EF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 w:eastAsia="zh-CN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="00143F44">
      <w:rPr>
        <w:sz w:val="22"/>
        <w:szCs w:val="22"/>
        <w:lang w:val="de-CH"/>
      </w:rPr>
      <w:t>/2</w:t>
    </w:r>
    <w:r w:rsidRPr="00A54E72">
      <w:rPr>
        <w:sz w:val="22"/>
        <w:szCs w:val="22"/>
        <w:lang w:val="de-CH"/>
      </w:rPr>
      <w:t>/</w:t>
    </w:r>
    <w:r w:rsidR="00C90FC4">
      <w:rPr>
        <w:sz w:val="22"/>
        <w:szCs w:val="22"/>
        <w:lang w:val="de-CH"/>
      </w:rPr>
      <w:t>7</w:t>
    </w:r>
    <w:r w:rsidRPr="006D271A">
      <w:rPr>
        <w:sz w:val="22"/>
        <w:szCs w:val="22"/>
        <w:lang w:val="de-CH"/>
      </w:rPr>
      <w:t>-</w:t>
    </w:r>
    <w:r w:rsidR="00262182">
      <w:rPr>
        <w:sz w:val="22"/>
        <w:szCs w:val="22"/>
        <w:lang w:val="de-CH"/>
      </w:rPr>
      <w:t>C</w:t>
    </w:r>
    <w:r w:rsidRPr="006D271A">
      <w:rPr>
        <w:sz w:val="22"/>
        <w:szCs w:val="22"/>
        <w:lang w:val="de-CH"/>
      </w:rPr>
      <w:tab/>
    </w:r>
    <w:r w:rsidR="00262182">
      <w:rPr>
        <w:rFonts w:hint="eastAsia"/>
        <w:sz w:val="22"/>
        <w:szCs w:val="22"/>
        <w:lang w:val="de-CH" w:eastAsia="zh-CN"/>
      </w:rPr>
      <w:t>第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B0581">
      <w:rPr>
        <w:noProof/>
        <w:sz w:val="22"/>
        <w:szCs w:val="22"/>
        <w:lang w:val="de-CH"/>
      </w:rPr>
      <w:t>5</w:t>
    </w:r>
    <w:r w:rsidRPr="00972BCD">
      <w:rPr>
        <w:sz w:val="22"/>
        <w:szCs w:val="22"/>
      </w:rPr>
      <w:fldChar w:fldCharType="end"/>
    </w:r>
    <w:r w:rsidR="00262182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658A7"/>
    <w:multiLevelType w:val="hybridMultilevel"/>
    <w:tmpl w:val="A652166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6DA5170E"/>
    <w:multiLevelType w:val="hybridMultilevel"/>
    <w:tmpl w:val="8912E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57924"/>
    <w:multiLevelType w:val="hybridMultilevel"/>
    <w:tmpl w:val="B3CAB86E"/>
    <w:lvl w:ilvl="0" w:tplc="D8AA70EE">
      <w:start w:val="1"/>
      <w:numFmt w:val="bullet"/>
      <w:lvlText w:val=""/>
      <w:lvlJc w:val="left"/>
      <w:pPr>
        <w:ind w:left="-1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24E9"/>
    <w:rsid w:val="000144E4"/>
    <w:rsid w:val="00015089"/>
    <w:rsid w:val="000209DB"/>
    <w:rsid w:val="0002520B"/>
    <w:rsid w:val="00027187"/>
    <w:rsid w:val="00037A9E"/>
    <w:rsid w:val="00037F91"/>
    <w:rsid w:val="00046236"/>
    <w:rsid w:val="000464E5"/>
    <w:rsid w:val="000539F1"/>
    <w:rsid w:val="00054747"/>
    <w:rsid w:val="00055A2A"/>
    <w:rsid w:val="000615C1"/>
    <w:rsid w:val="00061675"/>
    <w:rsid w:val="00064A3E"/>
    <w:rsid w:val="000743AA"/>
    <w:rsid w:val="000819AA"/>
    <w:rsid w:val="0009076F"/>
    <w:rsid w:val="0009225C"/>
    <w:rsid w:val="000A17C4"/>
    <w:rsid w:val="000A36A4"/>
    <w:rsid w:val="000A3CA2"/>
    <w:rsid w:val="000B2352"/>
    <w:rsid w:val="000C09E8"/>
    <w:rsid w:val="000C7B84"/>
    <w:rsid w:val="000D261B"/>
    <w:rsid w:val="000D58A3"/>
    <w:rsid w:val="000D5C9C"/>
    <w:rsid w:val="000E3ED4"/>
    <w:rsid w:val="000E3F9C"/>
    <w:rsid w:val="000F1550"/>
    <w:rsid w:val="000F251B"/>
    <w:rsid w:val="000F5FE8"/>
    <w:rsid w:val="000F6644"/>
    <w:rsid w:val="00100833"/>
    <w:rsid w:val="00101891"/>
    <w:rsid w:val="00101D8C"/>
    <w:rsid w:val="0010237C"/>
    <w:rsid w:val="00102F72"/>
    <w:rsid w:val="00107E85"/>
    <w:rsid w:val="00113EE8"/>
    <w:rsid w:val="0011455A"/>
    <w:rsid w:val="00114A65"/>
    <w:rsid w:val="00116191"/>
    <w:rsid w:val="00133061"/>
    <w:rsid w:val="00141699"/>
    <w:rsid w:val="00143F44"/>
    <w:rsid w:val="00147000"/>
    <w:rsid w:val="001555A7"/>
    <w:rsid w:val="00155D4C"/>
    <w:rsid w:val="00163091"/>
    <w:rsid w:val="001645CB"/>
    <w:rsid w:val="00166305"/>
    <w:rsid w:val="0016688A"/>
    <w:rsid w:val="00167545"/>
    <w:rsid w:val="001703C6"/>
    <w:rsid w:val="00173781"/>
    <w:rsid w:val="00175ADF"/>
    <w:rsid w:val="00175CAE"/>
    <w:rsid w:val="00177D43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28FF"/>
    <w:rsid w:val="00223FC9"/>
    <w:rsid w:val="00227090"/>
    <w:rsid w:val="0022754A"/>
    <w:rsid w:val="00236560"/>
    <w:rsid w:val="0023662E"/>
    <w:rsid w:val="00236E8C"/>
    <w:rsid w:val="00244897"/>
    <w:rsid w:val="00245D0F"/>
    <w:rsid w:val="00252AF2"/>
    <w:rsid w:val="002548C3"/>
    <w:rsid w:val="00257ACD"/>
    <w:rsid w:val="00262182"/>
    <w:rsid w:val="00262908"/>
    <w:rsid w:val="002650F4"/>
    <w:rsid w:val="00265172"/>
    <w:rsid w:val="00270220"/>
    <w:rsid w:val="002715FD"/>
    <w:rsid w:val="002770B1"/>
    <w:rsid w:val="00277E7F"/>
    <w:rsid w:val="002818E9"/>
    <w:rsid w:val="002830F4"/>
    <w:rsid w:val="002831ED"/>
    <w:rsid w:val="002841C4"/>
    <w:rsid w:val="00285B33"/>
    <w:rsid w:val="00287A3C"/>
    <w:rsid w:val="00287E04"/>
    <w:rsid w:val="0029364C"/>
    <w:rsid w:val="002A2FC6"/>
    <w:rsid w:val="002B0E11"/>
    <w:rsid w:val="002B4CF7"/>
    <w:rsid w:val="002C1EC7"/>
    <w:rsid w:val="002C2DC1"/>
    <w:rsid w:val="002C3015"/>
    <w:rsid w:val="002C4342"/>
    <w:rsid w:val="002C7EA3"/>
    <w:rsid w:val="002D20AE"/>
    <w:rsid w:val="002D261A"/>
    <w:rsid w:val="002D2EEC"/>
    <w:rsid w:val="002D33D6"/>
    <w:rsid w:val="002D6C61"/>
    <w:rsid w:val="002E1563"/>
    <w:rsid w:val="002E2104"/>
    <w:rsid w:val="002E2DAC"/>
    <w:rsid w:val="002E33E5"/>
    <w:rsid w:val="002E6725"/>
    <w:rsid w:val="002E6963"/>
    <w:rsid w:val="002E6F8F"/>
    <w:rsid w:val="002F05D8"/>
    <w:rsid w:val="002F2DE0"/>
    <w:rsid w:val="002F5974"/>
    <w:rsid w:val="002F5E25"/>
    <w:rsid w:val="002F7777"/>
    <w:rsid w:val="0030353C"/>
    <w:rsid w:val="003125C3"/>
    <w:rsid w:val="00312AE6"/>
    <w:rsid w:val="00317D1A"/>
    <w:rsid w:val="00321180"/>
    <w:rsid w:val="003211FF"/>
    <w:rsid w:val="003242AB"/>
    <w:rsid w:val="00324345"/>
    <w:rsid w:val="00327247"/>
    <w:rsid w:val="00327A9D"/>
    <w:rsid w:val="0033130E"/>
    <w:rsid w:val="0033269C"/>
    <w:rsid w:val="0034226C"/>
    <w:rsid w:val="003505CA"/>
    <w:rsid w:val="00351C79"/>
    <w:rsid w:val="0035516C"/>
    <w:rsid w:val="00355A4C"/>
    <w:rsid w:val="003604FB"/>
    <w:rsid w:val="00360B73"/>
    <w:rsid w:val="00380B71"/>
    <w:rsid w:val="00382EF6"/>
    <w:rsid w:val="0038365A"/>
    <w:rsid w:val="003859A0"/>
    <w:rsid w:val="00386A89"/>
    <w:rsid w:val="0039065B"/>
    <w:rsid w:val="003947B3"/>
    <w:rsid w:val="0039648E"/>
    <w:rsid w:val="003A5AFE"/>
    <w:rsid w:val="003A5D5F"/>
    <w:rsid w:val="003A7FFE"/>
    <w:rsid w:val="003B0A63"/>
    <w:rsid w:val="003B0C4D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0640"/>
    <w:rsid w:val="0041156B"/>
    <w:rsid w:val="00411C5F"/>
    <w:rsid w:val="004122C5"/>
    <w:rsid w:val="00413B78"/>
    <w:rsid w:val="00416DDE"/>
    <w:rsid w:val="004231AD"/>
    <w:rsid w:val="004249D0"/>
    <w:rsid w:val="0043102C"/>
    <w:rsid w:val="0044411E"/>
    <w:rsid w:val="00453435"/>
    <w:rsid w:val="00457113"/>
    <w:rsid w:val="00457495"/>
    <w:rsid w:val="00460089"/>
    <w:rsid w:val="00463046"/>
    <w:rsid w:val="00466398"/>
    <w:rsid w:val="0047306D"/>
    <w:rsid w:val="00473791"/>
    <w:rsid w:val="004751FB"/>
    <w:rsid w:val="00476E48"/>
    <w:rsid w:val="00481DE9"/>
    <w:rsid w:val="0049128B"/>
    <w:rsid w:val="00492585"/>
    <w:rsid w:val="00493B49"/>
    <w:rsid w:val="00495501"/>
    <w:rsid w:val="00496FE6"/>
    <w:rsid w:val="004A070A"/>
    <w:rsid w:val="004A320E"/>
    <w:rsid w:val="004A4E9C"/>
    <w:rsid w:val="004B1A3C"/>
    <w:rsid w:val="004B5459"/>
    <w:rsid w:val="004C7BC7"/>
    <w:rsid w:val="004D2CC3"/>
    <w:rsid w:val="004D35CB"/>
    <w:rsid w:val="004D7DAB"/>
    <w:rsid w:val="004E20E5"/>
    <w:rsid w:val="004E3759"/>
    <w:rsid w:val="004E4DE7"/>
    <w:rsid w:val="004E64EA"/>
    <w:rsid w:val="004E7828"/>
    <w:rsid w:val="004F46AA"/>
    <w:rsid w:val="004F6A70"/>
    <w:rsid w:val="00500AD7"/>
    <w:rsid w:val="00502ABF"/>
    <w:rsid w:val="005033F2"/>
    <w:rsid w:val="00504DB0"/>
    <w:rsid w:val="00505FD3"/>
    <w:rsid w:val="00507C35"/>
    <w:rsid w:val="00510735"/>
    <w:rsid w:val="00514D2F"/>
    <w:rsid w:val="00521497"/>
    <w:rsid w:val="00525EAA"/>
    <w:rsid w:val="0054420E"/>
    <w:rsid w:val="00544D1B"/>
    <w:rsid w:val="00545782"/>
    <w:rsid w:val="00545DC0"/>
    <w:rsid w:val="00545F6C"/>
    <w:rsid w:val="005477D9"/>
    <w:rsid w:val="005521AA"/>
    <w:rsid w:val="005547F0"/>
    <w:rsid w:val="0055720C"/>
    <w:rsid w:val="00561796"/>
    <w:rsid w:val="005632DD"/>
    <w:rsid w:val="0056423B"/>
    <w:rsid w:val="00566E16"/>
    <w:rsid w:val="005728DD"/>
    <w:rsid w:val="00573424"/>
    <w:rsid w:val="0057402F"/>
    <w:rsid w:val="00580E59"/>
    <w:rsid w:val="00581653"/>
    <w:rsid w:val="005849D6"/>
    <w:rsid w:val="00585367"/>
    <w:rsid w:val="00585A51"/>
    <w:rsid w:val="005871A1"/>
    <w:rsid w:val="0058737E"/>
    <w:rsid w:val="00592518"/>
    <w:rsid w:val="00592E87"/>
    <w:rsid w:val="0059420B"/>
    <w:rsid w:val="00594C4D"/>
    <w:rsid w:val="005A1474"/>
    <w:rsid w:val="005A2E09"/>
    <w:rsid w:val="005A33B0"/>
    <w:rsid w:val="005B0E91"/>
    <w:rsid w:val="005C007D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6C3A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5387"/>
    <w:rsid w:val="00623F30"/>
    <w:rsid w:val="00625FB8"/>
    <w:rsid w:val="006261BD"/>
    <w:rsid w:val="00635EDB"/>
    <w:rsid w:val="00636003"/>
    <w:rsid w:val="0064734E"/>
    <w:rsid w:val="00647E8E"/>
    <w:rsid w:val="00650137"/>
    <w:rsid w:val="006509D7"/>
    <w:rsid w:val="00651CE8"/>
    <w:rsid w:val="0065521B"/>
    <w:rsid w:val="00661D59"/>
    <w:rsid w:val="0066211D"/>
    <w:rsid w:val="00663D41"/>
    <w:rsid w:val="0066626B"/>
    <w:rsid w:val="00671EF6"/>
    <w:rsid w:val="0067205B"/>
    <w:rsid w:val="006748F8"/>
    <w:rsid w:val="00680489"/>
    <w:rsid w:val="006819A3"/>
    <w:rsid w:val="0068299E"/>
    <w:rsid w:val="00683B47"/>
    <w:rsid w:val="00683C32"/>
    <w:rsid w:val="006863D4"/>
    <w:rsid w:val="00690B65"/>
    <w:rsid w:val="00690BB2"/>
    <w:rsid w:val="006917FC"/>
    <w:rsid w:val="00693D09"/>
    <w:rsid w:val="006A13DD"/>
    <w:rsid w:val="006A5A7E"/>
    <w:rsid w:val="006A6549"/>
    <w:rsid w:val="006A7710"/>
    <w:rsid w:val="006A7A61"/>
    <w:rsid w:val="006B0B51"/>
    <w:rsid w:val="006B1E59"/>
    <w:rsid w:val="006B2FFB"/>
    <w:rsid w:val="006B305B"/>
    <w:rsid w:val="006C10A2"/>
    <w:rsid w:val="006C1F18"/>
    <w:rsid w:val="006C4E16"/>
    <w:rsid w:val="006C5FAF"/>
    <w:rsid w:val="006D1266"/>
    <w:rsid w:val="006D40D5"/>
    <w:rsid w:val="006D4D26"/>
    <w:rsid w:val="006E61AE"/>
    <w:rsid w:val="006F009A"/>
    <w:rsid w:val="006F3D93"/>
    <w:rsid w:val="007019B1"/>
    <w:rsid w:val="00706788"/>
    <w:rsid w:val="00716599"/>
    <w:rsid w:val="00721657"/>
    <w:rsid w:val="007279A8"/>
    <w:rsid w:val="00727B1A"/>
    <w:rsid w:val="00741337"/>
    <w:rsid w:val="00752258"/>
    <w:rsid w:val="007529E1"/>
    <w:rsid w:val="00760BC0"/>
    <w:rsid w:val="00762880"/>
    <w:rsid w:val="00762AD6"/>
    <w:rsid w:val="00762E02"/>
    <w:rsid w:val="00772290"/>
    <w:rsid w:val="00777265"/>
    <w:rsid w:val="007805E7"/>
    <w:rsid w:val="00781BA3"/>
    <w:rsid w:val="0078222A"/>
    <w:rsid w:val="00786AF3"/>
    <w:rsid w:val="00787D48"/>
    <w:rsid w:val="00795294"/>
    <w:rsid w:val="007A068A"/>
    <w:rsid w:val="007A4E50"/>
    <w:rsid w:val="007B0581"/>
    <w:rsid w:val="007B18A7"/>
    <w:rsid w:val="007B250E"/>
    <w:rsid w:val="007C27FC"/>
    <w:rsid w:val="007C4B88"/>
    <w:rsid w:val="007C51FF"/>
    <w:rsid w:val="007C6BC4"/>
    <w:rsid w:val="007C7BE2"/>
    <w:rsid w:val="007D50E4"/>
    <w:rsid w:val="007E11AE"/>
    <w:rsid w:val="007E2DC5"/>
    <w:rsid w:val="007E60F7"/>
    <w:rsid w:val="007F0D47"/>
    <w:rsid w:val="007F1CC7"/>
    <w:rsid w:val="008027AC"/>
    <w:rsid w:val="008028CE"/>
    <w:rsid w:val="0080332E"/>
    <w:rsid w:val="0080440B"/>
    <w:rsid w:val="00804E27"/>
    <w:rsid w:val="008100F3"/>
    <w:rsid w:val="00810AA3"/>
    <w:rsid w:val="0081397C"/>
    <w:rsid w:val="008141E0"/>
    <w:rsid w:val="00816EE1"/>
    <w:rsid w:val="00816F88"/>
    <w:rsid w:val="00821996"/>
    <w:rsid w:val="00822323"/>
    <w:rsid w:val="00827BC6"/>
    <w:rsid w:val="008300AD"/>
    <w:rsid w:val="00833024"/>
    <w:rsid w:val="00834136"/>
    <w:rsid w:val="008419B1"/>
    <w:rsid w:val="00844A56"/>
    <w:rsid w:val="00845B11"/>
    <w:rsid w:val="00852081"/>
    <w:rsid w:val="0086769D"/>
    <w:rsid w:val="00872B6E"/>
    <w:rsid w:val="00874DFD"/>
    <w:rsid w:val="008802F9"/>
    <w:rsid w:val="00881263"/>
    <w:rsid w:val="00882EB8"/>
    <w:rsid w:val="00883086"/>
    <w:rsid w:val="008879FD"/>
    <w:rsid w:val="00894C37"/>
    <w:rsid w:val="008961F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B6662"/>
    <w:rsid w:val="008B6D73"/>
    <w:rsid w:val="008B719D"/>
    <w:rsid w:val="008C4010"/>
    <w:rsid w:val="008C4FDF"/>
    <w:rsid w:val="008C514F"/>
    <w:rsid w:val="008C6B1F"/>
    <w:rsid w:val="008D0B88"/>
    <w:rsid w:val="008D394A"/>
    <w:rsid w:val="008D5E4F"/>
    <w:rsid w:val="008E34F0"/>
    <w:rsid w:val="008E7736"/>
    <w:rsid w:val="008F0E69"/>
    <w:rsid w:val="008F14F5"/>
    <w:rsid w:val="008F71C1"/>
    <w:rsid w:val="008F778D"/>
    <w:rsid w:val="00900A3D"/>
    <w:rsid w:val="0090201A"/>
    <w:rsid w:val="00902D41"/>
    <w:rsid w:val="00902F49"/>
    <w:rsid w:val="00904230"/>
    <w:rsid w:val="00914004"/>
    <w:rsid w:val="00922EC1"/>
    <w:rsid w:val="00923CF1"/>
    <w:rsid w:val="00923EA2"/>
    <w:rsid w:val="009301F1"/>
    <w:rsid w:val="009307DF"/>
    <w:rsid w:val="009359B8"/>
    <w:rsid w:val="00935FF0"/>
    <w:rsid w:val="009431F8"/>
    <w:rsid w:val="00944D0D"/>
    <w:rsid w:val="00947A35"/>
    <w:rsid w:val="00956AE1"/>
    <w:rsid w:val="0096201B"/>
    <w:rsid w:val="00962081"/>
    <w:rsid w:val="00966CB5"/>
    <w:rsid w:val="00975786"/>
    <w:rsid w:val="00981CB7"/>
    <w:rsid w:val="00983E1F"/>
    <w:rsid w:val="009909C9"/>
    <w:rsid w:val="0099315A"/>
    <w:rsid w:val="00993F46"/>
    <w:rsid w:val="00996071"/>
    <w:rsid w:val="00997358"/>
    <w:rsid w:val="009A3C30"/>
    <w:rsid w:val="009A452B"/>
    <w:rsid w:val="009B050C"/>
    <w:rsid w:val="009B087F"/>
    <w:rsid w:val="009B2AF4"/>
    <w:rsid w:val="009C110B"/>
    <w:rsid w:val="009C5441"/>
    <w:rsid w:val="009C6F31"/>
    <w:rsid w:val="009D119F"/>
    <w:rsid w:val="009D49A2"/>
    <w:rsid w:val="009E68FA"/>
    <w:rsid w:val="009F065B"/>
    <w:rsid w:val="009F3940"/>
    <w:rsid w:val="009F3E3F"/>
    <w:rsid w:val="009F3EB2"/>
    <w:rsid w:val="009F6EB1"/>
    <w:rsid w:val="00A003F4"/>
    <w:rsid w:val="00A11D05"/>
    <w:rsid w:val="00A13162"/>
    <w:rsid w:val="00A145DD"/>
    <w:rsid w:val="00A20267"/>
    <w:rsid w:val="00A31322"/>
    <w:rsid w:val="00A3158C"/>
    <w:rsid w:val="00A32DF3"/>
    <w:rsid w:val="00A33E32"/>
    <w:rsid w:val="00A35E20"/>
    <w:rsid w:val="00A36F6D"/>
    <w:rsid w:val="00A50CA0"/>
    <w:rsid w:val="00A5135E"/>
    <w:rsid w:val="00A525CC"/>
    <w:rsid w:val="00A53E7C"/>
    <w:rsid w:val="00A60087"/>
    <w:rsid w:val="00A61136"/>
    <w:rsid w:val="00A66F92"/>
    <w:rsid w:val="00A705E8"/>
    <w:rsid w:val="00A721F4"/>
    <w:rsid w:val="00A75709"/>
    <w:rsid w:val="00A766E6"/>
    <w:rsid w:val="00A9392C"/>
    <w:rsid w:val="00A9462B"/>
    <w:rsid w:val="00A97D59"/>
    <w:rsid w:val="00AA2781"/>
    <w:rsid w:val="00AA3E09"/>
    <w:rsid w:val="00AA4BEF"/>
    <w:rsid w:val="00AB0BC5"/>
    <w:rsid w:val="00AB1659"/>
    <w:rsid w:val="00AB4962"/>
    <w:rsid w:val="00AB734E"/>
    <w:rsid w:val="00AB740F"/>
    <w:rsid w:val="00AC6F14"/>
    <w:rsid w:val="00AC7221"/>
    <w:rsid w:val="00AD3BBD"/>
    <w:rsid w:val="00AD4677"/>
    <w:rsid w:val="00AD5CB3"/>
    <w:rsid w:val="00AD74DB"/>
    <w:rsid w:val="00AE001B"/>
    <w:rsid w:val="00AE55F5"/>
    <w:rsid w:val="00AE5961"/>
    <w:rsid w:val="00AF0745"/>
    <w:rsid w:val="00AF4971"/>
    <w:rsid w:val="00AF5206"/>
    <w:rsid w:val="00AF5276"/>
    <w:rsid w:val="00AF7C86"/>
    <w:rsid w:val="00B01046"/>
    <w:rsid w:val="00B03673"/>
    <w:rsid w:val="00B24088"/>
    <w:rsid w:val="00B24CD6"/>
    <w:rsid w:val="00B310F9"/>
    <w:rsid w:val="00B33BF8"/>
    <w:rsid w:val="00B36F74"/>
    <w:rsid w:val="00B37866"/>
    <w:rsid w:val="00B412FB"/>
    <w:rsid w:val="00B41FDC"/>
    <w:rsid w:val="00B4576B"/>
    <w:rsid w:val="00B46350"/>
    <w:rsid w:val="00B46DF3"/>
    <w:rsid w:val="00B648C7"/>
    <w:rsid w:val="00B66E8F"/>
    <w:rsid w:val="00B764D5"/>
    <w:rsid w:val="00B76536"/>
    <w:rsid w:val="00B80157"/>
    <w:rsid w:val="00B83D5E"/>
    <w:rsid w:val="00B8460A"/>
    <w:rsid w:val="00B8650D"/>
    <w:rsid w:val="00B879B4"/>
    <w:rsid w:val="00B90047"/>
    <w:rsid w:val="00B90F07"/>
    <w:rsid w:val="00B97BB9"/>
    <w:rsid w:val="00BA0009"/>
    <w:rsid w:val="00BA3A18"/>
    <w:rsid w:val="00BA5C9C"/>
    <w:rsid w:val="00BB02B5"/>
    <w:rsid w:val="00BB13F2"/>
    <w:rsid w:val="00BB1863"/>
    <w:rsid w:val="00BB25EE"/>
    <w:rsid w:val="00BB363A"/>
    <w:rsid w:val="00BC10A0"/>
    <w:rsid w:val="00BC3591"/>
    <w:rsid w:val="00BC7BA2"/>
    <w:rsid w:val="00BD1910"/>
    <w:rsid w:val="00BD426B"/>
    <w:rsid w:val="00BD59FC"/>
    <w:rsid w:val="00BD79F0"/>
    <w:rsid w:val="00BE2B4D"/>
    <w:rsid w:val="00C005CD"/>
    <w:rsid w:val="00C015F8"/>
    <w:rsid w:val="00C02C2A"/>
    <w:rsid w:val="00C03C72"/>
    <w:rsid w:val="00C05500"/>
    <w:rsid w:val="00C07E26"/>
    <w:rsid w:val="00C1011C"/>
    <w:rsid w:val="00C12F94"/>
    <w:rsid w:val="00C13536"/>
    <w:rsid w:val="00C13CD3"/>
    <w:rsid w:val="00C177C5"/>
    <w:rsid w:val="00C30153"/>
    <w:rsid w:val="00C34EC3"/>
    <w:rsid w:val="00C4038C"/>
    <w:rsid w:val="00C42BA2"/>
    <w:rsid w:val="00C44066"/>
    <w:rsid w:val="00C44E13"/>
    <w:rsid w:val="00C51012"/>
    <w:rsid w:val="00C56C85"/>
    <w:rsid w:val="00C60A41"/>
    <w:rsid w:val="00C62DE8"/>
    <w:rsid w:val="00C62DFB"/>
    <w:rsid w:val="00C630E6"/>
    <w:rsid w:val="00C63812"/>
    <w:rsid w:val="00C64AF3"/>
    <w:rsid w:val="00C66F4D"/>
    <w:rsid w:val="00C67BB5"/>
    <w:rsid w:val="00C70258"/>
    <w:rsid w:val="00C72713"/>
    <w:rsid w:val="00C828DD"/>
    <w:rsid w:val="00C848EF"/>
    <w:rsid w:val="00C86600"/>
    <w:rsid w:val="00C87BCA"/>
    <w:rsid w:val="00C87EED"/>
    <w:rsid w:val="00C90FC4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22B1"/>
    <w:rsid w:val="00CE5E4D"/>
    <w:rsid w:val="00CF02C4"/>
    <w:rsid w:val="00CF0BC1"/>
    <w:rsid w:val="00CF167F"/>
    <w:rsid w:val="00CF528F"/>
    <w:rsid w:val="00CF72E5"/>
    <w:rsid w:val="00CF7863"/>
    <w:rsid w:val="00CF7B16"/>
    <w:rsid w:val="00D013EE"/>
    <w:rsid w:val="00D01F54"/>
    <w:rsid w:val="00D040F7"/>
    <w:rsid w:val="00D04A76"/>
    <w:rsid w:val="00D05B29"/>
    <w:rsid w:val="00D10468"/>
    <w:rsid w:val="00D10FC7"/>
    <w:rsid w:val="00D1372E"/>
    <w:rsid w:val="00D13CC1"/>
    <w:rsid w:val="00D1519F"/>
    <w:rsid w:val="00D20E99"/>
    <w:rsid w:val="00D21C83"/>
    <w:rsid w:val="00D35BDD"/>
    <w:rsid w:val="00D36607"/>
    <w:rsid w:val="00D51B15"/>
    <w:rsid w:val="00D54D34"/>
    <w:rsid w:val="00D576D4"/>
    <w:rsid w:val="00D63006"/>
    <w:rsid w:val="00D6581C"/>
    <w:rsid w:val="00D6706D"/>
    <w:rsid w:val="00D6795B"/>
    <w:rsid w:val="00D72301"/>
    <w:rsid w:val="00D74A2B"/>
    <w:rsid w:val="00D75446"/>
    <w:rsid w:val="00D911DE"/>
    <w:rsid w:val="00D914DB"/>
    <w:rsid w:val="00D91B97"/>
    <w:rsid w:val="00D91C94"/>
    <w:rsid w:val="00D92218"/>
    <w:rsid w:val="00D93ACC"/>
    <w:rsid w:val="00D93C08"/>
    <w:rsid w:val="00D943C8"/>
    <w:rsid w:val="00D95DAC"/>
    <w:rsid w:val="00D96481"/>
    <w:rsid w:val="00DA0B53"/>
    <w:rsid w:val="00DA1D4A"/>
    <w:rsid w:val="00DA42F7"/>
    <w:rsid w:val="00DB1171"/>
    <w:rsid w:val="00DB1519"/>
    <w:rsid w:val="00DB2840"/>
    <w:rsid w:val="00DC1BD3"/>
    <w:rsid w:val="00DC2C1A"/>
    <w:rsid w:val="00DD281F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07B11"/>
    <w:rsid w:val="00E11BCF"/>
    <w:rsid w:val="00E124C4"/>
    <w:rsid w:val="00E16AC3"/>
    <w:rsid w:val="00E2258E"/>
    <w:rsid w:val="00E260C2"/>
    <w:rsid w:val="00E32596"/>
    <w:rsid w:val="00E32E95"/>
    <w:rsid w:val="00E368F7"/>
    <w:rsid w:val="00E36EB8"/>
    <w:rsid w:val="00E37FB8"/>
    <w:rsid w:val="00E40B07"/>
    <w:rsid w:val="00E42326"/>
    <w:rsid w:val="00E43544"/>
    <w:rsid w:val="00E44D89"/>
    <w:rsid w:val="00E477EA"/>
    <w:rsid w:val="00E52D61"/>
    <w:rsid w:val="00E55807"/>
    <w:rsid w:val="00E5653E"/>
    <w:rsid w:val="00E57156"/>
    <w:rsid w:val="00E62C04"/>
    <w:rsid w:val="00E63B14"/>
    <w:rsid w:val="00E6408B"/>
    <w:rsid w:val="00E65CA0"/>
    <w:rsid w:val="00E70D9F"/>
    <w:rsid w:val="00E71B30"/>
    <w:rsid w:val="00E749E9"/>
    <w:rsid w:val="00E83810"/>
    <w:rsid w:val="00E86933"/>
    <w:rsid w:val="00E9605B"/>
    <w:rsid w:val="00E97298"/>
    <w:rsid w:val="00E97753"/>
    <w:rsid w:val="00EA0BED"/>
    <w:rsid w:val="00EA0C51"/>
    <w:rsid w:val="00EA15EF"/>
    <w:rsid w:val="00EA7DE7"/>
    <w:rsid w:val="00EB5ACC"/>
    <w:rsid w:val="00EB7A8A"/>
    <w:rsid w:val="00EC3DB2"/>
    <w:rsid w:val="00EC6FED"/>
    <w:rsid w:val="00EC7F3B"/>
    <w:rsid w:val="00ED5299"/>
    <w:rsid w:val="00ED79E3"/>
    <w:rsid w:val="00EE049E"/>
    <w:rsid w:val="00EE3A64"/>
    <w:rsid w:val="00EE50E5"/>
    <w:rsid w:val="00EE783F"/>
    <w:rsid w:val="00EF01CF"/>
    <w:rsid w:val="00F014ED"/>
    <w:rsid w:val="00F02CAB"/>
    <w:rsid w:val="00F03590"/>
    <w:rsid w:val="00F03622"/>
    <w:rsid w:val="00F077FD"/>
    <w:rsid w:val="00F07AE8"/>
    <w:rsid w:val="00F1314C"/>
    <w:rsid w:val="00F204F3"/>
    <w:rsid w:val="00F218AB"/>
    <w:rsid w:val="00F238B3"/>
    <w:rsid w:val="00F24FED"/>
    <w:rsid w:val="00F25586"/>
    <w:rsid w:val="00F2651D"/>
    <w:rsid w:val="00F27362"/>
    <w:rsid w:val="00F31498"/>
    <w:rsid w:val="00F31EBE"/>
    <w:rsid w:val="00F32FEF"/>
    <w:rsid w:val="00F34E02"/>
    <w:rsid w:val="00F351D9"/>
    <w:rsid w:val="00F41768"/>
    <w:rsid w:val="00F41B1C"/>
    <w:rsid w:val="00F42E13"/>
    <w:rsid w:val="00F42F1C"/>
    <w:rsid w:val="00F43B44"/>
    <w:rsid w:val="00F440E5"/>
    <w:rsid w:val="00F441D9"/>
    <w:rsid w:val="00F448F6"/>
    <w:rsid w:val="00F44B36"/>
    <w:rsid w:val="00F44F05"/>
    <w:rsid w:val="00F52741"/>
    <w:rsid w:val="00F53B53"/>
    <w:rsid w:val="00F53D8A"/>
    <w:rsid w:val="00F54099"/>
    <w:rsid w:val="00F55352"/>
    <w:rsid w:val="00F626F7"/>
    <w:rsid w:val="00F736F9"/>
    <w:rsid w:val="00F73833"/>
    <w:rsid w:val="00F9211C"/>
    <w:rsid w:val="00F96C55"/>
    <w:rsid w:val="00FA095D"/>
    <w:rsid w:val="00FA6336"/>
    <w:rsid w:val="00FA6C8B"/>
    <w:rsid w:val="00FA6CDA"/>
    <w:rsid w:val="00FA7C89"/>
    <w:rsid w:val="00FB4139"/>
    <w:rsid w:val="00FB476E"/>
    <w:rsid w:val="00FC0D90"/>
    <w:rsid w:val="00FC3A56"/>
    <w:rsid w:val="00FC6E00"/>
    <w:rsid w:val="00FC7D8C"/>
    <w:rsid w:val="00FD00AF"/>
    <w:rsid w:val="00FD2A6E"/>
    <w:rsid w:val="00FD3980"/>
    <w:rsid w:val="00FD431E"/>
    <w:rsid w:val="00FD5A2C"/>
    <w:rsid w:val="00FE0D47"/>
    <w:rsid w:val="00FE1D5C"/>
    <w:rsid w:val="00FE2F8B"/>
    <w:rsid w:val="00FE3669"/>
    <w:rsid w:val="00FE509E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FAF29E"/>
  <w15:docId w15:val="{8045A2E4-D618-4449-8092-6798DC73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9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"/>
    <w:basedOn w:val="Normal"/>
    <w:link w:val="FootnoteTextChar"/>
    <w:qFormat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"/>
    <w:basedOn w:val="DefaultParagraphFont"/>
    <w:link w:val="FootnoteText"/>
    <w:qFormat/>
    <w:locked/>
    <w:rsid w:val="007F0D47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7F0D47"/>
    <w:rPr>
      <w:rFonts w:asciiTheme="minorHAnsi" w:hAnsiTheme="minorHAnsi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D1910"/>
    <w:rPr>
      <w:rFonts w:asciiTheme="minorHAnsi" w:hAnsiTheme="minorHAnsi"/>
      <w:b/>
      <w:sz w:val="24"/>
      <w:lang w:val="en-GB" w:eastAsia="en-US"/>
    </w:rPr>
  </w:style>
  <w:style w:type="paragraph" w:styleId="Revision">
    <w:name w:val="Revision"/>
    <w:hidden/>
    <w:uiPriority w:val="99"/>
    <w:semiHidden/>
    <w:rsid w:val="00A66F92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66F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6F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6F9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6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6F92"/>
    <w:rPr>
      <w:rFonts w:asciiTheme="minorHAnsi" w:hAnsiTheme="minorHAns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7C6B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6BC4"/>
    <w:rPr>
      <w:rFonts w:ascii="Segoe UI" w:hAnsi="Segoe UI" w:cs="Segoe U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2E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5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TDAG29-INF-0002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D/Project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S21-CL-C-0034/en" TargetMode="External"/><Relationship Id="rId1" Type="http://schemas.openxmlformats.org/officeDocument/2006/relationships/hyperlink" Target="http://www.itu.int/en/ITU-D/Projects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jose_batanero_itu_int/Documents/2%20BDT%20General/TDAG/2021%20TDAG%202021%20session%2002%20Dec21/PRJ%20database%20for%20TDAG21%20repo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jose_batanero_itu_int/Documents/2%20BDT%20General/TDAG/2021%20TDAG%202021%20session%2002%20Dec21/PRJ%20database%20for%20TDAG21%20repor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AF-42CF-9B98-B3DDE789EB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AF-42CF-9B98-B3DDE789EB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AF-42CF-9B98-B3DDE789EB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Summary!$L$5:$L$7</c:f>
              <c:strCache>
                <c:ptCount val="3"/>
                <c:pt idx="0">
                  <c:v>FIT</c:v>
                </c:pt>
                <c:pt idx="1">
                  <c:v>ICTDF</c:v>
                </c:pt>
                <c:pt idx="2">
                  <c:v>OP</c:v>
                </c:pt>
              </c:strCache>
            </c:strRef>
          </c:cat>
          <c:val>
            <c:numRef>
              <c:f>Summary!$M$5:$M$7</c:f>
              <c:numCache>
                <c:formatCode>General</c:formatCode>
                <c:ptCount val="3"/>
                <c:pt idx="0">
                  <c:v>80278254</c:v>
                </c:pt>
                <c:pt idx="1">
                  <c:v>5520875</c:v>
                </c:pt>
                <c:pt idx="2">
                  <c:v>4508523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4AF-42CF-9B98-B3DDE789E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'Projects per year'!$B$2</c:f>
              <c:strCache>
                <c:ptCount val="1"/>
                <c:pt idx="0">
                  <c:v> Total (CHF)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'Projects per year'!$A$4:$A$14</c:f>
              <c:strCache>
                <c:ptCount val="11"/>
                <c:pt idx="0">
                  <c:v>2011 </c:v>
                </c:pt>
                <c:pt idx="1">
                  <c:v>2012 </c:v>
                </c:pt>
                <c:pt idx="2">
                  <c:v>2013 </c:v>
                </c:pt>
                <c:pt idx="3">
                  <c:v>2014 </c:v>
                </c:pt>
                <c:pt idx="4">
                  <c:v>2015 </c:v>
                </c:pt>
                <c:pt idx="5">
                  <c:v>2016 </c:v>
                </c:pt>
                <c:pt idx="6">
                  <c:v>2017 </c:v>
                </c:pt>
                <c:pt idx="7">
                  <c:v>2018 </c:v>
                </c:pt>
                <c:pt idx="8">
                  <c:v>2019 </c:v>
                </c:pt>
                <c:pt idx="9">
                  <c:v>2020 </c:v>
                </c:pt>
                <c:pt idx="10">
                  <c:v>2021 (Jan-Sep)</c:v>
                </c:pt>
              </c:strCache>
            </c:strRef>
          </c:cat>
          <c:val>
            <c:numRef>
              <c:f>'Projects per year'!$B$4:$B$14</c:f>
              <c:numCache>
                <c:formatCode>_(* #,##0.00_);_(* \(#,##0.00\);_(* "-"??_);_(@_)</c:formatCode>
                <c:ptCount val="11"/>
                <c:pt idx="0">
                  <c:v>8075257</c:v>
                </c:pt>
                <c:pt idx="1">
                  <c:v>10905274</c:v>
                </c:pt>
                <c:pt idx="2">
                  <c:v>9927803</c:v>
                </c:pt>
                <c:pt idx="3">
                  <c:v>7674402</c:v>
                </c:pt>
                <c:pt idx="4">
                  <c:v>5289174</c:v>
                </c:pt>
                <c:pt idx="5">
                  <c:v>2767939</c:v>
                </c:pt>
                <c:pt idx="6">
                  <c:v>9730134</c:v>
                </c:pt>
                <c:pt idx="7">
                  <c:v>10721579</c:v>
                </c:pt>
                <c:pt idx="8">
                  <c:v>13612980</c:v>
                </c:pt>
                <c:pt idx="9">
                  <c:v>14901477</c:v>
                </c:pt>
                <c:pt idx="10">
                  <c:v>9485288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32-4817-B9F3-927D24B3F8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6506240"/>
        <c:axId val="315425040"/>
      </c:barChart>
      <c:catAx>
        <c:axId val="62650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315425040"/>
        <c:crosses val="autoZero"/>
        <c:auto val="1"/>
        <c:lblAlgn val="ctr"/>
        <c:lblOffset val="100"/>
        <c:noMultiLvlLbl val="0"/>
      </c:catAx>
      <c:valAx>
        <c:axId val="31542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506240"/>
        <c:crosses val="autoZero"/>
        <c:crossBetween val="between"/>
        <c:dispUnits>
          <c:builtInUnit val="million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zh-CN" altLang="en-US"/>
                    <a:t>百万</a:t>
                  </a:r>
                  <a:endParaRPr lang="en-US" altLang="zh-CN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A90F6D27C3646B88D217296F21EB0" ma:contentTypeVersion="12" ma:contentTypeDescription="Create a new document." ma:contentTypeScope="" ma:versionID="b93cb84f2d795b326c35e3535298ed78">
  <xsd:schema xmlns:xsd="http://www.w3.org/2001/XMLSchema" xmlns:xs="http://www.w3.org/2001/XMLSchema" xmlns:p="http://schemas.microsoft.com/office/2006/metadata/properties" xmlns:ns2="5ead2d81-262c-4721-88de-eea62d29614f" xmlns:ns3="4ab66054-a4cf-4947-8f84-597a7d5537dc" targetNamespace="http://schemas.microsoft.com/office/2006/metadata/properties" ma:root="true" ma:fieldsID="aac6885af14d22a5860c36f74603b305" ns2:_="" ns3:_="">
    <xsd:import namespace="5ead2d81-262c-4721-88de-eea62d29614f"/>
    <xsd:import namespace="4ab66054-a4cf-4947-8f84-597a7d55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d2d81-262c-4721-88de-eea62d296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66054-a4cf-4947-8f84-597a7d553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8B69-96BF-452E-B12F-52BCEA688444}">
  <ds:schemaRefs>
    <ds:schemaRef ds:uri="http://schemas.microsoft.com/office/infopath/2007/PartnerControls"/>
    <ds:schemaRef ds:uri="http://www.w3.org/XML/1998/namespace"/>
    <ds:schemaRef ds:uri="5ead2d81-262c-4721-88de-eea62d29614f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4ab66054-a4cf-4947-8f84-597a7d5537d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E46659-6560-4B68-BCCC-C57871FCE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08922-E4E5-40C3-9420-CE0514D65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d2d81-262c-4721-88de-eea62d29614f"/>
    <ds:schemaRef ds:uri="4ab66054-a4cf-4947-8f84-597a7d553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48DDD-7C9A-4A9C-903C-10206EB2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2731</Words>
  <Characters>825</Characters>
  <Application>Microsoft Office Word</Application>
  <DocSecurity>0</DocSecurity>
  <Lines>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3549</CharactersWithSpaces>
  <SharedDoc>false</SharedDoc>
  <HLinks>
    <vt:vector size="36" baseType="variant">
      <vt:variant>
        <vt:i4>6815842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http://www.itu.int/en/ITU-D/Projects/Pages/default.aspx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https://www.itu.int/md/D18-TDAG28-INF-0002/en</vt:lpwstr>
      </vt:variant>
      <vt:variant>
        <vt:lpwstr/>
      </vt:variant>
      <vt:variant>
        <vt:i4>7798847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https://www.itu.int/md/S21-CL-C-0034/en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http://www.itu.int/en/ITU-D/Projects/</vt:lpwstr>
      </vt:variant>
      <vt:variant>
        <vt:lpwstr/>
      </vt:variant>
      <vt:variant>
        <vt:i4>6815806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http://www.itu.int/ITU-D/TDAG/</vt:lpwstr>
      </vt:variant>
      <vt:variant>
        <vt:lpwstr/>
      </vt:variant>
      <vt:variant>
        <vt:i4>3932239</vt:i4>
      </vt:variant>
      <vt:variant>
        <vt:i4>3</vt:i4>
      </vt:variant>
      <vt:variant>
        <vt:i4>0</vt:i4>
      </vt:variant>
      <vt:variant>
        <vt:i4>5</vt:i4>
      </vt:variant>
      <vt:variant>
        <vt:lpwstr>mailto:cosmas.zavazava@itu.int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Li, Yong</cp:lastModifiedBy>
  <cp:revision>51</cp:revision>
  <cp:lastPrinted>2014-11-04T18:22:00Z</cp:lastPrinted>
  <dcterms:created xsi:type="dcterms:W3CDTF">2021-09-29T06:37:00Z</dcterms:created>
  <dcterms:modified xsi:type="dcterms:W3CDTF">2021-11-08T10:02:00Z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0x0101005B7A90F6D27C3646B88D217296F21EB0</vt:lpwstr>
  </property>
</Properties>
</file>