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2127"/>
        <w:gridCol w:w="4404"/>
        <w:gridCol w:w="1833"/>
        <w:gridCol w:w="1275"/>
      </w:tblGrid>
      <w:tr w:rsidR="00C85CB5" w:rsidRPr="00783A69" w14:paraId="703C0C27" w14:textId="77777777" w:rsidTr="00CE49F4">
        <w:trPr>
          <w:cantSplit/>
          <w:trHeight w:val="1310"/>
          <w:jc w:val="center"/>
        </w:trPr>
        <w:tc>
          <w:tcPr>
            <w:tcW w:w="2127" w:type="dxa"/>
            <w:tcBorders>
              <w:bottom w:val="single" w:sz="12" w:space="0" w:color="auto"/>
            </w:tcBorders>
          </w:tcPr>
          <w:p w14:paraId="52626071" w14:textId="77777777" w:rsidR="00C85CB5" w:rsidRPr="00C85CB5" w:rsidRDefault="005B2C89" w:rsidP="00EE5CF2">
            <w:pPr>
              <w:rPr>
                <w:b/>
                <w:bCs/>
                <w:sz w:val="28"/>
                <w:szCs w:val="28"/>
                <w:rtl/>
                <w:lang w:bidi="ar-EG"/>
              </w:rPr>
            </w:pPr>
            <w:r>
              <w:rPr>
                <w:b/>
                <w:bCs/>
                <w:noProof/>
                <w:sz w:val="28"/>
                <w:szCs w:val="28"/>
                <w:lang w:bidi="ar-EG"/>
              </w:rPr>
              <w:drawing>
                <wp:inline distT="0" distB="0" distL="0" distR="0" wp14:anchorId="1B415B32" wp14:editId="65DB523F">
                  <wp:extent cx="1131570" cy="9502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398" cy="955116"/>
                          </a:xfrm>
                          <a:prstGeom prst="rect">
                            <a:avLst/>
                          </a:prstGeom>
                          <a:noFill/>
                        </pic:spPr>
                      </pic:pic>
                    </a:graphicData>
                  </a:graphic>
                </wp:inline>
              </w:drawing>
            </w:r>
          </w:p>
        </w:tc>
        <w:tc>
          <w:tcPr>
            <w:tcW w:w="6237" w:type="dxa"/>
            <w:gridSpan w:val="2"/>
            <w:tcBorders>
              <w:bottom w:val="single" w:sz="12" w:space="0" w:color="auto"/>
            </w:tcBorders>
          </w:tcPr>
          <w:p w14:paraId="231A9FE7" w14:textId="77777777" w:rsidR="00C85CB5" w:rsidRPr="00C85CB5" w:rsidRDefault="00C85CB5" w:rsidP="00C85CB5">
            <w:pPr>
              <w:spacing w:before="240"/>
              <w:rPr>
                <w:b/>
                <w:bCs/>
                <w:sz w:val="32"/>
                <w:szCs w:val="32"/>
                <w:rtl/>
                <w:lang w:bidi="ar-SY"/>
              </w:rPr>
            </w:pPr>
            <w:r w:rsidRPr="00C85CB5">
              <w:rPr>
                <w:rFonts w:hint="cs"/>
                <w:b/>
                <w:bCs/>
                <w:sz w:val="32"/>
                <w:szCs w:val="32"/>
                <w:rtl/>
                <w:lang w:bidi="ar-EG"/>
              </w:rPr>
              <w:t xml:space="preserve">الفريق الاستشاري لتنمية الاتصالات </w:t>
            </w:r>
            <w:r w:rsidRPr="00C85CB5">
              <w:rPr>
                <w:b/>
                <w:bCs/>
                <w:sz w:val="32"/>
                <w:szCs w:val="32"/>
                <w:lang w:bidi="ar-EG"/>
              </w:rPr>
              <w:t>(TDAG)</w:t>
            </w:r>
          </w:p>
          <w:p w14:paraId="4F752B05" w14:textId="77777777" w:rsidR="00C85CB5" w:rsidRPr="00CA08BA" w:rsidRDefault="00C85CB5" w:rsidP="00C85CB5">
            <w:pPr>
              <w:rPr>
                <w:b/>
                <w:bCs/>
                <w:spacing w:val="-6"/>
                <w:sz w:val="28"/>
                <w:szCs w:val="28"/>
                <w:rtl/>
                <w:lang w:bidi="ar-SY"/>
              </w:rPr>
            </w:pPr>
            <w:r w:rsidRPr="00CA08BA">
              <w:rPr>
                <w:b/>
                <w:bCs/>
                <w:spacing w:val="-6"/>
                <w:sz w:val="26"/>
                <w:szCs w:val="26"/>
                <w:rtl/>
                <w:lang w:bidi="ar-EG"/>
              </w:rPr>
              <w:t>الاجتماع</w:t>
            </w:r>
            <w:r w:rsidRPr="00CA08BA">
              <w:rPr>
                <w:rFonts w:hint="cs"/>
                <w:b/>
                <w:bCs/>
                <w:spacing w:val="-6"/>
                <w:sz w:val="26"/>
                <w:szCs w:val="26"/>
                <w:rtl/>
                <w:lang w:bidi="ar-EG"/>
              </w:rPr>
              <w:t xml:space="preserve"> التاسع والعشرون، اجتماع افتراضي، </w:t>
            </w:r>
            <w:r w:rsidRPr="00CA08BA">
              <w:rPr>
                <w:b/>
                <w:bCs/>
                <w:spacing w:val="-6"/>
                <w:sz w:val="26"/>
                <w:szCs w:val="26"/>
                <w:lang w:bidi="ar-EG"/>
              </w:rPr>
              <w:t>12-8</w:t>
            </w:r>
            <w:r w:rsidRPr="00CA08BA">
              <w:rPr>
                <w:rFonts w:hint="cs"/>
                <w:b/>
                <w:bCs/>
                <w:spacing w:val="-6"/>
                <w:sz w:val="26"/>
                <w:szCs w:val="26"/>
                <w:rtl/>
                <w:lang w:bidi="ar-EG"/>
              </w:rPr>
              <w:t xml:space="preserve"> نوفمبر </w:t>
            </w:r>
            <w:r w:rsidRPr="00CA08BA">
              <w:rPr>
                <w:b/>
                <w:bCs/>
                <w:spacing w:val="-6"/>
                <w:sz w:val="26"/>
                <w:szCs w:val="26"/>
                <w:lang w:bidi="ar-EG"/>
              </w:rPr>
              <w:t>2021</w:t>
            </w:r>
          </w:p>
        </w:tc>
        <w:tc>
          <w:tcPr>
            <w:tcW w:w="1275" w:type="dxa"/>
            <w:tcBorders>
              <w:bottom w:val="single" w:sz="12" w:space="0" w:color="auto"/>
            </w:tcBorders>
          </w:tcPr>
          <w:p w14:paraId="5D00514E" w14:textId="77777777" w:rsidR="00C85CB5" w:rsidRPr="00783A69" w:rsidRDefault="00C85CB5" w:rsidP="006128FC">
            <w:pPr>
              <w:jc w:val="right"/>
              <w:rPr>
                <w:lang w:val="en-GB" w:bidi="ar-EG"/>
              </w:rPr>
            </w:pPr>
            <w:bookmarkStart w:id="0" w:name="ditulogo"/>
            <w:bookmarkEnd w:id="0"/>
            <w:r w:rsidRPr="008E52B1">
              <w:rPr>
                <w:noProof/>
                <w:color w:val="3399FF"/>
                <w:lang w:eastAsia="en-GB"/>
              </w:rPr>
              <w:drawing>
                <wp:inline distT="0" distB="0" distL="0" distR="0" wp14:anchorId="7F7F5FDF" wp14:editId="548DEC0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A08BA" w:rsidRPr="00783A69" w14:paraId="5208AFFF" w14:textId="77777777" w:rsidTr="00CE49F4">
        <w:trPr>
          <w:cantSplit/>
          <w:jc w:val="center"/>
        </w:trPr>
        <w:tc>
          <w:tcPr>
            <w:tcW w:w="6531" w:type="dxa"/>
            <w:gridSpan w:val="2"/>
            <w:tcBorders>
              <w:top w:val="single" w:sz="12" w:space="0" w:color="auto"/>
            </w:tcBorders>
          </w:tcPr>
          <w:p w14:paraId="4AAB26CF" w14:textId="77777777" w:rsidR="00CA08BA" w:rsidRPr="00783A69" w:rsidRDefault="00CA08BA" w:rsidP="0029389A">
            <w:pPr>
              <w:spacing w:before="0" w:line="240" w:lineRule="exact"/>
              <w:rPr>
                <w:b/>
                <w:bCs/>
                <w:rtl/>
                <w:lang w:bidi="ar-EG"/>
              </w:rPr>
            </w:pPr>
          </w:p>
        </w:tc>
        <w:tc>
          <w:tcPr>
            <w:tcW w:w="3108" w:type="dxa"/>
            <w:gridSpan w:val="2"/>
            <w:tcBorders>
              <w:top w:val="single" w:sz="12" w:space="0" w:color="auto"/>
            </w:tcBorders>
          </w:tcPr>
          <w:p w14:paraId="22FCA9BE" w14:textId="77777777" w:rsidR="00CA08BA" w:rsidRPr="00C85CB5" w:rsidRDefault="00CA08BA" w:rsidP="0029389A">
            <w:pPr>
              <w:spacing w:before="0" w:line="240" w:lineRule="exact"/>
              <w:rPr>
                <w:b/>
                <w:bCs/>
                <w:highlight w:val="yellow"/>
                <w:rtl/>
                <w:lang w:bidi="ar-EG"/>
              </w:rPr>
            </w:pPr>
          </w:p>
        </w:tc>
      </w:tr>
      <w:tr w:rsidR="00783A69" w:rsidRPr="00783A69" w14:paraId="4CD795A0" w14:textId="77777777" w:rsidTr="00EE5CF2">
        <w:trPr>
          <w:cantSplit/>
          <w:jc w:val="center"/>
        </w:trPr>
        <w:tc>
          <w:tcPr>
            <w:tcW w:w="6531" w:type="dxa"/>
            <w:gridSpan w:val="2"/>
          </w:tcPr>
          <w:p w14:paraId="3254988A" w14:textId="77777777" w:rsidR="00783A69" w:rsidRPr="00783A69" w:rsidRDefault="00783A69" w:rsidP="00B93B7B">
            <w:pPr>
              <w:spacing w:before="20" w:after="20" w:line="300" w:lineRule="exact"/>
              <w:rPr>
                <w:b/>
                <w:bCs/>
                <w:rtl/>
                <w:lang w:bidi="ar-EG"/>
              </w:rPr>
            </w:pPr>
          </w:p>
        </w:tc>
        <w:tc>
          <w:tcPr>
            <w:tcW w:w="3108" w:type="dxa"/>
            <w:gridSpan w:val="2"/>
          </w:tcPr>
          <w:p w14:paraId="726CA3DF" w14:textId="3987FDE0" w:rsidR="00783A69" w:rsidRPr="0029389A" w:rsidRDefault="00783A69" w:rsidP="00B93B7B">
            <w:pPr>
              <w:spacing w:before="20" w:after="20" w:line="300" w:lineRule="exact"/>
              <w:rPr>
                <w:b/>
                <w:bCs/>
                <w:rtl/>
                <w:lang w:bidi="ar-SY"/>
              </w:rPr>
            </w:pPr>
            <w:r w:rsidRPr="0029389A">
              <w:rPr>
                <w:rFonts w:hint="cs"/>
                <w:b/>
                <w:bCs/>
                <w:rtl/>
                <w:lang w:bidi="ar-EG"/>
              </w:rPr>
              <w:t xml:space="preserve">الوثيقة </w:t>
            </w:r>
            <w:r w:rsidRPr="0029389A">
              <w:rPr>
                <w:b/>
                <w:bCs/>
                <w:lang w:bidi="ar-EG"/>
              </w:rPr>
              <w:t>TDAG-2</w:t>
            </w:r>
            <w:r w:rsidR="007B4FA0" w:rsidRPr="0029389A">
              <w:rPr>
                <w:b/>
                <w:bCs/>
                <w:lang w:bidi="ar-EG"/>
              </w:rPr>
              <w:t>1</w:t>
            </w:r>
            <w:r w:rsidRPr="0029389A">
              <w:rPr>
                <w:b/>
                <w:bCs/>
                <w:lang w:bidi="ar-EG"/>
              </w:rPr>
              <w:t>/</w:t>
            </w:r>
            <w:r w:rsidR="00C85CB5" w:rsidRPr="0029389A">
              <w:rPr>
                <w:b/>
                <w:bCs/>
                <w:lang w:bidi="ar-EG"/>
              </w:rPr>
              <w:t>2</w:t>
            </w:r>
            <w:r w:rsidR="008562F3" w:rsidRPr="0029389A">
              <w:rPr>
                <w:b/>
                <w:bCs/>
                <w:lang w:bidi="ar-EG"/>
              </w:rPr>
              <w:t>/</w:t>
            </w:r>
            <w:r w:rsidR="0029389A">
              <w:rPr>
                <w:b/>
                <w:bCs/>
                <w:lang w:bidi="ar-EG"/>
              </w:rPr>
              <w:t>7</w:t>
            </w:r>
            <w:r w:rsidRPr="0029389A">
              <w:rPr>
                <w:b/>
                <w:bCs/>
                <w:lang w:bidi="ar-EG"/>
              </w:rPr>
              <w:t>-A</w:t>
            </w:r>
          </w:p>
        </w:tc>
      </w:tr>
      <w:tr w:rsidR="00783A69" w:rsidRPr="00783A69" w14:paraId="58A52680" w14:textId="77777777" w:rsidTr="00EE5CF2">
        <w:trPr>
          <w:cantSplit/>
          <w:jc w:val="center"/>
        </w:trPr>
        <w:tc>
          <w:tcPr>
            <w:tcW w:w="6531" w:type="dxa"/>
            <w:gridSpan w:val="2"/>
          </w:tcPr>
          <w:p w14:paraId="0593FF75" w14:textId="77777777" w:rsidR="00783A69" w:rsidRPr="00783A69" w:rsidRDefault="00783A69" w:rsidP="00B93B7B">
            <w:pPr>
              <w:spacing w:before="20" w:after="20" w:line="300" w:lineRule="exact"/>
              <w:rPr>
                <w:b/>
                <w:bCs/>
                <w:lang w:bidi="ar-EG"/>
              </w:rPr>
            </w:pPr>
          </w:p>
        </w:tc>
        <w:tc>
          <w:tcPr>
            <w:tcW w:w="3108" w:type="dxa"/>
            <w:gridSpan w:val="2"/>
          </w:tcPr>
          <w:p w14:paraId="19BBE74D" w14:textId="16E9A5CB" w:rsidR="00783A69" w:rsidRPr="0029389A" w:rsidRDefault="0029389A" w:rsidP="00B93B7B">
            <w:pPr>
              <w:spacing w:before="20" w:after="20" w:line="300" w:lineRule="exact"/>
              <w:rPr>
                <w:b/>
                <w:bCs/>
                <w:rtl/>
                <w:lang w:bidi="ar-SY"/>
              </w:rPr>
            </w:pPr>
            <w:r>
              <w:rPr>
                <w:b/>
                <w:bCs/>
                <w:lang w:bidi="ar-EG"/>
              </w:rPr>
              <w:t>14</w:t>
            </w:r>
            <w:r w:rsidR="00783A69" w:rsidRPr="0029389A">
              <w:rPr>
                <w:rFonts w:hint="cs"/>
                <w:b/>
                <w:bCs/>
                <w:rtl/>
                <w:lang w:bidi="ar-EG"/>
              </w:rPr>
              <w:t xml:space="preserve"> </w:t>
            </w:r>
            <w:r>
              <w:rPr>
                <w:rFonts w:hint="cs"/>
                <w:b/>
                <w:bCs/>
                <w:rtl/>
                <w:lang w:bidi="ar-EG"/>
              </w:rPr>
              <w:t xml:space="preserve">سبتمبر </w:t>
            </w:r>
            <w:r w:rsidR="00783A69" w:rsidRPr="0029389A">
              <w:rPr>
                <w:b/>
                <w:bCs/>
                <w:lang w:bidi="ar-EG"/>
              </w:rPr>
              <w:t>202</w:t>
            </w:r>
            <w:r w:rsidR="007B4FA0" w:rsidRPr="0029389A">
              <w:rPr>
                <w:b/>
                <w:bCs/>
                <w:lang w:bidi="ar-EG"/>
              </w:rPr>
              <w:t>1</w:t>
            </w:r>
          </w:p>
        </w:tc>
      </w:tr>
      <w:tr w:rsidR="00783A69" w:rsidRPr="00783A69" w14:paraId="7E09B892" w14:textId="77777777" w:rsidTr="00EE5CF2">
        <w:trPr>
          <w:cantSplit/>
          <w:jc w:val="center"/>
        </w:trPr>
        <w:tc>
          <w:tcPr>
            <w:tcW w:w="6531" w:type="dxa"/>
            <w:gridSpan w:val="2"/>
          </w:tcPr>
          <w:p w14:paraId="52C2D8D0" w14:textId="77777777" w:rsidR="00783A69" w:rsidRPr="00783A69" w:rsidRDefault="00783A69" w:rsidP="00B93B7B">
            <w:pPr>
              <w:spacing w:before="20" w:after="20" w:line="300" w:lineRule="exact"/>
              <w:rPr>
                <w:b/>
                <w:bCs/>
                <w:lang w:bidi="ar-EG"/>
              </w:rPr>
            </w:pPr>
          </w:p>
        </w:tc>
        <w:tc>
          <w:tcPr>
            <w:tcW w:w="3108" w:type="dxa"/>
            <w:gridSpan w:val="2"/>
          </w:tcPr>
          <w:p w14:paraId="18047503" w14:textId="77777777" w:rsidR="00783A69" w:rsidRPr="0029389A" w:rsidRDefault="00783A69" w:rsidP="00B93B7B">
            <w:pPr>
              <w:spacing w:before="20" w:after="20" w:line="300" w:lineRule="exact"/>
              <w:rPr>
                <w:b/>
                <w:bCs/>
                <w:rtl/>
                <w:lang w:bidi="ar-EG"/>
              </w:rPr>
            </w:pPr>
            <w:r w:rsidRPr="0029389A">
              <w:rPr>
                <w:rFonts w:hint="cs"/>
                <w:b/>
                <w:bCs/>
                <w:rtl/>
                <w:lang w:bidi="ar-EG"/>
              </w:rPr>
              <w:t>الأصل: بالإنكليزية</w:t>
            </w:r>
          </w:p>
        </w:tc>
      </w:tr>
      <w:tr w:rsidR="00783A69" w:rsidRPr="00783A69" w14:paraId="0EBE0FFB" w14:textId="77777777" w:rsidTr="00EE5CF2">
        <w:trPr>
          <w:cantSplit/>
          <w:jc w:val="center"/>
        </w:trPr>
        <w:tc>
          <w:tcPr>
            <w:tcW w:w="9639" w:type="dxa"/>
            <w:gridSpan w:val="4"/>
          </w:tcPr>
          <w:p w14:paraId="55FAB9FD" w14:textId="2BAEC3CD" w:rsidR="00783A69" w:rsidRPr="00176123" w:rsidRDefault="0029389A" w:rsidP="00176123">
            <w:pPr>
              <w:pStyle w:val="Source"/>
            </w:pPr>
            <w:r w:rsidRPr="00176123">
              <w:rPr>
                <w:rFonts w:hint="cs"/>
                <w:rtl/>
              </w:rPr>
              <w:t>مديرة مكتب تنمية الاتصالات</w:t>
            </w:r>
          </w:p>
        </w:tc>
      </w:tr>
      <w:tr w:rsidR="00783A69" w:rsidRPr="00783A69" w14:paraId="0A26D5BC" w14:textId="77777777" w:rsidTr="00EE5CF2">
        <w:trPr>
          <w:cantSplit/>
          <w:jc w:val="center"/>
        </w:trPr>
        <w:tc>
          <w:tcPr>
            <w:tcW w:w="9639" w:type="dxa"/>
            <w:gridSpan w:val="4"/>
          </w:tcPr>
          <w:p w14:paraId="2C77C755" w14:textId="3D2F8C62" w:rsidR="00783A69" w:rsidRPr="00176123" w:rsidRDefault="0029389A" w:rsidP="00176123">
            <w:pPr>
              <w:pStyle w:val="Title1"/>
            </w:pPr>
            <w:r w:rsidRPr="00176123">
              <w:rPr>
                <w:rtl/>
              </w:rPr>
              <w:t>مشاريع قطاع تنمية الاتصالات</w:t>
            </w:r>
            <w:r w:rsidRPr="00176123">
              <w:rPr>
                <w:rFonts w:hint="cs"/>
                <w:rtl/>
              </w:rPr>
              <w:t xml:space="preserve"> بالاتحاد الدولي للاتصالات</w:t>
            </w:r>
          </w:p>
        </w:tc>
      </w:tr>
    </w:tbl>
    <w:p w14:paraId="0EE23636"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783A69" w14:paraId="25DA597E" w14:textId="77777777" w:rsidTr="0029389A">
        <w:trPr>
          <w:cantSplit/>
          <w:jc w:val="center"/>
        </w:trPr>
        <w:tc>
          <w:tcPr>
            <w:tcW w:w="9638" w:type="dxa"/>
            <w:tcBorders>
              <w:top w:val="single" w:sz="6" w:space="0" w:color="auto"/>
              <w:left w:val="single" w:sz="6" w:space="0" w:color="auto"/>
              <w:bottom w:val="single" w:sz="6" w:space="0" w:color="auto"/>
              <w:right w:val="single" w:sz="6" w:space="0" w:color="auto"/>
            </w:tcBorders>
          </w:tcPr>
          <w:p w14:paraId="17466FD7" w14:textId="77777777" w:rsidR="00783A69" w:rsidRPr="0029389A" w:rsidRDefault="00783A69" w:rsidP="00EE5CF2">
            <w:pPr>
              <w:rPr>
                <w:b/>
                <w:bCs/>
                <w:rtl/>
                <w:lang w:bidi="ar-SY"/>
              </w:rPr>
            </w:pPr>
            <w:r w:rsidRPr="0029389A">
              <w:rPr>
                <w:rFonts w:hint="cs"/>
                <w:b/>
                <w:bCs/>
                <w:rtl/>
                <w:lang w:bidi="ar-SY"/>
              </w:rPr>
              <w:t>ملخص</w:t>
            </w:r>
            <w:r w:rsidR="005874F2" w:rsidRPr="0029389A">
              <w:rPr>
                <w:rFonts w:hint="cs"/>
                <w:b/>
                <w:bCs/>
                <w:rtl/>
                <w:lang w:bidi="ar-SY"/>
              </w:rPr>
              <w:t>:</w:t>
            </w:r>
          </w:p>
          <w:p w14:paraId="06DA951E" w14:textId="7B3D6ADC" w:rsidR="0029389A" w:rsidRPr="0029389A" w:rsidRDefault="0029389A" w:rsidP="00176123">
            <w:pPr>
              <w:rPr>
                <w:rtl/>
                <w:lang w:bidi="ar-EG"/>
              </w:rPr>
            </w:pPr>
            <w:r w:rsidRPr="0029389A">
              <w:rPr>
                <w:rFonts w:hint="cs"/>
                <w:rtl/>
              </w:rPr>
              <w:t>تقع على عاتق</w:t>
            </w:r>
            <w:r w:rsidRPr="0029389A">
              <w:rPr>
                <w:rtl/>
              </w:rPr>
              <w:t xml:space="preserve"> الاتحاد الدولي للاتصالات</w:t>
            </w:r>
            <w:r w:rsidRPr="0029389A">
              <w:rPr>
                <w:rFonts w:hint="cs"/>
                <w:rtl/>
              </w:rPr>
              <w:t xml:space="preserve"> </w:t>
            </w:r>
            <w:r w:rsidR="00176123">
              <w:t>(</w:t>
            </w:r>
            <w:r w:rsidRPr="0029389A">
              <w:t>ITU</w:t>
            </w:r>
            <w:r w:rsidR="00176123">
              <w:t>)</w:t>
            </w:r>
            <w:r w:rsidRPr="0029389A">
              <w:rPr>
                <w:rFonts w:hint="cs"/>
                <w:rtl/>
              </w:rPr>
              <w:t xml:space="preserve"> </w:t>
            </w:r>
            <w:r w:rsidRPr="0029389A">
              <w:rPr>
                <w:rtl/>
              </w:rPr>
              <w:t xml:space="preserve">مسؤولية مزدوجة بصفته وكالة </w:t>
            </w:r>
            <w:r w:rsidRPr="0029389A">
              <w:rPr>
                <w:rFonts w:hint="cs"/>
                <w:rtl/>
                <w:lang w:bidi="ar-EG"/>
              </w:rPr>
              <w:t>متخصصة</w:t>
            </w:r>
            <w:r w:rsidRPr="0029389A">
              <w:rPr>
                <w:rtl/>
                <w:lang w:bidi="ar-EG"/>
              </w:rPr>
              <w:t xml:space="preserve"> </w:t>
            </w:r>
            <w:r w:rsidRPr="0029389A">
              <w:rPr>
                <w:rFonts w:hint="cs"/>
                <w:rtl/>
                <w:lang w:bidi="ar-EG"/>
              </w:rPr>
              <w:t>من</w:t>
            </w:r>
            <w:r w:rsidRPr="0029389A">
              <w:rPr>
                <w:rtl/>
                <w:lang w:bidi="ar-EG"/>
              </w:rPr>
              <w:t xml:space="preserve"> </w:t>
            </w:r>
            <w:r w:rsidRPr="0029389A">
              <w:rPr>
                <w:rFonts w:hint="cs"/>
                <w:rtl/>
                <w:lang w:bidi="ar-EG"/>
              </w:rPr>
              <w:t>وكالات</w:t>
            </w:r>
            <w:r w:rsidRPr="0029389A">
              <w:rPr>
                <w:rtl/>
                <w:lang w:bidi="ar-EG"/>
              </w:rPr>
              <w:t xml:space="preserve"> </w:t>
            </w:r>
            <w:r w:rsidRPr="0029389A">
              <w:rPr>
                <w:rFonts w:hint="cs"/>
                <w:rtl/>
                <w:lang w:bidi="ar-EG"/>
              </w:rPr>
              <w:t>الأمم</w:t>
            </w:r>
            <w:r w:rsidRPr="0029389A">
              <w:rPr>
                <w:rtl/>
                <w:lang w:bidi="ar-EG"/>
              </w:rPr>
              <w:t xml:space="preserve"> </w:t>
            </w:r>
            <w:r w:rsidRPr="0029389A">
              <w:rPr>
                <w:rFonts w:hint="cs"/>
                <w:rtl/>
                <w:lang w:bidi="ar-EG"/>
              </w:rPr>
              <w:t>المتحدة</w:t>
            </w:r>
            <w:r w:rsidRPr="0029389A">
              <w:rPr>
                <w:rtl/>
                <w:lang w:bidi="ar-EG"/>
              </w:rPr>
              <w:t xml:space="preserve"> </w:t>
            </w:r>
            <w:r w:rsidRPr="0029389A">
              <w:rPr>
                <w:rtl/>
              </w:rPr>
              <w:t>ووكالة منف</w:t>
            </w:r>
            <w:r w:rsidRPr="0029389A">
              <w:rPr>
                <w:rFonts w:hint="cs"/>
                <w:rtl/>
              </w:rPr>
              <w:t>ِّ</w:t>
            </w:r>
            <w:r w:rsidRPr="0029389A">
              <w:rPr>
                <w:rtl/>
              </w:rPr>
              <w:t>ذة.</w:t>
            </w:r>
            <w:r w:rsidRPr="0029389A">
              <w:rPr>
                <w:rFonts w:hint="cs"/>
                <w:spacing w:val="-2"/>
                <w:rtl/>
              </w:rPr>
              <w:t xml:space="preserve"> </w:t>
            </w:r>
            <w:r w:rsidRPr="0029389A">
              <w:rPr>
                <w:rFonts w:hint="cs"/>
                <w:rtl/>
              </w:rPr>
              <w:t xml:space="preserve">وينفذ </w:t>
            </w:r>
            <w:r w:rsidRPr="0029389A">
              <w:rPr>
                <w:rtl/>
              </w:rPr>
              <w:t>قطاع تنمية الاتصالات</w:t>
            </w:r>
            <w:r w:rsidRPr="0029389A">
              <w:rPr>
                <w:rFonts w:hint="cs"/>
                <w:rtl/>
              </w:rPr>
              <w:t xml:space="preserve"> بالاتحاد</w:t>
            </w:r>
            <w:r w:rsidRPr="0029389A">
              <w:rPr>
                <w:rtl/>
              </w:rPr>
              <w:t xml:space="preserve"> </w:t>
            </w:r>
            <w:r w:rsidR="00176123">
              <w:t>(</w:t>
            </w:r>
            <w:r w:rsidRPr="0029389A">
              <w:t>ITU-D</w:t>
            </w:r>
            <w:r w:rsidR="00176123">
              <w:t>)</w:t>
            </w:r>
            <w:r w:rsidRPr="0029389A">
              <w:rPr>
                <w:rFonts w:hint="cs"/>
                <w:rtl/>
              </w:rPr>
              <w:t>، إذ يضطلع بهذه المسؤولية المزدوجة</w:t>
            </w:r>
            <w:r w:rsidRPr="0029389A">
              <w:rPr>
                <w:rtl/>
              </w:rPr>
              <w:t xml:space="preserve">، </w:t>
            </w:r>
            <w:r w:rsidRPr="0029389A">
              <w:rPr>
                <w:rFonts w:hint="cs"/>
                <w:rtl/>
                <w:lang w:bidi="ar-EG"/>
              </w:rPr>
              <w:t>مشاريع</w:t>
            </w:r>
            <w:r w:rsidRPr="0029389A">
              <w:rPr>
                <w:rtl/>
                <w:lang w:bidi="ar-EG"/>
              </w:rPr>
              <w:t xml:space="preserve"> في </w:t>
            </w:r>
            <w:r w:rsidRPr="0029389A">
              <w:rPr>
                <w:rFonts w:hint="cs"/>
                <w:rtl/>
                <w:lang w:bidi="ar-EG"/>
              </w:rPr>
              <w:t>إطار</w:t>
            </w:r>
            <w:r w:rsidRPr="0029389A">
              <w:rPr>
                <w:rtl/>
                <w:lang w:bidi="ar-EG"/>
              </w:rPr>
              <w:t xml:space="preserve"> </w:t>
            </w:r>
            <w:r w:rsidRPr="0029389A">
              <w:rPr>
                <w:rFonts w:hint="cs"/>
                <w:rtl/>
                <w:lang w:bidi="ar-EG"/>
              </w:rPr>
              <w:t>منظومة</w:t>
            </w:r>
            <w:r w:rsidRPr="0029389A">
              <w:rPr>
                <w:rtl/>
                <w:lang w:bidi="ar-EG"/>
              </w:rPr>
              <w:t xml:space="preserve"> </w:t>
            </w:r>
            <w:r w:rsidRPr="0029389A">
              <w:rPr>
                <w:rFonts w:hint="cs"/>
                <w:rtl/>
                <w:lang w:bidi="ar-EG"/>
              </w:rPr>
              <w:t>الأمم</w:t>
            </w:r>
            <w:r w:rsidRPr="0029389A">
              <w:rPr>
                <w:rtl/>
                <w:lang w:bidi="ar-EG"/>
              </w:rPr>
              <w:t xml:space="preserve"> </w:t>
            </w:r>
            <w:r w:rsidRPr="0029389A">
              <w:rPr>
                <w:rFonts w:hint="cs"/>
                <w:rtl/>
                <w:lang w:bidi="ar-EG"/>
              </w:rPr>
              <w:t>المتحدة</w:t>
            </w:r>
            <w:r w:rsidRPr="0029389A">
              <w:rPr>
                <w:rtl/>
                <w:lang w:bidi="ar-EG"/>
              </w:rPr>
              <w:t xml:space="preserve"> </w:t>
            </w:r>
            <w:r w:rsidRPr="0029389A">
              <w:rPr>
                <w:rFonts w:hint="cs"/>
                <w:rtl/>
                <w:lang w:bidi="ar-EG"/>
              </w:rPr>
              <w:t>الإنمائية</w:t>
            </w:r>
            <w:r w:rsidRPr="0029389A">
              <w:rPr>
                <w:rStyle w:val="CommentReference"/>
                <w:rFonts w:hint="cs"/>
                <w:rtl/>
              </w:rPr>
              <w:t xml:space="preserve"> </w:t>
            </w:r>
            <w:r w:rsidRPr="0029389A">
              <w:rPr>
                <w:rFonts w:hint="cs"/>
                <w:rtl/>
                <w:lang w:bidi="ar-EG"/>
              </w:rPr>
              <w:t>أو</w:t>
            </w:r>
            <w:r w:rsidRPr="0029389A">
              <w:rPr>
                <w:rtl/>
                <w:lang w:bidi="ar-EG"/>
              </w:rPr>
              <w:t xml:space="preserve"> </w:t>
            </w:r>
            <w:r w:rsidRPr="0029389A">
              <w:rPr>
                <w:rFonts w:hint="cs"/>
                <w:rtl/>
                <w:lang w:bidi="ar-EG"/>
              </w:rPr>
              <w:t>بموجب</w:t>
            </w:r>
            <w:r w:rsidRPr="0029389A">
              <w:rPr>
                <w:rtl/>
                <w:lang w:bidi="ar-EG"/>
              </w:rPr>
              <w:t xml:space="preserve"> </w:t>
            </w:r>
            <w:r w:rsidRPr="0029389A">
              <w:rPr>
                <w:rFonts w:hint="cs"/>
                <w:rtl/>
                <w:lang w:bidi="ar-EG"/>
              </w:rPr>
              <w:t>اتفاقات</w:t>
            </w:r>
            <w:r w:rsidRPr="0029389A">
              <w:rPr>
                <w:rtl/>
                <w:lang w:bidi="ar-EG"/>
              </w:rPr>
              <w:t xml:space="preserve"> </w:t>
            </w:r>
            <w:r w:rsidRPr="0029389A">
              <w:rPr>
                <w:rFonts w:hint="cs"/>
                <w:rtl/>
                <w:lang w:bidi="ar-EG"/>
              </w:rPr>
              <w:t>تمويل</w:t>
            </w:r>
            <w:r w:rsidRPr="0029389A">
              <w:rPr>
                <w:rtl/>
                <w:lang w:bidi="ar-EG"/>
              </w:rPr>
              <w:t xml:space="preserve"> </w:t>
            </w:r>
            <w:r w:rsidRPr="0029389A">
              <w:rPr>
                <w:rFonts w:hint="cs"/>
                <w:rtl/>
                <w:lang w:bidi="ar-EG"/>
              </w:rPr>
              <w:t>أخرى،</w:t>
            </w:r>
            <w:r w:rsidRPr="0029389A">
              <w:rPr>
                <w:rtl/>
                <w:lang w:bidi="ar-EG"/>
              </w:rPr>
              <w:t xml:space="preserve"> </w:t>
            </w:r>
            <w:r w:rsidRPr="0029389A">
              <w:rPr>
                <w:rFonts w:hint="cs"/>
                <w:rtl/>
                <w:lang w:bidi="ar-EG"/>
              </w:rPr>
              <w:t>بوصفها وظيفته الرئيسية، لتيسير</w:t>
            </w:r>
            <w:r w:rsidRPr="0029389A">
              <w:rPr>
                <w:rtl/>
                <w:lang w:bidi="ar-EG"/>
              </w:rPr>
              <w:t xml:space="preserve"> </w:t>
            </w:r>
            <w:r w:rsidRPr="0029389A">
              <w:rPr>
                <w:rFonts w:hint="cs"/>
                <w:rtl/>
                <w:lang w:bidi="ar-EG"/>
              </w:rPr>
              <w:t>وتعزيز تنمية</w:t>
            </w:r>
            <w:r w:rsidRPr="0029389A">
              <w:rPr>
                <w:rtl/>
                <w:lang w:bidi="ar-EG"/>
              </w:rPr>
              <w:t xml:space="preserve"> </w:t>
            </w:r>
            <w:r w:rsidRPr="0029389A">
              <w:rPr>
                <w:rFonts w:hint="cs"/>
                <w:rtl/>
                <w:lang w:bidi="ar-EG"/>
              </w:rPr>
              <w:t>الاتصالات</w:t>
            </w:r>
            <w:r w:rsidRPr="0029389A">
              <w:rPr>
                <w:rtl/>
                <w:lang w:bidi="ar-EG"/>
              </w:rPr>
              <w:t xml:space="preserve"> </w:t>
            </w:r>
            <w:r w:rsidRPr="0029389A">
              <w:rPr>
                <w:rFonts w:hint="cs"/>
                <w:rtl/>
                <w:lang w:bidi="ar-EG"/>
              </w:rPr>
              <w:t>بما يقدمه</w:t>
            </w:r>
            <w:r w:rsidRPr="0029389A">
              <w:rPr>
                <w:rtl/>
                <w:lang w:bidi="ar-EG"/>
              </w:rPr>
              <w:t xml:space="preserve"> </w:t>
            </w:r>
            <w:r w:rsidRPr="0029389A">
              <w:rPr>
                <w:rFonts w:hint="cs"/>
                <w:rtl/>
                <w:lang w:bidi="ar-EG"/>
              </w:rPr>
              <w:t>وينظمه</w:t>
            </w:r>
            <w:r w:rsidRPr="0029389A">
              <w:rPr>
                <w:rtl/>
                <w:lang w:bidi="ar-EG"/>
              </w:rPr>
              <w:t xml:space="preserve"> </w:t>
            </w:r>
            <w:r w:rsidRPr="0029389A">
              <w:rPr>
                <w:rFonts w:hint="cs"/>
                <w:rtl/>
                <w:lang w:bidi="ar-EG"/>
              </w:rPr>
              <w:t>وينسقه</w:t>
            </w:r>
            <w:r w:rsidRPr="0029389A">
              <w:rPr>
                <w:rtl/>
                <w:lang w:bidi="ar-EG"/>
              </w:rPr>
              <w:t xml:space="preserve"> </w:t>
            </w:r>
            <w:r w:rsidRPr="0029389A">
              <w:rPr>
                <w:rFonts w:hint="cs"/>
                <w:rtl/>
                <w:lang w:bidi="ar-EG"/>
              </w:rPr>
              <w:t>من</w:t>
            </w:r>
            <w:r w:rsidRPr="0029389A">
              <w:rPr>
                <w:rtl/>
                <w:lang w:bidi="ar-EG"/>
              </w:rPr>
              <w:t xml:space="preserve"> </w:t>
            </w:r>
            <w:r w:rsidRPr="0029389A">
              <w:rPr>
                <w:rFonts w:hint="cs"/>
                <w:rtl/>
                <w:lang w:bidi="ar-EG"/>
              </w:rPr>
              <w:t>أنشطة</w:t>
            </w:r>
            <w:r w:rsidRPr="0029389A">
              <w:rPr>
                <w:rtl/>
                <w:lang w:bidi="ar-EG"/>
              </w:rPr>
              <w:t xml:space="preserve"> </w:t>
            </w:r>
            <w:r w:rsidRPr="0029389A">
              <w:rPr>
                <w:rFonts w:hint="cs"/>
                <w:rtl/>
                <w:lang w:bidi="ar-EG"/>
              </w:rPr>
              <w:t>للتعاون</w:t>
            </w:r>
            <w:r w:rsidRPr="0029389A">
              <w:rPr>
                <w:rtl/>
                <w:lang w:bidi="ar-EG"/>
              </w:rPr>
              <w:t xml:space="preserve"> </w:t>
            </w:r>
            <w:r w:rsidRPr="0029389A">
              <w:rPr>
                <w:rFonts w:hint="cs"/>
                <w:rtl/>
                <w:lang w:bidi="ar-EG"/>
              </w:rPr>
              <w:t>التقني</w:t>
            </w:r>
            <w:r w:rsidRPr="0029389A">
              <w:rPr>
                <w:rtl/>
                <w:lang w:bidi="ar-EG"/>
              </w:rPr>
              <w:t xml:space="preserve"> </w:t>
            </w:r>
            <w:r w:rsidRPr="0029389A">
              <w:rPr>
                <w:rFonts w:hint="cs"/>
                <w:rtl/>
                <w:lang w:bidi="ar-EG"/>
              </w:rPr>
              <w:t>وأنشطة</w:t>
            </w:r>
            <w:r w:rsidRPr="0029389A">
              <w:rPr>
                <w:rtl/>
                <w:lang w:bidi="ar-EG"/>
              </w:rPr>
              <w:t xml:space="preserve"> </w:t>
            </w:r>
            <w:r w:rsidRPr="0029389A">
              <w:rPr>
                <w:rFonts w:hint="cs"/>
                <w:rtl/>
                <w:lang w:bidi="ar-EG"/>
              </w:rPr>
              <w:t>للمساعدة</w:t>
            </w:r>
            <w:r w:rsidRPr="0029389A">
              <w:rPr>
                <w:rtl/>
                <w:lang w:bidi="ar-EG"/>
              </w:rPr>
              <w:t xml:space="preserve"> </w:t>
            </w:r>
            <w:r w:rsidRPr="0029389A">
              <w:rPr>
                <w:rFonts w:hint="cs"/>
                <w:rtl/>
                <w:lang w:bidi="ar-EG"/>
              </w:rPr>
              <w:t>التقنية.</w:t>
            </w:r>
          </w:p>
          <w:p w14:paraId="0A9762D0" w14:textId="58C899AC" w:rsidR="0029389A" w:rsidRPr="0029389A" w:rsidRDefault="0029389A" w:rsidP="00176123">
            <w:pPr>
              <w:rPr>
                <w:rtl/>
              </w:rPr>
            </w:pPr>
            <w:r w:rsidRPr="00660105">
              <w:rPr>
                <w:rFonts w:hint="cs"/>
                <w:rtl/>
              </w:rPr>
              <w:t>و</w:t>
            </w:r>
            <w:r w:rsidRPr="00660105">
              <w:rPr>
                <w:rtl/>
              </w:rPr>
              <w:t>تقدم هذه الوثيقة لمحة عامة عن</w:t>
            </w:r>
            <w:r w:rsidRPr="00660105">
              <w:rPr>
                <w:rFonts w:hint="cs"/>
                <w:rtl/>
              </w:rPr>
              <w:t xml:space="preserve"> الأعمال التي يضطلع بها مكتب</w:t>
            </w:r>
            <w:r w:rsidRPr="00660105">
              <w:rPr>
                <w:rtl/>
              </w:rPr>
              <w:t xml:space="preserve"> تنمية الاتصالات</w:t>
            </w:r>
            <w:r w:rsidRPr="00660105">
              <w:rPr>
                <w:rFonts w:hint="cs"/>
                <w:rtl/>
              </w:rPr>
              <w:t xml:space="preserve"> في مجالي إعداد</w:t>
            </w:r>
            <w:r w:rsidRPr="00660105">
              <w:rPr>
                <w:rtl/>
              </w:rPr>
              <w:t xml:space="preserve"> </w:t>
            </w:r>
            <w:r w:rsidRPr="00660105">
              <w:rPr>
                <w:rFonts w:hint="cs"/>
                <w:rtl/>
              </w:rPr>
              <w:t>ال</w:t>
            </w:r>
            <w:r w:rsidRPr="00660105">
              <w:rPr>
                <w:rtl/>
              </w:rPr>
              <w:t xml:space="preserve">مشاريع </w:t>
            </w:r>
            <w:r w:rsidRPr="00660105">
              <w:rPr>
                <w:rFonts w:hint="cs"/>
                <w:rtl/>
              </w:rPr>
              <w:t>وتنفيذها</w:t>
            </w:r>
            <w:r w:rsidRPr="00660105">
              <w:rPr>
                <w:rtl/>
              </w:rPr>
              <w:t xml:space="preserve"> في</w:t>
            </w:r>
            <w:r w:rsidRPr="00660105">
              <w:rPr>
                <w:rFonts w:hint="cs"/>
                <w:rtl/>
              </w:rPr>
              <w:t> </w:t>
            </w:r>
            <w:r w:rsidRPr="00660105">
              <w:rPr>
                <w:rtl/>
              </w:rPr>
              <w:t xml:space="preserve">مناطق </w:t>
            </w:r>
            <w:r w:rsidRPr="00660105">
              <w:rPr>
                <w:rFonts w:hint="cs"/>
                <w:rtl/>
              </w:rPr>
              <w:t xml:space="preserve">عمل </w:t>
            </w:r>
            <w:r w:rsidRPr="00660105">
              <w:rPr>
                <w:rtl/>
              </w:rPr>
              <w:t xml:space="preserve">قطاع تنمية الاتصالات </w:t>
            </w:r>
            <w:r w:rsidRPr="00660105">
              <w:rPr>
                <w:rFonts w:hint="cs"/>
                <w:rtl/>
              </w:rPr>
              <w:t>الست</w:t>
            </w:r>
            <w:r w:rsidRPr="00660105">
              <w:rPr>
                <w:rtl/>
              </w:rPr>
              <w:t xml:space="preserve">، </w:t>
            </w:r>
            <w:r w:rsidRPr="00660105">
              <w:rPr>
                <w:rFonts w:hint="cs"/>
                <w:rtl/>
              </w:rPr>
              <w:t>وهي:</w:t>
            </w:r>
            <w:r w:rsidRPr="00660105">
              <w:rPr>
                <w:rtl/>
              </w:rPr>
              <w:t xml:space="preserve"> منطقة إفريقيا، ومنطقة الأمريكتين، ومنطقة الدول العربية، ومنطقة آسيا والمحيط الهادئ، ومنطقة كومنولث الدول المستقلة </w:t>
            </w:r>
            <w:r w:rsidR="00176123" w:rsidRPr="00660105">
              <w:rPr>
                <w:lang w:bidi="ar-SY"/>
              </w:rPr>
              <w:t>(</w:t>
            </w:r>
            <w:r w:rsidRPr="00660105">
              <w:rPr>
                <w:lang w:bidi="ar-SY"/>
              </w:rPr>
              <w:t>CIS</w:t>
            </w:r>
            <w:r w:rsidR="00176123" w:rsidRPr="00660105">
              <w:rPr>
                <w:lang w:bidi="ar-SY"/>
              </w:rPr>
              <w:t>)</w:t>
            </w:r>
            <w:r w:rsidRPr="00660105">
              <w:rPr>
                <w:rtl/>
              </w:rPr>
              <w:t>، ومنطقة أوروبا</w:t>
            </w:r>
            <w:r w:rsidRPr="00660105">
              <w:rPr>
                <w:rFonts w:hint="cs"/>
                <w:rtl/>
              </w:rPr>
              <w:t xml:space="preserve">، وكذلك على صعيد </w:t>
            </w:r>
            <w:r w:rsidR="00012E22" w:rsidRPr="00660105">
              <w:rPr>
                <w:rFonts w:hint="cs"/>
                <w:rtl/>
              </w:rPr>
              <w:t>مناطق متعددة</w:t>
            </w:r>
            <w:r w:rsidRPr="00660105">
              <w:rPr>
                <w:rStyle w:val="CommentReference"/>
                <w:rFonts w:hint="cs"/>
                <w:rtl/>
              </w:rPr>
              <w:t>.</w:t>
            </w:r>
          </w:p>
          <w:p w14:paraId="3D5D02E1" w14:textId="77777777" w:rsidR="00783A69" w:rsidRPr="0029389A" w:rsidRDefault="00783A69" w:rsidP="00EE5CF2">
            <w:pPr>
              <w:rPr>
                <w:b/>
                <w:bCs/>
                <w:rtl/>
                <w:lang w:bidi="ar-SY"/>
              </w:rPr>
            </w:pPr>
            <w:r w:rsidRPr="0029389A">
              <w:rPr>
                <w:rFonts w:hint="cs"/>
                <w:b/>
                <w:bCs/>
                <w:rtl/>
                <w:lang w:bidi="ar-SY"/>
              </w:rPr>
              <w:t>الإجراء المطلوب</w:t>
            </w:r>
            <w:r w:rsidR="005874F2" w:rsidRPr="0029389A">
              <w:rPr>
                <w:rFonts w:hint="cs"/>
                <w:b/>
                <w:bCs/>
                <w:rtl/>
                <w:lang w:bidi="ar-SY"/>
              </w:rPr>
              <w:t>:</w:t>
            </w:r>
          </w:p>
          <w:p w14:paraId="34443B52" w14:textId="56E0C027" w:rsidR="00783A69" w:rsidRPr="0029389A" w:rsidRDefault="0029389A" w:rsidP="00176123">
            <w:pPr>
              <w:rPr>
                <w:rtl/>
                <w:lang w:bidi="ar-EG"/>
              </w:rPr>
            </w:pPr>
            <w:r w:rsidRPr="0029389A">
              <w:rPr>
                <w:rtl/>
              </w:rPr>
              <w:t>يُدعى الفريق الاستشاري لتنمية الاتصالات</w:t>
            </w:r>
            <w:r w:rsidRPr="0029389A">
              <w:rPr>
                <w:rFonts w:hint="cs"/>
                <w:rtl/>
              </w:rPr>
              <w:t xml:space="preserve"> </w:t>
            </w:r>
            <w:r w:rsidR="00176123">
              <w:rPr>
                <w:lang w:bidi="ar-EG"/>
              </w:rPr>
              <w:t>(</w:t>
            </w:r>
            <w:r w:rsidRPr="0029389A">
              <w:rPr>
                <w:lang w:bidi="ar-EG"/>
              </w:rPr>
              <w:t>TDAG</w:t>
            </w:r>
            <w:r w:rsidR="00176123">
              <w:rPr>
                <w:lang w:bidi="ar-EG"/>
              </w:rPr>
              <w:t>)</w:t>
            </w:r>
            <w:r w:rsidRPr="0029389A">
              <w:rPr>
                <w:rtl/>
              </w:rPr>
              <w:t xml:space="preserve"> إلى الإحاطة علماً بهذ</w:t>
            </w:r>
            <w:r w:rsidRPr="0029389A">
              <w:rPr>
                <w:rFonts w:hint="cs"/>
                <w:rtl/>
              </w:rPr>
              <w:t>ه</w:t>
            </w:r>
            <w:r w:rsidRPr="0029389A">
              <w:rPr>
                <w:rtl/>
              </w:rPr>
              <w:t xml:space="preserve"> </w:t>
            </w:r>
            <w:r w:rsidRPr="0029389A">
              <w:rPr>
                <w:rFonts w:hint="cs"/>
                <w:rtl/>
              </w:rPr>
              <w:t xml:space="preserve">الوثيقة </w:t>
            </w:r>
            <w:r w:rsidRPr="0029389A">
              <w:rPr>
                <w:rtl/>
              </w:rPr>
              <w:t>وتقديم</w:t>
            </w:r>
            <w:r w:rsidRPr="0029389A">
              <w:rPr>
                <w:rFonts w:hint="cs"/>
                <w:rtl/>
                <w:lang w:bidi="ar-EG"/>
              </w:rPr>
              <w:t xml:space="preserve"> التوجيهات التي يراها مناسبة</w:t>
            </w:r>
            <w:r w:rsidRPr="0029389A">
              <w:rPr>
                <w:rtl/>
              </w:rPr>
              <w:t>.</w:t>
            </w:r>
          </w:p>
          <w:p w14:paraId="38A47A80" w14:textId="77777777" w:rsidR="00783A69" w:rsidRPr="0029389A" w:rsidRDefault="00783A69" w:rsidP="00EE5CF2">
            <w:pPr>
              <w:rPr>
                <w:b/>
                <w:bCs/>
                <w:rtl/>
                <w:lang w:bidi="ar-SY"/>
              </w:rPr>
            </w:pPr>
            <w:r w:rsidRPr="0029389A">
              <w:rPr>
                <w:rFonts w:hint="cs"/>
                <w:b/>
                <w:bCs/>
                <w:rtl/>
                <w:lang w:bidi="ar-SY"/>
              </w:rPr>
              <w:t>المراجع</w:t>
            </w:r>
            <w:r w:rsidR="005874F2" w:rsidRPr="0029389A">
              <w:rPr>
                <w:rFonts w:hint="cs"/>
                <w:b/>
                <w:bCs/>
                <w:rtl/>
                <w:lang w:bidi="ar-SY"/>
              </w:rPr>
              <w:t>:</w:t>
            </w:r>
          </w:p>
          <w:p w14:paraId="18FC65CE" w14:textId="52C274C1" w:rsidR="00783A69" w:rsidRPr="0029389A" w:rsidRDefault="0029389A" w:rsidP="0029389A">
            <w:pPr>
              <w:spacing w:after="120"/>
              <w:rPr>
                <w:rtl/>
              </w:rPr>
            </w:pPr>
            <w:r w:rsidRPr="0029389A">
              <w:rPr>
                <w:rtl/>
              </w:rPr>
              <w:t>القرار 17 و</w:t>
            </w:r>
            <w:r w:rsidRPr="0029389A">
              <w:rPr>
                <w:rFonts w:hint="cs"/>
                <w:rtl/>
              </w:rPr>
              <w:t xml:space="preserve">القرار </w:t>
            </w:r>
            <w:r w:rsidRPr="0029389A">
              <w:rPr>
                <w:rtl/>
              </w:rPr>
              <w:t>52 (المراج</w:t>
            </w:r>
            <w:r w:rsidRPr="0029389A">
              <w:rPr>
                <w:rFonts w:hint="cs"/>
                <w:rtl/>
              </w:rPr>
              <w:t>َ</w:t>
            </w:r>
            <w:r w:rsidRPr="0029389A">
              <w:rPr>
                <w:rtl/>
              </w:rPr>
              <w:t>ع</w:t>
            </w:r>
            <w:r w:rsidRPr="0029389A">
              <w:rPr>
                <w:rFonts w:hint="cs"/>
                <w:rtl/>
              </w:rPr>
              <w:t>َين</w:t>
            </w:r>
            <w:r w:rsidRPr="0029389A">
              <w:rPr>
                <w:rtl/>
              </w:rPr>
              <w:t xml:space="preserve"> في بوينس آيرس، 2017) للمؤتمر العالمي لتنمية الاتصالات </w:t>
            </w:r>
            <w:r w:rsidR="00176123">
              <w:t>(</w:t>
            </w:r>
            <w:r w:rsidRPr="0029389A">
              <w:rPr>
                <w:lang w:val="en-GB" w:bidi="ar-EG"/>
              </w:rPr>
              <w:t>WTDC</w:t>
            </w:r>
            <w:r w:rsidR="00176123">
              <w:rPr>
                <w:lang w:val="en-GB" w:bidi="ar-EG"/>
              </w:rPr>
              <w:t>)</w:t>
            </w:r>
            <w:r w:rsidRPr="0029389A">
              <w:rPr>
                <w:rtl/>
              </w:rPr>
              <w:t xml:space="preserve"> والقرار 157 (المراج</w:t>
            </w:r>
            <w:r w:rsidRPr="0029389A">
              <w:rPr>
                <w:rFonts w:hint="cs"/>
                <w:rtl/>
              </w:rPr>
              <w:t>َ</w:t>
            </w:r>
            <w:r w:rsidRPr="0029389A">
              <w:rPr>
                <w:rtl/>
              </w:rPr>
              <w:t>ع في</w:t>
            </w:r>
            <w:r w:rsidRPr="0029389A">
              <w:rPr>
                <w:rFonts w:hint="cs"/>
                <w:rtl/>
              </w:rPr>
              <w:t> </w:t>
            </w:r>
            <w:r w:rsidRPr="0029389A">
              <w:rPr>
                <w:rtl/>
              </w:rPr>
              <w:t>دبي، 2018) لمؤتمر المندوبين المفوضين.</w:t>
            </w:r>
          </w:p>
        </w:tc>
      </w:tr>
    </w:tbl>
    <w:p w14:paraId="11BD5449" w14:textId="77777777" w:rsidR="00882A17" w:rsidRDefault="00882A17">
      <w:pPr>
        <w:tabs>
          <w:tab w:val="clear" w:pos="794"/>
        </w:tabs>
        <w:bidi w:val="0"/>
        <w:spacing w:before="0" w:after="160" w:line="259" w:lineRule="auto"/>
        <w:jc w:val="left"/>
        <w:rPr>
          <w:lang w:bidi="ar-EG"/>
        </w:rPr>
      </w:pPr>
      <w:r>
        <w:rPr>
          <w:rtl/>
          <w:lang w:bidi="ar-EG"/>
        </w:rPr>
        <w:br w:type="page"/>
      </w:r>
    </w:p>
    <w:p w14:paraId="4F682A3D" w14:textId="77777777" w:rsidR="00EE63BE" w:rsidRPr="00176123" w:rsidRDefault="00EE63BE" w:rsidP="00176123">
      <w:pPr>
        <w:pStyle w:val="Heading1"/>
        <w:rPr>
          <w:rtl/>
        </w:rPr>
      </w:pPr>
      <w:r w:rsidRPr="00176123">
        <w:lastRenderedPageBreak/>
        <w:t>1</w:t>
      </w:r>
      <w:r w:rsidRPr="00176123">
        <w:rPr>
          <w:rtl/>
        </w:rPr>
        <w:tab/>
      </w:r>
      <w:r w:rsidRPr="00176123">
        <w:rPr>
          <w:rFonts w:hint="cs"/>
          <w:rtl/>
        </w:rPr>
        <w:t>مقدمة</w:t>
      </w:r>
    </w:p>
    <w:p w14:paraId="27572DC4" w14:textId="4085B0E5" w:rsidR="00882A17" w:rsidRPr="00176123" w:rsidRDefault="00EE63BE" w:rsidP="00176123">
      <w:pPr>
        <w:rPr>
          <w:spacing w:val="-2"/>
          <w:rtl/>
        </w:rPr>
      </w:pPr>
      <w:r w:rsidRPr="00176123">
        <w:rPr>
          <w:rFonts w:hint="cs"/>
          <w:spacing w:val="-2"/>
          <w:rtl/>
        </w:rPr>
        <w:t>وفقاً لأحكام كل من القرار</w:t>
      </w:r>
      <w:r w:rsidRPr="00176123">
        <w:rPr>
          <w:spacing w:val="-2"/>
          <w:rtl/>
        </w:rPr>
        <w:t xml:space="preserve"> 17 و</w:t>
      </w:r>
      <w:r w:rsidRPr="00176123">
        <w:rPr>
          <w:rFonts w:hint="cs"/>
          <w:spacing w:val="-2"/>
          <w:rtl/>
        </w:rPr>
        <w:t xml:space="preserve">القرار </w:t>
      </w:r>
      <w:r w:rsidRPr="00176123">
        <w:rPr>
          <w:spacing w:val="-2"/>
          <w:rtl/>
        </w:rPr>
        <w:t>52 (المراج</w:t>
      </w:r>
      <w:r w:rsidRPr="00176123">
        <w:rPr>
          <w:rFonts w:hint="cs"/>
          <w:spacing w:val="-2"/>
          <w:rtl/>
        </w:rPr>
        <w:t>َ</w:t>
      </w:r>
      <w:r w:rsidRPr="00176123">
        <w:rPr>
          <w:spacing w:val="-2"/>
          <w:rtl/>
        </w:rPr>
        <w:t>ع</w:t>
      </w:r>
      <w:r w:rsidRPr="00176123">
        <w:rPr>
          <w:rFonts w:hint="cs"/>
          <w:spacing w:val="-2"/>
          <w:rtl/>
        </w:rPr>
        <w:t>َين</w:t>
      </w:r>
      <w:r w:rsidRPr="00176123">
        <w:rPr>
          <w:spacing w:val="-2"/>
          <w:rtl/>
        </w:rPr>
        <w:t xml:space="preserve"> في بوينس آيرس، 2017) للمؤتمر العالمي لتنمية الاتصالات </w:t>
      </w:r>
      <w:r w:rsidR="00176123" w:rsidRPr="00176123">
        <w:rPr>
          <w:spacing w:val="-2"/>
        </w:rPr>
        <w:t>(</w:t>
      </w:r>
      <w:r w:rsidRPr="00176123">
        <w:rPr>
          <w:spacing w:val="-2"/>
        </w:rPr>
        <w:t>WTDC</w:t>
      </w:r>
      <w:r w:rsidR="00176123" w:rsidRPr="00176123">
        <w:rPr>
          <w:spacing w:val="-2"/>
        </w:rPr>
        <w:t>)</w:t>
      </w:r>
      <w:r w:rsidRPr="00176123">
        <w:rPr>
          <w:spacing w:val="-2"/>
          <w:rtl/>
        </w:rPr>
        <w:t xml:space="preserve"> والقرار</w:t>
      </w:r>
      <w:r w:rsidRPr="00176123">
        <w:rPr>
          <w:rFonts w:hint="eastAsia"/>
          <w:spacing w:val="-2"/>
          <w:rtl/>
        </w:rPr>
        <w:t> </w:t>
      </w:r>
      <w:r w:rsidRPr="00176123">
        <w:rPr>
          <w:spacing w:val="-2"/>
          <w:rtl/>
        </w:rPr>
        <w:t>157 (المراج</w:t>
      </w:r>
      <w:r w:rsidR="00176123" w:rsidRPr="00176123">
        <w:rPr>
          <w:rFonts w:hint="cs"/>
          <w:spacing w:val="-2"/>
          <w:rtl/>
        </w:rPr>
        <w:t>َ</w:t>
      </w:r>
      <w:r w:rsidRPr="00176123">
        <w:rPr>
          <w:spacing w:val="-2"/>
          <w:rtl/>
        </w:rPr>
        <w:t>ع في دبي، 2018) لمؤتمر المندوبين المفوضين،</w:t>
      </w:r>
      <w:r w:rsidRPr="00176123">
        <w:rPr>
          <w:rFonts w:hint="cs"/>
          <w:i/>
          <w:iCs/>
          <w:spacing w:val="-2"/>
          <w:rtl/>
          <w:lang w:bidi="ar-EG"/>
        </w:rPr>
        <w:t xml:space="preserve"> </w:t>
      </w:r>
      <w:r w:rsidRPr="00176123">
        <w:rPr>
          <w:rFonts w:hint="cs"/>
          <w:spacing w:val="-2"/>
          <w:rtl/>
          <w:lang w:bidi="ar-EG"/>
        </w:rPr>
        <w:t xml:space="preserve">يتولى مكتب تنمية الاتصالات </w:t>
      </w:r>
      <w:r w:rsidR="00176123" w:rsidRPr="00176123">
        <w:rPr>
          <w:spacing w:val="-2"/>
          <w:lang w:bidi="ar-EG"/>
        </w:rPr>
        <w:t>(</w:t>
      </w:r>
      <w:r w:rsidRPr="00176123">
        <w:rPr>
          <w:spacing w:val="-2"/>
          <w:lang w:bidi="ar-EG"/>
        </w:rPr>
        <w:t>BDT</w:t>
      </w:r>
      <w:r w:rsidR="00176123" w:rsidRPr="00176123">
        <w:rPr>
          <w:spacing w:val="-2"/>
          <w:lang w:bidi="ar-EG"/>
        </w:rPr>
        <w:t>)</w:t>
      </w:r>
      <w:r w:rsidRPr="00176123">
        <w:rPr>
          <w:rFonts w:hint="cs"/>
          <w:spacing w:val="-2"/>
          <w:rtl/>
          <w:lang w:bidi="ar-EG"/>
        </w:rPr>
        <w:t xml:space="preserve"> بالاتحاد الدولي للاتصالات مسؤولية الوفاء بولاية الاتحاد المتعلقة بتنفيذ مشاريع </w:t>
      </w:r>
      <w:r w:rsidRPr="00176123">
        <w:rPr>
          <w:spacing w:val="-2"/>
          <w:rtl/>
          <w:lang w:bidi="ar-EG"/>
        </w:rPr>
        <w:t>في </w:t>
      </w:r>
      <w:r w:rsidRPr="00176123">
        <w:rPr>
          <w:rFonts w:hint="cs"/>
          <w:spacing w:val="-2"/>
          <w:rtl/>
          <w:lang w:bidi="ar-EG"/>
        </w:rPr>
        <w:t>إطار</w:t>
      </w:r>
      <w:r w:rsidRPr="00176123">
        <w:rPr>
          <w:spacing w:val="-2"/>
          <w:rtl/>
          <w:lang w:bidi="ar-EG"/>
        </w:rPr>
        <w:t xml:space="preserve"> </w:t>
      </w:r>
      <w:r w:rsidRPr="00176123">
        <w:rPr>
          <w:rFonts w:hint="cs"/>
          <w:spacing w:val="-2"/>
          <w:rtl/>
          <w:lang w:bidi="ar-EG"/>
        </w:rPr>
        <w:t>منظومة</w:t>
      </w:r>
      <w:r w:rsidRPr="00176123">
        <w:rPr>
          <w:spacing w:val="-2"/>
          <w:rtl/>
          <w:lang w:bidi="ar-EG"/>
        </w:rPr>
        <w:t xml:space="preserve"> </w:t>
      </w:r>
      <w:r w:rsidRPr="00176123">
        <w:rPr>
          <w:rFonts w:hint="cs"/>
          <w:spacing w:val="-2"/>
          <w:rtl/>
          <w:lang w:bidi="ar-EG"/>
        </w:rPr>
        <w:t>الأمم</w:t>
      </w:r>
      <w:r w:rsidRPr="00176123">
        <w:rPr>
          <w:spacing w:val="-2"/>
          <w:rtl/>
          <w:lang w:bidi="ar-EG"/>
        </w:rPr>
        <w:t xml:space="preserve"> </w:t>
      </w:r>
      <w:r w:rsidRPr="00176123">
        <w:rPr>
          <w:rFonts w:hint="cs"/>
          <w:spacing w:val="-2"/>
          <w:rtl/>
          <w:lang w:bidi="ar-EG"/>
        </w:rPr>
        <w:t>المتحدة</w:t>
      </w:r>
      <w:r w:rsidRPr="00176123">
        <w:rPr>
          <w:spacing w:val="-2"/>
          <w:rtl/>
          <w:lang w:bidi="ar-EG"/>
        </w:rPr>
        <w:t xml:space="preserve"> </w:t>
      </w:r>
      <w:r w:rsidRPr="00176123">
        <w:rPr>
          <w:rFonts w:hint="cs"/>
          <w:spacing w:val="-2"/>
          <w:rtl/>
          <w:lang w:bidi="ar-EG"/>
        </w:rPr>
        <w:t>الإنمائية، أو</w:t>
      </w:r>
      <w:r w:rsidRPr="00176123">
        <w:rPr>
          <w:spacing w:val="-2"/>
          <w:rtl/>
          <w:lang w:bidi="ar-EG"/>
        </w:rPr>
        <w:t xml:space="preserve"> </w:t>
      </w:r>
      <w:r w:rsidRPr="00176123">
        <w:rPr>
          <w:rFonts w:hint="cs"/>
          <w:spacing w:val="-2"/>
          <w:rtl/>
          <w:lang w:bidi="ar-EG"/>
        </w:rPr>
        <w:t>بموجب</w:t>
      </w:r>
      <w:r w:rsidRPr="00176123">
        <w:rPr>
          <w:spacing w:val="-2"/>
          <w:rtl/>
          <w:lang w:bidi="ar-EG"/>
        </w:rPr>
        <w:t xml:space="preserve"> </w:t>
      </w:r>
      <w:r w:rsidRPr="00176123">
        <w:rPr>
          <w:rFonts w:hint="cs"/>
          <w:spacing w:val="-2"/>
          <w:rtl/>
          <w:lang w:bidi="ar-EG"/>
        </w:rPr>
        <w:t>اتفاقات</w:t>
      </w:r>
      <w:r w:rsidRPr="00176123">
        <w:rPr>
          <w:spacing w:val="-2"/>
          <w:rtl/>
          <w:lang w:bidi="ar-EG"/>
        </w:rPr>
        <w:t xml:space="preserve"> </w:t>
      </w:r>
      <w:r w:rsidRPr="00176123">
        <w:rPr>
          <w:rFonts w:hint="cs"/>
          <w:spacing w:val="-2"/>
          <w:rtl/>
          <w:lang w:bidi="ar-EG"/>
        </w:rPr>
        <w:t>تمويل</w:t>
      </w:r>
      <w:r w:rsidRPr="00176123">
        <w:rPr>
          <w:spacing w:val="-2"/>
          <w:rtl/>
          <w:lang w:bidi="ar-EG"/>
        </w:rPr>
        <w:t xml:space="preserve"> </w:t>
      </w:r>
      <w:r w:rsidRPr="00176123">
        <w:rPr>
          <w:rFonts w:hint="cs"/>
          <w:spacing w:val="-2"/>
          <w:rtl/>
          <w:lang w:bidi="ar-EG"/>
        </w:rPr>
        <w:t>أخرى،</w:t>
      </w:r>
      <w:r w:rsidRPr="00176123">
        <w:rPr>
          <w:spacing w:val="-2"/>
          <w:rtl/>
          <w:lang w:bidi="ar-EG"/>
        </w:rPr>
        <w:t xml:space="preserve"> </w:t>
      </w:r>
      <w:r w:rsidRPr="00176123">
        <w:rPr>
          <w:rFonts w:hint="cs"/>
          <w:spacing w:val="-2"/>
          <w:rtl/>
          <w:lang w:bidi="ar-EG"/>
        </w:rPr>
        <w:t>لتيسير</w:t>
      </w:r>
      <w:r w:rsidRPr="00176123">
        <w:rPr>
          <w:spacing w:val="-2"/>
          <w:rtl/>
          <w:lang w:bidi="ar-EG"/>
        </w:rPr>
        <w:t xml:space="preserve"> </w:t>
      </w:r>
      <w:r w:rsidRPr="00176123">
        <w:rPr>
          <w:rFonts w:hint="cs"/>
          <w:spacing w:val="-2"/>
          <w:rtl/>
          <w:lang w:bidi="ar-EG"/>
        </w:rPr>
        <w:t>وتعزيز تنمية</w:t>
      </w:r>
      <w:r w:rsidRPr="00176123">
        <w:rPr>
          <w:spacing w:val="-2"/>
          <w:rtl/>
          <w:lang w:bidi="ar-EG"/>
        </w:rPr>
        <w:t xml:space="preserve"> </w:t>
      </w:r>
      <w:r w:rsidRPr="00176123">
        <w:rPr>
          <w:rFonts w:hint="cs"/>
          <w:spacing w:val="-2"/>
          <w:rtl/>
          <w:lang w:bidi="ar-EG"/>
        </w:rPr>
        <w:t>الاتصالات/تكنولوجيا المعلومات والاتصالات</w:t>
      </w:r>
      <w:r w:rsidRPr="00176123">
        <w:rPr>
          <w:spacing w:val="-2"/>
          <w:rtl/>
          <w:lang w:bidi="ar-EG"/>
        </w:rPr>
        <w:t xml:space="preserve"> </w:t>
      </w:r>
      <w:r w:rsidRPr="00176123">
        <w:rPr>
          <w:rFonts w:hint="cs"/>
          <w:spacing w:val="-2"/>
          <w:rtl/>
          <w:lang w:bidi="ar-EG"/>
        </w:rPr>
        <w:t>بما</w:t>
      </w:r>
      <w:r w:rsidRPr="00176123">
        <w:rPr>
          <w:spacing w:val="-2"/>
          <w:rtl/>
          <w:lang w:bidi="ar-EG"/>
        </w:rPr>
        <w:t xml:space="preserve"> </w:t>
      </w:r>
      <w:r w:rsidRPr="00176123">
        <w:rPr>
          <w:rFonts w:hint="cs"/>
          <w:spacing w:val="-2"/>
          <w:rtl/>
          <w:lang w:bidi="ar-EG"/>
        </w:rPr>
        <w:t>يقدمه المكتب</w:t>
      </w:r>
      <w:r w:rsidRPr="00176123">
        <w:rPr>
          <w:spacing w:val="-2"/>
          <w:rtl/>
          <w:lang w:bidi="ar-EG"/>
        </w:rPr>
        <w:t xml:space="preserve"> </w:t>
      </w:r>
      <w:r w:rsidRPr="00176123">
        <w:rPr>
          <w:rFonts w:hint="cs"/>
          <w:spacing w:val="-2"/>
          <w:rtl/>
          <w:lang w:bidi="ar-EG"/>
        </w:rPr>
        <w:t>وينظمه</w:t>
      </w:r>
      <w:r w:rsidRPr="00176123">
        <w:rPr>
          <w:spacing w:val="-2"/>
          <w:rtl/>
          <w:lang w:bidi="ar-EG"/>
        </w:rPr>
        <w:t xml:space="preserve"> </w:t>
      </w:r>
      <w:r w:rsidRPr="00176123">
        <w:rPr>
          <w:rFonts w:hint="cs"/>
          <w:spacing w:val="-2"/>
          <w:rtl/>
          <w:lang w:bidi="ar-EG"/>
        </w:rPr>
        <w:t>وينسقه</w:t>
      </w:r>
      <w:r w:rsidRPr="00176123">
        <w:rPr>
          <w:spacing w:val="-2"/>
          <w:rtl/>
          <w:lang w:bidi="ar-EG"/>
        </w:rPr>
        <w:t xml:space="preserve"> </w:t>
      </w:r>
      <w:r w:rsidRPr="00176123">
        <w:rPr>
          <w:rFonts w:hint="cs"/>
          <w:spacing w:val="-2"/>
          <w:rtl/>
          <w:lang w:bidi="ar-EG"/>
        </w:rPr>
        <w:t>من</w:t>
      </w:r>
      <w:r w:rsidRPr="00176123">
        <w:rPr>
          <w:spacing w:val="-2"/>
          <w:rtl/>
          <w:lang w:bidi="ar-EG"/>
        </w:rPr>
        <w:t xml:space="preserve"> </w:t>
      </w:r>
      <w:r w:rsidRPr="00176123">
        <w:rPr>
          <w:rFonts w:hint="cs"/>
          <w:spacing w:val="-2"/>
          <w:rtl/>
          <w:lang w:bidi="ar-EG"/>
        </w:rPr>
        <w:t>أنشطة</w:t>
      </w:r>
      <w:r w:rsidRPr="00176123">
        <w:rPr>
          <w:spacing w:val="-2"/>
          <w:rtl/>
          <w:lang w:bidi="ar-EG"/>
        </w:rPr>
        <w:t xml:space="preserve"> </w:t>
      </w:r>
      <w:r w:rsidRPr="00176123">
        <w:rPr>
          <w:rFonts w:hint="cs"/>
          <w:spacing w:val="-2"/>
          <w:rtl/>
          <w:lang w:bidi="ar-EG"/>
        </w:rPr>
        <w:t>للتعاون</w:t>
      </w:r>
      <w:r w:rsidRPr="00176123">
        <w:rPr>
          <w:spacing w:val="-2"/>
          <w:rtl/>
          <w:lang w:bidi="ar-EG"/>
        </w:rPr>
        <w:t xml:space="preserve"> </w:t>
      </w:r>
      <w:r w:rsidRPr="00176123">
        <w:rPr>
          <w:rFonts w:hint="cs"/>
          <w:spacing w:val="-2"/>
          <w:rtl/>
          <w:lang w:bidi="ar-EG"/>
        </w:rPr>
        <w:t>التقني</w:t>
      </w:r>
      <w:r w:rsidRPr="00176123">
        <w:rPr>
          <w:spacing w:val="-2"/>
          <w:rtl/>
          <w:lang w:bidi="ar-EG"/>
        </w:rPr>
        <w:t xml:space="preserve"> </w:t>
      </w:r>
      <w:r w:rsidRPr="00176123">
        <w:rPr>
          <w:rFonts w:hint="cs"/>
          <w:spacing w:val="-2"/>
          <w:rtl/>
          <w:lang w:bidi="ar-EG"/>
        </w:rPr>
        <w:t>وأنشطة</w:t>
      </w:r>
      <w:r w:rsidRPr="00176123">
        <w:rPr>
          <w:spacing w:val="-2"/>
          <w:rtl/>
          <w:lang w:bidi="ar-EG"/>
        </w:rPr>
        <w:t xml:space="preserve"> </w:t>
      </w:r>
      <w:r w:rsidRPr="00176123">
        <w:rPr>
          <w:rFonts w:hint="cs"/>
          <w:spacing w:val="-2"/>
          <w:rtl/>
          <w:lang w:bidi="ar-EG"/>
        </w:rPr>
        <w:t>للمساعدة</w:t>
      </w:r>
      <w:r w:rsidRPr="00176123">
        <w:rPr>
          <w:spacing w:val="-2"/>
          <w:rtl/>
          <w:lang w:bidi="ar-EG"/>
        </w:rPr>
        <w:t xml:space="preserve"> </w:t>
      </w:r>
      <w:r w:rsidRPr="00176123">
        <w:rPr>
          <w:rFonts w:hint="cs"/>
          <w:spacing w:val="-2"/>
          <w:rtl/>
          <w:lang w:bidi="ar-EG"/>
        </w:rPr>
        <w:t xml:space="preserve">التقنية. </w:t>
      </w:r>
      <w:r w:rsidR="007703E3" w:rsidRPr="00176123">
        <w:rPr>
          <w:rFonts w:hint="cs"/>
          <w:spacing w:val="-2"/>
          <w:rtl/>
          <w:lang w:bidi="ar-EG"/>
        </w:rPr>
        <w:t xml:space="preserve">ويقدم هذا التقرير لمحة عامة عن حالة حافظة مشاريع الاتحاد للفترة من مارس إلى سبتمبر </w:t>
      </w:r>
      <w:r w:rsidR="007703E3" w:rsidRPr="00176123">
        <w:rPr>
          <w:spacing w:val="-2"/>
          <w:lang w:val="en-GB" w:bidi="ar-EG"/>
        </w:rPr>
        <w:t>2021</w:t>
      </w:r>
      <w:r w:rsidRPr="00176123">
        <w:rPr>
          <w:rStyle w:val="FootnoteReference"/>
          <w:spacing w:val="-2"/>
          <w:rtl/>
          <w:lang w:bidi="ar-EG"/>
        </w:rPr>
        <w:footnoteReference w:id="1"/>
      </w:r>
      <w:r w:rsidR="007703E3" w:rsidRPr="00176123">
        <w:rPr>
          <w:rFonts w:hint="cs"/>
          <w:spacing w:val="-2"/>
          <w:rtl/>
          <w:lang w:val="en-GB"/>
        </w:rPr>
        <w:t>.</w:t>
      </w:r>
    </w:p>
    <w:p w14:paraId="7E646657" w14:textId="77777777" w:rsidR="00EE63BE" w:rsidRPr="00176123" w:rsidRDefault="00EE63BE" w:rsidP="00176123">
      <w:pPr>
        <w:pStyle w:val="Heading1"/>
        <w:rPr>
          <w:rtl/>
        </w:rPr>
      </w:pPr>
      <w:r w:rsidRPr="00176123">
        <w:t>2</w:t>
      </w:r>
      <w:r w:rsidRPr="00176123">
        <w:rPr>
          <w:rtl/>
        </w:rPr>
        <w:tab/>
        <w:t>حافظة مشاريع</w:t>
      </w:r>
      <w:r w:rsidRPr="00176123">
        <w:rPr>
          <w:rFonts w:hint="cs"/>
          <w:rtl/>
        </w:rPr>
        <w:t xml:space="preserve"> الاتحاد: </w:t>
      </w:r>
      <w:r w:rsidRPr="00176123">
        <w:rPr>
          <w:rtl/>
        </w:rPr>
        <w:t xml:space="preserve">المشاريع </w:t>
      </w:r>
      <w:r w:rsidRPr="00176123">
        <w:rPr>
          <w:rFonts w:hint="cs"/>
          <w:rtl/>
        </w:rPr>
        <w:t>الجاري تنفيذها</w:t>
      </w:r>
    </w:p>
    <w:p w14:paraId="6CB72525" w14:textId="45F769ED" w:rsidR="00EE63BE" w:rsidRPr="00176123" w:rsidRDefault="00EE63BE" w:rsidP="00176123">
      <w:pPr>
        <w:pStyle w:val="Heading2"/>
        <w:rPr>
          <w:rtl/>
        </w:rPr>
      </w:pPr>
      <w:r w:rsidRPr="00176123">
        <w:rPr>
          <w:rFonts w:hint="cs"/>
          <w:rtl/>
        </w:rPr>
        <w:t>1.2</w:t>
      </w:r>
      <w:r w:rsidRPr="00176123">
        <w:rPr>
          <w:rtl/>
        </w:rPr>
        <w:tab/>
      </w:r>
      <w:r w:rsidRPr="00176123">
        <w:rPr>
          <w:rFonts w:hint="cs"/>
          <w:rtl/>
        </w:rPr>
        <w:t xml:space="preserve">لمحة عامة </w:t>
      </w:r>
      <w:r w:rsidR="00832124" w:rsidRPr="00176123">
        <w:rPr>
          <w:rFonts w:hint="cs"/>
          <w:rtl/>
        </w:rPr>
        <w:t>والتوزيع</w:t>
      </w:r>
      <w:r w:rsidRPr="00176123">
        <w:rPr>
          <w:rFonts w:hint="cs"/>
          <w:rtl/>
        </w:rPr>
        <w:t xml:space="preserve"> الإقليمي</w:t>
      </w:r>
    </w:p>
    <w:p w14:paraId="4918DAED" w14:textId="7E2E1BCE" w:rsidR="00EE63BE" w:rsidRPr="00632F3D" w:rsidRDefault="00EE63BE" w:rsidP="00176123">
      <w:pPr>
        <w:rPr>
          <w:rtl/>
          <w:lang w:bidi="ar-EG"/>
        </w:rPr>
      </w:pPr>
      <w:r w:rsidRPr="00632F3D">
        <w:rPr>
          <w:rFonts w:hint="cs"/>
          <w:rtl/>
          <w:lang w:bidi="ar-EG"/>
        </w:rPr>
        <w:t xml:space="preserve">في </w:t>
      </w:r>
      <w:r>
        <w:rPr>
          <w:lang w:val="fr-CH" w:bidi="ar-EG"/>
        </w:rPr>
        <w:t>15</w:t>
      </w:r>
      <w:r w:rsidRPr="00632F3D">
        <w:rPr>
          <w:rFonts w:hint="cs"/>
          <w:rtl/>
          <w:lang w:bidi="ar-EG"/>
        </w:rPr>
        <w:t xml:space="preserve"> </w:t>
      </w:r>
      <w:r>
        <w:rPr>
          <w:rFonts w:hint="cs"/>
          <w:rtl/>
          <w:lang w:bidi="ar-EG"/>
        </w:rPr>
        <w:t xml:space="preserve">سبتمبر </w:t>
      </w:r>
      <w:r>
        <w:rPr>
          <w:lang w:val="fr-CH" w:bidi="ar-EG"/>
        </w:rPr>
        <w:t>2021</w:t>
      </w:r>
      <w:r w:rsidRPr="00632F3D">
        <w:rPr>
          <w:rFonts w:hint="cs"/>
          <w:rtl/>
          <w:lang w:bidi="ar-EG"/>
        </w:rPr>
        <w:t xml:space="preserve">، كانت </w:t>
      </w:r>
      <w:r w:rsidRPr="00632F3D">
        <w:rPr>
          <w:rtl/>
          <w:lang w:bidi="ar-EG"/>
        </w:rPr>
        <w:t>حافظة مشاريع</w:t>
      </w:r>
      <w:r w:rsidRPr="00632F3D">
        <w:rPr>
          <w:rFonts w:hint="cs"/>
          <w:rtl/>
          <w:lang w:bidi="ar-EG"/>
        </w:rPr>
        <w:t xml:space="preserve"> الاتحاد تشتمل على </w:t>
      </w:r>
      <w:r>
        <w:rPr>
          <w:lang w:bidi="ar-EG"/>
        </w:rPr>
        <w:t>77</w:t>
      </w:r>
      <w:r>
        <w:rPr>
          <w:rFonts w:hint="cs"/>
          <w:rtl/>
          <w:lang w:bidi="ar-EG"/>
        </w:rPr>
        <w:t xml:space="preserve"> </w:t>
      </w:r>
      <w:r w:rsidRPr="00632F3D">
        <w:rPr>
          <w:rtl/>
          <w:lang w:bidi="ar-EG"/>
        </w:rPr>
        <w:t xml:space="preserve">مشروعاً </w:t>
      </w:r>
      <w:r w:rsidRPr="00632F3D">
        <w:rPr>
          <w:rFonts w:hint="cs"/>
          <w:rtl/>
          <w:lang w:bidi="ar-EG"/>
        </w:rPr>
        <w:t>جارٍ تنفيذه</w:t>
      </w:r>
      <w:r w:rsidRPr="00632F3D">
        <w:rPr>
          <w:rtl/>
          <w:lang w:bidi="ar-EG"/>
        </w:rPr>
        <w:t xml:space="preserve">، </w:t>
      </w:r>
      <w:r w:rsidRPr="00632F3D">
        <w:rPr>
          <w:rFonts w:hint="cs"/>
          <w:rtl/>
          <w:lang w:bidi="ar-EG"/>
        </w:rPr>
        <w:t xml:space="preserve">بقيمة </w:t>
      </w:r>
      <w:r>
        <w:rPr>
          <w:lang w:bidi="ar-EG"/>
        </w:rPr>
        <w:t>93</w:t>
      </w:r>
      <w:r w:rsidRPr="00632F3D">
        <w:rPr>
          <w:lang w:bidi="ar-EG"/>
        </w:rPr>
        <w:t>,</w:t>
      </w:r>
      <w:r>
        <w:rPr>
          <w:lang w:bidi="ar-EG"/>
        </w:rPr>
        <w:t>9</w:t>
      </w:r>
      <w:r w:rsidRPr="00632F3D">
        <w:rPr>
          <w:rFonts w:hint="cs"/>
          <w:rtl/>
          <w:lang w:bidi="ar-EG"/>
        </w:rPr>
        <w:t xml:space="preserve"> مليون </w:t>
      </w:r>
      <w:r w:rsidRPr="00632F3D">
        <w:rPr>
          <w:rtl/>
          <w:lang w:bidi="ar-EG"/>
        </w:rPr>
        <w:t>فرنك سويسري</w:t>
      </w:r>
      <w:r w:rsidRPr="00632F3D">
        <w:rPr>
          <w:rFonts w:hint="cs"/>
          <w:rtl/>
          <w:lang w:bidi="ar-EG"/>
        </w:rPr>
        <w:t xml:space="preserve">، </w:t>
      </w:r>
      <w:r w:rsidR="007703E3">
        <w:rPr>
          <w:rFonts w:hint="cs"/>
          <w:rtl/>
          <w:lang w:val="fr-CH" w:bidi="ar-EG"/>
        </w:rPr>
        <w:t xml:space="preserve">مع رصيد </w:t>
      </w:r>
      <w:r w:rsidR="00100D11">
        <w:rPr>
          <w:rFonts w:hint="cs"/>
          <w:rtl/>
          <w:lang w:val="fr-CH" w:bidi="ar-EG"/>
        </w:rPr>
        <w:t>يبلغ</w:t>
      </w:r>
      <w:r w:rsidR="007703E3">
        <w:rPr>
          <w:rFonts w:hint="cs"/>
          <w:rtl/>
          <w:lang w:bidi="ar-EG"/>
        </w:rPr>
        <w:t xml:space="preserve"> </w:t>
      </w:r>
      <w:r>
        <w:rPr>
          <w:lang w:bidi="ar-EG"/>
        </w:rPr>
        <w:t>25</w:t>
      </w:r>
      <w:r w:rsidRPr="00632F3D">
        <w:rPr>
          <w:lang w:bidi="ar-EG"/>
        </w:rPr>
        <w:t>,</w:t>
      </w:r>
      <w:r>
        <w:rPr>
          <w:lang w:bidi="ar-EG"/>
        </w:rPr>
        <w:t>9</w:t>
      </w:r>
      <w:r w:rsidRPr="00632F3D">
        <w:rPr>
          <w:rFonts w:hint="cs"/>
          <w:rtl/>
          <w:lang w:bidi="ar-EG"/>
        </w:rPr>
        <w:t xml:space="preserve"> مليون فرنك سويسري</w:t>
      </w:r>
      <w:r w:rsidR="007703E3">
        <w:rPr>
          <w:rFonts w:hint="cs"/>
          <w:rtl/>
          <w:lang w:bidi="ar-EG"/>
        </w:rPr>
        <w:t xml:space="preserve"> لم يتم الالتزام به بعد</w:t>
      </w:r>
      <w:r w:rsidRPr="00632F3D">
        <w:rPr>
          <w:rFonts w:hint="cs"/>
          <w:rtl/>
          <w:lang w:val="fr-CH" w:bidi="ar-EG"/>
        </w:rPr>
        <w:t>. ويعرض الشكل</w:t>
      </w:r>
      <w:r w:rsidRPr="00632F3D">
        <w:rPr>
          <w:rFonts w:hint="eastAsia"/>
          <w:rtl/>
          <w:lang w:val="fr-CH" w:bidi="ar-EG"/>
        </w:rPr>
        <w:t> </w:t>
      </w:r>
      <w:r w:rsidRPr="00632F3D">
        <w:rPr>
          <w:lang w:bidi="ar-EG"/>
        </w:rPr>
        <w:t>1</w:t>
      </w:r>
      <w:r w:rsidRPr="00632F3D">
        <w:rPr>
          <w:rFonts w:hint="cs"/>
          <w:rtl/>
          <w:lang w:bidi="ar-EG"/>
        </w:rPr>
        <w:t xml:space="preserve"> التوزيع العام </w:t>
      </w:r>
      <w:r w:rsidR="007703E3">
        <w:rPr>
          <w:rFonts w:hint="cs"/>
          <w:rtl/>
          <w:lang w:bidi="ar-EG"/>
        </w:rPr>
        <w:t>لهذه الحافظة</w:t>
      </w:r>
      <w:r>
        <w:rPr>
          <w:rFonts w:hint="cs"/>
          <w:rtl/>
          <w:lang w:bidi="ar-EG"/>
        </w:rPr>
        <w:t xml:space="preserve"> </w:t>
      </w:r>
      <w:r w:rsidRPr="00632F3D">
        <w:rPr>
          <w:rFonts w:hint="cs"/>
          <w:rtl/>
          <w:lang w:bidi="ar-EG"/>
        </w:rPr>
        <w:t>بحسب المنطقة، ولمحة عامة عن الأموال المخصصة لها.</w:t>
      </w:r>
    </w:p>
    <w:p w14:paraId="599391E2" w14:textId="77777777" w:rsidR="00EE63BE" w:rsidRPr="00176123" w:rsidRDefault="00EE63BE" w:rsidP="00977E5D">
      <w:pPr>
        <w:pStyle w:val="Figuretitle0"/>
        <w:spacing w:after="120"/>
        <w:rPr>
          <w:rtl/>
        </w:rPr>
      </w:pPr>
      <w:r w:rsidRPr="00176123">
        <w:rPr>
          <w:rFonts w:hint="cs"/>
          <w:rtl/>
        </w:rPr>
        <w:t xml:space="preserve">الشكل 1 </w:t>
      </w:r>
      <w:r w:rsidRPr="00176123">
        <w:rPr>
          <w:rtl/>
        </w:rPr>
        <w:t>–</w:t>
      </w:r>
      <w:r w:rsidRPr="00176123">
        <w:rPr>
          <w:rFonts w:hint="cs"/>
          <w:rtl/>
        </w:rPr>
        <w:t xml:space="preserve"> لمحة عامة عن مشاريع الاتحاد الجاري تنفيذها، بحسب المنطقة</w:t>
      </w:r>
      <w:r w:rsidRPr="00176123">
        <w:br/>
      </w:r>
      <w:r w:rsidRPr="00176123">
        <w:rPr>
          <w:rFonts w:hint="cs"/>
          <w:rtl/>
        </w:rPr>
        <w:t>(الأرقام بآلاف الفرنكات السويسرية)</w:t>
      </w:r>
    </w:p>
    <w:tbl>
      <w:tblPr>
        <w:bidiVisual/>
        <w:tblW w:w="4985"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830"/>
        <w:gridCol w:w="1110"/>
        <w:gridCol w:w="1110"/>
        <w:gridCol w:w="1110"/>
        <w:gridCol w:w="1110"/>
        <w:gridCol w:w="1110"/>
        <w:gridCol w:w="1110"/>
        <w:gridCol w:w="1110"/>
      </w:tblGrid>
      <w:tr w:rsidR="00EE63BE" w:rsidRPr="009B5E51" w14:paraId="4044E139" w14:textId="77777777" w:rsidTr="00993D45">
        <w:trPr>
          <w:trHeight w:val="300"/>
          <w:jc w:val="center"/>
        </w:trPr>
        <w:tc>
          <w:tcPr>
            <w:tcW w:w="1876" w:type="dxa"/>
            <w:vMerge w:val="restart"/>
            <w:tcBorders>
              <w:top w:val="single" w:sz="4" w:space="0" w:color="auto"/>
              <w:left w:val="single" w:sz="4" w:space="0" w:color="auto"/>
              <w:right w:val="nil"/>
            </w:tcBorders>
            <w:shd w:val="clear" w:color="auto" w:fill="5B9BD5" w:themeFill="accent1"/>
            <w:noWrap/>
            <w:vAlign w:val="center"/>
            <w:hideMark/>
          </w:tcPr>
          <w:p w14:paraId="0D507880"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المنطقة</w:t>
            </w:r>
          </w:p>
        </w:tc>
        <w:tc>
          <w:tcPr>
            <w:tcW w:w="1135" w:type="dxa"/>
            <w:vMerge w:val="restart"/>
            <w:tcBorders>
              <w:top w:val="single" w:sz="4" w:space="0" w:color="auto"/>
              <w:left w:val="nil"/>
              <w:right w:val="nil"/>
            </w:tcBorders>
            <w:shd w:val="clear" w:color="auto" w:fill="5B9BD5" w:themeFill="accent1"/>
            <w:noWrap/>
            <w:vAlign w:val="center"/>
            <w:hideMark/>
          </w:tcPr>
          <w:p w14:paraId="632B8177"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عدد المشاريع</w:t>
            </w:r>
          </w:p>
        </w:tc>
        <w:tc>
          <w:tcPr>
            <w:tcW w:w="1136" w:type="dxa"/>
            <w:vMerge w:val="restart"/>
            <w:tcBorders>
              <w:top w:val="single" w:sz="4" w:space="0" w:color="auto"/>
              <w:left w:val="nil"/>
              <w:bottom w:val="nil"/>
              <w:right w:val="nil"/>
            </w:tcBorders>
            <w:shd w:val="clear" w:color="auto" w:fill="5B9BD5" w:themeFill="accent1"/>
            <w:noWrap/>
            <w:vAlign w:val="center"/>
            <w:hideMark/>
          </w:tcPr>
          <w:p w14:paraId="1712B090"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النقد الخارجي</w:t>
            </w:r>
          </w:p>
        </w:tc>
        <w:tc>
          <w:tcPr>
            <w:tcW w:w="1136" w:type="dxa"/>
            <w:tcBorders>
              <w:top w:val="single" w:sz="4" w:space="0" w:color="auto"/>
              <w:left w:val="nil"/>
              <w:bottom w:val="nil"/>
              <w:right w:val="nil"/>
            </w:tcBorders>
            <w:shd w:val="clear" w:color="auto" w:fill="5B9BD5" w:themeFill="accent1"/>
            <w:noWrap/>
            <w:vAlign w:val="center"/>
            <w:hideMark/>
          </w:tcPr>
          <w:p w14:paraId="430C413B"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النقد المتاح في صندوق تنمية تكنولوجيا المعلومات والاتصالات</w:t>
            </w:r>
          </w:p>
        </w:tc>
        <w:tc>
          <w:tcPr>
            <w:tcW w:w="1136" w:type="dxa"/>
            <w:tcBorders>
              <w:top w:val="single" w:sz="4" w:space="0" w:color="auto"/>
              <w:left w:val="nil"/>
              <w:bottom w:val="nil"/>
              <w:right w:val="nil"/>
            </w:tcBorders>
            <w:shd w:val="clear" w:color="auto" w:fill="5B9BD5" w:themeFill="accent1"/>
            <w:noWrap/>
            <w:vAlign w:val="center"/>
            <w:hideMark/>
          </w:tcPr>
          <w:p w14:paraId="482F41C2"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النقد التشغيلي</w:t>
            </w:r>
          </w:p>
        </w:tc>
        <w:tc>
          <w:tcPr>
            <w:tcW w:w="1136" w:type="dxa"/>
            <w:tcBorders>
              <w:top w:val="single" w:sz="4" w:space="0" w:color="auto"/>
              <w:left w:val="nil"/>
              <w:bottom w:val="nil"/>
              <w:right w:val="nil"/>
            </w:tcBorders>
            <w:shd w:val="clear" w:color="auto" w:fill="5B9BD5" w:themeFill="accent1"/>
            <w:noWrap/>
            <w:vAlign w:val="center"/>
            <w:hideMark/>
          </w:tcPr>
          <w:p w14:paraId="57FA9AB3"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المجموع</w:t>
            </w:r>
          </w:p>
        </w:tc>
        <w:tc>
          <w:tcPr>
            <w:tcW w:w="1136" w:type="dxa"/>
            <w:vMerge w:val="restart"/>
            <w:tcBorders>
              <w:top w:val="single" w:sz="4" w:space="0" w:color="auto"/>
              <w:left w:val="nil"/>
              <w:bottom w:val="nil"/>
              <w:right w:val="nil"/>
            </w:tcBorders>
            <w:shd w:val="clear" w:color="auto" w:fill="5B9BD5" w:themeFill="accent1"/>
            <w:noWrap/>
            <w:vAlign w:val="center"/>
            <w:hideMark/>
          </w:tcPr>
          <w:p w14:paraId="440D9C18" w14:textId="4758A020" w:rsidR="00EE63BE" w:rsidRPr="009B5E51" w:rsidRDefault="00EE63BE" w:rsidP="00176123">
            <w:pPr>
              <w:spacing w:before="60" w:after="60"/>
              <w:ind w:left="-104"/>
              <w:jc w:val="center"/>
              <w:rPr>
                <w:b/>
                <w:bCs/>
                <w:color w:val="FFFFFF" w:themeColor="background1"/>
                <w:sz w:val="18"/>
                <w:szCs w:val="18"/>
              </w:rPr>
            </w:pPr>
            <w:bookmarkStart w:id="1" w:name="lt_pId046"/>
            <w:r>
              <w:rPr>
                <w:rFonts w:hint="cs"/>
                <w:b/>
                <w:bCs/>
                <w:color w:val="FFFFFF" w:themeColor="background1"/>
                <w:sz w:val="18"/>
                <w:szCs w:val="18"/>
                <w:rtl/>
              </w:rPr>
              <w:t>الرصيد حتى</w:t>
            </w:r>
            <w:r w:rsidR="00176123">
              <w:rPr>
                <w:rFonts w:hint="cs"/>
                <w:b/>
                <w:bCs/>
                <w:color w:val="FFFFFF" w:themeColor="background1"/>
                <w:sz w:val="18"/>
                <w:szCs w:val="18"/>
                <w:rtl/>
                <w:lang w:bidi="ar-EG"/>
              </w:rPr>
              <w:t xml:space="preserve"> </w:t>
            </w:r>
            <w:r w:rsidR="00AD13B3">
              <w:rPr>
                <w:b/>
                <w:bCs/>
                <w:color w:val="FFFFFF" w:themeColor="background1"/>
                <w:sz w:val="18"/>
                <w:szCs w:val="18"/>
              </w:rPr>
              <w:t>21</w:t>
            </w:r>
            <w:r w:rsidRPr="009B5E51">
              <w:rPr>
                <w:b/>
                <w:bCs/>
                <w:color w:val="FFFFFF" w:themeColor="background1"/>
                <w:sz w:val="18"/>
                <w:szCs w:val="18"/>
              </w:rPr>
              <w:t>/</w:t>
            </w:r>
            <w:r w:rsidR="00AD13B3">
              <w:rPr>
                <w:b/>
                <w:bCs/>
                <w:color w:val="FFFFFF" w:themeColor="background1"/>
                <w:sz w:val="18"/>
                <w:szCs w:val="18"/>
              </w:rPr>
              <w:t>09</w:t>
            </w:r>
            <w:r w:rsidRPr="009B5E51">
              <w:rPr>
                <w:b/>
                <w:bCs/>
                <w:color w:val="FFFFFF" w:themeColor="background1"/>
                <w:sz w:val="18"/>
                <w:szCs w:val="18"/>
              </w:rPr>
              <w:t>/</w:t>
            </w:r>
            <w:bookmarkEnd w:id="1"/>
            <w:r w:rsidR="00AD13B3">
              <w:rPr>
                <w:b/>
                <w:bCs/>
                <w:color w:val="FFFFFF" w:themeColor="background1"/>
                <w:sz w:val="18"/>
                <w:szCs w:val="18"/>
              </w:rPr>
              <w:t>15</w:t>
            </w:r>
          </w:p>
        </w:tc>
        <w:tc>
          <w:tcPr>
            <w:tcW w:w="1136" w:type="dxa"/>
            <w:vMerge w:val="restart"/>
            <w:tcBorders>
              <w:top w:val="single" w:sz="4" w:space="0" w:color="auto"/>
              <w:left w:val="nil"/>
              <w:bottom w:val="nil"/>
              <w:right w:val="single" w:sz="4" w:space="0" w:color="auto"/>
            </w:tcBorders>
            <w:shd w:val="clear" w:color="auto" w:fill="5B9BD5" w:themeFill="accent1"/>
            <w:noWrap/>
            <w:vAlign w:val="center"/>
            <w:hideMark/>
          </w:tcPr>
          <w:p w14:paraId="592A211B" w14:textId="5A62AFDF" w:rsidR="00EE63BE" w:rsidRPr="009B5E51" w:rsidRDefault="00EE63BE" w:rsidP="00176123">
            <w:pPr>
              <w:spacing w:before="60" w:after="60"/>
              <w:ind w:left="-104" w:right="-14"/>
              <w:jc w:val="center"/>
              <w:rPr>
                <w:b/>
                <w:bCs/>
                <w:color w:val="FFFFFF" w:themeColor="background1"/>
                <w:sz w:val="18"/>
                <w:szCs w:val="18"/>
              </w:rPr>
            </w:pPr>
            <w:r>
              <w:rPr>
                <w:rFonts w:hint="cs"/>
                <w:b/>
                <w:bCs/>
                <w:color w:val="FFFFFF" w:themeColor="background1"/>
                <w:sz w:val="18"/>
                <w:szCs w:val="18"/>
                <w:rtl/>
              </w:rPr>
              <w:t>الرصيد</w:t>
            </w:r>
            <w:r w:rsidR="00176123">
              <w:rPr>
                <w:rFonts w:hint="cs"/>
                <w:b/>
                <w:bCs/>
                <w:color w:val="FFFFFF" w:themeColor="background1"/>
                <w:sz w:val="18"/>
                <w:szCs w:val="18"/>
                <w:rtl/>
              </w:rPr>
              <w:t xml:space="preserve"> </w:t>
            </w:r>
            <w:r>
              <w:rPr>
                <w:rFonts w:hint="cs"/>
                <w:b/>
                <w:bCs/>
                <w:color w:val="FFFFFF" w:themeColor="background1"/>
                <w:sz w:val="18"/>
                <w:szCs w:val="18"/>
                <w:rtl/>
              </w:rPr>
              <w:t>بالنسبة المئوية</w:t>
            </w:r>
          </w:p>
        </w:tc>
      </w:tr>
      <w:tr w:rsidR="00EE63BE" w:rsidRPr="009B5E51" w14:paraId="7CA562B2" w14:textId="77777777" w:rsidTr="00993D45">
        <w:trPr>
          <w:trHeight w:val="270"/>
          <w:jc w:val="center"/>
        </w:trPr>
        <w:tc>
          <w:tcPr>
            <w:tcW w:w="1876" w:type="dxa"/>
            <w:vMerge/>
            <w:tcBorders>
              <w:left w:val="single" w:sz="4" w:space="0" w:color="auto"/>
              <w:bottom w:val="single" w:sz="4" w:space="0" w:color="auto"/>
              <w:right w:val="nil"/>
            </w:tcBorders>
            <w:shd w:val="clear" w:color="auto" w:fill="5B9BD5" w:themeFill="accent1"/>
            <w:noWrap/>
            <w:vAlign w:val="center"/>
            <w:hideMark/>
          </w:tcPr>
          <w:p w14:paraId="2D812E6F" w14:textId="77777777" w:rsidR="00EE63BE" w:rsidRPr="009B5E51" w:rsidRDefault="00EE63BE" w:rsidP="00993D45">
            <w:pPr>
              <w:spacing w:before="60" w:after="60"/>
              <w:jc w:val="center"/>
              <w:rPr>
                <w:color w:val="FFFFFF" w:themeColor="background1"/>
                <w:sz w:val="18"/>
                <w:szCs w:val="18"/>
              </w:rPr>
            </w:pPr>
          </w:p>
        </w:tc>
        <w:tc>
          <w:tcPr>
            <w:tcW w:w="1135" w:type="dxa"/>
            <w:vMerge/>
            <w:tcBorders>
              <w:left w:val="nil"/>
              <w:bottom w:val="single" w:sz="4" w:space="0" w:color="auto"/>
              <w:right w:val="nil"/>
            </w:tcBorders>
            <w:shd w:val="clear" w:color="auto" w:fill="5B9BD5" w:themeFill="accent1"/>
            <w:noWrap/>
            <w:vAlign w:val="center"/>
            <w:hideMark/>
          </w:tcPr>
          <w:p w14:paraId="4FDF3349" w14:textId="77777777" w:rsidR="00EE63BE" w:rsidRPr="009B5E51" w:rsidRDefault="00EE63BE" w:rsidP="00993D45">
            <w:pPr>
              <w:spacing w:before="60" w:after="60"/>
              <w:ind w:left="-134" w:right="-105"/>
              <w:jc w:val="center"/>
              <w:rPr>
                <w:b/>
                <w:bCs/>
                <w:color w:val="FFFFFF" w:themeColor="background1"/>
                <w:sz w:val="18"/>
                <w:szCs w:val="18"/>
              </w:rPr>
            </w:pPr>
          </w:p>
        </w:tc>
        <w:tc>
          <w:tcPr>
            <w:tcW w:w="1136" w:type="dxa"/>
            <w:vMerge/>
            <w:vAlign w:val="center"/>
            <w:hideMark/>
          </w:tcPr>
          <w:p w14:paraId="40BF64FD" w14:textId="77777777" w:rsidR="00EE63BE" w:rsidRPr="009B5E51" w:rsidRDefault="00EE63BE" w:rsidP="00993D45">
            <w:pPr>
              <w:spacing w:before="60" w:after="60"/>
              <w:jc w:val="center"/>
              <w:rPr>
                <w:b/>
                <w:color w:val="FFFFFF" w:themeColor="background1"/>
                <w:sz w:val="18"/>
                <w:szCs w:val="18"/>
              </w:rPr>
            </w:pPr>
          </w:p>
        </w:tc>
        <w:tc>
          <w:tcPr>
            <w:tcW w:w="1136" w:type="dxa"/>
            <w:tcBorders>
              <w:top w:val="nil"/>
              <w:left w:val="nil"/>
              <w:bottom w:val="single" w:sz="4" w:space="0" w:color="auto"/>
              <w:right w:val="nil"/>
            </w:tcBorders>
            <w:shd w:val="clear" w:color="auto" w:fill="5B9BD5" w:themeFill="accent1"/>
            <w:noWrap/>
            <w:vAlign w:val="center"/>
            <w:hideMark/>
          </w:tcPr>
          <w:p w14:paraId="09922637" w14:textId="6D575CFC" w:rsidR="00EE63BE" w:rsidRPr="005A25D2" w:rsidRDefault="00176123" w:rsidP="00993D45">
            <w:pPr>
              <w:spacing w:before="60" w:after="60"/>
              <w:jc w:val="center"/>
              <w:rPr>
                <w:b/>
                <w:bCs/>
                <w:color w:val="FFFFFF" w:themeColor="background1"/>
                <w:sz w:val="18"/>
                <w:szCs w:val="18"/>
                <w:lang w:bidi="ar-EG"/>
              </w:rPr>
            </w:pPr>
            <w:bookmarkStart w:id="2" w:name="lt_pId048"/>
            <w:r>
              <w:rPr>
                <w:b/>
                <w:bCs/>
                <w:color w:val="FFFFFF" w:themeColor="background1"/>
                <w:sz w:val="18"/>
                <w:szCs w:val="18"/>
                <w:lang w:bidi="ar-EG"/>
              </w:rPr>
              <w:t>(</w:t>
            </w:r>
            <w:r w:rsidR="00EE63BE" w:rsidRPr="009B5E51">
              <w:rPr>
                <w:b/>
                <w:bCs/>
                <w:color w:val="FFFFFF" w:themeColor="background1"/>
                <w:sz w:val="18"/>
                <w:szCs w:val="18"/>
              </w:rPr>
              <w:t>ICT-DF</w:t>
            </w:r>
            <w:bookmarkEnd w:id="2"/>
            <w:r>
              <w:rPr>
                <w:b/>
                <w:bCs/>
                <w:color w:val="FFFFFF" w:themeColor="background1"/>
                <w:sz w:val="18"/>
                <w:szCs w:val="18"/>
                <w:lang w:bidi="ar-EG"/>
              </w:rPr>
              <w:t>)</w:t>
            </w:r>
          </w:p>
        </w:tc>
        <w:tc>
          <w:tcPr>
            <w:tcW w:w="1136" w:type="dxa"/>
            <w:tcBorders>
              <w:top w:val="nil"/>
              <w:left w:val="nil"/>
              <w:bottom w:val="single" w:sz="4" w:space="0" w:color="auto"/>
              <w:right w:val="nil"/>
            </w:tcBorders>
            <w:shd w:val="clear" w:color="auto" w:fill="5B9BD5" w:themeFill="accent1"/>
            <w:noWrap/>
            <w:vAlign w:val="center"/>
            <w:hideMark/>
          </w:tcPr>
          <w:p w14:paraId="46D0B976" w14:textId="7555C1A9" w:rsidR="00EE63BE" w:rsidRPr="009B5E51" w:rsidRDefault="00176123" w:rsidP="00993D45">
            <w:pPr>
              <w:spacing w:before="60" w:after="60"/>
              <w:jc w:val="center"/>
              <w:rPr>
                <w:b/>
                <w:bCs/>
                <w:color w:val="FFFFFF" w:themeColor="background1"/>
                <w:sz w:val="18"/>
                <w:szCs w:val="18"/>
              </w:rPr>
            </w:pPr>
            <w:bookmarkStart w:id="3" w:name="lt_pId049"/>
            <w:r>
              <w:rPr>
                <w:b/>
                <w:bCs/>
                <w:color w:val="FFFFFF" w:themeColor="background1"/>
                <w:sz w:val="18"/>
                <w:szCs w:val="18"/>
              </w:rPr>
              <w:t>(</w:t>
            </w:r>
            <w:r w:rsidR="00EE63BE" w:rsidRPr="009B5E51">
              <w:rPr>
                <w:b/>
                <w:bCs/>
                <w:color w:val="FFFFFF" w:themeColor="background1"/>
                <w:sz w:val="18"/>
                <w:szCs w:val="18"/>
              </w:rPr>
              <w:t>OP</w:t>
            </w:r>
            <w:bookmarkEnd w:id="3"/>
            <w:r>
              <w:rPr>
                <w:b/>
                <w:bCs/>
                <w:color w:val="FFFFFF" w:themeColor="background1"/>
                <w:sz w:val="18"/>
                <w:szCs w:val="18"/>
              </w:rPr>
              <w:t>)</w:t>
            </w:r>
          </w:p>
        </w:tc>
        <w:tc>
          <w:tcPr>
            <w:tcW w:w="1136" w:type="dxa"/>
            <w:tcBorders>
              <w:top w:val="nil"/>
              <w:left w:val="nil"/>
              <w:bottom w:val="single" w:sz="4" w:space="0" w:color="auto"/>
              <w:right w:val="nil"/>
            </w:tcBorders>
            <w:shd w:val="clear" w:color="auto" w:fill="5B9BD5" w:themeFill="accent1"/>
            <w:noWrap/>
            <w:vAlign w:val="center"/>
            <w:hideMark/>
          </w:tcPr>
          <w:p w14:paraId="5067C785" w14:textId="77777777" w:rsidR="00EE63BE" w:rsidRPr="009B5E51" w:rsidRDefault="00EE63BE" w:rsidP="00993D45">
            <w:pPr>
              <w:spacing w:before="60" w:after="60"/>
              <w:jc w:val="center"/>
              <w:rPr>
                <w:b/>
                <w:bCs/>
                <w:color w:val="FFFFFF" w:themeColor="background1"/>
                <w:sz w:val="18"/>
                <w:szCs w:val="18"/>
              </w:rPr>
            </w:pPr>
            <w:r>
              <w:rPr>
                <w:rFonts w:hint="cs"/>
                <w:b/>
                <w:bCs/>
                <w:color w:val="FFFFFF" w:themeColor="background1"/>
                <w:sz w:val="18"/>
                <w:szCs w:val="18"/>
                <w:rtl/>
              </w:rPr>
              <w:t>النقدي</w:t>
            </w:r>
          </w:p>
        </w:tc>
        <w:tc>
          <w:tcPr>
            <w:tcW w:w="1136" w:type="dxa"/>
            <w:vMerge/>
            <w:vAlign w:val="center"/>
            <w:hideMark/>
          </w:tcPr>
          <w:p w14:paraId="385E297C" w14:textId="77777777" w:rsidR="00EE63BE" w:rsidRPr="009B5E51" w:rsidRDefault="00EE63BE" w:rsidP="00993D45">
            <w:pPr>
              <w:spacing w:before="60" w:after="60"/>
              <w:jc w:val="center"/>
              <w:rPr>
                <w:b/>
                <w:color w:val="FFFFFF" w:themeColor="background1"/>
                <w:sz w:val="18"/>
                <w:szCs w:val="18"/>
              </w:rPr>
            </w:pPr>
          </w:p>
        </w:tc>
        <w:tc>
          <w:tcPr>
            <w:tcW w:w="1136" w:type="dxa"/>
            <w:vMerge/>
            <w:vAlign w:val="center"/>
            <w:hideMark/>
          </w:tcPr>
          <w:p w14:paraId="0F6A50AB" w14:textId="77777777" w:rsidR="00EE63BE" w:rsidRPr="009B5E51" w:rsidRDefault="00EE63BE" w:rsidP="00993D45">
            <w:pPr>
              <w:spacing w:before="60" w:after="60"/>
              <w:jc w:val="center"/>
              <w:rPr>
                <w:b/>
                <w:color w:val="FFFFFF" w:themeColor="background1"/>
                <w:sz w:val="18"/>
                <w:szCs w:val="18"/>
              </w:rPr>
            </w:pPr>
          </w:p>
        </w:tc>
      </w:tr>
      <w:tr w:rsidR="00EE63BE" w:rsidRPr="009B5E51" w14:paraId="74A29595" w14:textId="77777777" w:rsidTr="00993D45">
        <w:trPr>
          <w:trHeight w:val="54"/>
          <w:jc w:val="center"/>
        </w:trPr>
        <w:tc>
          <w:tcPr>
            <w:tcW w:w="1876" w:type="dxa"/>
            <w:tcBorders>
              <w:top w:val="single" w:sz="4" w:space="0" w:color="auto"/>
            </w:tcBorders>
            <w:shd w:val="clear" w:color="auto" w:fill="auto"/>
            <w:hideMark/>
          </w:tcPr>
          <w:p w14:paraId="6FC837CE" w14:textId="1701E351" w:rsidR="00EE63BE" w:rsidRPr="009B5E51" w:rsidRDefault="00EE63BE" w:rsidP="00993D45">
            <w:pPr>
              <w:spacing w:before="60" w:after="60"/>
              <w:rPr>
                <w:sz w:val="18"/>
                <w:szCs w:val="18"/>
              </w:rPr>
            </w:pPr>
            <w:r>
              <w:rPr>
                <w:rFonts w:hint="cs"/>
                <w:sz w:val="18"/>
                <w:szCs w:val="18"/>
                <w:rtl/>
              </w:rPr>
              <w:t>إفريقيا</w:t>
            </w:r>
          </w:p>
        </w:tc>
        <w:tc>
          <w:tcPr>
            <w:tcW w:w="1135" w:type="dxa"/>
            <w:tcBorders>
              <w:top w:val="single" w:sz="4" w:space="0" w:color="auto"/>
            </w:tcBorders>
            <w:shd w:val="clear" w:color="auto" w:fill="auto"/>
            <w:noWrap/>
            <w:vAlign w:val="bottom"/>
            <w:hideMark/>
          </w:tcPr>
          <w:p w14:paraId="6F11BE76" w14:textId="0A571160" w:rsidR="00EE63BE" w:rsidRPr="00EC0EC6" w:rsidRDefault="00AD13B3" w:rsidP="00993D45">
            <w:pPr>
              <w:spacing w:before="60" w:after="60"/>
              <w:jc w:val="center"/>
              <w:rPr>
                <w:sz w:val="18"/>
                <w:szCs w:val="18"/>
              </w:rPr>
            </w:pPr>
            <w:r>
              <w:rPr>
                <w:sz w:val="18"/>
                <w:szCs w:val="18"/>
              </w:rPr>
              <w:t>14</w:t>
            </w:r>
          </w:p>
        </w:tc>
        <w:tc>
          <w:tcPr>
            <w:tcW w:w="1136" w:type="dxa"/>
            <w:tcBorders>
              <w:top w:val="single" w:sz="4" w:space="0" w:color="auto"/>
            </w:tcBorders>
            <w:shd w:val="clear" w:color="auto" w:fill="auto"/>
            <w:vAlign w:val="bottom"/>
            <w:hideMark/>
          </w:tcPr>
          <w:p w14:paraId="16C4B2F9" w14:textId="21491B3F" w:rsidR="00EE63BE" w:rsidRPr="00EC0EC6" w:rsidRDefault="00AD13B3" w:rsidP="00993D45">
            <w:pPr>
              <w:spacing w:before="60" w:after="60"/>
              <w:jc w:val="left"/>
              <w:rPr>
                <w:sz w:val="18"/>
                <w:szCs w:val="18"/>
              </w:rPr>
            </w:pPr>
            <w:r>
              <w:rPr>
                <w:sz w:val="18"/>
                <w:szCs w:val="18"/>
              </w:rPr>
              <w:t>9 896,8</w:t>
            </w:r>
          </w:p>
        </w:tc>
        <w:tc>
          <w:tcPr>
            <w:tcW w:w="1136" w:type="dxa"/>
            <w:tcBorders>
              <w:top w:val="single" w:sz="4" w:space="0" w:color="auto"/>
            </w:tcBorders>
            <w:shd w:val="clear" w:color="auto" w:fill="auto"/>
            <w:vAlign w:val="bottom"/>
            <w:hideMark/>
          </w:tcPr>
          <w:p w14:paraId="1312C8E9" w14:textId="52B6333E" w:rsidR="00EE63BE" w:rsidRPr="00EC0EC6" w:rsidRDefault="00AD13B3" w:rsidP="00993D45">
            <w:pPr>
              <w:spacing w:before="60" w:after="60"/>
              <w:jc w:val="left"/>
              <w:rPr>
                <w:sz w:val="18"/>
                <w:szCs w:val="18"/>
              </w:rPr>
            </w:pPr>
            <w:r>
              <w:rPr>
                <w:sz w:val="18"/>
                <w:szCs w:val="18"/>
              </w:rPr>
              <w:t>956,8</w:t>
            </w:r>
          </w:p>
        </w:tc>
        <w:tc>
          <w:tcPr>
            <w:tcW w:w="1136" w:type="dxa"/>
            <w:tcBorders>
              <w:top w:val="single" w:sz="4" w:space="0" w:color="auto"/>
            </w:tcBorders>
            <w:shd w:val="clear" w:color="auto" w:fill="auto"/>
            <w:vAlign w:val="bottom"/>
            <w:hideMark/>
          </w:tcPr>
          <w:p w14:paraId="52B24CF0" w14:textId="0DD3D6B3" w:rsidR="00EE63BE" w:rsidRPr="00EC0EC6" w:rsidRDefault="00AD13B3" w:rsidP="00993D45">
            <w:pPr>
              <w:spacing w:before="60" w:after="60"/>
              <w:jc w:val="left"/>
              <w:rPr>
                <w:sz w:val="18"/>
                <w:szCs w:val="18"/>
              </w:rPr>
            </w:pPr>
            <w:r>
              <w:rPr>
                <w:sz w:val="18"/>
                <w:szCs w:val="18"/>
              </w:rPr>
              <w:t>434,3</w:t>
            </w:r>
          </w:p>
        </w:tc>
        <w:tc>
          <w:tcPr>
            <w:tcW w:w="1136" w:type="dxa"/>
            <w:tcBorders>
              <w:top w:val="single" w:sz="4" w:space="0" w:color="auto"/>
            </w:tcBorders>
            <w:shd w:val="clear" w:color="auto" w:fill="DEEAF6" w:themeFill="accent1" w:themeFillTint="33"/>
            <w:vAlign w:val="bottom"/>
            <w:hideMark/>
          </w:tcPr>
          <w:p w14:paraId="1D3E792B" w14:textId="0F2BA556" w:rsidR="00EE63BE" w:rsidRPr="00EC0EC6" w:rsidRDefault="00AD13B3" w:rsidP="00993D45">
            <w:pPr>
              <w:spacing w:before="60" w:after="60"/>
              <w:jc w:val="left"/>
              <w:rPr>
                <w:sz w:val="18"/>
                <w:szCs w:val="18"/>
              </w:rPr>
            </w:pPr>
            <w:r>
              <w:rPr>
                <w:sz w:val="18"/>
                <w:szCs w:val="18"/>
              </w:rPr>
              <w:t>11 883,9</w:t>
            </w:r>
          </w:p>
        </w:tc>
        <w:tc>
          <w:tcPr>
            <w:tcW w:w="1136" w:type="dxa"/>
            <w:tcBorders>
              <w:top w:val="single" w:sz="4" w:space="0" w:color="auto"/>
            </w:tcBorders>
            <w:shd w:val="clear" w:color="auto" w:fill="auto"/>
            <w:vAlign w:val="bottom"/>
          </w:tcPr>
          <w:p w14:paraId="00BB2245" w14:textId="45F9B08E" w:rsidR="00EE63BE" w:rsidRPr="00EC0EC6" w:rsidRDefault="00AD13B3" w:rsidP="00993D45">
            <w:pPr>
              <w:spacing w:before="60" w:after="60"/>
              <w:jc w:val="left"/>
              <w:rPr>
                <w:sz w:val="18"/>
                <w:szCs w:val="18"/>
              </w:rPr>
            </w:pPr>
            <w:r>
              <w:rPr>
                <w:sz w:val="18"/>
                <w:szCs w:val="18"/>
              </w:rPr>
              <w:t>6 432,4</w:t>
            </w:r>
          </w:p>
        </w:tc>
        <w:tc>
          <w:tcPr>
            <w:tcW w:w="1136" w:type="dxa"/>
            <w:tcBorders>
              <w:top w:val="single" w:sz="4" w:space="0" w:color="auto"/>
            </w:tcBorders>
            <w:shd w:val="clear" w:color="auto" w:fill="auto"/>
            <w:vAlign w:val="bottom"/>
          </w:tcPr>
          <w:p w14:paraId="261E54A9" w14:textId="7F0B884A" w:rsidR="00EE63BE" w:rsidRPr="00EC0EC6" w:rsidRDefault="00EE63BE" w:rsidP="00993D45">
            <w:pPr>
              <w:spacing w:before="60" w:after="60"/>
              <w:jc w:val="center"/>
              <w:rPr>
                <w:sz w:val="18"/>
                <w:szCs w:val="18"/>
              </w:rPr>
            </w:pPr>
            <w:r>
              <w:rPr>
                <w:sz w:val="18"/>
                <w:szCs w:val="18"/>
              </w:rPr>
              <w:t>%</w:t>
            </w:r>
            <w:r w:rsidR="00AD13B3">
              <w:rPr>
                <w:sz w:val="18"/>
                <w:szCs w:val="18"/>
              </w:rPr>
              <w:t>54</w:t>
            </w:r>
          </w:p>
        </w:tc>
      </w:tr>
      <w:tr w:rsidR="00EE63BE" w:rsidRPr="009B5E51" w14:paraId="4478E844" w14:textId="77777777" w:rsidTr="00993D45">
        <w:trPr>
          <w:trHeight w:val="54"/>
          <w:jc w:val="center"/>
        </w:trPr>
        <w:tc>
          <w:tcPr>
            <w:tcW w:w="1876" w:type="dxa"/>
            <w:shd w:val="clear" w:color="auto" w:fill="auto"/>
            <w:hideMark/>
          </w:tcPr>
          <w:p w14:paraId="1C5177B2" w14:textId="77777777" w:rsidR="00EE63BE" w:rsidRPr="009B5E51" w:rsidRDefault="00EE63BE" w:rsidP="00993D45">
            <w:pPr>
              <w:spacing w:before="60" w:after="60"/>
              <w:rPr>
                <w:sz w:val="18"/>
                <w:szCs w:val="18"/>
              </w:rPr>
            </w:pPr>
            <w:proofErr w:type="spellStart"/>
            <w:r>
              <w:rPr>
                <w:rFonts w:hint="cs"/>
                <w:sz w:val="18"/>
                <w:szCs w:val="18"/>
                <w:rtl/>
              </w:rPr>
              <w:t>الأمريكتان</w:t>
            </w:r>
            <w:proofErr w:type="spellEnd"/>
          </w:p>
        </w:tc>
        <w:tc>
          <w:tcPr>
            <w:tcW w:w="1135" w:type="dxa"/>
            <w:shd w:val="clear" w:color="auto" w:fill="auto"/>
            <w:noWrap/>
            <w:vAlign w:val="bottom"/>
          </w:tcPr>
          <w:p w14:paraId="7C699B96" w14:textId="77777777" w:rsidR="00EE63BE" w:rsidRPr="00EC0EC6" w:rsidRDefault="00EE63BE" w:rsidP="00993D45">
            <w:pPr>
              <w:spacing w:before="60" w:after="60"/>
              <w:jc w:val="center"/>
              <w:rPr>
                <w:sz w:val="18"/>
                <w:szCs w:val="18"/>
              </w:rPr>
            </w:pPr>
            <w:r w:rsidRPr="00EC0EC6">
              <w:rPr>
                <w:sz w:val="18"/>
                <w:szCs w:val="18"/>
              </w:rPr>
              <w:t>11</w:t>
            </w:r>
          </w:p>
        </w:tc>
        <w:tc>
          <w:tcPr>
            <w:tcW w:w="1136" w:type="dxa"/>
            <w:shd w:val="clear" w:color="auto" w:fill="auto"/>
            <w:vAlign w:val="bottom"/>
          </w:tcPr>
          <w:p w14:paraId="7A82C4F9" w14:textId="4BF6A8AE" w:rsidR="00EE63BE" w:rsidRPr="00EC0EC6" w:rsidRDefault="00AD13B3" w:rsidP="00993D45">
            <w:pPr>
              <w:spacing w:before="60" w:after="60"/>
              <w:jc w:val="left"/>
              <w:rPr>
                <w:sz w:val="18"/>
                <w:szCs w:val="18"/>
              </w:rPr>
            </w:pPr>
            <w:r>
              <w:rPr>
                <w:sz w:val="18"/>
                <w:szCs w:val="18"/>
              </w:rPr>
              <w:t>41 230,9</w:t>
            </w:r>
          </w:p>
        </w:tc>
        <w:tc>
          <w:tcPr>
            <w:tcW w:w="1136" w:type="dxa"/>
            <w:shd w:val="clear" w:color="auto" w:fill="auto"/>
            <w:vAlign w:val="bottom"/>
          </w:tcPr>
          <w:p w14:paraId="05CB6B7D" w14:textId="0C5EF5B8" w:rsidR="00EE63BE" w:rsidRPr="00EC0EC6" w:rsidRDefault="00AD13B3" w:rsidP="00993D45">
            <w:pPr>
              <w:spacing w:before="60" w:after="60"/>
              <w:jc w:val="left"/>
              <w:rPr>
                <w:sz w:val="18"/>
                <w:szCs w:val="18"/>
              </w:rPr>
            </w:pPr>
            <w:r>
              <w:rPr>
                <w:sz w:val="18"/>
                <w:szCs w:val="18"/>
              </w:rPr>
              <w:t>114,8</w:t>
            </w:r>
          </w:p>
        </w:tc>
        <w:tc>
          <w:tcPr>
            <w:tcW w:w="1136" w:type="dxa"/>
            <w:shd w:val="clear" w:color="auto" w:fill="auto"/>
            <w:vAlign w:val="bottom"/>
          </w:tcPr>
          <w:p w14:paraId="67E74498" w14:textId="4FDEC20B" w:rsidR="00EE63BE" w:rsidRPr="00EC0EC6" w:rsidRDefault="00AD13B3" w:rsidP="00993D45">
            <w:pPr>
              <w:spacing w:before="60" w:after="60"/>
              <w:jc w:val="left"/>
              <w:rPr>
                <w:sz w:val="18"/>
                <w:szCs w:val="18"/>
              </w:rPr>
            </w:pPr>
            <w:r>
              <w:rPr>
                <w:sz w:val="18"/>
                <w:szCs w:val="18"/>
              </w:rPr>
              <w:t>612,2</w:t>
            </w:r>
          </w:p>
        </w:tc>
        <w:tc>
          <w:tcPr>
            <w:tcW w:w="1136" w:type="dxa"/>
            <w:shd w:val="clear" w:color="auto" w:fill="DEEAF6" w:themeFill="accent1" w:themeFillTint="33"/>
            <w:vAlign w:val="bottom"/>
          </w:tcPr>
          <w:p w14:paraId="2E3F5F2D" w14:textId="7157602C" w:rsidR="00EE63BE" w:rsidRPr="00EC0EC6" w:rsidRDefault="00AD13B3" w:rsidP="00993D45">
            <w:pPr>
              <w:spacing w:before="60" w:after="60"/>
              <w:jc w:val="left"/>
              <w:rPr>
                <w:sz w:val="18"/>
                <w:szCs w:val="18"/>
              </w:rPr>
            </w:pPr>
            <w:r>
              <w:rPr>
                <w:sz w:val="18"/>
                <w:szCs w:val="18"/>
              </w:rPr>
              <w:t>41 957,9</w:t>
            </w:r>
          </w:p>
        </w:tc>
        <w:tc>
          <w:tcPr>
            <w:tcW w:w="1136" w:type="dxa"/>
            <w:shd w:val="clear" w:color="auto" w:fill="auto"/>
            <w:vAlign w:val="bottom"/>
          </w:tcPr>
          <w:p w14:paraId="503300A9" w14:textId="7FA90257" w:rsidR="00EE63BE" w:rsidRPr="00EC0EC6" w:rsidRDefault="00AD13B3" w:rsidP="00993D45">
            <w:pPr>
              <w:spacing w:before="60" w:after="60"/>
              <w:jc w:val="left"/>
              <w:rPr>
                <w:sz w:val="18"/>
                <w:szCs w:val="18"/>
              </w:rPr>
            </w:pPr>
            <w:r>
              <w:rPr>
                <w:sz w:val="18"/>
                <w:szCs w:val="18"/>
              </w:rPr>
              <w:t>5 438,3</w:t>
            </w:r>
          </w:p>
        </w:tc>
        <w:tc>
          <w:tcPr>
            <w:tcW w:w="1136" w:type="dxa"/>
            <w:shd w:val="clear" w:color="auto" w:fill="auto"/>
            <w:vAlign w:val="bottom"/>
          </w:tcPr>
          <w:p w14:paraId="4FAD3FE4" w14:textId="77777777" w:rsidR="00EE63BE" w:rsidRPr="00EC0EC6" w:rsidRDefault="00EE63BE" w:rsidP="00993D45">
            <w:pPr>
              <w:spacing w:before="60" w:after="60"/>
              <w:jc w:val="center"/>
              <w:rPr>
                <w:sz w:val="18"/>
                <w:szCs w:val="18"/>
              </w:rPr>
            </w:pPr>
            <w:r>
              <w:rPr>
                <w:sz w:val="18"/>
                <w:szCs w:val="18"/>
              </w:rPr>
              <w:t>%</w:t>
            </w:r>
            <w:r w:rsidRPr="00EC0EC6">
              <w:rPr>
                <w:sz w:val="18"/>
                <w:szCs w:val="18"/>
              </w:rPr>
              <w:t>13</w:t>
            </w:r>
          </w:p>
        </w:tc>
      </w:tr>
      <w:tr w:rsidR="00EE63BE" w:rsidRPr="009B5E51" w14:paraId="10A7790B" w14:textId="77777777" w:rsidTr="00993D45">
        <w:trPr>
          <w:trHeight w:val="300"/>
          <w:jc w:val="center"/>
        </w:trPr>
        <w:tc>
          <w:tcPr>
            <w:tcW w:w="1876" w:type="dxa"/>
            <w:hideMark/>
          </w:tcPr>
          <w:p w14:paraId="6D735BC2" w14:textId="77777777" w:rsidR="00EE63BE" w:rsidRPr="009B5E51" w:rsidRDefault="00EE63BE" w:rsidP="00993D45">
            <w:pPr>
              <w:spacing w:before="60" w:after="60"/>
              <w:rPr>
                <w:sz w:val="18"/>
                <w:szCs w:val="18"/>
              </w:rPr>
            </w:pPr>
            <w:r>
              <w:rPr>
                <w:rFonts w:hint="cs"/>
                <w:sz w:val="18"/>
                <w:szCs w:val="18"/>
                <w:rtl/>
              </w:rPr>
              <w:t>الدول العربية</w:t>
            </w:r>
          </w:p>
        </w:tc>
        <w:tc>
          <w:tcPr>
            <w:tcW w:w="1135" w:type="dxa"/>
            <w:shd w:val="clear" w:color="auto" w:fill="auto"/>
            <w:vAlign w:val="bottom"/>
          </w:tcPr>
          <w:p w14:paraId="7D940042" w14:textId="4FBC5E30" w:rsidR="00EE63BE" w:rsidRPr="00EC0EC6" w:rsidRDefault="00AD13B3" w:rsidP="00993D45">
            <w:pPr>
              <w:spacing w:before="60" w:after="60"/>
              <w:jc w:val="center"/>
              <w:rPr>
                <w:sz w:val="18"/>
                <w:szCs w:val="18"/>
              </w:rPr>
            </w:pPr>
            <w:r>
              <w:rPr>
                <w:sz w:val="18"/>
                <w:szCs w:val="18"/>
              </w:rPr>
              <w:t>9</w:t>
            </w:r>
          </w:p>
        </w:tc>
        <w:tc>
          <w:tcPr>
            <w:tcW w:w="1136" w:type="dxa"/>
            <w:vAlign w:val="bottom"/>
          </w:tcPr>
          <w:p w14:paraId="31DADBA3" w14:textId="656BCCEB" w:rsidR="00EE63BE" w:rsidRPr="00EC0EC6" w:rsidRDefault="00AD13B3" w:rsidP="00993D45">
            <w:pPr>
              <w:spacing w:before="60" w:after="60"/>
              <w:jc w:val="left"/>
              <w:rPr>
                <w:sz w:val="18"/>
                <w:szCs w:val="18"/>
              </w:rPr>
            </w:pPr>
            <w:r>
              <w:rPr>
                <w:sz w:val="18"/>
                <w:szCs w:val="18"/>
              </w:rPr>
              <w:t>5 045,3</w:t>
            </w:r>
          </w:p>
        </w:tc>
        <w:tc>
          <w:tcPr>
            <w:tcW w:w="1136" w:type="dxa"/>
            <w:vAlign w:val="bottom"/>
          </w:tcPr>
          <w:p w14:paraId="3428D934" w14:textId="7BE09C13" w:rsidR="00EE63BE" w:rsidRPr="00EC0EC6" w:rsidRDefault="00AD13B3" w:rsidP="00993D45">
            <w:pPr>
              <w:spacing w:before="60" w:after="60"/>
              <w:jc w:val="left"/>
              <w:rPr>
                <w:sz w:val="18"/>
                <w:szCs w:val="18"/>
              </w:rPr>
            </w:pPr>
            <w:r>
              <w:rPr>
                <w:sz w:val="18"/>
                <w:szCs w:val="18"/>
              </w:rPr>
              <w:t>690,0</w:t>
            </w:r>
          </w:p>
        </w:tc>
        <w:tc>
          <w:tcPr>
            <w:tcW w:w="1136" w:type="dxa"/>
            <w:vAlign w:val="bottom"/>
          </w:tcPr>
          <w:p w14:paraId="1E216354" w14:textId="1D05D344" w:rsidR="00EE63BE" w:rsidRPr="00EC0EC6" w:rsidRDefault="00AD13B3" w:rsidP="00993D45">
            <w:pPr>
              <w:spacing w:before="60" w:after="60"/>
              <w:jc w:val="left"/>
              <w:rPr>
                <w:sz w:val="18"/>
                <w:szCs w:val="18"/>
              </w:rPr>
            </w:pPr>
            <w:r>
              <w:rPr>
                <w:sz w:val="18"/>
                <w:szCs w:val="18"/>
              </w:rPr>
              <w:t>189,0</w:t>
            </w:r>
          </w:p>
        </w:tc>
        <w:tc>
          <w:tcPr>
            <w:tcW w:w="1136" w:type="dxa"/>
            <w:shd w:val="clear" w:color="auto" w:fill="DEEAF6" w:themeFill="accent1" w:themeFillTint="33"/>
            <w:vAlign w:val="bottom"/>
          </w:tcPr>
          <w:p w14:paraId="01EC5347" w14:textId="0250C361" w:rsidR="00EE63BE" w:rsidRPr="00EC0EC6" w:rsidRDefault="00AD13B3" w:rsidP="00993D45">
            <w:pPr>
              <w:spacing w:before="60" w:after="60"/>
              <w:jc w:val="left"/>
              <w:rPr>
                <w:sz w:val="18"/>
                <w:szCs w:val="18"/>
              </w:rPr>
            </w:pPr>
            <w:r>
              <w:rPr>
                <w:sz w:val="18"/>
                <w:szCs w:val="18"/>
              </w:rPr>
              <w:t>5 924,3</w:t>
            </w:r>
          </w:p>
        </w:tc>
        <w:tc>
          <w:tcPr>
            <w:tcW w:w="1136" w:type="dxa"/>
            <w:vAlign w:val="bottom"/>
          </w:tcPr>
          <w:p w14:paraId="62438263" w14:textId="0D45BD0F" w:rsidR="00EE63BE" w:rsidRPr="00EC0EC6" w:rsidRDefault="00AD13B3" w:rsidP="00993D45">
            <w:pPr>
              <w:spacing w:before="60" w:after="60"/>
              <w:jc w:val="left"/>
              <w:rPr>
                <w:sz w:val="18"/>
                <w:szCs w:val="18"/>
              </w:rPr>
            </w:pPr>
            <w:r>
              <w:rPr>
                <w:sz w:val="18"/>
                <w:szCs w:val="18"/>
              </w:rPr>
              <w:t>1 663,0</w:t>
            </w:r>
          </w:p>
        </w:tc>
        <w:tc>
          <w:tcPr>
            <w:tcW w:w="1136" w:type="dxa"/>
            <w:vAlign w:val="bottom"/>
          </w:tcPr>
          <w:p w14:paraId="52EE07A0" w14:textId="554FDDFD" w:rsidR="00EE63BE" w:rsidRPr="00EC0EC6" w:rsidRDefault="00EE63BE" w:rsidP="00993D45">
            <w:pPr>
              <w:spacing w:before="60" w:after="60"/>
              <w:jc w:val="center"/>
              <w:rPr>
                <w:sz w:val="18"/>
                <w:szCs w:val="18"/>
              </w:rPr>
            </w:pPr>
            <w:r>
              <w:rPr>
                <w:sz w:val="18"/>
                <w:szCs w:val="18"/>
              </w:rPr>
              <w:t>%</w:t>
            </w:r>
            <w:r w:rsidR="00AD13B3">
              <w:rPr>
                <w:sz w:val="18"/>
                <w:szCs w:val="18"/>
              </w:rPr>
              <w:t>28</w:t>
            </w:r>
          </w:p>
        </w:tc>
      </w:tr>
      <w:tr w:rsidR="00EE63BE" w:rsidRPr="009B5E51" w14:paraId="3BE150CD" w14:textId="77777777" w:rsidTr="00993D45">
        <w:trPr>
          <w:trHeight w:val="54"/>
          <w:jc w:val="center"/>
        </w:trPr>
        <w:tc>
          <w:tcPr>
            <w:tcW w:w="1876" w:type="dxa"/>
            <w:shd w:val="clear" w:color="auto" w:fill="auto"/>
            <w:vAlign w:val="center"/>
            <w:hideMark/>
          </w:tcPr>
          <w:p w14:paraId="03DB4E67" w14:textId="77777777" w:rsidR="00EE63BE" w:rsidRPr="009B5E51" w:rsidRDefault="00EE63BE" w:rsidP="00993D45">
            <w:pPr>
              <w:spacing w:before="60" w:after="60"/>
              <w:rPr>
                <w:sz w:val="18"/>
                <w:szCs w:val="18"/>
              </w:rPr>
            </w:pPr>
            <w:r>
              <w:rPr>
                <w:rFonts w:hint="cs"/>
                <w:sz w:val="18"/>
                <w:szCs w:val="18"/>
                <w:rtl/>
              </w:rPr>
              <w:t>آسيا والمحيط الهادئ</w:t>
            </w:r>
          </w:p>
        </w:tc>
        <w:tc>
          <w:tcPr>
            <w:tcW w:w="1135" w:type="dxa"/>
            <w:shd w:val="clear" w:color="auto" w:fill="auto"/>
            <w:noWrap/>
            <w:vAlign w:val="bottom"/>
          </w:tcPr>
          <w:p w14:paraId="0F5B69C3" w14:textId="5D46F271" w:rsidR="00EE63BE" w:rsidRPr="00EC0EC6" w:rsidRDefault="00AD13B3" w:rsidP="00993D45">
            <w:pPr>
              <w:spacing w:before="60" w:after="60"/>
              <w:jc w:val="center"/>
              <w:rPr>
                <w:sz w:val="18"/>
                <w:szCs w:val="18"/>
              </w:rPr>
            </w:pPr>
            <w:r>
              <w:rPr>
                <w:sz w:val="18"/>
                <w:szCs w:val="18"/>
              </w:rPr>
              <w:t>7</w:t>
            </w:r>
          </w:p>
        </w:tc>
        <w:tc>
          <w:tcPr>
            <w:tcW w:w="1136" w:type="dxa"/>
            <w:shd w:val="clear" w:color="auto" w:fill="auto"/>
            <w:vAlign w:val="bottom"/>
          </w:tcPr>
          <w:p w14:paraId="40F514FD" w14:textId="218388FC" w:rsidR="00EE63BE" w:rsidRPr="00EC0EC6" w:rsidRDefault="00AD13B3" w:rsidP="00993D45">
            <w:pPr>
              <w:spacing w:before="60" w:after="60"/>
              <w:jc w:val="left"/>
              <w:rPr>
                <w:sz w:val="18"/>
                <w:szCs w:val="18"/>
              </w:rPr>
            </w:pPr>
            <w:r>
              <w:rPr>
                <w:sz w:val="18"/>
                <w:szCs w:val="18"/>
              </w:rPr>
              <w:t>4 213,9</w:t>
            </w:r>
          </w:p>
        </w:tc>
        <w:tc>
          <w:tcPr>
            <w:tcW w:w="1136" w:type="dxa"/>
            <w:shd w:val="clear" w:color="auto" w:fill="auto"/>
            <w:vAlign w:val="bottom"/>
          </w:tcPr>
          <w:p w14:paraId="1532FBC3" w14:textId="77777777" w:rsidR="00EE63BE" w:rsidRPr="00EC0EC6" w:rsidRDefault="00EE63BE" w:rsidP="00993D45">
            <w:pPr>
              <w:spacing w:before="60" w:after="60"/>
              <w:jc w:val="left"/>
              <w:rPr>
                <w:sz w:val="18"/>
                <w:szCs w:val="18"/>
              </w:rPr>
            </w:pPr>
          </w:p>
        </w:tc>
        <w:tc>
          <w:tcPr>
            <w:tcW w:w="1136" w:type="dxa"/>
            <w:shd w:val="clear" w:color="auto" w:fill="auto"/>
            <w:vAlign w:val="bottom"/>
          </w:tcPr>
          <w:p w14:paraId="5FF1371D" w14:textId="710D3D06" w:rsidR="00EE63BE" w:rsidRPr="00EC0EC6" w:rsidRDefault="00AD13B3" w:rsidP="00993D45">
            <w:pPr>
              <w:spacing w:before="60" w:after="60"/>
              <w:jc w:val="left"/>
              <w:rPr>
                <w:sz w:val="18"/>
                <w:szCs w:val="18"/>
              </w:rPr>
            </w:pPr>
            <w:r>
              <w:rPr>
                <w:sz w:val="18"/>
                <w:szCs w:val="18"/>
              </w:rPr>
              <w:t>229,3</w:t>
            </w:r>
          </w:p>
        </w:tc>
        <w:tc>
          <w:tcPr>
            <w:tcW w:w="1136" w:type="dxa"/>
            <w:shd w:val="clear" w:color="auto" w:fill="DEEAF6" w:themeFill="accent1" w:themeFillTint="33"/>
            <w:vAlign w:val="bottom"/>
          </w:tcPr>
          <w:p w14:paraId="43DC341E" w14:textId="162B310E" w:rsidR="00EE63BE" w:rsidRPr="00EC0EC6" w:rsidRDefault="00AD13B3" w:rsidP="00993D45">
            <w:pPr>
              <w:spacing w:before="60" w:after="60"/>
              <w:jc w:val="left"/>
              <w:rPr>
                <w:sz w:val="18"/>
                <w:szCs w:val="18"/>
              </w:rPr>
            </w:pPr>
            <w:r>
              <w:rPr>
                <w:sz w:val="18"/>
                <w:szCs w:val="18"/>
              </w:rPr>
              <w:t>4 652,2</w:t>
            </w:r>
          </w:p>
        </w:tc>
        <w:tc>
          <w:tcPr>
            <w:tcW w:w="1136" w:type="dxa"/>
            <w:shd w:val="clear" w:color="auto" w:fill="auto"/>
            <w:vAlign w:val="bottom"/>
          </w:tcPr>
          <w:p w14:paraId="71C841E8" w14:textId="3A3551E3" w:rsidR="00EE63BE" w:rsidRPr="00EC0EC6" w:rsidRDefault="00AD13B3" w:rsidP="00993D45">
            <w:pPr>
              <w:spacing w:before="60" w:after="60"/>
              <w:jc w:val="left"/>
              <w:rPr>
                <w:sz w:val="18"/>
                <w:szCs w:val="18"/>
              </w:rPr>
            </w:pPr>
            <w:r>
              <w:rPr>
                <w:sz w:val="18"/>
                <w:szCs w:val="18"/>
              </w:rPr>
              <w:t>3 464,3</w:t>
            </w:r>
          </w:p>
        </w:tc>
        <w:tc>
          <w:tcPr>
            <w:tcW w:w="1136" w:type="dxa"/>
            <w:shd w:val="clear" w:color="auto" w:fill="auto"/>
            <w:vAlign w:val="bottom"/>
          </w:tcPr>
          <w:p w14:paraId="2A954769" w14:textId="331A23AB" w:rsidR="00EE63BE" w:rsidRPr="00EC0EC6" w:rsidRDefault="00EE63BE" w:rsidP="00993D45">
            <w:pPr>
              <w:spacing w:before="60" w:after="60"/>
              <w:jc w:val="center"/>
              <w:rPr>
                <w:sz w:val="18"/>
                <w:szCs w:val="18"/>
              </w:rPr>
            </w:pPr>
            <w:r>
              <w:rPr>
                <w:sz w:val="18"/>
                <w:szCs w:val="18"/>
              </w:rPr>
              <w:t>%</w:t>
            </w:r>
            <w:r w:rsidR="00AD13B3">
              <w:rPr>
                <w:sz w:val="18"/>
                <w:szCs w:val="18"/>
              </w:rPr>
              <w:t>74</w:t>
            </w:r>
          </w:p>
        </w:tc>
      </w:tr>
      <w:tr w:rsidR="00EE63BE" w:rsidRPr="009B5E51" w14:paraId="7F1FC908" w14:textId="77777777" w:rsidTr="00993D45">
        <w:trPr>
          <w:trHeight w:val="54"/>
          <w:jc w:val="center"/>
        </w:trPr>
        <w:tc>
          <w:tcPr>
            <w:tcW w:w="1876" w:type="dxa"/>
            <w:hideMark/>
          </w:tcPr>
          <w:p w14:paraId="4DE59127" w14:textId="77777777" w:rsidR="00EE63BE" w:rsidRPr="009B5E51" w:rsidRDefault="00EE63BE" w:rsidP="00993D45">
            <w:pPr>
              <w:spacing w:before="60" w:after="60"/>
              <w:rPr>
                <w:sz w:val="18"/>
                <w:szCs w:val="18"/>
              </w:rPr>
            </w:pPr>
            <w:r>
              <w:rPr>
                <w:rFonts w:hint="cs"/>
                <w:sz w:val="18"/>
                <w:szCs w:val="18"/>
                <w:rtl/>
              </w:rPr>
              <w:t>كومنولث الدول المستقلة</w:t>
            </w:r>
          </w:p>
        </w:tc>
        <w:tc>
          <w:tcPr>
            <w:tcW w:w="1135" w:type="dxa"/>
            <w:shd w:val="clear" w:color="auto" w:fill="auto"/>
            <w:vAlign w:val="bottom"/>
          </w:tcPr>
          <w:p w14:paraId="7AFE6659" w14:textId="35E8A5C4" w:rsidR="00EE63BE" w:rsidRPr="00EC0EC6" w:rsidRDefault="00AD13B3" w:rsidP="00993D45">
            <w:pPr>
              <w:spacing w:before="60" w:after="60"/>
              <w:jc w:val="center"/>
              <w:rPr>
                <w:sz w:val="18"/>
                <w:szCs w:val="18"/>
              </w:rPr>
            </w:pPr>
            <w:r>
              <w:rPr>
                <w:sz w:val="18"/>
                <w:szCs w:val="18"/>
              </w:rPr>
              <w:t>3</w:t>
            </w:r>
          </w:p>
        </w:tc>
        <w:tc>
          <w:tcPr>
            <w:tcW w:w="1136" w:type="dxa"/>
            <w:vAlign w:val="bottom"/>
          </w:tcPr>
          <w:p w14:paraId="0CA954BA" w14:textId="5FCA7C7A" w:rsidR="00EE63BE" w:rsidRPr="00EC0EC6" w:rsidRDefault="00AD13B3" w:rsidP="00993D45">
            <w:pPr>
              <w:spacing w:before="60" w:after="60"/>
              <w:jc w:val="left"/>
              <w:rPr>
                <w:sz w:val="18"/>
                <w:szCs w:val="18"/>
              </w:rPr>
            </w:pPr>
            <w:r>
              <w:rPr>
                <w:sz w:val="18"/>
                <w:szCs w:val="18"/>
              </w:rPr>
              <w:t>242,5</w:t>
            </w:r>
          </w:p>
        </w:tc>
        <w:tc>
          <w:tcPr>
            <w:tcW w:w="1136" w:type="dxa"/>
            <w:vAlign w:val="bottom"/>
          </w:tcPr>
          <w:p w14:paraId="572428BA" w14:textId="77777777" w:rsidR="00EE63BE" w:rsidRPr="00EC0EC6" w:rsidRDefault="00EE63BE" w:rsidP="00993D45">
            <w:pPr>
              <w:spacing w:before="60" w:after="60"/>
              <w:jc w:val="left"/>
              <w:rPr>
                <w:sz w:val="18"/>
                <w:szCs w:val="18"/>
              </w:rPr>
            </w:pPr>
          </w:p>
        </w:tc>
        <w:tc>
          <w:tcPr>
            <w:tcW w:w="1136" w:type="dxa"/>
            <w:vAlign w:val="bottom"/>
          </w:tcPr>
          <w:p w14:paraId="213B5A83" w14:textId="092B3E67" w:rsidR="00EE63BE" w:rsidRPr="00EC0EC6" w:rsidRDefault="00AD13B3" w:rsidP="00993D45">
            <w:pPr>
              <w:spacing w:before="60" w:after="60"/>
              <w:jc w:val="left"/>
              <w:rPr>
                <w:sz w:val="18"/>
                <w:szCs w:val="18"/>
              </w:rPr>
            </w:pPr>
            <w:r>
              <w:rPr>
                <w:sz w:val="18"/>
                <w:szCs w:val="18"/>
              </w:rPr>
              <w:t>242,5</w:t>
            </w:r>
          </w:p>
        </w:tc>
        <w:tc>
          <w:tcPr>
            <w:tcW w:w="1136" w:type="dxa"/>
            <w:shd w:val="clear" w:color="auto" w:fill="DEEAF6" w:themeFill="accent1" w:themeFillTint="33"/>
            <w:vAlign w:val="bottom"/>
          </w:tcPr>
          <w:p w14:paraId="7D0C1F7D" w14:textId="60A09406" w:rsidR="00EE63BE" w:rsidRPr="00EC0EC6" w:rsidRDefault="00AD13B3" w:rsidP="00993D45">
            <w:pPr>
              <w:spacing w:before="60" w:after="60"/>
              <w:jc w:val="left"/>
              <w:rPr>
                <w:sz w:val="18"/>
                <w:szCs w:val="18"/>
              </w:rPr>
            </w:pPr>
            <w:r>
              <w:rPr>
                <w:sz w:val="18"/>
                <w:szCs w:val="18"/>
              </w:rPr>
              <w:t>485,0</w:t>
            </w:r>
          </w:p>
        </w:tc>
        <w:tc>
          <w:tcPr>
            <w:tcW w:w="1136" w:type="dxa"/>
            <w:vAlign w:val="bottom"/>
          </w:tcPr>
          <w:p w14:paraId="5520FEB0" w14:textId="389769E8" w:rsidR="00EE63BE" w:rsidRPr="00EC0EC6" w:rsidRDefault="00AD13B3" w:rsidP="00993D45">
            <w:pPr>
              <w:spacing w:before="60" w:after="60"/>
              <w:jc w:val="left"/>
              <w:rPr>
                <w:sz w:val="18"/>
                <w:szCs w:val="18"/>
              </w:rPr>
            </w:pPr>
            <w:r>
              <w:rPr>
                <w:sz w:val="18"/>
                <w:szCs w:val="18"/>
              </w:rPr>
              <w:t>108,1</w:t>
            </w:r>
          </w:p>
        </w:tc>
        <w:tc>
          <w:tcPr>
            <w:tcW w:w="1136" w:type="dxa"/>
            <w:vAlign w:val="bottom"/>
          </w:tcPr>
          <w:p w14:paraId="6DD77E93" w14:textId="3C925D67" w:rsidR="00EE63BE" w:rsidRPr="00EC0EC6" w:rsidRDefault="00EE63BE" w:rsidP="00993D45">
            <w:pPr>
              <w:spacing w:before="60" w:after="60"/>
              <w:jc w:val="center"/>
              <w:rPr>
                <w:sz w:val="18"/>
                <w:szCs w:val="18"/>
              </w:rPr>
            </w:pPr>
            <w:r>
              <w:rPr>
                <w:sz w:val="18"/>
                <w:szCs w:val="18"/>
              </w:rPr>
              <w:t>%</w:t>
            </w:r>
            <w:r w:rsidR="00AD13B3">
              <w:rPr>
                <w:sz w:val="18"/>
                <w:szCs w:val="18"/>
              </w:rPr>
              <w:t>22</w:t>
            </w:r>
          </w:p>
        </w:tc>
      </w:tr>
      <w:tr w:rsidR="00EE63BE" w:rsidRPr="009B5E51" w14:paraId="726F0C2B" w14:textId="77777777" w:rsidTr="00993D45">
        <w:trPr>
          <w:trHeight w:val="54"/>
          <w:jc w:val="center"/>
        </w:trPr>
        <w:tc>
          <w:tcPr>
            <w:tcW w:w="1876" w:type="dxa"/>
            <w:vAlign w:val="bottom"/>
            <w:hideMark/>
          </w:tcPr>
          <w:p w14:paraId="01702D06" w14:textId="77777777" w:rsidR="00EE63BE" w:rsidRPr="009B5E51" w:rsidRDefault="00EE63BE" w:rsidP="00993D45">
            <w:pPr>
              <w:spacing w:before="60" w:after="60"/>
              <w:rPr>
                <w:sz w:val="18"/>
                <w:szCs w:val="18"/>
              </w:rPr>
            </w:pPr>
            <w:r>
              <w:rPr>
                <w:rFonts w:hint="cs"/>
                <w:sz w:val="18"/>
                <w:szCs w:val="18"/>
                <w:rtl/>
              </w:rPr>
              <w:t>أوروبا</w:t>
            </w:r>
          </w:p>
        </w:tc>
        <w:tc>
          <w:tcPr>
            <w:tcW w:w="1135" w:type="dxa"/>
            <w:shd w:val="clear" w:color="auto" w:fill="auto"/>
            <w:vAlign w:val="bottom"/>
          </w:tcPr>
          <w:p w14:paraId="477BEF0F" w14:textId="24EA40A1" w:rsidR="00EE63BE" w:rsidRPr="00EC0EC6" w:rsidRDefault="00AD13B3" w:rsidP="00993D45">
            <w:pPr>
              <w:spacing w:before="60" w:after="60"/>
              <w:jc w:val="center"/>
              <w:rPr>
                <w:sz w:val="18"/>
                <w:szCs w:val="18"/>
              </w:rPr>
            </w:pPr>
            <w:r>
              <w:rPr>
                <w:sz w:val="18"/>
                <w:szCs w:val="18"/>
              </w:rPr>
              <w:t>2</w:t>
            </w:r>
          </w:p>
        </w:tc>
        <w:tc>
          <w:tcPr>
            <w:tcW w:w="1136" w:type="dxa"/>
            <w:vAlign w:val="bottom"/>
          </w:tcPr>
          <w:p w14:paraId="788EEEE9" w14:textId="4624A18B" w:rsidR="00EE63BE" w:rsidRPr="00EC0EC6" w:rsidRDefault="00AD13B3" w:rsidP="00993D45">
            <w:pPr>
              <w:spacing w:before="60" w:after="60"/>
              <w:jc w:val="left"/>
              <w:rPr>
                <w:sz w:val="18"/>
                <w:szCs w:val="18"/>
              </w:rPr>
            </w:pPr>
            <w:r>
              <w:rPr>
                <w:sz w:val="18"/>
                <w:szCs w:val="18"/>
              </w:rPr>
              <w:t>3 460,4</w:t>
            </w:r>
          </w:p>
        </w:tc>
        <w:tc>
          <w:tcPr>
            <w:tcW w:w="1136" w:type="dxa"/>
            <w:vAlign w:val="bottom"/>
          </w:tcPr>
          <w:p w14:paraId="1E704B7F" w14:textId="77777777" w:rsidR="00EE63BE" w:rsidRPr="00EC0EC6" w:rsidRDefault="00EE63BE" w:rsidP="00993D45">
            <w:pPr>
              <w:spacing w:before="60" w:after="60"/>
              <w:jc w:val="left"/>
              <w:rPr>
                <w:sz w:val="18"/>
                <w:szCs w:val="18"/>
              </w:rPr>
            </w:pPr>
          </w:p>
        </w:tc>
        <w:tc>
          <w:tcPr>
            <w:tcW w:w="1136" w:type="dxa"/>
            <w:vAlign w:val="bottom"/>
          </w:tcPr>
          <w:p w14:paraId="550CFB83" w14:textId="022ED2C3" w:rsidR="00EE63BE" w:rsidRPr="00EC0EC6" w:rsidRDefault="00AD13B3" w:rsidP="00993D45">
            <w:pPr>
              <w:spacing w:before="60" w:after="60"/>
              <w:jc w:val="left"/>
              <w:rPr>
                <w:sz w:val="18"/>
                <w:szCs w:val="18"/>
              </w:rPr>
            </w:pPr>
            <w:r>
              <w:rPr>
                <w:sz w:val="18"/>
                <w:szCs w:val="18"/>
              </w:rPr>
              <w:t>216,3</w:t>
            </w:r>
          </w:p>
        </w:tc>
        <w:tc>
          <w:tcPr>
            <w:tcW w:w="1136" w:type="dxa"/>
            <w:shd w:val="clear" w:color="auto" w:fill="DEEAF6" w:themeFill="accent1" w:themeFillTint="33"/>
            <w:vAlign w:val="bottom"/>
          </w:tcPr>
          <w:p w14:paraId="6E19A927" w14:textId="4E7F4C18" w:rsidR="00EE63BE" w:rsidRPr="00EC0EC6" w:rsidRDefault="00AD13B3" w:rsidP="00993D45">
            <w:pPr>
              <w:spacing w:before="60" w:after="60"/>
              <w:jc w:val="left"/>
              <w:rPr>
                <w:sz w:val="18"/>
                <w:szCs w:val="18"/>
              </w:rPr>
            </w:pPr>
            <w:r>
              <w:rPr>
                <w:sz w:val="18"/>
                <w:szCs w:val="18"/>
              </w:rPr>
              <w:t>3 676,7</w:t>
            </w:r>
          </w:p>
        </w:tc>
        <w:tc>
          <w:tcPr>
            <w:tcW w:w="1136" w:type="dxa"/>
            <w:vAlign w:val="bottom"/>
          </w:tcPr>
          <w:p w14:paraId="697B31D4" w14:textId="6354A220" w:rsidR="00EE63BE" w:rsidRPr="00EC0EC6" w:rsidRDefault="00AD13B3" w:rsidP="00993D45">
            <w:pPr>
              <w:spacing w:before="60" w:after="60"/>
              <w:jc w:val="left"/>
              <w:rPr>
                <w:sz w:val="18"/>
                <w:szCs w:val="18"/>
              </w:rPr>
            </w:pPr>
            <w:r>
              <w:rPr>
                <w:sz w:val="18"/>
                <w:szCs w:val="18"/>
              </w:rPr>
              <w:t>710,0</w:t>
            </w:r>
          </w:p>
        </w:tc>
        <w:tc>
          <w:tcPr>
            <w:tcW w:w="1136" w:type="dxa"/>
            <w:vAlign w:val="bottom"/>
          </w:tcPr>
          <w:p w14:paraId="36338B2D" w14:textId="4BE9F2EA" w:rsidR="00EE63BE" w:rsidRPr="00EC0EC6" w:rsidRDefault="00EE63BE" w:rsidP="00993D45">
            <w:pPr>
              <w:spacing w:before="60" w:after="60"/>
              <w:jc w:val="center"/>
              <w:rPr>
                <w:sz w:val="18"/>
                <w:szCs w:val="18"/>
              </w:rPr>
            </w:pPr>
            <w:r>
              <w:rPr>
                <w:sz w:val="18"/>
                <w:szCs w:val="18"/>
              </w:rPr>
              <w:t>%</w:t>
            </w:r>
            <w:r w:rsidR="00AD13B3">
              <w:rPr>
                <w:sz w:val="18"/>
                <w:szCs w:val="18"/>
              </w:rPr>
              <w:t>19</w:t>
            </w:r>
          </w:p>
        </w:tc>
      </w:tr>
      <w:tr w:rsidR="00EE63BE" w:rsidRPr="009B5E51" w14:paraId="4B0A6A3A" w14:textId="77777777" w:rsidTr="00993D45">
        <w:trPr>
          <w:trHeight w:val="54"/>
          <w:jc w:val="center"/>
        </w:trPr>
        <w:tc>
          <w:tcPr>
            <w:tcW w:w="1876" w:type="dxa"/>
            <w:shd w:val="clear" w:color="auto" w:fill="auto"/>
            <w:hideMark/>
          </w:tcPr>
          <w:p w14:paraId="2932D11F" w14:textId="77777777" w:rsidR="00EE63BE" w:rsidRPr="009B5E51" w:rsidRDefault="00EE63BE" w:rsidP="00993D45">
            <w:pPr>
              <w:spacing w:before="60" w:after="60"/>
              <w:rPr>
                <w:sz w:val="18"/>
                <w:szCs w:val="18"/>
              </w:rPr>
            </w:pPr>
            <w:r>
              <w:rPr>
                <w:rFonts w:hint="cs"/>
                <w:sz w:val="18"/>
                <w:szCs w:val="18"/>
                <w:rtl/>
              </w:rPr>
              <w:t>مناطق متعددة</w:t>
            </w:r>
          </w:p>
        </w:tc>
        <w:tc>
          <w:tcPr>
            <w:tcW w:w="1135" w:type="dxa"/>
            <w:shd w:val="clear" w:color="auto" w:fill="auto"/>
            <w:noWrap/>
            <w:vAlign w:val="bottom"/>
          </w:tcPr>
          <w:p w14:paraId="1D8D63B6" w14:textId="6998BC2C" w:rsidR="00EE63BE" w:rsidRPr="00EC0EC6" w:rsidRDefault="00AD13B3" w:rsidP="00993D45">
            <w:pPr>
              <w:spacing w:before="60" w:after="60"/>
              <w:jc w:val="center"/>
              <w:rPr>
                <w:sz w:val="18"/>
                <w:szCs w:val="18"/>
              </w:rPr>
            </w:pPr>
            <w:r>
              <w:rPr>
                <w:sz w:val="18"/>
                <w:szCs w:val="18"/>
              </w:rPr>
              <w:t>31</w:t>
            </w:r>
          </w:p>
        </w:tc>
        <w:tc>
          <w:tcPr>
            <w:tcW w:w="1136" w:type="dxa"/>
            <w:shd w:val="clear" w:color="auto" w:fill="auto"/>
            <w:vAlign w:val="bottom"/>
          </w:tcPr>
          <w:p w14:paraId="5437019A" w14:textId="53E3EABE" w:rsidR="00EE63BE" w:rsidRPr="00EC0EC6" w:rsidRDefault="00AD13B3" w:rsidP="00993D45">
            <w:pPr>
              <w:spacing w:before="60" w:after="60"/>
              <w:jc w:val="left"/>
              <w:rPr>
                <w:sz w:val="18"/>
                <w:szCs w:val="18"/>
              </w:rPr>
            </w:pPr>
            <w:r>
              <w:rPr>
                <w:sz w:val="18"/>
                <w:szCs w:val="18"/>
              </w:rPr>
              <w:t>16 188,6</w:t>
            </w:r>
          </w:p>
        </w:tc>
        <w:tc>
          <w:tcPr>
            <w:tcW w:w="1136" w:type="dxa"/>
            <w:shd w:val="clear" w:color="auto" w:fill="auto"/>
            <w:vAlign w:val="bottom"/>
          </w:tcPr>
          <w:p w14:paraId="5D454B88" w14:textId="5475D19D" w:rsidR="00EE63BE" w:rsidRPr="00EC0EC6" w:rsidRDefault="00AD13B3" w:rsidP="00993D45">
            <w:pPr>
              <w:spacing w:before="60" w:after="60"/>
              <w:jc w:val="left"/>
              <w:rPr>
                <w:sz w:val="18"/>
                <w:szCs w:val="18"/>
              </w:rPr>
            </w:pPr>
            <w:r>
              <w:rPr>
                <w:sz w:val="18"/>
                <w:szCs w:val="18"/>
              </w:rPr>
              <w:t>3 759,2</w:t>
            </w:r>
          </w:p>
        </w:tc>
        <w:tc>
          <w:tcPr>
            <w:tcW w:w="1136" w:type="dxa"/>
            <w:shd w:val="clear" w:color="auto" w:fill="auto"/>
            <w:vAlign w:val="bottom"/>
          </w:tcPr>
          <w:p w14:paraId="466F9166" w14:textId="33CA447C" w:rsidR="00EE63BE" w:rsidRPr="00EC0EC6" w:rsidRDefault="00AD13B3" w:rsidP="00993D45">
            <w:pPr>
              <w:spacing w:before="60" w:after="60"/>
              <w:jc w:val="left"/>
              <w:rPr>
                <w:sz w:val="18"/>
                <w:szCs w:val="18"/>
              </w:rPr>
            </w:pPr>
            <w:r>
              <w:rPr>
                <w:sz w:val="18"/>
                <w:szCs w:val="18"/>
              </w:rPr>
              <w:t>2 585,0</w:t>
            </w:r>
          </w:p>
        </w:tc>
        <w:tc>
          <w:tcPr>
            <w:tcW w:w="1136" w:type="dxa"/>
            <w:shd w:val="clear" w:color="auto" w:fill="DEEAF6" w:themeFill="accent1" w:themeFillTint="33"/>
            <w:vAlign w:val="bottom"/>
          </w:tcPr>
          <w:p w14:paraId="4129CC99" w14:textId="5544E4AB" w:rsidR="00EE63BE" w:rsidRPr="00EC0EC6" w:rsidRDefault="00AD13B3" w:rsidP="00993D45">
            <w:pPr>
              <w:spacing w:before="60" w:after="60"/>
              <w:jc w:val="left"/>
              <w:rPr>
                <w:sz w:val="18"/>
                <w:szCs w:val="18"/>
              </w:rPr>
            </w:pPr>
            <w:r>
              <w:rPr>
                <w:sz w:val="18"/>
                <w:szCs w:val="18"/>
              </w:rPr>
              <w:t>25 312,6</w:t>
            </w:r>
          </w:p>
        </w:tc>
        <w:tc>
          <w:tcPr>
            <w:tcW w:w="1136" w:type="dxa"/>
            <w:shd w:val="clear" w:color="auto" w:fill="auto"/>
            <w:vAlign w:val="bottom"/>
          </w:tcPr>
          <w:p w14:paraId="7B9ADB8D" w14:textId="5A2C469D" w:rsidR="00EE63BE" w:rsidRPr="00EC0EC6" w:rsidRDefault="00AD13B3" w:rsidP="00993D45">
            <w:pPr>
              <w:spacing w:before="60" w:after="60"/>
              <w:jc w:val="left"/>
              <w:rPr>
                <w:sz w:val="18"/>
                <w:szCs w:val="18"/>
              </w:rPr>
            </w:pPr>
            <w:r>
              <w:rPr>
                <w:sz w:val="18"/>
                <w:szCs w:val="18"/>
              </w:rPr>
              <w:t>8 131,3</w:t>
            </w:r>
          </w:p>
        </w:tc>
        <w:tc>
          <w:tcPr>
            <w:tcW w:w="1136" w:type="dxa"/>
            <w:shd w:val="clear" w:color="auto" w:fill="auto"/>
            <w:vAlign w:val="bottom"/>
          </w:tcPr>
          <w:p w14:paraId="7EE5A57B" w14:textId="5F036E9E" w:rsidR="00EE63BE" w:rsidRPr="00EC0EC6" w:rsidRDefault="00EE63BE" w:rsidP="00993D45">
            <w:pPr>
              <w:spacing w:before="60" w:after="60"/>
              <w:jc w:val="center"/>
              <w:rPr>
                <w:sz w:val="18"/>
                <w:szCs w:val="18"/>
              </w:rPr>
            </w:pPr>
            <w:r>
              <w:rPr>
                <w:sz w:val="18"/>
                <w:szCs w:val="18"/>
              </w:rPr>
              <w:t>%</w:t>
            </w:r>
            <w:r w:rsidR="00AD13B3">
              <w:rPr>
                <w:sz w:val="18"/>
                <w:szCs w:val="18"/>
              </w:rPr>
              <w:t>32</w:t>
            </w:r>
          </w:p>
        </w:tc>
      </w:tr>
      <w:tr w:rsidR="00EE63BE" w:rsidRPr="009B5E51" w14:paraId="7BF80E11" w14:textId="77777777" w:rsidTr="00993D45">
        <w:trPr>
          <w:trHeight w:val="54"/>
          <w:jc w:val="center"/>
        </w:trPr>
        <w:tc>
          <w:tcPr>
            <w:tcW w:w="1876" w:type="dxa"/>
            <w:shd w:val="clear" w:color="auto" w:fill="DEEAF6" w:themeFill="accent1" w:themeFillTint="33"/>
            <w:noWrap/>
            <w:vAlign w:val="center"/>
          </w:tcPr>
          <w:p w14:paraId="699A075D" w14:textId="77777777" w:rsidR="00EE63BE" w:rsidRPr="009B5E51" w:rsidRDefault="00EE63BE" w:rsidP="00993D45">
            <w:pPr>
              <w:spacing w:before="60" w:after="60"/>
              <w:rPr>
                <w:b/>
                <w:bCs/>
                <w:sz w:val="18"/>
                <w:szCs w:val="18"/>
              </w:rPr>
            </w:pPr>
            <w:r>
              <w:rPr>
                <w:rFonts w:hint="cs"/>
                <w:b/>
                <w:bCs/>
                <w:sz w:val="18"/>
                <w:szCs w:val="18"/>
                <w:rtl/>
              </w:rPr>
              <w:t>المجموع</w:t>
            </w:r>
          </w:p>
        </w:tc>
        <w:tc>
          <w:tcPr>
            <w:tcW w:w="1135" w:type="dxa"/>
            <w:shd w:val="clear" w:color="auto" w:fill="DEEAF6" w:themeFill="accent1" w:themeFillTint="33"/>
            <w:noWrap/>
            <w:vAlign w:val="bottom"/>
          </w:tcPr>
          <w:p w14:paraId="551961E3" w14:textId="18C1708B" w:rsidR="00EE63BE" w:rsidRPr="00EC0EC6" w:rsidRDefault="00AD13B3" w:rsidP="00993D45">
            <w:pPr>
              <w:spacing w:before="60" w:after="60"/>
              <w:jc w:val="center"/>
              <w:rPr>
                <w:b/>
                <w:bCs/>
                <w:sz w:val="18"/>
                <w:szCs w:val="18"/>
              </w:rPr>
            </w:pPr>
            <w:r>
              <w:rPr>
                <w:b/>
                <w:bCs/>
                <w:sz w:val="18"/>
                <w:szCs w:val="18"/>
              </w:rPr>
              <w:t>77</w:t>
            </w:r>
          </w:p>
        </w:tc>
        <w:tc>
          <w:tcPr>
            <w:tcW w:w="1136" w:type="dxa"/>
            <w:shd w:val="clear" w:color="auto" w:fill="DEEAF6" w:themeFill="accent1" w:themeFillTint="33"/>
            <w:noWrap/>
            <w:vAlign w:val="bottom"/>
          </w:tcPr>
          <w:p w14:paraId="49CD18E8" w14:textId="040287BD" w:rsidR="00EE63BE" w:rsidRPr="00EC0EC6" w:rsidRDefault="00AD13B3" w:rsidP="00993D45">
            <w:pPr>
              <w:spacing w:before="60" w:after="60"/>
              <w:jc w:val="left"/>
              <w:rPr>
                <w:b/>
                <w:bCs/>
                <w:sz w:val="18"/>
                <w:szCs w:val="18"/>
              </w:rPr>
            </w:pPr>
            <w:r>
              <w:rPr>
                <w:b/>
                <w:bCs/>
                <w:sz w:val="18"/>
                <w:szCs w:val="18"/>
              </w:rPr>
              <w:t>80 278,3</w:t>
            </w:r>
          </w:p>
        </w:tc>
        <w:tc>
          <w:tcPr>
            <w:tcW w:w="1136" w:type="dxa"/>
            <w:shd w:val="clear" w:color="auto" w:fill="DEEAF6" w:themeFill="accent1" w:themeFillTint="33"/>
            <w:noWrap/>
            <w:vAlign w:val="bottom"/>
          </w:tcPr>
          <w:p w14:paraId="5C415525" w14:textId="48AB8602" w:rsidR="00EE63BE" w:rsidRPr="00EC0EC6" w:rsidRDefault="00AD13B3" w:rsidP="00993D45">
            <w:pPr>
              <w:spacing w:before="60" w:after="60"/>
              <w:jc w:val="left"/>
              <w:rPr>
                <w:b/>
                <w:bCs/>
                <w:sz w:val="18"/>
                <w:szCs w:val="18"/>
              </w:rPr>
            </w:pPr>
            <w:r>
              <w:rPr>
                <w:b/>
                <w:bCs/>
                <w:sz w:val="18"/>
                <w:szCs w:val="18"/>
              </w:rPr>
              <w:t>5 520,9</w:t>
            </w:r>
          </w:p>
        </w:tc>
        <w:tc>
          <w:tcPr>
            <w:tcW w:w="1136" w:type="dxa"/>
            <w:shd w:val="clear" w:color="auto" w:fill="DEEAF6" w:themeFill="accent1" w:themeFillTint="33"/>
            <w:noWrap/>
            <w:vAlign w:val="bottom"/>
          </w:tcPr>
          <w:p w14:paraId="516C569D" w14:textId="1F9C56F3" w:rsidR="00EE63BE" w:rsidRPr="00EC0EC6" w:rsidRDefault="00AD13B3" w:rsidP="00993D45">
            <w:pPr>
              <w:spacing w:before="60" w:after="60"/>
              <w:jc w:val="left"/>
              <w:rPr>
                <w:b/>
                <w:bCs/>
                <w:sz w:val="18"/>
                <w:szCs w:val="18"/>
              </w:rPr>
            </w:pPr>
            <w:r>
              <w:rPr>
                <w:b/>
                <w:bCs/>
                <w:sz w:val="18"/>
                <w:szCs w:val="18"/>
              </w:rPr>
              <w:t>4 508,5</w:t>
            </w:r>
          </w:p>
        </w:tc>
        <w:tc>
          <w:tcPr>
            <w:tcW w:w="1136" w:type="dxa"/>
            <w:shd w:val="clear" w:color="auto" w:fill="DEEAF6" w:themeFill="accent1" w:themeFillTint="33"/>
            <w:noWrap/>
            <w:vAlign w:val="bottom"/>
          </w:tcPr>
          <w:p w14:paraId="4443ADA3" w14:textId="6831E2C1" w:rsidR="00EE63BE" w:rsidRPr="00EC0EC6" w:rsidRDefault="00AD13B3" w:rsidP="00993D45">
            <w:pPr>
              <w:spacing w:before="60" w:after="60"/>
              <w:jc w:val="left"/>
              <w:rPr>
                <w:b/>
                <w:bCs/>
                <w:sz w:val="18"/>
                <w:szCs w:val="18"/>
              </w:rPr>
            </w:pPr>
            <w:r>
              <w:rPr>
                <w:b/>
                <w:bCs/>
                <w:sz w:val="18"/>
                <w:szCs w:val="18"/>
              </w:rPr>
              <w:t>93 892,5</w:t>
            </w:r>
          </w:p>
        </w:tc>
        <w:tc>
          <w:tcPr>
            <w:tcW w:w="1136" w:type="dxa"/>
            <w:shd w:val="clear" w:color="auto" w:fill="DEEAF6" w:themeFill="accent1" w:themeFillTint="33"/>
            <w:noWrap/>
            <w:vAlign w:val="bottom"/>
          </w:tcPr>
          <w:p w14:paraId="73690F91" w14:textId="0DC565E1" w:rsidR="00EE63BE" w:rsidRPr="00EC0EC6" w:rsidRDefault="00AD13B3" w:rsidP="00993D45">
            <w:pPr>
              <w:spacing w:before="60" w:after="60"/>
              <w:jc w:val="left"/>
              <w:rPr>
                <w:b/>
                <w:bCs/>
                <w:sz w:val="18"/>
                <w:szCs w:val="18"/>
              </w:rPr>
            </w:pPr>
            <w:r>
              <w:rPr>
                <w:b/>
                <w:bCs/>
                <w:sz w:val="18"/>
                <w:szCs w:val="18"/>
              </w:rPr>
              <w:t>25 947,5</w:t>
            </w:r>
          </w:p>
        </w:tc>
        <w:tc>
          <w:tcPr>
            <w:tcW w:w="1136" w:type="dxa"/>
            <w:shd w:val="clear" w:color="auto" w:fill="DEEAF6" w:themeFill="accent1" w:themeFillTint="33"/>
            <w:noWrap/>
            <w:vAlign w:val="bottom"/>
          </w:tcPr>
          <w:p w14:paraId="20872736" w14:textId="68E22A39" w:rsidR="00EE63BE" w:rsidRPr="00EC0EC6" w:rsidRDefault="00EE63BE" w:rsidP="00993D45">
            <w:pPr>
              <w:spacing w:before="60" w:after="60"/>
              <w:jc w:val="center"/>
              <w:rPr>
                <w:sz w:val="18"/>
                <w:szCs w:val="18"/>
              </w:rPr>
            </w:pPr>
          </w:p>
        </w:tc>
      </w:tr>
    </w:tbl>
    <w:p w14:paraId="680234B0" w14:textId="3B0B90E1" w:rsidR="00EE63BE" w:rsidRPr="007207D5" w:rsidRDefault="00EE63BE" w:rsidP="007207D5">
      <w:pPr>
        <w:pStyle w:val="Heading2"/>
        <w:rPr>
          <w:rtl/>
        </w:rPr>
      </w:pPr>
      <w:r w:rsidRPr="007207D5">
        <w:rPr>
          <w:rFonts w:hint="cs"/>
          <w:rtl/>
        </w:rPr>
        <w:t>2.2</w:t>
      </w:r>
      <w:r w:rsidRPr="007207D5">
        <w:rPr>
          <w:rtl/>
        </w:rPr>
        <w:tab/>
      </w:r>
      <w:r w:rsidR="00100D11" w:rsidRPr="007207D5">
        <w:rPr>
          <w:rFonts w:hint="cs"/>
          <w:rtl/>
        </w:rPr>
        <w:t xml:space="preserve">المشاريع الموقعة خلال </w:t>
      </w:r>
      <w:r w:rsidR="0077422A">
        <w:rPr>
          <w:rFonts w:hint="cs"/>
          <w:rtl/>
        </w:rPr>
        <w:t>الربعين</w:t>
      </w:r>
      <w:r w:rsidR="00100D11" w:rsidRPr="007207D5">
        <w:rPr>
          <w:rFonts w:hint="cs"/>
          <w:rtl/>
        </w:rPr>
        <w:t xml:space="preserve"> الثاني والثالث من عام </w:t>
      </w:r>
      <w:r w:rsidR="00100D11" w:rsidRPr="007207D5">
        <w:t>2021</w:t>
      </w:r>
      <w:r w:rsidR="00AD13B3" w:rsidRPr="007207D5">
        <w:rPr>
          <w:rFonts w:hint="cs"/>
          <w:rtl/>
        </w:rPr>
        <w:t xml:space="preserve">  </w:t>
      </w:r>
    </w:p>
    <w:p w14:paraId="03FE4AB2" w14:textId="768F3759" w:rsidR="00AD13B3" w:rsidRDefault="00100D11" w:rsidP="007207D5">
      <w:pPr>
        <w:rPr>
          <w:rtl/>
          <w:lang w:val="en-GB"/>
        </w:rPr>
      </w:pPr>
      <w:r>
        <w:rPr>
          <w:rFonts w:hint="cs"/>
          <w:rtl/>
        </w:rPr>
        <w:t xml:space="preserve">خلال الربعين الثاني والثالث من عام </w:t>
      </w:r>
      <w:r>
        <w:rPr>
          <w:lang w:val="en-GB"/>
        </w:rPr>
        <w:t>2021</w:t>
      </w:r>
      <w:r>
        <w:rPr>
          <w:rFonts w:hint="cs"/>
          <w:rtl/>
          <w:lang w:val="en-GB"/>
        </w:rPr>
        <w:t xml:space="preserve">، وقع مكتب تنمية الاتصالات </w:t>
      </w:r>
      <w:r>
        <w:rPr>
          <w:lang w:val="en-GB"/>
        </w:rPr>
        <w:t>8</w:t>
      </w:r>
      <w:r>
        <w:rPr>
          <w:rFonts w:hint="cs"/>
          <w:rtl/>
          <w:lang w:val="en-GB"/>
        </w:rPr>
        <w:t xml:space="preserve"> مشاريع جديدة بقيمة حوالي </w:t>
      </w:r>
      <w:r>
        <w:rPr>
          <w:lang w:val="en-GB"/>
        </w:rPr>
        <w:t>5,0</w:t>
      </w:r>
      <w:r>
        <w:rPr>
          <w:rFonts w:hint="cs"/>
          <w:rtl/>
          <w:lang w:val="en-GB"/>
        </w:rPr>
        <w:t xml:space="preserve"> مليون فرنك سويسري. وه</w:t>
      </w:r>
      <w:r w:rsidRPr="00100D11">
        <w:rPr>
          <w:rtl/>
          <w:lang w:val="en-GB"/>
        </w:rPr>
        <w:t xml:space="preserve">ذه المشاريع الجديدة </w:t>
      </w:r>
      <w:r w:rsidR="00012E22">
        <w:rPr>
          <w:rFonts w:hint="cs"/>
          <w:rtl/>
          <w:lang w:val="en-GB"/>
        </w:rPr>
        <w:t xml:space="preserve">ذات طبيعة </w:t>
      </w:r>
      <w:r w:rsidRPr="00660105">
        <w:rPr>
          <w:rtl/>
          <w:lang w:val="en-GB"/>
        </w:rPr>
        <w:t xml:space="preserve">متعددة </w:t>
      </w:r>
      <w:r w:rsidR="00012E22">
        <w:rPr>
          <w:rFonts w:hint="cs"/>
          <w:rtl/>
          <w:lang w:val="en-GB"/>
        </w:rPr>
        <w:t xml:space="preserve">المناطق </w:t>
      </w:r>
      <w:r>
        <w:rPr>
          <w:rFonts w:hint="cs"/>
          <w:rtl/>
          <w:lang w:val="en-GB"/>
        </w:rPr>
        <w:t>وإقليمية ووطنية</w:t>
      </w:r>
      <w:r w:rsidRPr="00100D11">
        <w:rPr>
          <w:rtl/>
          <w:lang w:val="en-GB"/>
        </w:rPr>
        <w:t xml:space="preserve"> وتضم شركاء الاتحاد التقليديين، مثل </w:t>
      </w:r>
      <w:r w:rsidR="00D4769A">
        <w:rPr>
          <w:rFonts w:hint="cs"/>
          <w:rtl/>
          <w:lang w:val="en-GB"/>
        </w:rPr>
        <w:t>اليونيسف</w:t>
      </w:r>
      <w:r>
        <w:rPr>
          <w:rFonts w:hint="cs"/>
          <w:rtl/>
          <w:lang w:val="en-GB"/>
        </w:rPr>
        <w:t xml:space="preserve"> أو المفوضية الأوروبية، والدول الأعضاء في الاتحاد، </w:t>
      </w:r>
      <w:r w:rsidRPr="00100D11">
        <w:rPr>
          <w:rtl/>
          <w:lang w:val="en-GB"/>
        </w:rPr>
        <w:t xml:space="preserve">مثل أستراليا، وكولومبيا، </w:t>
      </w:r>
      <w:r>
        <w:rPr>
          <w:rFonts w:hint="cs"/>
          <w:rtl/>
          <w:lang w:val="en-GB"/>
        </w:rPr>
        <w:t>وترينيداد</w:t>
      </w:r>
      <w:r w:rsidRPr="00100D11">
        <w:rPr>
          <w:rtl/>
          <w:lang w:val="en-GB"/>
        </w:rPr>
        <w:t xml:space="preserve"> و</w:t>
      </w:r>
      <w:r w:rsidR="00E10B9A">
        <w:rPr>
          <w:rFonts w:hint="cs"/>
          <w:rtl/>
          <w:lang w:val="en-GB"/>
        </w:rPr>
        <w:t>ت</w:t>
      </w:r>
      <w:r w:rsidRPr="00100D11">
        <w:rPr>
          <w:rtl/>
          <w:lang w:val="en-GB"/>
        </w:rPr>
        <w:t xml:space="preserve">وباغو، </w:t>
      </w:r>
      <w:r>
        <w:rPr>
          <w:rFonts w:hint="cs"/>
          <w:rtl/>
          <w:lang w:val="en-GB"/>
        </w:rPr>
        <w:t xml:space="preserve">وسيراليون، فضلاً عن </w:t>
      </w:r>
      <w:r w:rsidRPr="00100D11">
        <w:rPr>
          <w:rtl/>
          <w:lang w:val="en-GB"/>
        </w:rPr>
        <w:t xml:space="preserve">أعضاء قطاعات الاتحاد، مثل </w:t>
      </w:r>
      <w:r>
        <w:rPr>
          <w:rFonts w:hint="cs"/>
          <w:rtl/>
          <w:lang w:val="en-GB"/>
        </w:rPr>
        <w:t xml:space="preserve">الاتحاد الكاريبي للاتصالات </w:t>
      </w:r>
      <w:r w:rsidR="007207D5">
        <w:rPr>
          <w:lang w:val="en-GB"/>
        </w:rPr>
        <w:t>(</w:t>
      </w:r>
      <w:r>
        <w:rPr>
          <w:lang w:val="en-GB"/>
        </w:rPr>
        <w:t>CTU</w:t>
      </w:r>
      <w:r w:rsidR="007207D5">
        <w:rPr>
          <w:lang w:val="en-GB"/>
        </w:rPr>
        <w:t>)</w:t>
      </w:r>
      <w:r>
        <w:rPr>
          <w:rFonts w:hint="cs"/>
          <w:rtl/>
          <w:lang w:val="en-GB"/>
        </w:rPr>
        <w:t xml:space="preserve"> ومايكروسوفت.</w:t>
      </w:r>
    </w:p>
    <w:p w14:paraId="19AAECB8" w14:textId="7F775330" w:rsidR="00F608E7" w:rsidRDefault="00F608E7" w:rsidP="007207D5">
      <w:pPr>
        <w:rPr>
          <w:rtl/>
          <w:lang w:val="en-GB" w:bidi="ar-EG"/>
        </w:rPr>
      </w:pPr>
      <w:r>
        <w:rPr>
          <w:rFonts w:hint="cs"/>
          <w:rtl/>
          <w:lang w:val="en-GB"/>
        </w:rPr>
        <w:t>وبالإ</w:t>
      </w:r>
      <w:r w:rsidRPr="00F608E7">
        <w:rPr>
          <w:rtl/>
          <w:lang w:val="en-GB"/>
        </w:rPr>
        <w:t xml:space="preserve">ضافة إلى ذلك، تجري محادثات بشأن </w:t>
      </w:r>
      <w:r>
        <w:rPr>
          <w:lang w:val="en-GB"/>
        </w:rPr>
        <w:t>13</w:t>
      </w:r>
      <w:r w:rsidRPr="00F608E7">
        <w:rPr>
          <w:rtl/>
          <w:lang w:val="en-GB"/>
        </w:rPr>
        <w:t xml:space="preserve"> مشروعاً آخر من المتوقع توقيعها خلال </w:t>
      </w:r>
      <w:r>
        <w:rPr>
          <w:rFonts w:hint="cs"/>
          <w:rtl/>
          <w:lang w:val="en-GB"/>
        </w:rPr>
        <w:t xml:space="preserve">الأشهر المتبقية من عام </w:t>
      </w:r>
      <w:r>
        <w:rPr>
          <w:lang w:val="en-GB"/>
        </w:rPr>
        <w:t>2021</w:t>
      </w:r>
      <w:r w:rsidRPr="00F608E7">
        <w:rPr>
          <w:rtl/>
          <w:lang w:val="en-GB"/>
        </w:rPr>
        <w:t xml:space="preserve"> </w:t>
      </w:r>
      <w:r w:rsidR="00676AF2">
        <w:rPr>
          <w:rFonts w:hint="cs"/>
          <w:rtl/>
          <w:lang w:val="en-GB"/>
        </w:rPr>
        <w:t xml:space="preserve">تبلغ </w:t>
      </w:r>
      <w:r>
        <w:rPr>
          <w:rFonts w:hint="cs"/>
          <w:rtl/>
          <w:lang w:val="en-GB"/>
        </w:rPr>
        <w:t>قيم</w:t>
      </w:r>
      <w:r w:rsidR="00676AF2">
        <w:rPr>
          <w:rFonts w:hint="cs"/>
          <w:rtl/>
          <w:lang w:val="en-GB"/>
        </w:rPr>
        <w:t>تها</w:t>
      </w:r>
      <w:r w:rsidRPr="00F608E7">
        <w:rPr>
          <w:rtl/>
          <w:lang w:val="en-GB"/>
        </w:rPr>
        <w:t xml:space="preserve"> </w:t>
      </w:r>
      <w:r>
        <w:rPr>
          <w:lang w:val="en-GB"/>
        </w:rPr>
        <w:t>4,9</w:t>
      </w:r>
      <w:r w:rsidRPr="00F608E7">
        <w:rPr>
          <w:rtl/>
          <w:lang w:val="en-GB"/>
        </w:rPr>
        <w:t xml:space="preserve"> </w:t>
      </w:r>
      <w:r>
        <w:rPr>
          <w:rFonts w:hint="cs"/>
          <w:rtl/>
          <w:lang w:val="en-GB"/>
        </w:rPr>
        <w:t>ملايين فرنك سويسري.</w:t>
      </w:r>
      <w:r w:rsidRPr="00F608E7">
        <w:rPr>
          <w:rtl/>
          <w:lang w:val="en-GB"/>
        </w:rPr>
        <w:t xml:space="preserve"> وتشمل المشاريع الموقعة في هذه الفترة ما يلي:</w:t>
      </w:r>
    </w:p>
    <w:p w14:paraId="6993EE6E" w14:textId="7B0902BD" w:rsidR="00AD13B3" w:rsidRPr="007207D5" w:rsidRDefault="00AD13B3" w:rsidP="007207D5">
      <w:pPr>
        <w:pStyle w:val="enumlev1"/>
        <w:rPr>
          <w:rtl/>
        </w:rPr>
      </w:pPr>
      <w:r w:rsidRPr="007207D5">
        <w:rPr>
          <w:rFonts w:hint="cs"/>
          <w:rtl/>
        </w:rPr>
        <w:t>-</w:t>
      </w:r>
      <w:r w:rsidRPr="007207D5">
        <w:rPr>
          <w:rtl/>
        </w:rPr>
        <w:tab/>
      </w:r>
      <w:r w:rsidR="00330F39" w:rsidRPr="007207D5">
        <w:rPr>
          <w:rFonts w:hint="cs"/>
          <w:rtl/>
        </w:rPr>
        <w:t xml:space="preserve">"مجموعة </w:t>
      </w:r>
      <w:r w:rsidR="00E10B9A" w:rsidRPr="007207D5">
        <w:rPr>
          <w:rFonts w:hint="cs"/>
          <w:rtl/>
        </w:rPr>
        <w:t>أدوات البحار الذكية</w:t>
      </w:r>
      <w:r w:rsidR="00FE1BA4">
        <w:rPr>
          <w:rFonts w:hint="cs"/>
          <w:rtl/>
        </w:rPr>
        <w:t xml:space="preserve"> </w:t>
      </w:r>
      <w:r w:rsidR="00FE1BA4">
        <w:t>(SST)</w:t>
      </w:r>
      <w:r w:rsidR="00676AF2" w:rsidRPr="007207D5">
        <w:rPr>
          <w:rFonts w:hint="cs"/>
          <w:rtl/>
        </w:rPr>
        <w:t xml:space="preserve"> لمقاومة الكوارث"، وهي مشروع </w:t>
      </w:r>
      <w:r w:rsidR="00687885" w:rsidRPr="007207D5">
        <w:rPr>
          <w:rFonts w:hint="cs"/>
          <w:rtl/>
        </w:rPr>
        <w:t>و</w:t>
      </w:r>
      <w:r w:rsidR="00341C66" w:rsidRPr="007207D5">
        <w:rPr>
          <w:rFonts w:hint="cs"/>
          <w:rtl/>
        </w:rPr>
        <w:t>ُ</w:t>
      </w:r>
      <w:r w:rsidR="00687885" w:rsidRPr="007207D5">
        <w:rPr>
          <w:rFonts w:hint="cs"/>
          <w:rtl/>
        </w:rPr>
        <w:t>قّع</w:t>
      </w:r>
      <w:r w:rsidR="00676AF2" w:rsidRPr="007207D5">
        <w:rPr>
          <w:rFonts w:hint="cs"/>
          <w:rtl/>
        </w:rPr>
        <w:t xml:space="preserve"> مع هيئة الاتصالات في ترينيداد وتوباغو</w:t>
      </w:r>
      <w:r w:rsidR="00FE1BA4">
        <w:rPr>
          <w:rFonts w:hint="eastAsia"/>
          <w:rtl/>
        </w:rPr>
        <w:t> </w:t>
      </w:r>
      <w:r w:rsidR="007207D5">
        <w:t>(</w:t>
      </w:r>
      <w:r w:rsidR="00676AF2" w:rsidRPr="007207D5">
        <w:t>TATT</w:t>
      </w:r>
      <w:r w:rsidR="007207D5">
        <w:t>)</w:t>
      </w:r>
      <w:r w:rsidR="00676AF2" w:rsidRPr="007207D5">
        <w:rPr>
          <w:rFonts w:hint="cs"/>
          <w:rtl/>
        </w:rPr>
        <w:t xml:space="preserve"> والاتحاد الكاريبي للاتصالات </w:t>
      </w:r>
      <w:r w:rsidR="007207D5">
        <w:t>(</w:t>
      </w:r>
      <w:r w:rsidR="00676AF2" w:rsidRPr="007207D5">
        <w:t>CTU</w:t>
      </w:r>
      <w:r w:rsidR="007207D5">
        <w:t>)</w:t>
      </w:r>
      <w:r w:rsidR="00676AF2" w:rsidRPr="007207D5">
        <w:rPr>
          <w:rFonts w:hint="cs"/>
          <w:rtl/>
        </w:rPr>
        <w:t>؛</w:t>
      </w:r>
    </w:p>
    <w:p w14:paraId="1CCC7EDA" w14:textId="1435E234" w:rsidR="00AD13B3" w:rsidRPr="007207D5" w:rsidRDefault="00AD13B3" w:rsidP="007207D5">
      <w:pPr>
        <w:pStyle w:val="enumlev1"/>
        <w:rPr>
          <w:rtl/>
        </w:rPr>
      </w:pPr>
      <w:r w:rsidRPr="007207D5">
        <w:rPr>
          <w:rFonts w:hint="cs"/>
          <w:rtl/>
        </w:rPr>
        <w:lastRenderedPageBreak/>
        <w:t>-</w:t>
      </w:r>
      <w:r w:rsidRPr="007207D5">
        <w:rPr>
          <w:rtl/>
        </w:rPr>
        <w:tab/>
      </w:r>
      <w:r w:rsidR="00687885" w:rsidRPr="007207D5">
        <w:rPr>
          <w:rFonts w:hint="cs"/>
          <w:rtl/>
        </w:rPr>
        <w:t xml:space="preserve">مشروع "تعزيز وضع معايير وأطر </w:t>
      </w:r>
      <w:r w:rsidR="00341C66" w:rsidRPr="007207D5">
        <w:rPr>
          <w:rFonts w:hint="cs"/>
          <w:rtl/>
        </w:rPr>
        <w:t>ل</w:t>
      </w:r>
      <w:r w:rsidR="00687885" w:rsidRPr="007207D5">
        <w:rPr>
          <w:rFonts w:hint="cs"/>
          <w:rtl/>
        </w:rPr>
        <w:t>لتكنولوجيات الحيوية في جنوب شرق آسيا"، وهو مبادرة جديدة و</w:t>
      </w:r>
      <w:r w:rsidR="00341C66" w:rsidRPr="007207D5">
        <w:rPr>
          <w:rFonts w:hint="cs"/>
          <w:rtl/>
        </w:rPr>
        <w:t>ُ</w:t>
      </w:r>
      <w:r w:rsidR="00687885" w:rsidRPr="007207D5">
        <w:rPr>
          <w:rFonts w:hint="cs"/>
          <w:rtl/>
        </w:rPr>
        <w:t xml:space="preserve">قّعت مع وزارة الخارجية والتجارة </w:t>
      </w:r>
      <w:r w:rsidR="007207D5">
        <w:t>(</w:t>
      </w:r>
      <w:r w:rsidR="00687885" w:rsidRPr="007207D5">
        <w:t>DFAT</w:t>
      </w:r>
      <w:r w:rsidR="007207D5">
        <w:t>)</w:t>
      </w:r>
      <w:r w:rsidR="00687885" w:rsidRPr="007207D5">
        <w:rPr>
          <w:rFonts w:hint="cs"/>
          <w:rtl/>
        </w:rPr>
        <w:t xml:space="preserve"> في أستراليا</w:t>
      </w:r>
      <w:r w:rsidR="007207D5">
        <w:rPr>
          <w:rFonts w:hint="cs"/>
          <w:rtl/>
        </w:rPr>
        <w:t>؛</w:t>
      </w:r>
    </w:p>
    <w:p w14:paraId="18D7DCBB" w14:textId="72339118" w:rsidR="00AD13B3" w:rsidRPr="007207D5" w:rsidRDefault="00AD13B3" w:rsidP="007207D5">
      <w:pPr>
        <w:pStyle w:val="enumlev1"/>
        <w:rPr>
          <w:rtl/>
        </w:rPr>
      </w:pPr>
      <w:r w:rsidRPr="007207D5">
        <w:rPr>
          <w:rFonts w:hint="cs"/>
          <w:rtl/>
        </w:rPr>
        <w:t>-</w:t>
      </w:r>
      <w:r w:rsidRPr="007207D5">
        <w:rPr>
          <w:rtl/>
        </w:rPr>
        <w:tab/>
      </w:r>
      <w:r w:rsidR="00687885" w:rsidRPr="007207D5">
        <w:rPr>
          <w:rFonts w:hint="cs"/>
          <w:rtl/>
        </w:rPr>
        <w:t>مشروع "قياس أداء تكنولوجيا المعلومات والاتصالات في إفريقيا الوسطى" وهو مبادر</w:t>
      </w:r>
      <w:r w:rsidR="00687885" w:rsidRPr="007207D5">
        <w:rPr>
          <w:rtl/>
        </w:rPr>
        <w:t xml:space="preserve">ة جديدة </w:t>
      </w:r>
      <w:r w:rsidR="00687885" w:rsidRPr="007207D5">
        <w:rPr>
          <w:rFonts w:hint="cs"/>
          <w:rtl/>
        </w:rPr>
        <w:t>يمولها</w:t>
      </w:r>
      <w:r w:rsidR="00687885" w:rsidRPr="007207D5">
        <w:rPr>
          <w:rtl/>
        </w:rPr>
        <w:t xml:space="preserve"> </w:t>
      </w:r>
      <w:r w:rsidR="00687885" w:rsidRPr="007207D5">
        <w:rPr>
          <w:rFonts w:hint="cs"/>
          <w:rtl/>
        </w:rPr>
        <w:t>الاتحاد الأوروبي</w:t>
      </w:r>
      <w:r w:rsidR="00687885" w:rsidRPr="007207D5">
        <w:rPr>
          <w:rtl/>
        </w:rPr>
        <w:t xml:space="preserve"> والاتحاد الدولي للاتصالات من خلال صندوق تنمية تكنولوجيا المعلومات والاتصالات؛</w:t>
      </w:r>
    </w:p>
    <w:p w14:paraId="526869AC" w14:textId="14D6548B" w:rsidR="00AD13B3" w:rsidRPr="007207D5" w:rsidRDefault="00AD13B3" w:rsidP="007207D5">
      <w:pPr>
        <w:pStyle w:val="enumlev1"/>
        <w:rPr>
          <w:rtl/>
        </w:rPr>
      </w:pPr>
      <w:r w:rsidRPr="007207D5">
        <w:rPr>
          <w:rFonts w:hint="cs"/>
          <w:rtl/>
        </w:rPr>
        <w:t>-</w:t>
      </w:r>
      <w:r w:rsidRPr="007207D5">
        <w:rPr>
          <w:rtl/>
        </w:rPr>
        <w:tab/>
      </w:r>
      <w:r w:rsidR="00341C66" w:rsidRPr="007207D5">
        <w:rPr>
          <w:rFonts w:hint="cs"/>
          <w:rtl/>
        </w:rPr>
        <w:t xml:space="preserve">مشروع "إطار نمذجة التكاليف والتسعير في سيراليون"، وُقّع مع اللجنة الوطنية للاتصالات في سيراليون </w:t>
      </w:r>
      <w:r w:rsidR="007207D5">
        <w:t>(</w:t>
      </w:r>
      <w:r w:rsidR="00341C66" w:rsidRPr="007207D5">
        <w:t>NATCOM</w:t>
      </w:r>
      <w:r w:rsidR="007207D5">
        <w:t>)</w:t>
      </w:r>
      <w:r w:rsidR="00341C66" w:rsidRPr="007207D5">
        <w:rPr>
          <w:rFonts w:hint="cs"/>
          <w:rtl/>
        </w:rPr>
        <w:t>؛</w:t>
      </w:r>
    </w:p>
    <w:p w14:paraId="6BA0B3F8" w14:textId="7D76024D" w:rsidR="00AD13B3" w:rsidRPr="007207D5" w:rsidRDefault="00AD13B3" w:rsidP="007207D5">
      <w:pPr>
        <w:pStyle w:val="enumlev1"/>
        <w:rPr>
          <w:rtl/>
        </w:rPr>
      </w:pPr>
      <w:r w:rsidRPr="007207D5">
        <w:rPr>
          <w:rFonts w:hint="cs"/>
          <w:rtl/>
        </w:rPr>
        <w:t>-</w:t>
      </w:r>
      <w:r w:rsidRPr="007207D5">
        <w:rPr>
          <w:rtl/>
        </w:rPr>
        <w:tab/>
      </w:r>
      <w:r w:rsidR="00ED28DD" w:rsidRPr="007207D5">
        <w:rPr>
          <w:rFonts w:hint="cs"/>
          <w:rtl/>
        </w:rPr>
        <w:t>مشروع "</w:t>
      </w:r>
      <w:r w:rsidR="00ED28DD" w:rsidRPr="007207D5">
        <w:t xml:space="preserve">Desarrollo de los </w:t>
      </w:r>
      <w:proofErr w:type="spellStart"/>
      <w:r w:rsidR="00ED28DD" w:rsidRPr="007207D5">
        <w:t>estudios</w:t>
      </w:r>
      <w:proofErr w:type="spellEnd"/>
      <w:r w:rsidR="00ED28DD" w:rsidRPr="007207D5">
        <w:t xml:space="preserve"> </w:t>
      </w:r>
      <w:proofErr w:type="spellStart"/>
      <w:r w:rsidR="00ED28DD" w:rsidRPr="007207D5">
        <w:t>económicos</w:t>
      </w:r>
      <w:proofErr w:type="spellEnd"/>
      <w:r w:rsidR="00ED28DD" w:rsidRPr="007207D5">
        <w:t xml:space="preserve"> y </w:t>
      </w:r>
      <w:proofErr w:type="spellStart"/>
      <w:r w:rsidR="00ED28DD" w:rsidRPr="007207D5">
        <w:t>técnicos</w:t>
      </w:r>
      <w:proofErr w:type="spellEnd"/>
      <w:r w:rsidR="00ED28DD" w:rsidRPr="007207D5">
        <w:t xml:space="preserve"> que le </w:t>
      </w:r>
      <w:proofErr w:type="spellStart"/>
      <w:r w:rsidR="00ED28DD" w:rsidRPr="007207D5">
        <w:t>permitan</w:t>
      </w:r>
      <w:proofErr w:type="spellEnd"/>
      <w:r w:rsidR="00ED28DD" w:rsidRPr="007207D5">
        <w:t xml:space="preserve"> a la ANE formular </w:t>
      </w:r>
      <w:proofErr w:type="spellStart"/>
      <w:r w:rsidR="00ED28DD" w:rsidRPr="007207D5">
        <w:t>recomendaciones</w:t>
      </w:r>
      <w:proofErr w:type="spellEnd"/>
      <w:r w:rsidR="00ED28DD" w:rsidRPr="007207D5">
        <w:t xml:space="preserve"> al </w:t>
      </w:r>
      <w:proofErr w:type="spellStart"/>
      <w:r w:rsidR="00ED28DD" w:rsidRPr="007207D5">
        <w:t>MinTIC</w:t>
      </w:r>
      <w:proofErr w:type="spellEnd"/>
      <w:r w:rsidR="00ED28DD" w:rsidRPr="007207D5">
        <w:t xml:space="preserve"> para la </w:t>
      </w:r>
      <w:proofErr w:type="spellStart"/>
      <w:r w:rsidR="00ED28DD" w:rsidRPr="007207D5">
        <w:t>definición</w:t>
      </w:r>
      <w:proofErr w:type="spellEnd"/>
      <w:r w:rsidR="00ED28DD" w:rsidRPr="007207D5">
        <w:t xml:space="preserve"> y </w:t>
      </w:r>
      <w:proofErr w:type="spellStart"/>
      <w:r w:rsidR="00ED28DD" w:rsidRPr="007207D5">
        <w:t>adopción</w:t>
      </w:r>
      <w:proofErr w:type="spellEnd"/>
      <w:r w:rsidR="00ED28DD" w:rsidRPr="007207D5">
        <w:t xml:space="preserve"> de la </w:t>
      </w:r>
      <w:proofErr w:type="spellStart"/>
      <w:r w:rsidR="00ED28DD" w:rsidRPr="007207D5">
        <w:t>política</w:t>
      </w:r>
      <w:proofErr w:type="spellEnd"/>
      <w:r w:rsidR="00ED28DD" w:rsidRPr="007207D5">
        <w:t xml:space="preserve"> </w:t>
      </w:r>
      <w:proofErr w:type="spellStart"/>
      <w:r w:rsidR="00ED28DD" w:rsidRPr="007207D5">
        <w:t>nacional</w:t>
      </w:r>
      <w:proofErr w:type="spellEnd"/>
      <w:r w:rsidR="00ED28DD" w:rsidRPr="007207D5">
        <w:t xml:space="preserve"> </w:t>
      </w:r>
      <w:proofErr w:type="spellStart"/>
      <w:r w:rsidR="00ED28DD" w:rsidRPr="007207D5">
        <w:t>sobre</w:t>
      </w:r>
      <w:proofErr w:type="spellEnd"/>
      <w:r w:rsidR="00ED28DD" w:rsidRPr="007207D5">
        <w:t xml:space="preserve"> </w:t>
      </w:r>
      <w:proofErr w:type="spellStart"/>
      <w:r w:rsidR="00ED28DD" w:rsidRPr="007207D5">
        <w:t>el</w:t>
      </w:r>
      <w:proofErr w:type="spellEnd"/>
      <w:r w:rsidR="00ED28DD" w:rsidRPr="007207D5">
        <w:t xml:space="preserve"> </w:t>
      </w:r>
      <w:proofErr w:type="spellStart"/>
      <w:r w:rsidR="00ED28DD" w:rsidRPr="007207D5">
        <w:t>servicio</w:t>
      </w:r>
      <w:proofErr w:type="spellEnd"/>
      <w:r w:rsidR="00ED28DD" w:rsidRPr="007207D5">
        <w:t xml:space="preserve"> de </w:t>
      </w:r>
      <w:proofErr w:type="spellStart"/>
      <w:r w:rsidR="00ED28DD" w:rsidRPr="007207D5">
        <w:t>radiodifusión</w:t>
      </w:r>
      <w:proofErr w:type="spellEnd"/>
      <w:r w:rsidR="00ED28DD" w:rsidRPr="007207D5">
        <w:rPr>
          <w:rFonts w:hint="cs"/>
          <w:rtl/>
        </w:rPr>
        <w:t>" وُقّع مع وزارة تكنولوجيا المعلومات والاتصالات في كولومبيا؛</w:t>
      </w:r>
    </w:p>
    <w:p w14:paraId="2CADC1A7" w14:textId="6EB6AEE9" w:rsidR="00AD13B3" w:rsidRPr="007207D5" w:rsidRDefault="00AD13B3" w:rsidP="007207D5">
      <w:pPr>
        <w:pStyle w:val="enumlev1"/>
        <w:rPr>
          <w:rtl/>
        </w:rPr>
      </w:pPr>
      <w:r w:rsidRPr="007207D5">
        <w:rPr>
          <w:rFonts w:hint="cs"/>
          <w:rtl/>
        </w:rPr>
        <w:t>-</w:t>
      </w:r>
      <w:r w:rsidRPr="007207D5">
        <w:rPr>
          <w:rtl/>
        </w:rPr>
        <w:tab/>
      </w:r>
      <w:r w:rsidR="00ED28DD" w:rsidRPr="007207D5">
        <w:rPr>
          <w:rFonts w:hint="cs"/>
          <w:rtl/>
        </w:rPr>
        <w:t xml:space="preserve">المرحلة الثانية من "مشروع </w:t>
      </w:r>
      <w:r w:rsidR="00ED28DD" w:rsidRPr="007207D5">
        <w:t>GIGA</w:t>
      </w:r>
      <w:r w:rsidR="00ED28DD" w:rsidRPr="007207D5">
        <w:rPr>
          <w:rFonts w:hint="cs"/>
          <w:rtl/>
        </w:rPr>
        <w:t>"، وُقّع مع اليونيسف؛</w:t>
      </w:r>
    </w:p>
    <w:p w14:paraId="4D1C5832" w14:textId="64F7F358" w:rsidR="00AD13B3" w:rsidRPr="007207D5" w:rsidRDefault="00AD13B3" w:rsidP="007207D5">
      <w:pPr>
        <w:pStyle w:val="enumlev1"/>
        <w:rPr>
          <w:rtl/>
        </w:rPr>
      </w:pPr>
      <w:r w:rsidRPr="007207D5">
        <w:rPr>
          <w:rFonts w:hint="cs"/>
          <w:rtl/>
        </w:rPr>
        <w:t xml:space="preserve"> -</w:t>
      </w:r>
      <w:r w:rsidRPr="007207D5">
        <w:rPr>
          <w:rtl/>
        </w:rPr>
        <w:tab/>
      </w:r>
      <w:r w:rsidR="00ED28DD" w:rsidRPr="007207D5">
        <w:rPr>
          <w:rFonts w:hint="cs"/>
          <w:rtl/>
        </w:rPr>
        <w:t>مشروع "تسريع التحول الرقمي في إفريقيا من خلال التوصيلية"، وُقّع مع مايكروسوفت؛</w:t>
      </w:r>
    </w:p>
    <w:p w14:paraId="3D37BC23" w14:textId="775F2745" w:rsidR="00AD13B3" w:rsidRPr="007207D5" w:rsidRDefault="00AD13B3" w:rsidP="007207D5">
      <w:pPr>
        <w:pStyle w:val="enumlev1"/>
        <w:rPr>
          <w:rtl/>
        </w:rPr>
      </w:pPr>
      <w:r w:rsidRPr="007207D5">
        <w:rPr>
          <w:rFonts w:hint="cs"/>
          <w:rtl/>
        </w:rPr>
        <w:t xml:space="preserve"> -</w:t>
      </w:r>
      <w:r w:rsidRPr="007207D5">
        <w:rPr>
          <w:rtl/>
        </w:rPr>
        <w:tab/>
      </w:r>
      <w:r w:rsidR="001D30CC" w:rsidRPr="007207D5">
        <w:rPr>
          <w:rFonts w:hint="cs"/>
          <w:rtl/>
        </w:rPr>
        <w:t xml:space="preserve">مشروع "تعزيز السياسات والتنظيم </w:t>
      </w:r>
      <w:r w:rsidR="00E10D9F" w:rsidRPr="007207D5">
        <w:rPr>
          <w:rFonts w:hint="cs"/>
          <w:rtl/>
        </w:rPr>
        <w:t xml:space="preserve">من أجل </w:t>
      </w:r>
      <w:r w:rsidR="001D30CC" w:rsidRPr="007207D5">
        <w:rPr>
          <w:rFonts w:hint="cs"/>
          <w:rtl/>
        </w:rPr>
        <w:t>أقل البلدان نمواً"، وُقّع مع مكتب المملكة المتحدة للشؤون الخارجية و</w:t>
      </w:r>
      <w:r w:rsidR="00E10D9F" w:rsidRPr="007207D5">
        <w:rPr>
          <w:rFonts w:hint="cs"/>
          <w:rtl/>
        </w:rPr>
        <w:t xml:space="preserve">شؤون </w:t>
      </w:r>
      <w:r w:rsidR="001D30CC" w:rsidRPr="007207D5">
        <w:rPr>
          <w:rFonts w:hint="cs"/>
          <w:rtl/>
        </w:rPr>
        <w:t>الكومنولث والتنمية</w:t>
      </w:r>
      <w:r w:rsidR="00E10D9F" w:rsidRPr="007207D5">
        <w:rPr>
          <w:rFonts w:hint="cs"/>
          <w:rtl/>
        </w:rPr>
        <w:t xml:space="preserve"> </w:t>
      </w:r>
      <w:r w:rsidR="007207D5">
        <w:t>(</w:t>
      </w:r>
      <w:r w:rsidR="00E10D9F" w:rsidRPr="007207D5">
        <w:t>FCDO</w:t>
      </w:r>
      <w:r w:rsidR="007207D5">
        <w:t>)</w:t>
      </w:r>
      <w:r w:rsidR="001D30CC" w:rsidRPr="007207D5">
        <w:rPr>
          <w:rFonts w:hint="cs"/>
          <w:rtl/>
        </w:rPr>
        <w:t>.</w:t>
      </w:r>
    </w:p>
    <w:p w14:paraId="04BFFB15" w14:textId="4CA8B874" w:rsidR="00913B5A" w:rsidRDefault="00E10D9F" w:rsidP="00913B5A">
      <w:pPr>
        <w:rPr>
          <w:lang w:bidi="ar-EG"/>
        </w:rPr>
      </w:pPr>
      <w:r>
        <w:rPr>
          <w:rFonts w:hint="cs"/>
          <w:rtl/>
        </w:rPr>
        <w:t>وتبين</w:t>
      </w:r>
      <w:r w:rsidR="00913B5A">
        <w:rPr>
          <w:rFonts w:hint="cs"/>
          <w:rtl/>
          <w:lang w:bidi="ar-EG"/>
        </w:rPr>
        <w:t xml:space="preserve"> هذه المشاريع وغيرها من مشاريع الاتحاد أن الاتحاد</w:t>
      </w:r>
      <w:r>
        <w:rPr>
          <w:rFonts w:hint="cs"/>
          <w:rtl/>
          <w:lang w:bidi="ar-EG"/>
        </w:rPr>
        <w:t xml:space="preserve"> من خلال عمله</w:t>
      </w:r>
      <w:r w:rsidR="00913B5A">
        <w:rPr>
          <w:rFonts w:hint="cs"/>
          <w:rtl/>
          <w:lang w:bidi="ar-EG"/>
        </w:rPr>
        <w:t xml:space="preserve"> في إطار شراكات</w:t>
      </w:r>
      <w:r>
        <w:rPr>
          <w:rFonts w:hint="cs"/>
          <w:rtl/>
          <w:lang w:bidi="ar-EG"/>
        </w:rPr>
        <w:t>،</w:t>
      </w:r>
      <w:r w:rsidR="00913B5A">
        <w:rPr>
          <w:rFonts w:hint="cs"/>
          <w:rtl/>
          <w:lang w:bidi="ar-EG"/>
        </w:rPr>
        <w:t xml:space="preserve"> </w:t>
      </w:r>
      <w:r>
        <w:rPr>
          <w:rFonts w:hint="cs"/>
          <w:rtl/>
          <w:lang w:bidi="ar-EG"/>
        </w:rPr>
        <w:t>يمكنه</w:t>
      </w:r>
      <w:r w:rsidR="00913B5A">
        <w:rPr>
          <w:rFonts w:hint="cs"/>
          <w:rtl/>
          <w:lang w:bidi="ar-EG"/>
        </w:rPr>
        <w:t xml:space="preserve"> زيادة </w:t>
      </w:r>
      <w:r>
        <w:rPr>
          <w:rFonts w:hint="cs"/>
          <w:rtl/>
          <w:lang w:bidi="ar-EG"/>
        </w:rPr>
        <w:t>التأثير والدعم لأعضائه</w:t>
      </w:r>
      <w:r w:rsidR="00913B5A">
        <w:rPr>
          <w:rFonts w:hint="cs"/>
          <w:rtl/>
          <w:lang w:bidi="ar-EG"/>
        </w:rPr>
        <w:t xml:space="preserve"> في دفع عجلة التنمية الرقمية. ويمكن الاطلاع على قائمة الاتفاقات</w:t>
      </w:r>
      <w:r>
        <w:rPr>
          <w:rFonts w:hint="cs"/>
          <w:rtl/>
          <w:lang w:bidi="ar-EG"/>
        </w:rPr>
        <w:t xml:space="preserve"> ذات الصلة</w:t>
      </w:r>
      <w:r w:rsidR="00913B5A">
        <w:rPr>
          <w:rFonts w:hint="cs"/>
          <w:rtl/>
          <w:lang w:bidi="ar-EG"/>
        </w:rPr>
        <w:t xml:space="preserve"> في </w:t>
      </w:r>
      <w:hyperlink r:id="rId10" w:history="1">
        <w:r w:rsidR="00913B5A" w:rsidRPr="008129CB">
          <w:rPr>
            <w:rStyle w:val="Hyperlink"/>
            <w:rFonts w:hint="cs"/>
            <w:rtl/>
            <w:lang w:bidi="ar-EG"/>
          </w:rPr>
          <w:t xml:space="preserve">الوثيقة </w:t>
        </w:r>
        <w:r w:rsidR="00913B5A" w:rsidRPr="008129CB">
          <w:rPr>
            <w:rStyle w:val="Hyperlink"/>
          </w:rPr>
          <w:t>INF/2</w:t>
        </w:r>
      </w:hyperlink>
      <w:r w:rsidR="00913B5A">
        <w:rPr>
          <w:rFonts w:hint="cs"/>
          <w:rtl/>
          <w:lang w:bidi="ar-EG"/>
        </w:rPr>
        <w:t>.</w:t>
      </w:r>
    </w:p>
    <w:p w14:paraId="1C26CC46" w14:textId="77777777" w:rsidR="00913B5A" w:rsidRPr="007207D5" w:rsidRDefault="00913B5A" w:rsidP="007207D5">
      <w:pPr>
        <w:pStyle w:val="Heading1"/>
        <w:rPr>
          <w:rtl/>
        </w:rPr>
      </w:pPr>
      <w:r w:rsidRPr="007207D5">
        <w:t>3</w:t>
      </w:r>
      <w:r w:rsidRPr="007207D5">
        <w:rPr>
          <w:rtl/>
        </w:rPr>
        <w:tab/>
      </w:r>
      <w:r w:rsidRPr="007207D5">
        <w:rPr>
          <w:rFonts w:hint="cs"/>
          <w:rtl/>
        </w:rPr>
        <w:t>مصادر تمويل مشاريع الاتحاد الجاري تنفيذها</w:t>
      </w:r>
    </w:p>
    <w:p w14:paraId="6F64AE90" w14:textId="6704B6AE" w:rsidR="00913B5A" w:rsidRDefault="00913B5A" w:rsidP="007207D5">
      <w:pPr>
        <w:rPr>
          <w:rtl/>
          <w:lang w:bidi="ar-EG"/>
        </w:rPr>
      </w:pPr>
      <w:r>
        <w:rPr>
          <w:rFonts w:hint="cs"/>
          <w:rtl/>
          <w:lang w:bidi="ar-EG"/>
        </w:rPr>
        <w:t xml:space="preserve">تموَّل معظم مشاريع الاتحاد </w:t>
      </w:r>
      <w:r w:rsidR="00865B93">
        <w:rPr>
          <w:rFonts w:hint="cs"/>
          <w:rtl/>
        </w:rPr>
        <w:t xml:space="preserve">من </w:t>
      </w:r>
      <w:r w:rsidR="008A572F">
        <w:rPr>
          <w:rFonts w:hint="cs"/>
          <w:rtl/>
          <w:lang w:bidi="ar-EG"/>
        </w:rPr>
        <w:t>موارد</w:t>
      </w:r>
      <w:r w:rsidR="00865B93">
        <w:rPr>
          <w:rFonts w:hint="cs"/>
          <w:rtl/>
          <w:lang w:bidi="ar-EG"/>
        </w:rPr>
        <w:t xml:space="preserve"> من</w:t>
      </w:r>
      <w:r>
        <w:rPr>
          <w:rFonts w:hint="cs"/>
          <w:rtl/>
          <w:lang w:bidi="ar-EG"/>
        </w:rPr>
        <w:t xml:space="preserve"> خارج الميزانية. و</w:t>
      </w:r>
      <w:r w:rsidR="00FD727B">
        <w:rPr>
          <w:rFonts w:hint="cs"/>
          <w:rtl/>
          <w:lang w:bidi="ar-EG"/>
        </w:rPr>
        <w:t xml:space="preserve">مشاريع مكتب تنمية الاتصالات لديها أساساً أربعة أنواع من </w:t>
      </w:r>
      <w:r>
        <w:rPr>
          <w:rFonts w:hint="cs"/>
          <w:rtl/>
          <w:lang w:bidi="ar-EG"/>
        </w:rPr>
        <w:t xml:space="preserve">مصادر </w:t>
      </w:r>
      <w:r w:rsidR="00FD727B">
        <w:rPr>
          <w:rFonts w:hint="cs"/>
          <w:rtl/>
          <w:lang w:bidi="ar-EG"/>
        </w:rPr>
        <w:t>ال</w:t>
      </w:r>
      <w:r>
        <w:rPr>
          <w:rFonts w:hint="cs"/>
          <w:rtl/>
          <w:lang w:bidi="ar-EG"/>
        </w:rPr>
        <w:t>تمويل هي</w:t>
      </w:r>
      <w:r>
        <w:rPr>
          <w:rtl/>
          <w:lang w:bidi="ar-EG"/>
        </w:rPr>
        <w:t>: الصناديق الاستئمانية </w:t>
      </w:r>
      <w:r w:rsidR="007207D5">
        <w:rPr>
          <w:lang w:bidi="ar-EG"/>
        </w:rPr>
        <w:t>(</w:t>
      </w:r>
      <w:r>
        <w:rPr>
          <w:lang w:bidi="ar-EG"/>
        </w:rPr>
        <w:t>FIT</w:t>
      </w:r>
      <w:r w:rsidR="007207D5">
        <w:rPr>
          <w:lang w:bidi="ar-EG"/>
        </w:rPr>
        <w:t>)</w:t>
      </w:r>
      <w:r>
        <w:rPr>
          <w:rtl/>
          <w:lang w:bidi="ar-EG"/>
        </w:rPr>
        <w:t xml:space="preserve"> وصندوق تنمية تكنولوجيا المعلومات والاتصالات</w:t>
      </w:r>
      <w:r>
        <w:rPr>
          <w:rFonts w:hint="cs"/>
          <w:rtl/>
          <w:lang w:bidi="ar-EG"/>
        </w:rPr>
        <w:t> </w:t>
      </w:r>
      <w:r w:rsidR="007207D5">
        <w:rPr>
          <w:lang w:bidi="ar-EG"/>
        </w:rPr>
        <w:t>(</w:t>
      </w:r>
      <w:r>
        <w:rPr>
          <w:lang w:bidi="ar-EG"/>
        </w:rPr>
        <w:t>ICT-DF</w:t>
      </w:r>
      <w:r w:rsidR="007207D5">
        <w:rPr>
          <w:lang w:bidi="ar-EG"/>
        </w:rPr>
        <w:t>)</w:t>
      </w:r>
      <w:r w:rsidRPr="00931DC0">
        <w:rPr>
          <w:rFonts w:hint="cs"/>
          <w:sz w:val="2"/>
          <w:szCs w:val="2"/>
          <w:rtl/>
          <w:lang w:bidi="ar-EG"/>
        </w:rPr>
        <w:t xml:space="preserve"> </w:t>
      </w:r>
      <w:r>
        <w:rPr>
          <w:rStyle w:val="FootnoteReference"/>
          <w:lang w:bidi="ar-EG"/>
        </w:rPr>
        <w:footnoteReference w:id="2"/>
      </w:r>
      <w:r>
        <w:rPr>
          <w:rtl/>
          <w:lang w:bidi="ar-EG"/>
        </w:rPr>
        <w:t xml:space="preserve"> والمساهمات الطوعية </w:t>
      </w:r>
      <w:r w:rsidRPr="00C22453">
        <w:rPr>
          <w:rtl/>
          <w:lang w:bidi="ar-EG"/>
        </w:rPr>
        <w:t xml:space="preserve">وميزانية </w:t>
      </w:r>
      <w:r>
        <w:rPr>
          <w:rFonts w:hint="cs"/>
          <w:rtl/>
          <w:lang w:bidi="ar-EG"/>
        </w:rPr>
        <w:t xml:space="preserve">الاتحاد </w:t>
      </w:r>
      <w:r w:rsidRPr="00C22453">
        <w:rPr>
          <w:rtl/>
          <w:lang w:bidi="ar-EG"/>
        </w:rPr>
        <w:t>العادية</w:t>
      </w:r>
      <w:r>
        <w:rPr>
          <w:rFonts w:hint="cs"/>
          <w:rtl/>
          <w:lang w:bidi="ar-EG"/>
        </w:rPr>
        <w:t xml:space="preserve"> (موارد الخطة التشغيلية)</w:t>
      </w:r>
      <w:r>
        <w:rPr>
          <w:rStyle w:val="FootnoteReference"/>
          <w:rtl/>
          <w:lang w:bidi="ar-EG"/>
        </w:rPr>
        <w:footnoteReference w:id="3"/>
      </w:r>
      <w:r>
        <w:rPr>
          <w:rFonts w:hint="cs"/>
          <w:rtl/>
          <w:lang w:bidi="ar-EG"/>
        </w:rPr>
        <w:t xml:space="preserve">. واستناداً إلى الميزانية الحالية لتنفيذ المشاريع حتى </w:t>
      </w:r>
      <w:r w:rsidR="008A572F">
        <w:rPr>
          <w:lang w:bidi="ar-EG"/>
        </w:rPr>
        <w:t>15</w:t>
      </w:r>
      <w:r>
        <w:rPr>
          <w:rFonts w:hint="cs"/>
          <w:rtl/>
          <w:lang w:bidi="ar-EG"/>
        </w:rPr>
        <w:t xml:space="preserve"> </w:t>
      </w:r>
      <w:r w:rsidR="008A572F">
        <w:rPr>
          <w:rFonts w:hint="cs"/>
          <w:rtl/>
          <w:lang w:bidi="ar-EG"/>
        </w:rPr>
        <w:t xml:space="preserve">سبتمبر </w:t>
      </w:r>
      <w:r>
        <w:rPr>
          <w:lang w:bidi="ar-EG"/>
        </w:rPr>
        <w:t>2021</w:t>
      </w:r>
      <w:r w:rsidRPr="00D8349B">
        <w:rPr>
          <w:rtl/>
          <w:lang w:bidi="ar-EG"/>
        </w:rPr>
        <w:t xml:space="preserve">، </w:t>
      </w:r>
      <w:r>
        <w:rPr>
          <w:rFonts w:hint="cs"/>
          <w:rtl/>
          <w:lang w:bidi="ar-EG"/>
        </w:rPr>
        <w:t xml:space="preserve">تموَّل مشاريع الاتحاد الجاري تنفيذها بنسبة </w:t>
      </w:r>
      <w:r>
        <w:rPr>
          <w:lang w:bidi="ar-EG"/>
        </w:rPr>
        <w:t>%90</w:t>
      </w:r>
      <w:r>
        <w:rPr>
          <w:rFonts w:hint="cs"/>
          <w:rtl/>
          <w:lang w:bidi="ar-EG"/>
        </w:rPr>
        <w:t xml:space="preserve"> تقريباً من </w:t>
      </w:r>
      <w:r w:rsidRPr="00D8349B">
        <w:rPr>
          <w:rtl/>
          <w:lang w:bidi="ar-EG"/>
        </w:rPr>
        <w:t>الصناديق الاستئمانية</w:t>
      </w:r>
      <w:r>
        <w:rPr>
          <w:rFonts w:hint="cs"/>
          <w:rtl/>
          <w:lang w:bidi="ar-EG"/>
        </w:rPr>
        <w:t xml:space="preserve">، </w:t>
      </w:r>
      <w:r w:rsidRPr="00D8349B">
        <w:rPr>
          <w:rtl/>
          <w:lang w:bidi="ar-EG"/>
        </w:rPr>
        <w:t>و</w:t>
      </w:r>
      <w:r>
        <w:rPr>
          <w:rFonts w:hint="cs"/>
          <w:rtl/>
          <w:lang w:bidi="ar-EG"/>
        </w:rPr>
        <w:t xml:space="preserve">بنسبة </w:t>
      </w:r>
      <w:r>
        <w:rPr>
          <w:lang w:bidi="ar-EG"/>
        </w:rPr>
        <w:t>%</w:t>
      </w:r>
      <w:r w:rsidR="008A572F">
        <w:rPr>
          <w:lang w:bidi="ar-EG"/>
        </w:rPr>
        <w:t>6</w:t>
      </w:r>
      <w:r>
        <w:rPr>
          <w:rFonts w:hint="cs"/>
          <w:rtl/>
          <w:lang w:bidi="ar-EG"/>
        </w:rPr>
        <w:t xml:space="preserve"> من</w:t>
      </w:r>
      <w:r w:rsidRPr="00D8349B">
        <w:rPr>
          <w:rtl/>
          <w:lang w:bidi="ar-EG"/>
        </w:rPr>
        <w:t xml:space="preserve"> صندوق تنمية تكنولوجيا المعلومات والاتصالات</w:t>
      </w:r>
      <w:r>
        <w:rPr>
          <w:rFonts w:hint="cs"/>
          <w:rtl/>
          <w:lang w:bidi="ar-EG"/>
        </w:rPr>
        <w:t>،</w:t>
      </w:r>
      <w:r w:rsidRPr="00D8349B">
        <w:rPr>
          <w:rtl/>
          <w:lang w:bidi="ar-EG"/>
        </w:rPr>
        <w:t xml:space="preserve"> و</w:t>
      </w:r>
      <w:r>
        <w:rPr>
          <w:rFonts w:hint="cs"/>
          <w:rtl/>
          <w:lang w:bidi="ar-EG"/>
        </w:rPr>
        <w:t xml:space="preserve">بنسبة </w:t>
      </w:r>
      <w:r>
        <w:rPr>
          <w:lang w:bidi="ar-EG"/>
        </w:rPr>
        <w:t>%5</w:t>
      </w:r>
      <w:r>
        <w:rPr>
          <w:rFonts w:hint="cs"/>
          <w:rtl/>
          <w:lang w:bidi="ar-EG"/>
        </w:rPr>
        <w:t xml:space="preserve"> من </w:t>
      </w:r>
      <w:r w:rsidR="00865B93">
        <w:rPr>
          <w:rFonts w:hint="cs"/>
          <w:rtl/>
          <w:lang w:bidi="ar-EG"/>
        </w:rPr>
        <w:t>الميزانية العادية لمكتب تنمية الاتصالات</w:t>
      </w:r>
      <w:r w:rsidRPr="00D8349B">
        <w:rPr>
          <w:rtl/>
          <w:lang w:bidi="ar-EG"/>
        </w:rPr>
        <w:t xml:space="preserve"> </w:t>
      </w:r>
      <w:r w:rsidR="00865B93">
        <w:rPr>
          <w:rFonts w:hint="cs"/>
          <w:rtl/>
          <w:lang w:bidi="ar-EG"/>
        </w:rPr>
        <w:t>(</w:t>
      </w:r>
      <w:r>
        <w:rPr>
          <w:rFonts w:hint="cs"/>
          <w:rtl/>
          <w:lang w:bidi="ar-EG"/>
        </w:rPr>
        <w:t xml:space="preserve">الخطة </w:t>
      </w:r>
      <w:r w:rsidRPr="00D8349B">
        <w:rPr>
          <w:rtl/>
          <w:lang w:bidi="ar-EG"/>
        </w:rPr>
        <w:t>التشغيلية</w:t>
      </w:r>
      <w:r w:rsidR="00865B93">
        <w:rPr>
          <w:rFonts w:hint="cs"/>
          <w:rtl/>
          <w:lang w:bidi="ar-EG"/>
        </w:rPr>
        <w:t>)</w:t>
      </w:r>
      <w:r w:rsidRPr="00D8349B">
        <w:rPr>
          <w:rtl/>
          <w:lang w:bidi="ar-EG"/>
        </w:rPr>
        <w:t xml:space="preserve"> </w:t>
      </w:r>
      <w:r>
        <w:rPr>
          <w:rFonts w:hint="cs"/>
          <w:rtl/>
          <w:lang w:bidi="ar-EG"/>
        </w:rPr>
        <w:t xml:space="preserve">(انظر الشكل </w:t>
      </w:r>
      <w:r w:rsidR="008A572F">
        <w:rPr>
          <w:lang w:bidi="ar-EG"/>
        </w:rPr>
        <w:t>2</w:t>
      </w:r>
      <w:r>
        <w:rPr>
          <w:rFonts w:hint="cs"/>
          <w:rtl/>
          <w:lang w:bidi="ar-EG"/>
        </w:rPr>
        <w:t>).</w:t>
      </w:r>
    </w:p>
    <w:p w14:paraId="1B926777" w14:textId="774EC960" w:rsidR="004A1446" w:rsidRPr="004A1446" w:rsidRDefault="00913B5A" w:rsidP="004A1446">
      <w:pPr>
        <w:pStyle w:val="Figuretitle0"/>
      </w:pPr>
      <w:r w:rsidRPr="00E165DA">
        <w:rPr>
          <w:rFonts w:hint="cs"/>
          <w:rtl/>
        </w:rPr>
        <w:lastRenderedPageBreak/>
        <w:t xml:space="preserve">الشكل </w:t>
      </w:r>
      <w:r w:rsidR="008A572F" w:rsidRPr="00E165DA">
        <w:t>2</w:t>
      </w:r>
      <w:r w:rsidRPr="00E165DA">
        <w:rPr>
          <w:rFonts w:hint="cs"/>
          <w:rtl/>
        </w:rPr>
        <w:t xml:space="preserve"> </w:t>
      </w:r>
      <w:r w:rsidRPr="00E165DA">
        <w:rPr>
          <w:rtl/>
        </w:rPr>
        <w:t>–</w:t>
      </w:r>
      <w:r w:rsidRPr="00E165DA">
        <w:rPr>
          <w:rFonts w:hint="cs"/>
          <w:rtl/>
        </w:rPr>
        <w:t xml:space="preserve"> مصادر تمويل مشاريع الاتحاد (المشاريع الجاري تنفيذها)</w:t>
      </w:r>
    </w:p>
    <w:p w14:paraId="4CFB5C24" w14:textId="71D24092" w:rsidR="004A1446" w:rsidRDefault="004A1446" w:rsidP="008A572F">
      <w:pPr>
        <w:pStyle w:val="Figure"/>
        <w:rPr>
          <w:rFonts w:asciiTheme="minorHAnsi" w:hAnsiTheme="minorHAnsi"/>
        </w:rPr>
      </w:pPr>
      <w:r>
        <w:rPr>
          <w:rFonts w:asciiTheme="minorHAnsi" w:hAnsiTheme="minorHAnsi"/>
        </w:rPr>
        <w:drawing>
          <wp:inline distT="0" distB="0" distL="0" distR="0" wp14:anchorId="303F0DF8" wp14:editId="70972779">
            <wp:extent cx="3840480" cy="20116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2011680"/>
                    </a:xfrm>
                    <a:prstGeom prst="rect">
                      <a:avLst/>
                    </a:prstGeom>
                    <a:noFill/>
                    <a:ln>
                      <a:noFill/>
                    </a:ln>
                  </pic:spPr>
                </pic:pic>
              </a:graphicData>
            </a:graphic>
          </wp:inline>
        </w:drawing>
      </w:r>
    </w:p>
    <w:p w14:paraId="2C5A6E65" w14:textId="77777777" w:rsidR="008A572F" w:rsidRPr="00E165DA" w:rsidRDefault="008A572F" w:rsidP="00E165DA">
      <w:pPr>
        <w:pStyle w:val="Heading2"/>
        <w:rPr>
          <w:spacing w:val="-2"/>
        </w:rPr>
      </w:pPr>
      <w:r w:rsidRPr="00E165DA">
        <w:rPr>
          <w:spacing w:val="-2"/>
        </w:rPr>
        <w:t>1.3</w:t>
      </w:r>
      <w:r w:rsidRPr="00E165DA">
        <w:rPr>
          <w:spacing w:val="-2"/>
          <w:rtl/>
        </w:rPr>
        <w:tab/>
      </w:r>
      <w:r w:rsidRPr="00E165DA">
        <w:rPr>
          <w:rFonts w:hint="cs"/>
          <w:spacing w:val="-2"/>
          <w:rtl/>
        </w:rPr>
        <w:t xml:space="preserve">الأموال التي خصصها المجلس لتنفيذ المبادرات الإقليمية للمؤتمر العالمي لتنمية الاتصالات لعام </w:t>
      </w:r>
      <w:r w:rsidRPr="00E165DA">
        <w:rPr>
          <w:spacing w:val="-2"/>
        </w:rPr>
        <w:t>2017</w:t>
      </w:r>
    </w:p>
    <w:p w14:paraId="54E96B42" w14:textId="713B5965" w:rsidR="00AD13B3" w:rsidRPr="00863F63" w:rsidRDefault="002F68AA" w:rsidP="00E165DA">
      <w:pPr>
        <w:rPr>
          <w:rtl/>
          <w:lang w:val="en-GB"/>
        </w:rPr>
      </w:pPr>
      <w:r>
        <w:rPr>
          <w:rFonts w:hint="cs"/>
          <w:rtl/>
          <w:lang w:bidi="ar-EG"/>
        </w:rPr>
        <w:t xml:space="preserve">واصل مكتب تنمية الاتصالات التفاوض مع الشركاء من أجل التمويل المشترك للمشاريع باستخدام الأموال التي خصصها المجلس لتنفيذ المبادرات الإقليمية للمؤتمر العالمي لتنمية الاتصالات لعام </w:t>
      </w:r>
      <w:r>
        <w:rPr>
          <w:lang w:val="en-GB" w:bidi="ar-EG"/>
        </w:rPr>
        <w:t>2017</w:t>
      </w:r>
      <w:r w:rsidR="008A572F">
        <w:rPr>
          <w:rFonts w:hint="cs"/>
          <w:rtl/>
          <w:lang w:bidi="ar-EG"/>
        </w:rPr>
        <w:t>.</w:t>
      </w:r>
      <w:r w:rsidR="008A572F">
        <w:rPr>
          <w:rStyle w:val="FootnoteReference"/>
          <w:rtl/>
          <w:lang w:bidi="ar-EG"/>
        </w:rPr>
        <w:footnoteReference w:id="4"/>
      </w:r>
      <w:r w:rsidR="008A572F">
        <w:rPr>
          <w:rFonts w:hint="cs"/>
          <w:rtl/>
          <w:lang w:bidi="ar-EG"/>
        </w:rPr>
        <w:t xml:space="preserve"> </w:t>
      </w:r>
      <w:r w:rsidR="008A572F">
        <w:rPr>
          <w:rFonts w:eastAsia="Times New Roman" w:hint="cs"/>
          <w:rtl/>
          <w:lang w:val="en-GB" w:eastAsia="en-US" w:bidi="ar-EG"/>
        </w:rPr>
        <w:t xml:space="preserve">وفي </w:t>
      </w:r>
      <w:r w:rsidR="008A572F" w:rsidRPr="008A572F">
        <w:rPr>
          <w:rFonts w:hint="cs"/>
          <w:rtl/>
          <w:lang w:bidi="ar-EG"/>
        </w:rPr>
        <w:t xml:space="preserve">تاريخ إعداد هذا التقرير، كان قد وُقع على ما مجموعه </w:t>
      </w:r>
      <w:r w:rsidR="008A572F" w:rsidRPr="008A572F">
        <w:rPr>
          <w:lang w:bidi="ar-EG"/>
        </w:rPr>
        <w:t>26</w:t>
      </w:r>
      <w:r w:rsidR="008A572F" w:rsidRPr="008A572F">
        <w:rPr>
          <w:rFonts w:hint="cs"/>
          <w:rtl/>
          <w:lang w:bidi="ar-EG"/>
        </w:rPr>
        <w:t xml:space="preserve"> مشروعاً</w:t>
      </w:r>
      <w:r w:rsidR="00863F63">
        <w:rPr>
          <w:rFonts w:hint="cs"/>
          <w:rtl/>
          <w:lang w:bidi="ar-EG"/>
        </w:rPr>
        <w:t xml:space="preserve"> بتمويل من هؤلاء الشركاء الخارجيين </w:t>
      </w:r>
      <w:r w:rsidR="008A572F" w:rsidRPr="008A572F">
        <w:rPr>
          <w:rFonts w:hint="cs"/>
          <w:rtl/>
          <w:lang w:bidi="ar-EG"/>
        </w:rPr>
        <w:t xml:space="preserve">بقيمة </w:t>
      </w:r>
      <w:r w:rsidR="008A572F" w:rsidRPr="008A572F">
        <w:rPr>
          <w:lang w:bidi="ar-EG"/>
        </w:rPr>
        <w:t>10,9</w:t>
      </w:r>
      <w:r w:rsidR="008A572F" w:rsidRPr="008A572F">
        <w:rPr>
          <w:rFonts w:hint="cs"/>
          <w:rtl/>
          <w:lang w:bidi="ar-EG"/>
        </w:rPr>
        <w:t xml:space="preserve"> ملايين فرنك سويسري (تشمل </w:t>
      </w:r>
      <w:r w:rsidR="00863F63">
        <w:rPr>
          <w:rFonts w:hint="cs"/>
          <w:rtl/>
          <w:lang w:bidi="ar-EG"/>
        </w:rPr>
        <w:t>ال</w:t>
      </w:r>
      <w:r w:rsidR="008A572F" w:rsidRPr="008A572F">
        <w:rPr>
          <w:rFonts w:hint="cs"/>
          <w:rtl/>
          <w:lang w:bidi="ar-EG"/>
        </w:rPr>
        <w:t xml:space="preserve">مساهمات </w:t>
      </w:r>
      <w:r w:rsidR="00863F63">
        <w:rPr>
          <w:rFonts w:hint="cs"/>
          <w:rtl/>
          <w:lang w:bidi="ar-EG"/>
        </w:rPr>
        <w:t>ال</w:t>
      </w:r>
      <w:r w:rsidR="008A572F" w:rsidRPr="008A572F">
        <w:rPr>
          <w:rFonts w:hint="cs"/>
          <w:rtl/>
          <w:lang w:bidi="ar-EG"/>
        </w:rPr>
        <w:t>عينية</w:t>
      </w:r>
      <w:r w:rsidR="00863F63">
        <w:rPr>
          <w:rFonts w:hint="cs"/>
          <w:rtl/>
          <w:lang w:bidi="ar-EG"/>
        </w:rPr>
        <w:t xml:space="preserve"> المقدمة من شركاء خارجيين</w:t>
      </w:r>
      <w:r w:rsidR="008A572F" w:rsidRPr="008A572F">
        <w:rPr>
          <w:rFonts w:hint="cs"/>
          <w:rtl/>
          <w:lang w:bidi="ar-EG"/>
        </w:rPr>
        <w:t>)،</w:t>
      </w:r>
      <w:r w:rsidR="00AF6376">
        <w:rPr>
          <w:rFonts w:hint="cs"/>
          <w:rtl/>
          <w:lang w:bidi="ar-EG"/>
        </w:rPr>
        <w:t xml:space="preserve"> </w:t>
      </w:r>
      <w:r w:rsidR="00863F63">
        <w:rPr>
          <w:rFonts w:hint="cs"/>
          <w:rtl/>
          <w:lang w:bidi="ar-EG"/>
        </w:rPr>
        <w:t>ومساهمة نقدية من الاتحاد قدرها</w:t>
      </w:r>
      <w:r w:rsidR="008A572F" w:rsidRPr="008A572F">
        <w:rPr>
          <w:rFonts w:hint="cs"/>
          <w:rtl/>
          <w:lang w:bidi="ar-EG"/>
        </w:rPr>
        <w:t xml:space="preserve"> </w:t>
      </w:r>
      <w:r w:rsidR="008A572F" w:rsidRPr="008A572F">
        <w:rPr>
          <w:lang w:bidi="ar-EG"/>
        </w:rPr>
        <w:t>3,</w:t>
      </w:r>
      <w:r w:rsidR="00AF6376">
        <w:rPr>
          <w:lang w:bidi="ar-EG"/>
        </w:rPr>
        <w:t>6</w:t>
      </w:r>
      <w:r w:rsidR="008A572F" w:rsidRPr="008A572F">
        <w:rPr>
          <w:rFonts w:hint="cs"/>
          <w:rtl/>
          <w:lang w:bidi="ar-EG"/>
        </w:rPr>
        <w:t xml:space="preserve"> ملايين فرنك سويسري. ومن المتوقع أن يجري التوقيع على مجموعة المشاريع </w:t>
      </w:r>
      <w:r w:rsidR="00AF6376">
        <w:rPr>
          <w:rFonts w:hint="cs"/>
          <w:rtl/>
          <w:lang w:bidi="ar-EG"/>
        </w:rPr>
        <w:t>التسعة</w:t>
      </w:r>
      <w:r w:rsidR="008A572F" w:rsidRPr="008A572F">
        <w:rPr>
          <w:rFonts w:hint="cs"/>
          <w:rtl/>
          <w:lang w:bidi="ar-EG"/>
        </w:rPr>
        <w:t xml:space="preserve"> الأخيرة التي ستموَّل بما تبقى من الأموال </w:t>
      </w:r>
      <w:r w:rsidR="00863F63">
        <w:rPr>
          <w:rFonts w:hint="cs"/>
          <w:rtl/>
          <w:lang w:bidi="ar-EG"/>
        </w:rPr>
        <w:t xml:space="preserve">المعتمدة من المجلس قبل نهاية عام </w:t>
      </w:r>
      <w:r w:rsidR="00863F63">
        <w:rPr>
          <w:lang w:val="en-GB" w:bidi="ar-EG"/>
        </w:rPr>
        <w:t>2021</w:t>
      </w:r>
      <w:r w:rsidR="00863F63">
        <w:rPr>
          <w:rFonts w:hint="cs"/>
          <w:rtl/>
          <w:lang w:val="en-GB"/>
        </w:rPr>
        <w:t xml:space="preserve">، بقيمة إجمالية قدرها </w:t>
      </w:r>
      <w:r w:rsidR="00863F63">
        <w:rPr>
          <w:lang w:val="en-GB"/>
        </w:rPr>
        <w:t>3,4</w:t>
      </w:r>
      <w:r w:rsidR="00863F63">
        <w:rPr>
          <w:rFonts w:hint="cs"/>
          <w:rtl/>
          <w:lang w:val="en-GB"/>
        </w:rPr>
        <w:t xml:space="preserve"> ملايين فرنك سويسري (بما في ذلك المساهمة </w:t>
      </w:r>
      <w:r w:rsidR="009F6E54">
        <w:rPr>
          <w:rFonts w:hint="cs"/>
          <w:rtl/>
          <w:lang w:val="en-GB"/>
        </w:rPr>
        <w:t>العينية</w:t>
      </w:r>
      <w:r w:rsidR="00863F63">
        <w:rPr>
          <w:rFonts w:hint="cs"/>
          <w:rtl/>
          <w:lang w:val="en-GB"/>
        </w:rPr>
        <w:t xml:space="preserve"> المقدمة من شركاء خارجيين) ومساهمة نقدية من الاتحاد </w:t>
      </w:r>
      <w:r w:rsidR="00332163">
        <w:rPr>
          <w:rFonts w:hint="cs"/>
          <w:rtl/>
          <w:lang w:val="en-GB"/>
        </w:rPr>
        <w:t>بمبلغ</w:t>
      </w:r>
      <w:r w:rsidR="00863F63">
        <w:rPr>
          <w:rFonts w:hint="cs"/>
          <w:rtl/>
          <w:lang w:val="en-GB"/>
        </w:rPr>
        <w:t xml:space="preserve"> </w:t>
      </w:r>
      <w:r w:rsidR="00863F63">
        <w:rPr>
          <w:lang w:val="en-GB"/>
        </w:rPr>
        <w:t>1,4</w:t>
      </w:r>
      <w:r w:rsidR="00863F63">
        <w:rPr>
          <w:rFonts w:hint="cs"/>
          <w:rtl/>
          <w:lang w:val="en-GB"/>
        </w:rPr>
        <w:t xml:space="preserve"> مليون فرنك سويسري.</w:t>
      </w:r>
    </w:p>
    <w:p w14:paraId="07EE2472" w14:textId="72023FDB" w:rsidR="00AF6376" w:rsidRPr="00E165DA" w:rsidRDefault="00AF6376" w:rsidP="00E165DA">
      <w:pPr>
        <w:pStyle w:val="Heading1"/>
        <w:rPr>
          <w:rtl/>
        </w:rPr>
      </w:pPr>
      <w:r w:rsidRPr="00E165DA">
        <w:t>4</w:t>
      </w:r>
      <w:r w:rsidRPr="00E165DA">
        <w:rPr>
          <w:rtl/>
        </w:rPr>
        <w:tab/>
      </w:r>
      <w:r w:rsidRPr="00E165DA">
        <w:rPr>
          <w:rFonts w:hint="cs"/>
          <w:rtl/>
        </w:rPr>
        <w:t>الجهود الجاري بذلها لإرساء ممارسات رصينة لإدارة المشاريع في مكتب تنمية الاتصالات</w:t>
      </w:r>
    </w:p>
    <w:p w14:paraId="55F8E8A7" w14:textId="26A5308C" w:rsidR="00AF6376" w:rsidRDefault="00AF6376" w:rsidP="00E165DA">
      <w:pPr>
        <w:rPr>
          <w:rtl/>
          <w:lang w:bidi="ar-EG"/>
        </w:rPr>
      </w:pPr>
      <w:r>
        <w:rPr>
          <w:rFonts w:hint="cs"/>
          <w:rtl/>
          <w:lang w:bidi="ar-EG"/>
        </w:rPr>
        <w:t xml:space="preserve">واصل مكتب تنمية الاتصالات توطيد ممارسات إدارة المشاريع في جميع مشاريع </w:t>
      </w:r>
      <w:r w:rsidR="00A52E32">
        <w:rPr>
          <w:rFonts w:hint="cs"/>
          <w:rtl/>
          <w:lang w:bidi="ar-EG"/>
        </w:rPr>
        <w:t>الاتحاد</w:t>
      </w:r>
      <w:r>
        <w:rPr>
          <w:rFonts w:hint="cs"/>
          <w:rtl/>
          <w:lang w:bidi="ar-EG"/>
        </w:rPr>
        <w:t>، بتنظيم طائفة واسعة من الأنشطة الرامية إلى تعزيز إدارة مشاريع مكتب تنمية الاتصالات، وبناء قدرات مديري مشاريعه، وتقييس ممارسات إدارة المشاريع في</w:t>
      </w:r>
      <w:r w:rsidR="002243BE">
        <w:rPr>
          <w:rFonts w:hint="eastAsia"/>
          <w:rtl/>
          <w:lang w:bidi="ar-EG"/>
        </w:rPr>
        <w:t> </w:t>
      </w:r>
      <w:r w:rsidR="008E5D6C">
        <w:rPr>
          <w:rFonts w:hint="cs"/>
          <w:rtl/>
          <w:lang w:bidi="ar-EG"/>
        </w:rPr>
        <w:t>مكتب تنمية الاتصالات</w:t>
      </w:r>
      <w:r>
        <w:rPr>
          <w:rFonts w:hint="cs"/>
          <w:rtl/>
          <w:lang w:bidi="ar-EG"/>
        </w:rPr>
        <w:t>، وتعزيز مشاريع الرصد والتقييم.</w:t>
      </w:r>
      <w:r w:rsidR="008E5D6C">
        <w:rPr>
          <w:rFonts w:hint="cs"/>
          <w:rtl/>
          <w:lang w:bidi="ar-EG"/>
        </w:rPr>
        <w:t xml:space="preserve"> وتلخص القائمة التالية</w:t>
      </w:r>
      <w:r>
        <w:rPr>
          <w:rFonts w:hint="cs"/>
          <w:rtl/>
          <w:lang w:bidi="ar-EG"/>
        </w:rPr>
        <w:t xml:space="preserve"> الأنشطة </w:t>
      </w:r>
      <w:r w:rsidR="008E5D6C">
        <w:rPr>
          <w:rFonts w:hint="cs"/>
          <w:rtl/>
        </w:rPr>
        <w:t xml:space="preserve">التي </w:t>
      </w:r>
      <w:r w:rsidR="004C712E">
        <w:rPr>
          <w:rFonts w:hint="cs"/>
          <w:rtl/>
        </w:rPr>
        <w:t>تم</w:t>
      </w:r>
      <w:r w:rsidR="008E5D6C">
        <w:rPr>
          <w:rFonts w:hint="cs"/>
          <w:rtl/>
        </w:rPr>
        <w:t xml:space="preserve"> الاضطلاع بها في الربعين الثاني والثالث م</w:t>
      </w:r>
      <w:r w:rsidR="00F93720">
        <w:rPr>
          <w:rFonts w:hint="cs"/>
          <w:rtl/>
        </w:rPr>
        <w:t>ن</w:t>
      </w:r>
      <w:r w:rsidR="008E5D6C">
        <w:rPr>
          <w:rFonts w:hint="cs"/>
          <w:rtl/>
        </w:rPr>
        <w:t xml:space="preserve"> عام </w:t>
      </w:r>
      <w:r w:rsidR="008E5D6C">
        <w:t>2021</w:t>
      </w:r>
      <w:r>
        <w:rPr>
          <w:rFonts w:hint="cs"/>
          <w:rtl/>
          <w:lang w:bidi="ar-EG"/>
        </w:rPr>
        <w:t>:</w:t>
      </w:r>
    </w:p>
    <w:p w14:paraId="35A7EA68" w14:textId="04B67BD1" w:rsidR="00AF6376" w:rsidRPr="00E165DA" w:rsidRDefault="00AF6376" w:rsidP="00E165DA">
      <w:pPr>
        <w:pStyle w:val="enumlev1"/>
        <w:rPr>
          <w:rtl/>
        </w:rPr>
      </w:pPr>
      <w:r w:rsidRPr="00E165DA">
        <w:rPr>
          <w:rFonts w:hint="cs"/>
          <w:rtl/>
        </w:rPr>
        <w:t>-</w:t>
      </w:r>
      <w:r w:rsidRPr="00E165DA">
        <w:rPr>
          <w:rtl/>
        </w:rPr>
        <w:tab/>
      </w:r>
      <w:r w:rsidR="004C712E" w:rsidRPr="00E165DA">
        <w:rPr>
          <w:rFonts w:hint="cs"/>
          <w:b/>
          <w:bCs/>
          <w:i/>
          <w:iCs/>
          <w:rtl/>
        </w:rPr>
        <w:t>عمل</w:t>
      </w:r>
      <w:r w:rsidRPr="00E165DA">
        <w:rPr>
          <w:rFonts w:hint="cs"/>
          <w:b/>
          <w:bCs/>
          <w:i/>
          <w:iCs/>
          <w:rtl/>
        </w:rPr>
        <w:t xml:space="preserve"> لجنة المشاريع بمكتب تنمية الاتصالات</w:t>
      </w:r>
      <w:r w:rsidRPr="00E165DA">
        <w:rPr>
          <w:rFonts w:hint="cs"/>
          <w:i/>
          <w:iCs/>
          <w:rtl/>
        </w:rPr>
        <w:t>:</w:t>
      </w:r>
      <w:r w:rsidRPr="00E165DA">
        <w:rPr>
          <w:rFonts w:hint="cs"/>
          <w:rtl/>
        </w:rPr>
        <w:t xml:space="preserve"> </w:t>
      </w:r>
      <w:r w:rsidR="004C712E" w:rsidRPr="00E165DA">
        <w:rPr>
          <w:rFonts w:hint="cs"/>
          <w:rtl/>
        </w:rPr>
        <w:t>استمرت لجنة مشاريع مكتب تنمية الاتصالات في الاجتماع شهرياً. وا</w:t>
      </w:r>
      <w:r w:rsidR="004C712E" w:rsidRPr="00E165DA">
        <w:rPr>
          <w:rtl/>
        </w:rPr>
        <w:t xml:space="preserve">جتمعت اللجنة لتقييم جدوى مقترحات المشاريع </w:t>
      </w:r>
      <w:r w:rsidR="004C712E" w:rsidRPr="00E165DA">
        <w:rPr>
          <w:rFonts w:hint="cs"/>
          <w:rtl/>
        </w:rPr>
        <w:t>و</w:t>
      </w:r>
      <w:r w:rsidR="004C712E" w:rsidRPr="00E165DA">
        <w:rPr>
          <w:rtl/>
        </w:rPr>
        <w:t xml:space="preserve">أهميتها قبل </w:t>
      </w:r>
      <w:r w:rsidR="004C712E" w:rsidRPr="00E165DA">
        <w:rPr>
          <w:rFonts w:hint="cs"/>
          <w:rtl/>
        </w:rPr>
        <w:t>أن تتطور إلى</w:t>
      </w:r>
      <w:r w:rsidR="004C712E" w:rsidRPr="00E165DA">
        <w:rPr>
          <w:rtl/>
        </w:rPr>
        <w:t xml:space="preserve"> مشاريع</w:t>
      </w:r>
      <w:r w:rsidR="004C712E" w:rsidRPr="00E165DA">
        <w:rPr>
          <w:rFonts w:hint="cs"/>
          <w:rtl/>
        </w:rPr>
        <w:t>،</w:t>
      </w:r>
      <w:r w:rsidR="004C712E" w:rsidRPr="00E165DA">
        <w:rPr>
          <w:rtl/>
        </w:rPr>
        <w:t xml:space="preserve"> واستعراض المشاريع والموافقة عليها قبل الاتفاق عليها مع الشركاء، </w:t>
      </w:r>
      <w:r w:rsidR="004C24D1" w:rsidRPr="00E165DA">
        <w:rPr>
          <w:rFonts w:hint="cs"/>
          <w:rtl/>
        </w:rPr>
        <w:t>ووفرت</w:t>
      </w:r>
      <w:r w:rsidR="004C712E" w:rsidRPr="00E165DA">
        <w:rPr>
          <w:rtl/>
        </w:rPr>
        <w:t xml:space="preserve"> الإشراف على تنفيذ المشاريع </w:t>
      </w:r>
      <w:r w:rsidR="00EA4765" w:rsidRPr="00E165DA">
        <w:rPr>
          <w:rFonts w:hint="cs"/>
          <w:rtl/>
        </w:rPr>
        <w:t>وإقفالها</w:t>
      </w:r>
      <w:r w:rsidR="004C712E" w:rsidRPr="00E165DA">
        <w:rPr>
          <w:rtl/>
        </w:rPr>
        <w:t xml:space="preserve"> </w:t>
      </w:r>
      <w:r w:rsidR="004C24D1" w:rsidRPr="00E165DA">
        <w:rPr>
          <w:rFonts w:hint="cs"/>
          <w:rtl/>
        </w:rPr>
        <w:t>حيثما تنش</w:t>
      </w:r>
      <w:r w:rsidR="00E165DA">
        <w:rPr>
          <w:rFonts w:hint="cs"/>
          <w:rtl/>
        </w:rPr>
        <w:t>أ</w:t>
      </w:r>
      <w:r w:rsidR="004C24D1" w:rsidRPr="00E165DA">
        <w:rPr>
          <w:rFonts w:hint="cs"/>
          <w:rtl/>
        </w:rPr>
        <w:t xml:space="preserve"> قضايا</w:t>
      </w:r>
      <w:r w:rsidR="004C712E" w:rsidRPr="00E165DA">
        <w:rPr>
          <w:rtl/>
        </w:rPr>
        <w:t>.</w:t>
      </w:r>
      <w:r w:rsidR="004C24D1" w:rsidRPr="00E165DA">
        <w:rPr>
          <w:rFonts w:hint="cs"/>
          <w:rtl/>
        </w:rPr>
        <w:t xml:space="preserve"> وقام فريق دعم المشاريع بمتابعة القرارات الصادرة عن اللجنة وإبلاغ لجنة المشاريع بها.</w:t>
      </w:r>
    </w:p>
    <w:p w14:paraId="5717750C" w14:textId="6C456B39" w:rsidR="00AF6376" w:rsidRPr="00E165DA" w:rsidRDefault="00AF6376" w:rsidP="00E165DA">
      <w:pPr>
        <w:pStyle w:val="enumlev1"/>
        <w:rPr>
          <w:rtl/>
        </w:rPr>
      </w:pPr>
      <w:r w:rsidRPr="00E165DA">
        <w:rPr>
          <w:rFonts w:hint="cs"/>
          <w:rtl/>
        </w:rPr>
        <w:t>-</w:t>
      </w:r>
      <w:r w:rsidRPr="00E165DA">
        <w:rPr>
          <w:rtl/>
        </w:rPr>
        <w:tab/>
      </w:r>
      <w:r w:rsidR="00317EC3" w:rsidRPr="00E165DA">
        <w:rPr>
          <w:rFonts w:hint="cs"/>
          <w:b/>
          <w:bCs/>
          <w:i/>
          <w:iCs/>
          <w:rtl/>
        </w:rPr>
        <w:t>تعزيز ممارسات إدارة المشاريع</w:t>
      </w:r>
      <w:r w:rsidR="00317EC3" w:rsidRPr="00E165DA">
        <w:rPr>
          <w:rFonts w:hint="cs"/>
          <w:i/>
          <w:iCs/>
          <w:rtl/>
        </w:rPr>
        <w:t>:</w:t>
      </w:r>
      <w:r w:rsidR="00317EC3" w:rsidRPr="00E165DA">
        <w:rPr>
          <w:rFonts w:hint="cs"/>
          <w:rtl/>
        </w:rPr>
        <w:t xml:space="preserve"> واصل مكتب تنمية الاتصالات </w:t>
      </w:r>
      <w:r w:rsidR="0006229D" w:rsidRPr="00E165DA">
        <w:rPr>
          <w:rFonts w:hint="cs"/>
          <w:rtl/>
        </w:rPr>
        <w:t>ت</w:t>
      </w:r>
      <w:r w:rsidR="00317EC3" w:rsidRPr="00E165DA">
        <w:rPr>
          <w:rFonts w:hint="cs"/>
          <w:rtl/>
        </w:rPr>
        <w:t>عزيز ممارسات إدارة المشاريع في المكتب. وتشم</w:t>
      </w:r>
      <w:r w:rsidR="00317EC3" w:rsidRPr="00E165DA">
        <w:rPr>
          <w:rtl/>
        </w:rPr>
        <w:t>ل الإجراءات المنفذة على هذا الصعيد تشغيل "</w:t>
      </w:r>
      <w:r w:rsidR="00EA4765" w:rsidRPr="00E165DA">
        <w:rPr>
          <w:rFonts w:hint="cs"/>
          <w:rtl/>
        </w:rPr>
        <w:t>شبكة</w:t>
      </w:r>
      <w:r w:rsidR="00317EC3" w:rsidRPr="00E165DA">
        <w:rPr>
          <w:rtl/>
        </w:rPr>
        <w:t xml:space="preserve"> مديري مشاريع مكتب تنمية الاتصالات"، وهي منصة على الإنترنت تضم </w:t>
      </w:r>
      <w:r w:rsidR="00906C89" w:rsidRPr="00E165DA">
        <w:t>84</w:t>
      </w:r>
      <w:r w:rsidR="00317EC3" w:rsidRPr="00E165DA">
        <w:rPr>
          <w:rtl/>
        </w:rPr>
        <w:t xml:space="preserve"> </w:t>
      </w:r>
      <w:r w:rsidR="00906C89" w:rsidRPr="00E165DA">
        <w:rPr>
          <w:rFonts w:hint="cs"/>
          <w:rtl/>
        </w:rPr>
        <w:t>موظفاً نشطاً</w:t>
      </w:r>
      <w:r w:rsidR="00317EC3" w:rsidRPr="00E165DA">
        <w:rPr>
          <w:rtl/>
        </w:rPr>
        <w:t xml:space="preserve">، بالإضافة إلى تنظيم </w:t>
      </w:r>
      <w:r w:rsidR="00EA4765" w:rsidRPr="00E165DA">
        <w:rPr>
          <w:rFonts w:hint="cs"/>
          <w:rtl/>
        </w:rPr>
        <w:t>دورات قصيرة بشأن</w:t>
      </w:r>
      <w:r w:rsidR="00317EC3" w:rsidRPr="00E165DA">
        <w:rPr>
          <w:rtl/>
        </w:rPr>
        <w:t xml:space="preserve"> إدارة المشاريع وجلسات إعلامية لمديري المشاري</w:t>
      </w:r>
      <w:r w:rsidR="00906C89" w:rsidRPr="00E165DA">
        <w:rPr>
          <w:rFonts w:hint="cs"/>
          <w:rtl/>
        </w:rPr>
        <w:t>ع</w:t>
      </w:r>
      <w:r w:rsidR="003D2D31" w:rsidRPr="00E165DA">
        <w:rPr>
          <w:rFonts w:hint="cs"/>
          <w:rtl/>
        </w:rPr>
        <w:t xml:space="preserve">. وأكمل </w:t>
      </w:r>
      <w:r w:rsidR="00FD5467" w:rsidRPr="00E165DA">
        <w:rPr>
          <w:rFonts w:hint="cs"/>
          <w:rtl/>
        </w:rPr>
        <w:t xml:space="preserve">هذا العمل برنامج التدريب </w:t>
      </w:r>
      <w:r w:rsidR="00510C56" w:rsidRPr="00E165DA">
        <w:rPr>
          <w:rFonts w:hint="cs"/>
          <w:rtl/>
        </w:rPr>
        <w:t>الخاص</w:t>
      </w:r>
      <w:r w:rsidR="00FD5467" w:rsidRPr="00E165DA">
        <w:rPr>
          <w:rFonts w:hint="cs"/>
          <w:rtl/>
        </w:rPr>
        <w:t xml:space="preserve"> </w:t>
      </w:r>
      <w:r w:rsidR="00510C56" w:rsidRPr="00E165DA">
        <w:rPr>
          <w:rFonts w:hint="cs"/>
          <w:rtl/>
        </w:rPr>
        <w:t>ب</w:t>
      </w:r>
      <w:r w:rsidR="00FD5467" w:rsidRPr="00E165DA">
        <w:rPr>
          <w:rFonts w:hint="cs"/>
          <w:rtl/>
        </w:rPr>
        <w:t xml:space="preserve">شهادة إدارة المشاريع الذي أجري في </w:t>
      </w:r>
      <w:r w:rsidR="00FD5467" w:rsidRPr="00E165DA">
        <w:t>2019</w:t>
      </w:r>
      <w:r w:rsidR="00FD5467" w:rsidRPr="00E165DA">
        <w:rPr>
          <w:rFonts w:hint="cs"/>
          <w:rtl/>
        </w:rPr>
        <w:t xml:space="preserve"> و</w:t>
      </w:r>
      <w:r w:rsidR="00FD5467" w:rsidRPr="00E165DA">
        <w:t>2020</w:t>
      </w:r>
      <w:r w:rsidR="00FD5467" w:rsidRPr="00E165DA">
        <w:rPr>
          <w:rFonts w:hint="cs"/>
          <w:rtl/>
        </w:rPr>
        <w:t>.</w:t>
      </w:r>
    </w:p>
    <w:p w14:paraId="1D406991" w14:textId="7693161D" w:rsidR="00AF6376" w:rsidRPr="00E165DA" w:rsidRDefault="00AF6376" w:rsidP="00E165DA">
      <w:pPr>
        <w:pStyle w:val="enumlev1"/>
        <w:rPr>
          <w:rtl/>
        </w:rPr>
      </w:pPr>
      <w:r w:rsidRPr="00E165DA">
        <w:rPr>
          <w:rFonts w:hint="cs"/>
          <w:rtl/>
        </w:rPr>
        <w:t>-</w:t>
      </w:r>
      <w:r w:rsidRPr="00E165DA">
        <w:rPr>
          <w:rtl/>
        </w:rPr>
        <w:tab/>
      </w:r>
      <w:r w:rsidR="007019AD" w:rsidRPr="00E165DA">
        <w:rPr>
          <w:rFonts w:hint="cs"/>
          <w:b/>
          <w:bCs/>
          <w:i/>
          <w:iCs/>
          <w:rtl/>
        </w:rPr>
        <w:t>إقفال</w:t>
      </w:r>
      <w:r w:rsidR="003D2D31" w:rsidRPr="00E165DA">
        <w:rPr>
          <w:rFonts w:hint="cs"/>
          <w:b/>
          <w:bCs/>
          <w:i/>
          <w:iCs/>
          <w:rtl/>
        </w:rPr>
        <w:t xml:space="preserve"> المشاريع:</w:t>
      </w:r>
      <w:r w:rsidR="003D2D31" w:rsidRPr="00E165DA">
        <w:rPr>
          <w:rFonts w:hint="cs"/>
          <w:rtl/>
        </w:rPr>
        <w:t xml:space="preserve"> قام مكتب تنمية الاتصالات بتنقيح العملية والخطوات التي ينطوي عليها </w:t>
      </w:r>
      <w:r w:rsidR="007019AD" w:rsidRPr="00E165DA">
        <w:rPr>
          <w:rFonts w:hint="cs"/>
          <w:rtl/>
        </w:rPr>
        <w:t>إقفال</w:t>
      </w:r>
      <w:r w:rsidR="003D2D31" w:rsidRPr="00E165DA">
        <w:rPr>
          <w:rFonts w:hint="cs"/>
          <w:rtl/>
        </w:rPr>
        <w:t xml:space="preserve"> المشاريع لتقليل الوقت اللازم لإقفال </w:t>
      </w:r>
      <w:r w:rsidR="00EA4765" w:rsidRPr="00E165DA">
        <w:rPr>
          <w:rFonts w:hint="cs"/>
          <w:rtl/>
        </w:rPr>
        <w:t>المشاريع</w:t>
      </w:r>
      <w:r w:rsidR="003D2D31" w:rsidRPr="00E165DA">
        <w:rPr>
          <w:rFonts w:hint="cs"/>
          <w:rtl/>
        </w:rPr>
        <w:t xml:space="preserve"> إلى </w:t>
      </w:r>
      <w:r w:rsidR="003D2D31" w:rsidRPr="00E165DA">
        <w:t>9</w:t>
      </w:r>
      <w:r w:rsidRPr="00E165DA">
        <w:rPr>
          <w:rFonts w:hint="cs"/>
          <w:rtl/>
        </w:rPr>
        <w:t xml:space="preserve"> </w:t>
      </w:r>
      <w:r w:rsidR="003D2D31" w:rsidRPr="00E165DA">
        <w:rPr>
          <w:rFonts w:hint="cs"/>
          <w:rtl/>
        </w:rPr>
        <w:t xml:space="preserve">أشهر كحد أقصى اعتباراً من تاريخ الانتهاء من جميع الأنشطة. وقد أُنجز </w:t>
      </w:r>
      <w:r w:rsidR="003D2D31" w:rsidRPr="00E165DA">
        <w:rPr>
          <w:rtl/>
        </w:rPr>
        <w:t xml:space="preserve">هذا العمل </w:t>
      </w:r>
      <w:r w:rsidR="003D2D31" w:rsidRPr="00E165DA">
        <w:rPr>
          <w:rFonts w:hint="cs"/>
          <w:rtl/>
        </w:rPr>
        <w:t>وفقاً</w:t>
      </w:r>
      <w:r w:rsidR="003D2D31" w:rsidRPr="00E165DA">
        <w:rPr>
          <w:rtl/>
        </w:rPr>
        <w:t xml:space="preserve"> </w:t>
      </w:r>
      <w:r w:rsidR="00920387" w:rsidRPr="00E165DA">
        <w:rPr>
          <w:rFonts w:hint="cs"/>
          <w:rtl/>
        </w:rPr>
        <w:t>للدليل الجديد</w:t>
      </w:r>
      <w:r w:rsidR="003D2D31" w:rsidRPr="00E165DA">
        <w:rPr>
          <w:rtl/>
        </w:rPr>
        <w:t xml:space="preserve"> </w:t>
      </w:r>
      <w:r w:rsidR="00920387" w:rsidRPr="00E165DA">
        <w:rPr>
          <w:rFonts w:hint="cs"/>
          <w:rtl/>
        </w:rPr>
        <w:t>ل</w:t>
      </w:r>
      <w:r w:rsidR="003D2D31" w:rsidRPr="00E165DA">
        <w:rPr>
          <w:rtl/>
        </w:rPr>
        <w:t xml:space="preserve">إدارة مشاريع الاتحاد، الذي </w:t>
      </w:r>
      <w:r w:rsidR="003D2D31" w:rsidRPr="00E165DA">
        <w:rPr>
          <w:rFonts w:hint="cs"/>
          <w:rtl/>
        </w:rPr>
        <w:t>بدأ العمل به في</w:t>
      </w:r>
      <w:r w:rsidR="00920387" w:rsidRPr="00E165DA">
        <w:rPr>
          <w:rFonts w:hint="cs"/>
          <w:rtl/>
        </w:rPr>
        <w:t xml:space="preserve"> يوليو</w:t>
      </w:r>
      <w:r w:rsidR="003D2D31" w:rsidRPr="00E165DA">
        <w:rPr>
          <w:rFonts w:hint="cs"/>
          <w:rtl/>
        </w:rPr>
        <w:t xml:space="preserve"> </w:t>
      </w:r>
      <w:r w:rsidR="003D2D31" w:rsidRPr="00E165DA">
        <w:t>20</w:t>
      </w:r>
      <w:r w:rsidR="00920387" w:rsidRPr="00E165DA">
        <w:t>20</w:t>
      </w:r>
      <w:r w:rsidR="003D2D31" w:rsidRPr="00E165DA">
        <w:rPr>
          <w:rtl/>
        </w:rPr>
        <w:t xml:space="preserve">، وبالتنسيق الوثيق مع دائرة إدارة الموارد المالية في الاتحاد </w:t>
      </w:r>
      <w:r w:rsidR="00E165DA">
        <w:t>(</w:t>
      </w:r>
      <w:r w:rsidR="003D2D31" w:rsidRPr="00E165DA">
        <w:t>FRMD</w:t>
      </w:r>
      <w:r w:rsidR="00E165DA">
        <w:t>)</w:t>
      </w:r>
      <w:r w:rsidR="003D2D31" w:rsidRPr="00E165DA">
        <w:rPr>
          <w:rtl/>
        </w:rPr>
        <w:t xml:space="preserve"> </w:t>
      </w:r>
      <w:r w:rsidR="003D2D31" w:rsidRPr="00E165DA">
        <w:rPr>
          <w:rFonts w:hint="cs"/>
          <w:rtl/>
        </w:rPr>
        <w:t>وقسم</w:t>
      </w:r>
      <w:r w:rsidR="003D2D31" w:rsidRPr="00E165DA">
        <w:rPr>
          <w:rtl/>
        </w:rPr>
        <w:t xml:space="preserve"> المشتريات </w:t>
      </w:r>
      <w:r w:rsidR="003D2D31" w:rsidRPr="00E165DA">
        <w:rPr>
          <w:rFonts w:hint="cs"/>
          <w:rtl/>
        </w:rPr>
        <w:t xml:space="preserve">ودائرة </w:t>
      </w:r>
      <w:r w:rsidR="003D2D31" w:rsidRPr="00E165DA">
        <w:rPr>
          <w:rtl/>
        </w:rPr>
        <w:t xml:space="preserve">الموارد البشرية </w:t>
      </w:r>
      <w:r w:rsidR="00E165DA">
        <w:t>(</w:t>
      </w:r>
      <w:r w:rsidR="003D2D31" w:rsidRPr="00E165DA">
        <w:t>HRMD</w:t>
      </w:r>
      <w:r w:rsidR="00E165DA">
        <w:t>)</w:t>
      </w:r>
      <w:r w:rsidR="003D2D31" w:rsidRPr="00E165DA">
        <w:rPr>
          <w:rtl/>
        </w:rPr>
        <w:t xml:space="preserve"> ودائرة الشؤون القانونية</w:t>
      </w:r>
      <w:r w:rsidR="00920387" w:rsidRPr="00E165DA">
        <w:rPr>
          <w:rFonts w:hint="cs"/>
          <w:rtl/>
        </w:rPr>
        <w:t xml:space="preserve">. </w:t>
      </w:r>
      <w:r w:rsidR="0041160A" w:rsidRPr="00E165DA">
        <w:rPr>
          <w:rFonts w:hint="cs"/>
          <w:rtl/>
        </w:rPr>
        <w:t xml:space="preserve">وتم </w:t>
      </w:r>
      <w:r w:rsidR="007019AD" w:rsidRPr="00E165DA">
        <w:rPr>
          <w:rFonts w:hint="cs"/>
          <w:rtl/>
        </w:rPr>
        <w:t>إقفال</w:t>
      </w:r>
      <w:r w:rsidR="00920387" w:rsidRPr="00E165DA">
        <w:rPr>
          <w:rtl/>
        </w:rPr>
        <w:t xml:space="preserve"> ما مجموعه </w:t>
      </w:r>
      <w:r w:rsidR="00920387" w:rsidRPr="00E165DA">
        <w:t>15</w:t>
      </w:r>
      <w:r w:rsidR="00920387" w:rsidRPr="00E165DA">
        <w:rPr>
          <w:rtl/>
        </w:rPr>
        <w:t xml:space="preserve"> مشروعاً وفقاً لهذا النهج الجديد خلال الفترة </w:t>
      </w:r>
      <w:r w:rsidR="00920387" w:rsidRPr="00E165DA">
        <w:rPr>
          <w:rFonts w:hint="cs"/>
          <w:rtl/>
        </w:rPr>
        <w:t>المشمولة</w:t>
      </w:r>
      <w:r w:rsidR="00920387" w:rsidRPr="00E165DA">
        <w:rPr>
          <w:rtl/>
        </w:rPr>
        <w:t xml:space="preserve"> </w:t>
      </w:r>
      <w:r w:rsidR="00920387" w:rsidRPr="00E165DA">
        <w:rPr>
          <w:rFonts w:hint="cs"/>
          <w:rtl/>
        </w:rPr>
        <w:t>ب</w:t>
      </w:r>
      <w:r w:rsidR="00920387" w:rsidRPr="00E165DA">
        <w:rPr>
          <w:rtl/>
        </w:rPr>
        <w:t>هذا التقرير</w:t>
      </w:r>
      <w:r w:rsidR="00444A2C" w:rsidRPr="00E165DA">
        <w:rPr>
          <w:rFonts w:hint="cs"/>
          <w:rtl/>
        </w:rPr>
        <w:t>.</w:t>
      </w:r>
    </w:p>
    <w:p w14:paraId="408561D2" w14:textId="35675ED5" w:rsidR="00E165DA" w:rsidRDefault="00AF6376" w:rsidP="00E165DA">
      <w:pPr>
        <w:pStyle w:val="enumlev1"/>
      </w:pPr>
      <w:r w:rsidRPr="00E165DA">
        <w:rPr>
          <w:rFonts w:hint="cs"/>
          <w:rtl/>
        </w:rPr>
        <w:lastRenderedPageBreak/>
        <w:t>-</w:t>
      </w:r>
      <w:r w:rsidRPr="00E165DA">
        <w:rPr>
          <w:rtl/>
        </w:rPr>
        <w:tab/>
      </w:r>
      <w:r w:rsidR="0006229D" w:rsidRPr="00E165DA">
        <w:rPr>
          <w:rFonts w:hint="cs"/>
          <w:b/>
          <w:bCs/>
          <w:i/>
          <w:iCs/>
          <w:rtl/>
        </w:rPr>
        <w:t>مراقبة مشاريع الاتحاد:</w:t>
      </w:r>
      <w:r w:rsidR="0006229D" w:rsidRPr="00E165DA">
        <w:rPr>
          <w:rFonts w:hint="cs"/>
          <w:rtl/>
        </w:rPr>
        <w:t xml:space="preserve"> </w:t>
      </w:r>
      <w:r w:rsidR="00294CCF" w:rsidRPr="00E165DA">
        <w:rPr>
          <w:rFonts w:hint="cs"/>
          <w:rtl/>
        </w:rPr>
        <w:t>تستمر</w:t>
      </w:r>
      <w:r w:rsidR="0006229D" w:rsidRPr="00E165DA">
        <w:rPr>
          <w:rFonts w:hint="cs"/>
          <w:rtl/>
        </w:rPr>
        <w:t xml:space="preserve"> مراقبة</w:t>
      </w:r>
      <w:r w:rsidR="0006229D" w:rsidRPr="00E165DA">
        <w:rPr>
          <w:rtl/>
        </w:rPr>
        <w:t xml:space="preserve"> جميع مشاريع الاتحاد على أساس يومي </w:t>
      </w:r>
      <w:r w:rsidR="00294CCF" w:rsidRPr="00E165DA">
        <w:rPr>
          <w:rFonts w:hint="cs"/>
          <w:rtl/>
        </w:rPr>
        <w:t>وتُقدم</w:t>
      </w:r>
      <w:r w:rsidR="0006229D" w:rsidRPr="00E165DA">
        <w:rPr>
          <w:rtl/>
        </w:rPr>
        <w:t xml:space="preserve"> </w:t>
      </w:r>
      <w:r w:rsidR="0006229D" w:rsidRPr="00E165DA">
        <w:rPr>
          <w:rFonts w:hint="cs"/>
          <w:rtl/>
        </w:rPr>
        <w:t>تقارير بشأنها</w:t>
      </w:r>
      <w:r w:rsidR="0006229D" w:rsidRPr="00E165DA">
        <w:rPr>
          <w:rtl/>
        </w:rPr>
        <w:t xml:space="preserve"> في نهاية كل ربع سنة</w:t>
      </w:r>
      <w:r w:rsidR="0006229D" w:rsidRPr="00E165DA">
        <w:rPr>
          <w:rFonts w:hint="cs"/>
          <w:rtl/>
        </w:rPr>
        <w:t xml:space="preserve">. </w:t>
      </w:r>
      <w:r w:rsidR="00294CCF" w:rsidRPr="00E165DA">
        <w:rPr>
          <w:rFonts w:hint="cs"/>
          <w:rtl/>
        </w:rPr>
        <w:t>وتتاح</w:t>
      </w:r>
      <w:r w:rsidR="0006229D" w:rsidRPr="00E165DA">
        <w:rPr>
          <w:rFonts w:hint="cs"/>
          <w:rtl/>
        </w:rPr>
        <w:t xml:space="preserve"> نتيجة هذا العمل إلى </w:t>
      </w:r>
      <w:r w:rsidR="00012E22">
        <w:rPr>
          <w:rFonts w:hint="cs"/>
          <w:rtl/>
        </w:rPr>
        <w:t xml:space="preserve">إدارة </w:t>
      </w:r>
      <w:r w:rsidR="0006229D" w:rsidRPr="00E165DA">
        <w:rPr>
          <w:rFonts w:hint="cs"/>
          <w:rtl/>
        </w:rPr>
        <w:t xml:space="preserve">مكتب تنمية الاتصالات ومديري مشاريعه من خلال تقارير التقييم الفصلية. وأظهر التقييم الفصلي الأخير للربع الثاني من عام </w:t>
      </w:r>
      <w:r w:rsidR="0006229D" w:rsidRPr="00E165DA">
        <w:t>2021</w:t>
      </w:r>
      <w:r w:rsidR="0006229D" w:rsidRPr="00E165DA">
        <w:rPr>
          <w:rFonts w:hint="cs"/>
          <w:rtl/>
        </w:rPr>
        <w:t xml:space="preserve"> أن معظم مشاريع مكتب تنمية الاتصالات تسير على الطريق الصحيح، على الرغم من تحديات التنفيذ المرتبطة بجائحة كوفيد-19.</w:t>
      </w:r>
    </w:p>
    <w:p w14:paraId="0EEEDBE1" w14:textId="06A9F0BE" w:rsidR="00AF6376" w:rsidRPr="00E165DA" w:rsidRDefault="00AF6376" w:rsidP="00E165DA">
      <w:pPr>
        <w:pStyle w:val="Heading1"/>
        <w:rPr>
          <w:rtl/>
        </w:rPr>
      </w:pPr>
      <w:r w:rsidRPr="00E165DA">
        <w:t>5</w:t>
      </w:r>
      <w:r w:rsidRPr="00E165DA">
        <w:rPr>
          <w:rtl/>
        </w:rPr>
        <w:tab/>
      </w:r>
      <w:r w:rsidR="00353135" w:rsidRPr="00E165DA">
        <w:rPr>
          <w:rFonts w:hint="cs"/>
          <w:rtl/>
        </w:rPr>
        <w:t>ملخص الإنجازات في 2021</w:t>
      </w:r>
      <w:r w:rsidRPr="00E165DA">
        <w:rPr>
          <w:rFonts w:hint="cs"/>
          <w:rtl/>
        </w:rPr>
        <w:t xml:space="preserve"> </w:t>
      </w:r>
    </w:p>
    <w:p w14:paraId="516D4C09" w14:textId="1289D6B6" w:rsidR="00AF6376" w:rsidRDefault="00AF6376" w:rsidP="00E165DA">
      <w:pPr>
        <w:rPr>
          <w:rtl/>
          <w:lang w:bidi="ar-EG"/>
        </w:rPr>
      </w:pPr>
      <w:r w:rsidRPr="00D13033">
        <w:rPr>
          <w:rFonts w:hint="cs"/>
          <w:rtl/>
          <w:lang w:bidi="ar-EG"/>
        </w:rPr>
        <w:t xml:space="preserve">في عام </w:t>
      </w:r>
      <w:r w:rsidR="00ED02FA">
        <w:rPr>
          <w:rFonts w:hint="cs"/>
          <w:rtl/>
          <w:lang w:bidi="ar-EG"/>
        </w:rPr>
        <w:t>2021</w:t>
      </w:r>
      <w:r w:rsidRPr="00D13033">
        <w:rPr>
          <w:rFonts w:hint="cs"/>
          <w:rtl/>
          <w:lang w:bidi="ar-EG"/>
        </w:rPr>
        <w:t xml:space="preserve">، بلغ مجموع عدد المشاريع الجديدة التي أُعدّت ووُقّع على تنفيذها </w:t>
      </w:r>
      <w:r w:rsidR="00ED02FA">
        <w:rPr>
          <w:lang w:bidi="ar-EG"/>
        </w:rPr>
        <w:t>18</w:t>
      </w:r>
      <w:r w:rsidRPr="00D13033">
        <w:rPr>
          <w:rFonts w:hint="cs"/>
          <w:rtl/>
          <w:lang w:bidi="ar-EG"/>
        </w:rPr>
        <w:t xml:space="preserve"> مشروعاً، بقيمة </w:t>
      </w:r>
      <w:r w:rsidR="00ED02FA">
        <w:rPr>
          <w:lang w:bidi="ar-EG"/>
        </w:rPr>
        <w:t>9,8</w:t>
      </w:r>
      <w:r w:rsidRPr="00D13033">
        <w:rPr>
          <w:rFonts w:hint="cs"/>
          <w:rtl/>
          <w:lang w:bidi="ar-EG"/>
        </w:rPr>
        <w:t xml:space="preserve"> </w:t>
      </w:r>
      <w:r w:rsidR="00ED02FA">
        <w:rPr>
          <w:rFonts w:hint="cs"/>
          <w:rtl/>
          <w:lang w:bidi="ar-EG"/>
        </w:rPr>
        <w:t>ملايين</w:t>
      </w:r>
      <w:r w:rsidRPr="00D13033">
        <w:rPr>
          <w:rFonts w:hint="cs"/>
          <w:rtl/>
          <w:lang w:bidi="ar-EG"/>
        </w:rPr>
        <w:t xml:space="preserve"> فرنك سويسري</w:t>
      </w:r>
      <w:r w:rsidR="00ED02FA">
        <w:rPr>
          <w:rFonts w:hint="cs"/>
          <w:rtl/>
          <w:lang w:bidi="ar-EG"/>
        </w:rPr>
        <w:t xml:space="preserve"> (انظر الشكل </w:t>
      </w:r>
      <w:r w:rsidR="00ED02FA">
        <w:rPr>
          <w:lang w:val="en-GB" w:bidi="ar-EG"/>
        </w:rPr>
        <w:t>3</w:t>
      </w:r>
      <w:r w:rsidR="00ED02FA">
        <w:rPr>
          <w:rFonts w:hint="cs"/>
          <w:rtl/>
          <w:lang w:bidi="ar-EG"/>
        </w:rPr>
        <w:t>).</w:t>
      </w:r>
      <w:r w:rsidRPr="00E4744A">
        <w:rPr>
          <w:rFonts w:hint="cs"/>
          <w:spacing w:val="-2"/>
          <w:rtl/>
          <w:lang w:bidi="ar-EG"/>
        </w:rPr>
        <w:t xml:space="preserve"> </w:t>
      </w:r>
      <w:r w:rsidR="00ED02FA">
        <w:rPr>
          <w:rFonts w:hint="cs"/>
          <w:rtl/>
          <w:lang w:bidi="ar-EG"/>
        </w:rPr>
        <w:t>وتم تمويل جميع</w:t>
      </w:r>
      <w:r w:rsidRPr="00481868">
        <w:rPr>
          <w:rFonts w:hint="cs"/>
          <w:rtl/>
          <w:lang w:bidi="ar-EG"/>
        </w:rPr>
        <w:t xml:space="preserve"> هذه المشاريع بالشراكة مع منظمات أخرى </w:t>
      </w:r>
      <w:r w:rsidR="00ED02FA">
        <w:rPr>
          <w:rFonts w:hint="cs"/>
          <w:rtl/>
          <w:lang w:bidi="ar-EG"/>
        </w:rPr>
        <w:t>كالوكالات</w:t>
      </w:r>
      <w:r w:rsidRPr="00481868">
        <w:rPr>
          <w:rFonts w:hint="cs"/>
          <w:rtl/>
          <w:lang w:bidi="ar-EG"/>
        </w:rPr>
        <w:t xml:space="preserve"> الحكومية الوطنية، والكيانات المعنية بالتعاون الثنائي، والمؤسسات غير الربحية، والقطاع الخاص، ووكالات من كامل منظومة الأمم المتحدة</w:t>
      </w:r>
      <w:r w:rsidR="00ED02FA">
        <w:rPr>
          <w:rFonts w:hint="cs"/>
          <w:rtl/>
          <w:lang w:bidi="ar-EG"/>
        </w:rPr>
        <w:t>. وهذه الإنجازات هي نتيجة التآزر الناشئ عن التنسيق بين دعم المشاريع وتعبئة الموارد والشراكة والأفرقة المعنية بشؤون الأعضاء والقطاع الخاص في إطار دائرة الشراكات من أجل التنمية الرقمية بمكتب تنمية الاتصالات</w:t>
      </w:r>
      <w:r>
        <w:rPr>
          <w:rStyle w:val="FootnoteReference"/>
          <w:rtl/>
          <w:lang w:bidi="ar-EG"/>
        </w:rPr>
        <w:footnoteReference w:id="5"/>
      </w:r>
      <w:r w:rsidR="00E165DA">
        <w:rPr>
          <w:rFonts w:hint="cs"/>
          <w:rtl/>
          <w:lang w:bidi="ar-EG"/>
        </w:rPr>
        <w:t>.</w:t>
      </w:r>
    </w:p>
    <w:p w14:paraId="3D6ADA19" w14:textId="269DDD19" w:rsidR="00AF6376" w:rsidRPr="00E165DA" w:rsidRDefault="00AF6376" w:rsidP="00E165DA">
      <w:pPr>
        <w:pStyle w:val="Figuretitle0"/>
        <w:rPr>
          <w:rtl/>
        </w:rPr>
      </w:pPr>
      <w:r w:rsidRPr="00E165DA">
        <w:rPr>
          <w:rFonts w:hint="cs"/>
          <w:rtl/>
        </w:rPr>
        <w:t xml:space="preserve">الشكل </w:t>
      </w:r>
      <w:r w:rsidRPr="00E165DA">
        <w:t>3</w:t>
      </w:r>
      <w:r w:rsidRPr="00E165DA">
        <w:rPr>
          <w:rFonts w:hint="cs"/>
          <w:rtl/>
        </w:rPr>
        <w:t xml:space="preserve"> </w:t>
      </w:r>
      <w:r w:rsidRPr="00E165DA">
        <w:rPr>
          <w:rtl/>
        </w:rPr>
        <w:t>–</w:t>
      </w:r>
      <w:r w:rsidRPr="00E165DA">
        <w:rPr>
          <w:rFonts w:hint="cs"/>
          <w:rtl/>
        </w:rPr>
        <w:t xml:space="preserve"> </w:t>
      </w:r>
      <w:r w:rsidR="00142198" w:rsidRPr="00E165DA">
        <w:rPr>
          <w:rFonts w:hint="cs"/>
          <w:rtl/>
        </w:rPr>
        <w:t xml:space="preserve">المشاريع الجديدة الموقعة في الفترة </w:t>
      </w:r>
      <w:r w:rsidR="00142198" w:rsidRPr="00E165DA">
        <w:t>2021-2011</w:t>
      </w:r>
    </w:p>
    <w:p w14:paraId="387C23AE" w14:textId="7E619241" w:rsidR="0082610B" w:rsidRDefault="0082610B" w:rsidP="0082610B">
      <w:pPr>
        <w:pStyle w:val="Figure"/>
        <w:bidi/>
        <w:rPr>
          <w:rtl/>
        </w:rPr>
      </w:pPr>
    </w:p>
    <w:p w14:paraId="74DF3D4A" w14:textId="4C0BDE72" w:rsidR="00A31D1B" w:rsidRDefault="00A31D1B" w:rsidP="00A31D1B">
      <w:pPr>
        <w:pStyle w:val="Figure"/>
        <w:bidi/>
        <w:rPr>
          <w:rtl/>
        </w:rPr>
      </w:pPr>
      <w:r>
        <w:drawing>
          <wp:inline distT="0" distB="0" distL="0" distR="0" wp14:anchorId="40E6DBAD" wp14:editId="529227C0">
            <wp:extent cx="6115685" cy="2999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685" cy="2999105"/>
                    </a:xfrm>
                    <a:prstGeom prst="rect">
                      <a:avLst/>
                    </a:prstGeom>
                    <a:noFill/>
                    <a:ln>
                      <a:noFill/>
                    </a:ln>
                  </pic:spPr>
                </pic:pic>
              </a:graphicData>
            </a:graphic>
          </wp:inline>
        </w:drawing>
      </w:r>
    </w:p>
    <w:p w14:paraId="56838959" w14:textId="6664F6EC" w:rsidR="007B4FA0" w:rsidRPr="0082610B" w:rsidRDefault="00AF6376" w:rsidP="0082610B">
      <w:pPr>
        <w:pStyle w:val="Heading1"/>
        <w:rPr>
          <w:rtl/>
        </w:rPr>
      </w:pPr>
      <w:r w:rsidRPr="0082610B">
        <w:t>6</w:t>
      </w:r>
      <w:r w:rsidRPr="0082610B">
        <w:rPr>
          <w:rtl/>
        </w:rPr>
        <w:tab/>
      </w:r>
      <w:r w:rsidRPr="0082610B">
        <w:rPr>
          <w:rFonts w:hint="cs"/>
          <w:rtl/>
        </w:rPr>
        <w:t>الاستنتاجات</w:t>
      </w:r>
    </w:p>
    <w:p w14:paraId="2B0AFC92" w14:textId="14AF60FA" w:rsidR="00AF6376" w:rsidRDefault="005846DE" w:rsidP="0082610B">
      <w:pPr>
        <w:rPr>
          <w:rtl/>
          <w:lang w:bidi="ar-EG"/>
        </w:rPr>
      </w:pPr>
      <w:r>
        <w:rPr>
          <w:rFonts w:hint="cs"/>
          <w:rtl/>
          <w:lang w:bidi="ar-EG"/>
        </w:rPr>
        <w:t>يستفي</w:t>
      </w:r>
      <w:r w:rsidRPr="005846DE">
        <w:rPr>
          <w:rtl/>
          <w:lang w:bidi="ar-EG"/>
        </w:rPr>
        <w:t>د</w:t>
      </w:r>
      <w:r w:rsidR="00BF712D">
        <w:rPr>
          <w:rFonts w:hint="cs"/>
          <w:rtl/>
          <w:lang w:bidi="ar-EG"/>
        </w:rPr>
        <w:t xml:space="preserve"> </w:t>
      </w:r>
      <w:r w:rsidRPr="005846DE">
        <w:rPr>
          <w:rtl/>
          <w:lang w:bidi="ar-EG"/>
        </w:rPr>
        <w:t xml:space="preserve">مديرو المشاريع في الميدان وفي المقر على </w:t>
      </w:r>
      <w:r>
        <w:rPr>
          <w:rFonts w:hint="cs"/>
          <w:rtl/>
          <w:lang w:bidi="ar-EG"/>
        </w:rPr>
        <w:t>ال</w:t>
      </w:r>
      <w:r w:rsidRPr="005846DE">
        <w:rPr>
          <w:rtl/>
          <w:lang w:bidi="ar-EG"/>
        </w:rPr>
        <w:t xml:space="preserve">سواء </w:t>
      </w:r>
      <w:r w:rsidR="009A63E9">
        <w:rPr>
          <w:rFonts w:hint="cs"/>
          <w:rtl/>
          <w:lang w:bidi="ar-EG"/>
        </w:rPr>
        <w:t>من</w:t>
      </w:r>
      <w:r>
        <w:rPr>
          <w:rFonts w:hint="cs"/>
          <w:rtl/>
          <w:lang w:bidi="ar-EG"/>
        </w:rPr>
        <w:t xml:space="preserve"> العمل الجاري الذي </w:t>
      </w:r>
      <w:r w:rsidR="004B6A64">
        <w:rPr>
          <w:rFonts w:hint="cs"/>
          <w:rtl/>
          <w:lang w:bidi="ar-EG"/>
        </w:rPr>
        <w:t>تضطلع</w:t>
      </w:r>
      <w:r>
        <w:rPr>
          <w:rFonts w:hint="cs"/>
          <w:rtl/>
          <w:lang w:bidi="ar-EG"/>
        </w:rPr>
        <w:t xml:space="preserve"> به دائرة الشراكات من أجل التنمية الرقمية </w:t>
      </w:r>
      <w:r w:rsidRPr="005846DE">
        <w:rPr>
          <w:rtl/>
          <w:lang w:bidi="ar-EG"/>
        </w:rPr>
        <w:t xml:space="preserve">فيما يتعلق بالنمو المطرد في الصناعة وأعضاء القطاع الخاص والشراكات وتعبئة الموارد، </w:t>
      </w:r>
      <w:r>
        <w:rPr>
          <w:rFonts w:hint="cs"/>
          <w:rtl/>
          <w:lang w:bidi="ar-EG"/>
        </w:rPr>
        <w:t>واعتماد</w:t>
      </w:r>
      <w:r w:rsidRPr="005846DE">
        <w:rPr>
          <w:rtl/>
          <w:lang w:bidi="ar-EG"/>
        </w:rPr>
        <w:t xml:space="preserve"> </w:t>
      </w:r>
      <w:r>
        <w:rPr>
          <w:rFonts w:hint="cs"/>
          <w:rtl/>
          <w:lang w:bidi="ar-EG"/>
        </w:rPr>
        <w:t>ال</w:t>
      </w:r>
      <w:r w:rsidRPr="005846DE">
        <w:rPr>
          <w:rtl/>
          <w:lang w:bidi="ar-EG"/>
        </w:rPr>
        <w:t xml:space="preserve">مشاريع </w:t>
      </w:r>
      <w:r>
        <w:rPr>
          <w:rFonts w:hint="cs"/>
          <w:rtl/>
          <w:lang w:bidi="ar-EG"/>
        </w:rPr>
        <w:t>ال</w:t>
      </w:r>
      <w:r w:rsidRPr="005846DE">
        <w:rPr>
          <w:rtl/>
          <w:lang w:bidi="ar-EG"/>
        </w:rPr>
        <w:t>مؤثرة</w:t>
      </w:r>
      <w:r>
        <w:rPr>
          <w:rFonts w:hint="cs"/>
          <w:rtl/>
          <w:lang w:bidi="ar-EG"/>
        </w:rPr>
        <w:t xml:space="preserve"> </w:t>
      </w:r>
      <w:r w:rsidR="00C45D64">
        <w:rPr>
          <w:rFonts w:hint="cs"/>
          <w:rtl/>
          <w:lang w:bidi="ar-EG"/>
        </w:rPr>
        <w:t>و</w:t>
      </w:r>
      <w:r>
        <w:rPr>
          <w:rFonts w:hint="cs"/>
          <w:rtl/>
          <w:lang w:bidi="ar-EG"/>
        </w:rPr>
        <w:t>تنفيذها الفع</w:t>
      </w:r>
      <w:r w:rsidR="00987569">
        <w:rPr>
          <w:rFonts w:hint="cs"/>
          <w:rtl/>
          <w:lang w:bidi="ar-EG"/>
        </w:rPr>
        <w:t>ّ</w:t>
      </w:r>
      <w:r>
        <w:rPr>
          <w:rFonts w:hint="cs"/>
          <w:rtl/>
          <w:lang w:bidi="ar-EG"/>
        </w:rPr>
        <w:t>ال</w:t>
      </w:r>
      <w:r w:rsidR="009A63E9">
        <w:rPr>
          <w:rFonts w:hint="cs"/>
          <w:rtl/>
          <w:lang w:bidi="ar-EG"/>
        </w:rPr>
        <w:t xml:space="preserve"> </w:t>
      </w:r>
      <w:r w:rsidR="009A63E9" w:rsidRPr="00987569">
        <w:rPr>
          <w:rFonts w:hint="cs"/>
          <w:rtl/>
          <w:lang w:bidi="ar-EG"/>
        </w:rPr>
        <w:t>ويساهمون</w:t>
      </w:r>
      <w:r w:rsidR="009A63E9">
        <w:rPr>
          <w:rFonts w:hint="cs"/>
          <w:rtl/>
          <w:lang w:bidi="ar-EG"/>
        </w:rPr>
        <w:t xml:space="preserve"> في هذا العمل</w:t>
      </w:r>
      <w:r>
        <w:rPr>
          <w:rFonts w:hint="cs"/>
          <w:rtl/>
          <w:lang w:bidi="ar-EG"/>
        </w:rPr>
        <w:t>.</w:t>
      </w:r>
    </w:p>
    <w:p w14:paraId="50CC9D91" w14:textId="19F9C47D" w:rsidR="00AF6376" w:rsidRDefault="00BF712D" w:rsidP="0082610B">
      <w:pPr>
        <w:rPr>
          <w:rtl/>
        </w:rPr>
      </w:pPr>
      <w:r>
        <w:rPr>
          <w:rFonts w:hint="cs"/>
          <w:rtl/>
          <w:lang w:bidi="ar-EG"/>
        </w:rPr>
        <w:t>و</w:t>
      </w:r>
      <w:r w:rsidR="00AF6376">
        <w:rPr>
          <w:rFonts w:hint="cs"/>
          <w:rtl/>
          <w:lang w:bidi="ar-EG"/>
        </w:rPr>
        <w:t>ل</w:t>
      </w:r>
      <w:r w:rsidR="00AF6376">
        <w:rPr>
          <w:rtl/>
          <w:lang w:bidi="ar-EG"/>
        </w:rPr>
        <w:t xml:space="preserve">مزيد من المعلومات </w:t>
      </w:r>
      <w:r w:rsidR="00AF6376">
        <w:rPr>
          <w:rFonts w:hint="cs"/>
          <w:rtl/>
          <w:lang w:bidi="ar-EG"/>
        </w:rPr>
        <w:t>عن</w:t>
      </w:r>
      <w:r w:rsidR="00AF6376">
        <w:rPr>
          <w:rtl/>
          <w:lang w:bidi="ar-EG"/>
        </w:rPr>
        <w:t xml:space="preserve"> المشاريع التي ينفذها </w:t>
      </w:r>
      <w:r w:rsidR="00C4659F" w:rsidRPr="00BF712D">
        <w:rPr>
          <w:rFonts w:hint="cs"/>
          <w:rtl/>
          <w:lang w:bidi="ar-EG"/>
        </w:rPr>
        <w:t>مكتب تنمية الاتصالات</w:t>
      </w:r>
      <w:r w:rsidR="00AF6376">
        <w:rPr>
          <w:rtl/>
          <w:lang w:bidi="ar-EG"/>
        </w:rPr>
        <w:t>، يرجى زيارة الموقع</w:t>
      </w:r>
      <w:r w:rsidR="00AF6376">
        <w:rPr>
          <w:rFonts w:hint="cs"/>
          <w:rtl/>
          <w:lang w:bidi="ar-EG"/>
        </w:rPr>
        <w:t xml:space="preserve"> الإلكتروني</w:t>
      </w:r>
      <w:r w:rsidR="00AF6376">
        <w:rPr>
          <w:rtl/>
          <w:lang w:bidi="ar-EG"/>
        </w:rPr>
        <w:t xml:space="preserve"> التالي:</w:t>
      </w:r>
      <w:r w:rsidR="00AF6376">
        <w:rPr>
          <w:rFonts w:hint="cs"/>
          <w:rtl/>
          <w:lang w:bidi="ar-EG"/>
        </w:rPr>
        <w:t xml:space="preserve"> </w:t>
      </w:r>
      <w:r w:rsidR="00AF6376">
        <w:rPr>
          <w:rtl/>
          <w:lang w:bidi="ar-EG"/>
        </w:rPr>
        <w:tab/>
      </w:r>
      <w:r w:rsidR="00AF6376">
        <w:rPr>
          <w:rtl/>
          <w:lang w:bidi="ar-EG"/>
        </w:rPr>
        <w:br/>
      </w:r>
      <w:hyperlink r:id="rId13" w:history="1">
        <w:r w:rsidR="0082610B" w:rsidRPr="00382EF6">
          <w:rPr>
            <w:rStyle w:val="Hyperlink"/>
            <w:rFonts w:cstheme="minorHAnsi"/>
          </w:rPr>
          <w:t>http://www.itu.int/en/ITU-D/Projects/</w:t>
        </w:r>
      </w:hyperlink>
      <w:r w:rsidR="0082610B" w:rsidRPr="0082610B">
        <w:rPr>
          <w:rStyle w:val="Hyperlink"/>
          <w:b/>
          <w:bCs/>
          <w:color w:val="auto"/>
          <w:u w:val="none"/>
          <w:rtl/>
        </w:rPr>
        <w:t>.</w:t>
      </w:r>
    </w:p>
    <w:p w14:paraId="4C081CA1" w14:textId="1F47EAC3" w:rsidR="00C4659F" w:rsidRDefault="00C4659F" w:rsidP="00C4659F">
      <w:pPr>
        <w:spacing w:before="600"/>
        <w:jc w:val="center"/>
        <w:rPr>
          <w:rtl/>
          <w:lang w:bidi="ar-EG"/>
        </w:rPr>
      </w:pPr>
      <w:r>
        <w:rPr>
          <w:rFonts w:hint="cs"/>
          <w:rtl/>
        </w:rPr>
        <w:t>ــــــــــــــــــــــــــــــــــــــــــــــــــــــــــــــــــــــــــــــــــــــــــــــــــــــــــــــــ</w:t>
      </w:r>
    </w:p>
    <w:sectPr w:rsidR="00C4659F" w:rsidSect="006C3242">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2072" w14:textId="77777777" w:rsidR="006C278C" w:rsidRDefault="006C278C" w:rsidP="006C3242">
      <w:pPr>
        <w:spacing w:before="0" w:line="240" w:lineRule="auto"/>
      </w:pPr>
      <w:r>
        <w:separator/>
      </w:r>
    </w:p>
  </w:endnote>
  <w:endnote w:type="continuationSeparator" w:id="0">
    <w:p w14:paraId="2E64E3A7" w14:textId="77777777" w:rsidR="006C278C" w:rsidRDefault="006C278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DC35" w14:textId="032F3C1D"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176123">
      <w:rPr>
        <w:noProof/>
        <w:sz w:val="16"/>
        <w:szCs w:val="16"/>
        <w:lang w:val="fr-FR"/>
      </w:rPr>
      <w:t>P:\ARA\ITU-D\CONF-D\TDAG21\TDAG21-29\000\007A.docx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0029389A" w:rsidRPr="0029389A">
      <w:rPr>
        <w:sz w:val="16"/>
        <w:szCs w:val="16"/>
        <w:lang w:val="fr-FR"/>
      </w:rPr>
      <w:t>494509</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2F9D95EF" w14:textId="77777777" w:rsidTr="00F03E94">
      <w:tc>
        <w:tcPr>
          <w:tcW w:w="991" w:type="dxa"/>
          <w:tcBorders>
            <w:top w:val="single" w:sz="4" w:space="0" w:color="auto"/>
            <w:left w:val="nil"/>
            <w:bottom w:val="nil"/>
            <w:right w:val="nil"/>
          </w:tcBorders>
          <w:shd w:val="clear" w:color="auto" w:fill="FFFFFF" w:themeFill="background1"/>
          <w:hideMark/>
        </w:tcPr>
        <w:p w14:paraId="39A2A310" w14:textId="77777777" w:rsidR="00882A17" w:rsidRPr="005874F2" w:rsidRDefault="00882A17" w:rsidP="0029389A">
          <w:pPr>
            <w:spacing w:before="40" w:after="40" w:line="24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F5678C0" w14:textId="77777777" w:rsidR="00882A17" w:rsidRPr="005874F2" w:rsidRDefault="00882A17" w:rsidP="0029389A">
          <w:pPr>
            <w:spacing w:before="40" w:after="40" w:line="24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36332B9" w14:textId="212FB4E1" w:rsidR="00882A17" w:rsidRPr="005874F2" w:rsidRDefault="00BD5BE5" w:rsidP="0029389A">
          <w:pPr>
            <w:spacing w:before="40" w:after="40" w:line="240" w:lineRule="exact"/>
            <w:rPr>
              <w:position w:val="2"/>
              <w:sz w:val="18"/>
              <w:szCs w:val="18"/>
              <w:rtl/>
              <w:lang w:val="en-GB" w:bidi="ar-EG"/>
            </w:rPr>
          </w:pPr>
          <w:r>
            <w:rPr>
              <w:rFonts w:hint="cs"/>
              <w:position w:val="2"/>
              <w:sz w:val="18"/>
              <w:szCs w:val="18"/>
              <w:rtl/>
              <w:lang w:val="fr-FR" w:bidi="ar-EG"/>
            </w:rPr>
            <w:t>الدكتور</w:t>
          </w:r>
          <w:r w:rsidR="0029389A" w:rsidRPr="0029389A">
            <w:rPr>
              <w:position w:val="2"/>
              <w:sz w:val="18"/>
              <w:szCs w:val="18"/>
              <w:rtl/>
              <w:lang w:val="fr-FR" w:bidi="ar-EG"/>
            </w:rPr>
            <w:t xml:space="preserve"> </w:t>
          </w:r>
          <w:proofErr w:type="spellStart"/>
          <w:r w:rsidR="0029389A" w:rsidRPr="0029389A">
            <w:rPr>
              <w:position w:val="2"/>
              <w:sz w:val="18"/>
              <w:szCs w:val="18"/>
              <w:rtl/>
              <w:lang w:val="fr-FR" w:bidi="ar-EG"/>
            </w:rPr>
            <w:t>كوسماس</w:t>
          </w:r>
          <w:proofErr w:type="spellEnd"/>
          <w:r w:rsidR="0029389A" w:rsidRPr="0029389A">
            <w:rPr>
              <w:position w:val="2"/>
              <w:sz w:val="18"/>
              <w:szCs w:val="18"/>
              <w:rtl/>
              <w:lang w:val="fr-FR" w:bidi="ar-EG"/>
            </w:rPr>
            <w:t xml:space="preserve"> </w:t>
          </w:r>
          <w:proofErr w:type="spellStart"/>
          <w:r w:rsidR="0029389A" w:rsidRPr="0029389A">
            <w:rPr>
              <w:position w:val="2"/>
              <w:sz w:val="18"/>
              <w:szCs w:val="18"/>
              <w:rtl/>
              <w:lang w:val="fr-FR" w:bidi="ar-EG"/>
            </w:rPr>
            <w:t>زافازافا</w:t>
          </w:r>
          <w:proofErr w:type="spellEnd"/>
          <w:r w:rsidR="0029389A" w:rsidRPr="0029389A">
            <w:rPr>
              <w:position w:val="2"/>
              <w:sz w:val="18"/>
              <w:szCs w:val="18"/>
              <w:rtl/>
              <w:lang w:val="fr-FR" w:bidi="ar-EG"/>
            </w:rPr>
            <w:t>، </w:t>
          </w:r>
          <w:r w:rsidR="0029389A" w:rsidRPr="0029389A">
            <w:rPr>
              <w:rFonts w:hint="cs"/>
              <w:position w:val="2"/>
              <w:sz w:val="18"/>
              <w:szCs w:val="18"/>
              <w:rtl/>
              <w:lang w:val="fr-FR" w:bidi="ar-EG"/>
            </w:rPr>
            <w:t>رئيس دائرة الشراكات من أجل التنمية الرقمية بمكتب تنمية الاتصالات</w:t>
          </w:r>
        </w:p>
      </w:tc>
    </w:tr>
    <w:tr w:rsidR="00882A17" w:rsidRPr="005874F2" w14:paraId="3AB452E1" w14:textId="77777777" w:rsidTr="00F03E94">
      <w:tc>
        <w:tcPr>
          <w:tcW w:w="991" w:type="dxa"/>
        </w:tcPr>
        <w:p w14:paraId="4B8DCA8A" w14:textId="77777777" w:rsidR="00882A17" w:rsidRPr="005874F2" w:rsidRDefault="00882A17" w:rsidP="0029389A">
          <w:pPr>
            <w:spacing w:before="40" w:after="40" w:line="240" w:lineRule="exact"/>
            <w:rPr>
              <w:position w:val="2"/>
              <w:sz w:val="18"/>
              <w:szCs w:val="18"/>
              <w:lang w:val="en-GB"/>
            </w:rPr>
          </w:pPr>
        </w:p>
      </w:tc>
      <w:tc>
        <w:tcPr>
          <w:tcW w:w="2411" w:type="dxa"/>
          <w:hideMark/>
        </w:tcPr>
        <w:p w14:paraId="199FEC5F" w14:textId="77777777" w:rsidR="00882A17" w:rsidRPr="005874F2" w:rsidRDefault="00882A17" w:rsidP="0029389A">
          <w:pPr>
            <w:spacing w:before="40" w:after="40" w:line="240" w:lineRule="exact"/>
            <w:rPr>
              <w:position w:val="2"/>
              <w:sz w:val="18"/>
              <w:szCs w:val="18"/>
              <w:lang w:val="en-GB"/>
            </w:rPr>
          </w:pPr>
          <w:r w:rsidRPr="005874F2">
            <w:rPr>
              <w:position w:val="2"/>
              <w:sz w:val="18"/>
              <w:szCs w:val="18"/>
              <w:rtl/>
              <w:lang w:val="fr-FR" w:bidi="ar-EG"/>
            </w:rPr>
            <w:t>رقم الهاتف:</w:t>
          </w:r>
        </w:p>
      </w:tc>
      <w:tc>
        <w:tcPr>
          <w:tcW w:w="6237" w:type="dxa"/>
        </w:tcPr>
        <w:p w14:paraId="273BC2FE" w14:textId="16AD06B4" w:rsidR="00882A17" w:rsidRPr="005874F2" w:rsidRDefault="0029389A" w:rsidP="0029389A">
          <w:pPr>
            <w:spacing w:before="40" w:after="40" w:line="240" w:lineRule="exact"/>
            <w:rPr>
              <w:position w:val="2"/>
              <w:sz w:val="18"/>
              <w:szCs w:val="18"/>
              <w:lang w:val="en-GB"/>
            </w:rPr>
          </w:pPr>
          <w:r w:rsidRPr="0029389A">
            <w:rPr>
              <w:position w:val="2"/>
              <w:sz w:val="18"/>
              <w:szCs w:val="18"/>
              <w:lang w:val="en-GB" w:bidi="ar-EG"/>
            </w:rPr>
            <w:t>+41 22 7305447</w:t>
          </w:r>
        </w:p>
      </w:tc>
    </w:tr>
    <w:tr w:rsidR="00882A17" w:rsidRPr="005874F2" w14:paraId="77803680" w14:textId="77777777" w:rsidTr="00F03E94">
      <w:tc>
        <w:tcPr>
          <w:tcW w:w="991" w:type="dxa"/>
        </w:tcPr>
        <w:p w14:paraId="32DC5BF4" w14:textId="77777777" w:rsidR="00882A17" w:rsidRPr="005874F2" w:rsidRDefault="00882A17" w:rsidP="0029389A">
          <w:pPr>
            <w:spacing w:before="40" w:after="40" w:line="240" w:lineRule="exact"/>
            <w:rPr>
              <w:position w:val="2"/>
              <w:sz w:val="18"/>
              <w:szCs w:val="18"/>
              <w:lang w:val="en-GB"/>
            </w:rPr>
          </w:pPr>
        </w:p>
      </w:tc>
      <w:tc>
        <w:tcPr>
          <w:tcW w:w="2411" w:type="dxa"/>
          <w:hideMark/>
        </w:tcPr>
        <w:p w14:paraId="4AC06DCA" w14:textId="77777777" w:rsidR="00882A17" w:rsidRPr="005874F2" w:rsidRDefault="00882A17" w:rsidP="0029389A">
          <w:pPr>
            <w:spacing w:before="40" w:after="40" w:line="24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5340C988" w14:textId="48CAF5ED" w:rsidR="00882A17" w:rsidRPr="0029389A" w:rsidRDefault="00660105" w:rsidP="0029389A">
          <w:pPr>
            <w:spacing w:before="40" w:after="40" w:line="240" w:lineRule="exact"/>
            <w:rPr>
              <w:position w:val="2"/>
              <w:sz w:val="18"/>
              <w:szCs w:val="18"/>
              <w:rtl/>
              <w:lang w:val="fr-FR" w:bidi="ar-EG"/>
            </w:rPr>
          </w:pPr>
          <w:hyperlink r:id="rId1" w:history="1">
            <w:r w:rsidR="0029389A" w:rsidRPr="0029389A">
              <w:rPr>
                <w:rStyle w:val="Hyperlink"/>
                <w:sz w:val="18"/>
                <w:szCs w:val="18"/>
              </w:rPr>
              <w:t>cosmas.zavazava@itu.int</w:t>
            </w:r>
          </w:hyperlink>
          <w:hyperlink r:id="rId2" w:history="1"/>
        </w:p>
      </w:tc>
    </w:tr>
  </w:tbl>
  <w:p w14:paraId="0CB7D360" w14:textId="77777777" w:rsidR="0006468A" w:rsidRPr="003971E3" w:rsidRDefault="00660105" w:rsidP="003971E3">
    <w:pPr>
      <w:pStyle w:val="Footer"/>
      <w:tabs>
        <w:tab w:val="clear" w:pos="4153"/>
        <w:tab w:val="clear" w:pos="8306"/>
        <w:tab w:val="center" w:pos="5103"/>
        <w:tab w:val="right" w:pos="9639"/>
      </w:tabs>
      <w:spacing w:before="120"/>
      <w:jc w:val="center"/>
      <w:rPr>
        <w:sz w:val="18"/>
        <w:szCs w:val="18"/>
        <w:lang w:val="fr-FR"/>
      </w:rPr>
    </w:pPr>
    <w:hyperlink r:id="rId3" w:history="1">
      <w:r w:rsidR="003971E3"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2C26" w14:textId="77777777" w:rsidR="006C278C" w:rsidRDefault="006C278C" w:rsidP="006C3242">
      <w:pPr>
        <w:spacing w:before="0" w:line="240" w:lineRule="auto"/>
      </w:pPr>
      <w:r>
        <w:separator/>
      </w:r>
    </w:p>
  </w:footnote>
  <w:footnote w:type="continuationSeparator" w:id="0">
    <w:p w14:paraId="1FBA6D70" w14:textId="77777777" w:rsidR="006C278C" w:rsidRDefault="006C278C" w:rsidP="006C3242">
      <w:pPr>
        <w:spacing w:before="0" w:line="240" w:lineRule="auto"/>
      </w:pPr>
      <w:r>
        <w:continuationSeparator/>
      </w:r>
    </w:p>
  </w:footnote>
  <w:footnote w:id="1">
    <w:p w14:paraId="0E46DCB6" w14:textId="62ED536B" w:rsidR="00EE63BE" w:rsidRDefault="00EE63BE" w:rsidP="00987569">
      <w:pPr>
        <w:pStyle w:val="FootnoteText"/>
        <w:rPr>
          <w:lang w:bidi="ar-EG"/>
        </w:rPr>
      </w:pPr>
      <w:r>
        <w:rPr>
          <w:rStyle w:val="FootnoteReference"/>
        </w:rPr>
        <w:footnoteRef/>
      </w:r>
      <w:r w:rsidR="00FE1BA4">
        <w:rPr>
          <w:rtl/>
        </w:rPr>
        <w:tab/>
      </w:r>
      <w:r w:rsidR="00100D11">
        <w:rPr>
          <w:rFonts w:hint="cs"/>
          <w:rtl/>
        </w:rPr>
        <w:t xml:space="preserve">تتاح لمحة عامة عن حافظة مشاريع الاتحاد في الموقع التالي: </w:t>
      </w:r>
      <w:hyperlink r:id="rId1" w:history="1">
        <w:r w:rsidR="007207D5" w:rsidRPr="00382EF6">
          <w:rPr>
            <w:rStyle w:val="Hyperlink"/>
          </w:rPr>
          <w:t>www.itu.int/en/ITU-D/Projects/</w:t>
        </w:r>
      </w:hyperlink>
      <w:r w:rsidR="005E46FF" w:rsidRPr="005E46FF">
        <w:rPr>
          <w:rStyle w:val="Hyperlink"/>
          <w:rFonts w:hint="cs"/>
          <w:color w:val="auto"/>
          <w:u w:val="none"/>
          <w:rtl/>
        </w:rPr>
        <w:t>.</w:t>
      </w:r>
    </w:p>
  </w:footnote>
  <w:footnote w:id="2">
    <w:p w14:paraId="32B29827" w14:textId="723430B4" w:rsidR="00913B5A" w:rsidRPr="008A572F" w:rsidRDefault="00913B5A" w:rsidP="00987569">
      <w:pPr>
        <w:pStyle w:val="FootnoteText"/>
        <w:rPr>
          <w:rtl/>
          <w:lang w:bidi="ar-EG"/>
        </w:rPr>
      </w:pPr>
      <w:r>
        <w:rPr>
          <w:rStyle w:val="FootnoteReference"/>
        </w:rPr>
        <w:footnoteRef/>
      </w:r>
      <w:r>
        <w:tab/>
      </w:r>
      <w:r w:rsidRPr="008A572F">
        <w:rPr>
          <w:rFonts w:hint="cs"/>
          <w:rtl/>
        </w:rPr>
        <w:t xml:space="preserve">تُتاح المزيد من المعلومات عن </w:t>
      </w:r>
      <w:r w:rsidRPr="008A572F">
        <w:rPr>
          <w:rtl/>
          <w:lang w:bidi="ar-EG"/>
        </w:rPr>
        <w:t>صندوق تنمية تكنولوجيا المعلومات والاتصالات</w:t>
      </w:r>
      <w:r w:rsidRPr="008A572F">
        <w:rPr>
          <w:rFonts w:hint="cs"/>
          <w:rtl/>
          <w:lang w:bidi="ar-EG"/>
        </w:rPr>
        <w:t xml:space="preserve"> في الوثيقة </w:t>
      </w:r>
      <w:r w:rsidRPr="008A572F">
        <w:t>C21/034</w:t>
      </w:r>
      <w:r w:rsidRPr="008A572F">
        <w:rPr>
          <w:rFonts w:hint="cs"/>
          <w:sz w:val="20"/>
          <w:rtl/>
        </w:rPr>
        <w:t xml:space="preserve"> المتاحة عبر الرابط التالي:</w:t>
      </w:r>
      <w:r w:rsidRPr="008A572F">
        <w:rPr>
          <w:rFonts w:hint="cs"/>
          <w:rtl/>
        </w:rPr>
        <w:t xml:space="preserve"> </w:t>
      </w:r>
      <w:r w:rsidRPr="008A572F">
        <w:tab/>
      </w:r>
      <w:r w:rsidRPr="008A572F">
        <w:br/>
      </w:r>
      <w:hyperlink r:id="rId2" w:history="1">
        <w:r w:rsidR="00E165DA" w:rsidRPr="00382EF6">
          <w:rPr>
            <w:rStyle w:val="Hyperlink"/>
          </w:rPr>
          <w:t>https://www.itu.int/md/S21-CL-C-0034/en</w:t>
        </w:r>
      </w:hyperlink>
      <w:r w:rsidR="005E46FF" w:rsidRPr="005E46FF">
        <w:rPr>
          <w:rStyle w:val="Hyperlink"/>
          <w:rFonts w:hint="cs"/>
          <w:color w:val="auto"/>
          <w:u w:val="none"/>
          <w:rtl/>
          <w:lang w:bidi="ar-EG"/>
        </w:rPr>
        <w:t>.</w:t>
      </w:r>
    </w:p>
  </w:footnote>
  <w:footnote w:id="3">
    <w:p w14:paraId="0883E271" w14:textId="573D568F" w:rsidR="00913B5A" w:rsidRPr="008A572F" w:rsidRDefault="00913B5A" w:rsidP="00987569">
      <w:pPr>
        <w:pStyle w:val="FootnoteText"/>
        <w:rPr>
          <w:u w:val="single"/>
          <w:rtl/>
          <w:lang w:bidi="ar-EG"/>
        </w:rPr>
      </w:pPr>
      <w:r w:rsidRPr="00595C32">
        <w:rPr>
          <w:rStyle w:val="FootnoteReference"/>
          <w:spacing w:val="-2"/>
        </w:rPr>
        <w:footnoteRef/>
      </w:r>
      <w:r w:rsidRPr="00595C32">
        <w:tab/>
      </w:r>
      <w:r w:rsidRPr="007B6905">
        <w:rPr>
          <w:rFonts w:hint="cs"/>
          <w:rtl/>
        </w:rPr>
        <w:t xml:space="preserve">تشمل موارد الخطة التشغيلية الأموال التي خصصها المجلس لتنفيذ المبادرات الإقليمية للمؤتمر العالمي لتنمية الاتصالات لعام </w:t>
      </w:r>
      <w:r w:rsidRPr="007B6905">
        <w:t>2017</w:t>
      </w:r>
      <w:r w:rsidRPr="007B6905">
        <w:rPr>
          <w:rFonts w:hint="cs"/>
          <w:rtl/>
        </w:rPr>
        <w:t xml:space="preserve"> </w:t>
      </w:r>
      <w:r w:rsidR="00E165DA" w:rsidRPr="007B6905">
        <w:t>(</w:t>
      </w:r>
      <w:r w:rsidRPr="007B6905">
        <w:t>WTDC</w:t>
      </w:r>
      <w:r w:rsidR="008A572F" w:rsidRPr="007B6905">
        <w:noBreakHyphen/>
      </w:r>
      <w:r w:rsidRPr="007B6905">
        <w:t>17</w:t>
      </w:r>
      <w:r w:rsidR="00E165DA" w:rsidRPr="007B6905">
        <w:t>)</w:t>
      </w:r>
      <w:r w:rsidR="008A572F">
        <w:rPr>
          <w:rFonts w:hint="cs"/>
          <w:rtl/>
        </w:rPr>
        <w:t xml:space="preserve"> (</w:t>
      </w:r>
      <w:r w:rsidR="008A572F">
        <w:t>5000 000</w:t>
      </w:r>
      <w:r w:rsidR="00CB4EF8">
        <w:rPr>
          <w:rFonts w:hint="cs"/>
          <w:rtl/>
          <w:lang w:bidi="ar-EG"/>
        </w:rPr>
        <w:t xml:space="preserve"> فرنك سويسري</w:t>
      </w:r>
      <w:r w:rsidR="008A572F">
        <w:rPr>
          <w:rFonts w:hint="cs"/>
          <w:rtl/>
        </w:rPr>
        <w:t>)</w:t>
      </w:r>
      <w:r w:rsidR="005E46FF">
        <w:rPr>
          <w:rFonts w:hint="cs"/>
          <w:rtl/>
        </w:rPr>
        <w:t>.</w:t>
      </w:r>
    </w:p>
  </w:footnote>
  <w:footnote w:id="4">
    <w:p w14:paraId="1D9CA5C3" w14:textId="194D0A6F" w:rsidR="008A572F" w:rsidRPr="006C2BC2" w:rsidRDefault="008A572F" w:rsidP="00987569">
      <w:pPr>
        <w:pStyle w:val="FootnoteText"/>
        <w:rPr>
          <w:rtl/>
          <w:lang w:val="en-GB" w:bidi="ar-EG"/>
        </w:rPr>
      </w:pPr>
      <w:r>
        <w:rPr>
          <w:rStyle w:val="FootnoteReference"/>
        </w:rPr>
        <w:footnoteRef/>
      </w:r>
      <w:r w:rsidR="00FE1BA4">
        <w:rPr>
          <w:rtl/>
        </w:rPr>
        <w:tab/>
      </w:r>
      <w:r w:rsidR="00E165DA">
        <w:rPr>
          <w:rFonts w:hint="cs"/>
          <w:rtl/>
        </w:rPr>
        <w:t>خ</w:t>
      </w:r>
      <w:r w:rsidR="006C2BC2">
        <w:rPr>
          <w:rFonts w:hint="cs"/>
          <w:rtl/>
        </w:rPr>
        <w:t xml:space="preserve">صصت دورة </w:t>
      </w:r>
      <w:r w:rsidR="005C56C8">
        <w:rPr>
          <w:rFonts w:hint="cs"/>
          <w:rtl/>
        </w:rPr>
        <w:t>مجلس الاتحاد</w:t>
      </w:r>
      <w:r w:rsidR="006C2BC2">
        <w:rPr>
          <w:rFonts w:hint="cs"/>
          <w:rtl/>
        </w:rPr>
        <w:t xml:space="preserve"> لعام </w:t>
      </w:r>
      <w:r w:rsidR="006C2BC2">
        <w:rPr>
          <w:lang w:val="en-GB"/>
        </w:rPr>
        <w:t>2018</w:t>
      </w:r>
      <w:r w:rsidR="006C2BC2">
        <w:rPr>
          <w:rFonts w:hint="cs"/>
          <w:rtl/>
          <w:lang w:val="en-GB"/>
        </w:rPr>
        <w:t xml:space="preserve"> مبلغ </w:t>
      </w:r>
      <w:r w:rsidR="006C2BC2">
        <w:rPr>
          <w:lang w:val="en-GB"/>
        </w:rPr>
        <w:t>5</w:t>
      </w:r>
      <w:r w:rsidR="006C2BC2">
        <w:rPr>
          <w:rFonts w:hint="cs"/>
          <w:rtl/>
          <w:lang w:val="en-GB"/>
        </w:rPr>
        <w:t xml:space="preserve"> ملايين فرنك سويسري لإقامة مشاريع ذات صلة بتنفيذ المبادرات الإقليمية للمؤتمر العالمي لتنمية الاتصالات لعام </w:t>
      </w:r>
      <w:r w:rsidR="006C2BC2">
        <w:rPr>
          <w:lang w:val="en-GB"/>
        </w:rPr>
        <w:t>2017</w:t>
      </w:r>
      <w:r w:rsidR="006C2BC2">
        <w:rPr>
          <w:rFonts w:hint="cs"/>
          <w:rtl/>
          <w:lang w:val="en-GB"/>
        </w:rPr>
        <w:t>.</w:t>
      </w:r>
    </w:p>
  </w:footnote>
  <w:footnote w:id="5">
    <w:p w14:paraId="76B2B10D" w14:textId="2B89CF4D" w:rsidR="00AF6376" w:rsidRDefault="00AF6376" w:rsidP="00EF4719">
      <w:pPr>
        <w:pStyle w:val="FootnoteText"/>
        <w:rPr>
          <w:lang w:bidi="ar-EG"/>
        </w:rPr>
      </w:pPr>
      <w:r>
        <w:rPr>
          <w:rStyle w:val="FootnoteReference"/>
        </w:rPr>
        <w:footnoteRef/>
      </w:r>
      <w:r w:rsidR="00987569">
        <w:rPr>
          <w:rtl/>
        </w:rPr>
        <w:tab/>
      </w:r>
      <w:r w:rsidRPr="00AF6376">
        <w:rPr>
          <w:rFonts w:hint="cs"/>
          <w:rtl/>
        </w:rPr>
        <w:t xml:space="preserve">تُتاح المزيد من المعلومات عن شراكات قطاع تنمية الاتصالات بالاتحاد وأنشطته لتعبئة الموارد في الوثيقتين </w:t>
      </w:r>
      <w:r w:rsidRPr="00AF6376">
        <w:rPr>
          <w:lang w:val="en-GB"/>
        </w:rPr>
        <w:t>TDAG-21/7</w:t>
      </w:r>
      <w:r w:rsidRPr="00AF6376">
        <w:rPr>
          <w:rFonts w:hint="cs"/>
          <w:rtl/>
        </w:rPr>
        <w:t xml:space="preserve"> و</w:t>
      </w:r>
      <w:r w:rsidRPr="00AF6376">
        <w:rPr>
          <w:lang w:val="en-GB"/>
        </w:rPr>
        <w:t>INF/2</w:t>
      </w:r>
      <w:r w:rsidRPr="00AF6376">
        <w:rPr>
          <w:rFonts w:hint="cs"/>
          <w:rtl/>
        </w:rPr>
        <w:t>، والوثيقة</w:t>
      </w:r>
      <w:r w:rsidRPr="00AF6376">
        <w:rPr>
          <w:rFonts w:hint="eastAsia"/>
          <w:rtl/>
        </w:rPr>
        <w:t> </w:t>
      </w:r>
      <w:r w:rsidR="00EF4719" w:rsidRPr="00EF4719">
        <w:rPr>
          <w:lang w:val="en-GB"/>
        </w:rPr>
        <w:t>TDAG-21/2/8</w:t>
      </w:r>
      <w:r w:rsidR="00EF4719">
        <w:rPr>
          <w:rFonts w:hint="cs"/>
          <w:rtl/>
        </w:rPr>
        <w:t xml:space="preserve"> </w:t>
      </w:r>
      <w:r w:rsidRPr="00AF6376">
        <w:rPr>
          <w:rFonts w:hint="cs"/>
          <w:rtl/>
        </w:rPr>
        <w:t xml:space="preserve">الصادرة عن اجتماع الفريق الاستشاري لتنمية الاتصالات في عام </w:t>
      </w:r>
      <w:r w:rsidRPr="00AF6376">
        <w:rPr>
          <w:lang w:val="en-GB"/>
        </w:rPr>
        <w:t>2021</w:t>
      </w:r>
      <w:r w:rsidRPr="00AF6376">
        <w:rPr>
          <w:rFonts w:hint="cs"/>
          <w:rtl/>
        </w:rPr>
        <w:t xml:space="preserve"> </w:t>
      </w:r>
      <w:r w:rsidR="0082610B">
        <w:rPr>
          <w:lang w:val="en-GB"/>
        </w:rPr>
        <w:t>(</w:t>
      </w:r>
      <w:r w:rsidRPr="00AF6376">
        <w:rPr>
          <w:lang w:val="en-GB"/>
        </w:rPr>
        <w:t>TDAG-21</w:t>
      </w:r>
      <w:r w:rsidR="0082610B">
        <w:rPr>
          <w:lang w:val="en-GB"/>
        </w:rPr>
        <w:t>)</w:t>
      </w:r>
      <w:r w:rsidRPr="00AF6376">
        <w:rPr>
          <w:rFonts w:hint="cs"/>
          <w:rtl/>
        </w:rPr>
        <w:t xml:space="preserve"> المتعلقة بأعضاء قطاع تنمية الاتصالات بالاتحاد والمنتسبين إليه والمؤسسات الأكاديمية المنضمة إليه</w:t>
      </w:r>
      <w:r w:rsidRPr="00AF6376">
        <w:rPr>
          <w:rFonts w:hint="cs"/>
          <w:i/>
          <w:i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024FCF4A" w14:textId="000FA155"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w:t>
        </w:r>
        <w:r w:rsidR="007B4FA0">
          <w:rPr>
            <w:sz w:val="20"/>
            <w:szCs w:val="20"/>
            <w:lang w:val="es-ES_tradnl"/>
          </w:rPr>
          <w:t>1</w:t>
        </w:r>
        <w:r w:rsidRPr="00FC3D2F">
          <w:rPr>
            <w:sz w:val="20"/>
            <w:szCs w:val="20"/>
            <w:lang w:val="es-ES_tradnl"/>
          </w:rPr>
          <w:t>/</w:t>
        </w:r>
        <w:bookmarkStart w:id="4" w:name="DocNo2"/>
        <w:bookmarkEnd w:id="4"/>
        <w:r w:rsidR="00C85CB5">
          <w:rPr>
            <w:sz w:val="20"/>
            <w:szCs w:val="20"/>
            <w:lang w:val="es-ES_tradnl"/>
          </w:rPr>
          <w:t>2</w:t>
        </w:r>
        <w:r w:rsidR="00D8311F">
          <w:rPr>
            <w:sz w:val="20"/>
            <w:szCs w:val="20"/>
            <w:lang w:val="es-ES_tradnl"/>
          </w:rPr>
          <w:t>/</w:t>
        </w:r>
        <w:r w:rsidR="0029389A">
          <w:rPr>
            <w:sz w:val="20"/>
            <w:szCs w:val="20"/>
            <w:lang w:val="es-ES_tradnl"/>
          </w:rPr>
          <w:t>7</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9A"/>
    <w:rsid w:val="00012E22"/>
    <w:rsid w:val="00026D7C"/>
    <w:rsid w:val="0006229D"/>
    <w:rsid w:val="0006468A"/>
    <w:rsid w:val="00090574"/>
    <w:rsid w:val="000C1C0E"/>
    <w:rsid w:val="000C548A"/>
    <w:rsid w:val="000F4494"/>
    <w:rsid w:val="00100D11"/>
    <w:rsid w:val="00142198"/>
    <w:rsid w:val="00176123"/>
    <w:rsid w:val="001C0169"/>
    <w:rsid w:val="001D1D50"/>
    <w:rsid w:val="001D30CC"/>
    <w:rsid w:val="001D6745"/>
    <w:rsid w:val="001E446E"/>
    <w:rsid w:val="002154EE"/>
    <w:rsid w:val="002243BE"/>
    <w:rsid w:val="002276D2"/>
    <w:rsid w:val="0023283D"/>
    <w:rsid w:val="0026373E"/>
    <w:rsid w:val="00271C43"/>
    <w:rsid w:val="00290728"/>
    <w:rsid w:val="0029389A"/>
    <w:rsid w:val="00294CCF"/>
    <w:rsid w:val="002978F4"/>
    <w:rsid w:val="002B028D"/>
    <w:rsid w:val="002C20EA"/>
    <w:rsid w:val="002E6541"/>
    <w:rsid w:val="002F68AA"/>
    <w:rsid w:val="00317EC3"/>
    <w:rsid w:val="00330F39"/>
    <w:rsid w:val="00332163"/>
    <w:rsid w:val="00334924"/>
    <w:rsid w:val="003409BC"/>
    <w:rsid w:val="00341C66"/>
    <w:rsid w:val="00353135"/>
    <w:rsid w:val="00357185"/>
    <w:rsid w:val="00383829"/>
    <w:rsid w:val="003971E3"/>
    <w:rsid w:val="003C4402"/>
    <w:rsid w:val="003D2D31"/>
    <w:rsid w:val="003F0D4C"/>
    <w:rsid w:val="003F4B29"/>
    <w:rsid w:val="0041160A"/>
    <w:rsid w:val="0042686F"/>
    <w:rsid w:val="004317D8"/>
    <w:rsid w:val="00434183"/>
    <w:rsid w:val="00443869"/>
    <w:rsid w:val="00444A2C"/>
    <w:rsid w:val="00447F32"/>
    <w:rsid w:val="004A1446"/>
    <w:rsid w:val="004B6A64"/>
    <w:rsid w:val="004C24D1"/>
    <w:rsid w:val="004C712E"/>
    <w:rsid w:val="004E11DC"/>
    <w:rsid w:val="00506E94"/>
    <w:rsid w:val="00510C56"/>
    <w:rsid w:val="00525DDD"/>
    <w:rsid w:val="005409AC"/>
    <w:rsid w:val="0055516A"/>
    <w:rsid w:val="005846DE"/>
    <w:rsid w:val="0058491B"/>
    <w:rsid w:val="005874F2"/>
    <w:rsid w:val="00592EA5"/>
    <w:rsid w:val="005A3170"/>
    <w:rsid w:val="005B2C89"/>
    <w:rsid w:val="005C56C8"/>
    <w:rsid w:val="005E46FF"/>
    <w:rsid w:val="006128FC"/>
    <w:rsid w:val="00660105"/>
    <w:rsid w:val="00676AF2"/>
    <w:rsid w:val="00677396"/>
    <w:rsid w:val="00682E5E"/>
    <w:rsid w:val="00687885"/>
    <w:rsid w:val="0069200F"/>
    <w:rsid w:val="006A65CB"/>
    <w:rsid w:val="006C278C"/>
    <w:rsid w:val="006C2BC2"/>
    <w:rsid w:val="006C3242"/>
    <w:rsid w:val="006C7CC0"/>
    <w:rsid w:val="006F63F7"/>
    <w:rsid w:val="007019AD"/>
    <w:rsid w:val="007025C7"/>
    <w:rsid w:val="00706D7A"/>
    <w:rsid w:val="007207D5"/>
    <w:rsid w:val="00722F0D"/>
    <w:rsid w:val="0074420E"/>
    <w:rsid w:val="00747A70"/>
    <w:rsid w:val="007703E3"/>
    <w:rsid w:val="0077422A"/>
    <w:rsid w:val="00783A69"/>
    <w:rsid w:val="00783E26"/>
    <w:rsid w:val="007A1D77"/>
    <w:rsid w:val="007B4FA0"/>
    <w:rsid w:val="007B6905"/>
    <w:rsid w:val="007C3BC7"/>
    <w:rsid w:val="007C3BCD"/>
    <w:rsid w:val="007D4ACF"/>
    <w:rsid w:val="007F0787"/>
    <w:rsid w:val="00810B7B"/>
    <w:rsid w:val="0082358A"/>
    <w:rsid w:val="008235CD"/>
    <w:rsid w:val="008247DE"/>
    <w:rsid w:val="0082610B"/>
    <w:rsid w:val="00832124"/>
    <w:rsid w:val="00840B10"/>
    <w:rsid w:val="008513CB"/>
    <w:rsid w:val="008562F3"/>
    <w:rsid w:val="00857187"/>
    <w:rsid w:val="00863F63"/>
    <w:rsid w:val="00865B93"/>
    <w:rsid w:val="00874F08"/>
    <w:rsid w:val="00882A17"/>
    <w:rsid w:val="008A572F"/>
    <w:rsid w:val="008A7F84"/>
    <w:rsid w:val="008E5D6C"/>
    <w:rsid w:val="00906C89"/>
    <w:rsid w:val="00913B5A"/>
    <w:rsid w:val="0091702E"/>
    <w:rsid w:val="00920387"/>
    <w:rsid w:val="00923B0C"/>
    <w:rsid w:val="009323C4"/>
    <w:rsid w:val="0094021C"/>
    <w:rsid w:val="00952F86"/>
    <w:rsid w:val="00977E5D"/>
    <w:rsid w:val="00982B28"/>
    <w:rsid w:val="00987569"/>
    <w:rsid w:val="009A63E9"/>
    <w:rsid w:val="009D313F"/>
    <w:rsid w:val="009F6E54"/>
    <w:rsid w:val="00A31D1B"/>
    <w:rsid w:val="00A47A5A"/>
    <w:rsid w:val="00A52E32"/>
    <w:rsid w:val="00A6683B"/>
    <w:rsid w:val="00A97F94"/>
    <w:rsid w:val="00AA13DB"/>
    <w:rsid w:val="00AA7EA2"/>
    <w:rsid w:val="00AD13B3"/>
    <w:rsid w:val="00AF6376"/>
    <w:rsid w:val="00B03099"/>
    <w:rsid w:val="00B05BC8"/>
    <w:rsid w:val="00B64B47"/>
    <w:rsid w:val="00B93B7B"/>
    <w:rsid w:val="00BD5BE5"/>
    <w:rsid w:val="00BF712D"/>
    <w:rsid w:val="00C002DE"/>
    <w:rsid w:val="00C45D64"/>
    <w:rsid w:val="00C4659F"/>
    <w:rsid w:val="00C53BF8"/>
    <w:rsid w:val="00C66157"/>
    <w:rsid w:val="00C674FE"/>
    <w:rsid w:val="00C67501"/>
    <w:rsid w:val="00C75633"/>
    <w:rsid w:val="00C85CB5"/>
    <w:rsid w:val="00CA08BA"/>
    <w:rsid w:val="00CB4EF8"/>
    <w:rsid w:val="00CE2EE1"/>
    <w:rsid w:val="00CE3349"/>
    <w:rsid w:val="00CE36E5"/>
    <w:rsid w:val="00CE49F4"/>
    <w:rsid w:val="00CF27F5"/>
    <w:rsid w:val="00CF3FFD"/>
    <w:rsid w:val="00D10CCF"/>
    <w:rsid w:val="00D4769A"/>
    <w:rsid w:val="00D77D0F"/>
    <w:rsid w:val="00D8311F"/>
    <w:rsid w:val="00DA1CF0"/>
    <w:rsid w:val="00DC1E02"/>
    <w:rsid w:val="00DC24B4"/>
    <w:rsid w:val="00DC5FB0"/>
    <w:rsid w:val="00DE519A"/>
    <w:rsid w:val="00DF16DC"/>
    <w:rsid w:val="00E10B9A"/>
    <w:rsid w:val="00E10D9F"/>
    <w:rsid w:val="00E165DA"/>
    <w:rsid w:val="00E45211"/>
    <w:rsid w:val="00E473C5"/>
    <w:rsid w:val="00E8705E"/>
    <w:rsid w:val="00E925E9"/>
    <w:rsid w:val="00E92863"/>
    <w:rsid w:val="00EA4765"/>
    <w:rsid w:val="00EB796D"/>
    <w:rsid w:val="00ED02FA"/>
    <w:rsid w:val="00ED28DD"/>
    <w:rsid w:val="00EE5CF2"/>
    <w:rsid w:val="00EE63BE"/>
    <w:rsid w:val="00EF4719"/>
    <w:rsid w:val="00F058DC"/>
    <w:rsid w:val="00F24FC4"/>
    <w:rsid w:val="00F2676C"/>
    <w:rsid w:val="00F608E7"/>
    <w:rsid w:val="00F84366"/>
    <w:rsid w:val="00F85089"/>
    <w:rsid w:val="00F93720"/>
    <w:rsid w:val="00F974C5"/>
    <w:rsid w:val="00FA6F46"/>
    <w:rsid w:val="00FD5467"/>
    <w:rsid w:val="00FD727B"/>
    <w:rsid w:val="00FE1BA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9D07F"/>
  <w15:chartTrackingRefBased/>
  <w15:docId w15:val="{2B90B715-FC0B-4FD8-A828-FB24F8DE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nhideWhenUsed/>
    <w:qFormat/>
    <w:rsid w:val="00987569"/>
    <w:pPr>
      <w:tabs>
        <w:tab w:val="clear" w:pos="794"/>
        <w:tab w:val="left" w:pos="425"/>
      </w:tabs>
      <w:spacing w:before="60" w:line="168" w:lineRule="auto"/>
      <w:ind w:left="425" w:hanging="425"/>
    </w:pPr>
    <w:rPr>
      <w:sz w:val="18"/>
      <w:szCs w:val="18"/>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987569"/>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Style 58,超?级链,超????,하이퍼링크2"/>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CommentReference">
    <w:name w:val="annotation reference"/>
    <w:basedOn w:val="DefaultParagraphFont"/>
    <w:rsid w:val="0029389A"/>
    <w:rPr>
      <w:sz w:val="16"/>
      <w:szCs w:val="16"/>
    </w:rPr>
  </w:style>
  <w:style w:type="paragraph" w:customStyle="1" w:styleId="Figuretitle0">
    <w:name w:val="Figure_title"/>
    <w:basedOn w:val="Normal"/>
    <w:next w:val="Normal"/>
    <w:rsid w:val="00EE63BE"/>
    <w:pPr>
      <w:keepNext/>
      <w:keepLines/>
      <w:tabs>
        <w:tab w:val="left" w:pos="1191"/>
        <w:tab w:val="left" w:pos="1588"/>
        <w:tab w:val="left" w:pos="1985"/>
      </w:tabs>
      <w:overflowPunct w:val="0"/>
      <w:autoSpaceDE w:val="0"/>
      <w:autoSpaceDN w:val="0"/>
      <w:adjustRightInd w:val="0"/>
      <w:spacing w:after="60" w:line="280" w:lineRule="exact"/>
      <w:jc w:val="center"/>
      <w:textAlignment w:val="baseline"/>
    </w:pPr>
    <w:rPr>
      <w:rFonts w:eastAsia="Times New Roman"/>
      <w:b/>
      <w:bCs/>
      <w:lang w:val="en-GB" w:eastAsia="en-US"/>
    </w:rPr>
  </w:style>
  <w:style w:type="paragraph" w:customStyle="1" w:styleId="Figure">
    <w:name w:val="Figure"/>
    <w:basedOn w:val="Normal"/>
    <w:qFormat/>
    <w:rsid w:val="008A572F"/>
    <w:pPr>
      <w:keepNext/>
      <w:keepLines/>
      <w:widowControl w:val="0"/>
      <w:bidi w:val="0"/>
      <w:spacing w:before="100" w:beforeAutospacing="1" w:after="100" w:afterAutospacing="1" w:line="240" w:lineRule="auto"/>
      <w:jc w:val="center"/>
    </w:pPr>
    <w:rPr>
      <w:rFonts w:cstheme="minorHAnsi"/>
      <w:noProof/>
    </w:rPr>
  </w:style>
  <w:style w:type="paragraph" w:customStyle="1" w:styleId="enumlev10">
    <w:name w:val="enumlev1"/>
    <w:basedOn w:val="Normal"/>
    <w:rsid w:val="00AF6376"/>
    <w:pPr>
      <w:tabs>
        <w:tab w:val="left" w:pos="1191"/>
        <w:tab w:val="left" w:pos="1588"/>
        <w:tab w:val="left" w:pos="1985"/>
      </w:tabs>
      <w:overflowPunct w:val="0"/>
      <w:autoSpaceDE w:val="0"/>
      <w:autoSpaceDN w:val="0"/>
      <w:adjustRightInd w:val="0"/>
      <w:spacing w:before="80"/>
      <w:ind w:left="792" w:hanging="792"/>
      <w:textAlignment w:val="baseline"/>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6442">
      <w:bodyDiv w:val="1"/>
      <w:marLeft w:val="0"/>
      <w:marRight w:val="0"/>
      <w:marTop w:val="0"/>
      <w:marBottom w:val="0"/>
      <w:divBdr>
        <w:top w:val="none" w:sz="0" w:space="0" w:color="auto"/>
        <w:left w:val="none" w:sz="0" w:space="0" w:color="auto"/>
        <w:bottom w:val="none" w:sz="0" w:space="0" w:color="auto"/>
        <w:right w:val="none" w:sz="0" w:space="0" w:color="auto"/>
      </w:divBdr>
    </w:div>
    <w:div w:id="6874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D/Proje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D18-TDAG29-INF-000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ITU-D/TDAG/" TargetMode="External"/><Relationship Id="rId2" Type="http://schemas.openxmlformats.org/officeDocument/2006/relationships/hyperlink" Target="mailto:lkjsd@asdf.com" TargetMode="External"/><Relationship Id="rId1" Type="http://schemas.openxmlformats.org/officeDocument/2006/relationships/hyperlink" Target="mailto:cosmas.zavazava@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S21-CL-C-0034/en" TargetMode="External"/><Relationship Id="rId1" Type="http://schemas.openxmlformats.org/officeDocument/2006/relationships/hyperlink" Target="http://www.itu.int/en/ITU-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Arabic</cp:lastModifiedBy>
  <cp:revision>3</cp:revision>
  <dcterms:created xsi:type="dcterms:W3CDTF">2021-09-29T11:18:00Z</dcterms:created>
  <dcterms:modified xsi:type="dcterms:W3CDTF">2021-09-29T11:18:00Z</dcterms:modified>
</cp:coreProperties>
</file>