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46BFC1B6" w14:textId="77777777" w:rsidTr="005E1E6D">
        <w:trPr>
          <w:cantSplit/>
          <w:trHeight w:val="1310"/>
          <w:jc w:val="center"/>
        </w:trPr>
        <w:tc>
          <w:tcPr>
            <w:tcW w:w="2127" w:type="dxa"/>
            <w:tcBorders>
              <w:bottom w:val="single" w:sz="12" w:space="0" w:color="auto"/>
            </w:tcBorders>
          </w:tcPr>
          <w:p w14:paraId="538D619C"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69863216" wp14:editId="5C3C5959">
                  <wp:extent cx="941455"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977" cy="792693"/>
                          </a:xfrm>
                          <a:prstGeom prst="rect">
                            <a:avLst/>
                          </a:prstGeom>
                          <a:noFill/>
                        </pic:spPr>
                      </pic:pic>
                    </a:graphicData>
                  </a:graphic>
                </wp:inline>
              </w:drawing>
            </w:r>
          </w:p>
        </w:tc>
        <w:tc>
          <w:tcPr>
            <w:tcW w:w="6237" w:type="dxa"/>
            <w:gridSpan w:val="2"/>
            <w:tcBorders>
              <w:bottom w:val="single" w:sz="12" w:space="0" w:color="auto"/>
            </w:tcBorders>
          </w:tcPr>
          <w:p w14:paraId="71E66EE4"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30391D23"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1A1F8861"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123C7FA1" wp14:editId="35F9043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43CCA9A5" w14:textId="77777777" w:rsidTr="005E1E6D">
        <w:trPr>
          <w:cantSplit/>
          <w:jc w:val="center"/>
        </w:trPr>
        <w:tc>
          <w:tcPr>
            <w:tcW w:w="6531" w:type="dxa"/>
            <w:gridSpan w:val="2"/>
            <w:tcBorders>
              <w:top w:val="single" w:sz="12" w:space="0" w:color="auto"/>
            </w:tcBorders>
          </w:tcPr>
          <w:p w14:paraId="4577401A" w14:textId="77777777" w:rsidR="00CA08BA" w:rsidRPr="00783A69" w:rsidRDefault="00CA08BA" w:rsidP="00C64A80">
            <w:pPr>
              <w:spacing w:before="0" w:line="240" w:lineRule="exact"/>
              <w:rPr>
                <w:b/>
                <w:bCs/>
                <w:rtl/>
                <w:lang w:bidi="ar-EG"/>
              </w:rPr>
            </w:pPr>
          </w:p>
        </w:tc>
        <w:tc>
          <w:tcPr>
            <w:tcW w:w="3108" w:type="dxa"/>
            <w:gridSpan w:val="2"/>
            <w:tcBorders>
              <w:top w:val="single" w:sz="12" w:space="0" w:color="auto"/>
            </w:tcBorders>
          </w:tcPr>
          <w:p w14:paraId="0AE30F3F" w14:textId="77777777" w:rsidR="00CA08BA" w:rsidRPr="00C85CB5" w:rsidRDefault="00CA08BA" w:rsidP="00C64A80">
            <w:pPr>
              <w:spacing w:before="0" w:line="240" w:lineRule="exact"/>
              <w:rPr>
                <w:b/>
                <w:bCs/>
                <w:highlight w:val="yellow"/>
                <w:rtl/>
                <w:lang w:bidi="ar-EG"/>
              </w:rPr>
            </w:pPr>
          </w:p>
        </w:tc>
      </w:tr>
      <w:tr w:rsidR="00783A69" w:rsidRPr="00783A69" w14:paraId="41D049E4" w14:textId="77777777" w:rsidTr="00EE5CF2">
        <w:trPr>
          <w:cantSplit/>
          <w:jc w:val="center"/>
        </w:trPr>
        <w:tc>
          <w:tcPr>
            <w:tcW w:w="6531" w:type="dxa"/>
            <w:gridSpan w:val="2"/>
          </w:tcPr>
          <w:p w14:paraId="1D94FCE7" w14:textId="77777777" w:rsidR="00783A69" w:rsidRPr="00783A69" w:rsidRDefault="00783A69" w:rsidP="00B93B7B">
            <w:pPr>
              <w:spacing w:before="20" w:after="20" w:line="300" w:lineRule="exact"/>
              <w:rPr>
                <w:b/>
                <w:bCs/>
                <w:rtl/>
                <w:lang w:bidi="ar-EG"/>
              </w:rPr>
            </w:pPr>
          </w:p>
        </w:tc>
        <w:tc>
          <w:tcPr>
            <w:tcW w:w="3108" w:type="dxa"/>
            <w:gridSpan w:val="2"/>
          </w:tcPr>
          <w:p w14:paraId="77B6FB36" w14:textId="35781932" w:rsidR="00783A69" w:rsidRPr="00B25FD0" w:rsidRDefault="00B25FD0" w:rsidP="00B25FD0">
            <w:pPr>
              <w:spacing w:before="20" w:after="20" w:line="300" w:lineRule="exact"/>
              <w:jc w:val="left"/>
              <w:rPr>
                <w:b/>
                <w:bCs/>
                <w:rtl/>
                <w:lang w:bidi="ar-SY"/>
              </w:rPr>
            </w:pPr>
            <w:r>
              <w:rPr>
                <w:rFonts w:hint="cs"/>
                <w:b/>
                <w:bCs/>
                <w:rtl/>
                <w:lang w:bidi="ar-EG"/>
              </w:rPr>
              <w:t xml:space="preserve">المراجعة </w:t>
            </w:r>
            <w:r>
              <w:rPr>
                <w:b/>
                <w:bCs/>
                <w:lang w:bidi="ar-EG"/>
              </w:rPr>
              <w:t>1</w:t>
            </w:r>
            <w:r>
              <w:rPr>
                <w:b/>
                <w:bCs/>
                <w:rtl/>
                <w:lang w:bidi="ar-EG"/>
              </w:rPr>
              <w:br/>
            </w:r>
            <w:r>
              <w:rPr>
                <w:rFonts w:hint="cs"/>
                <w:b/>
                <w:bCs/>
                <w:rtl/>
                <w:lang w:bidi="ar-EG"/>
              </w:rPr>
              <w:t xml:space="preserve">للوثيقة </w:t>
            </w:r>
            <w:r w:rsidR="00783A69" w:rsidRPr="00B25FD0">
              <w:rPr>
                <w:b/>
                <w:bCs/>
                <w:lang w:bidi="ar-EG"/>
              </w:rPr>
              <w:t>TDAG-2</w:t>
            </w:r>
            <w:r w:rsidR="007B4FA0" w:rsidRPr="00B25FD0">
              <w:rPr>
                <w:b/>
                <w:bCs/>
                <w:lang w:bidi="ar-EG"/>
              </w:rPr>
              <w:t>1</w:t>
            </w:r>
            <w:r w:rsidR="00783A69" w:rsidRPr="00B25FD0">
              <w:rPr>
                <w:b/>
                <w:bCs/>
                <w:lang w:bidi="ar-EG"/>
              </w:rPr>
              <w:t>/</w:t>
            </w:r>
            <w:r w:rsidR="00C85CB5" w:rsidRPr="00B25FD0">
              <w:rPr>
                <w:b/>
                <w:bCs/>
                <w:lang w:bidi="ar-EG"/>
              </w:rPr>
              <w:t>2</w:t>
            </w:r>
            <w:r w:rsidR="008562F3" w:rsidRPr="00B25FD0">
              <w:rPr>
                <w:b/>
                <w:bCs/>
                <w:lang w:bidi="ar-EG"/>
              </w:rPr>
              <w:t>/</w:t>
            </w:r>
            <w:r>
              <w:rPr>
                <w:b/>
                <w:bCs/>
                <w:lang w:bidi="ar-EG"/>
              </w:rPr>
              <w:t>4</w:t>
            </w:r>
            <w:r w:rsidR="00783A69" w:rsidRPr="00B25FD0">
              <w:rPr>
                <w:b/>
                <w:bCs/>
                <w:lang w:bidi="ar-EG"/>
              </w:rPr>
              <w:t>-A</w:t>
            </w:r>
          </w:p>
        </w:tc>
      </w:tr>
      <w:tr w:rsidR="00783A69" w:rsidRPr="00783A69" w14:paraId="14E1862B" w14:textId="77777777" w:rsidTr="00EE5CF2">
        <w:trPr>
          <w:cantSplit/>
          <w:jc w:val="center"/>
        </w:trPr>
        <w:tc>
          <w:tcPr>
            <w:tcW w:w="6531" w:type="dxa"/>
            <w:gridSpan w:val="2"/>
          </w:tcPr>
          <w:p w14:paraId="6EAF92A8" w14:textId="77777777" w:rsidR="00783A69" w:rsidRPr="00783A69" w:rsidRDefault="00783A69" w:rsidP="00B93B7B">
            <w:pPr>
              <w:spacing w:before="20" w:after="20" w:line="300" w:lineRule="exact"/>
              <w:rPr>
                <w:b/>
                <w:bCs/>
                <w:lang w:bidi="ar-EG"/>
              </w:rPr>
            </w:pPr>
          </w:p>
        </w:tc>
        <w:tc>
          <w:tcPr>
            <w:tcW w:w="3108" w:type="dxa"/>
            <w:gridSpan w:val="2"/>
          </w:tcPr>
          <w:p w14:paraId="609A2746" w14:textId="32D3C3A3" w:rsidR="00783A69" w:rsidRPr="00B25FD0" w:rsidRDefault="00B25FD0" w:rsidP="00B93B7B">
            <w:pPr>
              <w:spacing w:before="20" w:after="20" w:line="300" w:lineRule="exact"/>
              <w:rPr>
                <w:b/>
                <w:bCs/>
                <w:rtl/>
                <w:lang w:bidi="ar-SY"/>
              </w:rPr>
            </w:pPr>
            <w:r>
              <w:rPr>
                <w:b/>
                <w:bCs/>
                <w:lang w:bidi="ar-EG"/>
              </w:rPr>
              <w:t>2</w:t>
            </w:r>
            <w:r w:rsidR="00783A69" w:rsidRPr="00B25FD0">
              <w:rPr>
                <w:rFonts w:hint="cs"/>
                <w:b/>
                <w:bCs/>
                <w:rtl/>
                <w:lang w:bidi="ar-EG"/>
              </w:rPr>
              <w:t xml:space="preserve"> </w:t>
            </w:r>
            <w:r>
              <w:rPr>
                <w:rFonts w:hint="cs"/>
                <w:b/>
                <w:bCs/>
                <w:rtl/>
                <w:lang w:bidi="ar-EG"/>
              </w:rPr>
              <w:t xml:space="preserve">نوفمبر </w:t>
            </w:r>
            <w:r w:rsidR="00783A69" w:rsidRPr="00B25FD0">
              <w:rPr>
                <w:b/>
                <w:bCs/>
                <w:lang w:bidi="ar-EG"/>
              </w:rPr>
              <w:t>202</w:t>
            </w:r>
            <w:r w:rsidR="007B4FA0" w:rsidRPr="00B25FD0">
              <w:rPr>
                <w:b/>
                <w:bCs/>
                <w:lang w:bidi="ar-EG"/>
              </w:rPr>
              <w:t>1</w:t>
            </w:r>
          </w:p>
        </w:tc>
      </w:tr>
      <w:tr w:rsidR="00783A69" w:rsidRPr="00783A69" w14:paraId="32B9F97E" w14:textId="77777777" w:rsidTr="00EE5CF2">
        <w:trPr>
          <w:cantSplit/>
          <w:jc w:val="center"/>
        </w:trPr>
        <w:tc>
          <w:tcPr>
            <w:tcW w:w="6531" w:type="dxa"/>
            <w:gridSpan w:val="2"/>
          </w:tcPr>
          <w:p w14:paraId="2AE4DC04" w14:textId="77777777" w:rsidR="00783A69" w:rsidRPr="00783A69" w:rsidRDefault="00783A69" w:rsidP="00B93B7B">
            <w:pPr>
              <w:spacing w:before="20" w:after="20" w:line="300" w:lineRule="exact"/>
              <w:rPr>
                <w:b/>
                <w:bCs/>
                <w:lang w:bidi="ar-EG"/>
              </w:rPr>
            </w:pPr>
          </w:p>
        </w:tc>
        <w:tc>
          <w:tcPr>
            <w:tcW w:w="3108" w:type="dxa"/>
            <w:gridSpan w:val="2"/>
          </w:tcPr>
          <w:p w14:paraId="28D9485E" w14:textId="77777777" w:rsidR="00783A69" w:rsidRPr="00B25FD0" w:rsidRDefault="00783A69" w:rsidP="00B93B7B">
            <w:pPr>
              <w:spacing w:before="20" w:after="20" w:line="300" w:lineRule="exact"/>
              <w:rPr>
                <w:b/>
                <w:bCs/>
                <w:rtl/>
                <w:lang w:bidi="ar-EG"/>
              </w:rPr>
            </w:pPr>
            <w:r w:rsidRPr="00B25FD0">
              <w:rPr>
                <w:rFonts w:hint="cs"/>
                <w:b/>
                <w:bCs/>
                <w:rtl/>
                <w:lang w:bidi="ar-EG"/>
              </w:rPr>
              <w:t>الأصل: بالإنكليزية</w:t>
            </w:r>
          </w:p>
        </w:tc>
      </w:tr>
      <w:tr w:rsidR="00783A69" w:rsidRPr="00783A69" w14:paraId="1277D206" w14:textId="77777777" w:rsidTr="00EE5CF2">
        <w:trPr>
          <w:cantSplit/>
          <w:jc w:val="center"/>
        </w:trPr>
        <w:tc>
          <w:tcPr>
            <w:tcW w:w="9639" w:type="dxa"/>
            <w:gridSpan w:val="4"/>
          </w:tcPr>
          <w:p w14:paraId="23A52B38" w14:textId="54FBCEA9" w:rsidR="00783A69" w:rsidRPr="00B25FD0" w:rsidRDefault="00B25FD0" w:rsidP="00B25FD0">
            <w:pPr>
              <w:pStyle w:val="Source"/>
            </w:pPr>
            <w:r w:rsidRPr="00B25FD0">
              <w:rPr>
                <w:rFonts w:hint="cs"/>
                <w:rtl/>
              </w:rPr>
              <w:t>مديرة مكتب تنمية الاتصالات</w:t>
            </w:r>
          </w:p>
        </w:tc>
      </w:tr>
      <w:tr w:rsidR="00783A69" w:rsidRPr="00783A69" w14:paraId="16524812" w14:textId="77777777" w:rsidTr="00EE5CF2">
        <w:trPr>
          <w:cantSplit/>
          <w:jc w:val="center"/>
        </w:trPr>
        <w:tc>
          <w:tcPr>
            <w:tcW w:w="9639" w:type="dxa"/>
            <w:gridSpan w:val="4"/>
          </w:tcPr>
          <w:p w14:paraId="19C0D905" w14:textId="19CB9E90" w:rsidR="00783A69" w:rsidRPr="00B25FD0" w:rsidRDefault="00B25FD0" w:rsidP="00B25FD0">
            <w:pPr>
              <w:pStyle w:val="Title1"/>
            </w:pPr>
            <w:r w:rsidRPr="00B25FD0">
              <w:rPr>
                <w:rFonts w:hint="cs"/>
                <w:rtl/>
              </w:rPr>
              <w:t>الشراكات وتعبئة الموارد في قطاع تنمية الاتصالات بالاتحاد الدولي للاتصالات</w:t>
            </w:r>
          </w:p>
        </w:tc>
      </w:tr>
    </w:tbl>
    <w:p w14:paraId="6DA3974E"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63925803" w14:textId="77777777" w:rsidTr="00B25FD0">
        <w:trPr>
          <w:cantSplit/>
          <w:jc w:val="center"/>
        </w:trPr>
        <w:tc>
          <w:tcPr>
            <w:tcW w:w="9638" w:type="dxa"/>
            <w:tcBorders>
              <w:top w:val="single" w:sz="6" w:space="0" w:color="auto"/>
              <w:left w:val="single" w:sz="6" w:space="0" w:color="auto"/>
              <w:bottom w:val="single" w:sz="6" w:space="0" w:color="auto"/>
              <w:right w:val="single" w:sz="6" w:space="0" w:color="auto"/>
            </w:tcBorders>
          </w:tcPr>
          <w:p w14:paraId="3504ABC5" w14:textId="77777777" w:rsidR="00B25FD0" w:rsidRPr="00D133A7" w:rsidRDefault="00B25FD0" w:rsidP="00B25FD0">
            <w:pPr>
              <w:rPr>
                <w:b/>
                <w:bCs/>
                <w:rtl/>
                <w:lang w:bidi="ar-SY"/>
              </w:rPr>
            </w:pPr>
            <w:r w:rsidRPr="00D133A7">
              <w:rPr>
                <w:rFonts w:hint="cs"/>
                <w:b/>
                <w:bCs/>
                <w:rtl/>
                <w:lang w:bidi="ar-SY"/>
              </w:rPr>
              <w:t>ملخص:</w:t>
            </w:r>
          </w:p>
          <w:p w14:paraId="0F3E7EA2" w14:textId="421114BA" w:rsidR="00B25FD0" w:rsidRPr="00417B26" w:rsidRDefault="00B25FD0" w:rsidP="00B25FD0">
            <w:pPr>
              <w:rPr>
                <w:rtl/>
              </w:rPr>
            </w:pPr>
            <w:r w:rsidRPr="00D133A7">
              <w:rPr>
                <w:rFonts w:hint="cs"/>
                <w:rtl/>
                <w:lang w:bidi="ar-JO"/>
              </w:rPr>
              <w:t xml:space="preserve">سلّط المؤتمر العالمي لتنمية الاتصالات لعام </w:t>
            </w:r>
            <w:r w:rsidRPr="00D133A7">
              <w:rPr>
                <w:lang w:bidi="ar-SY"/>
              </w:rPr>
              <w:t>2017</w:t>
            </w:r>
            <w:r w:rsidRPr="00D133A7">
              <w:rPr>
                <w:rFonts w:hint="cs"/>
                <w:rtl/>
                <w:lang w:bidi="ar-JO"/>
              </w:rPr>
              <w:t xml:space="preserve"> </w:t>
            </w:r>
            <w:r w:rsidRPr="00D133A7">
              <w:rPr>
                <w:lang w:bidi="ar-SY"/>
              </w:rPr>
              <w:t>(WTDC-17</w:t>
            </w:r>
            <w:r>
              <w:rPr>
                <w:lang w:bidi="ar-SY"/>
              </w:rPr>
              <w:t>)</w:t>
            </w:r>
            <w:r w:rsidRPr="00D133A7">
              <w:rPr>
                <w:rFonts w:hint="cs"/>
                <w:rtl/>
                <w:lang w:bidi="ar-JO"/>
              </w:rPr>
              <w:t xml:space="preserve"> الضوء على أهمية الشراكات وتعبئة الموارد. وتقدم هذه الوثيقة </w:t>
            </w:r>
            <w:r w:rsidRPr="00D133A7">
              <w:rPr>
                <w:rFonts w:hint="cs"/>
                <w:rtl/>
              </w:rPr>
              <w:t>تقريراً عن الشراكات وأنشطة تعبئة الموارد التي اضطُلع بها</w:t>
            </w:r>
            <w:r>
              <w:rPr>
                <w:rFonts w:hint="cs"/>
                <w:rtl/>
              </w:rPr>
              <w:t xml:space="preserve"> بين </w:t>
            </w:r>
            <w:r>
              <w:rPr>
                <w:lang w:val="en-GB"/>
              </w:rPr>
              <w:t>1</w:t>
            </w:r>
            <w:r>
              <w:rPr>
                <w:rFonts w:hint="cs"/>
                <w:rtl/>
                <w:lang w:val="en-GB"/>
              </w:rPr>
              <w:t xml:space="preserve"> أبريل و</w:t>
            </w:r>
            <w:r>
              <w:rPr>
                <w:lang w:val="en-GB"/>
              </w:rPr>
              <w:t>30</w:t>
            </w:r>
            <w:r>
              <w:rPr>
                <w:rFonts w:hint="cs"/>
                <w:rtl/>
                <w:lang w:val="en-GB" w:bidi="ar-EG"/>
              </w:rPr>
              <w:t xml:space="preserve"> سبتمبر </w:t>
            </w:r>
            <w:r>
              <w:rPr>
                <w:rFonts w:hint="cs"/>
                <w:rtl/>
                <w:lang w:val="en-GB" w:bidi="ar-SY"/>
              </w:rPr>
              <w:t xml:space="preserve">وتستند إلى التقرير المقدم إلى اجتماع الفريق الاستشاري لتنمية الاتصالات الذي عُقد في الفترة </w:t>
            </w:r>
            <w:r>
              <w:rPr>
                <w:lang w:val="en-GB" w:bidi="ar-SY"/>
              </w:rPr>
              <w:t>28-24</w:t>
            </w:r>
            <w:r>
              <w:rPr>
                <w:rFonts w:hint="cs"/>
                <w:rtl/>
                <w:lang w:val="en-GB"/>
              </w:rPr>
              <w:t xml:space="preserve"> مايو </w:t>
            </w:r>
            <w:r>
              <w:rPr>
                <w:lang w:val="en-GB"/>
              </w:rPr>
              <w:t>2021</w:t>
            </w:r>
            <w:r>
              <w:rPr>
                <w:rFonts w:hint="cs"/>
                <w:rtl/>
                <w:lang w:val="en-GB"/>
              </w:rPr>
              <w:t xml:space="preserve"> وهو وارد في الوثيقة </w:t>
            </w:r>
            <w:r>
              <w:rPr>
                <w:b/>
                <w:bCs/>
              </w:rPr>
              <w:t>TDAG-21/7</w:t>
            </w:r>
            <w:r w:rsidRPr="00651B90">
              <w:rPr>
                <w:rFonts w:hint="cs"/>
                <w:rtl/>
              </w:rPr>
              <w:t>.</w:t>
            </w:r>
          </w:p>
          <w:p w14:paraId="6B8CCD10" w14:textId="77777777" w:rsidR="00B25FD0" w:rsidRPr="00D133A7" w:rsidRDefault="00B25FD0" w:rsidP="00B25FD0">
            <w:pPr>
              <w:rPr>
                <w:b/>
                <w:bCs/>
                <w:rtl/>
              </w:rPr>
            </w:pPr>
            <w:r w:rsidRPr="00D133A7">
              <w:rPr>
                <w:rFonts w:hint="cs"/>
                <w:b/>
                <w:bCs/>
                <w:rtl/>
                <w:lang w:bidi="ar-SY"/>
              </w:rPr>
              <w:t>الإجراء المطلوب:</w:t>
            </w:r>
          </w:p>
          <w:p w14:paraId="13A3D235" w14:textId="77777777" w:rsidR="00B25FD0" w:rsidRPr="00D133A7" w:rsidRDefault="00B25FD0" w:rsidP="00B25FD0">
            <w:pPr>
              <w:rPr>
                <w:rtl/>
              </w:rPr>
            </w:pPr>
            <w:r w:rsidRPr="00D133A7">
              <w:rPr>
                <w:rFonts w:hint="cs"/>
                <w:rtl/>
              </w:rPr>
              <w:t xml:space="preserve">يُدعى </w:t>
            </w:r>
            <w:r w:rsidRPr="00D133A7">
              <w:rPr>
                <w:rFonts w:hint="eastAsia"/>
                <w:rtl/>
              </w:rPr>
              <w:t>الفريق</w:t>
            </w:r>
            <w:r w:rsidRPr="00D133A7">
              <w:rPr>
                <w:rtl/>
              </w:rPr>
              <w:t xml:space="preserve"> </w:t>
            </w:r>
            <w:r w:rsidRPr="00D133A7">
              <w:rPr>
                <w:rFonts w:hint="eastAsia"/>
                <w:rtl/>
              </w:rPr>
              <w:t>الاستشاري</w:t>
            </w:r>
            <w:r w:rsidRPr="00D133A7">
              <w:rPr>
                <w:rtl/>
              </w:rPr>
              <w:t xml:space="preserve"> </w:t>
            </w:r>
            <w:r w:rsidRPr="00D133A7">
              <w:rPr>
                <w:rFonts w:hint="eastAsia"/>
                <w:rtl/>
              </w:rPr>
              <w:t>لتنمية</w:t>
            </w:r>
            <w:r w:rsidRPr="00D133A7">
              <w:rPr>
                <w:rtl/>
              </w:rPr>
              <w:t xml:space="preserve"> </w:t>
            </w:r>
            <w:r w:rsidRPr="00D133A7">
              <w:rPr>
                <w:rFonts w:hint="eastAsia"/>
                <w:rtl/>
              </w:rPr>
              <w:t>الاتصالات</w:t>
            </w:r>
            <w:r w:rsidRPr="00D133A7">
              <w:rPr>
                <w:rFonts w:hint="cs"/>
                <w:rtl/>
              </w:rPr>
              <w:t xml:space="preserve"> </w:t>
            </w:r>
            <w:r w:rsidRPr="00D133A7">
              <w:rPr>
                <w:lang w:bidi="ar-EG"/>
              </w:rPr>
              <w:t>(TDAG</w:t>
            </w:r>
            <w:r>
              <w:rPr>
                <w:lang w:bidi="ar-EG"/>
              </w:rPr>
              <w:t>)</w:t>
            </w:r>
            <w:r w:rsidRPr="00D133A7">
              <w:rPr>
                <w:rtl/>
              </w:rPr>
              <w:t xml:space="preserve"> </w:t>
            </w:r>
            <w:r w:rsidRPr="00D133A7">
              <w:rPr>
                <w:rFonts w:hint="cs"/>
                <w:rtl/>
                <w:lang w:bidi="ar-EG"/>
              </w:rPr>
              <w:t>إلى الإحاطة علماً</w:t>
            </w:r>
            <w:r w:rsidRPr="00D133A7">
              <w:rPr>
                <w:rtl/>
              </w:rPr>
              <w:t xml:space="preserve"> </w:t>
            </w:r>
            <w:r w:rsidRPr="00D133A7">
              <w:rPr>
                <w:rFonts w:hint="eastAsia"/>
                <w:rtl/>
              </w:rPr>
              <w:t>بهذ</w:t>
            </w:r>
            <w:r w:rsidRPr="00D133A7">
              <w:rPr>
                <w:rFonts w:hint="cs"/>
                <w:rtl/>
              </w:rPr>
              <w:t>ه الوثيقة</w:t>
            </w:r>
            <w:r w:rsidRPr="00D133A7">
              <w:rPr>
                <w:rtl/>
              </w:rPr>
              <w:t xml:space="preserve"> </w:t>
            </w:r>
            <w:r w:rsidRPr="00D133A7">
              <w:rPr>
                <w:rFonts w:hint="cs"/>
                <w:rtl/>
              </w:rPr>
              <w:t>وتقديم التوجيهات التي يراها مناسبة.</w:t>
            </w:r>
          </w:p>
          <w:p w14:paraId="0EC3E43E" w14:textId="77777777" w:rsidR="00B25FD0" w:rsidRPr="00D133A7" w:rsidRDefault="00B25FD0" w:rsidP="00B25FD0">
            <w:pPr>
              <w:rPr>
                <w:b/>
                <w:bCs/>
                <w:rtl/>
                <w:lang w:bidi="ar-SY"/>
              </w:rPr>
            </w:pPr>
            <w:r w:rsidRPr="00D133A7">
              <w:rPr>
                <w:rFonts w:hint="cs"/>
                <w:b/>
                <w:bCs/>
                <w:rtl/>
                <w:lang w:bidi="ar-SY"/>
              </w:rPr>
              <w:t>المراجع:</w:t>
            </w:r>
          </w:p>
          <w:p w14:paraId="0C17DFB7" w14:textId="23BBD8EC" w:rsidR="00B25FD0" w:rsidRPr="00FB130A" w:rsidRDefault="00B25FD0" w:rsidP="00B25FD0">
            <w:pPr>
              <w:rPr>
                <w:rtl/>
              </w:rPr>
            </w:pPr>
            <w:r>
              <w:rPr>
                <w:rFonts w:hint="cs"/>
                <w:rtl/>
                <w:lang w:bidi="ar-EG"/>
              </w:rPr>
              <w:t>الغاية</w:t>
            </w:r>
            <w:r w:rsidRPr="00FB130A">
              <w:rPr>
                <w:rFonts w:hint="cs"/>
                <w:rtl/>
                <w:lang w:bidi="ar-EG"/>
              </w:rPr>
              <w:t xml:space="preserve"> </w:t>
            </w:r>
            <w:r w:rsidRPr="00FB130A">
              <w:t>5</w:t>
            </w:r>
            <w:r w:rsidRPr="00FB130A">
              <w:rPr>
                <w:rFonts w:hint="cs"/>
                <w:rtl/>
                <w:lang w:bidi="ar-EG"/>
              </w:rPr>
              <w:t xml:space="preserve"> للاتحاد</w:t>
            </w:r>
            <w:r w:rsidR="00DA0FEE">
              <w:rPr>
                <w:rFonts w:hint="cs"/>
                <w:rtl/>
                <w:lang w:bidi="ar-EG"/>
              </w:rPr>
              <w:t xml:space="preserve"> الدولي للاتصالات</w:t>
            </w:r>
          </w:p>
          <w:p w14:paraId="6791E886" w14:textId="787D88FB" w:rsidR="00783A69" w:rsidRPr="00783A69" w:rsidRDefault="00B25FD0" w:rsidP="00B25FD0">
            <w:pPr>
              <w:spacing w:after="120"/>
              <w:rPr>
                <w:rtl/>
              </w:rPr>
            </w:pPr>
            <w:r w:rsidRPr="00FB130A">
              <w:rPr>
                <w:rFonts w:hint="cs"/>
                <w:rtl/>
              </w:rPr>
              <w:t xml:space="preserve">خطة عمل بوينس آيرس، القسم </w:t>
            </w:r>
            <w:r w:rsidRPr="00FB130A">
              <w:t>5.4</w:t>
            </w:r>
            <w:r w:rsidRPr="00FB130A">
              <w:rPr>
                <w:rFonts w:hint="cs"/>
                <w:rtl/>
              </w:rPr>
              <w:t xml:space="preserve"> من التقرير الختامي للمؤتمر العالمي لتنمية الاتصالات لعام </w:t>
            </w:r>
            <w:r w:rsidRPr="00FB130A">
              <w:t>2017</w:t>
            </w:r>
            <w:r>
              <w:rPr>
                <w:rFonts w:hint="cs"/>
                <w:rtl/>
              </w:rPr>
              <w:t xml:space="preserve"> </w:t>
            </w:r>
            <w:r w:rsidRPr="00B3280D">
              <w:rPr>
                <w:rFonts w:hint="cs"/>
                <w:spacing w:val="-4"/>
                <w:rtl/>
                <w:lang w:bidi="ar-SY"/>
              </w:rPr>
              <w:t xml:space="preserve">القراران </w:t>
            </w:r>
            <w:r w:rsidRPr="00B3280D">
              <w:rPr>
                <w:spacing w:val="-4"/>
              </w:rPr>
              <w:t>17</w:t>
            </w:r>
            <w:r w:rsidRPr="00B3280D">
              <w:rPr>
                <w:rFonts w:hint="cs"/>
                <w:spacing w:val="-4"/>
                <w:rtl/>
                <w:lang w:bidi="ar-EG"/>
              </w:rPr>
              <w:t xml:space="preserve"> (المراجَع في</w:t>
            </w:r>
            <w:r w:rsidRPr="00B3280D">
              <w:rPr>
                <w:rFonts w:hint="eastAsia"/>
                <w:spacing w:val="-4"/>
                <w:rtl/>
                <w:lang w:bidi="ar-EG"/>
              </w:rPr>
              <w:t> </w:t>
            </w:r>
            <w:r w:rsidRPr="00B3280D">
              <w:rPr>
                <w:rFonts w:hint="cs"/>
                <w:spacing w:val="-4"/>
                <w:rtl/>
                <w:lang w:bidi="ar-EG"/>
              </w:rPr>
              <w:t>بوينس</w:t>
            </w:r>
            <w:r w:rsidRPr="00B3280D">
              <w:rPr>
                <w:rFonts w:hint="eastAsia"/>
                <w:spacing w:val="-4"/>
                <w:rtl/>
                <w:lang w:bidi="ar-EG"/>
              </w:rPr>
              <w:t> </w:t>
            </w:r>
            <w:r w:rsidRPr="00B3280D">
              <w:rPr>
                <w:rFonts w:hint="cs"/>
                <w:spacing w:val="-4"/>
                <w:rtl/>
                <w:lang w:bidi="ar-EG"/>
              </w:rPr>
              <w:t xml:space="preserve">آيرس، </w:t>
            </w:r>
            <w:r w:rsidRPr="00B3280D">
              <w:rPr>
                <w:spacing w:val="-4"/>
              </w:rPr>
              <w:t>2017</w:t>
            </w:r>
            <w:r w:rsidRPr="00B3280D">
              <w:rPr>
                <w:rFonts w:hint="cs"/>
                <w:spacing w:val="-4"/>
                <w:rtl/>
                <w:lang w:bidi="ar-EG"/>
              </w:rPr>
              <w:t>) و</w:t>
            </w:r>
            <w:r w:rsidRPr="00B3280D">
              <w:rPr>
                <w:spacing w:val="-4"/>
              </w:rPr>
              <w:t>71</w:t>
            </w:r>
            <w:r w:rsidRPr="00B3280D">
              <w:rPr>
                <w:rFonts w:hint="cs"/>
                <w:spacing w:val="-4"/>
                <w:rtl/>
                <w:lang w:bidi="ar-EG"/>
              </w:rPr>
              <w:t xml:space="preserve"> (المراجَع في</w:t>
            </w:r>
            <w:r w:rsidRPr="00B3280D">
              <w:rPr>
                <w:rFonts w:hint="eastAsia"/>
                <w:spacing w:val="-4"/>
                <w:rtl/>
                <w:lang w:bidi="ar-EG"/>
              </w:rPr>
              <w:t> </w:t>
            </w:r>
            <w:r w:rsidRPr="00B3280D">
              <w:rPr>
                <w:rFonts w:hint="cs"/>
                <w:spacing w:val="-4"/>
                <w:rtl/>
                <w:lang w:bidi="ar-EG"/>
              </w:rPr>
              <w:t>بوينس</w:t>
            </w:r>
            <w:r w:rsidRPr="00B3280D">
              <w:rPr>
                <w:rFonts w:hint="eastAsia"/>
                <w:spacing w:val="-4"/>
                <w:rtl/>
                <w:lang w:bidi="ar-EG"/>
              </w:rPr>
              <w:t> </w:t>
            </w:r>
            <w:r w:rsidRPr="00B3280D">
              <w:rPr>
                <w:rFonts w:hint="cs"/>
                <w:spacing w:val="-4"/>
                <w:rtl/>
                <w:lang w:bidi="ar-EG"/>
              </w:rPr>
              <w:t xml:space="preserve">آيرس، </w:t>
            </w:r>
            <w:r w:rsidRPr="00B3280D">
              <w:rPr>
                <w:spacing w:val="-4"/>
              </w:rPr>
              <w:t>2017</w:t>
            </w:r>
            <w:r w:rsidRPr="00B3280D">
              <w:rPr>
                <w:rFonts w:hint="cs"/>
                <w:spacing w:val="-4"/>
                <w:rtl/>
                <w:lang w:bidi="ar-EG"/>
              </w:rPr>
              <w:t>) للمؤتمر العالمي لتنمية الاتصالات</w:t>
            </w:r>
          </w:p>
        </w:tc>
      </w:tr>
    </w:tbl>
    <w:p w14:paraId="1E901B07" w14:textId="77777777" w:rsidR="0006468A" w:rsidRDefault="0006468A" w:rsidP="0006468A">
      <w:pPr>
        <w:rPr>
          <w:rtl/>
          <w:lang w:bidi="ar-EG"/>
        </w:rPr>
      </w:pPr>
    </w:p>
    <w:p w14:paraId="19699CA9" w14:textId="77777777" w:rsidR="00882A17" w:rsidRDefault="00882A17" w:rsidP="00793C66">
      <w:pPr>
        <w:rPr>
          <w:lang w:bidi="ar-EG"/>
        </w:rPr>
      </w:pPr>
      <w:r>
        <w:rPr>
          <w:rtl/>
          <w:lang w:bidi="ar-EG"/>
        </w:rPr>
        <w:br w:type="page"/>
      </w:r>
    </w:p>
    <w:p w14:paraId="5BE55FF1" w14:textId="77777777" w:rsidR="00B25FD0" w:rsidRPr="00B25FD0" w:rsidRDefault="00B25FD0" w:rsidP="00B25FD0">
      <w:pPr>
        <w:pStyle w:val="Heading1"/>
      </w:pPr>
      <w:r w:rsidRPr="00B25FD0">
        <w:lastRenderedPageBreak/>
        <w:t>1</w:t>
      </w:r>
      <w:r w:rsidRPr="00B25FD0">
        <w:rPr>
          <w:rtl/>
        </w:rPr>
        <w:tab/>
      </w:r>
      <w:r w:rsidRPr="00B25FD0">
        <w:rPr>
          <w:rFonts w:hint="cs"/>
          <w:rtl/>
        </w:rPr>
        <w:t>خلفية</w:t>
      </w:r>
    </w:p>
    <w:p w14:paraId="099E8196" w14:textId="77777777" w:rsidR="00B25FD0" w:rsidRPr="00806E04" w:rsidRDefault="00B25FD0" w:rsidP="00B25FD0">
      <w:pPr>
        <w:rPr>
          <w:rtl/>
          <w:lang w:bidi="ar-EG"/>
        </w:rPr>
      </w:pPr>
      <w:r>
        <w:rPr>
          <w:rFonts w:hint="cs"/>
          <w:rtl/>
          <w:lang w:bidi="ar-EG"/>
        </w:rPr>
        <w:t>أكّد المؤتمر العالمي لتنمية الاتصالات لعام</w:t>
      </w:r>
      <w:r>
        <w:rPr>
          <w:rFonts w:hint="eastAsia"/>
          <w:rtl/>
          <w:lang w:bidi="ar-EG"/>
        </w:rPr>
        <w:t> </w:t>
      </w:r>
      <w:r>
        <w:rPr>
          <w:lang w:bidi="ar-EG"/>
        </w:rPr>
        <w:t>2017</w:t>
      </w:r>
      <w:r>
        <w:rPr>
          <w:rFonts w:hint="cs"/>
          <w:rtl/>
          <w:lang w:bidi="ar-EG"/>
        </w:rPr>
        <w:t xml:space="preserve"> </w:t>
      </w:r>
      <w:r>
        <w:rPr>
          <w:lang w:bidi="ar-EG"/>
        </w:rPr>
        <w:t>(WTDC-17)</w:t>
      </w:r>
      <w:r>
        <w:rPr>
          <w:rFonts w:hint="cs"/>
          <w:rtl/>
          <w:lang w:bidi="ar-EG"/>
        </w:rPr>
        <w:t xml:space="preserve"> الدور الحاسم للشراكات وتعبئة الموارد في</w:t>
      </w:r>
      <w:r>
        <w:rPr>
          <w:rFonts w:hint="eastAsia"/>
          <w:rtl/>
          <w:lang w:bidi="ar-EG"/>
        </w:rPr>
        <w:t> </w:t>
      </w:r>
      <w:r>
        <w:rPr>
          <w:rFonts w:hint="cs"/>
          <w:rtl/>
          <w:lang w:bidi="ar-EG"/>
        </w:rPr>
        <w:t xml:space="preserve">دعم تنفيذ كل من خطة عمل بوينس آيرس وخطوط عمل القمة العالمية لمجتمع المعلومات </w:t>
      </w:r>
      <w:r>
        <w:rPr>
          <w:lang w:bidi="ar-EG"/>
        </w:rPr>
        <w:t>(WSIS)</w:t>
      </w:r>
      <w:r>
        <w:rPr>
          <w:rFonts w:hint="cs"/>
          <w:rtl/>
          <w:lang w:bidi="ar-EG"/>
        </w:rPr>
        <w:t xml:space="preserve"> وأهداف التنمية المستدامة </w:t>
      </w:r>
      <w:r>
        <w:rPr>
          <w:lang w:bidi="ar-EG"/>
        </w:rPr>
        <w:t>(SDG)</w:t>
      </w:r>
      <w:r>
        <w:rPr>
          <w:rFonts w:hint="cs"/>
          <w:rtl/>
          <w:lang w:bidi="ar-EG"/>
        </w:rPr>
        <w:t>.</w:t>
      </w:r>
    </w:p>
    <w:p w14:paraId="20DE1396" w14:textId="10700538" w:rsidR="00B25FD0" w:rsidRPr="00FB130A" w:rsidRDefault="00B25FD0" w:rsidP="00B25FD0">
      <w:pPr>
        <w:rPr>
          <w:rtl/>
          <w:lang w:bidi="ar-EG"/>
        </w:rPr>
      </w:pPr>
      <w:r>
        <w:rPr>
          <w:rFonts w:hint="cs"/>
          <w:rtl/>
          <w:lang w:bidi="ar-EG"/>
        </w:rPr>
        <w:t xml:space="preserve">وتشير خطة عمل المؤتمر </w:t>
      </w:r>
      <w:r>
        <w:rPr>
          <w:lang w:bidi="ar-EG"/>
        </w:rPr>
        <w:t>WTDC-17</w:t>
      </w:r>
      <w:r>
        <w:rPr>
          <w:rFonts w:hint="cs"/>
          <w:rtl/>
          <w:lang w:bidi="ar-EG"/>
        </w:rPr>
        <w:t xml:space="preserve"> إلى أنه ينبغي، متى أمكن، تنفيذ البرامج والمبادرات الإقليمية بالشراكة مع طائفة واسعة من أصحاب المصلحة. </w:t>
      </w:r>
      <w:r w:rsidRPr="00FB130A">
        <w:rPr>
          <w:rFonts w:hint="cs"/>
          <w:rtl/>
          <w:lang w:bidi="ar-EG"/>
        </w:rPr>
        <w:t>ويكلف القرار</w:t>
      </w:r>
      <w:r w:rsidRPr="00FB130A">
        <w:rPr>
          <w:rFonts w:hint="eastAsia"/>
          <w:rtl/>
          <w:lang w:bidi="ar-EG"/>
        </w:rPr>
        <w:t> </w:t>
      </w:r>
      <w:r w:rsidRPr="00FB130A">
        <w:rPr>
          <w:lang w:bidi="ar-EG"/>
        </w:rPr>
        <w:t>17</w:t>
      </w:r>
      <w:r w:rsidRPr="00FB130A">
        <w:rPr>
          <w:rFonts w:hint="cs"/>
          <w:rtl/>
        </w:rPr>
        <w:t xml:space="preserve"> </w:t>
      </w:r>
      <w:r w:rsidRPr="00FB130A">
        <w:rPr>
          <w:rFonts w:hint="cs"/>
          <w:rtl/>
          <w:lang w:bidi="ar-EG"/>
        </w:rPr>
        <w:t>(المرا</w:t>
      </w:r>
      <w:r>
        <w:rPr>
          <w:rFonts w:hint="cs"/>
          <w:rtl/>
          <w:lang w:bidi="ar-EG"/>
        </w:rPr>
        <w:t>جَع</w:t>
      </w:r>
      <w:r w:rsidRPr="00FB130A">
        <w:rPr>
          <w:rFonts w:hint="cs"/>
          <w:rtl/>
          <w:lang w:bidi="ar-EG"/>
        </w:rPr>
        <w:t xml:space="preserve"> في</w:t>
      </w:r>
      <w:r w:rsidRPr="00FB130A">
        <w:rPr>
          <w:rFonts w:hint="eastAsia"/>
          <w:rtl/>
          <w:lang w:bidi="ar-EG"/>
        </w:rPr>
        <w:t> </w:t>
      </w:r>
      <w:r w:rsidRPr="00FB130A">
        <w:rPr>
          <w:rFonts w:hint="cs"/>
          <w:rtl/>
          <w:lang w:bidi="ar-EG"/>
        </w:rPr>
        <w:t>بوينس</w:t>
      </w:r>
      <w:r w:rsidRPr="00FB130A">
        <w:rPr>
          <w:rFonts w:hint="eastAsia"/>
          <w:rtl/>
          <w:lang w:bidi="ar-EG"/>
        </w:rPr>
        <w:t> </w:t>
      </w:r>
      <w:r w:rsidRPr="00FB130A">
        <w:rPr>
          <w:rFonts w:hint="cs"/>
          <w:rtl/>
          <w:lang w:bidi="ar-EG"/>
        </w:rPr>
        <w:t xml:space="preserve">آيرس، </w:t>
      </w:r>
      <w:r w:rsidRPr="00FB130A">
        <w:rPr>
          <w:lang w:bidi="ar-EG"/>
        </w:rPr>
        <w:t>2017</w:t>
      </w:r>
      <w:r w:rsidRPr="00FB130A">
        <w:rPr>
          <w:rFonts w:hint="cs"/>
          <w:rtl/>
          <w:lang w:bidi="ar-EG"/>
        </w:rPr>
        <w:t xml:space="preserve">) مكتب تنمية الاتصالات </w:t>
      </w:r>
      <w:r w:rsidRPr="00FB130A">
        <w:rPr>
          <w:rFonts w:hint="cs"/>
          <w:rtl/>
        </w:rPr>
        <w:t>بأن يستمر</w:t>
      </w:r>
      <w:r w:rsidRPr="00FB130A">
        <w:rPr>
          <w:rtl/>
        </w:rPr>
        <w:t xml:space="preserve"> بنشاط في</w:t>
      </w:r>
      <w:r w:rsidR="00793C66">
        <w:rPr>
          <w:rFonts w:hint="cs"/>
          <w:rtl/>
        </w:rPr>
        <w:t> </w:t>
      </w:r>
      <w:r w:rsidRPr="00FB130A">
        <w:rPr>
          <w:rtl/>
        </w:rPr>
        <w:t>عقد شراكات مع الدول الأعضاء وأعضاء قطاع تنمية الاتصالات والمؤسسات المالية والمنظمات الدولية من أجل تمويل أنشطة تنفيذ المبادرات</w:t>
      </w:r>
      <w:r w:rsidRPr="00FB130A">
        <w:rPr>
          <w:rFonts w:hint="cs"/>
          <w:rtl/>
          <w:lang w:bidi="ar-EG"/>
        </w:rPr>
        <w:t xml:space="preserve"> الإقليمية. ويدعو القرار </w:t>
      </w:r>
      <w:r w:rsidRPr="00FB130A">
        <w:rPr>
          <w:rFonts w:hint="eastAsia"/>
          <w:rtl/>
          <w:lang w:bidi="ar-EG"/>
        </w:rPr>
        <w:t>المنظمات</w:t>
      </w:r>
      <w:r w:rsidRPr="00FB130A">
        <w:rPr>
          <w:rFonts w:hint="cs"/>
          <w:rtl/>
          <w:lang w:bidi="ar-EG"/>
        </w:rPr>
        <w:t>/</w:t>
      </w:r>
      <w:r w:rsidRPr="00FB130A">
        <w:rPr>
          <w:rFonts w:hint="eastAsia"/>
          <w:rtl/>
          <w:lang w:bidi="ar-EG"/>
        </w:rPr>
        <w:t>الوكالات</w:t>
      </w:r>
      <w:r w:rsidRPr="00FB130A">
        <w:rPr>
          <w:rtl/>
          <w:lang w:bidi="ar-EG"/>
        </w:rPr>
        <w:t xml:space="preserve"> </w:t>
      </w:r>
      <w:r w:rsidRPr="00FB130A">
        <w:rPr>
          <w:rFonts w:hint="eastAsia"/>
          <w:rtl/>
          <w:lang w:bidi="ar-EG"/>
        </w:rPr>
        <w:t>المالية</w:t>
      </w:r>
      <w:r w:rsidRPr="00FB130A">
        <w:rPr>
          <w:rtl/>
          <w:lang w:bidi="ar-EG"/>
        </w:rPr>
        <w:t xml:space="preserve"> </w:t>
      </w:r>
      <w:r w:rsidRPr="00FB130A">
        <w:rPr>
          <w:rFonts w:hint="eastAsia"/>
          <w:rtl/>
          <w:lang w:bidi="ar-EG"/>
        </w:rPr>
        <w:t>الدولية</w:t>
      </w:r>
      <w:r w:rsidRPr="00FB130A">
        <w:rPr>
          <w:rtl/>
          <w:lang w:bidi="ar-EG"/>
        </w:rPr>
        <w:t xml:space="preserve"> </w:t>
      </w:r>
      <w:r w:rsidRPr="00FB130A">
        <w:rPr>
          <w:rFonts w:hint="eastAsia"/>
          <w:rtl/>
          <w:lang w:bidi="ar-EG"/>
        </w:rPr>
        <w:t>ومزودي</w:t>
      </w:r>
      <w:r w:rsidRPr="00FB130A">
        <w:rPr>
          <w:rtl/>
          <w:lang w:bidi="ar-EG"/>
        </w:rPr>
        <w:t xml:space="preserve"> </w:t>
      </w:r>
      <w:r w:rsidRPr="00FB130A">
        <w:rPr>
          <w:rFonts w:hint="eastAsia"/>
          <w:rtl/>
          <w:lang w:bidi="ar-EG"/>
        </w:rPr>
        <w:t>المعدات</w:t>
      </w:r>
      <w:r w:rsidRPr="00FB130A">
        <w:rPr>
          <w:rtl/>
          <w:lang w:bidi="ar-EG"/>
        </w:rPr>
        <w:t xml:space="preserve"> </w:t>
      </w:r>
      <w:r w:rsidRPr="00FB130A">
        <w:rPr>
          <w:rFonts w:hint="eastAsia"/>
          <w:rtl/>
          <w:lang w:bidi="ar-EG"/>
        </w:rPr>
        <w:t>ومشغلي</w:t>
      </w:r>
      <w:r w:rsidRPr="00FB130A">
        <w:rPr>
          <w:rtl/>
          <w:lang w:bidi="ar-EG"/>
        </w:rPr>
        <w:t>/</w:t>
      </w:r>
      <w:r w:rsidRPr="00FB130A">
        <w:rPr>
          <w:rFonts w:hint="cs"/>
          <w:rtl/>
          <w:lang w:bidi="ar-EG"/>
        </w:rPr>
        <w:t>موردي</w:t>
      </w:r>
      <w:r w:rsidRPr="00FB130A">
        <w:rPr>
          <w:rtl/>
          <w:lang w:bidi="ar-EG"/>
        </w:rPr>
        <w:t xml:space="preserve"> </w:t>
      </w:r>
      <w:r w:rsidRPr="00FB130A">
        <w:rPr>
          <w:rFonts w:hint="eastAsia"/>
          <w:rtl/>
          <w:lang w:bidi="ar-EG"/>
        </w:rPr>
        <w:t>الخدمات</w:t>
      </w:r>
      <w:r w:rsidRPr="00FB130A">
        <w:rPr>
          <w:rFonts w:hint="cs"/>
          <w:rtl/>
          <w:lang w:bidi="ar-EG"/>
        </w:rPr>
        <w:t xml:space="preserve"> إلى</w:t>
      </w:r>
      <w:r w:rsidRPr="00FB130A">
        <w:rPr>
          <w:rtl/>
          <w:lang w:bidi="ar-EG"/>
        </w:rPr>
        <w:t xml:space="preserve"> </w:t>
      </w:r>
      <w:r w:rsidRPr="00FB130A">
        <w:rPr>
          <w:rFonts w:hint="cs"/>
          <w:rtl/>
          <w:lang w:bidi="ar-EG"/>
        </w:rPr>
        <w:t>ا</w:t>
      </w:r>
      <w:r w:rsidRPr="00FB130A">
        <w:rPr>
          <w:rFonts w:hint="eastAsia"/>
          <w:rtl/>
          <w:lang w:bidi="ar-EG"/>
        </w:rPr>
        <w:t>لمساهمة</w:t>
      </w:r>
      <w:r w:rsidRPr="00FB130A">
        <w:rPr>
          <w:rtl/>
          <w:lang w:bidi="ar-EG"/>
        </w:rPr>
        <w:t xml:space="preserve"> </w:t>
      </w:r>
      <w:r w:rsidRPr="00FB130A">
        <w:rPr>
          <w:rFonts w:hint="eastAsia"/>
          <w:rtl/>
          <w:lang w:bidi="ar-EG"/>
        </w:rPr>
        <w:t>في</w:t>
      </w:r>
      <w:r w:rsidRPr="00FB130A">
        <w:rPr>
          <w:rtl/>
          <w:lang w:bidi="ar-EG"/>
        </w:rPr>
        <w:t xml:space="preserve"> </w:t>
      </w:r>
      <w:r w:rsidRPr="00FB130A">
        <w:rPr>
          <w:rFonts w:hint="eastAsia"/>
          <w:rtl/>
          <w:lang w:bidi="ar-EG"/>
        </w:rPr>
        <w:t>توفير</w:t>
      </w:r>
      <w:r w:rsidRPr="00FB130A">
        <w:rPr>
          <w:rtl/>
          <w:lang w:bidi="ar-EG"/>
        </w:rPr>
        <w:t xml:space="preserve"> </w:t>
      </w:r>
      <w:r w:rsidRPr="00FB130A">
        <w:rPr>
          <w:rFonts w:hint="eastAsia"/>
          <w:rtl/>
          <w:lang w:bidi="ar-EG"/>
        </w:rPr>
        <w:t>التمويل</w:t>
      </w:r>
      <w:r w:rsidRPr="00FB130A">
        <w:rPr>
          <w:rtl/>
          <w:lang w:bidi="ar-EG"/>
        </w:rPr>
        <w:t xml:space="preserve"> </w:t>
      </w:r>
      <w:r w:rsidRPr="00FB130A">
        <w:rPr>
          <w:rFonts w:hint="eastAsia"/>
          <w:rtl/>
          <w:lang w:bidi="ar-EG"/>
        </w:rPr>
        <w:t>الكامل</w:t>
      </w:r>
      <w:r w:rsidRPr="00FB130A">
        <w:rPr>
          <w:rtl/>
          <w:lang w:bidi="ar-EG"/>
        </w:rPr>
        <w:t xml:space="preserve"> </w:t>
      </w:r>
      <w:r w:rsidRPr="00FB130A">
        <w:rPr>
          <w:rFonts w:hint="eastAsia"/>
          <w:rtl/>
          <w:lang w:bidi="ar-EG"/>
        </w:rPr>
        <w:t>أو</w:t>
      </w:r>
      <w:r w:rsidRPr="00FB130A">
        <w:rPr>
          <w:rtl/>
          <w:lang w:bidi="ar-EG"/>
        </w:rPr>
        <w:t xml:space="preserve"> </w:t>
      </w:r>
      <w:r w:rsidRPr="00FB130A">
        <w:rPr>
          <w:rFonts w:hint="eastAsia"/>
          <w:rtl/>
          <w:lang w:bidi="ar-EG"/>
        </w:rPr>
        <w:t>الجزئي،</w:t>
      </w:r>
      <w:r w:rsidRPr="00FB130A">
        <w:rPr>
          <w:rtl/>
          <w:lang w:bidi="ar-EG"/>
        </w:rPr>
        <w:t xml:space="preserve"> </w:t>
      </w:r>
      <w:r w:rsidRPr="00FB130A">
        <w:rPr>
          <w:rFonts w:hint="eastAsia"/>
          <w:rtl/>
          <w:lang w:bidi="ar-EG"/>
        </w:rPr>
        <w:t>للمبادرات</w:t>
      </w:r>
      <w:r w:rsidRPr="00FB130A">
        <w:rPr>
          <w:rtl/>
          <w:lang w:bidi="ar-EG"/>
        </w:rPr>
        <w:t xml:space="preserve"> </w:t>
      </w:r>
      <w:r w:rsidRPr="00FB130A">
        <w:rPr>
          <w:rFonts w:hint="eastAsia"/>
          <w:rtl/>
          <w:lang w:bidi="ar-EG"/>
        </w:rPr>
        <w:t>المعتمدة</w:t>
      </w:r>
      <w:r w:rsidRPr="00FB130A">
        <w:rPr>
          <w:rFonts w:hint="cs"/>
          <w:rtl/>
          <w:lang w:bidi="ar-EG"/>
        </w:rPr>
        <w:t> </w:t>
      </w:r>
      <w:r w:rsidRPr="00FB130A">
        <w:rPr>
          <w:rFonts w:hint="eastAsia"/>
          <w:rtl/>
          <w:lang w:bidi="ar-EG"/>
        </w:rPr>
        <w:t>إقليمياً</w:t>
      </w:r>
      <w:r w:rsidRPr="00FB130A">
        <w:rPr>
          <w:rFonts w:hint="cs"/>
          <w:rtl/>
          <w:lang w:bidi="ar-EG"/>
        </w:rPr>
        <w:t>.</w:t>
      </w:r>
    </w:p>
    <w:p w14:paraId="02A22EE6" w14:textId="77777777" w:rsidR="00B25FD0" w:rsidRPr="00B25FD0" w:rsidRDefault="00B25FD0" w:rsidP="00B25FD0">
      <w:pPr>
        <w:pStyle w:val="Heading1"/>
        <w:rPr>
          <w:rtl/>
        </w:rPr>
      </w:pPr>
      <w:r w:rsidRPr="00B25FD0">
        <w:t>2</w:t>
      </w:r>
      <w:r w:rsidRPr="00B25FD0">
        <w:rPr>
          <w:rtl/>
        </w:rPr>
        <w:tab/>
      </w:r>
      <w:r w:rsidRPr="00B25FD0">
        <w:rPr>
          <w:rFonts w:hint="cs"/>
          <w:rtl/>
        </w:rPr>
        <w:t>الهدف الاستراتيجي المتمثل في الشراكات وتعبئة الموارد في قطاع تنمية الاتصالات</w:t>
      </w:r>
    </w:p>
    <w:p w14:paraId="22EDD305" w14:textId="77777777" w:rsidR="00B25FD0" w:rsidRPr="00FB130A" w:rsidRDefault="00B25FD0" w:rsidP="00B25FD0">
      <w:pPr>
        <w:rPr>
          <w:rtl/>
        </w:rPr>
      </w:pPr>
      <w:r>
        <w:rPr>
          <w:rFonts w:hint="cs"/>
          <w:rtl/>
          <w:lang w:bidi="ar-EG"/>
        </w:rPr>
        <w:t>وفقاً لنتائج المؤتمر العالمي لتنمية الاتصالات لعام</w:t>
      </w:r>
      <w:r>
        <w:rPr>
          <w:rFonts w:hint="eastAsia"/>
          <w:rtl/>
          <w:lang w:bidi="ar-EG"/>
        </w:rPr>
        <w:t> </w:t>
      </w:r>
      <w:r>
        <w:rPr>
          <w:lang w:bidi="ar-EG"/>
        </w:rPr>
        <w:t>2017</w:t>
      </w:r>
      <w:r>
        <w:rPr>
          <w:rFonts w:hint="cs"/>
          <w:rtl/>
          <w:lang w:bidi="ar-EG"/>
        </w:rPr>
        <w:t xml:space="preserve"> </w:t>
      </w:r>
      <w:r>
        <w:rPr>
          <w:lang w:bidi="ar-EG"/>
        </w:rPr>
        <w:t>(WTDC-17)</w:t>
      </w:r>
      <w:r>
        <w:rPr>
          <w:rFonts w:hint="cs"/>
          <w:rtl/>
          <w:lang w:bidi="ar-EG"/>
        </w:rPr>
        <w:t xml:space="preserve">، </w:t>
      </w:r>
      <w:r w:rsidRPr="00FB130A">
        <w:rPr>
          <w:rFonts w:hint="cs"/>
          <w:rtl/>
        </w:rPr>
        <w:t xml:space="preserve">يتمثل </w:t>
      </w:r>
      <w:r w:rsidRPr="00FB1E99">
        <w:rPr>
          <w:rFonts w:hint="eastAsia"/>
          <w:rtl/>
        </w:rPr>
        <w:t>الهدف</w:t>
      </w:r>
      <w:r w:rsidRPr="00FB130A">
        <w:rPr>
          <w:rFonts w:hint="cs"/>
          <w:rtl/>
        </w:rPr>
        <w:t xml:space="preserve"> في تيسير التعاون وتطويره وتعزيزه مع أوسع مجموعة ممكنة من الشركاء من البلدان المتقدمة والبلدان النامية على السواء </w:t>
      </w:r>
      <w:r w:rsidRPr="00B3280D">
        <w:rPr>
          <w:rFonts w:hint="eastAsia"/>
          <w:rtl/>
        </w:rPr>
        <w:t>بغية</w:t>
      </w:r>
      <w:r w:rsidRPr="00FB130A">
        <w:rPr>
          <w:rFonts w:hint="cs"/>
          <w:rtl/>
        </w:rPr>
        <w:t xml:space="preserve"> تعزيز تعبئة الموارد من أجل تنفيذ البرامج والمبادرات الإقليمية لتحقيق التنمية المستدامة.</w:t>
      </w:r>
    </w:p>
    <w:p w14:paraId="18C539C4" w14:textId="77777777" w:rsidR="00B25FD0" w:rsidRPr="00D668A9" w:rsidRDefault="00B25FD0" w:rsidP="00B25FD0">
      <w:pPr>
        <w:pStyle w:val="Heading1"/>
        <w:rPr>
          <w:rtl/>
        </w:rPr>
      </w:pPr>
      <w:r w:rsidRPr="00D668A9">
        <w:t>3</w:t>
      </w:r>
      <w:r w:rsidRPr="00D668A9">
        <w:rPr>
          <w:rtl/>
        </w:rPr>
        <w:tab/>
      </w:r>
      <w:r w:rsidRPr="00D668A9">
        <w:rPr>
          <w:rFonts w:hint="cs"/>
          <w:rtl/>
        </w:rPr>
        <w:t xml:space="preserve">الشراكات </w:t>
      </w:r>
      <w:r>
        <w:rPr>
          <w:rFonts w:hint="cs"/>
          <w:rtl/>
        </w:rPr>
        <w:t>و</w:t>
      </w:r>
      <w:r w:rsidRPr="00D668A9">
        <w:rPr>
          <w:rFonts w:hint="cs"/>
          <w:rtl/>
        </w:rPr>
        <w:t>تعبئة الموارد</w:t>
      </w:r>
    </w:p>
    <w:p w14:paraId="6145E19A" w14:textId="2050BFC8" w:rsidR="00B25FD0" w:rsidRDefault="00B25FD0" w:rsidP="00B25FD0">
      <w:r>
        <w:rPr>
          <w:rFonts w:hint="cs"/>
          <w:rtl/>
          <w:lang w:bidi="ar-EG"/>
        </w:rPr>
        <w:t xml:space="preserve">في الفترة بين </w:t>
      </w:r>
      <w:r>
        <w:rPr>
          <w:lang w:val="en-GB" w:bidi="ar-EG"/>
        </w:rPr>
        <w:t>1</w:t>
      </w:r>
      <w:r>
        <w:rPr>
          <w:rFonts w:hint="cs"/>
          <w:rtl/>
          <w:lang w:bidi="ar-EG"/>
        </w:rPr>
        <w:t xml:space="preserve"> أبريل و</w:t>
      </w:r>
      <w:r>
        <w:rPr>
          <w:lang w:val="en-GB" w:bidi="ar-EG"/>
        </w:rPr>
        <w:t>30</w:t>
      </w:r>
      <w:r>
        <w:rPr>
          <w:rFonts w:hint="cs"/>
          <w:rtl/>
          <w:lang w:val="en-GB" w:bidi="ar-EG"/>
        </w:rPr>
        <w:t xml:space="preserve"> سبتمبر </w:t>
      </w:r>
      <w:r>
        <w:rPr>
          <w:lang w:val="en-GB"/>
        </w:rPr>
        <w:t>2021</w:t>
      </w:r>
      <w:r>
        <w:rPr>
          <w:rFonts w:hint="cs"/>
          <w:rtl/>
          <w:lang w:val="en-GB"/>
        </w:rPr>
        <w:t xml:space="preserve">، </w:t>
      </w:r>
      <w:r>
        <w:rPr>
          <w:rFonts w:hint="cs"/>
          <w:rtl/>
          <w:lang w:bidi="ar-EG"/>
        </w:rPr>
        <w:t xml:space="preserve">وقّع مكتب تنمية الاتصالات </w:t>
      </w:r>
      <w:r>
        <w:rPr>
          <w:lang w:bidi="ar-EG"/>
        </w:rPr>
        <w:t>28</w:t>
      </w:r>
      <w:r>
        <w:rPr>
          <w:rFonts w:hint="cs"/>
          <w:rtl/>
          <w:lang w:bidi="ar-EG"/>
        </w:rPr>
        <w:t xml:space="preserve"> اتفاقاً، يتضمن </w:t>
      </w:r>
      <w:r>
        <w:rPr>
          <w:lang w:bidi="ar-EG"/>
        </w:rPr>
        <w:t>20</w:t>
      </w:r>
      <w:r>
        <w:rPr>
          <w:rFonts w:hint="cs"/>
          <w:rtl/>
          <w:lang w:bidi="ar-EG"/>
        </w:rPr>
        <w:t xml:space="preserve"> اتفاقاً منها مساهمات مالية تقرب قيمتها من </w:t>
      </w:r>
      <w:r>
        <w:rPr>
          <w:lang w:bidi="ar-EG"/>
        </w:rPr>
        <w:t>5,8</w:t>
      </w:r>
      <w:r>
        <w:rPr>
          <w:rFonts w:hint="cs"/>
          <w:rtl/>
          <w:lang w:bidi="ar-EG"/>
        </w:rPr>
        <w:t xml:space="preserve"> ملايين دولار أمريكي بتمويل مشترك من الشركاء (</w:t>
      </w:r>
      <w:r>
        <w:rPr>
          <w:lang w:val="en-GB" w:bidi="ar-EG"/>
        </w:rPr>
        <w:t>(%71</w:t>
      </w:r>
      <w:r>
        <w:rPr>
          <w:rFonts w:hint="cs"/>
          <w:rtl/>
          <w:lang w:bidi="ar-EG"/>
        </w:rPr>
        <w:t xml:space="preserve"> </w:t>
      </w:r>
      <w:r>
        <w:rPr>
          <w:rFonts w:hint="cs"/>
          <w:rtl/>
        </w:rPr>
        <w:t xml:space="preserve">والاتحاد </w:t>
      </w:r>
      <w:r>
        <w:rPr>
          <w:lang w:val="en-GB"/>
        </w:rPr>
        <w:t>(%29)</w:t>
      </w:r>
      <w:r>
        <w:rPr>
          <w:rFonts w:hint="cs"/>
          <w:rtl/>
          <w:lang w:val="en-GB"/>
        </w:rPr>
        <w:t>.</w:t>
      </w:r>
      <w:r>
        <w:rPr>
          <w:rFonts w:hint="cs"/>
          <w:rtl/>
          <w:lang w:bidi="ar-EG"/>
        </w:rPr>
        <w:t xml:space="preserve"> ويمكن الاطلاع على قائمة هذه الاتفاقات </w:t>
      </w:r>
      <w:r w:rsidRPr="00E90CEA">
        <w:rPr>
          <w:rFonts w:hint="cs"/>
          <w:rtl/>
          <w:lang w:bidi="ar-EG"/>
        </w:rPr>
        <w:t>في</w:t>
      </w:r>
      <w:r w:rsidRPr="007D7982">
        <w:rPr>
          <w:rFonts w:hint="cs"/>
          <w:b/>
          <w:bCs/>
          <w:rtl/>
          <w:lang w:bidi="ar-EG"/>
        </w:rPr>
        <w:t xml:space="preserve"> </w:t>
      </w:r>
      <w:r w:rsidRPr="003730BD">
        <w:rPr>
          <w:rFonts w:hint="cs"/>
          <w:rtl/>
          <w:lang w:bidi="ar-EG"/>
        </w:rPr>
        <w:t xml:space="preserve">الوثيقة </w:t>
      </w:r>
      <w:hyperlink r:id="rId10" w:history="1">
        <w:r>
          <w:rPr>
            <w:rStyle w:val="Hyperlink"/>
          </w:rPr>
          <w:t>TDAG-21/2/INF/2(Rev.1)</w:t>
        </w:r>
      </w:hyperlink>
      <w:r w:rsidRPr="00B3280D">
        <w:rPr>
          <w:rFonts w:hint="cs"/>
          <w:rtl/>
        </w:rPr>
        <w:t>.</w:t>
      </w:r>
    </w:p>
    <w:p w14:paraId="50ECC323" w14:textId="27C39C5C" w:rsidR="00B25FD0" w:rsidRPr="00793C66" w:rsidRDefault="00B25FD0" w:rsidP="00B25FD0">
      <w:pPr>
        <w:rPr>
          <w:spacing w:val="-4"/>
          <w:rtl/>
          <w:lang w:bidi="ar-EG"/>
        </w:rPr>
      </w:pPr>
      <w:r w:rsidRPr="00793C66">
        <w:rPr>
          <w:rFonts w:hint="cs"/>
          <w:spacing w:val="-4"/>
          <w:rtl/>
          <w:lang w:bidi="ar-EG"/>
        </w:rPr>
        <w:t xml:space="preserve">كان شركاء التمويل الرئيسيون للمكتب دولاً أعضاء في الاتحاد وكيانات حكومية أخرى </w:t>
      </w:r>
      <w:r w:rsidRPr="00793C66">
        <w:rPr>
          <w:spacing w:val="-4"/>
          <w:lang w:val="en-GB" w:bidi="ar-EG"/>
        </w:rPr>
        <w:t>(%64)</w:t>
      </w:r>
      <w:r w:rsidRPr="00793C66">
        <w:rPr>
          <w:rFonts w:hint="cs"/>
          <w:spacing w:val="-4"/>
          <w:rtl/>
          <w:lang w:bidi="ar-EG"/>
        </w:rPr>
        <w:t xml:space="preserve"> وكيانات تابعة للقطاع الخاص</w:t>
      </w:r>
      <w:r w:rsidR="00793C66">
        <w:rPr>
          <w:rFonts w:hint="eastAsia"/>
          <w:spacing w:val="-4"/>
          <w:rtl/>
          <w:lang w:bidi="ar-EG"/>
        </w:rPr>
        <w:t> </w:t>
      </w:r>
      <w:r w:rsidRPr="00793C66">
        <w:rPr>
          <w:spacing w:val="-4"/>
          <w:lang w:val="en-GB" w:bidi="ar-EG"/>
        </w:rPr>
        <w:t>(%28)</w:t>
      </w:r>
      <w:r w:rsidRPr="00793C66">
        <w:rPr>
          <w:rFonts w:hint="cs"/>
          <w:spacing w:val="-4"/>
          <w:rtl/>
          <w:lang w:bidi="ar-EG"/>
        </w:rPr>
        <w:t>.</w:t>
      </w:r>
    </w:p>
    <w:p w14:paraId="2606E8AA" w14:textId="77777777" w:rsidR="00B25FD0" w:rsidRDefault="00B25FD0" w:rsidP="00B25FD0">
      <w:pPr>
        <w:rPr>
          <w:rtl/>
        </w:rPr>
      </w:pPr>
      <w:r>
        <w:rPr>
          <w:rFonts w:hint="cs"/>
          <w:rtl/>
          <w:lang w:bidi="ar-EG"/>
        </w:rPr>
        <w:t>وكان الشركاء المموِّلون الثلاثة الذين قدموا أكبر مساهمات مالية خلال الفترة قيد الاستعراض كالتالي:</w:t>
      </w:r>
    </w:p>
    <w:p w14:paraId="72187827" w14:textId="77777777" w:rsidR="00B25FD0" w:rsidRPr="00BF31BC" w:rsidRDefault="00B25FD0" w:rsidP="00B25FD0">
      <w:pPr>
        <w:pStyle w:val="enumlev1"/>
        <w:rPr>
          <w:rtl/>
        </w:rPr>
      </w:pPr>
      <w:r w:rsidRPr="00BF31BC">
        <w:rPr>
          <w:rFonts w:hint="cs"/>
          <w:rtl/>
        </w:rPr>
        <w:t>-</w:t>
      </w:r>
      <w:r w:rsidRPr="00BF31BC">
        <w:rPr>
          <w:rtl/>
        </w:rPr>
        <w:tab/>
      </w:r>
      <w:r w:rsidRPr="00BF31BC">
        <w:rPr>
          <w:rFonts w:hint="cs"/>
          <w:rtl/>
        </w:rPr>
        <w:t xml:space="preserve">وحدة الدعم لموظف التفويض الوطني لصندوق التنمية الأوروبي </w:t>
      </w:r>
      <w:r>
        <w:t>(</w:t>
      </w:r>
      <w:r w:rsidRPr="00BF31BC">
        <w:t>COEFD</w:t>
      </w:r>
      <w:r>
        <w:t>)</w:t>
      </w:r>
      <w:r w:rsidRPr="00BF31BC">
        <w:rPr>
          <w:rFonts w:hint="cs"/>
          <w:rtl/>
        </w:rPr>
        <w:t>، جمهورية الكونغو الديمقراطية/وفد الاتحاد الأوروبي، جمهورية الكونغو الديمقراطية، التي تعهدت بتقديم</w:t>
      </w:r>
      <w:r w:rsidRPr="00BF31BC">
        <w:rPr>
          <w:rtl/>
        </w:rPr>
        <w:t xml:space="preserve"> مساهمة مالية قدرها </w:t>
      </w:r>
      <w:r w:rsidRPr="00BF31BC">
        <w:t>1,2</w:t>
      </w:r>
      <w:r w:rsidRPr="00BF31BC">
        <w:rPr>
          <w:rtl/>
        </w:rPr>
        <w:t xml:space="preserve"> مليون دولار أمريكي</w:t>
      </w:r>
    </w:p>
    <w:p w14:paraId="2FC66B6D" w14:textId="77777777" w:rsidR="00B25FD0" w:rsidRPr="00BF31BC" w:rsidRDefault="00B25FD0" w:rsidP="00B25FD0">
      <w:pPr>
        <w:pStyle w:val="enumlev1"/>
        <w:rPr>
          <w:rtl/>
        </w:rPr>
      </w:pPr>
      <w:r w:rsidRPr="00BF31BC">
        <w:rPr>
          <w:rFonts w:hint="cs"/>
          <w:rtl/>
        </w:rPr>
        <w:t>-</w:t>
      </w:r>
      <w:r w:rsidRPr="00BF31BC">
        <w:rPr>
          <w:rtl/>
        </w:rPr>
        <w:tab/>
      </w:r>
      <w:r w:rsidRPr="00BF31BC">
        <w:rPr>
          <w:rFonts w:hint="cs"/>
          <w:rtl/>
        </w:rPr>
        <w:t xml:space="preserve">شركة </w:t>
      </w:r>
      <w:r w:rsidRPr="00BF31BC">
        <w:t>Huawei Technologies</w:t>
      </w:r>
      <w:r w:rsidRPr="00BF31BC">
        <w:rPr>
          <w:rFonts w:hint="cs"/>
          <w:rtl/>
        </w:rPr>
        <w:t xml:space="preserve"> المحدودة التي تعهدت بتقديم مساهمة مالية قدرها </w:t>
      </w:r>
      <w:r w:rsidRPr="00BF31BC">
        <w:t>670 000</w:t>
      </w:r>
      <w:r w:rsidRPr="00BF31BC">
        <w:rPr>
          <w:rFonts w:hint="cs"/>
          <w:rtl/>
        </w:rPr>
        <w:t xml:space="preserve"> دولار أمريكي</w:t>
      </w:r>
    </w:p>
    <w:p w14:paraId="6A1406CB" w14:textId="77777777" w:rsidR="00B25FD0" w:rsidRPr="00BF31BC" w:rsidRDefault="00B25FD0" w:rsidP="00B25FD0">
      <w:pPr>
        <w:pStyle w:val="enumlev1"/>
        <w:rPr>
          <w:rtl/>
        </w:rPr>
      </w:pPr>
      <w:r w:rsidRPr="00BF31BC">
        <w:rPr>
          <w:rFonts w:hint="cs"/>
          <w:rtl/>
        </w:rPr>
        <w:t>-</w:t>
      </w:r>
      <w:r w:rsidRPr="00BF31BC">
        <w:rPr>
          <w:rtl/>
        </w:rPr>
        <w:tab/>
      </w:r>
      <w:r w:rsidRPr="00BF31BC">
        <w:rPr>
          <w:rFonts w:hint="cs"/>
          <w:rtl/>
        </w:rPr>
        <w:t xml:space="preserve">وزارة البنية التحتية والنقل والتنمية الإقليمية والاتصالات </w:t>
      </w:r>
      <w:r>
        <w:t>(</w:t>
      </w:r>
      <w:r w:rsidRPr="00BF31BC">
        <w:t>DITRDC</w:t>
      </w:r>
      <w:r>
        <w:t>)</w:t>
      </w:r>
      <w:r w:rsidRPr="00BF31BC">
        <w:rPr>
          <w:rFonts w:hint="cs"/>
          <w:rtl/>
        </w:rPr>
        <w:t xml:space="preserve">، أستراليا التي تعهدت بتقديم مساهمة مالية قدرها </w:t>
      </w:r>
      <w:r w:rsidRPr="00BF31BC">
        <w:t>650 000</w:t>
      </w:r>
      <w:r w:rsidRPr="00BF31BC">
        <w:rPr>
          <w:rFonts w:hint="cs"/>
          <w:rtl/>
        </w:rPr>
        <w:t xml:space="preserve"> دولار أمريكي</w:t>
      </w:r>
    </w:p>
    <w:p w14:paraId="1D557D8E" w14:textId="7F1F92A6" w:rsidR="00B25FD0" w:rsidRPr="00185717" w:rsidRDefault="00B25FD0" w:rsidP="00B25FD0">
      <w:pPr>
        <w:rPr>
          <w:spacing w:val="4"/>
          <w:rtl/>
        </w:rPr>
      </w:pPr>
      <w:r w:rsidRPr="00185717">
        <w:rPr>
          <w:rFonts w:hint="cs"/>
          <w:spacing w:val="4"/>
          <w:rtl/>
        </w:rPr>
        <w:t xml:space="preserve">وخُصصت </w:t>
      </w:r>
      <w:r w:rsidR="00486B96">
        <w:rPr>
          <w:rFonts w:hint="cs"/>
          <w:spacing w:val="4"/>
          <w:rtl/>
        </w:rPr>
        <w:t>المساهمات المالية الموقعة</w:t>
      </w:r>
      <w:r w:rsidRPr="00185717">
        <w:rPr>
          <w:rFonts w:hint="cs"/>
          <w:spacing w:val="4"/>
          <w:rtl/>
        </w:rPr>
        <w:t xml:space="preserve"> بشكل رئيسي لإفريقيا </w:t>
      </w:r>
      <w:r w:rsidRPr="00185717">
        <w:rPr>
          <w:spacing w:val="4"/>
        </w:rPr>
        <w:t>(%4</w:t>
      </w:r>
      <w:r>
        <w:rPr>
          <w:spacing w:val="4"/>
        </w:rPr>
        <w:t>0</w:t>
      </w:r>
      <w:r w:rsidRPr="00185717">
        <w:rPr>
          <w:spacing w:val="4"/>
        </w:rPr>
        <w:t>)</w:t>
      </w:r>
      <w:r w:rsidRPr="00185717">
        <w:rPr>
          <w:rFonts w:hint="cs"/>
          <w:spacing w:val="4"/>
          <w:rtl/>
        </w:rPr>
        <w:t xml:space="preserve">، تلتها مناطق متعددة </w:t>
      </w:r>
      <w:r w:rsidRPr="00185717">
        <w:rPr>
          <w:spacing w:val="4"/>
        </w:rPr>
        <w:t>(%</w:t>
      </w:r>
      <w:r>
        <w:rPr>
          <w:spacing w:val="4"/>
        </w:rPr>
        <w:t>32</w:t>
      </w:r>
      <w:r w:rsidRPr="00185717">
        <w:rPr>
          <w:spacing w:val="4"/>
        </w:rPr>
        <w:t>)</w:t>
      </w:r>
      <w:r w:rsidRPr="00185717">
        <w:rPr>
          <w:rFonts w:hint="cs"/>
          <w:spacing w:val="4"/>
          <w:rtl/>
        </w:rPr>
        <w:t xml:space="preserve">، ثم آسيا والمحيط الهادئ </w:t>
      </w:r>
      <w:r w:rsidRPr="00185717">
        <w:rPr>
          <w:spacing w:val="4"/>
        </w:rPr>
        <w:t>(%</w:t>
      </w:r>
      <w:r>
        <w:rPr>
          <w:spacing w:val="4"/>
        </w:rPr>
        <w:t>18</w:t>
      </w:r>
      <w:r w:rsidRPr="00185717">
        <w:rPr>
          <w:spacing w:val="4"/>
        </w:rPr>
        <w:t>)</w:t>
      </w:r>
      <w:r w:rsidRPr="00185717">
        <w:rPr>
          <w:rFonts w:hint="cs"/>
          <w:spacing w:val="4"/>
          <w:rtl/>
        </w:rPr>
        <w:t xml:space="preserve">. وفيما يتعلق بالمجالات </w:t>
      </w:r>
      <w:proofErr w:type="spellStart"/>
      <w:r w:rsidRPr="00185717">
        <w:rPr>
          <w:rFonts w:hint="cs"/>
          <w:spacing w:val="4"/>
          <w:rtl/>
        </w:rPr>
        <w:t>المواضيعية</w:t>
      </w:r>
      <w:proofErr w:type="spellEnd"/>
      <w:r w:rsidRPr="00185717">
        <w:rPr>
          <w:rFonts w:hint="cs"/>
          <w:spacing w:val="4"/>
          <w:rtl/>
        </w:rPr>
        <w:t xml:space="preserve">، يكون </w:t>
      </w:r>
      <w:r w:rsidRPr="003201C2">
        <w:rPr>
          <w:rFonts w:hint="cs"/>
          <w:spacing w:val="4"/>
          <w:rtl/>
        </w:rPr>
        <w:t>التصنيف</w:t>
      </w:r>
      <w:r w:rsidRPr="00185717">
        <w:rPr>
          <w:rFonts w:hint="cs"/>
          <w:spacing w:val="4"/>
          <w:rtl/>
        </w:rPr>
        <w:t xml:space="preserve"> على النحو التالي: مجالات متعددة المواضيع </w:t>
      </w:r>
      <w:r w:rsidRPr="00185717">
        <w:rPr>
          <w:spacing w:val="4"/>
        </w:rPr>
        <w:t>(%</w:t>
      </w:r>
      <w:r>
        <w:rPr>
          <w:spacing w:val="4"/>
        </w:rPr>
        <w:t>43</w:t>
      </w:r>
      <w:r w:rsidRPr="00185717">
        <w:rPr>
          <w:spacing w:val="4"/>
        </w:rPr>
        <w:t>)</w:t>
      </w:r>
      <w:r w:rsidRPr="00185717">
        <w:rPr>
          <w:rFonts w:hint="cs"/>
          <w:spacing w:val="4"/>
          <w:rtl/>
        </w:rPr>
        <w:t xml:space="preserve"> ومجالات السياسة والتنظيم </w:t>
      </w:r>
      <w:r w:rsidRPr="00185717">
        <w:rPr>
          <w:spacing w:val="4"/>
        </w:rPr>
        <w:t>(%</w:t>
      </w:r>
      <w:r>
        <w:rPr>
          <w:spacing w:val="4"/>
        </w:rPr>
        <w:t>29</w:t>
      </w:r>
      <w:r w:rsidRPr="00185717">
        <w:rPr>
          <w:spacing w:val="4"/>
        </w:rPr>
        <w:t>)</w:t>
      </w:r>
      <w:r w:rsidRPr="00185717">
        <w:rPr>
          <w:rFonts w:hint="cs"/>
          <w:spacing w:val="4"/>
          <w:rtl/>
        </w:rPr>
        <w:t>.</w:t>
      </w:r>
    </w:p>
    <w:p w14:paraId="73BE61F6" w14:textId="77777777" w:rsidR="00B25FD0" w:rsidRPr="00B25FD0" w:rsidRDefault="00B25FD0" w:rsidP="00B25FD0">
      <w:pPr>
        <w:pStyle w:val="Heading1"/>
        <w:rPr>
          <w:rtl/>
        </w:rPr>
      </w:pPr>
      <w:r w:rsidRPr="00B25FD0">
        <w:t>4</w:t>
      </w:r>
      <w:r w:rsidRPr="00B25FD0">
        <w:tab/>
      </w:r>
      <w:r w:rsidRPr="00B25FD0">
        <w:rPr>
          <w:rFonts w:hint="cs"/>
          <w:rtl/>
        </w:rPr>
        <w:t>الأعمال والنتائج الرئيسية</w:t>
      </w:r>
    </w:p>
    <w:p w14:paraId="69C10F1A" w14:textId="77777777" w:rsidR="00B25FD0" w:rsidRDefault="00B25FD0" w:rsidP="00B25FD0">
      <w:pPr>
        <w:rPr>
          <w:rtl/>
          <w:lang w:bidi="ar-EG"/>
        </w:rPr>
      </w:pPr>
      <w:r>
        <w:rPr>
          <w:rFonts w:hint="cs"/>
          <w:rtl/>
          <w:lang w:bidi="ar-EG"/>
        </w:rPr>
        <w:t>لا يزال مكتب تنمية الاتصالات يباشر مجموعة من الأعمال الاستراتيجية الشاملة لتطوير وتحسين منتجاته الداخلية وخدماته الخارجية بهدف تعزيز شراكاته وعملية تعبئة الموارد فيه، من قبيل ما يلي:</w:t>
      </w:r>
    </w:p>
    <w:p w14:paraId="2E6D58A6" w14:textId="77777777" w:rsidR="00B25FD0" w:rsidRPr="00BF31BC" w:rsidRDefault="00B25FD0" w:rsidP="00B25FD0">
      <w:pPr>
        <w:pStyle w:val="enumlev1"/>
        <w:rPr>
          <w:rtl/>
        </w:rPr>
      </w:pPr>
      <w:r w:rsidRPr="00BF31BC">
        <w:rPr>
          <w:rFonts w:hint="cs"/>
          <w:rtl/>
        </w:rPr>
        <w:t>-</w:t>
      </w:r>
      <w:r w:rsidRPr="00BF31BC">
        <w:rPr>
          <w:rtl/>
        </w:rPr>
        <w:tab/>
      </w:r>
      <w:r w:rsidRPr="00BF31BC">
        <w:rPr>
          <w:rFonts w:hint="cs"/>
          <w:b/>
          <w:bCs/>
          <w:rtl/>
        </w:rPr>
        <w:t>تعزيز مواد التوعية</w:t>
      </w:r>
      <w:r w:rsidRPr="00BF31BC">
        <w:rPr>
          <w:rFonts w:hint="cs"/>
          <w:rtl/>
        </w:rPr>
        <w:t>: قام المكتب بإعداد</w:t>
      </w:r>
      <w:r w:rsidRPr="00BF31BC">
        <w:rPr>
          <w:rtl/>
        </w:rPr>
        <w:t xml:space="preserve"> عرض</w:t>
      </w:r>
      <w:r w:rsidRPr="00BF31BC">
        <w:rPr>
          <w:rFonts w:hint="cs"/>
          <w:rtl/>
        </w:rPr>
        <w:t xml:space="preserve"> تقديمي</w:t>
      </w:r>
      <w:r w:rsidRPr="00BF31BC">
        <w:rPr>
          <w:rtl/>
        </w:rPr>
        <w:t xml:space="preserve"> </w:t>
      </w:r>
      <w:r w:rsidRPr="00BF31BC">
        <w:rPr>
          <w:rFonts w:hint="cs"/>
          <w:rtl/>
        </w:rPr>
        <w:t>مؤسسي</w:t>
      </w:r>
      <w:r w:rsidRPr="00BF31BC">
        <w:rPr>
          <w:rtl/>
        </w:rPr>
        <w:t xml:space="preserve"> </w:t>
      </w:r>
      <w:r w:rsidRPr="00BF31BC">
        <w:rPr>
          <w:rFonts w:hint="cs"/>
          <w:rtl/>
        </w:rPr>
        <w:t>يتضمن</w:t>
      </w:r>
      <w:r w:rsidRPr="00BF31BC">
        <w:rPr>
          <w:rtl/>
        </w:rPr>
        <w:t xml:space="preserve"> مقدمة </w:t>
      </w:r>
      <w:r w:rsidRPr="00BF31BC">
        <w:rPr>
          <w:rFonts w:hint="cs"/>
          <w:rtl/>
        </w:rPr>
        <w:t>عن</w:t>
      </w:r>
      <w:r w:rsidRPr="00BF31BC">
        <w:rPr>
          <w:rtl/>
        </w:rPr>
        <w:t xml:space="preserve"> الاتحاد، </w:t>
      </w:r>
      <w:r w:rsidRPr="00BF31BC">
        <w:rPr>
          <w:rFonts w:hint="cs"/>
          <w:rtl/>
        </w:rPr>
        <w:t>والمؤتمر العالمي لتنمية الاتصالات</w:t>
      </w:r>
      <w:r w:rsidRPr="00BF31BC">
        <w:rPr>
          <w:rtl/>
        </w:rPr>
        <w:t xml:space="preserve"> </w:t>
      </w:r>
      <w:r w:rsidRPr="00BF31BC">
        <w:rPr>
          <w:rFonts w:hint="cs"/>
          <w:rtl/>
        </w:rPr>
        <w:t>و</w:t>
      </w:r>
      <w:r w:rsidRPr="00BF31BC">
        <w:rPr>
          <w:rtl/>
        </w:rPr>
        <w:t xml:space="preserve">الأولويات </w:t>
      </w:r>
      <w:proofErr w:type="spellStart"/>
      <w:r w:rsidRPr="00BF31BC">
        <w:rPr>
          <w:rtl/>
        </w:rPr>
        <w:t>المواضيعية</w:t>
      </w:r>
      <w:proofErr w:type="spellEnd"/>
      <w:r w:rsidRPr="00BF31BC">
        <w:rPr>
          <w:rtl/>
        </w:rPr>
        <w:t xml:space="preserve"> </w:t>
      </w:r>
      <w:r w:rsidRPr="00BF31BC">
        <w:rPr>
          <w:rFonts w:hint="cs"/>
          <w:rtl/>
        </w:rPr>
        <w:t>والمبادرات الرئيسية</w:t>
      </w:r>
      <w:r w:rsidRPr="00BF31BC">
        <w:rPr>
          <w:rtl/>
        </w:rPr>
        <w:t xml:space="preserve"> لدعم أنشطته </w:t>
      </w:r>
      <w:r w:rsidRPr="00BF31BC">
        <w:rPr>
          <w:rFonts w:hint="cs"/>
          <w:rtl/>
        </w:rPr>
        <w:t xml:space="preserve">في مجال التوعية تجاه </w:t>
      </w:r>
      <w:r w:rsidRPr="00BF31BC">
        <w:rPr>
          <w:rtl/>
        </w:rPr>
        <w:t>الشركاء المحتملين.</w:t>
      </w:r>
    </w:p>
    <w:p w14:paraId="33EEA9FA" w14:textId="21EC4696" w:rsidR="00B25FD0" w:rsidRPr="00BF31BC" w:rsidRDefault="00B25FD0" w:rsidP="00B25FD0">
      <w:pPr>
        <w:pStyle w:val="enumlev1"/>
        <w:rPr>
          <w:rtl/>
        </w:rPr>
      </w:pPr>
      <w:r w:rsidRPr="00BF31BC">
        <w:rPr>
          <w:rFonts w:hint="cs"/>
          <w:rtl/>
        </w:rPr>
        <w:t>-</w:t>
      </w:r>
      <w:r w:rsidRPr="00BF31BC">
        <w:rPr>
          <w:rtl/>
        </w:rPr>
        <w:tab/>
      </w:r>
      <w:r w:rsidRPr="00BF31BC">
        <w:rPr>
          <w:rFonts w:hint="cs"/>
          <w:b/>
          <w:bCs/>
          <w:rtl/>
        </w:rPr>
        <w:t>تحالف الشراكة من أجل التوصيل</w:t>
      </w:r>
      <w:r w:rsidRPr="00BF31BC">
        <w:rPr>
          <w:rFonts w:hint="cs"/>
          <w:rtl/>
        </w:rPr>
        <w:t xml:space="preserve">: </w:t>
      </w:r>
      <w:r w:rsidRPr="00651B90">
        <w:rPr>
          <w:rFonts w:hint="cs"/>
          <w:b/>
          <w:bCs/>
          <w:rtl/>
        </w:rPr>
        <w:t>أطلق</w:t>
      </w:r>
      <w:r w:rsidRPr="00BF31BC">
        <w:rPr>
          <w:rFonts w:hint="cs"/>
          <w:rtl/>
        </w:rPr>
        <w:t xml:space="preserve"> الاتحاد التحالف الرقمي للشراكة من أجل التوصيل</w:t>
      </w:r>
      <w:r w:rsidR="00651B90">
        <w:rPr>
          <w:rFonts w:hint="eastAsia"/>
          <w:rtl/>
        </w:rPr>
        <w:t> </w:t>
      </w:r>
      <w:r w:rsidRPr="00BF31BC">
        <w:t>(Partner2Connect</w:t>
      </w:r>
      <w:r>
        <w:t>)</w:t>
      </w:r>
      <w:r w:rsidRPr="00BF31BC">
        <w:rPr>
          <w:rFonts w:hint="cs"/>
          <w:rtl/>
        </w:rPr>
        <w:t xml:space="preserve"> لتعزيز التوصيلية المفيدة والتحول الرقمي في المجتمعات والبلدان التي تواجه تحديات في مجال التوصيلية بما</w:t>
      </w:r>
      <w:r w:rsidR="00793C66">
        <w:rPr>
          <w:rFonts w:hint="eastAsia"/>
          <w:rtl/>
        </w:rPr>
        <w:t> </w:t>
      </w:r>
      <w:r w:rsidRPr="00BF31BC">
        <w:rPr>
          <w:rFonts w:hint="cs"/>
          <w:rtl/>
        </w:rPr>
        <w:t>في</w:t>
      </w:r>
      <w:r w:rsidR="00793C66">
        <w:rPr>
          <w:rFonts w:hint="eastAsia"/>
          <w:rtl/>
        </w:rPr>
        <w:t> </w:t>
      </w:r>
      <w:r w:rsidRPr="00BF31BC">
        <w:rPr>
          <w:rFonts w:hint="cs"/>
          <w:rtl/>
        </w:rPr>
        <w:t xml:space="preserve">ذلك أقل البلدان نمواً، والبلدان النامية غير الساحلية، والدول الجزرية الصغيرة النامية. ولمزيد من المعلومات بشأن تحالف الشراكة من أجل التوصيل، يرجى الرجوع إلى الوثيقة </w:t>
      </w:r>
      <w:hyperlink r:id="rId11" w:history="1">
        <w:r>
          <w:rPr>
            <w:rStyle w:val="Hyperlink"/>
            <w:rFonts w:cstheme="minorBidi"/>
            <w:bCs/>
            <w:szCs w:val="24"/>
            <w:lang w:val="en"/>
          </w:rPr>
          <w:t>TDAG-21/2/15</w:t>
        </w:r>
      </w:hyperlink>
      <w:r w:rsidRPr="00BF31BC">
        <w:rPr>
          <w:rFonts w:hint="cs"/>
          <w:rtl/>
        </w:rPr>
        <w:t>.</w:t>
      </w:r>
    </w:p>
    <w:p w14:paraId="65FBB535" w14:textId="585EF03A" w:rsidR="00B25FD0" w:rsidRPr="00BF31BC" w:rsidRDefault="00B25FD0" w:rsidP="00793C66">
      <w:pPr>
        <w:pStyle w:val="enumlev1"/>
        <w:keepNext/>
        <w:keepLines/>
        <w:rPr>
          <w:rtl/>
        </w:rPr>
      </w:pPr>
      <w:r w:rsidRPr="00BF31BC">
        <w:rPr>
          <w:rFonts w:hint="cs"/>
          <w:rtl/>
        </w:rPr>
        <w:lastRenderedPageBreak/>
        <w:t>-</w:t>
      </w:r>
      <w:r w:rsidRPr="00BF31BC">
        <w:rPr>
          <w:rtl/>
        </w:rPr>
        <w:tab/>
      </w:r>
      <w:r w:rsidRPr="00BF31BC">
        <w:rPr>
          <w:rFonts w:hint="cs"/>
          <w:b/>
          <w:bCs/>
          <w:rtl/>
        </w:rPr>
        <w:t>التعاون مع منظمات الأمم المتحدة</w:t>
      </w:r>
      <w:r w:rsidRPr="00BF31BC">
        <w:rPr>
          <w:rFonts w:hint="cs"/>
          <w:rtl/>
        </w:rPr>
        <w:t xml:space="preserve">: عزز </w:t>
      </w:r>
      <w:r w:rsidRPr="00BF31BC">
        <w:rPr>
          <w:rtl/>
        </w:rPr>
        <w:t>مكتب تنمية الاتصالات تعاونه مع منظمات الأمم المتحدة الأخرى مثل المفوضية السامية للأمم المتحدة لشؤون اللاجئين</w:t>
      </w:r>
      <w:r w:rsidRPr="00BF31BC">
        <w:rPr>
          <w:rFonts w:hint="cs"/>
          <w:rtl/>
        </w:rPr>
        <w:t xml:space="preserve"> </w:t>
      </w:r>
      <w:r>
        <w:t>(</w:t>
      </w:r>
      <w:r w:rsidRPr="00BF31BC">
        <w:t>UNHCR</w:t>
      </w:r>
      <w:r>
        <w:t>)</w:t>
      </w:r>
      <w:r w:rsidRPr="00BF31BC">
        <w:rPr>
          <w:rtl/>
        </w:rPr>
        <w:t xml:space="preserve"> ومنظمة الأمم المتحدة للطفولة </w:t>
      </w:r>
      <w:r>
        <w:rPr>
          <w:rFonts w:hint="cs"/>
          <w:rtl/>
        </w:rPr>
        <w:t>(</w:t>
      </w:r>
      <w:r w:rsidRPr="00BF31BC">
        <w:rPr>
          <w:rtl/>
        </w:rPr>
        <w:t>اليونيسف</w:t>
      </w:r>
      <w:r>
        <w:rPr>
          <w:rFonts w:hint="cs"/>
          <w:rtl/>
        </w:rPr>
        <w:t>)</w:t>
      </w:r>
      <w:r w:rsidRPr="00BF31BC">
        <w:rPr>
          <w:rFonts w:hint="cs"/>
          <w:rtl/>
        </w:rPr>
        <w:t>. وترك</w:t>
      </w:r>
      <w:r w:rsidRPr="00BF31BC">
        <w:rPr>
          <w:rtl/>
        </w:rPr>
        <w:t xml:space="preserve">ز الشراكة مع مفوضية </w:t>
      </w:r>
      <w:r w:rsidRPr="00BF31BC">
        <w:rPr>
          <w:rFonts w:hint="cs"/>
          <w:rtl/>
        </w:rPr>
        <w:t>ا</w:t>
      </w:r>
      <w:r w:rsidRPr="00BF31BC">
        <w:rPr>
          <w:rtl/>
        </w:rPr>
        <w:t>لأمم المتحدة على التعاون الرقمي لدعم النازحين القسريين واللاجئين وعديمي الجنسية والمجتمعات المضيفة لهم على المستويات العالمية والإقليمية والقطري</w:t>
      </w:r>
      <w:r w:rsidRPr="00BF31BC">
        <w:rPr>
          <w:rFonts w:hint="cs"/>
          <w:rtl/>
        </w:rPr>
        <w:t>ة. وسيعمل المكتب ومفوضية الأمم المتحدة معاً بشكل أكثر منهجية لتسريع الشمول الرقمي لهذه المجموعات من الأشخاص بما يتماشى مع خارطة الطريق التي وضعها الأمين العام للأمم المتحدة بشأن التعاون الرقمي. وما زال العمل مع اليونيسف</w:t>
      </w:r>
      <w:r w:rsidRPr="00BF31BC">
        <w:rPr>
          <w:rtl/>
        </w:rPr>
        <w:t xml:space="preserve"> </w:t>
      </w:r>
      <w:r w:rsidRPr="00BF31BC">
        <w:rPr>
          <w:rFonts w:hint="cs"/>
          <w:rtl/>
        </w:rPr>
        <w:t>يركز</w:t>
      </w:r>
      <w:r w:rsidRPr="00BF31BC">
        <w:rPr>
          <w:rtl/>
        </w:rPr>
        <w:t xml:space="preserve"> على مبادرة</w:t>
      </w:r>
      <w:r w:rsidR="00DF056A">
        <w:rPr>
          <w:rFonts w:hint="cs"/>
          <w:rtl/>
        </w:rPr>
        <w:t> </w:t>
      </w:r>
      <w:r w:rsidRPr="00BF31BC">
        <w:t>Giga</w:t>
      </w:r>
      <w:r w:rsidRPr="00BF31BC">
        <w:rPr>
          <w:rtl/>
        </w:rPr>
        <w:t xml:space="preserve">، التي </w:t>
      </w:r>
      <w:r w:rsidRPr="00BF31BC">
        <w:rPr>
          <w:rFonts w:hint="cs"/>
          <w:rtl/>
        </w:rPr>
        <w:t>تهدف</w:t>
      </w:r>
      <w:r w:rsidRPr="00BF31BC">
        <w:rPr>
          <w:rtl/>
        </w:rPr>
        <w:t xml:space="preserve"> إلى </w:t>
      </w:r>
      <w:r w:rsidRPr="00BF31BC">
        <w:rPr>
          <w:rFonts w:hint="cs"/>
          <w:rtl/>
        </w:rPr>
        <w:t>تعزيز</w:t>
      </w:r>
      <w:r w:rsidRPr="00BF31BC">
        <w:rPr>
          <w:rtl/>
        </w:rPr>
        <w:t xml:space="preserve"> الإنجازات في إطار المرحلة الأولى في المناطق ذات الأولوية في إفريقيا</w:t>
      </w:r>
      <w:r w:rsidRPr="00BF31BC">
        <w:rPr>
          <w:rFonts w:hint="cs"/>
          <w:rtl/>
        </w:rPr>
        <w:t>،</w:t>
      </w:r>
      <w:r w:rsidRPr="00BF31BC">
        <w:rPr>
          <w:rtl/>
        </w:rPr>
        <w:t xml:space="preserve"> </w:t>
      </w:r>
      <w:r w:rsidRPr="00BF31BC">
        <w:rPr>
          <w:rFonts w:hint="cs"/>
          <w:rtl/>
        </w:rPr>
        <w:t>وآسيا الوسطى،</w:t>
      </w:r>
      <w:r w:rsidRPr="00BF31BC">
        <w:rPr>
          <w:rtl/>
        </w:rPr>
        <w:t xml:space="preserve"> </w:t>
      </w:r>
      <w:r w:rsidRPr="00BF31BC">
        <w:rPr>
          <w:rFonts w:hint="cs"/>
          <w:rtl/>
        </w:rPr>
        <w:t>وشرق/وسط</w:t>
      </w:r>
      <w:r w:rsidRPr="00BF31BC">
        <w:rPr>
          <w:rtl/>
        </w:rPr>
        <w:t xml:space="preserve"> البحر الكاريبي، والتوسع في مناطق جديدة، وفي آسيا والمحيط الهادئ وأمريكا الجنوبي</w:t>
      </w:r>
      <w:r w:rsidRPr="00BF31BC">
        <w:rPr>
          <w:rFonts w:hint="cs"/>
          <w:rtl/>
        </w:rPr>
        <w:t>ة</w:t>
      </w:r>
      <w:r w:rsidRPr="00BF31BC">
        <w:rPr>
          <w:rtl/>
        </w:rPr>
        <w:t>.</w:t>
      </w:r>
    </w:p>
    <w:p w14:paraId="0463A6D9" w14:textId="29408270" w:rsidR="00B25FD0" w:rsidRPr="00724782" w:rsidRDefault="00B25FD0" w:rsidP="00B25FD0">
      <w:pPr>
        <w:pStyle w:val="Heading1"/>
        <w:rPr>
          <w:rtl/>
        </w:rPr>
      </w:pPr>
      <w:r w:rsidRPr="00724782">
        <w:t>5</w:t>
      </w:r>
      <w:r w:rsidRPr="00724782">
        <w:tab/>
      </w:r>
      <w:r w:rsidRPr="00724782">
        <w:rPr>
          <w:rFonts w:hint="cs"/>
          <w:rtl/>
        </w:rPr>
        <w:t>ملخص</w:t>
      </w:r>
    </w:p>
    <w:p w14:paraId="7E047838" w14:textId="78F45566" w:rsidR="00B25FD0" w:rsidRDefault="00B25FD0" w:rsidP="00B25FD0">
      <w:pPr>
        <w:rPr>
          <w:rtl/>
          <w:lang w:val="en-GB"/>
        </w:rPr>
      </w:pPr>
      <w:r>
        <w:rPr>
          <w:rtl/>
        </w:rPr>
        <w:t>في عام 2021</w:t>
      </w:r>
      <w:r>
        <w:rPr>
          <w:rFonts w:hint="cs"/>
          <w:rtl/>
        </w:rPr>
        <w:t xml:space="preserve"> (حتى </w:t>
      </w:r>
      <w:r>
        <w:rPr>
          <w:lang w:val="en-GB"/>
        </w:rPr>
        <w:t>30</w:t>
      </w:r>
      <w:r>
        <w:rPr>
          <w:rFonts w:hint="cs"/>
          <w:rtl/>
          <w:lang w:val="en-GB" w:bidi="ar-EG"/>
        </w:rPr>
        <w:t xml:space="preserve"> سبتمبر </w:t>
      </w:r>
      <w:r>
        <w:rPr>
          <w:lang w:val="en-GB"/>
        </w:rPr>
        <w:t>2021</w:t>
      </w:r>
      <w:r>
        <w:rPr>
          <w:rFonts w:hint="cs"/>
          <w:rtl/>
        </w:rPr>
        <w:t>)</w:t>
      </w:r>
      <w:r>
        <w:rPr>
          <w:rtl/>
        </w:rPr>
        <w:t xml:space="preserve">، وقّع مكتب تنمية الاتصالات على </w:t>
      </w:r>
      <w:r>
        <w:t>46</w:t>
      </w:r>
      <w:r>
        <w:rPr>
          <w:rtl/>
        </w:rPr>
        <w:t xml:space="preserve"> اتفاقاً مع شركاء له، يتضمن </w:t>
      </w:r>
      <w:r>
        <w:rPr>
          <w:rFonts w:hint="cs"/>
          <w:rtl/>
        </w:rPr>
        <w:t>32</w:t>
      </w:r>
      <w:r>
        <w:rPr>
          <w:rtl/>
        </w:rPr>
        <w:t xml:space="preserve"> اتفاقاً منها مساهمات مالية تقرب قيمتها من </w:t>
      </w:r>
      <w:r>
        <w:t>11,68</w:t>
      </w:r>
      <w:r>
        <w:rPr>
          <w:rtl/>
        </w:rPr>
        <w:t xml:space="preserve"> </w:t>
      </w:r>
      <w:r>
        <w:rPr>
          <w:rFonts w:hint="cs"/>
          <w:rtl/>
        </w:rPr>
        <w:t>مليون</w:t>
      </w:r>
      <w:r>
        <w:rPr>
          <w:rtl/>
        </w:rPr>
        <w:t xml:space="preserve"> دولار أمريكي</w:t>
      </w:r>
      <w:r>
        <w:rPr>
          <w:rFonts w:hint="cs"/>
          <w:rtl/>
        </w:rPr>
        <w:t xml:space="preserve">، بتمويل مشترك من الشركاء </w:t>
      </w:r>
      <w:r>
        <w:rPr>
          <w:lang w:val="en-GB"/>
        </w:rPr>
        <w:t>(%77)</w:t>
      </w:r>
      <w:r>
        <w:rPr>
          <w:rFonts w:hint="cs"/>
          <w:rtl/>
          <w:lang w:val="en-GB"/>
        </w:rPr>
        <w:t xml:space="preserve"> والاتحاد </w:t>
      </w:r>
      <w:r>
        <w:rPr>
          <w:lang w:val="en-GB"/>
        </w:rPr>
        <w:t>(%23)</w:t>
      </w:r>
      <w:r>
        <w:rPr>
          <w:rFonts w:hint="cs"/>
          <w:rtl/>
          <w:lang w:val="en-GB"/>
        </w:rPr>
        <w:t>.</w:t>
      </w:r>
    </w:p>
    <w:p w14:paraId="0C84EEB0" w14:textId="77777777" w:rsidR="00B25FD0" w:rsidRPr="000146E8" w:rsidRDefault="00B25FD0" w:rsidP="00B25FD0">
      <w:pPr>
        <w:rPr>
          <w:lang w:val="en-GB"/>
        </w:rPr>
      </w:pPr>
      <w:r>
        <w:rPr>
          <w:rFonts w:hint="cs"/>
          <w:rtl/>
        </w:rPr>
        <w:t>و</w:t>
      </w:r>
      <w:r>
        <w:rPr>
          <w:rtl/>
        </w:rPr>
        <w:t xml:space="preserve">كان شركاء </w:t>
      </w:r>
      <w:r>
        <w:rPr>
          <w:rFonts w:hint="cs"/>
          <w:rtl/>
        </w:rPr>
        <w:t>التمويل الرئيسيون للمكتب من الدول</w:t>
      </w:r>
      <w:r>
        <w:rPr>
          <w:rtl/>
        </w:rPr>
        <w:t xml:space="preserve"> </w:t>
      </w:r>
      <w:r>
        <w:rPr>
          <w:rFonts w:hint="cs"/>
          <w:rtl/>
        </w:rPr>
        <w:t>ال</w:t>
      </w:r>
      <w:r>
        <w:rPr>
          <w:rtl/>
        </w:rPr>
        <w:t xml:space="preserve">أعضاء في الاتحاد وكيانات حكومية أخرى، </w:t>
      </w:r>
      <w:r>
        <w:rPr>
          <w:rFonts w:hint="cs"/>
          <w:rtl/>
        </w:rPr>
        <w:t>ثم</w:t>
      </w:r>
      <w:r>
        <w:rPr>
          <w:rtl/>
        </w:rPr>
        <w:t xml:space="preserve"> منظمات دولية وإقليمية وكيانات تابعة للقطاع الخاص</w:t>
      </w:r>
      <w:r>
        <w:rPr>
          <w:rFonts w:hint="cs"/>
          <w:rtl/>
          <w:lang w:val="en-GB"/>
        </w:rPr>
        <w:t>:</w:t>
      </w:r>
    </w:p>
    <w:p w14:paraId="62C5909B" w14:textId="67A3685D" w:rsidR="00B25FD0" w:rsidRDefault="00BA1304" w:rsidP="00B25FD0">
      <w:pPr>
        <w:pStyle w:val="Figure"/>
        <w:jc w:val="center"/>
      </w:pPr>
      <w:r>
        <w:drawing>
          <wp:inline distT="0" distB="0" distL="0" distR="0" wp14:anchorId="0AA9E576" wp14:editId="0A7C8FC0">
            <wp:extent cx="5712460" cy="221297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2460" cy="2212975"/>
                    </a:xfrm>
                    <a:prstGeom prst="rect">
                      <a:avLst/>
                    </a:prstGeom>
                    <a:noFill/>
                  </pic:spPr>
                </pic:pic>
              </a:graphicData>
            </a:graphic>
          </wp:inline>
        </w:drawing>
      </w:r>
    </w:p>
    <w:p w14:paraId="50496CC4" w14:textId="77777777" w:rsidR="00B25FD0" w:rsidRPr="005835F0" w:rsidRDefault="00B25FD0" w:rsidP="00B25FD0">
      <w:pPr>
        <w:spacing w:after="120"/>
        <w:rPr>
          <w:rtl/>
          <w:lang w:bidi="ar-EG"/>
        </w:rPr>
      </w:pPr>
      <w:r>
        <w:rPr>
          <w:rFonts w:hint="cs"/>
          <w:rtl/>
          <w:lang w:bidi="ar-EG"/>
        </w:rPr>
        <w:t>وتوضح</w:t>
      </w:r>
      <w:r w:rsidRPr="00FB130A">
        <w:rPr>
          <w:rFonts w:hint="cs"/>
          <w:rtl/>
        </w:rPr>
        <w:t xml:space="preserve"> </w:t>
      </w:r>
      <w:r>
        <w:rPr>
          <w:rFonts w:hint="cs"/>
          <w:rtl/>
        </w:rPr>
        <w:t>الرسوم</w:t>
      </w:r>
      <w:r w:rsidRPr="00FB130A">
        <w:rPr>
          <w:rFonts w:hint="cs"/>
          <w:rtl/>
        </w:rPr>
        <w:t xml:space="preserve"> البياني</w:t>
      </w:r>
      <w:r>
        <w:rPr>
          <w:rFonts w:hint="cs"/>
          <w:rtl/>
        </w:rPr>
        <w:t>ة التالية</w:t>
      </w:r>
      <w:r>
        <w:rPr>
          <w:rFonts w:hint="cs"/>
          <w:rtl/>
          <w:lang w:bidi="ar-EG"/>
        </w:rPr>
        <w:t xml:space="preserve"> </w:t>
      </w:r>
      <w:r>
        <w:rPr>
          <w:rtl/>
        </w:rPr>
        <w:t xml:space="preserve">توزيع المساهمات المالية المحددة في الاتفاقات الموقعة، بحسب المنطقة والأولوية </w:t>
      </w:r>
      <w:proofErr w:type="spellStart"/>
      <w:r>
        <w:rPr>
          <w:rtl/>
        </w:rPr>
        <w:t>المواضيعية</w:t>
      </w:r>
      <w:proofErr w:type="spellEnd"/>
      <w:r>
        <w:t>.</w:t>
      </w:r>
    </w:p>
    <w:p w14:paraId="25FCF980" w14:textId="7ABC895C" w:rsidR="00DF509B" w:rsidRDefault="00DF509B" w:rsidP="00100775">
      <w:pPr>
        <w:pStyle w:val="Figure"/>
        <w:rPr>
          <w:rtl/>
        </w:rPr>
      </w:pPr>
      <w:r w:rsidRPr="00FE05C1">
        <w:drawing>
          <wp:inline distT="0" distB="0" distL="0" distR="0" wp14:anchorId="2DEE8AA8" wp14:editId="7D1649A1">
            <wp:extent cx="5740400" cy="2838893"/>
            <wp:effectExtent l="0" t="0" r="12700" b="0"/>
            <wp:docPr id="14" name="Chart 14">
              <a:extLst xmlns:a="http://schemas.openxmlformats.org/drawingml/2006/main">
                <a:ext uri="{FF2B5EF4-FFF2-40B4-BE49-F238E27FC236}">
                  <a16:creationId xmlns:a16="http://schemas.microsoft.com/office/drawing/2014/main" id="{1358F298-D8A8-4A88-8CC9-6387722069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73E7AA" w14:textId="62DD04E9" w:rsidR="00B25FD0" w:rsidRDefault="00100775" w:rsidP="00B25FD0">
      <w:pPr>
        <w:pStyle w:val="Figure"/>
        <w:jc w:val="center"/>
        <w:rPr>
          <w:rtl/>
        </w:rPr>
      </w:pPr>
      <w:r>
        <w:lastRenderedPageBreak/>
        <w:drawing>
          <wp:inline distT="0" distB="0" distL="0" distR="0" wp14:anchorId="78487030" wp14:editId="30DB29BD">
            <wp:extent cx="5840730" cy="287147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0730" cy="2871470"/>
                    </a:xfrm>
                    <a:prstGeom prst="rect">
                      <a:avLst/>
                    </a:prstGeom>
                    <a:noFill/>
                  </pic:spPr>
                </pic:pic>
              </a:graphicData>
            </a:graphic>
          </wp:inline>
        </w:drawing>
      </w:r>
    </w:p>
    <w:p w14:paraId="558B1B28" w14:textId="77777777" w:rsidR="00B25FD0" w:rsidRPr="00F568C6" w:rsidRDefault="00B25FD0" w:rsidP="00B25FD0">
      <w:pPr>
        <w:snapToGrid w:val="0"/>
        <w:spacing w:after="120"/>
        <w:jc w:val="center"/>
        <w:rPr>
          <w:sz w:val="2"/>
          <w:szCs w:val="2"/>
        </w:rPr>
      </w:pPr>
    </w:p>
    <w:p w14:paraId="549DA26D" w14:textId="19B5F1FC" w:rsidR="00B25FD0" w:rsidRPr="00A619DD" w:rsidRDefault="00B25FD0" w:rsidP="00B25FD0">
      <w:pPr>
        <w:spacing w:after="120"/>
        <w:rPr>
          <w:b/>
          <w:bCs/>
          <w:rtl/>
          <w:lang w:val="en-GB"/>
        </w:rPr>
      </w:pPr>
      <w:r w:rsidRPr="00A619DD">
        <w:rPr>
          <w:rFonts w:hint="cs"/>
          <w:b/>
          <w:bCs/>
          <w:rtl/>
        </w:rPr>
        <w:t xml:space="preserve">تحليل مقارن للفترة نفسها في </w:t>
      </w:r>
      <w:r w:rsidRPr="00A619DD">
        <w:rPr>
          <w:b/>
          <w:bCs/>
          <w:lang w:val="en-GB"/>
        </w:rPr>
        <w:t>2020</w:t>
      </w:r>
      <w:r w:rsidRPr="00A619DD">
        <w:rPr>
          <w:rFonts w:hint="cs"/>
          <w:b/>
          <w:bCs/>
          <w:rtl/>
          <w:lang w:val="en-GB"/>
        </w:rPr>
        <w:t xml:space="preserve"> و</w:t>
      </w:r>
      <w:r w:rsidRPr="00A619DD">
        <w:rPr>
          <w:b/>
          <w:bCs/>
          <w:lang w:val="en-GB"/>
        </w:rPr>
        <w:t>2021</w:t>
      </w:r>
      <w:r w:rsidRPr="00A619DD">
        <w:rPr>
          <w:rFonts w:hint="cs"/>
          <w:b/>
          <w:bCs/>
          <w:rtl/>
          <w:lang w:val="en-GB"/>
        </w:rPr>
        <w:t xml:space="preserve"> (يناير-نهاية </w:t>
      </w:r>
      <w:r w:rsidR="00100775">
        <w:rPr>
          <w:rFonts w:hint="cs"/>
          <w:b/>
          <w:bCs/>
          <w:rtl/>
          <w:lang w:val="en-GB"/>
        </w:rPr>
        <w:t>سبتمبر</w:t>
      </w:r>
      <w:r w:rsidRPr="00A619DD">
        <w:rPr>
          <w:rFonts w:hint="cs"/>
          <w:b/>
          <w:bCs/>
          <w:rtl/>
          <w:lang w:val="en-GB"/>
        </w:rPr>
        <w:t>)</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6546"/>
      </w:tblGrid>
      <w:tr w:rsidR="00100775" w14:paraId="5A32D3A2" w14:textId="77777777" w:rsidTr="008C26CD">
        <w:tc>
          <w:tcPr>
            <w:tcW w:w="3093" w:type="dxa"/>
          </w:tcPr>
          <w:p w14:paraId="07C1CA60" w14:textId="767093D4" w:rsidR="00100775" w:rsidRPr="00A619DD" w:rsidRDefault="008C26CD" w:rsidP="00DB78FD">
            <w:pPr>
              <w:pStyle w:val="ListParagraph"/>
              <w:spacing w:before="0" w:after="120"/>
              <w:ind w:left="0"/>
              <w:rPr>
                <w:lang w:val="en-GB" w:bidi="ar-EG"/>
              </w:rPr>
            </w:pPr>
            <w:r>
              <w:rPr>
                <w:noProof/>
                <w:lang w:val="en-GB" w:bidi="ar-EG"/>
              </w:rPr>
              <w:drawing>
                <wp:inline distT="0" distB="0" distL="0" distR="0" wp14:anchorId="1A7BA7DD" wp14:editId="56362685">
                  <wp:extent cx="1767840" cy="2054225"/>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7840" cy="2054225"/>
                          </a:xfrm>
                          <a:prstGeom prst="rect">
                            <a:avLst/>
                          </a:prstGeom>
                          <a:noFill/>
                        </pic:spPr>
                      </pic:pic>
                    </a:graphicData>
                  </a:graphic>
                </wp:inline>
              </w:drawing>
            </w:r>
          </w:p>
        </w:tc>
        <w:tc>
          <w:tcPr>
            <w:tcW w:w="6546" w:type="dxa"/>
          </w:tcPr>
          <w:p w14:paraId="591A1F62" w14:textId="1D6B9954" w:rsidR="00100775" w:rsidRPr="00577CD6" w:rsidRDefault="008C26CD" w:rsidP="00DB78FD">
            <w:pPr>
              <w:pStyle w:val="ListParagraph"/>
              <w:spacing w:after="120"/>
              <w:ind w:left="0"/>
              <w:rPr>
                <w:rtl/>
                <w:lang w:val="en-GB"/>
              </w:rPr>
            </w:pPr>
            <w:r>
              <w:rPr>
                <w:noProof/>
                <w:lang w:val="en-GB"/>
              </w:rPr>
              <w:drawing>
                <wp:inline distT="0" distB="0" distL="0" distR="0" wp14:anchorId="7C2EE435" wp14:editId="03382EE4">
                  <wp:extent cx="3743325" cy="202374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3325" cy="2023745"/>
                          </a:xfrm>
                          <a:prstGeom prst="rect">
                            <a:avLst/>
                          </a:prstGeom>
                          <a:noFill/>
                        </pic:spPr>
                      </pic:pic>
                    </a:graphicData>
                  </a:graphic>
                </wp:inline>
              </w:drawing>
            </w:r>
          </w:p>
        </w:tc>
      </w:tr>
    </w:tbl>
    <w:p w14:paraId="50C3DA42" w14:textId="0CED5BEE" w:rsidR="00B25FD0" w:rsidRPr="002C2713" w:rsidRDefault="00B25FD0" w:rsidP="00B25FD0">
      <w:pPr>
        <w:pStyle w:val="Heading1"/>
        <w:rPr>
          <w:rtl/>
        </w:rPr>
      </w:pPr>
      <w:r w:rsidRPr="002C2713">
        <w:t>6</w:t>
      </w:r>
      <w:r w:rsidRPr="002C2713">
        <w:rPr>
          <w:rtl/>
        </w:rPr>
        <w:tab/>
      </w:r>
      <w:r w:rsidRPr="002C2713">
        <w:rPr>
          <w:rFonts w:hint="cs"/>
          <w:rtl/>
        </w:rPr>
        <w:t xml:space="preserve">آفاق </w:t>
      </w:r>
      <w:r w:rsidRPr="00B3343A">
        <w:rPr>
          <w:rFonts w:hint="cs"/>
          <w:rtl/>
        </w:rPr>
        <w:t>المستقبل</w:t>
      </w:r>
    </w:p>
    <w:p w14:paraId="0855FBCE" w14:textId="65A9D338" w:rsidR="00247364" w:rsidRPr="00B3343A" w:rsidRDefault="00B25FD0" w:rsidP="00247364">
      <w:pPr>
        <w:rPr>
          <w:spacing w:val="4"/>
          <w:rtl/>
          <w:lang w:bidi="ar-EG"/>
        </w:rPr>
      </w:pPr>
      <w:r w:rsidRPr="00B3343A">
        <w:rPr>
          <w:rFonts w:hint="cs"/>
          <w:spacing w:val="4"/>
          <w:rtl/>
        </w:rPr>
        <w:t>أحرز مكتب تنمية الاتصالات تقدماً ملحوظاً في التفاوض على شراكات جديدة وإبرامها مع مجموعة متنوعة من الشركاء مما أدى إلى تعبئة موارد جديدة. وتستهدف الجهود المبذولة حالياً توطيد العمل مع الشركاء القائمين، واجتذاب شركاء جدد لجلب المزيد من الموارد لتمويل المشاريع الكبيرة والمؤثرة اللازمة لنجاح تنفيذ نتائج المؤتمر العالمي لتنمية الاتصالات لعام</w:t>
      </w:r>
      <w:r>
        <w:rPr>
          <w:rFonts w:hint="cs"/>
          <w:spacing w:val="4"/>
          <w:rtl/>
        </w:rPr>
        <w:t xml:space="preserve"> </w:t>
      </w:r>
      <w:r w:rsidRPr="00B3343A">
        <w:rPr>
          <w:spacing w:val="4"/>
        </w:rPr>
        <w:t>2017</w:t>
      </w:r>
      <w:r w:rsidRPr="00B3343A">
        <w:rPr>
          <w:rFonts w:hint="cs"/>
          <w:spacing w:val="4"/>
          <w:rtl/>
          <w:lang w:bidi="ar-EG"/>
        </w:rPr>
        <w:t xml:space="preserve"> </w:t>
      </w:r>
      <w:r w:rsidRPr="00B3343A">
        <w:rPr>
          <w:spacing w:val="4"/>
          <w:lang w:bidi="ar-EG"/>
        </w:rPr>
        <w:t>(WTDC</w:t>
      </w:r>
      <w:r w:rsidRPr="00B3343A">
        <w:rPr>
          <w:spacing w:val="4"/>
          <w:lang w:bidi="ar-EG"/>
        </w:rPr>
        <w:noBreakHyphen/>
        <w:t>17)</w:t>
      </w:r>
      <w:r w:rsidRPr="00B3343A">
        <w:rPr>
          <w:rFonts w:hint="cs"/>
          <w:spacing w:val="4"/>
          <w:rtl/>
          <w:lang w:bidi="ar-EG"/>
        </w:rPr>
        <w:t xml:space="preserve"> ونتائج المؤتمر المقبل التي تشمل مبادرات إقليمية.</w:t>
      </w:r>
    </w:p>
    <w:p w14:paraId="7D4B7308" w14:textId="4B695192" w:rsidR="00B25FD0" w:rsidRPr="00CF5C79" w:rsidRDefault="00B25FD0" w:rsidP="00B25FD0">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w:t>
      </w:r>
    </w:p>
    <w:sectPr w:rsidR="00B25FD0" w:rsidRPr="00CF5C79"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3E1D" w14:textId="77777777" w:rsidR="00C64A80" w:rsidRDefault="00C64A80" w:rsidP="006C3242">
      <w:pPr>
        <w:spacing w:before="0" w:line="240" w:lineRule="auto"/>
      </w:pPr>
      <w:r>
        <w:separator/>
      </w:r>
    </w:p>
  </w:endnote>
  <w:endnote w:type="continuationSeparator" w:id="0">
    <w:p w14:paraId="0BEC17EE" w14:textId="77777777" w:rsidR="00C64A80" w:rsidRDefault="00C64A8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8655" w14:textId="56D78EEE"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793C66">
      <w:rPr>
        <w:noProof/>
        <w:sz w:val="16"/>
        <w:szCs w:val="16"/>
        <w:lang w:val="fr-FR"/>
      </w:rPr>
      <w:t>P:\ARA\ITU-D\CONF-D\TDAG21\TDAG21-29\000\004REV1A.docx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C64A80" w:rsidRPr="00C64A80">
      <w:rPr>
        <w:sz w:val="16"/>
        <w:szCs w:val="16"/>
        <w:lang w:val="fr-FR"/>
      </w:rPr>
      <w:t>497251</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3D64007C" w14:textId="77777777" w:rsidTr="00F03E94">
      <w:tc>
        <w:tcPr>
          <w:tcW w:w="991" w:type="dxa"/>
          <w:tcBorders>
            <w:top w:val="single" w:sz="4" w:space="0" w:color="auto"/>
            <w:left w:val="nil"/>
            <w:bottom w:val="nil"/>
            <w:right w:val="nil"/>
          </w:tcBorders>
          <w:shd w:val="clear" w:color="auto" w:fill="FFFFFF" w:themeFill="background1"/>
          <w:hideMark/>
        </w:tcPr>
        <w:p w14:paraId="36F00C28" w14:textId="77777777" w:rsidR="00882A17" w:rsidRPr="005874F2" w:rsidRDefault="00882A17" w:rsidP="00B25FD0">
          <w:pPr>
            <w:spacing w:before="40" w:after="40" w:line="24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320F39D7" w14:textId="77777777" w:rsidR="00882A17" w:rsidRPr="005874F2" w:rsidRDefault="00882A17" w:rsidP="00B25FD0">
          <w:pPr>
            <w:spacing w:before="40" w:after="40" w:line="24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D2AC8BF" w14:textId="201CF15B" w:rsidR="00882A17" w:rsidRPr="005874F2" w:rsidRDefault="00B25FD0" w:rsidP="00B25FD0">
          <w:pPr>
            <w:spacing w:before="40" w:after="40" w:line="240" w:lineRule="exact"/>
            <w:rPr>
              <w:position w:val="2"/>
              <w:sz w:val="18"/>
              <w:szCs w:val="18"/>
              <w:rtl/>
              <w:lang w:val="en-GB" w:bidi="ar-EG"/>
            </w:rPr>
          </w:pPr>
          <w:r w:rsidRPr="00D133A7">
            <w:rPr>
              <w:position w:val="2"/>
              <w:sz w:val="18"/>
              <w:szCs w:val="18"/>
              <w:rtl/>
            </w:rPr>
            <w:t xml:space="preserve">الدكتور </w:t>
          </w:r>
          <w:proofErr w:type="spellStart"/>
          <w:r w:rsidRPr="00D133A7">
            <w:rPr>
              <w:position w:val="2"/>
              <w:sz w:val="18"/>
              <w:szCs w:val="18"/>
              <w:rtl/>
            </w:rPr>
            <w:t>كوسماس</w:t>
          </w:r>
          <w:proofErr w:type="spellEnd"/>
          <w:r w:rsidRPr="00D133A7">
            <w:rPr>
              <w:position w:val="2"/>
              <w:sz w:val="18"/>
              <w:szCs w:val="18"/>
              <w:rtl/>
            </w:rPr>
            <w:t xml:space="preserve"> </w:t>
          </w:r>
          <w:proofErr w:type="spellStart"/>
          <w:r w:rsidRPr="00D133A7">
            <w:rPr>
              <w:position w:val="2"/>
              <w:sz w:val="18"/>
              <w:szCs w:val="18"/>
              <w:rtl/>
            </w:rPr>
            <w:t>زافازافا</w:t>
          </w:r>
          <w:proofErr w:type="spellEnd"/>
          <w:r w:rsidRPr="00D133A7">
            <w:rPr>
              <w:rFonts w:hint="cs"/>
              <w:position w:val="2"/>
              <w:sz w:val="18"/>
              <w:szCs w:val="18"/>
              <w:rtl/>
              <w:lang w:bidi="ar-EG"/>
            </w:rPr>
            <w:t>، رئيس دائرة الشراكات من أجل التنمية الرقمية بمكتب تنمية الاتصالات</w:t>
          </w:r>
        </w:p>
      </w:tc>
    </w:tr>
    <w:tr w:rsidR="00882A17" w:rsidRPr="005874F2" w14:paraId="6C2220CC" w14:textId="77777777" w:rsidTr="00F03E94">
      <w:tc>
        <w:tcPr>
          <w:tcW w:w="991" w:type="dxa"/>
        </w:tcPr>
        <w:p w14:paraId="40735842" w14:textId="77777777" w:rsidR="00882A17" w:rsidRPr="005874F2" w:rsidRDefault="00882A17" w:rsidP="00B25FD0">
          <w:pPr>
            <w:spacing w:before="40" w:after="40" w:line="240" w:lineRule="exact"/>
            <w:rPr>
              <w:position w:val="2"/>
              <w:sz w:val="18"/>
              <w:szCs w:val="18"/>
              <w:lang w:val="en-GB"/>
            </w:rPr>
          </w:pPr>
        </w:p>
      </w:tc>
      <w:tc>
        <w:tcPr>
          <w:tcW w:w="2411" w:type="dxa"/>
          <w:hideMark/>
        </w:tcPr>
        <w:p w14:paraId="240DB332" w14:textId="77777777" w:rsidR="00882A17" w:rsidRPr="005874F2" w:rsidRDefault="00882A17" w:rsidP="00B25FD0">
          <w:pPr>
            <w:spacing w:before="40" w:after="40" w:line="240" w:lineRule="exact"/>
            <w:rPr>
              <w:position w:val="2"/>
              <w:sz w:val="18"/>
              <w:szCs w:val="18"/>
              <w:lang w:val="en-GB"/>
            </w:rPr>
          </w:pPr>
          <w:r w:rsidRPr="005874F2">
            <w:rPr>
              <w:position w:val="2"/>
              <w:sz w:val="18"/>
              <w:szCs w:val="18"/>
              <w:rtl/>
              <w:lang w:val="fr-FR" w:bidi="ar-EG"/>
            </w:rPr>
            <w:t>رقم الهاتف:</w:t>
          </w:r>
        </w:p>
      </w:tc>
      <w:tc>
        <w:tcPr>
          <w:tcW w:w="6237" w:type="dxa"/>
        </w:tcPr>
        <w:p w14:paraId="3CA04920" w14:textId="2B11910C" w:rsidR="00882A17" w:rsidRPr="005874F2" w:rsidRDefault="00B25FD0" w:rsidP="00B25FD0">
          <w:pPr>
            <w:spacing w:before="40" w:after="40" w:line="240" w:lineRule="exact"/>
            <w:rPr>
              <w:position w:val="2"/>
              <w:sz w:val="18"/>
              <w:szCs w:val="18"/>
              <w:lang w:val="en-GB"/>
            </w:rPr>
          </w:pPr>
          <w:r>
            <w:rPr>
              <w:sz w:val="18"/>
              <w:szCs w:val="18"/>
            </w:rPr>
            <w:t>+41 22 730 5447</w:t>
          </w:r>
        </w:p>
      </w:tc>
    </w:tr>
    <w:tr w:rsidR="00882A17" w:rsidRPr="005874F2" w14:paraId="70EB9E02" w14:textId="77777777" w:rsidTr="00F03E94">
      <w:tc>
        <w:tcPr>
          <w:tcW w:w="991" w:type="dxa"/>
        </w:tcPr>
        <w:p w14:paraId="74511995" w14:textId="77777777" w:rsidR="00882A17" w:rsidRPr="005874F2" w:rsidRDefault="00882A17" w:rsidP="00B25FD0">
          <w:pPr>
            <w:spacing w:before="40" w:after="40" w:line="240" w:lineRule="exact"/>
            <w:rPr>
              <w:position w:val="2"/>
              <w:sz w:val="18"/>
              <w:szCs w:val="18"/>
              <w:lang w:val="en-GB"/>
            </w:rPr>
          </w:pPr>
        </w:p>
      </w:tc>
      <w:tc>
        <w:tcPr>
          <w:tcW w:w="2411" w:type="dxa"/>
          <w:hideMark/>
        </w:tcPr>
        <w:p w14:paraId="664F637C" w14:textId="77777777" w:rsidR="00882A17" w:rsidRPr="005874F2" w:rsidRDefault="00882A17" w:rsidP="00B25FD0">
          <w:pPr>
            <w:spacing w:before="40" w:after="40" w:line="24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EA87DB7" w14:textId="05E3B76F" w:rsidR="00882A17" w:rsidRPr="005874F2" w:rsidRDefault="00B25FD0" w:rsidP="00B25FD0">
          <w:pPr>
            <w:spacing w:before="40" w:after="40" w:line="240" w:lineRule="exact"/>
            <w:rPr>
              <w:position w:val="2"/>
              <w:sz w:val="18"/>
              <w:szCs w:val="18"/>
              <w:rtl/>
              <w:lang w:val="fr-FR" w:bidi="ar-EG"/>
            </w:rPr>
          </w:pPr>
          <w:r w:rsidRPr="002A5083">
            <w:rPr>
              <w:rStyle w:val="Hyperlink"/>
              <w:sz w:val="18"/>
              <w:szCs w:val="18"/>
            </w:rPr>
            <w:t>cosmas.zavazava@itu.int</w:t>
          </w:r>
          <w:r>
            <w:rPr>
              <w:sz w:val="18"/>
              <w:szCs w:val="18"/>
            </w:rPr>
            <w:t xml:space="preserve"> </w:t>
          </w:r>
          <w:hyperlink r:id="rId1" w:history="1"/>
        </w:p>
      </w:tc>
    </w:tr>
  </w:tbl>
  <w:p w14:paraId="1A19AC56" w14:textId="77777777" w:rsidR="0006468A" w:rsidRPr="003971E3" w:rsidRDefault="00722D29"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FC83" w14:textId="77777777" w:rsidR="00C64A80" w:rsidRDefault="00C64A80" w:rsidP="006C3242">
      <w:pPr>
        <w:spacing w:before="0" w:line="240" w:lineRule="auto"/>
      </w:pPr>
      <w:r>
        <w:separator/>
      </w:r>
    </w:p>
  </w:footnote>
  <w:footnote w:type="continuationSeparator" w:id="0">
    <w:p w14:paraId="4E537A50" w14:textId="77777777" w:rsidR="00C64A80" w:rsidRDefault="00C64A8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E79035F" w14:textId="21E4A90E"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1" w:name="DocNo2"/>
        <w:bookmarkEnd w:id="1"/>
        <w:r w:rsidR="00C85CB5">
          <w:rPr>
            <w:sz w:val="20"/>
            <w:szCs w:val="20"/>
            <w:lang w:val="es-ES_tradnl"/>
          </w:rPr>
          <w:t>2</w:t>
        </w:r>
        <w:r w:rsidR="00D8311F">
          <w:rPr>
            <w:sz w:val="20"/>
            <w:szCs w:val="20"/>
            <w:lang w:val="es-ES_tradnl"/>
          </w:rPr>
          <w:t>/</w:t>
        </w:r>
        <w:r w:rsidR="00B25FD0">
          <w:rPr>
            <w:sz w:val="20"/>
            <w:szCs w:val="20"/>
            <w:lang w:val="es-ES_tradnl"/>
          </w:rPr>
          <w:t>4</w:t>
        </w:r>
        <w:r w:rsidR="00793C66">
          <w:rPr>
            <w:sz w:val="20"/>
            <w:szCs w:val="20"/>
            <w:lang w:val="es-ES_tradnl"/>
          </w:rPr>
          <w:t xml:space="preserve"> </w:t>
        </w:r>
        <w:r w:rsidR="00B25FD0">
          <w:rPr>
            <w:sz w:val="20"/>
            <w:szCs w:val="20"/>
            <w:lang w:val="es-ES_tradnl"/>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80"/>
    <w:rsid w:val="00026D7C"/>
    <w:rsid w:val="0006468A"/>
    <w:rsid w:val="00090574"/>
    <w:rsid w:val="000C1C0E"/>
    <w:rsid w:val="000C548A"/>
    <w:rsid w:val="00100775"/>
    <w:rsid w:val="001C0169"/>
    <w:rsid w:val="001D1D50"/>
    <w:rsid w:val="001D6745"/>
    <w:rsid w:val="001E446E"/>
    <w:rsid w:val="002154EE"/>
    <w:rsid w:val="002276D2"/>
    <w:rsid w:val="0023283D"/>
    <w:rsid w:val="00247364"/>
    <w:rsid w:val="0026373E"/>
    <w:rsid w:val="00271C43"/>
    <w:rsid w:val="00290728"/>
    <w:rsid w:val="002978F4"/>
    <w:rsid w:val="002A2016"/>
    <w:rsid w:val="002B028D"/>
    <w:rsid w:val="002E6541"/>
    <w:rsid w:val="003201C2"/>
    <w:rsid w:val="00334924"/>
    <w:rsid w:val="003409BC"/>
    <w:rsid w:val="00357185"/>
    <w:rsid w:val="00383829"/>
    <w:rsid w:val="003971E3"/>
    <w:rsid w:val="003C4402"/>
    <w:rsid w:val="003F4B29"/>
    <w:rsid w:val="0042686F"/>
    <w:rsid w:val="004317D8"/>
    <w:rsid w:val="00434183"/>
    <w:rsid w:val="00443869"/>
    <w:rsid w:val="00447F32"/>
    <w:rsid w:val="00486B96"/>
    <w:rsid w:val="004E11DC"/>
    <w:rsid w:val="00506E94"/>
    <w:rsid w:val="00525DDD"/>
    <w:rsid w:val="005409AC"/>
    <w:rsid w:val="0055516A"/>
    <w:rsid w:val="0058491B"/>
    <w:rsid w:val="005874F2"/>
    <w:rsid w:val="00592EA5"/>
    <w:rsid w:val="005A3170"/>
    <w:rsid w:val="005B2C89"/>
    <w:rsid w:val="005E1E6D"/>
    <w:rsid w:val="006128FC"/>
    <w:rsid w:val="00651B90"/>
    <w:rsid w:val="00677396"/>
    <w:rsid w:val="00686840"/>
    <w:rsid w:val="0069200F"/>
    <w:rsid w:val="006A65CB"/>
    <w:rsid w:val="006C3242"/>
    <w:rsid w:val="006C7CC0"/>
    <w:rsid w:val="006F63F7"/>
    <w:rsid w:val="007025C7"/>
    <w:rsid w:val="00706D7A"/>
    <w:rsid w:val="00722D29"/>
    <w:rsid w:val="00722F0D"/>
    <w:rsid w:val="007427F6"/>
    <w:rsid w:val="0074420E"/>
    <w:rsid w:val="00747A70"/>
    <w:rsid w:val="00783A69"/>
    <w:rsid w:val="00783E26"/>
    <w:rsid w:val="00793C6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7F84"/>
    <w:rsid w:val="008C26CD"/>
    <w:rsid w:val="0091702E"/>
    <w:rsid w:val="00923B0C"/>
    <w:rsid w:val="0094021C"/>
    <w:rsid w:val="00952F86"/>
    <w:rsid w:val="00982B28"/>
    <w:rsid w:val="009D313F"/>
    <w:rsid w:val="00A47A5A"/>
    <w:rsid w:val="00A6683B"/>
    <w:rsid w:val="00A97F94"/>
    <w:rsid w:val="00AA7EA2"/>
    <w:rsid w:val="00B03099"/>
    <w:rsid w:val="00B05BC8"/>
    <w:rsid w:val="00B25FD0"/>
    <w:rsid w:val="00B64B47"/>
    <w:rsid w:val="00B93B7B"/>
    <w:rsid w:val="00BA1304"/>
    <w:rsid w:val="00C002DE"/>
    <w:rsid w:val="00C53BF8"/>
    <w:rsid w:val="00C64A80"/>
    <w:rsid w:val="00C66157"/>
    <w:rsid w:val="00C674FE"/>
    <w:rsid w:val="00C67501"/>
    <w:rsid w:val="00C75633"/>
    <w:rsid w:val="00C85CB5"/>
    <w:rsid w:val="00CA08BA"/>
    <w:rsid w:val="00CE22CE"/>
    <w:rsid w:val="00CE2EE1"/>
    <w:rsid w:val="00CE3349"/>
    <w:rsid w:val="00CE36E5"/>
    <w:rsid w:val="00CF27F5"/>
    <w:rsid w:val="00CF3FFD"/>
    <w:rsid w:val="00D10CCF"/>
    <w:rsid w:val="00D77D0F"/>
    <w:rsid w:val="00D8311F"/>
    <w:rsid w:val="00DA0FEE"/>
    <w:rsid w:val="00DA1CF0"/>
    <w:rsid w:val="00DC1E02"/>
    <w:rsid w:val="00DC24B4"/>
    <w:rsid w:val="00DC5FB0"/>
    <w:rsid w:val="00DF056A"/>
    <w:rsid w:val="00DF16DC"/>
    <w:rsid w:val="00DF509B"/>
    <w:rsid w:val="00E45211"/>
    <w:rsid w:val="00E473C5"/>
    <w:rsid w:val="00E92863"/>
    <w:rsid w:val="00EB796D"/>
    <w:rsid w:val="00EE5CF2"/>
    <w:rsid w:val="00F00B18"/>
    <w:rsid w:val="00F058DC"/>
    <w:rsid w:val="00F24FC4"/>
    <w:rsid w:val="00F2676C"/>
    <w:rsid w:val="00F84366"/>
    <w:rsid w:val="00F85089"/>
    <w:rsid w:val="00F974C5"/>
    <w:rsid w:val="00FA6F46"/>
    <w:rsid w:val="00FE05C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F6CBC"/>
  <w15:chartTrackingRefBased/>
  <w15:docId w15:val="{6C2C24B5-A5BD-48B6-BB63-F520FA17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gure">
    <w:name w:val="Figure"/>
    <w:basedOn w:val="Normal"/>
    <w:qFormat/>
    <w:rsid w:val="00B25FD0"/>
    <w:pPr>
      <w:spacing w:before="100" w:beforeAutospacing="1" w:after="100" w:afterAutospacing="1" w:line="240" w:lineRule="auto"/>
    </w:pPr>
    <w:rPr>
      <w:noProof/>
      <w:lang w:bidi="ar-EG"/>
    </w:rPr>
  </w:style>
  <w:style w:type="character" w:customStyle="1" w:styleId="ListParagraphChar">
    <w:name w:val="List Paragraph Char"/>
    <w:basedOn w:val="DefaultParagraphFont"/>
    <w:link w:val="ListParagraph"/>
    <w:uiPriority w:val="34"/>
    <w:locked/>
    <w:rsid w:val="00B25FD0"/>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9-C-0015/"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itu.int/md/D18-TDAG29-INF-000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lkjsd@asdf.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TDAG%202021/Oct%202021/Chiffres2021_1nov.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ar-EG" sz="1100" b="1" i="0" baseline="0">
                <a:effectLst/>
                <a:latin typeface="Dubai" panose="020B0503030403030204" pitchFamily="34" charset="-78"/>
                <a:cs typeface="Dubai" panose="020B0503030403030204" pitchFamily="34" charset="-78"/>
              </a:rPr>
              <a:t>الاتفاقات الموقعة حسب كل منطقة</a:t>
            </a:r>
            <a:br>
              <a:rPr lang="ar-EG" sz="1100" b="1" i="0" baseline="0">
                <a:effectLst/>
                <a:latin typeface="Dubai" panose="020B0503030403030204" pitchFamily="34" charset="-78"/>
                <a:cs typeface="Dubai" panose="020B0503030403030204" pitchFamily="34" charset="-78"/>
              </a:rPr>
            </a:br>
            <a:r>
              <a:rPr lang="ar-EG" sz="1100" b="1" i="0" baseline="0">
                <a:effectLst/>
                <a:latin typeface="Dubai" panose="020B0503030403030204" pitchFamily="34" charset="-78"/>
                <a:cs typeface="Dubai" panose="020B0503030403030204" pitchFamily="34" charset="-78"/>
              </a:rPr>
              <a:t>(1 يناير - </a:t>
            </a:r>
            <a:r>
              <a:rPr lang="en-US" sz="1100" b="1" i="0" baseline="0">
                <a:effectLst/>
                <a:latin typeface="Dubai" panose="020B0503030403030204" pitchFamily="34" charset="-78"/>
                <a:cs typeface="Dubai" panose="020B0503030403030204" pitchFamily="34" charset="-78"/>
              </a:rPr>
              <a:t>30</a:t>
            </a:r>
            <a:r>
              <a:rPr lang="ar-EG" sz="1100" b="1" i="0" baseline="0">
                <a:effectLst/>
                <a:latin typeface="Dubai" panose="020B0503030403030204" pitchFamily="34" charset="-78"/>
                <a:cs typeface="Dubai" panose="020B0503030403030204" pitchFamily="34" charset="-78"/>
              </a:rPr>
              <a:t> سبتمبر 2021)</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2015616797900265"/>
          <c:y val="0.28428805774278215"/>
          <c:w val="0.37079877515310589"/>
          <c:h val="0.6179979585885098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47-4403-8A18-BF99DAD48E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47-4403-8A18-BF99DAD48E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47-4403-8A18-BF99DAD48E5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C47-4403-8A18-BF99DAD48E5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C47-4403-8A18-BF99DAD48E5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C47-4403-8A18-BF99DAD48E5F}"/>
              </c:ext>
            </c:extLst>
          </c:dPt>
          <c:dLbls>
            <c:dLbl>
              <c:idx val="0"/>
              <c:tx>
                <c:rich>
                  <a:bodyPr rot="0" spcFirstLastPara="1" vertOverflow="clip" horzOverflow="clip" vert="horz" wrap="square" lIns="38100" tIns="19050" rIns="38100" bIns="19050" anchor="ctr" anchorCtr="1">
                    <a:spAutoFit/>
                  </a:bodyPr>
                  <a:lstStyle/>
                  <a:p>
                    <a:pPr rtl="0">
                      <a:lnSpc>
                        <a:spcPct val="80000"/>
                      </a:lnSpc>
                      <a:defRPr sz="800" b="1" i="0" u="none" strike="noStrike" kern="1200" baseline="0">
                        <a:solidFill>
                          <a:schemeClr val="dk1">
                            <a:lumMod val="65000"/>
                            <a:lumOff val="35000"/>
                          </a:schemeClr>
                        </a:solidFill>
                        <a:latin typeface="+mn-lt"/>
                        <a:ea typeface="+mn-ea"/>
                        <a:cs typeface="+mn-cs"/>
                      </a:defRPr>
                    </a:pPr>
                    <a:r>
                      <a:rPr lang="ar-EG" sz="900" b="1" i="0" u="none" strike="noStrike" kern="1200" baseline="0">
                        <a:solidFill>
                          <a:sysClr val="windowText" lastClr="000000">
                            <a:lumMod val="65000"/>
                            <a:lumOff val="35000"/>
                          </a:sysClr>
                        </a:solidFill>
                        <a:latin typeface="Dubai" panose="020B0503030403030204" pitchFamily="34" charset="-78"/>
                        <a:cs typeface="Dubai" panose="020B0503030403030204" pitchFamily="34" charset="-78"/>
                      </a:rPr>
                      <a:t>إفريقيا </a:t>
                    </a:r>
                  </a:p>
                  <a:p>
                    <a:pPr rtl="0">
                      <a:lnSpc>
                        <a:spcPct val="80000"/>
                      </a:lnSpc>
                      <a:defRPr sz="800" b="1"/>
                    </a:pPr>
                    <a:r>
                      <a:rPr lang="ar-EG" sz="900" b="1" i="0" u="none" strike="noStrike" kern="1200" baseline="0">
                        <a:solidFill>
                          <a:sysClr val="windowText" lastClr="000000">
                            <a:lumMod val="65000"/>
                            <a:lumOff val="35000"/>
                          </a:sysClr>
                        </a:solidFill>
                        <a:latin typeface="Dubai" panose="020B0503030403030204" pitchFamily="34" charset="-78"/>
                        <a:cs typeface="Dubai" panose="020B0503030403030204" pitchFamily="34" charset="-78"/>
                      </a:rPr>
                      <a:t>% 39,7</a:t>
                    </a:r>
                  </a:p>
                  <a:p>
                    <a:pPr rtl="0">
                      <a:lnSpc>
                        <a:spcPct val="80000"/>
                      </a:lnSpc>
                      <a:defRPr sz="800" b="1"/>
                    </a:pPr>
                    <a:endParaRPr lang="ar-EG" sz="900"/>
                  </a:p>
                </c:rich>
              </c:tx>
              <c:numFmt formatCode="0.0%" sourceLinked="0"/>
              <c:spPr>
                <a:xfrm>
                  <a:off x="3782064" y="1080314"/>
                  <a:ext cx="619762" cy="469603"/>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rtl="0">
                    <a:lnSpc>
                      <a:spcPct val="80000"/>
                    </a:lnSpc>
                    <a:defRPr sz="8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64072"/>
                        <a:gd name="adj2" fmla="val 64686"/>
                      </a:avLst>
                    </a:prstGeom>
                    <a:noFill/>
                    <a:ln>
                      <a:noFill/>
                    </a:ln>
                  </c15:spPr>
                  <c15:layout>
                    <c:manualLayout>
                      <c:w val="0.10796495017768797"/>
                      <c:h val="0.16544364246135901"/>
                    </c:manualLayout>
                  </c15:layout>
                  <c15:showDataLabelsRange val="0"/>
                </c:ext>
                <c:ext xmlns:c16="http://schemas.microsoft.com/office/drawing/2014/chart" uri="{C3380CC4-5D6E-409C-BE32-E72D297353CC}">
                  <c16:uniqueId val="{00000001-4C47-4403-8A18-BF99DAD48E5F}"/>
                </c:ext>
              </c:extLst>
            </c:dLbl>
            <c:dLbl>
              <c:idx val="1"/>
              <c:layout>
                <c:manualLayout>
                  <c:x val="8.4415023343321016E-2"/>
                  <c:y val="-0.11574074074074074"/>
                </c:manualLayout>
              </c:layout>
              <c:tx>
                <c:rich>
                  <a:bodyPr/>
                  <a:lstStyle/>
                  <a:p>
                    <a:r>
                      <a:rPr lang="ar-EG" sz="900" baseline="0">
                        <a:latin typeface="Dubai" panose="020B0503030403030204" pitchFamily="34" charset="-78"/>
                        <a:cs typeface="Dubai" panose="020B0503030403030204" pitchFamily="34" charset="-78"/>
                      </a:rPr>
                      <a:t>الأمريكتان</a:t>
                    </a:r>
                  </a:p>
                  <a:p>
                    <a:r>
                      <a:rPr lang="ar-EG" sz="900" baseline="0">
                        <a:latin typeface="Dubai" panose="020B0503030403030204" pitchFamily="34" charset="-78"/>
                        <a:cs typeface="Dubai" panose="020B0503030403030204" pitchFamily="34" charset="-78"/>
                      </a:rPr>
                      <a:t>8,2%</a:t>
                    </a:r>
                    <a:endParaRPr lang="ar-EG" sz="900">
                      <a:latin typeface="Dubai" panose="020B0503030403030204" pitchFamily="34" charset="-78"/>
                      <a:cs typeface="Dubai" panose="020B0503030403030204" pitchFamily="34" charset="-78"/>
                    </a:endParaRP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C47-4403-8A18-BF99DAD48E5F}"/>
                </c:ext>
              </c:extLst>
            </c:dLbl>
            <c:dLbl>
              <c:idx val="2"/>
              <c:layout>
                <c:manualLayout>
                  <c:x val="5.6415929203539827E-2"/>
                  <c:y val="-6.8295783498626556E-6"/>
                </c:manualLayout>
              </c:layout>
              <c:tx>
                <c:rich>
                  <a:bodyPr rot="0" spcFirstLastPara="1" vertOverflow="clip" horzOverflow="clip" vert="horz" wrap="square" lIns="38100" tIns="19050" rIns="38100" bIns="19050" anchor="ctr" anchorCtr="1">
                    <a:spAutoFit/>
                  </a:bodyPr>
                  <a:lstStyle/>
                  <a:p>
                    <a:pPr>
                      <a:lnSpc>
                        <a:spcPct val="70000"/>
                      </a:lnSpc>
                      <a:defRPr sz="800" b="1" i="0" u="none" strike="noStrike" kern="1200" baseline="0">
                        <a:solidFill>
                          <a:schemeClr val="dk1">
                            <a:lumMod val="65000"/>
                            <a:lumOff val="35000"/>
                          </a:schemeClr>
                        </a:solidFill>
                        <a:latin typeface="+mn-lt"/>
                        <a:ea typeface="+mn-ea"/>
                        <a:cs typeface="+mn-cs"/>
                      </a:defRPr>
                    </a:pPr>
                    <a:r>
                      <a:rPr lang="ar-EG" sz="900">
                        <a:latin typeface="Dubai" panose="020B0503030403030204" pitchFamily="34" charset="-78"/>
                        <a:cs typeface="Dubai" panose="020B0503030403030204" pitchFamily="34" charset="-78"/>
                      </a:rPr>
                      <a:t>الدول العربية</a:t>
                    </a:r>
                  </a:p>
                  <a:p>
                    <a:pPr>
                      <a:lnSpc>
                        <a:spcPct val="70000"/>
                      </a:lnSpc>
                      <a:defRPr sz="800" b="1"/>
                    </a:pPr>
                    <a:r>
                      <a:rPr lang="ar-EG" sz="900" b="1" i="0" u="none" strike="noStrike" kern="1200" baseline="0">
                        <a:solidFill>
                          <a:sysClr val="windowText" lastClr="000000">
                            <a:lumMod val="65000"/>
                            <a:lumOff val="35000"/>
                          </a:sysClr>
                        </a:solidFill>
                        <a:latin typeface="Dubai" panose="020B0503030403030204" pitchFamily="34" charset="-78"/>
                        <a:cs typeface="Dubai" panose="020B0503030403030204" pitchFamily="34" charset="-78"/>
                      </a:rPr>
                      <a:t>%</a:t>
                    </a:r>
                    <a:r>
                      <a:rPr lang="ar-EG" sz="900">
                        <a:latin typeface="Dubai" panose="020B0503030403030204" pitchFamily="34" charset="-78"/>
                        <a:cs typeface="Dubai" panose="020B0503030403030204" pitchFamily="34" charset="-78"/>
                      </a:rPr>
                      <a:t>0,1</a:t>
                    </a:r>
                  </a:p>
                </c:rich>
              </c:tx>
              <c:numFmt formatCode="0.0%" sourceLinked="0"/>
              <c:spPr>
                <a:xfrm>
                  <a:off x="3093041" y="2518218"/>
                  <a:ext cx="761760" cy="310376"/>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lnSpc>
                      <a:spcPct val="70000"/>
                    </a:lnSpc>
                    <a:defRPr sz="8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8712"/>
                        <a:gd name="adj2" fmla="val -41264"/>
                      </a:avLst>
                    </a:prstGeom>
                    <a:noFill/>
                    <a:ln>
                      <a:noFill/>
                    </a:ln>
                  </c15:spPr>
                  <c15:layout>
                    <c:manualLayout>
                      <c:w val="0.14155111142080692"/>
                      <c:h val="0.11627789814863745"/>
                    </c:manualLayout>
                  </c15:layout>
                  <c15:showDataLabelsRange val="0"/>
                </c:ext>
                <c:ext xmlns:c16="http://schemas.microsoft.com/office/drawing/2014/chart" uri="{C3380CC4-5D6E-409C-BE32-E72D297353CC}">
                  <c16:uniqueId val="{00000005-4C47-4403-8A18-BF99DAD48E5F}"/>
                </c:ext>
              </c:extLst>
            </c:dLbl>
            <c:dLbl>
              <c:idx val="3"/>
              <c:tx>
                <c:rich>
                  <a:bodyPr rot="0" spcFirstLastPara="1" vertOverflow="clip" horzOverflow="clip" vert="horz" wrap="square" lIns="38100" tIns="19050" rIns="38100" bIns="19050" anchor="ctr" anchorCtr="1">
                    <a:spAutoFit/>
                  </a:bodyPr>
                  <a:lstStyle/>
                  <a:p>
                    <a:pPr>
                      <a:lnSpc>
                        <a:spcPct val="70000"/>
                      </a:lnSpc>
                      <a:defRPr sz="800" b="1" i="0" u="none" strike="noStrike" kern="1200" baseline="0">
                        <a:solidFill>
                          <a:schemeClr val="dk1">
                            <a:lumMod val="65000"/>
                            <a:lumOff val="35000"/>
                          </a:schemeClr>
                        </a:solidFill>
                        <a:latin typeface="+mn-lt"/>
                        <a:ea typeface="+mn-ea"/>
                        <a:cs typeface="+mn-cs"/>
                      </a:defRPr>
                    </a:pPr>
                    <a:r>
                      <a:rPr lang="ar-EG" sz="900">
                        <a:latin typeface="Dubai" panose="020B0503030403030204" pitchFamily="34" charset="-78"/>
                        <a:cs typeface="Dubai" panose="020B0503030403030204" pitchFamily="34" charset="-78"/>
                      </a:rPr>
                      <a:t>آسيا والمحيط الهادئ</a:t>
                    </a:r>
                  </a:p>
                  <a:p>
                    <a:pPr>
                      <a:lnSpc>
                        <a:spcPct val="70000"/>
                      </a:lnSpc>
                      <a:defRPr sz="800" b="1"/>
                    </a:pPr>
                    <a:r>
                      <a:rPr lang="ar-EG" sz="900">
                        <a:latin typeface="Dubai" panose="020B0503030403030204" pitchFamily="34" charset="-78"/>
                        <a:cs typeface="Dubai" panose="020B0503030403030204" pitchFamily="34" charset="-78"/>
                      </a:rPr>
                      <a:t>%9,0</a:t>
                    </a:r>
                  </a:p>
                </c:rich>
              </c:tx>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lnSpc>
                      <a:spcPct val="70000"/>
                    </a:lnSpc>
                    <a:defRPr sz="8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7-4C47-4403-8A18-BF99DAD48E5F}"/>
                </c:ext>
              </c:extLst>
            </c:dLbl>
            <c:dLbl>
              <c:idx val="4"/>
              <c:layout>
                <c:manualLayout>
                  <c:x val="-7.0427670545606613E-2"/>
                  <c:y val="-0.14566259754443461"/>
                </c:manualLayout>
              </c:layout>
              <c:tx>
                <c:rich>
                  <a:bodyPr rot="0" spcFirstLastPara="1" vertOverflow="clip" horzOverflow="clip" vert="horz" wrap="square" lIns="38100" tIns="19050" rIns="38100" bIns="19050" anchor="ctr" anchorCtr="0">
                    <a:spAutoFit/>
                  </a:bodyPr>
                  <a:lstStyle/>
                  <a:p>
                    <a:pPr algn="ctr">
                      <a:lnSpc>
                        <a:spcPct val="80000"/>
                      </a:lnSpc>
                      <a:defRPr sz="800" b="1" i="0" u="none" strike="noStrike" kern="1200" baseline="0">
                        <a:solidFill>
                          <a:schemeClr val="dk1">
                            <a:lumMod val="65000"/>
                            <a:lumOff val="35000"/>
                          </a:schemeClr>
                        </a:solidFill>
                        <a:latin typeface="+mn-lt"/>
                        <a:ea typeface="+mn-ea"/>
                        <a:cs typeface="+mn-cs"/>
                      </a:defRPr>
                    </a:pPr>
                    <a:r>
                      <a:rPr lang="ar-EG" sz="900">
                        <a:latin typeface="Dubai" panose="020B0503030403030204" pitchFamily="34" charset="-78"/>
                        <a:cs typeface="Dubai" panose="020B0503030403030204" pitchFamily="34" charset="-78"/>
                      </a:rPr>
                      <a:t>أوروبا</a:t>
                    </a:r>
                  </a:p>
                  <a:p>
                    <a:pPr algn="ctr">
                      <a:lnSpc>
                        <a:spcPct val="80000"/>
                      </a:lnSpc>
                      <a:defRPr sz="800" b="1"/>
                    </a:pPr>
                    <a:r>
                      <a:rPr lang="ar-EG" sz="900">
                        <a:latin typeface="Dubai" panose="020B0503030403030204" pitchFamily="34" charset="-78"/>
                        <a:cs typeface="Dubai" panose="020B0503030403030204" pitchFamily="34" charset="-78"/>
                      </a:rPr>
                      <a:t>0,2%</a:t>
                    </a:r>
                  </a:p>
                </c:rich>
              </c:tx>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algn="ctr">
                    <a:lnSpc>
                      <a:spcPct val="80000"/>
                    </a:lnSpc>
                    <a:defRPr sz="8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9-4C47-4403-8A18-BF99DAD48E5F}"/>
                </c:ext>
              </c:extLst>
            </c:dLbl>
            <c:dLbl>
              <c:idx val="5"/>
              <c:layout>
                <c:manualLayout>
                  <c:x val="2.4336283185840708E-2"/>
                  <c:y val="-0.20833333333333334"/>
                </c:manualLayout>
              </c:layout>
              <c:tx>
                <c:rich>
                  <a:bodyPr rot="0" spcFirstLastPara="1" vertOverflow="clip" horzOverflow="clip" vert="horz" wrap="square" lIns="38100" tIns="19050" rIns="38100" bIns="19050" anchor="ctr" anchorCtr="1">
                    <a:spAutoFit/>
                  </a:bodyPr>
                  <a:lstStyle/>
                  <a:p>
                    <a:pPr>
                      <a:lnSpc>
                        <a:spcPct val="80000"/>
                      </a:lnSpc>
                      <a:defRPr sz="800" b="1" i="0" u="none" strike="noStrike" kern="1200" baseline="0">
                        <a:solidFill>
                          <a:schemeClr val="dk1">
                            <a:lumMod val="65000"/>
                            <a:lumOff val="35000"/>
                          </a:schemeClr>
                        </a:solidFill>
                        <a:latin typeface="+mn-lt"/>
                        <a:ea typeface="+mn-ea"/>
                        <a:cs typeface="+mn-cs"/>
                      </a:defRPr>
                    </a:pPr>
                    <a:r>
                      <a:rPr lang="ar-EG" sz="900">
                        <a:latin typeface="Dubai" panose="020B0503030403030204" pitchFamily="34" charset="-78"/>
                        <a:cs typeface="Dubai" panose="020B0503030403030204" pitchFamily="34" charset="-78"/>
                      </a:rPr>
                      <a:t>مناطق متعددة</a:t>
                    </a:r>
                  </a:p>
                  <a:p>
                    <a:pPr>
                      <a:lnSpc>
                        <a:spcPct val="80000"/>
                      </a:lnSpc>
                      <a:defRPr sz="800" b="1"/>
                    </a:pPr>
                    <a:r>
                      <a:rPr lang="ar-EG" sz="900">
                        <a:latin typeface="Dubai" panose="020B0503030403030204" pitchFamily="34" charset="-78"/>
                        <a:cs typeface="Dubai" panose="020B0503030403030204" pitchFamily="34" charset="-78"/>
                      </a:rPr>
                      <a:t>42,8%</a:t>
                    </a:r>
                  </a:p>
                </c:rich>
              </c:tx>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lnSpc>
                      <a:spcPct val="80000"/>
                    </a:lnSpc>
                    <a:defRPr sz="8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B-4C47-4403-8A18-BF99DAD48E5F}"/>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regions!$F$60:$F$65</c:f>
              <c:strCache>
                <c:ptCount val="6"/>
                <c:pt idx="0">
                  <c:v>Africa</c:v>
                </c:pt>
                <c:pt idx="1">
                  <c:v>Americas</c:v>
                </c:pt>
                <c:pt idx="2">
                  <c:v>Arab States</c:v>
                </c:pt>
                <c:pt idx="3">
                  <c:v>Asia-Pacific</c:v>
                </c:pt>
                <c:pt idx="4">
                  <c:v>Europe</c:v>
                </c:pt>
                <c:pt idx="5">
                  <c:v>Multi-regions</c:v>
                </c:pt>
              </c:strCache>
            </c:strRef>
          </c:cat>
          <c:val>
            <c:numRef>
              <c:f>regions!$G$60:$G$65</c:f>
              <c:numCache>
                <c:formatCode>0.0%</c:formatCode>
                <c:ptCount val="6"/>
                <c:pt idx="0">
                  <c:v>0.39696709125109964</c:v>
                </c:pt>
                <c:pt idx="1">
                  <c:v>8.1905715438916948E-2</c:v>
                </c:pt>
                <c:pt idx="2">
                  <c:v>6.4222986491571058E-4</c:v>
                </c:pt>
                <c:pt idx="3">
                  <c:v>9.0399028536040205E-2</c:v>
                </c:pt>
                <c:pt idx="4">
                  <c:v>1.8759257769475157E-3</c:v>
                </c:pt>
                <c:pt idx="5">
                  <c:v>0.42821000913208002</c:v>
                </c:pt>
              </c:numCache>
            </c:numRef>
          </c:val>
          <c:extLst>
            <c:ext xmlns:c16="http://schemas.microsoft.com/office/drawing/2014/chart" uri="{C3380CC4-5D6E-409C-BE32-E72D297353CC}">
              <c16:uniqueId val="{0000000C-4C47-4403-8A18-BF99DAD48E5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MS</cp:lastModifiedBy>
  <cp:revision>5</cp:revision>
  <dcterms:created xsi:type="dcterms:W3CDTF">2021-11-03T16:05:00Z</dcterms:created>
  <dcterms:modified xsi:type="dcterms:W3CDTF">2021-11-04T10:10:00Z</dcterms:modified>
</cp:coreProperties>
</file>